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CCD55" w14:textId="17E4CC0A" w:rsidR="006D6636" w:rsidRPr="0014264D" w:rsidRDefault="00AF09A1" w:rsidP="006D6636">
      <w:pPr>
        <w:rPr>
          <w:sz w:val="28"/>
          <w:szCs w:val="28"/>
        </w:rPr>
      </w:pPr>
      <w:r>
        <w:rPr>
          <w:sz w:val="28"/>
          <w:szCs w:val="28"/>
        </w:rPr>
        <w:t>Company</w:t>
      </w:r>
      <w:r w:rsidR="001F125E">
        <w:rPr>
          <w:sz w:val="28"/>
          <w:szCs w:val="28"/>
        </w:rPr>
        <w:t xml:space="preserve"> </w:t>
      </w:r>
      <w:r w:rsidR="001F125E" w:rsidRPr="0014264D">
        <w:rPr>
          <w:sz w:val="28"/>
          <w:szCs w:val="28"/>
        </w:rPr>
        <w:t>Directors</w:t>
      </w:r>
      <w:r>
        <w:rPr>
          <w:sz w:val="28"/>
          <w:szCs w:val="28"/>
        </w:rPr>
        <w:t xml:space="preserve"> </w:t>
      </w:r>
      <w:proofErr w:type="spellStart"/>
      <w:r>
        <w:rPr>
          <w:sz w:val="28"/>
          <w:szCs w:val="28"/>
        </w:rPr>
        <w:t>Behaviour</w:t>
      </w:r>
      <w:proofErr w:type="spellEnd"/>
      <w:r>
        <w:rPr>
          <w:sz w:val="28"/>
          <w:szCs w:val="28"/>
        </w:rPr>
        <w:t xml:space="preserve"> is “Mad Hatters Tea Party”, Curiouser and Curiouser</w:t>
      </w:r>
    </w:p>
    <w:p w14:paraId="4DBE1EA1" w14:textId="77777777" w:rsidR="006D6636" w:rsidRDefault="006D6636" w:rsidP="006D6636">
      <w:pPr>
        <w:rPr>
          <w:sz w:val="28"/>
          <w:szCs w:val="28"/>
        </w:rPr>
      </w:pPr>
    </w:p>
    <w:p w14:paraId="11A9DDC8" w14:textId="77777777" w:rsidR="001F125E" w:rsidRPr="00764D26" w:rsidRDefault="001F125E" w:rsidP="001F125E">
      <w:pPr>
        <w:outlineLvl w:val="0"/>
        <w:rPr>
          <w:bCs/>
          <w:szCs w:val="22"/>
          <w:lang w:eastAsia="zh-CN"/>
        </w:rPr>
      </w:pPr>
      <w:r>
        <w:rPr>
          <w:bCs/>
          <w:szCs w:val="22"/>
          <w:lang w:eastAsia="zh-CN"/>
        </w:rPr>
        <w:t>Associate Professor Lisa Barnes</w:t>
      </w:r>
      <w:r w:rsidRPr="00764D26">
        <w:rPr>
          <w:rFonts w:hint="eastAsia"/>
          <w:bCs/>
          <w:szCs w:val="22"/>
          <w:vertAlign w:val="superscript"/>
          <w:lang w:eastAsia="zh-CN"/>
        </w:rPr>
        <w:t>1</w:t>
      </w:r>
      <w:r>
        <w:rPr>
          <w:rFonts w:hint="eastAsia"/>
          <w:bCs/>
          <w:szCs w:val="22"/>
          <w:vertAlign w:val="superscript"/>
          <w:lang w:eastAsia="zh-CN"/>
        </w:rPr>
        <w:t>*</w:t>
      </w:r>
    </w:p>
    <w:p w14:paraId="3CAE0C96" w14:textId="440B9F19" w:rsidR="001F125E" w:rsidRDefault="001F125E" w:rsidP="001F125E">
      <w:pPr>
        <w:jc w:val="both"/>
        <w:outlineLvl w:val="0"/>
        <w:rPr>
          <w:bCs/>
          <w:szCs w:val="22"/>
          <w:lang w:eastAsia="zh-CN"/>
        </w:rPr>
      </w:pPr>
      <w:r w:rsidRPr="004563F2">
        <w:rPr>
          <w:rFonts w:hint="eastAsia"/>
          <w:bCs/>
          <w:szCs w:val="22"/>
          <w:vertAlign w:val="superscript"/>
          <w:lang w:eastAsia="zh-CN"/>
        </w:rPr>
        <w:t>1</w:t>
      </w:r>
      <w:r>
        <w:rPr>
          <w:rFonts w:hint="eastAsia"/>
          <w:bCs/>
          <w:szCs w:val="22"/>
          <w:lang w:eastAsia="zh-CN"/>
        </w:rPr>
        <w:t xml:space="preserve"> </w:t>
      </w:r>
      <w:r>
        <w:rPr>
          <w:bCs/>
          <w:szCs w:val="22"/>
          <w:lang w:eastAsia="zh-CN"/>
        </w:rPr>
        <w:t xml:space="preserve">Avondale </w:t>
      </w:r>
      <w:r w:rsidR="00AF09A1">
        <w:rPr>
          <w:bCs/>
          <w:szCs w:val="22"/>
          <w:lang w:eastAsia="zh-CN"/>
        </w:rPr>
        <w:t>U</w:t>
      </w:r>
      <w:r>
        <w:rPr>
          <w:bCs/>
          <w:szCs w:val="22"/>
          <w:lang w:eastAsia="zh-CN"/>
        </w:rPr>
        <w:t>niversity</w:t>
      </w:r>
      <w:r w:rsidR="00AF09A1">
        <w:rPr>
          <w:bCs/>
          <w:szCs w:val="22"/>
          <w:lang w:eastAsia="zh-CN"/>
        </w:rPr>
        <w:t>,</w:t>
      </w:r>
      <w:r>
        <w:rPr>
          <w:bCs/>
          <w:szCs w:val="22"/>
          <w:lang w:eastAsia="zh-CN"/>
        </w:rPr>
        <w:t xml:space="preserve"> Australia</w:t>
      </w:r>
      <w:r>
        <w:rPr>
          <w:rFonts w:hint="eastAsia"/>
          <w:bCs/>
          <w:szCs w:val="22"/>
          <w:lang w:eastAsia="zh-CN"/>
        </w:rPr>
        <w:t xml:space="preserve"> </w:t>
      </w:r>
    </w:p>
    <w:p w14:paraId="7C25A28B" w14:textId="77777777" w:rsidR="001F125E" w:rsidRDefault="001F125E" w:rsidP="001F125E">
      <w:pPr>
        <w:jc w:val="both"/>
        <w:rPr>
          <w:bCs/>
          <w:szCs w:val="22"/>
          <w:lang w:eastAsia="zh-CN"/>
        </w:rPr>
      </w:pPr>
      <w:r w:rsidRPr="004563F2">
        <w:rPr>
          <w:rFonts w:hint="eastAsia"/>
          <w:bCs/>
          <w:szCs w:val="22"/>
          <w:vertAlign w:val="superscript"/>
          <w:lang w:eastAsia="zh-CN"/>
        </w:rPr>
        <w:t>*</w:t>
      </w:r>
      <w:r>
        <w:rPr>
          <w:rFonts w:hint="eastAsia"/>
          <w:bCs/>
          <w:szCs w:val="22"/>
          <w:lang w:eastAsia="zh-CN"/>
        </w:rPr>
        <w:t xml:space="preserve"> </w:t>
      </w:r>
      <w:r w:rsidR="00A437C2">
        <w:rPr>
          <w:bCs/>
          <w:szCs w:val="22"/>
          <w:lang w:eastAsia="zh-CN"/>
        </w:rPr>
        <w:t xml:space="preserve">Lisa Barnes </w:t>
      </w:r>
      <w:r>
        <w:rPr>
          <w:rFonts w:hint="eastAsia"/>
          <w:bCs/>
          <w:szCs w:val="22"/>
          <w:lang w:eastAsia="zh-CN"/>
        </w:rPr>
        <w:t xml:space="preserve">E-mail: </w:t>
      </w:r>
      <w:r w:rsidR="00A437C2">
        <w:rPr>
          <w:bCs/>
          <w:szCs w:val="22"/>
          <w:lang w:eastAsia="zh-CN"/>
        </w:rPr>
        <w:t>lisa.barnes</w:t>
      </w:r>
      <w:r w:rsidRPr="004563F2">
        <w:rPr>
          <w:rFonts w:hint="eastAsia"/>
          <w:bCs/>
          <w:szCs w:val="22"/>
          <w:lang w:eastAsia="zh-CN"/>
        </w:rPr>
        <w:t>@</w:t>
      </w:r>
      <w:r w:rsidR="00A437C2">
        <w:rPr>
          <w:bCs/>
          <w:szCs w:val="22"/>
          <w:lang w:eastAsia="zh-CN"/>
        </w:rPr>
        <w:t>avondale.du.au</w:t>
      </w:r>
    </w:p>
    <w:p w14:paraId="4AD99659" w14:textId="77777777" w:rsidR="0014264D" w:rsidRDefault="0014264D" w:rsidP="00B13512">
      <w:pPr>
        <w:ind w:left="288"/>
        <w:jc w:val="both"/>
        <w:rPr>
          <w:rStyle w:val="StyleAbstractItalicChar"/>
          <w:bCs w:val="0"/>
          <w:sz w:val="24"/>
          <w:szCs w:val="24"/>
        </w:rPr>
      </w:pPr>
    </w:p>
    <w:p w14:paraId="1869A4E2" w14:textId="77777777" w:rsidR="00B13512" w:rsidRDefault="00B13512" w:rsidP="00B13512">
      <w:pPr>
        <w:ind w:left="288"/>
        <w:jc w:val="both"/>
        <w:rPr>
          <w:b/>
          <w:sz w:val="24"/>
          <w:szCs w:val="24"/>
        </w:rPr>
      </w:pPr>
      <w:r w:rsidRPr="00B13512">
        <w:rPr>
          <w:rStyle w:val="StyleAbstractItalicChar"/>
          <w:bCs w:val="0"/>
          <w:sz w:val="24"/>
          <w:szCs w:val="24"/>
        </w:rPr>
        <w:t>Abstract</w:t>
      </w:r>
      <w:r w:rsidRPr="00B13512">
        <w:rPr>
          <w:sz w:val="24"/>
          <w:szCs w:val="24"/>
        </w:rPr>
        <w:t xml:space="preserve"> </w:t>
      </w:r>
    </w:p>
    <w:p w14:paraId="27E72FB2" w14:textId="77777777" w:rsidR="00A437C2" w:rsidRDefault="00B13512" w:rsidP="00B13512">
      <w:pPr>
        <w:ind w:left="288"/>
        <w:jc w:val="both"/>
      </w:pPr>
      <w:r w:rsidRPr="00A437C2">
        <w:t xml:space="preserve">Corporate governance is not a new concept. In fact the last 15 years has seen a surge in academic publications and case law in relation to the lack of corporate governance. </w:t>
      </w:r>
      <w:r w:rsidR="006B2A02" w:rsidRPr="00A437C2">
        <w:t>Research Gap</w:t>
      </w:r>
      <w:r w:rsidR="00E11A40" w:rsidRPr="00A437C2">
        <w:t xml:space="preserve"> is that</w:t>
      </w:r>
      <w:r w:rsidRPr="00A437C2">
        <w:t xml:space="preserve"> Company Directors are attending a “mad hatters’ tea party” when it comes to the implementation of governance codes, with the recent spate of court cases involving breaches of directors fiduciary duties. </w:t>
      </w:r>
      <w:r w:rsidR="006B2A02" w:rsidRPr="00A437C2">
        <w:t xml:space="preserve">Methodology used </w:t>
      </w:r>
      <w:r w:rsidR="00E11A40" w:rsidRPr="00A437C2">
        <w:t>was</w:t>
      </w:r>
      <w:r w:rsidR="006B2A02" w:rsidRPr="00A437C2">
        <w:t xml:space="preserve"> review of case law using archival data. </w:t>
      </w:r>
      <w:r w:rsidRPr="00A437C2">
        <w:t>This research looks at the type of case law issues of corporate governance in Australia and in particular accountability, and relates the case law to the Corporations Act (2001) to find where company directors are getting corporate governance wrong. The findings indicate that perhaps the “if not why not” prescription, should not be an option for corporate governance for some Boards. For some Boards the invitation from A</w:t>
      </w:r>
      <w:r w:rsidR="00A437C2">
        <w:t>lice</w:t>
      </w:r>
      <w:r w:rsidRPr="00A437C2">
        <w:t xml:space="preserve"> to jump down the </w:t>
      </w:r>
      <w:r w:rsidR="00A437C2">
        <w:t xml:space="preserve">rabbit </w:t>
      </w:r>
      <w:r w:rsidRPr="00A437C2">
        <w:t xml:space="preserve">hole into creative accounting and bad board </w:t>
      </w:r>
      <w:proofErr w:type="spellStart"/>
      <w:r w:rsidRPr="00A437C2">
        <w:t>behaviour</w:t>
      </w:r>
      <w:proofErr w:type="spellEnd"/>
      <w:r w:rsidRPr="00A437C2">
        <w:t xml:space="preserve"> at the “mad hatters’ tea party” is just too great an incentive. </w:t>
      </w:r>
      <w:r w:rsidR="00E11A40" w:rsidRPr="00A437C2">
        <w:t xml:space="preserve">Implications show that </w:t>
      </w:r>
      <w:r w:rsidRPr="00A437C2">
        <w:t xml:space="preserve">this review of important corporate governance case law will assist Boards to concentrate their efforts on improving the environment they operate in, as good governance equates to good business. </w:t>
      </w:r>
      <w:r w:rsidRPr="00A437C2">
        <w:tab/>
      </w:r>
    </w:p>
    <w:p w14:paraId="6B1D7EFA" w14:textId="77777777" w:rsidR="00B13512" w:rsidRPr="00A437C2" w:rsidRDefault="00B13512" w:rsidP="00B13512">
      <w:pPr>
        <w:ind w:left="288"/>
        <w:jc w:val="both"/>
      </w:pPr>
      <w:r w:rsidRPr="00A437C2">
        <w:tab/>
      </w:r>
      <w:r w:rsidRPr="00A437C2">
        <w:tab/>
      </w:r>
    </w:p>
    <w:p w14:paraId="659D2951" w14:textId="77777777" w:rsidR="00B13512" w:rsidRPr="00A437C2" w:rsidRDefault="00B13512" w:rsidP="00A437C2">
      <w:pPr>
        <w:ind w:left="567" w:right="567"/>
        <w:jc w:val="left"/>
        <w:rPr>
          <w:b/>
          <w:i/>
          <w:iCs/>
        </w:rPr>
      </w:pPr>
      <w:r w:rsidRPr="00A437C2">
        <w:rPr>
          <w:i/>
        </w:rPr>
        <w:t xml:space="preserve">“In another moment down went Alice after it, never once considering how in the world she was to get out again.” </w:t>
      </w:r>
      <w:hyperlink r:id="rId5" w:history="1">
        <w:r w:rsidRPr="00A437C2">
          <w:rPr>
            <w:i/>
            <w:color w:val="000000"/>
          </w:rPr>
          <w:t xml:space="preserve"> Carroll</w:t>
        </w:r>
      </w:hyperlink>
      <w:r w:rsidRPr="00A437C2">
        <w:rPr>
          <w:i/>
          <w:color w:val="000000"/>
        </w:rPr>
        <w:t>, Lewis (1865)</w:t>
      </w:r>
      <w:r w:rsidRPr="00A437C2">
        <w:rPr>
          <w:color w:val="000000"/>
        </w:rPr>
        <w:t xml:space="preserve"> </w:t>
      </w:r>
      <w:hyperlink r:id="rId6" w:history="1">
        <w:r w:rsidRPr="00A437C2">
          <w:rPr>
            <w:i/>
            <w:iCs/>
            <w:color w:val="000000"/>
          </w:rPr>
          <w:t>Alice's Adventures in Wonderland</w:t>
        </w:r>
      </w:hyperlink>
    </w:p>
    <w:p w14:paraId="5946E2DD" w14:textId="77777777" w:rsidR="00B13512" w:rsidRDefault="00B13512" w:rsidP="00B13512">
      <w:pPr>
        <w:jc w:val="both"/>
        <w:rPr>
          <w:b/>
          <w:bCs/>
          <w:sz w:val="18"/>
          <w:szCs w:val="18"/>
        </w:rPr>
      </w:pPr>
      <w:r>
        <w:rPr>
          <w:b/>
          <w:bCs/>
          <w:sz w:val="18"/>
          <w:szCs w:val="18"/>
        </w:rPr>
        <w:t xml:space="preserve">       </w:t>
      </w:r>
    </w:p>
    <w:p w14:paraId="0F7A1B58" w14:textId="77777777" w:rsidR="00B13512" w:rsidRDefault="00B13512" w:rsidP="00B13512">
      <w:pPr>
        <w:jc w:val="both"/>
        <w:rPr>
          <w:b/>
          <w:bCs/>
          <w:sz w:val="18"/>
          <w:szCs w:val="18"/>
        </w:rPr>
      </w:pPr>
    </w:p>
    <w:p w14:paraId="5A77B763" w14:textId="77777777" w:rsidR="00B13512" w:rsidRDefault="00B13512" w:rsidP="00B13512">
      <w:pPr>
        <w:jc w:val="both"/>
        <w:rPr>
          <w:b/>
          <w:bCs/>
          <w:sz w:val="18"/>
          <w:szCs w:val="18"/>
        </w:rPr>
      </w:pPr>
    </w:p>
    <w:p w14:paraId="3DC3488D" w14:textId="77777777" w:rsidR="00B13512" w:rsidRDefault="00B13512" w:rsidP="00B13512">
      <w:pPr>
        <w:jc w:val="both"/>
        <w:rPr>
          <w:b/>
          <w:bCs/>
          <w:sz w:val="18"/>
          <w:szCs w:val="18"/>
        </w:rPr>
      </w:pPr>
    </w:p>
    <w:p w14:paraId="07C31F2B" w14:textId="77777777" w:rsidR="00A04416" w:rsidRPr="00A437C2" w:rsidRDefault="00B13512" w:rsidP="00B13512">
      <w:pPr>
        <w:jc w:val="both"/>
        <w:rPr>
          <w:i/>
          <w:sz w:val="24"/>
          <w:szCs w:val="24"/>
        </w:rPr>
      </w:pPr>
      <w:r w:rsidRPr="00B13512">
        <w:rPr>
          <w:b/>
          <w:sz w:val="24"/>
          <w:szCs w:val="24"/>
        </w:rPr>
        <w:t>Keywords</w:t>
      </w:r>
      <w:r>
        <w:rPr>
          <w:sz w:val="24"/>
          <w:szCs w:val="24"/>
        </w:rPr>
        <w:t xml:space="preserve">: </w:t>
      </w:r>
      <w:r w:rsidRPr="00B13512">
        <w:rPr>
          <w:sz w:val="24"/>
          <w:szCs w:val="24"/>
        </w:rPr>
        <w:t xml:space="preserve"> </w:t>
      </w:r>
      <w:r w:rsidRPr="00A437C2">
        <w:rPr>
          <w:i/>
          <w:sz w:val="24"/>
          <w:szCs w:val="24"/>
        </w:rPr>
        <w:t>Corporate Governance, Accountability</w:t>
      </w:r>
      <w:r w:rsidR="0014264D" w:rsidRPr="00A437C2">
        <w:rPr>
          <w:i/>
          <w:sz w:val="24"/>
          <w:szCs w:val="24"/>
        </w:rPr>
        <w:t>, Transparency,</w:t>
      </w:r>
    </w:p>
    <w:p w14:paraId="638F7535" w14:textId="77777777" w:rsidR="0014264D" w:rsidRPr="00A437C2" w:rsidRDefault="0014264D" w:rsidP="00B13512">
      <w:pPr>
        <w:jc w:val="both"/>
        <w:rPr>
          <w:i/>
          <w:sz w:val="24"/>
          <w:szCs w:val="24"/>
        </w:rPr>
      </w:pPr>
      <w:r w:rsidRPr="00A437C2">
        <w:rPr>
          <w:i/>
          <w:sz w:val="24"/>
          <w:szCs w:val="24"/>
        </w:rPr>
        <w:t>Directors Duties.</w:t>
      </w:r>
    </w:p>
    <w:p w14:paraId="11906220" w14:textId="77777777" w:rsidR="00D375C0" w:rsidRDefault="00D375C0" w:rsidP="00B13512">
      <w:pPr>
        <w:jc w:val="both"/>
        <w:rPr>
          <w:b/>
          <w:sz w:val="24"/>
          <w:szCs w:val="24"/>
        </w:rPr>
      </w:pPr>
    </w:p>
    <w:p w14:paraId="6B11205E" w14:textId="77777777" w:rsidR="00D375C0" w:rsidRDefault="00D375C0" w:rsidP="00B13512">
      <w:pPr>
        <w:jc w:val="both"/>
        <w:rPr>
          <w:b/>
          <w:sz w:val="24"/>
          <w:szCs w:val="24"/>
        </w:rPr>
      </w:pPr>
    </w:p>
    <w:p w14:paraId="0B139F93" w14:textId="77777777" w:rsidR="00D375C0" w:rsidRDefault="00D375C0" w:rsidP="00B13512">
      <w:pPr>
        <w:jc w:val="both"/>
        <w:rPr>
          <w:b/>
          <w:sz w:val="24"/>
          <w:szCs w:val="24"/>
        </w:rPr>
      </w:pPr>
    </w:p>
    <w:p w14:paraId="0ADD93C3" w14:textId="77777777" w:rsidR="00D375C0" w:rsidRDefault="00D375C0" w:rsidP="00B13512">
      <w:pPr>
        <w:jc w:val="both"/>
        <w:rPr>
          <w:b/>
          <w:sz w:val="24"/>
          <w:szCs w:val="24"/>
        </w:rPr>
      </w:pPr>
    </w:p>
    <w:p w14:paraId="717A4CA5" w14:textId="77777777" w:rsidR="00D375C0" w:rsidRDefault="00D375C0" w:rsidP="00B13512">
      <w:pPr>
        <w:jc w:val="both"/>
        <w:rPr>
          <w:b/>
          <w:sz w:val="24"/>
          <w:szCs w:val="24"/>
        </w:rPr>
      </w:pPr>
    </w:p>
    <w:p w14:paraId="7BDB479B" w14:textId="77777777" w:rsidR="00D375C0" w:rsidRDefault="00D375C0" w:rsidP="00B13512">
      <w:pPr>
        <w:jc w:val="both"/>
        <w:rPr>
          <w:b/>
          <w:sz w:val="24"/>
          <w:szCs w:val="24"/>
        </w:rPr>
      </w:pPr>
    </w:p>
    <w:p w14:paraId="2656F447" w14:textId="77777777" w:rsidR="00D375C0" w:rsidRDefault="00D375C0" w:rsidP="00B13512">
      <w:pPr>
        <w:jc w:val="both"/>
        <w:rPr>
          <w:b/>
          <w:sz w:val="24"/>
          <w:szCs w:val="24"/>
        </w:rPr>
      </w:pPr>
    </w:p>
    <w:p w14:paraId="70E62214" w14:textId="77777777" w:rsidR="00AF3905" w:rsidRDefault="00AF3905">
      <w:pPr>
        <w:spacing w:after="160" w:line="259" w:lineRule="auto"/>
        <w:jc w:val="left"/>
        <w:rPr>
          <w:b/>
          <w:iCs/>
          <w:noProof/>
          <w:sz w:val="24"/>
          <w:szCs w:val="24"/>
        </w:rPr>
      </w:pPr>
      <w:r>
        <w:rPr>
          <w:b/>
          <w:i/>
          <w:sz w:val="24"/>
          <w:szCs w:val="24"/>
        </w:rPr>
        <w:br w:type="page"/>
      </w:r>
    </w:p>
    <w:p w14:paraId="47B654BF" w14:textId="77777777" w:rsidR="00D375C0" w:rsidRPr="001C0E4D" w:rsidRDefault="00D375C0" w:rsidP="00AF3905">
      <w:pPr>
        <w:pStyle w:val="Heading2"/>
        <w:numPr>
          <w:ilvl w:val="0"/>
          <w:numId w:val="3"/>
        </w:numPr>
        <w:spacing w:before="0" w:after="0"/>
        <w:rPr>
          <w:b/>
          <w:i w:val="0"/>
        </w:rPr>
      </w:pPr>
      <w:r w:rsidRPr="001C0E4D">
        <w:rPr>
          <w:b/>
          <w:i w:val="0"/>
        </w:rPr>
        <w:lastRenderedPageBreak/>
        <w:t xml:space="preserve">Corporate Governance Introduction </w:t>
      </w:r>
    </w:p>
    <w:p w14:paraId="38DE0A6A" w14:textId="77777777" w:rsidR="006D6636" w:rsidRPr="006D6636" w:rsidRDefault="006D6636" w:rsidP="006D6636"/>
    <w:p w14:paraId="394254FB" w14:textId="77777777" w:rsidR="00D375C0" w:rsidRPr="00EA7A2C" w:rsidRDefault="00D375C0" w:rsidP="006D6636">
      <w:pPr>
        <w:jc w:val="both"/>
        <w:rPr>
          <w:lang w:eastAsia="zh-CN"/>
        </w:rPr>
      </w:pPr>
      <w:r w:rsidRPr="00EA7A2C">
        <w:rPr>
          <w:lang w:eastAsia="zh-CN"/>
        </w:rPr>
        <w:t>Corporate governance refers to the relationship among different participants, and defining the corporation’s direction and performance, which includes the CEO, i.e., the management team, the board of directors, and the shareholders (Prasad, 2006). From the agency perspective, corporate governance is "a system of law and sound approaches by which corporations are directed and controlled focusing on the internal and external corporate structures with the intention of monitoring the actions of management and directors and thereby mitigating agency risks which may stem from the misdeeds of corporate officers" (</w:t>
      </w:r>
      <w:proofErr w:type="spellStart"/>
      <w:r w:rsidRPr="00EA7A2C">
        <w:rPr>
          <w:lang w:eastAsia="zh-CN"/>
        </w:rPr>
        <w:t>Sifuna</w:t>
      </w:r>
      <w:proofErr w:type="spellEnd"/>
      <w:r w:rsidRPr="00EA7A2C">
        <w:rPr>
          <w:lang w:eastAsia="zh-CN"/>
        </w:rPr>
        <w:t xml:space="preserve"> &amp; </w:t>
      </w:r>
      <w:proofErr w:type="spellStart"/>
      <w:r w:rsidRPr="00EA7A2C">
        <w:rPr>
          <w:lang w:eastAsia="zh-CN"/>
        </w:rPr>
        <w:t>Anazett</w:t>
      </w:r>
      <w:proofErr w:type="spellEnd"/>
      <w:r w:rsidRPr="00EA7A2C">
        <w:rPr>
          <w:lang w:eastAsia="zh-CN"/>
        </w:rPr>
        <w:t>, 2012).</w:t>
      </w:r>
      <w:r w:rsidR="001C0E4D">
        <w:rPr>
          <w:lang w:eastAsia="zh-CN"/>
        </w:rPr>
        <w:t xml:space="preserve"> </w:t>
      </w:r>
      <w:r w:rsidRPr="00EA7A2C">
        <w:rPr>
          <w:lang w:eastAsia="zh-CN"/>
        </w:rPr>
        <w:t xml:space="preserve">Separation of ownership and control in the modern corporations became an issue by </w:t>
      </w:r>
      <w:proofErr w:type="spellStart"/>
      <w:r w:rsidRPr="00EA7A2C">
        <w:rPr>
          <w:lang w:eastAsia="zh-CN"/>
        </w:rPr>
        <w:t>Berle</w:t>
      </w:r>
      <w:proofErr w:type="spellEnd"/>
      <w:r w:rsidRPr="00EA7A2C">
        <w:rPr>
          <w:lang w:eastAsia="zh-CN"/>
        </w:rPr>
        <w:t xml:space="preserve"> and Means (1932). Recent research shows that there are lots of concentrations of ownership among the largest American companies (</w:t>
      </w:r>
      <w:proofErr w:type="spellStart"/>
      <w:r w:rsidRPr="00EA7A2C">
        <w:rPr>
          <w:lang w:eastAsia="zh-CN"/>
        </w:rPr>
        <w:t>Demsetz</w:t>
      </w:r>
      <w:proofErr w:type="spellEnd"/>
      <w:r w:rsidRPr="00EA7A2C">
        <w:rPr>
          <w:lang w:eastAsia="zh-CN"/>
        </w:rPr>
        <w:t xml:space="preserve">, 1983; Shleifer &amp; </w:t>
      </w:r>
      <w:proofErr w:type="spellStart"/>
      <w:r w:rsidRPr="00EA7A2C">
        <w:rPr>
          <w:lang w:eastAsia="zh-CN"/>
        </w:rPr>
        <w:t>Vishny</w:t>
      </w:r>
      <w:proofErr w:type="spellEnd"/>
      <w:r w:rsidRPr="00EA7A2C">
        <w:rPr>
          <w:lang w:eastAsia="zh-CN"/>
        </w:rPr>
        <w:t xml:space="preserve">, 1986; </w:t>
      </w:r>
      <w:proofErr w:type="spellStart"/>
      <w:r w:rsidRPr="00EA7A2C">
        <w:rPr>
          <w:lang w:eastAsia="zh-CN"/>
        </w:rPr>
        <w:t>Morck</w:t>
      </w:r>
      <w:proofErr w:type="spellEnd"/>
      <w:r w:rsidRPr="00EA7A2C">
        <w:rPr>
          <w:lang w:eastAsia="zh-CN"/>
        </w:rPr>
        <w:t xml:space="preserve">, Shleifer, &amp; </w:t>
      </w:r>
      <w:proofErr w:type="spellStart"/>
      <w:r w:rsidRPr="00EA7A2C">
        <w:rPr>
          <w:lang w:eastAsia="zh-CN"/>
        </w:rPr>
        <w:t>Vishny</w:t>
      </w:r>
      <w:proofErr w:type="spellEnd"/>
      <w:r w:rsidRPr="00EA7A2C">
        <w:rPr>
          <w:lang w:eastAsia="zh-CN"/>
        </w:rPr>
        <w:t xml:space="preserve">, 1988), and that a relative higher level of ownership concentration exists in other developed and developing countries outside the US (La Porta, Lopez-de-Silanes, Shleifer, &amp; </w:t>
      </w:r>
      <w:proofErr w:type="spellStart"/>
      <w:r w:rsidRPr="00EA7A2C">
        <w:rPr>
          <w:lang w:eastAsia="zh-CN"/>
        </w:rPr>
        <w:t>Vishny</w:t>
      </w:r>
      <w:proofErr w:type="spellEnd"/>
      <w:r w:rsidRPr="00EA7A2C">
        <w:rPr>
          <w:lang w:eastAsia="zh-CN"/>
        </w:rPr>
        <w:t>, 1998).</w:t>
      </w:r>
    </w:p>
    <w:p w14:paraId="40C2FE2B" w14:textId="77777777" w:rsidR="006D6636" w:rsidRPr="00EA7A2C" w:rsidRDefault="006D6636" w:rsidP="006D6636">
      <w:pPr>
        <w:jc w:val="both"/>
        <w:rPr>
          <w:lang w:eastAsia="zh-CN"/>
        </w:rPr>
      </w:pPr>
    </w:p>
    <w:p w14:paraId="139DA16C" w14:textId="77777777" w:rsidR="00D375C0" w:rsidRPr="00EA7A2C" w:rsidRDefault="00D375C0" w:rsidP="006D6636">
      <w:pPr>
        <w:jc w:val="both"/>
        <w:rPr>
          <w:bCs/>
          <w:lang w:eastAsia="zh-CN"/>
        </w:rPr>
      </w:pPr>
      <w:r w:rsidRPr="00EA7A2C">
        <w:rPr>
          <w:bCs/>
          <w:lang w:eastAsia="zh-CN"/>
        </w:rPr>
        <w:t xml:space="preserve">Corporate governance has been the subject of extensive scrutiny and controversy, particularly after the corporate collapses of the 2000s and the recent global financial crisis. Much of the controversy started in the Western countries, inspired by the early study of </w:t>
      </w:r>
      <w:proofErr w:type="spellStart"/>
      <w:r w:rsidRPr="00EA7A2C">
        <w:rPr>
          <w:bCs/>
          <w:lang w:eastAsia="zh-CN"/>
        </w:rPr>
        <w:t>Berle</w:t>
      </w:r>
      <w:proofErr w:type="spellEnd"/>
      <w:r w:rsidRPr="00EA7A2C">
        <w:rPr>
          <w:bCs/>
          <w:lang w:eastAsia="zh-CN"/>
        </w:rPr>
        <w:t xml:space="preserve"> and Means </w:t>
      </w:r>
      <w:r w:rsidRPr="00EA7A2C">
        <w:rPr>
          <w:bCs/>
          <w:lang w:eastAsia="zh-CN"/>
        </w:rPr>
        <w:fldChar w:fldCharType="begin"/>
      </w:r>
      <w:r w:rsidRPr="00EA7A2C">
        <w:rPr>
          <w:bCs/>
          <w:lang w:eastAsia="zh-CN"/>
        </w:rPr>
        <w:instrText xml:space="preserve"> ADDIN EN.CITE &lt;EndNote&gt;&lt;Cite ExcludeAuth="1"&gt;&lt;Author&gt;Berle&lt;/Author&gt;&lt;Year&gt;1932&lt;/Year&gt;&lt;RecNum&gt;57&lt;/RecNum&gt;&lt;DisplayText&gt;(1932)&lt;/DisplayText&gt;&lt;record&gt;&lt;rec-number&gt;57&lt;/rec-number&gt;&lt;foreign-keys&gt;&lt;key app="EN" db-id="t95xpsw2fsw0sdea2scvsdr3a9ftfdx2s2tt"&gt;57&lt;/key&gt;&lt;/foreign-keys&gt;&lt;ref-type name="Edited Book"&gt;28&lt;/ref-type&gt;&lt;contributors&gt;&lt;authors&gt;&lt;author&gt;Berle, A &lt;/author&gt;&lt;author&gt;Means, G&lt;/author&gt;&lt;/authors&gt;&lt;/contributors&gt;&lt;titles&gt;&lt;title&gt;The modern corporation and private property&lt;/title&gt;&lt;/titles&gt;&lt;dates&gt;&lt;year&gt;1932&lt;/year&gt;&lt;/dates&gt;&lt;pub-location&gt;New York&lt;/pub-location&gt;&lt;publisher&gt;Macmillan&lt;/publisher&gt;&lt;urls&gt;&lt;/urls&gt;&lt;/record&gt;&lt;/Cite&gt;&lt;/EndNote&gt;</w:instrText>
      </w:r>
      <w:r w:rsidRPr="00EA7A2C">
        <w:rPr>
          <w:bCs/>
          <w:lang w:eastAsia="zh-CN"/>
        </w:rPr>
        <w:fldChar w:fldCharType="separate"/>
      </w:r>
      <w:r w:rsidRPr="00EA7A2C">
        <w:rPr>
          <w:bCs/>
          <w:noProof/>
          <w:lang w:eastAsia="zh-CN"/>
        </w:rPr>
        <w:t>(</w:t>
      </w:r>
      <w:hyperlink w:anchor="_ENREF_13" w:tooltip="Berle, 1932 #57" w:history="1">
        <w:r w:rsidRPr="00EA7A2C">
          <w:rPr>
            <w:bCs/>
            <w:noProof/>
            <w:lang w:eastAsia="zh-CN"/>
          </w:rPr>
          <w:t>1932</w:t>
        </w:r>
      </w:hyperlink>
      <w:r w:rsidRPr="00EA7A2C">
        <w:rPr>
          <w:bCs/>
          <w:noProof/>
          <w:lang w:eastAsia="zh-CN"/>
        </w:rPr>
        <w:t>)</w:t>
      </w:r>
      <w:r w:rsidRPr="00EA7A2C">
        <w:rPr>
          <w:bCs/>
          <w:lang w:eastAsia="zh-CN"/>
        </w:rPr>
        <w:fldChar w:fldCharType="end"/>
      </w:r>
      <w:r w:rsidRPr="00EA7A2C">
        <w:rPr>
          <w:bCs/>
          <w:lang w:eastAsia="zh-CN"/>
        </w:rPr>
        <w:t xml:space="preserve">. This classic analysis of corporation control call into question the justification for shareholder wealth and raise a problem of social ethics. But </w:t>
      </w:r>
      <w:proofErr w:type="spellStart"/>
      <w:r w:rsidRPr="00EA7A2C">
        <w:rPr>
          <w:bCs/>
          <w:lang w:eastAsia="zh-CN"/>
        </w:rPr>
        <w:t>Berles</w:t>
      </w:r>
      <w:proofErr w:type="spellEnd"/>
      <w:r w:rsidRPr="00EA7A2C">
        <w:rPr>
          <w:bCs/>
          <w:lang w:eastAsia="zh-CN"/>
        </w:rPr>
        <w:t xml:space="preserve">’ observation shows a lack of empirical justification for the claims held by the shareholders. </w:t>
      </w:r>
      <w:proofErr w:type="spellStart"/>
      <w:r w:rsidRPr="00EA7A2C">
        <w:rPr>
          <w:bCs/>
          <w:lang w:eastAsia="zh-CN"/>
        </w:rPr>
        <w:t>Fama</w:t>
      </w:r>
      <w:proofErr w:type="spellEnd"/>
      <w:r w:rsidRPr="00EA7A2C">
        <w:rPr>
          <w:bCs/>
          <w:lang w:eastAsia="zh-CN"/>
        </w:rPr>
        <w:t xml:space="preserve"> and Jensen </w:t>
      </w:r>
      <w:r w:rsidRPr="00EA7A2C">
        <w:rPr>
          <w:bCs/>
          <w:lang w:eastAsia="zh-CN"/>
        </w:rPr>
        <w:fldChar w:fldCharType="begin"/>
      </w:r>
      <w:r w:rsidRPr="00EA7A2C">
        <w:rPr>
          <w:bCs/>
          <w:lang w:eastAsia="zh-CN"/>
        </w:rPr>
        <w:instrText xml:space="preserve"> ADDIN EN.CITE &lt;EndNote&gt;&lt;Cite ExcludeAuth="1"&gt;&lt;Author&gt;Fama&lt;/Author&gt;&lt;Year&gt;1983&lt;/Year&gt;&lt;RecNum&gt;21&lt;/RecNum&gt;&lt;DisplayText&gt;(1983)&lt;/DisplayText&gt;&lt;record&gt;&lt;rec-number&gt;21&lt;/rec-number&gt;&lt;foreign-keys&gt;&lt;key app="EN" db-id="t95xpsw2fsw0sdea2scvsdr3a9ftfdx2s2tt"&gt;21&lt;/key&gt;&lt;/foreign-keys&gt;&lt;ref-type name="Journal Article"&gt;17&lt;/ref-type&gt;&lt;contributors&gt;&lt;authors&gt;&lt;author&gt;Fama, E F&lt;/author&gt;&lt;author&gt;Jensen, M C&lt;/author&gt;&lt;/authors&gt;&lt;/contributors&gt;&lt;titles&gt;&lt;title&gt;Separation of ownership and control&lt;/title&gt;&lt;secondary-title&gt;Journal of Law and Economics&lt;/secondary-title&gt;&lt;/titles&gt;&lt;pages&gt;301-325&lt;/pages&gt;&lt;volume&gt;26&lt;/volume&gt;&lt;dates&gt;&lt;year&gt;1983&lt;/year&gt;&lt;/dates&gt;&lt;urls&gt;&lt;/urls&gt;&lt;/record&gt;&lt;/Cite&gt;&lt;/EndNote&gt;</w:instrText>
      </w:r>
      <w:r w:rsidRPr="00EA7A2C">
        <w:rPr>
          <w:bCs/>
          <w:lang w:eastAsia="zh-CN"/>
        </w:rPr>
        <w:fldChar w:fldCharType="separate"/>
      </w:r>
      <w:r w:rsidRPr="00EA7A2C">
        <w:rPr>
          <w:bCs/>
          <w:noProof/>
          <w:lang w:eastAsia="zh-CN"/>
        </w:rPr>
        <w:t>(</w:t>
      </w:r>
      <w:hyperlink w:anchor="_ENREF_58" w:tooltip="Fama, 1983 #21" w:history="1">
        <w:r w:rsidRPr="00EA7A2C">
          <w:rPr>
            <w:bCs/>
            <w:noProof/>
            <w:lang w:eastAsia="zh-CN"/>
          </w:rPr>
          <w:t>1983</w:t>
        </w:r>
      </w:hyperlink>
      <w:r w:rsidRPr="00EA7A2C">
        <w:rPr>
          <w:bCs/>
          <w:noProof/>
          <w:lang w:eastAsia="zh-CN"/>
        </w:rPr>
        <w:t>)</w:t>
      </w:r>
      <w:r w:rsidRPr="00EA7A2C">
        <w:rPr>
          <w:bCs/>
          <w:lang w:eastAsia="zh-CN"/>
        </w:rPr>
        <w:fldChar w:fldCharType="end"/>
      </w:r>
      <w:r w:rsidRPr="00EA7A2C">
        <w:rPr>
          <w:bCs/>
          <w:lang w:eastAsia="zh-CN"/>
        </w:rPr>
        <w:t xml:space="preserve"> advocate the financial theory of risk-bearing which hinges on the separation of decision management and residual risk-bearing in the corporation. This separation and specialization of decision management and residual risk-bearing leads to an agency problem between agents and principals </w:t>
      </w:r>
      <w:r w:rsidRPr="00EA7A2C">
        <w:rPr>
          <w:bCs/>
          <w:lang w:eastAsia="zh-CN"/>
        </w:rPr>
        <w:fldChar w:fldCharType="begin"/>
      </w:r>
      <w:r w:rsidRPr="00EA7A2C">
        <w:rPr>
          <w:bCs/>
          <w:lang w:eastAsia="zh-CN"/>
        </w:rPr>
        <w:instrText xml:space="preserve"> ADDIN EN.CITE &lt;EndNote&gt;&lt;Cite&gt;&lt;Author&gt;Fama&lt;/Author&gt;&lt;Year&gt;1983&lt;/Year&gt;&lt;RecNum&gt;21&lt;/RecNum&gt;&lt;DisplayText&gt;(Fama &amp;amp; Jensen, 1983)&lt;/DisplayText&gt;&lt;record&gt;&lt;rec-number&gt;21&lt;/rec-number&gt;&lt;foreign-keys&gt;&lt;key app="EN" db-id="t95xpsw2fsw0sdea2scvsdr3a9ftfdx2s2tt"&gt;21&lt;/key&gt;&lt;/foreign-keys&gt;&lt;ref-type name="Journal Article"&gt;17&lt;/ref-type&gt;&lt;contributors&gt;&lt;authors&gt;&lt;author&gt;Fama, E F&lt;/author&gt;&lt;author&gt;Jensen, M C&lt;/author&gt;&lt;/authors&gt;&lt;/contributors&gt;&lt;titles&gt;&lt;title&gt;Separation of ownership and control&lt;/title&gt;&lt;secondary-title&gt;Journal of Law and Economics&lt;/secondary-title&gt;&lt;/titles&gt;&lt;pages&gt;301-325&lt;/pages&gt;&lt;volume&gt;26&lt;/volume&gt;&lt;dates&gt;&lt;year&gt;1983&lt;/year&gt;&lt;/dates&gt;&lt;urls&gt;&lt;/urls&gt;&lt;/record&gt;&lt;/Cite&gt;&lt;/EndNote&gt;</w:instrText>
      </w:r>
      <w:r w:rsidRPr="00EA7A2C">
        <w:rPr>
          <w:bCs/>
          <w:lang w:eastAsia="zh-CN"/>
        </w:rPr>
        <w:fldChar w:fldCharType="separate"/>
      </w:r>
      <w:r w:rsidRPr="00EA7A2C">
        <w:rPr>
          <w:bCs/>
          <w:noProof/>
          <w:lang w:eastAsia="zh-CN"/>
        </w:rPr>
        <w:t>(</w:t>
      </w:r>
      <w:hyperlink w:anchor="_ENREF_58" w:tooltip="Fama, 1983 #21" w:history="1">
        <w:r w:rsidRPr="00EA7A2C">
          <w:rPr>
            <w:bCs/>
            <w:noProof/>
            <w:lang w:eastAsia="zh-CN"/>
          </w:rPr>
          <w:t>Fama &amp; Jensen, 1983</w:t>
        </w:r>
      </w:hyperlink>
      <w:r w:rsidRPr="00EA7A2C">
        <w:rPr>
          <w:bCs/>
          <w:noProof/>
          <w:lang w:eastAsia="zh-CN"/>
        </w:rPr>
        <w:t>)</w:t>
      </w:r>
      <w:r w:rsidRPr="00EA7A2C">
        <w:rPr>
          <w:bCs/>
          <w:lang w:eastAsia="zh-CN"/>
        </w:rPr>
        <w:fldChar w:fldCharType="end"/>
      </w:r>
      <w:r w:rsidRPr="00EA7A2C">
        <w:rPr>
          <w:bCs/>
          <w:lang w:eastAsia="zh-CN"/>
        </w:rPr>
        <w:t xml:space="preserve">. The governance problem is that those who bear the residual risk have no assurance that the managers will act in the shareholder best interests, and therefore bring in the costs of monitoring and preventing the exercise of such discretion described as agency cost. The pre-occupation for corporate governance then is to mitigate the agency problem and agency cost between shareholders and managers. One of the possibilities is to use corporate governance as the mechanism for governing including boards of directors and to ensure sustainability through the financial structure as proposed by Jensen </w:t>
      </w:r>
      <w:r w:rsidRPr="00EA7A2C">
        <w:rPr>
          <w:bCs/>
          <w:lang w:eastAsia="zh-CN"/>
        </w:rPr>
        <w:fldChar w:fldCharType="begin"/>
      </w:r>
      <w:r w:rsidRPr="00EA7A2C">
        <w:rPr>
          <w:bCs/>
          <w:lang w:eastAsia="zh-CN"/>
        </w:rPr>
        <w:instrText xml:space="preserve"> ADDIN EN.CITE &lt;EndNote&gt;&lt;Cite ExcludeAuth="1"&gt;&lt;Author&gt;Jensen&lt;/Author&gt;&lt;Year&gt;1986&lt;/Year&gt;&lt;RecNum&gt;74&lt;/RecNum&gt;&lt;DisplayText&gt;(1986)&lt;/DisplayText&gt;&lt;record&gt;&lt;rec-number&gt;74&lt;/rec-number&gt;&lt;foreign-keys&gt;&lt;key app="EN" db-id="t95xpsw2fsw0sdea2scvsdr3a9ftfdx2s2tt"&gt;74&lt;/key&gt;&lt;/foreign-keys&gt;&lt;ref-type name="Journal Article"&gt;17&lt;/ref-type&gt;&lt;contributors&gt;&lt;authors&gt;&lt;author&gt;Jensen, M C&lt;/author&gt;&lt;/authors&gt;&lt;/contributors&gt;&lt;titles&gt;&lt;title&gt;Agency costs of free cash flow, corporate finance, takeovers&lt;/title&gt;&lt;secondary-title&gt;American Review&lt;/secondary-title&gt;&lt;/titles&gt;&lt;pages&gt;323-329&lt;/pages&gt;&lt;volume&gt;76&lt;/volume&gt;&lt;number&gt;2&lt;/number&gt;&lt;dates&gt;&lt;year&gt;1986&lt;/year&gt;&lt;/dates&gt;&lt;urls&gt;&lt;/urls&gt;&lt;/record&gt;&lt;/Cite&gt;&lt;/EndNote&gt;</w:instrText>
      </w:r>
      <w:r w:rsidRPr="00EA7A2C">
        <w:rPr>
          <w:bCs/>
          <w:lang w:eastAsia="zh-CN"/>
        </w:rPr>
        <w:fldChar w:fldCharType="separate"/>
      </w:r>
      <w:r w:rsidRPr="00EA7A2C">
        <w:rPr>
          <w:bCs/>
          <w:noProof/>
          <w:lang w:eastAsia="zh-CN"/>
        </w:rPr>
        <w:t>(</w:t>
      </w:r>
      <w:hyperlink w:anchor="_ENREF_74" w:tooltip="Jensen, 1986 #74" w:history="1">
        <w:r w:rsidRPr="00EA7A2C">
          <w:rPr>
            <w:bCs/>
            <w:noProof/>
            <w:lang w:eastAsia="zh-CN"/>
          </w:rPr>
          <w:t>1986</w:t>
        </w:r>
      </w:hyperlink>
      <w:r w:rsidRPr="00EA7A2C">
        <w:rPr>
          <w:bCs/>
          <w:noProof/>
          <w:lang w:eastAsia="zh-CN"/>
        </w:rPr>
        <w:t>)</w:t>
      </w:r>
      <w:r w:rsidRPr="00EA7A2C">
        <w:rPr>
          <w:bCs/>
          <w:lang w:eastAsia="zh-CN"/>
        </w:rPr>
        <w:fldChar w:fldCharType="end"/>
      </w:r>
      <w:r w:rsidRPr="00EA7A2C">
        <w:rPr>
          <w:bCs/>
          <w:lang w:eastAsia="zh-CN"/>
        </w:rPr>
        <w:t xml:space="preserve">. </w:t>
      </w:r>
    </w:p>
    <w:p w14:paraId="214671FF" w14:textId="77777777" w:rsidR="006D6636" w:rsidRPr="00EA7A2C" w:rsidRDefault="006D6636" w:rsidP="006D6636">
      <w:pPr>
        <w:jc w:val="both"/>
        <w:rPr>
          <w:bCs/>
          <w:lang w:eastAsia="zh-CN"/>
        </w:rPr>
      </w:pPr>
    </w:p>
    <w:p w14:paraId="268FFB3C" w14:textId="77777777" w:rsidR="00D375C0" w:rsidRPr="00EA7A2C" w:rsidRDefault="006D6636" w:rsidP="006D6636">
      <w:pPr>
        <w:jc w:val="both"/>
      </w:pPr>
      <w:r w:rsidRPr="00EA7A2C">
        <w:rPr>
          <w:bCs/>
          <w:lang w:eastAsia="zh-CN"/>
        </w:rPr>
        <w:t xml:space="preserve">The World Bank defines corporate governance as the set of mechanisms available to shareholders for influencing managers to maximize the value of shareholder’s stock and to fixed claimants for controlling the agency costs of equity. The </w:t>
      </w:r>
      <w:proofErr w:type="spellStart"/>
      <w:r w:rsidRPr="00EA7A2C">
        <w:rPr>
          <w:bCs/>
          <w:iCs/>
          <w:lang w:eastAsia="zh-CN"/>
        </w:rPr>
        <w:t>Organisation</w:t>
      </w:r>
      <w:proofErr w:type="spellEnd"/>
      <w:r w:rsidRPr="00EA7A2C">
        <w:rPr>
          <w:bCs/>
          <w:iCs/>
          <w:lang w:eastAsia="zh-CN"/>
        </w:rPr>
        <w:t xml:space="preserve"> for Economic Co-operation and Development (</w:t>
      </w:r>
      <w:r w:rsidRPr="00EA7A2C">
        <w:rPr>
          <w:bCs/>
          <w:lang w:eastAsia="zh-CN"/>
        </w:rPr>
        <w:t xml:space="preserve">OECD) defines corporate governance as a set of relationships among management, company board, its shareholders and other stakeholders. Both of them imply the principal-agent model of the corporation, and </w:t>
      </w:r>
      <w:proofErr w:type="spellStart"/>
      <w:r w:rsidRPr="00EA7A2C">
        <w:rPr>
          <w:bCs/>
          <w:lang w:eastAsia="zh-CN"/>
        </w:rPr>
        <w:t>emphasise</w:t>
      </w:r>
      <w:proofErr w:type="spellEnd"/>
      <w:r w:rsidRPr="00EA7A2C">
        <w:rPr>
          <w:bCs/>
          <w:lang w:eastAsia="zh-CN"/>
        </w:rPr>
        <w:t xml:space="preserve"> the importance of shareholder interest and company value. Shleifer, and </w:t>
      </w:r>
      <w:proofErr w:type="spellStart"/>
      <w:r w:rsidRPr="00EA7A2C">
        <w:rPr>
          <w:bCs/>
          <w:lang w:eastAsia="zh-CN"/>
        </w:rPr>
        <w:t>Vishny</w:t>
      </w:r>
      <w:proofErr w:type="spellEnd"/>
      <w:r w:rsidRPr="00EA7A2C">
        <w:rPr>
          <w:bCs/>
          <w:lang w:eastAsia="zh-CN"/>
        </w:rPr>
        <w:t xml:space="preserve"> </w:t>
      </w:r>
      <w:r w:rsidRPr="00EA7A2C">
        <w:rPr>
          <w:bCs/>
          <w:lang w:eastAsia="zh-CN"/>
        </w:rPr>
        <w:fldChar w:fldCharType="begin"/>
      </w:r>
      <w:r w:rsidRPr="00EA7A2C">
        <w:rPr>
          <w:bCs/>
          <w:lang w:eastAsia="zh-CN"/>
        </w:rPr>
        <w:instrText xml:space="preserve"> ADDIN EN.CITE &lt;EndNote&gt;&lt;Cite ExcludeAuth="1"&gt;&lt;Author&gt;Shleifer&lt;/Author&gt;&lt;Year&gt;1997&lt;/Year&gt;&lt;RecNum&gt;86&lt;/RecNum&gt;&lt;DisplayText&gt;(1997)&lt;/DisplayText&gt;&lt;record&gt;&lt;rec-number&gt;86&lt;/rec-number&gt;&lt;foreign-keys&gt;&lt;key app="EN" db-id="t95xpsw2fsw0sdea2scvsdr3a9ftfdx2s2tt"&gt;86&lt;/key&gt;&lt;/foreign-keys&gt;&lt;ref-type name="Journal Article"&gt;17&lt;/ref-type&gt;&lt;contributors&gt;&lt;authors&gt;&lt;author&gt;Shleifer, A&lt;/author&gt;&lt;author&gt;Vishny, R W&lt;/author&gt;&lt;/authors&gt;&lt;/contributors&gt;&lt;titles&gt;&lt;title&gt;A survey of corporate governance&lt;/title&gt;&lt;secondary-title&gt;The Journal of Finance &lt;/secondary-title&gt;&lt;/titles&gt;&lt;periodical&gt;&lt;full-title&gt;The Journal of Finance&lt;/full-title&gt;&lt;/periodical&gt;&lt;pages&gt;737-783&lt;/pages&gt;&lt;volume&gt;52&lt;/volume&gt;&lt;number&gt;2&lt;/number&gt;&lt;dates&gt;&lt;year&gt;1997&lt;/year&gt;&lt;/dates&gt;&lt;urls&gt;&lt;/urls&gt;&lt;/record&gt;&lt;/Cite&gt;&lt;/EndNote&gt;</w:instrText>
      </w:r>
      <w:r w:rsidRPr="00EA7A2C">
        <w:rPr>
          <w:bCs/>
          <w:lang w:eastAsia="zh-CN"/>
        </w:rPr>
        <w:fldChar w:fldCharType="separate"/>
      </w:r>
      <w:r w:rsidRPr="00EA7A2C">
        <w:rPr>
          <w:bCs/>
          <w:noProof/>
          <w:lang w:eastAsia="zh-CN"/>
        </w:rPr>
        <w:t>(</w:t>
      </w:r>
      <w:hyperlink w:anchor="_ENREF_104" w:tooltip="Shleifer, 1997 #86" w:history="1">
        <w:r w:rsidRPr="00EA7A2C">
          <w:rPr>
            <w:bCs/>
            <w:noProof/>
            <w:lang w:eastAsia="zh-CN"/>
          </w:rPr>
          <w:t>1997</w:t>
        </w:r>
      </w:hyperlink>
      <w:r w:rsidRPr="00EA7A2C">
        <w:rPr>
          <w:bCs/>
          <w:noProof/>
          <w:lang w:eastAsia="zh-CN"/>
        </w:rPr>
        <w:t>)</w:t>
      </w:r>
      <w:r w:rsidRPr="00EA7A2C">
        <w:rPr>
          <w:bCs/>
          <w:lang w:eastAsia="zh-CN"/>
        </w:rPr>
        <w:fldChar w:fldCharType="end"/>
      </w:r>
      <w:r w:rsidRPr="00EA7A2C">
        <w:rPr>
          <w:bCs/>
          <w:lang w:eastAsia="zh-CN"/>
        </w:rPr>
        <w:t xml:space="preserve"> define corporate governance as a set of mechanisms to assure financiers that they will get a return on their investment. </w:t>
      </w:r>
      <w:r w:rsidR="00D375C0" w:rsidRPr="00EA7A2C">
        <w:t>Corporate Governance then is an evolving concept. It dates back to the Code of Hammurabi back in 1800BC when bartering traders agreed to the basic rules of business transactions. The following table shows some of the international corporate governance regimes currently in place.</w:t>
      </w:r>
    </w:p>
    <w:p w14:paraId="7CA5FE17" w14:textId="77777777" w:rsidR="006D6636" w:rsidRPr="00EA7A2C" w:rsidRDefault="006D6636" w:rsidP="006D6636">
      <w:pPr>
        <w:jc w:val="both"/>
      </w:pPr>
    </w:p>
    <w:p w14:paraId="0711BBA2" w14:textId="77777777" w:rsidR="00D375C0" w:rsidRPr="00EA7A2C" w:rsidRDefault="00D375C0" w:rsidP="006D6636">
      <w:pPr>
        <w:keepNext/>
        <w:jc w:val="left"/>
        <w:outlineLvl w:val="5"/>
        <w:rPr>
          <w:rFonts w:eastAsia="Times New Roman"/>
          <w:b/>
          <w:bCs/>
          <w:i/>
          <w:lang w:val="en-GB"/>
        </w:rPr>
      </w:pPr>
      <w:r w:rsidRPr="00EA7A2C">
        <w:rPr>
          <w:rFonts w:eastAsia="Times New Roman"/>
          <w:b/>
          <w:bCs/>
          <w:i/>
          <w:lang w:val="en-GB"/>
        </w:rPr>
        <w:t xml:space="preserve">Table 1: Timeline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3118"/>
        <w:gridCol w:w="992"/>
        <w:gridCol w:w="3918"/>
      </w:tblGrid>
      <w:tr w:rsidR="0014264D" w:rsidRPr="00EA7A2C" w14:paraId="44DF8C8E" w14:textId="77777777" w:rsidTr="00AF3905">
        <w:tc>
          <w:tcPr>
            <w:tcW w:w="988" w:type="dxa"/>
            <w:tcBorders>
              <w:bottom w:val="single" w:sz="4" w:space="0" w:color="auto"/>
            </w:tcBorders>
            <w:shd w:val="clear" w:color="auto" w:fill="FFFFFF" w:themeFill="background1"/>
          </w:tcPr>
          <w:p w14:paraId="4E57F251" w14:textId="77777777" w:rsidR="0014264D" w:rsidRPr="00EA7A2C" w:rsidRDefault="0014264D" w:rsidP="00AF3905">
            <w:r w:rsidRPr="00EA7A2C">
              <w:t>Date</w:t>
            </w:r>
          </w:p>
        </w:tc>
        <w:tc>
          <w:tcPr>
            <w:tcW w:w="3118" w:type="dxa"/>
            <w:tcBorders>
              <w:bottom w:val="single" w:sz="4" w:space="0" w:color="auto"/>
            </w:tcBorders>
            <w:shd w:val="clear" w:color="auto" w:fill="FFFFFF" w:themeFill="background1"/>
          </w:tcPr>
          <w:p w14:paraId="1EF7FDAC" w14:textId="77777777" w:rsidR="0014264D" w:rsidRPr="00EA7A2C" w:rsidRDefault="0014264D" w:rsidP="001C0E4D">
            <w:pPr>
              <w:jc w:val="left"/>
            </w:pPr>
            <w:r w:rsidRPr="00EA7A2C">
              <w:t>Document Name</w:t>
            </w:r>
          </w:p>
        </w:tc>
        <w:tc>
          <w:tcPr>
            <w:tcW w:w="992" w:type="dxa"/>
            <w:tcBorders>
              <w:bottom w:val="single" w:sz="4" w:space="0" w:color="auto"/>
            </w:tcBorders>
            <w:shd w:val="clear" w:color="auto" w:fill="FFFFFF" w:themeFill="background1"/>
          </w:tcPr>
          <w:p w14:paraId="2ACB66B5" w14:textId="77777777" w:rsidR="0014264D" w:rsidRPr="00EA7A2C" w:rsidRDefault="0014264D" w:rsidP="001C0E4D">
            <w:pPr>
              <w:jc w:val="left"/>
            </w:pPr>
            <w:r w:rsidRPr="00EA7A2C">
              <w:t>Date</w:t>
            </w:r>
          </w:p>
        </w:tc>
        <w:tc>
          <w:tcPr>
            <w:tcW w:w="3918" w:type="dxa"/>
            <w:tcBorders>
              <w:bottom w:val="single" w:sz="4" w:space="0" w:color="auto"/>
            </w:tcBorders>
            <w:shd w:val="clear" w:color="auto" w:fill="FFFFFF" w:themeFill="background1"/>
          </w:tcPr>
          <w:p w14:paraId="58300292" w14:textId="77777777" w:rsidR="0014264D" w:rsidRPr="00EA7A2C" w:rsidRDefault="0014264D" w:rsidP="001C0E4D">
            <w:pPr>
              <w:jc w:val="left"/>
            </w:pPr>
            <w:r w:rsidRPr="00EA7A2C">
              <w:t>Document Name</w:t>
            </w:r>
          </w:p>
        </w:tc>
      </w:tr>
      <w:tr w:rsidR="0014264D" w:rsidRPr="00EA7A2C" w14:paraId="2A38FBBE" w14:textId="77777777" w:rsidTr="00AF3905">
        <w:tc>
          <w:tcPr>
            <w:tcW w:w="988" w:type="dxa"/>
            <w:shd w:val="clear" w:color="auto" w:fill="FFFFFF" w:themeFill="background1"/>
          </w:tcPr>
          <w:p w14:paraId="4F20048B" w14:textId="77777777" w:rsidR="0014264D" w:rsidRPr="00EA7A2C" w:rsidRDefault="0014264D" w:rsidP="00AF3905">
            <w:r w:rsidRPr="00EA7A2C">
              <w:t>1800 BC</w:t>
            </w:r>
          </w:p>
        </w:tc>
        <w:tc>
          <w:tcPr>
            <w:tcW w:w="3118" w:type="dxa"/>
            <w:shd w:val="clear" w:color="auto" w:fill="FFFFFF" w:themeFill="background1"/>
          </w:tcPr>
          <w:p w14:paraId="1A5B23FC" w14:textId="77777777" w:rsidR="0014264D" w:rsidRPr="00EA7A2C" w:rsidRDefault="0014264D" w:rsidP="001C0E4D">
            <w:pPr>
              <w:jc w:val="left"/>
            </w:pPr>
            <w:r w:rsidRPr="00EA7A2C">
              <w:t>Code of Hammurabi</w:t>
            </w:r>
          </w:p>
        </w:tc>
        <w:tc>
          <w:tcPr>
            <w:tcW w:w="992" w:type="dxa"/>
            <w:shd w:val="clear" w:color="auto" w:fill="FFFFFF" w:themeFill="background1"/>
          </w:tcPr>
          <w:p w14:paraId="35804C12" w14:textId="77777777" w:rsidR="0014264D" w:rsidRPr="00EA7A2C" w:rsidRDefault="0014264D" w:rsidP="001C0E4D">
            <w:pPr>
              <w:jc w:val="left"/>
            </w:pPr>
            <w:r w:rsidRPr="00EA7A2C">
              <w:t>1999</w:t>
            </w:r>
          </w:p>
        </w:tc>
        <w:tc>
          <w:tcPr>
            <w:tcW w:w="3918" w:type="dxa"/>
            <w:shd w:val="clear" w:color="auto" w:fill="FFFFFF" w:themeFill="background1"/>
          </w:tcPr>
          <w:p w14:paraId="15F319FF" w14:textId="77777777" w:rsidR="0014264D" w:rsidRPr="00EA7A2C" w:rsidRDefault="0014264D" w:rsidP="001C0E4D">
            <w:pPr>
              <w:jc w:val="left"/>
            </w:pPr>
            <w:r w:rsidRPr="00EA7A2C">
              <w:t>OECD Principles of Corporate Governance</w:t>
            </w:r>
          </w:p>
        </w:tc>
      </w:tr>
      <w:tr w:rsidR="0014264D" w:rsidRPr="00EA7A2C" w14:paraId="5835AC10" w14:textId="77777777" w:rsidTr="00AF3905">
        <w:tc>
          <w:tcPr>
            <w:tcW w:w="988" w:type="dxa"/>
            <w:shd w:val="clear" w:color="auto" w:fill="FFFFFF" w:themeFill="background1"/>
          </w:tcPr>
          <w:p w14:paraId="671E7306" w14:textId="77777777" w:rsidR="0014264D" w:rsidRPr="00EA7A2C" w:rsidRDefault="0014264D" w:rsidP="00AF3905">
            <w:r w:rsidRPr="00EA7A2C">
              <w:t>1991</w:t>
            </w:r>
          </w:p>
        </w:tc>
        <w:tc>
          <w:tcPr>
            <w:tcW w:w="3118" w:type="dxa"/>
            <w:shd w:val="clear" w:color="auto" w:fill="FFFFFF" w:themeFill="background1"/>
          </w:tcPr>
          <w:p w14:paraId="162FA691" w14:textId="77777777" w:rsidR="0014264D" w:rsidRPr="00EA7A2C" w:rsidRDefault="0014264D" w:rsidP="001C0E4D">
            <w:pPr>
              <w:jc w:val="left"/>
            </w:pPr>
            <w:r w:rsidRPr="00EA7A2C">
              <w:t>Bosch Committee – Corporate Practices and Conduct (1995)</w:t>
            </w:r>
          </w:p>
        </w:tc>
        <w:tc>
          <w:tcPr>
            <w:tcW w:w="992" w:type="dxa"/>
            <w:shd w:val="clear" w:color="auto" w:fill="FFFFFF" w:themeFill="background1"/>
          </w:tcPr>
          <w:p w14:paraId="3D15C60B" w14:textId="77777777" w:rsidR="0014264D" w:rsidRPr="00EA7A2C" w:rsidRDefault="0014264D" w:rsidP="001C0E4D">
            <w:pPr>
              <w:jc w:val="left"/>
            </w:pPr>
            <w:r w:rsidRPr="00EA7A2C">
              <w:t>2001</w:t>
            </w:r>
          </w:p>
        </w:tc>
        <w:tc>
          <w:tcPr>
            <w:tcW w:w="3918" w:type="dxa"/>
            <w:shd w:val="clear" w:color="auto" w:fill="FFFFFF" w:themeFill="background1"/>
          </w:tcPr>
          <w:p w14:paraId="075B64C6" w14:textId="77777777" w:rsidR="0014264D" w:rsidRPr="00EA7A2C" w:rsidRDefault="0014264D" w:rsidP="001C0E4D">
            <w:pPr>
              <w:jc w:val="left"/>
            </w:pPr>
            <w:r w:rsidRPr="00EA7A2C">
              <w:t>Ramsay Report (Australia)</w:t>
            </w:r>
          </w:p>
        </w:tc>
      </w:tr>
      <w:tr w:rsidR="0014264D" w:rsidRPr="00EA7A2C" w14:paraId="185DCF88" w14:textId="77777777" w:rsidTr="00AF3905">
        <w:tc>
          <w:tcPr>
            <w:tcW w:w="988" w:type="dxa"/>
            <w:shd w:val="clear" w:color="auto" w:fill="FFFFFF" w:themeFill="background1"/>
          </w:tcPr>
          <w:p w14:paraId="1E16BB21" w14:textId="77777777" w:rsidR="0014264D" w:rsidRPr="00EA7A2C" w:rsidRDefault="0014264D" w:rsidP="00AF3905">
            <w:r w:rsidRPr="00EA7A2C">
              <w:t>1992</w:t>
            </w:r>
          </w:p>
        </w:tc>
        <w:tc>
          <w:tcPr>
            <w:tcW w:w="3118" w:type="dxa"/>
            <w:shd w:val="clear" w:color="auto" w:fill="FFFFFF" w:themeFill="background1"/>
          </w:tcPr>
          <w:p w14:paraId="6915A83E" w14:textId="77777777" w:rsidR="0014264D" w:rsidRPr="00EA7A2C" w:rsidRDefault="0014264D" w:rsidP="001C0E4D">
            <w:pPr>
              <w:jc w:val="left"/>
            </w:pPr>
            <w:r w:rsidRPr="00EA7A2C">
              <w:t>Cadbury Committee Report (UK)</w:t>
            </w:r>
          </w:p>
        </w:tc>
        <w:tc>
          <w:tcPr>
            <w:tcW w:w="992" w:type="dxa"/>
            <w:shd w:val="clear" w:color="auto" w:fill="FFFFFF" w:themeFill="background1"/>
          </w:tcPr>
          <w:p w14:paraId="7EE448C2" w14:textId="77777777" w:rsidR="0014264D" w:rsidRPr="00EA7A2C" w:rsidRDefault="0014264D" w:rsidP="001C0E4D">
            <w:pPr>
              <w:jc w:val="left"/>
            </w:pPr>
            <w:r w:rsidRPr="00EA7A2C">
              <w:t>2002</w:t>
            </w:r>
          </w:p>
        </w:tc>
        <w:tc>
          <w:tcPr>
            <w:tcW w:w="3918" w:type="dxa"/>
            <w:shd w:val="clear" w:color="auto" w:fill="FFFFFF" w:themeFill="background1"/>
          </w:tcPr>
          <w:p w14:paraId="16C82C72" w14:textId="77777777" w:rsidR="0014264D" w:rsidRPr="00EA7A2C" w:rsidRDefault="0014264D" w:rsidP="001C0E4D">
            <w:pPr>
              <w:jc w:val="left"/>
            </w:pPr>
            <w:r w:rsidRPr="00EA7A2C">
              <w:t>Sarbanes Oxley Act 2002 (US)</w:t>
            </w:r>
          </w:p>
        </w:tc>
      </w:tr>
      <w:tr w:rsidR="0014264D" w:rsidRPr="00EA7A2C" w14:paraId="2873C8CD" w14:textId="77777777" w:rsidTr="00AF3905">
        <w:tc>
          <w:tcPr>
            <w:tcW w:w="988" w:type="dxa"/>
            <w:shd w:val="clear" w:color="auto" w:fill="FFFFFF" w:themeFill="background1"/>
          </w:tcPr>
          <w:p w14:paraId="61EF5E22" w14:textId="77777777" w:rsidR="0014264D" w:rsidRPr="00EA7A2C" w:rsidRDefault="0014264D" w:rsidP="00AF3905">
            <w:r w:rsidRPr="00EA7A2C">
              <w:t>1993</w:t>
            </w:r>
          </w:p>
        </w:tc>
        <w:tc>
          <w:tcPr>
            <w:tcW w:w="3118" w:type="dxa"/>
            <w:shd w:val="clear" w:color="auto" w:fill="FFFFFF" w:themeFill="background1"/>
          </w:tcPr>
          <w:p w14:paraId="36FB345D" w14:textId="77777777" w:rsidR="0014264D" w:rsidRPr="00EA7A2C" w:rsidRDefault="0014264D" w:rsidP="001C0E4D">
            <w:pPr>
              <w:jc w:val="left"/>
            </w:pPr>
            <w:proofErr w:type="spellStart"/>
            <w:r w:rsidRPr="00EA7A2C">
              <w:t>Hilmer</w:t>
            </w:r>
            <w:proofErr w:type="spellEnd"/>
            <w:r w:rsidRPr="00EA7A2C">
              <w:t xml:space="preserve"> Report (Australia)</w:t>
            </w:r>
          </w:p>
        </w:tc>
        <w:tc>
          <w:tcPr>
            <w:tcW w:w="992" w:type="dxa"/>
            <w:shd w:val="clear" w:color="auto" w:fill="FFFFFF" w:themeFill="background1"/>
          </w:tcPr>
          <w:p w14:paraId="5E14B0D8" w14:textId="77777777" w:rsidR="0014264D" w:rsidRPr="00EA7A2C" w:rsidRDefault="0014264D" w:rsidP="001C0E4D">
            <w:pPr>
              <w:jc w:val="left"/>
            </w:pPr>
            <w:r w:rsidRPr="00EA7A2C">
              <w:t>2003</w:t>
            </w:r>
          </w:p>
        </w:tc>
        <w:tc>
          <w:tcPr>
            <w:tcW w:w="3918" w:type="dxa"/>
            <w:shd w:val="clear" w:color="auto" w:fill="FFFFFF" w:themeFill="background1"/>
          </w:tcPr>
          <w:p w14:paraId="5AD13F3C" w14:textId="77777777" w:rsidR="0014264D" w:rsidRPr="00EA7A2C" w:rsidRDefault="0014264D" w:rsidP="001C0E4D">
            <w:pPr>
              <w:jc w:val="left"/>
            </w:pPr>
            <w:r w:rsidRPr="00EA7A2C">
              <w:t>Combined Code Corporate Governance (UK)</w:t>
            </w:r>
          </w:p>
        </w:tc>
      </w:tr>
      <w:tr w:rsidR="0014264D" w:rsidRPr="00EA7A2C" w14:paraId="5B65AB27" w14:textId="77777777" w:rsidTr="00AF3905">
        <w:tc>
          <w:tcPr>
            <w:tcW w:w="988" w:type="dxa"/>
            <w:shd w:val="clear" w:color="auto" w:fill="FFFFFF" w:themeFill="background1"/>
          </w:tcPr>
          <w:p w14:paraId="7CEB1871" w14:textId="77777777" w:rsidR="0014264D" w:rsidRPr="00EA7A2C" w:rsidRDefault="0014264D" w:rsidP="00AF3905">
            <w:r w:rsidRPr="00EA7A2C">
              <w:t>1995</w:t>
            </w:r>
          </w:p>
        </w:tc>
        <w:tc>
          <w:tcPr>
            <w:tcW w:w="3118" w:type="dxa"/>
            <w:shd w:val="clear" w:color="auto" w:fill="FFFFFF" w:themeFill="background1"/>
          </w:tcPr>
          <w:p w14:paraId="62159B30" w14:textId="77777777" w:rsidR="0014264D" w:rsidRPr="00EA7A2C" w:rsidRDefault="0014264D" w:rsidP="001C0E4D">
            <w:pPr>
              <w:jc w:val="left"/>
            </w:pPr>
            <w:proofErr w:type="spellStart"/>
            <w:r w:rsidRPr="00EA7A2C">
              <w:t>Vienot</w:t>
            </w:r>
            <w:proofErr w:type="spellEnd"/>
            <w:r w:rsidRPr="00EA7A2C">
              <w:t xml:space="preserve"> Report (France)</w:t>
            </w:r>
          </w:p>
        </w:tc>
        <w:tc>
          <w:tcPr>
            <w:tcW w:w="992" w:type="dxa"/>
            <w:shd w:val="clear" w:color="auto" w:fill="FFFFFF" w:themeFill="background1"/>
          </w:tcPr>
          <w:p w14:paraId="71EF6F41" w14:textId="77777777" w:rsidR="0014264D" w:rsidRPr="00EA7A2C" w:rsidRDefault="0014264D" w:rsidP="001C0E4D">
            <w:pPr>
              <w:jc w:val="left"/>
            </w:pPr>
            <w:r w:rsidRPr="00EA7A2C">
              <w:t>2003</w:t>
            </w:r>
          </w:p>
        </w:tc>
        <w:tc>
          <w:tcPr>
            <w:tcW w:w="3918" w:type="dxa"/>
            <w:shd w:val="clear" w:color="auto" w:fill="FFFFFF" w:themeFill="background1"/>
          </w:tcPr>
          <w:p w14:paraId="098C0342" w14:textId="77777777" w:rsidR="0014264D" w:rsidRPr="00EA7A2C" w:rsidRDefault="0014264D" w:rsidP="001C0E4D">
            <w:pPr>
              <w:jc w:val="left"/>
            </w:pPr>
            <w:r w:rsidRPr="00EA7A2C">
              <w:t>ASX Good Corporate Governance and Best Practice</w:t>
            </w:r>
          </w:p>
        </w:tc>
      </w:tr>
      <w:tr w:rsidR="0014264D" w:rsidRPr="00EA7A2C" w14:paraId="2171500C" w14:textId="77777777" w:rsidTr="00AF3905">
        <w:tc>
          <w:tcPr>
            <w:tcW w:w="988" w:type="dxa"/>
            <w:shd w:val="clear" w:color="auto" w:fill="FFFFFF" w:themeFill="background1"/>
          </w:tcPr>
          <w:p w14:paraId="6663EF80" w14:textId="77777777" w:rsidR="0014264D" w:rsidRPr="00EA7A2C" w:rsidRDefault="0014264D" w:rsidP="00AF3905">
            <w:r w:rsidRPr="00EA7A2C">
              <w:t>1995</w:t>
            </w:r>
          </w:p>
        </w:tc>
        <w:tc>
          <w:tcPr>
            <w:tcW w:w="3118" w:type="dxa"/>
            <w:shd w:val="clear" w:color="auto" w:fill="FFFFFF" w:themeFill="background1"/>
          </w:tcPr>
          <w:p w14:paraId="22E7F6C4" w14:textId="77777777" w:rsidR="0014264D" w:rsidRPr="00EA7A2C" w:rsidRDefault="0014264D" w:rsidP="001C0E4D">
            <w:pPr>
              <w:jc w:val="left"/>
            </w:pPr>
            <w:r w:rsidRPr="00EA7A2C">
              <w:t>Toronto Stock Exchange recommendations on Canadian Board practices (Canada)</w:t>
            </w:r>
          </w:p>
        </w:tc>
        <w:tc>
          <w:tcPr>
            <w:tcW w:w="992" w:type="dxa"/>
            <w:shd w:val="clear" w:color="auto" w:fill="FFFFFF" w:themeFill="background1"/>
          </w:tcPr>
          <w:p w14:paraId="37F27AF2" w14:textId="77777777" w:rsidR="0014264D" w:rsidRDefault="0014264D" w:rsidP="001C0E4D">
            <w:pPr>
              <w:jc w:val="left"/>
            </w:pPr>
            <w:r w:rsidRPr="00EA7A2C">
              <w:t>2003</w:t>
            </w:r>
          </w:p>
          <w:p w14:paraId="6C63632A" w14:textId="77777777" w:rsidR="001C0E4D" w:rsidRPr="00EA7A2C" w:rsidRDefault="001C0E4D" w:rsidP="001C0E4D">
            <w:pPr>
              <w:jc w:val="left"/>
            </w:pPr>
            <w:r w:rsidRPr="00EA7A2C">
              <w:t>2004</w:t>
            </w:r>
          </w:p>
        </w:tc>
        <w:tc>
          <w:tcPr>
            <w:tcW w:w="3918" w:type="dxa"/>
            <w:shd w:val="clear" w:color="auto" w:fill="FFFFFF" w:themeFill="background1"/>
          </w:tcPr>
          <w:p w14:paraId="3BE02683" w14:textId="77777777" w:rsidR="0014264D" w:rsidRDefault="0014264D" w:rsidP="001C0E4D">
            <w:pPr>
              <w:jc w:val="left"/>
            </w:pPr>
            <w:r w:rsidRPr="00EA7A2C">
              <w:t>AS 8000 - 2003 Standards (Australia)</w:t>
            </w:r>
          </w:p>
          <w:p w14:paraId="21324AEE" w14:textId="77777777" w:rsidR="001C0E4D" w:rsidRPr="00EA7A2C" w:rsidRDefault="001C0E4D" w:rsidP="001C0E4D">
            <w:pPr>
              <w:jc w:val="left"/>
            </w:pPr>
            <w:r w:rsidRPr="00EA7A2C">
              <w:t>CLERP 9 Act 2004 (Australia)</w:t>
            </w:r>
          </w:p>
        </w:tc>
      </w:tr>
      <w:tr w:rsidR="001C0E4D" w:rsidRPr="00EA7A2C" w14:paraId="312A9714" w14:textId="77777777" w:rsidTr="00AF3905">
        <w:tc>
          <w:tcPr>
            <w:tcW w:w="988" w:type="dxa"/>
            <w:shd w:val="clear" w:color="auto" w:fill="FFFFFF" w:themeFill="background1"/>
          </w:tcPr>
          <w:p w14:paraId="1318B00F" w14:textId="77777777" w:rsidR="001C0E4D" w:rsidRPr="00EA7A2C" w:rsidRDefault="001C0E4D" w:rsidP="001C0E4D">
            <w:r w:rsidRPr="00EA7A2C">
              <w:t>1996</w:t>
            </w:r>
          </w:p>
        </w:tc>
        <w:tc>
          <w:tcPr>
            <w:tcW w:w="3118" w:type="dxa"/>
            <w:shd w:val="clear" w:color="auto" w:fill="FFFFFF" w:themeFill="background1"/>
          </w:tcPr>
          <w:p w14:paraId="3526DECE" w14:textId="77777777" w:rsidR="001C0E4D" w:rsidRPr="00EA7A2C" w:rsidRDefault="001C0E4D" w:rsidP="001C0E4D">
            <w:pPr>
              <w:jc w:val="left"/>
            </w:pPr>
            <w:r w:rsidRPr="00EA7A2C">
              <w:t xml:space="preserve">Report on Corporate Governance in Hong Kong </w:t>
            </w:r>
          </w:p>
        </w:tc>
        <w:tc>
          <w:tcPr>
            <w:tcW w:w="992" w:type="dxa"/>
            <w:shd w:val="clear" w:color="auto" w:fill="FFFFFF" w:themeFill="background1"/>
          </w:tcPr>
          <w:p w14:paraId="2F3E56E2" w14:textId="77777777" w:rsidR="001C0E4D" w:rsidRPr="00EA7A2C" w:rsidRDefault="001C0E4D" w:rsidP="001C0E4D">
            <w:pPr>
              <w:jc w:val="left"/>
            </w:pPr>
            <w:r w:rsidRPr="00EA7A2C">
              <w:t>2004</w:t>
            </w:r>
          </w:p>
        </w:tc>
        <w:tc>
          <w:tcPr>
            <w:tcW w:w="3918" w:type="dxa"/>
            <w:shd w:val="clear" w:color="auto" w:fill="FFFFFF" w:themeFill="background1"/>
          </w:tcPr>
          <w:p w14:paraId="0597F1F9" w14:textId="77777777" w:rsidR="001C0E4D" w:rsidRPr="00EA7A2C" w:rsidRDefault="001C0E4D" w:rsidP="001C0E4D">
            <w:pPr>
              <w:jc w:val="left"/>
            </w:pPr>
            <w:r w:rsidRPr="00EA7A2C">
              <w:t xml:space="preserve">Corporate Governance in New Zealand Principles and Guidelines </w:t>
            </w:r>
          </w:p>
        </w:tc>
      </w:tr>
      <w:tr w:rsidR="001C0E4D" w:rsidRPr="00EA7A2C" w14:paraId="066CD457" w14:textId="77777777" w:rsidTr="00AF3905">
        <w:tc>
          <w:tcPr>
            <w:tcW w:w="988" w:type="dxa"/>
            <w:shd w:val="clear" w:color="auto" w:fill="FFFFFF" w:themeFill="background1"/>
          </w:tcPr>
          <w:p w14:paraId="49F2A7E4" w14:textId="77777777" w:rsidR="001C0E4D" w:rsidRPr="00EA7A2C" w:rsidRDefault="001C0E4D" w:rsidP="001C0E4D">
            <w:r w:rsidRPr="00EA7A2C">
              <w:t>1997</w:t>
            </w:r>
          </w:p>
        </w:tc>
        <w:tc>
          <w:tcPr>
            <w:tcW w:w="3118" w:type="dxa"/>
            <w:shd w:val="clear" w:color="auto" w:fill="FFFFFF" w:themeFill="background1"/>
          </w:tcPr>
          <w:p w14:paraId="7D1FB68F" w14:textId="77777777" w:rsidR="001C0E4D" w:rsidRPr="00EA7A2C" w:rsidRDefault="001C0E4D" w:rsidP="001C0E4D">
            <w:pPr>
              <w:jc w:val="left"/>
            </w:pPr>
            <w:r w:rsidRPr="00EA7A2C">
              <w:t>King Report (South Africa)</w:t>
            </w:r>
          </w:p>
        </w:tc>
        <w:tc>
          <w:tcPr>
            <w:tcW w:w="992" w:type="dxa"/>
            <w:shd w:val="clear" w:color="auto" w:fill="FFFFFF" w:themeFill="background1"/>
          </w:tcPr>
          <w:p w14:paraId="44AB78E5" w14:textId="77777777" w:rsidR="001C0E4D" w:rsidRPr="00EA7A2C" w:rsidRDefault="001C0E4D" w:rsidP="001C0E4D">
            <w:pPr>
              <w:jc w:val="left"/>
            </w:pPr>
            <w:r w:rsidRPr="00EA7A2C">
              <w:t>2010</w:t>
            </w:r>
          </w:p>
        </w:tc>
        <w:tc>
          <w:tcPr>
            <w:tcW w:w="3918" w:type="dxa"/>
            <w:shd w:val="clear" w:color="auto" w:fill="FFFFFF" w:themeFill="background1"/>
          </w:tcPr>
          <w:p w14:paraId="0149C73B" w14:textId="77777777" w:rsidR="001C0E4D" w:rsidRPr="00EA7A2C" w:rsidRDefault="001C0E4D" w:rsidP="001C0E4D">
            <w:pPr>
              <w:jc w:val="left"/>
            </w:pPr>
            <w:r w:rsidRPr="00EA7A2C">
              <w:t>Corporate Governance Principles &amp; Recommendations 2010 Amendments (ASX)</w:t>
            </w:r>
          </w:p>
        </w:tc>
      </w:tr>
      <w:tr w:rsidR="001C0E4D" w:rsidRPr="00EA7A2C" w14:paraId="33220D73" w14:textId="77777777" w:rsidTr="00AF3905">
        <w:tc>
          <w:tcPr>
            <w:tcW w:w="988" w:type="dxa"/>
            <w:shd w:val="clear" w:color="auto" w:fill="FFFFFF" w:themeFill="background1"/>
          </w:tcPr>
          <w:p w14:paraId="181AC009" w14:textId="77777777" w:rsidR="001C0E4D" w:rsidRPr="00EA7A2C" w:rsidRDefault="001C0E4D" w:rsidP="001C0E4D">
            <w:r w:rsidRPr="00EA7A2C">
              <w:t>1997</w:t>
            </w:r>
          </w:p>
        </w:tc>
        <w:tc>
          <w:tcPr>
            <w:tcW w:w="3118" w:type="dxa"/>
            <w:shd w:val="clear" w:color="auto" w:fill="FFFFFF" w:themeFill="background1"/>
          </w:tcPr>
          <w:p w14:paraId="5545E19B" w14:textId="77777777" w:rsidR="001C0E4D" w:rsidRPr="00EA7A2C" w:rsidRDefault="001C0E4D" w:rsidP="001C0E4D">
            <w:pPr>
              <w:jc w:val="left"/>
            </w:pPr>
            <w:r w:rsidRPr="00EA7A2C">
              <w:t>Netherlands Report (Netherlands)</w:t>
            </w:r>
          </w:p>
        </w:tc>
        <w:tc>
          <w:tcPr>
            <w:tcW w:w="992" w:type="dxa"/>
            <w:shd w:val="clear" w:color="auto" w:fill="FFFFFF" w:themeFill="background1"/>
          </w:tcPr>
          <w:p w14:paraId="74ECEB0D" w14:textId="77777777" w:rsidR="001C0E4D" w:rsidRPr="00EA7A2C" w:rsidRDefault="001C0E4D" w:rsidP="001C0E4D">
            <w:pPr>
              <w:jc w:val="left"/>
            </w:pPr>
            <w:r w:rsidRPr="00EA7A2C">
              <w:t>2012</w:t>
            </w:r>
          </w:p>
        </w:tc>
        <w:tc>
          <w:tcPr>
            <w:tcW w:w="3918" w:type="dxa"/>
            <w:shd w:val="clear" w:color="auto" w:fill="FFFFFF" w:themeFill="background1"/>
          </w:tcPr>
          <w:p w14:paraId="40024BC8" w14:textId="77777777" w:rsidR="001C0E4D" w:rsidRPr="00EA7A2C" w:rsidRDefault="001C0E4D" w:rsidP="001C0E4D">
            <w:pPr>
              <w:jc w:val="left"/>
            </w:pPr>
            <w:r w:rsidRPr="00EA7A2C">
              <w:t>UK Corporate Governance Code</w:t>
            </w:r>
          </w:p>
        </w:tc>
      </w:tr>
      <w:tr w:rsidR="001C0E4D" w:rsidRPr="00EA7A2C" w14:paraId="167F4EA2" w14:textId="77777777" w:rsidTr="00AF3905">
        <w:tc>
          <w:tcPr>
            <w:tcW w:w="988" w:type="dxa"/>
            <w:shd w:val="clear" w:color="auto" w:fill="FFFFFF" w:themeFill="background1"/>
          </w:tcPr>
          <w:p w14:paraId="3C6ACDCB" w14:textId="77777777" w:rsidR="001C0E4D" w:rsidRPr="00EA7A2C" w:rsidRDefault="001C0E4D" w:rsidP="001C0E4D">
            <w:r w:rsidRPr="00EA7A2C">
              <w:t>1998</w:t>
            </w:r>
          </w:p>
        </w:tc>
        <w:tc>
          <w:tcPr>
            <w:tcW w:w="3118" w:type="dxa"/>
            <w:shd w:val="clear" w:color="auto" w:fill="FFFFFF" w:themeFill="background1"/>
          </w:tcPr>
          <w:p w14:paraId="6865B67E" w14:textId="77777777" w:rsidR="001C0E4D" w:rsidRPr="00EA7A2C" w:rsidRDefault="001C0E4D" w:rsidP="001C0E4D">
            <w:pPr>
              <w:jc w:val="left"/>
            </w:pPr>
            <w:r w:rsidRPr="00EA7A2C">
              <w:t>Hampel Report (UK)</w:t>
            </w:r>
          </w:p>
        </w:tc>
        <w:tc>
          <w:tcPr>
            <w:tcW w:w="992" w:type="dxa"/>
            <w:shd w:val="clear" w:color="auto" w:fill="FFFFFF" w:themeFill="background1"/>
          </w:tcPr>
          <w:p w14:paraId="2116E022" w14:textId="77777777" w:rsidR="001C0E4D" w:rsidRPr="00EA7A2C" w:rsidRDefault="001C0E4D" w:rsidP="001C0E4D">
            <w:pPr>
              <w:jc w:val="left"/>
            </w:pPr>
            <w:r w:rsidRPr="00EA7A2C">
              <w:t>2017</w:t>
            </w:r>
          </w:p>
        </w:tc>
        <w:tc>
          <w:tcPr>
            <w:tcW w:w="3918" w:type="dxa"/>
            <w:shd w:val="clear" w:color="auto" w:fill="FFFFFF" w:themeFill="background1"/>
          </w:tcPr>
          <w:p w14:paraId="05A14276" w14:textId="77777777" w:rsidR="001C0E4D" w:rsidRPr="00EA7A2C" w:rsidRDefault="001C0E4D" w:rsidP="001C0E4D">
            <w:pPr>
              <w:jc w:val="left"/>
            </w:pPr>
            <w:r w:rsidRPr="00EA7A2C">
              <w:t>Amendments as necessary</w:t>
            </w:r>
          </w:p>
        </w:tc>
      </w:tr>
      <w:tr w:rsidR="001C0E4D" w:rsidRPr="00EA7A2C" w14:paraId="13CB3E99" w14:textId="77777777" w:rsidTr="00A437C2">
        <w:tc>
          <w:tcPr>
            <w:tcW w:w="988" w:type="dxa"/>
            <w:shd w:val="clear" w:color="auto" w:fill="FFFFFF" w:themeFill="background1"/>
          </w:tcPr>
          <w:p w14:paraId="2CF8654F" w14:textId="77777777" w:rsidR="001C0E4D" w:rsidRPr="00EA7A2C" w:rsidRDefault="001C0E4D" w:rsidP="001C0E4D">
            <w:r w:rsidRPr="00EA7A2C">
              <w:t>1998</w:t>
            </w:r>
          </w:p>
        </w:tc>
        <w:tc>
          <w:tcPr>
            <w:tcW w:w="3118" w:type="dxa"/>
            <w:shd w:val="clear" w:color="auto" w:fill="FFFFFF" w:themeFill="background1"/>
          </w:tcPr>
          <w:p w14:paraId="505353FA" w14:textId="77777777" w:rsidR="001C0E4D" w:rsidRPr="00EA7A2C" w:rsidRDefault="001C0E4D" w:rsidP="001C0E4D">
            <w:pPr>
              <w:jc w:val="left"/>
            </w:pPr>
            <w:proofErr w:type="spellStart"/>
            <w:r w:rsidRPr="00EA7A2C">
              <w:t>Olivencia</w:t>
            </w:r>
            <w:proofErr w:type="spellEnd"/>
            <w:r w:rsidRPr="00EA7A2C">
              <w:t xml:space="preserve"> Report (Spain)</w:t>
            </w:r>
          </w:p>
        </w:tc>
        <w:tc>
          <w:tcPr>
            <w:tcW w:w="992" w:type="dxa"/>
            <w:shd w:val="clear" w:color="auto" w:fill="FFFFFF" w:themeFill="background1"/>
          </w:tcPr>
          <w:p w14:paraId="27C97437" w14:textId="77777777" w:rsidR="001C0E4D" w:rsidRPr="00EA7A2C" w:rsidRDefault="001C0E4D" w:rsidP="001C0E4D">
            <w:pPr>
              <w:jc w:val="left"/>
            </w:pPr>
            <w:r w:rsidRPr="00EA7A2C">
              <w:t>2019</w:t>
            </w:r>
          </w:p>
        </w:tc>
        <w:tc>
          <w:tcPr>
            <w:tcW w:w="3918" w:type="dxa"/>
            <w:shd w:val="clear" w:color="auto" w:fill="FFFFFF" w:themeFill="background1"/>
          </w:tcPr>
          <w:p w14:paraId="767C2603" w14:textId="77777777" w:rsidR="001C0E4D" w:rsidRPr="00EA7A2C" w:rsidRDefault="001C0E4D" w:rsidP="001C0E4D">
            <w:pPr>
              <w:jc w:val="left"/>
            </w:pPr>
            <w:r w:rsidRPr="00EA7A2C">
              <w:t>Corporate Governance Principles &amp; Recommendations 2019 Amendments (ASX)</w:t>
            </w:r>
          </w:p>
        </w:tc>
      </w:tr>
    </w:tbl>
    <w:p w14:paraId="772D30A5" w14:textId="77777777" w:rsidR="00D375C0" w:rsidRPr="00EA7A2C" w:rsidRDefault="00EA7A2C" w:rsidP="001C0E4D">
      <w:pPr>
        <w:pStyle w:val="Heading2"/>
        <w:numPr>
          <w:ilvl w:val="0"/>
          <w:numId w:val="3"/>
        </w:numPr>
        <w:spacing w:before="0" w:after="0"/>
        <w:rPr>
          <w:b/>
          <w:i w:val="0"/>
        </w:rPr>
      </w:pPr>
      <w:r>
        <w:rPr>
          <w:b/>
          <w:i w:val="0"/>
        </w:rPr>
        <w:lastRenderedPageBreak/>
        <w:t>Method</w:t>
      </w:r>
    </w:p>
    <w:p w14:paraId="1BB02B92" w14:textId="77777777" w:rsidR="00EA7A2C" w:rsidRDefault="00EA7A2C" w:rsidP="006D6636">
      <w:pPr>
        <w:jc w:val="both"/>
        <w:rPr>
          <w:bCs/>
          <w:lang w:eastAsia="zh-CN"/>
        </w:rPr>
      </w:pPr>
    </w:p>
    <w:p w14:paraId="50843CCE" w14:textId="77777777" w:rsidR="00EA7A2C" w:rsidRDefault="00EA7A2C" w:rsidP="006D6636">
      <w:pPr>
        <w:jc w:val="both"/>
      </w:pPr>
      <w:r>
        <w:rPr>
          <w:bCs/>
          <w:lang w:eastAsia="zh-CN"/>
        </w:rPr>
        <w:t xml:space="preserve">This research uses archival data to compare current case law activities to that of the prescribed Corporation Act 2001 and the </w:t>
      </w:r>
      <w:r w:rsidRPr="00EA7A2C">
        <w:t>Corporate Governance recommendations by the ASX (2019)</w:t>
      </w:r>
      <w:r>
        <w:t xml:space="preserve">. It also uses case studies of each of the case law to develop an in depth analysis of the case to enable the comparison to be made to legal obligations of Corporations Act 2001 and the </w:t>
      </w:r>
      <w:r w:rsidRPr="00EA7A2C">
        <w:t>Corporate Governance recommendations by the ASX (2019)</w:t>
      </w:r>
      <w:r>
        <w:t>,  as described by Creswell &amp; Creswell (2018).</w:t>
      </w:r>
    </w:p>
    <w:p w14:paraId="7C1D9096" w14:textId="77777777" w:rsidR="00EA7A2C" w:rsidRDefault="00EA7A2C" w:rsidP="006D6636">
      <w:pPr>
        <w:jc w:val="both"/>
        <w:rPr>
          <w:bCs/>
          <w:lang w:eastAsia="zh-CN"/>
        </w:rPr>
      </w:pPr>
    </w:p>
    <w:p w14:paraId="1540BDF6" w14:textId="77777777" w:rsidR="00D375C0" w:rsidRPr="00EA7A2C" w:rsidRDefault="00D375C0" w:rsidP="006D6636">
      <w:pPr>
        <w:jc w:val="both"/>
      </w:pPr>
      <w:r w:rsidRPr="00EA7A2C">
        <w:rPr>
          <w:bCs/>
          <w:lang w:eastAsia="zh-CN"/>
        </w:rPr>
        <w:t xml:space="preserve">Countries that have good corporate governance systems become not only attractive locations for domestic companies to develop and invest </w:t>
      </w:r>
      <w:r w:rsidRPr="00EA7A2C">
        <w:rPr>
          <w:bCs/>
          <w:lang w:eastAsia="zh-CN"/>
        </w:rPr>
        <w:fldChar w:fldCharType="begin"/>
      </w:r>
      <w:r w:rsidRPr="00EA7A2C">
        <w:rPr>
          <w:bCs/>
          <w:lang w:eastAsia="zh-CN"/>
        </w:rPr>
        <w:instrText xml:space="preserve"> ADDIN EN.CITE &lt;EndNote&gt;&lt;Cite&gt;&lt;Author&gt;La Porta&lt;/Author&gt;&lt;Year&gt;1998&lt;/Year&gt;&lt;RecNum&gt;98&lt;/RecNum&gt;&lt;DisplayText&gt;(La Porta, et al., 1998)&lt;/DisplayText&gt;&lt;record&gt;&lt;rec-number&gt;98&lt;/rec-number&gt;&lt;foreign-keys&gt;&lt;key app="EN" db-id="t95xpsw2fsw0sdea2scvsdr3a9ftfdx2s2tt"&gt;98&lt;/key&gt;&lt;/foreign-keys&gt;&lt;ref-type name="Journal Article"&gt;17&lt;/ref-type&gt;&lt;contributors&gt;&lt;authors&gt;&lt;author&gt;La Porta, R&lt;/author&gt;&lt;author&gt;Lopez-de-Silanes, F L&lt;/author&gt;&lt;author&gt;Shleifer, A&lt;/author&gt;&lt;author&gt;Vishny, R W&lt;/author&gt;&lt;/authors&gt;&lt;/contributors&gt;&lt;titles&gt;&lt;title&gt;Law and Finance&lt;/title&gt;&lt;secondary-title&gt;Journal of Political Economy&lt;/secondary-title&gt;&lt;/titles&gt;&lt;periodical&gt;&lt;full-title&gt;Journal of Political Economy&lt;/full-title&gt;&lt;/periodical&gt;&lt;pages&gt;1113-1155&lt;/pages&gt;&lt;volume&gt;106&lt;/volume&gt;&lt;dates&gt;&lt;year&gt;1998&lt;/year&gt;&lt;/dates&gt;&lt;urls&gt;&lt;/urls&gt;&lt;/record&gt;&lt;/Cite&gt;&lt;/EndNote&gt;</w:instrText>
      </w:r>
      <w:r w:rsidRPr="00EA7A2C">
        <w:rPr>
          <w:bCs/>
          <w:lang w:eastAsia="zh-CN"/>
        </w:rPr>
        <w:fldChar w:fldCharType="separate"/>
      </w:r>
      <w:r w:rsidRPr="00EA7A2C">
        <w:rPr>
          <w:bCs/>
          <w:noProof/>
          <w:lang w:eastAsia="zh-CN"/>
        </w:rPr>
        <w:t>(</w:t>
      </w:r>
      <w:hyperlink w:anchor="_ENREF_80" w:tooltip="La Porta, 1998 #98" w:history="1">
        <w:r w:rsidRPr="00EA7A2C">
          <w:rPr>
            <w:bCs/>
            <w:noProof/>
            <w:lang w:eastAsia="zh-CN"/>
          </w:rPr>
          <w:t>La Porta, et al., 1998</w:t>
        </w:r>
      </w:hyperlink>
      <w:r w:rsidRPr="00EA7A2C">
        <w:rPr>
          <w:bCs/>
          <w:noProof/>
          <w:lang w:eastAsia="zh-CN"/>
        </w:rPr>
        <w:t>)</w:t>
      </w:r>
      <w:r w:rsidRPr="00EA7A2C">
        <w:rPr>
          <w:bCs/>
          <w:lang w:eastAsia="zh-CN"/>
        </w:rPr>
        <w:fldChar w:fldCharType="end"/>
      </w:r>
      <w:r w:rsidRPr="00EA7A2C">
        <w:rPr>
          <w:bCs/>
          <w:lang w:eastAsia="zh-CN"/>
        </w:rPr>
        <w:t xml:space="preserve">, but also for foreign investors, and thus promote economic growth </w:t>
      </w:r>
      <w:r w:rsidRPr="00EA7A2C">
        <w:rPr>
          <w:bCs/>
          <w:lang w:eastAsia="zh-CN"/>
        </w:rPr>
        <w:fldChar w:fldCharType="begin"/>
      </w:r>
      <w:r w:rsidRPr="00EA7A2C">
        <w:rPr>
          <w:bCs/>
          <w:lang w:eastAsia="zh-CN"/>
        </w:rPr>
        <w:instrText xml:space="preserve"> ADDIN EN.CITE &lt;EndNote&gt;&lt;Cite&gt;&lt;Author&gt;Levine&lt;/Author&gt;&lt;Year&gt;1999&lt;/Year&gt;&lt;RecNum&gt;110&lt;/RecNum&gt;&lt;DisplayText&gt;(Levine, 1999)&lt;/DisplayText&gt;&lt;record&gt;&lt;rec-number&gt;110&lt;/rec-number&gt;&lt;foreign-keys&gt;&lt;key app="EN" db-id="t95xpsw2fsw0sdea2scvsdr3a9ftfdx2s2tt"&gt;110&lt;/key&gt;&lt;/foreign-keys&gt;&lt;ref-type name="Journal Article"&gt;17&lt;/ref-type&gt;&lt;contributors&gt;&lt;authors&gt;&lt;author&gt;Levine, R&lt;/author&gt;&lt;/authors&gt;&lt;/contributors&gt;&lt;titles&gt;&lt;title&gt;Law, finance, and economic growth&lt;/title&gt;&lt;secondary-title&gt;Journal of Financial Intermediation&lt;/secondary-title&gt;&lt;/titles&gt;&lt;periodical&gt;&lt;full-title&gt;Journal of Financial Intermediation&lt;/full-title&gt;&lt;/periodical&gt;&lt;pages&gt;8-35&lt;/pages&gt;&lt;volume&gt;8&lt;/volume&gt;&lt;number&gt;1&lt;/number&gt;&lt;dates&gt;&lt;year&gt;1999&lt;/year&gt;&lt;/dates&gt;&lt;urls&gt;&lt;/urls&gt;&lt;/record&gt;&lt;/Cite&gt;&lt;/EndNote&gt;</w:instrText>
      </w:r>
      <w:r w:rsidRPr="00EA7A2C">
        <w:rPr>
          <w:bCs/>
          <w:lang w:eastAsia="zh-CN"/>
        </w:rPr>
        <w:fldChar w:fldCharType="separate"/>
      </w:r>
      <w:r w:rsidRPr="00EA7A2C">
        <w:rPr>
          <w:bCs/>
          <w:noProof/>
          <w:lang w:eastAsia="zh-CN"/>
        </w:rPr>
        <w:t>(</w:t>
      </w:r>
      <w:hyperlink w:anchor="_ENREF_82" w:tooltip="Levine, 1999 #110" w:history="1">
        <w:r w:rsidRPr="00EA7A2C">
          <w:rPr>
            <w:bCs/>
            <w:noProof/>
            <w:lang w:eastAsia="zh-CN"/>
          </w:rPr>
          <w:t>Levine, 1999</w:t>
        </w:r>
      </w:hyperlink>
      <w:r w:rsidRPr="00EA7A2C">
        <w:rPr>
          <w:bCs/>
          <w:noProof/>
          <w:lang w:eastAsia="zh-CN"/>
        </w:rPr>
        <w:t>)</w:t>
      </w:r>
      <w:r w:rsidRPr="00EA7A2C">
        <w:rPr>
          <w:bCs/>
          <w:lang w:eastAsia="zh-CN"/>
        </w:rPr>
        <w:fldChar w:fldCharType="end"/>
      </w:r>
      <w:r w:rsidRPr="00EA7A2C">
        <w:rPr>
          <w:bCs/>
          <w:lang w:eastAsia="zh-CN"/>
        </w:rPr>
        <w:t xml:space="preserve">. However, corporate governance practices are different from country to country. Companies in different countries are operating in different social, cultural, legal and economic environments, as a result, each country has developed its own corporate governance system that serves its business operations best </w:t>
      </w:r>
      <w:r w:rsidRPr="00EA7A2C">
        <w:rPr>
          <w:bCs/>
          <w:lang w:eastAsia="zh-CN"/>
        </w:rPr>
        <w:fldChar w:fldCharType="begin"/>
      </w:r>
      <w:r w:rsidRPr="00EA7A2C">
        <w:rPr>
          <w:bCs/>
          <w:lang w:eastAsia="zh-CN"/>
        </w:rPr>
        <w:instrText xml:space="preserve"> ADDIN EN.CITE &lt;EndNote&gt;&lt;Cite&gt;&lt;Author&gt;La Porta&lt;/Author&gt;&lt;Year&gt;1998&lt;/Year&gt;&lt;RecNum&gt;98&lt;/RecNum&gt;&lt;DisplayText&gt;(La Porta, et al., 1998)&lt;/DisplayText&gt;&lt;record&gt;&lt;rec-number&gt;98&lt;/rec-number&gt;&lt;foreign-keys&gt;&lt;key app="EN" db-id="t95xpsw2fsw0sdea2scvsdr3a9ftfdx2s2tt"&gt;98&lt;/key&gt;&lt;/foreign-keys&gt;&lt;ref-type name="Journal Article"&gt;17&lt;/ref-type&gt;&lt;contributors&gt;&lt;authors&gt;&lt;author&gt;La Porta, R&lt;/author&gt;&lt;author&gt;Lopez-de-Silanes, F L&lt;/author&gt;&lt;author&gt;Shleifer, A&lt;/author&gt;&lt;author&gt;Vishny, R W&lt;/author&gt;&lt;/authors&gt;&lt;/contributors&gt;&lt;titles&gt;&lt;title&gt;Law and Finance&lt;/title&gt;&lt;secondary-title&gt;Journal of Political Economy&lt;/secondary-title&gt;&lt;/titles&gt;&lt;periodical&gt;&lt;full-title&gt;Journal of Political Economy&lt;/full-title&gt;&lt;/periodical&gt;&lt;pages&gt;1113-1155&lt;/pages&gt;&lt;volume&gt;106&lt;/volume&gt;&lt;dates&gt;&lt;year&gt;1998&lt;/year&gt;&lt;/dates&gt;&lt;urls&gt;&lt;/urls&gt;&lt;/record&gt;&lt;/Cite&gt;&lt;/EndNote&gt;</w:instrText>
      </w:r>
      <w:r w:rsidRPr="00EA7A2C">
        <w:rPr>
          <w:bCs/>
          <w:lang w:eastAsia="zh-CN"/>
        </w:rPr>
        <w:fldChar w:fldCharType="separate"/>
      </w:r>
      <w:r w:rsidRPr="00EA7A2C">
        <w:rPr>
          <w:bCs/>
          <w:noProof/>
          <w:lang w:eastAsia="zh-CN"/>
        </w:rPr>
        <w:t>(</w:t>
      </w:r>
      <w:hyperlink w:anchor="_ENREF_80" w:tooltip="La Porta, 1998 #98" w:history="1">
        <w:r w:rsidRPr="00EA7A2C">
          <w:rPr>
            <w:bCs/>
            <w:noProof/>
            <w:lang w:eastAsia="zh-CN"/>
          </w:rPr>
          <w:t>La Porta, et al., 1998</w:t>
        </w:r>
      </w:hyperlink>
      <w:r w:rsidRPr="00EA7A2C">
        <w:rPr>
          <w:bCs/>
          <w:noProof/>
          <w:lang w:eastAsia="zh-CN"/>
        </w:rPr>
        <w:t>)</w:t>
      </w:r>
      <w:r w:rsidRPr="00EA7A2C">
        <w:rPr>
          <w:bCs/>
          <w:lang w:eastAsia="zh-CN"/>
        </w:rPr>
        <w:fldChar w:fldCharType="end"/>
      </w:r>
      <w:r w:rsidRPr="00EA7A2C">
        <w:rPr>
          <w:bCs/>
          <w:lang w:eastAsia="zh-CN"/>
        </w:rPr>
        <w:t>.</w:t>
      </w:r>
      <w:r w:rsidRPr="00EA7A2C">
        <w:t xml:space="preserve"> This paper investigates the most significant cases that have helped to shape the current corporate laws in Australia in relation to corporate governance. It also shows the link between the directors’ duties as imposed by law (Corporations Act 2001) and the Australian Securities Exchange corporate governance recommendations (201</w:t>
      </w:r>
      <w:r w:rsidR="00A437C2" w:rsidRPr="00EA7A2C">
        <w:t>9</w:t>
      </w:r>
      <w:r w:rsidRPr="00EA7A2C">
        <w:t xml:space="preserve">) that listed companies must comply with. </w:t>
      </w:r>
    </w:p>
    <w:p w14:paraId="6FC43665" w14:textId="77777777" w:rsidR="00D375C0" w:rsidRPr="00EA7A2C" w:rsidRDefault="00D375C0" w:rsidP="00A437C2">
      <w:pPr>
        <w:ind w:left="567" w:right="567"/>
        <w:jc w:val="both"/>
        <w:rPr>
          <w:i/>
          <w:iCs/>
          <w:color w:val="000000"/>
        </w:rPr>
      </w:pPr>
      <w:r w:rsidRPr="00EA7A2C">
        <w:rPr>
          <w:i/>
        </w:rPr>
        <w:t xml:space="preserve">“How puzzling all these changes are! I'm never sure what I'm going to be, from one </w:t>
      </w:r>
      <w:proofErr w:type="gramStart"/>
      <w:r w:rsidRPr="00EA7A2C">
        <w:rPr>
          <w:i/>
        </w:rPr>
        <w:t>minute</w:t>
      </w:r>
      <w:r w:rsidR="00AF3905" w:rsidRPr="00EA7A2C">
        <w:rPr>
          <w:i/>
        </w:rPr>
        <w:t xml:space="preserve"> </w:t>
      </w:r>
      <w:r w:rsidRPr="00EA7A2C">
        <w:rPr>
          <w:i/>
        </w:rPr>
        <w:t xml:space="preserve"> another</w:t>
      </w:r>
      <w:proofErr w:type="gramEnd"/>
      <w:r w:rsidRPr="00EA7A2C">
        <w:rPr>
          <w:i/>
        </w:rPr>
        <w:t xml:space="preserve">.” </w:t>
      </w:r>
      <w:hyperlink r:id="rId7" w:history="1">
        <w:r w:rsidRPr="00EA7A2C">
          <w:rPr>
            <w:i/>
            <w:color w:val="000000"/>
          </w:rPr>
          <w:t>Carroll</w:t>
        </w:r>
      </w:hyperlink>
      <w:r w:rsidRPr="00EA7A2C">
        <w:rPr>
          <w:i/>
          <w:color w:val="000000"/>
        </w:rPr>
        <w:t xml:space="preserve">, </w:t>
      </w:r>
      <w:proofErr w:type="gramStart"/>
      <w:r w:rsidRPr="00EA7A2C">
        <w:rPr>
          <w:i/>
          <w:color w:val="000000"/>
        </w:rPr>
        <w:t>Lewis(</w:t>
      </w:r>
      <w:proofErr w:type="gramEnd"/>
      <w:r w:rsidRPr="00EA7A2C">
        <w:rPr>
          <w:i/>
          <w:color w:val="000000"/>
        </w:rPr>
        <w:t>1865), “</w:t>
      </w:r>
      <w:hyperlink r:id="rId8" w:history="1">
        <w:r w:rsidRPr="00EA7A2C">
          <w:rPr>
            <w:i/>
            <w:iCs/>
            <w:color w:val="000000"/>
          </w:rPr>
          <w:t>Alice's Adventures in Wonderland</w:t>
        </w:r>
      </w:hyperlink>
      <w:r w:rsidRPr="00EA7A2C">
        <w:rPr>
          <w:i/>
          <w:iCs/>
          <w:color w:val="000000"/>
        </w:rPr>
        <w:t>”</w:t>
      </w:r>
    </w:p>
    <w:p w14:paraId="5567AB17" w14:textId="77777777" w:rsidR="00D375C0" w:rsidRPr="00EA7A2C" w:rsidRDefault="00D375C0" w:rsidP="006D6636">
      <w:pPr>
        <w:ind w:left="216"/>
        <w:jc w:val="both"/>
      </w:pPr>
    </w:p>
    <w:p w14:paraId="051B6880" w14:textId="77777777" w:rsidR="00D375C0" w:rsidRPr="00EA7A2C" w:rsidRDefault="00D375C0" w:rsidP="006D6636">
      <w:pPr>
        <w:jc w:val="both"/>
        <w:rPr>
          <w:bCs/>
          <w:lang w:eastAsia="zh-CN"/>
        </w:rPr>
      </w:pPr>
      <w:r w:rsidRPr="00EA7A2C">
        <w:t>This leads to the Research Problem of “How have the Corporations Act (2001) for company directors duties and the corporate governance regimes recommended by ASX (201</w:t>
      </w:r>
      <w:r w:rsidR="00A437C2" w:rsidRPr="00EA7A2C">
        <w:t>9</w:t>
      </w:r>
      <w:r w:rsidRPr="00EA7A2C">
        <w:t>), been complied with by listed companies in Australia in the last 10 years”. Research Question 1: Can the directors duties outlined in the Corporations Act (2001) relate to the Corporate Governance recommendations by the ASX (201</w:t>
      </w:r>
      <w:r w:rsidR="00A437C2" w:rsidRPr="00EA7A2C">
        <w:t>9</w:t>
      </w:r>
      <w:r w:rsidRPr="00EA7A2C">
        <w:t xml:space="preserve">)? Research Question 2: What directors’ duties have been breached and resulted in court activity in the last 15 years? </w:t>
      </w:r>
      <w:r w:rsidRPr="00EA7A2C">
        <w:rPr>
          <w:bCs/>
          <w:lang w:eastAsia="zh-CN"/>
        </w:rPr>
        <w:t xml:space="preserve">To address the research problem, an </w:t>
      </w:r>
      <w:proofErr w:type="spellStart"/>
      <w:r w:rsidRPr="00EA7A2C">
        <w:rPr>
          <w:bCs/>
          <w:lang w:eastAsia="zh-CN"/>
        </w:rPr>
        <w:t>organised</w:t>
      </w:r>
      <w:proofErr w:type="spellEnd"/>
      <w:r w:rsidRPr="00EA7A2C">
        <w:rPr>
          <w:bCs/>
          <w:lang w:eastAsia="zh-CN"/>
        </w:rPr>
        <w:t xml:space="preserve">, systematic and logical process of research method, using secondary data will be used. The use of archival data involves the research into case law of court cases involving the Corporations Act (2001) breaches. </w:t>
      </w:r>
    </w:p>
    <w:p w14:paraId="0784B37F" w14:textId="77777777" w:rsidR="006D6636" w:rsidRPr="00EA7A2C" w:rsidRDefault="006D6636" w:rsidP="006D6636">
      <w:pPr>
        <w:jc w:val="both"/>
        <w:rPr>
          <w:bCs/>
          <w:lang w:eastAsia="zh-CN"/>
        </w:rPr>
      </w:pPr>
    </w:p>
    <w:p w14:paraId="08E6BD12" w14:textId="77777777" w:rsidR="00D375C0" w:rsidRDefault="001C0E4D" w:rsidP="001C0E4D">
      <w:pPr>
        <w:pStyle w:val="Heading2"/>
        <w:numPr>
          <w:ilvl w:val="0"/>
          <w:numId w:val="3"/>
        </w:numPr>
        <w:spacing w:before="0" w:after="0"/>
        <w:rPr>
          <w:b/>
          <w:i w:val="0"/>
        </w:rPr>
      </w:pPr>
      <w:r>
        <w:rPr>
          <w:b/>
          <w:i w:val="0"/>
        </w:rPr>
        <w:t>Results</w:t>
      </w:r>
    </w:p>
    <w:p w14:paraId="16F01C48" w14:textId="77777777" w:rsidR="001C0E4D" w:rsidRPr="001C0E4D" w:rsidRDefault="001C0E4D" w:rsidP="001C0E4D">
      <w:pPr>
        <w:pStyle w:val="ListParagraph"/>
        <w:numPr>
          <w:ilvl w:val="0"/>
          <w:numId w:val="3"/>
        </w:numPr>
      </w:pPr>
    </w:p>
    <w:p w14:paraId="1479A73D" w14:textId="77777777" w:rsidR="00D375C0" w:rsidRPr="00EA7A2C" w:rsidRDefault="00D375C0" w:rsidP="006D6636">
      <w:pPr>
        <w:jc w:val="both"/>
      </w:pPr>
      <w:r w:rsidRPr="00EA7A2C">
        <w:t>In order to answer Research Question 1: “</w:t>
      </w:r>
      <w:r w:rsidRPr="00EA7A2C">
        <w:rPr>
          <w:i/>
        </w:rPr>
        <w:t>Can directors duties outlined in the Corporations Act (2001) relate to the Corporate Governance recommendations by the ASX (201</w:t>
      </w:r>
      <w:r w:rsidR="00A437C2" w:rsidRPr="00EA7A2C">
        <w:rPr>
          <w:i/>
        </w:rPr>
        <w:t>9</w:t>
      </w:r>
      <w:r w:rsidRPr="00EA7A2C">
        <w:rPr>
          <w:i/>
        </w:rPr>
        <w:t>)”</w:t>
      </w:r>
      <w:r w:rsidRPr="00EA7A2C">
        <w:t xml:space="preserve"> directors duties must be investigated in terms of the specific references in the Corporations Act (CA) 2001 legislation. The difference between Common Law duties and Equitable Fiduciary duties must be ascertained, and specifically linked to a section of the act. </w:t>
      </w:r>
      <w:proofErr w:type="gramStart"/>
      <w:r w:rsidRPr="00EA7A2C">
        <w:t>Directors</w:t>
      </w:r>
      <w:proofErr w:type="gramEnd"/>
      <w:r w:rsidRPr="00EA7A2C">
        <w:t xml:space="preserve"> duties are broken down into Common Law duties and Equitable Fiduciary Duties. Under the Corporations Act (S185), there are specific sections on directors’ duties, such as S180 Reasonable care and diligence, S181 Good faith and proper purpose, S182 Conflict of interest, S183 Confidential information, S184 Criminal liability, S588G2/3 Insolvent Trading and Personal liability, and s1043A Insider trading. </w:t>
      </w:r>
    </w:p>
    <w:p w14:paraId="1A1181AA" w14:textId="77777777" w:rsidR="00AF3905" w:rsidRPr="00EA7A2C" w:rsidRDefault="00AF3905" w:rsidP="006D6636">
      <w:pPr>
        <w:jc w:val="both"/>
      </w:pPr>
    </w:p>
    <w:p w14:paraId="2CA81A92" w14:textId="77777777" w:rsidR="00D375C0" w:rsidRPr="00EA7A2C" w:rsidRDefault="00D375C0" w:rsidP="006D6636">
      <w:pPr>
        <w:jc w:val="both"/>
      </w:pPr>
      <w:r w:rsidRPr="00EA7A2C">
        <w:t>Specifically then under common law duties, a breach of section 180 Reasonable Case and Diligence or section 181 Good faith and proper purpose, will result in the use of section of S588G(2) which will result in personally liable penalties. Under the equitable fiduciary duties section of the Corporate Act (2001), section 182 conflict of interest and section 183 confidential information will able be in breach of director duties. Other penalties under the act include Criminal liability (s184), as well and other breaches such as Insolvent trading S588G (3) and Insider Trading (S1043A).</w:t>
      </w:r>
    </w:p>
    <w:p w14:paraId="48101547" w14:textId="77777777" w:rsidR="00AF3905" w:rsidRPr="00EA7A2C" w:rsidRDefault="00AF3905" w:rsidP="006D6636">
      <w:pPr>
        <w:jc w:val="both"/>
      </w:pPr>
    </w:p>
    <w:p w14:paraId="2C0D0E26" w14:textId="77777777" w:rsidR="00D375C0" w:rsidRPr="00EA7A2C" w:rsidRDefault="00D375C0" w:rsidP="006D6636">
      <w:pPr>
        <w:jc w:val="both"/>
      </w:pPr>
      <w:r w:rsidRPr="00EA7A2C">
        <w:t xml:space="preserve">The commonwealth government </w:t>
      </w:r>
      <w:proofErr w:type="spellStart"/>
      <w:r w:rsidRPr="00EA7A2C">
        <w:t>recognises</w:t>
      </w:r>
      <w:proofErr w:type="spellEnd"/>
      <w:r w:rsidRPr="00EA7A2C">
        <w:t xml:space="preserve"> that all of these laws place a heavy burden on directors, and has encouraged the Council of Australian Governments (COAG) to review these in light of state legislations. Nicholson and Underhill (2012) discuss the “Personal Liability for Corporate Fault Reform Bill” that imposes personal liability on company officers for offences committed by corporations. The reforms came from the 2009 Council of Australian Governments (COAG) which intends to </w:t>
      </w:r>
      <w:proofErr w:type="spellStart"/>
      <w:r w:rsidRPr="00EA7A2C">
        <w:t>harmonise</w:t>
      </w:r>
      <w:proofErr w:type="spellEnd"/>
      <w:r w:rsidRPr="00EA7A2C">
        <w:t xml:space="preserve"> corporate wrongs with personal criminal liability. This has been replaced by the Miscellaneous Acts Amendment (Directors’ Liability) Act No. 2, 2011 (NSW) (2011 Act) and was subsequently replaced by the Miscellaneous Acts Amendment (Directors’ Liability) Act 2012 (NSW) (2012 Act), which commenced on 11</w:t>
      </w:r>
      <w:r w:rsidRPr="00EA7A2C">
        <w:rPr>
          <w:vertAlign w:val="superscript"/>
        </w:rPr>
        <w:t>th</w:t>
      </w:r>
      <w:r w:rsidRPr="00EA7A2C">
        <w:t xml:space="preserve"> January 2013.</w:t>
      </w:r>
    </w:p>
    <w:p w14:paraId="0BE49AFB" w14:textId="77777777" w:rsidR="00AF3905" w:rsidRPr="00EA7A2C" w:rsidRDefault="00AF3905" w:rsidP="006D6636">
      <w:pPr>
        <w:jc w:val="both"/>
        <w:rPr>
          <w:b/>
        </w:rPr>
      </w:pPr>
    </w:p>
    <w:p w14:paraId="5C1A341F" w14:textId="77777777" w:rsidR="00D375C0" w:rsidRPr="00EA7A2C" w:rsidRDefault="00D375C0" w:rsidP="006D6636">
      <w:pPr>
        <w:jc w:val="both"/>
        <w:rPr>
          <w:rFonts w:eastAsia="Times New Roman"/>
          <w:bCs/>
          <w:lang w:val="en-GB"/>
        </w:rPr>
      </w:pPr>
      <w:r w:rsidRPr="00EA7A2C">
        <w:t>Particularly after the corporate collapse era of 2000s, many countries have adopted some form of governance code such as that of the Corporate Governance Council of Australia, with their Best Practice Recommendations for listed companies on the Australian Securities Exchange (201</w:t>
      </w:r>
      <w:r w:rsidR="00A437C2" w:rsidRPr="00EA7A2C">
        <w:t>9</w:t>
      </w:r>
      <w:r w:rsidRPr="00EA7A2C">
        <w:t xml:space="preserve">). </w:t>
      </w:r>
      <w:r w:rsidRPr="00EA7A2C">
        <w:rPr>
          <w:rFonts w:eastAsia="Times New Roman"/>
          <w:bCs/>
          <w:lang w:val="en-GB"/>
        </w:rPr>
        <w:t xml:space="preserve">Although these are recommendations only, for listed companies in Australia, listing rule 4.10 dictates that companies must address each of these governance </w:t>
      </w:r>
      <w:r w:rsidRPr="00EA7A2C">
        <w:rPr>
          <w:rFonts w:eastAsia="Times New Roman"/>
          <w:bCs/>
          <w:lang w:val="en-GB"/>
        </w:rPr>
        <w:lastRenderedPageBreak/>
        <w:t>initiatives, and explain if they have not adopted the recommendation (if not why not). In particular for listing companies in Australia it is important to link the Corporate Governance recommendations by the ASX (201</w:t>
      </w:r>
      <w:r w:rsidR="00A437C2" w:rsidRPr="00EA7A2C">
        <w:rPr>
          <w:rFonts w:eastAsia="Times New Roman"/>
          <w:bCs/>
          <w:lang w:val="en-GB"/>
        </w:rPr>
        <w:t>9</w:t>
      </w:r>
      <w:r w:rsidRPr="00EA7A2C">
        <w:rPr>
          <w:rFonts w:eastAsia="Times New Roman"/>
          <w:bCs/>
          <w:lang w:val="en-GB"/>
        </w:rPr>
        <w:t xml:space="preserve">) to that of their Corporations Act (2001) obligations as shown in table 2. </w:t>
      </w:r>
    </w:p>
    <w:p w14:paraId="744E7827" w14:textId="77777777" w:rsidR="00AF3905" w:rsidRPr="00EA7A2C" w:rsidRDefault="00AF3905" w:rsidP="006D6636">
      <w:pPr>
        <w:jc w:val="both"/>
        <w:rPr>
          <w:rFonts w:eastAsia="Times New Roman"/>
          <w:bCs/>
          <w:lang w:val="en-GB"/>
        </w:rPr>
      </w:pPr>
    </w:p>
    <w:p w14:paraId="016469C8" w14:textId="77777777" w:rsidR="00AF3905" w:rsidRPr="00EA7A2C" w:rsidRDefault="00D375C0" w:rsidP="00AF3905">
      <w:pPr>
        <w:jc w:val="both"/>
      </w:pPr>
      <w:r w:rsidRPr="00EA7A2C">
        <w:t>In order to answer Research Question 1: “</w:t>
      </w:r>
      <w:r w:rsidRPr="00EA7A2C">
        <w:rPr>
          <w:i/>
        </w:rPr>
        <w:t>Can directors duties outlined in the Corporations Act (2001) relate to the Corporate Governance recommendations by the ASX (201</w:t>
      </w:r>
      <w:r w:rsidR="00A437C2" w:rsidRPr="00EA7A2C">
        <w:rPr>
          <w:i/>
        </w:rPr>
        <w:t>9</w:t>
      </w:r>
      <w:r w:rsidRPr="00EA7A2C">
        <w:rPr>
          <w:i/>
        </w:rPr>
        <w:t xml:space="preserve">)”, </w:t>
      </w:r>
      <w:r w:rsidRPr="00EA7A2C">
        <w:t>table 2 suggests there is a direct link between the application of the good governance recommendations by the ASX (2010) and the application of the Corporations Act (2001) for any breaches of those recommendations by directors. Directors therefore should be aware that even though the governance recommendations have an “if not why not” regime, that a breach of the recommendation can be directly linked to a breach of the Corporations Act (2001) which could lead to criminal or civil personal liability for Directors actions.</w:t>
      </w:r>
    </w:p>
    <w:p w14:paraId="043AC9A5" w14:textId="77777777" w:rsidR="00D375C0" w:rsidRPr="00EA7A2C" w:rsidRDefault="00D375C0" w:rsidP="00A437C2">
      <w:pPr>
        <w:ind w:left="567" w:right="567"/>
        <w:jc w:val="both"/>
      </w:pPr>
      <w:r w:rsidRPr="00EA7A2C">
        <w:rPr>
          <w:i/>
          <w:color w:val="000000"/>
        </w:rPr>
        <w:t xml:space="preserve">“I don't think..." then you shouldn't talk, said the Hatter.” </w:t>
      </w:r>
      <w:hyperlink r:id="rId9" w:history="1">
        <w:r w:rsidRPr="00EA7A2C">
          <w:rPr>
            <w:i/>
            <w:color w:val="000000"/>
          </w:rPr>
          <w:t>Carroll</w:t>
        </w:r>
      </w:hyperlink>
      <w:r w:rsidRPr="00EA7A2C">
        <w:rPr>
          <w:i/>
          <w:color w:val="000000"/>
        </w:rPr>
        <w:t>,</w:t>
      </w:r>
      <w:r w:rsidR="00DA69F9" w:rsidRPr="00EA7A2C">
        <w:rPr>
          <w:i/>
          <w:color w:val="000000"/>
        </w:rPr>
        <w:t xml:space="preserve"> </w:t>
      </w:r>
      <w:r w:rsidRPr="00EA7A2C">
        <w:rPr>
          <w:i/>
          <w:color w:val="000000"/>
        </w:rPr>
        <w:t>Lewis (1865) “</w:t>
      </w:r>
      <w:hyperlink r:id="rId10" w:history="1">
        <w:r w:rsidRPr="00EA7A2C">
          <w:rPr>
            <w:i/>
            <w:iCs/>
            <w:color w:val="000000"/>
          </w:rPr>
          <w:t>Alice in Wonderland</w:t>
        </w:r>
      </w:hyperlink>
      <w:r w:rsidRPr="00EA7A2C">
        <w:rPr>
          <w:i/>
          <w:iCs/>
          <w:color w:val="000000"/>
        </w:rPr>
        <w:t>”</w:t>
      </w:r>
    </w:p>
    <w:p w14:paraId="5E5663F5" w14:textId="77777777" w:rsidR="001C0E4D" w:rsidRDefault="001C0E4D" w:rsidP="006D6636">
      <w:pPr>
        <w:jc w:val="both"/>
        <w:rPr>
          <w:rFonts w:eastAsia="Times New Roman"/>
          <w:b/>
          <w:bCs/>
          <w:lang w:val="en-GB"/>
        </w:rPr>
      </w:pPr>
    </w:p>
    <w:p w14:paraId="33458900" w14:textId="77777777" w:rsidR="00D375C0" w:rsidRPr="001C0E4D" w:rsidRDefault="00D375C0" w:rsidP="006D6636">
      <w:pPr>
        <w:jc w:val="both"/>
        <w:rPr>
          <w:rFonts w:eastAsia="Times New Roman"/>
          <w:b/>
          <w:bCs/>
          <w:lang w:val="en-GB"/>
        </w:rPr>
      </w:pPr>
      <w:r w:rsidRPr="001C0E4D">
        <w:rPr>
          <w:rFonts w:eastAsia="Times New Roman"/>
          <w:b/>
          <w:bCs/>
          <w:lang w:val="en-GB"/>
        </w:rPr>
        <w:t>Table 2: ASX (201</w:t>
      </w:r>
      <w:r w:rsidR="00A437C2" w:rsidRPr="001C0E4D">
        <w:rPr>
          <w:rFonts w:eastAsia="Times New Roman"/>
          <w:b/>
          <w:bCs/>
          <w:lang w:val="en-GB"/>
        </w:rPr>
        <w:t>9</w:t>
      </w:r>
      <w:r w:rsidRPr="001C0E4D">
        <w:rPr>
          <w:rFonts w:eastAsia="Times New Roman"/>
          <w:b/>
          <w:bCs/>
          <w:lang w:val="en-GB"/>
        </w:rPr>
        <w:t>) and CA (2001)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812"/>
      </w:tblGrid>
      <w:tr w:rsidR="00D375C0" w:rsidRPr="00EA7A2C" w14:paraId="6D11BA0A" w14:textId="77777777" w:rsidTr="00DA69F9">
        <w:tc>
          <w:tcPr>
            <w:tcW w:w="3114" w:type="dxa"/>
            <w:shd w:val="clear" w:color="auto" w:fill="auto"/>
          </w:tcPr>
          <w:p w14:paraId="0DA59B2C" w14:textId="77777777" w:rsidR="00D375C0" w:rsidRPr="00EA7A2C" w:rsidRDefault="00D375C0" w:rsidP="00A437C2">
            <w:pPr>
              <w:ind w:left="360"/>
              <w:jc w:val="both"/>
              <w:rPr>
                <w:rFonts w:eastAsia="Calibri"/>
                <w:b/>
                <w:i/>
              </w:rPr>
            </w:pPr>
            <w:r w:rsidRPr="00EA7A2C">
              <w:rPr>
                <w:rFonts w:eastAsia="Calibri"/>
                <w:b/>
                <w:i/>
              </w:rPr>
              <w:t>ASX 201</w:t>
            </w:r>
            <w:r w:rsidR="00A437C2" w:rsidRPr="00EA7A2C">
              <w:rPr>
                <w:rFonts w:eastAsia="Calibri"/>
                <w:b/>
                <w:i/>
              </w:rPr>
              <w:t>9</w:t>
            </w:r>
            <w:r w:rsidRPr="00EA7A2C">
              <w:rPr>
                <w:rFonts w:eastAsia="Calibri"/>
                <w:b/>
                <w:i/>
              </w:rPr>
              <w:t xml:space="preserve"> </w:t>
            </w:r>
          </w:p>
        </w:tc>
        <w:tc>
          <w:tcPr>
            <w:tcW w:w="5812" w:type="dxa"/>
            <w:shd w:val="clear" w:color="auto" w:fill="auto"/>
          </w:tcPr>
          <w:p w14:paraId="253E961E" w14:textId="77777777" w:rsidR="00D375C0" w:rsidRPr="00EA7A2C" w:rsidRDefault="00D375C0" w:rsidP="006D6636">
            <w:pPr>
              <w:rPr>
                <w:rFonts w:eastAsia="Calibri"/>
                <w:b/>
                <w:i/>
              </w:rPr>
            </w:pPr>
            <w:r w:rsidRPr="00EA7A2C">
              <w:rPr>
                <w:rFonts w:eastAsia="Calibri"/>
                <w:b/>
                <w:i/>
              </w:rPr>
              <w:t>Corporations Act 2001</w:t>
            </w:r>
          </w:p>
        </w:tc>
      </w:tr>
      <w:tr w:rsidR="00D375C0" w:rsidRPr="00EA7A2C" w14:paraId="51E7F780" w14:textId="77777777" w:rsidTr="00DA69F9">
        <w:tc>
          <w:tcPr>
            <w:tcW w:w="3114" w:type="dxa"/>
            <w:shd w:val="clear" w:color="auto" w:fill="auto"/>
          </w:tcPr>
          <w:p w14:paraId="5C1AF3DD" w14:textId="77777777" w:rsidR="00D375C0" w:rsidRPr="00EA7A2C" w:rsidRDefault="00D375C0" w:rsidP="006D6636">
            <w:pPr>
              <w:jc w:val="both"/>
              <w:rPr>
                <w:rFonts w:eastAsia="Calibri"/>
              </w:rPr>
            </w:pPr>
            <w:r w:rsidRPr="00EA7A2C">
              <w:rPr>
                <w:rFonts w:eastAsia="Calibri"/>
              </w:rPr>
              <w:t xml:space="preserve">1: Solid foundations </w:t>
            </w:r>
            <w:r w:rsidR="00A437C2" w:rsidRPr="00EA7A2C">
              <w:rPr>
                <w:rFonts w:eastAsia="Calibri"/>
              </w:rPr>
              <w:t>for management &amp; oversight</w:t>
            </w:r>
          </w:p>
        </w:tc>
        <w:tc>
          <w:tcPr>
            <w:tcW w:w="5812" w:type="dxa"/>
            <w:shd w:val="clear" w:color="auto" w:fill="auto"/>
          </w:tcPr>
          <w:p w14:paraId="110A4439" w14:textId="77777777" w:rsidR="00D375C0" w:rsidRPr="00EA7A2C" w:rsidRDefault="00D375C0" w:rsidP="001C0E4D">
            <w:pPr>
              <w:jc w:val="left"/>
              <w:rPr>
                <w:rFonts w:eastAsia="Calibri"/>
              </w:rPr>
            </w:pPr>
            <w:r w:rsidRPr="00EA7A2C">
              <w:rPr>
                <w:rFonts w:eastAsia="Calibri"/>
              </w:rPr>
              <w:t>Reasonable Care and Diligence S180</w:t>
            </w:r>
            <w:r w:rsidR="001C0E4D">
              <w:rPr>
                <w:rFonts w:eastAsia="Calibri"/>
              </w:rPr>
              <w:t xml:space="preserve">, </w:t>
            </w:r>
            <w:r w:rsidRPr="00EA7A2C">
              <w:rPr>
                <w:rFonts w:eastAsia="Calibri"/>
              </w:rPr>
              <w:t>Good faith and proper purpose S181</w:t>
            </w:r>
          </w:p>
        </w:tc>
      </w:tr>
      <w:tr w:rsidR="00D375C0" w:rsidRPr="00EA7A2C" w14:paraId="5FD0ECEA" w14:textId="77777777" w:rsidTr="00DA69F9">
        <w:tc>
          <w:tcPr>
            <w:tcW w:w="3114" w:type="dxa"/>
            <w:shd w:val="clear" w:color="auto" w:fill="auto"/>
          </w:tcPr>
          <w:p w14:paraId="4B0EDD90" w14:textId="77777777" w:rsidR="00D375C0" w:rsidRPr="00EA7A2C" w:rsidRDefault="00D375C0" w:rsidP="00A437C2">
            <w:pPr>
              <w:jc w:val="both"/>
              <w:rPr>
                <w:rFonts w:eastAsia="Calibri"/>
              </w:rPr>
            </w:pPr>
            <w:r w:rsidRPr="00EA7A2C">
              <w:rPr>
                <w:rFonts w:eastAsia="Calibri"/>
              </w:rPr>
              <w:t xml:space="preserve">2: </w:t>
            </w:r>
            <w:r w:rsidR="00A437C2" w:rsidRPr="00EA7A2C">
              <w:rPr>
                <w:rFonts w:eastAsia="Calibri"/>
              </w:rPr>
              <w:t xml:space="preserve">Structure </w:t>
            </w:r>
            <w:r w:rsidRPr="00EA7A2C">
              <w:rPr>
                <w:rFonts w:eastAsia="Calibri"/>
              </w:rPr>
              <w:t xml:space="preserve">Board to </w:t>
            </w:r>
            <w:r w:rsidR="00A437C2" w:rsidRPr="00EA7A2C">
              <w:rPr>
                <w:rFonts w:eastAsia="Calibri"/>
              </w:rPr>
              <w:t>be effective and add value</w:t>
            </w:r>
          </w:p>
        </w:tc>
        <w:tc>
          <w:tcPr>
            <w:tcW w:w="5812" w:type="dxa"/>
            <w:shd w:val="clear" w:color="auto" w:fill="auto"/>
          </w:tcPr>
          <w:p w14:paraId="1456C504" w14:textId="77777777" w:rsidR="00D375C0" w:rsidRPr="00EA7A2C" w:rsidRDefault="00D375C0" w:rsidP="00A437C2">
            <w:pPr>
              <w:jc w:val="left"/>
              <w:rPr>
                <w:rFonts w:eastAsia="Calibri"/>
              </w:rPr>
            </w:pPr>
            <w:r w:rsidRPr="00EA7A2C">
              <w:rPr>
                <w:rFonts w:eastAsia="Calibri"/>
              </w:rPr>
              <w:t>Personally Liable S588G(2)</w:t>
            </w:r>
          </w:p>
        </w:tc>
      </w:tr>
      <w:tr w:rsidR="00D375C0" w:rsidRPr="00EA7A2C" w14:paraId="158F61AD" w14:textId="77777777" w:rsidTr="00DA69F9">
        <w:tc>
          <w:tcPr>
            <w:tcW w:w="3114" w:type="dxa"/>
            <w:shd w:val="clear" w:color="auto" w:fill="auto"/>
          </w:tcPr>
          <w:p w14:paraId="6D1DAB44" w14:textId="77777777" w:rsidR="00D375C0" w:rsidRPr="00EA7A2C" w:rsidRDefault="00D375C0" w:rsidP="00A437C2">
            <w:pPr>
              <w:jc w:val="both"/>
              <w:rPr>
                <w:rFonts w:eastAsia="Calibri"/>
              </w:rPr>
            </w:pPr>
            <w:r w:rsidRPr="00EA7A2C">
              <w:rPr>
                <w:rFonts w:eastAsia="Calibri"/>
              </w:rPr>
              <w:t xml:space="preserve">3: </w:t>
            </w:r>
            <w:proofErr w:type="spellStart"/>
            <w:r w:rsidR="00A437C2" w:rsidRPr="00EA7A2C">
              <w:rPr>
                <w:rFonts w:eastAsia="Calibri"/>
              </w:rPr>
              <w:t>Instil</w:t>
            </w:r>
            <w:proofErr w:type="spellEnd"/>
            <w:r w:rsidR="00A437C2" w:rsidRPr="00EA7A2C">
              <w:rPr>
                <w:rFonts w:eastAsia="Calibri"/>
              </w:rPr>
              <w:t xml:space="preserve"> a culture of acting lawfully, ethically &amp; responsibly</w:t>
            </w:r>
          </w:p>
        </w:tc>
        <w:tc>
          <w:tcPr>
            <w:tcW w:w="5812" w:type="dxa"/>
            <w:shd w:val="clear" w:color="auto" w:fill="auto"/>
          </w:tcPr>
          <w:p w14:paraId="26403CE0" w14:textId="77777777" w:rsidR="00D375C0" w:rsidRPr="00EA7A2C" w:rsidRDefault="00D375C0" w:rsidP="00A437C2">
            <w:pPr>
              <w:jc w:val="left"/>
              <w:rPr>
                <w:rFonts w:eastAsia="Calibri"/>
              </w:rPr>
            </w:pPr>
            <w:r w:rsidRPr="00EA7A2C">
              <w:rPr>
                <w:rFonts w:eastAsia="Calibri"/>
              </w:rPr>
              <w:t>Criminal Liability S184</w:t>
            </w:r>
            <w:r w:rsidR="001C0E4D">
              <w:rPr>
                <w:rFonts w:eastAsia="Calibri"/>
              </w:rPr>
              <w:t xml:space="preserve">, </w:t>
            </w:r>
            <w:r w:rsidRPr="00EA7A2C">
              <w:rPr>
                <w:rFonts w:eastAsia="Calibri"/>
              </w:rPr>
              <w:t>Reasonable Care and Diligence S180</w:t>
            </w:r>
          </w:p>
          <w:p w14:paraId="096C29E1" w14:textId="77777777" w:rsidR="00D375C0" w:rsidRPr="00EA7A2C" w:rsidRDefault="00D375C0" w:rsidP="00A437C2">
            <w:pPr>
              <w:jc w:val="left"/>
              <w:rPr>
                <w:rFonts w:eastAsia="Calibri"/>
              </w:rPr>
            </w:pPr>
            <w:r w:rsidRPr="00EA7A2C">
              <w:rPr>
                <w:rFonts w:eastAsia="Calibri"/>
              </w:rPr>
              <w:t>Personally Liable S588G (2)</w:t>
            </w:r>
          </w:p>
        </w:tc>
      </w:tr>
      <w:tr w:rsidR="00D375C0" w:rsidRPr="00EA7A2C" w14:paraId="6A6EC3EB" w14:textId="77777777" w:rsidTr="00DA69F9">
        <w:tc>
          <w:tcPr>
            <w:tcW w:w="3114" w:type="dxa"/>
            <w:shd w:val="clear" w:color="auto" w:fill="auto"/>
          </w:tcPr>
          <w:p w14:paraId="38A2E185" w14:textId="77777777" w:rsidR="00D375C0" w:rsidRPr="00EA7A2C" w:rsidRDefault="00D375C0" w:rsidP="00A437C2">
            <w:pPr>
              <w:jc w:val="both"/>
              <w:rPr>
                <w:rFonts w:eastAsia="Calibri"/>
              </w:rPr>
            </w:pPr>
            <w:r w:rsidRPr="00EA7A2C">
              <w:rPr>
                <w:rFonts w:eastAsia="Calibri"/>
              </w:rPr>
              <w:t xml:space="preserve">4: Safeguard integrity </w:t>
            </w:r>
            <w:r w:rsidR="00A437C2" w:rsidRPr="00EA7A2C">
              <w:rPr>
                <w:rFonts w:eastAsia="Calibri"/>
              </w:rPr>
              <w:t>of corporate reports</w:t>
            </w:r>
          </w:p>
        </w:tc>
        <w:tc>
          <w:tcPr>
            <w:tcW w:w="5812" w:type="dxa"/>
            <w:shd w:val="clear" w:color="auto" w:fill="auto"/>
          </w:tcPr>
          <w:p w14:paraId="5BB28395" w14:textId="77777777" w:rsidR="00D375C0" w:rsidRPr="00EA7A2C" w:rsidRDefault="00D375C0" w:rsidP="00A437C2">
            <w:pPr>
              <w:jc w:val="left"/>
              <w:rPr>
                <w:rFonts w:eastAsia="Calibri"/>
              </w:rPr>
            </w:pPr>
            <w:r w:rsidRPr="00EA7A2C">
              <w:rPr>
                <w:rFonts w:eastAsia="Calibri"/>
              </w:rPr>
              <w:t>Reasonable Care and Diligence S180</w:t>
            </w:r>
          </w:p>
        </w:tc>
      </w:tr>
      <w:tr w:rsidR="00D375C0" w:rsidRPr="00EA7A2C" w14:paraId="14371E27" w14:textId="77777777" w:rsidTr="00DA69F9">
        <w:tc>
          <w:tcPr>
            <w:tcW w:w="3114" w:type="dxa"/>
            <w:shd w:val="clear" w:color="auto" w:fill="auto"/>
          </w:tcPr>
          <w:p w14:paraId="365EF194" w14:textId="77777777" w:rsidR="00D375C0" w:rsidRPr="00EA7A2C" w:rsidRDefault="00D375C0" w:rsidP="006D6636">
            <w:pPr>
              <w:jc w:val="both"/>
              <w:rPr>
                <w:rFonts w:eastAsia="Calibri"/>
              </w:rPr>
            </w:pPr>
            <w:r w:rsidRPr="00EA7A2C">
              <w:rPr>
                <w:rFonts w:eastAsia="Calibri"/>
              </w:rPr>
              <w:t>5: Make timely and balanced disclosure</w:t>
            </w:r>
          </w:p>
        </w:tc>
        <w:tc>
          <w:tcPr>
            <w:tcW w:w="5812" w:type="dxa"/>
            <w:shd w:val="clear" w:color="auto" w:fill="auto"/>
          </w:tcPr>
          <w:p w14:paraId="7366811F" w14:textId="77777777" w:rsidR="00D375C0" w:rsidRPr="00EA7A2C" w:rsidRDefault="00D375C0" w:rsidP="00A437C2">
            <w:pPr>
              <w:jc w:val="left"/>
              <w:rPr>
                <w:rFonts w:eastAsia="Calibri"/>
              </w:rPr>
            </w:pPr>
            <w:r w:rsidRPr="00EA7A2C">
              <w:rPr>
                <w:rFonts w:eastAsia="Calibri"/>
              </w:rPr>
              <w:t>Conflict of Interest S182</w:t>
            </w:r>
            <w:r w:rsidR="001C0E4D">
              <w:rPr>
                <w:rFonts w:eastAsia="Calibri"/>
              </w:rPr>
              <w:t xml:space="preserve">, </w:t>
            </w:r>
            <w:r w:rsidRPr="00EA7A2C">
              <w:rPr>
                <w:rFonts w:eastAsia="Calibri"/>
              </w:rPr>
              <w:t>Confidential Information S183</w:t>
            </w:r>
          </w:p>
          <w:p w14:paraId="3E74719B" w14:textId="77777777" w:rsidR="00D375C0" w:rsidRPr="00EA7A2C" w:rsidRDefault="00D375C0" w:rsidP="00A437C2">
            <w:pPr>
              <w:jc w:val="left"/>
              <w:rPr>
                <w:rFonts w:eastAsia="Calibri"/>
              </w:rPr>
            </w:pPr>
            <w:r w:rsidRPr="00EA7A2C">
              <w:rPr>
                <w:rFonts w:eastAsia="Calibri"/>
              </w:rPr>
              <w:t>Reasonable Care and Diligence S180</w:t>
            </w:r>
          </w:p>
        </w:tc>
      </w:tr>
      <w:tr w:rsidR="00D375C0" w:rsidRPr="00EA7A2C" w14:paraId="0E4B01F7" w14:textId="77777777" w:rsidTr="00DA69F9">
        <w:tc>
          <w:tcPr>
            <w:tcW w:w="3114" w:type="dxa"/>
            <w:shd w:val="clear" w:color="auto" w:fill="auto"/>
          </w:tcPr>
          <w:p w14:paraId="218C85A7" w14:textId="77777777" w:rsidR="00D375C0" w:rsidRPr="00EA7A2C" w:rsidRDefault="00D375C0" w:rsidP="00A437C2">
            <w:pPr>
              <w:jc w:val="both"/>
              <w:rPr>
                <w:rFonts w:eastAsia="Calibri"/>
              </w:rPr>
            </w:pPr>
            <w:r w:rsidRPr="00EA7A2C">
              <w:rPr>
                <w:rFonts w:eastAsia="Calibri"/>
              </w:rPr>
              <w:t xml:space="preserve">6: Respect the rights of </w:t>
            </w:r>
            <w:r w:rsidR="00A437C2" w:rsidRPr="00EA7A2C">
              <w:rPr>
                <w:rFonts w:eastAsia="Calibri"/>
              </w:rPr>
              <w:t>security holders</w:t>
            </w:r>
          </w:p>
        </w:tc>
        <w:tc>
          <w:tcPr>
            <w:tcW w:w="5812" w:type="dxa"/>
            <w:shd w:val="clear" w:color="auto" w:fill="auto"/>
          </w:tcPr>
          <w:p w14:paraId="26F01616" w14:textId="77777777" w:rsidR="00D375C0" w:rsidRPr="00EA7A2C" w:rsidRDefault="00D375C0" w:rsidP="00A437C2">
            <w:pPr>
              <w:jc w:val="left"/>
              <w:rPr>
                <w:rFonts w:eastAsia="Calibri"/>
              </w:rPr>
            </w:pPr>
            <w:r w:rsidRPr="00EA7A2C">
              <w:rPr>
                <w:rFonts w:eastAsia="Calibri"/>
              </w:rPr>
              <w:t>Insolvent Trading S588G (3)</w:t>
            </w:r>
            <w:r w:rsidR="001C0E4D">
              <w:rPr>
                <w:rFonts w:eastAsia="Calibri"/>
              </w:rPr>
              <w:t xml:space="preserve">, </w:t>
            </w:r>
            <w:r w:rsidRPr="00EA7A2C">
              <w:rPr>
                <w:rFonts w:eastAsia="Calibri"/>
              </w:rPr>
              <w:t>Insider Trading S1043A</w:t>
            </w:r>
          </w:p>
          <w:p w14:paraId="638C093B" w14:textId="77777777" w:rsidR="00D375C0" w:rsidRPr="00EA7A2C" w:rsidRDefault="00D375C0" w:rsidP="00A437C2">
            <w:pPr>
              <w:jc w:val="left"/>
              <w:rPr>
                <w:rFonts w:eastAsia="Calibri"/>
              </w:rPr>
            </w:pPr>
            <w:r w:rsidRPr="00EA7A2C">
              <w:rPr>
                <w:rFonts w:eastAsia="Calibri"/>
              </w:rPr>
              <w:t>Good Faith and Proper Purpose S181</w:t>
            </w:r>
          </w:p>
        </w:tc>
      </w:tr>
      <w:tr w:rsidR="00D375C0" w:rsidRPr="00EA7A2C" w14:paraId="743D9AAC" w14:textId="77777777" w:rsidTr="00DA69F9">
        <w:tc>
          <w:tcPr>
            <w:tcW w:w="3114" w:type="dxa"/>
            <w:shd w:val="clear" w:color="auto" w:fill="auto"/>
          </w:tcPr>
          <w:p w14:paraId="6E9718ED" w14:textId="77777777" w:rsidR="00D375C0" w:rsidRPr="00EA7A2C" w:rsidRDefault="00D375C0" w:rsidP="006D6636">
            <w:pPr>
              <w:jc w:val="both"/>
              <w:rPr>
                <w:rFonts w:eastAsia="Calibri"/>
              </w:rPr>
            </w:pPr>
            <w:r w:rsidRPr="00EA7A2C">
              <w:rPr>
                <w:rFonts w:eastAsia="Calibri"/>
              </w:rPr>
              <w:t xml:space="preserve">7: </w:t>
            </w:r>
            <w:proofErr w:type="spellStart"/>
            <w:r w:rsidRPr="00EA7A2C">
              <w:rPr>
                <w:rFonts w:eastAsia="Calibri"/>
              </w:rPr>
              <w:t>Recognise</w:t>
            </w:r>
            <w:proofErr w:type="spellEnd"/>
            <w:r w:rsidRPr="00EA7A2C">
              <w:rPr>
                <w:rFonts w:eastAsia="Calibri"/>
              </w:rPr>
              <w:t xml:space="preserve"> and manage risk</w:t>
            </w:r>
          </w:p>
        </w:tc>
        <w:tc>
          <w:tcPr>
            <w:tcW w:w="5812" w:type="dxa"/>
            <w:shd w:val="clear" w:color="auto" w:fill="auto"/>
          </w:tcPr>
          <w:p w14:paraId="35A41EC7" w14:textId="77777777" w:rsidR="00D375C0" w:rsidRPr="00EA7A2C" w:rsidRDefault="00D375C0" w:rsidP="001C0E4D">
            <w:pPr>
              <w:jc w:val="left"/>
              <w:rPr>
                <w:rFonts w:eastAsia="Calibri"/>
              </w:rPr>
            </w:pPr>
            <w:r w:rsidRPr="00EA7A2C">
              <w:rPr>
                <w:rFonts w:eastAsia="Calibri"/>
              </w:rPr>
              <w:t>Insolvent Trading S588G (3), Insider Trading S1043A, Good Faith and Proper Purpose S181</w:t>
            </w:r>
            <w:r w:rsidR="001C0E4D">
              <w:rPr>
                <w:rFonts w:eastAsia="Calibri"/>
              </w:rPr>
              <w:t xml:space="preserve">. </w:t>
            </w:r>
            <w:r w:rsidRPr="00EA7A2C">
              <w:rPr>
                <w:rFonts w:eastAsia="Calibri"/>
              </w:rPr>
              <w:t>Reasonable Care and Due Diligence S180, Conflict of Interest S182, Confidential Information S183</w:t>
            </w:r>
          </w:p>
        </w:tc>
      </w:tr>
      <w:tr w:rsidR="00D375C0" w:rsidRPr="00EA7A2C" w14:paraId="378D5D75" w14:textId="77777777" w:rsidTr="00DA69F9">
        <w:tc>
          <w:tcPr>
            <w:tcW w:w="3114" w:type="dxa"/>
            <w:shd w:val="clear" w:color="auto" w:fill="auto"/>
          </w:tcPr>
          <w:p w14:paraId="7A63A547" w14:textId="77777777" w:rsidR="00D375C0" w:rsidRPr="00EA7A2C" w:rsidRDefault="00D375C0" w:rsidP="006D6636">
            <w:pPr>
              <w:jc w:val="both"/>
              <w:rPr>
                <w:rFonts w:eastAsia="Calibri"/>
              </w:rPr>
            </w:pPr>
            <w:r w:rsidRPr="00EA7A2C">
              <w:rPr>
                <w:rFonts w:eastAsia="Calibri"/>
              </w:rPr>
              <w:t>8:Remunerate fairly and responsibly</w:t>
            </w:r>
          </w:p>
        </w:tc>
        <w:tc>
          <w:tcPr>
            <w:tcW w:w="5812" w:type="dxa"/>
            <w:shd w:val="clear" w:color="auto" w:fill="auto"/>
          </w:tcPr>
          <w:p w14:paraId="5BC88B1A" w14:textId="77777777" w:rsidR="00D375C0" w:rsidRPr="00EA7A2C" w:rsidRDefault="00D375C0" w:rsidP="00A437C2">
            <w:pPr>
              <w:jc w:val="left"/>
              <w:rPr>
                <w:rFonts w:eastAsia="Calibri"/>
              </w:rPr>
            </w:pPr>
            <w:r w:rsidRPr="00EA7A2C">
              <w:rPr>
                <w:rFonts w:eastAsia="Calibri"/>
              </w:rPr>
              <w:t>Reasonable Care and Diligence S180</w:t>
            </w:r>
          </w:p>
        </w:tc>
      </w:tr>
    </w:tbl>
    <w:p w14:paraId="45471264" w14:textId="77777777" w:rsidR="00D375C0" w:rsidRPr="00EA7A2C" w:rsidRDefault="00D375C0" w:rsidP="006D6636">
      <w:pPr>
        <w:pStyle w:val="BodyText"/>
        <w:spacing w:after="0" w:line="240" w:lineRule="auto"/>
      </w:pPr>
    </w:p>
    <w:p w14:paraId="52996BB5" w14:textId="77777777" w:rsidR="00D375C0" w:rsidRPr="00EA7A2C" w:rsidRDefault="00D375C0" w:rsidP="006D6636">
      <w:pPr>
        <w:jc w:val="both"/>
      </w:pPr>
      <w:r w:rsidRPr="00EA7A2C">
        <w:t>In order to answer Research Question 2: “</w:t>
      </w:r>
      <w:r w:rsidRPr="00EA7A2C">
        <w:rPr>
          <w:i/>
        </w:rPr>
        <w:t>What directors’ duties have been breached and resulted in court activity in the last 15 years?</w:t>
      </w:r>
      <w:r w:rsidRPr="00EA7A2C">
        <w:t xml:space="preserve">” the following tables have been divided by sections of the Corporations Act in relation to breaches of directors duties, and then linked to the corporate governance recommendations. </w:t>
      </w:r>
    </w:p>
    <w:p w14:paraId="62C5CF60" w14:textId="77777777" w:rsidR="00A437C2" w:rsidRPr="00EA7A2C" w:rsidRDefault="00A437C2" w:rsidP="006D6636">
      <w:pPr>
        <w:jc w:val="both"/>
        <w:rPr>
          <w:rFonts w:eastAsia="Times New Roman"/>
          <w:bCs/>
          <w:lang w:val="en-GB"/>
        </w:rPr>
      </w:pPr>
    </w:p>
    <w:p w14:paraId="59B180CC" w14:textId="77777777" w:rsidR="00D375C0" w:rsidRPr="001C0E4D" w:rsidRDefault="00D375C0" w:rsidP="006D6636">
      <w:pPr>
        <w:jc w:val="both"/>
        <w:rPr>
          <w:b/>
        </w:rPr>
      </w:pPr>
      <w:r w:rsidRPr="001C0E4D">
        <w:rPr>
          <w:rFonts w:eastAsia="Times New Roman"/>
          <w:b/>
          <w:bCs/>
          <w:lang w:val="en-GB"/>
        </w:rPr>
        <w:t>Table 3: Personally Liable S588G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812"/>
      </w:tblGrid>
      <w:tr w:rsidR="00D375C0" w:rsidRPr="00EA7A2C" w14:paraId="4DB7D068" w14:textId="77777777" w:rsidTr="00DA69F9">
        <w:tc>
          <w:tcPr>
            <w:tcW w:w="3114" w:type="dxa"/>
            <w:shd w:val="clear" w:color="auto" w:fill="auto"/>
          </w:tcPr>
          <w:p w14:paraId="09A6F3AB" w14:textId="77777777" w:rsidR="00D375C0" w:rsidRPr="00EA7A2C" w:rsidRDefault="00D375C0" w:rsidP="006D6636">
            <w:pPr>
              <w:rPr>
                <w:rFonts w:eastAsia="Calibri"/>
                <w:b/>
              </w:rPr>
            </w:pPr>
            <w:r w:rsidRPr="00EA7A2C">
              <w:rPr>
                <w:rFonts w:eastAsia="Calibri"/>
                <w:b/>
              </w:rPr>
              <w:t>Case Name</w:t>
            </w:r>
          </w:p>
        </w:tc>
        <w:tc>
          <w:tcPr>
            <w:tcW w:w="5812" w:type="dxa"/>
            <w:shd w:val="clear" w:color="auto" w:fill="auto"/>
          </w:tcPr>
          <w:p w14:paraId="64DEADA0" w14:textId="77777777" w:rsidR="00D375C0" w:rsidRPr="00EA7A2C" w:rsidRDefault="00D375C0" w:rsidP="006D6636">
            <w:pPr>
              <w:rPr>
                <w:rFonts w:eastAsia="Calibri"/>
                <w:b/>
              </w:rPr>
            </w:pPr>
            <w:r w:rsidRPr="00EA7A2C">
              <w:rPr>
                <w:rFonts w:eastAsia="Calibri"/>
                <w:b/>
              </w:rPr>
              <w:t xml:space="preserve">Breach of Law Companies Act </w:t>
            </w:r>
          </w:p>
        </w:tc>
      </w:tr>
      <w:tr w:rsidR="00D375C0" w:rsidRPr="00EA7A2C" w14:paraId="1579C456" w14:textId="77777777" w:rsidTr="00DA69F9">
        <w:tc>
          <w:tcPr>
            <w:tcW w:w="3114" w:type="dxa"/>
            <w:shd w:val="clear" w:color="auto" w:fill="auto"/>
          </w:tcPr>
          <w:p w14:paraId="1FC2F43C" w14:textId="77777777" w:rsidR="00D375C0" w:rsidRPr="00EA7A2C" w:rsidRDefault="00D375C0" w:rsidP="006D6636">
            <w:pPr>
              <w:rPr>
                <w:rFonts w:eastAsia="Calibri"/>
                <w:i/>
              </w:rPr>
            </w:pPr>
            <w:r w:rsidRPr="00EA7A2C">
              <w:rPr>
                <w:rFonts w:eastAsia="Calibri"/>
                <w:i/>
              </w:rPr>
              <w:t>Commonwealth Bank of Australia v Friedrich 5 ACSR 115: 9 ACLC 946</w:t>
            </w:r>
          </w:p>
        </w:tc>
        <w:tc>
          <w:tcPr>
            <w:tcW w:w="5812" w:type="dxa"/>
            <w:shd w:val="clear" w:color="auto" w:fill="auto"/>
          </w:tcPr>
          <w:p w14:paraId="15205C18" w14:textId="77777777" w:rsidR="00D375C0" w:rsidRPr="00EA7A2C" w:rsidRDefault="00D375C0" w:rsidP="001C0E4D">
            <w:pPr>
              <w:jc w:val="left"/>
              <w:rPr>
                <w:rFonts w:eastAsia="Calibri"/>
              </w:rPr>
            </w:pPr>
            <w:r w:rsidRPr="00EA7A2C">
              <w:rPr>
                <w:rFonts w:eastAsia="Calibri"/>
              </w:rPr>
              <w:t>S588</w:t>
            </w:r>
            <w:proofErr w:type="gramStart"/>
            <w:r w:rsidRPr="00EA7A2C">
              <w:rPr>
                <w:rFonts w:eastAsia="Calibri"/>
              </w:rPr>
              <w:t>G(</w:t>
            </w:r>
            <w:proofErr w:type="gramEnd"/>
            <w:r w:rsidRPr="00EA7A2C">
              <w:rPr>
                <w:rFonts w:eastAsia="Calibri"/>
              </w:rPr>
              <w:t>2) director found to be personally liable for debts incurred by the company, as the loan was fraudulent and he should not have signed annual report.</w:t>
            </w:r>
            <w:r w:rsidR="001C0E4D">
              <w:rPr>
                <w:rFonts w:eastAsia="Calibri"/>
              </w:rPr>
              <w:t xml:space="preserve"> </w:t>
            </w:r>
            <w:r w:rsidRPr="00EA7A2C">
              <w:rPr>
                <w:rFonts w:eastAsia="Calibri"/>
              </w:rPr>
              <w:t>ASX 2 &amp; 3 breach.</w:t>
            </w:r>
          </w:p>
        </w:tc>
      </w:tr>
      <w:tr w:rsidR="00D375C0" w:rsidRPr="00EA7A2C" w14:paraId="22DAF72B" w14:textId="77777777" w:rsidTr="00DA69F9">
        <w:tc>
          <w:tcPr>
            <w:tcW w:w="3114" w:type="dxa"/>
            <w:shd w:val="clear" w:color="auto" w:fill="auto"/>
          </w:tcPr>
          <w:p w14:paraId="7B6DD2E2" w14:textId="77777777" w:rsidR="00D375C0" w:rsidRPr="00EA7A2C" w:rsidRDefault="00D375C0" w:rsidP="006D6636">
            <w:pPr>
              <w:rPr>
                <w:rFonts w:eastAsia="Calibri"/>
                <w:i/>
              </w:rPr>
            </w:pPr>
            <w:r w:rsidRPr="00EA7A2C">
              <w:rPr>
                <w:rFonts w:eastAsia="Calibri"/>
                <w:i/>
              </w:rPr>
              <w:t xml:space="preserve">ASIC v </w:t>
            </w:r>
            <w:proofErr w:type="spellStart"/>
            <w:r w:rsidRPr="00EA7A2C">
              <w:rPr>
                <w:rFonts w:eastAsia="Calibri"/>
                <w:i/>
              </w:rPr>
              <w:t>Narain</w:t>
            </w:r>
            <w:proofErr w:type="spellEnd"/>
            <w:r w:rsidRPr="00EA7A2C">
              <w:rPr>
                <w:rFonts w:eastAsia="Calibri"/>
                <w:i/>
              </w:rPr>
              <w:t xml:space="preserve"> FCAFC 120</w:t>
            </w:r>
          </w:p>
        </w:tc>
        <w:tc>
          <w:tcPr>
            <w:tcW w:w="5812" w:type="dxa"/>
            <w:shd w:val="clear" w:color="auto" w:fill="auto"/>
          </w:tcPr>
          <w:p w14:paraId="3F40186B" w14:textId="77777777" w:rsidR="00D375C0" w:rsidRPr="00EA7A2C" w:rsidRDefault="00D375C0" w:rsidP="00A437C2">
            <w:pPr>
              <w:jc w:val="left"/>
              <w:rPr>
                <w:rFonts w:eastAsia="Calibri"/>
              </w:rPr>
            </w:pPr>
            <w:r w:rsidRPr="00EA7A2C">
              <w:rPr>
                <w:rFonts w:eastAsia="Calibri"/>
              </w:rPr>
              <w:t>Misleading information regarding chemicals and claims it could stop spread of disease that was not backed up by medical advice. Managing director held personally liable for the statements 588</w:t>
            </w:r>
            <w:proofErr w:type="gramStart"/>
            <w:r w:rsidRPr="00EA7A2C">
              <w:rPr>
                <w:rFonts w:eastAsia="Calibri"/>
              </w:rPr>
              <w:t>G(</w:t>
            </w:r>
            <w:proofErr w:type="gramEnd"/>
            <w:r w:rsidRPr="00EA7A2C">
              <w:rPr>
                <w:rFonts w:eastAsia="Calibri"/>
              </w:rPr>
              <w:t>2).</w:t>
            </w:r>
          </w:p>
          <w:p w14:paraId="18F5A581" w14:textId="77777777" w:rsidR="00D375C0" w:rsidRPr="00EA7A2C" w:rsidRDefault="00D375C0" w:rsidP="00A437C2">
            <w:pPr>
              <w:jc w:val="left"/>
              <w:rPr>
                <w:rFonts w:eastAsia="Calibri"/>
              </w:rPr>
            </w:pPr>
            <w:r w:rsidRPr="00EA7A2C">
              <w:rPr>
                <w:rFonts w:eastAsia="Calibri"/>
              </w:rPr>
              <w:t>ASX 3 breach.</w:t>
            </w:r>
          </w:p>
        </w:tc>
      </w:tr>
    </w:tbl>
    <w:p w14:paraId="4548F407" w14:textId="77777777" w:rsidR="00D375C0" w:rsidRPr="00EA7A2C" w:rsidRDefault="00D375C0" w:rsidP="006D6636">
      <w:pPr>
        <w:pStyle w:val="BodyText"/>
        <w:spacing w:after="0" w:line="240" w:lineRule="auto"/>
      </w:pPr>
    </w:p>
    <w:p w14:paraId="1AC68E5B" w14:textId="77777777" w:rsidR="00D375C0" w:rsidRPr="001C0E4D" w:rsidRDefault="00D375C0" w:rsidP="006D6636">
      <w:pPr>
        <w:jc w:val="both"/>
        <w:rPr>
          <w:rFonts w:eastAsia="Times New Roman"/>
          <w:b/>
          <w:bCs/>
          <w:lang w:val="en-GB"/>
        </w:rPr>
      </w:pPr>
      <w:r w:rsidRPr="001C0E4D">
        <w:rPr>
          <w:rFonts w:eastAsia="Times New Roman"/>
          <w:b/>
          <w:bCs/>
          <w:lang w:val="en-GB"/>
        </w:rPr>
        <w:t>Table 4: Good Faith and Proper Purpose S181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812"/>
      </w:tblGrid>
      <w:tr w:rsidR="00D375C0" w:rsidRPr="00EA7A2C" w14:paraId="4DBD1A43" w14:textId="77777777" w:rsidTr="00DA69F9">
        <w:tc>
          <w:tcPr>
            <w:tcW w:w="3114" w:type="dxa"/>
            <w:shd w:val="clear" w:color="auto" w:fill="auto"/>
          </w:tcPr>
          <w:p w14:paraId="4E4FFC6B" w14:textId="77777777" w:rsidR="00D375C0" w:rsidRPr="00EA7A2C" w:rsidRDefault="00D375C0" w:rsidP="006D6636">
            <w:pPr>
              <w:rPr>
                <w:rFonts w:eastAsia="Calibri"/>
                <w:b/>
              </w:rPr>
            </w:pPr>
            <w:r w:rsidRPr="00EA7A2C">
              <w:rPr>
                <w:rFonts w:eastAsia="Calibri"/>
                <w:b/>
              </w:rPr>
              <w:t>Case Name</w:t>
            </w:r>
          </w:p>
        </w:tc>
        <w:tc>
          <w:tcPr>
            <w:tcW w:w="5812" w:type="dxa"/>
            <w:shd w:val="clear" w:color="auto" w:fill="auto"/>
          </w:tcPr>
          <w:p w14:paraId="6D937A06" w14:textId="77777777" w:rsidR="00D375C0" w:rsidRPr="00EA7A2C" w:rsidRDefault="00D375C0" w:rsidP="006D6636">
            <w:pPr>
              <w:rPr>
                <w:rFonts w:eastAsia="Calibri"/>
                <w:b/>
              </w:rPr>
            </w:pPr>
            <w:r w:rsidRPr="00EA7A2C">
              <w:rPr>
                <w:rFonts w:eastAsia="Calibri"/>
                <w:b/>
              </w:rPr>
              <w:t xml:space="preserve">Breach of Law Companies Act </w:t>
            </w:r>
          </w:p>
        </w:tc>
      </w:tr>
      <w:tr w:rsidR="00D375C0" w:rsidRPr="00EA7A2C" w14:paraId="00225DE6" w14:textId="77777777" w:rsidTr="00DA69F9">
        <w:tc>
          <w:tcPr>
            <w:tcW w:w="3114" w:type="dxa"/>
            <w:shd w:val="clear" w:color="auto" w:fill="auto"/>
          </w:tcPr>
          <w:p w14:paraId="6AA54D56" w14:textId="77777777" w:rsidR="00D375C0" w:rsidRPr="00EA7A2C" w:rsidRDefault="00D375C0" w:rsidP="006D6636">
            <w:pPr>
              <w:rPr>
                <w:rFonts w:eastAsia="Calibri"/>
                <w:i/>
              </w:rPr>
            </w:pPr>
            <w:r w:rsidRPr="00EA7A2C">
              <w:rPr>
                <w:rFonts w:eastAsia="Calibri"/>
                <w:i/>
              </w:rPr>
              <w:t>R v Byrnes and Hopwood (1995) 183 CLR 501; (1995) 130 ALR 529</w:t>
            </w:r>
          </w:p>
        </w:tc>
        <w:tc>
          <w:tcPr>
            <w:tcW w:w="5812" w:type="dxa"/>
            <w:shd w:val="clear" w:color="auto" w:fill="auto"/>
          </w:tcPr>
          <w:p w14:paraId="6294C3A4" w14:textId="77777777" w:rsidR="00D375C0" w:rsidRPr="00EA7A2C" w:rsidRDefault="00D375C0" w:rsidP="00A437C2">
            <w:pPr>
              <w:jc w:val="left"/>
              <w:rPr>
                <w:rFonts w:eastAsia="Calibri"/>
              </w:rPr>
            </w:pPr>
            <w:r w:rsidRPr="00EA7A2C">
              <w:rPr>
                <w:rFonts w:eastAsia="Calibri"/>
              </w:rPr>
              <w:t>Court found that officers could still be in breach of duties even when they thought it would benefit the company, but for an improper purpose S181.</w:t>
            </w:r>
            <w:r w:rsidR="00A437C2" w:rsidRPr="00EA7A2C">
              <w:rPr>
                <w:rFonts w:eastAsia="Calibri"/>
              </w:rPr>
              <w:t xml:space="preserve"> </w:t>
            </w:r>
            <w:r w:rsidRPr="00EA7A2C">
              <w:rPr>
                <w:rFonts w:eastAsia="Calibri"/>
              </w:rPr>
              <w:t>ASX 1 &amp; 7 breach.</w:t>
            </w:r>
          </w:p>
        </w:tc>
      </w:tr>
      <w:tr w:rsidR="00D375C0" w:rsidRPr="00EA7A2C" w14:paraId="65D7BD04" w14:textId="77777777" w:rsidTr="00DA69F9">
        <w:tc>
          <w:tcPr>
            <w:tcW w:w="3114" w:type="dxa"/>
            <w:shd w:val="clear" w:color="auto" w:fill="auto"/>
          </w:tcPr>
          <w:p w14:paraId="4178E293" w14:textId="77777777" w:rsidR="00D375C0" w:rsidRPr="00EA7A2C" w:rsidRDefault="00D375C0" w:rsidP="006D6636">
            <w:pPr>
              <w:rPr>
                <w:rFonts w:eastAsia="Calibri"/>
                <w:i/>
              </w:rPr>
            </w:pPr>
            <w:r w:rsidRPr="00EA7A2C">
              <w:rPr>
                <w:rFonts w:eastAsia="Calibri"/>
                <w:i/>
              </w:rPr>
              <w:t xml:space="preserve">ASIC v Rich44ACSR 341: 21 ACLC 450  - </w:t>
            </w:r>
            <w:proofErr w:type="spellStart"/>
            <w:r w:rsidRPr="00EA7A2C">
              <w:rPr>
                <w:rFonts w:eastAsia="Calibri"/>
                <w:i/>
              </w:rPr>
              <w:t>One.Tel</w:t>
            </w:r>
            <w:proofErr w:type="spellEnd"/>
          </w:p>
        </w:tc>
        <w:tc>
          <w:tcPr>
            <w:tcW w:w="5812" w:type="dxa"/>
            <w:shd w:val="clear" w:color="auto" w:fill="auto"/>
          </w:tcPr>
          <w:p w14:paraId="5598E6B6" w14:textId="77777777" w:rsidR="00D375C0" w:rsidRPr="00EA7A2C" w:rsidRDefault="00D375C0" w:rsidP="00A437C2">
            <w:pPr>
              <w:jc w:val="left"/>
              <w:rPr>
                <w:rFonts w:eastAsia="Calibri"/>
              </w:rPr>
            </w:pPr>
            <w:r w:rsidRPr="00EA7A2C">
              <w:rPr>
                <w:rFonts w:eastAsia="Calibri"/>
              </w:rPr>
              <w:t>Non-executive chair failed to act with proper case and diligence, it also deals with the business judgement rule S181.</w:t>
            </w:r>
            <w:r w:rsidR="00A437C2" w:rsidRPr="00EA7A2C">
              <w:rPr>
                <w:rFonts w:eastAsia="Calibri"/>
              </w:rPr>
              <w:t xml:space="preserve"> </w:t>
            </w:r>
            <w:r w:rsidRPr="00EA7A2C">
              <w:rPr>
                <w:rFonts w:eastAsia="Calibri"/>
              </w:rPr>
              <w:t>ASX 1 &amp; 6 breach.</w:t>
            </w:r>
          </w:p>
        </w:tc>
      </w:tr>
    </w:tbl>
    <w:p w14:paraId="207B27AF" w14:textId="77777777" w:rsidR="00D375C0" w:rsidRPr="00EA7A2C" w:rsidRDefault="00D375C0" w:rsidP="006D6636">
      <w:pPr>
        <w:jc w:val="both"/>
      </w:pPr>
    </w:p>
    <w:p w14:paraId="2FAE2743" w14:textId="77777777" w:rsidR="006D6636" w:rsidRPr="00EA7A2C" w:rsidRDefault="006D6636" w:rsidP="006D6636">
      <w:pPr>
        <w:jc w:val="left"/>
        <w:rPr>
          <w:rFonts w:eastAsia="Times New Roman"/>
          <w:bCs/>
          <w:lang w:val="en-GB"/>
        </w:rPr>
      </w:pPr>
    </w:p>
    <w:p w14:paraId="47250224" w14:textId="77777777" w:rsidR="001C0E4D" w:rsidRDefault="001C0E4D" w:rsidP="006D6636">
      <w:pPr>
        <w:jc w:val="both"/>
        <w:rPr>
          <w:rFonts w:eastAsia="Times New Roman"/>
          <w:b/>
          <w:bCs/>
          <w:lang w:val="en-GB"/>
        </w:rPr>
      </w:pPr>
    </w:p>
    <w:p w14:paraId="71CFFFE2" w14:textId="77777777" w:rsidR="001C0E4D" w:rsidRDefault="001C0E4D" w:rsidP="006D6636">
      <w:pPr>
        <w:jc w:val="both"/>
        <w:rPr>
          <w:rFonts w:eastAsia="Times New Roman"/>
          <w:b/>
          <w:bCs/>
          <w:lang w:val="en-GB"/>
        </w:rPr>
      </w:pPr>
    </w:p>
    <w:p w14:paraId="53987504" w14:textId="77777777" w:rsidR="001C0E4D" w:rsidRDefault="001C0E4D" w:rsidP="006D6636">
      <w:pPr>
        <w:jc w:val="both"/>
        <w:rPr>
          <w:rFonts w:eastAsia="Times New Roman"/>
          <w:b/>
          <w:bCs/>
          <w:lang w:val="en-GB"/>
        </w:rPr>
      </w:pPr>
    </w:p>
    <w:p w14:paraId="1ACDF44B" w14:textId="77777777" w:rsidR="00D375C0" w:rsidRPr="001C0E4D" w:rsidRDefault="00D375C0" w:rsidP="006D6636">
      <w:pPr>
        <w:jc w:val="both"/>
        <w:rPr>
          <w:rFonts w:eastAsia="Times New Roman"/>
          <w:b/>
          <w:bCs/>
          <w:lang w:val="en-GB"/>
        </w:rPr>
      </w:pPr>
      <w:r w:rsidRPr="001C0E4D">
        <w:rPr>
          <w:rFonts w:eastAsia="Times New Roman"/>
          <w:b/>
          <w:bCs/>
          <w:lang w:val="en-GB"/>
        </w:rPr>
        <w:lastRenderedPageBreak/>
        <w:t>Table 5: Confidential Information S183/Insider Trading S1043A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812"/>
      </w:tblGrid>
      <w:tr w:rsidR="00D375C0" w:rsidRPr="00EA7A2C" w14:paraId="20DE9911" w14:textId="77777777" w:rsidTr="00DA69F9">
        <w:tc>
          <w:tcPr>
            <w:tcW w:w="3114" w:type="dxa"/>
            <w:shd w:val="clear" w:color="auto" w:fill="auto"/>
          </w:tcPr>
          <w:p w14:paraId="6A21B2EA" w14:textId="77777777" w:rsidR="00D375C0" w:rsidRPr="00EA7A2C" w:rsidRDefault="00D375C0" w:rsidP="006D6636">
            <w:pPr>
              <w:rPr>
                <w:rFonts w:eastAsia="Calibri"/>
                <w:b/>
              </w:rPr>
            </w:pPr>
            <w:r w:rsidRPr="00EA7A2C">
              <w:rPr>
                <w:rFonts w:eastAsia="Calibri"/>
                <w:b/>
              </w:rPr>
              <w:t>Case Name</w:t>
            </w:r>
          </w:p>
        </w:tc>
        <w:tc>
          <w:tcPr>
            <w:tcW w:w="5812" w:type="dxa"/>
            <w:shd w:val="clear" w:color="auto" w:fill="auto"/>
          </w:tcPr>
          <w:p w14:paraId="29D9BAC3" w14:textId="77777777" w:rsidR="00D375C0" w:rsidRPr="00EA7A2C" w:rsidRDefault="00D375C0" w:rsidP="006D6636">
            <w:pPr>
              <w:rPr>
                <w:rFonts w:eastAsia="Calibri"/>
                <w:b/>
              </w:rPr>
            </w:pPr>
            <w:r w:rsidRPr="00EA7A2C">
              <w:rPr>
                <w:rFonts w:eastAsia="Calibri"/>
                <w:b/>
              </w:rPr>
              <w:t xml:space="preserve">Breach of Law Companies Act </w:t>
            </w:r>
          </w:p>
        </w:tc>
      </w:tr>
      <w:tr w:rsidR="00D375C0" w:rsidRPr="00EA7A2C" w14:paraId="4F63D392" w14:textId="77777777" w:rsidTr="00DA69F9">
        <w:tc>
          <w:tcPr>
            <w:tcW w:w="3114" w:type="dxa"/>
            <w:shd w:val="clear" w:color="auto" w:fill="auto"/>
          </w:tcPr>
          <w:p w14:paraId="16A2ECEE" w14:textId="77777777" w:rsidR="00D375C0" w:rsidRPr="00EA7A2C" w:rsidRDefault="00D375C0" w:rsidP="006D6636">
            <w:pPr>
              <w:rPr>
                <w:rFonts w:eastAsia="Calibri"/>
                <w:i/>
              </w:rPr>
            </w:pPr>
            <w:r w:rsidRPr="00EA7A2C">
              <w:rPr>
                <w:rFonts w:eastAsia="Calibri"/>
                <w:i/>
              </w:rPr>
              <w:t xml:space="preserve">R v </w:t>
            </w:r>
            <w:proofErr w:type="spellStart"/>
            <w:r w:rsidRPr="00EA7A2C">
              <w:rPr>
                <w:rFonts w:eastAsia="Calibri"/>
                <w:i/>
              </w:rPr>
              <w:t>Firns</w:t>
            </w:r>
            <w:proofErr w:type="spellEnd"/>
            <w:r w:rsidRPr="00EA7A2C">
              <w:rPr>
                <w:rFonts w:eastAsia="Calibri"/>
                <w:i/>
              </w:rPr>
              <w:t xml:space="preserve"> 51 NSWLR 548: 38 ACSR 223</w:t>
            </w:r>
          </w:p>
        </w:tc>
        <w:tc>
          <w:tcPr>
            <w:tcW w:w="5812" w:type="dxa"/>
            <w:shd w:val="clear" w:color="auto" w:fill="auto"/>
          </w:tcPr>
          <w:p w14:paraId="03683271" w14:textId="77777777" w:rsidR="00D375C0" w:rsidRPr="00EA7A2C" w:rsidRDefault="00D375C0" w:rsidP="00A437C2">
            <w:pPr>
              <w:jc w:val="left"/>
              <w:rPr>
                <w:rFonts w:eastAsia="Calibri"/>
              </w:rPr>
            </w:pPr>
            <w:r w:rsidRPr="00EA7A2C">
              <w:rPr>
                <w:rFonts w:eastAsia="Calibri"/>
              </w:rPr>
              <w:t>Held that it is was insider trading under s1034A as the information was publically available even if no one had observed it. ASX 6 breach.</w:t>
            </w:r>
          </w:p>
        </w:tc>
      </w:tr>
      <w:tr w:rsidR="00D375C0" w:rsidRPr="00EA7A2C" w14:paraId="7834254B" w14:textId="77777777" w:rsidTr="00DA69F9">
        <w:tc>
          <w:tcPr>
            <w:tcW w:w="3114" w:type="dxa"/>
            <w:shd w:val="clear" w:color="auto" w:fill="auto"/>
          </w:tcPr>
          <w:p w14:paraId="43B85C8F" w14:textId="77777777" w:rsidR="00D375C0" w:rsidRPr="00EA7A2C" w:rsidRDefault="00D375C0" w:rsidP="006D6636">
            <w:pPr>
              <w:rPr>
                <w:rFonts w:eastAsia="Calibri"/>
                <w:i/>
              </w:rPr>
            </w:pPr>
            <w:r w:rsidRPr="00EA7A2C">
              <w:rPr>
                <w:rFonts w:eastAsia="Calibri"/>
                <w:i/>
              </w:rPr>
              <w:t>ASIC v Southcorp Wines 203 ALR 627: 22 ACLC 1</w:t>
            </w:r>
          </w:p>
        </w:tc>
        <w:tc>
          <w:tcPr>
            <w:tcW w:w="5812" w:type="dxa"/>
            <w:shd w:val="clear" w:color="auto" w:fill="auto"/>
          </w:tcPr>
          <w:p w14:paraId="12C3AF98" w14:textId="77777777" w:rsidR="00D375C0" w:rsidRPr="00EA7A2C" w:rsidRDefault="00D375C0" w:rsidP="00A437C2">
            <w:pPr>
              <w:jc w:val="left"/>
              <w:rPr>
                <w:rFonts w:eastAsia="Calibri"/>
              </w:rPr>
            </w:pPr>
            <w:r w:rsidRPr="00EA7A2C">
              <w:rPr>
                <w:rFonts w:eastAsia="Calibri"/>
              </w:rPr>
              <w:t>Contravened continuous disclosure rules by communicating the analysts before notifying ASIC S674(2), S183. ASX 3 breach.</w:t>
            </w:r>
          </w:p>
        </w:tc>
      </w:tr>
      <w:tr w:rsidR="00D375C0" w:rsidRPr="00EA7A2C" w14:paraId="09C58625" w14:textId="77777777" w:rsidTr="00DA69F9">
        <w:tc>
          <w:tcPr>
            <w:tcW w:w="3114" w:type="dxa"/>
            <w:shd w:val="clear" w:color="auto" w:fill="auto"/>
          </w:tcPr>
          <w:p w14:paraId="0387AE9A" w14:textId="77777777" w:rsidR="00D375C0" w:rsidRPr="00EA7A2C" w:rsidRDefault="00D375C0" w:rsidP="006D6636">
            <w:pPr>
              <w:rPr>
                <w:rFonts w:eastAsia="Calibri"/>
                <w:i/>
              </w:rPr>
            </w:pPr>
            <w:r w:rsidRPr="00EA7A2C">
              <w:rPr>
                <w:rFonts w:eastAsia="Calibri"/>
                <w:i/>
              </w:rPr>
              <w:t>R v Rivkin 198 ALR 400: 45 ACSR 366</w:t>
            </w:r>
          </w:p>
        </w:tc>
        <w:tc>
          <w:tcPr>
            <w:tcW w:w="5812" w:type="dxa"/>
            <w:shd w:val="clear" w:color="auto" w:fill="auto"/>
          </w:tcPr>
          <w:p w14:paraId="07420345" w14:textId="77777777" w:rsidR="00D375C0" w:rsidRPr="00EA7A2C" w:rsidRDefault="00D375C0" w:rsidP="00A437C2">
            <w:pPr>
              <w:jc w:val="left"/>
              <w:rPr>
                <w:rFonts w:eastAsia="Calibri"/>
              </w:rPr>
            </w:pPr>
            <w:r w:rsidRPr="00EA7A2C">
              <w:rPr>
                <w:rFonts w:eastAsia="Calibri"/>
              </w:rPr>
              <w:t>Insider trading held s1043A as information that was material and not publically available was used to buy shares. Court imposed detention and a fine.</w:t>
            </w:r>
          </w:p>
          <w:p w14:paraId="0A841FD3" w14:textId="77777777" w:rsidR="00D375C0" w:rsidRPr="00EA7A2C" w:rsidRDefault="00D375C0" w:rsidP="00A437C2">
            <w:pPr>
              <w:jc w:val="left"/>
              <w:rPr>
                <w:rFonts w:eastAsia="Calibri"/>
              </w:rPr>
            </w:pPr>
            <w:r w:rsidRPr="00EA7A2C">
              <w:rPr>
                <w:rFonts w:eastAsia="Calibri"/>
              </w:rPr>
              <w:t>ASX 3 &amp; 7 breach.</w:t>
            </w:r>
          </w:p>
        </w:tc>
      </w:tr>
      <w:tr w:rsidR="00D375C0" w:rsidRPr="00EA7A2C" w14:paraId="461F44C4" w14:textId="77777777" w:rsidTr="00DA69F9">
        <w:tc>
          <w:tcPr>
            <w:tcW w:w="3114" w:type="dxa"/>
            <w:shd w:val="clear" w:color="auto" w:fill="auto"/>
          </w:tcPr>
          <w:p w14:paraId="79B7FE86" w14:textId="77777777" w:rsidR="00D375C0" w:rsidRPr="00EA7A2C" w:rsidRDefault="00D375C0" w:rsidP="006D6636">
            <w:pPr>
              <w:rPr>
                <w:rFonts w:eastAsia="Calibri"/>
                <w:i/>
              </w:rPr>
            </w:pPr>
            <w:r w:rsidRPr="00EA7A2C">
              <w:rPr>
                <w:rFonts w:eastAsia="Calibri"/>
                <w:i/>
              </w:rPr>
              <w:t>ASIC v Wizard 145 FCR 57: 219 ALR 714</w:t>
            </w:r>
          </w:p>
        </w:tc>
        <w:tc>
          <w:tcPr>
            <w:tcW w:w="5812" w:type="dxa"/>
            <w:shd w:val="clear" w:color="auto" w:fill="auto"/>
          </w:tcPr>
          <w:p w14:paraId="22AC46A7" w14:textId="77777777" w:rsidR="00D375C0" w:rsidRPr="00EA7A2C" w:rsidRDefault="00D375C0" w:rsidP="00A437C2">
            <w:pPr>
              <w:jc w:val="left"/>
              <w:rPr>
                <w:rFonts w:eastAsia="Calibri"/>
              </w:rPr>
            </w:pPr>
            <w:r w:rsidRPr="00EA7A2C">
              <w:rPr>
                <w:rFonts w:eastAsia="Calibri"/>
              </w:rPr>
              <w:t>Insider trading breach s183, S1043A in that information obtained as a director that was not publically available was used for their own purposes to purchase shares in other companies (even though they made losses). Fined $400,000 and disqualified from being a director for 10 years.</w:t>
            </w:r>
            <w:r w:rsidR="00A437C2" w:rsidRPr="00EA7A2C">
              <w:rPr>
                <w:rFonts w:eastAsia="Calibri"/>
              </w:rPr>
              <w:t xml:space="preserve"> </w:t>
            </w:r>
            <w:r w:rsidRPr="00EA7A2C">
              <w:rPr>
                <w:rFonts w:eastAsia="Calibri"/>
              </w:rPr>
              <w:t>ASX 3, 6 &amp; 7 breach.</w:t>
            </w:r>
          </w:p>
        </w:tc>
      </w:tr>
    </w:tbl>
    <w:p w14:paraId="389DF3B6" w14:textId="77777777" w:rsidR="00D375C0" w:rsidRPr="00EA7A2C" w:rsidRDefault="00D375C0" w:rsidP="006D6636">
      <w:pPr>
        <w:pStyle w:val="BodyText"/>
        <w:spacing w:after="0" w:line="240" w:lineRule="auto"/>
      </w:pPr>
    </w:p>
    <w:p w14:paraId="1E9B6529" w14:textId="77777777" w:rsidR="006B2A02" w:rsidRPr="001C0E4D" w:rsidRDefault="006B2A02" w:rsidP="006D6636">
      <w:pPr>
        <w:jc w:val="both"/>
        <w:rPr>
          <w:rFonts w:eastAsia="Times New Roman"/>
          <w:b/>
          <w:bCs/>
          <w:lang w:val="en-GB"/>
        </w:rPr>
      </w:pPr>
      <w:r w:rsidRPr="001C0E4D">
        <w:rPr>
          <w:b/>
        </w:rPr>
        <w:t>Table 6: Minority Shareholder Rights S136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812"/>
      </w:tblGrid>
      <w:tr w:rsidR="006B2A02" w:rsidRPr="00EA7A2C" w14:paraId="55ABBEDC" w14:textId="77777777" w:rsidTr="00B90C7F">
        <w:tc>
          <w:tcPr>
            <w:tcW w:w="3114" w:type="dxa"/>
            <w:shd w:val="clear" w:color="auto" w:fill="auto"/>
          </w:tcPr>
          <w:p w14:paraId="4A8499C7" w14:textId="77777777" w:rsidR="006B2A02" w:rsidRPr="00EA7A2C" w:rsidRDefault="006B2A02" w:rsidP="006D6636">
            <w:pPr>
              <w:rPr>
                <w:rFonts w:eastAsia="Calibri"/>
                <w:b/>
              </w:rPr>
            </w:pPr>
            <w:r w:rsidRPr="00EA7A2C">
              <w:rPr>
                <w:rFonts w:eastAsia="Calibri"/>
                <w:b/>
              </w:rPr>
              <w:t>Case Name</w:t>
            </w:r>
          </w:p>
        </w:tc>
        <w:tc>
          <w:tcPr>
            <w:tcW w:w="5812" w:type="dxa"/>
            <w:shd w:val="clear" w:color="auto" w:fill="auto"/>
          </w:tcPr>
          <w:p w14:paraId="5C0C56DC" w14:textId="77777777" w:rsidR="006B2A02" w:rsidRPr="00EA7A2C" w:rsidRDefault="006B2A02" w:rsidP="006D6636">
            <w:pPr>
              <w:rPr>
                <w:rFonts w:eastAsia="Calibri"/>
                <w:b/>
              </w:rPr>
            </w:pPr>
            <w:r w:rsidRPr="00EA7A2C">
              <w:rPr>
                <w:rFonts w:eastAsia="Calibri"/>
                <w:b/>
              </w:rPr>
              <w:t xml:space="preserve">Finding / Description </w:t>
            </w:r>
          </w:p>
          <w:p w14:paraId="606D2184" w14:textId="77777777" w:rsidR="006B2A02" w:rsidRPr="00EA7A2C" w:rsidRDefault="006B2A02" w:rsidP="006D6636">
            <w:pPr>
              <w:rPr>
                <w:rFonts w:eastAsia="Calibri"/>
                <w:b/>
              </w:rPr>
            </w:pPr>
            <w:r w:rsidRPr="00EA7A2C">
              <w:rPr>
                <w:rFonts w:eastAsia="Calibri"/>
                <w:b/>
              </w:rPr>
              <w:t>Breach of Law Companies Act 2001</w:t>
            </w:r>
          </w:p>
        </w:tc>
      </w:tr>
      <w:tr w:rsidR="006B2A02" w:rsidRPr="00EA7A2C" w14:paraId="7F7D0458" w14:textId="77777777" w:rsidTr="00B90C7F">
        <w:tc>
          <w:tcPr>
            <w:tcW w:w="3114" w:type="dxa"/>
            <w:shd w:val="clear" w:color="auto" w:fill="auto"/>
          </w:tcPr>
          <w:p w14:paraId="38C5EC11" w14:textId="77777777" w:rsidR="006B2A02" w:rsidRPr="00EA7A2C" w:rsidRDefault="006B2A02" w:rsidP="006D6636">
            <w:pPr>
              <w:rPr>
                <w:rFonts w:eastAsia="Calibri"/>
                <w:i/>
              </w:rPr>
            </w:pPr>
            <w:proofErr w:type="spellStart"/>
            <w:r w:rsidRPr="00EA7A2C">
              <w:rPr>
                <w:rFonts w:eastAsia="Calibri"/>
                <w:i/>
              </w:rPr>
              <w:t>Gambotto</w:t>
            </w:r>
            <w:proofErr w:type="spellEnd"/>
            <w:r w:rsidRPr="00EA7A2C">
              <w:rPr>
                <w:rFonts w:eastAsia="Calibri"/>
                <w:i/>
              </w:rPr>
              <w:t xml:space="preserve"> v WCP 182 CLR 432: 127 ALR 4147</w:t>
            </w:r>
          </w:p>
        </w:tc>
        <w:tc>
          <w:tcPr>
            <w:tcW w:w="5812" w:type="dxa"/>
            <w:shd w:val="clear" w:color="auto" w:fill="auto"/>
          </w:tcPr>
          <w:p w14:paraId="1BFE2278" w14:textId="77777777" w:rsidR="006B2A02" w:rsidRPr="00EA7A2C" w:rsidRDefault="006B2A02" w:rsidP="006D6636">
            <w:pPr>
              <w:rPr>
                <w:rFonts w:eastAsia="Calibri"/>
              </w:rPr>
            </w:pPr>
            <w:r w:rsidRPr="00EA7A2C">
              <w:rPr>
                <w:rFonts w:eastAsia="Calibri"/>
              </w:rPr>
              <w:t>Minority shareholder case where a proposed amendment to the constitution and subsequent compulsory acquisition was invalid. To avoid administration and taxation costs was not a valid and proper purpose S136. ASX 6 breach.</w:t>
            </w:r>
          </w:p>
        </w:tc>
      </w:tr>
    </w:tbl>
    <w:p w14:paraId="7A1CB15B" w14:textId="77777777" w:rsidR="006B2A02" w:rsidRPr="00EA7A2C" w:rsidRDefault="006B2A02" w:rsidP="006D6636">
      <w:pPr>
        <w:jc w:val="left"/>
        <w:rPr>
          <w:rFonts w:eastAsia="Times New Roman"/>
          <w:bCs/>
          <w:lang w:val="en-GB"/>
        </w:rPr>
      </w:pPr>
    </w:p>
    <w:p w14:paraId="39CCE6F8" w14:textId="77777777" w:rsidR="00D375C0" w:rsidRPr="001C0E4D" w:rsidRDefault="00D375C0" w:rsidP="006D6636">
      <w:pPr>
        <w:jc w:val="both"/>
        <w:rPr>
          <w:rFonts w:eastAsia="Times New Roman"/>
          <w:b/>
          <w:bCs/>
          <w:lang w:val="en-GB"/>
        </w:rPr>
      </w:pPr>
      <w:r w:rsidRPr="001C0E4D">
        <w:rPr>
          <w:rFonts w:eastAsia="Times New Roman"/>
          <w:b/>
          <w:bCs/>
          <w:lang w:val="en-GB"/>
        </w:rPr>
        <w:t xml:space="preserve">Table </w:t>
      </w:r>
      <w:r w:rsidR="006B2A02" w:rsidRPr="001C0E4D">
        <w:rPr>
          <w:rFonts w:eastAsia="Times New Roman"/>
          <w:b/>
          <w:bCs/>
          <w:lang w:val="en-GB"/>
        </w:rPr>
        <w:t>7</w:t>
      </w:r>
      <w:r w:rsidRPr="001C0E4D">
        <w:rPr>
          <w:rFonts w:eastAsia="Times New Roman"/>
          <w:b/>
          <w:bCs/>
          <w:lang w:val="en-GB"/>
        </w:rPr>
        <w:t>: Reasonable Care and Due Diligence S180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812"/>
      </w:tblGrid>
      <w:tr w:rsidR="00D375C0" w:rsidRPr="00EA7A2C" w14:paraId="049368D9" w14:textId="77777777" w:rsidTr="00DA69F9">
        <w:tc>
          <w:tcPr>
            <w:tcW w:w="3114" w:type="dxa"/>
            <w:shd w:val="clear" w:color="auto" w:fill="auto"/>
          </w:tcPr>
          <w:p w14:paraId="04C59C21" w14:textId="77777777" w:rsidR="00D375C0" w:rsidRPr="00EA7A2C" w:rsidRDefault="00D375C0" w:rsidP="006D6636">
            <w:pPr>
              <w:rPr>
                <w:rFonts w:eastAsia="Calibri"/>
                <w:b/>
              </w:rPr>
            </w:pPr>
            <w:r w:rsidRPr="00EA7A2C">
              <w:rPr>
                <w:rFonts w:eastAsia="Calibri"/>
                <w:b/>
              </w:rPr>
              <w:t>Case Name</w:t>
            </w:r>
          </w:p>
        </w:tc>
        <w:tc>
          <w:tcPr>
            <w:tcW w:w="5812" w:type="dxa"/>
            <w:shd w:val="clear" w:color="auto" w:fill="auto"/>
          </w:tcPr>
          <w:p w14:paraId="2C033DE9" w14:textId="77777777" w:rsidR="00D375C0" w:rsidRPr="00EA7A2C" w:rsidRDefault="00D375C0" w:rsidP="006D6636">
            <w:pPr>
              <w:rPr>
                <w:rFonts w:eastAsia="Calibri"/>
                <w:b/>
              </w:rPr>
            </w:pPr>
            <w:r w:rsidRPr="00EA7A2C">
              <w:rPr>
                <w:rFonts w:eastAsia="Calibri"/>
                <w:b/>
              </w:rPr>
              <w:t xml:space="preserve">Finding / Description </w:t>
            </w:r>
          </w:p>
          <w:p w14:paraId="136AD5A9" w14:textId="77777777" w:rsidR="00D375C0" w:rsidRPr="00EA7A2C" w:rsidRDefault="00D375C0" w:rsidP="006D6636">
            <w:pPr>
              <w:rPr>
                <w:rFonts w:eastAsia="Calibri"/>
                <w:b/>
              </w:rPr>
            </w:pPr>
            <w:r w:rsidRPr="00EA7A2C">
              <w:rPr>
                <w:rFonts w:eastAsia="Calibri"/>
                <w:b/>
              </w:rPr>
              <w:t>Breach of Law Companies Act 2001</w:t>
            </w:r>
          </w:p>
        </w:tc>
      </w:tr>
      <w:tr w:rsidR="00D375C0" w:rsidRPr="00EA7A2C" w14:paraId="51E18D97" w14:textId="77777777" w:rsidTr="00DA69F9">
        <w:tc>
          <w:tcPr>
            <w:tcW w:w="3114" w:type="dxa"/>
            <w:shd w:val="clear" w:color="auto" w:fill="auto"/>
          </w:tcPr>
          <w:p w14:paraId="262A0601" w14:textId="77777777" w:rsidR="00D375C0" w:rsidRPr="00EA7A2C" w:rsidRDefault="00D375C0" w:rsidP="006D6636">
            <w:pPr>
              <w:jc w:val="left"/>
              <w:rPr>
                <w:rFonts w:eastAsia="Calibri"/>
                <w:i/>
              </w:rPr>
            </w:pPr>
            <w:r w:rsidRPr="00EA7A2C">
              <w:rPr>
                <w:rFonts w:eastAsia="Calibri"/>
                <w:i/>
              </w:rPr>
              <w:t>AWA Ltd v Daniels t/as Deloitte Haskins and Sells 7 ACSR 759</w:t>
            </w:r>
          </w:p>
        </w:tc>
        <w:tc>
          <w:tcPr>
            <w:tcW w:w="5812" w:type="dxa"/>
            <w:shd w:val="clear" w:color="auto" w:fill="auto"/>
          </w:tcPr>
          <w:p w14:paraId="35351E8B" w14:textId="77777777" w:rsidR="00D375C0" w:rsidRPr="00EA7A2C" w:rsidRDefault="00D375C0" w:rsidP="006D6636">
            <w:pPr>
              <w:jc w:val="left"/>
              <w:rPr>
                <w:rFonts w:eastAsia="Calibri"/>
              </w:rPr>
            </w:pPr>
            <w:r w:rsidRPr="00EA7A2C">
              <w:rPr>
                <w:rFonts w:eastAsia="Calibri"/>
              </w:rPr>
              <w:t>Problems with delegated authority and incorrect procedures for reporting to a company board. An equal duty of care for both executive and non-executive directors. That all should be familiar with the business of the company. ASX 1 &amp; 7 breach</w:t>
            </w:r>
          </w:p>
        </w:tc>
      </w:tr>
      <w:tr w:rsidR="00D375C0" w:rsidRPr="00EA7A2C" w14:paraId="4D861F08" w14:textId="77777777" w:rsidTr="00DA69F9">
        <w:tc>
          <w:tcPr>
            <w:tcW w:w="3114" w:type="dxa"/>
            <w:shd w:val="clear" w:color="auto" w:fill="auto"/>
          </w:tcPr>
          <w:p w14:paraId="5501C48D" w14:textId="77777777" w:rsidR="00D375C0" w:rsidRPr="00EA7A2C" w:rsidRDefault="00D375C0" w:rsidP="006D6636">
            <w:pPr>
              <w:jc w:val="left"/>
              <w:rPr>
                <w:rFonts w:eastAsia="Calibri"/>
                <w:i/>
              </w:rPr>
            </w:pPr>
            <w:r w:rsidRPr="00EA7A2C">
              <w:rPr>
                <w:rFonts w:eastAsia="Calibri"/>
                <w:i/>
              </w:rPr>
              <w:t>Vines v ASIC 55 ACSR 617: 23 ACLC 1387 -  GIO</w:t>
            </w:r>
          </w:p>
        </w:tc>
        <w:tc>
          <w:tcPr>
            <w:tcW w:w="5812" w:type="dxa"/>
            <w:shd w:val="clear" w:color="auto" w:fill="auto"/>
          </w:tcPr>
          <w:p w14:paraId="3FDE483D" w14:textId="77777777" w:rsidR="00D375C0" w:rsidRPr="00EA7A2C" w:rsidRDefault="00D375C0" w:rsidP="006D6636">
            <w:pPr>
              <w:jc w:val="left"/>
              <w:rPr>
                <w:rFonts w:eastAsia="Calibri"/>
              </w:rPr>
            </w:pPr>
            <w:r w:rsidRPr="00EA7A2C">
              <w:rPr>
                <w:rFonts w:eastAsia="Calibri"/>
              </w:rPr>
              <w:t>Chief Financial Officer (CFO) duties of care and diligence, S180 negligence, and lack of due diligence in forecasting made public.</w:t>
            </w:r>
            <w:r w:rsidR="006B2A02" w:rsidRPr="00EA7A2C">
              <w:rPr>
                <w:rFonts w:eastAsia="Calibri"/>
              </w:rPr>
              <w:t xml:space="preserve"> </w:t>
            </w:r>
            <w:r w:rsidRPr="00EA7A2C">
              <w:rPr>
                <w:rFonts w:eastAsia="Calibri"/>
              </w:rPr>
              <w:t>ASX 4 breach.</w:t>
            </w:r>
          </w:p>
        </w:tc>
      </w:tr>
      <w:tr w:rsidR="00D375C0" w:rsidRPr="00EA7A2C" w14:paraId="3BB51762" w14:textId="77777777" w:rsidTr="00DA69F9">
        <w:tc>
          <w:tcPr>
            <w:tcW w:w="3114" w:type="dxa"/>
            <w:shd w:val="clear" w:color="auto" w:fill="auto"/>
          </w:tcPr>
          <w:p w14:paraId="2D614BB3" w14:textId="77777777" w:rsidR="00D375C0" w:rsidRPr="00EA7A2C" w:rsidRDefault="00D375C0" w:rsidP="006D6636">
            <w:pPr>
              <w:jc w:val="left"/>
              <w:rPr>
                <w:rFonts w:eastAsia="Calibri"/>
                <w:i/>
              </w:rPr>
            </w:pPr>
            <w:r w:rsidRPr="00EA7A2C">
              <w:rPr>
                <w:rFonts w:eastAsia="Calibri"/>
                <w:i/>
                <w:iCs/>
                <w:color w:val="000000"/>
              </w:rPr>
              <w:t>The Bell Group Ltd (in liquidation) v Westpac Banking Corporation (No 9)</w:t>
            </w:r>
            <w:r w:rsidRPr="00EA7A2C">
              <w:rPr>
                <w:rFonts w:eastAsia="Calibri"/>
                <w:color w:val="000000"/>
              </w:rPr>
              <w:t xml:space="preserve"> [2008] WASC 239</w:t>
            </w:r>
          </w:p>
        </w:tc>
        <w:tc>
          <w:tcPr>
            <w:tcW w:w="5812" w:type="dxa"/>
            <w:shd w:val="clear" w:color="auto" w:fill="auto"/>
          </w:tcPr>
          <w:p w14:paraId="08A1EB0C" w14:textId="77777777" w:rsidR="00D375C0" w:rsidRPr="00EA7A2C" w:rsidRDefault="00D375C0" w:rsidP="006D6636">
            <w:pPr>
              <w:jc w:val="left"/>
              <w:rPr>
                <w:rFonts w:eastAsia="Calibri"/>
              </w:rPr>
            </w:pPr>
            <w:proofErr w:type="gramStart"/>
            <w:r w:rsidRPr="00EA7A2C">
              <w:rPr>
                <w:rFonts w:eastAsia="Calibri"/>
              </w:rPr>
              <w:t>Directors</w:t>
            </w:r>
            <w:proofErr w:type="gramEnd"/>
            <w:r w:rsidRPr="00EA7A2C">
              <w:rPr>
                <w:rFonts w:eastAsia="Calibri"/>
              </w:rPr>
              <w:t xml:space="preserve"> duties to consider the interests of creditors in a restructure for corporate debts. Banks were also found to assist in the </w:t>
            </w:r>
            <w:proofErr w:type="gramStart"/>
            <w:r w:rsidRPr="00EA7A2C">
              <w:rPr>
                <w:rFonts w:eastAsia="Calibri"/>
              </w:rPr>
              <w:t>directors</w:t>
            </w:r>
            <w:proofErr w:type="gramEnd"/>
            <w:r w:rsidRPr="00EA7A2C">
              <w:rPr>
                <w:rFonts w:eastAsia="Calibri"/>
              </w:rPr>
              <w:t xml:space="preserve"> breach of duties and were fined. </w:t>
            </w:r>
          </w:p>
          <w:p w14:paraId="46C2D6BE" w14:textId="77777777" w:rsidR="00D375C0" w:rsidRPr="00EA7A2C" w:rsidRDefault="00D375C0" w:rsidP="006D6636">
            <w:pPr>
              <w:jc w:val="left"/>
              <w:rPr>
                <w:rFonts w:eastAsia="Calibri"/>
              </w:rPr>
            </w:pPr>
            <w:r w:rsidRPr="00EA7A2C">
              <w:rPr>
                <w:rFonts w:eastAsia="Calibri"/>
              </w:rPr>
              <w:t>ASX 3 breach.</w:t>
            </w:r>
          </w:p>
        </w:tc>
      </w:tr>
      <w:tr w:rsidR="00D375C0" w:rsidRPr="00EA7A2C" w14:paraId="56F9798E" w14:textId="77777777" w:rsidTr="00DA69F9">
        <w:tc>
          <w:tcPr>
            <w:tcW w:w="3114" w:type="dxa"/>
            <w:shd w:val="clear" w:color="auto" w:fill="auto"/>
          </w:tcPr>
          <w:p w14:paraId="2D4ED4B5" w14:textId="77777777" w:rsidR="00D375C0" w:rsidRPr="00EA7A2C" w:rsidRDefault="00D375C0" w:rsidP="006D6636">
            <w:pPr>
              <w:jc w:val="left"/>
              <w:rPr>
                <w:rFonts w:eastAsia="Calibri"/>
                <w:i/>
              </w:rPr>
            </w:pPr>
            <w:r w:rsidRPr="00EA7A2C">
              <w:rPr>
                <w:rFonts w:eastAsia="Calibri"/>
                <w:i/>
              </w:rPr>
              <w:t xml:space="preserve">ASIC v </w:t>
            </w:r>
            <w:proofErr w:type="spellStart"/>
            <w:r w:rsidRPr="00EA7A2C">
              <w:rPr>
                <w:rFonts w:eastAsia="Calibri"/>
                <w:i/>
              </w:rPr>
              <w:t>Narain</w:t>
            </w:r>
            <w:proofErr w:type="spellEnd"/>
            <w:r w:rsidRPr="00EA7A2C">
              <w:rPr>
                <w:rFonts w:eastAsia="Calibri"/>
                <w:i/>
              </w:rPr>
              <w:t xml:space="preserve"> FCAFC 120</w:t>
            </w:r>
          </w:p>
        </w:tc>
        <w:tc>
          <w:tcPr>
            <w:tcW w:w="5812" w:type="dxa"/>
            <w:shd w:val="clear" w:color="auto" w:fill="auto"/>
          </w:tcPr>
          <w:p w14:paraId="4442EFE2" w14:textId="77777777" w:rsidR="00D375C0" w:rsidRPr="00EA7A2C" w:rsidRDefault="00D375C0" w:rsidP="006D6636">
            <w:pPr>
              <w:jc w:val="left"/>
              <w:rPr>
                <w:rFonts w:eastAsia="Calibri"/>
              </w:rPr>
            </w:pPr>
            <w:r w:rsidRPr="00EA7A2C">
              <w:rPr>
                <w:rFonts w:eastAsia="Calibri"/>
              </w:rPr>
              <w:t>Misleading information regarding chemicals and claims it could stop spread of disease that was not backed up by medical advice. Managing director was held personally liable for making the statements. ASX 7 breach.</w:t>
            </w:r>
          </w:p>
        </w:tc>
      </w:tr>
      <w:tr w:rsidR="00D375C0" w:rsidRPr="00EA7A2C" w14:paraId="51138B44" w14:textId="77777777" w:rsidTr="00DA69F9">
        <w:tc>
          <w:tcPr>
            <w:tcW w:w="3114" w:type="dxa"/>
            <w:shd w:val="clear" w:color="auto" w:fill="auto"/>
          </w:tcPr>
          <w:p w14:paraId="3BB92F3A" w14:textId="77777777" w:rsidR="00D375C0" w:rsidRPr="00EA7A2C" w:rsidRDefault="00D375C0" w:rsidP="006D6636">
            <w:pPr>
              <w:jc w:val="left"/>
              <w:rPr>
                <w:rFonts w:eastAsia="Calibri"/>
                <w:i/>
              </w:rPr>
            </w:pPr>
            <w:proofErr w:type="spellStart"/>
            <w:r w:rsidRPr="00EA7A2C">
              <w:rPr>
                <w:rFonts w:eastAsia="Calibri"/>
                <w:i/>
              </w:rPr>
              <w:t>Jubliee</w:t>
            </w:r>
            <w:proofErr w:type="spellEnd"/>
            <w:r w:rsidRPr="00EA7A2C">
              <w:rPr>
                <w:rFonts w:eastAsia="Calibri"/>
                <w:i/>
              </w:rPr>
              <w:t xml:space="preserve"> Mines NL v Riley 253 ALR 673: 69 ACSR 659</w:t>
            </w:r>
          </w:p>
        </w:tc>
        <w:tc>
          <w:tcPr>
            <w:tcW w:w="5812" w:type="dxa"/>
            <w:shd w:val="clear" w:color="auto" w:fill="auto"/>
          </w:tcPr>
          <w:p w14:paraId="4A559A76" w14:textId="77777777" w:rsidR="00D375C0" w:rsidRPr="00EA7A2C" w:rsidRDefault="00D375C0" w:rsidP="006D6636">
            <w:pPr>
              <w:jc w:val="left"/>
              <w:rPr>
                <w:rFonts w:eastAsia="Calibri"/>
              </w:rPr>
            </w:pPr>
            <w:r w:rsidRPr="00EA7A2C">
              <w:rPr>
                <w:rFonts w:eastAsia="Calibri"/>
              </w:rPr>
              <w:t>Continuous disclosure should be balanced with no misleading or deceptive conduct. Principle of “when in doubt disclose” should be considered carefully as company should not also mislead the market with incomplete information. ASX 5 breach</w:t>
            </w:r>
          </w:p>
        </w:tc>
      </w:tr>
      <w:tr w:rsidR="00D375C0" w:rsidRPr="00EA7A2C" w14:paraId="1B7C4619" w14:textId="77777777" w:rsidTr="00DA69F9">
        <w:tc>
          <w:tcPr>
            <w:tcW w:w="3114" w:type="dxa"/>
            <w:shd w:val="clear" w:color="auto" w:fill="auto"/>
          </w:tcPr>
          <w:p w14:paraId="75D286D7" w14:textId="77777777" w:rsidR="00D375C0" w:rsidRPr="00EA7A2C" w:rsidRDefault="00D375C0" w:rsidP="006D6636">
            <w:pPr>
              <w:jc w:val="left"/>
              <w:rPr>
                <w:rFonts w:eastAsia="Calibri"/>
                <w:i/>
              </w:rPr>
            </w:pPr>
            <w:r w:rsidRPr="00EA7A2C">
              <w:rPr>
                <w:rFonts w:eastAsia="Calibri"/>
                <w:i/>
              </w:rPr>
              <w:t>ASIC v Healy 2011 FCA 717           Centro Case</w:t>
            </w:r>
          </w:p>
        </w:tc>
        <w:tc>
          <w:tcPr>
            <w:tcW w:w="5812" w:type="dxa"/>
            <w:shd w:val="clear" w:color="auto" w:fill="auto"/>
          </w:tcPr>
          <w:p w14:paraId="288BEFD3" w14:textId="77777777" w:rsidR="00D375C0" w:rsidRPr="00EA7A2C" w:rsidRDefault="00D375C0" w:rsidP="006D6636">
            <w:pPr>
              <w:jc w:val="left"/>
              <w:rPr>
                <w:rFonts w:eastAsia="Calibri"/>
              </w:rPr>
            </w:pPr>
            <w:r w:rsidRPr="00EA7A2C">
              <w:rPr>
                <w:rFonts w:eastAsia="Calibri"/>
              </w:rPr>
              <w:t>S180(1) directors breach as inaccurate financial accounts were approved. ASX 4 breach.</w:t>
            </w:r>
          </w:p>
        </w:tc>
      </w:tr>
      <w:tr w:rsidR="00D375C0" w:rsidRPr="00EA7A2C" w14:paraId="2DF89677" w14:textId="77777777" w:rsidTr="00DA69F9">
        <w:tc>
          <w:tcPr>
            <w:tcW w:w="3114" w:type="dxa"/>
            <w:shd w:val="clear" w:color="auto" w:fill="auto"/>
          </w:tcPr>
          <w:p w14:paraId="0999FBC3" w14:textId="77777777" w:rsidR="00D375C0" w:rsidRPr="00EA7A2C" w:rsidRDefault="00D375C0" w:rsidP="006D6636">
            <w:pPr>
              <w:jc w:val="left"/>
              <w:rPr>
                <w:rFonts w:eastAsia="Calibri"/>
                <w:i/>
              </w:rPr>
            </w:pPr>
            <w:r w:rsidRPr="00EA7A2C">
              <w:rPr>
                <w:rFonts w:eastAsia="Calibri"/>
                <w:i/>
              </w:rPr>
              <w:t>ASIC v Fortescue Metals Group Ltd FCAFC 19</w:t>
            </w:r>
          </w:p>
        </w:tc>
        <w:tc>
          <w:tcPr>
            <w:tcW w:w="5812" w:type="dxa"/>
            <w:shd w:val="clear" w:color="auto" w:fill="auto"/>
          </w:tcPr>
          <w:p w14:paraId="735C10AC" w14:textId="77777777" w:rsidR="00D375C0" w:rsidRPr="00EA7A2C" w:rsidRDefault="00D375C0" w:rsidP="006D6636">
            <w:pPr>
              <w:jc w:val="left"/>
              <w:rPr>
                <w:rFonts w:eastAsia="Calibri"/>
              </w:rPr>
            </w:pPr>
            <w:r w:rsidRPr="00EA7A2C">
              <w:rPr>
                <w:rFonts w:eastAsia="Calibri"/>
              </w:rPr>
              <w:t>Held FMG and Managing director Andrew Forrest breach of continuous disclosure for engaging in misleading or deceptive conduct concerning ASX releases and investor briefings to the signing of framework agreements with Chinese companies. In 2012 this was overturned on appeal. ASX 5 breach.</w:t>
            </w:r>
          </w:p>
        </w:tc>
      </w:tr>
    </w:tbl>
    <w:p w14:paraId="34B11000" w14:textId="77777777" w:rsidR="00EA7A2C" w:rsidRPr="00EA7A2C" w:rsidRDefault="00EA7A2C" w:rsidP="006D6636">
      <w:pPr>
        <w:jc w:val="both"/>
        <w:rPr>
          <w:rFonts w:eastAsia="Times New Roman"/>
          <w:bCs/>
          <w:lang w:val="en-GB"/>
        </w:rPr>
      </w:pPr>
    </w:p>
    <w:p w14:paraId="07BF8F65" w14:textId="77777777" w:rsidR="001C0E4D" w:rsidRDefault="001C0E4D" w:rsidP="006D6636">
      <w:pPr>
        <w:jc w:val="both"/>
        <w:rPr>
          <w:rFonts w:eastAsia="Times New Roman"/>
          <w:b/>
          <w:bCs/>
          <w:lang w:val="en-GB"/>
        </w:rPr>
      </w:pPr>
    </w:p>
    <w:p w14:paraId="5AECBC6E" w14:textId="77777777" w:rsidR="001C0E4D" w:rsidRDefault="001C0E4D" w:rsidP="006D6636">
      <w:pPr>
        <w:jc w:val="both"/>
        <w:rPr>
          <w:rFonts w:eastAsia="Times New Roman"/>
          <w:b/>
          <w:bCs/>
          <w:lang w:val="en-GB"/>
        </w:rPr>
      </w:pPr>
    </w:p>
    <w:p w14:paraId="47059E47" w14:textId="77777777" w:rsidR="001C0E4D" w:rsidRDefault="001C0E4D" w:rsidP="006D6636">
      <w:pPr>
        <w:jc w:val="both"/>
        <w:rPr>
          <w:rFonts w:eastAsia="Times New Roman"/>
          <w:b/>
          <w:bCs/>
          <w:lang w:val="en-GB"/>
        </w:rPr>
      </w:pPr>
    </w:p>
    <w:p w14:paraId="3D95ED39" w14:textId="77777777" w:rsidR="001C0E4D" w:rsidRDefault="001C0E4D" w:rsidP="006D6636">
      <w:pPr>
        <w:jc w:val="both"/>
        <w:rPr>
          <w:rFonts w:eastAsia="Times New Roman"/>
          <w:b/>
          <w:bCs/>
          <w:lang w:val="en-GB"/>
        </w:rPr>
      </w:pPr>
    </w:p>
    <w:p w14:paraId="3BBA7EF8" w14:textId="77777777" w:rsidR="00D375C0" w:rsidRPr="001C0E4D" w:rsidRDefault="00D375C0" w:rsidP="006D6636">
      <w:pPr>
        <w:jc w:val="both"/>
        <w:rPr>
          <w:rFonts w:eastAsia="Times New Roman"/>
          <w:b/>
          <w:bCs/>
          <w:lang w:val="en-GB"/>
        </w:rPr>
      </w:pPr>
      <w:r w:rsidRPr="001C0E4D">
        <w:rPr>
          <w:rFonts w:eastAsia="Times New Roman"/>
          <w:b/>
          <w:bCs/>
          <w:lang w:val="en-GB"/>
        </w:rPr>
        <w:lastRenderedPageBreak/>
        <w:t>Table 8: Insolvent Trading S588</w:t>
      </w:r>
      <w:proofErr w:type="gramStart"/>
      <w:r w:rsidRPr="001C0E4D">
        <w:rPr>
          <w:rFonts w:eastAsia="Times New Roman"/>
          <w:b/>
          <w:bCs/>
          <w:lang w:val="en-GB"/>
        </w:rPr>
        <w:t>G(</w:t>
      </w:r>
      <w:proofErr w:type="gramEnd"/>
      <w:r w:rsidRPr="001C0E4D">
        <w:rPr>
          <w:rFonts w:eastAsia="Times New Roman"/>
          <w:b/>
          <w:bCs/>
          <w:lang w:val="en-GB"/>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812"/>
      </w:tblGrid>
      <w:tr w:rsidR="00D375C0" w:rsidRPr="00EA7A2C" w14:paraId="01881E03" w14:textId="77777777" w:rsidTr="00156797">
        <w:tc>
          <w:tcPr>
            <w:tcW w:w="3114" w:type="dxa"/>
            <w:shd w:val="clear" w:color="auto" w:fill="auto"/>
          </w:tcPr>
          <w:p w14:paraId="7CA5D312" w14:textId="77777777" w:rsidR="00D375C0" w:rsidRPr="00EA7A2C" w:rsidRDefault="00D375C0" w:rsidP="006D6636">
            <w:pPr>
              <w:rPr>
                <w:rFonts w:eastAsia="Calibri"/>
                <w:b/>
              </w:rPr>
            </w:pPr>
            <w:r w:rsidRPr="00EA7A2C">
              <w:rPr>
                <w:rFonts w:eastAsia="Calibri"/>
                <w:b/>
              </w:rPr>
              <w:t>Case Name</w:t>
            </w:r>
          </w:p>
        </w:tc>
        <w:tc>
          <w:tcPr>
            <w:tcW w:w="5812" w:type="dxa"/>
            <w:shd w:val="clear" w:color="auto" w:fill="auto"/>
          </w:tcPr>
          <w:p w14:paraId="009F57B9" w14:textId="77777777" w:rsidR="00D375C0" w:rsidRPr="00EA7A2C" w:rsidRDefault="00D375C0" w:rsidP="006D6636">
            <w:pPr>
              <w:rPr>
                <w:rFonts w:eastAsia="Calibri"/>
                <w:b/>
              </w:rPr>
            </w:pPr>
            <w:r w:rsidRPr="00EA7A2C">
              <w:rPr>
                <w:rFonts w:eastAsia="Calibri"/>
                <w:b/>
              </w:rPr>
              <w:t xml:space="preserve">Finding / Description </w:t>
            </w:r>
          </w:p>
          <w:p w14:paraId="7BF5032F" w14:textId="77777777" w:rsidR="00D375C0" w:rsidRPr="00EA7A2C" w:rsidRDefault="00D375C0" w:rsidP="006D6636">
            <w:pPr>
              <w:rPr>
                <w:rFonts w:eastAsia="Calibri"/>
                <w:b/>
              </w:rPr>
            </w:pPr>
            <w:r w:rsidRPr="00EA7A2C">
              <w:rPr>
                <w:rFonts w:eastAsia="Calibri"/>
                <w:b/>
              </w:rPr>
              <w:t>Breach of Law Companies Act 2001</w:t>
            </w:r>
          </w:p>
        </w:tc>
      </w:tr>
      <w:tr w:rsidR="00D375C0" w:rsidRPr="00EA7A2C" w14:paraId="6780420E" w14:textId="77777777" w:rsidTr="00156797">
        <w:tc>
          <w:tcPr>
            <w:tcW w:w="3114" w:type="dxa"/>
            <w:shd w:val="clear" w:color="auto" w:fill="auto"/>
          </w:tcPr>
          <w:p w14:paraId="5DF40260" w14:textId="77777777" w:rsidR="00D375C0" w:rsidRPr="00EA7A2C" w:rsidRDefault="00D375C0" w:rsidP="006D6636">
            <w:pPr>
              <w:jc w:val="left"/>
              <w:rPr>
                <w:rFonts w:eastAsia="Calibri"/>
                <w:i/>
              </w:rPr>
            </w:pPr>
            <w:r w:rsidRPr="00EA7A2C">
              <w:rPr>
                <w:rFonts w:eastAsia="Calibri"/>
                <w:i/>
              </w:rPr>
              <w:t>Commonwealth Bank of Australia v Friedrich 5 ACSR 115: 9 ACLC 946</w:t>
            </w:r>
          </w:p>
        </w:tc>
        <w:tc>
          <w:tcPr>
            <w:tcW w:w="5812" w:type="dxa"/>
            <w:shd w:val="clear" w:color="auto" w:fill="auto"/>
          </w:tcPr>
          <w:p w14:paraId="750BF9EF" w14:textId="77777777" w:rsidR="00D375C0" w:rsidRPr="00EA7A2C" w:rsidRDefault="00D375C0" w:rsidP="00EA7A2C">
            <w:pPr>
              <w:jc w:val="left"/>
              <w:rPr>
                <w:rFonts w:eastAsia="Calibri"/>
              </w:rPr>
            </w:pPr>
            <w:r w:rsidRPr="00EA7A2C">
              <w:rPr>
                <w:rFonts w:eastAsia="Calibri"/>
              </w:rPr>
              <w:t>S588G(2)/((3) director found to be personally liable for insolvent trading for debts incurred by the company, as the loan was fraudulent and he should not have signed annual reports with assets listed that the business did not own.</w:t>
            </w:r>
            <w:r w:rsidR="00EA7A2C" w:rsidRPr="00EA7A2C">
              <w:rPr>
                <w:rFonts w:eastAsia="Calibri"/>
              </w:rPr>
              <w:t xml:space="preserve"> </w:t>
            </w:r>
            <w:r w:rsidRPr="00EA7A2C">
              <w:rPr>
                <w:rFonts w:eastAsia="Calibri"/>
              </w:rPr>
              <w:t>ASX 1 &amp; 3 breach.</w:t>
            </w:r>
          </w:p>
        </w:tc>
      </w:tr>
      <w:tr w:rsidR="00D375C0" w:rsidRPr="00EA7A2C" w14:paraId="4BE94AC5" w14:textId="77777777" w:rsidTr="00156797">
        <w:tc>
          <w:tcPr>
            <w:tcW w:w="3114" w:type="dxa"/>
            <w:shd w:val="clear" w:color="auto" w:fill="auto"/>
          </w:tcPr>
          <w:p w14:paraId="3E72F338" w14:textId="77777777" w:rsidR="00D375C0" w:rsidRPr="00EA7A2C" w:rsidRDefault="00D375C0" w:rsidP="006D6636">
            <w:pPr>
              <w:jc w:val="left"/>
              <w:rPr>
                <w:rFonts w:eastAsia="Calibri"/>
                <w:i/>
              </w:rPr>
            </w:pPr>
            <w:r w:rsidRPr="00EA7A2C">
              <w:rPr>
                <w:rFonts w:eastAsia="Calibri"/>
                <w:i/>
              </w:rPr>
              <w:t xml:space="preserve">ASIC v </w:t>
            </w:r>
            <w:proofErr w:type="spellStart"/>
            <w:r w:rsidRPr="00EA7A2C">
              <w:rPr>
                <w:rFonts w:eastAsia="Calibri"/>
                <w:i/>
              </w:rPr>
              <w:t>Plymin</w:t>
            </w:r>
            <w:proofErr w:type="spellEnd"/>
            <w:r w:rsidRPr="00EA7A2C">
              <w:rPr>
                <w:rFonts w:eastAsia="Calibri"/>
                <w:i/>
              </w:rPr>
              <w:t xml:space="preserve"> 46 ACSR 126: 21 ACLC 700. Elliott v ASIC 10 VR 369: 205 ALR 594.</w:t>
            </w:r>
          </w:p>
        </w:tc>
        <w:tc>
          <w:tcPr>
            <w:tcW w:w="5812" w:type="dxa"/>
            <w:shd w:val="clear" w:color="auto" w:fill="auto"/>
          </w:tcPr>
          <w:p w14:paraId="5AE986E8" w14:textId="77777777" w:rsidR="00D375C0" w:rsidRPr="00EA7A2C" w:rsidRDefault="00D375C0" w:rsidP="00EA7A2C">
            <w:pPr>
              <w:jc w:val="left"/>
              <w:rPr>
                <w:rFonts w:eastAsia="Calibri"/>
              </w:rPr>
            </w:pPr>
            <w:r w:rsidRPr="00EA7A2C">
              <w:rPr>
                <w:rFonts w:eastAsia="Calibri"/>
              </w:rPr>
              <w:t>Breach of statutory duty to prevent insolvent trading. Under s588G requires individual directors take reasonable steps to prevent a company from incurring a debt. Banned from being a director and fined $25,000 and $15,000 respectively.</w:t>
            </w:r>
            <w:r w:rsidR="00EA7A2C" w:rsidRPr="00EA7A2C">
              <w:rPr>
                <w:rFonts w:eastAsia="Calibri"/>
              </w:rPr>
              <w:t xml:space="preserve"> </w:t>
            </w:r>
            <w:r w:rsidRPr="00EA7A2C">
              <w:rPr>
                <w:rFonts w:eastAsia="Calibri"/>
              </w:rPr>
              <w:t>ASX 4 &amp; 7 breach.</w:t>
            </w:r>
          </w:p>
        </w:tc>
      </w:tr>
    </w:tbl>
    <w:p w14:paraId="4FE65543" w14:textId="77777777" w:rsidR="00D375C0" w:rsidRPr="00EA7A2C" w:rsidRDefault="00D375C0" w:rsidP="006D6636">
      <w:pPr>
        <w:pStyle w:val="BodyText"/>
        <w:spacing w:after="0" w:line="240" w:lineRule="auto"/>
      </w:pPr>
    </w:p>
    <w:p w14:paraId="5261C22E" w14:textId="77777777" w:rsidR="00D375C0" w:rsidRPr="00EA7A2C" w:rsidRDefault="00D375C0" w:rsidP="00EA7A2C">
      <w:pPr>
        <w:ind w:left="567" w:right="567"/>
        <w:jc w:val="left"/>
        <w:rPr>
          <w:i/>
          <w:iCs/>
          <w:color w:val="000000"/>
        </w:rPr>
      </w:pPr>
      <w:r w:rsidRPr="00EA7A2C">
        <w:rPr>
          <w:i/>
          <w:color w:val="000000"/>
        </w:rPr>
        <w:t xml:space="preserve">“If everybody minded their own business, the world would go around a great deal faster than it does.” </w:t>
      </w:r>
      <w:hyperlink r:id="rId11" w:history="1">
        <w:r w:rsidRPr="00EA7A2C">
          <w:rPr>
            <w:i/>
            <w:color w:val="000000"/>
          </w:rPr>
          <w:t>Carroll</w:t>
        </w:r>
      </w:hyperlink>
      <w:r w:rsidRPr="00EA7A2C">
        <w:rPr>
          <w:i/>
          <w:color w:val="000000"/>
        </w:rPr>
        <w:t>, Lewis (1865)</w:t>
      </w:r>
      <w:r w:rsidRPr="00EA7A2C">
        <w:rPr>
          <w:color w:val="000000"/>
        </w:rPr>
        <w:t xml:space="preserve"> “</w:t>
      </w:r>
      <w:hyperlink r:id="rId12" w:history="1">
        <w:r w:rsidRPr="00EA7A2C">
          <w:rPr>
            <w:i/>
            <w:iCs/>
            <w:color w:val="000000"/>
          </w:rPr>
          <w:t>Alice in Wonderland</w:t>
        </w:r>
      </w:hyperlink>
      <w:r w:rsidRPr="00EA7A2C">
        <w:rPr>
          <w:i/>
          <w:iCs/>
          <w:color w:val="000000"/>
        </w:rPr>
        <w:t>”</w:t>
      </w:r>
    </w:p>
    <w:p w14:paraId="0B634C8F" w14:textId="77777777" w:rsidR="00D375C0" w:rsidRPr="00EA7A2C" w:rsidRDefault="00D375C0" w:rsidP="006D6636">
      <w:pPr>
        <w:rPr>
          <w:rFonts w:eastAsia="Times New Roman"/>
          <w:b/>
          <w:bCs/>
          <w:i/>
          <w:lang w:val="en-GB"/>
        </w:rPr>
      </w:pPr>
    </w:p>
    <w:p w14:paraId="7B7CC85C" w14:textId="77777777" w:rsidR="00D375C0" w:rsidRPr="00EA7A2C" w:rsidRDefault="00D375C0" w:rsidP="006D6636">
      <w:pPr>
        <w:jc w:val="both"/>
      </w:pPr>
      <w:r w:rsidRPr="00EA7A2C">
        <w:t>Research Question 1: Can the directors duties outlined in the Corporations Act (2001) relate to the Corporate Governance recommendations by the ASX (201</w:t>
      </w:r>
      <w:r w:rsidR="00EA7A2C" w:rsidRPr="00EA7A2C">
        <w:t>9</w:t>
      </w:r>
      <w:r w:rsidRPr="00EA7A2C">
        <w:t>) are demonstrated by table 2. The Research Question 2 of what directors’ duties have been breached and resulted in court activity in the last 15 years, has been shown by tables 3 - 8.</w:t>
      </w:r>
    </w:p>
    <w:p w14:paraId="7D1F7D62" w14:textId="77777777" w:rsidR="00E565A3" w:rsidRPr="00EA7A2C" w:rsidRDefault="00E565A3" w:rsidP="006D6636">
      <w:pPr>
        <w:pStyle w:val="Heading2"/>
        <w:numPr>
          <w:ilvl w:val="0"/>
          <w:numId w:val="0"/>
        </w:numPr>
        <w:spacing w:before="0" w:after="0"/>
        <w:ind w:left="289" w:hanging="289"/>
        <w:rPr>
          <w:b/>
          <w:i w:val="0"/>
        </w:rPr>
      </w:pPr>
    </w:p>
    <w:p w14:paraId="3C1A247E" w14:textId="77777777" w:rsidR="00D375C0" w:rsidRPr="00EA7A2C" w:rsidRDefault="00156797" w:rsidP="001C0E4D">
      <w:pPr>
        <w:pStyle w:val="Heading2"/>
        <w:numPr>
          <w:ilvl w:val="0"/>
          <w:numId w:val="3"/>
        </w:numPr>
        <w:spacing w:before="0" w:after="0"/>
        <w:rPr>
          <w:b/>
          <w:i w:val="0"/>
        </w:rPr>
      </w:pPr>
      <w:r w:rsidRPr="00EA7A2C">
        <w:rPr>
          <w:b/>
          <w:i w:val="0"/>
        </w:rPr>
        <w:t>D</w:t>
      </w:r>
      <w:r w:rsidR="00D375C0" w:rsidRPr="00EA7A2C">
        <w:rPr>
          <w:b/>
          <w:i w:val="0"/>
        </w:rPr>
        <w:t xml:space="preserve">iscussion </w:t>
      </w:r>
    </w:p>
    <w:p w14:paraId="51F6D468" w14:textId="77777777" w:rsidR="00EA7A2C" w:rsidRPr="00EA7A2C" w:rsidRDefault="00EA7A2C" w:rsidP="006D6636">
      <w:pPr>
        <w:jc w:val="both"/>
      </w:pPr>
    </w:p>
    <w:p w14:paraId="053F836F" w14:textId="77777777" w:rsidR="00D375C0" w:rsidRPr="00EA7A2C" w:rsidRDefault="00D375C0" w:rsidP="006D6636">
      <w:pPr>
        <w:jc w:val="both"/>
      </w:pPr>
      <w:r w:rsidRPr="00EA7A2C">
        <w:t>Figure 2 is a model based on the interactions between Directors duties as prescribed by Corporations Law (2001) and the ASX Good Governance Recommendations (201</w:t>
      </w:r>
      <w:r w:rsidR="00EA7A2C" w:rsidRPr="00EA7A2C">
        <w:t>9</w:t>
      </w:r>
      <w:r w:rsidRPr="00EA7A2C">
        <w:t xml:space="preserve">) and court cases from the breaches. Entitled the LAG/LEAD model, it represents how company directors can avoid the court system by instead of being reactive (LAG) they can be proactive (LEAD) by exhibiting good corporate governance and compliance with </w:t>
      </w:r>
      <w:r w:rsidR="00EA7A2C" w:rsidRPr="00EA7A2C">
        <w:t>C</w:t>
      </w:r>
      <w:r w:rsidRPr="00EA7A2C">
        <w:t xml:space="preserve">orporations law. </w:t>
      </w:r>
    </w:p>
    <w:p w14:paraId="70A1F125" w14:textId="77777777" w:rsidR="006B2A02" w:rsidRPr="00EA7A2C" w:rsidRDefault="006B2A02" w:rsidP="006D6636">
      <w:pPr>
        <w:jc w:val="both"/>
      </w:pPr>
    </w:p>
    <w:p w14:paraId="0FACFEA6" w14:textId="77777777" w:rsidR="006D6636" w:rsidRPr="001C0E4D" w:rsidRDefault="006B2A02" w:rsidP="006D6636">
      <w:pPr>
        <w:jc w:val="left"/>
        <w:rPr>
          <w:b/>
        </w:rPr>
      </w:pPr>
      <w:r w:rsidRPr="001C0E4D">
        <w:rPr>
          <w:b/>
        </w:rPr>
        <w:t>Figure 2: LAG/LEAD Model for Company Directors</w:t>
      </w:r>
      <w:r w:rsidRPr="001C0E4D">
        <w:rPr>
          <w:b/>
        </w:rPr>
        <w:tab/>
      </w:r>
    </w:p>
    <w:p w14:paraId="7AB1D07C" w14:textId="77777777" w:rsidR="006D6636" w:rsidRPr="00EA7A2C" w:rsidRDefault="006D6636" w:rsidP="006D6636">
      <w:pPr>
        <w:jc w:val="left"/>
      </w:pPr>
      <w:r w:rsidRPr="00EA7A2C">
        <w:rPr>
          <w:noProof/>
          <w:lang w:val="en-AU" w:eastAsia="en-AU"/>
        </w:rPr>
        <mc:AlternateContent>
          <mc:Choice Requires="wps">
            <w:drawing>
              <wp:anchor distT="0" distB="0" distL="114300" distR="114300" simplePos="0" relativeHeight="251675648" behindDoc="0" locked="0" layoutInCell="1" allowOverlap="1" wp14:anchorId="0C59C146" wp14:editId="6A586249">
                <wp:simplePos x="0" y="0"/>
                <wp:positionH relativeFrom="margin">
                  <wp:align>right</wp:align>
                </wp:positionH>
                <wp:positionV relativeFrom="paragraph">
                  <wp:posOffset>8890</wp:posOffset>
                </wp:positionV>
                <wp:extent cx="2348230" cy="1000125"/>
                <wp:effectExtent l="0" t="0" r="13970" b="28575"/>
                <wp:wrapNone/>
                <wp:docPr id="13" name="Rectangle 13"/>
                <wp:cNvGraphicFramePr/>
                <a:graphic xmlns:a="http://schemas.openxmlformats.org/drawingml/2006/main">
                  <a:graphicData uri="http://schemas.microsoft.com/office/word/2010/wordprocessingShape">
                    <wps:wsp>
                      <wps:cNvSpPr/>
                      <wps:spPr>
                        <a:xfrm>
                          <a:off x="0" y="0"/>
                          <a:ext cx="2348230" cy="1000125"/>
                        </a:xfrm>
                        <a:prstGeom prst="rect">
                          <a:avLst/>
                        </a:prstGeom>
                      </wps:spPr>
                      <wps:style>
                        <a:lnRef idx="2">
                          <a:schemeClr val="accent2"/>
                        </a:lnRef>
                        <a:fillRef idx="1">
                          <a:schemeClr val="lt1"/>
                        </a:fillRef>
                        <a:effectRef idx="0">
                          <a:schemeClr val="accent2"/>
                        </a:effectRef>
                        <a:fontRef idx="minor">
                          <a:schemeClr val="dk1"/>
                        </a:fontRef>
                      </wps:style>
                      <wps:txbx>
                        <w:txbxContent>
                          <w:p w14:paraId="5848EFAF" w14:textId="77777777" w:rsidR="006B2A02" w:rsidRPr="00B42708" w:rsidRDefault="006B2A02" w:rsidP="006B2A02">
                            <w:pPr>
                              <w:rPr>
                                <w:b/>
                              </w:rPr>
                            </w:pPr>
                            <w:r w:rsidRPr="00075674">
                              <w:rPr>
                                <w:b/>
                                <w:color w:val="C45911"/>
                              </w:rPr>
                              <w:t xml:space="preserve">A </w:t>
                            </w:r>
                            <w:r w:rsidRPr="00B42708">
                              <w:rPr>
                                <w:b/>
                              </w:rPr>
                              <w:t>ACCOUNTABILITY of Board of Directors</w:t>
                            </w:r>
                          </w:p>
                          <w:p w14:paraId="011FE8D1" w14:textId="77777777" w:rsidR="006B2A02" w:rsidRPr="00B42708" w:rsidRDefault="006B2A02" w:rsidP="006B2A02">
                            <w:r w:rsidRPr="00B42708">
                              <w:t>Company Director Fiduciary Duties</w:t>
                            </w:r>
                          </w:p>
                          <w:p w14:paraId="40333E0B" w14:textId="77777777" w:rsidR="006B2A02" w:rsidRPr="00B42708" w:rsidRDefault="006B2A02" w:rsidP="006B2A02">
                            <w:r w:rsidRPr="00B42708">
                              <w:t>Codes of Ethics, Policy and Procedures</w:t>
                            </w:r>
                          </w:p>
                          <w:p w14:paraId="08DFF49B" w14:textId="77777777" w:rsidR="006B2A02" w:rsidRPr="00B42708" w:rsidRDefault="006B2A02" w:rsidP="006B2A02">
                            <w:r w:rsidRPr="00B42708">
                              <w:t>CEO Recruitment, Support &amp; Succession</w:t>
                            </w:r>
                          </w:p>
                          <w:p w14:paraId="12B79DA0" w14:textId="77777777" w:rsidR="006B2A02" w:rsidRPr="00B42708" w:rsidRDefault="006B2A02" w:rsidP="006B2A02">
                            <w:r w:rsidRPr="00B42708">
                              <w:t>Timely, balanced, integrity of reporting</w:t>
                            </w:r>
                          </w:p>
                          <w:p w14:paraId="2926C942" w14:textId="77777777" w:rsidR="006B2A02" w:rsidRDefault="006B2A02" w:rsidP="006B2A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133.7pt;margin-top:.7pt;width:184.9pt;height:78.7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" fillcolor="white [3201]" strokecolor="#ed7d31 [3205]" strokeweight="1pt">
                <v:textbox>
                  <w:txbxContent>
                    <w:p w:rsidR="006B2A02" w:rsidRPr="00B42708" w:rsidRDefault="006B2A02" w:rsidP="006B2A02">
                      <w:pPr>
                        <w:rPr>
                          <w:b/>
                        </w:rPr>
                      </w:pPr>
                      <w:proofErr w:type="gramStart"/>
                      <w:r w:rsidRPr="00075674">
                        <w:rPr>
                          <w:b/>
                          <w:color w:val="C45911"/>
                        </w:rPr>
                        <w:t>A</w:t>
                      </w:r>
                      <w:proofErr w:type="gramEnd"/>
                      <w:r w:rsidRPr="00075674">
                        <w:rPr>
                          <w:b/>
                          <w:color w:val="C45911"/>
                        </w:rPr>
                        <w:t xml:space="preserve"> </w:t>
                      </w:r>
                      <w:r w:rsidRPr="00B42708">
                        <w:rPr>
                          <w:b/>
                        </w:rPr>
                        <w:t>ACCOUNTABILITY of Board of Directors</w:t>
                      </w:r>
                    </w:p>
                    <w:p w:rsidR="006B2A02" w:rsidRPr="00B42708" w:rsidRDefault="006B2A02" w:rsidP="006B2A02">
                      <w:r w:rsidRPr="00B42708">
                        <w:t>Company Director Fiduciary Duties</w:t>
                      </w:r>
                    </w:p>
                    <w:p w:rsidR="006B2A02" w:rsidRPr="00B42708" w:rsidRDefault="006B2A02" w:rsidP="006B2A02">
                      <w:r w:rsidRPr="00B42708">
                        <w:t>Codes of Ethics, Policy and Procedures</w:t>
                      </w:r>
                    </w:p>
                    <w:p w:rsidR="006B2A02" w:rsidRPr="00B42708" w:rsidRDefault="006B2A02" w:rsidP="006B2A02">
                      <w:r w:rsidRPr="00B42708">
                        <w:t>CEO Recruitment, Support &amp; Succession</w:t>
                      </w:r>
                    </w:p>
                    <w:p w:rsidR="006B2A02" w:rsidRPr="00B42708" w:rsidRDefault="006B2A02" w:rsidP="006B2A02">
                      <w:r w:rsidRPr="00B42708">
                        <w:t>Timely, balanced, integrity of reporting</w:t>
                      </w:r>
                    </w:p>
                    <w:p w:rsidR="006B2A02" w:rsidRDefault="006B2A02" w:rsidP="006B2A02"/>
                  </w:txbxContent>
                </v:textbox>
                <w10:wrap anchorx="margin"/>
              </v:rect>
            </w:pict>
          </mc:Fallback>
        </mc:AlternateContent>
      </w:r>
      <w:r w:rsidRPr="00EA7A2C">
        <w:rPr>
          <w:noProof/>
          <w:lang w:val="en-AU" w:eastAsia="en-AU"/>
        </w:rPr>
        <mc:AlternateContent>
          <mc:Choice Requires="wps">
            <w:drawing>
              <wp:anchor distT="0" distB="0" distL="114300" distR="114300" simplePos="0" relativeHeight="251669504" behindDoc="0" locked="0" layoutInCell="1" allowOverlap="1" wp14:anchorId="5BBF6BC6" wp14:editId="5996824A">
                <wp:simplePos x="0" y="0"/>
                <wp:positionH relativeFrom="margin">
                  <wp:align>left</wp:align>
                </wp:positionH>
                <wp:positionV relativeFrom="paragraph">
                  <wp:posOffset>74295</wp:posOffset>
                </wp:positionV>
                <wp:extent cx="2948940" cy="1600200"/>
                <wp:effectExtent l="0" t="0" r="22860" b="1905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8940" cy="1600200"/>
                        </a:xfrm>
                        <a:prstGeom prst="roundRect">
                          <a:avLst>
                            <a:gd name="adj" fmla="val 825"/>
                          </a:avLst>
                        </a:prstGeom>
                        <a:solidFill>
                          <a:sysClr val="window" lastClr="FFFFFF"/>
                        </a:solidFill>
                        <a:ln w="12700" cap="flat" cmpd="sng" algn="ctr">
                          <a:solidFill>
                            <a:srgbClr val="ED7D31"/>
                          </a:solidFill>
                          <a:prstDash val="solid"/>
                          <a:miter lim="800000"/>
                        </a:ln>
                        <a:effectLst/>
                      </wps:spPr>
                      <wps:txbx>
                        <w:txbxContent>
                          <w:p w14:paraId="3B6C9C90" w14:textId="77777777" w:rsidR="006B2A02" w:rsidRPr="00B42708" w:rsidRDefault="006B2A02" w:rsidP="006B2A02">
                            <w:pPr>
                              <w:rPr>
                                <w:b/>
                                <w:i/>
                              </w:rPr>
                            </w:pPr>
                            <w:r w:rsidRPr="00075674">
                              <w:rPr>
                                <w:b/>
                                <w:i/>
                                <w:color w:val="C45911"/>
                              </w:rPr>
                              <w:t xml:space="preserve">L </w:t>
                            </w:r>
                            <w:r w:rsidRPr="00B42708">
                              <w:rPr>
                                <w:b/>
                                <w:i/>
                              </w:rPr>
                              <w:t xml:space="preserve">LAWS  Corporations Act 2001 </w:t>
                            </w:r>
                          </w:p>
                          <w:p w14:paraId="50BF1F19" w14:textId="77777777" w:rsidR="006B2A02" w:rsidRPr="00B42708" w:rsidRDefault="006B2A02" w:rsidP="006B2A02">
                            <w:r w:rsidRPr="00B42708">
                              <w:t>S180 Reasonable Care and Diligence</w:t>
                            </w:r>
                          </w:p>
                          <w:p w14:paraId="4F18D34E" w14:textId="77777777" w:rsidR="006B2A02" w:rsidRPr="00B42708" w:rsidRDefault="006B2A02" w:rsidP="006B2A02">
                            <w:r w:rsidRPr="00B42708">
                              <w:t>S181 Good Faith and Proper Purpose</w:t>
                            </w:r>
                          </w:p>
                          <w:p w14:paraId="066F2D48" w14:textId="77777777" w:rsidR="006B2A02" w:rsidRPr="00B42708" w:rsidRDefault="006B2A02" w:rsidP="006B2A02">
                            <w:r w:rsidRPr="00B42708">
                              <w:t>S182 Conflict of Interest</w:t>
                            </w:r>
                          </w:p>
                          <w:p w14:paraId="7228E3BE" w14:textId="77777777" w:rsidR="006B2A02" w:rsidRPr="00B42708" w:rsidRDefault="006B2A02" w:rsidP="006B2A02">
                            <w:r w:rsidRPr="00B42708">
                              <w:t>S183 Confidential Information</w:t>
                            </w:r>
                          </w:p>
                          <w:p w14:paraId="25B5DFE5" w14:textId="77777777" w:rsidR="006B2A02" w:rsidRPr="00B42708" w:rsidRDefault="006B2A02" w:rsidP="006B2A02">
                            <w:r w:rsidRPr="00B42708">
                              <w:t>S184 Criminal Liability</w:t>
                            </w:r>
                          </w:p>
                          <w:p w14:paraId="4D5B0F02" w14:textId="77777777" w:rsidR="006B2A02" w:rsidRPr="00B42708" w:rsidRDefault="006B2A02" w:rsidP="006B2A02">
                            <w:r w:rsidRPr="00B42708">
                              <w:t>S185 Interaction of S180 – 184 with other laws</w:t>
                            </w:r>
                          </w:p>
                          <w:p w14:paraId="395BB01F" w14:textId="77777777" w:rsidR="006B2A02" w:rsidRPr="00B42708" w:rsidRDefault="006B2A02" w:rsidP="006B2A02">
                            <w:r w:rsidRPr="00B42708">
                              <w:t>Personally Liable S588G(2)</w:t>
                            </w:r>
                          </w:p>
                          <w:p w14:paraId="0D805A6D" w14:textId="77777777" w:rsidR="006B2A02" w:rsidRPr="00B42708" w:rsidRDefault="006B2A02" w:rsidP="006B2A02">
                            <w:r w:rsidRPr="00B42708">
                              <w:t>Insolvent Trading S588G(3)</w:t>
                            </w:r>
                          </w:p>
                          <w:p w14:paraId="1019ADD0" w14:textId="77777777" w:rsidR="006B2A02" w:rsidRPr="00B42708" w:rsidRDefault="006B2A02" w:rsidP="006B2A02">
                            <w:r w:rsidRPr="00B42708">
                              <w:t>Insider Trading S1043A</w:t>
                            </w:r>
                          </w:p>
                          <w:p w14:paraId="442DD077" w14:textId="77777777" w:rsidR="006B2A02" w:rsidRDefault="006B2A02" w:rsidP="006B2A02"/>
                          <w:p w14:paraId="2CA33F25" w14:textId="77777777" w:rsidR="006B2A02" w:rsidRDefault="006B2A02" w:rsidP="006B2A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E7BB3D" id="Rounded Rectangle 1" o:spid="_x0000_s1027" style="position:absolute;margin-left:0;margin-top:5.85pt;width:232.2pt;height:126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" fillcolor="window" strokecolor="#ed7d31" strokeweight="1pt">
                <v:stroke joinstyle="miter"/>
                <v:path arrowok="t"/>
                <v:textbox>
                  <w:txbxContent>
                    <w:p w:rsidR="006B2A02" w:rsidRPr="00B42708" w:rsidRDefault="006B2A02" w:rsidP="006B2A02">
                      <w:pPr>
                        <w:rPr>
                          <w:b/>
                          <w:i/>
                        </w:rPr>
                      </w:pPr>
                      <w:r w:rsidRPr="00075674">
                        <w:rPr>
                          <w:b/>
                          <w:i/>
                          <w:color w:val="C45911"/>
                        </w:rPr>
                        <w:t xml:space="preserve">L </w:t>
                      </w:r>
                      <w:proofErr w:type="gramStart"/>
                      <w:r w:rsidRPr="00B42708">
                        <w:rPr>
                          <w:b/>
                          <w:i/>
                        </w:rPr>
                        <w:t>LAWS  Corporations</w:t>
                      </w:r>
                      <w:proofErr w:type="gramEnd"/>
                      <w:r w:rsidRPr="00B42708">
                        <w:rPr>
                          <w:b/>
                          <w:i/>
                        </w:rPr>
                        <w:t xml:space="preserve"> Act 2001 </w:t>
                      </w:r>
                    </w:p>
                    <w:p w:rsidR="006B2A02" w:rsidRPr="00B42708" w:rsidRDefault="006B2A02" w:rsidP="006B2A02">
                      <w:r w:rsidRPr="00B42708">
                        <w:t>S180 Reasonable Care and Diligence</w:t>
                      </w:r>
                    </w:p>
                    <w:p w:rsidR="006B2A02" w:rsidRPr="00B42708" w:rsidRDefault="006B2A02" w:rsidP="006B2A02">
                      <w:r w:rsidRPr="00B42708">
                        <w:t>S181 Good Faith and Proper Purpose</w:t>
                      </w:r>
                    </w:p>
                    <w:p w:rsidR="006B2A02" w:rsidRPr="00B42708" w:rsidRDefault="006B2A02" w:rsidP="006B2A02">
                      <w:r w:rsidRPr="00B42708">
                        <w:t>S182 Conflict of Interest</w:t>
                      </w:r>
                    </w:p>
                    <w:p w:rsidR="006B2A02" w:rsidRPr="00B42708" w:rsidRDefault="006B2A02" w:rsidP="006B2A02">
                      <w:r w:rsidRPr="00B42708">
                        <w:t>S183 Confidential Information</w:t>
                      </w:r>
                    </w:p>
                    <w:p w:rsidR="006B2A02" w:rsidRPr="00B42708" w:rsidRDefault="006B2A02" w:rsidP="006B2A02">
                      <w:r w:rsidRPr="00B42708">
                        <w:t>S184 Criminal Liability</w:t>
                      </w:r>
                    </w:p>
                    <w:p w:rsidR="006B2A02" w:rsidRPr="00B42708" w:rsidRDefault="006B2A02" w:rsidP="006B2A02">
                      <w:r w:rsidRPr="00B42708">
                        <w:t>S185 Interaction of S180 – 184 with other laws</w:t>
                      </w:r>
                    </w:p>
                    <w:p w:rsidR="006B2A02" w:rsidRPr="00B42708" w:rsidRDefault="006B2A02" w:rsidP="006B2A02">
                      <w:r w:rsidRPr="00B42708">
                        <w:t xml:space="preserve">Personally Liable </w:t>
                      </w:r>
                      <w:proofErr w:type="gramStart"/>
                      <w:r w:rsidRPr="00B42708">
                        <w:t>S588G(</w:t>
                      </w:r>
                      <w:proofErr w:type="gramEnd"/>
                      <w:r w:rsidRPr="00B42708">
                        <w:t>2)</w:t>
                      </w:r>
                    </w:p>
                    <w:p w:rsidR="006B2A02" w:rsidRPr="00B42708" w:rsidRDefault="006B2A02" w:rsidP="006B2A02">
                      <w:r w:rsidRPr="00B42708">
                        <w:t xml:space="preserve">Insolvent Trading </w:t>
                      </w:r>
                      <w:proofErr w:type="gramStart"/>
                      <w:r w:rsidRPr="00B42708">
                        <w:t>S588G(</w:t>
                      </w:r>
                      <w:proofErr w:type="gramEnd"/>
                      <w:r w:rsidRPr="00B42708">
                        <w:t>3)</w:t>
                      </w:r>
                    </w:p>
                    <w:p w:rsidR="006B2A02" w:rsidRPr="00B42708" w:rsidRDefault="006B2A02" w:rsidP="006B2A02">
                      <w:r w:rsidRPr="00B42708">
                        <w:t>Insider Trading S1043A</w:t>
                      </w:r>
                    </w:p>
                    <w:p w:rsidR="006B2A02" w:rsidRDefault="006B2A02" w:rsidP="006B2A02"/>
                    <w:p w:rsidR="006B2A02" w:rsidRDefault="006B2A02" w:rsidP="006B2A02"/>
                  </w:txbxContent>
                </v:textbox>
                <w10:wrap anchorx="margin"/>
              </v:roundrect>
            </w:pict>
          </mc:Fallback>
        </mc:AlternateContent>
      </w:r>
    </w:p>
    <w:p w14:paraId="12982F5E" w14:textId="77777777" w:rsidR="006D6636" w:rsidRPr="00EA7A2C" w:rsidRDefault="006D6636" w:rsidP="006D6636">
      <w:pPr>
        <w:jc w:val="left"/>
      </w:pPr>
    </w:p>
    <w:p w14:paraId="735DE89C" w14:textId="77777777" w:rsidR="006D6636" w:rsidRPr="00EA7A2C" w:rsidRDefault="006D6636" w:rsidP="006D6636">
      <w:pPr>
        <w:jc w:val="left"/>
      </w:pPr>
    </w:p>
    <w:p w14:paraId="74B1A31A" w14:textId="77777777" w:rsidR="006D6636" w:rsidRPr="00EA7A2C" w:rsidRDefault="006D6636" w:rsidP="006D6636">
      <w:pPr>
        <w:jc w:val="left"/>
      </w:pPr>
      <w:r w:rsidRPr="00EA7A2C">
        <w:rPr>
          <w:noProof/>
          <w:lang w:val="en-AU" w:eastAsia="en-AU"/>
        </w:rPr>
        <mc:AlternateContent>
          <mc:Choice Requires="wps">
            <w:drawing>
              <wp:anchor distT="0" distB="0" distL="114300" distR="114300" simplePos="0" relativeHeight="251672576" behindDoc="0" locked="0" layoutInCell="1" allowOverlap="1" wp14:anchorId="7E113848" wp14:editId="75A91578">
                <wp:simplePos x="0" y="0"/>
                <wp:positionH relativeFrom="column">
                  <wp:posOffset>3068320</wp:posOffset>
                </wp:positionH>
                <wp:positionV relativeFrom="paragraph">
                  <wp:posOffset>92710</wp:posOffset>
                </wp:positionV>
                <wp:extent cx="237600" cy="7200"/>
                <wp:effectExtent l="0" t="76200" r="29210" b="88265"/>
                <wp:wrapNone/>
                <wp:docPr id="5" name="Straight Arrow Connector 5"/>
                <wp:cNvGraphicFramePr/>
                <a:graphic xmlns:a="http://schemas.openxmlformats.org/drawingml/2006/main">
                  <a:graphicData uri="http://schemas.microsoft.com/office/word/2010/wordprocessingShape">
                    <wps:wsp>
                      <wps:cNvCnPr/>
                      <wps:spPr>
                        <a:xfrm flipV="1">
                          <a:off x="0" y="0"/>
                          <a:ext cx="2376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9540D50" id="_x0000_t32" coordsize="21600,21600" o:spt="32" o:oned="t" path="m,l21600,21600e" filled="f">
                <v:path arrowok="t" fillok="f" o:connecttype="none"/>
                <o:lock v:ext="edit" shapetype="t"/>
              </v:shapetype>
              <v:shape id="Straight Arrow Connector 5" o:spid="_x0000_s1026" type="#_x0000_t32" style="position:absolute;margin-left:241.6pt;margin-top:7.3pt;width:18.7pt;height:.5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" strokecolor="black [3200]" strokeweight=".5pt">
                <v:stroke endarrow="block" joinstyle="miter"/>
              </v:shape>
            </w:pict>
          </mc:Fallback>
        </mc:AlternateContent>
      </w:r>
    </w:p>
    <w:p w14:paraId="5DCB1527" w14:textId="77777777" w:rsidR="006D6636" w:rsidRPr="00EA7A2C" w:rsidRDefault="006D6636" w:rsidP="006D6636">
      <w:pPr>
        <w:jc w:val="left"/>
      </w:pPr>
    </w:p>
    <w:p w14:paraId="52F76AFC" w14:textId="77777777" w:rsidR="006D6636" w:rsidRPr="00EA7A2C" w:rsidRDefault="006D6636" w:rsidP="006D6636">
      <w:pPr>
        <w:jc w:val="left"/>
      </w:pPr>
    </w:p>
    <w:p w14:paraId="78D01C03" w14:textId="77777777" w:rsidR="006B2A02" w:rsidRPr="00EA7A2C" w:rsidRDefault="006D6636" w:rsidP="006D6636">
      <w:pPr>
        <w:jc w:val="left"/>
      </w:pPr>
      <w:r w:rsidRPr="00EA7A2C">
        <w:rPr>
          <w:noProof/>
          <w:lang w:val="en-AU" w:eastAsia="en-AU"/>
        </w:rPr>
        <mc:AlternateContent>
          <mc:Choice Requires="wps">
            <w:drawing>
              <wp:anchor distT="0" distB="0" distL="114300" distR="114300" simplePos="0" relativeHeight="251674624" behindDoc="0" locked="0" layoutInCell="1" allowOverlap="1" wp14:anchorId="72A98B69" wp14:editId="6D562DDB">
                <wp:simplePos x="0" y="0"/>
                <wp:positionH relativeFrom="column">
                  <wp:posOffset>4531360</wp:posOffset>
                </wp:positionH>
                <wp:positionV relativeFrom="paragraph">
                  <wp:posOffset>8255</wp:posOffset>
                </wp:positionV>
                <wp:extent cx="6985" cy="388620"/>
                <wp:effectExtent l="76200" t="0" r="69215" b="49530"/>
                <wp:wrapNone/>
                <wp:docPr id="9" name="Straight Arrow Connector 9"/>
                <wp:cNvGraphicFramePr/>
                <a:graphic xmlns:a="http://schemas.openxmlformats.org/drawingml/2006/main">
                  <a:graphicData uri="http://schemas.microsoft.com/office/word/2010/wordprocessingShape">
                    <wps:wsp>
                      <wps:cNvCnPr/>
                      <wps:spPr>
                        <a:xfrm>
                          <a:off x="0" y="0"/>
                          <a:ext cx="6985" cy="388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49F667" id="Straight Arrow Connector 9" o:spid="_x0000_s1026" type="#_x0000_t32" style="position:absolute;margin-left:356.8pt;margin-top:.65pt;width:.55pt;height:30.6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" strokecolor="black [3200]" strokeweight=".5pt">
                <v:stroke endarrow="block" joinstyle="miter"/>
              </v:shape>
            </w:pict>
          </mc:Fallback>
        </mc:AlternateContent>
      </w:r>
      <w:r w:rsidR="006B2A02" w:rsidRPr="00EA7A2C">
        <w:tab/>
      </w:r>
      <w:r w:rsidR="006B2A02" w:rsidRPr="00EA7A2C">
        <w:tab/>
      </w:r>
      <w:r w:rsidR="006B2A02" w:rsidRPr="00EA7A2C">
        <w:tab/>
      </w:r>
      <w:r w:rsidR="006B2A02" w:rsidRPr="00EA7A2C">
        <w:tab/>
      </w:r>
      <w:r w:rsidR="006B2A02" w:rsidRPr="00EA7A2C">
        <w:tab/>
      </w:r>
    </w:p>
    <w:p w14:paraId="62CF9074" w14:textId="77777777" w:rsidR="006B2A02" w:rsidRPr="00EA7A2C" w:rsidRDefault="006B2A02" w:rsidP="006D6636">
      <w:pPr>
        <w:tabs>
          <w:tab w:val="left" w:pos="5580"/>
        </w:tabs>
        <w:jc w:val="both"/>
      </w:pPr>
      <w:r w:rsidRPr="00EA7A2C">
        <w:tab/>
      </w:r>
    </w:p>
    <w:p w14:paraId="4FE5AB99" w14:textId="77777777" w:rsidR="006B2A02" w:rsidRPr="00EA7A2C" w:rsidRDefault="006D6636" w:rsidP="006D6636">
      <w:pPr>
        <w:jc w:val="both"/>
      </w:pPr>
      <w:r w:rsidRPr="00EA7A2C">
        <w:rPr>
          <w:noProof/>
          <w:lang w:val="en-AU" w:eastAsia="en-AU"/>
        </w:rPr>
        <mc:AlternateContent>
          <mc:Choice Requires="wps">
            <w:drawing>
              <wp:anchor distT="0" distB="0" distL="114300" distR="114300" simplePos="0" relativeHeight="251670528" behindDoc="0" locked="0" layoutInCell="1" allowOverlap="1" wp14:anchorId="1E2A2E5C" wp14:editId="53414661">
                <wp:simplePos x="0" y="0"/>
                <wp:positionH relativeFrom="margin">
                  <wp:align>right</wp:align>
                </wp:positionH>
                <wp:positionV relativeFrom="paragraph">
                  <wp:posOffset>92710</wp:posOffset>
                </wp:positionV>
                <wp:extent cx="2491105" cy="1511935"/>
                <wp:effectExtent l="0" t="0" r="23495" b="1206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1105" cy="1511935"/>
                        </a:xfrm>
                        <a:prstGeom prst="rect">
                          <a:avLst/>
                        </a:prstGeom>
                        <a:solidFill>
                          <a:sysClr val="window" lastClr="FFFFFF"/>
                        </a:solidFill>
                        <a:ln w="12700" cap="flat" cmpd="sng" algn="ctr">
                          <a:solidFill>
                            <a:srgbClr val="ED7D31"/>
                          </a:solidFill>
                          <a:prstDash val="solid"/>
                          <a:miter lim="800000"/>
                        </a:ln>
                        <a:effectLst/>
                      </wps:spPr>
                      <wps:txbx>
                        <w:txbxContent>
                          <w:p w14:paraId="3E45C5E6" w14:textId="77777777" w:rsidR="006B2A02" w:rsidRPr="00B42708" w:rsidRDefault="006B2A02" w:rsidP="006B2A02">
                            <w:pPr>
                              <w:rPr>
                                <w:b/>
                                <w:i/>
                              </w:rPr>
                            </w:pPr>
                            <w:r w:rsidRPr="00075674">
                              <w:rPr>
                                <w:b/>
                                <w:i/>
                                <w:color w:val="C45911"/>
                              </w:rPr>
                              <w:t>G</w:t>
                            </w:r>
                            <w:r w:rsidRPr="00B42708">
                              <w:rPr>
                                <w:b/>
                                <w:i/>
                              </w:rPr>
                              <w:t xml:space="preserve"> GOVERNANCE Recommendations 201</w:t>
                            </w:r>
                            <w:r w:rsidR="00EA7A2C">
                              <w:rPr>
                                <w:b/>
                                <w:i/>
                              </w:rPr>
                              <w:t>9</w:t>
                            </w:r>
                          </w:p>
                          <w:p w14:paraId="15C5D728" w14:textId="77777777" w:rsidR="006B2A02" w:rsidRPr="00B42708" w:rsidRDefault="006B2A02" w:rsidP="006B2A02">
                            <w:r w:rsidRPr="00B42708">
                              <w:t>Governance Foundations</w:t>
                            </w:r>
                          </w:p>
                          <w:p w14:paraId="61DBE1C3" w14:textId="77777777" w:rsidR="006B2A02" w:rsidRPr="00B42708" w:rsidRDefault="006B2A02" w:rsidP="006B2A02">
                            <w:r w:rsidRPr="00B42708">
                              <w:t xml:space="preserve">Board to </w:t>
                            </w:r>
                            <w:r w:rsidR="00EA7A2C">
                              <w:t xml:space="preserve">Effectively </w:t>
                            </w:r>
                            <w:r w:rsidRPr="00B42708">
                              <w:t>Add Value</w:t>
                            </w:r>
                          </w:p>
                          <w:p w14:paraId="4B70D393" w14:textId="77777777" w:rsidR="006B2A02" w:rsidRPr="00B42708" w:rsidRDefault="00EA7A2C" w:rsidP="006B2A02">
                            <w:r>
                              <w:t>Lawful, ethical &amp; Responsible</w:t>
                            </w:r>
                          </w:p>
                          <w:p w14:paraId="42719128" w14:textId="77777777" w:rsidR="006B2A02" w:rsidRPr="00B42708" w:rsidRDefault="006B2A02" w:rsidP="006B2A02">
                            <w:r w:rsidRPr="00B42708">
                              <w:t xml:space="preserve">Integrity of </w:t>
                            </w:r>
                            <w:r w:rsidR="00EA7A2C">
                              <w:t>Corporate</w:t>
                            </w:r>
                            <w:r w:rsidRPr="00B42708">
                              <w:t xml:space="preserve"> Reporting</w:t>
                            </w:r>
                          </w:p>
                          <w:p w14:paraId="19DA94CF" w14:textId="77777777" w:rsidR="006B2A02" w:rsidRPr="00B42708" w:rsidRDefault="006B2A02" w:rsidP="006B2A02">
                            <w:r w:rsidRPr="00B42708">
                              <w:t>Timely and Balanced Disclosure</w:t>
                            </w:r>
                          </w:p>
                          <w:p w14:paraId="718B848A" w14:textId="77777777" w:rsidR="006B2A02" w:rsidRPr="00B42708" w:rsidRDefault="006B2A02" w:rsidP="006B2A02">
                            <w:r w:rsidRPr="00B42708">
                              <w:t xml:space="preserve">Respect </w:t>
                            </w:r>
                            <w:r w:rsidR="00EA7A2C">
                              <w:t>Security Holders</w:t>
                            </w:r>
                            <w:r w:rsidRPr="00B42708">
                              <w:t xml:space="preserve"> Rights</w:t>
                            </w:r>
                          </w:p>
                          <w:p w14:paraId="10689CF2" w14:textId="77777777" w:rsidR="006B2A02" w:rsidRPr="00B42708" w:rsidRDefault="006B2A02" w:rsidP="006B2A02">
                            <w:r w:rsidRPr="00B42708">
                              <w:t>Risk Management</w:t>
                            </w:r>
                          </w:p>
                          <w:p w14:paraId="1859984E" w14:textId="77777777" w:rsidR="006B2A02" w:rsidRPr="00B42708" w:rsidRDefault="006B2A02" w:rsidP="006B2A02">
                            <w:r w:rsidRPr="00B42708">
                              <w:t>Remuneration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29923" id="Rectangle 10" o:spid="_x0000_s1028" style="position:absolute;left:0;text-align:left;margin-left:144.95pt;margin-top:7.3pt;width:196.15pt;height:119.0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" fillcolor="window" strokecolor="#ed7d31" strokeweight="1pt">
                <v:path arrowok="t"/>
                <v:textbox>
                  <w:txbxContent>
                    <w:p w:rsidR="006B2A02" w:rsidRPr="00B42708" w:rsidRDefault="006B2A02" w:rsidP="006B2A02">
                      <w:pPr>
                        <w:rPr>
                          <w:b/>
                          <w:i/>
                        </w:rPr>
                      </w:pPr>
                      <w:r w:rsidRPr="00075674">
                        <w:rPr>
                          <w:b/>
                          <w:i/>
                          <w:color w:val="C45911"/>
                        </w:rPr>
                        <w:t>G</w:t>
                      </w:r>
                      <w:r w:rsidRPr="00B42708">
                        <w:rPr>
                          <w:b/>
                          <w:i/>
                        </w:rPr>
                        <w:t xml:space="preserve"> GOVERNANCE Recommendations 201</w:t>
                      </w:r>
                      <w:r w:rsidR="00EA7A2C">
                        <w:rPr>
                          <w:b/>
                          <w:i/>
                        </w:rPr>
                        <w:t>9</w:t>
                      </w:r>
                    </w:p>
                    <w:p w:rsidR="006B2A02" w:rsidRPr="00B42708" w:rsidRDefault="006B2A02" w:rsidP="006B2A02">
                      <w:r w:rsidRPr="00B42708">
                        <w:t>Governance Foundations</w:t>
                      </w:r>
                    </w:p>
                    <w:p w:rsidR="006B2A02" w:rsidRPr="00B42708" w:rsidRDefault="006B2A02" w:rsidP="006B2A02">
                      <w:r w:rsidRPr="00B42708">
                        <w:t xml:space="preserve">Board to </w:t>
                      </w:r>
                      <w:r w:rsidR="00EA7A2C">
                        <w:t xml:space="preserve">Effectively </w:t>
                      </w:r>
                      <w:r w:rsidRPr="00B42708">
                        <w:t>Add Value</w:t>
                      </w:r>
                    </w:p>
                    <w:p w:rsidR="006B2A02" w:rsidRPr="00B42708" w:rsidRDefault="00EA7A2C" w:rsidP="006B2A02">
                      <w:r>
                        <w:t>Lawful, ethical &amp; Responsible</w:t>
                      </w:r>
                    </w:p>
                    <w:p w:rsidR="006B2A02" w:rsidRPr="00B42708" w:rsidRDefault="006B2A02" w:rsidP="006B2A02">
                      <w:r w:rsidRPr="00B42708">
                        <w:t xml:space="preserve">Integrity of </w:t>
                      </w:r>
                      <w:r w:rsidR="00EA7A2C">
                        <w:t>Corporate</w:t>
                      </w:r>
                      <w:r w:rsidRPr="00B42708">
                        <w:t xml:space="preserve"> Reporting</w:t>
                      </w:r>
                    </w:p>
                    <w:p w:rsidR="006B2A02" w:rsidRPr="00B42708" w:rsidRDefault="006B2A02" w:rsidP="006B2A02">
                      <w:r w:rsidRPr="00B42708">
                        <w:t>Timely and Balanced Disclosure</w:t>
                      </w:r>
                    </w:p>
                    <w:p w:rsidR="006B2A02" w:rsidRPr="00B42708" w:rsidRDefault="006B2A02" w:rsidP="006B2A02">
                      <w:r w:rsidRPr="00B42708">
                        <w:t xml:space="preserve">Respect </w:t>
                      </w:r>
                      <w:r w:rsidR="00EA7A2C">
                        <w:t>Security Holders</w:t>
                      </w:r>
                      <w:r w:rsidRPr="00B42708">
                        <w:t xml:space="preserve"> Rights</w:t>
                      </w:r>
                    </w:p>
                    <w:p w:rsidR="006B2A02" w:rsidRPr="00B42708" w:rsidRDefault="006B2A02" w:rsidP="006B2A02">
                      <w:r w:rsidRPr="00B42708">
                        <w:t>Risk Management</w:t>
                      </w:r>
                    </w:p>
                    <w:p w:rsidR="006B2A02" w:rsidRPr="00B42708" w:rsidRDefault="006B2A02" w:rsidP="006B2A02">
                      <w:r w:rsidRPr="00B42708">
                        <w:t>Remuneration</w:t>
                      </w:r>
                    </w:p>
                  </w:txbxContent>
                </v:textbox>
                <w10:wrap anchorx="margin"/>
              </v:rect>
            </w:pict>
          </mc:Fallback>
        </mc:AlternateContent>
      </w:r>
    </w:p>
    <w:p w14:paraId="38F4F748" w14:textId="77777777" w:rsidR="006B2A02" w:rsidRPr="00EA7A2C" w:rsidRDefault="006D6636" w:rsidP="006D6636">
      <w:pPr>
        <w:jc w:val="both"/>
      </w:pPr>
      <w:r w:rsidRPr="00EA7A2C">
        <w:rPr>
          <w:noProof/>
          <w:lang w:val="en-AU" w:eastAsia="en-AU"/>
        </w:rPr>
        <mc:AlternateContent>
          <mc:Choice Requires="wps">
            <w:drawing>
              <wp:anchor distT="0" distB="0" distL="114300" distR="114300" simplePos="0" relativeHeight="251676672" behindDoc="0" locked="0" layoutInCell="1" allowOverlap="1" wp14:anchorId="0A35D19B" wp14:editId="4DB6DD08">
                <wp:simplePos x="0" y="0"/>
                <wp:positionH relativeFrom="column">
                  <wp:posOffset>1304925</wp:posOffset>
                </wp:positionH>
                <wp:positionV relativeFrom="paragraph">
                  <wp:posOffset>95250</wp:posOffset>
                </wp:positionV>
                <wp:extent cx="9525" cy="400050"/>
                <wp:effectExtent l="76200" t="0" r="66675" b="57150"/>
                <wp:wrapNone/>
                <wp:docPr id="2" name="Straight Arrow Connector 2"/>
                <wp:cNvGraphicFramePr/>
                <a:graphic xmlns:a="http://schemas.openxmlformats.org/drawingml/2006/main">
                  <a:graphicData uri="http://schemas.microsoft.com/office/word/2010/wordprocessingShape">
                    <wps:wsp>
                      <wps:cNvCnPr/>
                      <wps:spPr>
                        <a:xfrm flipH="1">
                          <a:off x="0" y="0"/>
                          <a:ext cx="9525"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267190" id="Straight Arrow Connector 2" o:spid="_x0000_s1026" type="#_x0000_t32" style="position:absolute;margin-left:102.75pt;margin-top:7.5pt;width:.75pt;height:31.5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" strokecolor="black [3200]" strokeweight=".5pt">
                <v:stroke endarrow="block" joinstyle="miter"/>
              </v:shape>
            </w:pict>
          </mc:Fallback>
        </mc:AlternateContent>
      </w:r>
    </w:p>
    <w:p w14:paraId="28BF51CF" w14:textId="77777777" w:rsidR="006B2A02" w:rsidRPr="00EA7A2C" w:rsidRDefault="006B2A02" w:rsidP="006D6636">
      <w:pPr>
        <w:jc w:val="both"/>
      </w:pPr>
    </w:p>
    <w:p w14:paraId="4EB24512" w14:textId="77777777" w:rsidR="006B2A02" w:rsidRPr="00EA7A2C" w:rsidRDefault="006B2A02" w:rsidP="006D6636"/>
    <w:p w14:paraId="28109955" w14:textId="77777777" w:rsidR="006B2A02" w:rsidRPr="00EA7A2C" w:rsidRDefault="006D6636" w:rsidP="006D6636">
      <w:pPr>
        <w:jc w:val="both"/>
      </w:pPr>
      <w:r w:rsidRPr="00EA7A2C">
        <w:rPr>
          <w:noProof/>
          <w:lang w:val="en-AU" w:eastAsia="en-AU"/>
        </w:rPr>
        <mc:AlternateContent>
          <mc:Choice Requires="wps">
            <w:drawing>
              <wp:anchor distT="0" distB="0" distL="114300" distR="114300" simplePos="0" relativeHeight="251671552" behindDoc="0" locked="0" layoutInCell="1" allowOverlap="1" wp14:anchorId="7B4A5ECF" wp14:editId="6F242268">
                <wp:simplePos x="0" y="0"/>
                <wp:positionH relativeFrom="margin">
                  <wp:posOffset>47625</wp:posOffset>
                </wp:positionH>
                <wp:positionV relativeFrom="paragraph">
                  <wp:posOffset>6985</wp:posOffset>
                </wp:positionV>
                <wp:extent cx="2724785" cy="828675"/>
                <wp:effectExtent l="0" t="0" r="1841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4785" cy="828675"/>
                        </a:xfrm>
                        <a:prstGeom prst="rect">
                          <a:avLst/>
                        </a:prstGeom>
                        <a:solidFill>
                          <a:sysClr val="window" lastClr="FFFFFF"/>
                        </a:solidFill>
                        <a:ln w="12700" cap="flat" cmpd="sng" algn="ctr">
                          <a:solidFill>
                            <a:srgbClr val="ED7D31"/>
                          </a:solidFill>
                          <a:prstDash val="solid"/>
                          <a:miter lim="800000"/>
                        </a:ln>
                        <a:effectLst/>
                      </wps:spPr>
                      <wps:txbx>
                        <w:txbxContent>
                          <w:p w14:paraId="3CBD7292" w14:textId="77777777" w:rsidR="006B2A02" w:rsidRPr="00075674" w:rsidRDefault="006B2A02" w:rsidP="006B2A02">
                            <w:pPr>
                              <w:rPr>
                                <w:b/>
                                <w:color w:val="C45911"/>
                              </w:rPr>
                            </w:pPr>
                            <w:r w:rsidRPr="00075674">
                              <w:rPr>
                                <w:b/>
                                <w:color w:val="C45911"/>
                              </w:rPr>
                              <w:t xml:space="preserve">L </w:t>
                            </w:r>
                            <w:r w:rsidRPr="00075674">
                              <w:rPr>
                                <w:b/>
                                <w:color w:val="000000"/>
                              </w:rPr>
                              <w:t xml:space="preserve">LEADERSHIP </w:t>
                            </w:r>
                          </w:p>
                          <w:p w14:paraId="4AE12E8B" w14:textId="77777777" w:rsidR="006B2A02" w:rsidRPr="00075674" w:rsidRDefault="006B2A02" w:rsidP="006B2A02">
                            <w:pPr>
                              <w:rPr>
                                <w:b/>
                                <w:color w:val="000000"/>
                              </w:rPr>
                            </w:pPr>
                            <w:r w:rsidRPr="00075674">
                              <w:rPr>
                                <w:b/>
                                <w:color w:val="C45911"/>
                              </w:rPr>
                              <w:t xml:space="preserve">E </w:t>
                            </w:r>
                            <w:r w:rsidRPr="00075674">
                              <w:rPr>
                                <w:b/>
                                <w:color w:val="000000"/>
                              </w:rPr>
                              <w:t xml:space="preserve">ETHICS </w:t>
                            </w:r>
                          </w:p>
                          <w:p w14:paraId="3BC36CBA" w14:textId="77777777" w:rsidR="006B2A02" w:rsidRPr="00075674" w:rsidRDefault="006B2A02" w:rsidP="006B2A02">
                            <w:pPr>
                              <w:rPr>
                                <w:b/>
                                <w:color w:val="C45911"/>
                              </w:rPr>
                            </w:pPr>
                            <w:r w:rsidRPr="00075674">
                              <w:rPr>
                                <w:b/>
                                <w:color w:val="C45911"/>
                              </w:rPr>
                              <w:t xml:space="preserve">A </w:t>
                            </w:r>
                            <w:r w:rsidR="00EA7A2C">
                              <w:rPr>
                                <w:b/>
                                <w:color w:val="000000"/>
                              </w:rPr>
                              <w:t>ACCOUNTABILITY</w:t>
                            </w:r>
                          </w:p>
                          <w:p w14:paraId="532EFA6E" w14:textId="77777777" w:rsidR="006B2A02" w:rsidRPr="00075674" w:rsidRDefault="006B2A02" w:rsidP="006B2A02">
                            <w:pPr>
                              <w:rPr>
                                <w:b/>
                                <w:color w:val="000000"/>
                              </w:rPr>
                            </w:pPr>
                            <w:r w:rsidRPr="00075674">
                              <w:rPr>
                                <w:b/>
                                <w:color w:val="C45911"/>
                              </w:rPr>
                              <w:t xml:space="preserve">D </w:t>
                            </w:r>
                            <w:r w:rsidRPr="00075674">
                              <w:rPr>
                                <w:b/>
                                <w:color w:val="000000"/>
                              </w:rPr>
                              <w:t>DIRECTORS DUTIES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5E714E" id="Rectangle 12" o:spid="_x0000_s1029" style="position:absolute;left:0;text-align:left;margin-left:3.75pt;margin-top:.55pt;width:214.55pt;height:65.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" fillcolor="window" strokecolor="#ed7d31" strokeweight="1pt">
                <v:path arrowok="t"/>
                <v:textbox>
                  <w:txbxContent>
                    <w:p w:rsidR="006B2A02" w:rsidRPr="00075674" w:rsidRDefault="006B2A02" w:rsidP="006B2A02">
                      <w:pPr>
                        <w:rPr>
                          <w:b/>
                          <w:color w:val="C45911"/>
                        </w:rPr>
                      </w:pPr>
                      <w:r w:rsidRPr="00075674">
                        <w:rPr>
                          <w:b/>
                          <w:color w:val="C45911"/>
                        </w:rPr>
                        <w:t xml:space="preserve">L </w:t>
                      </w:r>
                      <w:r w:rsidRPr="00075674">
                        <w:rPr>
                          <w:b/>
                          <w:color w:val="000000"/>
                        </w:rPr>
                        <w:t xml:space="preserve">LEADERSHIP </w:t>
                      </w:r>
                    </w:p>
                    <w:p w:rsidR="006B2A02" w:rsidRPr="00075674" w:rsidRDefault="006B2A02" w:rsidP="006B2A02">
                      <w:pPr>
                        <w:rPr>
                          <w:b/>
                          <w:color w:val="000000"/>
                        </w:rPr>
                      </w:pPr>
                      <w:r w:rsidRPr="00075674">
                        <w:rPr>
                          <w:b/>
                          <w:color w:val="C45911"/>
                        </w:rPr>
                        <w:t xml:space="preserve">E </w:t>
                      </w:r>
                      <w:r w:rsidRPr="00075674">
                        <w:rPr>
                          <w:b/>
                          <w:color w:val="000000"/>
                        </w:rPr>
                        <w:t xml:space="preserve">ETHICS </w:t>
                      </w:r>
                    </w:p>
                    <w:p w:rsidR="006B2A02" w:rsidRPr="00075674" w:rsidRDefault="006B2A02" w:rsidP="006B2A02">
                      <w:pPr>
                        <w:rPr>
                          <w:b/>
                          <w:color w:val="C45911"/>
                        </w:rPr>
                      </w:pPr>
                      <w:proofErr w:type="gramStart"/>
                      <w:r w:rsidRPr="00075674">
                        <w:rPr>
                          <w:b/>
                          <w:color w:val="C45911"/>
                        </w:rPr>
                        <w:t>A</w:t>
                      </w:r>
                      <w:proofErr w:type="gramEnd"/>
                      <w:r w:rsidRPr="00075674">
                        <w:rPr>
                          <w:b/>
                          <w:color w:val="C45911"/>
                        </w:rPr>
                        <w:t xml:space="preserve"> </w:t>
                      </w:r>
                      <w:r w:rsidR="00EA7A2C">
                        <w:rPr>
                          <w:b/>
                          <w:color w:val="000000"/>
                        </w:rPr>
                        <w:t>ACCOUNTABILITY</w:t>
                      </w:r>
                    </w:p>
                    <w:p w:rsidR="006B2A02" w:rsidRPr="00075674" w:rsidRDefault="006B2A02" w:rsidP="006B2A02">
                      <w:pPr>
                        <w:rPr>
                          <w:b/>
                          <w:color w:val="000000"/>
                        </w:rPr>
                      </w:pPr>
                      <w:r w:rsidRPr="00075674">
                        <w:rPr>
                          <w:b/>
                          <w:color w:val="C45911"/>
                        </w:rPr>
                        <w:t xml:space="preserve">D </w:t>
                      </w:r>
                      <w:r w:rsidRPr="00075674">
                        <w:rPr>
                          <w:b/>
                          <w:color w:val="000000"/>
                        </w:rPr>
                        <w:t>DIRECTORS DUTIES</w:t>
                      </w:r>
                    </w:p>
                  </w:txbxContent>
                </v:textbox>
                <w10:wrap anchorx="margin"/>
              </v:rect>
            </w:pict>
          </mc:Fallback>
        </mc:AlternateContent>
      </w:r>
    </w:p>
    <w:p w14:paraId="1FD72AE5" w14:textId="77777777" w:rsidR="006B2A02" w:rsidRPr="00EA7A2C" w:rsidRDefault="006B2A02" w:rsidP="006D6636">
      <w:pPr>
        <w:jc w:val="both"/>
      </w:pPr>
    </w:p>
    <w:p w14:paraId="1C9564F1" w14:textId="77777777" w:rsidR="006B2A02" w:rsidRPr="00EA7A2C" w:rsidRDefault="006B2A02" w:rsidP="006D6636">
      <w:pPr>
        <w:jc w:val="both"/>
      </w:pPr>
    </w:p>
    <w:p w14:paraId="2A4E2B8C" w14:textId="77777777" w:rsidR="006B2A02" w:rsidRPr="00EA7A2C" w:rsidRDefault="006B2A02" w:rsidP="006D6636">
      <w:pPr>
        <w:jc w:val="both"/>
      </w:pPr>
    </w:p>
    <w:p w14:paraId="13E963F7" w14:textId="77777777" w:rsidR="006B2A02" w:rsidRPr="00EA7A2C" w:rsidRDefault="006B2A02" w:rsidP="006D6636">
      <w:pPr>
        <w:jc w:val="both"/>
      </w:pPr>
    </w:p>
    <w:p w14:paraId="7BACC6DB" w14:textId="77777777" w:rsidR="006B2A02" w:rsidRPr="00EA7A2C" w:rsidRDefault="006B2A02" w:rsidP="006D6636">
      <w:pPr>
        <w:jc w:val="both"/>
      </w:pPr>
    </w:p>
    <w:p w14:paraId="2E55AE61" w14:textId="77777777" w:rsidR="001C0E4D" w:rsidRDefault="001C0E4D" w:rsidP="006D6636">
      <w:pPr>
        <w:jc w:val="both"/>
      </w:pPr>
    </w:p>
    <w:p w14:paraId="280F8B98" w14:textId="77777777" w:rsidR="001C0E4D" w:rsidRDefault="001C0E4D" w:rsidP="006D6636">
      <w:pPr>
        <w:jc w:val="both"/>
      </w:pPr>
    </w:p>
    <w:p w14:paraId="776AFD37" w14:textId="77777777" w:rsidR="00D375C0" w:rsidRPr="00EA7A2C" w:rsidRDefault="00D375C0" w:rsidP="006D6636">
      <w:pPr>
        <w:jc w:val="both"/>
      </w:pPr>
      <w:r w:rsidRPr="00EA7A2C">
        <w:t>The Business Judgement Rule s180(2) states that officers of a company are compliant with S180(1) if they made a judgement in good faith for a proper purpose, they do not have any material personal interest, they inform themselves about the subject matter to a reasonable level and they rationally believe that the judgement is for the best interests of the corporation. Bryans (2011) discusses the James Hardie case in relation to non-executives breaches of care and diligence in relation to ASX announcements that were misleading and failing to request a copy of the announcement. In the Centro case for example, Giordano stated (2011) that the directors failed to exercise their statutory duty of care and diligence in approving inaccurate accounts s180(1), statutory duty of care and diligence, s344(1) (reasonable steps to comply with financial reporting duties) and s601</w:t>
      </w:r>
      <w:proofErr w:type="gramStart"/>
      <w:r w:rsidRPr="00EA7A2C">
        <w:t>FD(</w:t>
      </w:r>
      <w:proofErr w:type="gramEnd"/>
      <w:r w:rsidRPr="00EA7A2C">
        <w:t xml:space="preserve">3) in the failure of classifying $1.75 million USD as non-current when in fact they were short-term liabilities. In 2010 Heath in discussing the ASIV v Rich cases (2009) stated that directors are not responsible for unforeseeable risks, and a </w:t>
      </w:r>
      <w:r w:rsidRPr="00EA7A2C">
        <w:lastRenderedPageBreak/>
        <w:t xml:space="preserve">mistake or judgement of error does not automatically invoke s180(1) breaches, however Directors still must understand company’s financial statements, a responsibility that cannot be avoided. </w:t>
      </w:r>
    </w:p>
    <w:p w14:paraId="5E810D42" w14:textId="77777777" w:rsidR="00AF3905" w:rsidRPr="00EA7A2C" w:rsidRDefault="00AF3905" w:rsidP="006D6636">
      <w:pPr>
        <w:jc w:val="both"/>
      </w:pPr>
    </w:p>
    <w:p w14:paraId="17E67492" w14:textId="77777777" w:rsidR="00CF37DF" w:rsidRPr="00EA7A2C" w:rsidRDefault="00CF37DF" w:rsidP="00CF37DF">
      <w:pPr>
        <w:jc w:val="both"/>
        <w:rPr>
          <w:color w:val="222222"/>
          <w:shd w:val="clear" w:color="auto" w:fill="FFFFFF"/>
        </w:rPr>
      </w:pPr>
      <w:r w:rsidRPr="00EA7A2C">
        <w:rPr>
          <w:color w:val="000000"/>
        </w:rPr>
        <w:t>The answer to the Research Problem of: “How have the Corporations Act (2001) for company directors duties and the corporate governance regimes recommended by ASX (201</w:t>
      </w:r>
      <w:r w:rsidR="00EA7A2C" w:rsidRPr="00EA7A2C">
        <w:rPr>
          <w:color w:val="000000"/>
        </w:rPr>
        <w:t>9</w:t>
      </w:r>
      <w:r w:rsidRPr="00EA7A2C">
        <w:rPr>
          <w:color w:val="000000"/>
        </w:rPr>
        <w:t xml:space="preserve">), been complied with by listed companies in Australia in the last 10 years?,” would be that </w:t>
      </w:r>
      <w:r w:rsidRPr="00EA7A2C">
        <w:rPr>
          <w:b/>
          <w:color w:val="000000"/>
        </w:rPr>
        <w:t>every</w:t>
      </w:r>
      <w:r w:rsidRPr="00EA7A2C">
        <w:rPr>
          <w:color w:val="000000"/>
        </w:rPr>
        <w:t xml:space="preserve"> ASX governance recommendation (201</w:t>
      </w:r>
      <w:r w:rsidR="00EA7A2C" w:rsidRPr="00EA7A2C">
        <w:rPr>
          <w:color w:val="000000"/>
        </w:rPr>
        <w:t>9</w:t>
      </w:r>
      <w:r w:rsidRPr="00EA7A2C">
        <w:rPr>
          <w:color w:val="000000"/>
        </w:rPr>
        <w:t xml:space="preserve">) and </w:t>
      </w:r>
      <w:r w:rsidRPr="00EA7A2C">
        <w:rPr>
          <w:b/>
          <w:color w:val="000000"/>
        </w:rPr>
        <w:t>every</w:t>
      </w:r>
      <w:r w:rsidRPr="00EA7A2C">
        <w:rPr>
          <w:color w:val="000000"/>
        </w:rPr>
        <w:t xml:space="preserve"> company directors duty imposed by Corporations Law (2001), has in the last 15 years been </w:t>
      </w:r>
      <w:r w:rsidRPr="00EA7A2C">
        <w:rPr>
          <w:b/>
          <w:color w:val="000000"/>
        </w:rPr>
        <w:t xml:space="preserve">breached </w:t>
      </w:r>
      <w:r w:rsidRPr="00EA7A2C">
        <w:rPr>
          <w:color w:val="000000"/>
        </w:rPr>
        <w:t xml:space="preserve">resulting in a court case, with either criminal or civil liabilities imposed, so there is a lack of overall compliance by listed companies in Australia. </w:t>
      </w:r>
    </w:p>
    <w:p w14:paraId="7F12C579" w14:textId="77777777" w:rsidR="00AF3905" w:rsidRPr="00EA7A2C" w:rsidRDefault="00AF3905" w:rsidP="006D6636">
      <w:pPr>
        <w:jc w:val="both"/>
      </w:pPr>
    </w:p>
    <w:p w14:paraId="0E2EBB41" w14:textId="77777777" w:rsidR="00D375C0" w:rsidRPr="00EA7A2C" w:rsidRDefault="00D375C0" w:rsidP="006D6636">
      <w:pPr>
        <w:jc w:val="both"/>
      </w:pPr>
      <w:r w:rsidRPr="00EA7A2C">
        <w:t xml:space="preserve">Directors’ duties then are imposed on all Directors of all entities with serious consequences for breaches both on a civil or criminal basis. This research has shown that corporate governance may mean different things to different entities, but the Corporations Act (2001) is applied to ALL directors of ALL entities. Directors should be made aware of these obligations. Adams (2004) describes corporate governance as being not unlike a beauty and a beast, and that Directors who wish to do “good” </w:t>
      </w:r>
      <w:r w:rsidR="00CF37DF" w:rsidRPr="00EA7A2C">
        <w:t>should carry out d</w:t>
      </w:r>
      <w:r w:rsidRPr="00EA7A2C">
        <w:t>iligence, compliance</w:t>
      </w:r>
      <w:r w:rsidR="00CF37DF" w:rsidRPr="00EA7A2C">
        <w:t xml:space="preserve"> with regulation</w:t>
      </w:r>
      <w:r w:rsidRPr="00EA7A2C">
        <w:t xml:space="preserve"> and </w:t>
      </w:r>
      <w:r w:rsidR="00CF37DF" w:rsidRPr="00EA7A2C">
        <w:t xml:space="preserve">adhere to </w:t>
      </w:r>
      <w:r w:rsidRPr="00EA7A2C">
        <w:t>corporate governance</w:t>
      </w:r>
      <w:r w:rsidR="00CF37DF" w:rsidRPr="00EA7A2C">
        <w:t xml:space="preserve"> recommendations</w:t>
      </w:r>
      <w:r w:rsidRPr="00EA7A2C">
        <w:t xml:space="preserve">. All these recommendations however only add more to the burden already held by Directors both paid and voluntary. Directors of all Boards then, need to be vigilant, aware of their obligations, fully informed and ethical in all decisions they make for and on behalf of their boards, the last thing they want to see is their company in the courts, and their decision questioned by a judge. </w:t>
      </w:r>
    </w:p>
    <w:p w14:paraId="31D26FAD" w14:textId="77777777" w:rsidR="00AF3905" w:rsidRPr="00EA7A2C" w:rsidRDefault="00AF3905" w:rsidP="00AF3905">
      <w:pPr>
        <w:jc w:val="both"/>
        <w:rPr>
          <w:i/>
          <w:color w:val="000000"/>
        </w:rPr>
      </w:pPr>
    </w:p>
    <w:p w14:paraId="71130920" w14:textId="77777777" w:rsidR="00D375C0" w:rsidRPr="00EA7A2C" w:rsidRDefault="00D375C0" w:rsidP="00EA7A2C">
      <w:pPr>
        <w:ind w:left="567" w:right="567"/>
        <w:jc w:val="both"/>
        <w:rPr>
          <w:i/>
          <w:iCs/>
          <w:color w:val="000000"/>
        </w:rPr>
      </w:pPr>
      <w:r w:rsidRPr="00EA7A2C">
        <w:rPr>
          <w:i/>
          <w:color w:val="000000"/>
        </w:rPr>
        <w:t xml:space="preserve">“My dear, here we must run as fast as we can, just to stay in place. And if you wish to go anywhere you must run twice as fast as that.” </w:t>
      </w:r>
      <w:hyperlink r:id="rId13" w:history="1">
        <w:r w:rsidRPr="00EA7A2C">
          <w:rPr>
            <w:i/>
            <w:color w:val="000000"/>
          </w:rPr>
          <w:t>Carroll</w:t>
        </w:r>
      </w:hyperlink>
      <w:r w:rsidRPr="00EA7A2C">
        <w:rPr>
          <w:i/>
          <w:color w:val="000000"/>
        </w:rPr>
        <w:t>, Lewis (1865)</w:t>
      </w:r>
      <w:r w:rsidRPr="00EA7A2C">
        <w:rPr>
          <w:color w:val="000000"/>
        </w:rPr>
        <w:t xml:space="preserve"> “</w:t>
      </w:r>
      <w:hyperlink r:id="rId14" w:history="1">
        <w:r w:rsidRPr="00EA7A2C">
          <w:rPr>
            <w:i/>
            <w:iCs/>
            <w:color w:val="000000"/>
          </w:rPr>
          <w:t>Alice in Wonderland</w:t>
        </w:r>
      </w:hyperlink>
      <w:r w:rsidRPr="00EA7A2C">
        <w:rPr>
          <w:i/>
          <w:iCs/>
          <w:color w:val="000000"/>
        </w:rPr>
        <w:t>”</w:t>
      </w:r>
    </w:p>
    <w:p w14:paraId="02520332" w14:textId="77777777" w:rsidR="00D375C0" w:rsidRPr="00EA7A2C" w:rsidRDefault="00D375C0" w:rsidP="006D6636">
      <w:pPr>
        <w:jc w:val="both"/>
        <w:rPr>
          <w:b/>
        </w:rPr>
      </w:pPr>
    </w:p>
    <w:p w14:paraId="1F513E4D" w14:textId="77777777" w:rsidR="00156797" w:rsidRPr="00EA7A2C" w:rsidRDefault="00156797" w:rsidP="006D6636">
      <w:pPr>
        <w:jc w:val="both"/>
        <w:rPr>
          <w:b/>
        </w:rPr>
      </w:pPr>
    </w:p>
    <w:p w14:paraId="0ACFDF1A" w14:textId="77777777" w:rsidR="00156797" w:rsidRPr="00EA7A2C" w:rsidRDefault="00156797" w:rsidP="006D6636">
      <w:pPr>
        <w:pStyle w:val="Heading5"/>
        <w:spacing w:before="0"/>
        <w:jc w:val="both"/>
        <w:rPr>
          <w:rFonts w:ascii="Times New Roman" w:hAnsi="Times New Roman" w:cs="Times New Roman"/>
          <w:b/>
          <w:color w:val="000000" w:themeColor="text1"/>
        </w:rPr>
      </w:pPr>
      <w:r w:rsidRPr="00EA7A2C">
        <w:rPr>
          <w:rFonts w:ascii="Times New Roman" w:hAnsi="Times New Roman" w:cs="Times New Roman"/>
          <w:b/>
          <w:color w:val="000000" w:themeColor="text1"/>
        </w:rPr>
        <w:t>References</w:t>
      </w:r>
    </w:p>
    <w:p w14:paraId="63AEABBB" w14:textId="77777777" w:rsidR="00795A45" w:rsidRPr="00EA7A2C" w:rsidRDefault="00795A45" w:rsidP="00795A45">
      <w:pPr>
        <w:jc w:val="left"/>
      </w:pPr>
    </w:p>
    <w:p w14:paraId="3EFF031E" w14:textId="77777777" w:rsidR="00795A45" w:rsidRPr="00EA7A2C" w:rsidRDefault="00795A45" w:rsidP="00795A45">
      <w:pPr>
        <w:jc w:val="left"/>
      </w:pPr>
      <w:r w:rsidRPr="00EA7A2C">
        <w:t>Adams,</w:t>
      </w:r>
      <w:r w:rsidR="001C0E4D">
        <w:t xml:space="preserve"> </w:t>
      </w:r>
      <w:r w:rsidRPr="00EA7A2C">
        <w:t xml:space="preserve">M (2004) “The three pillars of good corporate governance” </w:t>
      </w:r>
      <w:r w:rsidRPr="00EA7A2C">
        <w:rPr>
          <w:i/>
        </w:rPr>
        <w:t>Risk Management</w:t>
      </w:r>
      <w:r w:rsidRPr="00EA7A2C">
        <w:t>, p8-10.</w:t>
      </w:r>
    </w:p>
    <w:p w14:paraId="58277C19" w14:textId="77777777" w:rsidR="00795A45" w:rsidRPr="00EA7A2C" w:rsidRDefault="00795A45" w:rsidP="00795A45">
      <w:pPr>
        <w:jc w:val="left"/>
        <w:rPr>
          <w:i/>
        </w:rPr>
      </w:pPr>
    </w:p>
    <w:p w14:paraId="7DD0C1FD" w14:textId="77777777" w:rsidR="00795A45" w:rsidRPr="00EA7A2C" w:rsidRDefault="00795A45" w:rsidP="00795A45">
      <w:pPr>
        <w:jc w:val="left"/>
        <w:rPr>
          <w:i/>
        </w:rPr>
      </w:pPr>
      <w:r w:rsidRPr="00EA7A2C">
        <w:rPr>
          <w:i/>
        </w:rPr>
        <w:t xml:space="preserve">ASIC v Healy (2011) FCA 717           </w:t>
      </w:r>
    </w:p>
    <w:p w14:paraId="4CAF113A" w14:textId="77777777" w:rsidR="00795A45" w:rsidRPr="00EA7A2C" w:rsidRDefault="00795A45" w:rsidP="00795A45">
      <w:pPr>
        <w:jc w:val="left"/>
        <w:rPr>
          <w:i/>
        </w:rPr>
      </w:pPr>
    </w:p>
    <w:p w14:paraId="7334C3E5" w14:textId="77777777" w:rsidR="00795A45" w:rsidRPr="00EA7A2C" w:rsidRDefault="00795A45" w:rsidP="00795A45">
      <w:pPr>
        <w:jc w:val="left"/>
      </w:pPr>
      <w:r w:rsidRPr="00EA7A2C">
        <w:rPr>
          <w:i/>
        </w:rPr>
        <w:t xml:space="preserve">ASIC v </w:t>
      </w:r>
      <w:proofErr w:type="spellStart"/>
      <w:r w:rsidRPr="00EA7A2C">
        <w:rPr>
          <w:i/>
        </w:rPr>
        <w:t>Narain</w:t>
      </w:r>
      <w:proofErr w:type="spellEnd"/>
      <w:r w:rsidRPr="00EA7A2C">
        <w:rPr>
          <w:i/>
        </w:rPr>
        <w:t xml:space="preserve"> (2008) FCAFC 120</w:t>
      </w:r>
    </w:p>
    <w:p w14:paraId="4A4C22A0" w14:textId="77777777" w:rsidR="00795A45" w:rsidRPr="00EA7A2C" w:rsidRDefault="00795A45" w:rsidP="00795A45">
      <w:pPr>
        <w:jc w:val="left"/>
        <w:rPr>
          <w:i/>
        </w:rPr>
      </w:pPr>
    </w:p>
    <w:p w14:paraId="65D92678" w14:textId="77777777" w:rsidR="00795A45" w:rsidRPr="00EA7A2C" w:rsidRDefault="00795A45" w:rsidP="00795A45">
      <w:pPr>
        <w:jc w:val="left"/>
        <w:rPr>
          <w:i/>
        </w:rPr>
      </w:pPr>
      <w:r w:rsidRPr="00EA7A2C">
        <w:rPr>
          <w:i/>
        </w:rPr>
        <w:t xml:space="preserve">ASIC v </w:t>
      </w:r>
      <w:proofErr w:type="spellStart"/>
      <w:r w:rsidRPr="00EA7A2C">
        <w:rPr>
          <w:i/>
        </w:rPr>
        <w:t>Plymin</w:t>
      </w:r>
      <w:proofErr w:type="spellEnd"/>
      <w:r w:rsidRPr="00EA7A2C">
        <w:rPr>
          <w:i/>
        </w:rPr>
        <w:t xml:space="preserve"> (2003) 46 ACSR 126: 21 ACLC 700. </w:t>
      </w:r>
    </w:p>
    <w:p w14:paraId="56A5BB55" w14:textId="77777777" w:rsidR="00795A45" w:rsidRPr="00EA7A2C" w:rsidRDefault="00795A45" w:rsidP="00795A45">
      <w:pPr>
        <w:jc w:val="left"/>
        <w:rPr>
          <w:i/>
        </w:rPr>
      </w:pPr>
    </w:p>
    <w:p w14:paraId="2F10A1BE" w14:textId="77777777" w:rsidR="00795A45" w:rsidRPr="00EA7A2C" w:rsidRDefault="00795A45" w:rsidP="00795A45">
      <w:pPr>
        <w:jc w:val="left"/>
      </w:pPr>
      <w:r w:rsidRPr="00EA7A2C">
        <w:rPr>
          <w:i/>
        </w:rPr>
        <w:t xml:space="preserve">ASIC v Rich (2003) 44ACSR 341: 21 ACLC </w:t>
      </w:r>
      <w:proofErr w:type="gramStart"/>
      <w:r w:rsidRPr="00EA7A2C">
        <w:rPr>
          <w:i/>
        </w:rPr>
        <w:t>450  -</w:t>
      </w:r>
      <w:proofErr w:type="gramEnd"/>
      <w:r w:rsidRPr="00EA7A2C">
        <w:rPr>
          <w:i/>
        </w:rPr>
        <w:t xml:space="preserve"> </w:t>
      </w:r>
      <w:proofErr w:type="spellStart"/>
      <w:r w:rsidRPr="00EA7A2C">
        <w:rPr>
          <w:i/>
        </w:rPr>
        <w:t>One.Tel</w:t>
      </w:r>
      <w:proofErr w:type="spellEnd"/>
    </w:p>
    <w:p w14:paraId="2C19C526" w14:textId="77777777" w:rsidR="00795A45" w:rsidRPr="00EA7A2C" w:rsidRDefault="00795A45" w:rsidP="00795A45">
      <w:pPr>
        <w:jc w:val="left"/>
        <w:rPr>
          <w:i/>
        </w:rPr>
      </w:pPr>
    </w:p>
    <w:p w14:paraId="73AD1573" w14:textId="77777777" w:rsidR="00795A45" w:rsidRPr="00EA7A2C" w:rsidRDefault="00795A45" w:rsidP="00795A45">
      <w:pPr>
        <w:jc w:val="left"/>
      </w:pPr>
      <w:r w:rsidRPr="00EA7A2C">
        <w:rPr>
          <w:i/>
        </w:rPr>
        <w:t>ASIC v Southcorp Wines (2003) 203 ALR 627: 22 ACLC 1</w:t>
      </w:r>
    </w:p>
    <w:p w14:paraId="521CC407" w14:textId="77777777" w:rsidR="00795A45" w:rsidRPr="00EA7A2C" w:rsidRDefault="00795A45" w:rsidP="00795A45">
      <w:pPr>
        <w:jc w:val="left"/>
        <w:rPr>
          <w:i/>
        </w:rPr>
      </w:pPr>
    </w:p>
    <w:p w14:paraId="34992612" w14:textId="77777777" w:rsidR="00795A45" w:rsidRPr="00EA7A2C" w:rsidRDefault="00795A45" w:rsidP="00795A45">
      <w:pPr>
        <w:jc w:val="left"/>
        <w:rPr>
          <w:i/>
        </w:rPr>
      </w:pPr>
      <w:r w:rsidRPr="00EA7A2C">
        <w:rPr>
          <w:i/>
        </w:rPr>
        <w:t>ASIC v Wizard (2005) 145 FCR 57: 219 ALR 714</w:t>
      </w:r>
    </w:p>
    <w:p w14:paraId="72565F19" w14:textId="77777777" w:rsidR="00795A45" w:rsidRPr="00EA7A2C" w:rsidRDefault="00795A45" w:rsidP="00795A45">
      <w:pPr>
        <w:jc w:val="left"/>
        <w:rPr>
          <w:i/>
        </w:rPr>
      </w:pPr>
    </w:p>
    <w:p w14:paraId="768B24C2" w14:textId="77777777" w:rsidR="00795A45" w:rsidRPr="00EA7A2C" w:rsidRDefault="00795A45" w:rsidP="00795A45">
      <w:pPr>
        <w:jc w:val="left"/>
      </w:pPr>
      <w:r w:rsidRPr="00EA7A2C">
        <w:rPr>
          <w:i/>
        </w:rPr>
        <w:t xml:space="preserve">ASIC </w:t>
      </w:r>
      <w:proofErr w:type="spellStart"/>
      <w:r w:rsidRPr="00EA7A2C">
        <w:rPr>
          <w:i/>
        </w:rPr>
        <w:t>vFortescue</w:t>
      </w:r>
      <w:proofErr w:type="spellEnd"/>
      <w:r w:rsidRPr="00EA7A2C">
        <w:rPr>
          <w:i/>
        </w:rPr>
        <w:t xml:space="preserve"> Metals Group Ltd (2011) FCAFC 19</w:t>
      </w:r>
    </w:p>
    <w:p w14:paraId="530E2F38" w14:textId="77777777" w:rsidR="00795A45" w:rsidRPr="00EA7A2C" w:rsidRDefault="00795A45" w:rsidP="00795A45">
      <w:pPr>
        <w:jc w:val="left"/>
        <w:rPr>
          <w:i/>
        </w:rPr>
      </w:pPr>
    </w:p>
    <w:p w14:paraId="62366436" w14:textId="77777777" w:rsidR="00E565A3" w:rsidRPr="00EA7A2C" w:rsidRDefault="00E565A3" w:rsidP="00795A45">
      <w:pPr>
        <w:jc w:val="left"/>
      </w:pPr>
      <w:r w:rsidRPr="00EA7A2C">
        <w:t>Australian Securities Exchange (201</w:t>
      </w:r>
      <w:r w:rsidR="00EA7A2C">
        <w:t>9</w:t>
      </w:r>
      <w:r w:rsidRPr="00EA7A2C">
        <w:t xml:space="preserve">) </w:t>
      </w:r>
      <w:r w:rsidRPr="00EA7A2C">
        <w:rPr>
          <w:i/>
          <w:shd w:val="clear" w:color="auto" w:fill="FFFFFF" w:themeFill="background1"/>
        </w:rPr>
        <w:t>Corporate Governance Principals and Recommendations</w:t>
      </w:r>
      <w:r w:rsidRPr="00EA7A2C">
        <w:t>, ASX Corporate Governance Council</w:t>
      </w:r>
      <w:r w:rsidR="001C0E4D">
        <w:t>, 4</w:t>
      </w:r>
      <w:r w:rsidR="001C0E4D" w:rsidRPr="001C0E4D">
        <w:rPr>
          <w:vertAlign w:val="superscript"/>
        </w:rPr>
        <w:t>th</w:t>
      </w:r>
      <w:r w:rsidR="001C0E4D">
        <w:t xml:space="preserve"> edition.</w:t>
      </w:r>
    </w:p>
    <w:p w14:paraId="5BAF68E5" w14:textId="77777777" w:rsidR="00E565A3" w:rsidRPr="00EA7A2C" w:rsidRDefault="00E565A3" w:rsidP="00795A45">
      <w:pPr>
        <w:jc w:val="left"/>
        <w:rPr>
          <w:i/>
        </w:rPr>
      </w:pPr>
    </w:p>
    <w:p w14:paraId="73580E00" w14:textId="77777777" w:rsidR="00795A45" w:rsidRPr="00EA7A2C" w:rsidRDefault="00795A45" w:rsidP="00795A45">
      <w:pPr>
        <w:jc w:val="left"/>
      </w:pPr>
      <w:r w:rsidRPr="00EA7A2C">
        <w:rPr>
          <w:i/>
        </w:rPr>
        <w:t>AWA Ltd v Daniels t/as Deloitte Haskins and Sells (1992) 7 ACSR 759</w:t>
      </w:r>
    </w:p>
    <w:p w14:paraId="141E1D06" w14:textId="77777777" w:rsidR="00795A45" w:rsidRPr="00EA7A2C" w:rsidRDefault="00795A45" w:rsidP="00795A45">
      <w:pPr>
        <w:spacing w:after="120"/>
        <w:jc w:val="both"/>
        <w:rPr>
          <w:rFonts w:eastAsia="Times New Roman"/>
          <w:lang w:val="en-GB"/>
        </w:rPr>
      </w:pPr>
    </w:p>
    <w:p w14:paraId="624C2EF1" w14:textId="77777777" w:rsidR="00795A45" w:rsidRPr="00EA7A2C" w:rsidRDefault="00795A45" w:rsidP="00795A45">
      <w:pPr>
        <w:spacing w:after="120"/>
        <w:jc w:val="both"/>
        <w:rPr>
          <w:rFonts w:eastAsia="Times New Roman"/>
          <w:lang w:val="en-GB"/>
        </w:rPr>
      </w:pPr>
      <w:proofErr w:type="spellStart"/>
      <w:r w:rsidRPr="00EA7A2C">
        <w:rPr>
          <w:rFonts w:eastAsia="Times New Roman"/>
          <w:lang w:val="en-GB"/>
        </w:rPr>
        <w:t>Berle</w:t>
      </w:r>
      <w:proofErr w:type="spellEnd"/>
      <w:r w:rsidRPr="00EA7A2C">
        <w:rPr>
          <w:rFonts w:eastAsia="Times New Roman"/>
          <w:lang w:val="en-GB"/>
        </w:rPr>
        <w:t xml:space="preserve">, A., and Means, G., (1932) </w:t>
      </w:r>
      <w:r w:rsidRPr="00EA7A2C">
        <w:rPr>
          <w:rFonts w:eastAsia="Times New Roman"/>
          <w:i/>
          <w:lang w:val="en-GB"/>
        </w:rPr>
        <w:t>The modern corporation and private property</w:t>
      </w:r>
      <w:r w:rsidRPr="00EA7A2C">
        <w:rPr>
          <w:rFonts w:eastAsia="Times New Roman"/>
          <w:lang w:val="en-GB"/>
        </w:rPr>
        <w:t xml:space="preserve"> Chicago, Commerce Clearing House.</w:t>
      </w:r>
    </w:p>
    <w:p w14:paraId="1FB1C37F" w14:textId="77777777" w:rsidR="00795A45" w:rsidRPr="00EA7A2C" w:rsidRDefault="00795A45" w:rsidP="00795A45">
      <w:pPr>
        <w:jc w:val="left"/>
      </w:pPr>
      <w:proofErr w:type="spellStart"/>
      <w:proofErr w:type="gramStart"/>
      <w:r w:rsidRPr="00EA7A2C">
        <w:t>Bryans,P</w:t>
      </w:r>
      <w:proofErr w:type="spellEnd"/>
      <w:r w:rsidRPr="00EA7A2C">
        <w:t>.</w:t>
      </w:r>
      <w:proofErr w:type="gramEnd"/>
      <w:r w:rsidRPr="00EA7A2C">
        <w:t>, (2011) “</w:t>
      </w:r>
      <w:r w:rsidRPr="00EA7A2C">
        <w:rPr>
          <w:i/>
        </w:rPr>
        <w:t xml:space="preserve">James Hardie – NSW Court of Appeal decision”, </w:t>
      </w:r>
      <w:r w:rsidRPr="00EA7A2C">
        <w:t xml:space="preserve">Keeping Good Companies </w:t>
      </w:r>
      <w:r w:rsidR="00C04C8F" w:rsidRPr="00EA7A2C">
        <w:t>Vol</w:t>
      </w:r>
      <w:r w:rsidR="00C04C8F" w:rsidRPr="00EA7A2C">
        <w:rPr>
          <w:i/>
        </w:rPr>
        <w:t xml:space="preserve"> </w:t>
      </w:r>
      <w:r w:rsidR="00C04C8F" w:rsidRPr="00EA7A2C">
        <w:t>63</w:t>
      </w:r>
      <w:r w:rsidR="00C04C8F" w:rsidRPr="00EA7A2C">
        <w:rPr>
          <w:i/>
        </w:rPr>
        <w:t xml:space="preserve"> </w:t>
      </w:r>
      <w:r w:rsidRPr="00EA7A2C">
        <w:t>p.92-94.</w:t>
      </w:r>
    </w:p>
    <w:p w14:paraId="01A5A0DA" w14:textId="77777777" w:rsidR="00795A45" w:rsidRPr="00EA7A2C" w:rsidRDefault="00795A45" w:rsidP="00795A45">
      <w:pPr>
        <w:jc w:val="both"/>
      </w:pPr>
    </w:p>
    <w:p w14:paraId="4A188A23" w14:textId="77777777" w:rsidR="00795A45" w:rsidRPr="00EA7A2C" w:rsidRDefault="00795A45" w:rsidP="00795A45">
      <w:pPr>
        <w:jc w:val="both"/>
      </w:pPr>
      <w:r w:rsidRPr="00EA7A2C">
        <w:t>Carroll, Lewis (1865) “Alice in Wonderland”.</w:t>
      </w:r>
    </w:p>
    <w:p w14:paraId="2A782A5F" w14:textId="77777777" w:rsidR="00795A45" w:rsidRPr="00EA7A2C" w:rsidRDefault="00795A45" w:rsidP="00795A45">
      <w:pPr>
        <w:jc w:val="left"/>
        <w:rPr>
          <w:i/>
        </w:rPr>
      </w:pPr>
    </w:p>
    <w:p w14:paraId="5EFE52A8" w14:textId="77777777" w:rsidR="00E565A3" w:rsidRDefault="00E565A3" w:rsidP="00795A45">
      <w:pPr>
        <w:jc w:val="left"/>
      </w:pPr>
      <w:r w:rsidRPr="00EA7A2C">
        <w:t>Corporations Act (2001) Australian Commonwealth Government</w:t>
      </w:r>
    </w:p>
    <w:p w14:paraId="5DB5D032" w14:textId="77777777" w:rsidR="001C0E4D" w:rsidRDefault="001C0E4D" w:rsidP="00795A45">
      <w:pPr>
        <w:jc w:val="left"/>
      </w:pPr>
    </w:p>
    <w:p w14:paraId="2300EDD9" w14:textId="77777777" w:rsidR="001C0E4D" w:rsidRPr="001C0E4D" w:rsidRDefault="001C0E4D" w:rsidP="00795A45">
      <w:pPr>
        <w:jc w:val="left"/>
      </w:pPr>
      <w:r>
        <w:t xml:space="preserve">Creswell, J., &amp; Creswell, J.D., (2018) </w:t>
      </w:r>
      <w:r w:rsidRPr="001C0E4D">
        <w:rPr>
          <w:i/>
        </w:rPr>
        <w:t>Research Design, Qualitative, Quantitative &amp; Mixed methods approaches</w:t>
      </w:r>
      <w:r>
        <w:rPr>
          <w:i/>
        </w:rPr>
        <w:t xml:space="preserve"> </w:t>
      </w:r>
      <w:r>
        <w:t>Fifth Edition, SAGE.</w:t>
      </w:r>
    </w:p>
    <w:p w14:paraId="75B175F2" w14:textId="77777777" w:rsidR="00E565A3" w:rsidRPr="00EA7A2C" w:rsidRDefault="00E565A3" w:rsidP="00795A45">
      <w:pPr>
        <w:jc w:val="left"/>
        <w:rPr>
          <w:i/>
        </w:rPr>
      </w:pPr>
    </w:p>
    <w:p w14:paraId="3406B622" w14:textId="77777777" w:rsidR="00795A45" w:rsidRPr="00EA7A2C" w:rsidRDefault="00795A45" w:rsidP="00795A45">
      <w:pPr>
        <w:jc w:val="left"/>
        <w:rPr>
          <w:i/>
        </w:rPr>
      </w:pPr>
      <w:r w:rsidRPr="00EA7A2C">
        <w:rPr>
          <w:i/>
        </w:rPr>
        <w:t>Commonwealth Bank of Australia v Friedrich (1991)5 ACSR 115: 9 ACLC 946</w:t>
      </w:r>
    </w:p>
    <w:p w14:paraId="0085FB84" w14:textId="77777777" w:rsidR="00795A45" w:rsidRPr="00EA7A2C" w:rsidRDefault="00795A45" w:rsidP="00795A45">
      <w:pPr>
        <w:jc w:val="left"/>
        <w:rPr>
          <w:i/>
        </w:rPr>
      </w:pPr>
    </w:p>
    <w:p w14:paraId="2F0E9D2B" w14:textId="77777777" w:rsidR="00795A45" w:rsidRPr="00EA7A2C" w:rsidRDefault="00C04C8F" w:rsidP="00795A45">
      <w:pPr>
        <w:jc w:val="left"/>
      </w:pPr>
      <w:proofErr w:type="spellStart"/>
      <w:proofErr w:type="gramStart"/>
      <w:r w:rsidRPr="00EA7A2C">
        <w:t>De</w:t>
      </w:r>
      <w:r w:rsidR="00795A45" w:rsidRPr="00EA7A2C">
        <w:t>msetz,H</w:t>
      </w:r>
      <w:proofErr w:type="spellEnd"/>
      <w:r w:rsidR="00795A45" w:rsidRPr="00EA7A2C">
        <w:t>.</w:t>
      </w:r>
      <w:proofErr w:type="gramEnd"/>
      <w:r w:rsidR="00795A45" w:rsidRPr="00EA7A2C">
        <w:t>, (1983) “The Structure of Ownership and the Theory of the firm”. The Journal of Law and Economics, Vol.26 Iss.2</w:t>
      </w:r>
    </w:p>
    <w:p w14:paraId="5EB04686" w14:textId="77777777" w:rsidR="00795A45" w:rsidRPr="00EA7A2C" w:rsidRDefault="00795A45" w:rsidP="00795A45">
      <w:pPr>
        <w:jc w:val="both"/>
        <w:rPr>
          <w:i/>
        </w:rPr>
      </w:pPr>
    </w:p>
    <w:p w14:paraId="2B8E6819" w14:textId="77777777" w:rsidR="00795A45" w:rsidRPr="00EA7A2C" w:rsidRDefault="00795A45" w:rsidP="00795A45">
      <w:pPr>
        <w:jc w:val="both"/>
        <w:rPr>
          <w:i/>
        </w:rPr>
      </w:pPr>
      <w:r w:rsidRPr="00EA7A2C">
        <w:rPr>
          <w:i/>
        </w:rPr>
        <w:t>Elliott v ASIC 10 VR 369: 205 ALR 594.</w:t>
      </w:r>
    </w:p>
    <w:p w14:paraId="113C47F9" w14:textId="77777777" w:rsidR="00795A45" w:rsidRPr="00EA7A2C" w:rsidRDefault="00795A45" w:rsidP="00795A45">
      <w:pPr>
        <w:jc w:val="both"/>
        <w:rPr>
          <w:noProof/>
        </w:rPr>
      </w:pPr>
    </w:p>
    <w:p w14:paraId="50A1DA79" w14:textId="77777777" w:rsidR="00795A45" w:rsidRPr="00EA7A2C" w:rsidRDefault="00795A45" w:rsidP="00795A45">
      <w:pPr>
        <w:jc w:val="both"/>
        <w:rPr>
          <w:noProof/>
        </w:rPr>
      </w:pPr>
      <w:r w:rsidRPr="00EA7A2C">
        <w:rPr>
          <w:noProof/>
        </w:rPr>
        <w:t xml:space="preserve">Fama, E. F., &amp; Jensen, M. C. </w:t>
      </w:r>
      <w:r w:rsidR="00E565A3" w:rsidRPr="00EA7A2C">
        <w:rPr>
          <w:noProof/>
        </w:rPr>
        <w:t>(</w:t>
      </w:r>
      <w:r w:rsidRPr="00EA7A2C">
        <w:rPr>
          <w:noProof/>
        </w:rPr>
        <w:t>1983</w:t>
      </w:r>
      <w:r w:rsidR="00E565A3" w:rsidRPr="00EA7A2C">
        <w:rPr>
          <w:noProof/>
        </w:rPr>
        <w:t>)</w:t>
      </w:r>
      <w:r w:rsidRPr="00EA7A2C">
        <w:rPr>
          <w:noProof/>
        </w:rPr>
        <w:t xml:space="preserve">. ‘Separation of ownership and control’. </w:t>
      </w:r>
      <w:r w:rsidRPr="00EA7A2C">
        <w:rPr>
          <w:i/>
          <w:iCs/>
          <w:noProof/>
        </w:rPr>
        <w:t xml:space="preserve">Journal of Law and Economics, </w:t>
      </w:r>
      <w:r w:rsidRPr="00EA7A2C">
        <w:rPr>
          <w:iCs/>
          <w:noProof/>
        </w:rPr>
        <w:t>vol 26 no.2 pp.</w:t>
      </w:r>
      <w:r w:rsidRPr="00EA7A2C">
        <w:rPr>
          <w:noProof/>
        </w:rPr>
        <w:t>301–325.</w:t>
      </w:r>
    </w:p>
    <w:p w14:paraId="6C472494" w14:textId="77777777" w:rsidR="00795A45" w:rsidRPr="00EA7A2C" w:rsidRDefault="00795A45" w:rsidP="00795A45">
      <w:pPr>
        <w:jc w:val="both"/>
        <w:rPr>
          <w:i/>
        </w:rPr>
      </w:pPr>
    </w:p>
    <w:p w14:paraId="00532CB1" w14:textId="77777777" w:rsidR="00795A45" w:rsidRPr="00EA7A2C" w:rsidRDefault="00795A45" w:rsidP="00795A45">
      <w:pPr>
        <w:jc w:val="both"/>
        <w:rPr>
          <w:i/>
        </w:rPr>
      </w:pPr>
      <w:proofErr w:type="spellStart"/>
      <w:r w:rsidRPr="00EA7A2C">
        <w:rPr>
          <w:i/>
        </w:rPr>
        <w:t>Gambotto</w:t>
      </w:r>
      <w:proofErr w:type="spellEnd"/>
      <w:r w:rsidRPr="00EA7A2C">
        <w:rPr>
          <w:i/>
        </w:rPr>
        <w:t xml:space="preserve"> v WCP (1995) 182 CLR 432: 127 ALR 4147</w:t>
      </w:r>
    </w:p>
    <w:p w14:paraId="11E63D92" w14:textId="77777777" w:rsidR="00795A45" w:rsidRPr="00EA7A2C" w:rsidRDefault="00795A45" w:rsidP="00795A45">
      <w:pPr>
        <w:widowControl w:val="0"/>
      </w:pPr>
    </w:p>
    <w:p w14:paraId="48D4D784" w14:textId="77777777" w:rsidR="00795A45" w:rsidRPr="00EA7A2C" w:rsidRDefault="00795A45" w:rsidP="00C04C8F">
      <w:pPr>
        <w:widowControl w:val="0"/>
        <w:jc w:val="both"/>
      </w:pPr>
      <w:r w:rsidRPr="00EA7A2C">
        <w:t xml:space="preserve">Giordano F., (2011) “Financial Reporting Duties of Directors – ten corporate governance lessons from Centro for non-executive directors of listed public companies” </w:t>
      </w:r>
      <w:r w:rsidRPr="00EA7A2C">
        <w:rPr>
          <w:i/>
        </w:rPr>
        <w:t>Keeping good companies</w:t>
      </w:r>
      <w:r w:rsidRPr="00EA7A2C">
        <w:t xml:space="preserve"> </w:t>
      </w:r>
      <w:r w:rsidR="00C04C8F" w:rsidRPr="00EA7A2C">
        <w:t>Vol 63</w:t>
      </w:r>
      <w:r w:rsidR="00CF37DF" w:rsidRPr="00EA7A2C">
        <w:t xml:space="preserve"> p.9-11</w:t>
      </w:r>
    </w:p>
    <w:p w14:paraId="285CC41E" w14:textId="77777777" w:rsidR="00795A45" w:rsidRPr="00EA7A2C" w:rsidRDefault="00795A45" w:rsidP="00795A45">
      <w:pPr>
        <w:widowControl w:val="0"/>
      </w:pPr>
    </w:p>
    <w:p w14:paraId="09DC84CC" w14:textId="77777777" w:rsidR="00795A45" w:rsidRPr="00EA7A2C" w:rsidRDefault="00795A45" w:rsidP="00795A45">
      <w:pPr>
        <w:widowControl w:val="0"/>
        <w:jc w:val="left"/>
      </w:pPr>
      <w:r w:rsidRPr="00EA7A2C">
        <w:t xml:space="preserve">Heath, W., (2010) “Rich insight into director’s statutory duty of care and business judgement rule” </w:t>
      </w:r>
      <w:r w:rsidRPr="00EA7A2C">
        <w:rPr>
          <w:i/>
        </w:rPr>
        <w:t xml:space="preserve">Keeping good </w:t>
      </w:r>
      <w:proofErr w:type="gramStart"/>
      <w:r w:rsidRPr="00EA7A2C">
        <w:rPr>
          <w:i/>
        </w:rPr>
        <w:t>companies ,</w:t>
      </w:r>
      <w:proofErr w:type="gramEnd"/>
      <w:r w:rsidR="00C04C8F" w:rsidRPr="00EA7A2C">
        <w:t xml:space="preserve"> Vol 62 </w:t>
      </w:r>
      <w:r w:rsidRPr="00EA7A2C">
        <w:t>p.9-11</w:t>
      </w:r>
    </w:p>
    <w:p w14:paraId="6BDF4E0A" w14:textId="77777777" w:rsidR="00795A45" w:rsidRPr="00EA7A2C" w:rsidRDefault="00795A45" w:rsidP="00795A45">
      <w:pPr>
        <w:widowControl w:val="0"/>
        <w:jc w:val="left"/>
        <w:rPr>
          <w:color w:val="000000"/>
        </w:rPr>
      </w:pPr>
    </w:p>
    <w:p w14:paraId="70C1BDDB" w14:textId="77777777" w:rsidR="00795A45" w:rsidRPr="00EA7A2C" w:rsidRDefault="00795A45" w:rsidP="00795A45">
      <w:pPr>
        <w:jc w:val="left"/>
        <w:rPr>
          <w:rFonts w:eastAsia="Times New Roman"/>
          <w:color w:val="333333"/>
          <w:lang w:eastAsia="en-AU"/>
        </w:rPr>
      </w:pPr>
      <w:proofErr w:type="spellStart"/>
      <w:r w:rsidRPr="00EA7A2C">
        <w:t>Jensen,A.C</w:t>
      </w:r>
      <w:proofErr w:type="spellEnd"/>
      <w:r w:rsidRPr="00EA7A2C">
        <w:t>., (1986) “</w:t>
      </w:r>
      <w:r w:rsidRPr="00EA7A2C">
        <w:rPr>
          <w:rFonts w:eastAsia="Times New Roman"/>
          <w:bCs/>
          <w:color w:val="333333"/>
          <w:kern w:val="36"/>
          <w:lang w:eastAsia="en-AU"/>
        </w:rPr>
        <w:t xml:space="preserve">Agency Costs of Free Cash Flow, Corporate Finance, and Takeovers” </w:t>
      </w:r>
      <w:r w:rsidRPr="00EA7A2C">
        <w:rPr>
          <w:rFonts w:eastAsia="Times New Roman"/>
          <w:i/>
          <w:iCs/>
          <w:color w:val="333333"/>
          <w:lang w:eastAsia="en-AU"/>
        </w:rPr>
        <w:t xml:space="preserve">The American Economic Review, </w:t>
      </w:r>
      <w:r w:rsidRPr="00EA7A2C">
        <w:rPr>
          <w:rFonts w:eastAsia="Times New Roman"/>
          <w:color w:val="333333"/>
          <w:lang w:eastAsia="en-AU"/>
        </w:rPr>
        <w:t xml:space="preserve">Papers and Proceedings of the Ninety-Eighth Annual Meeting of the American Economic Association (May, 1986), </w:t>
      </w:r>
      <w:r w:rsidR="00C04C8F" w:rsidRPr="00EA7A2C">
        <w:rPr>
          <w:rFonts w:eastAsia="Times New Roman"/>
          <w:color w:val="333333"/>
          <w:lang w:eastAsia="en-AU"/>
        </w:rPr>
        <w:t xml:space="preserve">Vol. 76, No. 2, </w:t>
      </w:r>
      <w:r w:rsidRPr="00EA7A2C">
        <w:rPr>
          <w:rFonts w:eastAsia="Times New Roman"/>
          <w:color w:val="333333"/>
          <w:lang w:eastAsia="en-AU"/>
        </w:rPr>
        <w:t>pp. 323-329.</w:t>
      </w:r>
    </w:p>
    <w:p w14:paraId="539D6DDF" w14:textId="77777777" w:rsidR="00795A45" w:rsidRPr="00EA7A2C" w:rsidRDefault="00795A45" w:rsidP="00795A45">
      <w:pPr>
        <w:jc w:val="left"/>
        <w:rPr>
          <w:i/>
        </w:rPr>
      </w:pPr>
    </w:p>
    <w:p w14:paraId="598CF2D4" w14:textId="77777777" w:rsidR="00795A45" w:rsidRPr="00EA7A2C" w:rsidRDefault="00795A45" w:rsidP="00795A45">
      <w:pPr>
        <w:jc w:val="left"/>
      </w:pPr>
      <w:proofErr w:type="spellStart"/>
      <w:r w:rsidRPr="00EA7A2C">
        <w:rPr>
          <w:i/>
        </w:rPr>
        <w:t>Jubliee</w:t>
      </w:r>
      <w:proofErr w:type="spellEnd"/>
      <w:r w:rsidRPr="00EA7A2C">
        <w:rPr>
          <w:i/>
        </w:rPr>
        <w:t xml:space="preserve"> Mines NL v Riley (2009)253 ALR 673: 69 ACSR 659</w:t>
      </w:r>
    </w:p>
    <w:p w14:paraId="0F4CA1A9" w14:textId="77777777" w:rsidR="00795A45" w:rsidRPr="00EA7A2C" w:rsidRDefault="00795A45" w:rsidP="00795A45">
      <w:pPr>
        <w:jc w:val="left"/>
        <w:rPr>
          <w:color w:val="222222"/>
          <w:shd w:val="clear" w:color="auto" w:fill="FFFFFF"/>
        </w:rPr>
      </w:pPr>
    </w:p>
    <w:p w14:paraId="09E2806D" w14:textId="77777777" w:rsidR="00795A45" w:rsidRPr="00EA7A2C" w:rsidRDefault="00795A45" w:rsidP="00795A45">
      <w:pPr>
        <w:jc w:val="left"/>
        <w:rPr>
          <w:color w:val="222222"/>
          <w:shd w:val="clear" w:color="auto" w:fill="FFFFFF"/>
        </w:rPr>
      </w:pPr>
      <w:r w:rsidRPr="00EA7A2C">
        <w:rPr>
          <w:color w:val="222222"/>
          <w:shd w:val="clear" w:color="auto" w:fill="FFFFFF"/>
        </w:rPr>
        <w:t xml:space="preserve">La Porta, </w:t>
      </w:r>
      <w:proofErr w:type="spellStart"/>
      <w:proofErr w:type="gramStart"/>
      <w:r w:rsidRPr="00EA7A2C">
        <w:rPr>
          <w:color w:val="222222"/>
          <w:shd w:val="clear" w:color="auto" w:fill="FFFFFF"/>
        </w:rPr>
        <w:t>R.,Lopez</w:t>
      </w:r>
      <w:proofErr w:type="spellEnd"/>
      <w:proofErr w:type="gramEnd"/>
      <w:r w:rsidRPr="00EA7A2C">
        <w:rPr>
          <w:color w:val="222222"/>
          <w:shd w:val="clear" w:color="auto" w:fill="FFFFFF"/>
        </w:rPr>
        <w:t>-de-</w:t>
      </w:r>
      <w:proofErr w:type="spellStart"/>
      <w:r w:rsidRPr="00EA7A2C">
        <w:rPr>
          <w:color w:val="222222"/>
          <w:shd w:val="clear" w:color="auto" w:fill="FFFFFF"/>
        </w:rPr>
        <w:t>Silanes,F</w:t>
      </w:r>
      <w:proofErr w:type="spellEnd"/>
      <w:r w:rsidRPr="00EA7A2C">
        <w:rPr>
          <w:color w:val="222222"/>
          <w:shd w:val="clear" w:color="auto" w:fill="FFFFFF"/>
        </w:rPr>
        <w:t xml:space="preserve">., </w:t>
      </w:r>
      <w:proofErr w:type="spellStart"/>
      <w:r w:rsidRPr="00EA7A2C">
        <w:rPr>
          <w:color w:val="222222"/>
          <w:shd w:val="clear" w:color="auto" w:fill="FFFFFF"/>
        </w:rPr>
        <w:t>Shleifer,A</w:t>
      </w:r>
      <w:proofErr w:type="spellEnd"/>
      <w:r w:rsidRPr="00EA7A2C">
        <w:rPr>
          <w:color w:val="222222"/>
          <w:shd w:val="clear" w:color="auto" w:fill="FFFFFF"/>
        </w:rPr>
        <w:t xml:space="preserve">., </w:t>
      </w:r>
      <w:proofErr w:type="spellStart"/>
      <w:r w:rsidRPr="00EA7A2C">
        <w:rPr>
          <w:color w:val="222222"/>
          <w:shd w:val="clear" w:color="auto" w:fill="FFFFFF"/>
        </w:rPr>
        <w:t>Vishny,R</w:t>
      </w:r>
      <w:proofErr w:type="spellEnd"/>
      <w:r w:rsidRPr="00EA7A2C">
        <w:rPr>
          <w:color w:val="222222"/>
          <w:shd w:val="clear" w:color="auto" w:fill="FFFFFF"/>
        </w:rPr>
        <w:t xml:space="preserve">., (1998) “Law and Finance” </w:t>
      </w:r>
      <w:r w:rsidRPr="00EA7A2C">
        <w:rPr>
          <w:i/>
          <w:color w:val="222222"/>
          <w:shd w:val="clear" w:color="auto" w:fill="FFFFFF"/>
        </w:rPr>
        <w:t>Journal of political economy,</w:t>
      </w:r>
      <w:r w:rsidRPr="00EA7A2C">
        <w:rPr>
          <w:color w:val="222222"/>
          <w:shd w:val="clear" w:color="auto" w:fill="FFFFFF"/>
        </w:rPr>
        <w:t xml:space="preserve"> Vol. 106, </w:t>
      </w:r>
      <w:proofErr w:type="spellStart"/>
      <w:r w:rsidRPr="00EA7A2C">
        <w:rPr>
          <w:color w:val="222222"/>
          <w:shd w:val="clear" w:color="auto" w:fill="FFFFFF"/>
        </w:rPr>
        <w:t>Iss</w:t>
      </w:r>
      <w:proofErr w:type="spellEnd"/>
      <w:r w:rsidRPr="00EA7A2C">
        <w:rPr>
          <w:color w:val="222222"/>
          <w:shd w:val="clear" w:color="auto" w:fill="FFFFFF"/>
        </w:rPr>
        <w:t xml:space="preserve"> 6 p.1113-1155.</w:t>
      </w:r>
    </w:p>
    <w:p w14:paraId="516599A2" w14:textId="77777777" w:rsidR="001E6873" w:rsidRPr="00EA7A2C" w:rsidRDefault="001E6873" w:rsidP="00795A45">
      <w:pPr>
        <w:jc w:val="left"/>
        <w:rPr>
          <w:color w:val="222222"/>
          <w:shd w:val="clear" w:color="auto" w:fill="FFFFFF"/>
        </w:rPr>
      </w:pPr>
    </w:p>
    <w:p w14:paraId="41C3B2FE" w14:textId="77777777" w:rsidR="001E6873" w:rsidRPr="00EA7A2C" w:rsidRDefault="001E6873" w:rsidP="00795A45">
      <w:pPr>
        <w:jc w:val="left"/>
        <w:rPr>
          <w:color w:val="222222"/>
          <w:shd w:val="clear" w:color="auto" w:fill="FFFFFF"/>
        </w:rPr>
      </w:pPr>
      <w:proofErr w:type="spellStart"/>
      <w:proofErr w:type="gramStart"/>
      <w:r w:rsidRPr="00EA7A2C">
        <w:rPr>
          <w:color w:val="222222"/>
          <w:shd w:val="clear" w:color="auto" w:fill="FFFFFF"/>
        </w:rPr>
        <w:t>Levine,A</w:t>
      </w:r>
      <w:proofErr w:type="spellEnd"/>
      <w:r w:rsidRPr="00EA7A2C">
        <w:rPr>
          <w:color w:val="222222"/>
          <w:shd w:val="clear" w:color="auto" w:fill="FFFFFF"/>
        </w:rPr>
        <w:t>.</w:t>
      </w:r>
      <w:proofErr w:type="gramEnd"/>
      <w:r w:rsidRPr="00EA7A2C">
        <w:rPr>
          <w:color w:val="222222"/>
          <w:shd w:val="clear" w:color="auto" w:fill="FFFFFF"/>
        </w:rPr>
        <w:t xml:space="preserve">, (1999) “Rewarding Effort” </w:t>
      </w:r>
      <w:r w:rsidRPr="00EA7A2C">
        <w:rPr>
          <w:i/>
          <w:color w:val="222222"/>
          <w:shd w:val="clear" w:color="auto" w:fill="FFFFFF"/>
        </w:rPr>
        <w:t xml:space="preserve">Journal of Political Philosophy, </w:t>
      </w:r>
      <w:r w:rsidRPr="00EA7A2C">
        <w:rPr>
          <w:color w:val="222222"/>
          <w:shd w:val="clear" w:color="auto" w:fill="FFFFFF"/>
        </w:rPr>
        <w:t>Vol. 7 Iss.4 p404-418</w:t>
      </w:r>
    </w:p>
    <w:p w14:paraId="0BB69DA2" w14:textId="77777777" w:rsidR="00795A45" w:rsidRPr="00EA7A2C" w:rsidRDefault="00795A45" w:rsidP="00795A45">
      <w:pPr>
        <w:jc w:val="left"/>
        <w:outlineLvl w:val="0"/>
        <w:rPr>
          <w:rFonts w:eastAsia="Times New Roman"/>
          <w:color w:val="505050"/>
          <w:lang w:eastAsia="en-AU"/>
        </w:rPr>
      </w:pPr>
      <w:bookmarkStart w:id="0" w:name="baep-author-id4"/>
    </w:p>
    <w:p w14:paraId="77C9FDC8" w14:textId="77777777" w:rsidR="00795A45" w:rsidRPr="00EA7A2C" w:rsidRDefault="00795A45" w:rsidP="00795A45">
      <w:pPr>
        <w:jc w:val="left"/>
        <w:outlineLvl w:val="0"/>
        <w:rPr>
          <w:rFonts w:eastAsia="Times New Roman"/>
          <w:color w:val="505050"/>
          <w:lang w:eastAsia="en-AU"/>
        </w:rPr>
      </w:pPr>
      <w:proofErr w:type="spellStart"/>
      <w:r w:rsidRPr="00EA7A2C">
        <w:rPr>
          <w:rFonts w:eastAsia="Times New Roman"/>
          <w:color w:val="505050"/>
          <w:lang w:eastAsia="en-AU"/>
        </w:rPr>
        <w:t>Morck</w:t>
      </w:r>
      <w:proofErr w:type="spellEnd"/>
      <w:r w:rsidRPr="00EA7A2C">
        <w:rPr>
          <w:rFonts w:eastAsia="Times New Roman"/>
          <w:color w:val="505050"/>
          <w:lang w:eastAsia="en-AU"/>
        </w:rPr>
        <w:t xml:space="preserve">, R., </w:t>
      </w:r>
      <w:proofErr w:type="spellStart"/>
      <w:proofErr w:type="gramStart"/>
      <w:r w:rsidRPr="00EA7A2C">
        <w:rPr>
          <w:rFonts w:eastAsia="Times New Roman"/>
          <w:color w:val="505050"/>
          <w:lang w:eastAsia="en-AU"/>
        </w:rPr>
        <w:t>Shleifer,R</w:t>
      </w:r>
      <w:proofErr w:type="spellEnd"/>
      <w:r w:rsidRPr="00EA7A2C">
        <w:rPr>
          <w:rFonts w:eastAsia="Times New Roman"/>
          <w:color w:val="505050"/>
          <w:lang w:eastAsia="en-AU"/>
        </w:rPr>
        <w:t>.</w:t>
      </w:r>
      <w:proofErr w:type="gramEnd"/>
      <w:r w:rsidRPr="00EA7A2C">
        <w:rPr>
          <w:rFonts w:eastAsia="Times New Roman"/>
          <w:color w:val="505050"/>
          <w:lang w:eastAsia="en-AU"/>
        </w:rPr>
        <w:t xml:space="preserve">, </w:t>
      </w:r>
      <w:proofErr w:type="spellStart"/>
      <w:r w:rsidRPr="00EA7A2C">
        <w:rPr>
          <w:rFonts w:eastAsia="Times New Roman"/>
          <w:color w:val="505050"/>
          <w:lang w:eastAsia="en-AU"/>
        </w:rPr>
        <w:t>Vishny,R</w:t>
      </w:r>
      <w:proofErr w:type="spellEnd"/>
      <w:r w:rsidRPr="00EA7A2C">
        <w:rPr>
          <w:rFonts w:eastAsia="Times New Roman"/>
          <w:color w:val="505050"/>
          <w:lang w:eastAsia="en-AU"/>
        </w:rPr>
        <w:t xml:space="preserve"> </w:t>
      </w:r>
      <w:r w:rsidR="00E565A3" w:rsidRPr="00EA7A2C">
        <w:rPr>
          <w:rFonts w:eastAsia="Times New Roman"/>
          <w:color w:val="505050"/>
          <w:lang w:eastAsia="en-AU"/>
        </w:rPr>
        <w:t xml:space="preserve">(1988) </w:t>
      </w:r>
      <w:r w:rsidRPr="00EA7A2C">
        <w:rPr>
          <w:rFonts w:eastAsia="Times New Roman"/>
          <w:color w:val="505050"/>
          <w:lang w:eastAsia="en-AU"/>
        </w:rPr>
        <w:t>“</w:t>
      </w:r>
      <w:r w:rsidRPr="00EA7A2C">
        <w:rPr>
          <w:rFonts w:eastAsia="Times New Roman"/>
          <w:color w:val="505050"/>
          <w:kern w:val="36"/>
          <w:lang w:eastAsia="en-AU"/>
        </w:rPr>
        <w:t xml:space="preserve">Management ownership and market valuation: An empirical analysis”, </w:t>
      </w:r>
      <w:bookmarkEnd w:id="0"/>
      <w:r w:rsidRPr="00EA7A2C">
        <w:rPr>
          <w:i/>
          <w:color w:val="222222"/>
          <w:shd w:val="clear" w:color="auto" w:fill="FFFFFF"/>
        </w:rPr>
        <w:t>Journal of Financial Economics</w:t>
      </w:r>
      <w:r w:rsidRPr="00EA7A2C">
        <w:rPr>
          <w:color w:val="222222"/>
          <w:shd w:val="clear" w:color="auto" w:fill="FFFFFF"/>
        </w:rPr>
        <w:t xml:space="preserve">, Vol. 20 </w:t>
      </w:r>
      <w:r w:rsidRPr="00EA7A2C">
        <w:rPr>
          <w:rFonts w:eastAsia="Times New Roman"/>
          <w:color w:val="505050"/>
          <w:lang w:eastAsia="en-AU"/>
        </w:rPr>
        <w:t xml:space="preserve">January–March 1988, Pages 293-315. </w:t>
      </w:r>
    </w:p>
    <w:p w14:paraId="1B19C8C3" w14:textId="77777777" w:rsidR="001A3C0A" w:rsidRPr="00EA7A2C" w:rsidRDefault="001A3C0A" w:rsidP="00795A45">
      <w:pPr>
        <w:jc w:val="left"/>
        <w:outlineLvl w:val="0"/>
        <w:rPr>
          <w:rFonts w:eastAsia="Times New Roman"/>
          <w:color w:val="505050"/>
          <w:lang w:eastAsia="en-AU"/>
        </w:rPr>
      </w:pPr>
    </w:p>
    <w:p w14:paraId="473791EB" w14:textId="77777777" w:rsidR="001A3C0A" w:rsidRPr="00EA7A2C" w:rsidRDefault="001A3C0A" w:rsidP="001A3C0A">
      <w:pPr>
        <w:jc w:val="both"/>
        <w:rPr>
          <w:color w:val="222222"/>
          <w:shd w:val="clear" w:color="auto" w:fill="FFFFFF"/>
        </w:rPr>
      </w:pPr>
      <w:r w:rsidRPr="00EA7A2C">
        <w:rPr>
          <w:color w:val="191919"/>
          <w:shd w:val="clear" w:color="auto" w:fill="FBFBFA"/>
        </w:rPr>
        <w:t xml:space="preserve">Nicholson, D., and Underhill, J., (2012) Government releases first tranche of reforms to company officer liability </w:t>
      </w:r>
      <w:r w:rsidRPr="00EA7A2C">
        <w:rPr>
          <w:i/>
          <w:color w:val="191919"/>
          <w:bdr w:val="none" w:sz="0" w:space="0" w:color="auto" w:frame="1"/>
          <w:shd w:val="clear" w:color="auto" w:fill="FBFBFA"/>
        </w:rPr>
        <w:t>Keeping Good Companies</w:t>
      </w:r>
      <w:r w:rsidRPr="00EA7A2C">
        <w:rPr>
          <w:color w:val="191919"/>
          <w:shd w:val="clear" w:color="auto" w:fill="FBFBFA"/>
        </w:rPr>
        <w:t>, Vol. 64, No. 2, p. 70-71</w:t>
      </w:r>
    </w:p>
    <w:p w14:paraId="39E5BD3D" w14:textId="77777777" w:rsidR="001A3C0A" w:rsidRPr="00EA7A2C" w:rsidRDefault="001A3C0A" w:rsidP="00795A45">
      <w:pPr>
        <w:jc w:val="left"/>
        <w:outlineLvl w:val="0"/>
        <w:rPr>
          <w:rFonts w:eastAsia="Times New Roman"/>
          <w:color w:val="505050"/>
          <w:lang w:eastAsia="en-AU"/>
        </w:rPr>
      </w:pPr>
    </w:p>
    <w:p w14:paraId="3D9990F9" w14:textId="77777777" w:rsidR="00795A45" w:rsidRPr="00EA7A2C" w:rsidRDefault="00795A45" w:rsidP="00795A45">
      <w:pPr>
        <w:jc w:val="left"/>
        <w:outlineLvl w:val="0"/>
        <w:rPr>
          <w:rFonts w:eastAsia="Times New Roman"/>
          <w:color w:val="505050"/>
          <w:lang w:eastAsia="en-AU"/>
        </w:rPr>
      </w:pPr>
    </w:p>
    <w:p w14:paraId="475B62B2" w14:textId="77777777" w:rsidR="00795A45" w:rsidRPr="00EA7A2C" w:rsidRDefault="00E565A3" w:rsidP="00795A45">
      <w:pPr>
        <w:jc w:val="left"/>
        <w:outlineLvl w:val="0"/>
        <w:rPr>
          <w:rFonts w:eastAsia="Times New Roman"/>
          <w:color w:val="505050"/>
          <w:lang w:eastAsia="en-AU"/>
        </w:rPr>
      </w:pPr>
      <w:proofErr w:type="spellStart"/>
      <w:proofErr w:type="gramStart"/>
      <w:r w:rsidRPr="00EA7A2C">
        <w:rPr>
          <w:rFonts w:eastAsia="Times New Roman"/>
          <w:color w:val="505050"/>
          <w:lang w:eastAsia="en-AU"/>
        </w:rPr>
        <w:t>Pr</w:t>
      </w:r>
      <w:r w:rsidR="00795A45" w:rsidRPr="00EA7A2C">
        <w:rPr>
          <w:rFonts w:eastAsia="Times New Roman"/>
          <w:color w:val="505050"/>
          <w:lang w:eastAsia="en-AU"/>
        </w:rPr>
        <w:t>asad,L.M</w:t>
      </w:r>
      <w:proofErr w:type="spellEnd"/>
      <w:r w:rsidR="00795A45" w:rsidRPr="00EA7A2C">
        <w:rPr>
          <w:rFonts w:eastAsia="Times New Roman"/>
          <w:color w:val="505050"/>
          <w:lang w:eastAsia="en-AU"/>
        </w:rPr>
        <w:t>.</w:t>
      </w:r>
      <w:proofErr w:type="gramEnd"/>
      <w:r w:rsidR="00795A45" w:rsidRPr="00EA7A2C">
        <w:rPr>
          <w:rFonts w:eastAsia="Times New Roman"/>
          <w:color w:val="505050"/>
          <w:lang w:eastAsia="en-AU"/>
        </w:rPr>
        <w:t>, (2006) Human Resource Management. New Delhi, Sultan Chand &amp; Sons</w:t>
      </w:r>
    </w:p>
    <w:p w14:paraId="17E61006" w14:textId="77777777" w:rsidR="00795A45" w:rsidRPr="00EA7A2C" w:rsidRDefault="00795A45" w:rsidP="00795A45">
      <w:pPr>
        <w:rPr>
          <w:rFonts w:eastAsia="Times New Roman"/>
          <w:color w:val="333333"/>
          <w:lang w:eastAsia="en-AU"/>
        </w:rPr>
      </w:pPr>
    </w:p>
    <w:p w14:paraId="700162FC" w14:textId="77777777" w:rsidR="00795A45" w:rsidRPr="00EA7A2C" w:rsidRDefault="00795A45" w:rsidP="00795A45">
      <w:pPr>
        <w:jc w:val="left"/>
        <w:rPr>
          <w:rFonts w:eastAsia="Times New Roman"/>
          <w:color w:val="333333"/>
          <w:lang w:eastAsia="en-AU"/>
        </w:rPr>
      </w:pPr>
      <w:proofErr w:type="spellStart"/>
      <w:proofErr w:type="gramStart"/>
      <w:r w:rsidRPr="00EA7A2C">
        <w:rPr>
          <w:rFonts w:eastAsia="Times New Roman"/>
          <w:color w:val="333333"/>
          <w:lang w:eastAsia="en-AU"/>
        </w:rPr>
        <w:t>Shleifer,A</w:t>
      </w:r>
      <w:proofErr w:type="spellEnd"/>
      <w:r w:rsidRPr="00EA7A2C">
        <w:rPr>
          <w:rFonts w:eastAsia="Times New Roman"/>
          <w:color w:val="333333"/>
          <w:lang w:eastAsia="en-AU"/>
        </w:rPr>
        <w:t>.</w:t>
      </w:r>
      <w:proofErr w:type="gramEnd"/>
      <w:r w:rsidRPr="00EA7A2C">
        <w:rPr>
          <w:rFonts w:eastAsia="Times New Roman"/>
          <w:color w:val="333333"/>
          <w:lang w:eastAsia="en-AU"/>
        </w:rPr>
        <w:t xml:space="preserve">, </w:t>
      </w:r>
      <w:proofErr w:type="spellStart"/>
      <w:r w:rsidRPr="00EA7A2C">
        <w:rPr>
          <w:rFonts w:eastAsia="Times New Roman"/>
          <w:color w:val="333333"/>
          <w:lang w:eastAsia="en-AU"/>
        </w:rPr>
        <w:t>Vishny,R</w:t>
      </w:r>
      <w:proofErr w:type="spellEnd"/>
      <w:r w:rsidRPr="00EA7A2C">
        <w:rPr>
          <w:rFonts w:eastAsia="Times New Roman"/>
          <w:color w:val="333333"/>
          <w:lang w:eastAsia="en-AU"/>
        </w:rPr>
        <w:t>., (19</w:t>
      </w:r>
      <w:r w:rsidR="00E565A3" w:rsidRPr="00EA7A2C">
        <w:rPr>
          <w:rFonts w:eastAsia="Times New Roman"/>
          <w:color w:val="333333"/>
          <w:lang w:eastAsia="en-AU"/>
        </w:rPr>
        <w:t>86</w:t>
      </w:r>
      <w:r w:rsidRPr="00EA7A2C">
        <w:rPr>
          <w:rFonts w:eastAsia="Times New Roman"/>
          <w:color w:val="333333"/>
          <w:lang w:eastAsia="en-AU"/>
        </w:rPr>
        <w:t xml:space="preserve">) “A survey of Corporate Governance” </w:t>
      </w:r>
      <w:r w:rsidRPr="00EA7A2C">
        <w:rPr>
          <w:rFonts w:eastAsia="Times New Roman"/>
          <w:i/>
          <w:color w:val="333333"/>
          <w:lang w:eastAsia="en-AU"/>
        </w:rPr>
        <w:t xml:space="preserve">Journal of Finance, </w:t>
      </w:r>
      <w:r w:rsidRPr="00EA7A2C">
        <w:rPr>
          <w:rFonts w:eastAsia="Times New Roman"/>
          <w:color w:val="333333"/>
          <w:lang w:eastAsia="en-AU"/>
        </w:rPr>
        <w:t xml:space="preserve">Vol. 52, </w:t>
      </w:r>
      <w:proofErr w:type="spellStart"/>
      <w:r w:rsidRPr="00EA7A2C">
        <w:rPr>
          <w:rFonts w:eastAsia="Times New Roman"/>
          <w:color w:val="333333"/>
          <w:lang w:eastAsia="en-AU"/>
        </w:rPr>
        <w:t>Iss</w:t>
      </w:r>
      <w:proofErr w:type="spellEnd"/>
      <w:r w:rsidRPr="00EA7A2C">
        <w:rPr>
          <w:rFonts w:eastAsia="Times New Roman"/>
          <w:color w:val="333333"/>
          <w:lang w:eastAsia="en-AU"/>
        </w:rPr>
        <w:t xml:space="preserve"> 2 p.737-783</w:t>
      </w:r>
    </w:p>
    <w:p w14:paraId="003F4F38" w14:textId="77777777" w:rsidR="00795A45" w:rsidRPr="00EA7A2C" w:rsidRDefault="00795A45" w:rsidP="00795A45">
      <w:pPr>
        <w:jc w:val="both"/>
        <w:rPr>
          <w:color w:val="222222"/>
          <w:shd w:val="clear" w:color="auto" w:fill="FFFFFF"/>
        </w:rPr>
      </w:pPr>
    </w:p>
    <w:p w14:paraId="17CEB997" w14:textId="77777777" w:rsidR="00795A45" w:rsidRPr="00EA7A2C" w:rsidRDefault="00795A45" w:rsidP="00795A45">
      <w:pPr>
        <w:jc w:val="both"/>
        <w:rPr>
          <w:color w:val="222222"/>
          <w:shd w:val="clear" w:color="auto" w:fill="FFFFFF"/>
        </w:rPr>
      </w:pPr>
      <w:proofErr w:type="spellStart"/>
      <w:r w:rsidRPr="00EA7A2C">
        <w:rPr>
          <w:color w:val="222222"/>
          <w:shd w:val="clear" w:color="auto" w:fill="FFFFFF"/>
        </w:rPr>
        <w:t>Sifuna</w:t>
      </w:r>
      <w:proofErr w:type="spellEnd"/>
      <w:r w:rsidRPr="00EA7A2C">
        <w:rPr>
          <w:color w:val="222222"/>
          <w:shd w:val="clear" w:color="auto" w:fill="FFFFFF"/>
        </w:rPr>
        <w:t xml:space="preserve">, </w:t>
      </w:r>
      <w:proofErr w:type="spellStart"/>
      <w:r w:rsidRPr="00EA7A2C">
        <w:rPr>
          <w:color w:val="222222"/>
          <w:shd w:val="clear" w:color="auto" w:fill="FFFFFF"/>
        </w:rPr>
        <w:t>Anazett</w:t>
      </w:r>
      <w:proofErr w:type="spellEnd"/>
      <w:r w:rsidRPr="00EA7A2C">
        <w:rPr>
          <w:color w:val="222222"/>
          <w:shd w:val="clear" w:color="auto" w:fill="FFFFFF"/>
        </w:rPr>
        <w:t xml:space="preserve"> Pacy (2012). "Disclose or Abstain: The Prohibition of Insider Trading on Trial". </w:t>
      </w:r>
      <w:r w:rsidRPr="00EA7A2C">
        <w:rPr>
          <w:i/>
          <w:iCs/>
          <w:color w:val="222222"/>
          <w:shd w:val="clear" w:color="auto" w:fill="FFFFFF"/>
        </w:rPr>
        <w:t>Journal of International Banking Law and Regulation</w:t>
      </w:r>
      <w:r w:rsidRPr="00EA7A2C">
        <w:rPr>
          <w:color w:val="222222"/>
          <w:shd w:val="clear" w:color="auto" w:fill="FFFFFF"/>
        </w:rPr>
        <w:t>. Vol.</w:t>
      </w:r>
      <w:r w:rsidRPr="00EA7A2C">
        <w:rPr>
          <w:bCs/>
          <w:color w:val="222222"/>
          <w:shd w:val="clear" w:color="auto" w:fill="FFFFFF"/>
        </w:rPr>
        <w:t>27</w:t>
      </w:r>
      <w:r w:rsidRPr="00EA7A2C">
        <w:rPr>
          <w:color w:val="222222"/>
          <w:shd w:val="clear" w:color="auto" w:fill="FFFFFF"/>
        </w:rPr>
        <w:t> Iss.9</w:t>
      </w:r>
    </w:p>
    <w:p w14:paraId="70B289B4" w14:textId="77777777" w:rsidR="00795A45" w:rsidRPr="00EA7A2C" w:rsidRDefault="00795A45" w:rsidP="00795A45">
      <w:pPr>
        <w:jc w:val="left"/>
      </w:pPr>
    </w:p>
    <w:sectPr w:rsidR="00795A45" w:rsidRPr="00EA7A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33EA"/>
    <w:multiLevelType w:val="multilevel"/>
    <w:tmpl w:val="8C7AA9E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4189603E"/>
    <w:multiLevelType w:val="multilevel"/>
    <w:tmpl w:val="F3FA876A"/>
    <w:lvl w:ilvl="0">
      <w:start w:val="1"/>
      <w:numFmt w:val="upperRoman"/>
      <w:pStyle w:val="Heading1"/>
      <w:lvlText w:val="%1."/>
      <w:lvlJc w:val="center"/>
      <w:pPr>
        <w:tabs>
          <w:tab w:val="num" w:pos="14177"/>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15520"/>
        </w:tabs>
        <w:ind w:left="1544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14141"/>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14321"/>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16841"/>
        </w:tabs>
        <w:ind w:left="16481"/>
      </w:pPr>
      <w:rPr>
        <w:rFonts w:cs="Times New Roman" w:hint="default"/>
      </w:rPr>
    </w:lvl>
    <w:lvl w:ilvl="5">
      <w:start w:val="1"/>
      <w:numFmt w:val="lowerLetter"/>
      <w:lvlText w:val="(%6)"/>
      <w:lvlJc w:val="left"/>
      <w:pPr>
        <w:tabs>
          <w:tab w:val="num" w:pos="17561"/>
        </w:tabs>
        <w:ind w:left="17201"/>
      </w:pPr>
      <w:rPr>
        <w:rFonts w:cs="Times New Roman" w:hint="default"/>
      </w:rPr>
    </w:lvl>
    <w:lvl w:ilvl="6">
      <w:start w:val="1"/>
      <w:numFmt w:val="lowerRoman"/>
      <w:lvlText w:val="(%7)"/>
      <w:lvlJc w:val="left"/>
      <w:pPr>
        <w:tabs>
          <w:tab w:val="num" w:pos="18281"/>
        </w:tabs>
        <w:ind w:left="17921"/>
      </w:pPr>
      <w:rPr>
        <w:rFonts w:cs="Times New Roman" w:hint="default"/>
      </w:rPr>
    </w:lvl>
    <w:lvl w:ilvl="7">
      <w:start w:val="1"/>
      <w:numFmt w:val="lowerLetter"/>
      <w:lvlText w:val="(%8)"/>
      <w:lvlJc w:val="left"/>
      <w:pPr>
        <w:tabs>
          <w:tab w:val="num" w:pos="19001"/>
        </w:tabs>
        <w:ind w:left="18641"/>
      </w:pPr>
      <w:rPr>
        <w:rFonts w:cs="Times New Roman" w:hint="default"/>
      </w:rPr>
    </w:lvl>
    <w:lvl w:ilvl="8">
      <w:start w:val="1"/>
      <w:numFmt w:val="lowerRoman"/>
      <w:lvlText w:val="(%9)"/>
      <w:lvlJc w:val="left"/>
      <w:pPr>
        <w:tabs>
          <w:tab w:val="num" w:pos="19721"/>
        </w:tabs>
        <w:ind w:left="19361"/>
      </w:pPr>
      <w:rPr>
        <w:rFonts w:cs="Times New Roman" w:hint="default"/>
      </w:rPr>
    </w:lvl>
  </w:abstractNum>
  <w:abstractNum w:abstractNumId="2" w15:restartNumberingAfterBreak="0">
    <w:nsid w:val="63591C48"/>
    <w:multiLevelType w:val="hybridMultilevel"/>
    <w:tmpl w:val="190EA7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512"/>
    <w:rsid w:val="00002CDB"/>
    <w:rsid w:val="0003083F"/>
    <w:rsid w:val="0014264D"/>
    <w:rsid w:val="00156797"/>
    <w:rsid w:val="001A3C0A"/>
    <w:rsid w:val="001C0E4D"/>
    <w:rsid w:val="001E6873"/>
    <w:rsid w:val="001F125E"/>
    <w:rsid w:val="0021498B"/>
    <w:rsid w:val="00426D77"/>
    <w:rsid w:val="005362BA"/>
    <w:rsid w:val="006B2A02"/>
    <w:rsid w:val="006D6636"/>
    <w:rsid w:val="006F183B"/>
    <w:rsid w:val="00795A45"/>
    <w:rsid w:val="00A437C2"/>
    <w:rsid w:val="00AF09A1"/>
    <w:rsid w:val="00AF3905"/>
    <w:rsid w:val="00B13512"/>
    <w:rsid w:val="00BC02A9"/>
    <w:rsid w:val="00C04C8F"/>
    <w:rsid w:val="00CE47AA"/>
    <w:rsid w:val="00CF37DF"/>
    <w:rsid w:val="00D375C0"/>
    <w:rsid w:val="00DA69F9"/>
    <w:rsid w:val="00E11A40"/>
    <w:rsid w:val="00E565A3"/>
    <w:rsid w:val="00EA7A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04624"/>
  <w15:chartTrackingRefBased/>
  <w15:docId w15:val="{2BC971F7-CBFE-49C2-A3E2-56E303EF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512"/>
    <w:pPr>
      <w:spacing w:after="0" w:line="240" w:lineRule="auto"/>
      <w:jc w:val="center"/>
    </w:pPr>
    <w:rPr>
      <w:rFonts w:ascii="Times New Roman" w:eastAsia="SimSun" w:hAnsi="Times New Roman" w:cs="Times New Roman"/>
      <w:sz w:val="20"/>
      <w:szCs w:val="20"/>
      <w:lang w:val="en-US"/>
    </w:rPr>
  </w:style>
  <w:style w:type="paragraph" w:styleId="Heading1">
    <w:name w:val="heading 1"/>
    <w:basedOn w:val="Normal"/>
    <w:next w:val="Normal"/>
    <w:link w:val="Heading1Char"/>
    <w:qFormat/>
    <w:rsid w:val="00D375C0"/>
    <w:pPr>
      <w:keepNext/>
      <w:keepLines/>
      <w:numPr>
        <w:numId w:val="1"/>
      </w:numPr>
      <w:tabs>
        <w:tab w:val="left" w:pos="216"/>
      </w:tabs>
      <w:spacing w:before="160" w:after="80"/>
      <w:outlineLvl w:val="0"/>
    </w:pPr>
    <w:rPr>
      <w:smallCaps/>
      <w:noProof/>
    </w:rPr>
  </w:style>
  <w:style w:type="paragraph" w:styleId="Heading2">
    <w:name w:val="heading 2"/>
    <w:basedOn w:val="Normal"/>
    <w:next w:val="Normal"/>
    <w:link w:val="Heading2Char"/>
    <w:qFormat/>
    <w:rsid w:val="00D375C0"/>
    <w:pPr>
      <w:keepNext/>
      <w:keepLines/>
      <w:numPr>
        <w:ilvl w:val="1"/>
        <w:numId w:val="1"/>
      </w:numPr>
      <w:spacing w:before="120" w:after="60"/>
      <w:ind w:left="288"/>
      <w:jc w:val="left"/>
      <w:outlineLvl w:val="1"/>
    </w:pPr>
    <w:rPr>
      <w:i/>
      <w:iCs/>
      <w:noProof/>
    </w:rPr>
  </w:style>
  <w:style w:type="paragraph" w:styleId="Heading3">
    <w:name w:val="heading 3"/>
    <w:basedOn w:val="Normal"/>
    <w:next w:val="Normal"/>
    <w:link w:val="Heading3Char"/>
    <w:qFormat/>
    <w:rsid w:val="00D375C0"/>
    <w:pPr>
      <w:numPr>
        <w:ilvl w:val="2"/>
        <w:numId w:val="1"/>
      </w:numPr>
      <w:spacing w:line="240" w:lineRule="exact"/>
      <w:jc w:val="both"/>
      <w:outlineLvl w:val="2"/>
    </w:pPr>
    <w:rPr>
      <w:i/>
      <w:iCs/>
      <w:noProof/>
    </w:rPr>
  </w:style>
  <w:style w:type="paragraph" w:styleId="Heading4">
    <w:name w:val="heading 4"/>
    <w:basedOn w:val="Normal"/>
    <w:next w:val="Normal"/>
    <w:link w:val="Heading4Char"/>
    <w:qFormat/>
    <w:rsid w:val="00D375C0"/>
    <w:pPr>
      <w:numPr>
        <w:ilvl w:val="3"/>
        <w:numId w:val="1"/>
      </w:numPr>
      <w:spacing w:before="40" w:after="40"/>
      <w:jc w:val="both"/>
      <w:outlineLvl w:val="3"/>
    </w:pPr>
    <w:rPr>
      <w:i/>
      <w:iCs/>
      <w:noProof/>
    </w:rPr>
  </w:style>
  <w:style w:type="paragraph" w:styleId="Heading5">
    <w:name w:val="heading 5"/>
    <w:basedOn w:val="Normal"/>
    <w:next w:val="Normal"/>
    <w:link w:val="Heading5Char"/>
    <w:uiPriority w:val="9"/>
    <w:semiHidden/>
    <w:unhideWhenUsed/>
    <w:qFormat/>
    <w:rsid w:val="0015679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B13512"/>
    <w:pPr>
      <w:spacing w:after="200" w:line="240" w:lineRule="auto"/>
      <w:jc w:val="both"/>
    </w:pPr>
    <w:rPr>
      <w:rFonts w:ascii="Times New Roman" w:eastAsia="SimSun" w:hAnsi="Times New Roman" w:cs="Times New Roman"/>
      <w:b/>
      <w:bCs/>
      <w:sz w:val="18"/>
      <w:szCs w:val="18"/>
      <w:lang w:val="en-US"/>
    </w:rPr>
  </w:style>
  <w:style w:type="paragraph" w:customStyle="1" w:styleId="StyleAbstractItalic">
    <w:name w:val="Style Abstract + Italic"/>
    <w:basedOn w:val="Abstract"/>
    <w:link w:val="StyleAbstractItalicChar"/>
    <w:rsid w:val="00B13512"/>
    <w:rPr>
      <w:rFonts w:eastAsia="MS Mincho"/>
      <w:i/>
      <w:iCs/>
    </w:rPr>
  </w:style>
  <w:style w:type="character" w:customStyle="1" w:styleId="AbstractChar">
    <w:name w:val="Abstract Char"/>
    <w:link w:val="Abstract"/>
    <w:locked/>
    <w:rsid w:val="00B13512"/>
    <w:rPr>
      <w:rFonts w:ascii="Times New Roman" w:eastAsia="SimSun" w:hAnsi="Times New Roman" w:cs="Times New Roman"/>
      <w:b/>
      <w:bCs/>
      <w:sz w:val="18"/>
      <w:szCs w:val="18"/>
      <w:lang w:val="en-US"/>
    </w:rPr>
  </w:style>
  <w:style w:type="character" w:customStyle="1" w:styleId="StyleAbstractItalicChar">
    <w:name w:val="Style Abstract + Italic Char"/>
    <w:link w:val="StyleAbstractItalic"/>
    <w:locked/>
    <w:rsid w:val="00B13512"/>
    <w:rPr>
      <w:rFonts w:ascii="Times New Roman" w:eastAsia="MS Mincho" w:hAnsi="Times New Roman" w:cs="Times New Roman"/>
      <w:b/>
      <w:bCs/>
      <w:i/>
      <w:iCs/>
      <w:sz w:val="18"/>
      <w:szCs w:val="18"/>
      <w:lang w:val="en-US"/>
    </w:rPr>
  </w:style>
  <w:style w:type="character" w:customStyle="1" w:styleId="Heading1Char">
    <w:name w:val="Heading 1 Char"/>
    <w:basedOn w:val="DefaultParagraphFont"/>
    <w:link w:val="Heading1"/>
    <w:rsid w:val="00D375C0"/>
    <w:rPr>
      <w:rFonts w:ascii="Times New Roman" w:eastAsia="SimSun" w:hAnsi="Times New Roman" w:cs="Times New Roman"/>
      <w:smallCaps/>
      <w:noProof/>
      <w:sz w:val="20"/>
      <w:szCs w:val="20"/>
      <w:lang w:val="en-US"/>
    </w:rPr>
  </w:style>
  <w:style w:type="character" w:customStyle="1" w:styleId="Heading2Char">
    <w:name w:val="Heading 2 Char"/>
    <w:basedOn w:val="DefaultParagraphFont"/>
    <w:link w:val="Heading2"/>
    <w:rsid w:val="00D375C0"/>
    <w:rPr>
      <w:rFonts w:ascii="Times New Roman" w:eastAsia="SimSun" w:hAnsi="Times New Roman" w:cs="Times New Roman"/>
      <w:i/>
      <w:iCs/>
      <w:noProof/>
      <w:sz w:val="20"/>
      <w:szCs w:val="20"/>
      <w:lang w:val="en-US"/>
    </w:rPr>
  </w:style>
  <w:style w:type="character" w:customStyle="1" w:styleId="Heading3Char">
    <w:name w:val="Heading 3 Char"/>
    <w:basedOn w:val="DefaultParagraphFont"/>
    <w:link w:val="Heading3"/>
    <w:rsid w:val="00D375C0"/>
    <w:rPr>
      <w:rFonts w:ascii="Times New Roman" w:eastAsia="SimSun" w:hAnsi="Times New Roman" w:cs="Times New Roman"/>
      <w:i/>
      <w:iCs/>
      <w:noProof/>
      <w:sz w:val="20"/>
      <w:szCs w:val="20"/>
      <w:lang w:val="en-US"/>
    </w:rPr>
  </w:style>
  <w:style w:type="character" w:customStyle="1" w:styleId="Heading4Char">
    <w:name w:val="Heading 4 Char"/>
    <w:basedOn w:val="DefaultParagraphFont"/>
    <w:link w:val="Heading4"/>
    <w:rsid w:val="00D375C0"/>
    <w:rPr>
      <w:rFonts w:ascii="Times New Roman" w:eastAsia="SimSun" w:hAnsi="Times New Roman" w:cs="Times New Roman"/>
      <w:i/>
      <w:iCs/>
      <w:noProof/>
      <w:sz w:val="20"/>
      <w:szCs w:val="20"/>
      <w:lang w:val="en-US"/>
    </w:rPr>
  </w:style>
  <w:style w:type="paragraph" w:styleId="BodyText">
    <w:name w:val="Body Text"/>
    <w:basedOn w:val="Normal"/>
    <w:link w:val="BodyTextChar"/>
    <w:rsid w:val="00D375C0"/>
    <w:pPr>
      <w:spacing w:after="120" w:line="228" w:lineRule="auto"/>
      <w:ind w:firstLine="288"/>
      <w:jc w:val="both"/>
    </w:pPr>
    <w:rPr>
      <w:spacing w:val="-1"/>
    </w:rPr>
  </w:style>
  <w:style w:type="character" w:customStyle="1" w:styleId="BodyTextChar">
    <w:name w:val="Body Text Char"/>
    <w:basedOn w:val="DefaultParagraphFont"/>
    <w:link w:val="BodyText"/>
    <w:rsid w:val="00D375C0"/>
    <w:rPr>
      <w:rFonts w:ascii="Times New Roman" w:eastAsia="SimSun" w:hAnsi="Times New Roman" w:cs="Times New Roman"/>
      <w:spacing w:val="-1"/>
      <w:sz w:val="20"/>
      <w:szCs w:val="20"/>
      <w:lang w:val="en-US"/>
    </w:rPr>
  </w:style>
  <w:style w:type="character" w:customStyle="1" w:styleId="Heading5Char">
    <w:name w:val="Heading 5 Char"/>
    <w:basedOn w:val="DefaultParagraphFont"/>
    <w:link w:val="Heading5"/>
    <w:uiPriority w:val="9"/>
    <w:semiHidden/>
    <w:rsid w:val="00156797"/>
    <w:rPr>
      <w:rFonts w:asciiTheme="majorHAnsi" w:eastAsiaTheme="majorEastAsia" w:hAnsiTheme="majorHAnsi" w:cstheme="majorBidi"/>
      <w:color w:val="2E74B5" w:themeColor="accent1" w:themeShade="BF"/>
      <w:sz w:val="20"/>
      <w:szCs w:val="20"/>
      <w:lang w:val="en-US"/>
    </w:rPr>
  </w:style>
  <w:style w:type="paragraph" w:styleId="BalloonText">
    <w:name w:val="Balloon Text"/>
    <w:basedOn w:val="Normal"/>
    <w:link w:val="BalloonTextChar"/>
    <w:uiPriority w:val="99"/>
    <w:semiHidden/>
    <w:unhideWhenUsed/>
    <w:rsid w:val="00E565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5A3"/>
    <w:rPr>
      <w:rFonts w:ascii="Segoe UI" w:eastAsia="SimSun" w:hAnsi="Segoe UI" w:cs="Segoe UI"/>
      <w:sz w:val="18"/>
      <w:szCs w:val="18"/>
      <w:lang w:val="en-US"/>
    </w:rPr>
  </w:style>
  <w:style w:type="paragraph" w:styleId="ListParagraph">
    <w:name w:val="List Paragraph"/>
    <w:basedOn w:val="Normal"/>
    <w:uiPriority w:val="34"/>
    <w:qFormat/>
    <w:rsid w:val="001C0E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dreads.com/work/quotes/2933712" TargetMode="External"/><Relationship Id="rId13" Type="http://schemas.openxmlformats.org/officeDocument/2006/relationships/hyperlink" Target="http://www.goodreads.com/author/show/8164.Lewis_Carroll"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goodreads.com/author/show/8164.Lewis_Carroll" TargetMode="External"/><Relationship Id="rId12" Type="http://schemas.openxmlformats.org/officeDocument/2006/relationships/hyperlink" Target="http://www.goodreads.com/work/quotes/2933712"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oodreads.com/work/quotes/2933712" TargetMode="External"/><Relationship Id="rId11" Type="http://schemas.openxmlformats.org/officeDocument/2006/relationships/hyperlink" Target="http://www.goodreads.com/author/show/8164.Lewis_Carroll" TargetMode="External"/><Relationship Id="rId5" Type="http://schemas.openxmlformats.org/officeDocument/2006/relationships/hyperlink" Target="http://www.goodreads.com/author/show/8164.Lewis_Carroll" TargetMode="External"/><Relationship Id="rId15" Type="http://schemas.openxmlformats.org/officeDocument/2006/relationships/fontTable" Target="fontTable.xml"/><Relationship Id="rId10" Type="http://schemas.openxmlformats.org/officeDocument/2006/relationships/hyperlink" Target="http://www.goodreads.com/work/quotes/2933712"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goodreads.com/author/show/8164.Lewis_Carroll" TargetMode="External"/><Relationship Id="rId14" Type="http://schemas.openxmlformats.org/officeDocument/2006/relationships/hyperlink" Target="http://www.goodreads.com/work/quotes/29337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0468DD2A-734D-4577-B375-B8E99326EA79}"/>
</file>

<file path=customXml/itemProps2.xml><?xml version="1.0" encoding="utf-8"?>
<ds:datastoreItem xmlns:ds="http://schemas.openxmlformats.org/officeDocument/2006/customXml" ds:itemID="{ADCDF71D-8012-4C38-899C-9A847194EAEC}"/>
</file>

<file path=customXml/itemProps3.xml><?xml version="1.0" encoding="utf-8"?>
<ds:datastoreItem xmlns:ds="http://schemas.openxmlformats.org/officeDocument/2006/customXml" ds:itemID="{6801C323-984C-4D13-81DC-23DE12E169CB}"/>
</file>

<file path=docProps/app.xml><?xml version="1.0" encoding="utf-8"?>
<Properties xmlns="http://schemas.openxmlformats.org/officeDocument/2006/extended-properties" xmlns:vt="http://schemas.openxmlformats.org/officeDocument/2006/docPropsVTypes">
  <Template>Normal</Template>
  <TotalTime>2</TotalTime>
  <Pages>8</Pages>
  <Words>4921</Words>
  <Characters>28053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Avondale College of Higher Education</Company>
  <LinksUpToDate>false</LinksUpToDate>
  <CharactersWithSpaces>32909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Barnes</dc:creator>
  <cp:keywords/>
  <dc:description/>
  <cp:lastModifiedBy>Lisa Barnes</cp:lastModifiedBy>
  <cp:revision>2</cp:revision>
  <cp:lastPrinted>2019-01-24T00:37:00Z</cp:lastPrinted>
  <dcterms:created xsi:type="dcterms:W3CDTF">2021-08-30T01:19:00Z</dcterms:created>
  <dcterms:modified xsi:type="dcterms:W3CDTF">2021-08-30T01:19:00Z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