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3E5EF" w14:textId="4D8BB980" w:rsidR="00BF77D5" w:rsidRDefault="00BF77D5" w:rsidP="00BF77D5">
      <w:pPr>
        <w:pStyle w:val="Heading1"/>
      </w:pPr>
      <w:r>
        <w:t>Title</w:t>
      </w:r>
      <w:r>
        <w:t>:</w:t>
      </w:r>
    </w:p>
    <w:p w14:paraId="6DC8F4BE" w14:textId="77777777" w:rsidR="00BF77D5" w:rsidRPr="00FA3F9B" w:rsidRDefault="00BF77D5" w:rsidP="00BF77D5">
      <w:pPr>
        <w:rPr>
          <w:b/>
          <w:bCs/>
        </w:rPr>
      </w:pPr>
      <w:r w:rsidRPr="00FA3F9B">
        <w:rPr>
          <w:b/>
          <w:bCs/>
        </w:rPr>
        <w:t xml:space="preserve">Acknowledging the </w:t>
      </w:r>
      <w:r>
        <w:rPr>
          <w:b/>
          <w:bCs/>
        </w:rPr>
        <w:t>affirmative</w:t>
      </w:r>
      <w:r w:rsidRPr="00FA3F9B">
        <w:rPr>
          <w:b/>
          <w:bCs/>
        </w:rPr>
        <w:t xml:space="preserve">: Evidence of supervision </w:t>
      </w:r>
      <w:r>
        <w:rPr>
          <w:b/>
          <w:bCs/>
        </w:rPr>
        <w:t>learning thresholds</w:t>
      </w:r>
      <w:r w:rsidRPr="00FA3F9B">
        <w:rPr>
          <w:b/>
          <w:bCs/>
        </w:rPr>
        <w:t xml:space="preserve"> in</w:t>
      </w:r>
      <w:r>
        <w:rPr>
          <w:b/>
          <w:bCs/>
        </w:rPr>
        <w:t xml:space="preserve"> thesis</w:t>
      </w:r>
      <w:r w:rsidRPr="00FA3F9B">
        <w:rPr>
          <w:b/>
          <w:bCs/>
        </w:rPr>
        <w:t xml:space="preserve"> acknowledgement</w:t>
      </w:r>
      <w:r>
        <w:rPr>
          <w:b/>
          <w:bCs/>
        </w:rPr>
        <w:t>s</w:t>
      </w:r>
    </w:p>
    <w:p w14:paraId="07F8848F" w14:textId="7EFD3895" w:rsidR="00BF77D5" w:rsidRDefault="00BF77D5" w:rsidP="00BF77D5">
      <w:pPr>
        <w:pStyle w:val="Heading1"/>
      </w:pPr>
      <w:r>
        <w:t>Author, position and affiliation</w:t>
      </w:r>
    </w:p>
    <w:p w14:paraId="5228077E" w14:textId="77777777" w:rsidR="00BF77D5" w:rsidRDefault="00BF77D5" w:rsidP="00BF77D5">
      <w:r>
        <w:t xml:space="preserve">Professor </w:t>
      </w:r>
      <w:r>
        <w:t>Maria Northcote</w:t>
      </w:r>
      <w:r>
        <w:t xml:space="preserve"> (</w:t>
      </w:r>
      <w:hyperlink r:id="rId6" w:history="1">
        <w:r w:rsidRPr="004105B7">
          <w:rPr>
            <w:rStyle w:val="Hyperlink"/>
          </w:rPr>
          <w:t>maria.northcote@avondale.edu.au</w:t>
        </w:r>
      </w:hyperlink>
      <w:r>
        <w:t>)</w:t>
      </w:r>
    </w:p>
    <w:p w14:paraId="7E781A44" w14:textId="5BFE9F09" w:rsidR="00BF77D5" w:rsidRDefault="00BF77D5" w:rsidP="00BF77D5">
      <w:bookmarkStart w:id="0" w:name="_GoBack"/>
      <w:bookmarkEnd w:id="0"/>
      <w:r>
        <w:t>Director Higher Research Degrees</w:t>
      </w:r>
    </w:p>
    <w:p w14:paraId="5162113D" w14:textId="3C17F754" w:rsidR="00BF77D5" w:rsidRDefault="00BF77D5" w:rsidP="00BF77D5">
      <w:r>
        <w:t>Avondale University College, Lake Macquarie, New South Wales, Australia</w:t>
      </w:r>
    </w:p>
    <w:p w14:paraId="414F672E" w14:textId="77777777" w:rsidR="00BF77D5" w:rsidRDefault="00BF77D5" w:rsidP="00BF77D5">
      <w:pPr>
        <w:pStyle w:val="Heading1"/>
      </w:pPr>
      <w:r>
        <w:t>Keywords:</w:t>
      </w:r>
    </w:p>
    <w:p w14:paraId="1E363637" w14:textId="77777777" w:rsidR="00BF77D5" w:rsidRDefault="00BF77D5" w:rsidP="00BF77D5">
      <w:r>
        <w:t>learning thresholds; postgraduate supervision; thesis acknowledgements</w:t>
      </w:r>
    </w:p>
    <w:p w14:paraId="20CAA20A" w14:textId="77777777" w:rsidR="00BF77D5" w:rsidRDefault="00BF77D5" w:rsidP="00BF77D5">
      <w:pPr>
        <w:pStyle w:val="Heading1"/>
      </w:pPr>
      <w:r>
        <w:t>Abstract</w:t>
      </w:r>
    </w:p>
    <w:p w14:paraId="464A259F" w14:textId="77777777" w:rsidR="00BF77D5" w:rsidRDefault="00BF77D5" w:rsidP="00BF77D5">
      <w:r>
        <w:fldChar w:fldCharType="begin"/>
      </w:r>
      <w:r>
        <w:instrText xml:space="preserve"> ADDIN EN.CITE &lt;EndNote&gt;&lt;Cite AuthorYear="1"&gt;&lt;Author&gt;Mantai&lt;/Author&gt;&lt;Year&gt;2015&lt;/Year&gt;&lt;RecNum&gt;1894&lt;/RecNum&gt;&lt;DisplayText&gt;Mantai and Dowling (2015)&lt;/DisplayText&gt;&lt;record&gt;&lt;rec-number&gt;1894&lt;/rec-number&gt;&lt;foreign-keys&gt;&lt;key app="EN" db-id="p0550w2au5f9t8evrf0p9s2vsr9pv52ddpae" timestamp="1571537975"&gt;1894&lt;/key&gt;&lt;/foreign-keys&gt;&lt;ref-type name="Journal Article"&gt;17&lt;/ref-type&gt;&lt;contributors&gt;&lt;authors&gt;&lt;author&gt;Mantai, Lilia&lt;/author&gt;&lt;author&gt;Dowling, Robyn&lt;/author&gt;&lt;/authors&gt;&lt;/contributors&gt;&lt;titles&gt;&lt;title&gt;Supporting the PhD journey: Insights from acknowledgements&lt;/title&gt;&lt;secondary-title&gt;International Journal for Researcher Development&lt;/secondary-title&gt;&lt;/titles&gt;&lt;periodical&gt;&lt;full-title&gt;International Journal for Researcher Development&lt;/full-title&gt;&lt;/periodical&gt;&lt;pages&gt;106-121&lt;/pages&gt;&lt;volume&gt;6&lt;/volume&gt;&lt;number&gt;2&lt;/number&gt;&lt;dates&gt;&lt;year&gt;2015&lt;/year&gt;&lt;/dates&gt;&lt;isbn&gt;2048-8696&lt;/isbn&gt;&lt;urls&gt;&lt;/urls&gt;&lt;/record&gt;&lt;/Cite&gt;&lt;/EndNote&gt;</w:instrText>
      </w:r>
      <w:r>
        <w:fldChar w:fldCharType="separate"/>
      </w:r>
      <w:r>
        <w:rPr>
          <w:noProof/>
        </w:rPr>
        <w:t>Mantai and Dowling (2015)</w:t>
      </w:r>
      <w:r>
        <w:fldChar w:fldCharType="end"/>
      </w:r>
      <w:r>
        <w:t xml:space="preserve"> refer to the Acknowledgements pages of higher degree research (HDR) theses as “</w:t>
      </w:r>
      <w:r w:rsidRPr="00DF0FDC">
        <w:t>an under-utilised yet rich data source</w:t>
      </w:r>
      <w:r>
        <w:t xml:space="preserve">” (p. 106) and Hyland </w:t>
      </w:r>
      <w:r>
        <w:fldChar w:fldCharType="begin"/>
      </w:r>
      <w:r>
        <w:instrText xml:space="preserve"> ADDIN EN.CITE &lt;EndNote&gt;&lt;Cite ExcludeAuth="1"&gt;&lt;Author&gt;Hyland&lt;/Author&gt;&lt;Year&gt;2004&lt;/Year&gt;&lt;RecNum&gt;1895&lt;/RecNum&gt;&lt;DisplayText&gt;(2004)&lt;/DisplayText&gt;&lt;record&gt;&lt;rec-number&gt;1895&lt;/rec-number&gt;&lt;foreign-keys&gt;&lt;key app="EN" db-id="p0550w2au5f9t8evrf0p9s2vsr9pv52ddpae" timestamp="1573909907"&gt;1895&lt;/key&gt;&lt;/foreign-keys&gt;&lt;ref-type name="Journal Article"&gt;17&lt;/ref-type&gt;&lt;contributors&gt;&lt;authors&gt;&lt;author&gt;Hyland, Ken&lt;/author&gt;&lt;/authors&gt;&lt;/contributors&gt;&lt;titles&gt;&lt;title&gt;Graduates’ gratitude: the generic structure of dissertation acknowledgements&lt;/title&gt;&lt;secondary-title&gt;English for Specific Purposes&lt;/secondary-title&gt;&lt;/titles&gt;&lt;periodical&gt;&lt;full-title&gt;English for Specific Purposes&lt;/full-title&gt;&lt;/periodical&gt;&lt;pages&gt;303-324&lt;/pages&gt;&lt;volume&gt;23&lt;/volume&gt;&lt;number&gt;3&lt;/number&gt;&lt;dates&gt;&lt;year&gt;2004&lt;/year&gt;&lt;/dates&gt;&lt;urls&gt;&lt;/urls&gt;&lt;electronic-resource-num&gt;doi.org/10.1016/S0889-4906(03)00051-6&lt;/electronic-resource-num&gt;&lt;/record&gt;&lt;/Cite&gt;&lt;/EndNote&gt;</w:instrText>
      </w:r>
      <w:r>
        <w:fldChar w:fldCharType="separate"/>
      </w:r>
      <w:r>
        <w:rPr>
          <w:noProof/>
        </w:rPr>
        <w:t>(2004)</w:t>
      </w:r>
      <w:r>
        <w:fldChar w:fldCharType="end"/>
      </w:r>
      <w:r>
        <w:t xml:space="preserve"> recognises the way in which thesis Acknowledgements have the potential to “</w:t>
      </w:r>
      <w:r w:rsidRPr="00971AF5">
        <w:t>reveal academic preferences</w:t>
      </w:r>
      <w:r>
        <w:t>” and “</w:t>
      </w:r>
      <w:r w:rsidRPr="00971AF5">
        <w:t>point to the processes of its</w:t>
      </w:r>
      <w:r>
        <w:t xml:space="preserve"> [the thesis’]</w:t>
      </w:r>
      <w:r w:rsidRPr="00971AF5">
        <w:t xml:space="preserve"> creation</w:t>
      </w:r>
      <w:r>
        <w:t xml:space="preserve">” (p. 305). Using a </w:t>
      </w:r>
      <w:r w:rsidRPr="00B8699D">
        <w:t>matrix analysis technique</w:t>
      </w:r>
      <w:r>
        <w:t xml:space="preserve"> </w:t>
      </w:r>
      <w:r>
        <w:fldChar w:fldCharType="begin"/>
      </w:r>
      <w:r>
        <w:instrText xml:space="preserve"> ADDIN EN.CITE &lt;EndNote&gt;&lt;Cite&gt;&lt;Author&gt;Miles&lt;/Author&gt;&lt;Year&gt;2013&lt;/Year&gt;&lt;RecNum&gt;421&lt;/RecNum&gt;&lt;DisplayText&gt;(Miles &amp;amp; Huberman, 2013; Patton, 2015)&lt;/DisplayText&gt;&lt;record&gt;&lt;rec-number&gt;421&lt;/rec-number&gt;&lt;foreign-keys&gt;&lt;key app="EN" db-id="p0550w2au5f9t8evrf0p9s2vsr9pv52ddpae" timestamp="1381461446"&gt;421&lt;/key&gt;&lt;/foreign-keys&gt;&lt;ref-type name="Book"&gt;6&lt;/ref-type&gt;&lt;contributors&gt;&lt;authors&gt;&lt;author&gt;Miles, Matthew B&lt;/author&gt;&lt;author&gt;Huberman, A Michael&lt;/author&gt;&lt;/authors&gt;&lt;/contributors&gt;&lt;titles&gt;&lt;title&gt;Qualitative data analysis&lt;/title&gt;&lt;/titles&gt;&lt;edition&gt;3rd&lt;/edition&gt;&lt;dates&gt;&lt;year&gt;2013&lt;/year&gt;&lt;/dates&gt;&lt;pub-location&gt;Thousand Oaks, CA&lt;/pub-location&gt;&lt;publisher&gt;Sage&lt;/publisher&gt;&lt;urls&gt;&lt;/urls&gt;&lt;/record&gt;&lt;/Cite&gt;&lt;Cite&gt;&lt;Author&gt;Patton&lt;/Author&gt;&lt;Year&gt;2015&lt;/Year&gt;&lt;RecNum&gt;793&lt;/RecNum&gt;&lt;record&gt;&lt;rec-number&gt;793&lt;/rec-number&gt;&lt;foreign-keys&gt;&lt;key app="EN" db-id="p0550w2au5f9t8evrf0p9s2vsr9pv52ddpae" timestamp="1415073776"&gt;793&lt;/key&gt;&lt;/foreign-keys&gt;&lt;ref-type name="Book"&gt;6&lt;/ref-type&gt;&lt;contributors&gt;&lt;authors&gt;&lt;author&gt;Patton, Michael Quinn&lt;/author&gt;&lt;/authors&gt;&lt;/contributors&gt;&lt;titles&gt;&lt;title&gt;Qualitative research and evaluation methods&lt;/title&gt;&lt;/titles&gt;&lt;edition&gt;4th&lt;/edition&gt;&lt;dates&gt;&lt;year&gt;2015&lt;/year&gt;&lt;/dates&gt;&lt;pub-location&gt;Thousand Oaks, California&lt;/pub-location&gt;&lt;publisher&gt;SAGE Publications, Inc&lt;/publisher&gt;&lt;call-num&gt;300.723 PAT&lt;/call-num&gt;&lt;urls&gt;&lt;/urls&gt;&lt;/record&gt;&lt;/Cite&gt;&lt;/EndNote&gt;</w:instrText>
      </w:r>
      <w:r>
        <w:fldChar w:fldCharType="separate"/>
      </w:r>
      <w:r>
        <w:rPr>
          <w:noProof/>
        </w:rPr>
        <w:t>(Miles &amp; Huberman, 2013; Patton, 2015)</w:t>
      </w:r>
      <w:r>
        <w:fldChar w:fldCharType="end"/>
      </w:r>
      <w:r>
        <w:t>, this study mines the Acknowledgements section of a sample of 120 Masters and Doctoral theses to investigate HDR graduates’ views of their postgraduate supervisors to augment our current understanding of the learning thresholds of HDR supervisors.</w:t>
      </w:r>
    </w:p>
    <w:p w14:paraId="2592232C" w14:textId="77777777" w:rsidR="00BF77D5" w:rsidRPr="00854AF4" w:rsidRDefault="00BF77D5" w:rsidP="00BF77D5">
      <w:pPr>
        <w:rPr>
          <w:rFonts w:cs="Arial"/>
          <w:szCs w:val="20"/>
        </w:rPr>
      </w:pPr>
      <w:r w:rsidRPr="00854AF4">
        <w:t xml:space="preserve">Based on the conference sub-theme of “Troublesome not tricky: not all that challenges </w:t>
      </w:r>
      <w:proofErr w:type="gramStart"/>
      <w:r w:rsidRPr="00854AF4">
        <w:t>is</w:t>
      </w:r>
      <w:proofErr w:type="gramEnd"/>
      <w:r w:rsidRPr="00854AF4">
        <w:t xml:space="preserve"> a threshold”, this paper </w:t>
      </w:r>
      <w:r>
        <w:t>considers</w:t>
      </w:r>
      <w:r w:rsidRPr="00854AF4">
        <w:t xml:space="preserve"> the more constructive</w:t>
      </w:r>
      <w:r>
        <w:t xml:space="preserve"> nuances of threshold concept theory in relation to the learning thresholds of postgraduate supervisors</w:t>
      </w:r>
      <w:r w:rsidRPr="00854AF4">
        <w:t xml:space="preserve">. Instead of furthering the discussion that threshold concepts have become synonymous with learner difficulty, the question posed is: What do the affirmative and joyous experiences of postgraduate supervision have to offer threshold concept theory associated with the pedagogy of supervision? </w:t>
      </w:r>
      <w:r>
        <w:rPr>
          <w:rFonts w:cs="Arial"/>
          <w:szCs w:val="20"/>
        </w:rPr>
        <w:t>This</w:t>
      </w:r>
      <w:r w:rsidRPr="00854AF4">
        <w:rPr>
          <w:rFonts w:cs="Arial"/>
          <w:szCs w:val="20"/>
        </w:rPr>
        <w:t xml:space="preserve"> study </w:t>
      </w:r>
      <w:r>
        <w:rPr>
          <w:rFonts w:cs="Arial"/>
          <w:szCs w:val="20"/>
        </w:rPr>
        <w:t>layers</w:t>
      </w:r>
      <w:r w:rsidRPr="00854AF4">
        <w:rPr>
          <w:rFonts w:cs="Arial"/>
          <w:szCs w:val="20"/>
        </w:rPr>
        <w:t xml:space="preserve"> </w:t>
      </w:r>
      <w:r>
        <w:rPr>
          <w:rFonts w:cs="Arial"/>
          <w:szCs w:val="20"/>
        </w:rPr>
        <w:t>the viewpoints of</w:t>
      </w:r>
      <w:r w:rsidRPr="00854AF4">
        <w:rPr>
          <w:rFonts w:cs="Arial"/>
          <w:szCs w:val="20"/>
        </w:rPr>
        <w:t xml:space="preserve"> HDR graduates</w:t>
      </w:r>
      <w:r>
        <w:rPr>
          <w:rFonts w:cs="Arial"/>
          <w:szCs w:val="20"/>
        </w:rPr>
        <w:t>’</w:t>
      </w:r>
      <w:r w:rsidRPr="00854AF4">
        <w:rPr>
          <w:rFonts w:cs="Arial"/>
          <w:szCs w:val="20"/>
        </w:rPr>
        <w:t xml:space="preserve"> positive experiences about supervision alongside </w:t>
      </w:r>
      <w:r>
        <w:rPr>
          <w:rFonts w:cs="Arial"/>
          <w:szCs w:val="20"/>
        </w:rPr>
        <w:t xml:space="preserve">some of </w:t>
      </w:r>
      <w:r w:rsidRPr="00854AF4">
        <w:rPr>
          <w:rFonts w:cs="Arial"/>
          <w:szCs w:val="20"/>
        </w:rPr>
        <w:t>the more negative experiences of supervisors</w:t>
      </w:r>
      <w:r>
        <w:rPr>
          <w:rFonts w:cs="Arial"/>
          <w:szCs w:val="20"/>
        </w:rPr>
        <w:t xml:space="preserve"> that typically incorporate</w:t>
      </w:r>
      <w:r w:rsidRPr="00854AF4">
        <w:rPr>
          <w:rFonts w:cs="Arial"/>
          <w:szCs w:val="20"/>
        </w:rPr>
        <w:t xml:space="preserve"> “darker themes”, “threats”</w:t>
      </w:r>
      <w:r>
        <w:rPr>
          <w:rFonts w:cs="Arial"/>
          <w:szCs w:val="20"/>
        </w:rPr>
        <w:t>,</w:t>
      </w:r>
      <w:r w:rsidRPr="00854AF4">
        <w:rPr>
          <w:rFonts w:cs="Arial"/>
          <w:szCs w:val="20"/>
        </w:rPr>
        <w:t xml:space="preserve"> “ordeals”</w:t>
      </w:r>
      <w:r>
        <w:rPr>
          <w:rFonts w:cs="Arial"/>
          <w:szCs w:val="20"/>
        </w:rPr>
        <w:t xml:space="preserve"> and “disorientation”</w:t>
      </w:r>
      <w:r w:rsidRPr="00854AF4">
        <w:rPr>
          <w:rFonts w:cs="Arial"/>
          <w:szCs w:val="20"/>
        </w:rPr>
        <w:t xml:space="preserve"> </w:t>
      </w:r>
      <w:r w:rsidRPr="00854AF4">
        <w:rPr>
          <w:rFonts w:cs="Arial"/>
          <w:szCs w:val="20"/>
        </w:rPr>
        <w:fldChar w:fldCharType="begin"/>
      </w:r>
      <w:r>
        <w:rPr>
          <w:rFonts w:cs="Arial"/>
          <w:szCs w:val="20"/>
        </w:rPr>
        <w:instrText xml:space="preserve"> ADDIN EN.CITE &lt;EndNote&gt;&lt;Cite&gt;&lt;Author&gt;Carter&lt;/Author&gt;&lt;Year&gt;2016&lt;/Year&gt;&lt;RecNum&gt;1883&lt;/RecNum&gt;&lt;Pages&gt;1139`, 1145&lt;/Pages&gt;&lt;DisplayText&gt;(Carter, 2016, pp. 1139, 1145)&lt;/DisplayText&gt;&lt;record&gt;&lt;rec-number&gt;1883&lt;/rec-number&gt;&lt;foreign-keys&gt;&lt;key app="EN" db-id="p0550w2au5f9t8evrf0p9s2vsr9pv52ddpae" timestamp="1571133649"&gt;1883&lt;/key&gt;&lt;/foreign-keys&gt;&lt;ref-type name="Journal Article"&gt;17&lt;/ref-type&gt;&lt;contributors&gt;&lt;authors&gt;&lt;author&gt;Carter, Susan&lt;/author&gt;&lt;/authors&gt;&lt;/contributors&gt;&lt;titles&gt;&lt;title&gt;Supervision learning as conceptual threshold crossing: When supervision gets ‘medieval’&lt;/title&gt;&lt;secondary-title&gt;Higher Education Research &amp;amp; Development&lt;/secondary-title&gt;&lt;/titles&gt;&lt;periodical&gt;&lt;full-title&gt;Higher Education Research &amp;amp; Development&lt;/full-title&gt;&lt;/periodical&gt;&lt;pages&gt;1139-1152&lt;/pages&gt;&lt;volume&gt;35&lt;/volume&gt;&lt;number&gt;6&lt;/number&gt;&lt;keywords&gt;&lt;keyword&gt;Coping with difficulty, learning to supervise, old stories as learning model, postgraduate advising experience, supervision experience, threshold concepts in supervision&lt;/keyword&gt;&lt;/keywords&gt;&lt;dates&gt;&lt;year&gt;2016&lt;/year&gt;&lt;/dates&gt;&lt;isbn&gt;0729-4360&lt;/isbn&gt;&lt;urls&gt;&lt;/urls&gt;&lt;electronic-resource-num&gt;https://doi.org/10.1080/07294360.2016.1160875&lt;/electronic-resource-num&gt;&lt;/record&gt;&lt;/Cite&gt;&lt;/EndNote&gt;</w:instrText>
      </w:r>
      <w:r w:rsidRPr="00854AF4">
        <w:rPr>
          <w:rFonts w:cs="Arial"/>
          <w:szCs w:val="20"/>
        </w:rPr>
        <w:fldChar w:fldCharType="separate"/>
      </w:r>
      <w:r>
        <w:rPr>
          <w:rFonts w:cs="Arial"/>
          <w:noProof/>
          <w:szCs w:val="20"/>
        </w:rPr>
        <w:t>(Carter, 2016, pp. 1139, 1145)</w:t>
      </w:r>
      <w:r w:rsidRPr="00854AF4">
        <w:rPr>
          <w:rFonts w:cs="Arial"/>
          <w:szCs w:val="20"/>
        </w:rPr>
        <w:fldChar w:fldCharType="end"/>
      </w:r>
      <w:r>
        <w:rPr>
          <w:rFonts w:cs="Arial"/>
          <w:szCs w:val="20"/>
        </w:rPr>
        <w:t xml:space="preserve"> as well as “barriers”, “power conflicts” and “tensions” </w:t>
      </w:r>
      <w:r>
        <w:rPr>
          <w:rFonts w:cs="Arial"/>
          <w:szCs w:val="20"/>
        </w:rPr>
        <w:fldChar w:fldCharType="begin"/>
      </w:r>
      <w:r>
        <w:rPr>
          <w:rFonts w:cs="Arial"/>
          <w:szCs w:val="20"/>
        </w:rPr>
        <w:instrText xml:space="preserve"> ADDIN EN.CITE &lt;EndNote&gt;&lt;Cite&gt;&lt;Author&gt;Ismail&lt;/Author&gt;&lt;Year&gt;2013&lt;/Year&gt;&lt;RecNum&gt;1881&lt;/RecNum&gt;&lt;Pages&gt;165`, 168&lt;/Pages&gt;&lt;DisplayText&gt;(Ismail, Majid, &amp;amp; Ismail, 2013, pp. 165, 168)&lt;/DisplayText&gt;&lt;record&gt;&lt;rec-number&gt;1881&lt;/rec-number&gt;&lt;foreign-keys&gt;&lt;key app="EN" db-id="p0550w2au5f9t8evrf0p9s2vsr9pv52ddpae" timestamp="1571132239"&gt;1881&lt;/key&gt;&lt;/foreign-keys&gt;&lt;ref-type name="Journal Article"&gt;17&lt;/ref-type&gt;&lt;contributors&gt;&lt;authors&gt;&lt;author&gt;Ismail, Hamidah Mohd&lt;/author&gt;&lt;author&gt;Majid, Faizah Abd&lt;/author&gt;&lt;author&gt;Ismail, Izaham Shah&lt;/author&gt;&lt;/authors&gt;&lt;/contributors&gt;&lt;titles&gt;&lt;title&gt;“It&amp;apos;s complicated” relationship: Research students’ perspective on doctoral supervision&lt;/title&gt;&lt;secondary-title&gt;Procedia-Social and Behavioral Sciences&lt;/secondary-title&gt;&lt;/titles&gt;&lt;periodical&gt;&lt;full-title&gt;Procedia-Social and Behavioral Sciences&lt;/full-title&gt;&lt;/periodical&gt;&lt;pages&gt;165-170&lt;/pages&gt;&lt;volume&gt;90&lt;/volume&gt;&lt;keywords&gt;&lt;keyword&gt;Doctoral supervisionresearch studentsthreshold concepts&lt;/keyword&gt;&lt;/keywords&gt;&lt;dates&gt;&lt;year&gt;2013&lt;/year&gt;&lt;/dates&gt;&lt;isbn&gt;1877-0428&lt;/isbn&gt;&lt;urls&gt;&lt;/urls&gt;&lt;electronic-resource-num&gt;https://doi.org/10.1016/j.sbspro.2013.07.078&lt;/electronic-resource-num&gt;&lt;/record&gt;&lt;/Cite&gt;&lt;/EndNote&gt;</w:instrText>
      </w:r>
      <w:r>
        <w:rPr>
          <w:rFonts w:cs="Arial"/>
          <w:szCs w:val="20"/>
        </w:rPr>
        <w:fldChar w:fldCharType="separate"/>
      </w:r>
      <w:r>
        <w:rPr>
          <w:rFonts w:cs="Arial"/>
          <w:noProof/>
          <w:szCs w:val="20"/>
        </w:rPr>
        <w:t>(Ismail, Majid, &amp; Ismail, 2013, pp. 165, 168)</w:t>
      </w:r>
      <w:r>
        <w:rPr>
          <w:rFonts w:cs="Arial"/>
          <w:szCs w:val="20"/>
        </w:rPr>
        <w:fldChar w:fldCharType="end"/>
      </w:r>
      <w:r>
        <w:rPr>
          <w:rFonts w:cs="Arial"/>
          <w:szCs w:val="20"/>
        </w:rPr>
        <w:t>.</w:t>
      </w:r>
    </w:p>
    <w:p w14:paraId="725C23BA" w14:textId="77777777" w:rsidR="00BF77D5" w:rsidRDefault="00BF77D5" w:rsidP="00BF77D5">
      <w:r>
        <w:t>This study’s findings do not discount the challenging aspects of HDR supervision, as represented in earlier research. Instead, an intertwined representation is offered of the challenging “living through” experiences of the HDR supervisor with the rosier “looking back” views from HDR candidates at the completion stage of their studies. A</w:t>
      </w:r>
      <w:r w:rsidRPr="007500D9">
        <w:t xml:space="preserve"> </w:t>
      </w:r>
      <w:r>
        <w:t xml:space="preserve">collection of light </w:t>
      </w:r>
      <w:r>
        <w:rPr>
          <w:i/>
          <w:iCs/>
        </w:rPr>
        <w:t xml:space="preserve">and </w:t>
      </w:r>
      <w:r>
        <w:t>dark learning thresholds, acquired by HDR supervisors while developing a pedagogy of supervision, is offered for consideration.</w:t>
      </w:r>
    </w:p>
    <w:p w14:paraId="740D4120" w14:textId="77777777" w:rsidR="00BF77D5" w:rsidRDefault="00BF77D5" w:rsidP="00BF77D5">
      <w:pPr>
        <w:pStyle w:val="Heading1"/>
      </w:pPr>
      <w:r>
        <w:t>References</w:t>
      </w:r>
    </w:p>
    <w:p w14:paraId="3B8851AD" w14:textId="77777777" w:rsidR="00BF77D5" w:rsidRPr="005814EE" w:rsidRDefault="00BF77D5" w:rsidP="00BF77D5">
      <w:pPr>
        <w:pStyle w:val="EndNoteBibliography"/>
        <w:spacing w:after="0"/>
        <w:ind w:left="720" w:hanging="720"/>
      </w:pPr>
      <w:r>
        <w:fldChar w:fldCharType="begin"/>
      </w:r>
      <w:r>
        <w:instrText xml:space="preserve"> ADDIN EN.REFLIST </w:instrText>
      </w:r>
      <w:r>
        <w:fldChar w:fldCharType="separate"/>
      </w:r>
      <w:r w:rsidRPr="005814EE">
        <w:t xml:space="preserve">Carter, S. (2016). Supervision learning as conceptual threshold crossing: When supervision gets ‘medieval’. </w:t>
      </w:r>
      <w:r w:rsidRPr="005814EE">
        <w:rPr>
          <w:i/>
        </w:rPr>
        <w:t>Higher Education Research &amp; Development, 35</w:t>
      </w:r>
      <w:r w:rsidRPr="005814EE">
        <w:t>(6), 1139-1152. doi:</w:t>
      </w:r>
      <w:hyperlink r:id="rId7" w:history="1">
        <w:r w:rsidRPr="005814EE">
          <w:rPr>
            <w:rStyle w:val="Hyperlink"/>
          </w:rPr>
          <w:t>https://doi.org/10.1080/07294360.2016.1160875</w:t>
        </w:r>
      </w:hyperlink>
    </w:p>
    <w:p w14:paraId="77B226CC" w14:textId="77777777" w:rsidR="00BF77D5" w:rsidRPr="005814EE" w:rsidRDefault="00BF77D5" w:rsidP="00BF77D5">
      <w:pPr>
        <w:pStyle w:val="EndNoteBibliography"/>
        <w:spacing w:after="0"/>
        <w:ind w:left="720" w:hanging="720"/>
      </w:pPr>
      <w:r w:rsidRPr="005814EE">
        <w:lastRenderedPageBreak/>
        <w:t xml:space="preserve">Carter, S., &amp; Sterm, S. (2014). </w:t>
      </w:r>
      <w:r w:rsidRPr="005814EE">
        <w:rPr>
          <w:i/>
        </w:rPr>
        <w:t>The hardest step is over the threshold: Supervision learning as threshold crossing</w:t>
      </w:r>
      <w:r w:rsidRPr="005814EE">
        <w:t xml:space="preserve">. Paper presented at the 11th Biennial Quality in Postgraduate Research Conference, The National Wine Centre, Adelaide. </w:t>
      </w:r>
      <w:hyperlink r:id="rId8" w:history="1">
        <w:r w:rsidRPr="005814EE">
          <w:rPr>
            <w:rStyle w:val="Hyperlink"/>
          </w:rPr>
          <w:t>http://www.qpr.edu.au/Proceedings/QPR_Proceedings_2014.pdf</w:t>
        </w:r>
      </w:hyperlink>
    </w:p>
    <w:p w14:paraId="08874EDB" w14:textId="77777777" w:rsidR="00BF77D5" w:rsidRPr="005814EE" w:rsidRDefault="00BF77D5" w:rsidP="00BF77D5">
      <w:pPr>
        <w:pStyle w:val="EndNoteBibliography"/>
        <w:spacing w:after="0"/>
        <w:ind w:left="720" w:hanging="720"/>
      </w:pPr>
      <w:r w:rsidRPr="005814EE">
        <w:t xml:space="preserve">Hyland, K. (2004). Graduates’ gratitude: the generic structure of dissertation acknowledgements. </w:t>
      </w:r>
      <w:r w:rsidRPr="005814EE">
        <w:rPr>
          <w:i/>
        </w:rPr>
        <w:t>English for Specific Purposes, 23</w:t>
      </w:r>
      <w:r w:rsidRPr="005814EE">
        <w:t>(3), 303-324. doi:doi.org/10.1016/S0889-4906(03)00051-6</w:t>
      </w:r>
    </w:p>
    <w:p w14:paraId="49E8ED04" w14:textId="77777777" w:rsidR="00BF77D5" w:rsidRPr="005814EE" w:rsidRDefault="00BF77D5" w:rsidP="00BF77D5">
      <w:pPr>
        <w:pStyle w:val="EndNoteBibliography"/>
        <w:spacing w:after="0"/>
        <w:ind w:left="720" w:hanging="720"/>
      </w:pPr>
      <w:r w:rsidRPr="005814EE">
        <w:t xml:space="preserve">Ismail, H. M., Majid, F. A., &amp; Ismail, I. S. (2013). “It's complicated” relationship: Research students’ perspective on doctoral supervision. </w:t>
      </w:r>
      <w:r w:rsidRPr="005814EE">
        <w:rPr>
          <w:i/>
        </w:rPr>
        <w:t>Procedia-Social and Behavioral Sciences, 90</w:t>
      </w:r>
      <w:r w:rsidRPr="005814EE">
        <w:t>, 165-170. doi:</w:t>
      </w:r>
      <w:hyperlink r:id="rId9" w:history="1">
        <w:r w:rsidRPr="005814EE">
          <w:rPr>
            <w:rStyle w:val="Hyperlink"/>
          </w:rPr>
          <w:t>https://doi.org/10.1016/j.sbspro.2013.07.078</w:t>
        </w:r>
      </w:hyperlink>
    </w:p>
    <w:p w14:paraId="07D99AE8" w14:textId="77777777" w:rsidR="00BF77D5" w:rsidRPr="005814EE" w:rsidRDefault="00BF77D5" w:rsidP="00BF77D5">
      <w:pPr>
        <w:pStyle w:val="EndNoteBibliography"/>
        <w:spacing w:after="0"/>
        <w:ind w:left="720" w:hanging="720"/>
      </w:pPr>
      <w:r w:rsidRPr="005814EE">
        <w:t xml:space="preserve">Mantai, L., &amp; Dowling, R. (2015). Supporting the PhD journey: Insights from acknowledgements. </w:t>
      </w:r>
      <w:r w:rsidRPr="005814EE">
        <w:rPr>
          <w:i/>
        </w:rPr>
        <w:t>International Journal for Researcher Development, 6</w:t>
      </w:r>
      <w:r w:rsidRPr="005814EE">
        <w:t xml:space="preserve">(2), 106-121. </w:t>
      </w:r>
    </w:p>
    <w:p w14:paraId="421871B3" w14:textId="77777777" w:rsidR="00BF77D5" w:rsidRPr="005814EE" w:rsidRDefault="00BF77D5" w:rsidP="00BF77D5">
      <w:pPr>
        <w:pStyle w:val="EndNoteBibliography"/>
        <w:spacing w:after="0"/>
        <w:ind w:left="720" w:hanging="720"/>
      </w:pPr>
      <w:r w:rsidRPr="005814EE">
        <w:t xml:space="preserve">Miles, M. B., &amp; Huberman, A. M. (2013). </w:t>
      </w:r>
      <w:r w:rsidRPr="005814EE">
        <w:rPr>
          <w:i/>
        </w:rPr>
        <w:t>Qualitative data analysis</w:t>
      </w:r>
      <w:r w:rsidRPr="005814EE">
        <w:t xml:space="preserve"> (3rd ed.). Thousand Oaks, CA: Sage.</w:t>
      </w:r>
    </w:p>
    <w:p w14:paraId="3ECEBB71" w14:textId="77777777" w:rsidR="00BF77D5" w:rsidRPr="005814EE" w:rsidRDefault="00BF77D5" w:rsidP="00BF77D5">
      <w:pPr>
        <w:pStyle w:val="EndNoteBibliography"/>
        <w:ind w:left="720" w:hanging="720"/>
      </w:pPr>
      <w:r w:rsidRPr="005814EE">
        <w:t xml:space="preserve">Patton, M. Q. (2015). </w:t>
      </w:r>
      <w:r w:rsidRPr="005814EE">
        <w:rPr>
          <w:i/>
        </w:rPr>
        <w:t>Qualitative research and evaluation methods</w:t>
      </w:r>
      <w:r w:rsidRPr="005814EE">
        <w:t xml:space="preserve"> (4th ed.). Thousand Oaks, California: SAGE Publications, Inc.</w:t>
      </w:r>
    </w:p>
    <w:p w14:paraId="7756A894" w14:textId="1BF9A89B" w:rsidR="00AB3D4F" w:rsidRDefault="00BF77D5" w:rsidP="00BF77D5">
      <w:r>
        <w:fldChar w:fldCharType="end"/>
      </w:r>
    </w:p>
    <w:sectPr w:rsidR="00AB3D4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DD4E5" w14:textId="77777777" w:rsidR="00CB610A" w:rsidRDefault="00CB610A" w:rsidP="00BF77D5">
      <w:pPr>
        <w:spacing w:after="0" w:line="240" w:lineRule="auto"/>
      </w:pPr>
      <w:r>
        <w:separator/>
      </w:r>
    </w:p>
  </w:endnote>
  <w:endnote w:type="continuationSeparator" w:id="0">
    <w:p w14:paraId="227DF87C" w14:textId="77777777" w:rsidR="00CB610A" w:rsidRDefault="00CB610A" w:rsidP="00BF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5166856"/>
      <w:docPartObj>
        <w:docPartGallery w:val="Page Numbers (Bottom of Page)"/>
        <w:docPartUnique/>
      </w:docPartObj>
    </w:sdtPr>
    <w:sdtEndPr>
      <w:rPr>
        <w:noProof/>
      </w:rPr>
    </w:sdtEndPr>
    <w:sdtContent>
      <w:p w14:paraId="7A6960EE" w14:textId="4754EF07" w:rsidR="00BF77D5" w:rsidRDefault="00BF77D5" w:rsidP="00BF77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EB7DC" w14:textId="77777777" w:rsidR="00CB610A" w:rsidRDefault="00CB610A" w:rsidP="00BF77D5">
      <w:pPr>
        <w:spacing w:after="0" w:line="240" w:lineRule="auto"/>
      </w:pPr>
      <w:r>
        <w:separator/>
      </w:r>
    </w:p>
  </w:footnote>
  <w:footnote w:type="continuationSeparator" w:id="0">
    <w:p w14:paraId="69276EB7" w14:textId="77777777" w:rsidR="00CB610A" w:rsidRDefault="00CB610A" w:rsidP="00BF7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7D5"/>
    <w:rsid w:val="001F6F21"/>
    <w:rsid w:val="00414C8B"/>
    <w:rsid w:val="00BF77D5"/>
    <w:rsid w:val="00CB61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42F64"/>
  <w15:chartTrackingRefBased/>
  <w15:docId w15:val="{BF76D2F4-19AD-4858-B221-279EA7CDA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7D5"/>
  </w:style>
  <w:style w:type="paragraph" w:styleId="Heading1">
    <w:name w:val="heading 1"/>
    <w:basedOn w:val="Normal"/>
    <w:next w:val="Normal"/>
    <w:link w:val="Heading1Char"/>
    <w:uiPriority w:val="9"/>
    <w:qFormat/>
    <w:rsid w:val="00BF77D5"/>
    <w:pPr>
      <w:keepNext/>
      <w:keepLines/>
      <w:spacing w:before="240" w:after="240"/>
      <w:outlineLvl w:val="0"/>
    </w:pPr>
    <w:rPr>
      <w:rFonts w:ascii="Arial Rounded MT Bold" w:eastAsiaTheme="majorEastAsia" w:hAnsi="Arial Rounded MT Bold" w:cstheme="majorBidi"/>
      <w:sz w:val="28"/>
      <w:szCs w:val="32"/>
    </w:rPr>
  </w:style>
  <w:style w:type="paragraph" w:styleId="Heading2">
    <w:name w:val="heading 2"/>
    <w:basedOn w:val="Normal"/>
    <w:next w:val="Normal"/>
    <w:link w:val="Heading2Char"/>
    <w:uiPriority w:val="9"/>
    <w:unhideWhenUsed/>
    <w:qFormat/>
    <w:rsid w:val="00BF77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7D5"/>
    <w:rPr>
      <w:rFonts w:ascii="Arial Rounded MT Bold" w:eastAsiaTheme="majorEastAsia" w:hAnsi="Arial Rounded MT Bold" w:cstheme="majorBidi"/>
      <w:sz w:val="28"/>
      <w:szCs w:val="32"/>
    </w:rPr>
  </w:style>
  <w:style w:type="character" w:customStyle="1" w:styleId="Heading2Char">
    <w:name w:val="Heading 2 Char"/>
    <w:basedOn w:val="DefaultParagraphFont"/>
    <w:link w:val="Heading2"/>
    <w:uiPriority w:val="9"/>
    <w:rsid w:val="00BF77D5"/>
    <w:rPr>
      <w:rFonts w:asciiTheme="majorHAnsi" w:eastAsiaTheme="majorEastAsia" w:hAnsiTheme="majorHAnsi" w:cstheme="majorBidi"/>
      <w:color w:val="2F5496" w:themeColor="accent1" w:themeShade="BF"/>
      <w:sz w:val="26"/>
      <w:szCs w:val="26"/>
    </w:rPr>
  </w:style>
  <w:style w:type="paragraph" w:customStyle="1" w:styleId="EndNoteBibliography">
    <w:name w:val="EndNote Bibliography"/>
    <w:basedOn w:val="Normal"/>
    <w:link w:val="EndNoteBibliographyChar"/>
    <w:rsid w:val="00BF77D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F77D5"/>
    <w:rPr>
      <w:rFonts w:ascii="Calibri" w:hAnsi="Calibri" w:cs="Calibri"/>
      <w:noProof/>
      <w:lang w:val="en-US"/>
    </w:rPr>
  </w:style>
  <w:style w:type="character" w:styleId="Hyperlink">
    <w:name w:val="Hyperlink"/>
    <w:basedOn w:val="DefaultParagraphFont"/>
    <w:uiPriority w:val="99"/>
    <w:unhideWhenUsed/>
    <w:rsid w:val="00BF77D5"/>
    <w:rPr>
      <w:color w:val="0563C1" w:themeColor="hyperlink"/>
      <w:u w:val="single"/>
    </w:rPr>
  </w:style>
  <w:style w:type="character" w:styleId="UnresolvedMention">
    <w:name w:val="Unresolved Mention"/>
    <w:basedOn w:val="DefaultParagraphFont"/>
    <w:uiPriority w:val="99"/>
    <w:semiHidden/>
    <w:unhideWhenUsed/>
    <w:rsid w:val="00BF77D5"/>
    <w:rPr>
      <w:color w:val="605E5C"/>
      <w:shd w:val="clear" w:color="auto" w:fill="E1DFDD"/>
    </w:rPr>
  </w:style>
  <w:style w:type="paragraph" w:styleId="Header">
    <w:name w:val="header"/>
    <w:basedOn w:val="Normal"/>
    <w:link w:val="HeaderChar"/>
    <w:uiPriority w:val="99"/>
    <w:unhideWhenUsed/>
    <w:rsid w:val="00BF77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7D5"/>
  </w:style>
  <w:style w:type="paragraph" w:styleId="Footer">
    <w:name w:val="footer"/>
    <w:basedOn w:val="Normal"/>
    <w:link w:val="FooterChar"/>
    <w:uiPriority w:val="99"/>
    <w:unhideWhenUsed/>
    <w:rsid w:val="00BF77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pr.edu.au/Proceedings/QPR_Proceedings_2014.pdf"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doi.org/10.1080/07294360.2016.116087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a.northcote@avondale.edu.au" TargetMode="External"/><Relationship Id="rId11"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doi.org/10.1016/j.sbspro.2013.07.078"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82FDB764-C497-48B6-8E3D-13AAD3CC73C4}"/>
</file>

<file path=customXml/itemProps2.xml><?xml version="1.0" encoding="utf-8"?>
<ds:datastoreItem xmlns:ds="http://schemas.openxmlformats.org/officeDocument/2006/customXml" ds:itemID="{DE8B7857-47AA-4377-8464-9565FF7B3F9D}"/>
</file>

<file path=customXml/itemProps3.xml><?xml version="1.0" encoding="utf-8"?>
<ds:datastoreItem xmlns:ds="http://schemas.openxmlformats.org/officeDocument/2006/customXml" ds:itemID="{2E68CFFE-6FA2-4087-B71D-82B15A2B814D}"/>
</file>

<file path=docProps/app.xml><?xml version="1.0" encoding="utf-8"?>
<Properties xmlns="http://schemas.openxmlformats.org/officeDocument/2006/extended-properties" xmlns:vt="http://schemas.openxmlformats.org/officeDocument/2006/docPropsVTypes">
  <Template>Normal.dotm</Template>
  <TotalTime>4</TotalTime>
  <Pages>2</Pages>
  <Words>1428</Words>
  <Characters>8142</Characters>
  <Application>Microsoft Office Word</Application>
  <DocSecurity>0</DocSecurity>
  <Lines>67</Lines>
  <Paragraphs>19</Paragraphs>
  <ScaleCrop>false</ScaleCrop>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Northcote</dc:creator>
  <cp:keywords/>
  <dc:description/>
  <cp:lastModifiedBy>Maria Northcote</cp:lastModifiedBy>
  <cp:revision>1</cp:revision>
  <dcterms:created xsi:type="dcterms:W3CDTF">2019-12-06T03:29:00Z</dcterms:created>
  <dcterms:modified xsi:type="dcterms:W3CDTF">2019-12-06T03:33:00Z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