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44907" w14:textId="4959101F" w:rsidR="00D25D36" w:rsidRPr="009E7B69" w:rsidRDefault="00D25D36" w:rsidP="00456770">
      <w:pPr>
        <w:rPr>
          <w:lang w:val="en-AU"/>
        </w:rPr>
      </w:pPr>
    </w:p>
    <w:p w14:paraId="05F2871C" w14:textId="77777777" w:rsidR="00D25D36" w:rsidRPr="009E7B69" w:rsidRDefault="00D25D36" w:rsidP="008D4202">
      <w:pPr>
        <w:jc w:val="center"/>
        <w:rPr>
          <w:color w:val="000000" w:themeColor="text1"/>
        </w:rPr>
      </w:pPr>
    </w:p>
    <w:p w14:paraId="4435F07F" w14:textId="77777777" w:rsidR="00D25D36" w:rsidRPr="009E7B69" w:rsidRDefault="00D25D36" w:rsidP="008D4202">
      <w:pPr>
        <w:jc w:val="center"/>
      </w:pPr>
    </w:p>
    <w:p w14:paraId="70B164AE" w14:textId="77777777" w:rsidR="008D4202" w:rsidRPr="009E7B69" w:rsidRDefault="008D4202" w:rsidP="008D4202">
      <w:pPr>
        <w:jc w:val="center"/>
      </w:pPr>
    </w:p>
    <w:p w14:paraId="6458223C" w14:textId="1902C209" w:rsidR="00D25D36" w:rsidRPr="00590CBD" w:rsidRDefault="00BE6BA3" w:rsidP="00596147">
      <w:pPr>
        <w:jc w:val="center"/>
        <w:rPr>
          <w:lang w:val="en-AU"/>
        </w:rPr>
      </w:pPr>
      <w:r w:rsidRPr="00590CBD">
        <w:rPr>
          <w:lang w:val="en-AU"/>
        </w:rPr>
        <w:t xml:space="preserve">THE </w:t>
      </w:r>
      <w:r w:rsidR="00481461" w:rsidRPr="00590CBD">
        <w:rPr>
          <w:lang w:val="en-AU"/>
        </w:rPr>
        <w:t xml:space="preserve">INFLUENCE OF </w:t>
      </w:r>
      <w:r w:rsidR="00481461" w:rsidRPr="00590CBD">
        <w:rPr>
          <w:i/>
          <w:iCs/>
          <w:lang w:val="en-AU"/>
        </w:rPr>
        <w:t>MISHNA AVOT</w:t>
      </w:r>
      <w:r w:rsidR="00481461" w:rsidRPr="00590CBD">
        <w:rPr>
          <w:lang w:val="en-AU"/>
        </w:rPr>
        <w:t xml:space="preserve"> AND OTHER JEWISH THOUGHT ON JESUS</w:t>
      </w:r>
      <w:r w:rsidR="005C71CB" w:rsidRPr="00590CBD">
        <w:rPr>
          <w:lang w:val="en-AU"/>
        </w:rPr>
        <w:t>’</w:t>
      </w:r>
      <w:r w:rsidR="00481461" w:rsidRPr="00590CBD">
        <w:rPr>
          <w:lang w:val="en-AU"/>
        </w:rPr>
        <w:t>S TEACHINGS</w:t>
      </w:r>
      <w:r w:rsidR="00BA2DD7" w:rsidRPr="00590CBD">
        <w:rPr>
          <w:lang w:val="en-AU"/>
        </w:rPr>
        <w:t>, WITH SPECIAL REFERENCE TO NONVIOLENT RESISTANCE</w:t>
      </w:r>
      <w:r w:rsidR="007B0C58" w:rsidRPr="00590CBD">
        <w:rPr>
          <w:lang w:val="en-AU"/>
        </w:rPr>
        <w:t xml:space="preserve"> IN MATTHEW 5:</w:t>
      </w:r>
      <w:r w:rsidR="00EF042F" w:rsidRPr="00590CBD">
        <w:rPr>
          <w:lang w:val="en-AU"/>
        </w:rPr>
        <w:t>38–42</w:t>
      </w:r>
    </w:p>
    <w:p w14:paraId="2426396E" w14:textId="5609645C" w:rsidR="00D25D36" w:rsidRPr="00590CBD" w:rsidRDefault="00D25D36" w:rsidP="00596147">
      <w:pPr>
        <w:spacing w:line="480" w:lineRule="auto"/>
        <w:contextualSpacing/>
        <w:jc w:val="center"/>
        <w:rPr>
          <w:highlight w:val="yellow"/>
          <w:lang w:val="en-AU"/>
        </w:rPr>
      </w:pPr>
    </w:p>
    <w:p w14:paraId="415C0174" w14:textId="01B0856D" w:rsidR="00617C4C" w:rsidRPr="00590CBD" w:rsidRDefault="00617C4C" w:rsidP="00596147">
      <w:pPr>
        <w:spacing w:line="480" w:lineRule="auto"/>
        <w:contextualSpacing/>
        <w:jc w:val="center"/>
        <w:rPr>
          <w:highlight w:val="yellow"/>
          <w:lang w:val="en-AU"/>
        </w:rPr>
      </w:pPr>
    </w:p>
    <w:p w14:paraId="6BFB689B" w14:textId="26E9037D" w:rsidR="00617C4C" w:rsidRPr="00590CBD" w:rsidRDefault="00617C4C" w:rsidP="00596147">
      <w:pPr>
        <w:spacing w:line="480" w:lineRule="auto"/>
        <w:contextualSpacing/>
        <w:jc w:val="center"/>
        <w:rPr>
          <w:highlight w:val="yellow"/>
          <w:lang w:val="en-AU"/>
        </w:rPr>
      </w:pPr>
    </w:p>
    <w:p w14:paraId="5437A2A8" w14:textId="77777777" w:rsidR="00617C4C" w:rsidRPr="00590CBD" w:rsidRDefault="00617C4C" w:rsidP="00596147">
      <w:pPr>
        <w:spacing w:line="480" w:lineRule="auto"/>
        <w:contextualSpacing/>
        <w:jc w:val="center"/>
        <w:rPr>
          <w:highlight w:val="yellow"/>
          <w:lang w:val="en-AU"/>
        </w:rPr>
      </w:pPr>
    </w:p>
    <w:p w14:paraId="6975FE6F" w14:textId="69CF6589" w:rsidR="00D25D36" w:rsidRPr="00590CBD" w:rsidRDefault="00051294" w:rsidP="00596147">
      <w:pPr>
        <w:spacing w:line="480" w:lineRule="auto"/>
        <w:contextualSpacing/>
        <w:jc w:val="center"/>
        <w:rPr>
          <w:lang w:val="en-AU"/>
        </w:rPr>
      </w:pPr>
      <w:r w:rsidRPr="00590CBD">
        <w:rPr>
          <w:lang w:val="en-AU"/>
        </w:rPr>
        <w:t xml:space="preserve">Rodgir </w:t>
      </w:r>
      <w:r w:rsidR="00F4032B">
        <w:rPr>
          <w:lang w:val="en-AU"/>
        </w:rPr>
        <w:t>Levy-Lang</w:t>
      </w:r>
      <w:r w:rsidRPr="00590CBD">
        <w:rPr>
          <w:lang w:val="en-AU"/>
        </w:rPr>
        <w:t xml:space="preserve"> Cohen</w:t>
      </w:r>
    </w:p>
    <w:p w14:paraId="71371B42" w14:textId="302B50BC" w:rsidR="00657D21" w:rsidRPr="00590CBD" w:rsidRDefault="00CF6105" w:rsidP="00596147">
      <w:pPr>
        <w:spacing w:line="480" w:lineRule="auto"/>
        <w:contextualSpacing/>
        <w:jc w:val="center"/>
        <w:rPr>
          <w:lang w:val="en-AU"/>
        </w:rPr>
      </w:pPr>
      <w:r w:rsidRPr="00590CBD">
        <w:rPr>
          <w:lang w:val="en-AU"/>
        </w:rPr>
        <w:t>BA (University of Texas</w:t>
      </w:r>
      <w:r w:rsidR="00677957">
        <w:rPr>
          <w:lang w:val="en-AU"/>
        </w:rPr>
        <w:t xml:space="preserve"> at</w:t>
      </w:r>
      <w:r w:rsidRPr="00590CBD">
        <w:rPr>
          <w:lang w:val="en-AU"/>
        </w:rPr>
        <w:t xml:space="preserve"> Dallas), MA (Southern Adventist University), </w:t>
      </w:r>
    </w:p>
    <w:p w14:paraId="6EAEE17B" w14:textId="2FF55127" w:rsidR="00D25D36" w:rsidRPr="00590CBD" w:rsidRDefault="00CF6105" w:rsidP="00596147">
      <w:pPr>
        <w:spacing w:line="480" w:lineRule="auto"/>
        <w:contextualSpacing/>
        <w:jc w:val="center"/>
        <w:rPr>
          <w:lang w:val="en-AU"/>
        </w:rPr>
      </w:pPr>
      <w:r w:rsidRPr="00590CBD">
        <w:rPr>
          <w:lang w:val="en-AU"/>
        </w:rPr>
        <w:t>MA (The University of Waikato), MA (Gratz College)</w:t>
      </w:r>
    </w:p>
    <w:p w14:paraId="460D20DF" w14:textId="77777777" w:rsidR="00D25D36" w:rsidRPr="00590CBD" w:rsidRDefault="00D25D36" w:rsidP="00596147">
      <w:pPr>
        <w:spacing w:line="480" w:lineRule="auto"/>
        <w:contextualSpacing/>
        <w:jc w:val="center"/>
        <w:rPr>
          <w:lang w:val="en-AU"/>
        </w:rPr>
      </w:pPr>
    </w:p>
    <w:p w14:paraId="00B2E827" w14:textId="77777777" w:rsidR="00D25D36" w:rsidRPr="00590CBD" w:rsidRDefault="00D25D36" w:rsidP="00596147">
      <w:pPr>
        <w:jc w:val="center"/>
        <w:rPr>
          <w:lang w:val="en-AU"/>
        </w:rPr>
      </w:pPr>
    </w:p>
    <w:p w14:paraId="6A80CB2D" w14:textId="77777777" w:rsidR="00D25D36" w:rsidRPr="00590CBD" w:rsidRDefault="00D25D36" w:rsidP="00596147">
      <w:pPr>
        <w:jc w:val="center"/>
        <w:rPr>
          <w:lang w:val="en-AU"/>
        </w:rPr>
      </w:pPr>
    </w:p>
    <w:p w14:paraId="388AA6F5" w14:textId="19DA92BD" w:rsidR="008D4202" w:rsidRPr="00590CBD" w:rsidRDefault="00BE6BA3" w:rsidP="00596147">
      <w:pPr>
        <w:pStyle w:val="Titlepagetext"/>
        <w:rPr>
          <w:rFonts w:cs="Times New Roman"/>
          <w:szCs w:val="24"/>
        </w:rPr>
      </w:pPr>
      <w:r w:rsidRPr="00590CBD">
        <w:rPr>
          <w:rFonts w:cs="Times New Roman"/>
          <w:szCs w:val="24"/>
        </w:rPr>
        <w:t>Thesis submitted in fulfilment of the requirements for the degree</w:t>
      </w:r>
    </w:p>
    <w:p w14:paraId="69FF613A" w14:textId="1B18EC6A" w:rsidR="00D25D36" w:rsidRPr="00590CBD" w:rsidRDefault="00BE6BA3" w:rsidP="00596147">
      <w:pPr>
        <w:pStyle w:val="Titlepagetext"/>
        <w:rPr>
          <w:rFonts w:cs="Times New Roman"/>
          <w:szCs w:val="24"/>
        </w:rPr>
      </w:pPr>
      <w:r w:rsidRPr="00590CBD">
        <w:rPr>
          <w:rFonts w:cs="Times New Roman"/>
          <w:szCs w:val="24"/>
        </w:rPr>
        <w:t>Doctor of Philosophy</w:t>
      </w:r>
    </w:p>
    <w:p w14:paraId="19F01D09" w14:textId="57E874C9" w:rsidR="008D4202" w:rsidRPr="00590CBD" w:rsidRDefault="00AB1E83" w:rsidP="00596147">
      <w:pPr>
        <w:pStyle w:val="Titlepagetext"/>
        <w:rPr>
          <w:rFonts w:cs="Times New Roman"/>
          <w:szCs w:val="24"/>
        </w:rPr>
      </w:pPr>
      <w:r w:rsidRPr="00590CBD">
        <w:rPr>
          <w:rFonts w:cs="Times New Roman"/>
          <w:szCs w:val="24"/>
        </w:rPr>
        <w:t>Avondale Seminary</w:t>
      </w:r>
    </w:p>
    <w:p w14:paraId="0541D83F" w14:textId="2D806907" w:rsidR="00D25D36" w:rsidRPr="00590CBD" w:rsidRDefault="00BE6BA3" w:rsidP="00596147">
      <w:pPr>
        <w:pStyle w:val="Titlepagetext"/>
        <w:rPr>
          <w:rFonts w:cs="Times New Roman"/>
          <w:szCs w:val="24"/>
        </w:rPr>
      </w:pPr>
      <w:r w:rsidRPr="00590CBD">
        <w:rPr>
          <w:rFonts w:cs="Times New Roman"/>
          <w:szCs w:val="24"/>
        </w:rPr>
        <w:t xml:space="preserve">Avondale </w:t>
      </w:r>
      <w:r w:rsidR="006F224E" w:rsidRPr="00590CBD">
        <w:rPr>
          <w:rFonts w:cs="Times New Roman"/>
          <w:szCs w:val="24"/>
        </w:rPr>
        <w:t>University</w:t>
      </w:r>
    </w:p>
    <w:p w14:paraId="4F481280" w14:textId="7567F579" w:rsidR="008D4202" w:rsidRPr="00590CBD" w:rsidRDefault="008D4202" w:rsidP="00596147">
      <w:pPr>
        <w:pStyle w:val="Titlepagetext"/>
        <w:rPr>
          <w:rFonts w:cs="Times New Roman"/>
          <w:szCs w:val="24"/>
        </w:rPr>
      </w:pPr>
    </w:p>
    <w:p w14:paraId="3041191F" w14:textId="4C6D7EF8" w:rsidR="00617C4C" w:rsidRPr="00590CBD" w:rsidRDefault="00617C4C" w:rsidP="00617C4C">
      <w:pPr>
        <w:pStyle w:val="BodyText"/>
        <w:rPr>
          <w:lang w:val="en-AU"/>
        </w:rPr>
      </w:pPr>
    </w:p>
    <w:p w14:paraId="1FACDF97" w14:textId="460A621F" w:rsidR="00617C4C" w:rsidRPr="00590CBD" w:rsidRDefault="00617C4C" w:rsidP="00617C4C">
      <w:pPr>
        <w:pStyle w:val="BodyText"/>
        <w:rPr>
          <w:lang w:val="en-AU"/>
        </w:rPr>
      </w:pPr>
    </w:p>
    <w:p w14:paraId="176316EE" w14:textId="4F736FDE" w:rsidR="00617C4C" w:rsidRPr="00590CBD" w:rsidRDefault="00617C4C" w:rsidP="00617C4C">
      <w:pPr>
        <w:pStyle w:val="BodyText"/>
        <w:rPr>
          <w:lang w:val="en-AU"/>
        </w:rPr>
      </w:pPr>
    </w:p>
    <w:p w14:paraId="1A977576" w14:textId="3F81F33A" w:rsidR="00617C4C" w:rsidRPr="00590CBD" w:rsidRDefault="00617C4C" w:rsidP="00617C4C">
      <w:pPr>
        <w:pStyle w:val="BodyText"/>
        <w:rPr>
          <w:lang w:val="en-AU"/>
        </w:rPr>
      </w:pPr>
    </w:p>
    <w:p w14:paraId="775CDD38" w14:textId="77777777" w:rsidR="00617C4C" w:rsidRPr="00590CBD" w:rsidRDefault="00617C4C" w:rsidP="00617C4C">
      <w:pPr>
        <w:pStyle w:val="BodyText"/>
        <w:rPr>
          <w:lang w:val="en-AU"/>
        </w:rPr>
      </w:pPr>
    </w:p>
    <w:p w14:paraId="608B5324" w14:textId="71087731" w:rsidR="01B55689" w:rsidRPr="00590CBD" w:rsidRDefault="00F4032B" w:rsidP="00596147">
      <w:pPr>
        <w:pStyle w:val="Titlepagetext"/>
        <w:rPr>
          <w:rFonts w:cs="Times New Roman"/>
        </w:rPr>
      </w:pPr>
      <w:r>
        <w:rPr>
          <w:rFonts w:cs="Times New Roman"/>
        </w:rPr>
        <w:t xml:space="preserve">May </w:t>
      </w:r>
      <w:r w:rsidR="01B55689" w:rsidRPr="00590CBD">
        <w:rPr>
          <w:rFonts w:cs="Times New Roman"/>
        </w:rPr>
        <w:t>1, 2022</w:t>
      </w:r>
    </w:p>
    <w:p w14:paraId="22DEB3FB" w14:textId="77777777" w:rsidR="00D25D36" w:rsidRPr="00590CBD" w:rsidRDefault="00D25D36" w:rsidP="0000070B">
      <w:pPr>
        <w:rPr>
          <w:lang w:val="en-AU"/>
        </w:rPr>
      </w:pPr>
    </w:p>
    <w:p w14:paraId="65640AC5" w14:textId="77777777" w:rsidR="008D4202" w:rsidRPr="00590CBD" w:rsidRDefault="00BE6BA3" w:rsidP="0000070B">
      <w:pPr>
        <w:jc w:val="center"/>
        <w:rPr>
          <w:lang w:val="en-AU"/>
        </w:rPr>
      </w:pPr>
      <w:r w:rsidRPr="00590CBD">
        <w:rPr>
          <w:lang w:val="en-AU"/>
        </w:rPr>
        <w:br w:type="page"/>
      </w:r>
    </w:p>
    <w:p w14:paraId="37331CB4" w14:textId="77777777" w:rsidR="00596147" w:rsidRPr="00590CBD" w:rsidRDefault="00596147" w:rsidP="00F90819">
      <w:pPr>
        <w:jc w:val="center"/>
        <w:rPr>
          <w:b/>
          <w:bCs/>
          <w:lang w:val="en-AU"/>
        </w:rPr>
      </w:pPr>
      <w:bookmarkStart w:id="0" w:name="_Toc430202528"/>
      <w:bookmarkStart w:id="1" w:name="_Toc81571206"/>
    </w:p>
    <w:p w14:paraId="57B2375B" w14:textId="77777777" w:rsidR="00596147" w:rsidRPr="00590CBD" w:rsidRDefault="00596147" w:rsidP="00F90819">
      <w:pPr>
        <w:jc w:val="center"/>
        <w:rPr>
          <w:b/>
          <w:bCs/>
          <w:lang w:val="en-AU"/>
        </w:rPr>
      </w:pPr>
    </w:p>
    <w:p w14:paraId="54AB775A" w14:textId="3EE0F8B6" w:rsidR="00D25D36" w:rsidRPr="00590CBD" w:rsidRDefault="00BE6BA3" w:rsidP="00596147">
      <w:pPr>
        <w:jc w:val="center"/>
        <w:rPr>
          <w:b/>
          <w:bCs/>
          <w:lang w:val="en-AU"/>
        </w:rPr>
      </w:pPr>
      <w:r w:rsidRPr="00590CBD">
        <w:rPr>
          <w:b/>
          <w:bCs/>
          <w:lang w:val="en-AU"/>
        </w:rPr>
        <w:t>Statement of Original Authorship</w:t>
      </w:r>
      <w:bookmarkEnd w:id="0"/>
      <w:bookmarkEnd w:id="1"/>
    </w:p>
    <w:p w14:paraId="436308C1" w14:textId="77777777" w:rsidR="00F90819" w:rsidRPr="00590CBD" w:rsidRDefault="00F90819" w:rsidP="00596147">
      <w:pPr>
        <w:jc w:val="center"/>
        <w:rPr>
          <w:b/>
          <w:bCs/>
          <w:lang w:val="en-AU"/>
        </w:rPr>
      </w:pPr>
    </w:p>
    <w:p w14:paraId="510EA95C" w14:textId="3530C57D" w:rsidR="00D25D36" w:rsidRPr="00590CBD" w:rsidRDefault="00BE6BA3" w:rsidP="00596147">
      <w:pPr>
        <w:spacing w:line="480" w:lineRule="auto"/>
        <w:jc w:val="center"/>
        <w:rPr>
          <w:lang w:val="en-AU"/>
        </w:rPr>
      </w:pPr>
      <w:r w:rsidRPr="00590CBD">
        <w:rPr>
          <w:lang w:val="en-AU"/>
        </w:rPr>
        <w:t>I declare that the work contained in this thesis has not been submitted previously for a degree or diploma at this institution, an Australian or overseas university or any other institution of higher education. To the best of my knowledge and belief, this thesis contains no material previously published or written by another person except where due reference is made.</w:t>
      </w:r>
    </w:p>
    <w:p w14:paraId="62278230" w14:textId="713C0A5D" w:rsidR="008D4202" w:rsidRPr="00590CBD" w:rsidRDefault="00BE6BA3" w:rsidP="00596147">
      <w:pPr>
        <w:spacing w:line="480" w:lineRule="auto"/>
        <w:jc w:val="center"/>
        <w:rPr>
          <w:lang w:val="en-AU"/>
        </w:rPr>
      </w:pPr>
      <w:r w:rsidRPr="00590CBD">
        <w:rPr>
          <w:lang w:val="en-AU"/>
        </w:rPr>
        <w:t>Signed</w:t>
      </w:r>
      <w:r w:rsidRPr="00590CBD">
        <w:rPr>
          <w:lang w:val="en-AU"/>
        </w:rPr>
        <w:tab/>
        <w:t xml:space="preserve"> _________________________________</w:t>
      </w:r>
    </w:p>
    <w:p w14:paraId="3A841D51" w14:textId="67B04B95" w:rsidR="00D25D36" w:rsidRPr="00590CBD" w:rsidRDefault="00BE6BA3" w:rsidP="00596147">
      <w:pPr>
        <w:spacing w:line="480" w:lineRule="auto"/>
        <w:jc w:val="center"/>
        <w:rPr>
          <w:lang w:val="en-AU"/>
        </w:rPr>
      </w:pPr>
      <w:r w:rsidRPr="00590CBD">
        <w:rPr>
          <w:lang w:val="en-AU"/>
        </w:rPr>
        <w:t xml:space="preserve">Date </w:t>
      </w:r>
      <w:r w:rsidRPr="00590CBD">
        <w:rPr>
          <w:lang w:val="en-AU"/>
        </w:rPr>
        <w:tab/>
        <w:t>_________________________________</w:t>
      </w:r>
    </w:p>
    <w:p w14:paraId="297F5B96" w14:textId="1DA20FAA" w:rsidR="00606767" w:rsidRPr="00590CBD" w:rsidRDefault="00606767" w:rsidP="00596147">
      <w:pPr>
        <w:jc w:val="center"/>
        <w:rPr>
          <w:lang w:val="en-AU"/>
        </w:rPr>
      </w:pPr>
    </w:p>
    <w:p w14:paraId="6D3FBB6E" w14:textId="0E0EE0BC" w:rsidR="00F90819" w:rsidRPr="00590CBD" w:rsidRDefault="00F90819" w:rsidP="00596147">
      <w:pPr>
        <w:jc w:val="center"/>
        <w:rPr>
          <w:lang w:val="en-AU"/>
        </w:rPr>
      </w:pPr>
    </w:p>
    <w:p w14:paraId="6BD03EDF" w14:textId="2F08E228" w:rsidR="00596147" w:rsidRPr="00590CBD" w:rsidRDefault="00596147" w:rsidP="00596147">
      <w:pPr>
        <w:jc w:val="center"/>
        <w:rPr>
          <w:lang w:val="en-AU"/>
        </w:rPr>
      </w:pPr>
    </w:p>
    <w:p w14:paraId="02D8D6CD" w14:textId="5C5DFBD7" w:rsidR="00596147" w:rsidRPr="00590CBD" w:rsidRDefault="00596147" w:rsidP="00596147">
      <w:pPr>
        <w:jc w:val="center"/>
        <w:rPr>
          <w:lang w:val="en-AU"/>
        </w:rPr>
      </w:pPr>
    </w:p>
    <w:p w14:paraId="1C9347C4" w14:textId="7B6112C6" w:rsidR="00596147" w:rsidRPr="00590CBD" w:rsidRDefault="00596147" w:rsidP="00596147">
      <w:pPr>
        <w:jc w:val="center"/>
        <w:rPr>
          <w:lang w:val="en-AU"/>
        </w:rPr>
      </w:pPr>
    </w:p>
    <w:p w14:paraId="561A40D9" w14:textId="77777777" w:rsidR="00596147" w:rsidRPr="00590CBD" w:rsidRDefault="00596147" w:rsidP="00596147">
      <w:pPr>
        <w:jc w:val="center"/>
        <w:rPr>
          <w:lang w:val="en-AU"/>
        </w:rPr>
      </w:pPr>
    </w:p>
    <w:p w14:paraId="53878B9C" w14:textId="42720F56" w:rsidR="008D4202" w:rsidRPr="00590CBD" w:rsidRDefault="00BE6BA3" w:rsidP="00596147">
      <w:pPr>
        <w:jc w:val="center"/>
        <w:rPr>
          <w:b/>
          <w:bCs/>
          <w:lang w:val="en-AU"/>
        </w:rPr>
      </w:pPr>
      <w:bookmarkStart w:id="2" w:name="_Toc81571207"/>
      <w:r w:rsidRPr="00590CBD">
        <w:rPr>
          <w:b/>
          <w:bCs/>
          <w:lang w:val="en-AU"/>
        </w:rPr>
        <w:t>Copyright Statement</w:t>
      </w:r>
      <w:bookmarkEnd w:id="2"/>
    </w:p>
    <w:p w14:paraId="79657FAB" w14:textId="77777777" w:rsidR="00D25D36" w:rsidRPr="00590CBD" w:rsidRDefault="00D25D36" w:rsidP="00596147">
      <w:pPr>
        <w:jc w:val="center"/>
        <w:rPr>
          <w:b/>
          <w:bCs/>
          <w:lang w:val="en-AU"/>
        </w:rPr>
      </w:pPr>
    </w:p>
    <w:p w14:paraId="45DFBBC1" w14:textId="6FE9D3D8" w:rsidR="00D25D36" w:rsidRPr="00590CBD" w:rsidRDefault="00BE6BA3" w:rsidP="00596147">
      <w:pPr>
        <w:spacing w:line="480" w:lineRule="auto"/>
        <w:jc w:val="center"/>
        <w:rPr>
          <w:lang w:val="en-AU"/>
        </w:rPr>
      </w:pPr>
      <w:r w:rsidRPr="00590CBD">
        <w:rPr>
          <w:lang w:val="en-AU"/>
        </w:rPr>
        <w:t xml:space="preserve">I grant to Avondale </w:t>
      </w:r>
      <w:r w:rsidR="006F224E" w:rsidRPr="00590CBD">
        <w:rPr>
          <w:lang w:val="en-AU"/>
        </w:rPr>
        <w:t>University</w:t>
      </w:r>
      <w:r w:rsidRPr="00590CBD">
        <w:rPr>
          <w:lang w:val="en-AU"/>
        </w:rPr>
        <w:t xml:space="preserve"> the rights to archive in the </w:t>
      </w:r>
      <w:r w:rsidR="00AC5778">
        <w:rPr>
          <w:lang w:val="en-AU"/>
        </w:rPr>
        <w:t>University</w:t>
      </w:r>
      <w:r w:rsidRPr="00590CBD">
        <w:rPr>
          <w:lang w:val="en-AU"/>
        </w:rPr>
        <w:t xml:space="preserve"> library, and to make available my thesis in whole or in part for study now and in the future. I retain all </w:t>
      </w:r>
      <w:r w:rsidR="00456770" w:rsidRPr="00590CBD">
        <w:rPr>
          <w:lang w:val="en-AU"/>
        </w:rPr>
        <w:t>proprietary</w:t>
      </w:r>
      <w:r w:rsidRPr="00590CBD">
        <w:rPr>
          <w:lang w:val="en-AU"/>
        </w:rPr>
        <w:t xml:space="preserve"> rights. I also retain the right to use in future works all or part of this thesis.</w:t>
      </w:r>
    </w:p>
    <w:p w14:paraId="7FDFC0ED" w14:textId="27668A59" w:rsidR="008D4202" w:rsidRPr="00590CBD" w:rsidRDefault="00BE6BA3" w:rsidP="00596147">
      <w:pPr>
        <w:spacing w:line="480" w:lineRule="auto"/>
        <w:jc w:val="center"/>
        <w:rPr>
          <w:lang w:val="en-AU"/>
        </w:rPr>
      </w:pPr>
      <w:r w:rsidRPr="00590CBD">
        <w:rPr>
          <w:lang w:val="en-AU"/>
        </w:rPr>
        <w:t>Signed _________________________________</w:t>
      </w:r>
    </w:p>
    <w:p w14:paraId="45F936AA" w14:textId="77777777" w:rsidR="008D4202" w:rsidRPr="00590CBD" w:rsidRDefault="00BE6BA3" w:rsidP="00596147">
      <w:pPr>
        <w:spacing w:line="480" w:lineRule="auto"/>
        <w:jc w:val="center"/>
        <w:rPr>
          <w:lang w:val="en-AU"/>
        </w:rPr>
      </w:pPr>
      <w:r w:rsidRPr="00590CBD">
        <w:rPr>
          <w:lang w:val="en-AU"/>
        </w:rPr>
        <w:t xml:space="preserve">Date </w:t>
      </w:r>
      <w:r w:rsidRPr="00590CBD">
        <w:rPr>
          <w:lang w:val="en-AU"/>
        </w:rPr>
        <w:tab/>
        <w:t>_________________________________</w:t>
      </w:r>
    </w:p>
    <w:p w14:paraId="6EE41E17" w14:textId="77777777" w:rsidR="008D4202" w:rsidRPr="00590CBD" w:rsidRDefault="00BE6BA3" w:rsidP="009F5D32">
      <w:pPr>
        <w:pStyle w:val="Heading1"/>
        <w:rPr>
          <w:lang w:val="en-AU"/>
        </w:rPr>
      </w:pPr>
      <w:r w:rsidRPr="00590CBD">
        <w:rPr>
          <w:lang w:val="en-AU"/>
        </w:rPr>
        <w:br w:type="page"/>
      </w:r>
    </w:p>
    <w:p w14:paraId="40633F9B" w14:textId="63242614" w:rsidR="008D4202" w:rsidRPr="00590CBD" w:rsidRDefault="00BE6BA3" w:rsidP="00606767">
      <w:pPr>
        <w:spacing w:before="360" w:after="240"/>
        <w:jc w:val="center"/>
        <w:rPr>
          <w:b/>
          <w:bCs/>
          <w:lang w:val="en-AU"/>
        </w:rPr>
      </w:pPr>
      <w:bookmarkStart w:id="3" w:name="_Toc430202531"/>
      <w:bookmarkStart w:id="4" w:name="_Toc81571208"/>
      <w:r w:rsidRPr="00590CBD">
        <w:rPr>
          <w:b/>
          <w:bCs/>
          <w:lang w:val="en-AU"/>
        </w:rPr>
        <w:lastRenderedPageBreak/>
        <w:t>Dedication</w:t>
      </w:r>
      <w:bookmarkEnd w:id="3"/>
      <w:bookmarkEnd w:id="4"/>
    </w:p>
    <w:p w14:paraId="704C20DA" w14:textId="77777777" w:rsidR="005D6B8F" w:rsidRPr="009E7B69" w:rsidRDefault="005D6B8F" w:rsidP="005D6B8F">
      <w:pPr>
        <w:pStyle w:val="BodyText"/>
        <w:spacing w:line="480" w:lineRule="auto"/>
        <w:jc w:val="center"/>
        <w:rPr>
          <w:sz w:val="24"/>
          <w:szCs w:val="24"/>
          <w:lang w:val="en-US"/>
        </w:rPr>
      </w:pPr>
      <w:r w:rsidRPr="009E7B69">
        <w:rPr>
          <w:sz w:val="24"/>
          <w:szCs w:val="24"/>
          <w:rtl/>
        </w:rPr>
        <w:t>בעזרת השם</w:t>
      </w:r>
    </w:p>
    <w:p w14:paraId="79732EA6" w14:textId="01C7F705" w:rsidR="008D4202" w:rsidRPr="00590CBD" w:rsidRDefault="006D32C8" w:rsidP="000900F7">
      <w:pPr>
        <w:pStyle w:val="BodyText"/>
        <w:spacing w:line="480" w:lineRule="auto"/>
        <w:rPr>
          <w:sz w:val="24"/>
          <w:szCs w:val="24"/>
          <w:lang w:val="en-AU"/>
        </w:rPr>
      </w:pPr>
      <w:r w:rsidRPr="00590CBD">
        <w:rPr>
          <w:sz w:val="24"/>
          <w:szCs w:val="24"/>
          <w:lang w:val="en-AU"/>
        </w:rPr>
        <w:t xml:space="preserve">Thank you </w:t>
      </w:r>
      <w:r w:rsidR="00BE6BA3" w:rsidRPr="00590CBD">
        <w:rPr>
          <w:sz w:val="24"/>
          <w:szCs w:val="24"/>
          <w:lang w:val="en-AU"/>
        </w:rPr>
        <w:t xml:space="preserve">to my wife, Dr. Heftsibah Cohen, who prods me along with love and care; to my wonderful children Jonpaul, Emani, and </w:t>
      </w:r>
      <w:r w:rsidR="00E324C0" w:rsidRPr="00590CBD">
        <w:rPr>
          <w:sz w:val="24"/>
          <w:szCs w:val="24"/>
          <w:lang w:val="en-AU"/>
        </w:rPr>
        <w:t>Koa</w:t>
      </w:r>
      <w:r w:rsidR="00BE6BA3" w:rsidRPr="00590CBD">
        <w:rPr>
          <w:sz w:val="24"/>
          <w:szCs w:val="24"/>
          <w:lang w:val="en-AU"/>
        </w:rPr>
        <w:t xml:space="preserve"> who encourage Dad to be a better person; and Dulcie for being a support to me and the family, always. I am grateful for the love and support shown, allowing me to dig deeper into biblical understanding. I am grateful that I have been able to study and learn with your support for so long. You are an amazing family. </w:t>
      </w:r>
    </w:p>
    <w:p w14:paraId="52D19EF9" w14:textId="56FDB69F" w:rsidR="00363A8D" w:rsidRPr="009E7B69" w:rsidRDefault="00363A8D">
      <w:r w:rsidRPr="009E7B69">
        <w:br w:type="page"/>
      </w:r>
    </w:p>
    <w:p w14:paraId="79AB1A3C" w14:textId="77777777" w:rsidR="00363A8D" w:rsidRPr="00590CBD" w:rsidRDefault="00363A8D" w:rsidP="009F5D32">
      <w:pPr>
        <w:pStyle w:val="Heading1"/>
        <w:rPr>
          <w:lang w:val="en-AU"/>
        </w:rPr>
      </w:pPr>
      <w:bookmarkStart w:id="5" w:name="_Toc430202530"/>
      <w:bookmarkStart w:id="6" w:name="_Toc81571209"/>
      <w:bookmarkStart w:id="7" w:name="_Toc94536969"/>
      <w:bookmarkStart w:id="8" w:name="_Toc118063614"/>
      <w:r w:rsidRPr="00590CBD">
        <w:rPr>
          <w:lang w:val="en-AU"/>
        </w:rPr>
        <w:lastRenderedPageBreak/>
        <w:t>Acknowledgements</w:t>
      </w:r>
      <w:bookmarkEnd w:id="5"/>
      <w:bookmarkEnd w:id="6"/>
      <w:bookmarkEnd w:id="7"/>
      <w:bookmarkEnd w:id="8"/>
      <w:r w:rsidRPr="00590CBD">
        <w:rPr>
          <w:lang w:val="en-AU"/>
        </w:rPr>
        <w:t xml:space="preserve"> </w:t>
      </w:r>
    </w:p>
    <w:p w14:paraId="341A5C5E" w14:textId="4C1820D0" w:rsidR="00363A8D" w:rsidRPr="00590CBD" w:rsidRDefault="00363A8D" w:rsidP="00363A8D">
      <w:pPr>
        <w:pStyle w:val="BodyText"/>
        <w:spacing w:line="480" w:lineRule="auto"/>
        <w:ind w:firstLine="720"/>
        <w:rPr>
          <w:sz w:val="24"/>
          <w:szCs w:val="24"/>
          <w:lang w:val="en-AU"/>
        </w:rPr>
      </w:pPr>
      <w:r w:rsidRPr="00590CBD">
        <w:rPr>
          <w:sz w:val="24"/>
          <w:szCs w:val="24"/>
          <w:lang w:val="en-AU"/>
        </w:rPr>
        <w:t xml:space="preserve">I acknowledge Hashem for guiding along the pathway of knowledge. I would like to acknowledge Avondale University for investing in me as a student.  I am forever grateful to the institution for investing in my continued education.  Without your confidence in me, this would not be possible. This degree would not be possible without the direction of Dr. Robert K. McIver, Dr. David Thiele, and Dr. Ruth Sandberg. Thank </w:t>
      </w:r>
      <w:r w:rsidR="0087525D" w:rsidRPr="00590CBD">
        <w:rPr>
          <w:sz w:val="24"/>
          <w:szCs w:val="24"/>
          <w:lang w:val="en-AU"/>
        </w:rPr>
        <w:t>you, Professor McIver,</w:t>
      </w:r>
      <w:r w:rsidRPr="00590CBD">
        <w:rPr>
          <w:sz w:val="24"/>
          <w:szCs w:val="24"/>
          <w:lang w:val="en-AU"/>
        </w:rPr>
        <w:t xml:space="preserve"> for years of connected theological discussions that will be missed greatly. Thank you, Dr. David Thiele, for your continued and detailed comments on my citations and critical application of my work.  Thank you as well to Professor Sandberg who has helped form and critique my Jewish theological lens, speaking wisdom into my life.  I have enjoyed years of supervision being led along the path of knowledge. Thank you for not giving up on me and for providing exceptional insight into the academic values previously unknown to me.</w:t>
      </w:r>
    </w:p>
    <w:p w14:paraId="4E236AF4" w14:textId="6311AAEA" w:rsidR="00363A8D" w:rsidRPr="00590CBD" w:rsidRDefault="00363A8D" w:rsidP="00363A8D">
      <w:pPr>
        <w:spacing w:line="480" w:lineRule="auto"/>
        <w:ind w:firstLine="720"/>
        <w:contextualSpacing/>
        <w:rPr>
          <w:lang w:val="en-AU"/>
        </w:rPr>
      </w:pPr>
      <w:r w:rsidRPr="00590CBD">
        <w:rPr>
          <w:lang w:val="en-AU"/>
        </w:rPr>
        <w:t>This dissertation builds upon early work I have submitted for a Master of Arts degree at the University of Waikato, but which is not replicated in this dissertation.  My previous work speciali</w:t>
      </w:r>
      <w:r w:rsidR="006F59A5" w:rsidRPr="00590CBD">
        <w:rPr>
          <w:lang w:val="en-AU"/>
        </w:rPr>
        <w:t>s</w:t>
      </w:r>
      <w:r w:rsidRPr="00590CBD">
        <w:rPr>
          <w:lang w:val="en-AU"/>
        </w:rPr>
        <w:t>ed in the field of political science; however, this dissertation focuses on the theology of Matthew 5:38‒42 and not the political science applications of peace studies.</w:t>
      </w:r>
      <w:r w:rsidRPr="00590CBD">
        <w:rPr>
          <w:rStyle w:val="FootnoteReference"/>
          <w:lang w:val="en-AU"/>
        </w:rPr>
        <w:footnoteReference w:id="2"/>
      </w:r>
      <w:r w:rsidRPr="00590CBD">
        <w:rPr>
          <w:lang w:val="en-AU"/>
        </w:rPr>
        <w:t xml:space="preserve">  There are distinct differences found in this research that bring new discoveries into the field of theological studies and which illuminate a synergy between Matthew 5:38‒42 and </w:t>
      </w:r>
      <w:r w:rsidRPr="00590CBD">
        <w:rPr>
          <w:i/>
          <w:iCs/>
          <w:lang w:val="en-AU"/>
        </w:rPr>
        <w:t>Mishna Avot</w:t>
      </w:r>
      <w:r w:rsidRPr="00590CBD">
        <w:rPr>
          <w:lang w:val="en-AU"/>
        </w:rPr>
        <w:t xml:space="preserve"> based on the theological field of scholarship. </w:t>
      </w:r>
    </w:p>
    <w:p w14:paraId="04E03DDA" w14:textId="65CACC90" w:rsidR="00213696" w:rsidRPr="009E7B69" w:rsidRDefault="00213696">
      <w:pPr>
        <w:rPr>
          <w:rFonts w:eastAsiaTheme="minorHAnsi"/>
        </w:rPr>
      </w:pPr>
      <w:r w:rsidRPr="009E7B69">
        <w:br w:type="page"/>
      </w:r>
    </w:p>
    <w:p w14:paraId="1A947097" w14:textId="77777777" w:rsidR="008D4202" w:rsidRPr="009E7B69" w:rsidRDefault="00BE6BA3" w:rsidP="009F5D32">
      <w:pPr>
        <w:pStyle w:val="Heading1"/>
      </w:pPr>
      <w:bookmarkStart w:id="9" w:name="_Toc81571210"/>
      <w:bookmarkStart w:id="10" w:name="_Toc94536970"/>
      <w:bookmarkStart w:id="11" w:name="_Toc118063615"/>
      <w:bookmarkStart w:id="12" w:name="_Toc430202532"/>
      <w:r w:rsidRPr="009E7B69">
        <w:lastRenderedPageBreak/>
        <w:t>Abstract</w:t>
      </w:r>
      <w:bookmarkEnd w:id="9"/>
      <w:bookmarkEnd w:id="10"/>
      <w:bookmarkEnd w:id="11"/>
      <w:r w:rsidRPr="009E7B69">
        <w:t xml:space="preserve"> </w:t>
      </w:r>
      <w:bookmarkEnd w:id="12"/>
    </w:p>
    <w:p w14:paraId="4BB0230D" w14:textId="1EE68E38" w:rsidR="008D4202" w:rsidRPr="00590CBD" w:rsidRDefault="00BE6BA3" w:rsidP="00376A39">
      <w:pPr>
        <w:pStyle w:val="BodyText"/>
        <w:spacing w:line="480" w:lineRule="auto"/>
        <w:ind w:firstLine="720"/>
        <w:rPr>
          <w:sz w:val="24"/>
          <w:szCs w:val="24"/>
          <w:lang w:val="en-AU"/>
        </w:rPr>
      </w:pPr>
      <w:r w:rsidRPr="00590CBD">
        <w:rPr>
          <w:sz w:val="24"/>
          <w:szCs w:val="24"/>
          <w:lang w:val="en-AU"/>
        </w:rPr>
        <w:t xml:space="preserve">This dissertation reveals that, contrary to </w:t>
      </w:r>
      <w:r w:rsidR="00A85B96">
        <w:rPr>
          <w:sz w:val="24"/>
          <w:szCs w:val="24"/>
          <w:lang w:val="en-AU"/>
        </w:rPr>
        <w:t xml:space="preserve">much </w:t>
      </w:r>
      <w:r w:rsidR="001E2041">
        <w:rPr>
          <w:sz w:val="24"/>
          <w:szCs w:val="24"/>
          <w:lang w:val="en-AU"/>
        </w:rPr>
        <w:t xml:space="preserve">prior scholarship </w:t>
      </w:r>
      <w:r w:rsidR="000C65C6">
        <w:rPr>
          <w:sz w:val="24"/>
          <w:szCs w:val="24"/>
          <w:lang w:val="en-AU"/>
        </w:rPr>
        <w:t>on</w:t>
      </w:r>
      <w:r w:rsidR="00E72609" w:rsidRPr="00E72609">
        <w:rPr>
          <w:sz w:val="24"/>
          <w:szCs w:val="24"/>
          <w:lang w:val="en-AU"/>
        </w:rPr>
        <w:t xml:space="preserve"> Matthew</w:t>
      </w:r>
      <w:r w:rsidR="001E2041">
        <w:rPr>
          <w:sz w:val="24"/>
          <w:szCs w:val="24"/>
          <w:lang w:val="en-AU"/>
        </w:rPr>
        <w:t xml:space="preserve"> 5:38-42</w:t>
      </w:r>
      <w:r w:rsidR="00E72609">
        <w:rPr>
          <w:sz w:val="24"/>
          <w:szCs w:val="24"/>
          <w:lang w:val="en-AU"/>
        </w:rPr>
        <w:t>,</w:t>
      </w:r>
      <w:r w:rsidRPr="00590CBD">
        <w:rPr>
          <w:sz w:val="24"/>
          <w:szCs w:val="24"/>
          <w:lang w:val="en-AU"/>
        </w:rPr>
        <w:t xml:space="preserve"> Jesus was not an advocate of passive endur</w:t>
      </w:r>
      <w:r w:rsidR="00323A1C" w:rsidRPr="00590CBD">
        <w:rPr>
          <w:sz w:val="24"/>
          <w:szCs w:val="24"/>
          <w:lang w:val="en-AU"/>
        </w:rPr>
        <w:t>ance of</w:t>
      </w:r>
      <w:r w:rsidRPr="00590CBD">
        <w:rPr>
          <w:sz w:val="24"/>
          <w:szCs w:val="24"/>
          <w:lang w:val="en-AU"/>
        </w:rPr>
        <w:t xml:space="preserve"> abuse</w:t>
      </w:r>
      <w:r w:rsidR="00677957">
        <w:rPr>
          <w:sz w:val="24"/>
          <w:szCs w:val="24"/>
          <w:lang w:val="en-AU"/>
        </w:rPr>
        <w:t xml:space="preserve">; rather, </w:t>
      </w:r>
      <w:r w:rsidRPr="00590CBD">
        <w:rPr>
          <w:sz w:val="24"/>
          <w:szCs w:val="24"/>
          <w:lang w:val="en-AU"/>
        </w:rPr>
        <w:t xml:space="preserve">he taught a peaceful form of resistance to oppression. His teachings, while nonviolent, still demanded justice and mercy.  Jesus was a faithful and observant Jew, and the first audience </w:t>
      </w:r>
      <w:r w:rsidR="006D4DBB" w:rsidRPr="00590CBD">
        <w:rPr>
          <w:sz w:val="24"/>
          <w:szCs w:val="24"/>
          <w:lang w:val="en-AU"/>
        </w:rPr>
        <w:t>that</w:t>
      </w:r>
      <w:r w:rsidRPr="00590CBD">
        <w:rPr>
          <w:sz w:val="24"/>
          <w:szCs w:val="24"/>
          <w:lang w:val="en-AU"/>
        </w:rPr>
        <w:t xml:space="preserve"> Jesus addressed was a mixed Galilean Jewish audience acquainted with Torah, the Oral Law, and the rules of the land as per Roman governance. This dissertation examines, in its intended context, Matthew 5:38</w:t>
      </w:r>
      <w:r w:rsidR="006D4DBB" w:rsidRPr="00590CBD">
        <w:rPr>
          <w:sz w:val="24"/>
          <w:szCs w:val="24"/>
          <w:lang w:val="en-AU"/>
        </w:rPr>
        <w:t>–</w:t>
      </w:r>
      <w:r w:rsidRPr="00590CBD">
        <w:rPr>
          <w:sz w:val="24"/>
          <w:szCs w:val="24"/>
          <w:lang w:val="en-AU"/>
        </w:rPr>
        <w:t xml:space="preserve">42, and compares its content with the Jewish writings of </w:t>
      </w:r>
      <w:r w:rsidRPr="00590CBD">
        <w:rPr>
          <w:i/>
          <w:iCs/>
          <w:sz w:val="24"/>
          <w:szCs w:val="24"/>
          <w:lang w:val="en-AU"/>
        </w:rPr>
        <w:t xml:space="preserve">Mishna Avot, </w:t>
      </w:r>
      <w:r w:rsidRPr="00590CBD">
        <w:rPr>
          <w:iCs/>
          <w:sz w:val="24"/>
          <w:szCs w:val="24"/>
          <w:lang w:val="en-AU"/>
        </w:rPr>
        <w:t>the Roman</w:t>
      </w:r>
      <w:r w:rsidRPr="00590CBD">
        <w:rPr>
          <w:i/>
          <w:iCs/>
          <w:sz w:val="24"/>
          <w:szCs w:val="24"/>
          <w:lang w:val="en-AU"/>
        </w:rPr>
        <w:t xml:space="preserve"> lex talionis </w:t>
      </w:r>
      <w:r w:rsidRPr="00590CBD">
        <w:rPr>
          <w:iCs/>
          <w:sz w:val="24"/>
          <w:szCs w:val="24"/>
          <w:lang w:val="en-AU"/>
        </w:rPr>
        <w:t>(tenets of the Roman law)</w:t>
      </w:r>
      <w:r w:rsidRPr="00590CBD">
        <w:rPr>
          <w:i/>
          <w:iCs/>
          <w:sz w:val="24"/>
          <w:szCs w:val="24"/>
          <w:lang w:val="en-AU"/>
        </w:rPr>
        <w:t xml:space="preserve">, </w:t>
      </w:r>
      <w:r w:rsidR="006D4DBB" w:rsidRPr="00590CBD">
        <w:rPr>
          <w:sz w:val="24"/>
          <w:szCs w:val="24"/>
          <w:lang w:val="en-AU"/>
        </w:rPr>
        <w:t xml:space="preserve">the </w:t>
      </w:r>
      <w:r w:rsidRPr="00590CBD">
        <w:rPr>
          <w:iCs/>
          <w:sz w:val="24"/>
          <w:szCs w:val="24"/>
          <w:lang w:val="en-AU"/>
        </w:rPr>
        <w:t>Dead Sea scrolls, and</w:t>
      </w:r>
      <w:r w:rsidR="0046680C" w:rsidRPr="00590CBD">
        <w:rPr>
          <w:iCs/>
          <w:sz w:val="24"/>
          <w:szCs w:val="24"/>
          <w:lang w:val="en-AU"/>
        </w:rPr>
        <w:t xml:space="preserve"> other</w:t>
      </w:r>
      <w:r w:rsidR="00677957">
        <w:rPr>
          <w:iCs/>
          <w:sz w:val="24"/>
          <w:szCs w:val="24"/>
          <w:lang w:val="en-AU"/>
        </w:rPr>
        <w:t xml:space="preserve"> sources of</w:t>
      </w:r>
      <w:r w:rsidRPr="00590CBD">
        <w:rPr>
          <w:i/>
          <w:iCs/>
          <w:sz w:val="24"/>
          <w:szCs w:val="24"/>
          <w:lang w:val="en-AU"/>
        </w:rPr>
        <w:t xml:space="preserve"> </w:t>
      </w:r>
      <w:r w:rsidRPr="00590CBD">
        <w:rPr>
          <w:iCs/>
          <w:sz w:val="24"/>
          <w:szCs w:val="24"/>
          <w:lang w:val="en-AU"/>
        </w:rPr>
        <w:t>Jewish Oral Law</w:t>
      </w:r>
      <w:r w:rsidRPr="00590CBD">
        <w:rPr>
          <w:i/>
          <w:iCs/>
          <w:sz w:val="24"/>
          <w:szCs w:val="24"/>
          <w:lang w:val="en-AU"/>
        </w:rPr>
        <w:t xml:space="preserve">. </w:t>
      </w:r>
      <w:r w:rsidR="00FA62DF" w:rsidRPr="00590CBD">
        <w:rPr>
          <w:sz w:val="24"/>
          <w:szCs w:val="24"/>
          <w:lang w:val="en-AU"/>
        </w:rPr>
        <w:t xml:space="preserve">By examining the historical and social aspects of </w:t>
      </w:r>
      <w:r w:rsidRPr="00590CBD">
        <w:rPr>
          <w:i/>
          <w:iCs/>
          <w:sz w:val="24"/>
          <w:szCs w:val="24"/>
          <w:lang w:val="en-AU"/>
        </w:rPr>
        <w:t>Mishna Avot</w:t>
      </w:r>
      <w:r w:rsidRPr="00590CBD">
        <w:rPr>
          <w:i/>
          <w:sz w:val="24"/>
          <w:szCs w:val="24"/>
          <w:lang w:val="en-AU"/>
        </w:rPr>
        <w:t xml:space="preserve"> </w:t>
      </w:r>
      <w:r w:rsidRPr="00590CBD">
        <w:rPr>
          <w:sz w:val="24"/>
          <w:szCs w:val="24"/>
          <w:lang w:val="en-AU"/>
        </w:rPr>
        <w:t xml:space="preserve">and </w:t>
      </w:r>
      <w:r w:rsidR="00FA62DF" w:rsidRPr="00590CBD">
        <w:rPr>
          <w:sz w:val="24"/>
          <w:szCs w:val="24"/>
          <w:lang w:val="en-AU"/>
        </w:rPr>
        <w:t>Matthew 5:38</w:t>
      </w:r>
      <w:r w:rsidR="00323A1C" w:rsidRPr="00590CBD">
        <w:rPr>
          <w:sz w:val="24"/>
          <w:szCs w:val="24"/>
          <w:lang w:val="en-AU"/>
        </w:rPr>
        <w:t>‒</w:t>
      </w:r>
      <w:r w:rsidR="00FA62DF" w:rsidRPr="00590CBD">
        <w:rPr>
          <w:sz w:val="24"/>
          <w:szCs w:val="24"/>
          <w:lang w:val="en-AU"/>
        </w:rPr>
        <w:t>42</w:t>
      </w:r>
      <w:r w:rsidR="00E8428E">
        <w:rPr>
          <w:sz w:val="24"/>
          <w:szCs w:val="24"/>
          <w:lang w:val="en-AU"/>
        </w:rPr>
        <w:t xml:space="preserve"> through a comparative religious lens</w:t>
      </w:r>
      <w:r w:rsidR="00FA62DF" w:rsidRPr="00590CBD">
        <w:rPr>
          <w:sz w:val="24"/>
          <w:szCs w:val="24"/>
          <w:lang w:val="en-AU"/>
        </w:rPr>
        <w:t>, what emerges is a simil</w:t>
      </w:r>
      <w:r w:rsidR="009A3247" w:rsidRPr="00590CBD">
        <w:rPr>
          <w:sz w:val="24"/>
          <w:szCs w:val="24"/>
          <w:lang w:val="en-AU"/>
        </w:rPr>
        <w:t>ar</w:t>
      </w:r>
      <w:r w:rsidR="00FA62DF" w:rsidRPr="00590CBD">
        <w:rPr>
          <w:sz w:val="24"/>
          <w:szCs w:val="24"/>
          <w:lang w:val="en-AU"/>
        </w:rPr>
        <w:t xml:space="preserve">ity of </w:t>
      </w:r>
      <w:r w:rsidR="009A3247" w:rsidRPr="00590CBD">
        <w:rPr>
          <w:sz w:val="24"/>
          <w:szCs w:val="24"/>
          <w:lang w:val="en-AU"/>
        </w:rPr>
        <w:t>conceptual ideologies.</w:t>
      </w:r>
      <w:r w:rsidR="00FA62DF" w:rsidRPr="00590CBD">
        <w:rPr>
          <w:sz w:val="24"/>
          <w:szCs w:val="24"/>
          <w:lang w:val="en-AU"/>
        </w:rPr>
        <w:t xml:space="preserve">  </w:t>
      </w:r>
      <w:r w:rsidR="00ED0838" w:rsidRPr="00590CBD">
        <w:rPr>
          <w:sz w:val="24"/>
          <w:szCs w:val="24"/>
          <w:lang w:val="en-AU"/>
        </w:rPr>
        <w:t xml:space="preserve">Both </w:t>
      </w:r>
      <w:r w:rsidRPr="00590CBD">
        <w:rPr>
          <w:sz w:val="24"/>
          <w:szCs w:val="24"/>
          <w:lang w:val="en-AU"/>
        </w:rPr>
        <w:t xml:space="preserve">Matthew 5 </w:t>
      </w:r>
      <w:r w:rsidR="00ED0838" w:rsidRPr="00590CBD">
        <w:rPr>
          <w:sz w:val="24"/>
          <w:szCs w:val="24"/>
          <w:lang w:val="en-AU"/>
        </w:rPr>
        <w:t xml:space="preserve">and </w:t>
      </w:r>
      <w:r w:rsidRPr="00590CBD">
        <w:rPr>
          <w:i/>
          <w:iCs/>
          <w:sz w:val="24"/>
          <w:szCs w:val="24"/>
          <w:lang w:val="en-AU"/>
        </w:rPr>
        <w:t xml:space="preserve">Mishna Avot </w:t>
      </w:r>
      <w:r w:rsidR="001336D9" w:rsidRPr="00590CBD">
        <w:rPr>
          <w:sz w:val="24"/>
          <w:szCs w:val="24"/>
          <w:lang w:val="en-AU"/>
        </w:rPr>
        <w:t>show</w:t>
      </w:r>
      <w:r w:rsidRPr="00590CBD">
        <w:rPr>
          <w:sz w:val="24"/>
          <w:szCs w:val="24"/>
          <w:lang w:val="en-AU"/>
        </w:rPr>
        <w:t xml:space="preserve"> similar intellectual thought regarding passive resistance to abusive authority. Jesus did not </w:t>
      </w:r>
      <w:r w:rsidR="00881CF8" w:rsidRPr="00590CBD">
        <w:rPr>
          <w:sz w:val="24"/>
          <w:szCs w:val="24"/>
          <w:lang w:val="en-AU"/>
        </w:rPr>
        <w:t xml:space="preserve">adopt a </w:t>
      </w:r>
      <w:r w:rsidR="004D4CD6">
        <w:rPr>
          <w:sz w:val="24"/>
          <w:szCs w:val="24"/>
          <w:lang w:val="en-AU"/>
        </w:rPr>
        <w:t>pacifist</w:t>
      </w:r>
      <w:r w:rsidR="00881CF8" w:rsidRPr="00590CBD">
        <w:rPr>
          <w:sz w:val="24"/>
          <w:szCs w:val="24"/>
          <w:lang w:val="en-AU"/>
        </w:rPr>
        <w:t xml:space="preserve"> identity and </w:t>
      </w:r>
      <w:r w:rsidR="00507AFE" w:rsidRPr="00590CBD">
        <w:rPr>
          <w:sz w:val="24"/>
          <w:szCs w:val="24"/>
          <w:lang w:val="en-AU"/>
        </w:rPr>
        <w:t>c</w:t>
      </w:r>
      <w:r w:rsidRPr="00590CBD">
        <w:rPr>
          <w:sz w:val="24"/>
          <w:szCs w:val="24"/>
          <w:lang w:val="en-AU"/>
        </w:rPr>
        <w:t>apitulate to opp</w:t>
      </w:r>
      <w:r w:rsidR="00881CF8" w:rsidRPr="00590CBD">
        <w:rPr>
          <w:sz w:val="24"/>
          <w:szCs w:val="24"/>
          <w:lang w:val="en-AU"/>
        </w:rPr>
        <w:t>r</w:t>
      </w:r>
      <w:r w:rsidRPr="00590CBD">
        <w:rPr>
          <w:sz w:val="24"/>
          <w:szCs w:val="24"/>
          <w:lang w:val="en-AU"/>
        </w:rPr>
        <w:t>essors</w:t>
      </w:r>
      <w:r w:rsidR="00881CF8" w:rsidRPr="00590CBD">
        <w:rPr>
          <w:sz w:val="24"/>
          <w:szCs w:val="24"/>
          <w:lang w:val="en-AU"/>
        </w:rPr>
        <w:t>. N</w:t>
      </w:r>
      <w:r w:rsidRPr="00590CBD">
        <w:rPr>
          <w:sz w:val="24"/>
          <w:szCs w:val="24"/>
          <w:lang w:val="en-AU"/>
        </w:rPr>
        <w:t>or should history incorrectly describe him as creating followers who abhor resistance and often</w:t>
      </w:r>
      <w:r w:rsidR="00F92CDE" w:rsidRPr="00590CBD">
        <w:rPr>
          <w:sz w:val="24"/>
          <w:szCs w:val="24"/>
          <w:lang w:val="en-AU"/>
        </w:rPr>
        <w:t xml:space="preserve">, </w:t>
      </w:r>
      <w:r w:rsidR="00074F36" w:rsidRPr="00590CBD">
        <w:rPr>
          <w:sz w:val="24"/>
          <w:szCs w:val="24"/>
          <w:lang w:val="en-AU"/>
        </w:rPr>
        <w:t>in consequence,</w:t>
      </w:r>
      <w:r w:rsidRPr="00590CBD">
        <w:rPr>
          <w:sz w:val="24"/>
          <w:szCs w:val="24"/>
          <w:lang w:val="en-AU"/>
        </w:rPr>
        <w:t xml:space="preserve"> justice.</w:t>
      </w:r>
      <w:r w:rsidR="00376A39">
        <w:rPr>
          <w:sz w:val="24"/>
          <w:szCs w:val="24"/>
          <w:lang w:val="en-AU"/>
        </w:rPr>
        <w:t xml:space="preserve"> Jesus taught that social justice includes protecting against abuse and retaining personal dignity in a conflict.</w:t>
      </w:r>
      <w:r w:rsidR="00E15421">
        <w:rPr>
          <w:sz w:val="24"/>
          <w:szCs w:val="24"/>
          <w:lang w:val="en-AU"/>
        </w:rPr>
        <w:t xml:space="preserve"> </w:t>
      </w:r>
      <w:r w:rsidR="009A3247" w:rsidRPr="00590CBD">
        <w:rPr>
          <w:sz w:val="24"/>
          <w:szCs w:val="24"/>
          <w:lang w:val="en-AU"/>
        </w:rPr>
        <w:t xml:space="preserve">The theological connections between </w:t>
      </w:r>
      <w:r w:rsidRPr="00590CBD">
        <w:rPr>
          <w:i/>
          <w:iCs/>
          <w:sz w:val="24"/>
          <w:szCs w:val="24"/>
          <w:lang w:val="en-AU"/>
        </w:rPr>
        <w:t>Mishna Avot</w:t>
      </w:r>
      <w:r w:rsidRPr="00590CBD">
        <w:rPr>
          <w:sz w:val="24"/>
          <w:szCs w:val="24"/>
          <w:lang w:val="en-AU"/>
        </w:rPr>
        <w:t xml:space="preserve"> and </w:t>
      </w:r>
      <w:r w:rsidR="009A3247" w:rsidRPr="00590CBD">
        <w:rPr>
          <w:sz w:val="24"/>
          <w:szCs w:val="24"/>
          <w:lang w:val="en-AU"/>
        </w:rPr>
        <w:t>Matthew 5:38</w:t>
      </w:r>
      <w:r w:rsidR="007D0A78" w:rsidRPr="00590CBD">
        <w:rPr>
          <w:sz w:val="24"/>
          <w:szCs w:val="24"/>
          <w:lang w:val="en-AU"/>
        </w:rPr>
        <w:t>‒</w:t>
      </w:r>
      <w:r w:rsidR="009A3247" w:rsidRPr="00590CBD">
        <w:rPr>
          <w:sz w:val="24"/>
          <w:szCs w:val="24"/>
          <w:lang w:val="en-AU"/>
        </w:rPr>
        <w:t xml:space="preserve">42 </w:t>
      </w:r>
      <w:r w:rsidR="003B450F" w:rsidRPr="00590CBD">
        <w:rPr>
          <w:sz w:val="24"/>
          <w:szCs w:val="24"/>
          <w:lang w:val="en-AU"/>
        </w:rPr>
        <w:t>illuminate</w:t>
      </w:r>
      <w:r w:rsidR="009A3247" w:rsidRPr="00590CBD">
        <w:rPr>
          <w:sz w:val="24"/>
          <w:szCs w:val="24"/>
          <w:lang w:val="en-AU"/>
        </w:rPr>
        <w:t xml:space="preserve"> Jesus</w:t>
      </w:r>
      <w:r w:rsidR="005C71CB" w:rsidRPr="00590CBD">
        <w:rPr>
          <w:sz w:val="24"/>
          <w:szCs w:val="24"/>
          <w:lang w:val="en-AU"/>
        </w:rPr>
        <w:t>’</w:t>
      </w:r>
      <w:r w:rsidR="007477B7">
        <w:rPr>
          <w:sz w:val="24"/>
          <w:szCs w:val="24"/>
          <w:lang w:val="en-AU"/>
        </w:rPr>
        <w:t>s</w:t>
      </w:r>
      <w:r w:rsidR="009A3247" w:rsidRPr="00590CBD">
        <w:rPr>
          <w:sz w:val="24"/>
          <w:szCs w:val="24"/>
          <w:lang w:val="en-AU"/>
        </w:rPr>
        <w:t xml:space="preserve"> understanding of </w:t>
      </w:r>
      <w:r w:rsidR="009E3613" w:rsidRPr="00590CBD">
        <w:rPr>
          <w:sz w:val="24"/>
          <w:szCs w:val="24"/>
          <w:lang w:val="en-AU"/>
        </w:rPr>
        <w:t xml:space="preserve">Oral Law and </w:t>
      </w:r>
      <w:r w:rsidR="00391C78" w:rsidRPr="00590CBD">
        <w:rPr>
          <w:sz w:val="24"/>
          <w:szCs w:val="24"/>
          <w:lang w:val="en-AU"/>
        </w:rPr>
        <w:t>his</w:t>
      </w:r>
      <w:r w:rsidR="009E3613" w:rsidRPr="00590CBD">
        <w:rPr>
          <w:sz w:val="24"/>
          <w:szCs w:val="24"/>
          <w:lang w:val="en-AU"/>
        </w:rPr>
        <w:t xml:space="preserve"> view of non-retaliatory peace. </w:t>
      </w:r>
    </w:p>
    <w:p w14:paraId="3F3D8D87" w14:textId="77777777" w:rsidR="008D4202" w:rsidRPr="009E7B69" w:rsidRDefault="00BE6BA3">
      <w:r w:rsidRPr="009E7B69">
        <w:br w:type="page"/>
      </w:r>
    </w:p>
    <w:sdt>
      <w:sdtPr>
        <w:rPr>
          <w:rFonts w:eastAsia="Times New Roman"/>
          <w:b w:val="0"/>
          <w:iCs w:val="0"/>
          <w:smallCaps w:val="0"/>
          <w:sz w:val="24"/>
          <w:szCs w:val="24"/>
          <w:lang w:eastAsia="en-US"/>
        </w:rPr>
        <w:id w:val="1445652052"/>
        <w:docPartObj>
          <w:docPartGallery w:val="Table of Contents"/>
          <w:docPartUnique/>
        </w:docPartObj>
      </w:sdtPr>
      <w:sdtEndPr>
        <w:rPr>
          <w:bCs/>
        </w:rPr>
      </w:sdtEndPr>
      <w:sdtContent>
        <w:p w14:paraId="7B9C889D" w14:textId="10C63FE2" w:rsidR="00F4463B" w:rsidRPr="009E7B69" w:rsidRDefault="00F4463B" w:rsidP="009F5D32">
          <w:pPr>
            <w:pStyle w:val="TOCHeading"/>
          </w:pPr>
          <w:r w:rsidRPr="009E7B69">
            <w:t>Contents</w:t>
          </w:r>
        </w:p>
        <w:p w14:paraId="4EC5E365" w14:textId="0CAA0442" w:rsidR="007F151A" w:rsidRDefault="00F4463B">
          <w:pPr>
            <w:pStyle w:val="TOC1"/>
            <w:rPr>
              <w:rFonts w:asciiTheme="minorHAnsi" w:eastAsiaTheme="minorEastAsia" w:hAnsiTheme="minorHAnsi" w:cstheme="minorBidi"/>
              <w:b w:val="0"/>
              <w:bCs w:val="0"/>
              <w:caps w:val="0"/>
              <w:noProof/>
              <w:szCs w:val="24"/>
            </w:rPr>
          </w:pPr>
          <w:r w:rsidRPr="009E7B69">
            <w:rPr>
              <w:szCs w:val="24"/>
            </w:rPr>
            <w:fldChar w:fldCharType="begin"/>
          </w:r>
          <w:r w:rsidRPr="009E7B69">
            <w:rPr>
              <w:szCs w:val="24"/>
            </w:rPr>
            <w:instrText xml:space="preserve"> TOC \o "1-3" \h \z \u </w:instrText>
          </w:r>
          <w:r w:rsidRPr="009E7B69">
            <w:rPr>
              <w:szCs w:val="24"/>
            </w:rPr>
            <w:fldChar w:fldCharType="separate"/>
          </w:r>
          <w:hyperlink w:anchor="_Toc118063614" w:history="1">
            <w:r w:rsidR="007F151A" w:rsidRPr="000D7769">
              <w:rPr>
                <w:rStyle w:val="Hyperlink"/>
                <w:noProof/>
                <w:lang w:val="en-AU"/>
              </w:rPr>
              <w:t>Acknowledgements</w:t>
            </w:r>
            <w:r w:rsidR="007F151A">
              <w:rPr>
                <w:noProof/>
                <w:webHidden/>
              </w:rPr>
              <w:tab/>
            </w:r>
            <w:r w:rsidR="007F151A">
              <w:rPr>
                <w:noProof/>
                <w:webHidden/>
              </w:rPr>
              <w:fldChar w:fldCharType="begin"/>
            </w:r>
            <w:r w:rsidR="007F151A">
              <w:rPr>
                <w:noProof/>
                <w:webHidden/>
              </w:rPr>
              <w:instrText xml:space="preserve"> PAGEREF _Toc118063614 \h </w:instrText>
            </w:r>
            <w:r w:rsidR="007F151A">
              <w:rPr>
                <w:noProof/>
                <w:webHidden/>
              </w:rPr>
            </w:r>
            <w:r w:rsidR="007F151A">
              <w:rPr>
                <w:noProof/>
                <w:webHidden/>
              </w:rPr>
              <w:fldChar w:fldCharType="separate"/>
            </w:r>
            <w:r w:rsidR="00E72224">
              <w:rPr>
                <w:noProof/>
                <w:webHidden/>
              </w:rPr>
              <w:t>iv</w:t>
            </w:r>
            <w:r w:rsidR="007F151A">
              <w:rPr>
                <w:noProof/>
                <w:webHidden/>
              </w:rPr>
              <w:fldChar w:fldCharType="end"/>
            </w:r>
          </w:hyperlink>
        </w:p>
        <w:p w14:paraId="18B17123" w14:textId="311076AC" w:rsidR="007F151A" w:rsidRDefault="00000000">
          <w:pPr>
            <w:pStyle w:val="TOC1"/>
            <w:rPr>
              <w:rFonts w:asciiTheme="minorHAnsi" w:eastAsiaTheme="minorEastAsia" w:hAnsiTheme="minorHAnsi" w:cstheme="minorBidi"/>
              <w:b w:val="0"/>
              <w:bCs w:val="0"/>
              <w:caps w:val="0"/>
              <w:noProof/>
              <w:szCs w:val="24"/>
            </w:rPr>
          </w:pPr>
          <w:hyperlink w:anchor="_Toc118063615" w:history="1">
            <w:r w:rsidR="007F151A" w:rsidRPr="000D7769">
              <w:rPr>
                <w:rStyle w:val="Hyperlink"/>
                <w:noProof/>
              </w:rPr>
              <w:t>Abstract</w:t>
            </w:r>
            <w:r w:rsidR="007F151A">
              <w:rPr>
                <w:noProof/>
                <w:webHidden/>
              </w:rPr>
              <w:tab/>
            </w:r>
            <w:r w:rsidR="007F151A">
              <w:rPr>
                <w:noProof/>
                <w:webHidden/>
              </w:rPr>
              <w:fldChar w:fldCharType="begin"/>
            </w:r>
            <w:r w:rsidR="007F151A">
              <w:rPr>
                <w:noProof/>
                <w:webHidden/>
              </w:rPr>
              <w:instrText xml:space="preserve"> PAGEREF _Toc118063615 \h </w:instrText>
            </w:r>
            <w:r w:rsidR="007F151A">
              <w:rPr>
                <w:noProof/>
                <w:webHidden/>
              </w:rPr>
            </w:r>
            <w:r w:rsidR="007F151A">
              <w:rPr>
                <w:noProof/>
                <w:webHidden/>
              </w:rPr>
              <w:fldChar w:fldCharType="separate"/>
            </w:r>
            <w:r w:rsidR="00E72224">
              <w:rPr>
                <w:noProof/>
                <w:webHidden/>
              </w:rPr>
              <w:t>v</w:t>
            </w:r>
            <w:r w:rsidR="007F151A">
              <w:rPr>
                <w:noProof/>
                <w:webHidden/>
              </w:rPr>
              <w:fldChar w:fldCharType="end"/>
            </w:r>
          </w:hyperlink>
        </w:p>
        <w:p w14:paraId="6A4DFE37" w14:textId="7AE9EAE3" w:rsidR="007F151A" w:rsidRDefault="00000000">
          <w:pPr>
            <w:pStyle w:val="TOC1"/>
            <w:rPr>
              <w:rFonts w:asciiTheme="minorHAnsi" w:eastAsiaTheme="minorEastAsia" w:hAnsiTheme="minorHAnsi" w:cstheme="minorBidi"/>
              <w:b w:val="0"/>
              <w:bCs w:val="0"/>
              <w:caps w:val="0"/>
              <w:noProof/>
              <w:szCs w:val="24"/>
            </w:rPr>
          </w:pPr>
          <w:hyperlink w:anchor="_Toc118063616" w:history="1">
            <w:r w:rsidR="007F151A" w:rsidRPr="000D7769">
              <w:rPr>
                <w:rStyle w:val="Hyperlink"/>
                <w:noProof/>
              </w:rPr>
              <w:t>ABBREVIATIONS</w:t>
            </w:r>
            <w:r w:rsidR="007F151A">
              <w:rPr>
                <w:noProof/>
                <w:webHidden/>
              </w:rPr>
              <w:tab/>
            </w:r>
            <w:r w:rsidR="007F151A">
              <w:rPr>
                <w:noProof/>
                <w:webHidden/>
              </w:rPr>
              <w:fldChar w:fldCharType="begin"/>
            </w:r>
            <w:r w:rsidR="007F151A">
              <w:rPr>
                <w:noProof/>
                <w:webHidden/>
              </w:rPr>
              <w:instrText xml:space="preserve"> PAGEREF _Toc118063616 \h </w:instrText>
            </w:r>
            <w:r w:rsidR="007F151A">
              <w:rPr>
                <w:noProof/>
                <w:webHidden/>
              </w:rPr>
            </w:r>
            <w:r w:rsidR="007F151A">
              <w:rPr>
                <w:noProof/>
                <w:webHidden/>
              </w:rPr>
              <w:fldChar w:fldCharType="separate"/>
            </w:r>
            <w:r w:rsidR="00E72224">
              <w:rPr>
                <w:noProof/>
                <w:webHidden/>
              </w:rPr>
              <w:t>viii</w:t>
            </w:r>
            <w:r w:rsidR="007F151A">
              <w:rPr>
                <w:noProof/>
                <w:webHidden/>
              </w:rPr>
              <w:fldChar w:fldCharType="end"/>
            </w:r>
          </w:hyperlink>
        </w:p>
        <w:p w14:paraId="4D1E6E27" w14:textId="06105865" w:rsidR="007F151A" w:rsidRDefault="00000000">
          <w:pPr>
            <w:pStyle w:val="TOC1"/>
            <w:rPr>
              <w:rFonts w:asciiTheme="minorHAnsi" w:eastAsiaTheme="minorEastAsia" w:hAnsiTheme="minorHAnsi" w:cstheme="minorBidi"/>
              <w:b w:val="0"/>
              <w:bCs w:val="0"/>
              <w:caps w:val="0"/>
              <w:noProof/>
              <w:szCs w:val="24"/>
            </w:rPr>
          </w:pPr>
          <w:hyperlink w:anchor="_Toc118063617" w:history="1">
            <w:r w:rsidR="007F151A" w:rsidRPr="000D7769">
              <w:rPr>
                <w:rStyle w:val="Hyperlink"/>
                <w:noProof/>
                <w:lang w:val="en-AU"/>
              </w:rPr>
              <w:t>Chapter 1 Introduction</w:t>
            </w:r>
            <w:r w:rsidR="007F151A">
              <w:rPr>
                <w:noProof/>
                <w:webHidden/>
              </w:rPr>
              <w:tab/>
            </w:r>
            <w:r w:rsidR="007F151A">
              <w:rPr>
                <w:noProof/>
                <w:webHidden/>
              </w:rPr>
              <w:fldChar w:fldCharType="begin"/>
            </w:r>
            <w:r w:rsidR="007F151A">
              <w:rPr>
                <w:noProof/>
                <w:webHidden/>
              </w:rPr>
              <w:instrText xml:space="preserve"> PAGEREF _Toc118063617 \h </w:instrText>
            </w:r>
            <w:r w:rsidR="007F151A">
              <w:rPr>
                <w:noProof/>
                <w:webHidden/>
              </w:rPr>
            </w:r>
            <w:r w:rsidR="007F151A">
              <w:rPr>
                <w:noProof/>
                <w:webHidden/>
              </w:rPr>
              <w:fldChar w:fldCharType="separate"/>
            </w:r>
            <w:r w:rsidR="00E72224">
              <w:rPr>
                <w:noProof/>
                <w:webHidden/>
              </w:rPr>
              <w:t>1</w:t>
            </w:r>
            <w:r w:rsidR="007F151A">
              <w:rPr>
                <w:noProof/>
                <w:webHidden/>
              </w:rPr>
              <w:fldChar w:fldCharType="end"/>
            </w:r>
          </w:hyperlink>
        </w:p>
        <w:p w14:paraId="2374B6C5" w14:textId="47C894BA" w:rsidR="007F151A" w:rsidRDefault="00000000">
          <w:pPr>
            <w:pStyle w:val="TOC2"/>
            <w:rPr>
              <w:rFonts w:asciiTheme="minorHAnsi" w:eastAsiaTheme="minorEastAsia" w:hAnsiTheme="minorHAnsi" w:cstheme="minorBidi"/>
              <w:noProof/>
              <w:sz w:val="24"/>
              <w:szCs w:val="24"/>
            </w:rPr>
          </w:pPr>
          <w:hyperlink w:anchor="_Toc118063618" w:history="1">
            <w:r w:rsidR="007F151A" w:rsidRPr="000D7769">
              <w:rPr>
                <w:rStyle w:val="Hyperlink"/>
                <w:noProof/>
              </w:rPr>
              <w:t>1.1 The Research Question</w:t>
            </w:r>
            <w:r w:rsidR="007F151A">
              <w:rPr>
                <w:noProof/>
                <w:webHidden/>
              </w:rPr>
              <w:tab/>
            </w:r>
            <w:r w:rsidR="007F151A">
              <w:rPr>
                <w:noProof/>
                <w:webHidden/>
              </w:rPr>
              <w:fldChar w:fldCharType="begin"/>
            </w:r>
            <w:r w:rsidR="007F151A">
              <w:rPr>
                <w:noProof/>
                <w:webHidden/>
              </w:rPr>
              <w:instrText xml:space="preserve"> PAGEREF _Toc118063618 \h </w:instrText>
            </w:r>
            <w:r w:rsidR="007F151A">
              <w:rPr>
                <w:noProof/>
                <w:webHidden/>
              </w:rPr>
            </w:r>
            <w:r w:rsidR="007F151A">
              <w:rPr>
                <w:noProof/>
                <w:webHidden/>
              </w:rPr>
              <w:fldChar w:fldCharType="separate"/>
            </w:r>
            <w:r w:rsidR="00E72224">
              <w:rPr>
                <w:noProof/>
                <w:webHidden/>
              </w:rPr>
              <w:t>2</w:t>
            </w:r>
            <w:r w:rsidR="007F151A">
              <w:rPr>
                <w:noProof/>
                <w:webHidden/>
              </w:rPr>
              <w:fldChar w:fldCharType="end"/>
            </w:r>
          </w:hyperlink>
        </w:p>
        <w:p w14:paraId="4F946CEC" w14:textId="4BF3B83C" w:rsidR="007F151A" w:rsidRDefault="00000000">
          <w:pPr>
            <w:pStyle w:val="TOC2"/>
            <w:rPr>
              <w:rFonts w:asciiTheme="minorHAnsi" w:eastAsiaTheme="minorEastAsia" w:hAnsiTheme="minorHAnsi" w:cstheme="minorBidi"/>
              <w:noProof/>
              <w:sz w:val="24"/>
              <w:szCs w:val="24"/>
            </w:rPr>
          </w:pPr>
          <w:hyperlink w:anchor="_Toc118063619" w:history="1">
            <w:r w:rsidR="007F151A" w:rsidRPr="000D7769">
              <w:rPr>
                <w:rStyle w:val="Hyperlink"/>
                <w:noProof/>
              </w:rPr>
              <w:t>1.2 Methodological Considerations</w:t>
            </w:r>
            <w:r w:rsidR="007F151A">
              <w:rPr>
                <w:noProof/>
                <w:webHidden/>
              </w:rPr>
              <w:tab/>
            </w:r>
            <w:r w:rsidR="007F151A">
              <w:rPr>
                <w:noProof/>
                <w:webHidden/>
              </w:rPr>
              <w:fldChar w:fldCharType="begin"/>
            </w:r>
            <w:r w:rsidR="007F151A">
              <w:rPr>
                <w:noProof/>
                <w:webHidden/>
              </w:rPr>
              <w:instrText xml:space="preserve"> PAGEREF _Toc118063619 \h </w:instrText>
            </w:r>
            <w:r w:rsidR="007F151A">
              <w:rPr>
                <w:noProof/>
                <w:webHidden/>
              </w:rPr>
            </w:r>
            <w:r w:rsidR="007F151A">
              <w:rPr>
                <w:noProof/>
                <w:webHidden/>
              </w:rPr>
              <w:fldChar w:fldCharType="separate"/>
            </w:r>
            <w:r w:rsidR="00E72224">
              <w:rPr>
                <w:noProof/>
                <w:webHidden/>
              </w:rPr>
              <w:t>3</w:t>
            </w:r>
            <w:r w:rsidR="007F151A">
              <w:rPr>
                <w:noProof/>
                <w:webHidden/>
              </w:rPr>
              <w:fldChar w:fldCharType="end"/>
            </w:r>
          </w:hyperlink>
        </w:p>
        <w:p w14:paraId="0C236CE9" w14:textId="05D48B8F" w:rsidR="007F151A" w:rsidRDefault="00000000">
          <w:pPr>
            <w:pStyle w:val="TOC3"/>
            <w:tabs>
              <w:tab w:val="right" w:leader="dot" w:pos="9010"/>
            </w:tabs>
            <w:rPr>
              <w:rFonts w:asciiTheme="minorHAnsi" w:eastAsiaTheme="minorEastAsia" w:hAnsiTheme="minorHAnsi" w:cstheme="minorBidi"/>
              <w:iCs w:val="0"/>
              <w:noProof/>
              <w:sz w:val="24"/>
              <w:szCs w:val="24"/>
            </w:rPr>
          </w:pPr>
          <w:hyperlink w:anchor="_Toc118063620" w:history="1">
            <w:r w:rsidR="007F151A" w:rsidRPr="000D7769">
              <w:rPr>
                <w:rStyle w:val="Hyperlink"/>
                <w:noProof/>
              </w:rPr>
              <w:t xml:space="preserve">1.2.1 Which Traditions of </w:t>
            </w:r>
            <w:r w:rsidR="007F151A" w:rsidRPr="000D7769">
              <w:rPr>
                <w:rStyle w:val="Hyperlink"/>
                <w:i/>
                <w:noProof/>
              </w:rPr>
              <w:t>Mishna Avot</w:t>
            </w:r>
            <w:r w:rsidR="007F151A" w:rsidRPr="000D7769">
              <w:rPr>
                <w:rStyle w:val="Hyperlink"/>
                <w:noProof/>
              </w:rPr>
              <w:t xml:space="preserve"> Are Contemporaneous with Jesus?</w:t>
            </w:r>
            <w:r w:rsidR="007F151A">
              <w:rPr>
                <w:noProof/>
                <w:webHidden/>
              </w:rPr>
              <w:tab/>
            </w:r>
            <w:r w:rsidR="007F151A">
              <w:rPr>
                <w:noProof/>
                <w:webHidden/>
              </w:rPr>
              <w:fldChar w:fldCharType="begin"/>
            </w:r>
            <w:r w:rsidR="007F151A">
              <w:rPr>
                <w:noProof/>
                <w:webHidden/>
              </w:rPr>
              <w:instrText xml:space="preserve"> PAGEREF _Toc118063620 \h </w:instrText>
            </w:r>
            <w:r w:rsidR="007F151A">
              <w:rPr>
                <w:noProof/>
                <w:webHidden/>
              </w:rPr>
            </w:r>
            <w:r w:rsidR="007F151A">
              <w:rPr>
                <w:noProof/>
                <w:webHidden/>
              </w:rPr>
              <w:fldChar w:fldCharType="separate"/>
            </w:r>
            <w:r w:rsidR="00E72224">
              <w:rPr>
                <w:noProof/>
                <w:webHidden/>
              </w:rPr>
              <w:t>3</w:t>
            </w:r>
            <w:r w:rsidR="007F151A">
              <w:rPr>
                <w:noProof/>
                <w:webHidden/>
              </w:rPr>
              <w:fldChar w:fldCharType="end"/>
            </w:r>
          </w:hyperlink>
        </w:p>
        <w:p w14:paraId="4615CB96" w14:textId="02EA08F1" w:rsidR="007F151A" w:rsidRDefault="00000000">
          <w:pPr>
            <w:pStyle w:val="TOC3"/>
            <w:tabs>
              <w:tab w:val="right" w:leader="dot" w:pos="9010"/>
            </w:tabs>
            <w:rPr>
              <w:rFonts w:asciiTheme="minorHAnsi" w:eastAsiaTheme="minorEastAsia" w:hAnsiTheme="minorHAnsi" w:cstheme="minorBidi"/>
              <w:iCs w:val="0"/>
              <w:noProof/>
              <w:sz w:val="24"/>
              <w:szCs w:val="24"/>
            </w:rPr>
          </w:pPr>
          <w:hyperlink w:anchor="_Toc118063621" w:history="1">
            <w:r w:rsidR="007F151A" w:rsidRPr="000D7769">
              <w:rPr>
                <w:rStyle w:val="Hyperlink"/>
                <w:noProof/>
              </w:rPr>
              <w:t>1.2.2 Transmission of the Oral Law</w:t>
            </w:r>
            <w:r w:rsidR="007F151A">
              <w:rPr>
                <w:noProof/>
                <w:webHidden/>
              </w:rPr>
              <w:tab/>
            </w:r>
            <w:r w:rsidR="007F151A">
              <w:rPr>
                <w:noProof/>
                <w:webHidden/>
              </w:rPr>
              <w:fldChar w:fldCharType="begin"/>
            </w:r>
            <w:r w:rsidR="007F151A">
              <w:rPr>
                <w:noProof/>
                <w:webHidden/>
              </w:rPr>
              <w:instrText xml:space="preserve"> PAGEREF _Toc118063621 \h </w:instrText>
            </w:r>
            <w:r w:rsidR="007F151A">
              <w:rPr>
                <w:noProof/>
                <w:webHidden/>
              </w:rPr>
            </w:r>
            <w:r w:rsidR="007F151A">
              <w:rPr>
                <w:noProof/>
                <w:webHidden/>
              </w:rPr>
              <w:fldChar w:fldCharType="separate"/>
            </w:r>
            <w:r w:rsidR="00E72224">
              <w:rPr>
                <w:noProof/>
                <w:webHidden/>
              </w:rPr>
              <w:t>7</w:t>
            </w:r>
            <w:r w:rsidR="007F151A">
              <w:rPr>
                <w:noProof/>
                <w:webHidden/>
              </w:rPr>
              <w:fldChar w:fldCharType="end"/>
            </w:r>
          </w:hyperlink>
        </w:p>
        <w:p w14:paraId="4D300206" w14:textId="01DA26F9" w:rsidR="007F151A" w:rsidRDefault="00000000">
          <w:pPr>
            <w:pStyle w:val="TOC3"/>
            <w:tabs>
              <w:tab w:val="right" w:leader="dot" w:pos="9010"/>
            </w:tabs>
            <w:rPr>
              <w:rFonts w:asciiTheme="minorHAnsi" w:eastAsiaTheme="minorEastAsia" w:hAnsiTheme="minorHAnsi" w:cstheme="minorBidi"/>
              <w:iCs w:val="0"/>
              <w:noProof/>
              <w:sz w:val="24"/>
              <w:szCs w:val="24"/>
            </w:rPr>
          </w:pPr>
          <w:hyperlink w:anchor="_Toc118063622" w:history="1">
            <w:r w:rsidR="007F151A" w:rsidRPr="000D7769">
              <w:rPr>
                <w:rStyle w:val="Hyperlink"/>
                <w:noProof/>
              </w:rPr>
              <w:t>1.2.3 Was Jesus’s Audience Jewish?</w:t>
            </w:r>
            <w:r w:rsidR="007F151A">
              <w:rPr>
                <w:noProof/>
                <w:webHidden/>
              </w:rPr>
              <w:tab/>
            </w:r>
            <w:r w:rsidR="007F151A">
              <w:rPr>
                <w:noProof/>
                <w:webHidden/>
              </w:rPr>
              <w:fldChar w:fldCharType="begin"/>
            </w:r>
            <w:r w:rsidR="007F151A">
              <w:rPr>
                <w:noProof/>
                <w:webHidden/>
              </w:rPr>
              <w:instrText xml:space="preserve"> PAGEREF _Toc118063622 \h </w:instrText>
            </w:r>
            <w:r w:rsidR="007F151A">
              <w:rPr>
                <w:noProof/>
                <w:webHidden/>
              </w:rPr>
            </w:r>
            <w:r w:rsidR="007F151A">
              <w:rPr>
                <w:noProof/>
                <w:webHidden/>
              </w:rPr>
              <w:fldChar w:fldCharType="separate"/>
            </w:r>
            <w:r w:rsidR="00E72224">
              <w:rPr>
                <w:noProof/>
                <w:webHidden/>
              </w:rPr>
              <w:t>8</w:t>
            </w:r>
            <w:r w:rsidR="007F151A">
              <w:rPr>
                <w:noProof/>
                <w:webHidden/>
              </w:rPr>
              <w:fldChar w:fldCharType="end"/>
            </w:r>
          </w:hyperlink>
        </w:p>
        <w:p w14:paraId="45CA736D" w14:textId="72F90DAC" w:rsidR="007F151A" w:rsidRDefault="00000000">
          <w:pPr>
            <w:pStyle w:val="TOC2"/>
            <w:rPr>
              <w:rFonts w:asciiTheme="minorHAnsi" w:eastAsiaTheme="minorEastAsia" w:hAnsiTheme="minorHAnsi" w:cstheme="minorBidi"/>
              <w:noProof/>
              <w:sz w:val="24"/>
              <w:szCs w:val="24"/>
            </w:rPr>
          </w:pPr>
          <w:hyperlink w:anchor="_Toc118063623" w:history="1">
            <w:r w:rsidR="007F151A" w:rsidRPr="000D7769">
              <w:rPr>
                <w:rStyle w:val="Hyperlink"/>
                <w:noProof/>
              </w:rPr>
              <w:t>1.3 Chapter Conclusion</w:t>
            </w:r>
            <w:r w:rsidR="007F151A">
              <w:rPr>
                <w:noProof/>
                <w:webHidden/>
              </w:rPr>
              <w:tab/>
            </w:r>
            <w:r w:rsidR="007F151A">
              <w:rPr>
                <w:noProof/>
                <w:webHidden/>
              </w:rPr>
              <w:fldChar w:fldCharType="begin"/>
            </w:r>
            <w:r w:rsidR="007F151A">
              <w:rPr>
                <w:noProof/>
                <w:webHidden/>
              </w:rPr>
              <w:instrText xml:space="preserve"> PAGEREF _Toc118063623 \h </w:instrText>
            </w:r>
            <w:r w:rsidR="007F151A">
              <w:rPr>
                <w:noProof/>
                <w:webHidden/>
              </w:rPr>
            </w:r>
            <w:r w:rsidR="007F151A">
              <w:rPr>
                <w:noProof/>
                <w:webHidden/>
              </w:rPr>
              <w:fldChar w:fldCharType="separate"/>
            </w:r>
            <w:r w:rsidR="00E72224">
              <w:rPr>
                <w:noProof/>
                <w:webHidden/>
              </w:rPr>
              <w:t>10</w:t>
            </w:r>
            <w:r w:rsidR="007F151A">
              <w:rPr>
                <w:noProof/>
                <w:webHidden/>
              </w:rPr>
              <w:fldChar w:fldCharType="end"/>
            </w:r>
          </w:hyperlink>
        </w:p>
        <w:p w14:paraId="02BAEEDF" w14:textId="1CA53BFF" w:rsidR="007F151A" w:rsidRDefault="00000000">
          <w:pPr>
            <w:pStyle w:val="TOC1"/>
            <w:rPr>
              <w:rFonts w:asciiTheme="minorHAnsi" w:eastAsiaTheme="minorEastAsia" w:hAnsiTheme="minorHAnsi" w:cstheme="minorBidi"/>
              <w:b w:val="0"/>
              <w:bCs w:val="0"/>
              <w:caps w:val="0"/>
              <w:noProof/>
              <w:szCs w:val="24"/>
            </w:rPr>
          </w:pPr>
          <w:hyperlink w:anchor="_Toc118063624" w:history="1">
            <w:r w:rsidR="007F151A" w:rsidRPr="000D7769">
              <w:rPr>
                <w:rStyle w:val="Hyperlink"/>
                <w:noProof/>
                <w:lang w:val="en-AU"/>
              </w:rPr>
              <w:t>Chapter 2 WAR, Peace, and Messiah  in the Hebrew Bible</w:t>
            </w:r>
            <w:r w:rsidR="007F151A">
              <w:rPr>
                <w:noProof/>
                <w:webHidden/>
              </w:rPr>
              <w:tab/>
            </w:r>
            <w:r w:rsidR="007F151A">
              <w:rPr>
                <w:noProof/>
                <w:webHidden/>
              </w:rPr>
              <w:fldChar w:fldCharType="begin"/>
            </w:r>
            <w:r w:rsidR="007F151A">
              <w:rPr>
                <w:noProof/>
                <w:webHidden/>
              </w:rPr>
              <w:instrText xml:space="preserve"> PAGEREF _Toc118063624 \h </w:instrText>
            </w:r>
            <w:r w:rsidR="007F151A">
              <w:rPr>
                <w:noProof/>
                <w:webHidden/>
              </w:rPr>
            </w:r>
            <w:r w:rsidR="007F151A">
              <w:rPr>
                <w:noProof/>
                <w:webHidden/>
              </w:rPr>
              <w:fldChar w:fldCharType="separate"/>
            </w:r>
            <w:r w:rsidR="00E72224">
              <w:rPr>
                <w:noProof/>
                <w:webHidden/>
              </w:rPr>
              <w:t>11</w:t>
            </w:r>
            <w:r w:rsidR="007F151A">
              <w:rPr>
                <w:noProof/>
                <w:webHidden/>
              </w:rPr>
              <w:fldChar w:fldCharType="end"/>
            </w:r>
          </w:hyperlink>
        </w:p>
        <w:p w14:paraId="586AA56C" w14:textId="5CA462D8" w:rsidR="007F151A" w:rsidRDefault="00000000">
          <w:pPr>
            <w:pStyle w:val="TOC2"/>
            <w:rPr>
              <w:rFonts w:asciiTheme="minorHAnsi" w:eastAsiaTheme="minorEastAsia" w:hAnsiTheme="minorHAnsi" w:cstheme="minorBidi"/>
              <w:noProof/>
              <w:sz w:val="24"/>
              <w:szCs w:val="24"/>
            </w:rPr>
          </w:pPr>
          <w:hyperlink w:anchor="_Toc118063625" w:history="1">
            <w:r w:rsidR="007F151A" w:rsidRPr="000D7769">
              <w:rPr>
                <w:rStyle w:val="Hyperlink"/>
                <w:noProof/>
              </w:rPr>
              <w:t>2.1 Introduction</w:t>
            </w:r>
            <w:r w:rsidR="007F151A">
              <w:rPr>
                <w:noProof/>
                <w:webHidden/>
              </w:rPr>
              <w:tab/>
            </w:r>
            <w:r w:rsidR="007F151A">
              <w:rPr>
                <w:noProof/>
                <w:webHidden/>
              </w:rPr>
              <w:fldChar w:fldCharType="begin"/>
            </w:r>
            <w:r w:rsidR="007F151A">
              <w:rPr>
                <w:noProof/>
                <w:webHidden/>
              </w:rPr>
              <w:instrText xml:space="preserve"> PAGEREF _Toc118063625 \h </w:instrText>
            </w:r>
            <w:r w:rsidR="007F151A">
              <w:rPr>
                <w:noProof/>
                <w:webHidden/>
              </w:rPr>
            </w:r>
            <w:r w:rsidR="007F151A">
              <w:rPr>
                <w:noProof/>
                <w:webHidden/>
              </w:rPr>
              <w:fldChar w:fldCharType="separate"/>
            </w:r>
            <w:r w:rsidR="00E72224">
              <w:rPr>
                <w:noProof/>
                <w:webHidden/>
              </w:rPr>
              <w:t>11</w:t>
            </w:r>
            <w:r w:rsidR="007F151A">
              <w:rPr>
                <w:noProof/>
                <w:webHidden/>
              </w:rPr>
              <w:fldChar w:fldCharType="end"/>
            </w:r>
          </w:hyperlink>
        </w:p>
        <w:p w14:paraId="0E58F3DC" w14:textId="458EEDF2" w:rsidR="007F151A" w:rsidRDefault="00000000">
          <w:pPr>
            <w:pStyle w:val="TOC2"/>
            <w:rPr>
              <w:rFonts w:asciiTheme="minorHAnsi" w:eastAsiaTheme="minorEastAsia" w:hAnsiTheme="minorHAnsi" w:cstheme="minorBidi"/>
              <w:noProof/>
              <w:sz w:val="24"/>
              <w:szCs w:val="24"/>
            </w:rPr>
          </w:pPr>
          <w:hyperlink w:anchor="_Toc118063626" w:history="1">
            <w:r w:rsidR="007F151A" w:rsidRPr="000D7769">
              <w:rPr>
                <w:rStyle w:val="Hyperlink"/>
                <w:bCs/>
                <w:noProof/>
              </w:rPr>
              <w:t xml:space="preserve">2.2 </w:t>
            </w:r>
            <w:r w:rsidR="007F151A" w:rsidRPr="000D7769">
              <w:rPr>
                <w:rStyle w:val="Hyperlink"/>
                <w:noProof/>
              </w:rPr>
              <w:t>Warrior God and War in the Hebrew Bible</w:t>
            </w:r>
            <w:r w:rsidR="007F151A">
              <w:rPr>
                <w:noProof/>
                <w:webHidden/>
              </w:rPr>
              <w:tab/>
            </w:r>
            <w:r w:rsidR="007F151A">
              <w:rPr>
                <w:noProof/>
                <w:webHidden/>
              </w:rPr>
              <w:fldChar w:fldCharType="begin"/>
            </w:r>
            <w:r w:rsidR="007F151A">
              <w:rPr>
                <w:noProof/>
                <w:webHidden/>
              </w:rPr>
              <w:instrText xml:space="preserve"> PAGEREF _Toc118063626 \h </w:instrText>
            </w:r>
            <w:r w:rsidR="007F151A">
              <w:rPr>
                <w:noProof/>
                <w:webHidden/>
              </w:rPr>
            </w:r>
            <w:r w:rsidR="007F151A">
              <w:rPr>
                <w:noProof/>
                <w:webHidden/>
              </w:rPr>
              <w:fldChar w:fldCharType="separate"/>
            </w:r>
            <w:r w:rsidR="00E72224">
              <w:rPr>
                <w:noProof/>
                <w:webHidden/>
              </w:rPr>
              <w:t>11</w:t>
            </w:r>
            <w:r w:rsidR="007F151A">
              <w:rPr>
                <w:noProof/>
                <w:webHidden/>
              </w:rPr>
              <w:fldChar w:fldCharType="end"/>
            </w:r>
          </w:hyperlink>
        </w:p>
        <w:p w14:paraId="058FFE51" w14:textId="47101E46" w:rsidR="007F151A" w:rsidRDefault="00000000">
          <w:pPr>
            <w:pStyle w:val="TOC2"/>
            <w:rPr>
              <w:rFonts w:asciiTheme="minorHAnsi" w:eastAsiaTheme="minorEastAsia" w:hAnsiTheme="minorHAnsi" w:cstheme="minorBidi"/>
              <w:noProof/>
              <w:sz w:val="24"/>
              <w:szCs w:val="24"/>
            </w:rPr>
          </w:pPr>
          <w:hyperlink w:anchor="_Toc118063627" w:history="1">
            <w:r w:rsidR="007F151A" w:rsidRPr="000D7769">
              <w:rPr>
                <w:rStyle w:val="Hyperlink"/>
                <w:noProof/>
              </w:rPr>
              <w:t>2.3 Conceptions of War in the Second Temple Period</w:t>
            </w:r>
            <w:r w:rsidR="007F151A">
              <w:rPr>
                <w:noProof/>
                <w:webHidden/>
              </w:rPr>
              <w:tab/>
            </w:r>
            <w:r w:rsidR="007F151A">
              <w:rPr>
                <w:noProof/>
                <w:webHidden/>
              </w:rPr>
              <w:fldChar w:fldCharType="begin"/>
            </w:r>
            <w:r w:rsidR="007F151A">
              <w:rPr>
                <w:noProof/>
                <w:webHidden/>
              </w:rPr>
              <w:instrText xml:space="preserve"> PAGEREF _Toc118063627 \h </w:instrText>
            </w:r>
            <w:r w:rsidR="007F151A">
              <w:rPr>
                <w:noProof/>
                <w:webHidden/>
              </w:rPr>
            </w:r>
            <w:r w:rsidR="007F151A">
              <w:rPr>
                <w:noProof/>
                <w:webHidden/>
              </w:rPr>
              <w:fldChar w:fldCharType="separate"/>
            </w:r>
            <w:r w:rsidR="00E72224">
              <w:rPr>
                <w:noProof/>
                <w:webHidden/>
              </w:rPr>
              <w:t>18</w:t>
            </w:r>
            <w:r w:rsidR="007F151A">
              <w:rPr>
                <w:noProof/>
                <w:webHidden/>
              </w:rPr>
              <w:fldChar w:fldCharType="end"/>
            </w:r>
          </w:hyperlink>
        </w:p>
        <w:p w14:paraId="001C102B" w14:textId="7F5C9613" w:rsidR="007F151A" w:rsidRDefault="00000000">
          <w:pPr>
            <w:pStyle w:val="TOC2"/>
            <w:rPr>
              <w:rFonts w:asciiTheme="minorHAnsi" w:eastAsiaTheme="minorEastAsia" w:hAnsiTheme="minorHAnsi" w:cstheme="minorBidi"/>
              <w:noProof/>
              <w:sz w:val="24"/>
              <w:szCs w:val="24"/>
            </w:rPr>
          </w:pPr>
          <w:hyperlink w:anchor="_Toc118063628" w:history="1">
            <w:r w:rsidR="007F151A" w:rsidRPr="000D7769">
              <w:rPr>
                <w:rStyle w:val="Hyperlink"/>
                <w:noProof/>
              </w:rPr>
              <w:t>2.4 Micah 4, a Kingdom at Peace, and a Potential Messianic Role</w:t>
            </w:r>
            <w:r w:rsidR="007F151A">
              <w:rPr>
                <w:noProof/>
                <w:webHidden/>
              </w:rPr>
              <w:tab/>
            </w:r>
            <w:r w:rsidR="007F151A">
              <w:rPr>
                <w:noProof/>
                <w:webHidden/>
              </w:rPr>
              <w:fldChar w:fldCharType="begin"/>
            </w:r>
            <w:r w:rsidR="007F151A">
              <w:rPr>
                <w:noProof/>
                <w:webHidden/>
              </w:rPr>
              <w:instrText xml:space="preserve"> PAGEREF _Toc118063628 \h </w:instrText>
            </w:r>
            <w:r w:rsidR="007F151A">
              <w:rPr>
                <w:noProof/>
                <w:webHidden/>
              </w:rPr>
            </w:r>
            <w:r w:rsidR="007F151A">
              <w:rPr>
                <w:noProof/>
                <w:webHidden/>
              </w:rPr>
              <w:fldChar w:fldCharType="separate"/>
            </w:r>
            <w:r w:rsidR="00E72224">
              <w:rPr>
                <w:noProof/>
                <w:webHidden/>
              </w:rPr>
              <w:t>20</w:t>
            </w:r>
            <w:r w:rsidR="007F151A">
              <w:rPr>
                <w:noProof/>
                <w:webHidden/>
              </w:rPr>
              <w:fldChar w:fldCharType="end"/>
            </w:r>
          </w:hyperlink>
        </w:p>
        <w:p w14:paraId="4FA4F193" w14:textId="03B98AFA" w:rsidR="007F151A" w:rsidRDefault="00000000">
          <w:pPr>
            <w:pStyle w:val="TOC2"/>
            <w:rPr>
              <w:rFonts w:asciiTheme="minorHAnsi" w:eastAsiaTheme="minorEastAsia" w:hAnsiTheme="minorHAnsi" w:cstheme="minorBidi"/>
              <w:noProof/>
              <w:sz w:val="24"/>
              <w:szCs w:val="24"/>
            </w:rPr>
          </w:pPr>
          <w:hyperlink w:anchor="_Toc118063629" w:history="1">
            <w:r w:rsidR="007F151A" w:rsidRPr="000D7769">
              <w:rPr>
                <w:rStyle w:val="Hyperlink"/>
                <w:noProof/>
              </w:rPr>
              <w:t>2.5 Isaiah 9, Kingship, and a Messianic Figure</w:t>
            </w:r>
            <w:r w:rsidR="007F151A">
              <w:rPr>
                <w:noProof/>
                <w:webHidden/>
              </w:rPr>
              <w:tab/>
            </w:r>
            <w:r w:rsidR="007F151A">
              <w:rPr>
                <w:noProof/>
                <w:webHidden/>
              </w:rPr>
              <w:fldChar w:fldCharType="begin"/>
            </w:r>
            <w:r w:rsidR="007F151A">
              <w:rPr>
                <w:noProof/>
                <w:webHidden/>
              </w:rPr>
              <w:instrText xml:space="preserve"> PAGEREF _Toc118063629 \h </w:instrText>
            </w:r>
            <w:r w:rsidR="007F151A">
              <w:rPr>
                <w:noProof/>
                <w:webHidden/>
              </w:rPr>
            </w:r>
            <w:r w:rsidR="007F151A">
              <w:rPr>
                <w:noProof/>
                <w:webHidden/>
              </w:rPr>
              <w:fldChar w:fldCharType="separate"/>
            </w:r>
            <w:r w:rsidR="00E72224">
              <w:rPr>
                <w:noProof/>
                <w:webHidden/>
              </w:rPr>
              <w:t>22</w:t>
            </w:r>
            <w:r w:rsidR="007F151A">
              <w:rPr>
                <w:noProof/>
                <w:webHidden/>
              </w:rPr>
              <w:fldChar w:fldCharType="end"/>
            </w:r>
          </w:hyperlink>
        </w:p>
        <w:p w14:paraId="05D477D6" w14:textId="3771EB92" w:rsidR="007F151A" w:rsidRDefault="00000000">
          <w:pPr>
            <w:pStyle w:val="TOC2"/>
            <w:rPr>
              <w:rFonts w:asciiTheme="minorHAnsi" w:eastAsiaTheme="minorEastAsia" w:hAnsiTheme="minorHAnsi" w:cstheme="minorBidi"/>
              <w:noProof/>
              <w:sz w:val="24"/>
              <w:szCs w:val="24"/>
            </w:rPr>
          </w:pPr>
          <w:hyperlink w:anchor="_Toc118063630" w:history="1">
            <w:r w:rsidR="007F151A" w:rsidRPr="000D7769">
              <w:rPr>
                <w:rStyle w:val="Hyperlink"/>
                <w:noProof/>
              </w:rPr>
              <w:t>2.6 Peace and the Kingdom of God in the Teachings of Jesus</w:t>
            </w:r>
            <w:r w:rsidR="007F151A">
              <w:rPr>
                <w:noProof/>
                <w:webHidden/>
              </w:rPr>
              <w:tab/>
            </w:r>
            <w:r w:rsidR="007F151A">
              <w:rPr>
                <w:noProof/>
                <w:webHidden/>
              </w:rPr>
              <w:fldChar w:fldCharType="begin"/>
            </w:r>
            <w:r w:rsidR="007F151A">
              <w:rPr>
                <w:noProof/>
                <w:webHidden/>
              </w:rPr>
              <w:instrText xml:space="preserve"> PAGEREF _Toc118063630 \h </w:instrText>
            </w:r>
            <w:r w:rsidR="007F151A">
              <w:rPr>
                <w:noProof/>
                <w:webHidden/>
              </w:rPr>
            </w:r>
            <w:r w:rsidR="007F151A">
              <w:rPr>
                <w:noProof/>
                <w:webHidden/>
              </w:rPr>
              <w:fldChar w:fldCharType="separate"/>
            </w:r>
            <w:r w:rsidR="00E72224">
              <w:rPr>
                <w:noProof/>
                <w:webHidden/>
              </w:rPr>
              <w:t>24</w:t>
            </w:r>
            <w:r w:rsidR="007F151A">
              <w:rPr>
                <w:noProof/>
                <w:webHidden/>
              </w:rPr>
              <w:fldChar w:fldCharType="end"/>
            </w:r>
          </w:hyperlink>
        </w:p>
        <w:p w14:paraId="43061007" w14:textId="5635DA07" w:rsidR="007F151A" w:rsidRDefault="00000000">
          <w:pPr>
            <w:pStyle w:val="TOC2"/>
            <w:rPr>
              <w:rFonts w:asciiTheme="minorHAnsi" w:eastAsiaTheme="minorEastAsia" w:hAnsiTheme="minorHAnsi" w:cstheme="minorBidi"/>
              <w:noProof/>
              <w:sz w:val="24"/>
              <w:szCs w:val="24"/>
            </w:rPr>
          </w:pPr>
          <w:hyperlink w:anchor="_Toc118063631" w:history="1">
            <w:r w:rsidR="007F151A" w:rsidRPr="000D7769">
              <w:rPr>
                <w:rStyle w:val="Hyperlink"/>
                <w:noProof/>
              </w:rPr>
              <w:t xml:space="preserve">2.7 Keeping the </w:t>
            </w:r>
            <w:r w:rsidR="007F151A" w:rsidRPr="000D7769">
              <w:rPr>
                <w:rStyle w:val="Hyperlink"/>
                <w:i/>
                <w:iCs/>
                <w:noProof/>
              </w:rPr>
              <w:t>Mitzvoth</w:t>
            </w:r>
            <w:r w:rsidR="007F151A" w:rsidRPr="000D7769">
              <w:rPr>
                <w:rStyle w:val="Hyperlink"/>
                <w:noProof/>
              </w:rPr>
              <w:t xml:space="preserve"> and the Audience of the Sermon on the Mount</w:t>
            </w:r>
            <w:r w:rsidR="007F151A">
              <w:rPr>
                <w:noProof/>
                <w:webHidden/>
              </w:rPr>
              <w:tab/>
            </w:r>
            <w:r w:rsidR="007F151A">
              <w:rPr>
                <w:noProof/>
                <w:webHidden/>
              </w:rPr>
              <w:fldChar w:fldCharType="begin"/>
            </w:r>
            <w:r w:rsidR="007F151A">
              <w:rPr>
                <w:noProof/>
                <w:webHidden/>
              </w:rPr>
              <w:instrText xml:space="preserve"> PAGEREF _Toc118063631 \h </w:instrText>
            </w:r>
            <w:r w:rsidR="007F151A">
              <w:rPr>
                <w:noProof/>
                <w:webHidden/>
              </w:rPr>
            </w:r>
            <w:r w:rsidR="007F151A">
              <w:rPr>
                <w:noProof/>
                <w:webHidden/>
              </w:rPr>
              <w:fldChar w:fldCharType="separate"/>
            </w:r>
            <w:r w:rsidR="00E72224">
              <w:rPr>
                <w:noProof/>
                <w:webHidden/>
              </w:rPr>
              <w:t>28</w:t>
            </w:r>
            <w:r w:rsidR="007F151A">
              <w:rPr>
                <w:noProof/>
                <w:webHidden/>
              </w:rPr>
              <w:fldChar w:fldCharType="end"/>
            </w:r>
          </w:hyperlink>
        </w:p>
        <w:p w14:paraId="5AA1BABA" w14:textId="75BFC4F5" w:rsidR="007F151A" w:rsidRDefault="00000000">
          <w:pPr>
            <w:pStyle w:val="TOC2"/>
            <w:rPr>
              <w:rFonts w:asciiTheme="minorHAnsi" w:eastAsiaTheme="minorEastAsia" w:hAnsiTheme="minorHAnsi" w:cstheme="minorBidi"/>
              <w:noProof/>
              <w:sz w:val="24"/>
              <w:szCs w:val="24"/>
            </w:rPr>
          </w:pPr>
          <w:hyperlink w:anchor="_Toc118063632" w:history="1">
            <w:r w:rsidR="007F151A" w:rsidRPr="000D7769">
              <w:rPr>
                <w:rStyle w:val="Hyperlink"/>
                <w:noProof/>
              </w:rPr>
              <w:t>2.8 Chapter Conclusion</w:t>
            </w:r>
            <w:r w:rsidR="007F151A">
              <w:rPr>
                <w:noProof/>
                <w:webHidden/>
              </w:rPr>
              <w:tab/>
            </w:r>
            <w:r w:rsidR="007F151A">
              <w:rPr>
                <w:noProof/>
                <w:webHidden/>
              </w:rPr>
              <w:fldChar w:fldCharType="begin"/>
            </w:r>
            <w:r w:rsidR="007F151A">
              <w:rPr>
                <w:noProof/>
                <w:webHidden/>
              </w:rPr>
              <w:instrText xml:space="preserve"> PAGEREF _Toc118063632 \h </w:instrText>
            </w:r>
            <w:r w:rsidR="007F151A">
              <w:rPr>
                <w:noProof/>
                <w:webHidden/>
              </w:rPr>
            </w:r>
            <w:r w:rsidR="007F151A">
              <w:rPr>
                <w:noProof/>
                <w:webHidden/>
              </w:rPr>
              <w:fldChar w:fldCharType="separate"/>
            </w:r>
            <w:r w:rsidR="00E72224">
              <w:rPr>
                <w:noProof/>
                <w:webHidden/>
              </w:rPr>
              <w:t>31</w:t>
            </w:r>
            <w:r w:rsidR="007F151A">
              <w:rPr>
                <w:noProof/>
                <w:webHidden/>
              </w:rPr>
              <w:fldChar w:fldCharType="end"/>
            </w:r>
          </w:hyperlink>
        </w:p>
        <w:p w14:paraId="098557C7" w14:textId="27B16179" w:rsidR="007F151A" w:rsidRDefault="00000000">
          <w:pPr>
            <w:pStyle w:val="TOC1"/>
            <w:rPr>
              <w:rFonts w:asciiTheme="minorHAnsi" w:eastAsiaTheme="minorEastAsia" w:hAnsiTheme="minorHAnsi" w:cstheme="minorBidi"/>
              <w:b w:val="0"/>
              <w:bCs w:val="0"/>
              <w:caps w:val="0"/>
              <w:noProof/>
              <w:szCs w:val="24"/>
            </w:rPr>
          </w:pPr>
          <w:hyperlink w:anchor="_Toc118063633" w:history="1">
            <w:r w:rsidR="007F151A" w:rsidRPr="000D7769">
              <w:rPr>
                <w:rStyle w:val="Hyperlink"/>
                <w:noProof/>
              </w:rPr>
              <w:t>Chapter 3   The Qumran Community, Repentance, and the Two Messiahs</w:t>
            </w:r>
            <w:r w:rsidR="007F151A">
              <w:rPr>
                <w:noProof/>
                <w:webHidden/>
              </w:rPr>
              <w:tab/>
            </w:r>
            <w:r w:rsidR="007F151A">
              <w:rPr>
                <w:noProof/>
                <w:webHidden/>
              </w:rPr>
              <w:fldChar w:fldCharType="begin"/>
            </w:r>
            <w:r w:rsidR="007F151A">
              <w:rPr>
                <w:noProof/>
                <w:webHidden/>
              </w:rPr>
              <w:instrText xml:space="preserve"> PAGEREF _Toc118063633 \h </w:instrText>
            </w:r>
            <w:r w:rsidR="007F151A">
              <w:rPr>
                <w:noProof/>
                <w:webHidden/>
              </w:rPr>
            </w:r>
            <w:r w:rsidR="007F151A">
              <w:rPr>
                <w:noProof/>
                <w:webHidden/>
              </w:rPr>
              <w:fldChar w:fldCharType="separate"/>
            </w:r>
            <w:r w:rsidR="00E72224">
              <w:rPr>
                <w:noProof/>
                <w:webHidden/>
              </w:rPr>
              <w:t>33</w:t>
            </w:r>
            <w:r w:rsidR="007F151A">
              <w:rPr>
                <w:noProof/>
                <w:webHidden/>
              </w:rPr>
              <w:fldChar w:fldCharType="end"/>
            </w:r>
          </w:hyperlink>
        </w:p>
        <w:p w14:paraId="5B85177A" w14:textId="20E31173" w:rsidR="007F151A" w:rsidRDefault="00000000">
          <w:pPr>
            <w:pStyle w:val="TOC2"/>
            <w:rPr>
              <w:rFonts w:asciiTheme="minorHAnsi" w:eastAsiaTheme="minorEastAsia" w:hAnsiTheme="minorHAnsi" w:cstheme="minorBidi"/>
              <w:noProof/>
              <w:sz w:val="24"/>
              <w:szCs w:val="24"/>
            </w:rPr>
          </w:pPr>
          <w:hyperlink w:anchor="_Toc118063634" w:history="1">
            <w:r w:rsidR="007F151A" w:rsidRPr="000D7769">
              <w:rPr>
                <w:rStyle w:val="Hyperlink"/>
                <w:noProof/>
              </w:rPr>
              <w:t>3.1 Introduction</w:t>
            </w:r>
            <w:r w:rsidR="007F151A">
              <w:rPr>
                <w:noProof/>
                <w:webHidden/>
              </w:rPr>
              <w:tab/>
            </w:r>
            <w:r w:rsidR="007F151A">
              <w:rPr>
                <w:noProof/>
                <w:webHidden/>
              </w:rPr>
              <w:fldChar w:fldCharType="begin"/>
            </w:r>
            <w:r w:rsidR="007F151A">
              <w:rPr>
                <w:noProof/>
                <w:webHidden/>
              </w:rPr>
              <w:instrText xml:space="preserve"> PAGEREF _Toc118063634 \h </w:instrText>
            </w:r>
            <w:r w:rsidR="007F151A">
              <w:rPr>
                <w:noProof/>
                <w:webHidden/>
              </w:rPr>
            </w:r>
            <w:r w:rsidR="007F151A">
              <w:rPr>
                <w:noProof/>
                <w:webHidden/>
              </w:rPr>
              <w:fldChar w:fldCharType="separate"/>
            </w:r>
            <w:r w:rsidR="00E72224">
              <w:rPr>
                <w:noProof/>
                <w:webHidden/>
              </w:rPr>
              <w:t>33</w:t>
            </w:r>
            <w:r w:rsidR="007F151A">
              <w:rPr>
                <w:noProof/>
                <w:webHidden/>
              </w:rPr>
              <w:fldChar w:fldCharType="end"/>
            </w:r>
          </w:hyperlink>
        </w:p>
        <w:p w14:paraId="1BE28747" w14:textId="453B6FAC" w:rsidR="007F151A" w:rsidRDefault="00000000">
          <w:pPr>
            <w:pStyle w:val="TOC2"/>
            <w:rPr>
              <w:rFonts w:asciiTheme="minorHAnsi" w:eastAsiaTheme="minorEastAsia" w:hAnsiTheme="minorHAnsi" w:cstheme="minorBidi"/>
              <w:noProof/>
              <w:sz w:val="24"/>
              <w:szCs w:val="24"/>
            </w:rPr>
          </w:pPr>
          <w:hyperlink w:anchor="_Toc118063635" w:history="1">
            <w:r w:rsidR="007F151A" w:rsidRPr="000D7769">
              <w:rPr>
                <w:rStyle w:val="Hyperlink"/>
                <w:noProof/>
              </w:rPr>
              <w:t>3.2 Qumran Community and the Dead Sea Scrolls</w:t>
            </w:r>
            <w:r w:rsidR="007F151A">
              <w:rPr>
                <w:noProof/>
                <w:webHidden/>
              </w:rPr>
              <w:tab/>
            </w:r>
            <w:r w:rsidR="007F151A">
              <w:rPr>
                <w:noProof/>
                <w:webHidden/>
              </w:rPr>
              <w:fldChar w:fldCharType="begin"/>
            </w:r>
            <w:r w:rsidR="007F151A">
              <w:rPr>
                <w:noProof/>
                <w:webHidden/>
              </w:rPr>
              <w:instrText xml:space="preserve"> PAGEREF _Toc118063635 \h </w:instrText>
            </w:r>
            <w:r w:rsidR="007F151A">
              <w:rPr>
                <w:noProof/>
                <w:webHidden/>
              </w:rPr>
            </w:r>
            <w:r w:rsidR="007F151A">
              <w:rPr>
                <w:noProof/>
                <w:webHidden/>
              </w:rPr>
              <w:fldChar w:fldCharType="separate"/>
            </w:r>
            <w:r w:rsidR="00E72224">
              <w:rPr>
                <w:noProof/>
                <w:webHidden/>
              </w:rPr>
              <w:t>33</w:t>
            </w:r>
            <w:r w:rsidR="007F151A">
              <w:rPr>
                <w:noProof/>
                <w:webHidden/>
              </w:rPr>
              <w:fldChar w:fldCharType="end"/>
            </w:r>
          </w:hyperlink>
        </w:p>
        <w:p w14:paraId="5C6C6E1B" w14:textId="72A42D53" w:rsidR="007F151A" w:rsidRDefault="00000000">
          <w:pPr>
            <w:pStyle w:val="TOC2"/>
            <w:rPr>
              <w:rFonts w:asciiTheme="minorHAnsi" w:eastAsiaTheme="minorEastAsia" w:hAnsiTheme="minorHAnsi" w:cstheme="minorBidi"/>
              <w:noProof/>
              <w:sz w:val="24"/>
              <w:szCs w:val="24"/>
            </w:rPr>
          </w:pPr>
          <w:hyperlink w:anchor="_Toc118063636" w:history="1">
            <w:r w:rsidR="007F151A" w:rsidRPr="000D7769">
              <w:rPr>
                <w:rStyle w:val="Hyperlink"/>
                <w:noProof/>
              </w:rPr>
              <w:t>3.3 Repentance</w:t>
            </w:r>
            <w:r w:rsidR="007F151A">
              <w:rPr>
                <w:noProof/>
                <w:webHidden/>
              </w:rPr>
              <w:tab/>
            </w:r>
            <w:r w:rsidR="007F151A">
              <w:rPr>
                <w:noProof/>
                <w:webHidden/>
              </w:rPr>
              <w:fldChar w:fldCharType="begin"/>
            </w:r>
            <w:r w:rsidR="007F151A">
              <w:rPr>
                <w:noProof/>
                <w:webHidden/>
              </w:rPr>
              <w:instrText xml:space="preserve"> PAGEREF _Toc118063636 \h </w:instrText>
            </w:r>
            <w:r w:rsidR="007F151A">
              <w:rPr>
                <w:noProof/>
                <w:webHidden/>
              </w:rPr>
            </w:r>
            <w:r w:rsidR="007F151A">
              <w:rPr>
                <w:noProof/>
                <w:webHidden/>
              </w:rPr>
              <w:fldChar w:fldCharType="separate"/>
            </w:r>
            <w:r w:rsidR="00E72224">
              <w:rPr>
                <w:noProof/>
                <w:webHidden/>
              </w:rPr>
              <w:t>43</w:t>
            </w:r>
            <w:r w:rsidR="007F151A">
              <w:rPr>
                <w:noProof/>
                <w:webHidden/>
              </w:rPr>
              <w:fldChar w:fldCharType="end"/>
            </w:r>
          </w:hyperlink>
        </w:p>
        <w:p w14:paraId="46C8EE4E" w14:textId="314F32B9" w:rsidR="007F151A" w:rsidRDefault="00000000">
          <w:pPr>
            <w:pStyle w:val="TOC2"/>
            <w:rPr>
              <w:rFonts w:asciiTheme="minorHAnsi" w:eastAsiaTheme="minorEastAsia" w:hAnsiTheme="minorHAnsi" w:cstheme="minorBidi"/>
              <w:noProof/>
              <w:sz w:val="24"/>
              <w:szCs w:val="24"/>
            </w:rPr>
          </w:pPr>
          <w:hyperlink w:anchor="_Toc118063637" w:history="1">
            <w:r w:rsidR="007F151A" w:rsidRPr="000D7769">
              <w:rPr>
                <w:rStyle w:val="Hyperlink"/>
                <w:bCs/>
                <w:noProof/>
              </w:rPr>
              <w:t>3.4</w:t>
            </w:r>
            <w:r w:rsidR="007F151A" w:rsidRPr="000D7769">
              <w:rPr>
                <w:rStyle w:val="Hyperlink"/>
                <w:noProof/>
              </w:rPr>
              <w:t xml:space="preserve"> </w:t>
            </w:r>
            <w:r w:rsidR="007F151A" w:rsidRPr="000D7769">
              <w:rPr>
                <w:rStyle w:val="Hyperlink"/>
                <w:noProof/>
                <w:rtl/>
              </w:rPr>
              <w:t>משיח</w:t>
            </w:r>
            <w:r w:rsidR="007F151A" w:rsidRPr="000D7769">
              <w:rPr>
                <w:rStyle w:val="Hyperlink"/>
                <w:noProof/>
              </w:rPr>
              <w:t xml:space="preserve"> and Peace in </w:t>
            </w:r>
            <w:r w:rsidR="007F151A" w:rsidRPr="000D7769">
              <w:rPr>
                <w:rStyle w:val="Hyperlink"/>
                <w:iCs/>
                <w:noProof/>
              </w:rPr>
              <w:t>the Hebrew Bible</w:t>
            </w:r>
            <w:r w:rsidR="007F151A">
              <w:rPr>
                <w:noProof/>
                <w:webHidden/>
              </w:rPr>
              <w:tab/>
            </w:r>
            <w:r w:rsidR="007F151A">
              <w:rPr>
                <w:noProof/>
                <w:webHidden/>
              </w:rPr>
              <w:fldChar w:fldCharType="begin"/>
            </w:r>
            <w:r w:rsidR="007F151A">
              <w:rPr>
                <w:noProof/>
                <w:webHidden/>
              </w:rPr>
              <w:instrText xml:space="preserve"> PAGEREF _Toc118063637 \h </w:instrText>
            </w:r>
            <w:r w:rsidR="007F151A">
              <w:rPr>
                <w:noProof/>
                <w:webHidden/>
              </w:rPr>
            </w:r>
            <w:r w:rsidR="007F151A">
              <w:rPr>
                <w:noProof/>
                <w:webHidden/>
              </w:rPr>
              <w:fldChar w:fldCharType="separate"/>
            </w:r>
            <w:r w:rsidR="00E72224">
              <w:rPr>
                <w:noProof/>
                <w:webHidden/>
              </w:rPr>
              <w:t>49</w:t>
            </w:r>
            <w:r w:rsidR="007F151A">
              <w:rPr>
                <w:noProof/>
                <w:webHidden/>
              </w:rPr>
              <w:fldChar w:fldCharType="end"/>
            </w:r>
          </w:hyperlink>
        </w:p>
        <w:p w14:paraId="256B00C7" w14:textId="7AC86AB6" w:rsidR="007F151A" w:rsidRDefault="00000000">
          <w:pPr>
            <w:pStyle w:val="TOC2"/>
            <w:rPr>
              <w:rFonts w:asciiTheme="minorHAnsi" w:eastAsiaTheme="minorEastAsia" w:hAnsiTheme="minorHAnsi" w:cstheme="minorBidi"/>
              <w:noProof/>
              <w:sz w:val="24"/>
              <w:szCs w:val="24"/>
            </w:rPr>
          </w:pPr>
          <w:hyperlink w:anchor="_Toc118063638" w:history="1">
            <w:r w:rsidR="007F151A" w:rsidRPr="000D7769">
              <w:rPr>
                <w:rStyle w:val="Hyperlink"/>
                <w:noProof/>
              </w:rPr>
              <w:t>3.5 The Qumran Writings Envisage Two Messiahs</w:t>
            </w:r>
            <w:r w:rsidR="007F151A">
              <w:rPr>
                <w:noProof/>
                <w:webHidden/>
              </w:rPr>
              <w:tab/>
            </w:r>
            <w:r w:rsidR="007F151A">
              <w:rPr>
                <w:noProof/>
                <w:webHidden/>
              </w:rPr>
              <w:fldChar w:fldCharType="begin"/>
            </w:r>
            <w:r w:rsidR="007F151A">
              <w:rPr>
                <w:noProof/>
                <w:webHidden/>
              </w:rPr>
              <w:instrText xml:space="preserve"> PAGEREF _Toc118063638 \h </w:instrText>
            </w:r>
            <w:r w:rsidR="007F151A">
              <w:rPr>
                <w:noProof/>
                <w:webHidden/>
              </w:rPr>
            </w:r>
            <w:r w:rsidR="007F151A">
              <w:rPr>
                <w:noProof/>
                <w:webHidden/>
              </w:rPr>
              <w:fldChar w:fldCharType="separate"/>
            </w:r>
            <w:r w:rsidR="00E72224">
              <w:rPr>
                <w:noProof/>
                <w:webHidden/>
              </w:rPr>
              <w:t>52</w:t>
            </w:r>
            <w:r w:rsidR="007F151A">
              <w:rPr>
                <w:noProof/>
                <w:webHidden/>
              </w:rPr>
              <w:fldChar w:fldCharType="end"/>
            </w:r>
          </w:hyperlink>
        </w:p>
        <w:p w14:paraId="15098EFD" w14:textId="5F66852F" w:rsidR="007F151A" w:rsidRDefault="00000000">
          <w:pPr>
            <w:pStyle w:val="TOC2"/>
            <w:rPr>
              <w:rFonts w:asciiTheme="minorHAnsi" w:eastAsiaTheme="minorEastAsia" w:hAnsiTheme="minorHAnsi" w:cstheme="minorBidi"/>
              <w:noProof/>
              <w:sz w:val="24"/>
              <w:szCs w:val="24"/>
            </w:rPr>
          </w:pPr>
          <w:hyperlink w:anchor="_Toc118063639" w:history="1">
            <w:r w:rsidR="007F151A" w:rsidRPr="000D7769">
              <w:rPr>
                <w:rStyle w:val="Hyperlink"/>
                <w:noProof/>
              </w:rPr>
              <w:t>3.6 The Dead Sea Scrolls and Jesus’s Listeners</w:t>
            </w:r>
            <w:r w:rsidR="007F151A">
              <w:rPr>
                <w:noProof/>
                <w:webHidden/>
              </w:rPr>
              <w:tab/>
            </w:r>
            <w:r w:rsidR="007F151A">
              <w:rPr>
                <w:noProof/>
                <w:webHidden/>
              </w:rPr>
              <w:fldChar w:fldCharType="begin"/>
            </w:r>
            <w:r w:rsidR="007F151A">
              <w:rPr>
                <w:noProof/>
                <w:webHidden/>
              </w:rPr>
              <w:instrText xml:space="preserve"> PAGEREF _Toc118063639 \h </w:instrText>
            </w:r>
            <w:r w:rsidR="007F151A">
              <w:rPr>
                <w:noProof/>
                <w:webHidden/>
              </w:rPr>
            </w:r>
            <w:r w:rsidR="007F151A">
              <w:rPr>
                <w:noProof/>
                <w:webHidden/>
              </w:rPr>
              <w:fldChar w:fldCharType="separate"/>
            </w:r>
            <w:r w:rsidR="00E72224">
              <w:rPr>
                <w:noProof/>
                <w:webHidden/>
              </w:rPr>
              <w:t>60</w:t>
            </w:r>
            <w:r w:rsidR="007F151A">
              <w:rPr>
                <w:noProof/>
                <w:webHidden/>
              </w:rPr>
              <w:fldChar w:fldCharType="end"/>
            </w:r>
          </w:hyperlink>
        </w:p>
        <w:p w14:paraId="2ABF3855" w14:textId="460B27CF" w:rsidR="007F151A" w:rsidRDefault="00000000">
          <w:pPr>
            <w:pStyle w:val="TOC2"/>
            <w:rPr>
              <w:rFonts w:asciiTheme="minorHAnsi" w:eastAsiaTheme="minorEastAsia" w:hAnsiTheme="minorHAnsi" w:cstheme="minorBidi"/>
              <w:noProof/>
              <w:sz w:val="24"/>
              <w:szCs w:val="24"/>
            </w:rPr>
          </w:pPr>
          <w:hyperlink w:anchor="_Toc118063640" w:history="1">
            <w:r w:rsidR="007F151A" w:rsidRPr="000D7769">
              <w:rPr>
                <w:rStyle w:val="Hyperlink"/>
                <w:noProof/>
              </w:rPr>
              <w:t>3.7 Chapter Summary</w:t>
            </w:r>
            <w:r w:rsidR="007F151A">
              <w:rPr>
                <w:noProof/>
                <w:webHidden/>
              </w:rPr>
              <w:tab/>
            </w:r>
            <w:r w:rsidR="007F151A">
              <w:rPr>
                <w:noProof/>
                <w:webHidden/>
              </w:rPr>
              <w:fldChar w:fldCharType="begin"/>
            </w:r>
            <w:r w:rsidR="007F151A">
              <w:rPr>
                <w:noProof/>
                <w:webHidden/>
              </w:rPr>
              <w:instrText xml:space="preserve"> PAGEREF _Toc118063640 \h </w:instrText>
            </w:r>
            <w:r w:rsidR="007F151A">
              <w:rPr>
                <w:noProof/>
                <w:webHidden/>
              </w:rPr>
            </w:r>
            <w:r w:rsidR="007F151A">
              <w:rPr>
                <w:noProof/>
                <w:webHidden/>
              </w:rPr>
              <w:fldChar w:fldCharType="separate"/>
            </w:r>
            <w:r w:rsidR="00E72224">
              <w:rPr>
                <w:noProof/>
                <w:webHidden/>
              </w:rPr>
              <w:t>63</w:t>
            </w:r>
            <w:r w:rsidR="007F151A">
              <w:rPr>
                <w:noProof/>
                <w:webHidden/>
              </w:rPr>
              <w:fldChar w:fldCharType="end"/>
            </w:r>
          </w:hyperlink>
        </w:p>
        <w:p w14:paraId="04E0E61B" w14:textId="51FD2BEA" w:rsidR="007F151A" w:rsidRDefault="00000000">
          <w:pPr>
            <w:pStyle w:val="TOC1"/>
            <w:rPr>
              <w:rFonts w:asciiTheme="minorHAnsi" w:eastAsiaTheme="minorEastAsia" w:hAnsiTheme="minorHAnsi" w:cstheme="minorBidi"/>
              <w:b w:val="0"/>
              <w:bCs w:val="0"/>
              <w:caps w:val="0"/>
              <w:noProof/>
              <w:szCs w:val="24"/>
            </w:rPr>
          </w:pPr>
          <w:hyperlink w:anchor="_Toc118063641" w:history="1">
            <w:r w:rsidR="007F151A" w:rsidRPr="000D7769">
              <w:rPr>
                <w:rStyle w:val="Hyperlink"/>
                <w:noProof/>
                <w:lang w:val="en-AU"/>
              </w:rPr>
              <w:t>Chapter 4 Moneylending and Ethics in Torah</w:t>
            </w:r>
            <w:r w:rsidR="007F151A">
              <w:rPr>
                <w:noProof/>
                <w:webHidden/>
              </w:rPr>
              <w:tab/>
            </w:r>
            <w:r w:rsidR="007F151A">
              <w:rPr>
                <w:noProof/>
                <w:webHidden/>
              </w:rPr>
              <w:fldChar w:fldCharType="begin"/>
            </w:r>
            <w:r w:rsidR="007F151A">
              <w:rPr>
                <w:noProof/>
                <w:webHidden/>
              </w:rPr>
              <w:instrText xml:space="preserve"> PAGEREF _Toc118063641 \h </w:instrText>
            </w:r>
            <w:r w:rsidR="007F151A">
              <w:rPr>
                <w:noProof/>
                <w:webHidden/>
              </w:rPr>
            </w:r>
            <w:r w:rsidR="007F151A">
              <w:rPr>
                <w:noProof/>
                <w:webHidden/>
              </w:rPr>
              <w:fldChar w:fldCharType="separate"/>
            </w:r>
            <w:r w:rsidR="00E72224">
              <w:rPr>
                <w:noProof/>
                <w:webHidden/>
              </w:rPr>
              <w:t>65</w:t>
            </w:r>
            <w:r w:rsidR="007F151A">
              <w:rPr>
                <w:noProof/>
                <w:webHidden/>
              </w:rPr>
              <w:fldChar w:fldCharType="end"/>
            </w:r>
          </w:hyperlink>
        </w:p>
        <w:p w14:paraId="42E84963" w14:textId="27D74B5E" w:rsidR="007F151A" w:rsidRDefault="00000000">
          <w:pPr>
            <w:pStyle w:val="TOC2"/>
            <w:rPr>
              <w:rFonts w:asciiTheme="minorHAnsi" w:eastAsiaTheme="minorEastAsia" w:hAnsiTheme="minorHAnsi" w:cstheme="minorBidi"/>
              <w:noProof/>
              <w:sz w:val="24"/>
              <w:szCs w:val="24"/>
            </w:rPr>
          </w:pPr>
          <w:hyperlink w:anchor="_Toc118063642" w:history="1">
            <w:r w:rsidR="007F151A" w:rsidRPr="000D7769">
              <w:rPr>
                <w:rStyle w:val="Hyperlink"/>
                <w:noProof/>
              </w:rPr>
              <w:t>4.1 Different Rules Regarding Interest for Jews and Gentiles</w:t>
            </w:r>
            <w:r w:rsidR="007F151A">
              <w:rPr>
                <w:noProof/>
                <w:webHidden/>
              </w:rPr>
              <w:tab/>
            </w:r>
            <w:r w:rsidR="007F151A">
              <w:rPr>
                <w:noProof/>
                <w:webHidden/>
              </w:rPr>
              <w:fldChar w:fldCharType="begin"/>
            </w:r>
            <w:r w:rsidR="007F151A">
              <w:rPr>
                <w:noProof/>
                <w:webHidden/>
              </w:rPr>
              <w:instrText xml:space="preserve"> PAGEREF _Toc118063642 \h </w:instrText>
            </w:r>
            <w:r w:rsidR="007F151A">
              <w:rPr>
                <w:noProof/>
                <w:webHidden/>
              </w:rPr>
            </w:r>
            <w:r w:rsidR="007F151A">
              <w:rPr>
                <w:noProof/>
                <w:webHidden/>
              </w:rPr>
              <w:fldChar w:fldCharType="separate"/>
            </w:r>
            <w:r w:rsidR="00E72224">
              <w:rPr>
                <w:noProof/>
                <w:webHidden/>
              </w:rPr>
              <w:t>65</w:t>
            </w:r>
            <w:r w:rsidR="007F151A">
              <w:rPr>
                <w:noProof/>
                <w:webHidden/>
              </w:rPr>
              <w:fldChar w:fldCharType="end"/>
            </w:r>
          </w:hyperlink>
        </w:p>
        <w:p w14:paraId="645441EA" w14:textId="19A077C7" w:rsidR="007F151A" w:rsidRDefault="00000000">
          <w:pPr>
            <w:pStyle w:val="TOC2"/>
            <w:rPr>
              <w:rFonts w:asciiTheme="minorHAnsi" w:eastAsiaTheme="minorEastAsia" w:hAnsiTheme="minorHAnsi" w:cstheme="minorBidi"/>
              <w:noProof/>
              <w:sz w:val="24"/>
              <w:szCs w:val="24"/>
            </w:rPr>
          </w:pPr>
          <w:hyperlink w:anchor="_Toc118063643" w:history="1">
            <w:r w:rsidR="007F151A" w:rsidRPr="000D7769">
              <w:rPr>
                <w:rStyle w:val="Hyperlink"/>
                <w:noProof/>
              </w:rPr>
              <w:t>4.2 Compassion and Debt Relief</w:t>
            </w:r>
            <w:r w:rsidR="007F151A">
              <w:rPr>
                <w:noProof/>
                <w:webHidden/>
              </w:rPr>
              <w:tab/>
            </w:r>
            <w:r w:rsidR="007F151A">
              <w:rPr>
                <w:noProof/>
                <w:webHidden/>
              </w:rPr>
              <w:fldChar w:fldCharType="begin"/>
            </w:r>
            <w:r w:rsidR="007F151A">
              <w:rPr>
                <w:noProof/>
                <w:webHidden/>
              </w:rPr>
              <w:instrText xml:space="preserve"> PAGEREF _Toc118063643 \h </w:instrText>
            </w:r>
            <w:r w:rsidR="007F151A">
              <w:rPr>
                <w:noProof/>
                <w:webHidden/>
              </w:rPr>
            </w:r>
            <w:r w:rsidR="007F151A">
              <w:rPr>
                <w:noProof/>
                <w:webHidden/>
              </w:rPr>
              <w:fldChar w:fldCharType="separate"/>
            </w:r>
            <w:r w:rsidR="00E72224">
              <w:rPr>
                <w:noProof/>
                <w:webHidden/>
              </w:rPr>
              <w:t>67</w:t>
            </w:r>
            <w:r w:rsidR="007F151A">
              <w:rPr>
                <w:noProof/>
                <w:webHidden/>
              </w:rPr>
              <w:fldChar w:fldCharType="end"/>
            </w:r>
          </w:hyperlink>
        </w:p>
        <w:p w14:paraId="0F719DE1" w14:textId="5E50AD33" w:rsidR="007F151A" w:rsidRDefault="00000000">
          <w:pPr>
            <w:pStyle w:val="TOC2"/>
            <w:rPr>
              <w:rFonts w:asciiTheme="minorHAnsi" w:eastAsiaTheme="minorEastAsia" w:hAnsiTheme="minorHAnsi" w:cstheme="minorBidi"/>
              <w:noProof/>
              <w:sz w:val="24"/>
              <w:szCs w:val="24"/>
            </w:rPr>
          </w:pPr>
          <w:hyperlink w:anchor="_Toc118063644" w:history="1">
            <w:r w:rsidR="007F151A" w:rsidRPr="000D7769">
              <w:rPr>
                <w:rStyle w:val="Hyperlink"/>
                <w:noProof/>
              </w:rPr>
              <w:t>4.3 Chapter Summary</w:t>
            </w:r>
            <w:r w:rsidR="007F151A">
              <w:rPr>
                <w:noProof/>
                <w:webHidden/>
              </w:rPr>
              <w:tab/>
            </w:r>
            <w:r w:rsidR="007F151A">
              <w:rPr>
                <w:noProof/>
                <w:webHidden/>
              </w:rPr>
              <w:fldChar w:fldCharType="begin"/>
            </w:r>
            <w:r w:rsidR="007F151A">
              <w:rPr>
                <w:noProof/>
                <w:webHidden/>
              </w:rPr>
              <w:instrText xml:space="preserve"> PAGEREF _Toc118063644 \h </w:instrText>
            </w:r>
            <w:r w:rsidR="007F151A">
              <w:rPr>
                <w:noProof/>
                <w:webHidden/>
              </w:rPr>
            </w:r>
            <w:r w:rsidR="007F151A">
              <w:rPr>
                <w:noProof/>
                <w:webHidden/>
              </w:rPr>
              <w:fldChar w:fldCharType="separate"/>
            </w:r>
            <w:r w:rsidR="00E72224">
              <w:rPr>
                <w:noProof/>
                <w:webHidden/>
              </w:rPr>
              <w:t>72</w:t>
            </w:r>
            <w:r w:rsidR="007F151A">
              <w:rPr>
                <w:noProof/>
                <w:webHidden/>
              </w:rPr>
              <w:fldChar w:fldCharType="end"/>
            </w:r>
          </w:hyperlink>
        </w:p>
        <w:p w14:paraId="14C27B7C" w14:textId="6198261D" w:rsidR="007F151A" w:rsidRDefault="00000000">
          <w:pPr>
            <w:pStyle w:val="TOC1"/>
            <w:rPr>
              <w:rFonts w:asciiTheme="minorHAnsi" w:eastAsiaTheme="minorEastAsia" w:hAnsiTheme="minorHAnsi" w:cstheme="minorBidi"/>
              <w:b w:val="0"/>
              <w:bCs w:val="0"/>
              <w:caps w:val="0"/>
              <w:noProof/>
              <w:szCs w:val="24"/>
            </w:rPr>
          </w:pPr>
          <w:hyperlink w:anchor="_Toc118063645" w:history="1">
            <w:r w:rsidR="007F151A" w:rsidRPr="000D7769">
              <w:rPr>
                <w:rStyle w:val="Hyperlink"/>
                <w:noProof/>
              </w:rPr>
              <w:t>Chapter 5 Mishna Avot, Ethics, and Intellectual Thought</w:t>
            </w:r>
            <w:r w:rsidR="007F151A">
              <w:rPr>
                <w:noProof/>
                <w:webHidden/>
              </w:rPr>
              <w:tab/>
            </w:r>
            <w:r w:rsidR="007F151A">
              <w:rPr>
                <w:noProof/>
                <w:webHidden/>
              </w:rPr>
              <w:fldChar w:fldCharType="begin"/>
            </w:r>
            <w:r w:rsidR="007F151A">
              <w:rPr>
                <w:noProof/>
                <w:webHidden/>
              </w:rPr>
              <w:instrText xml:space="preserve"> PAGEREF _Toc118063645 \h </w:instrText>
            </w:r>
            <w:r w:rsidR="007F151A">
              <w:rPr>
                <w:noProof/>
                <w:webHidden/>
              </w:rPr>
            </w:r>
            <w:r w:rsidR="007F151A">
              <w:rPr>
                <w:noProof/>
                <w:webHidden/>
              </w:rPr>
              <w:fldChar w:fldCharType="separate"/>
            </w:r>
            <w:r w:rsidR="00E72224">
              <w:rPr>
                <w:noProof/>
                <w:webHidden/>
              </w:rPr>
              <w:t>74</w:t>
            </w:r>
            <w:r w:rsidR="007F151A">
              <w:rPr>
                <w:noProof/>
                <w:webHidden/>
              </w:rPr>
              <w:fldChar w:fldCharType="end"/>
            </w:r>
          </w:hyperlink>
        </w:p>
        <w:p w14:paraId="0408071D" w14:textId="600943F6" w:rsidR="007F151A" w:rsidRDefault="00000000">
          <w:pPr>
            <w:pStyle w:val="TOC2"/>
            <w:rPr>
              <w:rFonts w:asciiTheme="minorHAnsi" w:eastAsiaTheme="minorEastAsia" w:hAnsiTheme="minorHAnsi" w:cstheme="minorBidi"/>
              <w:noProof/>
              <w:sz w:val="24"/>
              <w:szCs w:val="24"/>
            </w:rPr>
          </w:pPr>
          <w:hyperlink w:anchor="_Toc118063646" w:history="1">
            <w:r w:rsidR="007F151A" w:rsidRPr="000D7769">
              <w:rPr>
                <w:rStyle w:val="Hyperlink"/>
                <w:noProof/>
              </w:rPr>
              <w:t xml:space="preserve">5.1 </w:t>
            </w:r>
            <w:r w:rsidR="007F151A" w:rsidRPr="000D7769">
              <w:rPr>
                <w:rStyle w:val="Hyperlink"/>
                <w:i/>
                <w:iCs/>
                <w:noProof/>
              </w:rPr>
              <w:t xml:space="preserve">Mishna Avot </w:t>
            </w:r>
            <w:r w:rsidR="007F151A" w:rsidRPr="000D7769">
              <w:rPr>
                <w:rStyle w:val="Hyperlink"/>
                <w:noProof/>
              </w:rPr>
              <w:t>6:4 and a Torah-Filled Life</w:t>
            </w:r>
            <w:r w:rsidR="007F151A">
              <w:rPr>
                <w:noProof/>
                <w:webHidden/>
              </w:rPr>
              <w:tab/>
            </w:r>
            <w:r w:rsidR="007F151A">
              <w:rPr>
                <w:noProof/>
                <w:webHidden/>
              </w:rPr>
              <w:fldChar w:fldCharType="begin"/>
            </w:r>
            <w:r w:rsidR="007F151A">
              <w:rPr>
                <w:noProof/>
                <w:webHidden/>
              </w:rPr>
              <w:instrText xml:space="preserve"> PAGEREF _Toc118063646 \h </w:instrText>
            </w:r>
            <w:r w:rsidR="007F151A">
              <w:rPr>
                <w:noProof/>
                <w:webHidden/>
              </w:rPr>
            </w:r>
            <w:r w:rsidR="007F151A">
              <w:rPr>
                <w:noProof/>
                <w:webHidden/>
              </w:rPr>
              <w:fldChar w:fldCharType="separate"/>
            </w:r>
            <w:r w:rsidR="00E72224">
              <w:rPr>
                <w:noProof/>
                <w:webHidden/>
              </w:rPr>
              <w:t>76</w:t>
            </w:r>
            <w:r w:rsidR="007F151A">
              <w:rPr>
                <w:noProof/>
                <w:webHidden/>
              </w:rPr>
              <w:fldChar w:fldCharType="end"/>
            </w:r>
          </w:hyperlink>
        </w:p>
        <w:p w14:paraId="43058674" w14:textId="499A72D2" w:rsidR="007F151A" w:rsidRDefault="00000000">
          <w:pPr>
            <w:pStyle w:val="TOC2"/>
            <w:rPr>
              <w:rFonts w:asciiTheme="minorHAnsi" w:eastAsiaTheme="minorEastAsia" w:hAnsiTheme="minorHAnsi" w:cstheme="minorBidi"/>
              <w:noProof/>
              <w:sz w:val="24"/>
              <w:szCs w:val="24"/>
            </w:rPr>
          </w:pPr>
          <w:hyperlink w:anchor="_Toc118063647" w:history="1">
            <w:r w:rsidR="007F151A" w:rsidRPr="000D7769">
              <w:rPr>
                <w:rStyle w:val="Hyperlink"/>
                <w:noProof/>
              </w:rPr>
              <w:t xml:space="preserve">5.2 </w:t>
            </w:r>
            <w:r w:rsidR="007F151A" w:rsidRPr="000D7769">
              <w:rPr>
                <w:rStyle w:val="Hyperlink"/>
                <w:i/>
                <w:iCs/>
                <w:noProof/>
              </w:rPr>
              <w:t xml:space="preserve">Mishna Avot </w:t>
            </w:r>
            <w:r w:rsidR="007F151A" w:rsidRPr="000D7769">
              <w:rPr>
                <w:rStyle w:val="Hyperlink"/>
                <w:noProof/>
              </w:rPr>
              <w:t>1:4, 2:7, and Seeking Torah</w:t>
            </w:r>
            <w:r w:rsidR="007F151A">
              <w:rPr>
                <w:noProof/>
                <w:webHidden/>
              </w:rPr>
              <w:tab/>
            </w:r>
            <w:r w:rsidR="007F151A">
              <w:rPr>
                <w:noProof/>
                <w:webHidden/>
              </w:rPr>
              <w:fldChar w:fldCharType="begin"/>
            </w:r>
            <w:r w:rsidR="007F151A">
              <w:rPr>
                <w:noProof/>
                <w:webHidden/>
              </w:rPr>
              <w:instrText xml:space="preserve"> PAGEREF _Toc118063647 \h </w:instrText>
            </w:r>
            <w:r w:rsidR="007F151A">
              <w:rPr>
                <w:noProof/>
                <w:webHidden/>
              </w:rPr>
            </w:r>
            <w:r w:rsidR="007F151A">
              <w:rPr>
                <w:noProof/>
                <w:webHidden/>
              </w:rPr>
              <w:fldChar w:fldCharType="separate"/>
            </w:r>
            <w:r w:rsidR="00E72224">
              <w:rPr>
                <w:noProof/>
                <w:webHidden/>
              </w:rPr>
              <w:t>78</w:t>
            </w:r>
            <w:r w:rsidR="007F151A">
              <w:rPr>
                <w:noProof/>
                <w:webHidden/>
              </w:rPr>
              <w:fldChar w:fldCharType="end"/>
            </w:r>
          </w:hyperlink>
        </w:p>
        <w:p w14:paraId="4603DC58" w14:textId="67352B73" w:rsidR="007F151A" w:rsidRDefault="00000000">
          <w:pPr>
            <w:pStyle w:val="TOC2"/>
            <w:rPr>
              <w:rFonts w:asciiTheme="minorHAnsi" w:eastAsiaTheme="minorEastAsia" w:hAnsiTheme="minorHAnsi" w:cstheme="minorBidi"/>
              <w:noProof/>
              <w:sz w:val="24"/>
              <w:szCs w:val="24"/>
            </w:rPr>
          </w:pPr>
          <w:hyperlink w:anchor="_Toc118063648" w:history="1">
            <w:r w:rsidR="007F151A" w:rsidRPr="000D7769">
              <w:rPr>
                <w:rStyle w:val="Hyperlink"/>
                <w:noProof/>
              </w:rPr>
              <w:t xml:space="preserve">5.3 </w:t>
            </w:r>
            <w:r w:rsidR="007F151A" w:rsidRPr="000D7769">
              <w:rPr>
                <w:rStyle w:val="Hyperlink"/>
                <w:i/>
                <w:iCs/>
                <w:noProof/>
              </w:rPr>
              <w:t>Mishna Avot</w:t>
            </w:r>
            <w:r w:rsidR="007F151A" w:rsidRPr="000D7769">
              <w:rPr>
                <w:rStyle w:val="Hyperlink"/>
                <w:noProof/>
              </w:rPr>
              <w:t xml:space="preserve"> 1:7 and Being Socially Astute</w:t>
            </w:r>
            <w:r w:rsidR="007F151A">
              <w:rPr>
                <w:noProof/>
                <w:webHidden/>
              </w:rPr>
              <w:tab/>
            </w:r>
            <w:r w:rsidR="007F151A">
              <w:rPr>
                <w:noProof/>
                <w:webHidden/>
              </w:rPr>
              <w:fldChar w:fldCharType="begin"/>
            </w:r>
            <w:r w:rsidR="007F151A">
              <w:rPr>
                <w:noProof/>
                <w:webHidden/>
              </w:rPr>
              <w:instrText xml:space="preserve"> PAGEREF _Toc118063648 \h </w:instrText>
            </w:r>
            <w:r w:rsidR="007F151A">
              <w:rPr>
                <w:noProof/>
                <w:webHidden/>
              </w:rPr>
            </w:r>
            <w:r w:rsidR="007F151A">
              <w:rPr>
                <w:noProof/>
                <w:webHidden/>
              </w:rPr>
              <w:fldChar w:fldCharType="separate"/>
            </w:r>
            <w:r w:rsidR="00E72224">
              <w:rPr>
                <w:noProof/>
                <w:webHidden/>
              </w:rPr>
              <w:t>80</w:t>
            </w:r>
            <w:r w:rsidR="007F151A">
              <w:rPr>
                <w:noProof/>
                <w:webHidden/>
              </w:rPr>
              <w:fldChar w:fldCharType="end"/>
            </w:r>
          </w:hyperlink>
        </w:p>
        <w:p w14:paraId="1D28EB65" w14:textId="54E84C32" w:rsidR="007F151A" w:rsidRDefault="00000000">
          <w:pPr>
            <w:pStyle w:val="TOC2"/>
            <w:rPr>
              <w:rFonts w:asciiTheme="minorHAnsi" w:eastAsiaTheme="minorEastAsia" w:hAnsiTheme="minorHAnsi" w:cstheme="minorBidi"/>
              <w:noProof/>
              <w:sz w:val="24"/>
              <w:szCs w:val="24"/>
            </w:rPr>
          </w:pPr>
          <w:hyperlink w:anchor="_Toc118063649" w:history="1">
            <w:r w:rsidR="007F151A" w:rsidRPr="000D7769">
              <w:rPr>
                <w:rStyle w:val="Hyperlink"/>
                <w:noProof/>
              </w:rPr>
              <w:t xml:space="preserve">5.4 </w:t>
            </w:r>
            <w:r w:rsidR="007F151A" w:rsidRPr="000D7769">
              <w:rPr>
                <w:rStyle w:val="Hyperlink"/>
                <w:i/>
                <w:iCs/>
                <w:noProof/>
              </w:rPr>
              <w:t>Mishna Avot</w:t>
            </w:r>
            <w:r w:rsidR="007F151A" w:rsidRPr="000D7769">
              <w:rPr>
                <w:rStyle w:val="Hyperlink"/>
                <w:noProof/>
              </w:rPr>
              <w:t xml:space="preserve"> 1:12 and Seeking Nonconfrontation</w:t>
            </w:r>
            <w:r w:rsidR="007F151A">
              <w:rPr>
                <w:noProof/>
                <w:webHidden/>
              </w:rPr>
              <w:tab/>
            </w:r>
            <w:r w:rsidR="007F151A">
              <w:rPr>
                <w:noProof/>
                <w:webHidden/>
              </w:rPr>
              <w:fldChar w:fldCharType="begin"/>
            </w:r>
            <w:r w:rsidR="007F151A">
              <w:rPr>
                <w:noProof/>
                <w:webHidden/>
              </w:rPr>
              <w:instrText xml:space="preserve"> PAGEREF _Toc118063649 \h </w:instrText>
            </w:r>
            <w:r w:rsidR="007F151A">
              <w:rPr>
                <w:noProof/>
                <w:webHidden/>
              </w:rPr>
            </w:r>
            <w:r w:rsidR="007F151A">
              <w:rPr>
                <w:noProof/>
                <w:webHidden/>
              </w:rPr>
              <w:fldChar w:fldCharType="separate"/>
            </w:r>
            <w:r w:rsidR="00E72224">
              <w:rPr>
                <w:noProof/>
                <w:webHidden/>
              </w:rPr>
              <w:t>81</w:t>
            </w:r>
            <w:r w:rsidR="007F151A">
              <w:rPr>
                <w:noProof/>
                <w:webHidden/>
              </w:rPr>
              <w:fldChar w:fldCharType="end"/>
            </w:r>
          </w:hyperlink>
        </w:p>
        <w:p w14:paraId="45DB49D9" w14:textId="42B7505B" w:rsidR="007F151A" w:rsidRDefault="00000000">
          <w:pPr>
            <w:pStyle w:val="TOC2"/>
            <w:rPr>
              <w:rFonts w:asciiTheme="minorHAnsi" w:eastAsiaTheme="minorEastAsia" w:hAnsiTheme="minorHAnsi" w:cstheme="minorBidi"/>
              <w:noProof/>
              <w:sz w:val="24"/>
              <w:szCs w:val="24"/>
            </w:rPr>
          </w:pPr>
          <w:hyperlink w:anchor="_Toc118063650" w:history="1">
            <w:r w:rsidR="007F151A" w:rsidRPr="000D7769">
              <w:rPr>
                <w:rStyle w:val="Hyperlink"/>
                <w:noProof/>
              </w:rPr>
              <w:t xml:space="preserve">5.5 </w:t>
            </w:r>
            <w:r w:rsidR="007F151A" w:rsidRPr="000D7769">
              <w:rPr>
                <w:rStyle w:val="Hyperlink"/>
                <w:i/>
                <w:iCs/>
                <w:noProof/>
              </w:rPr>
              <w:t>Mishna Avot</w:t>
            </w:r>
            <w:r w:rsidR="007F151A" w:rsidRPr="000D7769">
              <w:rPr>
                <w:rStyle w:val="Hyperlink"/>
                <w:noProof/>
              </w:rPr>
              <w:t xml:space="preserve"> 1:3 and Examining Giving</w:t>
            </w:r>
            <w:r w:rsidR="007F151A">
              <w:rPr>
                <w:noProof/>
                <w:webHidden/>
              </w:rPr>
              <w:tab/>
            </w:r>
            <w:r w:rsidR="007F151A">
              <w:rPr>
                <w:noProof/>
                <w:webHidden/>
              </w:rPr>
              <w:fldChar w:fldCharType="begin"/>
            </w:r>
            <w:r w:rsidR="007F151A">
              <w:rPr>
                <w:noProof/>
                <w:webHidden/>
              </w:rPr>
              <w:instrText xml:space="preserve"> PAGEREF _Toc118063650 \h </w:instrText>
            </w:r>
            <w:r w:rsidR="007F151A">
              <w:rPr>
                <w:noProof/>
                <w:webHidden/>
              </w:rPr>
            </w:r>
            <w:r w:rsidR="007F151A">
              <w:rPr>
                <w:noProof/>
                <w:webHidden/>
              </w:rPr>
              <w:fldChar w:fldCharType="separate"/>
            </w:r>
            <w:r w:rsidR="00E72224">
              <w:rPr>
                <w:noProof/>
                <w:webHidden/>
              </w:rPr>
              <w:t>83</w:t>
            </w:r>
            <w:r w:rsidR="007F151A">
              <w:rPr>
                <w:noProof/>
                <w:webHidden/>
              </w:rPr>
              <w:fldChar w:fldCharType="end"/>
            </w:r>
          </w:hyperlink>
        </w:p>
        <w:p w14:paraId="08ACE09A" w14:textId="7453329D" w:rsidR="007F151A" w:rsidRDefault="00000000">
          <w:pPr>
            <w:pStyle w:val="TOC2"/>
            <w:rPr>
              <w:rFonts w:asciiTheme="minorHAnsi" w:eastAsiaTheme="minorEastAsia" w:hAnsiTheme="minorHAnsi" w:cstheme="minorBidi"/>
              <w:noProof/>
              <w:sz w:val="24"/>
              <w:szCs w:val="24"/>
            </w:rPr>
          </w:pPr>
          <w:hyperlink w:anchor="_Toc118063651" w:history="1">
            <w:r w:rsidR="007F151A" w:rsidRPr="000D7769">
              <w:rPr>
                <w:rStyle w:val="Hyperlink"/>
                <w:bCs/>
                <w:noProof/>
              </w:rPr>
              <w:t>5.6</w:t>
            </w:r>
            <w:r w:rsidR="007F151A" w:rsidRPr="000D7769">
              <w:rPr>
                <w:rStyle w:val="Hyperlink"/>
                <w:noProof/>
              </w:rPr>
              <w:t xml:space="preserve"> </w:t>
            </w:r>
            <w:r w:rsidR="007F151A" w:rsidRPr="000D7769">
              <w:rPr>
                <w:rStyle w:val="Hyperlink"/>
                <w:i/>
                <w:iCs/>
                <w:noProof/>
              </w:rPr>
              <w:t>Mishna Avot</w:t>
            </w:r>
            <w:r w:rsidR="007F151A" w:rsidRPr="000D7769">
              <w:rPr>
                <w:rStyle w:val="Hyperlink"/>
                <w:noProof/>
              </w:rPr>
              <w:t xml:space="preserve"> 4:12 Reverence</w:t>
            </w:r>
            <w:r w:rsidR="007F151A">
              <w:rPr>
                <w:noProof/>
                <w:webHidden/>
              </w:rPr>
              <w:tab/>
            </w:r>
            <w:r w:rsidR="007F151A">
              <w:rPr>
                <w:noProof/>
                <w:webHidden/>
              </w:rPr>
              <w:fldChar w:fldCharType="begin"/>
            </w:r>
            <w:r w:rsidR="007F151A">
              <w:rPr>
                <w:noProof/>
                <w:webHidden/>
              </w:rPr>
              <w:instrText xml:space="preserve"> PAGEREF _Toc118063651 \h </w:instrText>
            </w:r>
            <w:r w:rsidR="007F151A">
              <w:rPr>
                <w:noProof/>
                <w:webHidden/>
              </w:rPr>
            </w:r>
            <w:r w:rsidR="007F151A">
              <w:rPr>
                <w:noProof/>
                <w:webHidden/>
              </w:rPr>
              <w:fldChar w:fldCharType="separate"/>
            </w:r>
            <w:r w:rsidR="00E72224">
              <w:rPr>
                <w:noProof/>
                <w:webHidden/>
              </w:rPr>
              <w:t>84</w:t>
            </w:r>
            <w:r w:rsidR="007F151A">
              <w:rPr>
                <w:noProof/>
                <w:webHidden/>
              </w:rPr>
              <w:fldChar w:fldCharType="end"/>
            </w:r>
          </w:hyperlink>
        </w:p>
        <w:p w14:paraId="6B313475" w14:textId="1D59778E" w:rsidR="007F151A" w:rsidRDefault="00000000">
          <w:pPr>
            <w:pStyle w:val="TOC2"/>
            <w:rPr>
              <w:rFonts w:asciiTheme="minorHAnsi" w:eastAsiaTheme="minorEastAsia" w:hAnsiTheme="minorHAnsi" w:cstheme="minorBidi"/>
              <w:noProof/>
              <w:sz w:val="24"/>
              <w:szCs w:val="24"/>
            </w:rPr>
          </w:pPr>
          <w:hyperlink w:anchor="_Toc118063652" w:history="1">
            <w:r w:rsidR="007F151A" w:rsidRPr="000D7769">
              <w:rPr>
                <w:rStyle w:val="Hyperlink"/>
                <w:noProof/>
              </w:rPr>
              <w:t xml:space="preserve">5.7 </w:t>
            </w:r>
            <w:r w:rsidR="007F151A" w:rsidRPr="000D7769">
              <w:rPr>
                <w:rStyle w:val="Hyperlink"/>
                <w:i/>
                <w:noProof/>
              </w:rPr>
              <w:t xml:space="preserve">Mishna Avot </w:t>
            </w:r>
            <w:r w:rsidR="007F151A" w:rsidRPr="000D7769">
              <w:rPr>
                <w:rStyle w:val="Hyperlink"/>
                <w:iCs/>
                <w:noProof/>
              </w:rPr>
              <w:t>5:8 and Justice</w:t>
            </w:r>
            <w:r w:rsidR="007F151A">
              <w:rPr>
                <w:noProof/>
                <w:webHidden/>
              </w:rPr>
              <w:tab/>
            </w:r>
            <w:r w:rsidR="007F151A">
              <w:rPr>
                <w:noProof/>
                <w:webHidden/>
              </w:rPr>
              <w:fldChar w:fldCharType="begin"/>
            </w:r>
            <w:r w:rsidR="007F151A">
              <w:rPr>
                <w:noProof/>
                <w:webHidden/>
              </w:rPr>
              <w:instrText xml:space="preserve"> PAGEREF _Toc118063652 \h </w:instrText>
            </w:r>
            <w:r w:rsidR="007F151A">
              <w:rPr>
                <w:noProof/>
                <w:webHidden/>
              </w:rPr>
            </w:r>
            <w:r w:rsidR="007F151A">
              <w:rPr>
                <w:noProof/>
                <w:webHidden/>
              </w:rPr>
              <w:fldChar w:fldCharType="separate"/>
            </w:r>
            <w:r w:rsidR="00E72224">
              <w:rPr>
                <w:noProof/>
                <w:webHidden/>
              </w:rPr>
              <w:t>85</w:t>
            </w:r>
            <w:r w:rsidR="007F151A">
              <w:rPr>
                <w:noProof/>
                <w:webHidden/>
              </w:rPr>
              <w:fldChar w:fldCharType="end"/>
            </w:r>
          </w:hyperlink>
        </w:p>
        <w:p w14:paraId="59B65567" w14:textId="30C27D08" w:rsidR="007F151A" w:rsidRDefault="00000000">
          <w:pPr>
            <w:pStyle w:val="TOC2"/>
            <w:rPr>
              <w:rFonts w:asciiTheme="minorHAnsi" w:eastAsiaTheme="minorEastAsia" w:hAnsiTheme="minorHAnsi" w:cstheme="minorBidi"/>
              <w:noProof/>
              <w:sz w:val="24"/>
              <w:szCs w:val="24"/>
            </w:rPr>
          </w:pPr>
          <w:hyperlink w:anchor="_Toc118063653" w:history="1">
            <w:r w:rsidR="007F151A" w:rsidRPr="000D7769">
              <w:rPr>
                <w:rStyle w:val="Hyperlink"/>
                <w:noProof/>
              </w:rPr>
              <w:t xml:space="preserve">5.8 </w:t>
            </w:r>
            <w:r w:rsidR="007F151A" w:rsidRPr="000D7769">
              <w:rPr>
                <w:rStyle w:val="Hyperlink"/>
                <w:i/>
                <w:iCs/>
                <w:noProof/>
              </w:rPr>
              <w:t>Mishna Avot</w:t>
            </w:r>
            <w:r w:rsidR="007F151A" w:rsidRPr="000D7769">
              <w:rPr>
                <w:rStyle w:val="Hyperlink"/>
                <w:noProof/>
              </w:rPr>
              <w:t xml:space="preserve"> 1:10 and Not Creating Problems for Leadership</w:t>
            </w:r>
            <w:r w:rsidR="007F151A">
              <w:rPr>
                <w:noProof/>
                <w:webHidden/>
              </w:rPr>
              <w:tab/>
            </w:r>
            <w:r w:rsidR="007F151A">
              <w:rPr>
                <w:noProof/>
                <w:webHidden/>
              </w:rPr>
              <w:fldChar w:fldCharType="begin"/>
            </w:r>
            <w:r w:rsidR="007F151A">
              <w:rPr>
                <w:noProof/>
                <w:webHidden/>
              </w:rPr>
              <w:instrText xml:space="preserve"> PAGEREF _Toc118063653 \h </w:instrText>
            </w:r>
            <w:r w:rsidR="007F151A">
              <w:rPr>
                <w:noProof/>
                <w:webHidden/>
              </w:rPr>
            </w:r>
            <w:r w:rsidR="007F151A">
              <w:rPr>
                <w:noProof/>
                <w:webHidden/>
              </w:rPr>
              <w:fldChar w:fldCharType="separate"/>
            </w:r>
            <w:r w:rsidR="00E72224">
              <w:rPr>
                <w:noProof/>
                <w:webHidden/>
              </w:rPr>
              <w:t>89</w:t>
            </w:r>
            <w:r w:rsidR="007F151A">
              <w:rPr>
                <w:noProof/>
                <w:webHidden/>
              </w:rPr>
              <w:fldChar w:fldCharType="end"/>
            </w:r>
          </w:hyperlink>
        </w:p>
        <w:p w14:paraId="42F735A5" w14:textId="09707279" w:rsidR="007F151A" w:rsidRDefault="00000000">
          <w:pPr>
            <w:pStyle w:val="TOC2"/>
            <w:rPr>
              <w:rFonts w:asciiTheme="minorHAnsi" w:eastAsiaTheme="minorEastAsia" w:hAnsiTheme="minorHAnsi" w:cstheme="minorBidi"/>
              <w:noProof/>
              <w:sz w:val="24"/>
              <w:szCs w:val="24"/>
            </w:rPr>
          </w:pPr>
          <w:hyperlink w:anchor="_Toc118063654" w:history="1">
            <w:r w:rsidR="007F151A" w:rsidRPr="000D7769">
              <w:rPr>
                <w:rStyle w:val="Hyperlink"/>
                <w:bCs/>
                <w:noProof/>
              </w:rPr>
              <w:t>5.9</w:t>
            </w:r>
            <w:r w:rsidR="007F151A" w:rsidRPr="000D7769">
              <w:rPr>
                <w:rStyle w:val="Hyperlink"/>
                <w:noProof/>
              </w:rPr>
              <w:t xml:space="preserve"> </w:t>
            </w:r>
            <w:r w:rsidR="007F151A" w:rsidRPr="000D7769">
              <w:rPr>
                <w:rStyle w:val="Hyperlink"/>
                <w:i/>
                <w:noProof/>
              </w:rPr>
              <w:t xml:space="preserve">Mishna Avot </w:t>
            </w:r>
            <w:r w:rsidR="007F151A" w:rsidRPr="000D7769">
              <w:rPr>
                <w:rStyle w:val="Hyperlink"/>
                <w:iCs/>
                <w:noProof/>
              </w:rPr>
              <w:t>3:2</w:t>
            </w:r>
            <w:r w:rsidR="007F151A" w:rsidRPr="000D7769">
              <w:rPr>
                <w:rStyle w:val="Hyperlink"/>
                <w:i/>
                <w:noProof/>
              </w:rPr>
              <w:t xml:space="preserve"> </w:t>
            </w:r>
            <w:r w:rsidR="007F151A" w:rsidRPr="000D7769">
              <w:rPr>
                <w:rStyle w:val="Hyperlink"/>
                <w:iCs/>
                <w:noProof/>
              </w:rPr>
              <w:t>and</w:t>
            </w:r>
            <w:r w:rsidR="007F151A" w:rsidRPr="000D7769">
              <w:rPr>
                <w:rStyle w:val="Hyperlink"/>
                <w:i/>
                <w:noProof/>
              </w:rPr>
              <w:t xml:space="preserve"> </w:t>
            </w:r>
            <w:r w:rsidR="007F151A" w:rsidRPr="000D7769">
              <w:rPr>
                <w:rStyle w:val="Hyperlink"/>
                <w:iCs/>
                <w:noProof/>
              </w:rPr>
              <w:t>Matthew 25:40</w:t>
            </w:r>
            <w:r w:rsidR="007F151A" w:rsidRPr="000D7769">
              <w:rPr>
                <w:rStyle w:val="Hyperlink"/>
                <w:i/>
                <w:noProof/>
              </w:rPr>
              <w:t>—</w:t>
            </w:r>
            <w:r w:rsidR="007F151A" w:rsidRPr="000D7769">
              <w:rPr>
                <w:rStyle w:val="Hyperlink"/>
                <w:noProof/>
              </w:rPr>
              <w:t>Peace as Submission</w:t>
            </w:r>
            <w:r w:rsidR="007F151A">
              <w:rPr>
                <w:noProof/>
                <w:webHidden/>
              </w:rPr>
              <w:tab/>
            </w:r>
            <w:r w:rsidR="007F151A">
              <w:rPr>
                <w:noProof/>
                <w:webHidden/>
              </w:rPr>
              <w:fldChar w:fldCharType="begin"/>
            </w:r>
            <w:r w:rsidR="007F151A">
              <w:rPr>
                <w:noProof/>
                <w:webHidden/>
              </w:rPr>
              <w:instrText xml:space="preserve"> PAGEREF _Toc118063654 \h </w:instrText>
            </w:r>
            <w:r w:rsidR="007F151A">
              <w:rPr>
                <w:noProof/>
                <w:webHidden/>
              </w:rPr>
            </w:r>
            <w:r w:rsidR="007F151A">
              <w:rPr>
                <w:noProof/>
                <w:webHidden/>
              </w:rPr>
              <w:fldChar w:fldCharType="separate"/>
            </w:r>
            <w:r w:rsidR="00E72224">
              <w:rPr>
                <w:noProof/>
                <w:webHidden/>
              </w:rPr>
              <w:t>90</w:t>
            </w:r>
            <w:r w:rsidR="007F151A">
              <w:rPr>
                <w:noProof/>
                <w:webHidden/>
              </w:rPr>
              <w:fldChar w:fldCharType="end"/>
            </w:r>
          </w:hyperlink>
        </w:p>
        <w:p w14:paraId="20D1E3FE" w14:textId="7FCB6499" w:rsidR="007F151A" w:rsidRDefault="00000000">
          <w:pPr>
            <w:pStyle w:val="TOC2"/>
            <w:rPr>
              <w:rFonts w:asciiTheme="minorHAnsi" w:eastAsiaTheme="minorEastAsia" w:hAnsiTheme="minorHAnsi" w:cstheme="minorBidi"/>
              <w:noProof/>
              <w:sz w:val="24"/>
              <w:szCs w:val="24"/>
            </w:rPr>
          </w:pPr>
          <w:hyperlink w:anchor="_Toc118063655" w:history="1">
            <w:r w:rsidR="007F151A" w:rsidRPr="000D7769">
              <w:rPr>
                <w:rStyle w:val="Hyperlink"/>
                <w:noProof/>
              </w:rPr>
              <w:t xml:space="preserve">5.10 </w:t>
            </w:r>
            <w:r w:rsidR="007F151A" w:rsidRPr="000D7769">
              <w:rPr>
                <w:rStyle w:val="Hyperlink"/>
                <w:i/>
                <w:iCs/>
                <w:noProof/>
              </w:rPr>
              <w:t xml:space="preserve">Mishna Avot </w:t>
            </w:r>
            <w:r w:rsidR="007F151A" w:rsidRPr="000D7769">
              <w:rPr>
                <w:rStyle w:val="Hyperlink"/>
                <w:noProof/>
              </w:rPr>
              <w:t>2:4 and the Role of Community</w:t>
            </w:r>
            <w:r w:rsidR="007F151A">
              <w:rPr>
                <w:noProof/>
                <w:webHidden/>
              </w:rPr>
              <w:tab/>
            </w:r>
            <w:r w:rsidR="007F151A">
              <w:rPr>
                <w:noProof/>
                <w:webHidden/>
              </w:rPr>
              <w:fldChar w:fldCharType="begin"/>
            </w:r>
            <w:r w:rsidR="007F151A">
              <w:rPr>
                <w:noProof/>
                <w:webHidden/>
              </w:rPr>
              <w:instrText xml:space="preserve"> PAGEREF _Toc118063655 \h </w:instrText>
            </w:r>
            <w:r w:rsidR="007F151A">
              <w:rPr>
                <w:noProof/>
                <w:webHidden/>
              </w:rPr>
            </w:r>
            <w:r w:rsidR="007F151A">
              <w:rPr>
                <w:noProof/>
                <w:webHidden/>
              </w:rPr>
              <w:fldChar w:fldCharType="separate"/>
            </w:r>
            <w:r w:rsidR="00E72224">
              <w:rPr>
                <w:noProof/>
                <w:webHidden/>
              </w:rPr>
              <w:t>96</w:t>
            </w:r>
            <w:r w:rsidR="007F151A">
              <w:rPr>
                <w:noProof/>
                <w:webHidden/>
              </w:rPr>
              <w:fldChar w:fldCharType="end"/>
            </w:r>
          </w:hyperlink>
        </w:p>
        <w:p w14:paraId="2F245414" w14:textId="5E568504" w:rsidR="007F151A" w:rsidRDefault="00000000">
          <w:pPr>
            <w:pStyle w:val="TOC3"/>
            <w:tabs>
              <w:tab w:val="right" w:leader="dot" w:pos="9010"/>
            </w:tabs>
            <w:rPr>
              <w:rFonts w:asciiTheme="minorHAnsi" w:eastAsiaTheme="minorEastAsia" w:hAnsiTheme="minorHAnsi" w:cstheme="minorBidi"/>
              <w:iCs w:val="0"/>
              <w:noProof/>
              <w:sz w:val="24"/>
              <w:szCs w:val="24"/>
            </w:rPr>
          </w:pPr>
          <w:hyperlink w:anchor="_Toc118063656" w:history="1">
            <w:r w:rsidR="007F151A" w:rsidRPr="000D7769">
              <w:rPr>
                <w:rStyle w:val="Hyperlink"/>
                <w:noProof/>
              </w:rPr>
              <w:t xml:space="preserve">5.10.1 </w:t>
            </w:r>
            <w:r w:rsidR="007F151A" w:rsidRPr="000D7769">
              <w:rPr>
                <w:rStyle w:val="Hyperlink"/>
                <w:i/>
                <w:noProof/>
              </w:rPr>
              <w:t xml:space="preserve">Mishna Avot </w:t>
            </w:r>
            <w:r w:rsidR="007F151A" w:rsidRPr="000D7769">
              <w:rPr>
                <w:rStyle w:val="Hyperlink"/>
                <w:noProof/>
              </w:rPr>
              <w:t>3:12 and Peaceful Work</w:t>
            </w:r>
            <w:r w:rsidR="007F151A">
              <w:rPr>
                <w:noProof/>
                <w:webHidden/>
              </w:rPr>
              <w:tab/>
            </w:r>
            <w:r w:rsidR="007F151A">
              <w:rPr>
                <w:noProof/>
                <w:webHidden/>
              </w:rPr>
              <w:fldChar w:fldCharType="begin"/>
            </w:r>
            <w:r w:rsidR="007F151A">
              <w:rPr>
                <w:noProof/>
                <w:webHidden/>
              </w:rPr>
              <w:instrText xml:space="preserve"> PAGEREF _Toc118063656 \h </w:instrText>
            </w:r>
            <w:r w:rsidR="007F151A">
              <w:rPr>
                <w:noProof/>
                <w:webHidden/>
              </w:rPr>
            </w:r>
            <w:r w:rsidR="007F151A">
              <w:rPr>
                <w:noProof/>
                <w:webHidden/>
              </w:rPr>
              <w:fldChar w:fldCharType="separate"/>
            </w:r>
            <w:r w:rsidR="00E72224">
              <w:rPr>
                <w:noProof/>
                <w:webHidden/>
              </w:rPr>
              <w:t>97</w:t>
            </w:r>
            <w:r w:rsidR="007F151A">
              <w:rPr>
                <w:noProof/>
                <w:webHidden/>
              </w:rPr>
              <w:fldChar w:fldCharType="end"/>
            </w:r>
          </w:hyperlink>
        </w:p>
        <w:p w14:paraId="1FBA3DB6" w14:textId="168AFC84" w:rsidR="007F151A" w:rsidRDefault="00000000">
          <w:pPr>
            <w:pStyle w:val="TOC3"/>
            <w:tabs>
              <w:tab w:val="right" w:leader="dot" w:pos="9010"/>
            </w:tabs>
            <w:rPr>
              <w:rFonts w:asciiTheme="minorHAnsi" w:eastAsiaTheme="minorEastAsia" w:hAnsiTheme="minorHAnsi" w:cstheme="minorBidi"/>
              <w:iCs w:val="0"/>
              <w:noProof/>
              <w:sz w:val="24"/>
              <w:szCs w:val="24"/>
            </w:rPr>
          </w:pPr>
          <w:hyperlink w:anchor="_Toc118063657" w:history="1">
            <w:r w:rsidR="007F151A" w:rsidRPr="000D7769">
              <w:rPr>
                <w:rStyle w:val="Hyperlink"/>
                <w:noProof/>
              </w:rPr>
              <w:t xml:space="preserve">5.10.2 </w:t>
            </w:r>
            <w:r w:rsidR="007F151A" w:rsidRPr="000D7769">
              <w:rPr>
                <w:rStyle w:val="Hyperlink"/>
                <w:i/>
                <w:noProof/>
              </w:rPr>
              <w:t xml:space="preserve">Mishna Avot </w:t>
            </w:r>
            <w:r w:rsidR="007F151A" w:rsidRPr="000D7769">
              <w:rPr>
                <w:rStyle w:val="Hyperlink"/>
                <w:noProof/>
              </w:rPr>
              <w:t>3:2 and the Role of Praying</w:t>
            </w:r>
            <w:r w:rsidR="007F151A">
              <w:rPr>
                <w:noProof/>
                <w:webHidden/>
              </w:rPr>
              <w:tab/>
            </w:r>
            <w:r w:rsidR="007F151A">
              <w:rPr>
                <w:noProof/>
                <w:webHidden/>
              </w:rPr>
              <w:fldChar w:fldCharType="begin"/>
            </w:r>
            <w:r w:rsidR="007F151A">
              <w:rPr>
                <w:noProof/>
                <w:webHidden/>
              </w:rPr>
              <w:instrText xml:space="preserve"> PAGEREF _Toc118063657 \h </w:instrText>
            </w:r>
            <w:r w:rsidR="007F151A">
              <w:rPr>
                <w:noProof/>
                <w:webHidden/>
              </w:rPr>
            </w:r>
            <w:r w:rsidR="007F151A">
              <w:rPr>
                <w:noProof/>
                <w:webHidden/>
              </w:rPr>
              <w:fldChar w:fldCharType="separate"/>
            </w:r>
            <w:r w:rsidR="00E72224">
              <w:rPr>
                <w:noProof/>
                <w:webHidden/>
              </w:rPr>
              <w:t>98</w:t>
            </w:r>
            <w:r w:rsidR="007F151A">
              <w:rPr>
                <w:noProof/>
                <w:webHidden/>
              </w:rPr>
              <w:fldChar w:fldCharType="end"/>
            </w:r>
          </w:hyperlink>
        </w:p>
        <w:p w14:paraId="46DE3CAB" w14:textId="6ECDC81E" w:rsidR="007F151A" w:rsidRDefault="00000000">
          <w:pPr>
            <w:pStyle w:val="TOC2"/>
            <w:rPr>
              <w:rFonts w:asciiTheme="minorHAnsi" w:eastAsiaTheme="minorEastAsia" w:hAnsiTheme="minorHAnsi" w:cstheme="minorBidi"/>
              <w:noProof/>
              <w:sz w:val="24"/>
              <w:szCs w:val="24"/>
            </w:rPr>
          </w:pPr>
          <w:hyperlink w:anchor="_Toc118063658" w:history="1">
            <w:r w:rsidR="007F151A" w:rsidRPr="000D7769">
              <w:rPr>
                <w:rStyle w:val="Hyperlink"/>
                <w:noProof/>
              </w:rPr>
              <w:t>5.11 Chapter Conclusion</w:t>
            </w:r>
            <w:r w:rsidR="007F151A">
              <w:rPr>
                <w:noProof/>
                <w:webHidden/>
              </w:rPr>
              <w:tab/>
            </w:r>
            <w:r w:rsidR="007F151A">
              <w:rPr>
                <w:noProof/>
                <w:webHidden/>
              </w:rPr>
              <w:fldChar w:fldCharType="begin"/>
            </w:r>
            <w:r w:rsidR="007F151A">
              <w:rPr>
                <w:noProof/>
                <w:webHidden/>
              </w:rPr>
              <w:instrText xml:space="preserve"> PAGEREF _Toc118063658 \h </w:instrText>
            </w:r>
            <w:r w:rsidR="007F151A">
              <w:rPr>
                <w:noProof/>
                <w:webHidden/>
              </w:rPr>
            </w:r>
            <w:r w:rsidR="007F151A">
              <w:rPr>
                <w:noProof/>
                <w:webHidden/>
              </w:rPr>
              <w:fldChar w:fldCharType="separate"/>
            </w:r>
            <w:r w:rsidR="00E72224">
              <w:rPr>
                <w:noProof/>
                <w:webHidden/>
              </w:rPr>
              <w:t>99</w:t>
            </w:r>
            <w:r w:rsidR="007F151A">
              <w:rPr>
                <w:noProof/>
                <w:webHidden/>
              </w:rPr>
              <w:fldChar w:fldCharType="end"/>
            </w:r>
          </w:hyperlink>
        </w:p>
        <w:p w14:paraId="56CA45E2" w14:textId="0CAA6662" w:rsidR="007F151A" w:rsidRDefault="00000000">
          <w:pPr>
            <w:pStyle w:val="TOC1"/>
            <w:rPr>
              <w:rFonts w:asciiTheme="minorHAnsi" w:eastAsiaTheme="minorEastAsia" w:hAnsiTheme="minorHAnsi" w:cstheme="minorBidi"/>
              <w:b w:val="0"/>
              <w:bCs w:val="0"/>
              <w:caps w:val="0"/>
              <w:noProof/>
              <w:szCs w:val="24"/>
            </w:rPr>
          </w:pPr>
          <w:hyperlink w:anchor="_Toc118063659" w:history="1">
            <w:r w:rsidR="007F151A" w:rsidRPr="000D7769">
              <w:rPr>
                <w:rStyle w:val="Hyperlink"/>
                <w:noProof/>
                <w:lang w:val="en-AU"/>
              </w:rPr>
              <w:t xml:space="preserve">Chapter 6 </w:t>
            </w:r>
            <w:r w:rsidR="007F151A" w:rsidRPr="000D7769">
              <w:rPr>
                <w:rStyle w:val="Hyperlink"/>
                <w:i/>
                <w:noProof/>
                <w:lang w:val="en-AU"/>
              </w:rPr>
              <w:t>Lex Talionis</w:t>
            </w:r>
            <w:r w:rsidR="007F151A" w:rsidRPr="000D7769">
              <w:rPr>
                <w:rStyle w:val="Hyperlink"/>
                <w:noProof/>
                <w:lang w:val="en-AU"/>
              </w:rPr>
              <w:t xml:space="preserve"> in the Hebrew Bible, Roman Law, and Mishnah</w:t>
            </w:r>
            <w:r w:rsidR="007F151A">
              <w:rPr>
                <w:noProof/>
                <w:webHidden/>
              </w:rPr>
              <w:tab/>
            </w:r>
            <w:r w:rsidR="007F151A">
              <w:rPr>
                <w:noProof/>
                <w:webHidden/>
              </w:rPr>
              <w:fldChar w:fldCharType="begin"/>
            </w:r>
            <w:r w:rsidR="007F151A">
              <w:rPr>
                <w:noProof/>
                <w:webHidden/>
              </w:rPr>
              <w:instrText xml:space="preserve"> PAGEREF _Toc118063659 \h </w:instrText>
            </w:r>
            <w:r w:rsidR="007F151A">
              <w:rPr>
                <w:noProof/>
                <w:webHidden/>
              </w:rPr>
            </w:r>
            <w:r w:rsidR="007F151A">
              <w:rPr>
                <w:noProof/>
                <w:webHidden/>
              </w:rPr>
              <w:fldChar w:fldCharType="separate"/>
            </w:r>
            <w:r w:rsidR="00E72224">
              <w:rPr>
                <w:noProof/>
                <w:webHidden/>
              </w:rPr>
              <w:t>101</w:t>
            </w:r>
            <w:r w:rsidR="007F151A">
              <w:rPr>
                <w:noProof/>
                <w:webHidden/>
              </w:rPr>
              <w:fldChar w:fldCharType="end"/>
            </w:r>
          </w:hyperlink>
        </w:p>
        <w:p w14:paraId="28E7E02C" w14:textId="5CE2CC01" w:rsidR="007F151A" w:rsidRDefault="00000000">
          <w:pPr>
            <w:pStyle w:val="TOC2"/>
            <w:rPr>
              <w:rFonts w:asciiTheme="minorHAnsi" w:eastAsiaTheme="minorEastAsia" w:hAnsiTheme="minorHAnsi" w:cstheme="minorBidi"/>
              <w:noProof/>
              <w:sz w:val="24"/>
              <w:szCs w:val="24"/>
            </w:rPr>
          </w:pPr>
          <w:hyperlink w:anchor="_Toc118063660" w:history="1">
            <w:r w:rsidR="007F151A" w:rsidRPr="000D7769">
              <w:rPr>
                <w:rStyle w:val="Hyperlink"/>
                <w:noProof/>
              </w:rPr>
              <w:t>6.1 Introduction</w:t>
            </w:r>
            <w:r w:rsidR="007F151A">
              <w:rPr>
                <w:noProof/>
                <w:webHidden/>
              </w:rPr>
              <w:tab/>
            </w:r>
            <w:r w:rsidR="007F151A">
              <w:rPr>
                <w:noProof/>
                <w:webHidden/>
              </w:rPr>
              <w:fldChar w:fldCharType="begin"/>
            </w:r>
            <w:r w:rsidR="007F151A">
              <w:rPr>
                <w:noProof/>
                <w:webHidden/>
              </w:rPr>
              <w:instrText xml:space="preserve"> PAGEREF _Toc118063660 \h </w:instrText>
            </w:r>
            <w:r w:rsidR="007F151A">
              <w:rPr>
                <w:noProof/>
                <w:webHidden/>
              </w:rPr>
            </w:r>
            <w:r w:rsidR="007F151A">
              <w:rPr>
                <w:noProof/>
                <w:webHidden/>
              </w:rPr>
              <w:fldChar w:fldCharType="separate"/>
            </w:r>
            <w:r w:rsidR="00E72224">
              <w:rPr>
                <w:noProof/>
                <w:webHidden/>
              </w:rPr>
              <w:t>101</w:t>
            </w:r>
            <w:r w:rsidR="007F151A">
              <w:rPr>
                <w:noProof/>
                <w:webHidden/>
              </w:rPr>
              <w:fldChar w:fldCharType="end"/>
            </w:r>
          </w:hyperlink>
        </w:p>
        <w:p w14:paraId="628FAF21" w14:textId="1BED1EE7" w:rsidR="007F151A" w:rsidRDefault="00000000">
          <w:pPr>
            <w:pStyle w:val="TOC2"/>
            <w:rPr>
              <w:rFonts w:asciiTheme="minorHAnsi" w:eastAsiaTheme="minorEastAsia" w:hAnsiTheme="minorHAnsi" w:cstheme="minorBidi"/>
              <w:noProof/>
              <w:sz w:val="24"/>
              <w:szCs w:val="24"/>
            </w:rPr>
          </w:pPr>
          <w:hyperlink w:anchor="_Toc118063661" w:history="1">
            <w:r w:rsidR="007F151A" w:rsidRPr="000D7769">
              <w:rPr>
                <w:rStyle w:val="Hyperlink"/>
                <w:noProof/>
              </w:rPr>
              <w:t xml:space="preserve">6.2 </w:t>
            </w:r>
            <w:r w:rsidR="007F151A" w:rsidRPr="000D7769">
              <w:rPr>
                <w:rStyle w:val="Hyperlink"/>
                <w:i/>
                <w:iCs/>
                <w:noProof/>
              </w:rPr>
              <w:t>Lex Talionis</w:t>
            </w:r>
            <w:r w:rsidR="007F151A" w:rsidRPr="000D7769">
              <w:rPr>
                <w:rStyle w:val="Hyperlink"/>
                <w:noProof/>
              </w:rPr>
              <w:t xml:space="preserve"> in the Hebrew Bible</w:t>
            </w:r>
            <w:r w:rsidR="007F151A">
              <w:rPr>
                <w:noProof/>
                <w:webHidden/>
              </w:rPr>
              <w:tab/>
            </w:r>
            <w:r w:rsidR="007F151A">
              <w:rPr>
                <w:noProof/>
                <w:webHidden/>
              </w:rPr>
              <w:fldChar w:fldCharType="begin"/>
            </w:r>
            <w:r w:rsidR="007F151A">
              <w:rPr>
                <w:noProof/>
                <w:webHidden/>
              </w:rPr>
              <w:instrText xml:space="preserve"> PAGEREF _Toc118063661 \h </w:instrText>
            </w:r>
            <w:r w:rsidR="007F151A">
              <w:rPr>
                <w:noProof/>
                <w:webHidden/>
              </w:rPr>
            </w:r>
            <w:r w:rsidR="007F151A">
              <w:rPr>
                <w:noProof/>
                <w:webHidden/>
              </w:rPr>
              <w:fldChar w:fldCharType="separate"/>
            </w:r>
            <w:r w:rsidR="00E72224">
              <w:rPr>
                <w:noProof/>
                <w:webHidden/>
              </w:rPr>
              <w:t>102</w:t>
            </w:r>
            <w:r w:rsidR="007F151A">
              <w:rPr>
                <w:noProof/>
                <w:webHidden/>
              </w:rPr>
              <w:fldChar w:fldCharType="end"/>
            </w:r>
          </w:hyperlink>
        </w:p>
        <w:p w14:paraId="3D3E7934" w14:textId="4CBC5A28" w:rsidR="007F151A" w:rsidRDefault="00000000">
          <w:pPr>
            <w:pStyle w:val="TOC2"/>
            <w:rPr>
              <w:rFonts w:asciiTheme="minorHAnsi" w:eastAsiaTheme="minorEastAsia" w:hAnsiTheme="minorHAnsi" w:cstheme="minorBidi"/>
              <w:noProof/>
              <w:sz w:val="24"/>
              <w:szCs w:val="24"/>
            </w:rPr>
          </w:pPr>
          <w:hyperlink w:anchor="_Toc118063662" w:history="1">
            <w:r w:rsidR="007F151A" w:rsidRPr="000D7769">
              <w:rPr>
                <w:rStyle w:val="Hyperlink"/>
                <w:noProof/>
              </w:rPr>
              <w:t xml:space="preserve">6.3 Retribution in </w:t>
            </w:r>
            <w:r w:rsidR="007F151A" w:rsidRPr="000D7769">
              <w:rPr>
                <w:rStyle w:val="Hyperlink"/>
                <w:i/>
                <w:iCs/>
                <w:noProof/>
              </w:rPr>
              <w:t xml:space="preserve">Mishna Avot </w:t>
            </w:r>
            <w:r w:rsidR="007F151A" w:rsidRPr="000D7769">
              <w:rPr>
                <w:rStyle w:val="Hyperlink"/>
                <w:noProof/>
              </w:rPr>
              <w:t>compared to</w:t>
            </w:r>
            <w:r w:rsidR="007F151A" w:rsidRPr="000D7769">
              <w:rPr>
                <w:rStyle w:val="Hyperlink"/>
                <w:i/>
                <w:iCs/>
                <w:noProof/>
              </w:rPr>
              <w:t xml:space="preserve"> Lex Talionis</w:t>
            </w:r>
            <w:r w:rsidR="007F151A">
              <w:rPr>
                <w:noProof/>
                <w:webHidden/>
              </w:rPr>
              <w:tab/>
            </w:r>
            <w:r w:rsidR="007F151A">
              <w:rPr>
                <w:noProof/>
                <w:webHidden/>
              </w:rPr>
              <w:fldChar w:fldCharType="begin"/>
            </w:r>
            <w:r w:rsidR="007F151A">
              <w:rPr>
                <w:noProof/>
                <w:webHidden/>
              </w:rPr>
              <w:instrText xml:space="preserve"> PAGEREF _Toc118063662 \h </w:instrText>
            </w:r>
            <w:r w:rsidR="007F151A">
              <w:rPr>
                <w:noProof/>
                <w:webHidden/>
              </w:rPr>
            </w:r>
            <w:r w:rsidR="007F151A">
              <w:rPr>
                <w:noProof/>
                <w:webHidden/>
              </w:rPr>
              <w:fldChar w:fldCharType="separate"/>
            </w:r>
            <w:r w:rsidR="00E72224">
              <w:rPr>
                <w:noProof/>
                <w:webHidden/>
              </w:rPr>
              <w:t>103</w:t>
            </w:r>
            <w:r w:rsidR="007F151A">
              <w:rPr>
                <w:noProof/>
                <w:webHidden/>
              </w:rPr>
              <w:fldChar w:fldCharType="end"/>
            </w:r>
          </w:hyperlink>
        </w:p>
        <w:p w14:paraId="20BC8F2B" w14:textId="0FF91E5A" w:rsidR="007F151A" w:rsidRDefault="00000000">
          <w:pPr>
            <w:pStyle w:val="TOC2"/>
            <w:rPr>
              <w:rFonts w:asciiTheme="minorHAnsi" w:eastAsiaTheme="minorEastAsia" w:hAnsiTheme="minorHAnsi" w:cstheme="minorBidi"/>
              <w:noProof/>
              <w:sz w:val="24"/>
              <w:szCs w:val="24"/>
            </w:rPr>
          </w:pPr>
          <w:hyperlink w:anchor="_Toc118063663" w:history="1">
            <w:r w:rsidR="007F151A" w:rsidRPr="000D7769">
              <w:rPr>
                <w:rStyle w:val="Hyperlink"/>
                <w:noProof/>
              </w:rPr>
              <w:t>6.4 The Function of Roman Law in Society</w:t>
            </w:r>
            <w:r w:rsidR="007F151A">
              <w:rPr>
                <w:noProof/>
                <w:webHidden/>
              </w:rPr>
              <w:tab/>
            </w:r>
            <w:r w:rsidR="007F151A">
              <w:rPr>
                <w:noProof/>
                <w:webHidden/>
              </w:rPr>
              <w:fldChar w:fldCharType="begin"/>
            </w:r>
            <w:r w:rsidR="007F151A">
              <w:rPr>
                <w:noProof/>
                <w:webHidden/>
              </w:rPr>
              <w:instrText xml:space="preserve"> PAGEREF _Toc118063663 \h </w:instrText>
            </w:r>
            <w:r w:rsidR="007F151A">
              <w:rPr>
                <w:noProof/>
                <w:webHidden/>
              </w:rPr>
            </w:r>
            <w:r w:rsidR="007F151A">
              <w:rPr>
                <w:noProof/>
                <w:webHidden/>
              </w:rPr>
              <w:fldChar w:fldCharType="separate"/>
            </w:r>
            <w:r w:rsidR="00E72224">
              <w:rPr>
                <w:noProof/>
                <w:webHidden/>
              </w:rPr>
              <w:t>108</w:t>
            </w:r>
            <w:r w:rsidR="007F151A">
              <w:rPr>
                <w:noProof/>
                <w:webHidden/>
              </w:rPr>
              <w:fldChar w:fldCharType="end"/>
            </w:r>
          </w:hyperlink>
        </w:p>
        <w:p w14:paraId="7CCD1ED6" w14:textId="139A1919" w:rsidR="007F151A" w:rsidRDefault="00000000">
          <w:pPr>
            <w:pStyle w:val="TOC2"/>
            <w:rPr>
              <w:rFonts w:asciiTheme="minorHAnsi" w:eastAsiaTheme="minorEastAsia" w:hAnsiTheme="minorHAnsi" w:cstheme="minorBidi"/>
              <w:noProof/>
              <w:sz w:val="24"/>
              <w:szCs w:val="24"/>
            </w:rPr>
          </w:pPr>
          <w:hyperlink w:anchor="_Toc118063664" w:history="1">
            <w:r w:rsidR="007F151A" w:rsidRPr="000D7769">
              <w:rPr>
                <w:rStyle w:val="Hyperlink"/>
                <w:noProof/>
              </w:rPr>
              <w:t>6.5 Roman</w:t>
            </w:r>
            <w:r w:rsidR="007F151A" w:rsidRPr="000D7769">
              <w:rPr>
                <w:rStyle w:val="Hyperlink"/>
                <w:i/>
                <w:noProof/>
              </w:rPr>
              <w:t xml:space="preserve"> </w:t>
            </w:r>
            <w:r w:rsidR="007F151A" w:rsidRPr="000D7769">
              <w:rPr>
                <w:rStyle w:val="Hyperlink"/>
                <w:noProof/>
              </w:rPr>
              <w:t>Codes of Ruling and Governance Similar to</w:t>
            </w:r>
            <w:r w:rsidR="007F151A" w:rsidRPr="000D7769">
              <w:rPr>
                <w:rStyle w:val="Hyperlink"/>
                <w:i/>
                <w:noProof/>
              </w:rPr>
              <w:t xml:space="preserve"> Lex Talionis</w:t>
            </w:r>
            <w:r w:rsidR="007F151A">
              <w:rPr>
                <w:noProof/>
                <w:webHidden/>
              </w:rPr>
              <w:tab/>
            </w:r>
            <w:r w:rsidR="007F151A">
              <w:rPr>
                <w:noProof/>
                <w:webHidden/>
              </w:rPr>
              <w:fldChar w:fldCharType="begin"/>
            </w:r>
            <w:r w:rsidR="007F151A">
              <w:rPr>
                <w:noProof/>
                <w:webHidden/>
              </w:rPr>
              <w:instrText xml:space="preserve"> PAGEREF _Toc118063664 \h </w:instrText>
            </w:r>
            <w:r w:rsidR="007F151A">
              <w:rPr>
                <w:noProof/>
                <w:webHidden/>
              </w:rPr>
            </w:r>
            <w:r w:rsidR="007F151A">
              <w:rPr>
                <w:noProof/>
                <w:webHidden/>
              </w:rPr>
              <w:fldChar w:fldCharType="separate"/>
            </w:r>
            <w:r w:rsidR="00E72224">
              <w:rPr>
                <w:noProof/>
                <w:webHidden/>
              </w:rPr>
              <w:t>113</w:t>
            </w:r>
            <w:r w:rsidR="007F151A">
              <w:rPr>
                <w:noProof/>
                <w:webHidden/>
              </w:rPr>
              <w:fldChar w:fldCharType="end"/>
            </w:r>
          </w:hyperlink>
        </w:p>
        <w:p w14:paraId="6424FD1D" w14:textId="6B9D8FBB" w:rsidR="007F151A" w:rsidRDefault="00000000">
          <w:pPr>
            <w:pStyle w:val="TOC2"/>
            <w:rPr>
              <w:rFonts w:asciiTheme="minorHAnsi" w:eastAsiaTheme="minorEastAsia" w:hAnsiTheme="minorHAnsi" w:cstheme="minorBidi"/>
              <w:noProof/>
              <w:sz w:val="24"/>
              <w:szCs w:val="24"/>
            </w:rPr>
          </w:pPr>
          <w:hyperlink w:anchor="_Toc118063665" w:history="1">
            <w:r w:rsidR="007F151A" w:rsidRPr="000D7769">
              <w:rPr>
                <w:rStyle w:val="Hyperlink"/>
                <w:noProof/>
              </w:rPr>
              <w:t>6.6 Jewish Citizenry Living Under Roman Law</w:t>
            </w:r>
            <w:r w:rsidR="007F151A">
              <w:rPr>
                <w:noProof/>
                <w:webHidden/>
              </w:rPr>
              <w:tab/>
            </w:r>
            <w:r w:rsidR="007F151A">
              <w:rPr>
                <w:noProof/>
                <w:webHidden/>
              </w:rPr>
              <w:fldChar w:fldCharType="begin"/>
            </w:r>
            <w:r w:rsidR="007F151A">
              <w:rPr>
                <w:noProof/>
                <w:webHidden/>
              </w:rPr>
              <w:instrText xml:space="preserve"> PAGEREF _Toc118063665 \h </w:instrText>
            </w:r>
            <w:r w:rsidR="007F151A">
              <w:rPr>
                <w:noProof/>
                <w:webHidden/>
              </w:rPr>
            </w:r>
            <w:r w:rsidR="007F151A">
              <w:rPr>
                <w:noProof/>
                <w:webHidden/>
              </w:rPr>
              <w:fldChar w:fldCharType="separate"/>
            </w:r>
            <w:r w:rsidR="00E72224">
              <w:rPr>
                <w:noProof/>
                <w:webHidden/>
              </w:rPr>
              <w:t>115</w:t>
            </w:r>
            <w:r w:rsidR="007F151A">
              <w:rPr>
                <w:noProof/>
                <w:webHidden/>
              </w:rPr>
              <w:fldChar w:fldCharType="end"/>
            </w:r>
          </w:hyperlink>
        </w:p>
        <w:p w14:paraId="7A0F27A9" w14:textId="60D4DE6B" w:rsidR="007F151A" w:rsidRDefault="00000000">
          <w:pPr>
            <w:pStyle w:val="TOC2"/>
            <w:rPr>
              <w:rFonts w:asciiTheme="minorHAnsi" w:eastAsiaTheme="minorEastAsia" w:hAnsiTheme="minorHAnsi" w:cstheme="minorBidi"/>
              <w:noProof/>
              <w:sz w:val="24"/>
              <w:szCs w:val="24"/>
            </w:rPr>
          </w:pPr>
          <w:hyperlink w:anchor="_Toc118063666" w:history="1">
            <w:r w:rsidR="007F151A" w:rsidRPr="000D7769">
              <w:rPr>
                <w:rStyle w:val="Hyperlink"/>
                <w:noProof/>
              </w:rPr>
              <w:t xml:space="preserve">6.7 Justice and Self Defence in </w:t>
            </w:r>
            <w:r w:rsidR="007F151A" w:rsidRPr="000D7769">
              <w:rPr>
                <w:rStyle w:val="Hyperlink"/>
                <w:i/>
                <w:iCs/>
                <w:noProof/>
              </w:rPr>
              <w:t>Lex Talionis</w:t>
            </w:r>
            <w:r w:rsidR="007F151A">
              <w:rPr>
                <w:noProof/>
                <w:webHidden/>
              </w:rPr>
              <w:tab/>
            </w:r>
            <w:r w:rsidR="007F151A">
              <w:rPr>
                <w:noProof/>
                <w:webHidden/>
              </w:rPr>
              <w:fldChar w:fldCharType="begin"/>
            </w:r>
            <w:r w:rsidR="007F151A">
              <w:rPr>
                <w:noProof/>
                <w:webHidden/>
              </w:rPr>
              <w:instrText xml:space="preserve"> PAGEREF _Toc118063666 \h </w:instrText>
            </w:r>
            <w:r w:rsidR="007F151A">
              <w:rPr>
                <w:noProof/>
                <w:webHidden/>
              </w:rPr>
            </w:r>
            <w:r w:rsidR="007F151A">
              <w:rPr>
                <w:noProof/>
                <w:webHidden/>
              </w:rPr>
              <w:fldChar w:fldCharType="separate"/>
            </w:r>
            <w:r w:rsidR="00E72224">
              <w:rPr>
                <w:noProof/>
                <w:webHidden/>
              </w:rPr>
              <w:t>117</w:t>
            </w:r>
            <w:r w:rsidR="007F151A">
              <w:rPr>
                <w:noProof/>
                <w:webHidden/>
              </w:rPr>
              <w:fldChar w:fldCharType="end"/>
            </w:r>
          </w:hyperlink>
        </w:p>
        <w:p w14:paraId="32716E57" w14:textId="6B80F933" w:rsidR="007F151A" w:rsidRDefault="00000000">
          <w:pPr>
            <w:pStyle w:val="TOC2"/>
            <w:rPr>
              <w:rFonts w:asciiTheme="minorHAnsi" w:eastAsiaTheme="minorEastAsia" w:hAnsiTheme="minorHAnsi" w:cstheme="minorBidi"/>
              <w:noProof/>
              <w:sz w:val="24"/>
              <w:szCs w:val="24"/>
            </w:rPr>
          </w:pPr>
          <w:hyperlink w:anchor="_Toc118063667" w:history="1">
            <w:r w:rsidR="007F151A" w:rsidRPr="000D7769">
              <w:rPr>
                <w:rStyle w:val="Hyperlink"/>
                <w:noProof/>
              </w:rPr>
              <w:t xml:space="preserve">6.8 A Similar Interpretation of </w:t>
            </w:r>
            <w:r w:rsidR="007F151A" w:rsidRPr="000D7769">
              <w:rPr>
                <w:rStyle w:val="Hyperlink"/>
                <w:i/>
                <w:iCs/>
                <w:noProof/>
              </w:rPr>
              <w:t>Talion</w:t>
            </w:r>
            <w:r w:rsidR="007F151A" w:rsidRPr="000D7769">
              <w:rPr>
                <w:rStyle w:val="Hyperlink"/>
                <w:noProof/>
              </w:rPr>
              <w:t xml:space="preserve"> in the Talmud</w:t>
            </w:r>
            <w:r w:rsidR="007F151A">
              <w:rPr>
                <w:noProof/>
                <w:webHidden/>
              </w:rPr>
              <w:tab/>
            </w:r>
            <w:r w:rsidR="007F151A">
              <w:rPr>
                <w:noProof/>
                <w:webHidden/>
              </w:rPr>
              <w:fldChar w:fldCharType="begin"/>
            </w:r>
            <w:r w:rsidR="007F151A">
              <w:rPr>
                <w:noProof/>
                <w:webHidden/>
              </w:rPr>
              <w:instrText xml:space="preserve"> PAGEREF _Toc118063667 \h </w:instrText>
            </w:r>
            <w:r w:rsidR="007F151A">
              <w:rPr>
                <w:noProof/>
                <w:webHidden/>
              </w:rPr>
            </w:r>
            <w:r w:rsidR="007F151A">
              <w:rPr>
                <w:noProof/>
                <w:webHidden/>
              </w:rPr>
              <w:fldChar w:fldCharType="separate"/>
            </w:r>
            <w:r w:rsidR="00E72224">
              <w:rPr>
                <w:noProof/>
                <w:webHidden/>
              </w:rPr>
              <w:t>121</w:t>
            </w:r>
            <w:r w:rsidR="007F151A">
              <w:rPr>
                <w:noProof/>
                <w:webHidden/>
              </w:rPr>
              <w:fldChar w:fldCharType="end"/>
            </w:r>
          </w:hyperlink>
        </w:p>
        <w:p w14:paraId="44A2C178" w14:textId="45E7AC7E" w:rsidR="007F151A" w:rsidRDefault="00000000">
          <w:pPr>
            <w:pStyle w:val="TOC2"/>
            <w:rPr>
              <w:rFonts w:asciiTheme="minorHAnsi" w:eastAsiaTheme="minorEastAsia" w:hAnsiTheme="minorHAnsi" w:cstheme="minorBidi"/>
              <w:noProof/>
              <w:sz w:val="24"/>
              <w:szCs w:val="24"/>
            </w:rPr>
          </w:pPr>
          <w:hyperlink w:anchor="_Toc118063668" w:history="1">
            <w:r w:rsidR="007F151A" w:rsidRPr="000D7769">
              <w:rPr>
                <w:rStyle w:val="Hyperlink"/>
                <w:noProof/>
              </w:rPr>
              <w:t>6.9 Chapter Conclusion</w:t>
            </w:r>
            <w:r w:rsidR="007F151A">
              <w:rPr>
                <w:noProof/>
                <w:webHidden/>
              </w:rPr>
              <w:tab/>
            </w:r>
            <w:r w:rsidR="007F151A">
              <w:rPr>
                <w:noProof/>
                <w:webHidden/>
              </w:rPr>
              <w:fldChar w:fldCharType="begin"/>
            </w:r>
            <w:r w:rsidR="007F151A">
              <w:rPr>
                <w:noProof/>
                <w:webHidden/>
              </w:rPr>
              <w:instrText xml:space="preserve"> PAGEREF _Toc118063668 \h </w:instrText>
            </w:r>
            <w:r w:rsidR="007F151A">
              <w:rPr>
                <w:noProof/>
                <w:webHidden/>
              </w:rPr>
            </w:r>
            <w:r w:rsidR="007F151A">
              <w:rPr>
                <w:noProof/>
                <w:webHidden/>
              </w:rPr>
              <w:fldChar w:fldCharType="separate"/>
            </w:r>
            <w:r w:rsidR="00E72224">
              <w:rPr>
                <w:noProof/>
                <w:webHidden/>
              </w:rPr>
              <w:t>124</w:t>
            </w:r>
            <w:r w:rsidR="007F151A">
              <w:rPr>
                <w:noProof/>
                <w:webHidden/>
              </w:rPr>
              <w:fldChar w:fldCharType="end"/>
            </w:r>
          </w:hyperlink>
        </w:p>
        <w:p w14:paraId="32E4E579" w14:textId="1F553D0B" w:rsidR="007F151A" w:rsidRDefault="00000000">
          <w:pPr>
            <w:pStyle w:val="TOC1"/>
            <w:rPr>
              <w:rFonts w:asciiTheme="minorHAnsi" w:eastAsiaTheme="minorEastAsia" w:hAnsiTheme="minorHAnsi" w:cstheme="minorBidi"/>
              <w:b w:val="0"/>
              <w:bCs w:val="0"/>
              <w:caps w:val="0"/>
              <w:noProof/>
              <w:szCs w:val="24"/>
            </w:rPr>
          </w:pPr>
          <w:hyperlink w:anchor="_Toc118063669" w:history="1">
            <w:r w:rsidR="007F151A" w:rsidRPr="000D7769">
              <w:rPr>
                <w:rStyle w:val="Hyperlink"/>
                <w:noProof/>
              </w:rPr>
              <w:t>Chapter 7</w:t>
            </w:r>
            <w:r w:rsidR="007F151A" w:rsidRPr="000D7769">
              <w:rPr>
                <w:rStyle w:val="Hyperlink"/>
                <w:i/>
                <w:noProof/>
              </w:rPr>
              <w:t xml:space="preserve"> </w:t>
            </w:r>
            <w:r w:rsidR="007F151A" w:rsidRPr="000D7769">
              <w:rPr>
                <w:rStyle w:val="Hyperlink"/>
                <w:noProof/>
                <w:shd w:val="clear" w:color="auto" w:fill="FFFFFF"/>
                <w:rtl/>
              </w:rPr>
              <w:t>צדקה</w:t>
            </w:r>
            <w:r w:rsidR="007F151A" w:rsidRPr="000D7769">
              <w:rPr>
                <w:rStyle w:val="Hyperlink"/>
                <w:noProof/>
                <w:shd w:val="clear" w:color="auto" w:fill="FFFFFF"/>
              </w:rPr>
              <w:t xml:space="preserve"> </w:t>
            </w:r>
            <w:r w:rsidR="007F151A" w:rsidRPr="000D7769">
              <w:rPr>
                <w:rStyle w:val="Hyperlink"/>
                <w:noProof/>
              </w:rPr>
              <w:t>as Justice</w:t>
            </w:r>
            <w:r w:rsidR="007F151A">
              <w:rPr>
                <w:noProof/>
                <w:webHidden/>
              </w:rPr>
              <w:tab/>
            </w:r>
            <w:r w:rsidR="007F151A">
              <w:rPr>
                <w:noProof/>
                <w:webHidden/>
              </w:rPr>
              <w:fldChar w:fldCharType="begin"/>
            </w:r>
            <w:r w:rsidR="007F151A">
              <w:rPr>
                <w:noProof/>
                <w:webHidden/>
              </w:rPr>
              <w:instrText xml:space="preserve"> PAGEREF _Toc118063669 \h </w:instrText>
            </w:r>
            <w:r w:rsidR="007F151A">
              <w:rPr>
                <w:noProof/>
                <w:webHidden/>
              </w:rPr>
            </w:r>
            <w:r w:rsidR="007F151A">
              <w:rPr>
                <w:noProof/>
                <w:webHidden/>
              </w:rPr>
              <w:fldChar w:fldCharType="separate"/>
            </w:r>
            <w:r w:rsidR="00E72224">
              <w:rPr>
                <w:noProof/>
                <w:webHidden/>
              </w:rPr>
              <w:t>127</w:t>
            </w:r>
            <w:r w:rsidR="007F151A">
              <w:rPr>
                <w:noProof/>
                <w:webHidden/>
              </w:rPr>
              <w:fldChar w:fldCharType="end"/>
            </w:r>
          </w:hyperlink>
        </w:p>
        <w:p w14:paraId="1244145F" w14:textId="222950DF" w:rsidR="007F151A" w:rsidRDefault="00000000">
          <w:pPr>
            <w:pStyle w:val="TOC2"/>
            <w:rPr>
              <w:rFonts w:asciiTheme="minorHAnsi" w:eastAsiaTheme="minorEastAsia" w:hAnsiTheme="minorHAnsi" w:cstheme="minorBidi"/>
              <w:noProof/>
              <w:sz w:val="24"/>
              <w:szCs w:val="24"/>
            </w:rPr>
          </w:pPr>
          <w:hyperlink w:anchor="_Toc118063670" w:history="1">
            <w:r w:rsidR="007F151A" w:rsidRPr="000D7769">
              <w:rPr>
                <w:rStyle w:val="Hyperlink"/>
                <w:noProof/>
              </w:rPr>
              <w:t xml:space="preserve">7.1 </w:t>
            </w:r>
            <w:r w:rsidR="007F151A" w:rsidRPr="000D7769">
              <w:rPr>
                <w:rStyle w:val="Hyperlink"/>
                <w:noProof/>
                <w:shd w:val="clear" w:color="auto" w:fill="FFFFFF"/>
                <w:rtl/>
              </w:rPr>
              <w:t xml:space="preserve">צדקה </w:t>
            </w:r>
            <w:r w:rsidR="007F151A" w:rsidRPr="000D7769">
              <w:rPr>
                <w:rStyle w:val="Hyperlink"/>
                <w:i/>
                <w:iCs/>
                <w:noProof/>
              </w:rPr>
              <w:t xml:space="preserve"> </w:t>
            </w:r>
            <w:r w:rsidR="007F151A" w:rsidRPr="000D7769">
              <w:rPr>
                <w:rStyle w:val="Hyperlink"/>
                <w:noProof/>
              </w:rPr>
              <w:t>(</w:t>
            </w:r>
            <w:r w:rsidR="007F151A" w:rsidRPr="000D7769">
              <w:rPr>
                <w:rStyle w:val="Hyperlink"/>
                <w:i/>
                <w:iCs/>
                <w:noProof/>
              </w:rPr>
              <w:t>tzedek</w:t>
            </w:r>
            <w:r w:rsidR="007F151A" w:rsidRPr="000D7769">
              <w:rPr>
                <w:rStyle w:val="Hyperlink"/>
                <w:noProof/>
              </w:rPr>
              <w:t>)</w:t>
            </w:r>
            <w:r w:rsidR="007F151A">
              <w:rPr>
                <w:noProof/>
                <w:webHidden/>
              </w:rPr>
              <w:tab/>
            </w:r>
            <w:r w:rsidR="007F151A">
              <w:rPr>
                <w:noProof/>
                <w:webHidden/>
              </w:rPr>
              <w:fldChar w:fldCharType="begin"/>
            </w:r>
            <w:r w:rsidR="007F151A">
              <w:rPr>
                <w:noProof/>
                <w:webHidden/>
              </w:rPr>
              <w:instrText xml:space="preserve"> PAGEREF _Toc118063670 \h </w:instrText>
            </w:r>
            <w:r w:rsidR="007F151A">
              <w:rPr>
                <w:noProof/>
                <w:webHidden/>
              </w:rPr>
            </w:r>
            <w:r w:rsidR="007F151A">
              <w:rPr>
                <w:noProof/>
                <w:webHidden/>
              </w:rPr>
              <w:fldChar w:fldCharType="separate"/>
            </w:r>
            <w:r w:rsidR="00E72224">
              <w:rPr>
                <w:noProof/>
                <w:webHidden/>
              </w:rPr>
              <w:t>127</w:t>
            </w:r>
            <w:r w:rsidR="007F151A">
              <w:rPr>
                <w:noProof/>
                <w:webHidden/>
              </w:rPr>
              <w:fldChar w:fldCharType="end"/>
            </w:r>
          </w:hyperlink>
        </w:p>
        <w:p w14:paraId="58CE49F1" w14:textId="6FBBBCA6" w:rsidR="007F151A" w:rsidRDefault="00000000">
          <w:pPr>
            <w:pStyle w:val="TOC2"/>
            <w:rPr>
              <w:rFonts w:asciiTheme="minorHAnsi" w:eastAsiaTheme="minorEastAsia" w:hAnsiTheme="minorHAnsi" w:cstheme="minorBidi"/>
              <w:noProof/>
              <w:sz w:val="24"/>
              <w:szCs w:val="24"/>
            </w:rPr>
          </w:pPr>
          <w:hyperlink w:anchor="_Toc118063671" w:history="1">
            <w:r w:rsidR="007F151A" w:rsidRPr="000D7769">
              <w:rPr>
                <w:rStyle w:val="Hyperlink"/>
                <w:noProof/>
              </w:rPr>
              <w:t xml:space="preserve">7.2 </w:t>
            </w:r>
            <w:r w:rsidR="007F151A" w:rsidRPr="000D7769">
              <w:rPr>
                <w:rStyle w:val="Hyperlink"/>
                <w:noProof/>
                <w:shd w:val="clear" w:color="auto" w:fill="FFFFFF"/>
                <w:rtl/>
              </w:rPr>
              <w:t>צדקה</w:t>
            </w:r>
            <w:r w:rsidR="007F151A" w:rsidRPr="000D7769">
              <w:rPr>
                <w:rStyle w:val="Hyperlink"/>
                <w:noProof/>
              </w:rPr>
              <w:t xml:space="preserve"> (Charity) and Community Support to the Poor</w:t>
            </w:r>
            <w:r w:rsidR="007F151A">
              <w:rPr>
                <w:noProof/>
                <w:webHidden/>
              </w:rPr>
              <w:tab/>
            </w:r>
            <w:r w:rsidR="007F151A">
              <w:rPr>
                <w:noProof/>
                <w:webHidden/>
              </w:rPr>
              <w:fldChar w:fldCharType="begin"/>
            </w:r>
            <w:r w:rsidR="007F151A">
              <w:rPr>
                <w:noProof/>
                <w:webHidden/>
              </w:rPr>
              <w:instrText xml:space="preserve"> PAGEREF _Toc118063671 \h </w:instrText>
            </w:r>
            <w:r w:rsidR="007F151A">
              <w:rPr>
                <w:noProof/>
                <w:webHidden/>
              </w:rPr>
            </w:r>
            <w:r w:rsidR="007F151A">
              <w:rPr>
                <w:noProof/>
                <w:webHidden/>
              </w:rPr>
              <w:fldChar w:fldCharType="separate"/>
            </w:r>
            <w:r w:rsidR="00E72224">
              <w:rPr>
                <w:noProof/>
                <w:webHidden/>
              </w:rPr>
              <w:t>130</w:t>
            </w:r>
            <w:r w:rsidR="007F151A">
              <w:rPr>
                <w:noProof/>
                <w:webHidden/>
              </w:rPr>
              <w:fldChar w:fldCharType="end"/>
            </w:r>
          </w:hyperlink>
        </w:p>
        <w:p w14:paraId="7CF77CB0" w14:textId="78D86B35" w:rsidR="007F151A" w:rsidRDefault="00000000">
          <w:pPr>
            <w:pStyle w:val="TOC2"/>
            <w:rPr>
              <w:rFonts w:asciiTheme="minorHAnsi" w:eastAsiaTheme="minorEastAsia" w:hAnsiTheme="minorHAnsi" w:cstheme="minorBidi"/>
              <w:noProof/>
              <w:sz w:val="24"/>
              <w:szCs w:val="24"/>
            </w:rPr>
          </w:pPr>
          <w:hyperlink w:anchor="_Toc118063672" w:history="1">
            <w:r w:rsidR="007F151A" w:rsidRPr="000D7769">
              <w:rPr>
                <w:rStyle w:val="Hyperlink"/>
                <w:noProof/>
              </w:rPr>
              <w:t xml:space="preserve">7.4 </w:t>
            </w:r>
            <w:r w:rsidR="007F151A" w:rsidRPr="000D7769">
              <w:rPr>
                <w:rStyle w:val="Hyperlink"/>
                <w:bCs/>
                <w:noProof/>
                <w:shd w:val="clear" w:color="auto" w:fill="FFFFFF"/>
                <w:rtl/>
              </w:rPr>
              <w:t>צדקה</w:t>
            </w:r>
            <w:r w:rsidR="007F151A" w:rsidRPr="000D7769">
              <w:rPr>
                <w:rStyle w:val="Hyperlink"/>
                <w:noProof/>
              </w:rPr>
              <w:t xml:space="preserve"> and Moneylending</w:t>
            </w:r>
            <w:r w:rsidR="007F151A">
              <w:rPr>
                <w:noProof/>
                <w:webHidden/>
              </w:rPr>
              <w:tab/>
            </w:r>
            <w:r w:rsidR="007F151A">
              <w:rPr>
                <w:noProof/>
                <w:webHidden/>
              </w:rPr>
              <w:fldChar w:fldCharType="begin"/>
            </w:r>
            <w:r w:rsidR="007F151A">
              <w:rPr>
                <w:noProof/>
                <w:webHidden/>
              </w:rPr>
              <w:instrText xml:space="preserve"> PAGEREF _Toc118063672 \h </w:instrText>
            </w:r>
            <w:r w:rsidR="007F151A">
              <w:rPr>
                <w:noProof/>
                <w:webHidden/>
              </w:rPr>
            </w:r>
            <w:r w:rsidR="007F151A">
              <w:rPr>
                <w:noProof/>
                <w:webHidden/>
              </w:rPr>
              <w:fldChar w:fldCharType="separate"/>
            </w:r>
            <w:r w:rsidR="00E72224">
              <w:rPr>
                <w:noProof/>
                <w:webHidden/>
              </w:rPr>
              <w:t>133</w:t>
            </w:r>
            <w:r w:rsidR="007F151A">
              <w:rPr>
                <w:noProof/>
                <w:webHidden/>
              </w:rPr>
              <w:fldChar w:fldCharType="end"/>
            </w:r>
          </w:hyperlink>
        </w:p>
        <w:p w14:paraId="3D77597C" w14:textId="5E0936AD" w:rsidR="007F151A" w:rsidRDefault="00000000">
          <w:pPr>
            <w:pStyle w:val="TOC2"/>
            <w:rPr>
              <w:rFonts w:asciiTheme="minorHAnsi" w:eastAsiaTheme="minorEastAsia" w:hAnsiTheme="minorHAnsi" w:cstheme="minorBidi"/>
              <w:noProof/>
              <w:sz w:val="24"/>
              <w:szCs w:val="24"/>
            </w:rPr>
          </w:pPr>
          <w:hyperlink w:anchor="_Toc118063673" w:history="1">
            <w:r w:rsidR="007F151A" w:rsidRPr="000D7769">
              <w:rPr>
                <w:rStyle w:val="Hyperlink"/>
                <w:noProof/>
              </w:rPr>
              <w:t>7.5 Chapter Conclusion</w:t>
            </w:r>
            <w:r w:rsidR="007F151A">
              <w:rPr>
                <w:noProof/>
                <w:webHidden/>
              </w:rPr>
              <w:tab/>
            </w:r>
            <w:r w:rsidR="007F151A">
              <w:rPr>
                <w:noProof/>
                <w:webHidden/>
              </w:rPr>
              <w:fldChar w:fldCharType="begin"/>
            </w:r>
            <w:r w:rsidR="007F151A">
              <w:rPr>
                <w:noProof/>
                <w:webHidden/>
              </w:rPr>
              <w:instrText xml:space="preserve"> PAGEREF _Toc118063673 \h </w:instrText>
            </w:r>
            <w:r w:rsidR="007F151A">
              <w:rPr>
                <w:noProof/>
                <w:webHidden/>
              </w:rPr>
            </w:r>
            <w:r w:rsidR="007F151A">
              <w:rPr>
                <w:noProof/>
                <w:webHidden/>
              </w:rPr>
              <w:fldChar w:fldCharType="separate"/>
            </w:r>
            <w:r w:rsidR="00E72224">
              <w:rPr>
                <w:noProof/>
                <w:webHidden/>
              </w:rPr>
              <w:t>135</w:t>
            </w:r>
            <w:r w:rsidR="007F151A">
              <w:rPr>
                <w:noProof/>
                <w:webHidden/>
              </w:rPr>
              <w:fldChar w:fldCharType="end"/>
            </w:r>
          </w:hyperlink>
        </w:p>
        <w:p w14:paraId="26B0B31B" w14:textId="5076B8C5" w:rsidR="007F151A" w:rsidRDefault="00000000">
          <w:pPr>
            <w:pStyle w:val="TOC1"/>
            <w:rPr>
              <w:rFonts w:asciiTheme="minorHAnsi" w:eastAsiaTheme="minorEastAsia" w:hAnsiTheme="minorHAnsi" w:cstheme="minorBidi"/>
              <w:b w:val="0"/>
              <w:bCs w:val="0"/>
              <w:caps w:val="0"/>
              <w:noProof/>
              <w:szCs w:val="24"/>
            </w:rPr>
          </w:pPr>
          <w:hyperlink w:anchor="_Toc118063674" w:history="1">
            <w:r w:rsidR="007F151A" w:rsidRPr="000D7769">
              <w:rPr>
                <w:rStyle w:val="Hyperlink"/>
                <w:noProof/>
              </w:rPr>
              <w:t xml:space="preserve">Chapter 8   </w:t>
            </w:r>
            <w:r w:rsidR="007F151A" w:rsidRPr="000D7769">
              <w:rPr>
                <w:rStyle w:val="Hyperlink"/>
                <w:noProof/>
                <w:lang w:val="en-AU"/>
              </w:rPr>
              <w:t>Peace and Non-Violence in the Sermon on the Mount</w:t>
            </w:r>
            <w:r w:rsidR="007F151A">
              <w:rPr>
                <w:noProof/>
                <w:webHidden/>
              </w:rPr>
              <w:tab/>
            </w:r>
            <w:r w:rsidR="007F151A">
              <w:rPr>
                <w:noProof/>
                <w:webHidden/>
              </w:rPr>
              <w:fldChar w:fldCharType="begin"/>
            </w:r>
            <w:r w:rsidR="007F151A">
              <w:rPr>
                <w:noProof/>
                <w:webHidden/>
              </w:rPr>
              <w:instrText xml:space="preserve"> PAGEREF _Toc118063674 \h </w:instrText>
            </w:r>
            <w:r w:rsidR="007F151A">
              <w:rPr>
                <w:noProof/>
                <w:webHidden/>
              </w:rPr>
            </w:r>
            <w:r w:rsidR="007F151A">
              <w:rPr>
                <w:noProof/>
                <w:webHidden/>
              </w:rPr>
              <w:fldChar w:fldCharType="separate"/>
            </w:r>
            <w:r w:rsidR="00E72224">
              <w:rPr>
                <w:noProof/>
                <w:webHidden/>
              </w:rPr>
              <w:t>136</w:t>
            </w:r>
            <w:r w:rsidR="007F151A">
              <w:rPr>
                <w:noProof/>
                <w:webHidden/>
              </w:rPr>
              <w:fldChar w:fldCharType="end"/>
            </w:r>
          </w:hyperlink>
        </w:p>
        <w:p w14:paraId="63D3CA1B" w14:textId="7606A055" w:rsidR="007F151A" w:rsidRDefault="00000000">
          <w:pPr>
            <w:pStyle w:val="TOC2"/>
            <w:rPr>
              <w:rFonts w:asciiTheme="minorHAnsi" w:eastAsiaTheme="minorEastAsia" w:hAnsiTheme="minorHAnsi" w:cstheme="minorBidi"/>
              <w:noProof/>
              <w:sz w:val="24"/>
              <w:szCs w:val="24"/>
            </w:rPr>
          </w:pPr>
          <w:hyperlink w:anchor="_Toc118063675" w:history="1">
            <w:r w:rsidR="007F151A" w:rsidRPr="000D7769">
              <w:rPr>
                <w:rStyle w:val="Hyperlink"/>
                <w:noProof/>
              </w:rPr>
              <w:t>8.1 The Structure of the Sermon on the Mount</w:t>
            </w:r>
            <w:r w:rsidR="007F151A">
              <w:rPr>
                <w:noProof/>
                <w:webHidden/>
              </w:rPr>
              <w:tab/>
            </w:r>
            <w:r w:rsidR="007F151A">
              <w:rPr>
                <w:noProof/>
                <w:webHidden/>
              </w:rPr>
              <w:fldChar w:fldCharType="begin"/>
            </w:r>
            <w:r w:rsidR="007F151A">
              <w:rPr>
                <w:noProof/>
                <w:webHidden/>
              </w:rPr>
              <w:instrText xml:space="preserve"> PAGEREF _Toc118063675 \h </w:instrText>
            </w:r>
            <w:r w:rsidR="007F151A">
              <w:rPr>
                <w:noProof/>
                <w:webHidden/>
              </w:rPr>
            </w:r>
            <w:r w:rsidR="007F151A">
              <w:rPr>
                <w:noProof/>
                <w:webHidden/>
              </w:rPr>
              <w:fldChar w:fldCharType="separate"/>
            </w:r>
            <w:r w:rsidR="00E72224">
              <w:rPr>
                <w:noProof/>
                <w:webHidden/>
              </w:rPr>
              <w:t>136</w:t>
            </w:r>
            <w:r w:rsidR="007F151A">
              <w:rPr>
                <w:noProof/>
                <w:webHidden/>
              </w:rPr>
              <w:fldChar w:fldCharType="end"/>
            </w:r>
          </w:hyperlink>
        </w:p>
        <w:p w14:paraId="4EFD4998" w14:textId="01116A89" w:rsidR="007F151A" w:rsidRDefault="00000000">
          <w:pPr>
            <w:pStyle w:val="TOC2"/>
            <w:rPr>
              <w:rFonts w:asciiTheme="minorHAnsi" w:eastAsiaTheme="minorEastAsia" w:hAnsiTheme="minorHAnsi" w:cstheme="minorBidi"/>
              <w:noProof/>
              <w:sz w:val="24"/>
              <w:szCs w:val="24"/>
            </w:rPr>
          </w:pPr>
          <w:hyperlink w:anchor="_Toc118063676" w:history="1">
            <w:r w:rsidR="007F151A" w:rsidRPr="000D7769">
              <w:rPr>
                <w:rStyle w:val="Hyperlink"/>
                <w:bCs/>
                <w:caps/>
                <w:noProof/>
              </w:rPr>
              <w:t xml:space="preserve">8.2 </w:t>
            </w:r>
            <w:r w:rsidR="007F151A" w:rsidRPr="000D7769">
              <w:rPr>
                <w:rStyle w:val="Hyperlink"/>
                <w:bCs/>
                <w:noProof/>
              </w:rPr>
              <w:t xml:space="preserve">Matthew </w:t>
            </w:r>
            <w:r w:rsidR="007F151A" w:rsidRPr="000D7769">
              <w:rPr>
                <w:rStyle w:val="Hyperlink"/>
                <w:bCs/>
                <w:caps/>
                <w:noProof/>
              </w:rPr>
              <w:t xml:space="preserve">5:5: </w:t>
            </w:r>
            <w:r w:rsidR="007F151A" w:rsidRPr="000D7769">
              <w:rPr>
                <w:rStyle w:val="Hyperlink"/>
                <w:noProof/>
              </w:rPr>
              <w:t>πραεῖς (mild or humble) in the Beatitudes</w:t>
            </w:r>
            <w:r w:rsidR="007F151A">
              <w:rPr>
                <w:noProof/>
                <w:webHidden/>
              </w:rPr>
              <w:tab/>
            </w:r>
            <w:r w:rsidR="007F151A">
              <w:rPr>
                <w:noProof/>
                <w:webHidden/>
              </w:rPr>
              <w:fldChar w:fldCharType="begin"/>
            </w:r>
            <w:r w:rsidR="007F151A">
              <w:rPr>
                <w:noProof/>
                <w:webHidden/>
              </w:rPr>
              <w:instrText xml:space="preserve"> PAGEREF _Toc118063676 \h </w:instrText>
            </w:r>
            <w:r w:rsidR="007F151A">
              <w:rPr>
                <w:noProof/>
                <w:webHidden/>
              </w:rPr>
            </w:r>
            <w:r w:rsidR="007F151A">
              <w:rPr>
                <w:noProof/>
                <w:webHidden/>
              </w:rPr>
              <w:fldChar w:fldCharType="separate"/>
            </w:r>
            <w:r w:rsidR="00E72224">
              <w:rPr>
                <w:noProof/>
                <w:webHidden/>
              </w:rPr>
              <w:t>138</w:t>
            </w:r>
            <w:r w:rsidR="007F151A">
              <w:rPr>
                <w:noProof/>
                <w:webHidden/>
              </w:rPr>
              <w:fldChar w:fldCharType="end"/>
            </w:r>
          </w:hyperlink>
        </w:p>
        <w:p w14:paraId="65FD399D" w14:textId="23D237E1" w:rsidR="007F151A" w:rsidRDefault="00000000">
          <w:pPr>
            <w:pStyle w:val="TOC2"/>
            <w:rPr>
              <w:rFonts w:asciiTheme="minorHAnsi" w:eastAsiaTheme="minorEastAsia" w:hAnsiTheme="minorHAnsi" w:cstheme="minorBidi"/>
              <w:noProof/>
              <w:sz w:val="24"/>
              <w:szCs w:val="24"/>
            </w:rPr>
          </w:pPr>
          <w:hyperlink w:anchor="_Toc118063677" w:history="1">
            <w:r w:rsidR="007F151A" w:rsidRPr="000D7769">
              <w:rPr>
                <w:rStyle w:val="Hyperlink"/>
                <w:noProof/>
              </w:rPr>
              <w:t xml:space="preserve">8.4 ἀντιστῆναι and </w:t>
            </w:r>
            <w:r w:rsidR="007F151A" w:rsidRPr="000D7769">
              <w:rPr>
                <w:rStyle w:val="Hyperlink"/>
                <w:noProof/>
                <w:lang w:val="el-GR"/>
              </w:rPr>
              <w:t>πονηρῷ</w:t>
            </w:r>
            <w:r w:rsidR="007F151A" w:rsidRPr="000D7769">
              <w:rPr>
                <w:rStyle w:val="Hyperlink"/>
                <w:noProof/>
              </w:rPr>
              <w:t xml:space="preserve"> in Matt 5:39</w:t>
            </w:r>
            <w:r w:rsidR="007F151A">
              <w:rPr>
                <w:noProof/>
                <w:webHidden/>
              </w:rPr>
              <w:tab/>
            </w:r>
            <w:r w:rsidR="007F151A">
              <w:rPr>
                <w:noProof/>
                <w:webHidden/>
              </w:rPr>
              <w:fldChar w:fldCharType="begin"/>
            </w:r>
            <w:r w:rsidR="007F151A">
              <w:rPr>
                <w:noProof/>
                <w:webHidden/>
              </w:rPr>
              <w:instrText xml:space="preserve"> PAGEREF _Toc118063677 \h </w:instrText>
            </w:r>
            <w:r w:rsidR="007F151A">
              <w:rPr>
                <w:noProof/>
                <w:webHidden/>
              </w:rPr>
            </w:r>
            <w:r w:rsidR="007F151A">
              <w:rPr>
                <w:noProof/>
                <w:webHidden/>
              </w:rPr>
              <w:fldChar w:fldCharType="separate"/>
            </w:r>
            <w:r w:rsidR="00E72224">
              <w:rPr>
                <w:noProof/>
                <w:webHidden/>
              </w:rPr>
              <w:t>143</w:t>
            </w:r>
            <w:r w:rsidR="007F151A">
              <w:rPr>
                <w:noProof/>
                <w:webHidden/>
              </w:rPr>
              <w:fldChar w:fldCharType="end"/>
            </w:r>
          </w:hyperlink>
        </w:p>
        <w:p w14:paraId="3E981D5E" w14:textId="56C2C679" w:rsidR="007F151A" w:rsidRDefault="00000000">
          <w:pPr>
            <w:pStyle w:val="TOC2"/>
            <w:rPr>
              <w:rFonts w:asciiTheme="minorHAnsi" w:eastAsiaTheme="minorEastAsia" w:hAnsiTheme="minorHAnsi" w:cstheme="minorBidi"/>
              <w:noProof/>
              <w:sz w:val="24"/>
              <w:szCs w:val="24"/>
            </w:rPr>
          </w:pPr>
          <w:hyperlink w:anchor="_Toc118063678" w:history="1">
            <w:r w:rsidR="007F151A" w:rsidRPr="000D7769">
              <w:rPr>
                <w:rStyle w:val="Hyperlink"/>
                <w:noProof/>
              </w:rPr>
              <w:t>8.5 Slapping and Turning the Other Cheek in Matt 5:39</w:t>
            </w:r>
            <w:r w:rsidR="007F151A">
              <w:rPr>
                <w:noProof/>
                <w:webHidden/>
              </w:rPr>
              <w:tab/>
            </w:r>
            <w:r w:rsidR="007F151A">
              <w:rPr>
                <w:noProof/>
                <w:webHidden/>
              </w:rPr>
              <w:fldChar w:fldCharType="begin"/>
            </w:r>
            <w:r w:rsidR="007F151A">
              <w:rPr>
                <w:noProof/>
                <w:webHidden/>
              </w:rPr>
              <w:instrText xml:space="preserve"> PAGEREF _Toc118063678 \h </w:instrText>
            </w:r>
            <w:r w:rsidR="007F151A">
              <w:rPr>
                <w:noProof/>
                <w:webHidden/>
              </w:rPr>
            </w:r>
            <w:r w:rsidR="007F151A">
              <w:rPr>
                <w:noProof/>
                <w:webHidden/>
              </w:rPr>
              <w:fldChar w:fldCharType="separate"/>
            </w:r>
            <w:r w:rsidR="00E72224">
              <w:rPr>
                <w:noProof/>
                <w:webHidden/>
              </w:rPr>
              <w:t>149</w:t>
            </w:r>
            <w:r w:rsidR="007F151A">
              <w:rPr>
                <w:noProof/>
                <w:webHidden/>
              </w:rPr>
              <w:fldChar w:fldCharType="end"/>
            </w:r>
          </w:hyperlink>
        </w:p>
        <w:p w14:paraId="6CAB771D" w14:textId="761D323E" w:rsidR="007F151A" w:rsidRDefault="00000000">
          <w:pPr>
            <w:pStyle w:val="TOC3"/>
            <w:tabs>
              <w:tab w:val="right" w:leader="dot" w:pos="9010"/>
            </w:tabs>
            <w:rPr>
              <w:rFonts w:asciiTheme="minorHAnsi" w:eastAsiaTheme="minorEastAsia" w:hAnsiTheme="minorHAnsi" w:cstheme="minorBidi"/>
              <w:iCs w:val="0"/>
              <w:noProof/>
              <w:sz w:val="24"/>
              <w:szCs w:val="24"/>
            </w:rPr>
          </w:pPr>
          <w:hyperlink w:anchor="_Toc118063679" w:history="1">
            <w:r w:rsidR="007F151A" w:rsidRPr="000D7769">
              <w:rPr>
                <w:rStyle w:val="Hyperlink"/>
                <w:noProof/>
              </w:rPr>
              <w:t>8.5.1</w:t>
            </w:r>
            <w:r w:rsidR="007F151A" w:rsidRPr="000D7769">
              <w:rPr>
                <w:rStyle w:val="Hyperlink"/>
                <w:i/>
                <w:noProof/>
              </w:rPr>
              <w:t xml:space="preserve"> </w:t>
            </w:r>
            <w:r w:rsidR="007F151A" w:rsidRPr="000D7769">
              <w:rPr>
                <w:rStyle w:val="Hyperlink"/>
                <w:noProof/>
              </w:rPr>
              <w:t>Slapping Submission in the Torah</w:t>
            </w:r>
            <w:r w:rsidR="007F151A">
              <w:rPr>
                <w:noProof/>
                <w:webHidden/>
              </w:rPr>
              <w:tab/>
            </w:r>
            <w:r w:rsidR="007F151A">
              <w:rPr>
                <w:noProof/>
                <w:webHidden/>
              </w:rPr>
              <w:fldChar w:fldCharType="begin"/>
            </w:r>
            <w:r w:rsidR="007F151A">
              <w:rPr>
                <w:noProof/>
                <w:webHidden/>
              </w:rPr>
              <w:instrText xml:space="preserve"> PAGEREF _Toc118063679 \h </w:instrText>
            </w:r>
            <w:r w:rsidR="007F151A">
              <w:rPr>
                <w:noProof/>
                <w:webHidden/>
              </w:rPr>
            </w:r>
            <w:r w:rsidR="007F151A">
              <w:rPr>
                <w:noProof/>
                <w:webHidden/>
              </w:rPr>
              <w:fldChar w:fldCharType="separate"/>
            </w:r>
            <w:r w:rsidR="00E72224">
              <w:rPr>
                <w:noProof/>
                <w:webHidden/>
              </w:rPr>
              <w:t>153</w:t>
            </w:r>
            <w:r w:rsidR="007F151A">
              <w:rPr>
                <w:noProof/>
                <w:webHidden/>
              </w:rPr>
              <w:fldChar w:fldCharType="end"/>
            </w:r>
          </w:hyperlink>
        </w:p>
        <w:p w14:paraId="090576D2" w14:textId="70309627" w:rsidR="007F151A" w:rsidRDefault="00000000">
          <w:pPr>
            <w:pStyle w:val="TOC3"/>
            <w:tabs>
              <w:tab w:val="right" w:leader="dot" w:pos="9010"/>
            </w:tabs>
            <w:rPr>
              <w:rFonts w:asciiTheme="minorHAnsi" w:eastAsiaTheme="minorEastAsia" w:hAnsiTheme="minorHAnsi" w:cstheme="minorBidi"/>
              <w:iCs w:val="0"/>
              <w:noProof/>
              <w:sz w:val="24"/>
              <w:szCs w:val="24"/>
            </w:rPr>
          </w:pPr>
          <w:hyperlink w:anchor="_Toc118063680" w:history="1">
            <w:r w:rsidR="007F151A" w:rsidRPr="000D7769">
              <w:rPr>
                <w:rStyle w:val="Hyperlink"/>
                <w:noProof/>
              </w:rPr>
              <w:t>8.5.2 Matthew 5:40 and Isaiah 50:6</w:t>
            </w:r>
            <w:r w:rsidR="007F151A">
              <w:rPr>
                <w:noProof/>
                <w:webHidden/>
              </w:rPr>
              <w:tab/>
            </w:r>
            <w:r w:rsidR="007F151A">
              <w:rPr>
                <w:noProof/>
                <w:webHidden/>
              </w:rPr>
              <w:fldChar w:fldCharType="begin"/>
            </w:r>
            <w:r w:rsidR="007F151A">
              <w:rPr>
                <w:noProof/>
                <w:webHidden/>
              </w:rPr>
              <w:instrText xml:space="preserve"> PAGEREF _Toc118063680 \h </w:instrText>
            </w:r>
            <w:r w:rsidR="007F151A">
              <w:rPr>
                <w:noProof/>
                <w:webHidden/>
              </w:rPr>
            </w:r>
            <w:r w:rsidR="007F151A">
              <w:rPr>
                <w:noProof/>
                <w:webHidden/>
              </w:rPr>
              <w:fldChar w:fldCharType="separate"/>
            </w:r>
            <w:r w:rsidR="00E72224">
              <w:rPr>
                <w:noProof/>
                <w:webHidden/>
              </w:rPr>
              <w:t>156</w:t>
            </w:r>
            <w:r w:rsidR="007F151A">
              <w:rPr>
                <w:noProof/>
                <w:webHidden/>
              </w:rPr>
              <w:fldChar w:fldCharType="end"/>
            </w:r>
          </w:hyperlink>
        </w:p>
        <w:p w14:paraId="31ABFD54" w14:textId="19622EE6" w:rsidR="007F151A" w:rsidRDefault="00000000">
          <w:pPr>
            <w:pStyle w:val="TOC3"/>
            <w:tabs>
              <w:tab w:val="right" w:leader="dot" w:pos="9010"/>
            </w:tabs>
            <w:rPr>
              <w:rFonts w:asciiTheme="minorHAnsi" w:eastAsiaTheme="minorEastAsia" w:hAnsiTheme="minorHAnsi" w:cstheme="minorBidi"/>
              <w:iCs w:val="0"/>
              <w:noProof/>
              <w:sz w:val="24"/>
              <w:szCs w:val="24"/>
            </w:rPr>
          </w:pPr>
          <w:hyperlink w:anchor="_Toc118063681" w:history="1">
            <w:r w:rsidR="007F151A" w:rsidRPr="000D7769">
              <w:rPr>
                <w:rStyle w:val="Hyperlink"/>
                <w:noProof/>
              </w:rPr>
              <w:t>8.5.3 Doctrine on War in Early Christianity</w:t>
            </w:r>
            <w:r w:rsidR="007F151A">
              <w:rPr>
                <w:noProof/>
                <w:webHidden/>
              </w:rPr>
              <w:tab/>
            </w:r>
            <w:r w:rsidR="007F151A">
              <w:rPr>
                <w:noProof/>
                <w:webHidden/>
              </w:rPr>
              <w:fldChar w:fldCharType="begin"/>
            </w:r>
            <w:r w:rsidR="007F151A">
              <w:rPr>
                <w:noProof/>
                <w:webHidden/>
              </w:rPr>
              <w:instrText xml:space="preserve"> PAGEREF _Toc118063681 \h </w:instrText>
            </w:r>
            <w:r w:rsidR="007F151A">
              <w:rPr>
                <w:noProof/>
                <w:webHidden/>
              </w:rPr>
            </w:r>
            <w:r w:rsidR="007F151A">
              <w:rPr>
                <w:noProof/>
                <w:webHidden/>
              </w:rPr>
              <w:fldChar w:fldCharType="separate"/>
            </w:r>
            <w:r w:rsidR="00E72224">
              <w:rPr>
                <w:noProof/>
                <w:webHidden/>
              </w:rPr>
              <w:t>157</w:t>
            </w:r>
            <w:r w:rsidR="007F151A">
              <w:rPr>
                <w:noProof/>
                <w:webHidden/>
              </w:rPr>
              <w:fldChar w:fldCharType="end"/>
            </w:r>
          </w:hyperlink>
        </w:p>
        <w:p w14:paraId="2E224B58" w14:textId="393123FC" w:rsidR="007F151A" w:rsidRDefault="00000000">
          <w:pPr>
            <w:pStyle w:val="TOC3"/>
            <w:tabs>
              <w:tab w:val="right" w:leader="dot" w:pos="9010"/>
            </w:tabs>
            <w:rPr>
              <w:rFonts w:asciiTheme="minorHAnsi" w:eastAsiaTheme="minorEastAsia" w:hAnsiTheme="minorHAnsi" w:cstheme="minorBidi"/>
              <w:iCs w:val="0"/>
              <w:noProof/>
              <w:sz w:val="24"/>
              <w:szCs w:val="24"/>
            </w:rPr>
          </w:pPr>
          <w:hyperlink w:anchor="_Toc118063682" w:history="1">
            <w:r w:rsidR="007F151A" w:rsidRPr="000D7769">
              <w:rPr>
                <w:rStyle w:val="Hyperlink"/>
                <w:rFonts w:eastAsiaTheme="minorHAnsi"/>
                <w:noProof/>
              </w:rPr>
              <w:t>8.5.4 The Example of Jesus</w:t>
            </w:r>
            <w:r w:rsidR="007F151A">
              <w:rPr>
                <w:noProof/>
                <w:webHidden/>
              </w:rPr>
              <w:tab/>
            </w:r>
            <w:r w:rsidR="007F151A">
              <w:rPr>
                <w:noProof/>
                <w:webHidden/>
              </w:rPr>
              <w:fldChar w:fldCharType="begin"/>
            </w:r>
            <w:r w:rsidR="007F151A">
              <w:rPr>
                <w:noProof/>
                <w:webHidden/>
              </w:rPr>
              <w:instrText xml:space="preserve"> PAGEREF _Toc118063682 \h </w:instrText>
            </w:r>
            <w:r w:rsidR="007F151A">
              <w:rPr>
                <w:noProof/>
                <w:webHidden/>
              </w:rPr>
            </w:r>
            <w:r w:rsidR="007F151A">
              <w:rPr>
                <w:noProof/>
                <w:webHidden/>
              </w:rPr>
              <w:fldChar w:fldCharType="separate"/>
            </w:r>
            <w:r w:rsidR="00E72224">
              <w:rPr>
                <w:noProof/>
                <w:webHidden/>
              </w:rPr>
              <w:t>160</w:t>
            </w:r>
            <w:r w:rsidR="007F151A">
              <w:rPr>
                <w:noProof/>
                <w:webHidden/>
              </w:rPr>
              <w:fldChar w:fldCharType="end"/>
            </w:r>
          </w:hyperlink>
        </w:p>
        <w:p w14:paraId="74B141E9" w14:textId="41C98CE8" w:rsidR="007F151A" w:rsidRDefault="00000000">
          <w:pPr>
            <w:pStyle w:val="TOC2"/>
            <w:rPr>
              <w:rFonts w:asciiTheme="minorHAnsi" w:eastAsiaTheme="minorEastAsia" w:hAnsiTheme="minorHAnsi" w:cstheme="minorBidi"/>
              <w:noProof/>
              <w:sz w:val="24"/>
              <w:szCs w:val="24"/>
            </w:rPr>
          </w:pPr>
          <w:hyperlink w:anchor="_Toc118063683" w:history="1">
            <w:r w:rsidR="007F151A" w:rsidRPr="000D7769">
              <w:rPr>
                <w:rStyle w:val="Hyperlink"/>
                <w:caps/>
                <w:noProof/>
              </w:rPr>
              <w:t xml:space="preserve">8.6 </w:t>
            </w:r>
            <w:r w:rsidR="007F151A" w:rsidRPr="000D7769">
              <w:rPr>
                <w:rStyle w:val="Hyperlink"/>
                <w:noProof/>
              </w:rPr>
              <w:t>ἱμάτιον and χιτῶνά and Pledges</w:t>
            </w:r>
            <w:r w:rsidR="007F151A">
              <w:rPr>
                <w:noProof/>
                <w:webHidden/>
              </w:rPr>
              <w:tab/>
            </w:r>
            <w:r w:rsidR="007F151A">
              <w:rPr>
                <w:noProof/>
                <w:webHidden/>
              </w:rPr>
              <w:fldChar w:fldCharType="begin"/>
            </w:r>
            <w:r w:rsidR="007F151A">
              <w:rPr>
                <w:noProof/>
                <w:webHidden/>
              </w:rPr>
              <w:instrText xml:space="preserve"> PAGEREF _Toc118063683 \h </w:instrText>
            </w:r>
            <w:r w:rsidR="007F151A">
              <w:rPr>
                <w:noProof/>
                <w:webHidden/>
              </w:rPr>
            </w:r>
            <w:r w:rsidR="007F151A">
              <w:rPr>
                <w:noProof/>
                <w:webHidden/>
              </w:rPr>
              <w:fldChar w:fldCharType="separate"/>
            </w:r>
            <w:r w:rsidR="00E72224">
              <w:rPr>
                <w:noProof/>
                <w:webHidden/>
              </w:rPr>
              <w:t>161</w:t>
            </w:r>
            <w:r w:rsidR="007F151A">
              <w:rPr>
                <w:noProof/>
                <w:webHidden/>
              </w:rPr>
              <w:fldChar w:fldCharType="end"/>
            </w:r>
          </w:hyperlink>
        </w:p>
        <w:p w14:paraId="4F3A8AC5" w14:textId="3094FECC" w:rsidR="007F151A" w:rsidRDefault="00000000">
          <w:pPr>
            <w:pStyle w:val="TOC2"/>
            <w:rPr>
              <w:rFonts w:asciiTheme="minorHAnsi" w:eastAsiaTheme="minorEastAsia" w:hAnsiTheme="minorHAnsi" w:cstheme="minorBidi"/>
              <w:noProof/>
              <w:sz w:val="24"/>
              <w:szCs w:val="24"/>
            </w:rPr>
          </w:pPr>
          <w:hyperlink w:anchor="_Toc118063684" w:history="1">
            <w:r w:rsidR="007F151A" w:rsidRPr="000D7769">
              <w:rPr>
                <w:rStyle w:val="Hyperlink"/>
                <w:noProof/>
              </w:rPr>
              <w:t>8.7 To Compel: ἀγγαρεύσει as Nonviolent Resistance</w:t>
            </w:r>
            <w:r w:rsidR="007F151A">
              <w:rPr>
                <w:noProof/>
                <w:webHidden/>
              </w:rPr>
              <w:tab/>
            </w:r>
            <w:r w:rsidR="007F151A">
              <w:rPr>
                <w:noProof/>
                <w:webHidden/>
              </w:rPr>
              <w:fldChar w:fldCharType="begin"/>
            </w:r>
            <w:r w:rsidR="007F151A">
              <w:rPr>
                <w:noProof/>
                <w:webHidden/>
              </w:rPr>
              <w:instrText xml:space="preserve"> PAGEREF _Toc118063684 \h </w:instrText>
            </w:r>
            <w:r w:rsidR="007F151A">
              <w:rPr>
                <w:noProof/>
                <w:webHidden/>
              </w:rPr>
            </w:r>
            <w:r w:rsidR="007F151A">
              <w:rPr>
                <w:noProof/>
                <w:webHidden/>
              </w:rPr>
              <w:fldChar w:fldCharType="separate"/>
            </w:r>
            <w:r w:rsidR="00E72224">
              <w:rPr>
                <w:noProof/>
                <w:webHidden/>
              </w:rPr>
              <w:t>164</w:t>
            </w:r>
            <w:r w:rsidR="007F151A">
              <w:rPr>
                <w:noProof/>
                <w:webHidden/>
              </w:rPr>
              <w:fldChar w:fldCharType="end"/>
            </w:r>
          </w:hyperlink>
        </w:p>
        <w:p w14:paraId="13EA7C9D" w14:textId="3E37F917" w:rsidR="007F151A" w:rsidRDefault="00000000">
          <w:pPr>
            <w:pStyle w:val="TOC2"/>
            <w:rPr>
              <w:rFonts w:asciiTheme="minorHAnsi" w:eastAsiaTheme="minorEastAsia" w:hAnsiTheme="minorHAnsi" w:cstheme="minorBidi"/>
              <w:noProof/>
              <w:sz w:val="24"/>
              <w:szCs w:val="24"/>
            </w:rPr>
          </w:pPr>
          <w:hyperlink w:anchor="_Toc118063685" w:history="1">
            <w:r w:rsidR="007F151A" w:rsidRPr="000D7769">
              <w:rPr>
                <w:rStyle w:val="Hyperlink"/>
                <w:noProof/>
              </w:rPr>
              <w:t>8.8 Matthew 5:43–48 and Ἀγαπήσεις</w:t>
            </w:r>
            <w:r w:rsidR="007F151A">
              <w:rPr>
                <w:noProof/>
                <w:webHidden/>
              </w:rPr>
              <w:tab/>
            </w:r>
            <w:r w:rsidR="007F151A">
              <w:rPr>
                <w:noProof/>
                <w:webHidden/>
              </w:rPr>
              <w:fldChar w:fldCharType="begin"/>
            </w:r>
            <w:r w:rsidR="007F151A">
              <w:rPr>
                <w:noProof/>
                <w:webHidden/>
              </w:rPr>
              <w:instrText xml:space="preserve"> PAGEREF _Toc118063685 \h </w:instrText>
            </w:r>
            <w:r w:rsidR="007F151A">
              <w:rPr>
                <w:noProof/>
                <w:webHidden/>
              </w:rPr>
            </w:r>
            <w:r w:rsidR="007F151A">
              <w:rPr>
                <w:noProof/>
                <w:webHidden/>
              </w:rPr>
              <w:fldChar w:fldCharType="separate"/>
            </w:r>
            <w:r w:rsidR="00E72224">
              <w:rPr>
                <w:noProof/>
                <w:webHidden/>
              </w:rPr>
              <w:t>169</w:t>
            </w:r>
            <w:r w:rsidR="007F151A">
              <w:rPr>
                <w:noProof/>
                <w:webHidden/>
              </w:rPr>
              <w:fldChar w:fldCharType="end"/>
            </w:r>
          </w:hyperlink>
        </w:p>
        <w:p w14:paraId="25BB4CBB" w14:textId="490A93F4" w:rsidR="007F151A" w:rsidRDefault="00000000">
          <w:pPr>
            <w:pStyle w:val="TOC2"/>
            <w:rPr>
              <w:rFonts w:asciiTheme="minorHAnsi" w:eastAsiaTheme="minorEastAsia" w:hAnsiTheme="minorHAnsi" w:cstheme="minorBidi"/>
              <w:noProof/>
              <w:sz w:val="24"/>
              <w:szCs w:val="24"/>
            </w:rPr>
          </w:pPr>
          <w:hyperlink w:anchor="_Toc118063686" w:history="1">
            <w:r w:rsidR="007F151A" w:rsidRPr="000D7769">
              <w:rPr>
                <w:rStyle w:val="Hyperlink"/>
                <w:caps/>
                <w:noProof/>
              </w:rPr>
              <w:t>8.9 C</w:t>
            </w:r>
            <w:r w:rsidR="007F151A" w:rsidRPr="000D7769">
              <w:rPr>
                <w:rStyle w:val="Hyperlink"/>
                <w:noProof/>
              </w:rPr>
              <w:t>hapter Conclusion</w:t>
            </w:r>
            <w:r w:rsidR="007F151A">
              <w:rPr>
                <w:noProof/>
                <w:webHidden/>
              </w:rPr>
              <w:tab/>
            </w:r>
            <w:r w:rsidR="007F151A">
              <w:rPr>
                <w:noProof/>
                <w:webHidden/>
              </w:rPr>
              <w:fldChar w:fldCharType="begin"/>
            </w:r>
            <w:r w:rsidR="007F151A">
              <w:rPr>
                <w:noProof/>
                <w:webHidden/>
              </w:rPr>
              <w:instrText xml:space="preserve"> PAGEREF _Toc118063686 \h </w:instrText>
            </w:r>
            <w:r w:rsidR="007F151A">
              <w:rPr>
                <w:noProof/>
                <w:webHidden/>
              </w:rPr>
            </w:r>
            <w:r w:rsidR="007F151A">
              <w:rPr>
                <w:noProof/>
                <w:webHidden/>
              </w:rPr>
              <w:fldChar w:fldCharType="separate"/>
            </w:r>
            <w:r w:rsidR="00E72224">
              <w:rPr>
                <w:noProof/>
                <w:webHidden/>
              </w:rPr>
              <w:t>176</w:t>
            </w:r>
            <w:r w:rsidR="007F151A">
              <w:rPr>
                <w:noProof/>
                <w:webHidden/>
              </w:rPr>
              <w:fldChar w:fldCharType="end"/>
            </w:r>
          </w:hyperlink>
        </w:p>
        <w:p w14:paraId="1D7B7688" w14:textId="284E78D0" w:rsidR="007F151A" w:rsidRDefault="00000000">
          <w:pPr>
            <w:pStyle w:val="TOC1"/>
            <w:rPr>
              <w:rFonts w:asciiTheme="minorHAnsi" w:eastAsiaTheme="minorEastAsia" w:hAnsiTheme="minorHAnsi" w:cstheme="minorBidi"/>
              <w:b w:val="0"/>
              <w:bCs w:val="0"/>
              <w:caps w:val="0"/>
              <w:noProof/>
              <w:szCs w:val="24"/>
            </w:rPr>
          </w:pPr>
          <w:hyperlink w:anchor="_Toc118063687" w:history="1">
            <w:r w:rsidR="007F151A" w:rsidRPr="000D7769">
              <w:rPr>
                <w:rStyle w:val="Hyperlink"/>
                <w:noProof/>
              </w:rPr>
              <w:t>Chapter 9   Oral Law and the Sermon on the Mount</w:t>
            </w:r>
            <w:r w:rsidR="007F151A">
              <w:rPr>
                <w:noProof/>
                <w:webHidden/>
              </w:rPr>
              <w:tab/>
            </w:r>
            <w:r w:rsidR="007F151A">
              <w:rPr>
                <w:noProof/>
                <w:webHidden/>
              </w:rPr>
              <w:fldChar w:fldCharType="begin"/>
            </w:r>
            <w:r w:rsidR="007F151A">
              <w:rPr>
                <w:noProof/>
                <w:webHidden/>
              </w:rPr>
              <w:instrText xml:space="preserve"> PAGEREF _Toc118063687 \h </w:instrText>
            </w:r>
            <w:r w:rsidR="007F151A">
              <w:rPr>
                <w:noProof/>
                <w:webHidden/>
              </w:rPr>
            </w:r>
            <w:r w:rsidR="007F151A">
              <w:rPr>
                <w:noProof/>
                <w:webHidden/>
              </w:rPr>
              <w:fldChar w:fldCharType="separate"/>
            </w:r>
            <w:r w:rsidR="00E72224">
              <w:rPr>
                <w:noProof/>
                <w:webHidden/>
              </w:rPr>
              <w:t>181</w:t>
            </w:r>
            <w:r w:rsidR="007F151A">
              <w:rPr>
                <w:noProof/>
                <w:webHidden/>
              </w:rPr>
              <w:fldChar w:fldCharType="end"/>
            </w:r>
          </w:hyperlink>
        </w:p>
        <w:p w14:paraId="247EF5A8" w14:textId="56089D31" w:rsidR="007F151A" w:rsidRDefault="00000000">
          <w:pPr>
            <w:pStyle w:val="TOC2"/>
            <w:rPr>
              <w:rFonts w:asciiTheme="minorHAnsi" w:eastAsiaTheme="minorEastAsia" w:hAnsiTheme="minorHAnsi" w:cstheme="minorBidi"/>
              <w:noProof/>
              <w:sz w:val="24"/>
              <w:szCs w:val="24"/>
            </w:rPr>
          </w:pPr>
          <w:hyperlink w:anchor="_Toc118063688" w:history="1">
            <w:r w:rsidR="007F151A" w:rsidRPr="000D7769">
              <w:rPr>
                <w:rStyle w:val="Hyperlink"/>
                <w:noProof/>
              </w:rPr>
              <w:t>9.1 Jewish Audience</w:t>
            </w:r>
            <w:r w:rsidR="007F151A">
              <w:rPr>
                <w:noProof/>
                <w:webHidden/>
              </w:rPr>
              <w:tab/>
            </w:r>
            <w:r w:rsidR="007F151A">
              <w:rPr>
                <w:noProof/>
                <w:webHidden/>
              </w:rPr>
              <w:fldChar w:fldCharType="begin"/>
            </w:r>
            <w:r w:rsidR="007F151A">
              <w:rPr>
                <w:noProof/>
                <w:webHidden/>
              </w:rPr>
              <w:instrText xml:space="preserve"> PAGEREF _Toc118063688 \h </w:instrText>
            </w:r>
            <w:r w:rsidR="007F151A">
              <w:rPr>
                <w:noProof/>
                <w:webHidden/>
              </w:rPr>
            </w:r>
            <w:r w:rsidR="007F151A">
              <w:rPr>
                <w:noProof/>
                <w:webHidden/>
              </w:rPr>
              <w:fldChar w:fldCharType="separate"/>
            </w:r>
            <w:r w:rsidR="00E72224">
              <w:rPr>
                <w:noProof/>
                <w:webHidden/>
              </w:rPr>
              <w:t>181</w:t>
            </w:r>
            <w:r w:rsidR="007F151A">
              <w:rPr>
                <w:noProof/>
                <w:webHidden/>
              </w:rPr>
              <w:fldChar w:fldCharType="end"/>
            </w:r>
          </w:hyperlink>
        </w:p>
        <w:p w14:paraId="35A2F4FD" w14:textId="554FFCC4" w:rsidR="007F151A" w:rsidRDefault="00000000">
          <w:pPr>
            <w:pStyle w:val="TOC2"/>
            <w:rPr>
              <w:rFonts w:asciiTheme="minorHAnsi" w:eastAsiaTheme="minorEastAsia" w:hAnsiTheme="minorHAnsi" w:cstheme="minorBidi"/>
              <w:noProof/>
              <w:sz w:val="24"/>
              <w:szCs w:val="24"/>
            </w:rPr>
          </w:pPr>
          <w:hyperlink w:anchor="_Toc118063689" w:history="1">
            <w:r w:rsidR="007F151A" w:rsidRPr="000D7769">
              <w:rPr>
                <w:rStyle w:val="Hyperlink"/>
                <w:noProof/>
              </w:rPr>
              <w:t>9.2 Sapiential Books and the Sermon</w:t>
            </w:r>
            <w:r w:rsidR="007F151A">
              <w:rPr>
                <w:noProof/>
                <w:webHidden/>
              </w:rPr>
              <w:tab/>
            </w:r>
            <w:r w:rsidR="007F151A">
              <w:rPr>
                <w:noProof/>
                <w:webHidden/>
              </w:rPr>
              <w:fldChar w:fldCharType="begin"/>
            </w:r>
            <w:r w:rsidR="007F151A">
              <w:rPr>
                <w:noProof/>
                <w:webHidden/>
              </w:rPr>
              <w:instrText xml:space="preserve"> PAGEREF _Toc118063689 \h </w:instrText>
            </w:r>
            <w:r w:rsidR="007F151A">
              <w:rPr>
                <w:noProof/>
                <w:webHidden/>
              </w:rPr>
            </w:r>
            <w:r w:rsidR="007F151A">
              <w:rPr>
                <w:noProof/>
                <w:webHidden/>
              </w:rPr>
              <w:fldChar w:fldCharType="separate"/>
            </w:r>
            <w:r w:rsidR="00E72224">
              <w:rPr>
                <w:noProof/>
                <w:webHidden/>
              </w:rPr>
              <w:t>187</w:t>
            </w:r>
            <w:r w:rsidR="007F151A">
              <w:rPr>
                <w:noProof/>
                <w:webHidden/>
              </w:rPr>
              <w:fldChar w:fldCharType="end"/>
            </w:r>
          </w:hyperlink>
        </w:p>
        <w:p w14:paraId="479D6846" w14:textId="28BB8345" w:rsidR="007F151A" w:rsidRDefault="00000000">
          <w:pPr>
            <w:pStyle w:val="TOC2"/>
            <w:rPr>
              <w:rFonts w:asciiTheme="minorHAnsi" w:eastAsiaTheme="minorEastAsia" w:hAnsiTheme="minorHAnsi" w:cstheme="minorBidi"/>
              <w:noProof/>
              <w:sz w:val="24"/>
              <w:szCs w:val="24"/>
            </w:rPr>
          </w:pPr>
          <w:hyperlink w:anchor="_Toc118063690" w:history="1">
            <w:r w:rsidR="007F151A" w:rsidRPr="000D7769">
              <w:rPr>
                <w:rStyle w:val="Hyperlink"/>
                <w:noProof/>
              </w:rPr>
              <w:t>9.3 Viewing the Sermon on the Mount through a Jewish Lens</w:t>
            </w:r>
            <w:r w:rsidR="007F151A">
              <w:rPr>
                <w:noProof/>
                <w:webHidden/>
              </w:rPr>
              <w:tab/>
            </w:r>
            <w:r w:rsidR="007F151A">
              <w:rPr>
                <w:noProof/>
                <w:webHidden/>
              </w:rPr>
              <w:fldChar w:fldCharType="begin"/>
            </w:r>
            <w:r w:rsidR="007F151A">
              <w:rPr>
                <w:noProof/>
                <w:webHidden/>
              </w:rPr>
              <w:instrText xml:space="preserve"> PAGEREF _Toc118063690 \h </w:instrText>
            </w:r>
            <w:r w:rsidR="007F151A">
              <w:rPr>
                <w:noProof/>
                <w:webHidden/>
              </w:rPr>
            </w:r>
            <w:r w:rsidR="007F151A">
              <w:rPr>
                <w:noProof/>
                <w:webHidden/>
              </w:rPr>
              <w:fldChar w:fldCharType="separate"/>
            </w:r>
            <w:r w:rsidR="00E72224">
              <w:rPr>
                <w:noProof/>
                <w:webHidden/>
              </w:rPr>
              <w:t>189</w:t>
            </w:r>
            <w:r w:rsidR="007F151A">
              <w:rPr>
                <w:noProof/>
                <w:webHidden/>
              </w:rPr>
              <w:fldChar w:fldCharType="end"/>
            </w:r>
          </w:hyperlink>
        </w:p>
        <w:p w14:paraId="7CB62183" w14:textId="0C16E983" w:rsidR="007F151A" w:rsidRDefault="00000000">
          <w:pPr>
            <w:pStyle w:val="TOC2"/>
            <w:rPr>
              <w:rFonts w:asciiTheme="minorHAnsi" w:eastAsiaTheme="minorEastAsia" w:hAnsiTheme="minorHAnsi" w:cstheme="minorBidi"/>
              <w:noProof/>
              <w:sz w:val="24"/>
              <w:szCs w:val="24"/>
            </w:rPr>
          </w:pPr>
          <w:hyperlink w:anchor="_Toc118063691" w:history="1">
            <w:r w:rsidR="007F151A" w:rsidRPr="000D7769">
              <w:rPr>
                <w:rStyle w:val="Hyperlink"/>
                <w:noProof/>
              </w:rPr>
              <w:t>9.4 Nonviolence and Pacifism Embedded in the Sermon on the Mount</w:t>
            </w:r>
            <w:r w:rsidR="007F151A">
              <w:rPr>
                <w:noProof/>
                <w:webHidden/>
              </w:rPr>
              <w:tab/>
            </w:r>
            <w:r w:rsidR="007F151A">
              <w:rPr>
                <w:noProof/>
                <w:webHidden/>
              </w:rPr>
              <w:fldChar w:fldCharType="begin"/>
            </w:r>
            <w:r w:rsidR="007F151A">
              <w:rPr>
                <w:noProof/>
                <w:webHidden/>
              </w:rPr>
              <w:instrText xml:space="preserve"> PAGEREF _Toc118063691 \h </w:instrText>
            </w:r>
            <w:r w:rsidR="007F151A">
              <w:rPr>
                <w:noProof/>
                <w:webHidden/>
              </w:rPr>
            </w:r>
            <w:r w:rsidR="007F151A">
              <w:rPr>
                <w:noProof/>
                <w:webHidden/>
              </w:rPr>
              <w:fldChar w:fldCharType="separate"/>
            </w:r>
            <w:r w:rsidR="00E72224">
              <w:rPr>
                <w:noProof/>
                <w:webHidden/>
              </w:rPr>
              <w:t>190</w:t>
            </w:r>
            <w:r w:rsidR="007F151A">
              <w:rPr>
                <w:noProof/>
                <w:webHidden/>
              </w:rPr>
              <w:fldChar w:fldCharType="end"/>
            </w:r>
          </w:hyperlink>
        </w:p>
        <w:p w14:paraId="7230A7DB" w14:textId="1D539B6E" w:rsidR="007F151A" w:rsidRDefault="00000000">
          <w:pPr>
            <w:pStyle w:val="TOC2"/>
            <w:rPr>
              <w:rFonts w:asciiTheme="minorHAnsi" w:eastAsiaTheme="minorEastAsia" w:hAnsiTheme="minorHAnsi" w:cstheme="minorBidi"/>
              <w:noProof/>
              <w:sz w:val="24"/>
              <w:szCs w:val="24"/>
            </w:rPr>
          </w:pPr>
          <w:hyperlink w:anchor="_Toc118063692" w:history="1">
            <w:r w:rsidR="007F151A" w:rsidRPr="000D7769">
              <w:rPr>
                <w:rStyle w:val="Hyperlink"/>
                <w:noProof/>
              </w:rPr>
              <w:t>9.5 Nonviolence and Oral Law</w:t>
            </w:r>
            <w:r w:rsidR="007F151A">
              <w:rPr>
                <w:noProof/>
                <w:webHidden/>
              </w:rPr>
              <w:tab/>
            </w:r>
            <w:r w:rsidR="007F151A">
              <w:rPr>
                <w:noProof/>
                <w:webHidden/>
              </w:rPr>
              <w:fldChar w:fldCharType="begin"/>
            </w:r>
            <w:r w:rsidR="007F151A">
              <w:rPr>
                <w:noProof/>
                <w:webHidden/>
              </w:rPr>
              <w:instrText xml:space="preserve"> PAGEREF _Toc118063692 \h </w:instrText>
            </w:r>
            <w:r w:rsidR="007F151A">
              <w:rPr>
                <w:noProof/>
                <w:webHidden/>
              </w:rPr>
            </w:r>
            <w:r w:rsidR="007F151A">
              <w:rPr>
                <w:noProof/>
                <w:webHidden/>
              </w:rPr>
              <w:fldChar w:fldCharType="separate"/>
            </w:r>
            <w:r w:rsidR="00E72224">
              <w:rPr>
                <w:noProof/>
                <w:webHidden/>
              </w:rPr>
              <w:t>191</w:t>
            </w:r>
            <w:r w:rsidR="007F151A">
              <w:rPr>
                <w:noProof/>
                <w:webHidden/>
              </w:rPr>
              <w:fldChar w:fldCharType="end"/>
            </w:r>
          </w:hyperlink>
        </w:p>
        <w:p w14:paraId="4FA473C5" w14:textId="4859B7E6" w:rsidR="007F151A" w:rsidRDefault="00000000">
          <w:pPr>
            <w:pStyle w:val="TOC2"/>
            <w:rPr>
              <w:rFonts w:asciiTheme="minorHAnsi" w:eastAsiaTheme="minorEastAsia" w:hAnsiTheme="minorHAnsi" w:cstheme="minorBidi"/>
              <w:noProof/>
              <w:sz w:val="24"/>
              <w:szCs w:val="24"/>
            </w:rPr>
          </w:pPr>
          <w:hyperlink w:anchor="_Toc118063693" w:history="1">
            <w:r w:rsidR="007F151A" w:rsidRPr="000D7769">
              <w:rPr>
                <w:rStyle w:val="Hyperlink"/>
                <w:noProof/>
              </w:rPr>
              <w:t xml:space="preserve">9.6 ἀντιστῆναι, </w:t>
            </w:r>
            <w:r w:rsidR="007F151A" w:rsidRPr="000D7769">
              <w:rPr>
                <w:rStyle w:val="Hyperlink"/>
                <w:i/>
                <w:iCs/>
                <w:noProof/>
              </w:rPr>
              <w:t>Lex Talionis</w:t>
            </w:r>
            <w:r w:rsidR="007F151A" w:rsidRPr="000D7769">
              <w:rPr>
                <w:rStyle w:val="Hyperlink"/>
                <w:noProof/>
              </w:rPr>
              <w:t xml:space="preserve">, and </w:t>
            </w:r>
            <w:r w:rsidR="007F151A" w:rsidRPr="000D7769">
              <w:rPr>
                <w:rStyle w:val="Hyperlink"/>
                <w:i/>
                <w:iCs/>
                <w:noProof/>
              </w:rPr>
              <w:t>Bava Kama</w:t>
            </w:r>
            <w:r w:rsidR="007F151A">
              <w:rPr>
                <w:noProof/>
                <w:webHidden/>
              </w:rPr>
              <w:tab/>
            </w:r>
            <w:r w:rsidR="007F151A">
              <w:rPr>
                <w:noProof/>
                <w:webHidden/>
              </w:rPr>
              <w:fldChar w:fldCharType="begin"/>
            </w:r>
            <w:r w:rsidR="007F151A">
              <w:rPr>
                <w:noProof/>
                <w:webHidden/>
              </w:rPr>
              <w:instrText xml:space="preserve"> PAGEREF _Toc118063693 \h </w:instrText>
            </w:r>
            <w:r w:rsidR="007F151A">
              <w:rPr>
                <w:noProof/>
                <w:webHidden/>
              </w:rPr>
            </w:r>
            <w:r w:rsidR="007F151A">
              <w:rPr>
                <w:noProof/>
                <w:webHidden/>
              </w:rPr>
              <w:fldChar w:fldCharType="separate"/>
            </w:r>
            <w:r w:rsidR="00E72224">
              <w:rPr>
                <w:noProof/>
                <w:webHidden/>
              </w:rPr>
              <w:t>195</w:t>
            </w:r>
            <w:r w:rsidR="007F151A">
              <w:rPr>
                <w:noProof/>
                <w:webHidden/>
              </w:rPr>
              <w:fldChar w:fldCharType="end"/>
            </w:r>
          </w:hyperlink>
        </w:p>
        <w:p w14:paraId="72FA261A" w14:textId="7711B5D4" w:rsidR="007F151A" w:rsidRDefault="00000000">
          <w:pPr>
            <w:pStyle w:val="TOC2"/>
            <w:rPr>
              <w:rFonts w:asciiTheme="minorHAnsi" w:eastAsiaTheme="minorEastAsia" w:hAnsiTheme="minorHAnsi" w:cstheme="minorBidi"/>
              <w:noProof/>
              <w:sz w:val="24"/>
              <w:szCs w:val="24"/>
            </w:rPr>
          </w:pPr>
          <w:hyperlink w:anchor="_Toc118063694" w:history="1">
            <w:r w:rsidR="007F151A" w:rsidRPr="000D7769">
              <w:rPr>
                <w:rStyle w:val="Hyperlink"/>
                <w:noProof/>
              </w:rPr>
              <w:t>9.7 Matthew 5:38–42 and Slapping</w:t>
            </w:r>
            <w:r w:rsidR="007F151A">
              <w:rPr>
                <w:noProof/>
                <w:webHidden/>
              </w:rPr>
              <w:tab/>
            </w:r>
            <w:r w:rsidR="007F151A">
              <w:rPr>
                <w:noProof/>
                <w:webHidden/>
              </w:rPr>
              <w:fldChar w:fldCharType="begin"/>
            </w:r>
            <w:r w:rsidR="007F151A">
              <w:rPr>
                <w:noProof/>
                <w:webHidden/>
              </w:rPr>
              <w:instrText xml:space="preserve"> PAGEREF _Toc118063694 \h </w:instrText>
            </w:r>
            <w:r w:rsidR="007F151A">
              <w:rPr>
                <w:noProof/>
                <w:webHidden/>
              </w:rPr>
            </w:r>
            <w:r w:rsidR="007F151A">
              <w:rPr>
                <w:noProof/>
                <w:webHidden/>
              </w:rPr>
              <w:fldChar w:fldCharType="separate"/>
            </w:r>
            <w:r w:rsidR="00E72224">
              <w:rPr>
                <w:noProof/>
                <w:webHidden/>
              </w:rPr>
              <w:t>196</w:t>
            </w:r>
            <w:r w:rsidR="007F151A">
              <w:rPr>
                <w:noProof/>
                <w:webHidden/>
              </w:rPr>
              <w:fldChar w:fldCharType="end"/>
            </w:r>
          </w:hyperlink>
        </w:p>
        <w:p w14:paraId="0194B5F9" w14:textId="08902BF3" w:rsidR="007F151A" w:rsidRDefault="00000000">
          <w:pPr>
            <w:pStyle w:val="TOC2"/>
            <w:rPr>
              <w:rFonts w:asciiTheme="minorHAnsi" w:eastAsiaTheme="minorEastAsia" w:hAnsiTheme="minorHAnsi" w:cstheme="minorBidi"/>
              <w:noProof/>
              <w:sz w:val="24"/>
              <w:szCs w:val="24"/>
            </w:rPr>
          </w:pPr>
          <w:hyperlink w:anchor="_Toc118063695" w:history="1">
            <w:r w:rsidR="007F151A" w:rsidRPr="000D7769">
              <w:rPr>
                <w:rStyle w:val="Hyperlink"/>
                <w:noProof/>
              </w:rPr>
              <w:t xml:space="preserve">9.8 Matthew 5:40, </w:t>
            </w:r>
            <w:r w:rsidR="007F151A" w:rsidRPr="000D7769">
              <w:rPr>
                <w:rStyle w:val="Hyperlink"/>
                <w:i/>
                <w:iCs/>
                <w:noProof/>
              </w:rPr>
              <w:t>Mishna Avot,</w:t>
            </w:r>
            <w:r w:rsidR="007F151A" w:rsidRPr="000D7769">
              <w:rPr>
                <w:rStyle w:val="Hyperlink"/>
                <w:noProof/>
              </w:rPr>
              <w:t xml:space="preserve"> and Roman law</w:t>
            </w:r>
            <w:r w:rsidR="007F151A">
              <w:rPr>
                <w:noProof/>
                <w:webHidden/>
              </w:rPr>
              <w:tab/>
            </w:r>
            <w:r w:rsidR="007F151A">
              <w:rPr>
                <w:noProof/>
                <w:webHidden/>
              </w:rPr>
              <w:fldChar w:fldCharType="begin"/>
            </w:r>
            <w:r w:rsidR="007F151A">
              <w:rPr>
                <w:noProof/>
                <w:webHidden/>
              </w:rPr>
              <w:instrText xml:space="preserve"> PAGEREF _Toc118063695 \h </w:instrText>
            </w:r>
            <w:r w:rsidR="007F151A">
              <w:rPr>
                <w:noProof/>
                <w:webHidden/>
              </w:rPr>
            </w:r>
            <w:r w:rsidR="007F151A">
              <w:rPr>
                <w:noProof/>
                <w:webHidden/>
              </w:rPr>
              <w:fldChar w:fldCharType="separate"/>
            </w:r>
            <w:r w:rsidR="00E72224">
              <w:rPr>
                <w:noProof/>
                <w:webHidden/>
              </w:rPr>
              <w:t>203</w:t>
            </w:r>
            <w:r w:rsidR="007F151A">
              <w:rPr>
                <w:noProof/>
                <w:webHidden/>
              </w:rPr>
              <w:fldChar w:fldCharType="end"/>
            </w:r>
          </w:hyperlink>
        </w:p>
        <w:p w14:paraId="4115D51E" w14:textId="3B7ABB85" w:rsidR="007F151A" w:rsidRDefault="00000000">
          <w:pPr>
            <w:pStyle w:val="TOC2"/>
            <w:rPr>
              <w:rFonts w:asciiTheme="minorHAnsi" w:eastAsiaTheme="minorEastAsia" w:hAnsiTheme="minorHAnsi" w:cstheme="minorBidi"/>
              <w:noProof/>
              <w:sz w:val="24"/>
              <w:szCs w:val="24"/>
            </w:rPr>
          </w:pPr>
          <w:hyperlink w:anchor="_Toc118063696" w:history="1">
            <w:r w:rsidR="007F151A" w:rsidRPr="000D7769">
              <w:rPr>
                <w:rStyle w:val="Hyperlink"/>
                <w:noProof/>
              </w:rPr>
              <w:t>9.9 Matthew 5:39 and Love</w:t>
            </w:r>
            <w:r w:rsidR="007F151A">
              <w:rPr>
                <w:noProof/>
                <w:webHidden/>
              </w:rPr>
              <w:tab/>
            </w:r>
            <w:r w:rsidR="007F151A">
              <w:rPr>
                <w:noProof/>
                <w:webHidden/>
              </w:rPr>
              <w:fldChar w:fldCharType="begin"/>
            </w:r>
            <w:r w:rsidR="007F151A">
              <w:rPr>
                <w:noProof/>
                <w:webHidden/>
              </w:rPr>
              <w:instrText xml:space="preserve"> PAGEREF _Toc118063696 \h </w:instrText>
            </w:r>
            <w:r w:rsidR="007F151A">
              <w:rPr>
                <w:noProof/>
                <w:webHidden/>
              </w:rPr>
            </w:r>
            <w:r w:rsidR="007F151A">
              <w:rPr>
                <w:noProof/>
                <w:webHidden/>
              </w:rPr>
              <w:fldChar w:fldCharType="separate"/>
            </w:r>
            <w:r w:rsidR="00E72224">
              <w:rPr>
                <w:noProof/>
                <w:webHidden/>
              </w:rPr>
              <w:t>205</w:t>
            </w:r>
            <w:r w:rsidR="007F151A">
              <w:rPr>
                <w:noProof/>
                <w:webHidden/>
              </w:rPr>
              <w:fldChar w:fldCharType="end"/>
            </w:r>
          </w:hyperlink>
        </w:p>
        <w:p w14:paraId="7D9DBA8F" w14:textId="1557572A" w:rsidR="007F151A" w:rsidRDefault="00000000">
          <w:pPr>
            <w:pStyle w:val="TOC2"/>
            <w:rPr>
              <w:rFonts w:asciiTheme="minorHAnsi" w:eastAsiaTheme="minorEastAsia" w:hAnsiTheme="minorHAnsi" w:cstheme="minorBidi"/>
              <w:noProof/>
              <w:sz w:val="24"/>
              <w:szCs w:val="24"/>
            </w:rPr>
          </w:pPr>
          <w:hyperlink w:anchor="_Toc118063697" w:history="1">
            <w:r w:rsidR="007F151A" w:rsidRPr="000D7769">
              <w:rPr>
                <w:rStyle w:val="Hyperlink"/>
                <w:noProof/>
              </w:rPr>
              <w:t>9.10 Matthew 5:21–49 and Jesus’s Function in Mosaic Law</w:t>
            </w:r>
            <w:r w:rsidR="007F151A">
              <w:rPr>
                <w:noProof/>
                <w:webHidden/>
              </w:rPr>
              <w:tab/>
            </w:r>
            <w:r w:rsidR="007F151A">
              <w:rPr>
                <w:noProof/>
                <w:webHidden/>
              </w:rPr>
              <w:fldChar w:fldCharType="begin"/>
            </w:r>
            <w:r w:rsidR="007F151A">
              <w:rPr>
                <w:noProof/>
                <w:webHidden/>
              </w:rPr>
              <w:instrText xml:space="preserve"> PAGEREF _Toc118063697 \h </w:instrText>
            </w:r>
            <w:r w:rsidR="007F151A">
              <w:rPr>
                <w:noProof/>
                <w:webHidden/>
              </w:rPr>
            </w:r>
            <w:r w:rsidR="007F151A">
              <w:rPr>
                <w:noProof/>
                <w:webHidden/>
              </w:rPr>
              <w:fldChar w:fldCharType="separate"/>
            </w:r>
            <w:r w:rsidR="00E72224">
              <w:rPr>
                <w:noProof/>
                <w:webHidden/>
              </w:rPr>
              <w:t>207</w:t>
            </w:r>
            <w:r w:rsidR="007F151A">
              <w:rPr>
                <w:noProof/>
                <w:webHidden/>
              </w:rPr>
              <w:fldChar w:fldCharType="end"/>
            </w:r>
          </w:hyperlink>
        </w:p>
        <w:p w14:paraId="270B0360" w14:textId="4A42A2B9" w:rsidR="007F151A" w:rsidRDefault="00000000">
          <w:pPr>
            <w:pStyle w:val="TOC2"/>
            <w:rPr>
              <w:rFonts w:asciiTheme="minorHAnsi" w:eastAsiaTheme="minorEastAsia" w:hAnsiTheme="minorHAnsi" w:cstheme="minorBidi"/>
              <w:noProof/>
              <w:sz w:val="24"/>
              <w:szCs w:val="24"/>
            </w:rPr>
          </w:pPr>
          <w:hyperlink w:anchor="_Toc118063698" w:history="1">
            <w:r w:rsidR="007F151A" w:rsidRPr="000D7769">
              <w:rPr>
                <w:rStyle w:val="Hyperlink"/>
                <w:noProof/>
              </w:rPr>
              <w:t>9.11 Chapter Summary</w:t>
            </w:r>
            <w:r w:rsidR="007F151A">
              <w:rPr>
                <w:noProof/>
                <w:webHidden/>
              </w:rPr>
              <w:tab/>
            </w:r>
            <w:r w:rsidR="007F151A">
              <w:rPr>
                <w:noProof/>
                <w:webHidden/>
              </w:rPr>
              <w:fldChar w:fldCharType="begin"/>
            </w:r>
            <w:r w:rsidR="007F151A">
              <w:rPr>
                <w:noProof/>
                <w:webHidden/>
              </w:rPr>
              <w:instrText xml:space="preserve"> PAGEREF _Toc118063698 \h </w:instrText>
            </w:r>
            <w:r w:rsidR="007F151A">
              <w:rPr>
                <w:noProof/>
                <w:webHidden/>
              </w:rPr>
            </w:r>
            <w:r w:rsidR="007F151A">
              <w:rPr>
                <w:noProof/>
                <w:webHidden/>
              </w:rPr>
              <w:fldChar w:fldCharType="separate"/>
            </w:r>
            <w:r w:rsidR="00E72224">
              <w:rPr>
                <w:noProof/>
                <w:webHidden/>
              </w:rPr>
              <w:t>209</w:t>
            </w:r>
            <w:r w:rsidR="007F151A">
              <w:rPr>
                <w:noProof/>
                <w:webHidden/>
              </w:rPr>
              <w:fldChar w:fldCharType="end"/>
            </w:r>
          </w:hyperlink>
        </w:p>
        <w:p w14:paraId="6C8D446D" w14:textId="5A5811AA" w:rsidR="007F151A" w:rsidRDefault="00000000">
          <w:pPr>
            <w:pStyle w:val="TOC1"/>
            <w:rPr>
              <w:rFonts w:asciiTheme="minorHAnsi" w:eastAsiaTheme="minorEastAsia" w:hAnsiTheme="minorHAnsi" w:cstheme="minorBidi"/>
              <w:b w:val="0"/>
              <w:bCs w:val="0"/>
              <w:caps w:val="0"/>
              <w:noProof/>
              <w:szCs w:val="24"/>
            </w:rPr>
          </w:pPr>
          <w:hyperlink w:anchor="_Toc118063699" w:history="1">
            <w:r w:rsidR="007F151A" w:rsidRPr="000D7769">
              <w:rPr>
                <w:rStyle w:val="Hyperlink"/>
                <w:noProof/>
              </w:rPr>
              <w:t>Chapter 10   Conclusions</w:t>
            </w:r>
            <w:r w:rsidR="007F151A">
              <w:rPr>
                <w:noProof/>
                <w:webHidden/>
              </w:rPr>
              <w:tab/>
            </w:r>
            <w:r w:rsidR="007F151A">
              <w:rPr>
                <w:noProof/>
                <w:webHidden/>
              </w:rPr>
              <w:fldChar w:fldCharType="begin"/>
            </w:r>
            <w:r w:rsidR="007F151A">
              <w:rPr>
                <w:noProof/>
                <w:webHidden/>
              </w:rPr>
              <w:instrText xml:space="preserve"> PAGEREF _Toc118063699 \h </w:instrText>
            </w:r>
            <w:r w:rsidR="007F151A">
              <w:rPr>
                <w:noProof/>
                <w:webHidden/>
              </w:rPr>
            </w:r>
            <w:r w:rsidR="007F151A">
              <w:rPr>
                <w:noProof/>
                <w:webHidden/>
              </w:rPr>
              <w:fldChar w:fldCharType="separate"/>
            </w:r>
            <w:r w:rsidR="00E72224">
              <w:rPr>
                <w:noProof/>
                <w:webHidden/>
              </w:rPr>
              <w:t>212</w:t>
            </w:r>
            <w:r w:rsidR="007F151A">
              <w:rPr>
                <w:noProof/>
                <w:webHidden/>
              </w:rPr>
              <w:fldChar w:fldCharType="end"/>
            </w:r>
          </w:hyperlink>
        </w:p>
        <w:p w14:paraId="0286FF8A" w14:textId="59679934" w:rsidR="007F151A" w:rsidRDefault="00000000">
          <w:pPr>
            <w:pStyle w:val="TOC1"/>
            <w:rPr>
              <w:rFonts w:asciiTheme="minorHAnsi" w:eastAsiaTheme="minorEastAsia" w:hAnsiTheme="minorHAnsi" w:cstheme="minorBidi"/>
              <w:b w:val="0"/>
              <w:bCs w:val="0"/>
              <w:caps w:val="0"/>
              <w:noProof/>
              <w:szCs w:val="24"/>
            </w:rPr>
          </w:pPr>
          <w:hyperlink w:anchor="_Toc118063700" w:history="1">
            <w:r w:rsidR="007F151A" w:rsidRPr="000D7769">
              <w:rPr>
                <w:rStyle w:val="Hyperlink"/>
                <w:noProof/>
                <w:lang w:val="en-AU"/>
              </w:rPr>
              <w:t>References</w:t>
            </w:r>
            <w:r w:rsidR="007F151A">
              <w:rPr>
                <w:noProof/>
                <w:webHidden/>
              </w:rPr>
              <w:tab/>
            </w:r>
            <w:r w:rsidR="007F151A">
              <w:rPr>
                <w:noProof/>
                <w:webHidden/>
              </w:rPr>
              <w:fldChar w:fldCharType="begin"/>
            </w:r>
            <w:r w:rsidR="007F151A">
              <w:rPr>
                <w:noProof/>
                <w:webHidden/>
              </w:rPr>
              <w:instrText xml:space="preserve"> PAGEREF _Toc118063700 \h </w:instrText>
            </w:r>
            <w:r w:rsidR="007F151A">
              <w:rPr>
                <w:noProof/>
                <w:webHidden/>
              </w:rPr>
            </w:r>
            <w:r w:rsidR="007F151A">
              <w:rPr>
                <w:noProof/>
                <w:webHidden/>
              </w:rPr>
              <w:fldChar w:fldCharType="separate"/>
            </w:r>
            <w:r w:rsidR="00E72224">
              <w:rPr>
                <w:noProof/>
                <w:webHidden/>
              </w:rPr>
              <w:t>217</w:t>
            </w:r>
            <w:r w:rsidR="007F151A">
              <w:rPr>
                <w:noProof/>
                <w:webHidden/>
              </w:rPr>
              <w:fldChar w:fldCharType="end"/>
            </w:r>
          </w:hyperlink>
        </w:p>
        <w:p w14:paraId="3F31D862" w14:textId="10060104" w:rsidR="00F4463B" w:rsidRPr="009E7B69" w:rsidRDefault="00F4463B">
          <w:r w:rsidRPr="009E7B69">
            <w:rPr>
              <w:b/>
              <w:bCs/>
            </w:rPr>
            <w:fldChar w:fldCharType="end"/>
          </w:r>
        </w:p>
      </w:sdtContent>
    </w:sdt>
    <w:p w14:paraId="376B4BC9" w14:textId="052D7E13" w:rsidR="00F4463B" w:rsidRPr="009E7B69" w:rsidRDefault="00F4463B">
      <w:pPr>
        <w:rPr>
          <w:rFonts w:eastAsiaTheme="majorEastAsia"/>
          <w:b/>
          <w:iCs/>
          <w:smallCaps/>
          <w:lang w:eastAsia="ja-JP"/>
        </w:rPr>
      </w:pPr>
      <w:r w:rsidRPr="009E7B69">
        <w:br w:type="page"/>
      </w:r>
    </w:p>
    <w:p w14:paraId="3332C609" w14:textId="591331BC" w:rsidR="00D25D36" w:rsidRPr="009E7B69" w:rsidRDefault="00BE6BA3" w:rsidP="009F5D32">
      <w:pPr>
        <w:pStyle w:val="Heading1"/>
      </w:pPr>
      <w:bookmarkStart w:id="13" w:name="_Toc94536972"/>
      <w:bookmarkStart w:id="14" w:name="_Toc118063616"/>
      <w:r w:rsidRPr="009E7B69">
        <w:lastRenderedPageBreak/>
        <w:t>ABBREVIATIONS</w:t>
      </w:r>
      <w:bookmarkEnd w:id="13"/>
      <w:bookmarkEnd w:id="14"/>
    </w:p>
    <w:p w14:paraId="38F9E270" w14:textId="1498E4F5" w:rsidR="00A66249" w:rsidRPr="009E7B69" w:rsidRDefault="00BE6BA3" w:rsidP="003D2E58">
      <w:pPr>
        <w:tabs>
          <w:tab w:val="left" w:pos="1418"/>
        </w:tabs>
        <w:spacing w:line="360" w:lineRule="auto"/>
        <w:rPr>
          <w:i/>
          <w:iCs/>
        </w:rPr>
      </w:pPr>
      <w:r w:rsidRPr="009E7B69">
        <w:rPr>
          <w:i/>
          <w:iCs/>
        </w:rPr>
        <w:t>Ant.</w:t>
      </w:r>
      <w:r w:rsidR="003D2E58" w:rsidRPr="009E7B69">
        <w:rPr>
          <w:i/>
          <w:iCs/>
        </w:rPr>
        <w:tab/>
      </w:r>
      <w:r w:rsidRPr="009E7B69">
        <w:rPr>
          <w:i/>
          <w:iCs/>
        </w:rPr>
        <w:t>Antiquities</w:t>
      </w:r>
    </w:p>
    <w:p w14:paraId="0A5C221B" w14:textId="7D38C34E" w:rsidR="00A66249" w:rsidRPr="009E7B69" w:rsidRDefault="00BE6BA3" w:rsidP="003D2E58">
      <w:pPr>
        <w:tabs>
          <w:tab w:val="left" w:pos="1418"/>
        </w:tabs>
        <w:spacing w:line="360" w:lineRule="auto"/>
        <w:rPr>
          <w:i/>
          <w:iCs/>
          <w:lang w:val="pl-PL"/>
        </w:rPr>
      </w:pPr>
      <w:r w:rsidRPr="009E7B69">
        <w:rPr>
          <w:i/>
          <w:iCs/>
        </w:rPr>
        <w:t xml:space="preserve">b. </w:t>
      </w:r>
      <w:r w:rsidR="003D2E58" w:rsidRPr="009E7B69">
        <w:rPr>
          <w:i/>
          <w:iCs/>
        </w:rPr>
        <w:tab/>
      </w:r>
      <w:r w:rsidRPr="009E7B69">
        <w:rPr>
          <w:i/>
          <w:iCs/>
          <w:lang w:val="pl-PL"/>
        </w:rPr>
        <w:t>Babylonian Talmud</w:t>
      </w:r>
    </w:p>
    <w:p w14:paraId="530B17CB" w14:textId="530C72F4" w:rsidR="00A66249" w:rsidRPr="009E7B69" w:rsidRDefault="00BE6BA3" w:rsidP="003D2E58">
      <w:pPr>
        <w:tabs>
          <w:tab w:val="left" w:pos="1418"/>
        </w:tabs>
        <w:spacing w:line="360" w:lineRule="auto"/>
        <w:rPr>
          <w:i/>
          <w:iCs/>
          <w:lang w:val="pl-PL"/>
        </w:rPr>
      </w:pPr>
      <w:r w:rsidRPr="009E7B69">
        <w:rPr>
          <w:i/>
          <w:iCs/>
          <w:lang w:val="pl-PL"/>
        </w:rPr>
        <w:t>B. Bat.</w:t>
      </w:r>
      <w:r w:rsidR="003D2E58" w:rsidRPr="009E7B69">
        <w:rPr>
          <w:i/>
          <w:iCs/>
          <w:lang w:val="pl-PL"/>
        </w:rPr>
        <w:tab/>
      </w:r>
      <w:r w:rsidRPr="009E7B69">
        <w:rPr>
          <w:i/>
          <w:iCs/>
          <w:lang w:val="pl-PL"/>
        </w:rPr>
        <w:t>Baba Batra</w:t>
      </w:r>
    </w:p>
    <w:p w14:paraId="27992D81" w14:textId="09B5538D" w:rsidR="00A66249" w:rsidRPr="009E7B69" w:rsidRDefault="00BE6BA3" w:rsidP="003D2E58">
      <w:pPr>
        <w:tabs>
          <w:tab w:val="left" w:pos="1418"/>
        </w:tabs>
        <w:spacing w:line="360" w:lineRule="auto"/>
        <w:rPr>
          <w:i/>
          <w:iCs/>
        </w:rPr>
      </w:pPr>
      <w:r w:rsidRPr="009E7B69">
        <w:rPr>
          <w:i/>
          <w:iCs/>
          <w:lang w:val="en-AU"/>
        </w:rPr>
        <w:t>B. Mes.</w:t>
      </w:r>
      <w:r w:rsidR="003D2E58" w:rsidRPr="009E7B69">
        <w:rPr>
          <w:i/>
          <w:iCs/>
          <w:lang w:val="en-AU"/>
        </w:rPr>
        <w:tab/>
      </w:r>
      <w:r w:rsidRPr="009E7B69">
        <w:rPr>
          <w:i/>
          <w:iCs/>
        </w:rPr>
        <w:t>Baba Mesia</w:t>
      </w:r>
    </w:p>
    <w:p w14:paraId="541751F9" w14:textId="64CE67DF" w:rsidR="00A66249" w:rsidRPr="009E7B69" w:rsidRDefault="00BE6BA3" w:rsidP="003D2E58">
      <w:pPr>
        <w:tabs>
          <w:tab w:val="left" w:pos="1418"/>
        </w:tabs>
        <w:spacing w:line="360" w:lineRule="auto"/>
        <w:rPr>
          <w:i/>
          <w:iCs/>
        </w:rPr>
      </w:pPr>
      <w:r w:rsidRPr="009E7B69">
        <w:rPr>
          <w:i/>
          <w:iCs/>
        </w:rPr>
        <w:t>B. Qam.</w:t>
      </w:r>
      <w:r w:rsidR="003D2E58" w:rsidRPr="009E7B69">
        <w:rPr>
          <w:i/>
          <w:iCs/>
        </w:rPr>
        <w:tab/>
      </w:r>
      <w:r w:rsidRPr="009E7B69">
        <w:rPr>
          <w:i/>
          <w:iCs/>
        </w:rPr>
        <w:t>Baba Qamma</w:t>
      </w:r>
    </w:p>
    <w:p w14:paraId="7A222A82" w14:textId="7111CC15" w:rsidR="00A66249" w:rsidRPr="009E7B69" w:rsidRDefault="00BE6BA3" w:rsidP="003D2E58">
      <w:pPr>
        <w:tabs>
          <w:tab w:val="left" w:pos="1418"/>
        </w:tabs>
        <w:spacing w:line="360" w:lineRule="auto"/>
        <w:rPr>
          <w:i/>
          <w:iCs/>
        </w:rPr>
      </w:pPr>
      <w:r w:rsidRPr="009E7B69">
        <w:rPr>
          <w:i/>
          <w:iCs/>
        </w:rPr>
        <w:t xml:space="preserve">Ber. </w:t>
      </w:r>
      <w:r w:rsidR="003D2E58" w:rsidRPr="009E7B69">
        <w:rPr>
          <w:i/>
          <w:iCs/>
        </w:rPr>
        <w:tab/>
      </w:r>
      <w:r w:rsidR="00554F8B" w:rsidRPr="009E7B69">
        <w:rPr>
          <w:i/>
          <w:iCs/>
        </w:rPr>
        <w:t>Bracht</w:t>
      </w:r>
    </w:p>
    <w:p w14:paraId="1F9AD989" w14:textId="3097CF56" w:rsidR="00554F8B" w:rsidRPr="009E7B69" w:rsidRDefault="00554F8B" w:rsidP="003D2E58">
      <w:pPr>
        <w:tabs>
          <w:tab w:val="left" w:pos="1418"/>
        </w:tabs>
        <w:spacing w:line="360" w:lineRule="auto"/>
      </w:pPr>
      <w:r w:rsidRPr="009E7B69">
        <w:t>ca.</w:t>
      </w:r>
      <w:r w:rsidRPr="009E7B69">
        <w:tab/>
      </w:r>
      <w:r w:rsidRPr="009E7B69">
        <w:rPr>
          <w:i/>
          <w:iCs/>
        </w:rPr>
        <w:t xml:space="preserve">circa, </w:t>
      </w:r>
      <w:r w:rsidRPr="009E7B69">
        <w:t>approximately.</w:t>
      </w:r>
    </w:p>
    <w:p w14:paraId="4657AB7B" w14:textId="1D068EA4" w:rsidR="00A66249" w:rsidRPr="009E7B69" w:rsidRDefault="00BE6BA3" w:rsidP="003D2E58">
      <w:pPr>
        <w:tabs>
          <w:tab w:val="left" w:pos="1418"/>
        </w:tabs>
        <w:spacing w:line="360" w:lineRule="auto"/>
      </w:pPr>
      <w:r w:rsidRPr="009E7B69">
        <w:t xml:space="preserve">CD </w:t>
      </w:r>
      <w:r w:rsidR="003D2E58" w:rsidRPr="009E7B69">
        <w:tab/>
      </w:r>
      <w:r w:rsidRPr="009E7B69">
        <w:t>Damascus Document</w:t>
      </w:r>
    </w:p>
    <w:p w14:paraId="2A0A7F05" w14:textId="07D33385" w:rsidR="00A66249" w:rsidRPr="009E7B69" w:rsidRDefault="00BE6BA3" w:rsidP="003D2E58">
      <w:pPr>
        <w:tabs>
          <w:tab w:val="left" w:pos="1418"/>
        </w:tabs>
        <w:spacing w:line="360" w:lineRule="auto"/>
      </w:pPr>
      <w:r w:rsidRPr="009E7B69">
        <w:t>CH</w:t>
      </w:r>
      <w:r w:rsidR="003D2E58" w:rsidRPr="009E7B69">
        <w:tab/>
      </w:r>
      <w:r w:rsidRPr="009E7B69">
        <w:t>Code of Hammurabi</w:t>
      </w:r>
    </w:p>
    <w:p w14:paraId="4E09E872" w14:textId="6D48DB33" w:rsidR="00A66249" w:rsidRPr="009E7B69" w:rsidRDefault="00BE6BA3" w:rsidP="003D2E58">
      <w:pPr>
        <w:tabs>
          <w:tab w:val="left" w:pos="1418"/>
        </w:tabs>
        <w:spacing w:line="360" w:lineRule="auto"/>
      </w:pPr>
      <w:r w:rsidRPr="009E7B69">
        <w:t>DSS</w:t>
      </w:r>
      <w:r w:rsidR="003D2E58" w:rsidRPr="009E7B69">
        <w:tab/>
      </w:r>
      <w:r w:rsidRPr="009E7B69">
        <w:t>Dead Sea Scrolls</w:t>
      </w:r>
    </w:p>
    <w:p w14:paraId="7D601A71" w14:textId="45DBD721" w:rsidR="00340D54" w:rsidRPr="009E7B69" w:rsidRDefault="00340D54" w:rsidP="003D2E58">
      <w:pPr>
        <w:tabs>
          <w:tab w:val="left" w:pos="1418"/>
        </w:tabs>
        <w:spacing w:line="360" w:lineRule="auto"/>
        <w:rPr>
          <w:i/>
          <w:iCs/>
        </w:rPr>
      </w:pPr>
      <w:r w:rsidRPr="009E7B69">
        <w:rPr>
          <w:i/>
          <w:iCs/>
        </w:rPr>
        <w:t>HTR</w:t>
      </w:r>
      <w:r w:rsidRPr="009E7B69">
        <w:tab/>
      </w:r>
      <w:r w:rsidRPr="009E7B69">
        <w:rPr>
          <w:i/>
          <w:iCs/>
        </w:rPr>
        <w:t>The Harvard Theological Review</w:t>
      </w:r>
    </w:p>
    <w:p w14:paraId="76014DA4" w14:textId="39D00BC3" w:rsidR="00A66249" w:rsidRPr="009E7B69" w:rsidRDefault="000968D9" w:rsidP="003D2E58">
      <w:pPr>
        <w:tabs>
          <w:tab w:val="left" w:pos="1418"/>
        </w:tabs>
        <w:spacing w:line="360" w:lineRule="auto"/>
      </w:pPr>
      <w:r w:rsidRPr="009E7B69">
        <w:t>JBL</w:t>
      </w:r>
      <w:r w:rsidR="003D2E58" w:rsidRPr="009E7B69">
        <w:tab/>
      </w:r>
      <w:r w:rsidRPr="009E7B69">
        <w:t xml:space="preserve">Journal of Biblical Literature </w:t>
      </w:r>
    </w:p>
    <w:p w14:paraId="4218FC89" w14:textId="27FB72B3" w:rsidR="00A66249" w:rsidRPr="009E7B69" w:rsidRDefault="00BE6BA3" w:rsidP="003D2E58">
      <w:pPr>
        <w:tabs>
          <w:tab w:val="left" w:pos="1418"/>
        </w:tabs>
        <w:spacing w:line="360" w:lineRule="auto"/>
      </w:pPr>
      <w:r w:rsidRPr="009E7B69">
        <w:t xml:space="preserve">Jos. </w:t>
      </w:r>
      <w:r w:rsidR="003D2E58" w:rsidRPr="009E7B69">
        <w:tab/>
      </w:r>
      <w:r w:rsidRPr="009E7B69">
        <w:t>Josephus</w:t>
      </w:r>
    </w:p>
    <w:p w14:paraId="57AE7C02" w14:textId="6E495BC3" w:rsidR="003D2E58" w:rsidRPr="009E7B69" w:rsidRDefault="003D2E58" w:rsidP="003D2E58">
      <w:pPr>
        <w:tabs>
          <w:tab w:val="left" w:pos="1418"/>
        </w:tabs>
        <w:spacing w:line="360" w:lineRule="auto"/>
        <w:rPr>
          <w:i/>
          <w:iCs/>
        </w:rPr>
      </w:pPr>
      <w:r w:rsidRPr="009E7B69">
        <w:rPr>
          <w:i/>
          <w:iCs/>
        </w:rPr>
        <w:t>JTS</w:t>
      </w:r>
      <w:r w:rsidRPr="009E7B69">
        <w:rPr>
          <w:i/>
          <w:iCs/>
        </w:rPr>
        <w:tab/>
        <w:t>The Journal of Theological Studies</w:t>
      </w:r>
    </w:p>
    <w:p w14:paraId="23E6E4E9" w14:textId="61387009" w:rsidR="00A66249" w:rsidRPr="009E7B69" w:rsidRDefault="00BE6BA3" w:rsidP="003D2E58">
      <w:pPr>
        <w:tabs>
          <w:tab w:val="left" w:pos="1418"/>
        </w:tabs>
        <w:spacing w:line="360" w:lineRule="auto"/>
        <w:rPr>
          <w:i/>
          <w:iCs/>
        </w:rPr>
      </w:pPr>
      <w:r w:rsidRPr="009E7B69">
        <w:rPr>
          <w:i/>
          <w:iCs/>
        </w:rPr>
        <w:t xml:space="preserve">Jub. </w:t>
      </w:r>
      <w:r w:rsidR="003D2E58" w:rsidRPr="009E7B69">
        <w:rPr>
          <w:i/>
          <w:iCs/>
        </w:rPr>
        <w:tab/>
      </w:r>
      <w:r w:rsidRPr="009E7B69">
        <w:rPr>
          <w:i/>
          <w:iCs/>
        </w:rPr>
        <w:t>Jubilees</w:t>
      </w:r>
    </w:p>
    <w:p w14:paraId="4078D477" w14:textId="1ED92C29" w:rsidR="00A66249" w:rsidRPr="009E7B69" w:rsidRDefault="00BE6BA3" w:rsidP="003D2E58">
      <w:pPr>
        <w:tabs>
          <w:tab w:val="left" w:pos="1418"/>
        </w:tabs>
        <w:spacing w:line="360" w:lineRule="auto"/>
        <w:rPr>
          <w:i/>
          <w:iCs/>
        </w:rPr>
      </w:pPr>
      <w:r w:rsidRPr="009E7B69">
        <w:rPr>
          <w:i/>
          <w:iCs/>
        </w:rPr>
        <w:t xml:space="preserve">J. W. </w:t>
      </w:r>
      <w:r w:rsidR="003D2E58" w:rsidRPr="009E7B69">
        <w:rPr>
          <w:i/>
          <w:iCs/>
        </w:rPr>
        <w:tab/>
      </w:r>
      <w:r w:rsidRPr="009E7B69">
        <w:rPr>
          <w:i/>
          <w:iCs/>
        </w:rPr>
        <w:t>Jewish War</w:t>
      </w:r>
    </w:p>
    <w:p w14:paraId="77F01D02" w14:textId="6B5189A1" w:rsidR="00A66249" w:rsidRPr="009E7B69" w:rsidRDefault="00073740" w:rsidP="003D2E58">
      <w:pPr>
        <w:tabs>
          <w:tab w:val="left" w:pos="1418"/>
        </w:tabs>
        <w:spacing w:line="360" w:lineRule="auto"/>
        <w:rPr>
          <w:i/>
          <w:iCs/>
        </w:rPr>
      </w:pPr>
      <w:r w:rsidRPr="009E7B69">
        <w:rPr>
          <w:i/>
          <w:iCs/>
        </w:rPr>
        <w:t>JPS</w:t>
      </w:r>
      <w:r w:rsidR="003D2E58" w:rsidRPr="009E7B69">
        <w:rPr>
          <w:i/>
          <w:iCs/>
        </w:rPr>
        <w:tab/>
      </w:r>
      <w:r w:rsidRPr="009E7B69">
        <w:rPr>
          <w:i/>
          <w:iCs/>
        </w:rPr>
        <w:t>Jewish Publication Society</w:t>
      </w:r>
    </w:p>
    <w:p w14:paraId="3219E372" w14:textId="48E4F77A" w:rsidR="00340D54" w:rsidRPr="009E7B69" w:rsidRDefault="00340D54" w:rsidP="003D2E58">
      <w:pPr>
        <w:tabs>
          <w:tab w:val="left" w:pos="1418"/>
        </w:tabs>
        <w:spacing w:line="360" w:lineRule="auto"/>
        <w:rPr>
          <w:i/>
          <w:iCs/>
        </w:rPr>
      </w:pPr>
      <w:r w:rsidRPr="009E7B69">
        <w:rPr>
          <w:i/>
          <w:iCs/>
        </w:rPr>
        <w:t>JSNT</w:t>
      </w:r>
      <w:r w:rsidRPr="009E7B69">
        <w:rPr>
          <w:i/>
          <w:iCs/>
        </w:rPr>
        <w:tab/>
        <w:t>Journal for the Study of the New Testament</w:t>
      </w:r>
    </w:p>
    <w:p w14:paraId="1A83766D" w14:textId="51C91F27" w:rsidR="00A66249" w:rsidRPr="009E7B69" w:rsidRDefault="00640EF3" w:rsidP="003D2E58">
      <w:pPr>
        <w:tabs>
          <w:tab w:val="left" w:pos="1418"/>
        </w:tabs>
        <w:spacing w:line="360" w:lineRule="auto"/>
        <w:rPr>
          <w:i/>
          <w:iCs/>
        </w:rPr>
      </w:pPr>
      <w:r w:rsidRPr="009E7B69">
        <w:rPr>
          <w:i/>
          <w:iCs/>
        </w:rPr>
        <w:t>JSOT</w:t>
      </w:r>
      <w:r w:rsidR="003D2E58" w:rsidRPr="009E7B69">
        <w:rPr>
          <w:i/>
          <w:iCs/>
        </w:rPr>
        <w:tab/>
      </w:r>
      <w:r w:rsidRPr="009E7B69">
        <w:rPr>
          <w:i/>
          <w:iCs/>
        </w:rPr>
        <w:t>Journal for the Study of the Old Testament</w:t>
      </w:r>
    </w:p>
    <w:p w14:paraId="0ECC2095" w14:textId="09FC2BD1" w:rsidR="00A66249" w:rsidRPr="009E7B69" w:rsidRDefault="00BE6BA3" w:rsidP="003D2E58">
      <w:pPr>
        <w:tabs>
          <w:tab w:val="left" w:pos="1418"/>
        </w:tabs>
        <w:spacing w:line="360" w:lineRule="auto"/>
        <w:rPr>
          <w:i/>
          <w:iCs/>
        </w:rPr>
      </w:pPr>
      <w:r w:rsidRPr="009E7B69">
        <w:rPr>
          <w:i/>
          <w:iCs/>
        </w:rPr>
        <w:t>Ket.</w:t>
      </w:r>
      <w:r w:rsidR="003D2E58" w:rsidRPr="009E7B69">
        <w:rPr>
          <w:i/>
          <w:iCs/>
        </w:rPr>
        <w:tab/>
      </w:r>
      <w:r w:rsidRPr="009E7B69">
        <w:rPr>
          <w:i/>
          <w:iCs/>
        </w:rPr>
        <w:t>Ketubbot</w:t>
      </w:r>
    </w:p>
    <w:p w14:paraId="709B1624" w14:textId="1C4F812D" w:rsidR="00A66249" w:rsidRPr="009E7B69" w:rsidRDefault="00BE6BA3" w:rsidP="003D2E58">
      <w:pPr>
        <w:tabs>
          <w:tab w:val="left" w:pos="1418"/>
        </w:tabs>
        <w:spacing w:line="360" w:lineRule="auto"/>
      </w:pPr>
      <w:r w:rsidRPr="009E7B69">
        <w:t>LXX</w:t>
      </w:r>
      <w:r w:rsidR="003D2E58" w:rsidRPr="009E7B69">
        <w:tab/>
      </w:r>
      <w:r w:rsidRPr="009E7B69">
        <w:t>Septuagint</w:t>
      </w:r>
    </w:p>
    <w:p w14:paraId="21EF78DA" w14:textId="023B28D8" w:rsidR="00A66249" w:rsidRPr="009E7B69" w:rsidRDefault="00BE6BA3" w:rsidP="003D2E58">
      <w:pPr>
        <w:tabs>
          <w:tab w:val="left" w:pos="1418"/>
        </w:tabs>
        <w:spacing w:line="360" w:lineRule="auto"/>
        <w:rPr>
          <w:i/>
          <w:iCs/>
          <w:lang w:val="pl-PL"/>
        </w:rPr>
      </w:pPr>
      <w:r w:rsidRPr="009E7B69">
        <w:rPr>
          <w:i/>
          <w:iCs/>
        </w:rPr>
        <w:t xml:space="preserve">m. </w:t>
      </w:r>
      <w:r w:rsidR="003D2E58" w:rsidRPr="009E7B69">
        <w:rPr>
          <w:i/>
          <w:iCs/>
        </w:rPr>
        <w:tab/>
      </w:r>
      <w:r w:rsidRPr="009E7B69">
        <w:rPr>
          <w:i/>
          <w:iCs/>
          <w:lang w:val="pl-PL"/>
        </w:rPr>
        <w:t>Mishna</w:t>
      </w:r>
    </w:p>
    <w:p w14:paraId="00B6BA93" w14:textId="6D2B0BF4" w:rsidR="00A66249" w:rsidRPr="009E7B69" w:rsidRDefault="00BE6BA3" w:rsidP="003D2E58">
      <w:pPr>
        <w:tabs>
          <w:tab w:val="left" w:pos="1418"/>
        </w:tabs>
        <w:spacing w:line="360" w:lineRule="auto"/>
        <w:rPr>
          <w:i/>
          <w:iCs/>
          <w:lang w:val="pl-PL"/>
        </w:rPr>
      </w:pPr>
      <w:r w:rsidRPr="009E7B69">
        <w:rPr>
          <w:i/>
          <w:iCs/>
          <w:lang w:val="pl-PL"/>
        </w:rPr>
        <w:t xml:space="preserve">Mak. </w:t>
      </w:r>
      <w:r w:rsidR="003D2E58" w:rsidRPr="009E7B69">
        <w:rPr>
          <w:i/>
          <w:iCs/>
          <w:lang w:val="pl-PL"/>
        </w:rPr>
        <w:tab/>
      </w:r>
      <w:r w:rsidRPr="009E7B69">
        <w:rPr>
          <w:i/>
          <w:iCs/>
          <w:lang w:val="pl-PL"/>
        </w:rPr>
        <w:t>Makkot</w:t>
      </w:r>
    </w:p>
    <w:p w14:paraId="6D8DD2AA" w14:textId="540B6F36" w:rsidR="00A66249" w:rsidRPr="009E7B69" w:rsidRDefault="00BE6BA3" w:rsidP="003D2E58">
      <w:pPr>
        <w:tabs>
          <w:tab w:val="left" w:pos="1418"/>
        </w:tabs>
        <w:spacing w:line="360" w:lineRule="auto"/>
        <w:rPr>
          <w:i/>
          <w:iCs/>
        </w:rPr>
      </w:pPr>
      <w:r w:rsidRPr="009E7B69">
        <w:rPr>
          <w:i/>
          <w:iCs/>
          <w:lang w:val="pl-PL"/>
        </w:rPr>
        <w:t>Meg. Taan.</w:t>
      </w:r>
      <w:r w:rsidR="003D2E58" w:rsidRPr="009E7B69">
        <w:rPr>
          <w:i/>
          <w:iCs/>
          <w:lang w:val="pl-PL"/>
        </w:rPr>
        <w:tab/>
      </w:r>
      <w:r w:rsidRPr="009E7B69">
        <w:rPr>
          <w:i/>
          <w:iCs/>
        </w:rPr>
        <w:t>Megillat Taanit</w:t>
      </w:r>
    </w:p>
    <w:p w14:paraId="4096E3B5" w14:textId="0676F177" w:rsidR="00A66249" w:rsidRPr="009E7B69" w:rsidRDefault="00BE6BA3" w:rsidP="003D2E58">
      <w:pPr>
        <w:tabs>
          <w:tab w:val="left" w:pos="1418"/>
        </w:tabs>
        <w:spacing w:line="360" w:lineRule="auto"/>
      </w:pPr>
      <w:r w:rsidRPr="009E7B69">
        <w:t>MT</w:t>
      </w:r>
      <w:r w:rsidR="003D2E58" w:rsidRPr="009E7B69">
        <w:tab/>
      </w:r>
      <w:r w:rsidRPr="009E7B69">
        <w:t>Masoretic Text</w:t>
      </w:r>
    </w:p>
    <w:p w14:paraId="34B853D2" w14:textId="2E07C637" w:rsidR="00A66249" w:rsidRPr="009E7B69" w:rsidRDefault="00BE6BA3" w:rsidP="003D2E58">
      <w:pPr>
        <w:tabs>
          <w:tab w:val="left" w:pos="1418"/>
        </w:tabs>
        <w:spacing w:line="360" w:lineRule="auto"/>
        <w:rPr>
          <w:i/>
          <w:iCs/>
          <w:lang w:val="de-DE"/>
        </w:rPr>
      </w:pPr>
      <w:r w:rsidRPr="009E7B69">
        <w:rPr>
          <w:i/>
          <w:iCs/>
        </w:rPr>
        <w:t xml:space="preserve">Ned. </w:t>
      </w:r>
      <w:r w:rsidR="003D2E58" w:rsidRPr="009E7B69">
        <w:rPr>
          <w:i/>
          <w:iCs/>
        </w:rPr>
        <w:tab/>
      </w:r>
      <w:r w:rsidRPr="009E7B69">
        <w:rPr>
          <w:i/>
          <w:iCs/>
          <w:lang w:val="de-DE"/>
        </w:rPr>
        <w:t>Nedarim</w:t>
      </w:r>
    </w:p>
    <w:p w14:paraId="107CB4FD" w14:textId="2B38211D" w:rsidR="00A66249" w:rsidRPr="009E7B69" w:rsidRDefault="00BE6BA3" w:rsidP="003D2E58">
      <w:pPr>
        <w:tabs>
          <w:tab w:val="left" w:pos="1418"/>
        </w:tabs>
        <w:spacing w:line="360" w:lineRule="auto"/>
        <w:rPr>
          <w:i/>
          <w:iCs/>
          <w:lang w:val="de-DE"/>
        </w:rPr>
      </w:pPr>
      <w:r w:rsidRPr="009E7B69">
        <w:rPr>
          <w:i/>
          <w:iCs/>
          <w:lang w:val="de-DE"/>
        </w:rPr>
        <w:t xml:space="preserve">Nes. </w:t>
      </w:r>
      <w:r w:rsidR="003D2E58" w:rsidRPr="009E7B69">
        <w:rPr>
          <w:i/>
          <w:iCs/>
          <w:lang w:val="de-DE"/>
        </w:rPr>
        <w:tab/>
      </w:r>
      <w:r w:rsidRPr="009E7B69">
        <w:rPr>
          <w:i/>
          <w:iCs/>
          <w:lang w:val="de-DE"/>
        </w:rPr>
        <w:t>Neziqin</w:t>
      </w:r>
    </w:p>
    <w:p w14:paraId="7427920B" w14:textId="7A5DDCC1" w:rsidR="00A66249" w:rsidRPr="009E7B69" w:rsidRDefault="00BE6BA3" w:rsidP="003D2E58">
      <w:pPr>
        <w:tabs>
          <w:tab w:val="left" w:pos="1418"/>
        </w:tabs>
        <w:spacing w:line="360" w:lineRule="auto"/>
        <w:rPr>
          <w:lang w:val="de-DE"/>
        </w:rPr>
      </w:pPr>
      <w:r w:rsidRPr="009E7B69">
        <w:rPr>
          <w:lang w:val="de-DE"/>
        </w:rPr>
        <w:t>NT</w:t>
      </w:r>
      <w:r w:rsidR="003D2E58" w:rsidRPr="009E7B69">
        <w:rPr>
          <w:lang w:val="de-DE"/>
        </w:rPr>
        <w:tab/>
      </w:r>
      <w:r w:rsidRPr="009E7B69">
        <w:rPr>
          <w:lang w:val="de-DE"/>
        </w:rPr>
        <w:t>New Testament</w:t>
      </w:r>
    </w:p>
    <w:p w14:paraId="77216548" w14:textId="3334C74C" w:rsidR="00A66249" w:rsidRPr="009E7B69" w:rsidRDefault="00BE6BA3" w:rsidP="003D2E58">
      <w:pPr>
        <w:tabs>
          <w:tab w:val="left" w:pos="1418"/>
        </w:tabs>
        <w:spacing w:line="360" w:lineRule="auto"/>
        <w:rPr>
          <w:i/>
          <w:iCs/>
          <w:lang w:val="pl-PL"/>
        </w:rPr>
      </w:pPr>
      <w:r w:rsidRPr="009E7B69">
        <w:rPr>
          <w:i/>
          <w:iCs/>
          <w:lang w:val="pl-PL"/>
        </w:rPr>
        <w:t xml:space="preserve">R. </w:t>
      </w:r>
      <w:r w:rsidR="003D2E58" w:rsidRPr="009E7B69">
        <w:rPr>
          <w:i/>
          <w:iCs/>
          <w:lang w:val="pl-PL"/>
        </w:rPr>
        <w:tab/>
      </w:r>
      <w:r w:rsidRPr="009E7B69">
        <w:rPr>
          <w:i/>
          <w:iCs/>
          <w:lang w:val="pl-PL"/>
        </w:rPr>
        <w:t>Rabbi</w:t>
      </w:r>
    </w:p>
    <w:p w14:paraId="00E33932" w14:textId="2F97BDFC" w:rsidR="00A66249" w:rsidRPr="009E7B69" w:rsidRDefault="00BE6BA3" w:rsidP="003D2E58">
      <w:pPr>
        <w:tabs>
          <w:tab w:val="left" w:pos="1418"/>
        </w:tabs>
        <w:spacing w:line="360" w:lineRule="auto"/>
        <w:rPr>
          <w:i/>
          <w:iCs/>
          <w:lang w:val="pl-PL"/>
        </w:rPr>
      </w:pPr>
      <w:r w:rsidRPr="009E7B69">
        <w:rPr>
          <w:i/>
          <w:iCs/>
          <w:lang w:val="pl-PL"/>
        </w:rPr>
        <w:t xml:space="preserve">Rab. </w:t>
      </w:r>
      <w:r w:rsidR="003D2E58" w:rsidRPr="009E7B69">
        <w:rPr>
          <w:i/>
          <w:iCs/>
          <w:lang w:val="pl-PL"/>
        </w:rPr>
        <w:tab/>
      </w:r>
      <w:r w:rsidRPr="009E7B69">
        <w:rPr>
          <w:i/>
          <w:iCs/>
          <w:lang w:val="pl-PL"/>
        </w:rPr>
        <w:t>Rabbah</w:t>
      </w:r>
    </w:p>
    <w:p w14:paraId="660AE614" w14:textId="67EC1076" w:rsidR="00A66249" w:rsidRPr="009E7B69" w:rsidRDefault="00BE6BA3" w:rsidP="003D2E58">
      <w:pPr>
        <w:tabs>
          <w:tab w:val="left" w:pos="1418"/>
        </w:tabs>
        <w:spacing w:line="360" w:lineRule="auto"/>
        <w:rPr>
          <w:lang w:val="de-DE"/>
        </w:rPr>
      </w:pPr>
      <w:r w:rsidRPr="009E7B69">
        <w:rPr>
          <w:i/>
          <w:iCs/>
          <w:lang w:val="pl-PL"/>
        </w:rPr>
        <w:t xml:space="preserve">Sanh. </w:t>
      </w:r>
      <w:r w:rsidR="003D2E58" w:rsidRPr="009E7B69">
        <w:rPr>
          <w:i/>
          <w:iCs/>
          <w:lang w:val="pl-PL"/>
        </w:rPr>
        <w:tab/>
      </w:r>
      <w:r w:rsidRPr="009E7B69">
        <w:rPr>
          <w:i/>
          <w:iCs/>
          <w:lang w:val="de-DE"/>
        </w:rPr>
        <w:t>Sanhedrin</w:t>
      </w:r>
    </w:p>
    <w:p w14:paraId="7CB75315" w14:textId="51973B63" w:rsidR="00A66249" w:rsidRPr="009E7B69" w:rsidRDefault="00BE6BA3" w:rsidP="003D2E58">
      <w:pPr>
        <w:tabs>
          <w:tab w:val="left" w:pos="1418"/>
        </w:tabs>
        <w:spacing w:line="360" w:lineRule="auto"/>
        <w:rPr>
          <w:i/>
          <w:iCs/>
        </w:rPr>
      </w:pPr>
      <w:r w:rsidRPr="009E7B69">
        <w:rPr>
          <w:i/>
          <w:iCs/>
        </w:rPr>
        <w:t>Shab.</w:t>
      </w:r>
      <w:r w:rsidR="003D2E58" w:rsidRPr="009E7B69">
        <w:rPr>
          <w:i/>
          <w:iCs/>
        </w:rPr>
        <w:tab/>
      </w:r>
      <w:r w:rsidRPr="009E7B69">
        <w:rPr>
          <w:i/>
          <w:iCs/>
        </w:rPr>
        <w:t>Shabbat</w:t>
      </w:r>
    </w:p>
    <w:p w14:paraId="55D130E8" w14:textId="4A0AE752" w:rsidR="00A66249" w:rsidRPr="009E7B69" w:rsidRDefault="00BE6BA3" w:rsidP="003D2E58">
      <w:pPr>
        <w:tabs>
          <w:tab w:val="left" w:pos="1418"/>
        </w:tabs>
        <w:spacing w:line="360" w:lineRule="auto"/>
        <w:rPr>
          <w:i/>
          <w:iCs/>
        </w:rPr>
      </w:pPr>
      <w:r w:rsidRPr="009E7B69">
        <w:rPr>
          <w:i/>
          <w:iCs/>
        </w:rPr>
        <w:lastRenderedPageBreak/>
        <w:t xml:space="preserve">Tann. </w:t>
      </w:r>
      <w:r w:rsidR="003D2E58" w:rsidRPr="009E7B69">
        <w:rPr>
          <w:i/>
          <w:iCs/>
        </w:rPr>
        <w:tab/>
      </w:r>
      <w:r w:rsidRPr="009E7B69">
        <w:rPr>
          <w:i/>
          <w:iCs/>
        </w:rPr>
        <w:t>Tannit</w:t>
      </w:r>
    </w:p>
    <w:p w14:paraId="3DE428D4" w14:textId="61B20807" w:rsidR="00D25D36" w:rsidRPr="009E7B69" w:rsidRDefault="00BE6BA3" w:rsidP="003D2E58">
      <w:pPr>
        <w:tabs>
          <w:tab w:val="left" w:pos="1418"/>
        </w:tabs>
        <w:spacing w:line="360" w:lineRule="auto"/>
        <w:rPr>
          <w:i/>
          <w:iCs/>
        </w:rPr>
      </w:pPr>
      <w:r w:rsidRPr="009E7B69">
        <w:rPr>
          <w:i/>
          <w:iCs/>
        </w:rPr>
        <w:t xml:space="preserve">y. </w:t>
      </w:r>
      <w:r w:rsidR="003D2E58" w:rsidRPr="009E7B69">
        <w:rPr>
          <w:i/>
          <w:iCs/>
        </w:rPr>
        <w:tab/>
      </w:r>
      <w:r w:rsidRPr="009E7B69">
        <w:rPr>
          <w:i/>
          <w:iCs/>
        </w:rPr>
        <w:t>Jerusalem Talmud</w:t>
      </w:r>
    </w:p>
    <w:p w14:paraId="308C998E" w14:textId="77777777" w:rsidR="00A02A06" w:rsidRDefault="00BE6BA3" w:rsidP="008D4202">
      <w:pPr>
        <w:sectPr w:rsidR="00A02A06" w:rsidSect="004B1E94">
          <w:headerReference w:type="even" r:id="rId10"/>
          <w:headerReference w:type="default" r:id="rId11"/>
          <w:footerReference w:type="even" r:id="rId12"/>
          <w:footerReference w:type="default" r:id="rId13"/>
          <w:headerReference w:type="first" r:id="rId14"/>
          <w:footerReference w:type="first" r:id="rId15"/>
          <w:type w:val="continuous"/>
          <w:pgSz w:w="11900" w:h="16840"/>
          <w:pgMar w:top="1440" w:right="1440" w:bottom="1440" w:left="1440" w:header="706" w:footer="706" w:gutter="0"/>
          <w:pgNumType w:fmt="lowerRoman" w:start="1"/>
          <w:cols w:space="708"/>
          <w:titlePg/>
          <w:docGrid w:linePitch="326"/>
        </w:sectPr>
      </w:pPr>
      <w:r w:rsidRPr="009E7B69">
        <w:br w:type="page"/>
      </w:r>
    </w:p>
    <w:p w14:paraId="2743BC24" w14:textId="77777777" w:rsidR="008D4202" w:rsidRPr="009E7B69" w:rsidRDefault="008D4202" w:rsidP="008D4202"/>
    <w:p w14:paraId="0FD627DA" w14:textId="78C36496" w:rsidR="008D4202" w:rsidRPr="009E7B69" w:rsidRDefault="007B7745" w:rsidP="009F5D32">
      <w:pPr>
        <w:pStyle w:val="Heading1"/>
        <w:rPr>
          <w:lang w:val="en-AU"/>
        </w:rPr>
      </w:pPr>
      <w:bookmarkStart w:id="15" w:name="_Toc81571211"/>
      <w:bookmarkStart w:id="16" w:name="_Toc94536973"/>
      <w:bookmarkStart w:id="17" w:name="_Toc118063617"/>
      <w:r w:rsidRPr="009E7B69">
        <w:rPr>
          <w:lang w:val="en-AU"/>
        </w:rPr>
        <w:t>Chapter 1</w:t>
      </w:r>
      <w:r w:rsidR="006B69FF" w:rsidRPr="009E7B69">
        <w:rPr>
          <w:lang w:val="en-AU"/>
        </w:rPr>
        <w:br/>
      </w:r>
      <w:r w:rsidRPr="009E7B69">
        <w:rPr>
          <w:lang w:val="en-AU"/>
        </w:rPr>
        <w:t>Introduction</w:t>
      </w:r>
      <w:bookmarkEnd w:id="15"/>
      <w:bookmarkEnd w:id="16"/>
      <w:bookmarkEnd w:id="17"/>
    </w:p>
    <w:p w14:paraId="72DADE2F" w14:textId="33659A3D" w:rsidR="00F9745E" w:rsidRPr="009E7B69" w:rsidRDefault="00BE6BA3" w:rsidP="008D4202">
      <w:pPr>
        <w:spacing w:line="480" w:lineRule="auto"/>
        <w:ind w:firstLine="720"/>
        <w:contextualSpacing/>
        <w:rPr>
          <w:lang w:val="en-AU"/>
        </w:rPr>
      </w:pPr>
      <w:r w:rsidRPr="009E7B69">
        <w:rPr>
          <w:lang w:val="en-AU"/>
        </w:rPr>
        <w:t xml:space="preserve">This dissertation contributes to the scholarship examining a Jewish Jesus. </w:t>
      </w:r>
      <w:r w:rsidR="00A66249" w:rsidRPr="009E7B69">
        <w:rPr>
          <w:lang w:val="en-AU"/>
        </w:rPr>
        <w:t xml:space="preserve">It does </w:t>
      </w:r>
      <w:r w:rsidR="00F9745E" w:rsidRPr="009E7B69">
        <w:rPr>
          <w:lang w:val="en-AU"/>
        </w:rPr>
        <w:t>so</w:t>
      </w:r>
      <w:r w:rsidR="00A66249" w:rsidRPr="009E7B69">
        <w:rPr>
          <w:lang w:val="en-AU"/>
        </w:rPr>
        <w:t xml:space="preserve"> by developing a</w:t>
      </w:r>
      <w:r w:rsidR="00BE67BF" w:rsidRPr="009E7B69">
        <w:rPr>
          <w:lang w:val="en-AU"/>
        </w:rPr>
        <w:t xml:space="preserve"> new understanding of the Jewish context of Matthew 5:38</w:t>
      </w:r>
      <w:r w:rsidR="00506F72" w:rsidRPr="009E7B69">
        <w:rPr>
          <w:lang w:val="en-AU"/>
        </w:rPr>
        <w:t>‒</w:t>
      </w:r>
      <w:r w:rsidR="00BE67BF" w:rsidRPr="009E7B69">
        <w:rPr>
          <w:lang w:val="en-AU"/>
        </w:rPr>
        <w:t>42</w:t>
      </w:r>
      <w:r w:rsidR="00376EA7" w:rsidRPr="009E7B69">
        <w:rPr>
          <w:lang w:val="en-AU"/>
        </w:rPr>
        <w:t>, a context</w:t>
      </w:r>
      <w:r w:rsidR="00066EA8" w:rsidRPr="009E7B69">
        <w:rPr>
          <w:lang w:val="en-AU"/>
        </w:rPr>
        <w:t xml:space="preserve"> which is revealed by a </w:t>
      </w:r>
      <w:r w:rsidR="005B34C2" w:rsidRPr="009E7B69">
        <w:rPr>
          <w:lang w:val="en-AU"/>
        </w:rPr>
        <w:t>conception</w:t>
      </w:r>
      <w:r w:rsidR="00066EA8" w:rsidRPr="009E7B69">
        <w:rPr>
          <w:lang w:val="en-AU"/>
        </w:rPr>
        <w:t xml:space="preserve"> of </w:t>
      </w:r>
      <w:r w:rsidR="00611617" w:rsidRPr="009E7B69">
        <w:rPr>
          <w:lang w:val="en-AU"/>
        </w:rPr>
        <w:t>nonviolent</w:t>
      </w:r>
      <w:r w:rsidR="00066EA8" w:rsidRPr="009E7B69">
        <w:rPr>
          <w:lang w:val="en-AU"/>
        </w:rPr>
        <w:t xml:space="preserve"> retaliation found in</w:t>
      </w:r>
      <w:r w:rsidR="00AB2839" w:rsidRPr="009E7B69">
        <w:rPr>
          <w:lang w:val="en-AU"/>
        </w:rPr>
        <w:t xml:space="preserve"> both Matthew and</w:t>
      </w:r>
      <w:r w:rsidR="00953DB4" w:rsidRPr="009E7B69">
        <w:rPr>
          <w:lang w:val="en-AU"/>
        </w:rPr>
        <w:t xml:space="preserve"> </w:t>
      </w:r>
      <w:r w:rsidR="00953DB4" w:rsidRPr="01B55689">
        <w:rPr>
          <w:i/>
          <w:iCs/>
          <w:lang w:val="en-AU"/>
        </w:rPr>
        <w:t>Mishna Avot</w:t>
      </w:r>
      <w:r w:rsidR="000760BD" w:rsidRPr="01B55689">
        <w:rPr>
          <w:i/>
          <w:iCs/>
          <w:lang w:val="en-AU"/>
        </w:rPr>
        <w:t>.</w:t>
      </w:r>
      <w:r w:rsidR="00035954" w:rsidRPr="009E7B69">
        <w:rPr>
          <w:rStyle w:val="FootnoteReference"/>
          <w:lang w:val="en-AU"/>
        </w:rPr>
        <w:footnoteReference w:id="3"/>
      </w:r>
      <w:r w:rsidR="00953DB4" w:rsidRPr="009E7B69">
        <w:rPr>
          <w:lang w:val="en-AU"/>
        </w:rPr>
        <w:t xml:space="preserve"> </w:t>
      </w:r>
      <w:r w:rsidR="00611617" w:rsidRPr="009E7B69">
        <w:rPr>
          <w:lang w:val="en-AU"/>
        </w:rPr>
        <w:t xml:space="preserve">In the search for the historical Jesus, much </w:t>
      </w:r>
      <w:r w:rsidRPr="009E7B69">
        <w:rPr>
          <w:lang w:val="en-AU"/>
        </w:rPr>
        <w:t xml:space="preserve">has been published </w:t>
      </w:r>
      <w:r w:rsidR="00611617" w:rsidRPr="009E7B69">
        <w:rPr>
          <w:lang w:val="en-AU"/>
        </w:rPr>
        <w:t xml:space="preserve">on </w:t>
      </w:r>
      <w:r w:rsidRPr="009E7B69">
        <w:rPr>
          <w:lang w:val="en-AU"/>
        </w:rPr>
        <w:t>the culture and context of 1</w:t>
      </w:r>
      <w:r w:rsidRPr="009E7B69">
        <w:rPr>
          <w:vertAlign w:val="superscript"/>
          <w:lang w:val="en-AU"/>
        </w:rPr>
        <w:t>st</w:t>
      </w:r>
      <w:r w:rsidR="00510629" w:rsidRPr="009E7B69">
        <w:rPr>
          <w:lang w:val="en-AU"/>
        </w:rPr>
        <w:t>-</w:t>
      </w:r>
      <w:r w:rsidRPr="009E7B69">
        <w:rPr>
          <w:lang w:val="en-AU"/>
        </w:rPr>
        <w:t xml:space="preserve">century Jews living in Galilee. </w:t>
      </w:r>
      <w:r w:rsidR="00046DE1" w:rsidRPr="009E7B69">
        <w:rPr>
          <w:lang w:val="en-AU"/>
        </w:rPr>
        <w:t>Y</w:t>
      </w:r>
      <w:r w:rsidRPr="009E7B69">
        <w:rPr>
          <w:lang w:val="en-AU"/>
        </w:rPr>
        <w:t xml:space="preserve">et there is still a lacuna in scholarship that examines Jewish intellectual thought </w:t>
      </w:r>
      <w:r w:rsidR="00D8761D" w:rsidRPr="009E7B69">
        <w:rPr>
          <w:lang w:val="en-AU"/>
        </w:rPr>
        <w:t xml:space="preserve">evident in </w:t>
      </w:r>
      <w:r w:rsidRPr="009E7B69">
        <w:rPr>
          <w:lang w:val="en-AU"/>
        </w:rPr>
        <w:t>Matthew 5:38</w:t>
      </w:r>
      <w:r w:rsidR="002439C5" w:rsidRPr="009E7B69">
        <w:rPr>
          <w:lang w:val="en-AU"/>
        </w:rPr>
        <w:t>–</w:t>
      </w:r>
      <w:r w:rsidRPr="009E7B69">
        <w:rPr>
          <w:lang w:val="en-AU"/>
        </w:rPr>
        <w:t xml:space="preserve">42 in </w:t>
      </w:r>
      <w:r w:rsidR="008F7CEE" w:rsidRPr="009E7B69">
        <w:rPr>
          <w:lang w:val="en-AU"/>
        </w:rPr>
        <w:t xml:space="preserve">relation to </w:t>
      </w:r>
      <w:r w:rsidRPr="009E7B69">
        <w:rPr>
          <w:lang w:val="en-AU"/>
        </w:rPr>
        <w:t>the Jewish identity of Jesus</w:t>
      </w:r>
      <w:r w:rsidR="00E86ADB" w:rsidRPr="009E7B69">
        <w:rPr>
          <w:lang w:val="en-AU"/>
        </w:rPr>
        <w:t xml:space="preserve"> as it </w:t>
      </w:r>
      <w:proofErr w:type="gramStart"/>
      <w:r w:rsidR="00E86ADB" w:rsidRPr="009E7B69">
        <w:rPr>
          <w:lang w:val="en-AU"/>
        </w:rPr>
        <w:t>is connected with</w:t>
      </w:r>
      <w:proofErr w:type="gramEnd"/>
      <w:r w:rsidR="00E86ADB" w:rsidRPr="009E7B69">
        <w:rPr>
          <w:lang w:val="en-AU"/>
        </w:rPr>
        <w:t xml:space="preserve"> </w:t>
      </w:r>
      <w:r w:rsidR="00E86ADB" w:rsidRPr="01B55689">
        <w:rPr>
          <w:i/>
          <w:iCs/>
          <w:lang w:val="en-AU"/>
        </w:rPr>
        <w:t>Mishna Avot</w:t>
      </w:r>
      <w:r w:rsidRPr="009E7B69">
        <w:rPr>
          <w:lang w:val="en-AU"/>
        </w:rPr>
        <w:t xml:space="preserve">. </w:t>
      </w:r>
    </w:p>
    <w:p w14:paraId="7FAC3613" w14:textId="064255FB" w:rsidR="008D4202" w:rsidRPr="009E7B69" w:rsidRDefault="00953DB4" w:rsidP="00F956A7">
      <w:pPr>
        <w:spacing w:line="480" w:lineRule="auto"/>
        <w:ind w:firstLine="720"/>
        <w:contextualSpacing/>
        <w:rPr>
          <w:lang w:val="en-AU"/>
        </w:rPr>
      </w:pPr>
      <w:r w:rsidRPr="009E7B69">
        <w:rPr>
          <w:lang w:val="en-AU"/>
        </w:rPr>
        <w:t>In this dissertation, a study of Matthew 5:38</w:t>
      </w:r>
      <w:r w:rsidR="00AC72F0" w:rsidRPr="009E7B69">
        <w:rPr>
          <w:lang w:val="en-AU"/>
        </w:rPr>
        <w:t>‒</w:t>
      </w:r>
      <w:r w:rsidRPr="009E7B69">
        <w:rPr>
          <w:lang w:val="en-AU"/>
        </w:rPr>
        <w:t>42</w:t>
      </w:r>
      <w:r w:rsidR="004C7E23" w:rsidRPr="009E7B69">
        <w:rPr>
          <w:lang w:val="en-AU"/>
        </w:rPr>
        <w:t xml:space="preserve"> juxtaposed with </w:t>
      </w:r>
      <w:r w:rsidR="005E2359" w:rsidRPr="009E7B69">
        <w:rPr>
          <w:lang w:val="en-AU"/>
        </w:rPr>
        <w:t>select</w:t>
      </w:r>
      <w:r w:rsidR="00AC72F0" w:rsidRPr="009E7B69">
        <w:rPr>
          <w:lang w:val="en-AU"/>
        </w:rPr>
        <w:t xml:space="preserve">ed </w:t>
      </w:r>
      <w:r w:rsidR="005E2359" w:rsidRPr="009E7B69">
        <w:rPr>
          <w:lang w:val="en-AU"/>
        </w:rPr>
        <w:t xml:space="preserve">texts supporting peace in </w:t>
      </w:r>
      <w:r w:rsidR="004C7E23" w:rsidRPr="009E7B69">
        <w:rPr>
          <w:i/>
          <w:iCs/>
          <w:lang w:val="en-AU"/>
        </w:rPr>
        <w:t xml:space="preserve">Mishna </w:t>
      </w:r>
      <w:r w:rsidR="005E2359" w:rsidRPr="009E7B69">
        <w:rPr>
          <w:i/>
          <w:iCs/>
          <w:lang w:val="en-AU"/>
        </w:rPr>
        <w:t>Avot</w:t>
      </w:r>
      <w:r w:rsidR="00F13C9E" w:rsidRPr="009E7B69">
        <w:rPr>
          <w:lang w:val="en-AU"/>
        </w:rPr>
        <w:t xml:space="preserve"> </w:t>
      </w:r>
      <w:r w:rsidR="00434E3D" w:rsidRPr="009E7B69">
        <w:rPr>
          <w:lang w:val="en-AU"/>
        </w:rPr>
        <w:t>reveal</w:t>
      </w:r>
      <w:r w:rsidR="00611617" w:rsidRPr="009E7B69">
        <w:rPr>
          <w:lang w:val="en-AU"/>
        </w:rPr>
        <w:t>s</w:t>
      </w:r>
      <w:r w:rsidR="004C7E23" w:rsidRPr="009E7B69">
        <w:rPr>
          <w:lang w:val="en-AU"/>
        </w:rPr>
        <w:t xml:space="preserve"> how Jewish Oral Law influenced the </w:t>
      </w:r>
      <w:r w:rsidR="00D64C29" w:rsidRPr="009E7B69">
        <w:rPr>
          <w:lang w:val="en-AU"/>
        </w:rPr>
        <w:t xml:space="preserve">audience </w:t>
      </w:r>
      <w:r w:rsidR="004C7E23" w:rsidRPr="009E7B69">
        <w:rPr>
          <w:lang w:val="en-AU"/>
        </w:rPr>
        <w:t>of Jesus</w:t>
      </w:r>
      <w:r w:rsidR="005C71CB" w:rsidRPr="009E7B69">
        <w:rPr>
          <w:lang w:val="en-AU"/>
        </w:rPr>
        <w:t>’</w:t>
      </w:r>
      <w:r w:rsidR="007477B7">
        <w:rPr>
          <w:lang w:val="en-AU"/>
        </w:rPr>
        <w:t>s</w:t>
      </w:r>
      <w:r w:rsidR="004C7E23" w:rsidRPr="009E7B69">
        <w:rPr>
          <w:lang w:val="en-AU"/>
        </w:rPr>
        <w:t xml:space="preserve"> </w:t>
      </w:r>
      <w:r w:rsidR="00D64C29" w:rsidRPr="009E7B69">
        <w:rPr>
          <w:lang w:val="en-AU"/>
        </w:rPr>
        <w:t>s</w:t>
      </w:r>
      <w:r w:rsidR="004C7E23" w:rsidRPr="009E7B69">
        <w:rPr>
          <w:lang w:val="en-AU"/>
        </w:rPr>
        <w:t>ermon.</w:t>
      </w:r>
      <w:r w:rsidR="00D86F0C" w:rsidRPr="009E7B69">
        <w:rPr>
          <w:lang w:val="en-AU"/>
        </w:rPr>
        <w:t xml:space="preserve"> </w:t>
      </w:r>
      <w:r w:rsidR="00403D7D" w:rsidRPr="009E7B69">
        <w:rPr>
          <w:lang w:val="en-AU"/>
        </w:rPr>
        <w:t>As it progresses, t</w:t>
      </w:r>
      <w:r w:rsidR="00D86F0C" w:rsidRPr="009E7B69">
        <w:rPr>
          <w:lang w:val="en-AU"/>
        </w:rPr>
        <w:t xml:space="preserve">his </w:t>
      </w:r>
      <w:r w:rsidR="00403D7D" w:rsidRPr="009E7B69">
        <w:rPr>
          <w:lang w:val="en-AU"/>
        </w:rPr>
        <w:t>study also note</w:t>
      </w:r>
      <w:r w:rsidR="005B34C2" w:rsidRPr="009E7B69">
        <w:rPr>
          <w:lang w:val="en-AU"/>
        </w:rPr>
        <w:t>s</w:t>
      </w:r>
      <w:r w:rsidR="00403D7D" w:rsidRPr="009E7B69">
        <w:rPr>
          <w:lang w:val="en-AU"/>
        </w:rPr>
        <w:t xml:space="preserve"> the</w:t>
      </w:r>
      <w:r w:rsidR="00D86F0C" w:rsidRPr="009E7B69">
        <w:rPr>
          <w:lang w:val="en-AU"/>
        </w:rPr>
        <w:t xml:space="preserve"> problem </w:t>
      </w:r>
      <w:r w:rsidR="00403D7D" w:rsidRPr="009E7B69">
        <w:rPr>
          <w:lang w:val="en-AU"/>
        </w:rPr>
        <w:t xml:space="preserve">that </w:t>
      </w:r>
      <w:r w:rsidR="00D86F0C" w:rsidRPr="009E7B69">
        <w:rPr>
          <w:lang w:val="en-AU"/>
        </w:rPr>
        <w:t xml:space="preserve">has </w:t>
      </w:r>
      <w:r w:rsidR="001D2EEB" w:rsidRPr="009E7B69">
        <w:rPr>
          <w:lang w:val="en-AU"/>
        </w:rPr>
        <w:t xml:space="preserve">developed from </w:t>
      </w:r>
      <w:r w:rsidR="00403D7D" w:rsidRPr="009E7B69">
        <w:rPr>
          <w:lang w:val="en-AU"/>
        </w:rPr>
        <w:t xml:space="preserve">an interpretation </w:t>
      </w:r>
      <w:r w:rsidR="001D2EEB" w:rsidRPr="009E7B69">
        <w:rPr>
          <w:lang w:val="en-AU"/>
        </w:rPr>
        <w:t xml:space="preserve">of </w:t>
      </w:r>
      <w:r w:rsidR="00D86F0C" w:rsidRPr="009E7B69">
        <w:rPr>
          <w:lang w:val="en-AU"/>
        </w:rPr>
        <w:t>Matthew 5:38</w:t>
      </w:r>
      <w:r w:rsidR="00D64C29" w:rsidRPr="009E7B69">
        <w:rPr>
          <w:lang w:val="en-AU"/>
        </w:rPr>
        <w:t>‒</w:t>
      </w:r>
      <w:r w:rsidR="00D86F0C" w:rsidRPr="009E7B69">
        <w:rPr>
          <w:lang w:val="en-AU"/>
        </w:rPr>
        <w:t>42</w:t>
      </w:r>
      <w:r w:rsidR="00D85E46" w:rsidRPr="009E7B69">
        <w:rPr>
          <w:lang w:val="en-AU"/>
        </w:rPr>
        <w:t xml:space="preserve">—namely, one </w:t>
      </w:r>
      <w:r w:rsidR="001D2EEB" w:rsidRPr="009E7B69">
        <w:rPr>
          <w:lang w:val="en-AU"/>
        </w:rPr>
        <w:t>that incorrectly depicts Jesus as a total pacifist</w:t>
      </w:r>
      <w:r w:rsidR="00403D7D" w:rsidRPr="009E7B69">
        <w:rPr>
          <w:lang w:val="en-AU"/>
        </w:rPr>
        <w:t xml:space="preserve">, </w:t>
      </w:r>
      <w:r w:rsidR="001D2EEB" w:rsidRPr="009E7B69">
        <w:rPr>
          <w:lang w:val="en-AU"/>
        </w:rPr>
        <w:t>result</w:t>
      </w:r>
      <w:r w:rsidR="00D85E46" w:rsidRPr="009E7B69">
        <w:rPr>
          <w:lang w:val="en-AU"/>
        </w:rPr>
        <w:t xml:space="preserve">ing </w:t>
      </w:r>
      <w:r w:rsidR="001D2EEB" w:rsidRPr="009E7B69">
        <w:rPr>
          <w:lang w:val="en-AU"/>
        </w:rPr>
        <w:t xml:space="preserve">in generations of people who </w:t>
      </w:r>
      <w:r w:rsidR="00D85E46" w:rsidRPr="009E7B69">
        <w:rPr>
          <w:lang w:val="en-AU"/>
        </w:rPr>
        <w:t xml:space="preserve">believe </w:t>
      </w:r>
      <w:r w:rsidR="001D2EEB" w:rsidRPr="009E7B69">
        <w:rPr>
          <w:lang w:val="en-AU"/>
        </w:rPr>
        <w:t xml:space="preserve">that the Bible wants them to accept abuse from an abuser by </w:t>
      </w:r>
      <w:r w:rsidR="005C71CB" w:rsidRPr="009E7B69">
        <w:rPr>
          <w:lang w:val="en-AU"/>
        </w:rPr>
        <w:t>‘</w:t>
      </w:r>
      <w:r w:rsidR="001D2EEB" w:rsidRPr="009E7B69">
        <w:rPr>
          <w:lang w:val="en-AU"/>
        </w:rPr>
        <w:t>turning the other check</w:t>
      </w:r>
      <w:r w:rsidR="005C71CB" w:rsidRPr="009E7B69">
        <w:rPr>
          <w:lang w:val="en-AU"/>
        </w:rPr>
        <w:t>’</w:t>
      </w:r>
      <w:r w:rsidR="001D2EEB" w:rsidRPr="009E7B69">
        <w:rPr>
          <w:lang w:val="en-AU"/>
        </w:rPr>
        <w:t xml:space="preserve"> </w:t>
      </w:r>
      <w:r w:rsidR="00434E3D" w:rsidRPr="009E7B69">
        <w:rPr>
          <w:lang w:val="en-AU"/>
        </w:rPr>
        <w:t xml:space="preserve">to </w:t>
      </w:r>
      <w:r w:rsidR="001D2EEB" w:rsidRPr="009E7B69">
        <w:rPr>
          <w:lang w:val="en-AU"/>
        </w:rPr>
        <w:t>abuse.</w:t>
      </w:r>
      <w:r w:rsidR="00D86F0C" w:rsidRPr="009E7B69">
        <w:rPr>
          <w:lang w:val="en-AU"/>
        </w:rPr>
        <w:t xml:space="preserve"> </w:t>
      </w:r>
      <w:r w:rsidR="004C7E23" w:rsidRPr="009E7B69">
        <w:rPr>
          <w:lang w:val="en-AU"/>
        </w:rPr>
        <w:t xml:space="preserve"> </w:t>
      </w:r>
      <w:proofErr w:type="gramStart"/>
      <w:r w:rsidR="001D2EEB" w:rsidRPr="009E7B69">
        <w:rPr>
          <w:lang w:val="en-AU"/>
        </w:rPr>
        <w:t>In order to</w:t>
      </w:r>
      <w:proofErr w:type="gramEnd"/>
      <w:r w:rsidR="001D2EEB" w:rsidRPr="009E7B69">
        <w:rPr>
          <w:lang w:val="en-AU"/>
        </w:rPr>
        <w:t xml:space="preserve"> show that </w:t>
      </w:r>
      <w:r w:rsidR="00403D7D" w:rsidRPr="009E7B69">
        <w:rPr>
          <w:lang w:val="en-AU"/>
        </w:rPr>
        <w:t>in Matthew 5:38</w:t>
      </w:r>
      <w:r w:rsidR="00896B95" w:rsidRPr="009E7B69">
        <w:rPr>
          <w:lang w:val="en-AU"/>
        </w:rPr>
        <w:t>–</w:t>
      </w:r>
      <w:r w:rsidR="00403D7D" w:rsidRPr="009E7B69">
        <w:rPr>
          <w:lang w:val="en-AU"/>
        </w:rPr>
        <w:t xml:space="preserve">42 </w:t>
      </w:r>
      <w:r w:rsidR="001D2EEB" w:rsidRPr="009E7B69">
        <w:rPr>
          <w:lang w:val="en-AU"/>
        </w:rPr>
        <w:t xml:space="preserve">Jesus did not advocate that people should accept abuse or violence from another person in authority, </w:t>
      </w:r>
      <w:r w:rsidR="002B0399" w:rsidRPr="009E7B69">
        <w:rPr>
          <w:lang w:val="en-AU"/>
        </w:rPr>
        <w:t xml:space="preserve">portions of the Sermon on the Mount </w:t>
      </w:r>
      <w:r w:rsidR="00BE6BA3" w:rsidRPr="009E7B69">
        <w:rPr>
          <w:lang w:val="en-AU"/>
        </w:rPr>
        <w:t xml:space="preserve">and the Jewish Oral Law preserved within various texts of </w:t>
      </w:r>
      <w:r w:rsidR="00BE6BA3" w:rsidRPr="009E7B69">
        <w:rPr>
          <w:i/>
          <w:lang w:val="en-AU"/>
        </w:rPr>
        <w:t>Mishna Avot</w:t>
      </w:r>
      <w:r w:rsidR="001D2EEB" w:rsidRPr="009E7B69">
        <w:rPr>
          <w:i/>
          <w:lang w:val="en-AU"/>
        </w:rPr>
        <w:t xml:space="preserve"> </w:t>
      </w:r>
      <w:r w:rsidR="001D2EEB" w:rsidRPr="009E7B69">
        <w:rPr>
          <w:iCs/>
          <w:lang w:val="en-AU"/>
        </w:rPr>
        <w:t>in the context of non-violence</w:t>
      </w:r>
      <w:r w:rsidR="00403D7D" w:rsidRPr="009E7B69">
        <w:rPr>
          <w:iCs/>
          <w:lang w:val="en-AU"/>
        </w:rPr>
        <w:t xml:space="preserve"> </w:t>
      </w:r>
      <w:r w:rsidR="00D85E46" w:rsidRPr="009E7B69">
        <w:rPr>
          <w:iCs/>
          <w:lang w:val="en-AU"/>
        </w:rPr>
        <w:t>are</w:t>
      </w:r>
      <w:r w:rsidR="00403D7D" w:rsidRPr="009E7B69">
        <w:rPr>
          <w:iCs/>
          <w:lang w:val="en-AU"/>
        </w:rPr>
        <w:t xml:space="preserve"> examined</w:t>
      </w:r>
      <w:r w:rsidR="00BE6BA3" w:rsidRPr="009E7B69">
        <w:rPr>
          <w:lang w:val="en-AU"/>
        </w:rPr>
        <w:t xml:space="preserve">. </w:t>
      </w:r>
      <w:bookmarkStart w:id="18" w:name="_Hlk92706787"/>
      <w:r w:rsidR="001D2EEB" w:rsidRPr="009E7B69">
        <w:rPr>
          <w:lang w:val="en-AU"/>
        </w:rPr>
        <w:t xml:space="preserve">In this dissertation, </w:t>
      </w:r>
      <w:r w:rsidR="00BE6BA3" w:rsidRPr="009E7B69">
        <w:rPr>
          <w:lang w:val="en-AU"/>
        </w:rPr>
        <w:t xml:space="preserve">I </w:t>
      </w:r>
      <w:r w:rsidR="002F46DE" w:rsidRPr="009E7B69">
        <w:rPr>
          <w:lang w:val="en-AU"/>
        </w:rPr>
        <w:t>decipher</w:t>
      </w:r>
      <w:r w:rsidR="007968B8" w:rsidRPr="009E7B69">
        <w:rPr>
          <w:lang w:val="en-AU"/>
        </w:rPr>
        <w:t xml:space="preserve"> </w:t>
      </w:r>
      <w:r w:rsidR="002F46DE" w:rsidRPr="009E7B69">
        <w:rPr>
          <w:lang w:val="en-AU"/>
        </w:rPr>
        <w:t>Jesus</w:t>
      </w:r>
      <w:r w:rsidR="005C71CB" w:rsidRPr="009E7B69">
        <w:rPr>
          <w:lang w:val="en-AU"/>
        </w:rPr>
        <w:t>’</w:t>
      </w:r>
      <w:r w:rsidR="007477B7">
        <w:rPr>
          <w:lang w:val="en-AU"/>
        </w:rPr>
        <w:t>s</w:t>
      </w:r>
      <w:r w:rsidR="002F46DE" w:rsidRPr="009E7B69">
        <w:rPr>
          <w:lang w:val="en-AU"/>
        </w:rPr>
        <w:t xml:space="preserve"> ethical and nonviolent resistance sayings found in Matthew 5:38</w:t>
      </w:r>
      <w:r w:rsidR="00311D23" w:rsidRPr="009E7B69">
        <w:rPr>
          <w:lang w:val="en-AU"/>
        </w:rPr>
        <w:t>‒</w:t>
      </w:r>
      <w:r w:rsidR="002F46DE" w:rsidRPr="009E7B69">
        <w:rPr>
          <w:lang w:val="en-AU"/>
        </w:rPr>
        <w:t>42 within a Jewish understanding from his era</w:t>
      </w:r>
      <w:r w:rsidR="00AF06A2" w:rsidRPr="009E7B69">
        <w:rPr>
          <w:lang w:val="en-AU"/>
        </w:rPr>
        <w:t>.</w:t>
      </w:r>
    </w:p>
    <w:bookmarkEnd w:id="18"/>
    <w:p w14:paraId="77D204E5" w14:textId="40BBA23B" w:rsidR="008D4202" w:rsidRPr="009E7B69" w:rsidRDefault="006D010A" w:rsidP="0087754D">
      <w:pPr>
        <w:spacing w:line="480" w:lineRule="auto"/>
        <w:ind w:firstLine="720"/>
        <w:contextualSpacing/>
        <w:rPr>
          <w:lang w:val="en-AU"/>
        </w:rPr>
      </w:pPr>
      <w:r w:rsidRPr="009E7B69">
        <w:rPr>
          <w:lang w:val="en-AU"/>
        </w:rPr>
        <w:lastRenderedPageBreak/>
        <w:t>The words of Jesus are inex</w:t>
      </w:r>
      <w:r w:rsidR="00E46C45" w:rsidRPr="009E7B69">
        <w:rPr>
          <w:lang w:val="en-AU"/>
        </w:rPr>
        <w:t>tr</w:t>
      </w:r>
      <w:r w:rsidRPr="009E7B69">
        <w:rPr>
          <w:lang w:val="en-AU"/>
        </w:rPr>
        <w:t>icably tied to the traditions and the intellectual thoughts of his time</w:t>
      </w:r>
      <w:r w:rsidR="00F956A7" w:rsidRPr="009E7B69">
        <w:rPr>
          <w:lang w:val="en-AU"/>
        </w:rPr>
        <w:t>, and this dissertation makes an original contribution within the Jewish Christian scholarship of Jesus by demonstrating</w:t>
      </w:r>
      <w:r w:rsidR="00D85E46" w:rsidRPr="009E7B69">
        <w:rPr>
          <w:lang w:val="en-AU"/>
        </w:rPr>
        <w:t>,</w:t>
      </w:r>
      <w:r w:rsidR="00F956A7" w:rsidRPr="009E7B69">
        <w:rPr>
          <w:lang w:val="en-AU"/>
        </w:rPr>
        <w:t xml:space="preserve"> by means of comparisons and contrasts, how the </w:t>
      </w:r>
      <w:r w:rsidR="00611617" w:rsidRPr="009E7B69">
        <w:rPr>
          <w:lang w:val="en-AU"/>
        </w:rPr>
        <w:t>nonviolent</w:t>
      </w:r>
      <w:r w:rsidR="00F956A7" w:rsidRPr="009E7B69">
        <w:rPr>
          <w:lang w:val="en-AU"/>
        </w:rPr>
        <w:t xml:space="preserve"> resistance sayings of the Oral Tradition are inherently linked to Matthew 5:38‒42. </w:t>
      </w:r>
      <w:r w:rsidR="005B34C2" w:rsidRPr="009E7B69">
        <w:rPr>
          <w:lang w:val="en-AU"/>
        </w:rPr>
        <w:t>A consideration</w:t>
      </w:r>
      <w:r w:rsidR="004F7607" w:rsidRPr="009E7B69">
        <w:rPr>
          <w:lang w:val="en-AU"/>
        </w:rPr>
        <w:t xml:space="preserve"> </w:t>
      </w:r>
      <w:r w:rsidR="005B34C2" w:rsidRPr="009E7B69">
        <w:rPr>
          <w:lang w:val="en-AU"/>
        </w:rPr>
        <w:t xml:space="preserve">of the </w:t>
      </w:r>
      <w:r w:rsidR="004F7607" w:rsidRPr="009E7B69">
        <w:rPr>
          <w:lang w:val="en-AU"/>
        </w:rPr>
        <w:t xml:space="preserve">surrounding historical </w:t>
      </w:r>
      <w:r w:rsidR="005B34C2" w:rsidRPr="009E7B69">
        <w:rPr>
          <w:lang w:val="en-AU"/>
        </w:rPr>
        <w:t xml:space="preserve">intellectual environment provides </w:t>
      </w:r>
      <w:r w:rsidR="004F7607" w:rsidRPr="009E7B69">
        <w:rPr>
          <w:lang w:val="en-AU"/>
        </w:rPr>
        <w:t>clarity to Jesus</w:t>
      </w:r>
      <w:r w:rsidR="005C71CB" w:rsidRPr="009E7B69">
        <w:rPr>
          <w:lang w:val="en-AU"/>
        </w:rPr>
        <w:t>’</w:t>
      </w:r>
      <w:r w:rsidR="007477B7">
        <w:rPr>
          <w:lang w:val="en-AU"/>
        </w:rPr>
        <w:t>s</w:t>
      </w:r>
      <w:r w:rsidR="004F7607" w:rsidRPr="009E7B69">
        <w:rPr>
          <w:lang w:val="en-AU"/>
        </w:rPr>
        <w:t xml:space="preserve"> </w:t>
      </w:r>
      <w:r w:rsidR="00D85E46" w:rsidRPr="009E7B69">
        <w:rPr>
          <w:lang w:val="en-AU"/>
        </w:rPr>
        <w:t xml:space="preserve">sayings on </w:t>
      </w:r>
      <w:r w:rsidR="004F7607" w:rsidRPr="009E7B69">
        <w:rPr>
          <w:lang w:val="en-AU"/>
        </w:rPr>
        <w:t>non-violence</w:t>
      </w:r>
      <w:r w:rsidRPr="009E7B69">
        <w:rPr>
          <w:lang w:val="en-AU"/>
        </w:rPr>
        <w:t>, ultimately demonstrating that justice</w:t>
      </w:r>
      <w:r w:rsidR="00F03841" w:rsidRPr="009E7B69">
        <w:rPr>
          <w:lang w:val="en-AU"/>
        </w:rPr>
        <w:t xml:space="preserve"> and equality are demanded by Jesus</w:t>
      </w:r>
      <w:r w:rsidR="005C71CB" w:rsidRPr="009E7B69">
        <w:rPr>
          <w:lang w:val="en-AU"/>
        </w:rPr>
        <w:t>’</w:t>
      </w:r>
      <w:r w:rsidR="007477B7">
        <w:rPr>
          <w:lang w:val="en-AU"/>
        </w:rPr>
        <w:t>s</w:t>
      </w:r>
      <w:r w:rsidR="00F03841" w:rsidRPr="009E7B69">
        <w:rPr>
          <w:lang w:val="en-AU"/>
        </w:rPr>
        <w:t xml:space="preserve"> sayings</w:t>
      </w:r>
      <w:r w:rsidR="004F7607" w:rsidRPr="009E7B69">
        <w:rPr>
          <w:lang w:val="en-AU"/>
        </w:rPr>
        <w:t xml:space="preserve">. </w:t>
      </w:r>
    </w:p>
    <w:p w14:paraId="4F12BF53" w14:textId="071C13EC" w:rsidR="008D4202" w:rsidRPr="009E7B69" w:rsidRDefault="005B34C2" w:rsidP="0027314D">
      <w:pPr>
        <w:pStyle w:val="Heading2"/>
      </w:pPr>
      <w:bookmarkStart w:id="19" w:name="_Toc81571448"/>
      <w:bookmarkStart w:id="20" w:name="_Toc94536974"/>
      <w:bookmarkStart w:id="21" w:name="_Toc118063618"/>
      <w:r w:rsidRPr="009E7B69">
        <w:t xml:space="preserve">1.1 </w:t>
      </w:r>
      <w:r w:rsidRPr="009E7B69">
        <w:rPr>
          <w:rStyle w:val="C11st-levelchapterparagraphChar"/>
          <w:rFonts w:eastAsiaTheme="minorHAnsi"/>
          <w:b/>
          <w:sz w:val="24"/>
          <w:szCs w:val="24"/>
          <w:lang w:val="en-AU"/>
        </w:rPr>
        <w:t>The Research Question</w:t>
      </w:r>
      <w:bookmarkEnd w:id="19"/>
      <w:bookmarkEnd w:id="20"/>
      <w:bookmarkEnd w:id="21"/>
    </w:p>
    <w:p w14:paraId="7C898AF0" w14:textId="779F3A59" w:rsidR="00DB6B87" w:rsidRPr="009E7B69" w:rsidRDefault="006E2683" w:rsidP="00B64F60">
      <w:pPr>
        <w:spacing w:line="480" w:lineRule="auto"/>
        <w:ind w:firstLine="720"/>
        <w:contextualSpacing/>
        <w:rPr>
          <w:lang w:val="en-AU"/>
        </w:rPr>
      </w:pPr>
      <w:r w:rsidRPr="009E7B69">
        <w:rPr>
          <w:lang w:val="en-AU"/>
        </w:rPr>
        <w:t>This dissertation provide</w:t>
      </w:r>
      <w:r w:rsidR="00813493" w:rsidRPr="009E7B69">
        <w:rPr>
          <w:lang w:val="en-AU"/>
        </w:rPr>
        <w:t>s</w:t>
      </w:r>
      <w:r w:rsidR="00B64F60" w:rsidRPr="009E7B69">
        <w:rPr>
          <w:lang w:val="en-AU"/>
        </w:rPr>
        <w:t xml:space="preserve"> a</w:t>
      </w:r>
      <w:r w:rsidRPr="009E7B69">
        <w:rPr>
          <w:lang w:val="en-AU"/>
        </w:rPr>
        <w:t xml:space="preserve"> new understanding </w:t>
      </w:r>
      <w:r w:rsidR="00B64F60" w:rsidRPr="009E7B69">
        <w:rPr>
          <w:lang w:val="en-AU"/>
        </w:rPr>
        <w:t>of</w:t>
      </w:r>
      <w:r w:rsidRPr="009E7B69">
        <w:rPr>
          <w:lang w:val="en-AU"/>
        </w:rPr>
        <w:t xml:space="preserve"> how the audience who heard </w:t>
      </w:r>
      <w:r w:rsidR="00B64F60" w:rsidRPr="009E7B69">
        <w:rPr>
          <w:lang w:val="en-AU"/>
        </w:rPr>
        <w:t>the peace saying found in the Sermon on the Mount (Matt 5:38</w:t>
      </w:r>
      <w:r w:rsidR="00896B95" w:rsidRPr="009E7B69">
        <w:rPr>
          <w:lang w:val="en-AU"/>
        </w:rPr>
        <w:t>–</w:t>
      </w:r>
      <w:r w:rsidR="00B64F60" w:rsidRPr="009E7B69">
        <w:rPr>
          <w:lang w:val="en-AU"/>
        </w:rPr>
        <w:t xml:space="preserve">42) would have </w:t>
      </w:r>
      <w:r w:rsidRPr="009E7B69">
        <w:rPr>
          <w:lang w:val="en-AU"/>
        </w:rPr>
        <w:t xml:space="preserve">understood </w:t>
      </w:r>
      <w:r w:rsidR="00813493" w:rsidRPr="009E7B69">
        <w:rPr>
          <w:lang w:val="en-AU"/>
        </w:rPr>
        <w:t xml:space="preserve">it—that is, </w:t>
      </w:r>
      <w:r w:rsidR="00B64F60" w:rsidRPr="009E7B69">
        <w:rPr>
          <w:lang w:val="en-AU"/>
        </w:rPr>
        <w:t>from their perspective as</w:t>
      </w:r>
      <w:r w:rsidRPr="009E7B69">
        <w:rPr>
          <w:lang w:val="en-AU"/>
        </w:rPr>
        <w:t xml:space="preserve"> Jewish people within the Jewish context of the time. It approaches this broader question by seeking to discover whether Jesus</w:t>
      </w:r>
      <w:r w:rsidR="005C71CB" w:rsidRPr="009E7B69">
        <w:rPr>
          <w:lang w:val="en-AU"/>
        </w:rPr>
        <w:t>’</w:t>
      </w:r>
      <w:r w:rsidR="00E35288">
        <w:rPr>
          <w:lang w:val="en-AU"/>
        </w:rPr>
        <w:t>s</w:t>
      </w:r>
      <w:r w:rsidRPr="009E7B69">
        <w:rPr>
          <w:lang w:val="en-AU"/>
        </w:rPr>
        <w:t xml:space="preserve"> teachings in the Sermon on the Mount are unique to his time or </w:t>
      </w:r>
      <w:r w:rsidR="00DB6B87" w:rsidRPr="009E7B69">
        <w:rPr>
          <w:lang w:val="en-AU"/>
        </w:rPr>
        <w:t>whether</w:t>
      </w:r>
      <w:r w:rsidRPr="009E7B69">
        <w:rPr>
          <w:lang w:val="en-AU"/>
        </w:rPr>
        <w:t xml:space="preserve"> they are </w:t>
      </w:r>
      <w:proofErr w:type="gramStart"/>
      <w:r w:rsidR="00D01F9F" w:rsidRPr="009E7B69">
        <w:rPr>
          <w:lang w:val="en-AU"/>
        </w:rPr>
        <w:t>similar</w:t>
      </w:r>
      <w:r w:rsidRPr="009E7B69">
        <w:rPr>
          <w:lang w:val="en-AU"/>
        </w:rPr>
        <w:t xml:space="preserve"> </w:t>
      </w:r>
      <w:r w:rsidR="00813493" w:rsidRPr="009E7B69">
        <w:rPr>
          <w:lang w:val="en-AU"/>
        </w:rPr>
        <w:t>to</w:t>
      </w:r>
      <w:proofErr w:type="gramEnd"/>
      <w:r w:rsidR="00813493" w:rsidRPr="009E7B69">
        <w:rPr>
          <w:lang w:val="en-AU"/>
        </w:rPr>
        <w:t xml:space="preserve"> </w:t>
      </w:r>
      <w:r w:rsidR="00B64F60" w:rsidRPr="009E7B69">
        <w:rPr>
          <w:lang w:val="en-AU"/>
        </w:rPr>
        <w:t>the</w:t>
      </w:r>
      <w:r w:rsidRPr="009E7B69">
        <w:rPr>
          <w:lang w:val="en-AU"/>
        </w:rPr>
        <w:t xml:space="preserve"> greater corpus of </w:t>
      </w:r>
      <w:r w:rsidR="00D01F9F" w:rsidRPr="009E7B69">
        <w:rPr>
          <w:lang w:val="en-AU"/>
        </w:rPr>
        <w:t>learning</w:t>
      </w:r>
      <w:r w:rsidRPr="009E7B69">
        <w:rPr>
          <w:lang w:val="en-AU"/>
        </w:rPr>
        <w:t xml:space="preserve"> that was the Oral Law. </w:t>
      </w:r>
      <w:r w:rsidR="00F24D33" w:rsidRPr="009E7B69">
        <w:rPr>
          <w:lang w:val="en-AU"/>
        </w:rPr>
        <w:t>Hence t</w:t>
      </w:r>
      <w:r w:rsidRPr="009E7B69">
        <w:rPr>
          <w:lang w:val="en-AU"/>
        </w:rPr>
        <w:t>he research question</w:t>
      </w:r>
      <w:r w:rsidR="00DB6B87" w:rsidRPr="009E7B69">
        <w:rPr>
          <w:lang w:val="en-AU"/>
        </w:rPr>
        <w:t>s</w:t>
      </w:r>
      <w:r w:rsidRPr="009E7B69">
        <w:rPr>
          <w:lang w:val="en-AU"/>
        </w:rPr>
        <w:t xml:space="preserve"> addresse</w:t>
      </w:r>
      <w:r w:rsidR="00B64F60" w:rsidRPr="009E7B69">
        <w:rPr>
          <w:lang w:val="en-AU"/>
        </w:rPr>
        <w:t>d in the dissertation</w:t>
      </w:r>
      <w:r w:rsidRPr="009E7B69">
        <w:rPr>
          <w:lang w:val="en-AU"/>
        </w:rPr>
        <w:t xml:space="preserve"> </w:t>
      </w:r>
      <w:r w:rsidR="00DB6B87" w:rsidRPr="009E7B69">
        <w:rPr>
          <w:lang w:val="en-AU"/>
        </w:rPr>
        <w:t>are</w:t>
      </w:r>
      <w:r w:rsidR="00813493" w:rsidRPr="009E7B69">
        <w:rPr>
          <w:lang w:val="en-AU"/>
        </w:rPr>
        <w:t xml:space="preserve"> as follows</w:t>
      </w:r>
      <w:r w:rsidR="00DB6B87" w:rsidRPr="009E7B69">
        <w:rPr>
          <w:lang w:val="en-AU"/>
        </w:rPr>
        <w:t>:</w:t>
      </w:r>
    </w:p>
    <w:p w14:paraId="6B89EC96" w14:textId="51748A23" w:rsidR="00DB6B87" w:rsidRPr="009E7B69" w:rsidRDefault="006E2683" w:rsidP="00DB6B87">
      <w:pPr>
        <w:pStyle w:val="ListParagraph"/>
        <w:numPr>
          <w:ilvl w:val="0"/>
          <w:numId w:val="38"/>
        </w:numPr>
        <w:spacing w:line="480" w:lineRule="auto"/>
        <w:ind w:left="284" w:hanging="278"/>
        <w:rPr>
          <w:lang w:val="en-AU"/>
        </w:rPr>
      </w:pPr>
      <w:r w:rsidRPr="009E7B69">
        <w:rPr>
          <w:lang w:val="en-AU"/>
        </w:rPr>
        <w:t>When examining Matthew 5:38</w:t>
      </w:r>
      <w:r w:rsidR="00896B95" w:rsidRPr="009E7B69">
        <w:rPr>
          <w:lang w:val="en-AU"/>
        </w:rPr>
        <w:t>–</w:t>
      </w:r>
      <w:r w:rsidRPr="009E7B69">
        <w:rPr>
          <w:lang w:val="en-AU"/>
        </w:rPr>
        <w:t xml:space="preserve">42 from </w:t>
      </w:r>
      <w:r w:rsidR="00B64F60" w:rsidRPr="009E7B69">
        <w:rPr>
          <w:lang w:val="en-AU"/>
        </w:rPr>
        <w:t xml:space="preserve">the </w:t>
      </w:r>
      <w:r w:rsidRPr="009E7B69">
        <w:rPr>
          <w:lang w:val="en-AU"/>
        </w:rPr>
        <w:t>perspective</w:t>
      </w:r>
      <w:r w:rsidR="00B64F60" w:rsidRPr="009E7B69">
        <w:rPr>
          <w:lang w:val="en-AU"/>
        </w:rPr>
        <w:t xml:space="preserve"> of his Jewish audience</w:t>
      </w:r>
      <w:r w:rsidRPr="009E7B69">
        <w:rPr>
          <w:lang w:val="en-AU"/>
        </w:rPr>
        <w:t>, would the listeners have learnt any new knowledge from Jesus relating to non-violence</w:t>
      </w:r>
      <w:r w:rsidR="00813493" w:rsidRPr="009E7B69">
        <w:rPr>
          <w:lang w:val="en-AU"/>
        </w:rPr>
        <w:t>,</w:t>
      </w:r>
      <w:r w:rsidRPr="009E7B69">
        <w:rPr>
          <w:lang w:val="en-AU"/>
        </w:rPr>
        <w:t xml:space="preserve"> or </w:t>
      </w:r>
      <w:r w:rsidR="00B64F60" w:rsidRPr="009E7B69">
        <w:rPr>
          <w:lang w:val="en-AU"/>
        </w:rPr>
        <w:t>would</w:t>
      </w:r>
      <w:r w:rsidRPr="009E7B69">
        <w:rPr>
          <w:lang w:val="en-AU"/>
        </w:rPr>
        <w:t xml:space="preserve"> they </w:t>
      </w:r>
      <w:r w:rsidR="00B64F60" w:rsidRPr="009E7B69">
        <w:rPr>
          <w:lang w:val="en-AU"/>
        </w:rPr>
        <w:t xml:space="preserve">have perceived </w:t>
      </w:r>
      <w:r w:rsidRPr="009E7B69">
        <w:rPr>
          <w:lang w:val="en-AU"/>
        </w:rPr>
        <w:t xml:space="preserve">commonly understood and previously learnt concepts </w:t>
      </w:r>
      <w:r w:rsidR="00B64F60" w:rsidRPr="009E7B69">
        <w:rPr>
          <w:lang w:val="en-AU"/>
        </w:rPr>
        <w:t xml:space="preserve">from </w:t>
      </w:r>
      <w:r w:rsidR="00813493" w:rsidRPr="009E7B69">
        <w:rPr>
          <w:lang w:val="en-AU"/>
        </w:rPr>
        <w:t>the</w:t>
      </w:r>
      <w:r w:rsidR="00B64F60" w:rsidRPr="009E7B69">
        <w:rPr>
          <w:lang w:val="en-AU"/>
        </w:rPr>
        <w:t xml:space="preserve"> part of the </w:t>
      </w:r>
      <w:r w:rsidR="00813493" w:rsidRPr="009E7B69">
        <w:rPr>
          <w:lang w:val="en-AU"/>
        </w:rPr>
        <w:t>O</w:t>
      </w:r>
      <w:r w:rsidR="00B64F60" w:rsidRPr="009E7B69">
        <w:rPr>
          <w:lang w:val="en-AU"/>
        </w:rPr>
        <w:t xml:space="preserve">ral </w:t>
      </w:r>
      <w:r w:rsidR="00813493" w:rsidRPr="009E7B69">
        <w:rPr>
          <w:lang w:val="en-AU"/>
        </w:rPr>
        <w:t>L</w:t>
      </w:r>
      <w:r w:rsidR="00B64F60" w:rsidRPr="009E7B69">
        <w:rPr>
          <w:lang w:val="en-AU"/>
        </w:rPr>
        <w:t xml:space="preserve">aw </w:t>
      </w:r>
      <w:r w:rsidRPr="009E7B69">
        <w:rPr>
          <w:lang w:val="en-AU"/>
        </w:rPr>
        <w:t xml:space="preserve">that later became </w:t>
      </w:r>
      <w:r w:rsidR="00F24D33" w:rsidRPr="009E7B69">
        <w:rPr>
          <w:lang w:val="en-AU"/>
        </w:rPr>
        <w:t>incorporated</w:t>
      </w:r>
      <w:r w:rsidRPr="009E7B69">
        <w:rPr>
          <w:lang w:val="en-AU"/>
        </w:rPr>
        <w:t xml:space="preserve"> in</w:t>
      </w:r>
      <w:r w:rsidR="00F24D33" w:rsidRPr="009E7B69">
        <w:rPr>
          <w:lang w:val="en-AU"/>
        </w:rPr>
        <w:t>to</w:t>
      </w:r>
      <w:r w:rsidRPr="009E7B69">
        <w:rPr>
          <w:lang w:val="en-AU"/>
        </w:rPr>
        <w:t xml:space="preserve"> the </w:t>
      </w:r>
      <w:r w:rsidRPr="009E7B69">
        <w:rPr>
          <w:i/>
          <w:iCs/>
          <w:lang w:val="en-AU"/>
        </w:rPr>
        <w:t>Mishna Avot</w:t>
      </w:r>
      <w:r w:rsidRPr="009E7B69">
        <w:rPr>
          <w:lang w:val="en-AU"/>
        </w:rPr>
        <w:t>?</w:t>
      </w:r>
      <w:r w:rsidR="00DB6B87" w:rsidRPr="009E7B69">
        <w:rPr>
          <w:lang w:val="en-AU"/>
        </w:rPr>
        <w:t xml:space="preserve">  </w:t>
      </w:r>
    </w:p>
    <w:p w14:paraId="7BE9A896" w14:textId="7EE43994" w:rsidR="006E2683" w:rsidRPr="009E7B69" w:rsidRDefault="00DB6B87" w:rsidP="00DB6B87">
      <w:pPr>
        <w:pStyle w:val="ListParagraph"/>
        <w:numPr>
          <w:ilvl w:val="0"/>
          <w:numId w:val="38"/>
        </w:numPr>
        <w:spacing w:line="480" w:lineRule="auto"/>
        <w:ind w:left="284" w:hanging="278"/>
        <w:rPr>
          <w:lang w:val="en-AU"/>
        </w:rPr>
      </w:pPr>
      <w:r w:rsidRPr="009E7B69">
        <w:rPr>
          <w:lang w:val="en-AU"/>
        </w:rPr>
        <w:t>What implications do the answer to question 1 have for the interpretation of Matt</w:t>
      </w:r>
      <w:r w:rsidR="00813493" w:rsidRPr="009E7B69">
        <w:rPr>
          <w:lang w:val="en-AU"/>
        </w:rPr>
        <w:t>hew</w:t>
      </w:r>
      <w:r w:rsidRPr="009E7B69">
        <w:rPr>
          <w:lang w:val="en-AU"/>
        </w:rPr>
        <w:t xml:space="preserve"> </w:t>
      </w:r>
      <w:r w:rsidR="000F5286" w:rsidRPr="009E7B69">
        <w:rPr>
          <w:lang w:val="en-AU"/>
        </w:rPr>
        <w:t>5</w:t>
      </w:r>
      <w:r w:rsidRPr="009E7B69">
        <w:rPr>
          <w:lang w:val="en-AU"/>
        </w:rPr>
        <w:t>:38–42?</w:t>
      </w:r>
    </w:p>
    <w:p w14:paraId="0627F8B9" w14:textId="328E57AD" w:rsidR="008D4202" w:rsidRPr="009E7B69" w:rsidRDefault="00CE1ED8" w:rsidP="00AD17B0">
      <w:pPr>
        <w:spacing w:line="480" w:lineRule="auto"/>
        <w:ind w:firstLine="720"/>
        <w:contextualSpacing/>
        <w:rPr>
          <w:lang w:val="en-AU"/>
        </w:rPr>
      </w:pPr>
      <w:r w:rsidRPr="009E7B69">
        <w:rPr>
          <w:lang w:val="en-AU"/>
        </w:rPr>
        <w:t xml:space="preserve">Exploring </w:t>
      </w:r>
      <w:r w:rsidR="00DB6B87" w:rsidRPr="009E7B69">
        <w:rPr>
          <w:lang w:val="en-AU"/>
        </w:rPr>
        <w:t>these</w:t>
      </w:r>
      <w:r w:rsidRPr="009E7B69">
        <w:rPr>
          <w:lang w:val="en-AU"/>
        </w:rPr>
        <w:t xml:space="preserve"> question</w:t>
      </w:r>
      <w:r w:rsidR="00DB6B87" w:rsidRPr="009E7B69">
        <w:rPr>
          <w:lang w:val="en-AU"/>
        </w:rPr>
        <w:t>s</w:t>
      </w:r>
      <w:r w:rsidRPr="009E7B69">
        <w:rPr>
          <w:lang w:val="en-AU"/>
        </w:rPr>
        <w:t xml:space="preserve"> reveals that </w:t>
      </w:r>
      <w:r w:rsidR="006E2683" w:rsidRPr="009E7B69">
        <w:rPr>
          <w:lang w:val="en-AU"/>
        </w:rPr>
        <w:t xml:space="preserve">those people who listened to </w:t>
      </w:r>
      <w:r w:rsidRPr="009E7B69">
        <w:rPr>
          <w:lang w:val="en-AU"/>
        </w:rPr>
        <w:t>Jesus (</w:t>
      </w:r>
      <w:r w:rsidR="006E2683" w:rsidRPr="009E7B69">
        <w:rPr>
          <w:lang w:val="en-AU"/>
        </w:rPr>
        <w:t>a Jewish Rabbi</w:t>
      </w:r>
      <w:r w:rsidRPr="009E7B69">
        <w:rPr>
          <w:lang w:val="en-AU"/>
        </w:rPr>
        <w:t>)</w:t>
      </w:r>
      <w:r w:rsidR="006E2683" w:rsidRPr="009E7B69">
        <w:rPr>
          <w:lang w:val="en-AU"/>
        </w:rPr>
        <w:t xml:space="preserve"> were indeed themselves Jewish.  </w:t>
      </w:r>
      <w:r w:rsidRPr="009E7B69">
        <w:rPr>
          <w:lang w:val="en-AU"/>
        </w:rPr>
        <w:t xml:space="preserve">It further </w:t>
      </w:r>
      <w:r w:rsidR="001A7704" w:rsidRPr="009E7B69">
        <w:rPr>
          <w:lang w:val="en-AU"/>
        </w:rPr>
        <w:t xml:space="preserve">shows that the </w:t>
      </w:r>
      <w:r w:rsidR="001A7704" w:rsidRPr="01B55689">
        <w:rPr>
          <w:i/>
          <w:iCs/>
          <w:lang w:val="en-AU"/>
        </w:rPr>
        <w:t>Mishna Avot</w:t>
      </w:r>
      <w:r w:rsidR="001A7704" w:rsidRPr="009E7B69">
        <w:rPr>
          <w:lang w:val="en-AU"/>
        </w:rPr>
        <w:t xml:space="preserve"> contains sayings from Oral Traditions </w:t>
      </w:r>
      <w:r w:rsidR="001C6E8B" w:rsidRPr="009E7B69">
        <w:rPr>
          <w:lang w:val="en-AU"/>
        </w:rPr>
        <w:t xml:space="preserve">that </w:t>
      </w:r>
      <w:r w:rsidR="00BC2789" w:rsidRPr="009E7B69">
        <w:rPr>
          <w:lang w:val="en-AU"/>
        </w:rPr>
        <w:t>exist</w:t>
      </w:r>
      <w:r w:rsidR="001C6E8B" w:rsidRPr="009E7B69">
        <w:rPr>
          <w:lang w:val="en-AU"/>
        </w:rPr>
        <w:t>ed</w:t>
      </w:r>
      <w:r w:rsidR="00BC2789" w:rsidRPr="009E7B69">
        <w:rPr>
          <w:lang w:val="en-AU"/>
        </w:rPr>
        <w:t xml:space="preserve"> during Jesus</w:t>
      </w:r>
      <w:r w:rsidR="005C71CB" w:rsidRPr="009E7B69">
        <w:rPr>
          <w:lang w:val="en-AU"/>
        </w:rPr>
        <w:t>’</w:t>
      </w:r>
      <w:r w:rsidR="00E35288">
        <w:rPr>
          <w:lang w:val="en-AU"/>
        </w:rPr>
        <w:t>s</w:t>
      </w:r>
      <w:r w:rsidR="00BC2789" w:rsidRPr="009E7B69">
        <w:rPr>
          <w:lang w:val="en-AU"/>
        </w:rPr>
        <w:t xml:space="preserve"> time</w:t>
      </w:r>
      <w:r w:rsidR="00F03841" w:rsidRPr="009E7B69">
        <w:rPr>
          <w:lang w:val="en-AU"/>
        </w:rPr>
        <w:t xml:space="preserve"> </w:t>
      </w:r>
      <w:r w:rsidR="001C6E8B" w:rsidRPr="009E7B69">
        <w:rPr>
          <w:lang w:val="en-AU"/>
        </w:rPr>
        <w:t>and were</w:t>
      </w:r>
      <w:r w:rsidR="00B62CF9" w:rsidRPr="009E7B69">
        <w:rPr>
          <w:lang w:val="en-AU"/>
        </w:rPr>
        <w:t xml:space="preserve"> </w:t>
      </w:r>
      <w:r w:rsidR="00265C02" w:rsidRPr="009E7B69">
        <w:rPr>
          <w:lang w:val="en-AU"/>
        </w:rPr>
        <w:t>attributed</w:t>
      </w:r>
      <w:r w:rsidR="00F03841" w:rsidRPr="009E7B69">
        <w:rPr>
          <w:lang w:val="en-AU"/>
        </w:rPr>
        <w:t xml:space="preserve"> to </w:t>
      </w:r>
      <w:r w:rsidR="00813493" w:rsidRPr="009E7B69">
        <w:rPr>
          <w:lang w:val="en-AU"/>
        </w:rPr>
        <w:t>s</w:t>
      </w:r>
      <w:r w:rsidR="00F03841" w:rsidRPr="009E7B69">
        <w:rPr>
          <w:lang w:val="en-AU"/>
        </w:rPr>
        <w:t>ages who lived before</w:t>
      </w:r>
      <w:r w:rsidR="00D01F9F" w:rsidRPr="009E7B69">
        <w:rPr>
          <w:lang w:val="en-AU"/>
        </w:rPr>
        <w:t xml:space="preserve"> Jesus</w:t>
      </w:r>
      <w:r w:rsidR="00F03841" w:rsidRPr="009E7B69">
        <w:rPr>
          <w:lang w:val="en-AU"/>
        </w:rPr>
        <w:t xml:space="preserve"> </w:t>
      </w:r>
      <w:r w:rsidR="00D01F9F" w:rsidRPr="009E7B69">
        <w:rPr>
          <w:lang w:val="en-AU"/>
        </w:rPr>
        <w:t xml:space="preserve">or </w:t>
      </w:r>
      <w:r w:rsidR="00813493" w:rsidRPr="009E7B69">
        <w:rPr>
          <w:lang w:val="en-AU"/>
        </w:rPr>
        <w:t xml:space="preserve">who </w:t>
      </w:r>
      <w:r w:rsidR="00D01F9F" w:rsidRPr="009E7B69">
        <w:rPr>
          <w:lang w:val="en-AU"/>
        </w:rPr>
        <w:t xml:space="preserve">contemporaneous </w:t>
      </w:r>
      <w:r w:rsidR="00813493" w:rsidRPr="009E7B69">
        <w:rPr>
          <w:lang w:val="en-AU"/>
        </w:rPr>
        <w:t xml:space="preserve">with </w:t>
      </w:r>
      <w:r w:rsidR="00D01F9F" w:rsidRPr="009E7B69">
        <w:rPr>
          <w:lang w:val="en-AU"/>
        </w:rPr>
        <w:t>him</w:t>
      </w:r>
      <w:r w:rsidR="00766FC3" w:rsidRPr="009E7B69">
        <w:rPr>
          <w:lang w:val="en-AU"/>
        </w:rPr>
        <w:t xml:space="preserve">. </w:t>
      </w:r>
      <w:r w:rsidR="00D01F9F" w:rsidRPr="009E7B69">
        <w:rPr>
          <w:lang w:val="en-AU"/>
        </w:rPr>
        <w:t xml:space="preserve"> </w:t>
      </w:r>
      <w:r w:rsidR="001A7704" w:rsidRPr="009E7B69">
        <w:rPr>
          <w:lang w:val="en-AU"/>
        </w:rPr>
        <w:t xml:space="preserve">These sayings in </w:t>
      </w:r>
      <w:r w:rsidR="001A7704" w:rsidRPr="01B55689">
        <w:rPr>
          <w:i/>
          <w:iCs/>
          <w:lang w:val="en-AU"/>
        </w:rPr>
        <w:t>Mishna Avot</w:t>
      </w:r>
      <w:r w:rsidR="00766FC3" w:rsidRPr="01B55689">
        <w:rPr>
          <w:i/>
          <w:iCs/>
          <w:lang w:val="en-AU"/>
        </w:rPr>
        <w:t xml:space="preserve"> </w:t>
      </w:r>
      <w:r w:rsidR="00766FC3" w:rsidRPr="009E7B69">
        <w:rPr>
          <w:lang w:val="en-AU"/>
        </w:rPr>
        <w:t xml:space="preserve">of </w:t>
      </w:r>
      <w:r w:rsidR="00766FC3" w:rsidRPr="009E7B69">
        <w:rPr>
          <w:lang w:val="en-AU"/>
        </w:rPr>
        <w:lastRenderedPageBreak/>
        <w:t>sages who lived before Jesus</w:t>
      </w:r>
      <w:r w:rsidR="001A7704" w:rsidRPr="009E7B69">
        <w:rPr>
          <w:lang w:val="en-AU"/>
        </w:rPr>
        <w:t xml:space="preserve"> likely influenced how </w:t>
      </w:r>
      <w:r w:rsidR="00D539F3" w:rsidRPr="009E7B69">
        <w:rPr>
          <w:lang w:val="en-AU"/>
        </w:rPr>
        <w:t>people</w:t>
      </w:r>
      <w:r w:rsidR="001A7704" w:rsidRPr="009E7B69">
        <w:rPr>
          <w:lang w:val="en-AU"/>
        </w:rPr>
        <w:t xml:space="preserve"> </w:t>
      </w:r>
      <w:r w:rsidR="00D539F3" w:rsidRPr="009E7B69">
        <w:rPr>
          <w:lang w:val="en-AU"/>
        </w:rPr>
        <w:t>received, filtered</w:t>
      </w:r>
      <w:r w:rsidR="00813493" w:rsidRPr="009E7B69">
        <w:rPr>
          <w:lang w:val="en-AU"/>
        </w:rPr>
        <w:t>,</w:t>
      </w:r>
      <w:r w:rsidR="00D539F3" w:rsidRPr="009E7B69">
        <w:rPr>
          <w:lang w:val="en-AU"/>
        </w:rPr>
        <w:t xml:space="preserve"> or understood the words of Jesus in Matthew 5:38</w:t>
      </w:r>
      <w:r w:rsidR="003515DA" w:rsidRPr="009E7B69">
        <w:rPr>
          <w:lang w:val="en-AU"/>
        </w:rPr>
        <w:t>–</w:t>
      </w:r>
      <w:r w:rsidR="00D539F3" w:rsidRPr="009E7B69">
        <w:rPr>
          <w:lang w:val="en-AU"/>
        </w:rPr>
        <w:t>42.</w:t>
      </w:r>
      <w:r w:rsidR="00BE6BA3" w:rsidRPr="009E7B69">
        <w:rPr>
          <w:rStyle w:val="FootnoteReference"/>
          <w:lang w:val="en-AU"/>
        </w:rPr>
        <w:footnoteReference w:id="4"/>
      </w:r>
      <w:r w:rsidR="00BE6BA3" w:rsidRPr="009E7B69">
        <w:rPr>
          <w:lang w:val="en-AU"/>
        </w:rPr>
        <w:t xml:space="preserve"> </w:t>
      </w:r>
    </w:p>
    <w:p w14:paraId="467D7F70" w14:textId="1BB1640B" w:rsidR="008D4202" w:rsidRPr="009E7B69" w:rsidRDefault="00BE6BA3" w:rsidP="00BC7015">
      <w:pPr>
        <w:pStyle w:val="Heading2"/>
      </w:pPr>
      <w:bookmarkStart w:id="22" w:name="_Toc81571450"/>
      <w:bookmarkStart w:id="23" w:name="_Toc94536975"/>
      <w:bookmarkStart w:id="24" w:name="_Toc118063619"/>
      <w:r w:rsidRPr="009E7B69">
        <w:t>1.</w:t>
      </w:r>
      <w:r w:rsidR="00A94B03" w:rsidRPr="009E7B69">
        <w:t>2</w:t>
      </w:r>
      <w:r w:rsidRPr="009E7B69">
        <w:t xml:space="preserve"> Methodological Considerations</w:t>
      </w:r>
      <w:bookmarkEnd w:id="22"/>
      <w:bookmarkEnd w:id="23"/>
      <w:bookmarkEnd w:id="24"/>
    </w:p>
    <w:p w14:paraId="578EC84C" w14:textId="19C65EB1" w:rsidR="008D4202" w:rsidRPr="009E7B69" w:rsidRDefault="00BE6BA3" w:rsidP="00B437A3">
      <w:pPr>
        <w:spacing w:line="480" w:lineRule="auto"/>
        <w:contextualSpacing/>
        <w:rPr>
          <w:lang w:val="en-AU"/>
        </w:rPr>
      </w:pPr>
      <w:r w:rsidRPr="009E7B69">
        <w:rPr>
          <w:lang w:val="en-AU"/>
        </w:rPr>
        <w:t xml:space="preserve"> </w:t>
      </w:r>
      <w:r w:rsidRPr="009E7B69">
        <w:rPr>
          <w:lang w:val="en-AU"/>
        </w:rPr>
        <w:tab/>
        <w:t xml:space="preserve">This dissertation </w:t>
      </w:r>
      <w:r w:rsidR="000F5286" w:rsidRPr="009E7B69">
        <w:rPr>
          <w:lang w:val="en-AU"/>
        </w:rPr>
        <w:t>examine</w:t>
      </w:r>
      <w:r w:rsidR="00813493" w:rsidRPr="009E7B69">
        <w:rPr>
          <w:lang w:val="en-AU"/>
        </w:rPr>
        <w:t>s</w:t>
      </w:r>
      <w:r w:rsidR="001961EB" w:rsidRPr="009E7B69">
        <w:rPr>
          <w:lang w:val="en-AU"/>
        </w:rPr>
        <w:t xml:space="preserve"> </w:t>
      </w:r>
      <w:r w:rsidR="000F5286" w:rsidRPr="009E7B69">
        <w:rPr>
          <w:lang w:val="en-AU"/>
        </w:rPr>
        <w:t>the Hebrew Bible</w:t>
      </w:r>
      <w:r w:rsidR="001961EB" w:rsidRPr="009E7B69">
        <w:rPr>
          <w:lang w:val="en-AU"/>
        </w:rPr>
        <w:t xml:space="preserve">, </w:t>
      </w:r>
      <w:r w:rsidR="00C12A3D" w:rsidRPr="009E7B69">
        <w:rPr>
          <w:lang w:val="en-AU"/>
        </w:rPr>
        <w:t xml:space="preserve">the Dead Sea Scrolls, and </w:t>
      </w:r>
      <w:r w:rsidR="00C12A3D" w:rsidRPr="009E7B69">
        <w:rPr>
          <w:i/>
          <w:iCs/>
          <w:lang w:val="en-AU"/>
        </w:rPr>
        <w:t xml:space="preserve">Mishna </w:t>
      </w:r>
      <w:r w:rsidR="00B437A3" w:rsidRPr="009E7B69">
        <w:rPr>
          <w:i/>
          <w:iCs/>
          <w:lang w:val="en-AU"/>
        </w:rPr>
        <w:t>Avot</w:t>
      </w:r>
      <w:r w:rsidR="00B437A3" w:rsidRPr="009E7B69">
        <w:rPr>
          <w:lang w:val="en-AU"/>
        </w:rPr>
        <w:t xml:space="preserve"> </w:t>
      </w:r>
      <w:r w:rsidR="00781917" w:rsidRPr="009E7B69">
        <w:rPr>
          <w:lang w:val="en-AU"/>
        </w:rPr>
        <w:t xml:space="preserve">to </w:t>
      </w:r>
      <w:r w:rsidR="00250EE4" w:rsidRPr="009E7B69">
        <w:rPr>
          <w:lang w:val="en-AU"/>
        </w:rPr>
        <w:t>investigate whether</w:t>
      </w:r>
      <w:r w:rsidR="001961EB" w:rsidRPr="009E7B69">
        <w:rPr>
          <w:lang w:val="en-AU"/>
        </w:rPr>
        <w:t xml:space="preserve"> </w:t>
      </w:r>
      <w:r w:rsidR="007B020B" w:rsidRPr="009E7B69">
        <w:rPr>
          <w:lang w:val="en-AU"/>
        </w:rPr>
        <w:t>the</w:t>
      </w:r>
      <w:r w:rsidR="006E5736" w:rsidRPr="009E7B69">
        <w:rPr>
          <w:lang w:val="en-AU"/>
        </w:rPr>
        <w:t xml:space="preserve"> ideas</w:t>
      </w:r>
      <w:r w:rsidR="001961EB" w:rsidRPr="009E7B69">
        <w:rPr>
          <w:lang w:val="en-AU"/>
        </w:rPr>
        <w:t xml:space="preserve"> </w:t>
      </w:r>
      <w:r w:rsidR="007B020B" w:rsidRPr="009E7B69">
        <w:rPr>
          <w:lang w:val="en-AU"/>
        </w:rPr>
        <w:t xml:space="preserve">found in them </w:t>
      </w:r>
      <w:r w:rsidR="001961EB" w:rsidRPr="009E7B69">
        <w:rPr>
          <w:lang w:val="en-AU"/>
        </w:rPr>
        <w:t xml:space="preserve">are in alignment with the </w:t>
      </w:r>
      <w:r w:rsidR="000F5286" w:rsidRPr="009E7B69">
        <w:rPr>
          <w:lang w:val="en-AU"/>
        </w:rPr>
        <w:t xml:space="preserve">peace sayings found in the </w:t>
      </w:r>
      <w:r w:rsidR="001961EB" w:rsidRPr="009E7B69">
        <w:rPr>
          <w:lang w:val="en-AU"/>
        </w:rPr>
        <w:t>Sermon on the Mount</w:t>
      </w:r>
      <w:r w:rsidR="000F5286" w:rsidRPr="009E7B69">
        <w:rPr>
          <w:lang w:val="en-AU"/>
        </w:rPr>
        <w:t xml:space="preserve"> (Matt 5:38–42)</w:t>
      </w:r>
      <w:r w:rsidR="001961EB" w:rsidRPr="009E7B69">
        <w:rPr>
          <w:lang w:val="en-AU"/>
        </w:rPr>
        <w:t xml:space="preserve">.  </w:t>
      </w:r>
      <w:r w:rsidR="00746ECA" w:rsidRPr="009E7B69">
        <w:rPr>
          <w:lang w:val="en-AU"/>
        </w:rPr>
        <w:t xml:space="preserve">There are </w:t>
      </w:r>
      <w:r w:rsidR="00C17C75" w:rsidRPr="009E7B69">
        <w:rPr>
          <w:lang w:val="en-AU"/>
        </w:rPr>
        <w:t>several</w:t>
      </w:r>
      <w:r w:rsidR="00746ECA" w:rsidRPr="009E7B69">
        <w:rPr>
          <w:lang w:val="en-AU"/>
        </w:rPr>
        <w:t xml:space="preserve"> methodological challenges to be faced</w:t>
      </w:r>
      <w:r w:rsidR="00E46C45" w:rsidRPr="009E7B69">
        <w:rPr>
          <w:lang w:val="en-AU"/>
        </w:rPr>
        <w:t xml:space="preserve"> in this endeavour</w:t>
      </w:r>
      <w:r w:rsidR="000F5286" w:rsidRPr="009E7B69">
        <w:rPr>
          <w:lang w:val="en-AU"/>
        </w:rPr>
        <w:t xml:space="preserve">, including </w:t>
      </w:r>
      <w:r w:rsidR="00746ECA" w:rsidRPr="009E7B69">
        <w:rPr>
          <w:lang w:val="en-AU"/>
        </w:rPr>
        <w:t>determin</w:t>
      </w:r>
      <w:r w:rsidR="00813493" w:rsidRPr="009E7B69">
        <w:rPr>
          <w:lang w:val="en-AU"/>
        </w:rPr>
        <w:t xml:space="preserve">ing </w:t>
      </w:r>
      <w:r w:rsidR="00746ECA" w:rsidRPr="009E7B69">
        <w:rPr>
          <w:lang w:val="en-AU"/>
        </w:rPr>
        <w:t>which</w:t>
      </w:r>
      <w:r w:rsidR="00F05AB0" w:rsidRPr="009E7B69">
        <w:rPr>
          <w:lang w:val="en-AU"/>
        </w:rPr>
        <w:t xml:space="preserve"> of the</w:t>
      </w:r>
      <w:r w:rsidR="00746ECA" w:rsidRPr="009E7B69">
        <w:rPr>
          <w:lang w:val="en-AU"/>
        </w:rPr>
        <w:t xml:space="preserve"> traditions </w:t>
      </w:r>
      <w:r w:rsidR="00F05AB0" w:rsidRPr="009E7B69">
        <w:rPr>
          <w:lang w:val="en-AU"/>
        </w:rPr>
        <w:t xml:space="preserve">found in </w:t>
      </w:r>
      <w:r w:rsidR="00746ECA" w:rsidRPr="009E7B69">
        <w:rPr>
          <w:i/>
          <w:iCs/>
          <w:lang w:val="en-AU"/>
        </w:rPr>
        <w:t>Mishna Avot</w:t>
      </w:r>
      <w:r w:rsidR="00746ECA" w:rsidRPr="009E7B69">
        <w:rPr>
          <w:lang w:val="en-AU"/>
        </w:rPr>
        <w:t xml:space="preserve"> are</w:t>
      </w:r>
      <w:r w:rsidR="00E46C45" w:rsidRPr="009E7B69">
        <w:rPr>
          <w:lang w:val="en-AU"/>
        </w:rPr>
        <w:t xml:space="preserve"> prior to or</w:t>
      </w:r>
      <w:r w:rsidR="00746ECA" w:rsidRPr="009E7B69">
        <w:rPr>
          <w:lang w:val="en-AU"/>
        </w:rPr>
        <w:t xml:space="preserve"> contemporaneous with Jesus, </w:t>
      </w:r>
      <w:r w:rsidR="000F5286" w:rsidRPr="009E7B69">
        <w:rPr>
          <w:lang w:val="en-AU"/>
        </w:rPr>
        <w:t xml:space="preserve">finding a way to evaluate the </w:t>
      </w:r>
      <w:r w:rsidR="000B7279" w:rsidRPr="009E7B69">
        <w:rPr>
          <w:lang w:val="en-AU"/>
        </w:rPr>
        <w:t xml:space="preserve">level of </w:t>
      </w:r>
      <w:r w:rsidR="00746ECA" w:rsidRPr="009E7B69">
        <w:rPr>
          <w:lang w:val="en-AU"/>
        </w:rPr>
        <w:t xml:space="preserve">confidence </w:t>
      </w:r>
      <w:r w:rsidR="000F5286" w:rsidRPr="009E7B69">
        <w:rPr>
          <w:lang w:val="en-AU"/>
        </w:rPr>
        <w:t xml:space="preserve">that </w:t>
      </w:r>
      <w:r w:rsidR="00746ECA" w:rsidRPr="009E7B69">
        <w:rPr>
          <w:lang w:val="en-AU"/>
        </w:rPr>
        <w:t xml:space="preserve">can be placed in the </w:t>
      </w:r>
      <w:r w:rsidR="000F5286" w:rsidRPr="009E7B69">
        <w:rPr>
          <w:lang w:val="en-AU"/>
        </w:rPr>
        <w:t xml:space="preserve">accurate </w:t>
      </w:r>
      <w:r w:rsidR="00746ECA" w:rsidRPr="009E7B69">
        <w:rPr>
          <w:lang w:val="en-AU"/>
        </w:rPr>
        <w:t xml:space="preserve">transmission of </w:t>
      </w:r>
      <w:r w:rsidR="00F05AB0" w:rsidRPr="009E7B69">
        <w:rPr>
          <w:lang w:val="en-AU"/>
        </w:rPr>
        <w:t>O</w:t>
      </w:r>
      <w:r w:rsidR="00746ECA" w:rsidRPr="009E7B69">
        <w:rPr>
          <w:lang w:val="en-AU"/>
        </w:rPr>
        <w:t xml:space="preserve">ral </w:t>
      </w:r>
      <w:r w:rsidR="00F05AB0" w:rsidRPr="009E7B69">
        <w:rPr>
          <w:lang w:val="en-AU"/>
        </w:rPr>
        <w:t>L</w:t>
      </w:r>
      <w:r w:rsidR="00746ECA" w:rsidRPr="009E7B69">
        <w:rPr>
          <w:lang w:val="en-AU"/>
        </w:rPr>
        <w:t>aw</w:t>
      </w:r>
      <w:r w:rsidR="000F5286" w:rsidRPr="009E7B69">
        <w:rPr>
          <w:lang w:val="en-AU"/>
        </w:rPr>
        <w:t xml:space="preserve"> across generations</w:t>
      </w:r>
      <w:r w:rsidR="00C17C75" w:rsidRPr="009E7B69">
        <w:rPr>
          <w:lang w:val="en-AU"/>
        </w:rPr>
        <w:t xml:space="preserve">, and </w:t>
      </w:r>
      <w:r w:rsidR="00F05AB0" w:rsidRPr="009E7B69">
        <w:rPr>
          <w:lang w:val="en-AU"/>
        </w:rPr>
        <w:t>finding a way to determine whether</w:t>
      </w:r>
      <w:r w:rsidR="00C17C75" w:rsidRPr="009E7B69">
        <w:rPr>
          <w:lang w:val="en-AU"/>
        </w:rPr>
        <w:t xml:space="preserve"> Jesus’</w:t>
      </w:r>
      <w:r w:rsidR="00E35288">
        <w:rPr>
          <w:lang w:val="en-AU"/>
        </w:rPr>
        <w:t>s</w:t>
      </w:r>
      <w:r w:rsidR="00C17C75" w:rsidRPr="009E7B69">
        <w:rPr>
          <w:lang w:val="en-AU"/>
        </w:rPr>
        <w:t xml:space="preserve"> audience </w:t>
      </w:r>
      <w:r w:rsidR="00F05AB0" w:rsidRPr="009E7B69">
        <w:rPr>
          <w:lang w:val="en-AU"/>
        </w:rPr>
        <w:t xml:space="preserve">was </w:t>
      </w:r>
      <w:r w:rsidR="00C17C75" w:rsidRPr="009E7B69">
        <w:rPr>
          <w:lang w:val="en-AU"/>
        </w:rPr>
        <w:t>Jewish</w:t>
      </w:r>
      <w:r w:rsidR="00F05AB0" w:rsidRPr="009E7B69">
        <w:rPr>
          <w:lang w:val="en-AU"/>
        </w:rPr>
        <w:t>.</w:t>
      </w:r>
    </w:p>
    <w:p w14:paraId="329526BE" w14:textId="4A2BE1E6" w:rsidR="008D4202" w:rsidRPr="009E7B69" w:rsidRDefault="00BE6BA3" w:rsidP="0027314D">
      <w:pPr>
        <w:pStyle w:val="Heading3"/>
      </w:pPr>
      <w:bookmarkStart w:id="25" w:name="_Toc81571451"/>
      <w:bookmarkStart w:id="26" w:name="_Toc94536976"/>
      <w:bookmarkStart w:id="27" w:name="_Toc118063620"/>
      <w:r w:rsidRPr="009E7B69">
        <w:t>1.</w:t>
      </w:r>
      <w:r w:rsidR="00A94B03" w:rsidRPr="009E7B69">
        <w:t>2</w:t>
      </w:r>
      <w:r w:rsidR="00781917" w:rsidRPr="009E7B69">
        <w:t>.1</w:t>
      </w:r>
      <w:r w:rsidRPr="009E7B69">
        <w:t xml:space="preserve"> </w:t>
      </w:r>
      <w:r w:rsidR="00781917" w:rsidRPr="009E7B69">
        <w:t xml:space="preserve">Which Traditions of </w:t>
      </w:r>
      <w:r w:rsidR="00D92079" w:rsidRPr="009E7B69">
        <w:rPr>
          <w:i/>
          <w:iCs/>
        </w:rPr>
        <w:t>Mishna</w:t>
      </w:r>
      <w:r w:rsidR="00D92079" w:rsidRPr="009E7B69">
        <w:rPr>
          <w:i/>
        </w:rPr>
        <w:t xml:space="preserve"> Avot</w:t>
      </w:r>
      <w:r w:rsidR="00D92079" w:rsidRPr="009E7B69">
        <w:t xml:space="preserve"> </w:t>
      </w:r>
      <w:r w:rsidR="00781917" w:rsidRPr="009E7B69">
        <w:t>Are Contemporaneous with Jesus?</w:t>
      </w:r>
      <w:bookmarkEnd w:id="25"/>
      <w:bookmarkEnd w:id="26"/>
      <w:bookmarkEnd w:id="27"/>
    </w:p>
    <w:p w14:paraId="6E3C1841" w14:textId="47CF80B6" w:rsidR="00F10EC7" w:rsidRPr="009E7B69" w:rsidRDefault="00E56258" w:rsidP="008D4202">
      <w:pPr>
        <w:spacing w:line="480" w:lineRule="auto"/>
        <w:ind w:firstLine="720"/>
        <w:rPr>
          <w:lang w:val="en-AU"/>
        </w:rPr>
      </w:pPr>
      <w:r w:rsidRPr="01B55689">
        <w:rPr>
          <w:lang w:val="en-AU"/>
        </w:rPr>
        <w:t xml:space="preserve">It is commonly held that Rabbi Yehuda Ha-Nasi, a descendant of Hillel, compiled </w:t>
      </w:r>
      <w:r w:rsidRPr="01B55689">
        <w:rPr>
          <w:i/>
          <w:iCs/>
          <w:lang w:val="en-AU"/>
        </w:rPr>
        <w:t>Mishna</w:t>
      </w:r>
      <w:r w:rsidRPr="01B55689">
        <w:rPr>
          <w:lang w:val="en-AU"/>
        </w:rPr>
        <w:t xml:space="preserve"> </w:t>
      </w:r>
      <w:r w:rsidR="00EC448F" w:rsidRPr="01B55689">
        <w:rPr>
          <w:lang w:val="en-AU"/>
        </w:rPr>
        <w:t xml:space="preserve">in </w:t>
      </w:r>
      <w:r w:rsidRPr="01B55689">
        <w:rPr>
          <w:lang w:val="en-AU"/>
        </w:rPr>
        <w:t>approximately 200 CE</w:t>
      </w:r>
      <w:r w:rsidR="00EC448F" w:rsidRPr="01B55689">
        <w:rPr>
          <w:lang w:val="en-AU"/>
        </w:rPr>
        <w:t>,</w:t>
      </w:r>
      <w:r w:rsidRPr="01B55689">
        <w:rPr>
          <w:rStyle w:val="FootnoteReference"/>
          <w:lang w:val="en-AU"/>
        </w:rPr>
        <w:footnoteReference w:id="5"/>
      </w:r>
      <w:r w:rsidRPr="01B55689">
        <w:rPr>
          <w:lang w:val="en-AU"/>
        </w:rPr>
        <w:t xml:space="preserve"> </w:t>
      </w:r>
      <w:r w:rsidR="00EC448F" w:rsidRPr="01B55689">
        <w:rPr>
          <w:lang w:val="en-AU"/>
        </w:rPr>
        <w:t>and m</w:t>
      </w:r>
      <w:r w:rsidRPr="009E7B69">
        <w:rPr>
          <w:lang w:val="en-AU"/>
        </w:rPr>
        <w:t>ost contemporary scholars also date</w:t>
      </w:r>
      <w:r w:rsidR="003501BA" w:rsidRPr="009E7B69">
        <w:rPr>
          <w:lang w:val="en-AU"/>
        </w:rPr>
        <w:t xml:space="preserve"> the final </w:t>
      </w:r>
      <w:r w:rsidR="003501BA" w:rsidRPr="009E7B69">
        <w:rPr>
          <w:lang w:val="en-AU"/>
        </w:rPr>
        <w:lastRenderedPageBreak/>
        <w:t>composition of the</w:t>
      </w:r>
      <w:r w:rsidRPr="009E7B69">
        <w:rPr>
          <w:lang w:val="en-AU"/>
        </w:rPr>
        <w:t xml:space="preserve"> </w:t>
      </w:r>
      <w:r w:rsidR="00EF1FBE" w:rsidRPr="009E7B69">
        <w:rPr>
          <w:lang w:val="en-AU"/>
        </w:rPr>
        <w:t>Mishnaic tractate</w:t>
      </w:r>
      <w:r w:rsidRPr="01B55689">
        <w:rPr>
          <w:i/>
          <w:iCs/>
          <w:lang w:val="en-AU"/>
        </w:rPr>
        <w:t xml:space="preserve"> Avot</w:t>
      </w:r>
      <w:r w:rsidRPr="009E7B69">
        <w:rPr>
          <w:lang w:val="en-AU"/>
        </w:rPr>
        <w:t xml:space="preserve"> to about 200 CE.</w:t>
      </w:r>
      <w:r w:rsidRPr="009E7B69">
        <w:rPr>
          <w:rStyle w:val="FootnoteReference"/>
          <w:lang w:val="en-AU"/>
        </w:rPr>
        <w:footnoteReference w:id="6"/>
      </w:r>
      <w:r w:rsidRPr="009E7B69">
        <w:rPr>
          <w:lang w:val="en-AU"/>
        </w:rPr>
        <w:t xml:space="preserve"> The text of </w:t>
      </w:r>
      <w:r w:rsidRPr="01B55689">
        <w:rPr>
          <w:i/>
          <w:iCs/>
          <w:lang w:val="en-AU"/>
        </w:rPr>
        <w:t>Mishna Avot</w:t>
      </w:r>
      <w:r w:rsidRPr="009E7B69">
        <w:rPr>
          <w:lang w:val="en-AU"/>
        </w:rPr>
        <w:t xml:space="preserve"> consists of teachings as well as anonymous sayings that are attributed to the Jewish sages between 300 BCE and 200 CE.</w:t>
      </w:r>
      <w:r w:rsidR="00E932AF" w:rsidRPr="009E7B69">
        <w:rPr>
          <w:rStyle w:val="FootnoteReference"/>
          <w:lang w:val="en-AU"/>
        </w:rPr>
        <w:footnoteReference w:id="7"/>
      </w:r>
      <w:r w:rsidRPr="009E7B69">
        <w:rPr>
          <w:lang w:val="en-AU"/>
        </w:rPr>
        <w:t xml:space="preserve"> </w:t>
      </w:r>
      <w:r w:rsidR="007B020B" w:rsidRPr="009E7B69">
        <w:rPr>
          <w:lang w:val="en-AU"/>
        </w:rPr>
        <w:t xml:space="preserve">This dating raises </w:t>
      </w:r>
      <w:r w:rsidR="00BF68A8" w:rsidRPr="009E7B69">
        <w:rPr>
          <w:lang w:val="en-AU"/>
        </w:rPr>
        <w:t>an</w:t>
      </w:r>
      <w:r w:rsidR="007B020B" w:rsidRPr="009E7B69">
        <w:rPr>
          <w:lang w:val="en-AU"/>
        </w:rPr>
        <w:t xml:space="preserve"> important </w:t>
      </w:r>
      <w:r w:rsidR="00C00ED1" w:rsidRPr="009E7B69">
        <w:rPr>
          <w:lang w:val="en-AU"/>
        </w:rPr>
        <w:t>methodological question</w:t>
      </w:r>
      <w:r w:rsidR="00114E15" w:rsidRPr="009E7B69">
        <w:rPr>
          <w:lang w:val="en-AU"/>
        </w:rPr>
        <w:t xml:space="preserve">: </w:t>
      </w:r>
      <w:r w:rsidR="006E5736" w:rsidRPr="009E7B69">
        <w:rPr>
          <w:lang w:val="en-AU"/>
        </w:rPr>
        <w:t xml:space="preserve">“Which of the traditions incorporated in </w:t>
      </w:r>
      <w:r w:rsidR="00C00ED1" w:rsidRPr="01B55689">
        <w:rPr>
          <w:i/>
          <w:iCs/>
          <w:lang w:val="en-AU"/>
        </w:rPr>
        <w:t xml:space="preserve">Mishna Avot </w:t>
      </w:r>
      <w:r w:rsidR="006E5736" w:rsidRPr="01B55689">
        <w:rPr>
          <w:lang w:val="en-AU"/>
        </w:rPr>
        <w:t>were circulating at the time of Jesus</w:t>
      </w:r>
      <w:r w:rsidR="007B020B" w:rsidRPr="01B55689">
        <w:rPr>
          <w:lang w:val="en-AU"/>
        </w:rPr>
        <w:t>, and how may they be identified</w:t>
      </w:r>
      <w:r w:rsidR="00C00ED1" w:rsidRPr="009E7B69">
        <w:rPr>
          <w:lang w:val="en-AU"/>
        </w:rPr>
        <w:t>?</w:t>
      </w:r>
      <w:r w:rsidR="006E5736" w:rsidRPr="009E7B69">
        <w:rPr>
          <w:lang w:val="en-AU"/>
        </w:rPr>
        <w:t>”</w:t>
      </w:r>
      <w:r w:rsidR="00C00ED1" w:rsidRPr="009E7B69">
        <w:rPr>
          <w:lang w:val="en-AU"/>
        </w:rPr>
        <w:t xml:space="preserve"> </w:t>
      </w:r>
    </w:p>
    <w:p w14:paraId="43405BCB" w14:textId="77F458C5" w:rsidR="00DE733C" w:rsidRPr="009E7B69" w:rsidRDefault="00DE733C" w:rsidP="008D4202">
      <w:pPr>
        <w:spacing w:line="480" w:lineRule="auto"/>
        <w:ind w:firstLine="720"/>
        <w:rPr>
          <w:lang w:val="en-AU"/>
        </w:rPr>
      </w:pPr>
      <w:r w:rsidRPr="009E7B69">
        <w:rPr>
          <w:lang w:val="en-AU"/>
        </w:rPr>
        <w:t xml:space="preserve">There are two lines of evidence that can be put forward to make the case that </w:t>
      </w:r>
      <w:r w:rsidR="005F1E45" w:rsidRPr="009E7B69">
        <w:rPr>
          <w:lang w:val="en-AU"/>
        </w:rPr>
        <w:t>many</w:t>
      </w:r>
      <w:r w:rsidRPr="009E7B69">
        <w:rPr>
          <w:lang w:val="en-AU"/>
        </w:rPr>
        <w:t xml:space="preserve"> of the traditions found in </w:t>
      </w:r>
      <w:r w:rsidRPr="009E7B69">
        <w:rPr>
          <w:i/>
          <w:iCs/>
          <w:lang w:val="en-AU"/>
        </w:rPr>
        <w:t>Mishna Avot</w:t>
      </w:r>
      <w:r w:rsidRPr="009E7B69">
        <w:rPr>
          <w:lang w:val="en-AU"/>
        </w:rPr>
        <w:t xml:space="preserve"> were in circulation at the time of Jesus</w:t>
      </w:r>
      <w:r w:rsidR="0082674D" w:rsidRPr="009E7B69">
        <w:rPr>
          <w:lang w:val="en-AU"/>
        </w:rPr>
        <w:t xml:space="preserve"> and to identify which ones they are</w:t>
      </w:r>
      <w:r w:rsidRPr="009E7B69">
        <w:rPr>
          <w:lang w:val="en-AU"/>
        </w:rPr>
        <w:t>. First, many of the sayings</w:t>
      </w:r>
      <w:r w:rsidR="007B020B" w:rsidRPr="009E7B69">
        <w:rPr>
          <w:lang w:val="en-AU"/>
        </w:rPr>
        <w:t xml:space="preserve"> in it</w:t>
      </w:r>
      <w:r w:rsidRPr="009E7B69">
        <w:rPr>
          <w:lang w:val="en-AU"/>
        </w:rPr>
        <w:t xml:space="preserve"> are attributed to rabbis </w:t>
      </w:r>
      <w:r w:rsidR="00BF68A8" w:rsidRPr="009E7B69">
        <w:rPr>
          <w:lang w:val="en-AU"/>
        </w:rPr>
        <w:t>who</w:t>
      </w:r>
      <w:r w:rsidRPr="009E7B69">
        <w:rPr>
          <w:lang w:val="en-AU"/>
        </w:rPr>
        <w:t xml:space="preserve"> predated Jesus or were his contemporary.</w:t>
      </w:r>
      <w:r w:rsidR="00211FB0" w:rsidRPr="009E7B69">
        <w:rPr>
          <w:lang w:val="en-AU"/>
        </w:rPr>
        <w:t xml:space="preserve"> If transmitted accurately (see 1.2.2) and attributed correctly, </w:t>
      </w:r>
      <w:r w:rsidR="00FE5346" w:rsidRPr="009E7B69">
        <w:rPr>
          <w:lang w:val="en-AU"/>
        </w:rPr>
        <w:t xml:space="preserve">there is a </w:t>
      </w:r>
      <w:r w:rsidR="00211FB0" w:rsidRPr="009E7B69">
        <w:rPr>
          <w:lang w:val="en-AU"/>
        </w:rPr>
        <w:t>reasonabl</w:t>
      </w:r>
      <w:r w:rsidR="00FE5346" w:rsidRPr="009E7B69">
        <w:rPr>
          <w:lang w:val="en-AU"/>
        </w:rPr>
        <w:t>e</w:t>
      </w:r>
      <w:r w:rsidR="00211FB0" w:rsidRPr="009E7B69">
        <w:rPr>
          <w:lang w:val="en-AU"/>
        </w:rPr>
        <w:t xml:space="preserve"> </w:t>
      </w:r>
      <w:r w:rsidR="00FE5346" w:rsidRPr="009E7B69">
        <w:rPr>
          <w:lang w:val="en-AU"/>
        </w:rPr>
        <w:t xml:space="preserve">chance </w:t>
      </w:r>
      <w:r w:rsidR="00211FB0" w:rsidRPr="009E7B69">
        <w:rPr>
          <w:lang w:val="en-AU"/>
        </w:rPr>
        <w:t xml:space="preserve">that </w:t>
      </w:r>
      <w:r w:rsidR="00FE5346" w:rsidRPr="009E7B69">
        <w:rPr>
          <w:lang w:val="en-AU"/>
        </w:rPr>
        <w:t xml:space="preserve">such </w:t>
      </w:r>
      <w:r w:rsidR="00211FB0" w:rsidRPr="009E7B69">
        <w:rPr>
          <w:lang w:val="en-AU"/>
        </w:rPr>
        <w:t xml:space="preserve">sayings </w:t>
      </w:r>
      <w:r w:rsidR="00FE5346" w:rsidRPr="009E7B69">
        <w:rPr>
          <w:lang w:val="en-AU"/>
        </w:rPr>
        <w:t>could have been known to Jesus and those who heard him.</w:t>
      </w:r>
      <w:r w:rsidR="00860A82" w:rsidRPr="009E7B69">
        <w:rPr>
          <w:lang w:val="en-AU"/>
        </w:rPr>
        <w:t xml:space="preserve"> Second, one can point to similarities in thought between the rabbinic writings and that of </w:t>
      </w:r>
      <w:r w:rsidR="0055798F" w:rsidRPr="009E7B69">
        <w:rPr>
          <w:lang w:val="en-AU"/>
        </w:rPr>
        <w:t xml:space="preserve">Josephus, the Dead Sea </w:t>
      </w:r>
      <w:r w:rsidR="00B36DBC" w:rsidRPr="009E7B69">
        <w:rPr>
          <w:lang w:val="en-AU"/>
        </w:rPr>
        <w:t>scrolls,</w:t>
      </w:r>
      <w:r w:rsidR="0055798F" w:rsidRPr="009E7B69">
        <w:rPr>
          <w:lang w:val="en-AU"/>
        </w:rPr>
        <w:t xml:space="preserve"> and </w:t>
      </w:r>
      <w:r w:rsidR="00860A82" w:rsidRPr="009E7B69">
        <w:rPr>
          <w:lang w:val="en-AU"/>
        </w:rPr>
        <w:t>the New Testament</w:t>
      </w:r>
      <w:r w:rsidR="00BF68A8" w:rsidRPr="009E7B69">
        <w:rPr>
          <w:lang w:val="en-AU"/>
        </w:rPr>
        <w:t>.</w:t>
      </w:r>
      <w:r w:rsidR="00EC0681" w:rsidRPr="009E7B69">
        <w:rPr>
          <w:lang w:val="en-AU"/>
        </w:rPr>
        <w:t xml:space="preserve"> </w:t>
      </w:r>
      <w:r w:rsidR="00BF68A8" w:rsidRPr="009E7B69">
        <w:rPr>
          <w:lang w:val="en-AU"/>
        </w:rPr>
        <w:t>W</w:t>
      </w:r>
      <w:r w:rsidR="00EC0681" w:rsidRPr="009E7B69">
        <w:rPr>
          <w:lang w:val="en-AU"/>
        </w:rPr>
        <w:t xml:space="preserve">hile </w:t>
      </w:r>
      <w:r w:rsidR="00BF68A8" w:rsidRPr="009E7B69">
        <w:rPr>
          <w:lang w:val="en-AU"/>
        </w:rPr>
        <w:t xml:space="preserve">these similarities do </w:t>
      </w:r>
      <w:r w:rsidR="00EC0681" w:rsidRPr="009E7B69">
        <w:rPr>
          <w:lang w:val="en-AU"/>
        </w:rPr>
        <w:t>not demonstrat</w:t>
      </w:r>
      <w:r w:rsidR="00BF68A8" w:rsidRPr="009E7B69">
        <w:rPr>
          <w:lang w:val="en-AU"/>
        </w:rPr>
        <w:t>e</w:t>
      </w:r>
      <w:r w:rsidR="00EC0681" w:rsidRPr="009E7B69">
        <w:rPr>
          <w:lang w:val="en-AU"/>
        </w:rPr>
        <w:t xml:space="preserve"> that the traditions in </w:t>
      </w:r>
      <w:r w:rsidR="00EC0681" w:rsidRPr="009E7B69">
        <w:rPr>
          <w:i/>
          <w:iCs/>
          <w:lang w:val="en-AU"/>
        </w:rPr>
        <w:t>Mishnah Avot</w:t>
      </w:r>
      <w:r w:rsidR="00EC0681" w:rsidRPr="009E7B69">
        <w:rPr>
          <w:lang w:val="en-AU"/>
        </w:rPr>
        <w:t xml:space="preserve"> attributed to sages prior to or </w:t>
      </w:r>
      <w:r w:rsidR="00EC0681" w:rsidRPr="009E7B69">
        <w:rPr>
          <w:lang w:val="en-AU"/>
        </w:rPr>
        <w:lastRenderedPageBreak/>
        <w:t xml:space="preserve">contemporaneous with Jesus have been accurately represented in it, </w:t>
      </w:r>
      <w:r w:rsidR="00BF68A8" w:rsidRPr="009E7B69">
        <w:rPr>
          <w:lang w:val="en-AU"/>
        </w:rPr>
        <w:t xml:space="preserve">they </w:t>
      </w:r>
      <w:r w:rsidR="00EC0681" w:rsidRPr="009E7B69">
        <w:rPr>
          <w:lang w:val="en-AU"/>
        </w:rPr>
        <w:t>at least provide evidence such ideas were in circulation at the time of writing of the New Testament.</w:t>
      </w:r>
    </w:p>
    <w:p w14:paraId="5EA875E9" w14:textId="3816417C" w:rsidR="007C4CFD" w:rsidRPr="009E7B69" w:rsidRDefault="0055798F" w:rsidP="007C4CFD">
      <w:pPr>
        <w:spacing w:line="480" w:lineRule="auto"/>
        <w:ind w:firstLine="720"/>
        <w:rPr>
          <w:lang w:val="en-AU"/>
        </w:rPr>
      </w:pPr>
      <w:r w:rsidRPr="009E7B69">
        <w:rPr>
          <w:lang w:val="en-AU"/>
        </w:rPr>
        <w:t xml:space="preserve">Because many of the traditions in </w:t>
      </w:r>
      <w:r w:rsidRPr="01B55689">
        <w:rPr>
          <w:i/>
          <w:iCs/>
          <w:lang w:val="en-AU"/>
        </w:rPr>
        <w:t>Mishna Avot</w:t>
      </w:r>
      <w:r w:rsidRPr="009E7B69">
        <w:rPr>
          <w:lang w:val="en-AU"/>
        </w:rPr>
        <w:t xml:space="preserve"> are attributed to specific rabbis and </w:t>
      </w:r>
      <w:r w:rsidR="00BF68A8" w:rsidRPr="009E7B69">
        <w:rPr>
          <w:lang w:val="en-AU"/>
        </w:rPr>
        <w:t xml:space="preserve">because </w:t>
      </w:r>
      <w:r w:rsidRPr="009E7B69">
        <w:rPr>
          <w:lang w:val="en-AU"/>
        </w:rPr>
        <w:t xml:space="preserve">the general date in which they worked is known, it is possible to have an indication of the </w:t>
      </w:r>
      <w:proofErr w:type="gramStart"/>
      <w:r w:rsidRPr="009E7B69">
        <w:rPr>
          <w:lang w:val="en-AU"/>
        </w:rPr>
        <w:t>time</w:t>
      </w:r>
      <w:r w:rsidR="00A0318D" w:rsidRPr="009E7B69">
        <w:rPr>
          <w:lang w:val="en-AU"/>
        </w:rPr>
        <w:t xml:space="preserve"> </w:t>
      </w:r>
      <w:r w:rsidRPr="009E7B69">
        <w:rPr>
          <w:lang w:val="en-AU"/>
        </w:rPr>
        <w:t>period</w:t>
      </w:r>
      <w:proofErr w:type="gramEnd"/>
      <w:r w:rsidRPr="009E7B69">
        <w:rPr>
          <w:lang w:val="en-AU"/>
        </w:rPr>
        <w:t xml:space="preserve"> to which a particular tradition can be ascribed.  </w:t>
      </w:r>
      <w:r w:rsidR="007C4CFD" w:rsidRPr="01B55689">
        <w:rPr>
          <w:i/>
          <w:iCs/>
          <w:lang w:val="en-AU"/>
        </w:rPr>
        <w:t xml:space="preserve">Mishna Avot </w:t>
      </w:r>
      <w:r w:rsidR="00D768FE" w:rsidRPr="009E7B69">
        <w:rPr>
          <w:lang w:val="en-AU"/>
        </w:rPr>
        <w:t>records</w:t>
      </w:r>
      <w:r w:rsidR="007C4CFD" w:rsidRPr="009E7B69">
        <w:rPr>
          <w:lang w:val="en-AU"/>
        </w:rPr>
        <w:t xml:space="preserve"> traditions </w:t>
      </w:r>
      <w:r w:rsidRPr="009E7B69">
        <w:rPr>
          <w:lang w:val="en-AU"/>
        </w:rPr>
        <w:t xml:space="preserve">attributed </w:t>
      </w:r>
      <w:r w:rsidR="007C4CFD" w:rsidRPr="009E7B69">
        <w:rPr>
          <w:lang w:val="en-AU"/>
        </w:rPr>
        <w:t xml:space="preserve">to the rabbis of the </w:t>
      </w:r>
      <w:r w:rsidR="007C4CFD" w:rsidRPr="01B55689">
        <w:rPr>
          <w:i/>
          <w:iCs/>
          <w:lang w:val="en-AU"/>
        </w:rPr>
        <w:t xml:space="preserve">Mishnaic </w:t>
      </w:r>
      <w:r w:rsidR="007C4CFD" w:rsidRPr="009E7B69">
        <w:rPr>
          <w:lang w:val="en-AU"/>
        </w:rPr>
        <w:t>period</w:t>
      </w:r>
      <w:r w:rsidR="00D768FE" w:rsidRPr="009E7B69">
        <w:rPr>
          <w:lang w:val="en-AU"/>
        </w:rPr>
        <w:t>, or</w:t>
      </w:r>
      <w:r w:rsidR="00BF68A8" w:rsidRPr="009E7B69">
        <w:rPr>
          <w:lang w:val="en-AU"/>
        </w:rPr>
        <w:t xml:space="preserve"> the</w:t>
      </w:r>
      <w:r w:rsidR="00D768FE" w:rsidRPr="009E7B69">
        <w:rPr>
          <w:lang w:val="en-AU"/>
        </w:rPr>
        <w:t xml:space="preserve"> period of the </w:t>
      </w:r>
      <w:r w:rsidR="00D768FE" w:rsidRPr="01B55689">
        <w:rPr>
          <w:i/>
          <w:iCs/>
          <w:lang w:val="en-AU"/>
        </w:rPr>
        <w:t>Tannaim</w:t>
      </w:r>
      <w:r w:rsidR="00D768FE" w:rsidRPr="01B55689">
        <w:rPr>
          <w:lang w:val="en-AU"/>
        </w:rPr>
        <w:t xml:space="preserve"> (ca. 10 to 220 </w:t>
      </w:r>
      <w:r w:rsidR="00D768FE" w:rsidRPr="01B55689">
        <w:rPr>
          <w:smallCaps/>
          <w:lang w:val="en-AU"/>
        </w:rPr>
        <w:t>ce</w:t>
      </w:r>
      <w:r w:rsidR="00D768FE" w:rsidRPr="01B55689">
        <w:rPr>
          <w:lang w:val="en-AU"/>
        </w:rPr>
        <w:t>)</w:t>
      </w:r>
      <w:r w:rsidR="003577AE" w:rsidRPr="01B55689">
        <w:rPr>
          <w:lang w:val="en-AU"/>
        </w:rPr>
        <w:t>, as well as some sayings attributed to sages from earlier periods still</w:t>
      </w:r>
      <w:r w:rsidR="00D768FE" w:rsidRPr="01B55689">
        <w:rPr>
          <w:lang w:val="en-AU"/>
        </w:rPr>
        <w:t>.</w:t>
      </w:r>
      <w:r w:rsidR="00945CCD" w:rsidRPr="01B55689">
        <w:rPr>
          <w:rStyle w:val="FootnoteReference"/>
          <w:lang w:val="en-AU"/>
        </w:rPr>
        <w:footnoteReference w:id="8"/>
      </w:r>
      <w:r w:rsidR="00D768FE" w:rsidRPr="01B55689">
        <w:rPr>
          <w:lang w:val="en-AU"/>
        </w:rPr>
        <w:t xml:space="preserve">  The sayings included in it </w:t>
      </w:r>
      <w:r w:rsidR="003577AE" w:rsidRPr="01B55689">
        <w:rPr>
          <w:lang w:val="en-AU"/>
        </w:rPr>
        <w:t xml:space="preserve">that are attributed to sages known to live prior to Jesus or contemporaneously with him </w:t>
      </w:r>
      <w:r w:rsidR="007C4CFD" w:rsidRPr="009E7B69">
        <w:rPr>
          <w:lang w:val="en-AU"/>
        </w:rPr>
        <w:t xml:space="preserve">are </w:t>
      </w:r>
      <w:r w:rsidR="00D768FE" w:rsidRPr="009E7B69">
        <w:rPr>
          <w:lang w:val="en-AU"/>
        </w:rPr>
        <w:t xml:space="preserve">consequently </w:t>
      </w:r>
      <w:r w:rsidR="007C4CFD" w:rsidRPr="009E7B69">
        <w:rPr>
          <w:lang w:val="en-AU"/>
        </w:rPr>
        <w:t>attributed to those who lived before</w:t>
      </w:r>
      <w:r w:rsidR="003577AE" w:rsidRPr="009E7B69">
        <w:rPr>
          <w:lang w:val="en-AU"/>
        </w:rPr>
        <w:t xml:space="preserve"> and </w:t>
      </w:r>
      <w:r w:rsidR="007C4CFD" w:rsidRPr="009E7B69">
        <w:rPr>
          <w:lang w:val="en-AU"/>
        </w:rPr>
        <w:t xml:space="preserve">during </w:t>
      </w:r>
      <w:r w:rsidR="00D768FE" w:rsidRPr="009E7B69">
        <w:rPr>
          <w:lang w:val="en-AU"/>
        </w:rPr>
        <w:t>the time of Jesus</w:t>
      </w:r>
      <w:r w:rsidR="007C4CFD" w:rsidRPr="009E7B69">
        <w:rPr>
          <w:lang w:val="en-AU"/>
        </w:rPr>
        <w:t xml:space="preserve">. </w:t>
      </w:r>
      <w:r w:rsidR="003577AE" w:rsidRPr="009E7B69">
        <w:rPr>
          <w:lang w:val="en-AU"/>
        </w:rPr>
        <w:t>Consequently, u</w:t>
      </w:r>
      <w:r w:rsidR="007C4CFD" w:rsidRPr="009E7B69">
        <w:rPr>
          <w:lang w:val="en-AU"/>
        </w:rPr>
        <w:t xml:space="preserve">nderstanding </w:t>
      </w:r>
      <w:r w:rsidR="003577AE" w:rsidRPr="009E7B69">
        <w:rPr>
          <w:lang w:val="en-AU"/>
        </w:rPr>
        <w:t xml:space="preserve">the </w:t>
      </w:r>
      <w:r w:rsidR="007C4CFD" w:rsidRPr="009E7B69">
        <w:rPr>
          <w:lang w:val="en-AU"/>
        </w:rPr>
        <w:t xml:space="preserve">traditions embodied in </w:t>
      </w:r>
      <w:r w:rsidR="007C4CFD" w:rsidRPr="01B55689">
        <w:rPr>
          <w:i/>
          <w:iCs/>
          <w:lang w:val="en-AU"/>
        </w:rPr>
        <w:t>Mishna</w:t>
      </w:r>
      <w:r w:rsidR="007C4CFD" w:rsidRPr="009E7B69">
        <w:rPr>
          <w:lang w:val="en-AU"/>
        </w:rPr>
        <w:t xml:space="preserve"> </w:t>
      </w:r>
      <w:r w:rsidR="003577AE" w:rsidRPr="009E7B69">
        <w:rPr>
          <w:lang w:val="en-AU"/>
        </w:rPr>
        <w:t xml:space="preserve">dated to this time </w:t>
      </w:r>
      <w:r w:rsidR="007C4CFD" w:rsidRPr="009E7B69">
        <w:rPr>
          <w:lang w:val="en-AU"/>
        </w:rPr>
        <w:t>throw</w:t>
      </w:r>
      <w:r w:rsidR="003C1B91" w:rsidRPr="009E7B69">
        <w:rPr>
          <w:lang w:val="en-AU"/>
        </w:rPr>
        <w:t>s</w:t>
      </w:r>
      <w:r w:rsidR="007C4CFD" w:rsidRPr="009E7B69">
        <w:rPr>
          <w:lang w:val="en-AU"/>
        </w:rPr>
        <w:t xml:space="preserve"> light on views held at the time of Jesus and</w:t>
      </w:r>
      <w:r w:rsidR="003C1B91" w:rsidRPr="009E7B69">
        <w:rPr>
          <w:lang w:val="en-AU"/>
        </w:rPr>
        <w:t xml:space="preserve"> on</w:t>
      </w:r>
      <w:r w:rsidR="007C4CFD" w:rsidRPr="009E7B69">
        <w:rPr>
          <w:lang w:val="en-AU"/>
        </w:rPr>
        <w:t xml:space="preserve"> how he was understood during the Second Temple period. </w:t>
      </w:r>
      <w:r w:rsidR="003501BA" w:rsidRPr="009E7B69">
        <w:rPr>
          <w:lang w:val="en-AU"/>
        </w:rPr>
        <w:t xml:space="preserve">Many of the traditions embodied in </w:t>
      </w:r>
      <w:r w:rsidR="007C4CFD" w:rsidRPr="01B55689">
        <w:rPr>
          <w:i/>
          <w:iCs/>
          <w:lang w:val="en-AU"/>
        </w:rPr>
        <w:t>Mishna</w:t>
      </w:r>
      <w:r w:rsidR="007C4CFD" w:rsidRPr="009E7B69">
        <w:rPr>
          <w:lang w:val="en-AU"/>
        </w:rPr>
        <w:t xml:space="preserve"> and Matthew 5:38–42 </w:t>
      </w:r>
      <w:proofErr w:type="gramStart"/>
      <w:r w:rsidR="007C4CFD" w:rsidRPr="009E7B69">
        <w:rPr>
          <w:lang w:val="en-AU"/>
        </w:rPr>
        <w:t>were</w:t>
      </w:r>
      <w:proofErr w:type="gramEnd"/>
      <w:r w:rsidR="007C4CFD" w:rsidRPr="009E7B69">
        <w:rPr>
          <w:lang w:val="en-AU"/>
        </w:rPr>
        <w:t xml:space="preserve"> </w:t>
      </w:r>
      <w:r w:rsidR="003501BA" w:rsidRPr="009E7B69">
        <w:rPr>
          <w:lang w:val="en-AU"/>
        </w:rPr>
        <w:t xml:space="preserve">formulated </w:t>
      </w:r>
      <w:r w:rsidR="007C4CFD" w:rsidRPr="009E7B69">
        <w:rPr>
          <w:lang w:val="en-AU"/>
        </w:rPr>
        <w:t>at a similar time.</w:t>
      </w:r>
      <w:r w:rsidR="00F815AE" w:rsidRPr="009E7B69">
        <w:rPr>
          <w:rStyle w:val="FootnoteReference"/>
          <w:lang w:val="en-AU"/>
        </w:rPr>
        <w:footnoteReference w:id="9"/>
      </w:r>
      <w:r w:rsidR="007C4CFD" w:rsidRPr="009E7B69">
        <w:rPr>
          <w:lang w:val="en-AU"/>
        </w:rPr>
        <w:t xml:space="preserve"> Though the sayings</w:t>
      </w:r>
      <w:r w:rsidR="003501BA" w:rsidRPr="009E7B69">
        <w:rPr>
          <w:lang w:val="en-AU"/>
        </w:rPr>
        <w:t xml:space="preserve"> recorded in </w:t>
      </w:r>
      <w:r w:rsidR="003501BA" w:rsidRPr="01B55689">
        <w:rPr>
          <w:i/>
          <w:iCs/>
          <w:lang w:val="en-AU"/>
        </w:rPr>
        <w:t>Mishna Avot</w:t>
      </w:r>
      <w:r w:rsidR="007C4CFD" w:rsidRPr="009E7B69">
        <w:rPr>
          <w:lang w:val="en-AU"/>
        </w:rPr>
        <w:t xml:space="preserve"> were </w:t>
      </w:r>
      <w:r w:rsidR="003501BA" w:rsidRPr="009E7B69">
        <w:rPr>
          <w:lang w:val="en-AU"/>
        </w:rPr>
        <w:t xml:space="preserve">put in </w:t>
      </w:r>
      <w:r w:rsidR="007C4CFD" w:rsidRPr="009E7B69">
        <w:rPr>
          <w:lang w:val="en-AU"/>
        </w:rPr>
        <w:t xml:space="preserve">written </w:t>
      </w:r>
      <w:r w:rsidR="003501BA" w:rsidRPr="009E7B69">
        <w:rPr>
          <w:lang w:val="en-AU"/>
        </w:rPr>
        <w:t xml:space="preserve">form well </w:t>
      </w:r>
      <w:r w:rsidR="007C4CFD" w:rsidRPr="009E7B69">
        <w:rPr>
          <w:lang w:val="en-AU"/>
        </w:rPr>
        <w:t xml:space="preserve">after </w:t>
      </w:r>
      <w:r w:rsidR="003501BA" w:rsidRPr="009E7B69">
        <w:rPr>
          <w:lang w:val="en-AU"/>
        </w:rPr>
        <w:t xml:space="preserve">the Gospel of </w:t>
      </w:r>
      <w:r w:rsidR="007C4CFD" w:rsidRPr="009E7B69">
        <w:rPr>
          <w:lang w:val="en-AU"/>
        </w:rPr>
        <w:t>Matthew</w:t>
      </w:r>
      <w:r w:rsidR="003501BA" w:rsidRPr="009E7B69">
        <w:rPr>
          <w:lang w:val="en-AU"/>
        </w:rPr>
        <w:t xml:space="preserve"> was written</w:t>
      </w:r>
      <w:r w:rsidR="007C4CFD" w:rsidRPr="009E7B69">
        <w:rPr>
          <w:lang w:val="en-AU"/>
        </w:rPr>
        <w:t xml:space="preserve">, certain sayings in </w:t>
      </w:r>
      <w:r w:rsidR="007C4CFD" w:rsidRPr="01B55689">
        <w:rPr>
          <w:i/>
          <w:iCs/>
          <w:lang w:val="en-AU"/>
        </w:rPr>
        <w:t>Mishna Avot</w:t>
      </w:r>
      <w:r w:rsidR="007C4CFD" w:rsidRPr="009E7B69">
        <w:rPr>
          <w:lang w:val="en-AU"/>
        </w:rPr>
        <w:t xml:space="preserve"> are similar to those found in Matthew</w:t>
      </w:r>
      <w:r w:rsidR="003C1B91" w:rsidRPr="009E7B69">
        <w:rPr>
          <w:lang w:val="en-AU"/>
        </w:rPr>
        <w:t xml:space="preserve"> and</w:t>
      </w:r>
      <w:r w:rsidR="003577AE" w:rsidRPr="009E7B69">
        <w:rPr>
          <w:lang w:val="en-AU"/>
        </w:rPr>
        <w:t xml:space="preserve"> are</w:t>
      </w:r>
      <w:r w:rsidR="003C1B91" w:rsidRPr="009E7B69">
        <w:rPr>
          <w:lang w:val="en-AU"/>
        </w:rPr>
        <w:t xml:space="preserve"> thus</w:t>
      </w:r>
      <w:r w:rsidR="003577AE" w:rsidRPr="009E7B69">
        <w:rPr>
          <w:lang w:val="en-AU"/>
        </w:rPr>
        <w:t xml:space="preserve"> </w:t>
      </w:r>
      <w:r w:rsidR="003C1B91" w:rsidRPr="009E7B69">
        <w:rPr>
          <w:lang w:val="en-AU"/>
        </w:rPr>
        <w:t>at</w:t>
      </w:r>
      <w:r w:rsidR="003577AE" w:rsidRPr="009E7B69">
        <w:rPr>
          <w:lang w:val="en-AU"/>
        </w:rPr>
        <w:t>tributed to sages prior to and contemporary with Jesus</w:t>
      </w:r>
      <w:r w:rsidR="007C4CFD" w:rsidRPr="009E7B69">
        <w:rPr>
          <w:lang w:val="en-AU"/>
        </w:rPr>
        <w:t>.</w:t>
      </w:r>
      <w:r w:rsidR="003577AE" w:rsidRPr="009E7B69">
        <w:rPr>
          <w:lang w:val="en-AU"/>
        </w:rPr>
        <w:t xml:space="preserve">  Furthermore</w:t>
      </w:r>
      <w:r w:rsidR="003501BA" w:rsidRPr="009E7B69">
        <w:rPr>
          <w:lang w:val="en-AU"/>
        </w:rPr>
        <w:t xml:space="preserve">, </w:t>
      </w:r>
      <w:r w:rsidR="007C4CFD" w:rsidRPr="009E7B69">
        <w:rPr>
          <w:lang w:val="en-AU"/>
        </w:rPr>
        <w:t xml:space="preserve">David Weiss Halivini contends that </w:t>
      </w:r>
      <w:r w:rsidR="007C4CFD" w:rsidRPr="01B55689">
        <w:rPr>
          <w:i/>
          <w:iCs/>
          <w:lang w:val="en-AU"/>
        </w:rPr>
        <w:t>Mishna Avot</w:t>
      </w:r>
      <w:r w:rsidR="007C4CFD" w:rsidRPr="009E7B69">
        <w:rPr>
          <w:lang w:val="en-AU"/>
        </w:rPr>
        <w:t xml:space="preserve"> influenced Jewish thought from 10 CE to 220 CE as the emphasis in Jewish study shifted from </w:t>
      </w:r>
      <w:r w:rsidR="007C4CFD" w:rsidRPr="01B55689">
        <w:rPr>
          <w:i/>
          <w:iCs/>
          <w:lang w:val="en-AU"/>
        </w:rPr>
        <w:t>midrash</w:t>
      </w:r>
      <w:r w:rsidR="007C4CFD" w:rsidRPr="009E7B69">
        <w:rPr>
          <w:lang w:val="en-AU"/>
        </w:rPr>
        <w:t xml:space="preserve"> to </w:t>
      </w:r>
      <w:r w:rsidR="007C4CFD" w:rsidRPr="01B55689">
        <w:rPr>
          <w:i/>
          <w:iCs/>
          <w:lang w:val="en-AU"/>
        </w:rPr>
        <w:t>mishna</w:t>
      </w:r>
      <w:r w:rsidR="007C4CFD" w:rsidRPr="009E7B69">
        <w:rPr>
          <w:lang w:val="en-AU"/>
        </w:rPr>
        <w:t>.</w:t>
      </w:r>
      <w:r w:rsidR="007C4CFD" w:rsidRPr="009E7B69">
        <w:rPr>
          <w:rStyle w:val="FootnoteReference"/>
          <w:lang w:val="en-AU"/>
        </w:rPr>
        <w:footnoteReference w:id="10"/>
      </w:r>
      <w:r w:rsidR="007C4CFD" w:rsidRPr="009E7B69">
        <w:rPr>
          <w:lang w:val="en-AU"/>
        </w:rPr>
        <w:t xml:space="preserve"> </w:t>
      </w:r>
    </w:p>
    <w:p w14:paraId="797ACC5D" w14:textId="34842D24" w:rsidR="007C4CFD" w:rsidRPr="009E7B69" w:rsidRDefault="007C4CFD" w:rsidP="001F089D">
      <w:pPr>
        <w:spacing w:before="120" w:line="480" w:lineRule="auto"/>
        <w:ind w:firstLine="709"/>
        <w:rPr>
          <w:bCs/>
          <w:lang w:val="en-AU"/>
        </w:rPr>
      </w:pPr>
      <w:r w:rsidRPr="01B55689">
        <w:rPr>
          <w:lang w:val="en-AU"/>
        </w:rPr>
        <w:lastRenderedPageBreak/>
        <w:t xml:space="preserve">Many of the sources used in </w:t>
      </w:r>
      <w:r w:rsidRPr="01B55689">
        <w:rPr>
          <w:i/>
          <w:iCs/>
          <w:lang w:val="en-AU"/>
        </w:rPr>
        <w:t>Mishna Avot</w:t>
      </w:r>
      <w:r w:rsidRPr="01B55689">
        <w:rPr>
          <w:lang w:val="en-AU"/>
        </w:rPr>
        <w:t xml:space="preserve"> come from the sayings attributed to the rabbis before Jesus.  Even though </w:t>
      </w:r>
      <w:r w:rsidRPr="01B55689">
        <w:rPr>
          <w:i/>
          <w:iCs/>
          <w:lang w:val="en-AU"/>
        </w:rPr>
        <w:t xml:space="preserve">Mishna Avot </w:t>
      </w:r>
      <w:r w:rsidRPr="01B55689">
        <w:rPr>
          <w:lang w:val="en-AU"/>
        </w:rPr>
        <w:t xml:space="preserve">was written down by 220 CE, it incorporated the sayings of Jewish thought from </w:t>
      </w:r>
      <w:r w:rsidRPr="009E7B69">
        <w:rPr>
          <w:lang w:val="en-AU"/>
        </w:rPr>
        <w:t xml:space="preserve">536 BCE to </w:t>
      </w:r>
      <w:r w:rsidR="003577AE" w:rsidRPr="009E7B69">
        <w:rPr>
          <w:lang w:val="en-AU"/>
        </w:rPr>
        <w:t>ca 220</w:t>
      </w:r>
      <w:r w:rsidRPr="009E7B69">
        <w:rPr>
          <w:lang w:val="en-AU"/>
        </w:rPr>
        <w:t xml:space="preserve"> CE, with </w:t>
      </w:r>
      <w:proofErr w:type="gramStart"/>
      <w:r w:rsidRPr="009E7B69">
        <w:rPr>
          <w:lang w:val="en-AU"/>
        </w:rPr>
        <w:t xml:space="preserve">the </w:t>
      </w:r>
      <w:r w:rsidR="00BE5EB7" w:rsidRPr="009E7B69">
        <w:rPr>
          <w:lang w:val="en-AU"/>
        </w:rPr>
        <w:t>majority of</w:t>
      </w:r>
      <w:proofErr w:type="gramEnd"/>
      <w:r w:rsidR="00BE5EB7" w:rsidRPr="009E7B69">
        <w:rPr>
          <w:lang w:val="en-AU"/>
        </w:rPr>
        <w:t xml:space="preserve"> those sayings </w:t>
      </w:r>
      <w:r w:rsidRPr="009E7B69">
        <w:rPr>
          <w:lang w:val="en-AU"/>
        </w:rPr>
        <w:t xml:space="preserve">coming from 10 CE to 220 CE. This study is focused on the first century up to 70 CE. The audience of Matthew 5:38–42 may have known these oral sayings and traditions, as Schiffman contends. </w:t>
      </w:r>
      <w:r w:rsidR="00174AED" w:rsidRPr="009E7B69">
        <w:rPr>
          <w:lang w:val="en-AU"/>
        </w:rPr>
        <w:t>He suggests that o</w:t>
      </w:r>
      <w:r w:rsidRPr="009E7B69">
        <w:rPr>
          <w:lang w:val="en-AU"/>
        </w:rPr>
        <w:t>ver time Jewish scholarship became heavily influenced by Oral Law and its focus on Torah.</w:t>
      </w:r>
      <w:r w:rsidRPr="009E7B69">
        <w:rPr>
          <w:rStyle w:val="FootnoteReference"/>
          <w:lang w:val="en-AU"/>
        </w:rPr>
        <w:footnoteReference w:id="11"/>
      </w:r>
      <w:r w:rsidR="00174AED" w:rsidRPr="009E7B69">
        <w:rPr>
          <w:lang w:val="en-AU"/>
        </w:rPr>
        <w:t xml:space="preserve"> </w:t>
      </w:r>
      <w:r w:rsidRPr="009E7B69">
        <w:rPr>
          <w:lang w:val="en-AU"/>
        </w:rPr>
        <w:t xml:space="preserve">Schiffman further contends that the dates of the authors cited in </w:t>
      </w:r>
      <w:r w:rsidRPr="01B55689">
        <w:rPr>
          <w:i/>
          <w:iCs/>
          <w:lang w:val="en-AU"/>
        </w:rPr>
        <w:t>Mishna Avot</w:t>
      </w:r>
      <w:r w:rsidRPr="009E7B69">
        <w:rPr>
          <w:lang w:val="en-AU"/>
        </w:rPr>
        <w:t xml:space="preserve"> show that these oral traditions predate Matthew 5:38–42.</w:t>
      </w:r>
      <w:r w:rsidRPr="009E7B69">
        <w:rPr>
          <w:rStyle w:val="FootnoteReference"/>
          <w:lang w:val="en-AU"/>
        </w:rPr>
        <w:footnoteReference w:id="12"/>
      </w:r>
      <w:r w:rsidRPr="009E7B69">
        <w:rPr>
          <w:lang w:val="en-AU"/>
        </w:rPr>
        <w:t xml:space="preserve">  </w:t>
      </w:r>
      <w:bookmarkStart w:id="29" w:name="_Hlk92708392"/>
      <w:r w:rsidRPr="009E7B69">
        <w:rPr>
          <w:lang w:val="en-AU"/>
        </w:rPr>
        <w:t xml:space="preserve">This dissertation supports the concept that </w:t>
      </w:r>
      <w:r w:rsidRPr="01B55689">
        <w:rPr>
          <w:i/>
          <w:iCs/>
          <w:lang w:val="en-AU"/>
        </w:rPr>
        <w:t>Avot</w:t>
      </w:r>
      <w:r w:rsidRPr="009E7B69">
        <w:rPr>
          <w:lang w:val="en-AU"/>
        </w:rPr>
        <w:t xml:space="preserve"> </w:t>
      </w:r>
      <w:r w:rsidR="001F089D" w:rsidRPr="009E7B69">
        <w:rPr>
          <w:lang w:val="en-AU"/>
        </w:rPr>
        <w:t xml:space="preserve">includes within it fragments of </w:t>
      </w:r>
      <w:r w:rsidRPr="009E7B69">
        <w:rPr>
          <w:lang w:val="en-AU"/>
        </w:rPr>
        <w:t>earlier</w:t>
      </w:r>
      <w:r w:rsidR="001F089D" w:rsidRPr="009E7B69">
        <w:rPr>
          <w:lang w:val="en-AU"/>
        </w:rPr>
        <w:t xml:space="preserve"> traditions</w:t>
      </w:r>
      <w:r w:rsidRPr="009E7B69">
        <w:rPr>
          <w:lang w:val="en-AU"/>
        </w:rPr>
        <w:t xml:space="preserve">. </w:t>
      </w:r>
    </w:p>
    <w:bookmarkEnd w:id="29"/>
    <w:p w14:paraId="657DEE2B" w14:textId="6A2B73C8" w:rsidR="007C4CFD" w:rsidRPr="009E7B69" w:rsidRDefault="00CE0CB4" w:rsidP="007C4CFD">
      <w:pPr>
        <w:spacing w:line="480" w:lineRule="auto"/>
        <w:ind w:firstLine="720"/>
        <w:contextualSpacing/>
        <w:rPr>
          <w:lang w:val="en-AU"/>
        </w:rPr>
      </w:pPr>
      <w:r w:rsidRPr="009E7B69">
        <w:rPr>
          <w:lang w:val="en-AU"/>
        </w:rPr>
        <w:t>T</w:t>
      </w:r>
      <w:r w:rsidR="007C4CFD" w:rsidRPr="009E7B69">
        <w:rPr>
          <w:lang w:val="en-AU"/>
        </w:rPr>
        <w:t>his study only focuses on specific sayings that were imported from earlier dates</w:t>
      </w:r>
      <w:r w:rsidRPr="009E7B69">
        <w:rPr>
          <w:lang w:val="en-AU"/>
        </w:rPr>
        <w:t xml:space="preserve"> when i</w:t>
      </w:r>
      <w:r w:rsidR="00025AE1" w:rsidRPr="009E7B69">
        <w:rPr>
          <w:lang w:val="en-AU"/>
        </w:rPr>
        <w:t>t</w:t>
      </w:r>
      <w:r w:rsidRPr="009E7B69">
        <w:rPr>
          <w:lang w:val="en-AU"/>
        </w:rPr>
        <w:t xml:space="preserve"> argues for the credibility of</w:t>
      </w:r>
      <w:r w:rsidR="00025AE1" w:rsidRPr="009E7B69">
        <w:rPr>
          <w:lang w:val="en-AU"/>
        </w:rPr>
        <w:t xml:space="preserve"> selected passages from</w:t>
      </w:r>
      <w:r w:rsidRPr="009E7B69">
        <w:rPr>
          <w:lang w:val="en-AU"/>
        </w:rPr>
        <w:t xml:space="preserve"> </w:t>
      </w:r>
      <w:r w:rsidRPr="009E7B69">
        <w:rPr>
          <w:i/>
          <w:iCs/>
          <w:lang w:val="en-AU"/>
        </w:rPr>
        <w:t>Mishna Avot</w:t>
      </w:r>
      <w:r w:rsidR="007C4CFD" w:rsidRPr="009E7B69">
        <w:rPr>
          <w:lang w:val="en-AU"/>
        </w:rPr>
        <w:t xml:space="preserve">.  This is important because it is not an objective in this dissertation to </w:t>
      </w:r>
      <w:r w:rsidRPr="009E7B69">
        <w:rPr>
          <w:lang w:val="en-AU"/>
        </w:rPr>
        <w:t>delineate</w:t>
      </w:r>
      <w:r w:rsidR="007C4CFD" w:rsidRPr="009E7B69">
        <w:rPr>
          <w:lang w:val="en-AU"/>
        </w:rPr>
        <w:t xml:space="preserve"> the authorship history of the entire </w:t>
      </w:r>
      <w:r w:rsidR="007C4CFD" w:rsidRPr="009E7B69">
        <w:rPr>
          <w:i/>
          <w:iCs/>
          <w:lang w:val="en-AU"/>
        </w:rPr>
        <w:t>Mishna</w:t>
      </w:r>
      <w:r w:rsidR="007C4CFD" w:rsidRPr="009E7B69">
        <w:rPr>
          <w:lang w:val="en-AU"/>
        </w:rPr>
        <w:t xml:space="preserve"> </w:t>
      </w:r>
      <w:r w:rsidR="007C4CFD" w:rsidRPr="009E7B69">
        <w:rPr>
          <w:i/>
          <w:iCs/>
          <w:lang w:val="en-AU"/>
        </w:rPr>
        <w:t>Avot</w:t>
      </w:r>
      <w:r w:rsidRPr="009E7B69">
        <w:rPr>
          <w:i/>
          <w:iCs/>
          <w:lang w:val="en-AU"/>
        </w:rPr>
        <w:t>,</w:t>
      </w:r>
      <w:r w:rsidR="007C4CFD" w:rsidRPr="009E7B69">
        <w:rPr>
          <w:i/>
          <w:iCs/>
          <w:lang w:val="en-AU"/>
        </w:rPr>
        <w:t xml:space="preserve"> </w:t>
      </w:r>
      <w:r w:rsidR="007C4CFD" w:rsidRPr="009E7B69">
        <w:rPr>
          <w:lang w:val="en-AU"/>
        </w:rPr>
        <w:t>but</w:t>
      </w:r>
      <w:r w:rsidR="007C4CFD" w:rsidRPr="009E7B69">
        <w:rPr>
          <w:i/>
          <w:iCs/>
          <w:lang w:val="en-AU"/>
        </w:rPr>
        <w:t xml:space="preserve"> </w:t>
      </w:r>
      <w:r w:rsidR="007C4CFD" w:rsidRPr="009E7B69">
        <w:rPr>
          <w:lang w:val="en-AU"/>
        </w:rPr>
        <w:t>only selected passages relevant to peace in the context of Matthew 5:38–42</w:t>
      </w:r>
      <w:r w:rsidR="007C4CFD" w:rsidRPr="009E7B69">
        <w:rPr>
          <w:i/>
          <w:iCs/>
          <w:lang w:val="en-AU"/>
        </w:rPr>
        <w:t>.</w:t>
      </w:r>
      <w:r w:rsidR="007C4CFD" w:rsidRPr="009E7B69">
        <w:rPr>
          <w:lang w:val="en-AU"/>
        </w:rPr>
        <w:t xml:space="preserve"> The aim and purpose are to show the connection in intellectual thought between the </w:t>
      </w:r>
      <w:r w:rsidR="007C4CFD" w:rsidRPr="009E7B69">
        <w:rPr>
          <w:i/>
          <w:iCs/>
          <w:lang w:val="en-AU"/>
        </w:rPr>
        <w:t xml:space="preserve">Mishna Avot </w:t>
      </w:r>
      <w:r w:rsidR="007C4CFD" w:rsidRPr="009E7B69">
        <w:rPr>
          <w:lang w:val="en-AU"/>
        </w:rPr>
        <w:t xml:space="preserve">and the sayings found within the book of Matthew 5:38–42. </w:t>
      </w:r>
      <w:r w:rsidRPr="009E7B69">
        <w:rPr>
          <w:lang w:val="en-AU"/>
        </w:rPr>
        <w:t>Furthermore, t</w:t>
      </w:r>
      <w:r w:rsidR="007C4CFD" w:rsidRPr="009E7B69">
        <w:rPr>
          <w:lang w:val="en-AU"/>
        </w:rPr>
        <w:t>his dissertation does not set out to prove that Jesus’</w:t>
      </w:r>
      <w:r w:rsidR="00E35288">
        <w:rPr>
          <w:lang w:val="en-AU"/>
        </w:rPr>
        <w:t>s</w:t>
      </w:r>
      <w:r w:rsidR="007C4CFD" w:rsidRPr="009E7B69">
        <w:rPr>
          <w:lang w:val="en-AU"/>
        </w:rPr>
        <w:t xml:space="preserve"> sayings </w:t>
      </w:r>
      <w:proofErr w:type="gramStart"/>
      <w:r w:rsidR="007C4CFD" w:rsidRPr="009E7B69">
        <w:rPr>
          <w:lang w:val="en-AU"/>
        </w:rPr>
        <w:t>entered into</w:t>
      </w:r>
      <w:proofErr w:type="gramEnd"/>
      <w:r w:rsidR="007C4CFD" w:rsidRPr="009E7B69">
        <w:rPr>
          <w:lang w:val="en-AU"/>
        </w:rPr>
        <w:t xml:space="preserve"> </w:t>
      </w:r>
      <w:r w:rsidR="007C4CFD" w:rsidRPr="009E7B69">
        <w:rPr>
          <w:i/>
          <w:iCs/>
          <w:lang w:val="en-AU"/>
        </w:rPr>
        <w:t>Avot</w:t>
      </w:r>
      <w:r w:rsidR="007C4CFD" w:rsidRPr="009E7B69">
        <w:rPr>
          <w:lang w:val="en-AU"/>
        </w:rPr>
        <w:t xml:space="preserve">. </w:t>
      </w:r>
      <w:r w:rsidR="00915947" w:rsidRPr="009E7B69">
        <w:rPr>
          <w:lang w:val="en-AU"/>
        </w:rPr>
        <w:t>H</w:t>
      </w:r>
      <w:r w:rsidR="007C4CFD" w:rsidRPr="009E7B69">
        <w:rPr>
          <w:lang w:val="en-AU"/>
        </w:rPr>
        <w:t xml:space="preserve">owever, showing a connected intellectual thought between </w:t>
      </w:r>
      <w:r w:rsidR="007C4CFD" w:rsidRPr="009E7B69">
        <w:rPr>
          <w:i/>
          <w:iCs/>
          <w:lang w:val="en-AU"/>
        </w:rPr>
        <w:t xml:space="preserve">Mishna Avot </w:t>
      </w:r>
      <w:r w:rsidR="007C4CFD" w:rsidRPr="009E7B69">
        <w:rPr>
          <w:lang w:val="en-AU"/>
        </w:rPr>
        <w:t xml:space="preserve">and Matthew helps provide a </w:t>
      </w:r>
      <w:r w:rsidR="007C4CFD" w:rsidRPr="009E7B69">
        <w:rPr>
          <w:lang w:val="en-AU"/>
        </w:rPr>
        <w:lastRenderedPageBreak/>
        <w:t xml:space="preserve">connection between </w:t>
      </w:r>
      <w:r w:rsidR="007C4CFD" w:rsidRPr="009E7B69">
        <w:rPr>
          <w:i/>
          <w:iCs/>
          <w:lang w:val="en-AU"/>
        </w:rPr>
        <w:t>Mishna Avot</w:t>
      </w:r>
      <w:r w:rsidR="007C4CFD" w:rsidRPr="009E7B69">
        <w:rPr>
          <w:lang w:val="en-AU"/>
        </w:rPr>
        <w:t xml:space="preserve"> and the development of peace thoughts in the Sermon. It is possible to find other relevant data outside of </w:t>
      </w:r>
      <w:r w:rsidR="007C4CFD" w:rsidRPr="009E7B69">
        <w:rPr>
          <w:i/>
          <w:iCs/>
          <w:lang w:val="en-AU"/>
        </w:rPr>
        <w:t>Mishna Avot</w:t>
      </w:r>
      <w:r w:rsidR="007C4CFD" w:rsidRPr="009E7B69">
        <w:rPr>
          <w:lang w:val="en-AU"/>
        </w:rPr>
        <w:t xml:space="preserve"> located in other tractates of </w:t>
      </w:r>
      <w:r w:rsidR="007C4CFD" w:rsidRPr="009E7B69">
        <w:rPr>
          <w:i/>
          <w:iCs/>
          <w:lang w:val="en-AU"/>
        </w:rPr>
        <w:t>Mishna</w:t>
      </w:r>
      <w:r w:rsidR="007C4CFD" w:rsidRPr="009E7B69">
        <w:rPr>
          <w:lang w:val="en-AU"/>
        </w:rPr>
        <w:t xml:space="preserve">. The use of sources beyond the </w:t>
      </w:r>
      <w:r w:rsidR="007C4CFD" w:rsidRPr="009E7B69">
        <w:rPr>
          <w:i/>
          <w:lang w:val="en-AU"/>
        </w:rPr>
        <w:t xml:space="preserve">Mishna </w:t>
      </w:r>
      <w:r w:rsidR="007C4CFD" w:rsidRPr="009E7B69">
        <w:rPr>
          <w:i/>
          <w:iCs/>
          <w:lang w:val="en-AU"/>
        </w:rPr>
        <w:t xml:space="preserve">Avot </w:t>
      </w:r>
      <w:r w:rsidR="007C4CFD" w:rsidRPr="009E7B69">
        <w:rPr>
          <w:lang w:val="en-AU"/>
        </w:rPr>
        <w:t xml:space="preserve">is helpful because it substantiates the thought found within the </w:t>
      </w:r>
      <w:r w:rsidR="007C4CFD" w:rsidRPr="009E7B69">
        <w:rPr>
          <w:i/>
          <w:lang w:val="en-AU"/>
        </w:rPr>
        <w:t xml:space="preserve">Mishna </w:t>
      </w:r>
      <w:r w:rsidR="007C4CFD" w:rsidRPr="009E7B69">
        <w:rPr>
          <w:i/>
          <w:iCs/>
          <w:lang w:val="en-AU"/>
        </w:rPr>
        <w:t xml:space="preserve">Avot </w:t>
      </w:r>
      <w:r w:rsidR="007C4CFD" w:rsidRPr="009E7B69">
        <w:rPr>
          <w:lang w:val="en-AU"/>
        </w:rPr>
        <w:t xml:space="preserve">as </w:t>
      </w:r>
      <w:proofErr w:type="gramStart"/>
      <w:r w:rsidR="007C4CFD" w:rsidRPr="009E7B69">
        <w:rPr>
          <w:lang w:val="en-AU"/>
        </w:rPr>
        <w:t>similar to</w:t>
      </w:r>
      <w:proofErr w:type="gramEnd"/>
      <w:r w:rsidR="007C4CFD" w:rsidRPr="009E7B69">
        <w:rPr>
          <w:lang w:val="en-AU"/>
        </w:rPr>
        <w:t xml:space="preserve"> the Jewish thought</w:t>
      </w:r>
      <w:r w:rsidR="0076646F">
        <w:rPr>
          <w:lang w:val="en-AU"/>
        </w:rPr>
        <w:t xml:space="preserve"> during </w:t>
      </w:r>
      <w:r w:rsidR="007C4CFD" w:rsidRPr="009E7B69">
        <w:rPr>
          <w:lang w:val="en-AU"/>
        </w:rPr>
        <w:t xml:space="preserve">the </w:t>
      </w:r>
      <w:r w:rsidR="0076646F">
        <w:rPr>
          <w:lang w:val="en-AU"/>
        </w:rPr>
        <w:t xml:space="preserve">life and </w:t>
      </w:r>
      <w:r w:rsidR="007C4CFD" w:rsidRPr="009E7B69">
        <w:rPr>
          <w:lang w:val="en-AU"/>
        </w:rPr>
        <w:t xml:space="preserve">time of Jesus. Thus, in this dissertation both the intellectual thought of </w:t>
      </w:r>
      <w:r w:rsidR="007C4CFD" w:rsidRPr="009E7B69">
        <w:rPr>
          <w:i/>
          <w:lang w:val="en-AU"/>
        </w:rPr>
        <w:t>Mishna</w:t>
      </w:r>
      <w:r w:rsidR="007C4CFD" w:rsidRPr="009E7B69">
        <w:rPr>
          <w:lang w:val="en-AU"/>
        </w:rPr>
        <w:t xml:space="preserve"> </w:t>
      </w:r>
      <w:r w:rsidR="007C4CFD" w:rsidRPr="009E7B69">
        <w:rPr>
          <w:i/>
          <w:iCs/>
          <w:lang w:val="en-AU"/>
        </w:rPr>
        <w:t>Avot</w:t>
      </w:r>
      <w:r w:rsidR="007C4CFD" w:rsidRPr="009E7B69">
        <w:rPr>
          <w:lang w:val="en-AU"/>
        </w:rPr>
        <w:t xml:space="preserve"> and the concepts found within other tractates of </w:t>
      </w:r>
      <w:r w:rsidR="007C4CFD" w:rsidRPr="009E7B69">
        <w:rPr>
          <w:i/>
          <w:iCs/>
          <w:lang w:val="en-AU"/>
        </w:rPr>
        <w:t>Mishna</w:t>
      </w:r>
      <w:r w:rsidR="007C4CFD" w:rsidRPr="009E7B69">
        <w:rPr>
          <w:lang w:val="en-AU"/>
        </w:rPr>
        <w:t xml:space="preserve"> are examined. </w:t>
      </w:r>
      <w:r w:rsidR="00A618A1" w:rsidRPr="009E7B69">
        <w:rPr>
          <w:lang w:val="en-AU"/>
        </w:rPr>
        <w:t>A</w:t>
      </w:r>
      <w:r w:rsidR="007C4CFD" w:rsidRPr="009E7B69">
        <w:rPr>
          <w:lang w:val="en-AU"/>
        </w:rPr>
        <w:t xml:space="preserve">cknowledging that </w:t>
      </w:r>
      <w:r w:rsidR="007C4CFD" w:rsidRPr="009E7B69">
        <w:rPr>
          <w:i/>
          <w:iCs/>
          <w:lang w:val="en-AU"/>
        </w:rPr>
        <w:t>Mishna Avot</w:t>
      </w:r>
      <w:r w:rsidR="007C4CFD" w:rsidRPr="009E7B69">
        <w:rPr>
          <w:lang w:val="en-AU"/>
        </w:rPr>
        <w:t xml:space="preserve"> may be dated after Matthew in no way diminishes the value and purpose of connecting the intellectual thought of the two works. </w:t>
      </w:r>
    </w:p>
    <w:p w14:paraId="56AB58D6" w14:textId="404862F2" w:rsidR="008D4202" w:rsidRPr="009E7B69" w:rsidRDefault="00BE6BA3" w:rsidP="00BC7015">
      <w:pPr>
        <w:pStyle w:val="Heading3"/>
      </w:pPr>
      <w:bookmarkStart w:id="30" w:name="_Toc81571452"/>
      <w:bookmarkStart w:id="31" w:name="_Toc94536977"/>
      <w:bookmarkStart w:id="32" w:name="_Toc118063621"/>
      <w:r w:rsidRPr="009E7B69">
        <w:t>1.</w:t>
      </w:r>
      <w:r w:rsidR="00A94B03" w:rsidRPr="009E7B69">
        <w:t>2</w:t>
      </w:r>
      <w:r w:rsidR="00746ECA" w:rsidRPr="009E7B69">
        <w:t>.2</w:t>
      </w:r>
      <w:r w:rsidRPr="009E7B69">
        <w:t xml:space="preserve"> Transmission of the Oral Law</w:t>
      </w:r>
      <w:bookmarkEnd w:id="30"/>
      <w:bookmarkEnd w:id="31"/>
      <w:bookmarkEnd w:id="32"/>
    </w:p>
    <w:p w14:paraId="5C54C017" w14:textId="5B7E711F" w:rsidR="008D4202" w:rsidRPr="009E7B69" w:rsidRDefault="00BE6BA3" w:rsidP="00F864FE">
      <w:pPr>
        <w:spacing w:line="480" w:lineRule="auto"/>
        <w:ind w:firstLine="720"/>
        <w:contextualSpacing/>
        <w:rPr>
          <w:lang w:val="en-AU"/>
        </w:rPr>
      </w:pPr>
      <w:r w:rsidRPr="009E7B69">
        <w:rPr>
          <w:lang w:val="en-AU"/>
        </w:rPr>
        <w:t xml:space="preserve">The authenticity and exactness of the </w:t>
      </w:r>
      <w:r w:rsidRPr="01B55689">
        <w:rPr>
          <w:i/>
          <w:iCs/>
          <w:lang w:val="en-AU"/>
        </w:rPr>
        <w:t>Mishna</w:t>
      </w:r>
      <w:r w:rsidR="005C71CB" w:rsidRPr="009E7B69">
        <w:rPr>
          <w:lang w:val="en-AU"/>
        </w:rPr>
        <w:t>’</w:t>
      </w:r>
      <w:r w:rsidRPr="009E7B69">
        <w:rPr>
          <w:lang w:val="en-AU"/>
        </w:rPr>
        <w:t xml:space="preserve">s sayings </w:t>
      </w:r>
      <w:r w:rsidR="00A54304" w:rsidRPr="009E7B69">
        <w:rPr>
          <w:lang w:val="en-AU"/>
        </w:rPr>
        <w:t>which are</w:t>
      </w:r>
      <w:r w:rsidRPr="009E7B69">
        <w:rPr>
          <w:lang w:val="en-AU"/>
        </w:rPr>
        <w:t xml:space="preserve"> attributed to specific rabbis</w:t>
      </w:r>
      <w:r w:rsidR="00A54304" w:rsidRPr="009E7B69">
        <w:rPr>
          <w:lang w:val="en-AU"/>
        </w:rPr>
        <w:t xml:space="preserve"> who are prior to or contemporary </w:t>
      </w:r>
      <w:r w:rsidR="00EB287E" w:rsidRPr="009E7B69">
        <w:rPr>
          <w:lang w:val="en-AU"/>
        </w:rPr>
        <w:t>with</w:t>
      </w:r>
      <w:r w:rsidR="00A54304" w:rsidRPr="009E7B69">
        <w:rPr>
          <w:lang w:val="en-AU"/>
        </w:rPr>
        <w:t xml:space="preserve"> Jesus</w:t>
      </w:r>
      <w:r w:rsidRPr="009E7B69">
        <w:rPr>
          <w:lang w:val="en-AU"/>
        </w:rPr>
        <w:t xml:space="preserve"> depend upon the accuracy of the transmission of the Oral Law. According to </w:t>
      </w:r>
      <w:r w:rsidRPr="01B55689">
        <w:rPr>
          <w:i/>
          <w:iCs/>
          <w:lang w:val="en-AU"/>
        </w:rPr>
        <w:t>Mishna</w:t>
      </w:r>
      <w:r w:rsidRPr="009E7B69">
        <w:rPr>
          <w:lang w:val="en-AU"/>
        </w:rPr>
        <w:t xml:space="preserve"> </w:t>
      </w:r>
      <w:r w:rsidRPr="01B55689">
        <w:rPr>
          <w:i/>
          <w:iCs/>
          <w:lang w:val="en-AU"/>
        </w:rPr>
        <w:t>Avot</w:t>
      </w:r>
      <w:r w:rsidRPr="009E7B69">
        <w:rPr>
          <w:lang w:val="en-AU"/>
        </w:rPr>
        <w:t xml:space="preserve"> 1:1 (which will be </w:t>
      </w:r>
      <w:r w:rsidR="00F864FE" w:rsidRPr="009E7B69">
        <w:rPr>
          <w:lang w:val="en-AU"/>
        </w:rPr>
        <w:t xml:space="preserve">further </w:t>
      </w:r>
      <w:r w:rsidRPr="009E7B69">
        <w:rPr>
          <w:lang w:val="en-AU"/>
        </w:rPr>
        <w:t>explored</w:t>
      </w:r>
      <w:r w:rsidR="00F864FE" w:rsidRPr="009E7B69">
        <w:rPr>
          <w:lang w:val="en-AU"/>
        </w:rPr>
        <w:t xml:space="preserve"> </w:t>
      </w:r>
      <w:r w:rsidR="00F2011C" w:rsidRPr="009E7B69">
        <w:rPr>
          <w:lang w:val="en-AU"/>
        </w:rPr>
        <w:t>in chapter 5</w:t>
      </w:r>
      <w:r w:rsidRPr="009E7B69">
        <w:rPr>
          <w:lang w:val="en-AU"/>
        </w:rPr>
        <w:t xml:space="preserve">), Moses was given both Oral Law and </w:t>
      </w:r>
      <w:r w:rsidR="004E6153" w:rsidRPr="009E7B69">
        <w:rPr>
          <w:lang w:val="en-AU"/>
        </w:rPr>
        <w:t>W</w:t>
      </w:r>
      <w:r w:rsidRPr="009E7B69">
        <w:rPr>
          <w:lang w:val="en-AU"/>
        </w:rPr>
        <w:t xml:space="preserve">ritten </w:t>
      </w:r>
      <w:r w:rsidR="004E6153" w:rsidRPr="009E7B69">
        <w:rPr>
          <w:lang w:val="en-AU"/>
        </w:rPr>
        <w:t>L</w:t>
      </w:r>
      <w:r w:rsidRPr="009E7B69">
        <w:rPr>
          <w:lang w:val="en-AU"/>
        </w:rPr>
        <w:t xml:space="preserve">aw at Sinai.  </w:t>
      </w:r>
      <w:r w:rsidR="00F864FE" w:rsidRPr="009E7B69">
        <w:rPr>
          <w:lang w:val="en-AU"/>
        </w:rPr>
        <w:t>It states, “Moses received the Torah at Sinai and transmitted it to Joshua, Joshua to the elders, and the elders to the prophets, and the prophets to the Men of the Great Assembly.”</w:t>
      </w:r>
      <w:r w:rsidR="00F864FE" w:rsidRPr="009E7B69">
        <w:rPr>
          <w:rStyle w:val="FootnoteReference"/>
          <w:lang w:val="en-AU"/>
        </w:rPr>
        <w:footnoteReference w:id="13"/>
      </w:r>
      <w:r w:rsidR="00F864FE" w:rsidRPr="009E7B69">
        <w:rPr>
          <w:lang w:val="en-AU"/>
        </w:rPr>
        <w:t xml:space="preserve">  </w:t>
      </w:r>
      <w:r w:rsidRPr="01B55689">
        <w:rPr>
          <w:i/>
          <w:iCs/>
          <w:lang w:val="en-AU"/>
        </w:rPr>
        <w:t>Mishna Avot</w:t>
      </w:r>
      <w:r w:rsidRPr="009E7B69">
        <w:rPr>
          <w:lang w:val="en-AU"/>
        </w:rPr>
        <w:t xml:space="preserve"> begins by </w:t>
      </w:r>
      <w:r w:rsidR="00F62961" w:rsidRPr="009E7B69">
        <w:rPr>
          <w:lang w:val="en-AU"/>
        </w:rPr>
        <w:t>recounting the</w:t>
      </w:r>
      <w:r w:rsidRPr="009E7B69">
        <w:rPr>
          <w:lang w:val="en-AU"/>
        </w:rPr>
        <w:t xml:space="preserve"> transmission </w:t>
      </w:r>
      <w:r w:rsidR="004D4CD6">
        <w:rPr>
          <w:lang w:val="en-AU"/>
        </w:rPr>
        <w:t xml:space="preserve">of the </w:t>
      </w:r>
      <w:r w:rsidR="00E007B3">
        <w:rPr>
          <w:lang w:val="en-AU"/>
        </w:rPr>
        <w:t>O</w:t>
      </w:r>
      <w:r w:rsidR="00E007B3" w:rsidRPr="009E7B69">
        <w:rPr>
          <w:lang w:val="en-AU"/>
        </w:rPr>
        <w:t xml:space="preserve">ral </w:t>
      </w:r>
      <w:r w:rsidR="00F62961" w:rsidRPr="009E7B69">
        <w:rPr>
          <w:lang w:val="en-AU"/>
        </w:rPr>
        <w:t xml:space="preserve">Law from Moses to Joshua, to the elders, to the prophets to the men of the Great Assembly </w:t>
      </w:r>
      <w:r w:rsidR="00000476" w:rsidRPr="009E7B69">
        <w:rPr>
          <w:lang w:val="en-AU"/>
        </w:rPr>
        <w:t>as evidence of the</w:t>
      </w:r>
      <w:r w:rsidRPr="009E7B69">
        <w:rPr>
          <w:lang w:val="en-AU"/>
        </w:rPr>
        <w:t xml:space="preserve"> validity </w:t>
      </w:r>
      <w:r w:rsidR="00000476" w:rsidRPr="009E7B69">
        <w:rPr>
          <w:lang w:val="en-AU"/>
        </w:rPr>
        <w:t xml:space="preserve">of </w:t>
      </w:r>
      <w:r w:rsidRPr="009E7B69">
        <w:rPr>
          <w:lang w:val="en-AU"/>
        </w:rPr>
        <w:t>the sayings of the forefathers</w:t>
      </w:r>
      <w:r w:rsidR="00000476" w:rsidRPr="009E7B69">
        <w:rPr>
          <w:lang w:val="en-AU"/>
        </w:rPr>
        <w:t>.</w:t>
      </w:r>
    </w:p>
    <w:p w14:paraId="3A638B7E" w14:textId="24CBB902" w:rsidR="00C17C75" w:rsidRPr="009E7B69" w:rsidRDefault="006F3452" w:rsidP="004131A0">
      <w:pPr>
        <w:spacing w:line="480" w:lineRule="auto"/>
        <w:ind w:firstLine="720"/>
        <w:contextualSpacing/>
        <w:rPr>
          <w:lang w:val="en-AU"/>
        </w:rPr>
      </w:pPr>
      <w:r w:rsidRPr="009E7B69">
        <w:rPr>
          <w:lang w:val="en-AU"/>
        </w:rPr>
        <w:t>W</w:t>
      </w:r>
      <w:r w:rsidR="001961EB" w:rsidRPr="009E7B69">
        <w:rPr>
          <w:lang w:val="en-AU"/>
        </w:rPr>
        <w:t>hy the sages did not write down</w:t>
      </w:r>
      <w:r w:rsidR="00173441" w:rsidRPr="009E7B69">
        <w:rPr>
          <w:lang w:val="en-AU"/>
        </w:rPr>
        <w:t xml:space="preserve"> </w:t>
      </w:r>
      <w:r w:rsidR="00F864FE" w:rsidRPr="009E7B69">
        <w:rPr>
          <w:lang w:val="en-AU"/>
        </w:rPr>
        <w:t xml:space="preserve">the Oral Law </w:t>
      </w:r>
      <w:r w:rsidR="00173441" w:rsidRPr="009E7B69">
        <w:rPr>
          <w:lang w:val="en-AU"/>
        </w:rPr>
        <w:t>before the third century</w:t>
      </w:r>
      <w:r w:rsidR="004131A0" w:rsidRPr="009E7B69">
        <w:rPr>
          <w:lang w:val="en-AU"/>
        </w:rPr>
        <w:t xml:space="preserve"> is a </w:t>
      </w:r>
      <w:r w:rsidR="00BE6BA3" w:rsidRPr="009E7B69">
        <w:rPr>
          <w:lang w:val="en-AU"/>
        </w:rPr>
        <w:t>complex question to which the best researchers have devoted their energies.</w:t>
      </w:r>
      <w:r w:rsidR="00BE6BA3" w:rsidRPr="009E7B69">
        <w:rPr>
          <w:rStyle w:val="FootnoteReference"/>
          <w:lang w:val="en-AU"/>
        </w:rPr>
        <w:footnoteReference w:id="14"/>
      </w:r>
      <w:r w:rsidR="00BE6BA3" w:rsidRPr="009E7B69">
        <w:rPr>
          <w:lang w:val="en-AU"/>
        </w:rPr>
        <w:t xml:space="preserve"> Most scholars have </w:t>
      </w:r>
      <w:r w:rsidR="00BE6BA3" w:rsidRPr="009E7B69">
        <w:rPr>
          <w:lang w:val="en-AU"/>
        </w:rPr>
        <w:lastRenderedPageBreak/>
        <w:t xml:space="preserve">concluded that the </w:t>
      </w:r>
      <w:r w:rsidR="00BE6BA3" w:rsidRPr="01B55689">
        <w:rPr>
          <w:i/>
          <w:iCs/>
          <w:lang w:val="en-AU"/>
        </w:rPr>
        <w:t>Mishna</w:t>
      </w:r>
      <w:r w:rsidR="00BE6BA3" w:rsidRPr="009E7B69">
        <w:rPr>
          <w:lang w:val="en-AU"/>
        </w:rPr>
        <w:t xml:space="preserve"> and the </w:t>
      </w:r>
      <w:r w:rsidR="00BE6BA3" w:rsidRPr="01B55689">
        <w:rPr>
          <w:i/>
          <w:iCs/>
          <w:lang w:val="en-AU"/>
        </w:rPr>
        <w:t>Talmud</w:t>
      </w:r>
      <w:r w:rsidR="00BE6BA3" w:rsidRPr="009E7B69">
        <w:rPr>
          <w:lang w:val="en-AU"/>
        </w:rPr>
        <w:t xml:space="preserve"> were not </w:t>
      </w:r>
      <w:r w:rsidRPr="009E7B69">
        <w:rPr>
          <w:lang w:val="en-AU"/>
        </w:rPr>
        <w:t xml:space="preserve">kept in </w:t>
      </w:r>
      <w:r w:rsidR="00BE6BA3" w:rsidRPr="009E7B69">
        <w:rPr>
          <w:lang w:val="en-AU"/>
        </w:rPr>
        <w:t xml:space="preserve">written </w:t>
      </w:r>
      <w:r w:rsidRPr="009E7B69">
        <w:rPr>
          <w:lang w:val="en-AU"/>
        </w:rPr>
        <w:t xml:space="preserve">form </w:t>
      </w:r>
      <w:r w:rsidR="00DF0382" w:rsidRPr="009E7B69">
        <w:rPr>
          <w:lang w:val="en-AU"/>
        </w:rPr>
        <w:t>during</w:t>
      </w:r>
      <w:r w:rsidR="00BE6BA3" w:rsidRPr="009E7B69">
        <w:rPr>
          <w:lang w:val="en-AU"/>
        </w:rPr>
        <w:t xml:space="preserve"> the period of their composition.</w:t>
      </w:r>
      <w:r w:rsidR="00BE6BA3" w:rsidRPr="009E7B69">
        <w:rPr>
          <w:rStyle w:val="FootnoteReference"/>
          <w:lang w:val="en-AU"/>
        </w:rPr>
        <w:footnoteReference w:id="15"/>
      </w:r>
      <w:r w:rsidR="00BE6BA3" w:rsidRPr="009E7B69">
        <w:rPr>
          <w:lang w:val="en-AU"/>
        </w:rPr>
        <w:t xml:space="preserve"> Scholars </w:t>
      </w:r>
      <w:r w:rsidR="00DF0382" w:rsidRPr="009E7B69">
        <w:rPr>
          <w:lang w:val="en-AU"/>
        </w:rPr>
        <w:t>are</w:t>
      </w:r>
      <w:r w:rsidR="00BE6BA3" w:rsidRPr="009E7B69">
        <w:rPr>
          <w:lang w:val="en-AU"/>
        </w:rPr>
        <w:t xml:space="preserve"> in agreement</w:t>
      </w:r>
      <w:r w:rsidR="0076646F">
        <w:rPr>
          <w:lang w:val="en-AU"/>
        </w:rPr>
        <w:t xml:space="preserve"> that after the era known as the post-destruction age that Mishna and Talmud originated out of </w:t>
      </w:r>
      <w:r w:rsidR="00863B47" w:rsidRPr="009E7B69">
        <w:rPr>
          <w:lang w:val="en-AU"/>
        </w:rPr>
        <w:t>“</w:t>
      </w:r>
      <w:r w:rsidR="00BE6BA3" w:rsidRPr="009E7B69">
        <w:rPr>
          <w:lang w:val="en-AU"/>
        </w:rPr>
        <w:t>Oral Law,</w:t>
      </w:r>
      <w:r w:rsidR="00863B47" w:rsidRPr="009E7B69">
        <w:rPr>
          <w:lang w:val="en-AU"/>
        </w:rPr>
        <w:t>”</w:t>
      </w:r>
      <w:r w:rsidR="00BE6BA3" w:rsidRPr="009E7B69">
        <w:rPr>
          <w:lang w:val="en-AU"/>
        </w:rPr>
        <w:t xml:space="preserve"> because, as the name suggests, they had hitherto been transmitted in an oral manner.</w:t>
      </w:r>
      <w:r w:rsidR="00BE6BA3" w:rsidRPr="009E7B69">
        <w:rPr>
          <w:rStyle w:val="FootnoteReference"/>
          <w:lang w:val="en-AU"/>
        </w:rPr>
        <w:footnoteReference w:id="16"/>
      </w:r>
      <w:r w:rsidR="00BE6BA3" w:rsidRPr="009E7B69">
        <w:rPr>
          <w:lang w:val="en-AU"/>
        </w:rPr>
        <w:t xml:space="preserve"> </w:t>
      </w:r>
      <w:r w:rsidR="004E6153" w:rsidRPr="009E7B69">
        <w:rPr>
          <w:lang w:val="en-AU"/>
        </w:rPr>
        <w:t>In</w:t>
      </w:r>
      <w:r w:rsidR="00BE6BA3" w:rsidRPr="009E7B69">
        <w:rPr>
          <w:lang w:val="en-AU"/>
        </w:rPr>
        <w:t xml:space="preserve"> Jewish thought,</w:t>
      </w:r>
      <w:r w:rsidR="0076646F">
        <w:rPr>
          <w:lang w:val="en-AU"/>
        </w:rPr>
        <w:t xml:space="preserve"> Oral Law reflects the written Torah’s holiness</w:t>
      </w:r>
      <w:r w:rsidR="009551BF">
        <w:rPr>
          <w:lang w:val="en-AU"/>
        </w:rPr>
        <w:t>. The orality of the law defines not only how the law is studied by scholars but also how it is transmitted generationally.</w:t>
      </w:r>
      <w:r w:rsidR="00BE6BA3" w:rsidRPr="009E7B69">
        <w:rPr>
          <w:rStyle w:val="FootnoteReference"/>
          <w:lang w:val="en-AU"/>
        </w:rPr>
        <w:footnoteReference w:id="17"/>
      </w:r>
      <w:r w:rsidR="00BE6BA3" w:rsidRPr="009E7B69">
        <w:rPr>
          <w:lang w:val="en-AU"/>
        </w:rPr>
        <w:t xml:space="preserve"> </w:t>
      </w:r>
    </w:p>
    <w:p w14:paraId="3A5A1197" w14:textId="2005A470" w:rsidR="008D4202" w:rsidRPr="009E7B69" w:rsidRDefault="00C17C75" w:rsidP="00F5340B">
      <w:pPr>
        <w:pStyle w:val="Heading3"/>
      </w:pPr>
      <w:bookmarkStart w:id="33" w:name="_Toc94536978"/>
      <w:bookmarkStart w:id="34" w:name="_Toc118063622"/>
      <w:r w:rsidRPr="009E7B69">
        <w:t>1.2.3 Was Jesus’</w:t>
      </w:r>
      <w:r w:rsidR="00E35288">
        <w:t>s</w:t>
      </w:r>
      <w:r w:rsidRPr="009E7B69">
        <w:t xml:space="preserve"> Audience Jewish?</w:t>
      </w:r>
      <w:bookmarkEnd w:id="33"/>
      <w:bookmarkEnd w:id="34"/>
      <w:r w:rsidR="00BE6BA3" w:rsidRPr="009E7B69">
        <w:t xml:space="preserve"> </w:t>
      </w:r>
    </w:p>
    <w:p w14:paraId="26D71961" w14:textId="017638A1" w:rsidR="00C17C75" w:rsidRPr="009E7B69" w:rsidRDefault="00C17C75" w:rsidP="00C17C75">
      <w:pPr>
        <w:spacing w:line="480" w:lineRule="auto"/>
        <w:ind w:firstLine="720"/>
        <w:contextualSpacing/>
        <w:rPr>
          <w:lang w:val="en-AU"/>
        </w:rPr>
      </w:pPr>
      <w:r w:rsidRPr="009E7B69">
        <w:rPr>
          <w:lang w:val="en-AU"/>
        </w:rPr>
        <w:t>Most commentators suggest that Jesus’</w:t>
      </w:r>
      <w:r w:rsidR="00E35288">
        <w:rPr>
          <w:lang w:val="en-AU"/>
        </w:rPr>
        <w:t>s</w:t>
      </w:r>
      <w:r w:rsidRPr="009E7B69">
        <w:rPr>
          <w:lang w:val="en-AU"/>
        </w:rPr>
        <w:t xml:space="preserve"> audience was </w:t>
      </w:r>
      <w:r w:rsidR="004131A0" w:rsidRPr="009E7B69">
        <w:rPr>
          <w:lang w:val="en-AU"/>
        </w:rPr>
        <w:t xml:space="preserve">essentially </w:t>
      </w:r>
      <w:r w:rsidRPr="009E7B69">
        <w:rPr>
          <w:lang w:val="en-AU"/>
        </w:rPr>
        <w:t>Jewish</w:t>
      </w:r>
      <w:r w:rsidR="004131A0" w:rsidRPr="009E7B69">
        <w:rPr>
          <w:lang w:val="en-AU"/>
        </w:rPr>
        <w:t xml:space="preserve">, </w:t>
      </w:r>
      <w:r w:rsidRPr="009E7B69">
        <w:rPr>
          <w:lang w:val="en-AU"/>
        </w:rPr>
        <w:t xml:space="preserve">although some Gentiles may have been </w:t>
      </w:r>
      <w:r w:rsidR="00D71FE9" w:rsidRPr="009E7B69">
        <w:rPr>
          <w:lang w:val="en-AU"/>
        </w:rPr>
        <w:t>able to hear Jesus as he was teaching in Galilee</w:t>
      </w:r>
      <w:r w:rsidRPr="009E7B69">
        <w:rPr>
          <w:lang w:val="en-AU"/>
        </w:rPr>
        <w:t xml:space="preserve">. Jesus was </w:t>
      </w:r>
      <w:r w:rsidR="00D71FE9" w:rsidRPr="009E7B69">
        <w:rPr>
          <w:lang w:val="en-AU"/>
        </w:rPr>
        <w:t>a Torah-observant Jew,</w:t>
      </w:r>
      <w:r w:rsidRPr="009E7B69">
        <w:rPr>
          <w:rStyle w:val="FootnoteReference"/>
          <w:lang w:val="en-AU"/>
        </w:rPr>
        <w:footnoteReference w:id="18"/>
      </w:r>
      <w:r w:rsidRPr="009E7B69">
        <w:rPr>
          <w:lang w:val="en-AU"/>
        </w:rPr>
        <w:t xml:space="preserve"> </w:t>
      </w:r>
      <w:r w:rsidR="00D71FE9" w:rsidRPr="009E7B69">
        <w:rPr>
          <w:lang w:val="en-AU"/>
        </w:rPr>
        <w:t>and th</w:t>
      </w:r>
      <w:r w:rsidRPr="009E7B69">
        <w:rPr>
          <w:lang w:val="en-AU"/>
        </w:rPr>
        <w:t>ere is agreement in the literature that Jesus’</w:t>
      </w:r>
      <w:r w:rsidR="00E35288">
        <w:rPr>
          <w:lang w:val="en-AU"/>
        </w:rPr>
        <w:t>s</w:t>
      </w:r>
      <w:r w:rsidRPr="009E7B69">
        <w:rPr>
          <w:lang w:val="en-AU"/>
        </w:rPr>
        <w:t xml:space="preserve"> teaching was </w:t>
      </w:r>
      <w:r w:rsidRPr="009E7B69">
        <w:rPr>
          <w:lang w:val="en-AU"/>
        </w:rPr>
        <w:lastRenderedPageBreak/>
        <w:t>largely directed at Jews, even though it was ultimately found to be relevant to both Jews and Gentiles.</w:t>
      </w:r>
      <w:r w:rsidRPr="009E7B69">
        <w:rPr>
          <w:rStyle w:val="FootnoteReference"/>
          <w:lang w:val="en-AU"/>
        </w:rPr>
        <w:footnoteReference w:id="19"/>
      </w:r>
      <w:r w:rsidRPr="009E7B69">
        <w:rPr>
          <w:lang w:val="en-AU"/>
        </w:rPr>
        <w:t xml:space="preserve"> This author takes the stance that both Jews and Gentiles were among the audience that heard the Sermon. </w:t>
      </w:r>
    </w:p>
    <w:p w14:paraId="2C61A287" w14:textId="3D61DE61" w:rsidR="008D4202" w:rsidRPr="009E7B69" w:rsidRDefault="00BE6BA3" w:rsidP="00BC7015">
      <w:pPr>
        <w:pStyle w:val="Heading2"/>
      </w:pPr>
      <w:bookmarkStart w:id="35" w:name="_Toc81571453"/>
      <w:bookmarkStart w:id="36" w:name="_Toc94536979"/>
      <w:bookmarkStart w:id="37" w:name="_Toc118063623"/>
      <w:r w:rsidRPr="009E7B69">
        <w:lastRenderedPageBreak/>
        <w:t>1.</w:t>
      </w:r>
      <w:r w:rsidR="00A94B03" w:rsidRPr="009E7B69">
        <w:t>3</w:t>
      </w:r>
      <w:r w:rsidRPr="009E7B69">
        <w:t xml:space="preserve"> Chapter Conclusion</w:t>
      </w:r>
      <w:bookmarkEnd w:id="35"/>
      <w:bookmarkEnd w:id="36"/>
      <w:bookmarkEnd w:id="37"/>
    </w:p>
    <w:p w14:paraId="64AA6731" w14:textId="2516E172" w:rsidR="00041919" w:rsidRPr="009E7B69" w:rsidRDefault="00BE6BA3" w:rsidP="002B7AFC">
      <w:pPr>
        <w:spacing w:line="480" w:lineRule="auto"/>
      </w:pPr>
      <w:r w:rsidRPr="009E7B69">
        <w:rPr>
          <w:lang w:val="en-AU"/>
        </w:rPr>
        <w:tab/>
      </w:r>
      <w:r w:rsidR="00B57DF3" w:rsidRPr="009E7B69">
        <w:rPr>
          <w:lang w:val="en-AU"/>
        </w:rPr>
        <w:t>The</w:t>
      </w:r>
      <w:r w:rsidRPr="009E7B69">
        <w:rPr>
          <w:lang w:val="en-AU"/>
        </w:rPr>
        <w:t xml:space="preserve"> </w:t>
      </w:r>
      <w:r w:rsidR="00D24CAB" w:rsidRPr="009E7B69">
        <w:rPr>
          <w:lang w:val="en-AU"/>
        </w:rPr>
        <w:t xml:space="preserve">findings </w:t>
      </w:r>
      <w:r w:rsidRPr="009E7B69">
        <w:rPr>
          <w:lang w:val="en-AU"/>
        </w:rPr>
        <w:t xml:space="preserve">presented </w:t>
      </w:r>
      <w:r w:rsidR="004D4CD6">
        <w:rPr>
          <w:lang w:val="en-AU"/>
        </w:rPr>
        <w:t xml:space="preserve">in </w:t>
      </w:r>
      <w:r w:rsidR="00B57DF3" w:rsidRPr="009E7B69">
        <w:rPr>
          <w:lang w:val="en-AU"/>
        </w:rPr>
        <w:t xml:space="preserve">this dissertation </w:t>
      </w:r>
      <w:r w:rsidR="0017436F" w:rsidRPr="009E7B69">
        <w:rPr>
          <w:lang w:val="en-AU"/>
        </w:rPr>
        <w:t xml:space="preserve">seek to </w:t>
      </w:r>
      <w:r w:rsidR="00975BE8" w:rsidRPr="009E7B69">
        <w:rPr>
          <w:lang w:val="en-AU"/>
        </w:rPr>
        <w:t>clos</w:t>
      </w:r>
      <w:r w:rsidRPr="009E7B69">
        <w:rPr>
          <w:lang w:val="en-AU"/>
        </w:rPr>
        <w:t xml:space="preserve">e a gap in the literature </w:t>
      </w:r>
      <w:r w:rsidR="00975BE8" w:rsidRPr="009E7B69">
        <w:rPr>
          <w:lang w:val="en-AU"/>
        </w:rPr>
        <w:t>about</w:t>
      </w:r>
      <w:r w:rsidRPr="009E7B69">
        <w:rPr>
          <w:lang w:val="en-AU"/>
        </w:rPr>
        <w:t xml:space="preserve"> the influence of Oral Law on </w:t>
      </w:r>
      <w:r w:rsidR="00C433B0" w:rsidRPr="009E7B69">
        <w:rPr>
          <w:lang w:val="en-AU"/>
        </w:rPr>
        <w:t xml:space="preserve">ideas of </w:t>
      </w:r>
      <w:r w:rsidRPr="009E7B69">
        <w:rPr>
          <w:lang w:val="en-AU"/>
        </w:rPr>
        <w:t>peace and pacifism found in Matthew 5:38</w:t>
      </w:r>
      <w:r w:rsidR="00C433B0" w:rsidRPr="009E7B69">
        <w:rPr>
          <w:lang w:val="en-AU"/>
        </w:rPr>
        <w:t>–</w:t>
      </w:r>
      <w:r w:rsidRPr="009E7B69">
        <w:rPr>
          <w:lang w:val="en-AU"/>
        </w:rPr>
        <w:t>4</w:t>
      </w:r>
      <w:r w:rsidR="00DE6D6F" w:rsidRPr="009E7B69">
        <w:rPr>
          <w:lang w:val="en-AU"/>
        </w:rPr>
        <w:t>2</w:t>
      </w:r>
      <w:r w:rsidRPr="009E7B69">
        <w:rPr>
          <w:lang w:val="en-AU"/>
        </w:rPr>
        <w:t xml:space="preserve">.  </w:t>
      </w:r>
      <w:r w:rsidR="00FB2376" w:rsidRPr="009E7B69">
        <w:rPr>
          <w:lang w:val="en-AU"/>
        </w:rPr>
        <w:t>T</w:t>
      </w:r>
      <w:r w:rsidR="00532324" w:rsidRPr="009E7B69">
        <w:rPr>
          <w:lang w:val="en-AU"/>
        </w:rPr>
        <w:t xml:space="preserve">he commonality between </w:t>
      </w:r>
      <w:r w:rsidR="00E27B15" w:rsidRPr="009E7B69">
        <w:rPr>
          <w:i/>
          <w:iCs/>
          <w:lang w:val="en-AU"/>
        </w:rPr>
        <w:t>Mishna Avot</w:t>
      </w:r>
      <w:r w:rsidR="00E27B15" w:rsidRPr="009E7B69">
        <w:rPr>
          <w:lang w:val="en-AU"/>
        </w:rPr>
        <w:t xml:space="preserve"> </w:t>
      </w:r>
      <w:r w:rsidR="00532324" w:rsidRPr="009E7B69">
        <w:rPr>
          <w:lang w:val="en-AU"/>
        </w:rPr>
        <w:t>and</w:t>
      </w:r>
      <w:r w:rsidR="001D3478" w:rsidRPr="009E7B69">
        <w:rPr>
          <w:lang w:val="en-AU"/>
        </w:rPr>
        <w:t xml:space="preserve"> </w:t>
      </w:r>
      <w:r w:rsidR="00E27B15" w:rsidRPr="009E7B69">
        <w:rPr>
          <w:lang w:val="en-AU"/>
        </w:rPr>
        <w:t>Matthew 5:38</w:t>
      </w:r>
      <w:r w:rsidR="00896B95" w:rsidRPr="009E7B69">
        <w:rPr>
          <w:lang w:val="en-AU"/>
        </w:rPr>
        <w:t>–</w:t>
      </w:r>
      <w:r w:rsidR="00E27B15" w:rsidRPr="009E7B69">
        <w:rPr>
          <w:lang w:val="en-AU"/>
        </w:rPr>
        <w:t>42</w:t>
      </w:r>
      <w:r w:rsidR="00532324" w:rsidRPr="009E7B69">
        <w:rPr>
          <w:lang w:val="en-AU"/>
        </w:rPr>
        <w:t xml:space="preserve"> </w:t>
      </w:r>
      <w:r w:rsidR="00182CE0" w:rsidRPr="009E7B69">
        <w:rPr>
          <w:lang w:val="en-AU"/>
        </w:rPr>
        <w:t>will be</w:t>
      </w:r>
      <w:r w:rsidR="006D5F48" w:rsidRPr="009E7B69">
        <w:rPr>
          <w:lang w:val="en-AU"/>
        </w:rPr>
        <w:t xml:space="preserve"> examined </w:t>
      </w:r>
      <w:r w:rsidR="00532324" w:rsidRPr="009E7B69">
        <w:rPr>
          <w:lang w:val="en-AU"/>
        </w:rPr>
        <w:t xml:space="preserve">in the </w:t>
      </w:r>
      <w:r w:rsidR="00182CE0" w:rsidRPr="009E7B69">
        <w:rPr>
          <w:lang w:val="en-AU"/>
        </w:rPr>
        <w:t>setting</w:t>
      </w:r>
      <w:r w:rsidR="00532324" w:rsidRPr="009E7B69">
        <w:rPr>
          <w:lang w:val="en-AU"/>
        </w:rPr>
        <w:t xml:space="preserve"> of nonviolent resistance</w:t>
      </w:r>
      <w:r w:rsidR="00E27B15" w:rsidRPr="009E7B69">
        <w:rPr>
          <w:lang w:val="en-AU"/>
        </w:rPr>
        <w:t>.</w:t>
      </w:r>
      <w:r w:rsidRPr="009E7B69">
        <w:rPr>
          <w:lang w:val="en-AU"/>
        </w:rPr>
        <w:t xml:space="preserve"> The Jewish peace sayings and their historical origins show similarities </w:t>
      </w:r>
      <w:r w:rsidR="00397C36" w:rsidRPr="009E7B69">
        <w:rPr>
          <w:lang w:val="en-AU"/>
        </w:rPr>
        <w:t xml:space="preserve">in culture and </w:t>
      </w:r>
      <w:r w:rsidRPr="009E7B69">
        <w:rPr>
          <w:lang w:val="en-AU"/>
        </w:rPr>
        <w:t>language in specific interpretations of Matthew 5:38</w:t>
      </w:r>
      <w:r w:rsidR="00EF24FE" w:rsidRPr="009E7B69">
        <w:rPr>
          <w:lang w:val="en-AU"/>
        </w:rPr>
        <w:t>–</w:t>
      </w:r>
      <w:r w:rsidRPr="009E7B69">
        <w:rPr>
          <w:lang w:val="en-AU"/>
        </w:rPr>
        <w:t xml:space="preserve">42 </w:t>
      </w:r>
      <w:proofErr w:type="gramStart"/>
      <w:r w:rsidRPr="009E7B69">
        <w:rPr>
          <w:lang w:val="en-AU"/>
        </w:rPr>
        <w:t>in regard to</w:t>
      </w:r>
      <w:proofErr w:type="gramEnd"/>
      <w:r w:rsidRPr="009E7B69">
        <w:rPr>
          <w:lang w:val="en-AU"/>
        </w:rPr>
        <w:t xml:space="preserve"> nonviolent protest.  </w:t>
      </w:r>
      <w:r w:rsidR="00E16053" w:rsidRPr="009E7B69">
        <w:rPr>
          <w:lang w:val="en-AU"/>
        </w:rPr>
        <w:t>The</w:t>
      </w:r>
      <w:r w:rsidR="00B57DF3" w:rsidRPr="009E7B69">
        <w:rPr>
          <w:lang w:val="en-AU"/>
        </w:rPr>
        <w:t xml:space="preserve"> careful application of an appropriate</w:t>
      </w:r>
      <w:r w:rsidR="00E16053" w:rsidRPr="009E7B69">
        <w:rPr>
          <w:lang w:val="en-AU"/>
        </w:rPr>
        <w:t xml:space="preserve"> methodolog</w:t>
      </w:r>
      <w:r w:rsidR="00B57DF3" w:rsidRPr="009E7B69">
        <w:rPr>
          <w:lang w:val="en-AU"/>
        </w:rPr>
        <w:t xml:space="preserve">y will </w:t>
      </w:r>
      <w:r w:rsidR="004C22A4" w:rsidRPr="009E7B69">
        <w:rPr>
          <w:lang w:val="en-AU"/>
        </w:rPr>
        <w:t xml:space="preserve">allow </w:t>
      </w:r>
      <w:r w:rsidR="00287A56" w:rsidRPr="009E7B69">
        <w:rPr>
          <w:lang w:val="en-AU"/>
        </w:rPr>
        <w:t xml:space="preserve">a viable link to be made between the Oral Law and </w:t>
      </w:r>
      <w:r w:rsidR="004009DC" w:rsidRPr="009E7B69">
        <w:rPr>
          <w:lang w:val="en-AU"/>
        </w:rPr>
        <w:t xml:space="preserve">the </w:t>
      </w:r>
      <w:r w:rsidR="0006000E" w:rsidRPr="009E7B69">
        <w:rPr>
          <w:lang w:val="en-AU"/>
        </w:rPr>
        <w:t>original audience</w:t>
      </w:r>
      <w:r w:rsidR="00182CE0" w:rsidRPr="009E7B69">
        <w:rPr>
          <w:lang w:val="en-AU"/>
        </w:rPr>
        <w:t>’s understanding</w:t>
      </w:r>
      <w:r w:rsidR="0006000E" w:rsidRPr="009E7B69">
        <w:rPr>
          <w:lang w:val="en-AU"/>
        </w:rPr>
        <w:t xml:space="preserve"> of Jesus</w:t>
      </w:r>
      <w:r w:rsidR="005C71CB" w:rsidRPr="009E7B69">
        <w:rPr>
          <w:lang w:val="en-AU"/>
        </w:rPr>
        <w:t>’</w:t>
      </w:r>
      <w:r w:rsidR="0006000E" w:rsidRPr="009E7B69">
        <w:rPr>
          <w:lang w:val="en-AU"/>
        </w:rPr>
        <w:t xml:space="preserve">s words </w:t>
      </w:r>
      <w:r w:rsidR="00182CE0" w:rsidRPr="009E7B69">
        <w:rPr>
          <w:lang w:val="en-AU"/>
        </w:rPr>
        <w:t xml:space="preserve">which are found </w:t>
      </w:r>
      <w:r w:rsidR="0006000E" w:rsidRPr="009E7B69">
        <w:rPr>
          <w:lang w:val="en-AU"/>
        </w:rPr>
        <w:t xml:space="preserve">in </w:t>
      </w:r>
      <w:r w:rsidR="004009DC" w:rsidRPr="009E7B69">
        <w:rPr>
          <w:lang w:val="en-AU"/>
        </w:rPr>
        <w:t>Matthew 5:38</w:t>
      </w:r>
      <w:r w:rsidR="0006000E" w:rsidRPr="009E7B69">
        <w:rPr>
          <w:lang w:val="en-AU"/>
        </w:rPr>
        <w:t>‒</w:t>
      </w:r>
      <w:r w:rsidR="004009DC" w:rsidRPr="009E7B69">
        <w:rPr>
          <w:lang w:val="en-AU"/>
        </w:rPr>
        <w:t>42.</w:t>
      </w:r>
      <w:r w:rsidR="004009DC" w:rsidRPr="009E7B69">
        <w:t xml:space="preserve"> </w:t>
      </w:r>
    </w:p>
    <w:p w14:paraId="24996E98" w14:textId="77777777" w:rsidR="00041919" w:rsidRPr="009E7B69" w:rsidRDefault="00041919">
      <w:r w:rsidRPr="009E7B69">
        <w:br w:type="page"/>
      </w:r>
    </w:p>
    <w:p w14:paraId="766BF0A4" w14:textId="77EE8ABC" w:rsidR="00041919" w:rsidRPr="00C104E6" w:rsidRDefault="007B7745" w:rsidP="009F5D32">
      <w:pPr>
        <w:pStyle w:val="Heading1"/>
        <w:rPr>
          <w:lang w:val="en-AU"/>
        </w:rPr>
      </w:pPr>
      <w:bookmarkStart w:id="38" w:name="_Toc94536980"/>
      <w:bookmarkStart w:id="39" w:name="_Toc118063624"/>
      <w:r w:rsidRPr="00C104E6">
        <w:rPr>
          <w:lang w:val="en-AU"/>
        </w:rPr>
        <w:lastRenderedPageBreak/>
        <w:t xml:space="preserve">Chapter </w:t>
      </w:r>
      <w:r w:rsidR="007D476B" w:rsidRPr="00C104E6">
        <w:rPr>
          <w:lang w:val="en-AU"/>
        </w:rPr>
        <w:t>2 WAR</w:t>
      </w:r>
      <w:r w:rsidRPr="00C104E6">
        <w:rPr>
          <w:lang w:val="en-AU"/>
        </w:rPr>
        <w:t>, Peace</w:t>
      </w:r>
      <w:r w:rsidR="00B44E71">
        <w:rPr>
          <w:lang w:val="en-AU"/>
        </w:rPr>
        <w:t>,</w:t>
      </w:r>
      <w:r w:rsidRPr="00C104E6">
        <w:rPr>
          <w:lang w:val="en-AU"/>
        </w:rPr>
        <w:t xml:space="preserve"> and Messiah </w:t>
      </w:r>
      <w:r w:rsidRPr="00C104E6">
        <w:rPr>
          <w:lang w:val="en-AU"/>
        </w:rPr>
        <w:br/>
        <w:t>in the Hebrew Bible</w:t>
      </w:r>
      <w:bookmarkEnd w:id="38"/>
      <w:bookmarkEnd w:id="39"/>
    </w:p>
    <w:p w14:paraId="39B7CA7D" w14:textId="48FBD0C3" w:rsidR="00041919" w:rsidRPr="00C104E6" w:rsidRDefault="00041919" w:rsidP="00BC7015">
      <w:pPr>
        <w:pStyle w:val="Heading2"/>
        <w:rPr>
          <w:bCs/>
        </w:rPr>
      </w:pPr>
      <w:bookmarkStart w:id="40" w:name="_Toc94536981"/>
      <w:bookmarkStart w:id="41" w:name="_Toc118063625"/>
      <w:r w:rsidRPr="00C104E6">
        <w:t>2.1 Introduction</w:t>
      </w:r>
      <w:bookmarkEnd w:id="40"/>
      <w:bookmarkEnd w:id="41"/>
    </w:p>
    <w:p w14:paraId="5ADFF78C" w14:textId="6F987751" w:rsidR="00041919" w:rsidRPr="00C104E6" w:rsidRDefault="00C544DF" w:rsidP="00041919">
      <w:pPr>
        <w:spacing w:line="480" w:lineRule="auto"/>
        <w:ind w:firstLine="720"/>
        <w:contextualSpacing/>
        <w:rPr>
          <w:lang w:val="en-AU"/>
        </w:rPr>
      </w:pPr>
      <w:bookmarkStart w:id="42" w:name="_Hlk93569100"/>
      <w:r w:rsidRPr="00C104E6">
        <w:rPr>
          <w:lang w:val="en-AU"/>
        </w:rPr>
        <w:t xml:space="preserve">This chapter considers key passages dealing with war and peace </w:t>
      </w:r>
      <w:r w:rsidR="00B91692" w:rsidRPr="00C104E6">
        <w:rPr>
          <w:lang w:val="en-AU"/>
        </w:rPr>
        <w:t xml:space="preserve">in the Hebrew </w:t>
      </w:r>
      <w:r w:rsidR="007D476B" w:rsidRPr="00C104E6">
        <w:rPr>
          <w:lang w:val="en-AU"/>
        </w:rPr>
        <w:t>Bible and</w:t>
      </w:r>
      <w:r w:rsidR="00B91692" w:rsidRPr="00C104E6">
        <w:rPr>
          <w:lang w:val="en-AU"/>
        </w:rPr>
        <w:t xml:space="preserve"> explores how images and themes from these passages are used in the New Testament.</w:t>
      </w:r>
      <w:r w:rsidR="006E428D" w:rsidRPr="00C104E6">
        <w:rPr>
          <w:lang w:val="en-AU"/>
        </w:rPr>
        <w:t xml:space="preserve">  Through the discussion of God as a </w:t>
      </w:r>
      <w:r w:rsidR="00987D33">
        <w:rPr>
          <w:lang w:val="en-AU"/>
        </w:rPr>
        <w:t>w</w:t>
      </w:r>
      <w:r w:rsidR="006E428D" w:rsidRPr="00C104E6">
        <w:rPr>
          <w:lang w:val="en-AU"/>
        </w:rPr>
        <w:t>arrior God and a God of people, the chapter demonstrates how the Northern and Southern kingdoms failed to develop active military offensive war strategies and relied on defensive strategy.  The chapter illustrates how by the time of Jesus, the Jewish people were not</w:t>
      </w:r>
      <w:r w:rsidR="003577C2">
        <w:rPr>
          <w:lang w:val="en-AU"/>
        </w:rPr>
        <w:t xml:space="preserve"> training to be warriors but were s</w:t>
      </w:r>
      <w:r w:rsidR="006E428D" w:rsidRPr="00C104E6">
        <w:rPr>
          <w:lang w:val="en-AU"/>
        </w:rPr>
        <w:t xml:space="preserve">urviving and assimilating; thus, a concept of a messianic redeemer develops as well as a theory of peace and war.  </w:t>
      </w:r>
    </w:p>
    <w:p w14:paraId="35804166" w14:textId="0EDC5382" w:rsidR="005A073E" w:rsidRPr="00C104E6" w:rsidRDefault="005A073E" w:rsidP="00BC7015">
      <w:pPr>
        <w:pStyle w:val="Heading2"/>
      </w:pPr>
      <w:bookmarkStart w:id="43" w:name="_Toc94536982"/>
      <w:bookmarkStart w:id="44" w:name="_Toc118063626"/>
      <w:bookmarkEnd w:id="42"/>
      <w:r w:rsidRPr="00C104E6">
        <w:rPr>
          <w:bCs/>
        </w:rPr>
        <w:t xml:space="preserve">2.2 </w:t>
      </w:r>
      <w:r w:rsidRPr="00C104E6">
        <w:t xml:space="preserve">Warrior God and </w:t>
      </w:r>
      <w:r w:rsidR="00C544DF" w:rsidRPr="00C104E6">
        <w:t>War</w:t>
      </w:r>
      <w:r w:rsidRPr="00C104E6">
        <w:t xml:space="preserve"> in the Hebrew Bible</w:t>
      </w:r>
      <w:bookmarkEnd w:id="43"/>
      <w:bookmarkEnd w:id="44"/>
    </w:p>
    <w:p w14:paraId="0866CA6B" w14:textId="3A369BBD" w:rsidR="001F23BE" w:rsidRPr="00C104E6" w:rsidRDefault="005A073E" w:rsidP="009E104C">
      <w:pPr>
        <w:spacing w:line="480" w:lineRule="auto"/>
        <w:ind w:firstLine="706"/>
        <w:contextualSpacing/>
        <w:rPr>
          <w:lang w:val="en-AU"/>
        </w:rPr>
      </w:pPr>
      <w:r w:rsidRPr="00C104E6">
        <w:rPr>
          <w:lang w:val="en-AU"/>
        </w:rPr>
        <w:t>In the Hebrew Bible</w:t>
      </w:r>
      <w:r w:rsidRPr="00C104E6">
        <w:rPr>
          <w:b/>
          <w:bCs/>
          <w:lang w:val="en-AU"/>
        </w:rPr>
        <w:t xml:space="preserve"> </w:t>
      </w:r>
      <w:r w:rsidRPr="00C104E6">
        <w:rPr>
          <w:lang w:val="en-AU"/>
        </w:rPr>
        <w:t>there are multiple passages that portray God as</w:t>
      </w:r>
      <w:r w:rsidR="001F23BE" w:rsidRPr="00C104E6">
        <w:rPr>
          <w:lang w:val="en-AU"/>
        </w:rPr>
        <w:t xml:space="preserve"> both</w:t>
      </w:r>
      <w:r w:rsidRPr="00C104E6">
        <w:rPr>
          <w:lang w:val="en-AU"/>
        </w:rPr>
        <w:t xml:space="preserve"> a </w:t>
      </w:r>
      <w:r w:rsidR="00075D70">
        <w:rPr>
          <w:lang w:val="en-AU"/>
        </w:rPr>
        <w:t>w</w:t>
      </w:r>
      <w:r w:rsidRPr="00C104E6">
        <w:rPr>
          <w:lang w:val="en-AU"/>
        </w:rPr>
        <w:t>arrior</w:t>
      </w:r>
      <w:r w:rsidR="00590CBD" w:rsidRPr="00C104E6">
        <w:rPr>
          <w:lang w:val="en-AU"/>
        </w:rPr>
        <w:t xml:space="preserve"> </w:t>
      </w:r>
      <w:r w:rsidRPr="00C104E6">
        <w:rPr>
          <w:lang w:val="en-AU"/>
        </w:rPr>
        <w:t>God and as a God of peace</w:t>
      </w:r>
      <w:r w:rsidR="001F23BE" w:rsidRPr="00C104E6">
        <w:rPr>
          <w:lang w:val="en-AU"/>
        </w:rPr>
        <w:t>, and both types of passage have captured the attention of academics working in the field of Hebrew Bible studies</w:t>
      </w:r>
      <w:r w:rsidRPr="00C104E6">
        <w:rPr>
          <w:lang w:val="en-AU"/>
        </w:rPr>
        <w:t>.</w:t>
      </w:r>
      <w:r w:rsidRPr="00C104E6">
        <w:rPr>
          <w:rStyle w:val="FootnoteReference"/>
          <w:lang w:val="en-AU"/>
        </w:rPr>
        <w:footnoteReference w:id="20"/>
      </w:r>
      <w:r w:rsidRPr="00C104E6">
        <w:rPr>
          <w:lang w:val="en-AU"/>
        </w:rPr>
        <w:t xml:space="preserve"> </w:t>
      </w:r>
    </w:p>
    <w:p w14:paraId="6ACE6708" w14:textId="07E853E6" w:rsidR="005A073E" w:rsidRPr="00C104E6" w:rsidRDefault="005A073E" w:rsidP="001F23BE">
      <w:pPr>
        <w:spacing w:line="480" w:lineRule="auto"/>
        <w:ind w:firstLine="706"/>
        <w:contextualSpacing/>
        <w:rPr>
          <w:lang w:val="en-AU"/>
        </w:rPr>
      </w:pPr>
      <w:r w:rsidRPr="00C104E6">
        <w:rPr>
          <w:lang w:val="en-AU"/>
        </w:rPr>
        <w:lastRenderedPageBreak/>
        <w:t xml:space="preserve">There is no doubt that the </w:t>
      </w:r>
      <w:r w:rsidRPr="00C104E6">
        <w:rPr>
          <w:i/>
          <w:iCs/>
          <w:lang w:val="en-AU"/>
        </w:rPr>
        <w:t>Tanakh</w:t>
      </w:r>
      <w:r w:rsidRPr="00C104E6">
        <w:rPr>
          <w:lang w:val="en-AU"/>
        </w:rPr>
        <w:t xml:space="preserve"> presents an image of Yahweh as a God of War.</w:t>
      </w:r>
      <w:r w:rsidRPr="00C104E6">
        <w:rPr>
          <w:rStyle w:val="FootnoteReference"/>
          <w:lang w:val="en-AU"/>
        </w:rPr>
        <w:footnoteReference w:id="21"/>
      </w:r>
      <w:r w:rsidRPr="00C104E6">
        <w:rPr>
          <w:lang w:val="en-AU"/>
        </w:rPr>
        <w:t xml:space="preserve"> During the conquest of Canaan by Joshua and the Israelites</w:t>
      </w:r>
      <w:r w:rsidR="009E104C" w:rsidRPr="00C104E6">
        <w:rPr>
          <w:lang w:val="en-AU"/>
        </w:rPr>
        <w:t>,</w:t>
      </w:r>
      <w:r w:rsidRPr="00C104E6">
        <w:rPr>
          <w:lang w:val="en-AU"/>
        </w:rPr>
        <w:t xml:space="preserve"> YHWH was depicted in </w:t>
      </w:r>
      <w:r w:rsidR="00684791" w:rsidRPr="00C104E6">
        <w:rPr>
          <w:lang w:val="en-AU"/>
        </w:rPr>
        <w:t>Hebrew Bible</w:t>
      </w:r>
      <w:r w:rsidRPr="00C104E6">
        <w:rPr>
          <w:lang w:val="en-AU"/>
        </w:rPr>
        <w:t xml:space="preserve"> as a </w:t>
      </w:r>
      <w:r w:rsidR="00075D70">
        <w:rPr>
          <w:lang w:val="en-AU"/>
        </w:rPr>
        <w:t>w</w:t>
      </w:r>
      <w:r w:rsidRPr="00C104E6">
        <w:rPr>
          <w:lang w:val="en-AU"/>
        </w:rPr>
        <w:t>arrior Go</w:t>
      </w:r>
      <w:r w:rsidR="004D4CD6">
        <w:rPr>
          <w:lang w:val="en-AU"/>
        </w:rPr>
        <w:t>d,</w:t>
      </w:r>
      <w:r w:rsidR="005A0462" w:rsidRPr="00C104E6">
        <w:rPr>
          <w:lang w:val="en-AU"/>
        </w:rPr>
        <w:t xml:space="preserve"> but he is not depicted as a </w:t>
      </w:r>
      <w:r w:rsidR="00E007B3">
        <w:rPr>
          <w:lang w:val="en-AU"/>
        </w:rPr>
        <w:t>g</w:t>
      </w:r>
      <w:r w:rsidR="005A0462" w:rsidRPr="00C104E6">
        <w:rPr>
          <w:lang w:val="en-AU"/>
        </w:rPr>
        <w:t xml:space="preserve">od of war like the Greek and Roman </w:t>
      </w:r>
      <w:r w:rsidR="004D4CD6">
        <w:rPr>
          <w:lang w:val="en-AU"/>
        </w:rPr>
        <w:t>g</w:t>
      </w:r>
      <w:r w:rsidR="005A0462" w:rsidRPr="00C104E6">
        <w:rPr>
          <w:lang w:val="en-AU"/>
        </w:rPr>
        <w:t>ods of Ares and Mars.</w:t>
      </w:r>
      <w:r w:rsidRPr="00C104E6">
        <w:rPr>
          <w:rStyle w:val="FootnoteReference"/>
          <w:lang w:val="en-AU"/>
        </w:rPr>
        <w:footnoteReference w:id="22"/>
      </w:r>
      <w:r w:rsidRPr="00C104E6">
        <w:rPr>
          <w:lang w:val="en-AU"/>
        </w:rPr>
        <w:t xml:space="preserve"> During this time all foreigners needed to worship YHWH to be accepted into the community.</w:t>
      </w:r>
      <w:r w:rsidRPr="00C104E6">
        <w:rPr>
          <w:rStyle w:val="FootnoteReference"/>
          <w:lang w:val="en-AU"/>
        </w:rPr>
        <w:footnoteReference w:id="23"/>
      </w:r>
      <w:r w:rsidRPr="00C104E6">
        <w:rPr>
          <w:lang w:val="en-AU"/>
        </w:rPr>
        <w:t xml:space="preserve"> If they refused, they could not remain in the land.</w:t>
      </w:r>
      <w:r w:rsidRPr="00C104E6">
        <w:rPr>
          <w:rStyle w:val="FootnoteReference"/>
          <w:lang w:val="en-AU"/>
        </w:rPr>
        <w:footnoteReference w:id="24"/>
      </w:r>
      <w:r w:rsidRPr="00C104E6">
        <w:rPr>
          <w:lang w:val="en-AU"/>
        </w:rPr>
        <w:t xml:space="preserve"> Coincidentally, warfare was allowed for the Jewish people in the Northern and Southern kingdoms.</w:t>
      </w:r>
      <w:r w:rsidRPr="00C104E6">
        <w:rPr>
          <w:rStyle w:val="FootnoteReference"/>
          <w:lang w:val="en-AU"/>
        </w:rPr>
        <w:footnoteReference w:id="25"/>
      </w:r>
      <w:r w:rsidRPr="00C104E6">
        <w:rPr>
          <w:lang w:val="en-AU"/>
        </w:rPr>
        <w:t xml:space="preserve"> There are stories in the </w:t>
      </w:r>
      <w:r w:rsidRPr="00C104E6">
        <w:rPr>
          <w:i/>
          <w:iCs/>
          <w:lang w:val="en-AU"/>
        </w:rPr>
        <w:t>Tanakh</w:t>
      </w:r>
      <w:r w:rsidRPr="00C104E6">
        <w:rPr>
          <w:lang w:val="en-AU"/>
        </w:rPr>
        <w:t xml:space="preserve"> that portray YHWH as the </w:t>
      </w:r>
      <w:r w:rsidR="00075D70">
        <w:rPr>
          <w:lang w:val="en-AU"/>
        </w:rPr>
        <w:t>w</w:t>
      </w:r>
      <w:r w:rsidRPr="00C104E6">
        <w:rPr>
          <w:lang w:val="en-AU"/>
        </w:rPr>
        <w:t xml:space="preserve">arrior God. </w:t>
      </w:r>
      <w:r w:rsidR="004D4CD6">
        <w:rPr>
          <w:lang w:val="en-AU"/>
        </w:rPr>
        <w:t>Second</w:t>
      </w:r>
      <w:r w:rsidRPr="00C104E6">
        <w:rPr>
          <w:lang w:val="en-AU"/>
        </w:rPr>
        <w:t xml:space="preserve"> Samuel 5:2</w:t>
      </w:r>
      <w:r w:rsidR="00FA349B" w:rsidRPr="00C104E6">
        <w:rPr>
          <w:lang w:val="en-AU"/>
        </w:rPr>
        <w:t>4</w:t>
      </w:r>
      <w:r w:rsidRPr="00C104E6">
        <w:rPr>
          <w:lang w:val="en-AU"/>
        </w:rPr>
        <w:t xml:space="preserve"> explains how YHWH instructed David, “When you hear the sound of marching in the tops of the balsam trees, then go into action, for the Lord will be going in front of you to attack the Philistine forces”. YHWH also directed hailstones, the moon, the sun, and the stars as well as torrential waters (Josh 10:11–13, Judg 5:20–21). Ballentine suggests that in this respect, </w:t>
      </w:r>
      <w:r w:rsidRPr="00C104E6">
        <w:rPr>
          <w:lang w:val="en-AU"/>
        </w:rPr>
        <w:lastRenderedPageBreak/>
        <w:t>YHWH resembles Ugaritic Baal, who armed himself with the forces of the storm—clouds, winds, lightning bolts, and rains.</w:t>
      </w:r>
      <w:r w:rsidRPr="00C104E6">
        <w:rPr>
          <w:rStyle w:val="FootnoteReference"/>
          <w:lang w:val="en-AU"/>
        </w:rPr>
        <w:footnoteReference w:id="26"/>
      </w:r>
      <w:r w:rsidRPr="00C104E6">
        <w:rPr>
          <w:lang w:val="en-AU"/>
        </w:rPr>
        <w:t xml:space="preserve">  For the people of the </w:t>
      </w:r>
      <w:r w:rsidRPr="00C104E6">
        <w:rPr>
          <w:i/>
          <w:iCs/>
          <w:lang w:val="en-AU"/>
        </w:rPr>
        <w:t>Tanakh</w:t>
      </w:r>
      <w:r w:rsidRPr="00C104E6">
        <w:rPr>
          <w:lang w:val="en-AU"/>
        </w:rPr>
        <w:t>, self-preservation is connected to war.</w:t>
      </w:r>
      <w:r w:rsidRPr="00C104E6">
        <w:rPr>
          <w:rStyle w:val="FootnoteReference"/>
          <w:lang w:val="en-AU"/>
        </w:rPr>
        <w:footnoteReference w:id="27"/>
      </w:r>
      <w:r w:rsidRPr="00C104E6">
        <w:rPr>
          <w:lang w:val="en-AU"/>
        </w:rPr>
        <w:t xml:space="preserve"> Fighting and killing for national self-preservation may have been dictated by God against adversaries</w:t>
      </w:r>
      <w:r w:rsidR="00805DFD" w:rsidRPr="00C104E6">
        <w:rPr>
          <w:lang w:val="en-AU"/>
        </w:rPr>
        <w:t>,</w:t>
      </w:r>
      <w:r w:rsidRPr="00C104E6">
        <w:rPr>
          <w:lang w:val="en-AU"/>
        </w:rPr>
        <w:t xml:space="preserve"> such as the incident described in 1 Samuel 15 when Saul failed to destroy all the Amalekites; however, this did not include an actual ethic of war.</w:t>
      </w:r>
      <w:r w:rsidRPr="00C104E6">
        <w:rPr>
          <w:rStyle w:val="FootnoteReference"/>
          <w:lang w:val="en-AU"/>
        </w:rPr>
        <w:footnoteReference w:id="28"/>
      </w:r>
      <w:r w:rsidRPr="00C104E6">
        <w:rPr>
          <w:lang w:val="en-AU"/>
        </w:rPr>
        <w:t xml:space="preserve"> This call for genocide remains without explanation as to why an entire people must be eradicated until we learn later the ramifications that Haman, who was a defender of Agag, the king of the Amalekites, became a threat to the Jewish people.</w:t>
      </w:r>
      <w:r w:rsidRPr="00C104E6">
        <w:rPr>
          <w:rStyle w:val="FootnoteReference"/>
          <w:lang w:val="en-AU"/>
        </w:rPr>
        <w:footnoteReference w:id="29"/>
      </w:r>
      <w:r w:rsidRPr="00C104E6">
        <w:rPr>
          <w:lang w:val="en-AU"/>
        </w:rPr>
        <w:t xml:space="preserve"> </w:t>
      </w:r>
      <w:r w:rsidR="00684791" w:rsidRPr="00C104E6">
        <w:rPr>
          <w:lang w:val="en-AU"/>
        </w:rPr>
        <w:t xml:space="preserve">The Northern and Southern kingdoms </w:t>
      </w:r>
      <w:r w:rsidR="00684791" w:rsidRPr="00C104E6">
        <w:rPr>
          <w:lang w:val="en-AU"/>
        </w:rPr>
        <w:lastRenderedPageBreak/>
        <w:t>failed to develop an active military offensive war strategy. After David and Solomon secured the kingdom, formerly victorious Israel was largely reduced to defensive tactics against superior armies</w:t>
      </w:r>
      <w:r w:rsidRPr="00C104E6">
        <w:rPr>
          <w:lang w:val="en-AU"/>
        </w:rPr>
        <w:t>.</w:t>
      </w:r>
      <w:r w:rsidRPr="00C104E6">
        <w:rPr>
          <w:rStyle w:val="FootnoteReference"/>
          <w:lang w:val="en-AU"/>
        </w:rPr>
        <w:footnoteReference w:id="30"/>
      </w:r>
      <w:r w:rsidRPr="00C104E6">
        <w:rPr>
          <w:lang w:val="en-AU"/>
        </w:rPr>
        <w:t xml:space="preserve">  </w:t>
      </w:r>
    </w:p>
    <w:p w14:paraId="0B53A049" w14:textId="23402BC2" w:rsidR="005A073E" w:rsidRPr="00C104E6" w:rsidRDefault="005A073E" w:rsidP="005A073E">
      <w:pPr>
        <w:spacing w:line="480" w:lineRule="auto"/>
        <w:ind w:firstLine="709"/>
        <w:contextualSpacing/>
        <w:rPr>
          <w:lang w:val="en-AU"/>
        </w:rPr>
      </w:pPr>
      <w:r w:rsidRPr="00C104E6">
        <w:rPr>
          <w:lang w:val="en-AU"/>
        </w:rPr>
        <w:t>The Torah limits the capacity of kings to acquire tools of war.</w:t>
      </w:r>
      <w:r w:rsidRPr="00C104E6">
        <w:rPr>
          <w:rStyle w:val="FootnoteReference"/>
          <w:lang w:val="en-AU"/>
        </w:rPr>
        <w:footnoteReference w:id="31"/>
      </w:r>
      <w:r w:rsidRPr="00C104E6">
        <w:rPr>
          <w:lang w:val="en-AU"/>
        </w:rPr>
        <w:t xml:space="preserve"> Deuteronomy 17:16 prohibits a king from accumulating excess </w:t>
      </w:r>
      <w:r w:rsidR="00A34897">
        <w:rPr>
          <w:lang w:val="en-AU"/>
        </w:rPr>
        <w:t xml:space="preserve">and numerous </w:t>
      </w:r>
      <w:r w:rsidRPr="00C104E6">
        <w:rPr>
          <w:lang w:val="en-AU"/>
        </w:rPr>
        <w:t>horses</w:t>
      </w:r>
      <w:r w:rsidR="00A34897">
        <w:rPr>
          <w:lang w:val="en-AU"/>
        </w:rPr>
        <w:t>, to include speciali</w:t>
      </w:r>
      <w:r w:rsidR="00876365">
        <w:rPr>
          <w:lang w:val="en-AU"/>
        </w:rPr>
        <w:t>s</w:t>
      </w:r>
      <w:r w:rsidR="00A34897">
        <w:rPr>
          <w:lang w:val="en-AU"/>
        </w:rPr>
        <w:t>ed horses used by Egypt for war</w:t>
      </w:r>
      <w:r w:rsidRPr="00C104E6">
        <w:rPr>
          <w:lang w:val="en-AU"/>
        </w:rPr>
        <w:t>.</w:t>
      </w:r>
      <w:r w:rsidRPr="00C104E6">
        <w:rPr>
          <w:rStyle w:val="FootnoteReference"/>
          <w:lang w:val="en-AU"/>
        </w:rPr>
        <w:footnoteReference w:id="32"/>
      </w:r>
      <w:r w:rsidRPr="00C104E6">
        <w:rPr>
          <w:lang w:val="en-AU"/>
        </w:rPr>
        <w:t xml:space="preserve"> This prevents the king from creating a vast army of war and keeps the king’s cavalry limited to only personal use, such as personal transportation, as opposed to amassing overly large herds of horses, to go to war.</w:t>
      </w:r>
      <w:r w:rsidRPr="00C104E6">
        <w:rPr>
          <w:rStyle w:val="FootnoteReference"/>
          <w:lang w:val="en-AU"/>
        </w:rPr>
        <w:footnoteReference w:id="33"/>
      </w:r>
      <w:r w:rsidRPr="00C104E6">
        <w:rPr>
          <w:lang w:val="en-AU"/>
        </w:rPr>
        <w:t xml:space="preserve">  The king was also not to acquire wealth or large harems from war or peace, nor for an exhibition of a surplus of personal </w:t>
      </w:r>
      <w:r w:rsidRPr="00C104E6">
        <w:rPr>
          <w:lang w:val="en-AU"/>
        </w:rPr>
        <w:lastRenderedPageBreak/>
        <w:t>wealth.</w:t>
      </w:r>
      <w:r w:rsidRPr="00C104E6">
        <w:rPr>
          <w:rStyle w:val="FootnoteReference"/>
          <w:lang w:val="en-AU"/>
        </w:rPr>
        <w:footnoteReference w:id="34"/>
      </w:r>
      <w:r w:rsidRPr="00C104E6">
        <w:rPr>
          <w:lang w:val="en-AU"/>
        </w:rPr>
        <w:t xml:space="preserve"> The direction to not accumulate a large standing army was juxtaposed against the large army of Egypt. Hazony summari</w:t>
      </w:r>
      <w:r w:rsidR="00D86BBD" w:rsidRPr="00C104E6">
        <w:rPr>
          <w:lang w:val="en-AU"/>
        </w:rPr>
        <w:t>s</w:t>
      </w:r>
      <w:r w:rsidRPr="00C104E6">
        <w:rPr>
          <w:lang w:val="en-AU"/>
        </w:rPr>
        <w:t>es the biblical case for limiting government for David thus:</w:t>
      </w:r>
    </w:p>
    <w:p w14:paraId="74FF1385" w14:textId="5072D7D8" w:rsidR="00D25D36" w:rsidRPr="00C104E6" w:rsidRDefault="005A073E" w:rsidP="005A073E">
      <w:pPr>
        <w:ind w:left="706" w:right="706"/>
        <w:rPr>
          <w:shd w:val="clear" w:color="auto" w:fill="FFFFFF"/>
          <w:lang w:val="en-AU"/>
        </w:rPr>
      </w:pPr>
      <w:r w:rsidRPr="00C104E6">
        <w:rPr>
          <w:shd w:val="clear" w:color="auto" w:fill="FFFFFF"/>
          <w:lang w:val="en-AU"/>
        </w:rPr>
        <w:t>The law of the king thus proposes a limited state: one headed by a king whose life is not consumed in the unending quest for ever-greater power but is instead subject to a law that is higher than his own whims and whose purpose is the well-being of the nation. In the same way, the narrative also insists that the state be limited territorially, with the books of Moses and Joshua both including clear boundaries for the land and warning against encroachment on the lands of neighbouring peoples.</w:t>
      </w:r>
      <w:r w:rsidRPr="00C104E6">
        <w:rPr>
          <w:rStyle w:val="FootnoteReference"/>
          <w:shd w:val="clear" w:color="auto" w:fill="FFFFFF"/>
          <w:lang w:val="en-AU"/>
        </w:rPr>
        <w:footnoteReference w:id="35"/>
      </w:r>
    </w:p>
    <w:p w14:paraId="60CF6836" w14:textId="77777777" w:rsidR="00E30455" w:rsidRPr="00C104E6" w:rsidRDefault="00E30455" w:rsidP="005A073E">
      <w:pPr>
        <w:ind w:left="706" w:right="706"/>
        <w:rPr>
          <w:lang w:val="en-AU"/>
        </w:rPr>
      </w:pPr>
    </w:p>
    <w:p w14:paraId="26EB22D4" w14:textId="6100A08E" w:rsidR="00E96EBC" w:rsidRPr="00C104E6" w:rsidRDefault="005A073E" w:rsidP="005A073E">
      <w:pPr>
        <w:spacing w:line="480" w:lineRule="auto"/>
        <w:contextualSpacing/>
        <w:rPr>
          <w:lang w:val="en-AU"/>
        </w:rPr>
      </w:pPr>
      <w:r w:rsidRPr="00C104E6">
        <w:rPr>
          <w:lang w:val="en-AU"/>
        </w:rPr>
        <w:t>Even though Saul created a standing army, and David grew a standing army, this was against the biblical directives of Torah and shows contrasting ideologies in the narratives about the conquests in the early theocracy. The Egyptians set a standard for the use and value of large chariot armies among the neighbouring communities.</w:t>
      </w:r>
      <w:r w:rsidRPr="00C104E6">
        <w:rPr>
          <w:rStyle w:val="FootnoteReference"/>
          <w:lang w:val="en-AU"/>
        </w:rPr>
        <w:footnoteReference w:id="36"/>
      </w:r>
      <w:r w:rsidRPr="00C104E6">
        <w:rPr>
          <w:lang w:val="en-AU"/>
        </w:rPr>
        <w:t xml:space="preserve"> For the Egyptian Pharaoh, the chariot represented his heroic personality with gods overseeing his military strength.</w:t>
      </w:r>
      <w:r w:rsidRPr="00C104E6">
        <w:rPr>
          <w:rStyle w:val="FootnoteReference"/>
          <w:lang w:val="en-AU"/>
        </w:rPr>
        <w:footnoteReference w:id="37"/>
      </w:r>
      <w:r w:rsidRPr="00C104E6">
        <w:rPr>
          <w:lang w:val="en-AU"/>
        </w:rPr>
        <w:t xml:space="preserve"> However, the </w:t>
      </w:r>
      <w:r w:rsidRPr="00C104E6">
        <w:rPr>
          <w:lang w:val="en-AU"/>
        </w:rPr>
        <w:lastRenderedPageBreak/>
        <w:t xml:space="preserve">God of Israel commanded the Israelites </w:t>
      </w:r>
      <w:r w:rsidRPr="00C104E6">
        <w:rPr>
          <w:i/>
          <w:iCs/>
          <w:lang w:val="en-AU"/>
        </w:rPr>
        <w:t xml:space="preserve">not </w:t>
      </w:r>
      <w:r w:rsidRPr="00C104E6">
        <w:rPr>
          <w:lang w:val="en-AU"/>
        </w:rPr>
        <w:t>to have excess like the Egyptians.</w:t>
      </w:r>
      <w:r w:rsidRPr="00C104E6">
        <w:rPr>
          <w:rStyle w:val="FootnoteReference"/>
          <w:lang w:val="en-AU"/>
        </w:rPr>
        <w:footnoteReference w:id="38"/>
      </w:r>
      <w:r w:rsidRPr="00C104E6">
        <w:rPr>
          <w:lang w:val="en-AU"/>
        </w:rPr>
        <w:t xml:space="preserve"> Historically, however, kings have developed large armies, made themselves rich, and taken pleasure in their harems.</w:t>
      </w:r>
      <w:r w:rsidRPr="00C104E6">
        <w:rPr>
          <w:rStyle w:val="FootnoteReference"/>
          <w:lang w:val="en-AU"/>
        </w:rPr>
        <w:footnoteReference w:id="39"/>
      </w:r>
      <w:r w:rsidRPr="00C104E6">
        <w:rPr>
          <w:lang w:val="en-AU"/>
        </w:rPr>
        <w:t xml:space="preserve"> Even though the kings acquired wealth contrary to the commands of Torah, they never developed an ethos in favour of wars against foreign lands. In the Torah, standardi</w:t>
      </w:r>
      <w:r w:rsidR="00D86BBD" w:rsidRPr="00C104E6">
        <w:rPr>
          <w:lang w:val="en-AU"/>
        </w:rPr>
        <w:t>s</w:t>
      </w:r>
      <w:r w:rsidRPr="00C104E6">
        <w:rPr>
          <w:lang w:val="en-AU"/>
        </w:rPr>
        <w:t>ed precepts of war were not developed. Seltzer suggests that “there is no Jewish theory of war and peace, and until modern times, there were no theories produced by individual Jews.”</w:t>
      </w:r>
      <w:r w:rsidRPr="00C104E6">
        <w:rPr>
          <w:rStyle w:val="FootnoteReference"/>
          <w:lang w:val="en-AU"/>
        </w:rPr>
        <w:footnoteReference w:id="40"/>
      </w:r>
      <w:r w:rsidRPr="00C104E6">
        <w:rPr>
          <w:lang w:val="en-AU"/>
        </w:rPr>
        <w:t xml:space="preserve"> </w:t>
      </w:r>
    </w:p>
    <w:p w14:paraId="630E4807" w14:textId="2F5D907F" w:rsidR="005A073E" w:rsidRPr="00C104E6" w:rsidRDefault="005A073E" w:rsidP="00E96EBC">
      <w:pPr>
        <w:spacing w:line="480" w:lineRule="auto"/>
        <w:ind w:firstLine="720"/>
        <w:contextualSpacing/>
        <w:rPr>
          <w:lang w:val="en-AU"/>
        </w:rPr>
      </w:pPr>
      <w:r w:rsidRPr="00C104E6">
        <w:rPr>
          <w:lang w:val="en-AU"/>
        </w:rPr>
        <w:t xml:space="preserve">The Bible does have many records of large armies such as those that Abijah and Jeroboam </w:t>
      </w:r>
      <w:r w:rsidR="00A34897" w:rsidRPr="00C104E6">
        <w:rPr>
          <w:lang w:val="en-AU"/>
        </w:rPr>
        <w:t>accumulated</w:t>
      </w:r>
      <w:r w:rsidRPr="00C104E6">
        <w:rPr>
          <w:lang w:val="en-AU"/>
        </w:rPr>
        <w:t xml:space="preserve"> </w:t>
      </w:r>
      <w:r w:rsidR="00A34897">
        <w:rPr>
          <w:lang w:val="en-AU"/>
        </w:rPr>
        <w:t xml:space="preserve">to have in a war against one another </w:t>
      </w:r>
      <w:r w:rsidRPr="00C104E6">
        <w:rPr>
          <w:lang w:val="en-AU"/>
        </w:rPr>
        <w:t xml:space="preserve">(2 Chr 13).  Solomon’s accumulation of many chariots and horses is an example of a large army: “And Solomon gathered together chariots and horsemen; and he had a thousand and four hundred chariots, and twelve thousand horsemen….” (1 Kgs 10:26). In the Hebrew text, the verse reads: </w:t>
      </w:r>
    </w:p>
    <w:p w14:paraId="35EE0D55" w14:textId="77777777" w:rsidR="005A073E" w:rsidRPr="009E7B69" w:rsidRDefault="005A073E" w:rsidP="005A073E">
      <w:pPr>
        <w:spacing w:line="480" w:lineRule="auto"/>
        <w:contextualSpacing/>
        <w:jc w:val="right"/>
      </w:pPr>
      <w:r w:rsidRPr="009E7B69">
        <w:rPr>
          <w:rtl/>
        </w:rPr>
        <w:t>וַיֶּאֱסֹ֣ף שְׁלֹמֹה֮ רֶ֣כֶב וּפָרָשִׁים֒ וַיְהִי־לֹ֗ו אֶ֤לֶף וְאַרְבַּע־מֵאֹות֙ רֶ֔כֶב וּשְׁנֵים־עָשָׂ֥ר אֶ֖לֶף פָּֽרָשִׁ֑ים וַיַּנְחֵם֙ בְּעָרֵ֣י הָרֶ֔כֶב וְעִם־הַמֶּ֖לֶךְ בִּירוּשָׁלִָֽם׃</w:t>
      </w:r>
      <w:r w:rsidRPr="009E7B69">
        <w:t xml:space="preserve"> </w:t>
      </w:r>
    </w:p>
    <w:p w14:paraId="08825916" w14:textId="242EB934" w:rsidR="005A073E" w:rsidRPr="00C104E6" w:rsidRDefault="005A073E" w:rsidP="005A073E">
      <w:pPr>
        <w:widowControl w:val="0"/>
        <w:autoSpaceDE w:val="0"/>
        <w:autoSpaceDN w:val="0"/>
        <w:adjustRightInd w:val="0"/>
        <w:spacing w:before="120" w:line="480" w:lineRule="auto"/>
        <w:rPr>
          <w:lang w:val="en-AU"/>
        </w:rPr>
      </w:pPr>
      <w:r w:rsidRPr="00C104E6">
        <w:rPr>
          <w:lang w:val="en-AU"/>
        </w:rPr>
        <w:t>The Hebrew word</w:t>
      </w:r>
      <w:r w:rsidRPr="009E7B69">
        <w:t xml:space="preserve"> </w:t>
      </w:r>
      <w:r w:rsidRPr="009E7B69">
        <w:rPr>
          <w:rtl/>
        </w:rPr>
        <w:t>פָּרָשׁ</w:t>
      </w:r>
      <w:r w:rsidRPr="009E7B69">
        <w:t xml:space="preserve"> </w:t>
      </w:r>
      <w:r w:rsidRPr="00C104E6">
        <w:rPr>
          <w:lang w:val="en-AU"/>
        </w:rPr>
        <w:t xml:space="preserve">means “horseman” (although rendered “horse” or “steed” by some translators). Solomon established himself as a middleman, a dealer of sorts, importing horses </w:t>
      </w:r>
      <w:r w:rsidRPr="00C104E6">
        <w:rPr>
          <w:lang w:val="en-AU"/>
        </w:rPr>
        <w:lastRenderedPageBreak/>
        <w:t xml:space="preserve">and chariots from Que (Tarsus) and Egypt.  He would then sell them to Hatti and Aram (1 Kgs 10:28–29). This placed Solomon as an arms dealer and trader. It is nevertheless obvious that, even apart from </w:t>
      </w:r>
      <w:r w:rsidR="00316364">
        <w:rPr>
          <w:lang w:val="en-AU"/>
        </w:rPr>
        <w:t xml:space="preserve">the marriage of </w:t>
      </w:r>
      <w:r w:rsidRPr="00C104E6">
        <w:rPr>
          <w:lang w:val="en-AU"/>
        </w:rPr>
        <w:t xml:space="preserve">Solomon marriage to </w:t>
      </w:r>
      <w:r w:rsidR="00316364">
        <w:rPr>
          <w:lang w:val="en-AU"/>
        </w:rPr>
        <w:t>a</w:t>
      </w:r>
      <w:r w:rsidRPr="00C104E6">
        <w:rPr>
          <w:lang w:val="en-AU"/>
        </w:rPr>
        <w:t xml:space="preserve"> princess</w:t>
      </w:r>
      <w:r w:rsidR="00316364">
        <w:rPr>
          <w:lang w:val="en-AU"/>
        </w:rPr>
        <w:t xml:space="preserve"> from Egypt</w:t>
      </w:r>
      <w:r w:rsidRPr="00C104E6">
        <w:rPr>
          <w:lang w:val="en-AU"/>
        </w:rPr>
        <w:t xml:space="preserve"> (1 Kgs 3:1), this account of his reign does implicate him in trying, in a sense, to undo Exodus by sending his people back to Egypt to buy horses and chariots (1 Kgs 10:28–29)—something that Deut 17:16 specifically prohibits. </w:t>
      </w:r>
    </w:p>
    <w:p w14:paraId="0689B009" w14:textId="725AD6EF" w:rsidR="00E96EBC" w:rsidRPr="00C104E6" w:rsidRDefault="00EE13DB" w:rsidP="00E96EBC">
      <w:pPr>
        <w:spacing w:line="480" w:lineRule="auto"/>
        <w:ind w:firstLine="706"/>
        <w:contextualSpacing/>
        <w:rPr>
          <w:lang w:val="en-AU"/>
        </w:rPr>
      </w:pPr>
      <w:r w:rsidRPr="00C104E6">
        <w:rPr>
          <w:lang w:val="en-AU"/>
        </w:rPr>
        <w:t>The experience of war in the 8</w:t>
      </w:r>
      <w:r w:rsidRPr="00C104E6">
        <w:rPr>
          <w:vertAlign w:val="superscript"/>
          <w:lang w:val="en-AU"/>
        </w:rPr>
        <w:t>th</w:t>
      </w:r>
      <w:r w:rsidRPr="00C104E6">
        <w:rPr>
          <w:lang w:val="en-AU"/>
        </w:rPr>
        <w:t xml:space="preserve"> to 6</w:t>
      </w:r>
      <w:r w:rsidRPr="00C104E6">
        <w:rPr>
          <w:vertAlign w:val="superscript"/>
          <w:lang w:val="en-AU"/>
        </w:rPr>
        <w:t>th</w:t>
      </w:r>
      <w:r w:rsidRPr="00C104E6">
        <w:rPr>
          <w:lang w:val="en-AU"/>
        </w:rPr>
        <w:t xml:space="preserve"> century was different: instead of being the aggressors against the established nations, Israel and Judah </w:t>
      </w:r>
      <w:r w:rsidR="00595669" w:rsidRPr="00C104E6">
        <w:rPr>
          <w:lang w:val="en-AU"/>
        </w:rPr>
        <w:t xml:space="preserve">became the target of aggressive foreign </w:t>
      </w:r>
      <w:r w:rsidR="008A29EE" w:rsidRPr="00C104E6">
        <w:rPr>
          <w:lang w:val="en-AU"/>
        </w:rPr>
        <w:t>invaders and</w:t>
      </w:r>
      <w:r w:rsidR="0057323C" w:rsidRPr="00C104E6">
        <w:rPr>
          <w:lang w:val="en-AU"/>
        </w:rPr>
        <w:t xml:space="preserve"> did not have an effective military means to resist the invaders.  As</w:t>
      </w:r>
      <w:r w:rsidRPr="00C104E6">
        <w:rPr>
          <w:lang w:val="en-AU"/>
        </w:rPr>
        <w:t xml:space="preserve"> </w:t>
      </w:r>
      <w:r w:rsidR="00E96EBC" w:rsidRPr="00C104E6">
        <w:rPr>
          <w:lang w:val="en-AU"/>
        </w:rPr>
        <w:t>Elizabeth Bloch-Smith explains:</w:t>
      </w:r>
    </w:p>
    <w:p w14:paraId="46CCF7B1" w14:textId="782DB9D8" w:rsidR="00E30455" w:rsidRPr="00C104E6" w:rsidRDefault="00E96EBC" w:rsidP="00E30455">
      <w:pPr>
        <w:pStyle w:val="Blockquotation"/>
        <w:rPr>
          <w:sz w:val="24"/>
          <w:lang w:val="en-AU"/>
        </w:rPr>
      </w:pPr>
      <w:r w:rsidRPr="00C104E6">
        <w:rPr>
          <w:sz w:val="24"/>
          <w:lang w:val="en-AU"/>
        </w:rPr>
        <w:t>One contribution of archaeology to biblical studies is to raise questions prompted by material remains. In this context, the physical devastation wrought by the campaigns of Tiglath-pileser III through Nebuchadnezzar with their concomitant death and suffering raises the question of YHWH’s role in the unfolding events. Both biblical texts and archaeological evidence attest to successful assaults on settlements in Israel and Judah beginning in the late 8</w:t>
      </w:r>
      <w:r w:rsidRPr="00C104E6">
        <w:rPr>
          <w:sz w:val="24"/>
          <w:vertAlign w:val="superscript"/>
          <w:lang w:val="en-AU"/>
        </w:rPr>
        <w:t>th</w:t>
      </w:r>
      <w:r w:rsidRPr="00C104E6">
        <w:rPr>
          <w:sz w:val="24"/>
          <w:lang w:val="en-AU"/>
        </w:rPr>
        <w:t xml:space="preserve"> century. No match for the Assyrian and Babylonian armies, Israelites retreated from offensive to defensive strategies. This tactical shift occasioned a reconceptualization of the national deity, the warrior god YHWH. 8</w:t>
      </w:r>
      <w:r w:rsidRPr="00C104E6">
        <w:rPr>
          <w:sz w:val="24"/>
          <w:vertAlign w:val="superscript"/>
          <w:lang w:val="en-AU"/>
        </w:rPr>
        <w:t>th</w:t>
      </w:r>
      <w:r w:rsidRPr="00C104E6">
        <w:rPr>
          <w:sz w:val="24"/>
          <w:lang w:val="en-AU"/>
        </w:rPr>
        <w:t xml:space="preserve"> – 6</w:t>
      </w:r>
      <w:r w:rsidRPr="00C104E6">
        <w:rPr>
          <w:sz w:val="24"/>
          <w:vertAlign w:val="superscript"/>
          <w:lang w:val="en-AU"/>
        </w:rPr>
        <w:t>th</w:t>
      </w:r>
      <w:r w:rsidRPr="00C104E6">
        <w:rPr>
          <w:sz w:val="24"/>
          <w:lang w:val="en-AU"/>
        </w:rPr>
        <w:t xml:space="preserve"> century prophetic and Deuteronomistic references to siege warfare and the deity’s response increasingly portray YHWH as a warrior in a new guise, transitioning from field marshal to “situation-room” supreme military commander in charge of all forces—Israelite and enemy alike.</w:t>
      </w:r>
      <w:r w:rsidRPr="00C104E6">
        <w:rPr>
          <w:rStyle w:val="FootnoteReference"/>
          <w:sz w:val="24"/>
          <w:lang w:val="en-AU"/>
        </w:rPr>
        <w:footnoteReference w:id="41"/>
      </w:r>
    </w:p>
    <w:p w14:paraId="72D7E4CE" w14:textId="4C5AB0AC" w:rsidR="00E96EBC" w:rsidRPr="00C104E6" w:rsidRDefault="00E96EBC" w:rsidP="00610BBD">
      <w:pPr>
        <w:spacing w:before="240" w:line="480" w:lineRule="auto"/>
        <w:rPr>
          <w:lang w:val="en-AU"/>
        </w:rPr>
      </w:pPr>
      <w:r w:rsidRPr="00C104E6">
        <w:rPr>
          <w:lang w:val="en-AU"/>
        </w:rPr>
        <w:t xml:space="preserve">With the recasting of the image of YHWH as a </w:t>
      </w:r>
      <w:r w:rsidR="00075D70">
        <w:rPr>
          <w:lang w:val="en-AU"/>
        </w:rPr>
        <w:t>w</w:t>
      </w:r>
      <w:r w:rsidRPr="00C104E6">
        <w:rPr>
          <w:lang w:val="en-AU"/>
        </w:rPr>
        <w:t>arrior God during the conflict with the Assyrian and Babylonian armies, there was a need to reveal that YHWH was in control and supreme.</w:t>
      </w:r>
      <w:r w:rsidRPr="00C104E6">
        <w:rPr>
          <w:rStyle w:val="FootnoteReference"/>
          <w:lang w:val="en-AU"/>
        </w:rPr>
        <w:footnoteReference w:id="42"/>
      </w:r>
      <w:r w:rsidRPr="00C104E6">
        <w:rPr>
          <w:lang w:val="en-AU"/>
        </w:rPr>
        <w:t xml:space="preserve"> </w:t>
      </w:r>
    </w:p>
    <w:p w14:paraId="24F9E1E4" w14:textId="05BD2E0B" w:rsidR="0057323C" w:rsidRPr="00C104E6" w:rsidRDefault="0057323C" w:rsidP="00EF3273">
      <w:pPr>
        <w:pStyle w:val="Heading2"/>
      </w:pPr>
      <w:bookmarkStart w:id="45" w:name="_Toc94536983"/>
      <w:bookmarkStart w:id="46" w:name="_Toc118063627"/>
      <w:r w:rsidRPr="00C104E6">
        <w:lastRenderedPageBreak/>
        <w:t xml:space="preserve">2.3 </w:t>
      </w:r>
      <w:r w:rsidR="00BC4CAF" w:rsidRPr="00C104E6">
        <w:t xml:space="preserve">Conceptions of </w:t>
      </w:r>
      <w:r w:rsidRPr="00C104E6">
        <w:t>War in the Second Temple Period</w:t>
      </w:r>
      <w:bookmarkEnd w:id="45"/>
      <w:bookmarkEnd w:id="46"/>
    </w:p>
    <w:p w14:paraId="0BA0675A" w14:textId="501CFE2A" w:rsidR="005A073E" w:rsidRPr="00C104E6" w:rsidRDefault="005A073E" w:rsidP="005A073E">
      <w:pPr>
        <w:spacing w:line="480" w:lineRule="auto"/>
        <w:rPr>
          <w:lang w:val="en-AU"/>
        </w:rPr>
      </w:pPr>
      <w:r w:rsidRPr="00C104E6">
        <w:rPr>
          <w:lang w:val="en-AU"/>
        </w:rPr>
        <w:tab/>
        <w:t>During the Second Temple period, there was no</w:t>
      </w:r>
      <w:r w:rsidR="005A0462" w:rsidRPr="00C104E6">
        <w:rPr>
          <w:lang w:val="en-AU"/>
        </w:rPr>
        <w:t xml:space="preserve"> contemporary</w:t>
      </w:r>
      <w:r w:rsidRPr="00C104E6">
        <w:rPr>
          <w:lang w:val="en-AU"/>
        </w:rPr>
        <w:t xml:space="preserve"> written ethos or ethic that guided the Jewish nation regarding war, such</w:t>
      </w:r>
      <w:r w:rsidR="000A1728" w:rsidRPr="00C104E6">
        <w:rPr>
          <w:lang w:val="en-AU"/>
        </w:rPr>
        <w:t xml:space="preserve"> as the</w:t>
      </w:r>
      <w:r w:rsidR="00FD5F44" w:rsidRPr="00C104E6">
        <w:rPr>
          <w:lang w:val="en-AU"/>
        </w:rPr>
        <w:t xml:space="preserve"> earlier kingdoms that preceded them.</w:t>
      </w:r>
      <w:r w:rsidR="00FD5F44" w:rsidRPr="00C104E6">
        <w:rPr>
          <w:rStyle w:val="FootnoteReference"/>
          <w:lang w:val="en-AU"/>
        </w:rPr>
        <w:footnoteReference w:id="43"/>
      </w:r>
      <w:r w:rsidR="00C92A2A" w:rsidRPr="00C104E6">
        <w:rPr>
          <w:lang w:val="en-AU"/>
        </w:rPr>
        <w:t xml:space="preserve"> </w:t>
      </w:r>
      <w:r w:rsidRPr="00C104E6">
        <w:rPr>
          <w:lang w:val="en-AU"/>
        </w:rPr>
        <w:t>There are differences in the definition of war and battle as well. There is a distinction between what the concept of war and battles entailed in Israelite times and what the word</w:t>
      </w:r>
      <w:r w:rsidRPr="009E7B69">
        <w:t xml:space="preserve"> </w:t>
      </w:r>
      <w:r w:rsidRPr="009E7B69">
        <w:rPr>
          <w:rtl/>
        </w:rPr>
        <w:t>מִלְחָמָה</w:t>
      </w:r>
      <w:r w:rsidRPr="01B55689">
        <w:rPr>
          <w:i/>
          <w:iCs/>
          <w:rtl/>
        </w:rPr>
        <w:t>,</w:t>
      </w:r>
      <w:r w:rsidRPr="01B55689">
        <w:rPr>
          <w:i/>
          <w:iCs/>
        </w:rPr>
        <w:t xml:space="preserve"> </w:t>
      </w:r>
      <w:r w:rsidRPr="00C104E6">
        <w:rPr>
          <w:lang w:val="en-AU"/>
        </w:rPr>
        <w:t xml:space="preserve">meaning “war,” which </w:t>
      </w:r>
      <w:r w:rsidR="00D649FE" w:rsidRPr="00C104E6">
        <w:rPr>
          <w:lang w:val="en-AU"/>
        </w:rPr>
        <w:t>Klingbeil</w:t>
      </w:r>
      <w:r w:rsidRPr="00C104E6">
        <w:rPr>
          <w:lang w:val="en-AU"/>
        </w:rPr>
        <w:t xml:space="preserve"> suggests is a generali</w:t>
      </w:r>
      <w:r w:rsidR="00D86BBD" w:rsidRPr="00C104E6">
        <w:rPr>
          <w:lang w:val="en-AU"/>
        </w:rPr>
        <w:t>s</w:t>
      </w:r>
      <w:r w:rsidRPr="00C104E6">
        <w:rPr>
          <w:lang w:val="en-AU"/>
        </w:rPr>
        <w:t>ed term for battle.</w:t>
      </w:r>
      <w:r w:rsidRPr="00C104E6">
        <w:rPr>
          <w:rStyle w:val="FootnoteReference"/>
          <w:lang w:val="en-AU"/>
        </w:rPr>
        <w:footnoteReference w:id="44"/>
      </w:r>
      <w:r w:rsidRPr="00C104E6">
        <w:rPr>
          <w:lang w:val="en-AU"/>
        </w:rPr>
        <w:t xml:space="preserve">  During the time of Jesus, the Jewish nation was a conquered people under Roman </w:t>
      </w:r>
      <w:r w:rsidR="000A1728" w:rsidRPr="00C104E6">
        <w:rPr>
          <w:lang w:val="en-AU"/>
        </w:rPr>
        <w:t>oppression,</w:t>
      </w:r>
      <w:r w:rsidRPr="00C104E6">
        <w:rPr>
          <w:lang w:val="en-AU"/>
        </w:rPr>
        <w:t xml:space="preserve"> and they were not preparing for</w:t>
      </w:r>
      <w:r w:rsidRPr="009E7B69">
        <w:t xml:space="preserve"> </w:t>
      </w:r>
      <w:r w:rsidRPr="009E7B69">
        <w:rPr>
          <w:rtl/>
        </w:rPr>
        <w:t>מִלְחָמָה</w:t>
      </w:r>
      <w:r w:rsidR="004D4CD6">
        <w:t>.</w:t>
      </w:r>
      <w:r w:rsidRPr="009E7B69">
        <w:t xml:space="preserve"> </w:t>
      </w:r>
      <w:r w:rsidRPr="00C104E6">
        <w:rPr>
          <w:lang w:val="en-AU"/>
        </w:rPr>
        <w:t xml:space="preserve">Historically, the Jewish war stories also recall accounts of a great God who delivers the people through militaristic means that are greater than (but </w:t>
      </w:r>
      <w:proofErr w:type="gramStart"/>
      <w:r w:rsidRPr="00C104E6">
        <w:rPr>
          <w:lang w:val="en-AU"/>
        </w:rPr>
        <w:t>similar to</w:t>
      </w:r>
      <w:proofErr w:type="gramEnd"/>
      <w:r w:rsidRPr="00C104E6">
        <w:rPr>
          <w:lang w:val="en-AU"/>
        </w:rPr>
        <w:t>) the surrounding kingdoms. The eastern kingdoms of Mesopotamia and Ugarit tell a story of divine military support and greatness.</w:t>
      </w:r>
      <w:r w:rsidRPr="00C104E6">
        <w:rPr>
          <w:rStyle w:val="FootnoteReference"/>
          <w:lang w:val="en-AU"/>
        </w:rPr>
        <w:footnoteReference w:id="45"/>
      </w:r>
      <w:r w:rsidRPr="00C104E6">
        <w:rPr>
          <w:lang w:val="en-AU"/>
        </w:rPr>
        <w:t xml:space="preserve"> Moshe Weinfeld </w:t>
      </w:r>
      <w:r w:rsidR="004C3F11">
        <w:rPr>
          <w:lang w:val="en-AU"/>
        </w:rPr>
        <w:t xml:space="preserve">provides evidence from the </w:t>
      </w:r>
      <w:r w:rsidRPr="00C104E6">
        <w:rPr>
          <w:lang w:val="en-AU"/>
        </w:rPr>
        <w:t>Ugaritic</w:t>
      </w:r>
      <w:r w:rsidR="0072037C">
        <w:rPr>
          <w:lang w:val="en-AU"/>
        </w:rPr>
        <w:t xml:space="preserve"> writings</w:t>
      </w:r>
      <w:r w:rsidRPr="00C104E6">
        <w:rPr>
          <w:lang w:val="en-AU"/>
        </w:rPr>
        <w:t>, Egyptian</w:t>
      </w:r>
      <w:r w:rsidR="0072037C">
        <w:rPr>
          <w:lang w:val="en-AU"/>
        </w:rPr>
        <w:t xml:space="preserve"> writings</w:t>
      </w:r>
      <w:r w:rsidRPr="00C104E6">
        <w:rPr>
          <w:lang w:val="en-AU"/>
        </w:rPr>
        <w:t>, and Greek literature</w:t>
      </w:r>
      <w:r w:rsidR="004C3F11">
        <w:rPr>
          <w:lang w:val="en-AU"/>
        </w:rPr>
        <w:t xml:space="preserve"> that</w:t>
      </w:r>
      <w:r w:rsidRPr="00C104E6">
        <w:rPr>
          <w:lang w:val="en-AU"/>
        </w:rPr>
        <w:t xml:space="preserve"> “the image of the fighting god who hastens to the aid of his people was widespread in the ancient Near East.” </w:t>
      </w:r>
      <w:r w:rsidR="004C3F11">
        <w:rPr>
          <w:lang w:val="en-AU"/>
        </w:rPr>
        <w:t>This evidence demonstrates a similarity with “</w:t>
      </w:r>
      <w:r w:rsidRPr="00C104E6">
        <w:rPr>
          <w:lang w:val="en-AU"/>
        </w:rPr>
        <w:t>stars that fight from heaven, the fire and the cloud, annihilating divine forces, stones from heaven, thunder, and the hiding cloud</w:t>
      </w:r>
      <w:r w:rsidR="004C3F11">
        <w:rPr>
          <w:lang w:val="en-AU"/>
        </w:rPr>
        <w:t>”</w:t>
      </w:r>
      <w:r w:rsidRPr="00C104E6">
        <w:rPr>
          <w:lang w:val="en-AU"/>
        </w:rPr>
        <w:t>—all supposed manifestations of deities for the cause of the faithful who hail them.</w:t>
      </w:r>
      <w:r w:rsidR="004C3F11">
        <w:rPr>
          <w:rStyle w:val="FootnoteReference"/>
          <w:lang w:val="en-AU"/>
        </w:rPr>
        <w:footnoteReference w:id="46"/>
      </w:r>
      <w:r w:rsidRPr="00C104E6">
        <w:rPr>
          <w:lang w:val="en-AU"/>
        </w:rPr>
        <w:t xml:space="preserve"> Hoffmeir argues that </w:t>
      </w:r>
      <w:r w:rsidRPr="00C104E6">
        <w:rPr>
          <w:lang w:val="en-AU"/>
        </w:rPr>
        <w:lastRenderedPageBreak/>
        <w:t>surrounding military-backed empires relied on a divine involvement in the success of their countries.</w:t>
      </w:r>
      <w:r w:rsidRPr="00C104E6">
        <w:rPr>
          <w:rStyle w:val="FootnoteReference"/>
          <w:lang w:val="en-AU"/>
        </w:rPr>
        <w:footnoteReference w:id="47"/>
      </w:r>
    </w:p>
    <w:p w14:paraId="23A9B0AD" w14:textId="2577C5C1" w:rsidR="005A073E" w:rsidRPr="00C104E6" w:rsidRDefault="005A073E" w:rsidP="005A073E">
      <w:pPr>
        <w:spacing w:before="120" w:line="360" w:lineRule="auto"/>
        <w:ind w:firstLine="709"/>
        <w:rPr>
          <w:lang w:val="en-AU"/>
        </w:rPr>
      </w:pPr>
      <w:r w:rsidRPr="00C104E6">
        <w:rPr>
          <w:lang w:val="en-AU"/>
        </w:rPr>
        <w:t xml:space="preserve">During the </w:t>
      </w:r>
      <w:r w:rsidRPr="00C104E6">
        <w:rPr>
          <w:i/>
          <w:iCs/>
          <w:lang w:val="en-AU"/>
        </w:rPr>
        <w:t xml:space="preserve">Mishnaic </w:t>
      </w:r>
      <w:r w:rsidRPr="00C104E6">
        <w:rPr>
          <w:lang w:val="en-AU"/>
        </w:rPr>
        <w:t>period, there was a push to define different types of war and the categories of war.  This was a preliminary to defining the types of wars. Waltzer explains:</w:t>
      </w:r>
    </w:p>
    <w:p w14:paraId="17A236A4" w14:textId="330255DB" w:rsidR="00610BBD" w:rsidRPr="00C104E6" w:rsidRDefault="005A073E" w:rsidP="005A073E">
      <w:pPr>
        <w:spacing w:before="120"/>
        <w:ind w:left="709" w:right="709"/>
        <w:rPr>
          <w:lang w:val="en-AU"/>
        </w:rPr>
      </w:pPr>
      <w:r w:rsidRPr="00C104E6">
        <w:rPr>
          <w:lang w:val="en-AU"/>
        </w:rPr>
        <w:t xml:space="preserve">The </w:t>
      </w:r>
      <w:r w:rsidRPr="00C104E6">
        <w:rPr>
          <w:i/>
          <w:iCs/>
          <w:lang w:val="en-AU"/>
        </w:rPr>
        <w:t>first</w:t>
      </w:r>
      <w:r w:rsidRPr="00C104E6">
        <w:rPr>
          <w:lang w:val="en-AU"/>
        </w:rPr>
        <w:t xml:space="preserve"> category includes all wars commanded by God; the list is very short, drawn from the biblical accounts of the conquest of the land, though it is subject to some modest rabbinic expansion for the sake of the subsequent defence of the land. The </w:t>
      </w:r>
      <w:r w:rsidRPr="00C104E6">
        <w:rPr>
          <w:i/>
          <w:iCs/>
          <w:lang w:val="en-AU"/>
        </w:rPr>
        <w:t>second</w:t>
      </w:r>
      <w:r w:rsidRPr="00C104E6">
        <w:rPr>
          <w:lang w:val="en-AU"/>
        </w:rPr>
        <w:t xml:space="preserve"> category includes all permitted wars, and seems to be a concession to Israel’s kings, since the only examples are the expansionist wars of David. These are the wars that disqualified David from the temple building but they are permitted to him as king … The missing </w:t>
      </w:r>
      <w:r w:rsidRPr="00C104E6">
        <w:rPr>
          <w:i/>
          <w:iCs/>
          <w:lang w:val="en-AU"/>
        </w:rPr>
        <w:t xml:space="preserve">third </w:t>
      </w:r>
      <w:r w:rsidRPr="00C104E6">
        <w:rPr>
          <w:lang w:val="en-AU"/>
        </w:rPr>
        <w:t xml:space="preserve">category is the banned or forbidden war. It cannot be the case that all wars not required are permitted, for it is </w:t>
      </w:r>
      <w:proofErr w:type="gramStart"/>
      <w:r w:rsidRPr="00C104E6">
        <w:rPr>
          <w:lang w:val="en-AU"/>
        </w:rPr>
        <w:t>fairly clear</w:t>
      </w:r>
      <w:proofErr w:type="gramEnd"/>
      <w:r w:rsidRPr="00C104E6">
        <w:rPr>
          <w:lang w:val="en-AU"/>
        </w:rPr>
        <w:t xml:space="preserve"> that there were wars of which the rabbis disapproved.</w:t>
      </w:r>
      <w:r w:rsidRPr="00C104E6">
        <w:rPr>
          <w:rStyle w:val="FootnoteReference"/>
          <w:lang w:val="en-AU"/>
        </w:rPr>
        <w:footnoteReference w:id="48"/>
      </w:r>
    </w:p>
    <w:p w14:paraId="4696CB5E" w14:textId="77777777" w:rsidR="00E30455" w:rsidRPr="00C104E6" w:rsidRDefault="00E30455" w:rsidP="00610BBD">
      <w:pPr>
        <w:spacing w:before="120"/>
        <w:ind w:left="709" w:right="709"/>
        <w:rPr>
          <w:lang w:val="en-AU"/>
        </w:rPr>
      </w:pPr>
    </w:p>
    <w:p w14:paraId="31898DA8" w14:textId="77777777" w:rsidR="005A073E" w:rsidRPr="009E7B69" w:rsidRDefault="005A073E" w:rsidP="00E30455">
      <w:pPr>
        <w:spacing w:line="480" w:lineRule="auto"/>
        <w:rPr>
          <w:lang w:val="en-AU"/>
        </w:rPr>
      </w:pPr>
      <w:r w:rsidRPr="00C104E6">
        <w:rPr>
          <w:lang w:val="en-AU"/>
        </w:rPr>
        <w:t>War and fighting were permitted for the conquest of land and for kings as they saw fit for the need of the land; however, the category of forbidden wars limited how people could choose to defend their national interest. War was used to preserve the Jewish way of life―to preserve the cultic worship of God. Importantly, the intent was self-protection and preservation and not peace and pacifism. Julius Wellhausen (1844–1918) ascribed to war a central role in the formation of ancient Israel, termed in his writings “cradle of the nation”</w:t>
      </w:r>
      <w:r w:rsidRPr="009E7B69">
        <w:rPr>
          <w:lang w:val="en-AU"/>
        </w:rPr>
        <w:t xml:space="preserve"> (</w:t>
      </w:r>
      <w:r w:rsidRPr="009E7B69">
        <w:rPr>
          <w:i/>
          <w:iCs/>
          <w:lang w:val="en-AU"/>
        </w:rPr>
        <w:t>Wiege der Nation</w:t>
      </w:r>
      <w:r w:rsidRPr="009E7B69">
        <w:rPr>
          <w:lang w:val="en-AU"/>
        </w:rPr>
        <w:t>, 1905).</w:t>
      </w:r>
      <w:r w:rsidRPr="009E7B69">
        <w:rPr>
          <w:rStyle w:val="FootnoteReference"/>
          <w:lang w:val="en-AU"/>
        </w:rPr>
        <w:footnoteReference w:id="49"/>
      </w:r>
      <w:r w:rsidRPr="009E7B69">
        <w:rPr>
          <w:lang w:val="en-AU"/>
        </w:rPr>
        <w:t xml:space="preserve"> How the ancient kings of Israel won a war or lost a war affected the development of the nation.  </w:t>
      </w:r>
    </w:p>
    <w:p w14:paraId="050C2486" w14:textId="77777777" w:rsidR="005A073E" w:rsidRPr="009E7B69" w:rsidRDefault="005A073E" w:rsidP="005A073E">
      <w:pPr>
        <w:spacing w:before="120" w:line="480" w:lineRule="auto"/>
        <w:ind w:firstLine="720"/>
        <w:rPr>
          <w:lang w:val="en-AU"/>
        </w:rPr>
      </w:pPr>
      <w:r w:rsidRPr="009E7B69">
        <w:rPr>
          <w:lang w:val="en-AU"/>
        </w:rPr>
        <w:t>Anthony D. Smith contends that what is most important for the emergence of national consciousnesses is not war itself, but rather the commemoration of war.</w:t>
      </w:r>
      <w:r w:rsidRPr="009E7B69">
        <w:rPr>
          <w:rStyle w:val="FootnoteReference"/>
          <w:lang w:val="en-AU"/>
        </w:rPr>
        <w:footnoteReference w:id="50"/>
      </w:r>
      <w:r w:rsidRPr="009E7B69">
        <w:rPr>
          <w:lang w:val="en-AU"/>
        </w:rPr>
        <w:t xml:space="preserve"> The memory of </w:t>
      </w:r>
      <w:r w:rsidRPr="009E7B69">
        <w:rPr>
          <w:lang w:val="en-AU"/>
        </w:rPr>
        <w:lastRenderedPageBreak/>
        <w:t>those who died, and how the people won the war, becomes part of the biblical story, as in the destruction of Jericho by Joshua. Refraining from war is not to be abused to a pacifist extreme that renders a nation defenceless—a proverbial doormat for others.</w:t>
      </w:r>
      <w:r w:rsidRPr="009E7B69">
        <w:rPr>
          <w:rStyle w:val="FootnoteReference"/>
          <w:lang w:val="en-AU"/>
        </w:rPr>
        <w:footnoteReference w:id="51"/>
      </w:r>
      <w:r w:rsidRPr="009E7B69">
        <w:rPr>
          <w:lang w:val="en-AU"/>
        </w:rPr>
        <w:t xml:space="preserve"> Rather, the balance between war and peace is to be a mechanism for self-defence and preservation.</w:t>
      </w:r>
      <w:r w:rsidRPr="009E7B69">
        <w:rPr>
          <w:rStyle w:val="FootnoteReference"/>
          <w:lang w:val="en-AU"/>
        </w:rPr>
        <w:footnoteReference w:id="52"/>
      </w:r>
      <w:r w:rsidRPr="009E7B69">
        <w:rPr>
          <w:lang w:val="en-AU"/>
        </w:rPr>
        <w:t xml:space="preserve"> The awaited messiah will be either for war or for peace.</w:t>
      </w:r>
      <w:r w:rsidRPr="009E7B69">
        <w:rPr>
          <w:rStyle w:val="FootnoteReference"/>
          <w:lang w:val="en-AU"/>
        </w:rPr>
        <w:footnoteReference w:id="53"/>
      </w:r>
      <w:r w:rsidRPr="009E7B69">
        <w:rPr>
          <w:lang w:val="en-AU"/>
        </w:rPr>
        <w:t xml:space="preserve"> Theories of war and peace were developed in anticipation of the coming of a messiah.  </w:t>
      </w:r>
    </w:p>
    <w:p w14:paraId="38C31A5E" w14:textId="40B42E54" w:rsidR="00E77006" w:rsidRPr="009E7B69" w:rsidRDefault="00E77006" w:rsidP="00F5340B">
      <w:pPr>
        <w:pStyle w:val="Heading2"/>
      </w:pPr>
      <w:bookmarkStart w:id="47" w:name="_Toc94536984"/>
      <w:bookmarkStart w:id="48" w:name="_Toc118063628"/>
      <w:r w:rsidRPr="009E7B69">
        <w:t>2.</w:t>
      </w:r>
      <w:r w:rsidR="00C544DF" w:rsidRPr="009E7B69">
        <w:t>4</w:t>
      </w:r>
      <w:r w:rsidRPr="009E7B69">
        <w:t xml:space="preserve"> Micah 4</w:t>
      </w:r>
      <w:r w:rsidR="0026033B" w:rsidRPr="009E7B69">
        <w:t>, a Kingdom at</w:t>
      </w:r>
      <w:r w:rsidRPr="009E7B69">
        <w:t xml:space="preserve"> Peace</w:t>
      </w:r>
      <w:r w:rsidR="0026033B" w:rsidRPr="009E7B69">
        <w:t>, and a Potential Messianic Role</w:t>
      </w:r>
      <w:bookmarkEnd w:id="47"/>
      <w:bookmarkEnd w:id="48"/>
    </w:p>
    <w:p w14:paraId="4F24B6A1" w14:textId="6EFB19DA" w:rsidR="00E77006" w:rsidRPr="009E7B69" w:rsidRDefault="00E77006" w:rsidP="00E77006">
      <w:pPr>
        <w:spacing w:line="480" w:lineRule="auto"/>
        <w:ind w:firstLine="720"/>
        <w:contextualSpacing/>
      </w:pPr>
      <w:r w:rsidRPr="00C104E6">
        <w:rPr>
          <w:lang w:val="en-AU"/>
        </w:rPr>
        <w:t xml:space="preserve">Micah describes a peaceful kingdom whose people are serving their God </w:t>
      </w:r>
      <w:r w:rsidR="004D4CD6">
        <w:rPr>
          <w:lang w:val="en-AU"/>
        </w:rPr>
        <w:t>(</w:t>
      </w:r>
      <w:r w:rsidRPr="00C104E6">
        <w:rPr>
          <w:lang w:val="en-AU"/>
        </w:rPr>
        <w:t>Micah 4:1–4</w:t>
      </w:r>
      <w:r w:rsidR="004D4CD6">
        <w:rPr>
          <w:lang w:val="en-AU"/>
        </w:rPr>
        <w:t>)</w:t>
      </w:r>
      <w:r w:rsidRPr="00C104E6">
        <w:rPr>
          <w:lang w:val="en-AU"/>
        </w:rPr>
        <w:t>.</w:t>
      </w:r>
      <w:r w:rsidRPr="00C104E6">
        <w:rPr>
          <w:rStyle w:val="FootnoteReference"/>
          <w:lang w:val="en-AU"/>
        </w:rPr>
        <w:footnoteReference w:id="54"/>
      </w:r>
      <w:r w:rsidRPr="00C104E6">
        <w:rPr>
          <w:lang w:val="en-AU"/>
        </w:rPr>
        <w:t xml:space="preserve">  Micah portrays the Assyrians’ captivity of the Northern Kingdom as a punishment for iniquity, and </w:t>
      </w:r>
      <w:r w:rsidR="006F60AC">
        <w:rPr>
          <w:lang w:val="en-AU"/>
        </w:rPr>
        <w:t>Micah</w:t>
      </w:r>
      <w:r w:rsidRPr="00C104E6">
        <w:rPr>
          <w:lang w:val="en-AU"/>
        </w:rPr>
        <w:t xml:space="preserve"> sees a similar fate in store for Judah. Micah 4:1–4 describes a future “in days to come” when the people will be living in a kingdom of peace that contrasts with the present.</w:t>
      </w:r>
      <w:r w:rsidRPr="00C104E6">
        <w:rPr>
          <w:rStyle w:val="FootnoteReference"/>
          <w:lang w:val="en-AU"/>
        </w:rPr>
        <w:footnoteReference w:id="55"/>
      </w:r>
      <w:r w:rsidRPr="00C104E6">
        <w:rPr>
          <w:lang w:val="en-AU"/>
        </w:rPr>
        <w:t xml:space="preserve"> Scott suggests that Micah 4 represents a future messianic kingdom of peace sitting under a tree.</w:t>
      </w:r>
      <w:r w:rsidRPr="00C104E6">
        <w:rPr>
          <w:rStyle w:val="FootnoteReference"/>
          <w:lang w:val="en-AU"/>
        </w:rPr>
        <w:footnoteReference w:id="56"/>
      </w:r>
      <w:r w:rsidRPr="00C104E6">
        <w:rPr>
          <w:lang w:val="en-AU"/>
        </w:rPr>
        <w:t xml:space="preserve"> Micah 4:1–4 (NRSV) reads</w:t>
      </w:r>
      <w:r w:rsidRPr="009E7B69">
        <w:t>:</w:t>
      </w:r>
    </w:p>
    <w:p w14:paraId="33480608" w14:textId="6CC71A32" w:rsidR="00D25D36" w:rsidRPr="00C104E6" w:rsidRDefault="00E77006" w:rsidP="0026033B">
      <w:pPr>
        <w:pStyle w:val="Blockquotation"/>
        <w:rPr>
          <w:sz w:val="24"/>
          <w:lang w:val="en-AU"/>
        </w:rPr>
      </w:pPr>
      <w:r w:rsidRPr="00C104E6">
        <w:rPr>
          <w:sz w:val="24"/>
          <w:lang w:val="en-AU"/>
        </w:rPr>
        <w:t xml:space="preserve">In days to come, the mountain of the Lord’s house shall be established as the highest of the </w:t>
      </w:r>
      <w:proofErr w:type="gramStart"/>
      <w:r w:rsidRPr="00C104E6">
        <w:rPr>
          <w:sz w:val="24"/>
          <w:lang w:val="en-AU"/>
        </w:rPr>
        <w:t>mountains, and</w:t>
      </w:r>
      <w:proofErr w:type="gramEnd"/>
      <w:r w:rsidRPr="00C104E6">
        <w:rPr>
          <w:sz w:val="24"/>
          <w:lang w:val="en-AU"/>
        </w:rPr>
        <w:t xml:space="preserve"> shall be raised up above the hills. Peoples shall stream to </w:t>
      </w:r>
      <w:proofErr w:type="gramStart"/>
      <w:r w:rsidRPr="00C104E6">
        <w:rPr>
          <w:sz w:val="24"/>
          <w:lang w:val="en-AU"/>
        </w:rPr>
        <w:t>it,/</w:t>
      </w:r>
      <w:proofErr w:type="gramEnd"/>
      <w:r w:rsidRPr="00C104E6">
        <w:rPr>
          <w:sz w:val="24"/>
          <w:lang w:val="en-AU"/>
        </w:rPr>
        <w:t xml:space="preserve"> and many nations shall come and say: “Come, let us go up to the mountain of the Lord, to the house of the God of Jacob; that he may teach us </w:t>
      </w:r>
      <w:r w:rsidRPr="00C104E6">
        <w:rPr>
          <w:sz w:val="24"/>
          <w:lang w:val="en-AU"/>
        </w:rPr>
        <w:lastRenderedPageBreak/>
        <w:t>his ways and that we may walk in his paths.” For out of Zion shall go forth instruction, and the word of the Lord from Jerusalem,/ He shall judge between many peoples, and shall arbitrate between strong nations far away; they shall beat their swords into ploughshares, and their spears into pruning hooks; nation shall not lift up sword against nation, neither shall they learn war any more;/ but they shall all sit under their own vines and under their own fig trees, and no one shall make them afraid; for the mouth of the Lord of hosts has spoken.</w:t>
      </w:r>
    </w:p>
    <w:p w14:paraId="32DA0C94" w14:textId="4796B8E9" w:rsidR="00E77006" w:rsidRPr="00C104E6" w:rsidRDefault="00E77006" w:rsidP="00610BBD">
      <w:pPr>
        <w:widowControl w:val="0"/>
        <w:autoSpaceDE w:val="0"/>
        <w:autoSpaceDN w:val="0"/>
        <w:adjustRightInd w:val="0"/>
        <w:spacing w:before="240" w:line="480" w:lineRule="auto"/>
        <w:rPr>
          <w:lang w:val="en-AU"/>
        </w:rPr>
      </w:pPr>
      <w:r w:rsidRPr="00C104E6">
        <w:rPr>
          <w:lang w:val="en-AU"/>
        </w:rPr>
        <w:t xml:space="preserve">According </w:t>
      </w:r>
      <w:r w:rsidR="004D4CD6">
        <w:rPr>
          <w:lang w:val="en-AU"/>
        </w:rPr>
        <w:t xml:space="preserve">to </w:t>
      </w:r>
      <w:r w:rsidRPr="00C104E6">
        <w:rPr>
          <w:lang w:val="en-AU"/>
        </w:rPr>
        <w:t>Micah 4, God brings</w:t>
      </w:r>
      <w:r w:rsidR="006F60AC">
        <w:rPr>
          <w:lang w:val="en-AU"/>
        </w:rPr>
        <w:t xml:space="preserve"> a message </w:t>
      </w:r>
      <w:r w:rsidR="004D4CD6">
        <w:rPr>
          <w:lang w:val="en-AU"/>
        </w:rPr>
        <w:t>of</w:t>
      </w:r>
      <w:r w:rsidRPr="009E7B69">
        <w:t xml:space="preserve"> </w:t>
      </w:r>
      <w:r w:rsidRPr="00C104E6">
        <w:rPr>
          <w:i/>
          <w:iCs/>
          <w:lang w:val="en-AU"/>
        </w:rPr>
        <w:t>shalom</w:t>
      </w:r>
      <w:r w:rsidRPr="00C104E6">
        <w:rPr>
          <w:lang w:val="en-AU"/>
        </w:rPr>
        <w:t xml:space="preserve"> (peace) through a peaceful people. There are some who disagree that Micah 4:1–4 references a Jewish messiah. Some say that the text is referring to God as seen in Micah 4:7, not a human king. For instance, the Jewish Study Bible, 2</w:t>
      </w:r>
      <w:r w:rsidRPr="00C104E6">
        <w:rPr>
          <w:vertAlign w:val="superscript"/>
          <w:lang w:val="en-AU"/>
        </w:rPr>
        <w:t>nd</w:t>
      </w:r>
      <w:r w:rsidRPr="00C104E6">
        <w:rPr>
          <w:lang w:val="en-AU"/>
        </w:rPr>
        <w:t xml:space="preserve"> Edition, explains Micah 4:3 in the following way: </w:t>
      </w:r>
    </w:p>
    <w:p w14:paraId="6D1C41A3" w14:textId="66C8ECE0" w:rsidR="00D25D36" w:rsidRPr="00C104E6" w:rsidRDefault="00E77006" w:rsidP="00EE621D">
      <w:pPr>
        <w:pStyle w:val="Blockquotation"/>
        <w:rPr>
          <w:sz w:val="24"/>
          <w:lang w:val="en-AU"/>
        </w:rPr>
      </w:pPr>
      <w:r w:rsidRPr="00C104E6">
        <w:rPr>
          <w:sz w:val="24"/>
          <w:lang w:val="en-AU"/>
        </w:rPr>
        <w:t>The one who will judge is the Lord. Some medieval commentaries, however, identified the judge with the Messiah (Ibn Ezra, Radak) and thus reformulated to some extent the image of the ideal period. In its biblical context, however, this passage depicts a messianic age without a personal messiah.</w:t>
      </w:r>
      <w:r w:rsidRPr="00C104E6">
        <w:rPr>
          <w:rStyle w:val="FootnoteReference"/>
          <w:sz w:val="24"/>
          <w:lang w:val="en-AU"/>
        </w:rPr>
        <w:footnoteReference w:id="57"/>
      </w:r>
      <w:r w:rsidRPr="00C104E6">
        <w:rPr>
          <w:sz w:val="24"/>
          <w:lang w:val="en-AU"/>
        </w:rPr>
        <w:t xml:space="preserve"> </w:t>
      </w:r>
    </w:p>
    <w:p w14:paraId="23DD6629" w14:textId="2F6730B0" w:rsidR="00E77006" w:rsidRPr="00C104E6" w:rsidRDefault="00E77006" w:rsidP="00610BBD">
      <w:pPr>
        <w:widowControl w:val="0"/>
        <w:autoSpaceDE w:val="0"/>
        <w:autoSpaceDN w:val="0"/>
        <w:adjustRightInd w:val="0"/>
        <w:spacing w:before="240" w:line="480" w:lineRule="auto"/>
        <w:rPr>
          <w:lang w:val="en-AU"/>
        </w:rPr>
      </w:pPr>
      <w:r w:rsidRPr="00C104E6">
        <w:rPr>
          <w:lang w:val="en-AU"/>
        </w:rPr>
        <w:t>Joseph Fahey contends that Micah 4 sees a peace founded on God’s shalom through justice.</w:t>
      </w:r>
      <w:r w:rsidRPr="00C104E6">
        <w:rPr>
          <w:rStyle w:val="FootnoteReference"/>
          <w:lang w:val="en-AU"/>
        </w:rPr>
        <w:footnoteReference w:id="58"/>
      </w:r>
      <w:r w:rsidRPr="00C104E6">
        <w:rPr>
          <w:lang w:val="en-AU"/>
        </w:rPr>
        <w:t xml:space="preserve"> Those who listened to Jesus’</w:t>
      </w:r>
      <w:r w:rsidR="00E35288">
        <w:rPr>
          <w:lang w:val="en-AU"/>
        </w:rPr>
        <w:t>s</w:t>
      </w:r>
      <w:r w:rsidRPr="00C104E6">
        <w:rPr>
          <w:lang w:val="en-AU"/>
        </w:rPr>
        <w:t xml:space="preserve"> sermon and expected an understanding of a messianic age as seen in Micah 4 were seeking peace. One school of thought includes David H. Stern, who emphasi</w:t>
      </w:r>
      <w:r w:rsidR="00D86BBD" w:rsidRPr="00C104E6">
        <w:rPr>
          <w:lang w:val="en-AU"/>
        </w:rPr>
        <w:t>s</w:t>
      </w:r>
      <w:r w:rsidRPr="00C104E6">
        <w:rPr>
          <w:lang w:val="en-AU"/>
        </w:rPr>
        <w:t xml:space="preserve">es the divine </w:t>
      </w:r>
      <w:r w:rsidR="004D4CD6" w:rsidRPr="00C104E6">
        <w:rPr>
          <w:lang w:val="en-AU"/>
        </w:rPr>
        <w:t>preeminence</w:t>
      </w:r>
      <w:r w:rsidRPr="00C104E6">
        <w:rPr>
          <w:lang w:val="en-AU"/>
        </w:rPr>
        <w:t xml:space="preserve"> of the Lord within the messianic expectations; thus, he cites the declaration of Isaiah 9:5–7, in which the Messiah is called by name, “Wonderful Counsellor, Mighty God, Eternal Father, Prince of Peace.” Stern believes that other elements of the Bible point to Micah 4 as a peace saying. Stern also cites Jeremiah 23:5–6, and Micah 5:1(2).</w:t>
      </w:r>
      <w:r w:rsidRPr="00C104E6">
        <w:rPr>
          <w:rStyle w:val="FootnoteReference"/>
          <w:lang w:val="en-AU"/>
        </w:rPr>
        <w:footnoteReference w:id="59"/>
      </w:r>
    </w:p>
    <w:p w14:paraId="7FA4F62D" w14:textId="77777777" w:rsidR="00E77006" w:rsidRPr="00C104E6" w:rsidRDefault="00E77006" w:rsidP="00E77006">
      <w:pPr>
        <w:widowControl w:val="0"/>
        <w:autoSpaceDE w:val="0"/>
        <w:autoSpaceDN w:val="0"/>
        <w:adjustRightInd w:val="0"/>
        <w:spacing w:line="480" w:lineRule="auto"/>
        <w:rPr>
          <w:lang w:val="en-AU"/>
        </w:rPr>
      </w:pPr>
      <w:r w:rsidRPr="00C104E6">
        <w:rPr>
          <w:lang w:val="en-AU"/>
        </w:rPr>
        <w:lastRenderedPageBreak/>
        <w:t xml:space="preserve">Berlin and Brettler differ from Stern: </w:t>
      </w:r>
    </w:p>
    <w:p w14:paraId="700EF728" w14:textId="7DC8EF99" w:rsidR="00D25D36" w:rsidRPr="00C104E6" w:rsidRDefault="00E77006" w:rsidP="00EE621D">
      <w:pPr>
        <w:pStyle w:val="Blockquotation"/>
        <w:rPr>
          <w:sz w:val="24"/>
          <w:lang w:val="en-AU"/>
        </w:rPr>
      </w:pPr>
      <w:r w:rsidRPr="00C104E6">
        <w:rPr>
          <w:sz w:val="24"/>
          <w:lang w:val="en-AU"/>
        </w:rPr>
        <w:t>Thus, it is not clear whether the Davidic king whose birth and rule are described (vv. 5–6) has already been born (if the verbs are a regular past tense) or will be born in the future (prophetic past). If the former, the v. probably refers to Ahaz’s son Hezekiah, as many modern and rabbinic commentators believe (though other possibilities exist depending on the date of the passage). Most later readers (both Jewish and Christian) understood the passage to describe an ideal future Davidic ruler, i.e., the Messiah.</w:t>
      </w:r>
      <w:r w:rsidRPr="00C104E6">
        <w:rPr>
          <w:rStyle w:val="FootnoteReference"/>
          <w:sz w:val="24"/>
          <w:lang w:val="en-AU"/>
        </w:rPr>
        <w:footnoteReference w:id="60"/>
      </w:r>
    </w:p>
    <w:p w14:paraId="3495EE30" w14:textId="77777777" w:rsidR="00E77006" w:rsidRPr="00C104E6" w:rsidRDefault="00E77006" w:rsidP="00610BBD">
      <w:pPr>
        <w:widowControl w:val="0"/>
        <w:autoSpaceDE w:val="0"/>
        <w:autoSpaceDN w:val="0"/>
        <w:adjustRightInd w:val="0"/>
        <w:spacing w:before="240" w:line="480" w:lineRule="auto"/>
        <w:ind w:right="706"/>
        <w:rPr>
          <w:lang w:val="en-AU"/>
        </w:rPr>
      </w:pPr>
      <w:r w:rsidRPr="00C104E6">
        <w:rPr>
          <w:lang w:val="en-AU"/>
        </w:rPr>
        <w:t xml:space="preserve">Berlin and Brettler’s explanation regarding Micah 4 support the idea that the messianic understanding is an unknown in the text; however, many support the idea that Micah 4 refers to a future messianic figure, after the date of Micah 4. </w:t>
      </w:r>
    </w:p>
    <w:p w14:paraId="24AA5779" w14:textId="154D3B2C" w:rsidR="00A663F2" w:rsidRPr="00C104E6" w:rsidRDefault="00A663F2" w:rsidP="00AB7CAD">
      <w:pPr>
        <w:pStyle w:val="Heading2"/>
      </w:pPr>
      <w:bookmarkStart w:id="49" w:name="_Toc94536985"/>
      <w:bookmarkStart w:id="50" w:name="_Toc118063629"/>
      <w:r w:rsidRPr="00C104E6">
        <w:t>2.</w:t>
      </w:r>
      <w:r w:rsidR="00C544DF" w:rsidRPr="00C104E6">
        <w:t>5</w:t>
      </w:r>
      <w:r w:rsidRPr="00C104E6">
        <w:t xml:space="preserve"> Isaiah 9, Kingship</w:t>
      </w:r>
      <w:r w:rsidR="00B44E71">
        <w:t>,</w:t>
      </w:r>
      <w:r w:rsidRPr="00C104E6">
        <w:t xml:space="preserve"> and a Messianic Figure</w:t>
      </w:r>
      <w:bookmarkEnd w:id="49"/>
      <w:bookmarkEnd w:id="50"/>
      <w:r w:rsidRPr="00C104E6">
        <w:t xml:space="preserve"> </w:t>
      </w:r>
    </w:p>
    <w:p w14:paraId="3C4F057F" w14:textId="35D381CF" w:rsidR="00A663F2" w:rsidRPr="00C104E6" w:rsidRDefault="00A663F2" w:rsidP="003B597D">
      <w:pPr>
        <w:spacing w:line="480" w:lineRule="auto"/>
        <w:ind w:firstLine="709"/>
        <w:contextualSpacing/>
        <w:rPr>
          <w:lang w:val="en-AU"/>
        </w:rPr>
      </w:pPr>
      <w:r w:rsidRPr="00C104E6">
        <w:rPr>
          <w:lang w:val="en-AU"/>
        </w:rPr>
        <w:t>The kingdom of peace in Isaiah 9 creates the imagery for a peaceful rule by the messianic figure.</w:t>
      </w:r>
      <w:r w:rsidRPr="00C104E6">
        <w:rPr>
          <w:rStyle w:val="FootnoteReference"/>
          <w:lang w:val="en-AU"/>
        </w:rPr>
        <w:footnoteReference w:id="61"/>
      </w:r>
      <w:r w:rsidRPr="00C104E6">
        <w:rPr>
          <w:lang w:val="en-AU"/>
        </w:rPr>
        <w:t xml:space="preserve"> The Jewish prophecy of</w:t>
      </w:r>
      <w:r w:rsidR="003B597D" w:rsidRPr="009E7B69">
        <w:t xml:space="preserve"> </w:t>
      </w:r>
      <w:r w:rsidR="003B597D" w:rsidRPr="009E7B69">
        <w:rPr>
          <w:color w:val="202122"/>
          <w:shd w:val="clear" w:color="auto" w:fill="FFFFFF"/>
          <w:rtl/>
        </w:rPr>
        <w:t>משיח</w:t>
      </w:r>
      <w:r w:rsidR="003B597D" w:rsidRPr="009E7B69">
        <w:t xml:space="preserve"> </w:t>
      </w:r>
      <w:r w:rsidR="003B597D" w:rsidRPr="00C104E6">
        <w:rPr>
          <w:lang w:val="en-AU"/>
        </w:rPr>
        <w:t>i</w:t>
      </w:r>
      <w:r w:rsidRPr="00C104E6">
        <w:rPr>
          <w:lang w:val="en-AU"/>
        </w:rPr>
        <w:t>ndicates the typology of the Davidic messianic leader.</w:t>
      </w:r>
      <w:r w:rsidRPr="00C104E6">
        <w:rPr>
          <w:rStyle w:val="FootnoteReference"/>
          <w:lang w:val="en-AU"/>
        </w:rPr>
        <w:footnoteReference w:id="62"/>
      </w:r>
      <w:r w:rsidRPr="00C104E6">
        <w:rPr>
          <w:lang w:val="en-AU"/>
        </w:rPr>
        <w:t xml:space="preserve"> Isaiah 9:5–6 states:</w:t>
      </w:r>
    </w:p>
    <w:p w14:paraId="092CBDEF" w14:textId="358A9440" w:rsidR="00D25D36" w:rsidRPr="00C104E6" w:rsidRDefault="00A663F2" w:rsidP="000F222A">
      <w:pPr>
        <w:pStyle w:val="Blockquotation"/>
        <w:rPr>
          <w:sz w:val="24"/>
          <w:lang w:val="en-AU"/>
        </w:rPr>
      </w:pPr>
      <w:r w:rsidRPr="00C104E6">
        <w:rPr>
          <w:sz w:val="24"/>
          <w:lang w:val="en-AU"/>
        </w:rPr>
        <w:t>For a child has been born to us,/ A son has been given us./ And authority has settled on his shoulders./ He has been named,/ ‘The mighty God is planning grace;/ The Eternal father, a peaceable rule’/ In token of abundant authority/ And of peace without limit/ Upon David’s throne and kingdom,/ That it may be firmly established/ In justice and in equity/ Now and evermore./ The zeal of the Lord of Hosts/ shall bring this to pass.</w:t>
      </w:r>
      <w:r w:rsidRPr="00C104E6">
        <w:rPr>
          <w:rStyle w:val="FootnoteReference"/>
          <w:sz w:val="24"/>
          <w:lang w:val="en-AU"/>
        </w:rPr>
        <w:footnoteReference w:id="63"/>
      </w:r>
    </w:p>
    <w:p w14:paraId="0052AC23" w14:textId="52F70381" w:rsidR="00A663F2" w:rsidRPr="00C104E6" w:rsidRDefault="00A663F2" w:rsidP="00A663F2">
      <w:pPr>
        <w:spacing w:line="480" w:lineRule="auto"/>
        <w:contextualSpacing/>
        <w:rPr>
          <w:lang w:val="en-AU"/>
        </w:rPr>
      </w:pPr>
      <w:r w:rsidRPr="00C104E6">
        <w:rPr>
          <w:lang w:val="en-AU"/>
        </w:rPr>
        <w:lastRenderedPageBreak/>
        <w:t xml:space="preserve">Isaiah 9 </w:t>
      </w:r>
      <w:r w:rsidR="00EE269A" w:rsidRPr="00C104E6">
        <w:rPr>
          <w:lang w:val="en-AU"/>
        </w:rPr>
        <w:t>portrays</w:t>
      </w:r>
      <w:r w:rsidR="00BC4993" w:rsidRPr="00C104E6">
        <w:rPr>
          <w:lang w:val="en-AU"/>
        </w:rPr>
        <w:t xml:space="preserve"> a peaceful</w:t>
      </w:r>
      <w:r w:rsidRPr="00C104E6">
        <w:rPr>
          <w:lang w:val="en-AU"/>
        </w:rPr>
        <w:t xml:space="preserve"> Hebrew </w:t>
      </w:r>
      <w:r w:rsidRPr="00C104E6">
        <w:rPr>
          <w:iCs/>
          <w:lang w:val="en-AU"/>
        </w:rPr>
        <w:t>messiah</w:t>
      </w:r>
      <w:r w:rsidRPr="00C104E6">
        <w:rPr>
          <w:lang w:val="en-AU"/>
        </w:rPr>
        <w:t>.</w:t>
      </w:r>
      <w:r w:rsidRPr="00C104E6">
        <w:rPr>
          <w:rStyle w:val="FootnoteReference"/>
          <w:lang w:val="en-AU"/>
        </w:rPr>
        <w:footnoteReference w:id="64"/>
      </w:r>
      <w:r w:rsidRPr="00C104E6">
        <w:rPr>
          <w:lang w:val="en-AU"/>
        </w:rPr>
        <w:t xml:space="preserve"> The messianic leader in </w:t>
      </w:r>
      <w:r w:rsidR="00EE269A" w:rsidRPr="00C104E6">
        <w:rPr>
          <w:lang w:val="en-AU"/>
        </w:rPr>
        <w:t xml:space="preserve">the prophecy of </w:t>
      </w:r>
      <w:r w:rsidRPr="00C104E6">
        <w:rPr>
          <w:lang w:val="en-AU"/>
        </w:rPr>
        <w:t>Isaiah 9 is a Jewish leader within the concept of a Jewish statehood, not worldwide, according to Scott.</w:t>
      </w:r>
      <w:r w:rsidRPr="00C104E6">
        <w:rPr>
          <w:rStyle w:val="FootnoteReference"/>
          <w:lang w:val="en-AU"/>
        </w:rPr>
        <w:footnoteReference w:id="65"/>
      </w:r>
      <w:r w:rsidRPr="00C104E6">
        <w:rPr>
          <w:lang w:val="en-AU"/>
        </w:rPr>
        <w:t xml:space="preserve"> Mark McEntire suggests that Isaiah 9:1–7 is a </w:t>
      </w:r>
      <w:r w:rsidR="006F60AC">
        <w:rPr>
          <w:lang w:val="en-AU"/>
        </w:rPr>
        <w:t xml:space="preserve">political </w:t>
      </w:r>
      <w:r w:rsidRPr="00C104E6">
        <w:rPr>
          <w:lang w:val="en-AU"/>
        </w:rPr>
        <w:t>response</w:t>
      </w:r>
      <w:r w:rsidR="006F60AC">
        <w:rPr>
          <w:lang w:val="en-AU"/>
        </w:rPr>
        <w:t xml:space="preserve"> that is related to a </w:t>
      </w:r>
      <w:r w:rsidRPr="00C104E6">
        <w:rPr>
          <w:lang w:val="en-AU"/>
        </w:rPr>
        <w:t>spiritual crisis.</w:t>
      </w:r>
      <w:r w:rsidRPr="00C104E6">
        <w:rPr>
          <w:rStyle w:val="FootnoteReference"/>
          <w:lang w:val="en-AU"/>
        </w:rPr>
        <w:footnoteReference w:id="66"/>
      </w:r>
      <w:r w:rsidRPr="00C104E6">
        <w:rPr>
          <w:lang w:val="en-AU"/>
        </w:rPr>
        <w:t xml:space="preserve"> The Syro-Ephraimite War (8</w:t>
      </w:r>
      <w:r w:rsidRPr="00C104E6">
        <w:rPr>
          <w:vertAlign w:val="superscript"/>
          <w:lang w:val="en-AU"/>
        </w:rPr>
        <w:t>th</w:t>
      </w:r>
      <w:r w:rsidRPr="00C104E6">
        <w:rPr>
          <w:lang w:val="en-AU"/>
        </w:rPr>
        <w:t xml:space="preserve"> century BCE) and its aftermath created a scenario ripe for oracles of salvation.</w:t>
      </w:r>
      <w:r w:rsidRPr="00C104E6">
        <w:rPr>
          <w:rStyle w:val="FootnoteReference"/>
          <w:lang w:val="en-AU"/>
        </w:rPr>
        <w:footnoteReference w:id="67"/>
      </w:r>
      <w:r w:rsidRPr="00C104E6">
        <w:rPr>
          <w:lang w:val="en-AU"/>
        </w:rPr>
        <w:t xml:space="preserve"> This prophecy provides a</w:t>
      </w:r>
      <w:r w:rsidRPr="009E7B69">
        <w:t xml:space="preserve"> </w:t>
      </w:r>
      <w:r w:rsidR="00D44508" w:rsidRPr="009E7B69">
        <w:rPr>
          <w:color w:val="202122"/>
          <w:shd w:val="clear" w:color="auto" w:fill="FFFFFF"/>
          <w:rtl/>
        </w:rPr>
        <w:t>משיח</w:t>
      </w:r>
      <w:r w:rsidRPr="009E7B69">
        <w:t xml:space="preserve"> </w:t>
      </w:r>
      <w:r w:rsidRPr="00C104E6">
        <w:rPr>
          <w:lang w:val="en-AU"/>
        </w:rPr>
        <w:t xml:space="preserve">figure for the Jewish people only, thus excluding the </w:t>
      </w:r>
      <w:r w:rsidR="009130CE" w:rsidRPr="00C104E6">
        <w:rPr>
          <w:lang w:val="en-AU"/>
        </w:rPr>
        <w:t>Gentile</w:t>
      </w:r>
      <w:r w:rsidRPr="00C104E6">
        <w:rPr>
          <w:lang w:val="en-AU"/>
        </w:rPr>
        <w:t xml:space="preserve"> nations.</w:t>
      </w:r>
    </w:p>
    <w:p w14:paraId="7EA273CF" w14:textId="24C38C42" w:rsidR="00A663F2" w:rsidRPr="00C104E6" w:rsidRDefault="00D44508" w:rsidP="00A663F2">
      <w:pPr>
        <w:spacing w:line="480" w:lineRule="auto"/>
        <w:ind w:firstLine="720"/>
        <w:contextualSpacing/>
        <w:rPr>
          <w:lang w:val="en-AU"/>
        </w:rPr>
      </w:pPr>
      <w:r w:rsidRPr="00C104E6">
        <w:rPr>
          <w:lang w:val="en-AU"/>
        </w:rPr>
        <w:t xml:space="preserve">Acknowledging that </w:t>
      </w:r>
      <w:r w:rsidRPr="009E7B69">
        <w:rPr>
          <w:color w:val="202122"/>
          <w:shd w:val="clear" w:color="auto" w:fill="FFFFFF"/>
          <w:rtl/>
        </w:rPr>
        <w:t>משיח</w:t>
      </w:r>
      <w:r w:rsidRPr="009E7B69">
        <w:t xml:space="preserve"> </w:t>
      </w:r>
      <w:r w:rsidRPr="00C104E6">
        <w:rPr>
          <w:lang w:val="en-AU"/>
        </w:rPr>
        <w:t xml:space="preserve">has been identified in multiple sources is important. </w:t>
      </w:r>
      <w:r w:rsidR="00A663F2" w:rsidRPr="00C104E6">
        <w:rPr>
          <w:lang w:val="en-AU"/>
        </w:rPr>
        <w:t>There have been many others in Jewish history who have been identified as messianic figures before Jesus lived.  According to Flavius Josephus, messianic figures include Simon of Peraea,</w:t>
      </w:r>
      <w:r w:rsidR="004D4CD6">
        <w:rPr>
          <w:lang w:val="en-AU"/>
        </w:rPr>
        <w:t xml:space="preserve"> </w:t>
      </w:r>
      <w:r w:rsidR="00A663F2" w:rsidRPr="00C104E6">
        <w:rPr>
          <w:lang w:val="en-AU"/>
        </w:rPr>
        <w:t>who was the slave of Herod the Great; Athronges, who was a shepherd and led an insurrection against Herod Archelaus; Menahem ben Judah, who was the leader of the Sicarii; and Simon bar Kokhba.</w:t>
      </w:r>
      <w:r w:rsidR="00A663F2" w:rsidRPr="00C104E6">
        <w:rPr>
          <w:rStyle w:val="FootnoteReference"/>
          <w:lang w:val="en-AU"/>
        </w:rPr>
        <w:footnoteReference w:id="68"/>
      </w:r>
      <w:r w:rsidR="00A663F2" w:rsidRPr="00C104E6">
        <w:rPr>
          <w:lang w:val="en-AU"/>
        </w:rPr>
        <w:t xml:space="preserve"> Understanding Jesus’</w:t>
      </w:r>
      <w:r w:rsidR="00E35288">
        <w:rPr>
          <w:lang w:val="en-AU"/>
        </w:rPr>
        <w:t>s</w:t>
      </w:r>
      <w:r w:rsidR="00A663F2" w:rsidRPr="00C104E6">
        <w:rPr>
          <w:lang w:val="en-AU"/>
        </w:rPr>
        <w:t xml:space="preserve"> messianic claim would be part of the cultural reception for the listeners to the Sermon.</w:t>
      </w:r>
      <w:r w:rsidR="00A663F2" w:rsidRPr="00C104E6">
        <w:rPr>
          <w:rStyle w:val="FootnoteReference"/>
          <w:lang w:val="en-AU"/>
        </w:rPr>
        <w:footnoteReference w:id="69"/>
      </w:r>
      <w:r w:rsidR="00A663F2" w:rsidRPr="00C104E6">
        <w:rPr>
          <w:lang w:val="en-AU"/>
        </w:rPr>
        <w:t xml:space="preserve"> It can be accepted that some people were looking forward to a messianic figure during the time of Jesus while others were not. Saldarini points out: </w:t>
      </w:r>
    </w:p>
    <w:p w14:paraId="147F2BCE" w14:textId="470803AD" w:rsidR="00D25D36" w:rsidRPr="00C104E6" w:rsidRDefault="00A663F2" w:rsidP="000F222A">
      <w:pPr>
        <w:pStyle w:val="Blockquotation"/>
        <w:rPr>
          <w:sz w:val="24"/>
          <w:lang w:val="en-AU"/>
        </w:rPr>
      </w:pPr>
      <w:r w:rsidRPr="00C104E6">
        <w:rPr>
          <w:sz w:val="24"/>
          <w:lang w:val="en-AU"/>
        </w:rPr>
        <w:t>Christian interpreters have often attributed to 1</w:t>
      </w:r>
      <w:r w:rsidRPr="00C104E6">
        <w:rPr>
          <w:sz w:val="24"/>
          <w:vertAlign w:val="superscript"/>
          <w:lang w:val="en-AU"/>
        </w:rPr>
        <w:t xml:space="preserve">st </w:t>
      </w:r>
      <w:r w:rsidRPr="00C104E6">
        <w:rPr>
          <w:sz w:val="24"/>
          <w:lang w:val="en-AU"/>
        </w:rPr>
        <w:t xml:space="preserve">century [CE] Judaism a univocal belief in an eschatological, political, nationalistic messiah. </w:t>
      </w:r>
      <w:proofErr w:type="gramStart"/>
      <w:r w:rsidRPr="00C104E6">
        <w:rPr>
          <w:sz w:val="24"/>
          <w:lang w:val="en-AU"/>
        </w:rPr>
        <w:t xml:space="preserve">In reality, </w:t>
      </w:r>
      <w:r w:rsidRPr="00C104E6">
        <w:rPr>
          <w:sz w:val="24"/>
          <w:lang w:val="en-AU"/>
        </w:rPr>
        <w:lastRenderedPageBreak/>
        <w:t>not</w:t>
      </w:r>
      <w:proofErr w:type="gramEnd"/>
      <w:r w:rsidRPr="00C104E6">
        <w:rPr>
          <w:sz w:val="24"/>
          <w:lang w:val="en-AU"/>
        </w:rPr>
        <w:t xml:space="preserve"> all Jews believed in an afterlife or an apocalyptic ending to the world. Of those who did, some expected a messianic figure, and some did not.</w:t>
      </w:r>
      <w:r w:rsidRPr="00C104E6">
        <w:rPr>
          <w:rStyle w:val="FootnoteReference"/>
          <w:sz w:val="24"/>
          <w:lang w:val="en-AU"/>
        </w:rPr>
        <w:footnoteReference w:id="70"/>
      </w:r>
      <w:r w:rsidRPr="00C104E6">
        <w:rPr>
          <w:sz w:val="24"/>
          <w:lang w:val="en-AU"/>
        </w:rPr>
        <w:t xml:space="preserve"> </w:t>
      </w:r>
    </w:p>
    <w:p w14:paraId="4D58F0CE" w14:textId="7CE8876B" w:rsidR="00A663F2" w:rsidRPr="00C104E6" w:rsidRDefault="00A663F2" w:rsidP="00610BBD">
      <w:pPr>
        <w:spacing w:before="240" w:line="480" w:lineRule="auto"/>
        <w:contextualSpacing/>
        <w:rPr>
          <w:lang w:val="en-AU"/>
        </w:rPr>
      </w:pPr>
      <w:r w:rsidRPr="00C104E6">
        <w:rPr>
          <w:lang w:val="en-AU"/>
        </w:rPr>
        <w:t>Bartelt correctly suggests that during the time of Jesus very different and divisive views and expectations of a messiah existed: unity in messianic expectation was not possible.</w:t>
      </w:r>
      <w:r w:rsidRPr="00C104E6">
        <w:rPr>
          <w:rStyle w:val="FootnoteReference"/>
          <w:lang w:val="en-AU"/>
        </w:rPr>
        <w:footnoteReference w:id="71"/>
      </w:r>
      <w:r w:rsidRPr="00C104E6">
        <w:rPr>
          <w:lang w:val="en-AU"/>
        </w:rPr>
        <w:t xml:space="preserve"> N.T. Wright comments that when a king was a militaristic figure, which is what Judas looked for in a messianic figure, it shaped the view of what a messianic figure should be.</w:t>
      </w:r>
      <w:r w:rsidRPr="00C104E6">
        <w:rPr>
          <w:rStyle w:val="FootnoteReference"/>
          <w:lang w:val="en-AU"/>
        </w:rPr>
        <w:footnoteReference w:id="72"/>
      </w:r>
      <w:r w:rsidRPr="00C104E6">
        <w:rPr>
          <w:lang w:val="en-AU"/>
        </w:rPr>
        <w:t xml:space="preserve"> Wright’s suggestion implies that Jesus’</w:t>
      </w:r>
      <w:r w:rsidR="00E35288">
        <w:rPr>
          <w:lang w:val="en-AU"/>
        </w:rPr>
        <w:t>s</w:t>
      </w:r>
      <w:r w:rsidRPr="00C104E6">
        <w:rPr>
          <w:lang w:val="en-AU"/>
        </w:rPr>
        <w:t xml:space="preserve"> views about nonviolence were in contrast to those held by many Jewish people at his time and that many of the people listening to Jesus had the propensity to revolutionary behaviour.  This is not indicated in the text of the Sermon itself.  </w:t>
      </w:r>
    </w:p>
    <w:p w14:paraId="39A3526D" w14:textId="6618155C" w:rsidR="00F20471" w:rsidRPr="00C104E6" w:rsidRDefault="00A663F2" w:rsidP="00AB7CAD">
      <w:pPr>
        <w:pStyle w:val="Heading2"/>
      </w:pPr>
      <w:bookmarkStart w:id="51" w:name="_Toc118063630"/>
      <w:bookmarkStart w:id="52" w:name="_Toc94536986"/>
      <w:r w:rsidRPr="00C104E6">
        <w:t>2.</w:t>
      </w:r>
      <w:r w:rsidR="00C544DF" w:rsidRPr="00C104E6">
        <w:t>6</w:t>
      </w:r>
      <w:r w:rsidRPr="00C104E6">
        <w:t xml:space="preserve"> Peace and </w:t>
      </w:r>
      <w:r w:rsidR="00F20471" w:rsidRPr="00C104E6">
        <w:t>the</w:t>
      </w:r>
      <w:r w:rsidRPr="00C104E6">
        <w:t xml:space="preserve"> Kingdom of God</w:t>
      </w:r>
      <w:r w:rsidR="00F20471" w:rsidRPr="00C104E6">
        <w:t xml:space="preserve"> in the Teachings of Jesus</w:t>
      </w:r>
      <w:bookmarkEnd w:id="51"/>
      <w:r w:rsidRPr="00C104E6">
        <w:t xml:space="preserve">  </w:t>
      </w:r>
      <w:bookmarkEnd w:id="52"/>
    </w:p>
    <w:p w14:paraId="6B74057C" w14:textId="1427B781" w:rsidR="00A663F2" w:rsidRPr="00C104E6" w:rsidRDefault="00A663F2" w:rsidP="00A663F2">
      <w:pPr>
        <w:spacing w:line="480" w:lineRule="auto"/>
        <w:ind w:firstLine="288"/>
        <w:contextualSpacing/>
        <w:rPr>
          <w:lang w:val="en-AU"/>
        </w:rPr>
      </w:pPr>
      <w:r w:rsidRPr="00C104E6">
        <w:rPr>
          <w:lang w:val="en-AU"/>
        </w:rPr>
        <w:t>The Kingdom of God theme in the New Testament is a theme of peace.</w:t>
      </w:r>
      <w:r w:rsidRPr="00C104E6">
        <w:rPr>
          <w:rStyle w:val="FootnoteReference"/>
          <w:lang w:val="en-AU"/>
        </w:rPr>
        <w:footnoteReference w:id="73"/>
      </w:r>
      <w:r w:rsidRPr="00C104E6">
        <w:rPr>
          <w:lang w:val="en-AU"/>
        </w:rPr>
        <w:t xml:space="preserve"> The Kingdom of Heaven and Kingdom of God have very similar literary historical beginnings originating before the writing of the Sermon</w:t>
      </w:r>
      <w:r w:rsidR="00FB53B9" w:rsidRPr="00C104E6">
        <w:rPr>
          <w:lang w:val="en-AU"/>
        </w:rPr>
        <w:t xml:space="preserve"> on the Mount</w:t>
      </w:r>
      <w:r w:rsidRPr="00C104E6">
        <w:rPr>
          <w:lang w:val="en-AU"/>
        </w:rPr>
        <w:t>.</w:t>
      </w:r>
      <w:r w:rsidRPr="00C104E6">
        <w:rPr>
          <w:rStyle w:val="FootnoteReference"/>
          <w:lang w:val="en-AU"/>
        </w:rPr>
        <w:footnoteReference w:id="74"/>
      </w:r>
      <w:r w:rsidRPr="00C104E6">
        <w:rPr>
          <w:lang w:val="en-AU"/>
        </w:rPr>
        <w:t xml:space="preserve"> G</w:t>
      </w:r>
      <w:r w:rsidR="00331F04">
        <w:rPr>
          <w:lang w:val="en-AU"/>
        </w:rPr>
        <w:t>e</w:t>
      </w:r>
      <w:r w:rsidRPr="00C104E6">
        <w:rPr>
          <w:lang w:val="en-AU"/>
        </w:rPr>
        <w:t xml:space="preserve">za Vermes suggests that the Kingdom of </w:t>
      </w:r>
      <w:r w:rsidRPr="00C104E6">
        <w:rPr>
          <w:lang w:val="en-AU"/>
        </w:rPr>
        <w:lastRenderedPageBreak/>
        <w:t>Heaven during the time of Jesus was a reference to the righteous kingdom and contrasted with the evil Roman Empire.</w:t>
      </w:r>
      <w:r w:rsidRPr="00C104E6">
        <w:rPr>
          <w:rStyle w:val="FootnoteReference"/>
          <w:lang w:val="en-AU"/>
        </w:rPr>
        <w:footnoteReference w:id="75"/>
      </w:r>
      <w:r w:rsidRPr="00C104E6">
        <w:rPr>
          <w:lang w:val="en-AU"/>
        </w:rPr>
        <w:t xml:space="preserve"> There is a difference between the good kingdom and the Roman kingdom in that the good kingdom is a Jewish kingdom.</w:t>
      </w:r>
      <w:r w:rsidRPr="00C104E6">
        <w:rPr>
          <w:rStyle w:val="FootnoteReference"/>
          <w:lang w:val="en-AU"/>
        </w:rPr>
        <w:footnoteReference w:id="76"/>
      </w:r>
      <w:r w:rsidRPr="00C104E6">
        <w:rPr>
          <w:lang w:val="en-AU"/>
        </w:rPr>
        <w:t xml:space="preserve"> In the Sermon on the Mount Jesus states, “…but strive first for the kingdom of God and his righteousness, and all these things will be given to you as well” Matthew 6:33 (NRSV). The Jewish kingdom is God’s kingdom, and this seems to imply that God’s kingdom is superior to the Roman’s. </w:t>
      </w:r>
    </w:p>
    <w:p w14:paraId="5D0344D4" w14:textId="2D764C2D" w:rsidR="00A663F2" w:rsidRPr="00BD6C72" w:rsidRDefault="00A663F2" w:rsidP="00A663F2">
      <w:pPr>
        <w:spacing w:line="480" w:lineRule="auto"/>
        <w:rPr>
          <w:lang w:val="en-AU"/>
        </w:rPr>
      </w:pPr>
      <w:r w:rsidRPr="009E7B69">
        <w:tab/>
      </w:r>
      <w:r w:rsidR="00E35288" w:rsidRPr="00BD6C72">
        <w:rPr>
          <w:lang w:val="en-AU"/>
        </w:rPr>
        <w:t>Jesus’</w:t>
      </w:r>
      <w:r w:rsidR="00E35288">
        <w:rPr>
          <w:lang w:val="en-AU"/>
        </w:rPr>
        <w:t xml:space="preserve">s </w:t>
      </w:r>
      <w:r w:rsidRPr="00BD6C72">
        <w:rPr>
          <w:lang w:val="en-AU"/>
        </w:rPr>
        <w:t>Jewish roots would include the concept of a kingdom of God, developed before the first century CE.</w:t>
      </w:r>
      <w:r w:rsidRPr="00BD6C72">
        <w:rPr>
          <w:rStyle w:val="FootnoteReference"/>
          <w:lang w:val="en-AU"/>
        </w:rPr>
        <w:footnoteReference w:id="77"/>
      </w:r>
      <w:r w:rsidRPr="00BD6C72">
        <w:rPr>
          <w:lang w:val="en-AU"/>
        </w:rPr>
        <w:t xml:space="preserve"> Vermes further asserts, “The kingdom of God was neither invented by John the Baptist nor by Jesus. It grew out of old biblical traditions where it had been developing over centuries.”</w:t>
      </w:r>
      <w:r w:rsidRPr="00BD6C72">
        <w:rPr>
          <w:rStyle w:val="FootnoteReference"/>
          <w:lang w:val="en-AU"/>
        </w:rPr>
        <w:footnoteReference w:id="78"/>
      </w:r>
      <w:r w:rsidRPr="00BD6C72">
        <w:rPr>
          <w:lang w:val="en-AU"/>
        </w:rPr>
        <w:t xml:space="preserve"> The interpretation of the kingdom of God morphed over </w:t>
      </w:r>
      <w:r w:rsidRPr="00BD6C72">
        <w:rPr>
          <w:lang w:val="en-AU"/>
        </w:rPr>
        <w:lastRenderedPageBreak/>
        <w:t>time, even assuming a monarchical view with “the ruler of Israel, the Israelite nation as God’s people, and the Jewish king as ultimately God’s lieutenant ruling over all the nations of the earth.”</w:t>
      </w:r>
      <w:r w:rsidRPr="00BD6C72">
        <w:rPr>
          <w:rStyle w:val="FootnoteReference"/>
          <w:lang w:val="en-AU"/>
        </w:rPr>
        <w:footnoteReference w:id="79"/>
      </w:r>
    </w:p>
    <w:p w14:paraId="617470AD" w14:textId="77777777" w:rsidR="00A663F2" w:rsidRPr="00BD6C72" w:rsidRDefault="00A663F2" w:rsidP="00A663F2">
      <w:pPr>
        <w:spacing w:line="480" w:lineRule="auto"/>
        <w:rPr>
          <w:lang w:val="en-AU"/>
        </w:rPr>
      </w:pPr>
      <w:r w:rsidRPr="009E7B69">
        <w:tab/>
      </w:r>
      <w:r w:rsidRPr="00BD6C72">
        <w:rPr>
          <w:lang w:val="en-AU"/>
        </w:rPr>
        <w:t>The kingdom of God was a kingdom over Jews and the term is used interchangeably with “Kingdom of Heaven” in the Gospel of Matthew (</w:t>
      </w:r>
      <w:proofErr w:type="gramStart"/>
      <w:r w:rsidRPr="00BD6C72">
        <w:rPr>
          <w:lang w:val="en-AU"/>
        </w:rPr>
        <w:t>e.g.</w:t>
      </w:r>
      <w:proofErr w:type="gramEnd"/>
      <w:r w:rsidRPr="00BD6C72">
        <w:rPr>
          <w:lang w:val="en-AU"/>
        </w:rPr>
        <w:t xml:space="preserve"> Matt 19:24–25). Early attempts to keep Jewish believers unified under a single monotheistic God influenced the definition. Judaism teaches that monotheism originates during the time of Moses.  The monotheistic ideology changed and developed through the exile.  In the 1830 publication by Fredrich E. Schleiermacher, it was believed that many Jews held the understanding that God’s providence was over Jews and not Gentiles; however, if they lived in Israel then they were subject to the laws of the Jewish people.</w:t>
      </w:r>
      <w:r w:rsidRPr="00BD6C72">
        <w:rPr>
          <w:rStyle w:val="FootnoteReference"/>
          <w:lang w:val="en-AU"/>
        </w:rPr>
        <w:footnoteReference w:id="80"/>
      </w:r>
      <w:r w:rsidRPr="00BD6C72">
        <w:rPr>
          <w:lang w:val="en-AU"/>
        </w:rPr>
        <w:t xml:space="preserve">  </w:t>
      </w:r>
    </w:p>
    <w:p w14:paraId="4B1379C2" w14:textId="77777777" w:rsidR="00A663F2" w:rsidRPr="00BD6C72" w:rsidRDefault="00A663F2" w:rsidP="00A663F2">
      <w:pPr>
        <w:spacing w:line="480" w:lineRule="auto"/>
        <w:ind w:firstLine="720"/>
        <w:rPr>
          <w:lang w:val="en-AU"/>
        </w:rPr>
      </w:pPr>
      <w:r w:rsidRPr="00BD6C72">
        <w:rPr>
          <w:lang w:val="en-AU"/>
        </w:rPr>
        <w:t xml:space="preserve">Understanding the meaning of “Kingdom of God” in ancient society involves an understanding of the roles of cults and cultures.  These cultures helped define this perception. Assmann describes monotheism and paganism in the relation to cults and cultures: </w:t>
      </w:r>
    </w:p>
    <w:p w14:paraId="6DC0373B" w14:textId="434E0536" w:rsidR="00D25D36" w:rsidRPr="00BD6C72" w:rsidRDefault="00A663F2" w:rsidP="000F222A">
      <w:pPr>
        <w:pStyle w:val="Blockquotation"/>
        <w:rPr>
          <w:sz w:val="24"/>
          <w:lang w:val="en-AU"/>
        </w:rPr>
      </w:pPr>
      <w:r w:rsidRPr="00BD6C72">
        <w:rPr>
          <w:sz w:val="24"/>
          <w:lang w:val="en-AU"/>
        </w:rPr>
        <w:t>To speak of Egyptian, Mesopotamian, Greek, and Roman ‘religions’ means to reconfigure—or even distort—the historical phenomena according to a perception of reality proper to monotheism but alien to ‘paganism.’ There were no ‘religions’ in pagan societies, only ‘cults’ and ‘cultures.’ ‘Religion,’ like ‘paganism,’ is an invention of monotheism.</w:t>
      </w:r>
      <w:r w:rsidRPr="00BD6C72">
        <w:rPr>
          <w:rStyle w:val="FootnoteReference"/>
          <w:sz w:val="24"/>
          <w:lang w:val="en-AU"/>
        </w:rPr>
        <w:footnoteReference w:id="81"/>
      </w:r>
      <w:r w:rsidRPr="00BD6C72">
        <w:rPr>
          <w:sz w:val="24"/>
          <w:lang w:val="en-AU"/>
        </w:rPr>
        <w:t xml:space="preserve"> </w:t>
      </w:r>
    </w:p>
    <w:p w14:paraId="1C90E55B" w14:textId="77777777" w:rsidR="00A663F2" w:rsidRPr="00BD6C72" w:rsidRDefault="00A663F2" w:rsidP="00610BBD">
      <w:pPr>
        <w:spacing w:before="240" w:line="480" w:lineRule="auto"/>
        <w:rPr>
          <w:lang w:val="en-AU"/>
        </w:rPr>
      </w:pPr>
      <w:r w:rsidRPr="00BD6C72">
        <w:rPr>
          <w:lang w:val="en-AU"/>
        </w:rPr>
        <w:lastRenderedPageBreak/>
        <w:t>The messianic era establishes the Hebrew God as king. There was a need to rescue the people of Israel and return them back to God’s authority since the people were under foreign rule. The perception of the king as an individual varied between each sect of Judaism according to their concept of messiah.</w:t>
      </w:r>
      <w:r w:rsidRPr="00BD6C72">
        <w:rPr>
          <w:i/>
          <w:lang w:val="en-AU"/>
        </w:rPr>
        <w:t xml:space="preserve"> </w:t>
      </w:r>
      <w:r w:rsidRPr="00BD6C72">
        <w:rPr>
          <w:lang w:val="en-AU"/>
        </w:rPr>
        <w:t xml:space="preserve"> Some, such as the Zealots,</w:t>
      </w:r>
      <w:r w:rsidRPr="00BD6C72">
        <w:rPr>
          <w:rStyle w:val="FootnoteReference"/>
          <w:lang w:val="en-AU"/>
        </w:rPr>
        <w:footnoteReference w:id="82"/>
      </w:r>
      <w:r w:rsidRPr="00BD6C72">
        <w:rPr>
          <w:lang w:val="en-AU"/>
        </w:rPr>
        <w:t xml:space="preserve"> held a militaristic and non-peaceful view of foreign kings who were seen as a threat to a Jewish monarch.</w:t>
      </w:r>
      <w:r w:rsidRPr="00BD6C72">
        <w:rPr>
          <w:rStyle w:val="FootnoteReference"/>
          <w:lang w:val="en-AU"/>
        </w:rPr>
        <w:footnoteReference w:id="83"/>
      </w:r>
      <w:r w:rsidRPr="00BD6C72">
        <w:rPr>
          <w:lang w:val="en-AU"/>
        </w:rPr>
        <w:t xml:space="preserve">  Vermes explains that a militant view would make the God of the Jews stronger and supreme over foreign gods.</w:t>
      </w:r>
      <w:r w:rsidRPr="00BD6C72">
        <w:rPr>
          <w:rStyle w:val="FootnoteReference"/>
          <w:lang w:val="en-AU"/>
        </w:rPr>
        <w:footnoteReference w:id="84"/>
      </w:r>
      <w:r w:rsidRPr="00BD6C72">
        <w:rPr>
          <w:lang w:val="en-AU"/>
        </w:rPr>
        <w:t xml:space="preserve">  </w:t>
      </w:r>
    </w:p>
    <w:p w14:paraId="7DBB8283" w14:textId="77777777" w:rsidR="00A663F2" w:rsidRPr="00BD6C72" w:rsidRDefault="00A663F2" w:rsidP="00A663F2">
      <w:pPr>
        <w:spacing w:line="480" w:lineRule="auto"/>
        <w:rPr>
          <w:lang w:val="en-AU"/>
        </w:rPr>
      </w:pPr>
      <w:r w:rsidRPr="00BD6C72">
        <w:rPr>
          <w:lang w:val="en-AU"/>
        </w:rPr>
        <w:tab/>
        <w:t xml:space="preserve">With the expansion of the people’s understanding of a messiah </w:t>
      </w:r>
      <w:proofErr w:type="gramStart"/>
      <w:r w:rsidRPr="00BD6C72">
        <w:rPr>
          <w:lang w:val="en-AU"/>
        </w:rPr>
        <w:t>came also</w:t>
      </w:r>
      <w:proofErr w:type="gramEnd"/>
      <w:r w:rsidRPr="00BD6C72">
        <w:rPr>
          <w:lang w:val="en-AU"/>
        </w:rPr>
        <w:t xml:space="preserve"> a mandate of obedience to Torah.</w:t>
      </w:r>
      <w:r w:rsidRPr="00BD6C72">
        <w:rPr>
          <w:rStyle w:val="FootnoteReference"/>
          <w:lang w:val="en-AU"/>
        </w:rPr>
        <w:footnoteReference w:id="85"/>
      </w:r>
      <w:r w:rsidRPr="00BD6C72">
        <w:rPr>
          <w:lang w:val="en-AU"/>
        </w:rPr>
        <w:t xml:space="preserve"> Saldarini writes: </w:t>
      </w:r>
    </w:p>
    <w:p w14:paraId="1D8ACD1C" w14:textId="77777777" w:rsidR="00A663F2" w:rsidRPr="00BD6C72" w:rsidRDefault="00A663F2" w:rsidP="000F222A">
      <w:pPr>
        <w:pStyle w:val="Blockquotation"/>
        <w:rPr>
          <w:sz w:val="24"/>
          <w:lang w:val="en-AU"/>
        </w:rPr>
      </w:pPr>
      <w:r w:rsidRPr="00BD6C72">
        <w:rPr>
          <w:sz w:val="24"/>
          <w:lang w:val="en-AU"/>
        </w:rPr>
        <w:t>Although the pious and often apolitical rabbis conceived of the establishment of God’s realm, it would happen, not through the power of the sword, but through total submission to the Law of Moses. This was to happen—to use their own words—through the acceptance of the yoke of the Torah.</w:t>
      </w:r>
      <w:r w:rsidRPr="00BD6C72">
        <w:rPr>
          <w:rStyle w:val="FootnoteReference"/>
          <w:sz w:val="24"/>
          <w:lang w:val="en-AU"/>
        </w:rPr>
        <w:footnoteReference w:id="86"/>
      </w:r>
    </w:p>
    <w:p w14:paraId="11AECB90" w14:textId="77777777" w:rsidR="00A663F2" w:rsidRPr="00BD6C72" w:rsidRDefault="00A663F2" w:rsidP="00D303D6">
      <w:pPr>
        <w:spacing w:before="240" w:line="480" w:lineRule="auto"/>
        <w:rPr>
          <w:lang w:val="en-AU"/>
        </w:rPr>
      </w:pPr>
      <w:r w:rsidRPr="00BD6C72">
        <w:rPr>
          <w:lang w:val="en-AU"/>
        </w:rPr>
        <w:t xml:space="preserve">Torah observance was the mechanism that ushers in a Kingdom of God. Torah similarly is the yoke of Jesus, a concept expressed in Matthew 11:29. The discussion in Matthew is not about the validity of Torah or whether one should follow Torah.  The discussion in Matthew is over which teacher is the appropriate one to follow. In the Greek, Matthew 11:29 reads, “ἄρατε τὸν ζυγόν μου ἐφ’ ὑμᾶς καὶ μάθετε ἀπ’ ἐμοῦ, ὅτι πραΰς εἰμι καὶ ταπεινὸς τῇ καρδίᾳ, καὶ εὑρήσετε ἀνάπαυσιν ταῖς ψυχαῖς ὑμῶν.” The text states (NRSV): “Take my </w:t>
      </w:r>
      <w:r w:rsidRPr="00BD6C72">
        <w:rPr>
          <w:bCs/>
          <w:lang w:val="en-AU"/>
        </w:rPr>
        <w:t>yoke</w:t>
      </w:r>
      <w:r w:rsidRPr="00BD6C72">
        <w:rPr>
          <w:lang w:val="en-AU"/>
        </w:rPr>
        <w:t xml:space="preserve"> upon </w:t>
      </w:r>
      <w:r w:rsidRPr="00BD6C72">
        <w:rPr>
          <w:lang w:val="en-AU"/>
        </w:rPr>
        <w:lastRenderedPageBreak/>
        <w:t xml:space="preserve">you and learn from me; for I am gentle and humble in heart, and you will find rest for your souls.” The verse indicates that Jesus expected that people would follow him. </w:t>
      </w:r>
    </w:p>
    <w:p w14:paraId="5B3A69DC" w14:textId="552E40D7" w:rsidR="00873934" w:rsidRPr="00BD6C72" w:rsidRDefault="006E0F84" w:rsidP="00AB7CAD">
      <w:pPr>
        <w:pStyle w:val="Heading2"/>
      </w:pPr>
      <w:bookmarkStart w:id="53" w:name="_Toc94536987"/>
      <w:bookmarkStart w:id="54" w:name="_Toc118063631"/>
      <w:r w:rsidRPr="00BD6C72">
        <w:t>2.</w:t>
      </w:r>
      <w:r w:rsidR="00C544DF" w:rsidRPr="00BD6C72">
        <w:t>7</w:t>
      </w:r>
      <w:r w:rsidR="00A663F2" w:rsidRPr="00BD6C72">
        <w:t xml:space="preserve"> Keeping the </w:t>
      </w:r>
      <w:r w:rsidR="00A663F2" w:rsidRPr="00BD6C72">
        <w:rPr>
          <w:i/>
          <w:iCs/>
        </w:rPr>
        <w:t>Mitzvoth</w:t>
      </w:r>
      <w:r w:rsidR="00A663F2" w:rsidRPr="00BD6C72">
        <w:t xml:space="preserve"> and the </w:t>
      </w:r>
      <w:r w:rsidRPr="00BD6C72">
        <w:t>Audie</w:t>
      </w:r>
      <w:r w:rsidR="00873934" w:rsidRPr="00BD6C72">
        <w:t xml:space="preserve">nce of the </w:t>
      </w:r>
      <w:r w:rsidR="00A663F2" w:rsidRPr="00BD6C72">
        <w:t>Sermon</w:t>
      </w:r>
      <w:r w:rsidR="00873934" w:rsidRPr="00BD6C72">
        <w:t xml:space="preserve"> on the Mount</w:t>
      </w:r>
      <w:bookmarkEnd w:id="53"/>
      <w:bookmarkEnd w:id="54"/>
      <w:r w:rsidR="00A663F2" w:rsidRPr="00BD6C72">
        <w:t xml:space="preserve">  </w:t>
      </w:r>
    </w:p>
    <w:p w14:paraId="79C420DC" w14:textId="2E5526A0" w:rsidR="00A663F2" w:rsidRPr="009E7B69" w:rsidRDefault="00A663F2" w:rsidP="00A663F2">
      <w:pPr>
        <w:spacing w:line="480" w:lineRule="auto"/>
        <w:ind w:firstLine="288"/>
        <w:contextualSpacing/>
      </w:pPr>
      <w:r w:rsidRPr="00BD6C72">
        <w:rPr>
          <w:lang w:val="en-AU"/>
        </w:rPr>
        <w:t>How the leaders of the time understood</w:t>
      </w:r>
      <w:r w:rsidRPr="009E7B69">
        <w:t xml:space="preserve"> </w:t>
      </w:r>
      <w:r w:rsidR="00D44508" w:rsidRPr="009E7B69">
        <w:rPr>
          <w:color w:val="202122"/>
          <w:shd w:val="clear" w:color="auto" w:fill="FFFFFF"/>
          <w:rtl/>
        </w:rPr>
        <w:t>משיח</w:t>
      </w:r>
      <w:r w:rsidR="00D44508" w:rsidRPr="009E7B69">
        <w:t xml:space="preserve"> </w:t>
      </w:r>
      <w:r w:rsidR="00D44508" w:rsidRPr="00BD6C72">
        <w:rPr>
          <w:lang w:val="en-AU"/>
        </w:rPr>
        <w:t xml:space="preserve">and </w:t>
      </w:r>
      <w:r w:rsidRPr="00BD6C72">
        <w:rPr>
          <w:lang w:val="en-AU"/>
        </w:rPr>
        <w:t xml:space="preserve">anticipated </w:t>
      </w:r>
      <w:r w:rsidR="00D44508" w:rsidRPr="00BD6C72">
        <w:rPr>
          <w:lang w:val="en-AU"/>
        </w:rPr>
        <w:t xml:space="preserve">the </w:t>
      </w:r>
      <w:r w:rsidRPr="00BD6C72">
        <w:rPr>
          <w:lang w:val="en-AU"/>
        </w:rPr>
        <w:t>entrance</w:t>
      </w:r>
      <w:r w:rsidR="00D44508" w:rsidRPr="00BD6C72">
        <w:rPr>
          <w:lang w:val="en-AU"/>
        </w:rPr>
        <w:t xml:space="preserve"> of</w:t>
      </w:r>
      <w:r w:rsidR="00D44508" w:rsidRPr="009E7B69">
        <w:t xml:space="preserve"> </w:t>
      </w:r>
      <w:r w:rsidR="00D44508" w:rsidRPr="009E7B69">
        <w:rPr>
          <w:color w:val="202122"/>
          <w:shd w:val="clear" w:color="auto" w:fill="FFFFFF"/>
          <w:rtl/>
        </w:rPr>
        <w:t>משיח</w:t>
      </w:r>
      <w:r w:rsidRPr="009E7B69">
        <w:t xml:space="preserve"> </w:t>
      </w:r>
      <w:r w:rsidRPr="00BD6C72">
        <w:rPr>
          <w:iCs/>
          <w:lang w:val="en-AU"/>
        </w:rPr>
        <w:t xml:space="preserve">dictated how the </w:t>
      </w:r>
      <w:proofErr w:type="gramStart"/>
      <w:r w:rsidRPr="00BD6C72">
        <w:rPr>
          <w:iCs/>
          <w:lang w:val="en-AU"/>
        </w:rPr>
        <w:t>leaders</w:t>
      </w:r>
      <w:proofErr w:type="gramEnd"/>
      <w:r w:rsidRPr="00BD6C72">
        <w:rPr>
          <w:iCs/>
          <w:lang w:val="en-AU"/>
        </w:rPr>
        <w:t xml:space="preserve"> understood peace at the time. </w:t>
      </w:r>
      <w:r w:rsidRPr="00BD6C72">
        <w:rPr>
          <w:lang w:val="en-AU"/>
        </w:rPr>
        <w:t xml:space="preserve">Some Jews obeyed and observed the </w:t>
      </w:r>
      <w:r w:rsidRPr="00BD6C72">
        <w:rPr>
          <w:i/>
          <w:lang w:val="en-AU"/>
        </w:rPr>
        <w:t>mitzvoth</w:t>
      </w:r>
      <w:r w:rsidRPr="00BD6C72">
        <w:rPr>
          <w:iCs/>
          <w:lang w:val="en-AU"/>
        </w:rPr>
        <w:t xml:space="preserve">, </w:t>
      </w:r>
      <w:r w:rsidRPr="00BD6C72">
        <w:rPr>
          <w:lang w:val="en-AU"/>
        </w:rPr>
        <w:t>also known as the commandment</w:t>
      </w:r>
      <w:r w:rsidR="004D4CD6">
        <w:rPr>
          <w:lang w:val="en-AU"/>
        </w:rPr>
        <w:t>s</w:t>
      </w:r>
      <w:r w:rsidRPr="00BD6C72">
        <w:rPr>
          <w:lang w:val="en-AU"/>
        </w:rPr>
        <w:t>.</w:t>
      </w:r>
      <w:r w:rsidRPr="00BD6C72">
        <w:rPr>
          <w:rStyle w:val="FootnoteReference"/>
          <w:iCs/>
          <w:lang w:val="en-AU"/>
        </w:rPr>
        <w:footnoteReference w:id="87"/>
      </w:r>
      <w:r w:rsidRPr="00BD6C72">
        <w:rPr>
          <w:lang w:val="en-AU"/>
        </w:rPr>
        <w:t xml:space="preserve"> This is accomplished by keeping the law or commandments of God through observance. The Great Commission in Matthew defines and contextuali</w:t>
      </w:r>
      <w:r w:rsidR="00D86BBD" w:rsidRPr="00BD6C72">
        <w:rPr>
          <w:lang w:val="en-AU"/>
        </w:rPr>
        <w:t>s</w:t>
      </w:r>
      <w:r w:rsidRPr="00BD6C72">
        <w:rPr>
          <w:lang w:val="en-AU"/>
        </w:rPr>
        <w:t>es the teaching for Matthew’s audience. Matthew 28:19–20 (NRSV) reads, “Go therefore and make disciples of all nations, baptizing them in the name of the Father and of the Son and of the Holy Spirit, and teaching them to obey everything that I have commanded you. And remember, I am with you always, to the end of the age.” Here Jesus’</w:t>
      </w:r>
      <w:r w:rsidR="00E35288">
        <w:rPr>
          <w:lang w:val="en-AU"/>
        </w:rPr>
        <w:t>s</w:t>
      </w:r>
      <w:r w:rsidRPr="00BD6C72">
        <w:rPr>
          <w:lang w:val="en-AU"/>
        </w:rPr>
        <w:t xml:space="preserve"> says that keeping his commandments, along with baptism, is part of being a Christian disciple.</w:t>
      </w:r>
    </w:p>
    <w:p w14:paraId="742D980C" w14:textId="1CFB4A96" w:rsidR="00A663F2" w:rsidRPr="00BD6C72" w:rsidRDefault="00A663F2" w:rsidP="00A663F2">
      <w:pPr>
        <w:spacing w:line="480" w:lineRule="auto"/>
        <w:ind w:firstLine="288"/>
        <w:contextualSpacing/>
        <w:rPr>
          <w:lang w:val="en-AU"/>
        </w:rPr>
      </w:pPr>
      <w:r w:rsidRPr="00BD6C72">
        <w:rPr>
          <w:lang w:val="en-AU"/>
        </w:rPr>
        <w:t xml:space="preserve">The people engaged by the Great Commission are following the practices of Jesus, observing the law of Moses. Obedience to the law or </w:t>
      </w:r>
      <w:r w:rsidRPr="00BD6C72">
        <w:rPr>
          <w:i/>
          <w:iCs/>
          <w:lang w:val="en-AU"/>
        </w:rPr>
        <w:t xml:space="preserve">mitzvoth </w:t>
      </w:r>
      <w:r w:rsidRPr="00BD6C72">
        <w:rPr>
          <w:lang w:val="en-AU"/>
        </w:rPr>
        <w:t>is understood in the statement attributed to Jesus, “teaching them to obey everything that I have commanded you” [Matthew 28:20]. Jesus instructed people, and they were required to be obedient. Saldarini continues, “The Matthean audience of the Sermon on the Mount relates to the nations (Gentiles) not through a theory of supersessionism, not developed until the 2</w:t>
      </w:r>
      <w:r w:rsidRPr="00BD6C72">
        <w:rPr>
          <w:vertAlign w:val="superscript"/>
          <w:lang w:val="en-AU"/>
        </w:rPr>
        <w:t>nd</w:t>
      </w:r>
      <w:r w:rsidRPr="00BD6C72">
        <w:rPr>
          <w:lang w:val="en-AU"/>
        </w:rPr>
        <w:t xml:space="preserve"> century, but through law (</w:t>
      </w:r>
      <w:r w:rsidRPr="00BD6C72">
        <w:rPr>
          <w:i/>
          <w:lang w:val="en-AU"/>
        </w:rPr>
        <w:t>mitzvoth)</w:t>
      </w:r>
      <w:r w:rsidRPr="00BD6C72">
        <w:rPr>
          <w:lang w:val="en-AU"/>
        </w:rPr>
        <w:t xml:space="preserve"> observance.”</w:t>
      </w:r>
      <w:r w:rsidRPr="00BD6C72">
        <w:rPr>
          <w:rStyle w:val="FootnoteReference"/>
          <w:lang w:val="en-AU"/>
        </w:rPr>
        <w:footnoteReference w:id="88"/>
      </w:r>
      <w:r w:rsidRPr="00BD6C72">
        <w:rPr>
          <w:lang w:val="en-AU"/>
        </w:rPr>
        <w:t xml:space="preserve"> Those listening to the Sermon of the Mount have the potential to be </w:t>
      </w:r>
      <w:r w:rsidRPr="00BD6C72">
        <w:rPr>
          <w:lang w:val="en-AU"/>
        </w:rPr>
        <w:lastRenderedPageBreak/>
        <w:t xml:space="preserve">Torah-observant and to use that lens to define </w:t>
      </w:r>
      <w:r w:rsidR="00611617" w:rsidRPr="00BD6C72">
        <w:rPr>
          <w:lang w:val="en-AU"/>
        </w:rPr>
        <w:t>nonviolent</w:t>
      </w:r>
      <w:r w:rsidRPr="00BD6C72">
        <w:rPr>
          <w:lang w:val="en-AU"/>
        </w:rPr>
        <w:t xml:space="preserve"> resistance.</w:t>
      </w:r>
      <w:r w:rsidRPr="00BD6C72">
        <w:rPr>
          <w:rStyle w:val="FootnoteReference"/>
          <w:lang w:val="en-AU"/>
        </w:rPr>
        <w:footnoteReference w:id="89"/>
      </w:r>
      <w:r w:rsidRPr="00BD6C72">
        <w:rPr>
          <w:lang w:val="en-AU"/>
        </w:rPr>
        <w:t xml:space="preserve"> They would interpret the teachings of Jesus as Jewish in nature, not Gentile, nor as a Pauline community might.</w:t>
      </w:r>
    </w:p>
    <w:p w14:paraId="688FF3EC" w14:textId="77777777" w:rsidR="00A663F2" w:rsidRPr="00BD6C72" w:rsidRDefault="00A663F2" w:rsidP="00A663F2">
      <w:pPr>
        <w:spacing w:line="480" w:lineRule="auto"/>
        <w:ind w:firstLine="720"/>
        <w:rPr>
          <w:lang w:val="en-AU"/>
        </w:rPr>
      </w:pPr>
      <w:r w:rsidRPr="00BD6C72">
        <w:rPr>
          <w:lang w:val="en-AU"/>
        </w:rPr>
        <w:t>This dissertation explores the impact of this discourse of Jesus on the Galilean audience, which consisted of both Jews and Gentile.  Since the Sermon, including Matthew 5:38–42, was delivered in a public area, it reached a mixed audience.  The text clearly does not say Jesus delivered the sermon in a synagogue or in a Temple but outside in the vicinity of Capernaum (“he went up the mountain” Matt 5:1; Matt 8:1, 5 assuming 8:5 follows immediately from 8:1–4).</w:t>
      </w:r>
      <w:r w:rsidRPr="00BD6C72">
        <w:rPr>
          <w:rStyle w:val="FootnoteReference"/>
          <w:lang w:val="en-AU"/>
        </w:rPr>
        <w:footnoteReference w:id="90"/>
      </w:r>
      <w:r w:rsidRPr="00BD6C72">
        <w:rPr>
          <w:lang w:val="en-AU"/>
        </w:rPr>
        <w:t xml:space="preserve"> In his expository Sermon Jesus was Jewish.  An understanding of the Jewish law and prophets helps to reveal this fact as well as revealing what Jesus came to accomplish.</w:t>
      </w:r>
    </w:p>
    <w:p w14:paraId="758D97AC" w14:textId="13B79E85" w:rsidR="00A663F2" w:rsidRPr="00BD6C72" w:rsidRDefault="00A663F2" w:rsidP="00A663F2">
      <w:pPr>
        <w:spacing w:line="480" w:lineRule="auto"/>
        <w:ind w:firstLine="720"/>
        <w:rPr>
          <w:lang w:val="en-AU"/>
        </w:rPr>
      </w:pPr>
      <w:r w:rsidRPr="00BD6C72">
        <w:rPr>
          <w:lang w:val="en-AU"/>
        </w:rPr>
        <w:t xml:space="preserve">Jesus states: “Do not think that I have come to abolish the </w:t>
      </w:r>
      <w:r w:rsidRPr="00BD6C72">
        <w:rPr>
          <w:bCs/>
          <w:lang w:val="en-AU"/>
        </w:rPr>
        <w:t>law</w:t>
      </w:r>
      <w:r w:rsidRPr="00BD6C72">
        <w:rPr>
          <w:lang w:val="en-AU"/>
        </w:rPr>
        <w:t xml:space="preserve"> or the prophets; I have come not to abolish but to fulfill” [Matthew 5:17 (NRSV)]. At this time, before the development of Rabbinical Judaism, Jesus observed both the law and the prophets.  Jesus neither annulled nor diminished any aspects of the law but rather clarified the discrepancies in its observance among the variety of Jewish denominations.</w:t>
      </w:r>
      <w:r w:rsidRPr="00BD6C72">
        <w:rPr>
          <w:rStyle w:val="FootnoteReference"/>
          <w:lang w:val="en-AU"/>
        </w:rPr>
        <w:footnoteReference w:id="91"/>
      </w:r>
      <w:r w:rsidRPr="00BD6C72">
        <w:rPr>
          <w:lang w:val="en-AU"/>
        </w:rPr>
        <w:t xml:space="preserve"> If Jesus was creating a </w:t>
      </w:r>
      <w:r w:rsidRPr="00BD6C72">
        <w:rPr>
          <w:lang w:val="en-AU"/>
        </w:rPr>
        <w:lastRenderedPageBreak/>
        <w:t>theology contrary to current Jewish thought, his reception by the Jewish community may have been less well received, and his legacy would have dissipated and disappeared like the hundreds of other messiah figures that came before and after him. Jesus’</w:t>
      </w:r>
      <w:r w:rsidR="00E35288">
        <w:rPr>
          <w:lang w:val="en-AU"/>
        </w:rPr>
        <w:t>s</w:t>
      </w:r>
      <w:r w:rsidRPr="00BD6C72">
        <w:rPr>
          <w:lang w:val="en-AU"/>
        </w:rPr>
        <w:t xml:space="preserve"> teachings are in line with the keeping of the Torah, including his teachings regarding peace and peace ethics. It would be against the law and the prophets for Jesus to develop a new philosophy surrounding peace and pacifism that was not in keeping with the prevailing Jewish political and intellectual thought of his time.</w:t>
      </w:r>
      <w:r w:rsidRPr="00BD6C72">
        <w:rPr>
          <w:rStyle w:val="FootnoteReference"/>
          <w:lang w:val="en-AU"/>
        </w:rPr>
        <w:footnoteReference w:id="92"/>
      </w:r>
      <w:r w:rsidRPr="00BD6C72">
        <w:rPr>
          <w:lang w:val="en-AU"/>
        </w:rPr>
        <w:t xml:space="preserve">  </w:t>
      </w:r>
    </w:p>
    <w:p w14:paraId="1B932DCD" w14:textId="1B84C676" w:rsidR="002B7AFC" w:rsidRPr="00BD6C72" w:rsidRDefault="00A663F2" w:rsidP="00616249">
      <w:pPr>
        <w:spacing w:line="480" w:lineRule="auto"/>
        <w:ind w:firstLine="720"/>
        <w:rPr>
          <w:lang w:val="en-AU"/>
        </w:rPr>
      </w:pPr>
      <w:r w:rsidRPr="00BD6C72">
        <w:rPr>
          <w:lang w:val="en-AU"/>
        </w:rPr>
        <w:t xml:space="preserve">From the sociological perspective, there was an influx of </w:t>
      </w:r>
      <w:r w:rsidR="009130CE" w:rsidRPr="00BD6C72">
        <w:rPr>
          <w:lang w:val="en-AU"/>
        </w:rPr>
        <w:t>Gentile</w:t>
      </w:r>
      <w:r w:rsidRPr="00BD6C72">
        <w:rPr>
          <w:lang w:val="en-AU"/>
        </w:rPr>
        <w:t>s into Judaism, possibly from Antioch of Syria.</w:t>
      </w:r>
      <w:r w:rsidRPr="00BD6C72">
        <w:rPr>
          <w:rStyle w:val="FootnoteReference"/>
          <w:lang w:val="en-AU"/>
        </w:rPr>
        <w:footnoteReference w:id="93"/>
      </w:r>
      <w:r w:rsidRPr="00BD6C72">
        <w:rPr>
          <w:lang w:val="en-AU"/>
        </w:rPr>
        <w:t xml:space="preserve"> The addition of new members from the Diaspora also created a new understanding of peace from Greek and Roman philosophies that misunderstood Jesus’</w:t>
      </w:r>
      <w:r w:rsidR="00E35288">
        <w:rPr>
          <w:lang w:val="en-AU"/>
        </w:rPr>
        <w:t>s</w:t>
      </w:r>
      <w:r w:rsidRPr="00BD6C72">
        <w:rPr>
          <w:lang w:val="en-AU"/>
        </w:rPr>
        <w:t xml:space="preserve"> fulfillment of Torah and the prophets. </w:t>
      </w:r>
      <w:r w:rsidR="00887878">
        <w:rPr>
          <w:lang w:val="en-AU"/>
        </w:rPr>
        <w:t xml:space="preserve">Christianity often tries to define how Jesus </w:t>
      </w:r>
      <w:r w:rsidR="00887878">
        <w:rPr>
          <w:i/>
          <w:iCs/>
          <w:lang w:val="en-AU"/>
        </w:rPr>
        <w:t xml:space="preserve">fulfilled </w:t>
      </w:r>
      <w:r w:rsidR="00887878">
        <w:rPr>
          <w:lang w:val="en-AU"/>
        </w:rPr>
        <w:t xml:space="preserve">Torah.  These various methods to define how </w:t>
      </w:r>
      <w:r w:rsidR="00331F04">
        <w:rPr>
          <w:lang w:val="en-AU"/>
        </w:rPr>
        <w:t xml:space="preserve">are </w:t>
      </w:r>
      <w:r w:rsidR="00887878">
        <w:rPr>
          <w:lang w:val="en-AU"/>
        </w:rPr>
        <w:t>common</w:t>
      </w:r>
      <w:r w:rsidR="00331F04">
        <w:rPr>
          <w:lang w:val="en-AU"/>
        </w:rPr>
        <w:t xml:space="preserve"> done </w:t>
      </w:r>
      <w:r w:rsidR="00887878">
        <w:rPr>
          <w:lang w:val="en-AU"/>
        </w:rPr>
        <w:t>“</w:t>
      </w:r>
      <w:r w:rsidRPr="00BD6C72">
        <w:rPr>
          <w:lang w:val="en-AU"/>
        </w:rPr>
        <w:t>by confirming it</w:t>
      </w:r>
      <w:r w:rsidR="00887878">
        <w:rPr>
          <w:lang w:val="en-AU"/>
        </w:rPr>
        <w:t>,</w:t>
      </w:r>
      <w:r w:rsidRPr="00BD6C72">
        <w:rPr>
          <w:lang w:val="en-AU"/>
        </w:rPr>
        <w:t xml:space="preserve"> by adding to it</w:t>
      </w:r>
      <w:r w:rsidR="00887878">
        <w:rPr>
          <w:lang w:val="en-AU"/>
        </w:rPr>
        <w:t>,</w:t>
      </w:r>
      <w:r w:rsidRPr="00BD6C72">
        <w:rPr>
          <w:lang w:val="en-AU"/>
        </w:rPr>
        <w:t xml:space="preserve"> by bringing out its full originally intended meaning</w:t>
      </w:r>
      <w:r w:rsidR="00887878">
        <w:rPr>
          <w:lang w:val="en-AU"/>
        </w:rPr>
        <w:t>,</w:t>
      </w:r>
      <w:r w:rsidRPr="00BD6C72">
        <w:rPr>
          <w:lang w:val="en-AU"/>
        </w:rPr>
        <w:t xml:space="preserve"> by </w:t>
      </w:r>
      <w:r w:rsidRPr="00BD6C72">
        <w:rPr>
          <w:lang w:val="en-AU"/>
        </w:rPr>
        <w:lastRenderedPageBreak/>
        <w:t xml:space="preserve">extending its </w:t>
      </w:r>
      <w:proofErr w:type="gramStart"/>
      <w:r w:rsidRPr="00BD6C72">
        <w:rPr>
          <w:lang w:val="en-AU"/>
        </w:rPr>
        <w:t>demand</w:t>
      </w:r>
      <w:r w:rsidR="00887878">
        <w:rPr>
          <w:lang w:val="en-AU"/>
        </w:rPr>
        <w:t>,</w:t>
      </w:r>
      <w:r w:rsidR="00A72E4E">
        <w:rPr>
          <w:lang w:val="en-AU"/>
        </w:rPr>
        <w:t>`</w:t>
      </w:r>
      <w:proofErr w:type="gramEnd"/>
      <w:r w:rsidRPr="00BD6C72">
        <w:rPr>
          <w:lang w:val="en-AU"/>
        </w:rPr>
        <w:t xml:space="preserve"> and  by teaching the eschatological will of God.</w:t>
      </w:r>
      <w:r w:rsidR="00887878">
        <w:rPr>
          <w:lang w:val="en-AU"/>
        </w:rPr>
        <w:t>”</w:t>
      </w:r>
      <w:r w:rsidRPr="00BD6C72">
        <w:rPr>
          <w:rStyle w:val="FootnoteReference"/>
          <w:lang w:val="en-AU"/>
        </w:rPr>
        <w:footnoteReference w:id="94"/>
      </w:r>
      <w:r w:rsidRPr="00BD6C72">
        <w:rPr>
          <w:lang w:val="en-AU"/>
        </w:rPr>
        <w:t xml:space="preserve"> All of these are good suggestions but they do not provide a comprehensive view of how Jesus fulfilled the Torah. It is unlikely that Jesus acted outside of the parameters of the Torah.</w:t>
      </w:r>
      <w:r w:rsidRPr="00BD6C72">
        <w:rPr>
          <w:rStyle w:val="FootnoteReference"/>
          <w:lang w:val="en-AU"/>
        </w:rPr>
        <w:footnoteReference w:id="95"/>
      </w:r>
      <w:r w:rsidRPr="00BD6C72">
        <w:rPr>
          <w:lang w:val="en-AU"/>
        </w:rPr>
        <w:t xml:space="preserve"> Boyarin contends that Jesus was a Jew who kept the commandments</w:t>
      </w:r>
      <w:proofErr w:type="gramStart"/>
      <w:r w:rsidRPr="00BD6C72">
        <w:rPr>
          <w:lang w:val="en-AU"/>
        </w:rPr>
        <w:t>―“</w:t>
      </w:r>
      <w:proofErr w:type="gramEnd"/>
      <w:r w:rsidRPr="00BD6C72">
        <w:rPr>
          <w:lang w:val="en-AU"/>
        </w:rPr>
        <w:t>Jesus kept kosher, which is to say that he saw himself not as abrogating the Torah but as defending it.”</w:t>
      </w:r>
      <w:r w:rsidRPr="00BD6C72">
        <w:rPr>
          <w:rStyle w:val="FootnoteReference"/>
          <w:lang w:val="en-AU"/>
        </w:rPr>
        <w:footnoteReference w:id="96"/>
      </w:r>
      <w:r w:rsidRPr="00BD6C72">
        <w:rPr>
          <w:lang w:val="en-AU"/>
        </w:rPr>
        <w:t xml:space="preserve"> Jesus could not have spoken against observance of the </w:t>
      </w:r>
      <w:r w:rsidRPr="00BD6C72">
        <w:rPr>
          <w:i/>
          <w:iCs/>
          <w:lang w:val="en-AU"/>
        </w:rPr>
        <w:t xml:space="preserve">mitzvoth </w:t>
      </w:r>
      <w:r w:rsidRPr="00BD6C72">
        <w:rPr>
          <w:lang w:val="en-AU"/>
        </w:rPr>
        <w:t>if he was keeping and advocated keeping the details of Torah.  The image of a Jesus who kept the law provides a better basis for understanding the contemporary perception of his sayings as they relate to both the written and oral Torah.</w:t>
      </w:r>
    </w:p>
    <w:p w14:paraId="45E6FE2A" w14:textId="248DA7B6" w:rsidR="00FA349B" w:rsidRPr="00BD6C72" w:rsidRDefault="00A95DD3" w:rsidP="00AB7CAD">
      <w:pPr>
        <w:pStyle w:val="Heading2"/>
      </w:pPr>
      <w:bookmarkStart w:id="55" w:name="_Toc118063632"/>
      <w:r w:rsidRPr="00BD6C72">
        <w:t xml:space="preserve">2.8 </w:t>
      </w:r>
      <w:r w:rsidR="002B7AFC" w:rsidRPr="00BD6C72">
        <w:t>Chapter Conclusion</w:t>
      </w:r>
      <w:bookmarkEnd w:id="55"/>
    </w:p>
    <w:p w14:paraId="6A699371" w14:textId="3D380BD6" w:rsidR="007C2B3C" w:rsidRPr="00BD6C72" w:rsidRDefault="00FA349B" w:rsidP="0012035B">
      <w:pPr>
        <w:spacing w:line="480" w:lineRule="auto"/>
        <w:ind w:firstLine="720"/>
        <w:rPr>
          <w:lang w:val="en-AU"/>
        </w:rPr>
        <w:sectPr w:rsidR="007C2B3C" w:rsidRPr="00BD6C72" w:rsidSect="0020742E">
          <w:type w:val="continuous"/>
          <w:pgSz w:w="11900" w:h="16840"/>
          <w:pgMar w:top="1440" w:right="1440" w:bottom="1440" w:left="1440" w:header="706" w:footer="706" w:gutter="0"/>
          <w:pgNumType w:start="1"/>
          <w:cols w:space="708"/>
          <w:docGrid w:linePitch="326"/>
        </w:sectPr>
      </w:pPr>
      <w:r w:rsidRPr="00BD6C72">
        <w:rPr>
          <w:lang w:val="en-AU"/>
        </w:rPr>
        <w:t xml:space="preserve">The Hebrew Bible depicts God as both a </w:t>
      </w:r>
      <w:r w:rsidR="00075D70">
        <w:rPr>
          <w:lang w:val="en-AU"/>
        </w:rPr>
        <w:t>w</w:t>
      </w:r>
      <w:r w:rsidRPr="00BD6C72">
        <w:rPr>
          <w:lang w:val="en-AU"/>
        </w:rPr>
        <w:t xml:space="preserve">arrior God and a God of people.  </w:t>
      </w:r>
      <w:r w:rsidR="00370D2C" w:rsidRPr="00BD6C72">
        <w:rPr>
          <w:lang w:val="en-AU"/>
        </w:rPr>
        <w:t>The imagery</w:t>
      </w:r>
      <w:r w:rsidR="00D303D6" w:rsidRPr="00BD6C72">
        <w:rPr>
          <w:lang w:val="en-AU"/>
        </w:rPr>
        <w:t xml:space="preserve"> </w:t>
      </w:r>
      <w:r w:rsidR="00370D2C" w:rsidRPr="00BD6C72">
        <w:rPr>
          <w:lang w:val="en-AU"/>
        </w:rPr>
        <w:t>of YHWH</w:t>
      </w:r>
      <w:r w:rsidR="00F518C7" w:rsidRPr="00BD6C72">
        <w:rPr>
          <w:lang w:val="en-AU"/>
        </w:rPr>
        <w:t xml:space="preserve"> as a </w:t>
      </w:r>
      <w:r w:rsidR="00987D33">
        <w:rPr>
          <w:lang w:val="en-AU"/>
        </w:rPr>
        <w:t>w</w:t>
      </w:r>
      <w:r w:rsidR="00F518C7" w:rsidRPr="00BD6C72">
        <w:rPr>
          <w:lang w:val="en-AU"/>
        </w:rPr>
        <w:t>arrior God in</w:t>
      </w:r>
      <w:r w:rsidR="00370D2C" w:rsidRPr="00BD6C72">
        <w:rPr>
          <w:lang w:val="en-AU"/>
        </w:rPr>
        <w:t xml:space="preserve"> 2 Samuel 5:25 </w:t>
      </w:r>
      <w:r w:rsidR="00F518C7" w:rsidRPr="00BD6C72">
        <w:rPr>
          <w:lang w:val="en-AU"/>
        </w:rPr>
        <w:t>resembles Ugaritic Baal</w:t>
      </w:r>
      <w:r w:rsidR="00606804" w:rsidRPr="00BD6C72">
        <w:rPr>
          <w:lang w:val="en-AU"/>
        </w:rPr>
        <w:t xml:space="preserve">, </w:t>
      </w:r>
      <w:r w:rsidR="00F518C7" w:rsidRPr="00BD6C72">
        <w:rPr>
          <w:lang w:val="en-AU"/>
        </w:rPr>
        <w:t>killing for national self-preservation is required in 1 Samuel 15</w:t>
      </w:r>
      <w:r w:rsidR="00606804" w:rsidRPr="00BD6C72">
        <w:rPr>
          <w:lang w:val="en-AU"/>
        </w:rPr>
        <w:t xml:space="preserve">, and </w:t>
      </w:r>
      <w:r w:rsidR="00F518C7" w:rsidRPr="00BD6C72">
        <w:rPr>
          <w:lang w:val="en-AU"/>
        </w:rPr>
        <w:t xml:space="preserve">the failure to </w:t>
      </w:r>
      <w:r w:rsidR="00606804" w:rsidRPr="00BD6C72">
        <w:rPr>
          <w:lang w:val="en-AU"/>
        </w:rPr>
        <w:t>kill for national preservation</w:t>
      </w:r>
      <w:r w:rsidR="00F518C7" w:rsidRPr="00BD6C72">
        <w:rPr>
          <w:lang w:val="en-AU"/>
        </w:rPr>
        <w:t xml:space="preserve"> results in Haman being a threat to future generations. After </w:t>
      </w:r>
      <w:r w:rsidR="00606804" w:rsidRPr="00BD6C72">
        <w:rPr>
          <w:lang w:val="en-AU"/>
        </w:rPr>
        <w:t>both</w:t>
      </w:r>
      <w:r w:rsidR="00F518C7" w:rsidRPr="00BD6C72">
        <w:rPr>
          <w:lang w:val="en-AU"/>
        </w:rPr>
        <w:t xml:space="preserve"> David and Solomon, both the Northern and Southern kingdoms failed to develop active military offensive war strategies</w:t>
      </w:r>
      <w:r w:rsidR="00D62074" w:rsidRPr="00BD6C72">
        <w:rPr>
          <w:lang w:val="en-AU"/>
        </w:rPr>
        <w:t xml:space="preserve"> and largely developed defensive strategies, as illuminated in Deuteronomy 17:16.  This included limitations on military equipment, including horses and chariots.  Even though kings did amass large amounts of wealth, it was not </w:t>
      </w:r>
      <w:r w:rsidR="00606804" w:rsidRPr="00BD6C72">
        <w:rPr>
          <w:lang w:val="en-AU"/>
        </w:rPr>
        <w:t>using</w:t>
      </w:r>
      <w:r w:rsidR="00D62074" w:rsidRPr="00BD6C72">
        <w:rPr>
          <w:lang w:val="en-AU"/>
        </w:rPr>
        <w:t xml:space="preserve"> war and a war ethos, especially against foreign lands. Solomon becomes an arms dealer to amass wealth and influence within the region. </w:t>
      </w:r>
      <w:r w:rsidR="00606804" w:rsidRPr="00BD6C72">
        <w:rPr>
          <w:lang w:val="en-AU"/>
        </w:rPr>
        <w:t>This was not the case by the 8</w:t>
      </w:r>
      <w:r w:rsidR="00606804" w:rsidRPr="00BD6C72">
        <w:rPr>
          <w:vertAlign w:val="superscript"/>
          <w:lang w:val="en-AU"/>
        </w:rPr>
        <w:t>th</w:t>
      </w:r>
      <w:r w:rsidR="00606804" w:rsidRPr="00BD6C72">
        <w:rPr>
          <w:lang w:val="en-AU"/>
        </w:rPr>
        <w:t xml:space="preserve"> to 6</w:t>
      </w:r>
      <w:r w:rsidR="00606804" w:rsidRPr="00BD6C72">
        <w:rPr>
          <w:vertAlign w:val="superscript"/>
          <w:lang w:val="en-AU"/>
        </w:rPr>
        <w:t>th</w:t>
      </w:r>
      <w:r w:rsidR="00606804" w:rsidRPr="00BD6C72">
        <w:rPr>
          <w:lang w:val="en-AU"/>
        </w:rPr>
        <w:t xml:space="preserve"> centuries BCE when </w:t>
      </w:r>
      <w:r w:rsidR="00606804" w:rsidRPr="00BD6C72">
        <w:rPr>
          <w:lang w:val="en-AU"/>
        </w:rPr>
        <w:lastRenderedPageBreak/>
        <w:t>they become vulnerable to neighbo</w:t>
      </w:r>
      <w:r w:rsidR="00BB5393">
        <w:rPr>
          <w:lang w:val="en-AU"/>
        </w:rPr>
        <w:t>u</w:t>
      </w:r>
      <w:r w:rsidR="00606804" w:rsidRPr="00BD6C72">
        <w:rPr>
          <w:lang w:val="en-AU"/>
        </w:rPr>
        <w:t xml:space="preserve">ring invaders thus requiring a recasting of YHWH as a </w:t>
      </w:r>
      <w:r w:rsidR="00987D33">
        <w:rPr>
          <w:lang w:val="en-AU"/>
        </w:rPr>
        <w:t>w</w:t>
      </w:r>
      <w:r w:rsidR="00606804" w:rsidRPr="00BD6C72">
        <w:rPr>
          <w:lang w:val="en-AU"/>
        </w:rPr>
        <w:t xml:space="preserve">arrior God for self-preservation. </w:t>
      </w:r>
      <w:r w:rsidR="00CB2527" w:rsidRPr="00BD6C72">
        <w:rPr>
          <w:lang w:val="en-AU"/>
        </w:rPr>
        <w:t>By the time of Jesus, the Jewish nation was not preparing for war or national defen</w:t>
      </w:r>
      <w:r w:rsidR="00B36714">
        <w:rPr>
          <w:lang w:val="en-AU"/>
        </w:rPr>
        <w:t>c</w:t>
      </w:r>
      <w:r w:rsidR="00CB2527" w:rsidRPr="00BD6C72">
        <w:rPr>
          <w:lang w:val="en-AU"/>
        </w:rPr>
        <w:t xml:space="preserve">e; thus, they lived under Roman rule.  The need to fight for self-preservation was not as prominent; thus, different views of a messianic figure developed in the context of who ruled the Jewish nation. The impact of Micah </w:t>
      </w:r>
      <w:r w:rsidR="003F5A96" w:rsidRPr="00BD6C72">
        <w:rPr>
          <w:lang w:val="en-AU"/>
        </w:rPr>
        <w:t>chapter 4 would usher in a messianic age with peace, and this outlook formed the Jewish understanding of peace and pacifism, and Isaiah 9 would provide a typology the future messianic leader.  The teaching of peace and the Kingdom of God in the book of Matthew reflects these intellectual developments of peace and war from the Hebrew Bible.  Jesus’</w:t>
      </w:r>
      <w:r w:rsidR="00E35288">
        <w:rPr>
          <w:lang w:val="en-AU"/>
        </w:rPr>
        <w:t>s</w:t>
      </w:r>
      <w:r w:rsidR="003F5A96" w:rsidRPr="00BD6C72">
        <w:rPr>
          <w:lang w:val="en-AU"/>
        </w:rPr>
        <w:t xml:space="preserve"> Jewish roots exemplify keeping the </w:t>
      </w:r>
      <w:r w:rsidR="003F5A96" w:rsidRPr="00BD6C72">
        <w:rPr>
          <w:i/>
          <w:iCs/>
          <w:lang w:val="en-AU"/>
        </w:rPr>
        <w:t xml:space="preserve">mitzvoth </w:t>
      </w:r>
      <w:r w:rsidR="003F5A96" w:rsidRPr="00BD6C72">
        <w:rPr>
          <w:lang w:val="en-AU"/>
        </w:rPr>
        <w:t xml:space="preserve">and </w:t>
      </w:r>
      <w:r w:rsidR="00A94C2D" w:rsidRPr="00BD6C72">
        <w:rPr>
          <w:lang w:val="en-AU"/>
        </w:rPr>
        <w:t>in such, his statements about peace in Matthew reflect this tradition from the Hebrew Bible about building a kingdom based not on human wealth or success but God. Jesus was partially assimilated in a Roman community and held a uniquely Jewish viewpoint in his political outlook. As such, Jesus impacted the Galilean audience, which consisted of both Jews and Gentil</w:t>
      </w:r>
      <w:r w:rsidR="00BF0E8E">
        <w:rPr>
          <w:lang w:val="en-AU"/>
        </w:rPr>
        <w:t>es.</w:t>
      </w:r>
    </w:p>
    <w:p w14:paraId="5C6CC88E" w14:textId="03C4B01E" w:rsidR="008D4202" w:rsidRPr="009E7B69" w:rsidRDefault="007B7745" w:rsidP="009F5D32">
      <w:pPr>
        <w:pStyle w:val="Heading1"/>
        <w:rPr>
          <w:bCs/>
          <w:i/>
          <w:caps/>
        </w:rPr>
      </w:pPr>
      <w:bookmarkStart w:id="56" w:name="_Toc81571212"/>
      <w:bookmarkStart w:id="57" w:name="_Toc94536988"/>
      <w:bookmarkStart w:id="58" w:name="_Toc118063633"/>
      <w:r w:rsidRPr="009E7B69">
        <w:lastRenderedPageBreak/>
        <w:t xml:space="preserve">Chapter </w:t>
      </w:r>
      <w:bookmarkEnd w:id="56"/>
      <w:r w:rsidR="005A073E" w:rsidRPr="009E7B69">
        <w:t>3</w:t>
      </w:r>
      <w:r w:rsidR="000C2AA8" w:rsidRPr="009E7B69">
        <w:t xml:space="preserve">  </w:t>
      </w:r>
      <w:r w:rsidR="000C2AA8" w:rsidRPr="009E7B69">
        <w:br/>
      </w:r>
      <w:r w:rsidR="005C18F8" w:rsidRPr="009E7B69">
        <w:t>The Qumran Community, Repentance, and the Two Messiahs</w:t>
      </w:r>
      <w:bookmarkEnd w:id="57"/>
      <w:bookmarkEnd w:id="58"/>
    </w:p>
    <w:p w14:paraId="40794150" w14:textId="7AA7AA76" w:rsidR="008D4202" w:rsidRPr="009E7B69" w:rsidRDefault="005C18F8" w:rsidP="00AB7CAD">
      <w:pPr>
        <w:pStyle w:val="Heading2"/>
        <w:rPr>
          <w:bCs/>
        </w:rPr>
      </w:pPr>
      <w:bookmarkStart w:id="59" w:name="_Toc94536989"/>
      <w:bookmarkStart w:id="60" w:name="_Toc118063634"/>
      <w:r w:rsidRPr="009E7B69">
        <w:t>3</w:t>
      </w:r>
      <w:r w:rsidR="00BE6BA3" w:rsidRPr="009E7B69">
        <w:t>.1 Introduction</w:t>
      </w:r>
      <w:bookmarkEnd w:id="59"/>
      <w:bookmarkEnd w:id="60"/>
    </w:p>
    <w:p w14:paraId="63C0ABE4" w14:textId="4B1CC813" w:rsidR="00F9285B" w:rsidRPr="00BD6C72" w:rsidRDefault="003134F8" w:rsidP="00F9285B">
      <w:pPr>
        <w:spacing w:line="480" w:lineRule="auto"/>
        <w:ind w:firstLine="720"/>
        <w:contextualSpacing/>
        <w:rPr>
          <w:lang w:val="en-AU"/>
        </w:rPr>
      </w:pPr>
      <w:r w:rsidRPr="00BD6C72">
        <w:rPr>
          <w:lang w:val="en-AU"/>
        </w:rPr>
        <w:t xml:space="preserve">Most of the </w:t>
      </w:r>
      <w:r w:rsidR="00524915" w:rsidRPr="00BD6C72">
        <w:rPr>
          <w:lang w:val="en-AU"/>
        </w:rPr>
        <w:t xml:space="preserve">so-called Dead Sea Scrolls have been dated to periods prior to that of the ministry of Jesus, and so form an important resource for understanding </w:t>
      </w:r>
      <w:r w:rsidR="00AB6717" w:rsidRPr="00BD6C72">
        <w:rPr>
          <w:lang w:val="en-AU"/>
        </w:rPr>
        <w:t>ideas about Messiah and peace that are likely to have been in circulation at the time of Jesus.</w:t>
      </w:r>
      <w:r w:rsidR="00A54B53" w:rsidRPr="00BD6C72">
        <w:rPr>
          <w:lang w:val="en-AU"/>
        </w:rPr>
        <w:t xml:space="preserve"> Within these collections are</w:t>
      </w:r>
      <w:r w:rsidR="00AB6717" w:rsidRPr="00BD6C72">
        <w:rPr>
          <w:lang w:val="en-AU"/>
        </w:rPr>
        <w:t xml:space="preserve"> </w:t>
      </w:r>
      <w:r w:rsidR="00F9285B" w:rsidRPr="00BD6C72">
        <w:rPr>
          <w:lang w:val="en-AU"/>
        </w:rPr>
        <w:t xml:space="preserve">different </w:t>
      </w:r>
      <w:r w:rsidR="00F9285B" w:rsidRPr="00BD6C72">
        <w:rPr>
          <w:i/>
          <w:iCs/>
          <w:lang w:val="en-AU"/>
        </w:rPr>
        <w:t xml:space="preserve">Pesharim </w:t>
      </w:r>
      <w:r w:rsidR="00F9285B" w:rsidRPr="00BD6C72">
        <w:rPr>
          <w:lang w:val="en-AU"/>
        </w:rPr>
        <w:t xml:space="preserve">that make comment about the apocalypse and salvation. </w:t>
      </w:r>
    </w:p>
    <w:p w14:paraId="734370EE" w14:textId="40044F74" w:rsidR="005C71CB" w:rsidRPr="00BD6C72" w:rsidRDefault="00AB6717" w:rsidP="00F9285B">
      <w:pPr>
        <w:spacing w:line="480" w:lineRule="auto"/>
        <w:ind w:firstLine="720"/>
        <w:contextualSpacing/>
        <w:rPr>
          <w:lang w:val="en-AU"/>
        </w:rPr>
      </w:pPr>
      <w:r w:rsidRPr="00BD6C72">
        <w:rPr>
          <w:lang w:val="en-AU"/>
        </w:rPr>
        <w:t>This chapter will introduce some key features of the Qumran community</w:t>
      </w:r>
      <w:r w:rsidR="00F9285B" w:rsidRPr="00BD6C72">
        <w:rPr>
          <w:lang w:val="en-AU"/>
        </w:rPr>
        <w:t xml:space="preserve"> while looking at the connections of the Qumran Community with the Dead Sea Scrolls within the concept of peace. This chapter will </w:t>
      </w:r>
      <w:r w:rsidRPr="00BD6C72">
        <w:rPr>
          <w:lang w:val="en-AU"/>
        </w:rPr>
        <w:t>then highlight what is revealed in the documents about their concept of repentance,</w:t>
      </w:r>
      <w:r w:rsidR="00F9285B" w:rsidRPr="00BD6C72">
        <w:rPr>
          <w:lang w:val="en-AU"/>
        </w:rPr>
        <w:t xml:space="preserve"> especially in terms of the view of repentance in terms of peace through rituals. The chapter will then develop a concept of messianic peace within the Hebrew Bible</w:t>
      </w:r>
      <w:r w:rsidR="00B11A01" w:rsidRPr="00BD6C72">
        <w:rPr>
          <w:lang w:val="en-AU"/>
        </w:rPr>
        <w:t xml:space="preserve"> </w:t>
      </w:r>
      <w:r w:rsidR="00F9285B" w:rsidRPr="00BD6C72">
        <w:rPr>
          <w:lang w:val="en-AU"/>
        </w:rPr>
        <w:t xml:space="preserve">with the </w:t>
      </w:r>
      <w:r w:rsidR="0086014E" w:rsidRPr="00BD6C72">
        <w:rPr>
          <w:lang w:val="en-AU"/>
        </w:rPr>
        <w:t>messianic figures associated with the line of David and the line of Aaron</w:t>
      </w:r>
      <w:r w:rsidRPr="00BD6C72">
        <w:rPr>
          <w:lang w:val="en-AU"/>
        </w:rPr>
        <w:t xml:space="preserve"> and how these figures feature in the writings preserved by the Qumran community</w:t>
      </w:r>
      <w:r w:rsidR="006C51B0" w:rsidRPr="00BD6C72">
        <w:rPr>
          <w:lang w:val="en-AU"/>
        </w:rPr>
        <w:t>.</w:t>
      </w:r>
      <w:r w:rsidR="00B11A01" w:rsidRPr="00BD6C72">
        <w:rPr>
          <w:lang w:val="en-AU"/>
        </w:rPr>
        <w:t xml:space="preserve"> It concludes with a discussion on the role of the scrolls and Jesus’</w:t>
      </w:r>
      <w:r w:rsidR="00E35288">
        <w:rPr>
          <w:lang w:val="en-AU"/>
        </w:rPr>
        <w:t>s</w:t>
      </w:r>
      <w:r w:rsidR="00B11A01" w:rsidRPr="00BD6C72">
        <w:rPr>
          <w:lang w:val="en-AU"/>
        </w:rPr>
        <w:t xml:space="preserve"> listeners to the Sermon on the Mount. </w:t>
      </w:r>
    </w:p>
    <w:p w14:paraId="166C8F4C" w14:textId="7DC98652" w:rsidR="005C18F8" w:rsidRPr="00BD6C72" w:rsidRDefault="005C18F8" w:rsidP="00AB7CAD">
      <w:pPr>
        <w:pStyle w:val="Heading2"/>
      </w:pPr>
      <w:bookmarkStart w:id="61" w:name="_Toc94536990"/>
      <w:bookmarkStart w:id="62" w:name="_Toc118063635"/>
      <w:r w:rsidRPr="00BD6C72">
        <w:t>3.</w:t>
      </w:r>
      <w:r w:rsidR="001A69B4" w:rsidRPr="00BD6C72">
        <w:t xml:space="preserve">2 </w:t>
      </w:r>
      <w:r w:rsidRPr="00BD6C72">
        <w:t xml:space="preserve">Qumran </w:t>
      </w:r>
      <w:r w:rsidR="00AD1132" w:rsidRPr="00BD6C72">
        <w:t>C</w:t>
      </w:r>
      <w:r w:rsidRPr="00BD6C72">
        <w:t xml:space="preserve">ommunity and </w:t>
      </w:r>
      <w:r w:rsidR="00B44E71">
        <w:t>t</w:t>
      </w:r>
      <w:r w:rsidR="00B44E71" w:rsidRPr="00BD6C72">
        <w:t xml:space="preserve">he </w:t>
      </w:r>
      <w:r w:rsidRPr="00BD6C72">
        <w:t>Dead Sea Scrolls</w:t>
      </w:r>
      <w:bookmarkEnd w:id="61"/>
      <w:bookmarkEnd w:id="62"/>
    </w:p>
    <w:p w14:paraId="770FAAEA" w14:textId="2E01FD3D" w:rsidR="005C18F8" w:rsidRPr="00BD6C72" w:rsidRDefault="005C18F8" w:rsidP="005C18F8">
      <w:pPr>
        <w:pStyle w:val="NormalWeb"/>
        <w:spacing w:before="2" w:after="2" w:line="480" w:lineRule="auto"/>
        <w:ind w:firstLine="720"/>
        <w:rPr>
          <w:rFonts w:ascii="Times New Roman" w:hAnsi="Times New Roman"/>
          <w:sz w:val="24"/>
          <w:szCs w:val="24"/>
          <w:lang w:val="en-AU"/>
        </w:rPr>
      </w:pPr>
      <w:r w:rsidRPr="00BD6C72">
        <w:rPr>
          <w:rFonts w:ascii="Times New Roman" w:hAnsi="Times New Roman"/>
          <w:sz w:val="24"/>
          <w:szCs w:val="24"/>
          <w:lang w:val="en-AU"/>
        </w:rPr>
        <w:t xml:space="preserve">The Qumran Community produced the Dead Sea Scrolls and stored them. By examining different aspects of the scrolls, an image of </w:t>
      </w:r>
      <w:r w:rsidR="003C0B42" w:rsidRPr="00BD6C72">
        <w:rPr>
          <w:rFonts w:ascii="Times New Roman" w:hAnsi="Times New Roman"/>
          <w:sz w:val="24"/>
          <w:szCs w:val="24"/>
          <w:lang w:val="en-AU"/>
        </w:rPr>
        <w:t xml:space="preserve">one of the strands of </w:t>
      </w:r>
      <w:r w:rsidRPr="00BD6C72">
        <w:rPr>
          <w:rFonts w:ascii="Times New Roman" w:hAnsi="Times New Roman"/>
          <w:sz w:val="24"/>
          <w:szCs w:val="24"/>
          <w:lang w:val="en-AU"/>
        </w:rPr>
        <w:t>Judaism that surrounded Jesus emerges.</w:t>
      </w:r>
      <w:r w:rsidRPr="00BD6C72">
        <w:rPr>
          <w:rStyle w:val="FootnoteReference"/>
          <w:rFonts w:ascii="Times New Roman" w:hAnsi="Times New Roman"/>
          <w:sz w:val="24"/>
          <w:szCs w:val="24"/>
          <w:lang w:val="en-AU"/>
        </w:rPr>
        <w:footnoteReference w:id="97"/>
      </w:r>
      <w:r w:rsidRPr="00BD6C72">
        <w:rPr>
          <w:rFonts w:ascii="Times New Roman" w:hAnsi="Times New Roman"/>
          <w:sz w:val="24"/>
          <w:szCs w:val="24"/>
          <w:lang w:val="en-AU"/>
        </w:rPr>
        <w:t xml:space="preserve"> For Scheffler, “…the resemblances that Dupont-Sommer </w:t>
      </w:r>
      <w:r w:rsidRPr="00BD6C72">
        <w:rPr>
          <w:rFonts w:ascii="Times New Roman" w:hAnsi="Times New Roman"/>
          <w:sz w:val="24"/>
          <w:szCs w:val="24"/>
          <w:lang w:val="en-AU"/>
        </w:rPr>
        <w:lastRenderedPageBreak/>
        <w:t>detected do not represent real connections between Qumran and early Christianity”</w:t>
      </w:r>
      <w:r w:rsidRPr="00BD6C72">
        <w:rPr>
          <w:rStyle w:val="FootnoteReference"/>
          <w:rFonts w:ascii="Times New Roman" w:hAnsi="Times New Roman"/>
          <w:sz w:val="24"/>
          <w:szCs w:val="24"/>
          <w:lang w:val="en-AU"/>
        </w:rPr>
        <w:footnoteReference w:id="98"/>
      </w:r>
      <w:r w:rsidRPr="00BD6C72">
        <w:rPr>
          <w:rFonts w:ascii="Times New Roman" w:hAnsi="Times New Roman"/>
          <w:sz w:val="24"/>
          <w:szCs w:val="24"/>
          <w:lang w:val="en-AU"/>
        </w:rPr>
        <w:t xml:space="preserve"> Scheffler argues that the Qumranites were Essene scribes that expected a Davidic political messiah.</w:t>
      </w:r>
      <w:r w:rsidRPr="00BD6C72">
        <w:rPr>
          <w:rStyle w:val="FootnoteReference"/>
          <w:rFonts w:ascii="Times New Roman" w:hAnsi="Times New Roman"/>
          <w:sz w:val="24"/>
          <w:szCs w:val="24"/>
          <w:lang w:val="en-AU"/>
        </w:rPr>
        <w:footnoteReference w:id="99"/>
      </w:r>
      <w:r w:rsidRPr="00BD6C72">
        <w:rPr>
          <w:rFonts w:ascii="Times New Roman" w:hAnsi="Times New Roman"/>
          <w:sz w:val="24"/>
          <w:szCs w:val="24"/>
          <w:lang w:val="en-AU"/>
        </w:rPr>
        <w:t xml:space="preserve">  There is evidence that a community of Essenes also lived in Jerusalem, in the Essene Quarter</w:t>
      </w:r>
      <w:r w:rsidR="00D14053" w:rsidRPr="00BD6C72">
        <w:rPr>
          <w:rFonts w:ascii="Times New Roman" w:hAnsi="Times New Roman"/>
          <w:sz w:val="24"/>
          <w:szCs w:val="24"/>
          <w:lang w:val="en-AU"/>
        </w:rPr>
        <w:t xml:space="preserve">, as well as in other towns and villages across Judea and </w:t>
      </w:r>
      <w:r w:rsidR="003650E6" w:rsidRPr="00BD6C72">
        <w:rPr>
          <w:rFonts w:ascii="Times New Roman" w:hAnsi="Times New Roman"/>
          <w:sz w:val="24"/>
          <w:szCs w:val="24"/>
          <w:lang w:val="en-AU"/>
        </w:rPr>
        <w:t>Galilee</w:t>
      </w:r>
      <w:r w:rsidRPr="00BD6C72">
        <w:rPr>
          <w:rFonts w:ascii="Times New Roman" w:hAnsi="Times New Roman"/>
          <w:sz w:val="24"/>
          <w:szCs w:val="24"/>
          <w:lang w:val="en-AU"/>
        </w:rPr>
        <w:t>.</w:t>
      </w:r>
      <w:r w:rsidR="00D14053" w:rsidRPr="00BD6C72">
        <w:rPr>
          <w:rStyle w:val="FootnoteReference"/>
          <w:rFonts w:ascii="Times New Roman" w:hAnsi="Times New Roman"/>
          <w:sz w:val="24"/>
          <w:szCs w:val="24"/>
          <w:lang w:val="en-AU"/>
        </w:rPr>
        <w:footnoteReference w:id="100"/>
      </w:r>
      <w:r w:rsidRPr="00BD6C72">
        <w:rPr>
          <w:rFonts w:ascii="Times New Roman" w:hAnsi="Times New Roman"/>
          <w:sz w:val="24"/>
          <w:szCs w:val="24"/>
          <w:lang w:val="en-AU"/>
        </w:rPr>
        <w:t xml:space="preserve"> The </w:t>
      </w:r>
      <w:r w:rsidR="00D14053" w:rsidRPr="00BD6C72">
        <w:rPr>
          <w:rFonts w:ascii="Times New Roman" w:hAnsi="Times New Roman"/>
          <w:sz w:val="24"/>
          <w:szCs w:val="24"/>
          <w:lang w:val="en-AU"/>
        </w:rPr>
        <w:t xml:space="preserve">Qumran </w:t>
      </w:r>
      <w:r w:rsidRPr="00BD6C72">
        <w:rPr>
          <w:rFonts w:ascii="Times New Roman" w:hAnsi="Times New Roman"/>
          <w:sz w:val="24"/>
          <w:szCs w:val="24"/>
          <w:lang w:val="en-AU"/>
        </w:rPr>
        <w:t xml:space="preserve">scrolls are not all from one tradition, but from different traditions written </w:t>
      </w:r>
      <w:r w:rsidR="00D14053" w:rsidRPr="00BD6C72">
        <w:rPr>
          <w:rFonts w:ascii="Times New Roman" w:hAnsi="Times New Roman"/>
          <w:sz w:val="24"/>
          <w:szCs w:val="24"/>
          <w:lang w:val="en-AU"/>
        </w:rPr>
        <w:t>at different times</w:t>
      </w:r>
      <w:r w:rsidRPr="00BD6C72">
        <w:rPr>
          <w:rFonts w:ascii="Times New Roman" w:hAnsi="Times New Roman"/>
          <w:sz w:val="24"/>
          <w:szCs w:val="24"/>
          <w:lang w:val="en-AU"/>
        </w:rPr>
        <w:t>.</w:t>
      </w:r>
      <w:r w:rsidRPr="00BD6C72">
        <w:rPr>
          <w:rStyle w:val="FootnoteReference"/>
          <w:rFonts w:ascii="Times New Roman" w:hAnsi="Times New Roman"/>
          <w:sz w:val="24"/>
          <w:szCs w:val="24"/>
          <w:lang w:val="en-AU"/>
        </w:rPr>
        <w:footnoteReference w:id="101"/>
      </w:r>
      <w:r w:rsidRPr="00BD6C72">
        <w:rPr>
          <w:rFonts w:ascii="Times New Roman" w:hAnsi="Times New Roman"/>
          <w:sz w:val="24"/>
          <w:szCs w:val="24"/>
          <w:lang w:val="en-AU"/>
        </w:rPr>
        <w:t xml:space="preserve"> The geographical location of the Qumran community in the Judean Desert south of the Dead Sea speaks to the economic and political climate during the time of Jesus.</w:t>
      </w:r>
      <w:r w:rsidRPr="00BD6C72">
        <w:rPr>
          <w:rStyle w:val="FootnoteReference"/>
          <w:rFonts w:ascii="Times New Roman" w:hAnsi="Times New Roman"/>
          <w:sz w:val="24"/>
          <w:szCs w:val="24"/>
          <w:lang w:val="en-AU"/>
        </w:rPr>
        <w:footnoteReference w:id="102"/>
      </w:r>
      <w:r w:rsidRPr="00BD6C72">
        <w:rPr>
          <w:rFonts w:ascii="Times New Roman" w:hAnsi="Times New Roman"/>
          <w:sz w:val="24"/>
          <w:szCs w:val="24"/>
          <w:lang w:val="en-AU"/>
        </w:rPr>
        <w:t xml:space="preserve"> There is great evidence showing that caves have revealed previous theological finds and there are more to find.</w:t>
      </w:r>
      <w:r w:rsidRPr="00BD6C72">
        <w:rPr>
          <w:rStyle w:val="FootnoteReference"/>
          <w:rFonts w:ascii="Times New Roman" w:hAnsi="Times New Roman"/>
          <w:sz w:val="24"/>
          <w:szCs w:val="24"/>
          <w:lang w:val="en-AU"/>
        </w:rPr>
        <w:footnoteReference w:id="103"/>
      </w:r>
      <w:r w:rsidRPr="00BD6C72">
        <w:rPr>
          <w:rFonts w:ascii="Times New Roman" w:hAnsi="Times New Roman"/>
          <w:sz w:val="24"/>
          <w:szCs w:val="24"/>
          <w:lang w:val="en-AU"/>
        </w:rPr>
        <w:t xml:space="preserve"> The views of Judaism changed theologically as the religion matured and the </w:t>
      </w:r>
      <w:r w:rsidRPr="00BD6C72">
        <w:rPr>
          <w:rFonts w:ascii="Times New Roman" w:hAnsi="Times New Roman"/>
          <w:sz w:val="24"/>
          <w:szCs w:val="24"/>
          <w:lang w:val="en-AU"/>
        </w:rPr>
        <w:lastRenderedPageBreak/>
        <w:t xml:space="preserve">Jews suffered under different political powers such as Babylon and Rome. The Dead Sea Scrolls assist in understanding Christianity, illuminating various Jewish </w:t>
      </w:r>
      <w:r w:rsidR="003D25BD">
        <w:rPr>
          <w:rFonts w:ascii="Times New Roman" w:hAnsi="Times New Roman"/>
          <w:sz w:val="24"/>
          <w:szCs w:val="24"/>
          <w:lang w:val="en-AU"/>
        </w:rPr>
        <w:t xml:space="preserve">sects and the various </w:t>
      </w:r>
      <w:r w:rsidRPr="00BD6C72">
        <w:rPr>
          <w:rFonts w:ascii="Times New Roman" w:hAnsi="Times New Roman"/>
          <w:sz w:val="24"/>
          <w:szCs w:val="24"/>
          <w:lang w:val="en-AU"/>
        </w:rPr>
        <w:t xml:space="preserve">groups of </w:t>
      </w:r>
      <w:r w:rsidR="003D25BD">
        <w:rPr>
          <w:rFonts w:ascii="Times New Roman" w:hAnsi="Times New Roman"/>
          <w:sz w:val="24"/>
          <w:szCs w:val="24"/>
          <w:lang w:val="en-AU"/>
        </w:rPr>
        <w:t>Jews during the</w:t>
      </w:r>
      <w:r w:rsidRPr="00BD6C72">
        <w:rPr>
          <w:rFonts w:ascii="Times New Roman" w:hAnsi="Times New Roman"/>
          <w:sz w:val="24"/>
          <w:szCs w:val="24"/>
          <w:lang w:val="en-AU"/>
        </w:rPr>
        <w:t xml:space="preserve"> Hellenistic and Roman periods </w:t>
      </w:r>
      <w:r w:rsidR="003D25BD">
        <w:rPr>
          <w:rFonts w:ascii="Times New Roman" w:hAnsi="Times New Roman"/>
          <w:sz w:val="24"/>
          <w:szCs w:val="24"/>
          <w:lang w:val="en-AU"/>
        </w:rPr>
        <w:t>within</w:t>
      </w:r>
      <w:r w:rsidRPr="00BD6C72">
        <w:rPr>
          <w:rFonts w:ascii="Times New Roman" w:hAnsi="Times New Roman"/>
          <w:sz w:val="24"/>
          <w:szCs w:val="24"/>
          <w:lang w:val="en-AU"/>
        </w:rPr>
        <w:t xml:space="preserve"> Judea.</w:t>
      </w:r>
      <w:r w:rsidRPr="00BD6C72">
        <w:rPr>
          <w:rStyle w:val="FootnoteReference"/>
          <w:rFonts w:ascii="Times New Roman" w:hAnsi="Times New Roman"/>
          <w:sz w:val="24"/>
          <w:szCs w:val="24"/>
          <w:lang w:val="en-AU"/>
        </w:rPr>
        <w:footnoteReference w:id="104"/>
      </w:r>
      <w:r w:rsidRPr="00BD6C72">
        <w:rPr>
          <w:rFonts w:ascii="Times New Roman" w:hAnsi="Times New Roman"/>
          <w:sz w:val="24"/>
          <w:szCs w:val="24"/>
          <w:lang w:val="en-AU"/>
        </w:rPr>
        <w:t xml:space="preserve"> Christianity follows the same intellectual Jewish thought found in these scrolls.</w:t>
      </w:r>
      <w:r w:rsidRPr="00BD6C72">
        <w:rPr>
          <w:rStyle w:val="FootnoteReference"/>
          <w:rFonts w:ascii="Times New Roman" w:hAnsi="Times New Roman"/>
          <w:sz w:val="24"/>
          <w:szCs w:val="24"/>
          <w:lang w:val="en-AU"/>
        </w:rPr>
        <w:footnoteReference w:id="105"/>
      </w:r>
      <w:r w:rsidRPr="00BD6C72">
        <w:rPr>
          <w:rFonts w:ascii="Times New Roman" w:hAnsi="Times New Roman"/>
          <w:sz w:val="24"/>
          <w:szCs w:val="24"/>
          <w:lang w:val="en-AU"/>
        </w:rPr>
        <w:t xml:space="preserve"> Many similarities have been discovered between Matthew and 4Q521.</w:t>
      </w:r>
      <w:r w:rsidRPr="00BD6C72">
        <w:rPr>
          <w:rStyle w:val="FootnoteReference"/>
          <w:rFonts w:ascii="Times New Roman" w:hAnsi="Times New Roman"/>
          <w:sz w:val="24"/>
          <w:szCs w:val="24"/>
          <w:lang w:val="en-AU"/>
        </w:rPr>
        <w:footnoteReference w:id="106"/>
      </w:r>
      <w:r w:rsidRPr="00BD6C72">
        <w:rPr>
          <w:rFonts w:ascii="Times New Roman" w:hAnsi="Times New Roman"/>
          <w:sz w:val="24"/>
          <w:szCs w:val="24"/>
          <w:lang w:val="en-AU"/>
        </w:rPr>
        <w:t xml:space="preserve"> </w:t>
      </w:r>
    </w:p>
    <w:p w14:paraId="2F1CB9A9" w14:textId="77777777" w:rsidR="005C18F8" w:rsidRPr="00BD6C72" w:rsidRDefault="005C18F8" w:rsidP="005C18F8">
      <w:pPr>
        <w:pStyle w:val="NormalWeb"/>
        <w:spacing w:before="2" w:after="2" w:line="480" w:lineRule="auto"/>
        <w:ind w:firstLine="284"/>
        <w:rPr>
          <w:rFonts w:ascii="Times New Roman" w:hAnsi="Times New Roman"/>
          <w:sz w:val="24"/>
          <w:szCs w:val="24"/>
          <w:lang w:val="en-AU"/>
        </w:rPr>
      </w:pPr>
      <w:r w:rsidRPr="00BD6C72">
        <w:rPr>
          <w:rFonts w:ascii="Times New Roman" w:hAnsi="Times New Roman"/>
          <w:sz w:val="24"/>
          <w:szCs w:val="24"/>
          <w:lang w:val="en-AU"/>
        </w:rPr>
        <w:t>The Sermon has similarity of thought regarding sectarianism and apocalypticism with 4Q521.</w:t>
      </w:r>
      <w:r w:rsidRPr="00BD6C72">
        <w:rPr>
          <w:rStyle w:val="FootnoteReference"/>
          <w:rFonts w:ascii="Times New Roman" w:hAnsi="Times New Roman"/>
          <w:sz w:val="24"/>
          <w:szCs w:val="24"/>
          <w:lang w:val="en-AU"/>
        </w:rPr>
        <w:footnoteReference w:id="107"/>
      </w:r>
      <w:r w:rsidRPr="00BD6C72">
        <w:rPr>
          <w:rFonts w:ascii="Times New Roman" w:hAnsi="Times New Roman"/>
          <w:sz w:val="24"/>
          <w:szCs w:val="24"/>
          <w:lang w:val="en-AU"/>
        </w:rPr>
        <w:t xml:space="preserve"> Scroll 4Q521 is translated by </w:t>
      </w:r>
      <w:r w:rsidRPr="00BD6C72">
        <w:rPr>
          <w:rFonts w:ascii="Times New Roman" w:eastAsiaTheme="minorHAnsi" w:hAnsi="Times New Roman"/>
          <w:sz w:val="24"/>
          <w:szCs w:val="24"/>
          <w:lang w:val="en-AU"/>
        </w:rPr>
        <w:t>Martínez and Tigchelaar:</w:t>
      </w:r>
      <w:r w:rsidRPr="00BD6C72">
        <w:rPr>
          <w:rFonts w:ascii="Times New Roman" w:hAnsi="Times New Roman"/>
          <w:sz w:val="24"/>
          <w:szCs w:val="24"/>
          <w:lang w:val="en-AU"/>
        </w:rPr>
        <w:t xml:space="preserve"> </w:t>
      </w:r>
    </w:p>
    <w:p w14:paraId="0213B186" w14:textId="584B5687" w:rsidR="00D25D36" w:rsidRPr="00BD6C72" w:rsidRDefault="005C18F8" w:rsidP="00D14053">
      <w:pPr>
        <w:pStyle w:val="Blockquotation"/>
        <w:rPr>
          <w:sz w:val="24"/>
          <w:lang w:val="en-AU"/>
        </w:rPr>
      </w:pPr>
      <w:r w:rsidRPr="00BD6C72">
        <w:rPr>
          <w:sz w:val="24"/>
          <w:lang w:val="en-AU"/>
        </w:rPr>
        <w:t xml:space="preserve">1 [for the </w:t>
      </w:r>
      <w:proofErr w:type="gramStart"/>
      <w:r w:rsidRPr="00BD6C72">
        <w:rPr>
          <w:sz w:val="24"/>
          <w:lang w:val="en-AU"/>
        </w:rPr>
        <w:t>heav]ens</w:t>
      </w:r>
      <w:proofErr w:type="gramEnd"/>
      <w:r w:rsidRPr="00BD6C72">
        <w:rPr>
          <w:sz w:val="24"/>
          <w:lang w:val="en-AU"/>
        </w:rPr>
        <w:t xml:space="preserve"> and the earth will listen to his anointed one, 2 [and all th]at is in them will not turn away from the precepts of the holy ones. 3 Strengthen yourselves, you who are seeking the Lord, in his service! [Blank] 4 Will you not in this encounter the Lord, all those who hope in their heart? 5 For the Lord will consider the pious, and call the righteous by name, 6 and his spirit will hover upon the poor, and he will renew the faithful with his strength. 7 For he will honor the pious upon the throne of an eternal kingdom, 8 freeing prisoners, giving sight to the blind, straightening out the twis[ted.] 9 And </w:t>
      </w:r>
      <w:r w:rsidRPr="00BD6C72">
        <w:rPr>
          <w:sz w:val="24"/>
          <w:lang w:val="en-AU"/>
        </w:rPr>
        <w:lastRenderedPageBreak/>
        <w:t xml:space="preserve">for[e]ver shall I cling [to those who </w:t>
      </w:r>
      <w:proofErr w:type="gramStart"/>
      <w:r w:rsidRPr="00BD6C72">
        <w:rPr>
          <w:sz w:val="24"/>
          <w:lang w:val="en-AU"/>
        </w:rPr>
        <w:t>h]ope</w:t>
      </w:r>
      <w:proofErr w:type="gramEnd"/>
      <w:r w:rsidRPr="00BD6C72">
        <w:rPr>
          <w:sz w:val="24"/>
          <w:lang w:val="en-AU"/>
        </w:rPr>
        <w:t>, and in his mercy […] 10 and the fru[it of …] … not be delayed. 11 And the Lord will perform marvellous acts such as have not existed, just as he sa[id,] 12 [for] he will heal the badly wounded and will make the dead live, he will proclaim good news to the poor 13 and […] … […] he will lead the […] … and enrich the hungry. 14 […] and all … […]</w:t>
      </w:r>
      <w:r w:rsidRPr="00BD6C72">
        <w:rPr>
          <w:rStyle w:val="FootnoteReference"/>
          <w:sz w:val="24"/>
          <w:lang w:val="en-AU"/>
        </w:rPr>
        <w:footnoteReference w:id="108"/>
      </w:r>
    </w:p>
    <w:p w14:paraId="5C278A71" w14:textId="77777777" w:rsidR="005C18F8" w:rsidRPr="00BD6C72" w:rsidRDefault="005C18F8" w:rsidP="00D303D6">
      <w:pPr>
        <w:pStyle w:val="NormalWeb"/>
        <w:spacing w:beforeLines="100" w:before="240" w:after="2" w:line="480" w:lineRule="auto"/>
        <w:rPr>
          <w:rFonts w:ascii="Times New Roman" w:hAnsi="Times New Roman"/>
          <w:sz w:val="24"/>
          <w:szCs w:val="24"/>
          <w:lang w:val="en-AU"/>
        </w:rPr>
      </w:pPr>
      <w:r w:rsidRPr="00BD6C72">
        <w:rPr>
          <w:rFonts w:ascii="Times New Roman" w:hAnsi="Times New Roman"/>
          <w:sz w:val="24"/>
          <w:szCs w:val="24"/>
          <w:lang w:val="en-AU"/>
        </w:rPr>
        <w:t>Scroll 4Q521 shows a view of an apocalyptic period, possibly with a messianic redemption. The adaptation of apocalyptic imagery by Christianity after Jesus followed the Pharisees.</w:t>
      </w:r>
      <w:r w:rsidRPr="00BD6C72">
        <w:rPr>
          <w:rStyle w:val="FootnoteReference"/>
          <w:rFonts w:ascii="Times New Roman" w:hAnsi="Times New Roman"/>
          <w:sz w:val="24"/>
          <w:szCs w:val="24"/>
          <w:lang w:val="en-AU"/>
        </w:rPr>
        <w:footnoteReference w:id="109"/>
      </w:r>
      <w:r w:rsidRPr="00BD6C72">
        <w:rPr>
          <w:rFonts w:ascii="Times New Roman" w:hAnsi="Times New Roman"/>
          <w:sz w:val="24"/>
          <w:szCs w:val="24"/>
          <w:lang w:val="en-AU"/>
        </w:rPr>
        <w:t xml:space="preserve"> Similar allusions to God’s Spirit protecting the meek connect the traditions.</w:t>
      </w:r>
      <w:r w:rsidRPr="00BD6C72">
        <w:rPr>
          <w:rStyle w:val="FootnoteReference"/>
          <w:rFonts w:ascii="Times New Roman" w:hAnsi="Times New Roman"/>
          <w:sz w:val="24"/>
          <w:szCs w:val="24"/>
          <w:lang w:val="en-AU"/>
        </w:rPr>
        <w:footnoteReference w:id="110"/>
      </w:r>
      <w:r w:rsidRPr="00BD6C72">
        <w:rPr>
          <w:rFonts w:ascii="Times New Roman" w:hAnsi="Times New Roman"/>
          <w:sz w:val="24"/>
          <w:szCs w:val="24"/>
          <w:lang w:val="en-AU"/>
        </w:rPr>
        <w:t xml:space="preserve"> With an expectation of a messianic figure who would offer liberation, the audience of 4Q521 had an apocalyptic expectation.  This is </w:t>
      </w:r>
      <w:proofErr w:type="gramStart"/>
      <w:r w:rsidRPr="00BD6C72">
        <w:rPr>
          <w:rFonts w:ascii="Times New Roman" w:hAnsi="Times New Roman"/>
          <w:sz w:val="24"/>
          <w:szCs w:val="24"/>
          <w:lang w:val="en-AU"/>
        </w:rPr>
        <w:t>similar to</w:t>
      </w:r>
      <w:proofErr w:type="gramEnd"/>
      <w:r w:rsidRPr="00BD6C72">
        <w:rPr>
          <w:rFonts w:ascii="Times New Roman" w:hAnsi="Times New Roman"/>
          <w:sz w:val="24"/>
          <w:szCs w:val="24"/>
          <w:lang w:val="en-AU"/>
        </w:rPr>
        <w:t xml:space="preserve"> those who interpret Jesus as a Messiah.  Eisenman and Wise translate 4Q521 as “The Heavens and the earth will obey [their] Messiah.”</w:t>
      </w:r>
      <w:r w:rsidRPr="00BD6C72">
        <w:rPr>
          <w:rStyle w:val="FootnoteReference"/>
          <w:rFonts w:ascii="Times New Roman" w:hAnsi="Times New Roman"/>
          <w:sz w:val="24"/>
          <w:szCs w:val="24"/>
          <w:lang w:val="en-AU"/>
        </w:rPr>
        <w:footnoteReference w:id="111"/>
      </w:r>
      <w:r w:rsidRPr="00BD6C72">
        <w:rPr>
          <w:rFonts w:ascii="Times New Roman" w:hAnsi="Times New Roman"/>
          <w:sz w:val="24"/>
          <w:szCs w:val="24"/>
          <w:lang w:val="en-AU"/>
        </w:rPr>
        <w:t xml:space="preserve"> This translation offers a messianic promise as a theme that existed before Jesus.</w:t>
      </w:r>
      <w:r w:rsidRPr="00BD6C72">
        <w:rPr>
          <w:rStyle w:val="FootnoteReference"/>
          <w:rFonts w:ascii="Times New Roman" w:hAnsi="Times New Roman"/>
          <w:sz w:val="24"/>
          <w:szCs w:val="24"/>
          <w:lang w:val="en-AU"/>
        </w:rPr>
        <w:footnoteReference w:id="112"/>
      </w:r>
      <w:r w:rsidRPr="00BD6C72">
        <w:rPr>
          <w:rFonts w:ascii="Times New Roman" w:hAnsi="Times New Roman"/>
          <w:sz w:val="24"/>
          <w:szCs w:val="24"/>
          <w:lang w:val="en-AU"/>
        </w:rPr>
        <w:t xml:space="preserve"> </w:t>
      </w:r>
      <w:r w:rsidRPr="00BD6C72" w:rsidDel="00F635CD">
        <w:rPr>
          <w:rFonts w:ascii="Times New Roman" w:hAnsi="Times New Roman"/>
          <w:sz w:val="24"/>
          <w:szCs w:val="24"/>
          <w:lang w:val="en-AU"/>
        </w:rPr>
        <w:t xml:space="preserve"> </w:t>
      </w:r>
    </w:p>
    <w:p w14:paraId="73F6F71A" w14:textId="7B59ED35" w:rsidR="005C18F8" w:rsidRPr="009E7B69" w:rsidRDefault="005C18F8" w:rsidP="005C18F8">
      <w:pPr>
        <w:pStyle w:val="NormalWeb"/>
        <w:spacing w:before="2" w:after="2" w:line="480" w:lineRule="auto"/>
        <w:rPr>
          <w:rFonts w:ascii="Times New Roman" w:hAnsi="Times New Roman"/>
          <w:sz w:val="24"/>
          <w:szCs w:val="24"/>
        </w:rPr>
      </w:pPr>
      <w:r w:rsidRPr="009E7B69">
        <w:rPr>
          <w:rFonts w:ascii="Times New Roman" w:hAnsi="Times New Roman"/>
          <w:sz w:val="24"/>
          <w:szCs w:val="24"/>
        </w:rPr>
        <w:tab/>
      </w:r>
      <w:r w:rsidRPr="00BD6C72">
        <w:rPr>
          <w:rFonts w:ascii="Times New Roman" w:hAnsi="Times New Roman"/>
          <w:sz w:val="24"/>
          <w:szCs w:val="24"/>
          <w:lang w:val="en-AU"/>
        </w:rPr>
        <w:t xml:space="preserve">To determine if the views of apocalypticism are founded in philosophy or realism, we can look at the different types of Jews that existed at the time of Jesus. We know from Josephus that Pharisees, Sadducees, Essenes, Zealots and Sicarii Jews existed. Three of these sects are </w:t>
      </w:r>
      <w:r w:rsidR="00F54A8D" w:rsidRPr="00BD6C72">
        <w:rPr>
          <w:rFonts w:ascii="Times New Roman" w:hAnsi="Times New Roman"/>
          <w:sz w:val="24"/>
          <w:szCs w:val="24"/>
          <w:lang w:val="en-AU"/>
        </w:rPr>
        <w:t xml:space="preserve">described as </w:t>
      </w:r>
      <w:r w:rsidRPr="00BD6C72">
        <w:rPr>
          <w:rFonts w:ascii="Times New Roman" w:hAnsi="Times New Roman"/>
          <w:sz w:val="24"/>
          <w:szCs w:val="24"/>
          <w:lang w:val="en-AU"/>
        </w:rPr>
        <w:t>philosophical in nature: Pharisees, Sadducees and Essenes.</w:t>
      </w:r>
      <w:r w:rsidRPr="00BD6C72">
        <w:rPr>
          <w:rStyle w:val="FootnoteReference"/>
          <w:rFonts w:ascii="Times New Roman" w:hAnsi="Times New Roman"/>
          <w:sz w:val="24"/>
          <w:szCs w:val="24"/>
          <w:lang w:val="en-AU"/>
        </w:rPr>
        <w:footnoteReference w:id="113"/>
      </w:r>
      <w:r w:rsidRPr="00BD6C72">
        <w:rPr>
          <w:rFonts w:ascii="Times New Roman" w:hAnsi="Times New Roman"/>
          <w:sz w:val="24"/>
          <w:szCs w:val="24"/>
          <w:lang w:val="en-AU"/>
        </w:rPr>
        <w:t xml:space="preserve"> </w:t>
      </w:r>
      <w:r w:rsidR="008C089C" w:rsidRPr="00BD6C72">
        <w:rPr>
          <w:rFonts w:ascii="Times New Roman" w:hAnsi="Times New Roman"/>
          <w:sz w:val="24"/>
          <w:szCs w:val="24"/>
          <w:lang w:val="en-AU"/>
        </w:rPr>
        <w:t>It is most likely that</w:t>
      </w:r>
      <w:r w:rsidRPr="00BD6C72">
        <w:rPr>
          <w:rFonts w:ascii="Times New Roman" w:hAnsi="Times New Roman"/>
          <w:sz w:val="24"/>
          <w:szCs w:val="24"/>
          <w:lang w:val="en-AU"/>
        </w:rPr>
        <w:t xml:space="preserve"> Essenes lived in the Qumran Community, we are not able to say if they had any authorship of these texts or help in the preservation of these text written by the wider body of </w:t>
      </w:r>
      <w:r w:rsidRPr="00BD6C72">
        <w:rPr>
          <w:rFonts w:ascii="Times New Roman" w:hAnsi="Times New Roman"/>
          <w:sz w:val="24"/>
          <w:szCs w:val="24"/>
          <w:lang w:val="en-AU"/>
        </w:rPr>
        <w:lastRenderedPageBreak/>
        <w:t>Jews.</w:t>
      </w:r>
      <w:r w:rsidRPr="00BD6C72">
        <w:rPr>
          <w:rStyle w:val="FootnoteReference"/>
          <w:rFonts w:ascii="Times New Roman" w:hAnsi="Times New Roman"/>
          <w:sz w:val="24"/>
          <w:szCs w:val="24"/>
          <w:lang w:val="en-AU"/>
        </w:rPr>
        <w:footnoteReference w:id="114"/>
      </w:r>
      <w:r w:rsidRPr="00BD6C72">
        <w:rPr>
          <w:rFonts w:ascii="Times New Roman" w:hAnsi="Times New Roman"/>
          <w:sz w:val="24"/>
          <w:szCs w:val="24"/>
          <w:lang w:val="en-AU"/>
        </w:rPr>
        <w:t xml:space="preserve"> The people living in Qumran maintained the scrolls, but the documents found in Qumran reveal distinctive traditions in Judaism represented by the various authorship traditions. The crises surrounding the revolt against Rome from 67 to 70 CE caused those responsible for the scrolls to hide them hastily.</w:t>
      </w:r>
      <w:r w:rsidRPr="00BD6C72">
        <w:rPr>
          <w:rStyle w:val="FootnoteReference"/>
          <w:rFonts w:ascii="Times New Roman" w:hAnsi="Times New Roman"/>
          <w:sz w:val="24"/>
          <w:szCs w:val="24"/>
          <w:lang w:val="en-AU"/>
        </w:rPr>
        <w:footnoteReference w:id="115"/>
      </w:r>
      <w:r w:rsidRPr="00BD6C72">
        <w:rPr>
          <w:rFonts w:ascii="Times New Roman" w:hAnsi="Times New Roman"/>
          <w:sz w:val="24"/>
          <w:szCs w:val="24"/>
          <w:lang w:val="en-AU"/>
        </w:rPr>
        <w:t xml:space="preserve"> Joan Taylor writes that the “Essenes according to Philo of Alexandria reside in communes, own no individual property shared all monetary income in a common fund.”</w:t>
      </w:r>
      <w:r w:rsidRPr="00BD6C72">
        <w:rPr>
          <w:rStyle w:val="FootnoteReference"/>
          <w:rFonts w:ascii="Times New Roman" w:hAnsi="Times New Roman"/>
          <w:sz w:val="24"/>
          <w:szCs w:val="24"/>
          <w:lang w:val="en-AU"/>
        </w:rPr>
        <w:footnoteReference w:id="116"/>
      </w:r>
      <w:r w:rsidRPr="00BD6C72">
        <w:rPr>
          <w:rFonts w:ascii="Times New Roman" w:hAnsi="Times New Roman"/>
          <w:sz w:val="24"/>
          <w:szCs w:val="24"/>
          <w:lang w:val="en-AU"/>
        </w:rPr>
        <w:t xml:space="preserve"> In other work investigating the role of the </w:t>
      </w:r>
      <w:r w:rsidRPr="00BD6C72">
        <w:rPr>
          <w:rFonts w:ascii="Times New Roman" w:hAnsi="Times New Roman"/>
          <w:i/>
          <w:iCs/>
          <w:sz w:val="24"/>
          <w:szCs w:val="24"/>
          <w:lang w:val="en-AU"/>
        </w:rPr>
        <w:t xml:space="preserve">Mikvah </w:t>
      </w:r>
      <w:r w:rsidRPr="00BD6C72">
        <w:rPr>
          <w:rFonts w:ascii="Times New Roman" w:hAnsi="Times New Roman"/>
          <w:sz w:val="24"/>
          <w:szCs w:val="24"/>
          <w:lang w:val="en-AU"/>
        </w:rPr>
        <w:t>in Qumran, Joan Taylor explains that the Essenes were recogni</w:t>
      </w:r>
      <w:r w:rsidR="00D86BBD" w:rsidRPr="00BD6C72">
        <w:rPr>
          <w:rFonts w:ascii="Times New Roman" w:hAnsi="Times New Roman"/>
          <w:sz w:val="24"/>
          <w:szCs w:val="24"/>
          <w:lang w:val="en-AU"/>
        </w:rPr>
        <w:t>s</w:t>
      </w:r>
      <w:r w:rsidRPr="00BD6C72">
        <w:rPr>
          <w:rFonts w:ascii="Times New Roman" w:hAnsi="Times New Roman"/>
          <w:sz w:val="24"/>
          <w:szCs w:val="24"/>
          <w:lang w:val="en-AU"/>
        </w:rPr>
        <w:t>ed as a legitimate group</w:t>
      </w:r>
      <w:r w:rsidRPr="00BD6C72" w:rsidDel="004B113B">
        <w:rPr>
          <w:rFonts w:ascii="Times New Roman" w:hAnsi="Times New Roman"/>
          <w:sz w:val="24"/>
          <w:szCs w:val="24"/>
          <w:lang w:val="en-AU"/>
        </w:rPr>
        <w:t xml:space="preserve"> </w:t>
      </w:r>
      <w:r w:rsidRPr="00BD6C72">
        <w:rPr>
          <w:rFonts w:ascii="Times New Roman" w:hAnsi="Times New Roman"/>
          <w:sz w:val="24"/>
          <w:szCs w:val="24"/>
          <w:lang w:val="en-AU"/>
        </w:rPr>
        <w:t>among the Jews before the fall of the</w:t>
      </w:r>
      <w:r w:rsidR="004E3CEE" w:rsidRPr="00BD6C72">
        <w:rPr>
          <w:rFonts w:ascii="Times New Roman" w:hAnsi="Times New Roman"/>
          <w:sz w:val="24"/>
          <w:szCs w:val="24"/>
          <w:lang w:val="en-AU"/>
        </w:rPr>
        <w:t xml:space="preserve"> </w:t>
      </w:r>
      <w:r w:rsidRPr="00BD6C72">
        <w:rPr>
          <w:rFonts w:ascii="Times New Roman" w:hAnsi="Times New Roman"/>
          <w:sz w:val="24"/>
          <w:szCs w:val="24"/>
          <w:lang w:val="en-AU"/>
        </w:rPr>
        <w:t>Temple.</w:t>
      </w:r>
      <w:r w:rsidRPr="00BD6C72">
        <w:rPr>
          <w:rStyle w:val="FootnoteReference"/>
          <w:rFonts w:ascii="Times New Roman" w:hAnsi="Times New Roman"/>
          <w:sz w:val="24"/>
          <w:szCs w:val="24"/>
          <w:lang w:val="en-AU"/>
        </w:rPr>
        <w:footnoteReference w:id="117"/>
      </w:r>
      <w:r w:rsidRPr="00BD6C72">
        <w:rPr>
          <w:rFonts w:ascii="Times New Roman" w:hAnsi="Times New Roman"/>
          <w:sz w:val="24"/>
          <w:szCs w:val="24"/>
          <w:lang w:val="en-AU"/>
        </w:rPr>
        <w:t xml:space="preserve"> Alison Schofield and James C. Vanderkam suggest that the Dead Sea Scrolls are from the pre-Hellenist Zadokite priesthood</w:t>
      </w:r>
      <w:r w:rsidRPr="009E7B69">
        <w:rPr>
          <w:rFonts w:ascii="Times New Roman" w:hAnsi="Times New Roman"/>
          <w:sz w:val="24"/>
          <w:szCs w:val="24"/>
        </w:rPr>
        <w:t>.</w:t>
      </w:r>
      <w:r w:rsidRPr="009E7B69">
        <w:rPr>
          <w:rStyle w:val="FootnoteReference"/>
          <w:rFonts w:ascii="Times New Roman" w:hAnsi="Times New Roman"/>
          <w:sz w:val="24"/>
          <w:szCs w:val="24"/>
        </w:rPr>
        <w:footnoteReference w:id="118"/>
      </w:r>
      <w:r w:rsidRPr="009E7B69">
        <w:rPr>
          <w:rFonts w:ascii="Times New Roman" w:hAnsi="Times New Roman"/>
          <w:sz w:val="24"/>
          <w:szCs w:val="24"/>
        </w:rPr>
        <w:t xml:space="preserve">  </w:t>
      </w:r>
    </w:p>
    <w:p w14:paraId="6472896B" w14:textId="4CE33760" w:rsidR="005C18F8" w:rsidRPr="00BD6C72" w:rsidRDefault="005C18F8" w:rsidP="005C18F8">
      <w:pPr>
        <w:pStyle w:val="NormalWeb"/>
        <w:spacing w:beforeLines="0" w:afterLines="0" w:line="480" w:lineRule="auto"/>
        <w:rPr>
          <w:rFonts w:ascii="Times New Roman" w:hAnsi="Times New Roman"/>
          <w:sz w:val="24"/>
          <w:szCs w:val="24"/>
          <w:lang w:val="en-AU"/>
        </w:rPr>
      </w:pPr>
      <w:r w:rsidRPr="009E7B69">
        <w:rPr>
          <w:rFonts w:ascii="Times New Roman" w:hAnsi="Times New Roman"/>
          <w:sz w:val="24"/>
          <w:szCs w:val="24"/>
        </w:rPr>
        <w:lastRenderedPageBreak/>
        <w:tab/>
      </w:r>
      <w:r w:rsidRPr="00BD6C72">
        <w:rPr>
          <w:rFonts w:ascii="Times New Roman" w:hAnsi="Times New Roman"/>
          <w:sz w:val="24"/>
          <w:szCs w:val="24"/>
          <w:lang w:val="en-AU"/>
        </w:rPr>
        <w:t>Not knowing the authorship does not diminish the fact that the scrolls help shed light on Jesus’</w:t>
      </w:r>
      <w:r w:rsidR="00E35288">
        <w:rPr>
          <w:rFonts w:ascii="Times New Roman" w:hAnsi="Times New Roman"/>
          <w:sz w:val="24"/>
          <w:szCs w:val="24"/>
          <w:lang w:val="en-AU"/>
        </w:rPr>
        <w:t>s</w:t>
      </w:r>
      <w:r w:rsidRPr="00BD6C72">
        <w:rPr>
          <w:rFonts w:ascii="Times New Roman" w:hAnsi="Times New Roman"/>
          <w:sz w:val="24"/>
          <w:szCs w:val="24"/>
          <w:lang w:val="en-AU"/>
        </w:rPr>
        <w:t xml:space="preserve"> era.</w:t>
      </w:r>
      <w:r w:rsidRPr="00BD6C72">
        <w:rPr>
          <w:rStyle w:val="FootnoteReference"/>
          <w:rFonts w:ascii="Times New Roman" w:hAnsi="Times New Roman"/>
          <w:sz w:val="24"/>
          <w:szCs w:val="24"/>
          <w:lang w:val="en-AU"/>
        </w:rPr>
        <w:footnoteReference w:id="119"/>
      </w:r>
      <w:r w:rsidRPr="00BD6C72">
        <w:rPr>
          <w:rFonts w:ascii="Times New Roman" w:hAnsi="Times New Roman"/>
          <w:sz w:val="24"/>
          <w:szCs w:val="24"/>
          <w:lang w:val="en-AU"/>
        </w:rPr>
        <w:t xml:space="preserve"> The scrolls show diversity of thought and theology.</w:t>
      </w:r>
      <w:r w:rsidRPr="00BD6C72">
        <w:rPr>
          <w:rStyle w:val="FootnoteReference"/>
          <w:rFonts w:ascii="Times New Roman" w:hAnsi="Times New Roman"/>
          <w:sz w:val="24"/>
          <w:szCs w:val="24"/>
          <w:lang w:val="en-AU"/>
        </w:rPr>
        <w:footnoteReference w:id="120"/>
      </w:r>
      <w:r w:rsidRPr="00BD6C72">
        <w:rPr>
          <w:rFonts w:ascii="Times New Roman" w:hAnsi="Times New Roman"/>
          <w:sz w:val="24"/>
          <w:szCs w:val="24"/>
          <w:lang w:val="en-AU"/>
        </w:rPr>
        <w:t xml:space="preserve"> Jassen believes that the sectarianism of the community “was formed as the result of disagreements over the ritual and cultic maintenance of the Temple, which compelled the community to withdraw from the centre of Jewish life in Jerusalem.”</w:t>
      </w:r>
      <w:r w:rsidRPr="00BD6C72">
        <w:rPr>
          <w:rStyle w:val="FootnoteReference"/>
          <w:rFonts w:ascii="Times New Roman" w:hAnsi="Times New Roman"/>
          <w:sz w:val="24"/>
          <w:szCs w:val="24"/>
          <w:lang w:val="en-AU"/>
        </w:rPr>
        <w:footnoteReference w:id="121"/>
      </w:r>
      <w:r w:rsidRPr="00BD6C72">
        <w:rPr>
          <w:rFonts w:ascii="Times New Roman" w:hAnsi="Times New Roman"/>
          <w:sz w:val="24"/>
          <w:szCs w:val="24"/>
          <w:lang w:val="en-AU"/>
        </w:rPr>
        <w:t xml:space="preserve"> The Qumran community opposed corruption in the Jerusalem Temple introduced by the Helleni</w:t>
      </w:r>
      <w:r w:rsidR="00D86BBD" w:rsidRPr="00BD6C72">
        <w:rPr>
          <w:rFonts w:ascii="Times New Roman" w:hAnsi="Times New Roman"/>
          <w:sz w:val="24"/>
          <w:szCs w:val="24"/>
          <w:lang w:val="en-AU"/>
        </w:rPr>
        <w:t>s</w:t>
      </w:r>
      <w:r w:rsidRPr="00BD6C72">
        <w:rPr>
          <w:rFonts w:ascii="Times New Roman" w:hAnsi="Times New Roman"/>
          <w:sz w:val="24"/>
          <w:szCs w:val="24"/>
          <w:lang w:val="en-AU"/>
        </w:rPr>
        <w:t>ed Hasmoneans and Zadokites.</w:t>
      </w:r>
      <w:r w:rsidRPr="00BD6C72">
        <w:rPr>
          <w:rStyle w:val="FootnoteReference"/>
          <w:rFonts w:ascii="Times New Roman" w:hAnsi="Times New Roman"/>
          <w:sz w:val="24"/>
          <w:szCs w:val="24"/>
          <w:lang w:val="en-AU"/>
        </w:rPr>
        <w:footnoteReference w:id="122"/>
      </w:r>
      <w:r w:rsidRPr="00BD6C72">
        <w:rPr>
          <w:rFonts w:ascii="Times New Roman" w:hAnsi="Times New Roman"/>
          <w:sz w:val="24"/>
          <w:szCs w:val="24"/>
          <w:lang w:val="en-AU"/>
        </w:rPr>
        <w:t xml:space="preserve"> Disagreements about Temple sacrifice in Jerusalem ultimately spurred the group to move out of Jerusalem, later forming the Qumran community.</w:t>
      </w:r>
      <w:r w:rsidRPr="00BD6C72">
        <w:rPr>
          <w:rStyle w:val="FootnoteReference"/>
          <w:rFonts w:ascii="Times New Roman" w:hAnsi="Times New Roman"/>
          <w:sz w:val="24"/>
          <w:szCs w:val="24"/>
          <w:lang w:val="en-AU"/>
        </w:rPr>
        <w:footnoteReference w:id="123"/>
      </w:r>
      <w:r w:rsidRPr="00BD6C72">
        <w:rPr>
          <w:rFonts w:ascii="Times New Roman" w:hAnsi="Times New Roman"/>
          <w:sz w:val="24"/>
          <w:szCs w:val="24"/>
          <w:lang w:val="en-AU"/>
        </w:rPr>
        <w:t xml:space="preserve"> The Qumran community separated from the Jerusalem community in order to maintain a priesthood that was ritually pure and which would preserve the world, unlike the compromised Sadducean priesthood during the time of Jesus.</w:t>
      </w:r>
      <w:r w:rsidRPr="00BD6C72">
        <w:rPr>
          <w:rStyle w:val="FootnoteReference"/>
          <w:rFonts w:ascii="Times New Roman" w:hAnsi="Times New Roman"/>
          <w:sz w:val="24"/>
          <w:szCs w:val="24"/>
          <w:lang w:val="en-AU"/>
        </w:rPr>
        <w:footnoteReference w:id="124"/>
      </w:r>
      <w:r w:rsidRPr="00BD6C72">
        <w:rPr>
          <w:rFonts w:ascii="Times New Roman" w:hAnsi="Times New Roman"/>
          <w:sz w:val="24"/>
          <w:szCs w:val="24"/>
          <w:lang w:val="en-AU"/>
        </w:rPr>
        <w:t xml:space="preserve"> Jassen contends that the violent encounters were never documented in the </w:t>
      </w:r>
      <w:r w:rsidRPr="00BD6C72">
        <w:rPr>
          <w:rFonts w:ascii="Times New Roman" w:hAnsi="Times New Roman"/>
          <w:sz w:val="24"/>
          <w:szCs w:val="24"/>
          <w:lang w:val="en-AU"/>
        </w:rPr>
        <w:lastRenderedPageBreak/>
        <w:t xml:space="preserve">Qumran community. However, those outside the Qumran community </w:t>
      </w:r>
      <w:proofErr w:type="gramStart"/>
      <w:r w:rsidRPr="00BD6C72">
        <w:rPr>
          <w:rFonts w:ascii="Times New Roman" w:hAnsi="Times New Roman"/>
          <w:sz w:val="24"/>
          <w:szCs w:val="24"/>
          <w:lang w:val="en-AU"/>
        </w:rPr>
        <w:t>were considered to be</w:t>
      </w:r>
      <w:proofErr w:type="gramEnd"/>
      <w:r w:rsidRPr="00BD6C72">
        <w:rPr>
          <w:rFonts w:ascii="Times New Roman" w:hAnsi="Times New Roman"/>
          <w:sz w:val="24"/>
          <w:szCs w:val="24"/>
          <w:lang w:val="en-AU"/>
        </w:rPr>
        <w:t xml:space="preserve"> “sons of darkness”</w:t>
      </w:r>
      <w:r w:rsidR="00BD6C72" w:rsidRPr="00BD6C72">
        <w:rPr>
          <w:rFonts w:ascii="Times New Roman" w:hAnsi="Times New Roman"/>
          <w:sz w:val="24"/>
          <w:szCs w:val="24"/>
          <w:lang w:val="en-AU"/>
        </w:rPr>
        <w:t>.</w:t>
      </w:r>
      <w:r w:rsidRPr="00BD6C72">
        <w:rPr>
          <w:rStyle w:val="FootnoteReference"/>
          <w:rFonts w:ascii="Times New Roman" w:hAnsi="Times New Roman"/>
          <w:sz w:val="24"/>
          <w:szCs w:val="24"/>
          <w:lang w:val="en-AU"/>
        </w:rPr>
        <w:footnoteReference w:id="125"/>
      </w:r>
      <w:r w:rsidRPr="00BD6C72">
        <w:rPr>
          <w:rFonts w:ascii="Times New Roman" w:hAnsi="Times New Roman"/>
          <w:sz w:val="24"/>
          <w:szCs w:val="24"/>
          <w:lang w:val="en-AU"/>
        </w:rPr>
        <w:t xml:space="preserve"> Those who were not members of the community were fated for destruction. Schofield and Vanderkam believe that the Qumran community was directly opposed to the Hasmonean high priests, believed to be the </w:t>
      </w:r>
      <w:r w:rsidRPr="00BD6C72">
        <w:rPr>
          <w:rFonts w:ascii="Times New Roman" w:hAnsi="Times New Roman"/>
          <w:i/>
          <w:iCs/>
          <w:sz w:val="24"/>
          <w:szCs w:val="24"/>
          <w:lang w:val="en-AU"/>
        </w:rPr>
        <w:t>Wicked Priest</w:t>
      </w:r>
      <w:r w:rsidRPr="00BD6C72">
        <w:rPr>
          <w:rFonts w:ascii="Times New Roman" w:hAnsi="Times New Roman"/>
          <w:sz w:val="24"/>
          <w:szCs w:val="24"/>
          <w:lang w:val="en-AU"/>
        </w:rPr>
        <w:t>.</w:t>
      </w:r>
      <w:r w:rsidRPr="00BD6C72">
        <w:rPr>
          <w:rStyle w:val="FootnoteReference"/>
          <w:rFonts w:ascii="Times New Roman" w:hAnsi="Times New Roman"/>
          <w:iCs/>
          <w:sz w:val="24"/>
          <w:szCs w:val="24"/>
          <w:lang w:val="en-AU"/>
        </w:rPr>
        <w:footnoteReference w:id="126"/>
      </w:r>
      <w:r w:rsidRPr="00BD6C72">
        <w:rPr>
          <w:rFonts w:ascii="Times New Roman" w:hAnsi="Times New Roman"/>
          <w:iCs/>
          <w:sz w:val="24"/>
          <w:szCs w:val="24"/>
          <w:lang w:val="en-AU"/>
        </w:rPr>
        <w:t xml:space="preserve"> This differs from Eshel Hanan, who concludes that the </w:t>
      </w:r>
      <w:r w:rsidRPr="00BD6C72">
        <w:rPr>
          <w:rFonts w:ascii="Times New Roman" w:hAnsi="Times New Roman"/>
          <w:i/>
          <w:sz w:val="24"/>
          <w:szCs w:val="24"/>
          <w:lang w:val="en-AU"/>
        </w:rPr>
        <w:t>Wicked Priest</w:t>
      </w:r>
      <w:r w:rsidRPr="00BD6C72">
        <w:rPr>
          <w:rFonts w:ascii="Times New Roman" w:hAnsi="Times New Roman"/>
          <w:iCs/>
          <w:sz w:val="24"/>
          <w:szCs w:val="24"/>
          <w:lang w:val="en-AU"/>
        </w:rPr>
        <w:t xml:space="preserve"> is Jonathan the Hasmonean (152 BCE to 143 BCE).</w:t>
      </w:r>
      <w:r w:rsidRPr="00BD6C72">
        <w:rPr>
          <w:rStyle w:val="FootnoteReference"/>
          <w:rFonts w:ascii="Times New Roman" w:hAnsi="Times New Roman"/>
          <w:iCs/>
          <w:sz w:val="24"/>
          <w:szCs w:val="24"/>
          <w:lang w:val="en-AU"/>
        </w:rPr>
        <w:footnoteReference w:id="127"/>
      </w:r>
      <w:r w:rsidRPr="00BD6C72">
        <w:rPr>
          <w:rFonts w:ascii="Times New Roman" w:hAnsi="Times New Roman"/>
          <w:iCs/>
          <w:sz w:val="24"/>
          <w:szCs w:val="24"/>
          <w:lang w:val="en-AU"/>
        </w:rPr>
        <w:t xml:space="preserve"> </w:t>
      </w:r>
      <w:r w:rsidRPr="00BD6C72">
        <w:rPr>
          <w:rFonts w:ascii="Times New Roman" w:hAnsi="Times New Roman"/>
          <w:sz w:val="24"/>
          <w:szCs w:val="24"/>
          <w:lang w:val="en-AU"/>
        </w:rPr>
        <w:t>The Qumranites remained separate from the Hasmoneans and sought the reform of the Temple’s system. Taylor cautions to not jump to automatic conclusions regarding the Essenes as pacifist or vegetarian.</w:t>
      </w:r>
      <w:r w:rsidRPr="00BD6C72">
        <w:rPr>
          <w:rStyle w:val="FootnoteReference"/>
          <w:rFonts w:ascii="Times New Roman" w:hAnsi="Times New Roman"/>
          <w:sz w:val="24"/>
          <w:szCs w:val="24"/>
          <w:lang w:val="en-AU"/>
        </w:rPr>
        <w:footnoteReference w:id="128"/>
      </w:r>
      <w:r w:rsidRPr="00BD6C72">
        <w:rPr>
          <w:rFonts w:ascii="Times New Roman" w:hAnsi="Times New Roman"/>
          <w:sz w:val="24"/>
          <w:szCs w:val="24"/>
          <w:lang w:val="en-AU"/>
        </w:rPr>
        <w:t xml:space="preserve">  </w:t>
      </w:r>
    </w:p>
    <w:p w14:paraId="190EBA25" w14:textId="2B5828F0" w:rsidR="005C18F8" w:rsidRPr="00BD6C72" w:rsidRDefault="005C18F8" w:rsidP="005C18F8">
      <w:pPr>
        <w:pStyle w:val="NormalWeb"/>
        <w:spacing w:before="2" w:after="2" w:line="480" w:lineRule="auto"/>
        <w:rPr>
          <w:rFonts w:ascii="Times New Roman" w:hAnsi="Times New Roman"/>
          <w:sz w:val="24"/>
          <w:szCs w:val="24"/>
          <w:lang w:val="en-AU"/>
        </w:rPr>
      </w:pPr>
      <w:r w:rsidRPr="009E7B69">
        <w:rPr>
          <w:rFonts w:ascii="Times New Roman" w:hAnsi="Times New Roman"/>
          <w:sz w:val="24"/>
          <w:szCs w:val="24"/>
        </w:rPr>
        <w:tab/>
      </w:r>
      <w:r w:rsidRPr="00BD6C72">
        <w:rPr>
          <w:rFonts w:ascii="Times New Roman" w:hAnsi="Times New Roman"/>
          <w:sz w:val="24"/>
          <w:szCs w:val="24"/>
          <w:lang w:val="en-AU"/>
        </w:rPr>
        <w:t>In the Qumran ideology violence was regarded as something to be avoided. Jassen states that violence did not exist in the community and was only part of the eschatological literature that foresaw a final battle.</w:t>
      </w:r>
      <w:r w:rsidRPr="00BD6C72">
        <w:rPr>
          <w:rStyle w:val="FootnoteReference"/>
          <w:rFonts w:ascii="Times New Roman" w:hAnsi="Times New Roman"/>
          <w:sz w:val="24"/>
          <w:szCs w:val="24"/>
          <w:lang w:val="en-AU"/>
        </w:rPr>
        <w:footnoteReference w:id="129"/>
      </w:r>
      <w:r w:rsidRPr="00BD6C72">
        <w:rPr>
          <w:rFonts w:ascii="Times New Roman" w:hAnsi="Times New Roman"/>
          <w:sz w:val="24"/>
          <w:szCs w:val="24"/>
          <w:lang w:val="en-AU"/>
        </w:rPr>
        <w:t xml:space="preserve"> Punishment would happen at the </w:t>
      </w:r>
      <w:r w:rsidRPr="00BD6C72">
        <w:rPr>
          <w:rFonts w:ascii="Times New Roman" w:hAnsi="Times New Roman"/>
          <w:i/>
          <w:iCs/>
          <w:sz w:val="24"/>
          <w:szCs w:val="24"/>
          <w:lang w:val="en-AU"/>
        </w:rPr>
        <w:t>eschaton</w:t>
      </w:r>
      <w:r w:rsidRPr="00BD6C72">
        <w:rPr>
          <w:rFonts w:ascii="Times New Roman" w:hAnsi="Times New Roman"/>
          <w:sz w:val="24"/>
          <w:szCs w:val="24"/>
          <w:lang w:val="en-AU"/>
        </w:rPr>
        <w:t xml:space="preserve">. Tukasi identifies a later date for an eschatological determinism in the Qumran writings from 1QS </w:t>
      </w:r>
      <w:r w:rsidRPr="00BD6C72">
        <w:rPr>
          <w:rFonts w:ascii="Times New Roman" w:hAnsi="Times New Roman"/>
          <w:sz w:val="24"/>
          <w:szCs w:val="24"/>
          <w:lang w:val="en-AU"/>
        </w:rPr>
        <w:lastRenderedPageBreak/>
        <w:t>4:18–19.</w:t>
      </w:r>
      <w:r w:rsidRPr="00BD6C72">
        <w:rPr>
          <w:rStyle w:val="FootnoteReference"/>
          <w:rFonts w:ascii="Times New Roman" w:hAnsi="Times New Roman"/>
          <w:sz w:val="24"/>
          <w:szCs w:val="24"/>
          <w:lang w:val="en-AU"/>
        </w:rPr>
        <w:footnoteReference w:id="130"/>
      </w:r>
      <w:r w:rsidRPr="00BD6C72">
        <w:rPr>
          <w:rFonts w:ascii="Times New Roman" w:hAnsi="Times New Roman"/>
          <w:sz w:val="24"/>
          <w:szCs w:val="24"/>
          <w:lang w:val="en-AU"/>
        </w:rPr>
        <w:t xml:space="preserve"> According to the text</w:t>
      </w:r>
      <w:r w:rsidR="00F212EC">
        <w:rPr>
          <w:rFonts w:ascii="Times New Roman" w:hAnsi="Times New Roman"/>
          <w:sz w:val="24"/>
          <w:szCs w:val="24"/>
          <w:lang w:val="en-AU"/>
        </w:rPr>
        <w:t>,</w:t>
      </w:r>
      <w:r w:rsidRPr="00BD6C72">
        <w:rPr>
          <w:rFonts w:ascii="Times New Roman" w:hAnsi="Times New Roman"/>
          <w:sz w:val="24"/>
          <w:szCs w:val="24"/>
          <w:lang w:val="en-AU"/>
        </w:rPr>
        <w:t xml:space="preserve"> God destroys injustice and replaces it with peace and righteousness. Nonviolence was supported because they were not the ones who would bring justice, that would be the work of God at an </w:t>
      </w:r>
      <w:r w:rsidRPr="00BD6C72">
        <w:rPr>
          <w:rFonts w:ascii="Times New Roman" w:hAnsi="Times New Roman"/>
          <w:i/>
          <w:iCs/>
          <w:sz w:val="24"/>
          <w:szCs w:val="24"/>
          <w:lang w:val="en-AU"/>
        </w:rPr>
        <w:t xml:space="preserve">eschaton. </w:t>
      </w:r>
      <w:r w:rsidRPr="00BD6C72">
        <w:rPr>
          <w:rFonts w:ascii="Times New Roman" w:hAnsi="Times New Roman"/>
          <w:sz w:val="24"/>
          <w:szCs w:val="24"/>
          <w:lang w:val="en-AU"/>
        </w:rPr>
        <w:t xml:space="preserve">The community might have expected a violent end to the world, but they did not advocate aggressive behaviour nor contribute to a violent society. </w:t>
      </w:r>
    </w:p>
    <w:p w14:paraId="6507E2F9" w14:textId="699A7099" w:rsidR="005C18F8" w:rsidRPr="00BD6C72" w:rsidRDefault="005C18F8" w:rsidP="005C18F8">
      <w:pPr>
        <w:pStyle w:val="NormalWeb"/>
        <w:spacing w:beforeLines="0" w:afterLines="0" w:line="480" w:lineRule="auto"/>
        <w:rPr>
          <w:rFonts w:ascii="Times New Roman" w:hAnsi="Times New Roman"/>
          <w:sz w:val="24"/>
          <w:szCs w:val="24"/>
          <w:lang w:val="en-AU"/>
        </w:rPr>
      </w:pPr>
      <w:r w:rsidRPr="00BD6C72">
        <w:rPr>
          <w:rFonts w:ascii="Times New Roman" w:hAnsi="Times New Roman"/>
          <w:sz w:val="24"/>
          <w:szCs w:val="24"/>
          <w:lang w:val="en-AU"/>
        </w:rPr>
        <w:tab/>
      </w:r>
      <w:r w:rsidR="00A72E4E">
        <w:rPr>
          <w:rFonts w:ascii="Times New Roman" w:hAnsi="Times New Roman"/>
          <w:sz w:val="24"/>
          <w:szCs w:val="24"/>
          <w:lang w:val="en-AU"/>
        </w:rPr>
        <w:t xml:space="preserve">Early in Essene scholarship, both Jewish and Christian scholars believed that the Essenes influenced the development of the early Christian church. One such example of this scholarship was </w:t>
      </w:r>
      <w:r w:rsidRPr="00BD6C72">
        <w:rPr>
          <w:rFonts w:ascii="Times New Roman" w:hAnsi="Times New Roman"/>
          <w:sz w:val="24"/>
          <w:szCs w:val="24"/>
          <w:lang w:val="en-AU"/>
        </w:rPr>
        <w:t>Heinrich Graetz</w:t>
      </w:r>
      <w:r w:rsidR="00A72E4E">
        <w:rPr>
          <w:rFonts w:ascii="Times New Roman" w:hAnsi="Times New Roman"/>
          <w:sz w:val="24"/>
          <w:szCs w:val="24"/>
          <w:lang w:val="en-AU"/>
        </w:rPr>
        <w:t xml:space="preserve"> (</w:t>
      </w:r>
      <w:r w:rsidR="00A72E4E" w:rsidRPr="00BD6C72">
        <w:rPr>
          <w:rFonts w:ascii="Times New Roman" w:hAnsi="Times New Roman"/>
          <w:sz w:val="24"/>
          <w:szCs w:val="24"/>
          <w:lang w:val="en-AU"/>
        </w:rPr>
        <w:t>1870</w:t>
      </w:r>
      <w:r w:rsidR="00A72E4E">
        <w:rPr>
          <w:rFonts w:ascii="Times New Roman" w:hAnsi="Times New Roman"/>
          <w:sz w:val="24"/>
          <w:szCs w:val="24"/>
          <w:lang w:val="en-AU"/>
        </w:rPr>
        <w:t xml:space="preserve">) who, according to Elukin, contended that </w:t>
      </w:r>
      <w:r w:rsidRPr="00BD6C72">
        <w:rPr>
          <w:rFonts w:ascii="Times New Roman" w:hAnsi="Times New Roman"/>
          <w:sz w:val="24"/>
          <w:szCs w:val="24"/>
          <w:lang w:val="en-AU"/>
        </w:rPr>
        <w:t>Jesus</w:t>
      </w:r>
      <w:r w:rsidR="00A72E4E">
        <w:rPr>
          <w:rFonts w:ascii="Times New Roman" w:hAnsi="Times New Roman"/>
          <w:sz w:val="24"/>
          <w:szCs w:val="24"/>
          <w:lang w:val="en-AU"/>
        </w:rPr>
        <w:t xml:space="preserve"> utili</w:t>
      </w:r>
      <w:r w:rsidR="00F0514D">
        <w:rPr>
          <w:rFonts w:ascii="Times New Roman" w:hAnsi="Times New Roman"/>
          <w:sz w:val="24"/>
          <w:szCs w:val="24"/>
          <w:lang w:val="en-AU"/>
        </w:rPr>
        <w:t>s</w:t>
      </w:r>
      <w:r w:rsidR="00A72E4E">
        <w:rPr>
          <w:rFonts w:ascii="Times New Roman" w:hAnsi="Times New Roman"/>
          <w:sz w:val="24"/>
          <w:szCs w:val="24"/>
          <w:lang w:val="en-AU"/>
        </w:rPr>
        <w:t xml:space="preserve">ed </w:t>
      </w:r>
      <w:r w:rsidRPr="00BD6C72">
        <w:rPr>
          <w:rFonts w:ascii="Times New Roman" w:hAnsi="Times New Roman"/>
          <w:sz w:val="24"/>
          <w:szCs w:val="24"/>
          <w:lang w:val="en-AU"/>
        </w:rPr>
        <w:t>“Essene principles” (“essaische Grundsatze”) and was “a member of the Jewish sect of the Essenes</w:t>
      </w:r>
      <w:r w:rsidR="00A72E4E">
        <w:rPr>
          <w:rFonts w:ascii="Times New Roman" w:hAnsi="Times New Roman"/>
          <w:sz w:val="24"/>
          <w:szCs w:val="24"/>
          <w:lang w:val="en-AU"/>
        </w:rPr>
        <w:t>.</w:t>
      </w:r>
      <w:r w:rsidRPr="00BD6C72">
        <w:rPr>
          <w:rFonts w:ascii="Times New Roman" w:hAnsi="Times New Roman"/>
          <w:sz w:val="24"/>
          <w:szCs w:val="24"/>
          <w:lang w:val="en-AU"/>
        </w:rPr>
        <w:t xml:space="preserve">” </w:t>
      </w:r>
      <w:r w:rsidR="001F1873">
        <w:rPr>
          <w:rFonts w:ascii="Times New Roman" w:hAnsi="Times New Roman"/>
          <w:sz w:val="24"/>
          <w:szCs w:val="24"/>
          <w:lang w:val="en-AU"/>
        </w:rPr>
        <w:t>Elukin further contends that Jesus did not want to create a new religious movement that became Christianity but to improve or reform the problems of Judaism during Jesus’</w:t>
      </w:r>
      <w:r w:rsidR="00E35288">
        <w:rPr>
          <w:rFonts w:ascii="Times New Roman" w:hAnsi="Times New Roman"/>
          <w:sz w:val="24"/>
          <w:szCs w:val="24"/>
          <w:lang w:val="en-AU"/>
        </w:rPr>
        <w:t>s</w:t>
      </w:r>
      <w:r w:rsidR="001F1873">
        <w:rPr>
          <w:rFonts w:ascii="Times New Roman" w:hAnsi="Times New Roman"/>
          <w:sz w:val="24"/>
          <w:szCs w:val="24"/>
          <w:lang w:val="en-AU"/>
        </w:rPr>
        <w:t xml:space="preserve"> life.</w:t>
      </w:r>
      <w:r w:rsidRPr="00BD6C72">
        <w:rPr>
          <w:rStyle w:val="FootnoteReference"/>
          <w:rFonts w:ascii="Times New Roman" w:hAnsi="Times New Roman"/>
          <w:sz w:val="24"/>
          <w:szCs w:val="24"/>
          <w:lang w:val="en-AU"/>
        </w:rPr>
        <w:footnoteReference w:id="131"/>
      </w:r>
      <w:r w:rsidRPr="00BD6C72">
        <w:rPr>
          <w:rFonts w:ascii="Times New Roman" w:hAnsi="Times New Roman"/>
          <w:sz w:val="24"/>
          <w:szCs w:val="24"/>
          <w:lang w:val="en-AU"/>
        </w:rPr>
        <w:t xml:space="preserve"> Timothy Wardle explains that </w:t>
      </w:r>
      <w:r w:rsidR="00A72E4E">
        <w:rPr>
          <w:rFonts w:ascii="Times New Roman" w:hAnsi="Times New Roman"/>
          <w:sz w:val="24"/>
          <w:szCs w:val="24"/>
          <w:lang w:val="en-AU"/>
        </w:rPr>
        <w:t>“</w:t>
      </w:r>
      <w:r w:rsidRPr="00BD6C72">
        <w:rPr>
          <w:rFonts w:ascii="Times New Roman" w:hAnsi="Times New Roman"/>
          <w:sz w:val="24"/>
          <w:szCs w:val="24"/>
          <w:lang w:val="en-AU"/>
        </w:rPr>
        <w:t>Jesus and John the Baptist have commonalities with the Qumran community.</w:t>
      </w:r>
      <w:r w:rsidR="00A72E4E">
        <w:rPr>
          <w:rFonts w:ascii="Times New Roman" w:hAnsi="Times New Roman"/>
          <w:sz w:val="24"/>
          <w:szCs w:val="24"/>
          <w:lang w:val="en-AU"/>
        </w:rPr>
        <w:t>”</w:t>
      </w:r>
      <w:r w:rsidRPr="00BD6C72">
        <w:rPr>
          <w:rStyle w:val="FootnoteReference"/>
          <w:rFonts w:ascii="Times New Roman" w:hAnsi="Times New Roman"/>
          <w:sz w:val="24"/>
          <w:szCs w:val="24"/>
          <w:lang w:val="en-AU"/>
        </w:rPr>
        <w:footnoteReference w:id="132"/>
      </w:r>
      <w:r w:rsidRPr="00BD6C72">
        <w:rPr>
          <w:rFonts w:ascii="Times New Roman" w:hAnsi="Times New Roman"/>
          <w:sz w:val="24"/>
          <w:szCs w:val="24"/>
          <w:lang w:val="en-AU"/>
        </w:rPr>
        <w:t xml:space="preserve"> Jesus and John the Baptist shared similar views on full baptism by immersion that was similar to the Essene method of full immersion, that it was required for conversion to Judaism and ritual purity</w:t>
      </w:r>
      <w:r w:rsidRPr="00BD6C72">
        <w:rPr>
          <w:rStyle w:val="FootnoteReference"/>
          <w:rFonts w:ascii="Times New Roman" w:hAnsi="Times New Roman"/>
          <w:sz w:val="24"/>
          <w:szCs w:val="24"/>
          <w:lang w:val="en-AU"/>
        </w:rPr>
        <w:footnoteReference w:id="133"/>
      </w:r>
      <w:r w:rsidRPr="00BD6C72">
        <w:rPr>
          <w:rFonts w:ascii="Times New Roman" w:hAnsi="Times New Roman"/>
          <w:sz w:val="24"/>
          <w:szCs w:val="24"/>
          <w:lang w:val="en-AU"/>
        </w:rPr>
        <w:t xml:space="preserve"> </w:t>
      </w:r>
      <w:r w:rsidR="00826B9D">
        <w:rPr>
          <w:rFonts w:ascii="Times New Roman" w:hAnsi="Times New Roman"/>
          <w:sz w:val="24"/>
          <w:szCs w:val="24"/>
          <w:lang w:val="en-AU"/>
        </w:rPr>
        <w:t xml:space="preserve">This is supported by Jewish theologian </w:t>
      </w:r>
      <w:r w:rsidRPr="00BD6C72">
        <w:rPr>
          <w:rFonts w:ascii="Times New Roman" w:hAnsi="Times New Roman"/>
          <w:sz w:val="24"/>
          <w:szCs w:val="24"/>
          <w:lang w:val="en-AU"/>
        </w:rPr>
        <w:t>Kaufman Kohler</w:t>
      </w:r>
      <w:r w:rsidR="00826B9D">
        <w:rPr>
          <w:rFonts w:ascii="Times New Roman" w:hAnsi="Times New Roman"/>
          <w:sz w:val="24"/>
          <w:szCs w:val="24"/>
          <w:lang w:val="en-AU"/>
        </w:rPr>
        <w:t>.</w:t>
      </w:r>
      <w:r w:rsidRPr="00BD6C72">
        <w:rPr>
          <w:rStyle w:val="FootnoteReference"/>
          <w:rFonts w:ascii="Times New Roman" w:hAnsi="Times New Roman"/>
          <w:sz w:val="24"/>
          <w:szCs w:val="24"/>
          <w:lang w:val="en-AU"/>
        </w:rPr>
        <w:footnoteReference w:id="134"/>
      </w:r>
      <w:r w:rsidRPr="00BD6C72">
        <w:rPr>
          <w:rFonts w:ascii="Times New Roman" w:hAnsi="Times New Roman"/>
          <w:sz w:val="24"/>
          <w:szCs w:val="24"/>
          <w:vertAlign w:val="superscript"/>
          <w:lang w:val="en-AU"/>
        </w:rPr>
        <w:t xml:space="preserve"> </w:t>
      </w:r>
      <w:r w:rsidR="00E72A47">
        <w:rPr>
          <w:rFonts w:ascii="Times New Roman" w:hAnsi="Times New Roman"/>
          <w:sz w:val="24"/>
          <w:szCs w:val="24"/>
          <w:lang w:val="en-AU"/>
        </w:rPr>
        <w:t xml:space="preserve">Just as the Essenes looked for a messianic figure, John the Baptist and </w:t>
      </w:r>
      <w:r w:rsidR="00E72A47">
        <w:rPr>
          <w:rFonts w:ascii="Times New Roman" w:hAnsi="Times New Roman"/>
          <w:sz w:val="24"/>
          <w:szCs w:val="24"/>
          <w:lang w:val="en-AU"/>
        </w:rPr>
        <w:lastRenderedPageBreak/>
        <w:t>Jesus spoke of these a messianic age, just as the Essenes did.</w:t>
      </w:r>
      <w:r w:rsidRPr="00BD6C72">
        <w:rPr>
          <w:rStyle w:val="FootnoteReference"/>
          <w:rFonts w:ascii="Times New Roman" w:hAnsi="Times New Roman"/>
          <w:sz w:val="24"/>
          <w:szCs w:val="24"/>
          <w:lang w:val="en-AU"/>
        </w:rPr>
        <w:footnoteReference w:id="135"/>
      </w:r>
      <w:r w:rsidRPr="00BD6C72">
        <w:rPr>
          <w:rFonts w:ascii="Times New Roman" w:hAnsi="Times New Roman"/>
          <w:sz w:val="24"/>
          <w:szCs w:val="24"/>
          <w:lang w:val="en-AU"/>
        </w:rPr>
        <w:t xml:space="preserve"> Jesus was “an earnest, gentle, moral figure who emerged within the Essene community.”</w:t>
      </w:r>
      <w:r w:rsidRPr="00BD6C72">
        <w:rPr>
          <w:rStyle w:val="FootnoteReference"/>
          <w:rFonts w:ascii="Times New Roman" w:hAnsi="Times New Roman"/>
          <w:sz w:val="24"/>
          <w:szCs w:val="24"/>
          <w:lang w:val="en-AU"/>
        </w:rPr>
        <w:footnoteReference w:id="136"/>
      </w:r>
      <w:r w:rsidRPr="00BD6C72">
        <w:rPr>
          <w:rFonts w:ascii="Times New Roman" w:hAnsi="Times New Roman"/>
          <w:sz w:val="24"/>
          <w:szCs w:val="24"/>
          <w:lang w:val="en-AU"/>
        </w:rPr>
        <w:t xml:space="preserve"> </w:t>
      </w:r>
      <w:r w:rsidR="00E72A47">
        <w:rPr>
          <w:rFonts w:ascii="Times New Roman" w:hAnsi="Times New Roman"/>
          <w:sz w:val="24"/>
          <w:szCs w:val="24"/>
          <w:lang w:val="en-AU"/>
        </w:rPr>
        <w:t>Elukin suggest</w:t>
      </w:r>
      <w:r w:rsidR="00F212EC">
        <w:rPr>
          <w:rFonts w:ascii="Times New Roman" w:hAnsi="Times New Roman"/>
          <w:sz w:val="24"/>
          <w:szCs w:val="24"/>
          <w:lang w:val="en-AU"/>
        </w:rPr>
        <w:t>s</w:t>
      </w:r>
      <w:r w:rsidR="00E72A47">
        <w:rPr>
          <w:rFonts w:ascii="Times New Roman" w:hAnsi="Times New Roman"/>
          <w:sz w:val="24"/>
          <w:szCs w:val="24"/>
          <w:lang w:val="en-AU"/>
        </w:rPr>
        <w:t xml:space="preserve"> that “h</w:t>
      </w:r>
      <w:r w:rsidRPr="00BD6C72">
        <w:rPr>
          <w:rFonts w:ascii="Times New Roman" w:hAnsi="Times New Roman"/>
          <w:sz w:val="24"/>
          <w:szCs w:val="24"/>
          <w:lang w:val="en-AU"/>
        </w:rPr>
        <w:t>e was drawn to the Essenes, and the people of Galilee were drawn to his Essene teachings.”</w:t>
      </w:r>
      <w:r w:rsidRPr="00BD6C72">
        <w:rPr>
          <w:rStyle w:val="FootnoteReference"/>
          <w:rFonts w:ascii="Times New Roman" w:hAnsi="Times New Roman"/>
          <w:sz w:val="24"/>
          <w:szCs w:val="24"/>
          <w:lang w:val="en-AU"/>
        </w:rPr>
        <w:footnoteReference w:id="137"/>
      </w:r>
      <w:r w:rsidRPr="00BD6C72">
        <w:rPr>
          <w:rFonts w:ascii="Times New Roman" w:hAnsi="Times New Roman"/>
          <w:sz w:val="24"/>
          <w:szCs w:val="24"/>
          <w:lang w:val="en-AU"/>
        </w:rPr>
        <w:t xml:space="preserve"> The concept of having a messiah figure in the Essene community fits into their expectation of </w:t>
      </w:r>
      <w:r w:rsidRPr="00BD6C72">
        <w:rPr>
          <w:rFonts w:ascii="Times New Roman" w:hAnsi="Times New Roman"/>
          <w:i/>
          <w:iCs/>
          <w:sz w:val="24"/>
          <w:szCs w:val="24"/>
          <w:lang w:val="en-AU"/>
        </w:rPr>
        <w:t>mashiachim.</w:t>
      </w:r>
      <w:r w:rsidRPr="00BD6C72">
        <w:rPr>
          <w:rFonts w:ascii="Times New Roman" w:hAnsi="Times New Roman"/>
          <w:sz w:val="24"/>
          <w:szCs w:val="24"/>
          <w:lang w:val="en-AU"/>
        </w:rPr>
        <w:t xml:space="preserve"> The </w:t>
      </w:r>
      <w:r w:rsidRPr="00BD6C72">
        <w:rPr>
          <w:rFonts w:ascii="Times New Roman" w:hAnsi="Times New Roman"/>
          <w:i/>
          <w:sz w:val="24"/>
          <w:szCs w:val="24"/>
          <w:lang w:val="en-AU"/>
        </w:rPr>
        <w:t>mashiachim</w:t>
      </w:r>
      <w:r w:rsidRPr="00BD6C72">
        <w:rPr>
          <w:rFonts w:ascii="Times New Roman" w:hAnsi="Times New Roman"/>
          <w:sz w:val="24"/>
          <w:szCs w:val="24"/>
          <w:lang w:val="en-AU"/>
        </w:rPr>
        <w:t xml:space="preserve"> therefore would fit into the eschatology of the Qumranites because the </w:t>
      </w:r>
      <w:r w:rsidRPr="00BD6C72">
        <w:rPr>
          <w:rFonts w:ascii="Times New Roman" w:hAnsi="Times New Roman"/>
          <w:i/>
          <w:sz w:val="24"/>
          <w:szCs w:val="24"/>
          <w:lang w:val="en-AU"/>
        </w:rPr>
        <w:t xml:space="preserve">mashiachim </w:t>
      </w:r>
      <w:r w:rsidRPr="00BD6C72">
        <w:rPr>
          <w:rFonts w:ascii="Times New Roman" w:hAnsi="Times New Roman"/>
          <w:iCs/>
          <w:sz w:val="24"/>
          <w:szCs w:val="24"/>
          <w:lang w:val="en-AU"/>
        </w:rPr>
        <w:t>would witness not only the destruction of the Roman oppressors, but a final war.</w:t>
      </w:r>
      <w:r w:rsidRPr="00BD6C72">
        <w:rPr>
          <w:rStyle w:val="FootnoteReference"/>
          <w:rFonts w:ascii="Times New Roman" w:hAnsi="Times New Roman"/>
          <w:sz w:val="24"/>
          <w:szCs w:val="24"/>
          <w:lang w:val="en-AU"/>
        </w:rPr>
        <w:footnoteReference w:id="138"/>
      </w:r>
      <w:r w:rsidRPr="00BD6C72">
        <w:rPr>
          <w:rFonts w:ascii="Times New Roman" w:hAnsi="Times New Roman"/>
          <w:sz w:val="24"/>
          <w:szCs w:val="24"/>
          <w:lang w:val="en-AU"/>
        </w:rPr>
        <w:t xml:space="preserve"> This would fit both Jesus and other messianic figures. </w:t>
      </w:r>
    </w:p>
    <w:p w14:paraId="7A9B59DF" w14:textId="77777777" w:rsidR="005C18F8" w:rsidRPr="00BD6C72" w:rsidRDefault="005C18F8" w:rsidP="005C18F8">
      <w:pPr>
        <w:pStyle w:val="NormalWeb"/>
        <w:spacing w:before="2" w:after="2" w:line="480" w:lineRule="auto"/>
        <w:ind w:firstLine="720"/>
        <w:rPr>
          <w:rFonts w:ascii="Times New Roman" w:hAnsi="Times New Roman"/>
          <w:sz w:val="24"/>
          <w:szCs w:val="24"/>
          <w:lang w:val="en-AU"/>
        </w:rPr>
      </w:pPr>
      <w:r w:rsidRPr="00BD6C72">
        <w:rPr>
          <w:rFonts w:ascii="Times New Roman" w:hAnsi="Times New Roman"/>
          <w:sz w:val="24"/>
          <w:szCs w:val="24"/>
          <w:lang w:val="en-AU"/>
        </w:rPr>
        <w:t xml:space="preserve">Other Jewish apocalyptic views were </w:t>
      </w:r>
      <w:proofErr w:type="gramStart"/>
      <w:r w:rsidRPr="00BD6C72">
        <w:rPr>
          <w:rFonts w:ascii="Times New Roman" w:hAnsi="Times New Roman"/>
          <w:sz w:val="24"/>
          <w:szCs w:val="24"/>
          <w:lang w:val="en-AU"/>
        </w:rPr>
        <w:t>similar to</w:t>
      </w:r>
      <w:proofErr w:type="gramEnd"/>
      <w:r w:rsidRPr="00BD6C72">
        <w:rPr>
          <w:rFonts w:ascii="Times New Roman" w:hAnsi="Times New Roman"/>
          <w:sz w:val="24"/>
          <w:szCs w:val="24"/>
          <w:lang w:val="en-AU"/>
        </w:rPr>
        <w:t xml:space="preserve"> those of the Qumran community, even though they are not from the community’s library. There is an exchange between good and evil in 2 Enoch as the patriarch Enoch goes to heaven; however, 2 Enoch does not share the similar views of </w:t>
      </w:r>
      <w:r w:rsidRPr="00BD6C72">
        <w:rPr>
          <w:rFonts w:ascii="Times New Roman" w:hAnsi="Times New Roman"/>
          <w:i/>
          <w:iCs/>
          <w:sz w:val="24"/>
          <w:szCs w:val="24"/>
          <w:lang w:val="en-AU"/>
        </w:rPr>
        <w:t xml:space="preserve">mashiach </w:t>
      </w:r>
      <w:r w:rsidRPr="00BD6C72">
        <w:rPr>
          <w:rFonts w:ascii="Times New Roman" w:hAnsi="Times New Roman"/>
          <w:sz w:val="24"/>
          <w:szCs w:val="24"/>
          <w:lang w:val="en-AU"/>
        </w:rPr>
        <w:t>as found in post-</w:t>
      </w:r>
      <w:proofErr w:type="gramStart"/>
      <w:r w:rsidRPr="00BD6C72">
        <w:rPr>
          <w:rFonts w:ascii="Times New Roman" w:hAnsi="Times New Roman"/>
          <w:sz w:val="24"/>
          <w:szCs w:val="24"/>
          <w:lang w:val="en-AU"/>
        </w:rPr>
        <w:t>Jesus</w:t>
      </w:r>
      <w:proofErr w:type="gramEnd"/>
      <w:r w:rsidRPr="00BD6C72">
        <w:rPr>
          <w:rFonts w:ascii="Times New Roman" w:hAnsi="Times New Roman"/>
          <w:sz w:val="24"/>
          <w:szCs w:val="24"/>
          <w:lang w:val="en-AU"/>
        </w:rPr>
        <w:t xml:space="preserve"> literature such as Revelation.</w:t>
      </w:r>
      <w:r w:rsidRPr="00BD6C72">
        <w:rPr>
          <w:rStyle w:val="FootnoteReference"/>
          <w:rFonts w:ascii="Times New Roman" w:hAnsi="Times New Roman"/>
          <w:sz w:val="24"/>
          <w:szCs w:val="24"/>
          <w:lang w:val="en-AU"/>
        </w:rPr>
        <w:footnoteReference w:id="139"/>
      </w:r>
      <w:r w:rsidRPr="00BD6C72">
        <w:rPr>
          <w:rFonts w:ascii="Times New Roman" w:hAnsi="Times New Roman"/>
          <w:sz w:val="24"/>
          <w:szCs w:val="24"/>
          <w:lang w:val="en-AU"/>
        </w:rPr>
        <w:t xml:space="preserve"> 2 Enoch has many similarities to the book of Revelation.</w:t>
      </w:r>
      <w:r w:rsidRPr="00BD6C72">
        <w:rPr>
          <w:rStyle w:val="FootnoteReference"/>
          <w:rFonts w:ascii="Times New Roman" w:hAnsi="Times New Roman"/>
          <w:sz w:val="24"/>
          <w:szCs w:val="24"/>
          <w:lang w:val="en-AU"/>
        </w:rPr>
        <w:footnoteReference w:id="140"/>
      </w:r>
      <w:r w:rsidRPr="00BD6C72">
        <w:rPr>
          <w:rFonts w:ascii="Times New Roman" w:hAnsi="Times New Roman"/>
          <w:sz w:val="24"/>
          <w:szCs w:val="24"/>
          <w:lang w:val="en-AU"/>
        </w:rPr>
        <w:t xml:space="preserve"> Other literature such as The Book of Jubilees has quite a different feel about it compared with 1 or 2 Enoch or Revelation. Talmon suggests that Jubilees is an example of peace literature prevalent before Jesus.</w:t>
      </w:r>
      <w:r w:rsidRPr="00BD6C72">
        <w:rPr>
          <w:rStyle w:val="FootnoteReference"/>
          <w:rFonts w:ascii="Times New Roman" w:hAnsi="Times New Roman"/>
          <w:sz w:val="24"/>
          <w:szCs w:val="24"/>
          <w:lang w:val="en-AU"/>
        </w:rPr>
        <w:footnoteReference w:id="141"/>
      </w:r>
    </w:p>
    <w:p w14:paraId="34D3C409" w14:textId="2FBDE13D" w:rsidR="005C18F8" w:rsidRPr="00BD6C72" w:rsidRDefault="005C18F8" w:rsidP="005C18F8">
      <w:pPr>
        <w:pStyle w:val="NormalWeb"/>
        <w:spacing w:beforeLines="0" w:afterLines="0" w:line="480" w:lineRule="auto"/>
        <w:rPr>
          <w:rFonts w:ascii="Times New Roman" w:hAnsi="Times New Roman"/>
          <w:sz w:val="24"/>
          <w:szCs w:val="24"/>
          <w:lang w:val="en-AU"/>
        </w:rPr>
      </w:pPr>
      <w:r w:rsidRPr="00BD6C72">
        <w:rPr>
          <w:rFonts w:ascii="Times New Roman" w:hAnsi="Times New Roman"/>
          <w:sz w:val="24"/>
          <w:szCs w:val="24"/>
          <w:lang w:val="en-AU"/>
        </w:rPr>
        <w:lastRenderedPageBreak/>
        <w:tab/>
        <w:t xml:space="preserve">Even in the Scrolls, the images of what a messianic figure represents is varied. They may represent different views from different authors or different communities. The messianic leader from Aaron’s lineage is identified in 1QS 2:19–22. The messianic leader from the Davidic line is identified </w:t>
      </w:r>
      <w:r w:rsidR="00592DC0" w:rsidRPr="00BD6C72">
        <w:rPr>
          <w:rFonts w:ascii="Times New Roman" w:hAnsi="Times New Roman"/>
          <w:sz w:val="24"/>
          <w:szCs w:val="24"/>
          <w:lang w:val="en-AU"/>
        </w:rPr>
        <w:t>in Psalms</w:t>
      </w:r>
      <w:r w:rsidRPr="00BD6C72">
        <w:rPr>
          <w:rFonts w:ascii="Times New Roman" w:hAnsi="Times New Roman"/>
          <w:sz w:val="24"/>
          <w:szCs w:val="24"/>
          <w:lang w:val="en-AU"/>
        </w:rPr>
        <w:t xml:space="preserve"> 132:11.</w:t>
      </w:r>
      <w:r w:rsidRPr="00BD6C72">
        <w:rPr>
          <w:rStyle w:val="FootnoteReference"/>
          <w:rFonts w:ascii="Times New Roman" w:hAnsi="Times New Roman"/>
          <w:sz w:val="24"/>
          <w:szCs w:val="24"/>
          <w:lang w:val="en-AU"/>
        </w:rPr>
        <w:footnoteReference w:id="142"/>
      </w:r>
      <w:r w:rsidRPr="00BD6C72">
        <w:rPr>
          <w:rFonts w:ascii="Times New Roman" w:hAnsi="Times New Roman"/>
          <w:sz w:val="24"/>
          <w:szCs w:val="24"/>
          <w:lang w:val="en-AU"/>
        </w:rPr>
        <w:t xml:space="preserve"> One messianic figure that was anticipated by the Jews during the time of Jesus was a </w:t>
      </w:r>
      <w:r w:rsidR="00592DC0" w:rsidRPr="00BD6C72">
        <w:rPr>
          <w:rFonts w:ascii="Times New Roman" w:hAnsi="Times New Roman"/>
          <w:sz w:val="24"/>
          <w:szCs w:val="24"/>
          <w:rtl/>
          <w:lang w:val="en-AU"/>
        </w:rPr>
        <w:t>משיח</w:t>
      </w:r>
      <w:r w:rsidRPr="00BD6C72">
        <w:rPr>
          <w:rFonts w:ascii="Times New Roman" w:hAnsi="Times New Roman"/>
          <w:sz w:val="24"/>
          <w:szCs w:val="24"/>
          <w:lang w:val="en-AU"/>
        </w:rPr>
        <w:t xml:space="preserve"> who brings spiritual </w:t>
      </w:r>
      <w:r w:rsidR="00F951CC" w:rsidRPr="00BD6C72">
        <w:rPr>
          <w:rFonts w:ascii="Times New Roman" w:hAnsi="Times New Roman"/>
          <w:sz w:val="24"/>
          <w:szCs w:val="24"/>
          <w:lang w:val="en-AU"/>
        </w:rPr>
        <w:t>renewal, is</w:t>
      </w:r>
      <w:r w:rsidRPr="00BD6C72">
        <w:rPr>
          <w:rFonts w:ascii="Times New Roman" w:hAnsi="Times New Roman"/>
          <w:sz w:val="24"/>
          <w:szCs w:val="24"/>
          <w:lang w:val="en-AU"/>
        </w:rPr>
        <w:t xml:space="preserve"> born from the lineage of Aaron, would usher in worldwide peace.</w:t>
      </w:r>
      <w:r w:rsidRPr="00BD6C72">
        <w:rPr>
          <w:rStyle w:val="FootnoteReference"/>
          <w:rFonts w:ascii="Times New Roman" w:hAnsi="Times New Roman"/>
          <w:sz w:val="24"/>
          <w:szCs w:val="24"/>
          <w:lang w:val="en-AU"/>
        </w:rPr>
        <w:footnoteReference w:id="143"/>
      </w:r>
      <w:r w:rsidRPr="00BD6C72">
        <w:rPr>
          <w:rFonts w:ascii="Times New Roman" w:hAnsi="Times New Roman"/>
          <w:sz w:val="24"/>
          <w:szCs w:val="24"/>
          <w:lang w:val="en-AU"/>
        </w:rPr>
        <w:t xml:space="preserve"> There is thus some similarity between the peace sayings found in the Sermon and the expectations of a messianic figure from the lineage of Aaron. Talmon contends that because there were various views of a messianic figure in circulation, individuals among those listening to Jesus may have looked for different qualities.</w:t>
      </w:r>
      <w:r w:rsidRPr="00BD6C72">
        <w:rPr>
          <w:rStyle w:val="FootnoteReference"/>
          <w:rFonts w:ascii="Times New Roman" w:hAnsi="Times New Roman"/>
          <w:sz w:val="24"/>
          <w:szCs w:val="24"/>
          <w:lang w:val="en-AU"/>
        </w:rPr>
        <w:footnoteReference w:id="144"/>
      </w:r>
      <w:r w:rsidRPr="00BD6C72">
        <w:rPr>
          <w:rFonts w:ascii="Times New Roman" w:hAnsi="Times New Roman"/>
          <w:sz w:val="24"/>
          <w:szCs w:val="24"/>
          <w:lang w:val="en-AU"/>
        </w:rPr>
        <w:t xml:space="preserve"> </w:t>
      </w:r>
    </w:p>
    <w:p w14:paraId="3B146935" w14:textId="3E882834" w:rsidR="005C18F8" w:rsidRPr="00BD6C72" w:rsidRDefault="005C18F8" w:rsidP="005C18F8">
      <w:pPr>
        <w:pStyle w:val="NormalWeb"/>
        <w:spacing w:beforeLines="0" w:afterLines="0" w:line="480" w:lineRule="auto"/>
        <w:rPr>
          <w:rFonts w:ascii="Times New Roman" w:hAnsi="Times New Roman"/>
          <w:sz w:val="24"/>
          <w:szCs w:val="24"/>
          <w:lang w:val="en-AU"/>
        </w:rPr>
      </w:pPr>
      <w:r w:rsidRPr="00BD6C72">
        <w:rPr>
          <w:rFonts w:ascii="Times New Roman" w:hAnsi="Times New Roman"/>
          <w:sz w:val="24"/>
          <w:szCs w:val="24"/>
          <w:lang w:val="en-AU"/>
        </w:rPr>
        <w:tab/>
        <w:t xml:space="preserve">The earliest Christians were keenly aware that the </w:t>
      </w:r>
      <w:r w:rsidRPr="00BD6C72">
        <w:rPr>
          <w:rFonts w:ascii="Times New Roman" w:hAnsi="Times New Roman"/>
          <w:i/>
          <w:iCs/>
          <w:sz w:val="24"/>
          <w:szCs w:val="24"/>
          <w:lang w:val="en-AU"/>
        </w:rPr>
        <w:t xml:space="preserve">parousia </w:t>
      </w:r>
      <w:r w:rsidRPr="00BD6C72">
        <w:rPr>
          <w:rFonts w:ascii="Times New Roman" w:hAnsi="Times New Roman"/>
          <w:sz w:val="24"/>
          <w:szCs w:val="24"/>
          <w:lang w:val="en-AU"/>
        </w:rPr>
        <w:t>(second coming) was delayed.</w:t>
      </w:r>
      <w:r w:rsidRPr="00BD6C72">
        <w:rPr>
          <w:rStyle w:val="FootnoteReference"/>
          <w:rFonts w:ascii="Times New Roman" w:hAnsi="Times New Roman"/>
          <w:sz w:val="24"/>
          <w:szCs w:val="24"/>
          <w:lang w:val="en-AU"/>
        </w:rPr>
        <w:footnoteReference w:id="145"/>
      </w:r>
      <w:r w:rsidRPr="00BD6C72">
        <w:rPr>
          <w:rFonts w:ascii="Times New Roman" w:hAnsi="Times New Roman"/>
          <w:sz w:val="24"/>
          <w:szCs w:val="24"/>
          <w:lang w:val="en-AU"/>
        </w:rPr>
        <w:t xml:space="preserve"> The scroll 4Q246 refers to an eternal kingdom initiated </w:t>
      </w:r>
      <w:proofErr w:type="gramStart"/>
      <w:r w:rsidRPr="00BD6C72">
        <w:rPr>
          <w:rFonts w:ascii="Times New Roman" w:hAnsi="Times New Roman"/>
          <w:sz w:val="24"/>
          <w:szCs w:val="24"/>
          <w:lang w:val="en-AU"/>
        </w:rPr>
        <w:t>as a result of</w:t>
      </w:r>
      <w:proofErr w:type="gramEnd"/>
      <w:r w:rsidRPr="00BD6C72">
        <w:rPr>
          <w:rFonts w:ascii="Times New Roman" w:hAnsi="Times New Roman"/>
          <w:sz w:val="24"/>
          <w:szCs w:val="24"/>
          <w:lang w:val="en-AU"/>
        </w:rPr>
        <w:t xml:space="preserve"> the </w:t>
      </w:r>
      <w:r w:rsidRPr="00BD6C72">
        <w:rPr>
          <w:rFonts w:ascii="Times New Roman" w:hAnsi="Times New Roman"/>
          <w:i/>
          <w:iCs/>
          <w:sz w:val="24"/>
          <w:szCs w:val="24"/>
          <w:lang w:val="en-AU"/>
        </w:rPr>
        <w:t>parousia</w:t>
      </w:r>
      <w:r w:rsidRPr="00BD6C72">
        <w:rPr>
          <w:rFonts w:ascii="Times New Roman" w:hAnsi="Times New Roman"/>
          <w:sz w:val="24"/>
          <w:szCs w:val="24"/>
          <w:lang w:val="en-AU"/>
        </w:rPr>
        <w:t>.</w:t>
      </w:r>
      <w:r w:rsidRPr="00BD6C72">
        <w:rPr>
          <w:rStyle w:val="FootnoteReference"/>
          <w:rFonts w:ascii="Times New Roman" w:hAnsi="Times New Roman"/>
          <w:sz w:val="24"/>
          <w:szCs w:val="24"/>
          <w:lang w:val="en-AU"/>
        </w:rPr>
        <w:footnoteReference w:id="146"/>
      </w:r>
      <w:r w:rsidRPr="00BD6C72">
        <w:rPr>
          <w:rFonts w:ascii="Times New Roman" w:hAnsi="Times New Roman"/>
          <w:sz w:val="24"/>
          <w:szCs w:val="24"/>
          <w:lang w:val="en-AU"/>
        </w:rPr>
        <w:t xml:space="preserve"> We have only a small piece of the document to examine; however, it discusses how the messianic era will establish peace.</w:t>
      </w:r>
      <w:r w:rsidRPr="00BD6C72">
        <w:rPr>
          <w:rStyle w:val="FootnoteReference"/>
          <w:rFonts w:ascii="Times New Roman" w:hAnsi="Times New Roman"/>
          <w:sz w:val="24"/>
          <w:szCs w:val="24"/>
          <w:lang w:val="en-AU"/>
        </w:rPr>
        <w:footnoteReference w:id="147"/>
      </w:r>
      <w:r w:rsidRPr="00BD6C72">
        <w:rPr>
          <w:rFonts w:ascii="Times New Roman" w:hAnsi="Times New Roman"/>
          <w:sz w:val="24"/>
          <w:szCs w:val="24"/>
          <w:lang w:val="en-AU"/>
        </w:rPr>
        <w:t xml:space="preserve"> Column ii of 4Q246 paints the following picture:</w:t>
      </w:r>
    </w:p>
    <w:p w14:paraId="488E0220" w14:textId="1AE68ED9" w:rsidR="00D25D36" w:rsidRPr="00042B04" w:rsidRDefault="005C18F8" w:rsidP="005C18F8">
      <w:pPr>
        <w:pStyle w:val="Blockquotation"/>
        <w:rPr>
          <w:sz w:val="24"/>
          <w:lang w:val="en-AU"/>
        </w:rPr>
      </w:pPr>
      <w:r w:rsidRPr="00042B04">
        <w:rPr>
          <w:sz w:val="24"/>
          <w:lang w:val="en-AU"/>
        </w:rPr>
        <w:lastRenderedPageBreak/>
        <w:t xml:space="preserve">1 He will be called son of God, and they will call him son of the </w:t>
      </w:r>
      <w:proofErr w:type="gramStart"/>
      <w:r w:rsidRPr="00042B04">
        <w:rPr>
          <w:sz w:val="24"/>
          <w:lang w:val="en-AU"/>
        </w:rPr>
        <w:t>Most High</w:t>
      </w:r>
      <w:proofErr w:type="gramEnd"/>
      <w:r w:rsidRPr="00042B04">
        <w:rPr>
          <w:sz w:val="24"/>
          <w:lang w:val="en-AU"/>
        </w:rPr>
        <w:t xml:space="preserve">. Like the sparks 2 that you saw, so will their kingdom </w:t>
      </w:r>
      <w:proofErr w:type="gramStart"/>
      <w:r w:rsidRPr="00042B04">
        <w:rPr>
          <w:sz w:val="24"/>
          <w:lang w:val="en-AU"/>
        </w:rPr>
        <w:t>be;</w:t>
      </w:r>
      <w:proofErr w:type="gramEnd"/>
      <w:r w:rsidRPr="00042B04">
        <w:rPr>
          <w:sz w:val="24"/>
          <w:lang w:val="en-AU"/>
        </w:rPr>
        <w:t xml:space="preserve"> they will rule several year[s] over 3 the earth and crush everything; a people will crush another people, and a province another provi[n]ce. 4 Blank Until the people of God arises and makes everyone rest from the sword. Blank 5 His kingdom will be an eternal kingdom, and all his paths in truth. He will jud[ge] 6 the earth in truth and all will make peace. The sword will cease from the earth, 7 and all the provinces will pay him homage. The great God is his strength, 8 he will wage war for him; he will place the peoples in his hand and 9 cast them all away before him. His rule will be an eternal rule, and all the abysses.</w:t>
      </w:r>
      <w:r w:rsidRPr="00042B04">
        <w:rPr>
          <w:rStyle w:val="FootnoteReference"/>
          <w:sz w:val="24"/>
          <w:lang w:val="en-AU"/>
        </w:rPr>
        <w:footnoteReference w:id="148"/>
      </w:r>
    </w:p>
    <w:p w14:paraId="168DE4D4" w14:textId="5AF5EB0B" w:rsidR="005C18F8" w:rsidRPr="00042B04" w:rsidRDefault="003179C4" w:rsidP="00D303D6">
      <w:pPr>
        <w:pStyle w:val="NormalWeb"/>
        <w:spacing w:beforeLines="0" w:before="240" w:afterLines="0" w:line="480" w:lineRule="auto"/>
        <w:rPr>
          <w:rFonts w:ascii="Times New Roman" w:hAnsi="Times New Roman"/>
          <w:sz w:val="24"/>
          <w:szCs w:val="24"/>
          <w:lang w:val="en-AU"/>
        </w:rPr>
      </w:pPr>
      <w:r>
        <w:rPr>
          <w:rFonts w:ascii="Times New Roman" w:hAnsi="Times New Roman"/>
          <w:sz w:val="24"/>
          <w:szCs w:val="24"/>
          <w:lang w:val="en-AU"/>
        </w:rPr>
        <w:t xml:space="preserve">The document </w:t>
      </w:r>
      <w:r w:rsidR="005C18F8" w:rsidRPr="00042B04">
        <w:rPr>
          <w:rFonts w:ascii="Times New Roman" w:hAnsi="Times New Roman"/>
          <w:sz w:val="24"/>
          <w:szCs w:val="24"/>
          <w:lang w:val="en-AU"/>
        </w:rPr>
        <w:t>4</w:t>
      </w:r>
      <w:r w:rsidR="00C466F1">
        <w:rPr>
          <w:rFonts w:ascii="Times New Roman" w:hAnsi="Times New Roman"/>
          <w:sz w:val="24"/>
          <w:szCs w:val="24"/>
          <w:lang w:val="en-AU"/>
        </w:rPr>
        <w:t>Q</w:t>
      </w:r>
      <w:r w:rsidR="005C18F8" w:rsidRPr="00042B04">
        <w:rPr>
          <w:rFonts w:ascii="Times New Roman" w:hAnsi="Times New Roman"/>
          <w:sz w:val="24"/>
          <w:szCs w:val="24"/>
          <w:lang w:val="en-AU"/>
        </w:rPr>
        <w:t>246 sheds light on the expectations of the messianic era prevalent just before the Sermon was delivered.  Andrew Lawler contends that the view of the messiah in the scrolls helps the modern person understand more clearly the state of Judaism during the time of Jesus.</w:t>
      </w:r>
      <w:r w:rsidR="005C18F8" w:rsidRPr="00042B04">
        <w:rPr>
          <w:rStyle w:val="FootnoteReference"/>
          <w:rFonts w:ascii="Times New Roman" w:hAnsi="Times New Roman"/>
          <w:sz w:val="24"/>
          <w:szCs w:val="24"/>
          <w:lang w:val="en-AU"/>
        </w:rPr>
        <w:footnoteReference w:id="149"/>
      </w:r>
      <w:r w:rsidR="005C18F8" w:rsidRPr="00042B04">
        <w:rPr>
          <w:rFonts w:ascii="Times New Roman" w:hAnsi="Times New Roman"/>
          <w:sz w:val="24"/>
          <w:szCs w:val="24"/>
          <w:lang w:val="en-AU"/>
        </w:rPr>
        <w:t xml:space="preserve"> Since the Essenes lived in what is now known as the Essene Quarter and in Qumran, these scrolls help illuminate the state of messianic expectations for the listener of the Sermon, from the Qumran Community, if they were at the Sermon on the Mount.  However, it is doubtful that the Sermon on the Mount was preached in either Qumran or Jerusalem. According to Matthew, Jesus had been in Galilee prior to delivering this address and the next place he entered afterwards was Capernaum, also in Galilee. </w:t>
      </w:r>
    </w:p>
    <w:p w14:paraId="5C904EE3" w14:textId="6487F9A9" w:rsidR="005C18F8" w:rsidRPr="00042B04" w:rsidRDefault="001A69B4" w:rsidP="009B7870">
      <w:pPr>
        <w:pStyle w:val="Heading2"/>
      </w:pPr>
      <w:bookmarkStart w:id="63" w:name="_Toc94536991"/>
      <w:bookmarkStart w:id="64" w:name="_Toc118063636"/>
      <w:r w:rsidRPr="00042B04">
        <w:t>3.3</w:t>
      </w:r>
      <w:r w:rsidR="005C18F8" w:rsidRPr="00042B04">
        <w:t xml:space="preserve"> Repentance</w:t>
      </w:r>
      <w:bookmarkEnd w:id="63"/>
      <w:bookmarkEnd w:id="64"/>
    </w:p>
    <w:p w14:paraId="272F4B4F" w14:textId="1C5DBE11" w:rsidR="005C18F8" w:rsidRPr="00042B04" w:rsidRDefault="005C18F8" w:rsidP="005C18F8">
      <w:pPr>
        <w:spacing w:line="480" w:lineRule="auto"/>
        <w:ind w:firstLine="720"/>
        <w:contextualSpacing/>
        <w:rPr>
          <w:lang w:val="en-AU"/>
        </w:rPr>
      </w:pPr>
      <w:r w:rsidRPr="00042B04">
        <w:rPr>
          <w:lang w:val="en-AU"/>
        </w:rPr>
        <w:t>Understanding repentance in the minds of Jesus’</w:t>
      </w:r>
      <w:r w:rsidR="00E35288">
        <w:rPr>
          <w:lang w:val="en-AU"/>
        </w:rPr>
        <w:t>s</w:t>
      </w:r>
      <w:r w:rsidRPr="00042B04">
        <w:rPr>
          <w:lang w:val="en-AU"/>
        </w:rPr>
        <w:t xml:space="preserve"> audience helps to understand the influence the concept of repentance had on the development of Jesus’</w:t>
      </w:r>
      <w:r w:rsidR="00E35288">
        <w:rPr>
          <w:lang w:val="en-AU"/>
        </w:rPr>
        <w:t>s</w:t>
      </w:r>
      <w:r w:rsidRPr="00042B04">
        <w:rPr>
          <w:lang w:val="en-AU"/>
        </w:rPr>
        <w:t xml:space="preserve"> peace sayings.</w:t>
      </w:r>
      <w:r w:rsidRPr="00042B04">
        <w:rPr>
          <w:rStyle w:val="FootnoteReference"/>
          <w:lang w:val="en-AU"/>
        </w:rPr>
        <w:footnoteReference w:id="150"/>
      </w:r>
      <w:r w:rsidRPr="00042B04">
        <w:rPr>
          <w:lang w:val="en-AU"/>
        </w:rPr>
        <w:t xml:space="preserve"> </w:t>
      </w:r>
      <w:r w:rsidRPr="00042B04">
        <w:rPr>
          <w:lang w:val="en-AU"/>
        </w:rPr>
        <w:lastRenderedPageBreak/>
        <w:t>Jewish ethical and political thought at Jesus’</w:t>
      </w:r>
      <w:r w:rsidR="00E35288">
        <w:rPr>
          <w:lang w:val="en-AU"/>
        </w:rPr>
        <w:t>s</w:t>
      </w:r>
      <w:r w:rsidRPr="00042B04">
        <w:rPr>
          <w:lang w:val="en-AU"/>
        </w:rPr>
        <w:t xml:space="preserve"> time was connected to </w:t>
      </w:r>
      <w:r w:rsidRPr="00042B04">
        <w:rPr>
          <w:i/>
          <w:iCs/>
          <w:lang w:val="en-AU"/>
        </w:rPr>
        <w:t xml:space="preserve">Mishna Avot </w:t>
      </w:r>
      <w:r w:rsidRPr="00042B04">
        <w:rPr>
          <w:lang w:val="en-AU"/>
        </w:rPr>
        <w:t xml:space="preserve">through the understanding of the definition of repentance within the Dead Sea Scroll community. The concept of repentance runs deep in Jewish intellectual thought, which is why the </w:t>
      </w:r>
      <w:r w:rsidRPr="00042B04">
        <w:rPr>
          <w:i/>
          <w:iCs/>
          <w:lang w:val="en-AU"/>
        </w:rPr>
        <w:t xml:space="preserve">mikvah </w:t>
      </w:r>
      <w:r w:rsidRPr="00042B04">
        <w:rPr>
          <w:lang w:val="en-AU"/>
        </w:rPr>
        <w:t>baths were in Jerusalem and Qumran, dating from before the time of Jesus. In this dissertation there is no attempt to define fully repentance in Judaism; this has been done in other works and studies.</w:t>
      </w:r>
      <w:r w:rsidRPr="00042B04">
        <w:rPr>
          <w:rStyle w:val="FootnoteReference"/>
          <w:lang w:val="en-AU"/>
        </w:rPr>
        <w:footnoteReference w:id="151"/>
      </w:r>
      <w:r w:rsidRPr="00042B04">
        <w:rPr>
          <w:lang w:val="en-AU"/>
        </w:rPr>
        <w:t xml:space="preserve">  Being ritually clean not only comes from an immersion in a ritual bath, but from the acknowledgment of the sin and an endeavour to eradicate the sinful behaviour from one’s actions. Understanding the idea of repentance in the community that used the Dead Sea Scrolls provides insight into how the communities surrounding Jesus interpreted his sayings from the Old Testament.  </w:t>
      </w:r>
    </w:p>
    <w:p w14:paraId="5C68DE4E" w14:textId="72C741AA" w:rsidR="005C18F8" w:rsidRPr="00042B04" w:rsidRDefault="005C18F8" w:rsidP="005C18F8">
      <w:pPr>
        <w:spacing w:line="480" w:lineRule="auto"/>
        <w:ind w:firstLine="706"/>
        <w:rPr>
          <w:lang w:val="en-AU"/>
        </w:rPr>
      </w:pPr>
      <w:r w:rsidRPr="00042B04">
        <w:rPr>
          <w:lang w:val="en-AU"/>
        </w:rPr>
        <w:t xml:space="preserve">Repentance plays a role in the way in which people viewed God, and how they treated other people.  The people of Qumran had </w:t>
      </w:r>
      <w:r w:rsidRPr="00042B04">
        <w:rPr>
          <w:i/>
          <w:lang w:val="en-AU"/>
        </w:rPr>
        <w:t>mikveh</w:t>
      </w:r>
      <w:r w:rsidRPr="00042B04">
        <w:rPr>
          <w:lang w:val="en-AU"/>
        </w:rPr>
        <w:t xml:space="preserve"> baths in their community. These were for ritual bathing as part of spiritual cleansing and repentance.</w:t>
      </w:r>
      <w:r w:rsidRPr="00042B04">
        <w:rPr>
          <w:rStyle w:val="FootnoteReference"/>
          <w:lang w:val="en-AU"/>
        </w:rPr>
        <w:footnoteReference w:id="152"/>
      </w:r>
      <w:r w:rsidRPr="00042B04">
        <w:rPr>
          <w:lang w:val="en-AU"/>
        </w:rPr>
        <w:t xml:space="preserve"> These</w:t>
      </w:r>
      <w:r w:rsidR="00AC2262">
        <w:rPr>
          <w:lang w:val="en-AU"/>
        </w:rPr>
        <w:t xml:space="preserve"> large number of water immersion pools reflect that they are not for </w:t>
      </w:r>
      <w:r w:rsidRPr="00042B04">
        <w:rPr>
          <w:lang w:val="en-AU"/>
        </w:rPr>
        <w:t>personal hygiene</w:t>
      </w:r>
      <w:r w:rsidR="00AC2262">
        <w:rPr>
          <w:lang w:val="en-AU"/>
        </w:rPr>
        <w:t xml:space="preserve">.  The plurality of baths suggest that they are for </w:t>
      </w:r>
      <w:r w:rsidRPr="00042B04">
        <w:rPr>
          <w:lang w:val="en-AU"/>
        </w:rPr>
        <w:t>holy purposes in accord with the people’s religious beliefs.</w:t>
      </w:r>
      <w:r w:rsidRPr="00042B04">
        <w:rPr>
          <w:rStyle w:val="FootnoteReference"/>
          <w:lang w:val="en-AU"/>
        </w:rPr>
        <w:footnoteReference w:id="153"/>
      </w:r>
      <w:r w:rsidRPr="00042B04">
        <w:rPr>
          <w:lang w:val="en-AU"/>
        </w:rPr>
        <w:t xml:space="preserve">  According to </w:t>
      </w:r>
      <w:r w:rsidRPr="00042B04">
        <w:rPr>
          <w:lang w:val="en-AU"/>
        </w:rPr>
        <w:lastRenderedPageBreak/>
        <w:t xml:space="preserve">Arnost Zvi Ehrman, </w:t>
      </w:r>
      <w:r w:rsidR="00AC2262">
        <w:rPr>
          <w:lang w:val="en-AU"/>
        </w:rPr>
        <w:t>“</w:t>
      </w:r>
      <w:r w:rsidRPr="00042B04">
        <w:rPr>
          <w:i/>
          <w:iCs/>
          <w:lang w:val="en-AU"/>
        </w:rPr>
        <w:t>mikva’ot</w:t>
      </w:r>
      <w:r w:rsidRPr="00042B04">
        <w:rPr>
          <w:lang w:val="en-AU"/>
        </w:rPr>
        <w:t xml:space="preserve"> can be interpreted to mean ritual baths.”</w:t>
      </w:r>
      <w:r w:rsidRPr="00042B04">
        <w:rPr>
          <w:rStyle w:val="FootnoteReference"/>
          <w:lang w:val="en-AU"/>
        </w:rPr>
        <w:footnoteReference w:id="154"/>
      </w:r>
      <w:r w:rsidRPr="00042B04">
        <w:rPr>
          <w:lang w:val="en-AU"/>
        </w:rPr>
        <w:t xml:space="preserve"> Ritual immersion </w:t>
      </w:r>
      <w:r w:rsidR="00582378">
        <w:rPr>
          <w:lang w:val="en-AU"/>
        </w:rPr>
        <w:t xml:space="preserve">fundamentally must have a </w:t>
      </w:r>
      <w:r w:rsidRPr="00042B04">
        <w:rPr>
          <w:lang w:val="en-AU"/>
        </w:rPr>
        <w:t>“total immersion of the body in a ritual bath (</w:t>
      </w:r>
      <w:r w:rsidRPr="00042B04">
        <w:rPr>
          <w:i/>
          <w:lang w:val="en-AU"/>
        </w:rPr>
        <w:t>mikveh</w:t>
      </w:r>
      <w:r w:rsidRPr="00042B04">
        <w:rPr>
          <w:lang w:val="en-AU"/>
        </w:rPr>
        <w:t>) or flowing river water.”</w:t>
      </w:r>
      <w:r w:rsidRPr="00042B04">
        <w:rPr>
          <w:rStyle w:val="FootnoteReference"/>
          <w:lang w:val="en-AU"/>
        </w:rPr>
        <w:footnoteReference w:id="155"/>
      </w:r>
      <w:r w:rsidRPr="00042B04">
        <w:rPr>
          <w:lang w:val="en-AU"/>
        </w:rPr>
        <w:t xml:space="preserve"> The people of the community saw repentance and change as part of their cultural fabric as recorded in The Community Rule scroll (1QS III:6–9):</w:t>
      </w:r>
    </w:p>
    <w:p w14:paraId="0AF4520F" w14:textId="1E693FFC" w:rsidR="00D25D36" w:rsidRPr="00042B04" w:rsidRDefault="005C18F8" w:rsidP="0002561F">
      <w:pPr>
        <w:pStyle w:val="Blockquotation"/>
        <w:rPr>
          <w:sz w:val="24"/>
          <w:lang w:val="en-AU"/>
        </w:rPr>
      </w:pPr>
      <w:r w:rsidRPr="00042B04">
        <w:rPr>
          <w:sz w:val="24"/>
          <w:lang w:val="en-AU"/>
        </w:rPr>
        <w:t>For it is through the spirit of true counsel concerning the ways of man that all his sins shall be expiated, that he may contemplate the light of life. He shall be cleansed from all his sins by the spirit of holiness uniting him to His truth, and his iniquity shall be expiated by the spirit of uprightness and humility. And when his flesh is sprinkled with purifying water and sanctified by cleansing water, it shall be made clean by the humble submission of his soul to all precepts of God.</w:t>
      </w:r>
      <w:r w:rsidRPr="00042B04">
        <w:rPr>
          <w:rStyle w:val="FootnoteReference"/>
          <w:sz w:val="24"/>
          <w:lang w:val="en-AU"/>
        </w:rPr>
        <w:footnoteReference w:id="156"/>
      </w:r>
    </w:p>
    <w:p w14:paraId="59FCB80E" w14:textId="2EB1313F" w:rsidR="00D25D36" w:rsidRPr="00042B04" w:rsidRDefault="005C18F8" w:rsidP="00172050">
      <w:pPr>
        <w:spacing w:before="240" w:line="480" w:lineRule="auto"/>
        <w:contextualSpacing/>
        <w:rPr>
          <w:lang w:val="en-AU"/>
        </w:rPr>
      </w:pPr>
      <w:r w:rsidRPr="00042B04">
        <w:rPr>
          <w:lang w:val="en-AU"/>
        </w:rPr>
        <w:t xml:space="preserve">1QS III:6–9 clearly introduced a concept of cleansing.  This concept was used in connection with water as well as a special cleansing of the soul.  The early holiness texts are part of the community who used the ritual baths. Markus Bockmuehl furthers contends that there are many different texts found in Qumran that focus on a ‘call to repentance’ for Israel:  </w:t>
      </w:r>
    </w:p>
    <w:p w14:paraId="4F2DCA2D" w14:textId="7653B31F" w:rsidR="00D25D36" w:rsidRPr="00042B04" w:rsidRDefault="005C18F8" w:rsidP="0002561F">
      <w:pPr>
        <w:pStyle w:val="Blockquotation"/>
        <w:rPr>
          <w:sz w:val="24"/>
          <w:lang w:val="en-AU"/>
        </w:rPr>
      </w:pPr>
      <w:r w:rsidRPr="00042B04">
        <w:rPr>
          <w:sz w:val="24"/>
          <w:lang w:val="en-AU"/>
        </w:rPr>
        <w:t>Early Essene texts, including parts of the Damascus Document (e.g., CD 1:1—4, 16:1–2), the War Scroll (e.g., 1 QM 10:9–10; 12:13–14; 13:7–9; 17:8) and certain non-sectarian liturgical documents (e.g., 4 QDibHam3 3:l–2.iii.3–l–2.iv.l2 4QPrQuot 21–28.vii8f.; 4QPrFetes 97–98.i.5–7) seem to take for granted a universal call to repentance as well as the election and eventual salvation of ethnic Israel as the holy covenantal people of God.</w:t>
      </w:r>
      <w:r w:rsidRPr="00042B04">
        <w:rPr>
          <w:rStyle w:val="FootnoteReference"/>
          <w:sz w:val="24"/>
          <w:lang w:val="en-AU"/>
        </w:rPr>
        <w:footnoteReference w:id="157"/>
      </w:r>
    </w:p>
    <w:p w14:paraId="719F6136" w14:textId="33A9A7B9" w:rsidR="00E27EA0" w:rsidRDefault="005C18F8" w:rsidP="00172050">
      <w:pPr>
        <w:spacing w:before="240" w:line="480" w:lineRule="auto"/>
        <w:rPr>
          <w:lang w:val="en-AU"/>
        </w:rPr>
      </w:pPr>
      <w:r w:rsidRPr="00042B04">
        <w:rPr>
          <w:lang w:val="en-AU"/>
        </w:rPr>
        <w:lastRenderedPageBreak/>
        <w:t>For the Essene community, the actions taken for repentance included immersion. The Essenes</w:t>
      </w:r>
      <w:r w:rsidR="00582378">
        <w:rPr>
          <w:lang w:val="en-AU"/>
        </w:rPr>
        <w:t xml:space="preserve"> held strong views on repentance.  They believed that </w:t>
      </w:r>
      <w:r w:rsidRPr="00042B04">
        <w:rPr>
          <w:lang w:val="en-AU"/>
        </w:rPr>
        <w:t xml:space="preserve">repentance and righteousness </w:t>
      </w:r>
      <w:r w:rsidR="00582378">
        <w:rPr>
          <w:lang w:val="en-AU"/>
        </w:rPr>
        <w:t xml:space="preserve">must be together </w:t>
      </w:r>
      <w:proofErr w:type="gramStart"/>
      <w:r w:rsidR="00582378">
        <w:rPr>
          <w:lang w:val="en-AU"/>
        </w:rPr>
        <w:t>in order to</w:t>
      </w:r>
      <w:proofErr w:type="gramEnd"/>
      <w:r w:rsidR="00582378">
        <w:rPr>
          <w:lang w:val="en-AU"/>
        </w:rPr>
        <w:t xml:space="preserve"> have </w:t>
      </w:r>
      <w:r w:rsidRPr="00042B04">
        <w:rPr>
          <w:lang w:val="en-AU"/>
        </w:rPr>
        <w:t>made</w:t>
      </w:r>
      <w:r w:rsidR="00582378">
        <w:rPr>
          <w:lang w:val="en-AU"/>
        </w:rPr>
        <w:t xml:space="preserve"> the</w:t>
      </w:r>
      <w:r w:rsidRPr="00042B04">
        <w:rPr>
          <w:lang w:val="en-AU"/>
        </w:rPr>
        <w:t xml:space="preserve"> immersion effective. </w:t>
      </w:r>
      <w:r w:rsidR="00E27EA0">
        <w:rPr>
          <w:lang w:val="en-AU"/>
        </w:rPr>
        <w:t>Melgar suggests that the writings of 1QM demonstrate how the liturgies are part of a warrior who is preparing for battle:</w:t>
      </w:r>
    </w:p>
    <w:p w14:paraId="7720F3AF" w14:textId="40CA2C3E" w:rsidR="00E27EA0" w:rsidRDefault="005C18F8" w:rsidP="00E27EA0">
      <w:pPr>
        <w:ind w:left="720" w:right="720"/>
        <w:rPr>
          <w:lang w:val="en-AU"/>
        </w:rPr>
      </w:pPr>
      <w:r w:rsidRPr="00042B04">
        <w:rPr>
          <w:lang w:val="en-AU"/>
        </w:rPr>
        <w:t xml:space="preserve">1QM 10 begins a set of liturgies that are a transition point between the War of Divisions (1QM 2–9) and the War against the Kittim (1QM 15–19). 1QM 10 contains two distinct pieces: lines 1–8a include a priestly speech to encourage the warriors prior to the war, and lines 8b–18 consist of a song that celebrates God and Israel as the chosen people. </w:t>
      </w:r>
    </w:p>
    <w:p w14:paraId="27101DBE" w14:textId="3051C5FC" w:rsidR="00E27EA0" w:rsidRDefault="00E27EA0" w:rsidP="00E27EA0">
      <w:pPr>
        <w:ind w:right="720"/>
        <w:rPr>
          <w:lang w:val="en-AU"/>
        </w:rPr>
      </w:pPr>
    </w:p>
    <w:p w14:paraId="3F620D6A" w14:textId="2AE49D72" w:rsidR="005C18F8" w:rsidRPr="00042B04" w:rsidRDefault="00E27EA0" w:rsidP="00E27EA0">
      <w:pPr>
        <w:spacing w:line="480" w:lineRule="auto"/>
        <w:rPr>
          <w:lang w:val="en-AU"/>
        </w:rPr>
      </w:pPr>
      <w:r>
        <w:rPr>
          <w:lang w:val="en-AU"/>
        </w:rPr>
        <w:t xml:space="preserve">These forms of celebration are done with songs and speeches within 1QM writings. It is further explained how cleansing is done with ritual water cleansing. </w:t>
      </w:r>
      <w:r w:rsidR="005C18F8" w:rsidRPr="00042B04">
        <w:rPr>
          <w:lang w:val="en-AU"/>
        </w:rPr>
        <w:t xml:space="preserve">In the Community Scroll it is stated (IQS V:13–15): </w:t>
      </w:r>
    </w:p>
    <w:p w14:paraId="2AB1F910" w14:textId="239CFCEE" w:rsidR="00D25D36" w:rsidRPr="00042B04" w:rsidRDefault="005C18F8" w:rsidP="0002561F">
      <w:pPr>
        <w:pStyle w:val="Blockquotation"/>
        <w:rPr>
          <w:sz w:val="24"/>
          <w:lang w:val="en-AU"/>
        </w:rPr>
      </w:pPr>
      <w:r w:rsidRPr="00042B04">
        <w:rPr>
          <w:sz w:val="24"/>
          <w:lang w:val="en-AU"/>
        </w:rPr>
        <w:t>They shall not enter the water to partake of the pure meal of the men of holiness, for they shall not be cleansed unless they turn from their wickedness: for all who transgress His word are unclean.</w:t>
      </w:r>
      <w:r w:rsidRPr="00042B04">
        <w:rPr>
          <w:rStyle w:val="FootnoteReference"/>
          <w:sz w:val="24"/>
          <w:lang w:val="en-AU"/>
        </w:rPr>
        <w:footnoteReference w:id="158"/>
      </w:r>
    </w:p>
    <w:p w14:paraId="06DB9108" w14:textId="77777777" w:rsidR="005C18F8" w:rsidRPr="00042B04" w:rsidRDefault="005C18F8" w:rsidP="00172050">
      <w:pPr>
        <w:spacing w:before="240" w:line="480" w:lineRule="auto"/>
        <w:contextualSpacing/>
        <w:rPr>
          <w:lang w:val="en-AU"/>
        </w:rPr>
      </w:pPr>
      <w:r w:rsidRPr="00042B04">
        <w:rPr>
          <w:lang w:val="en-AU"/>
        </w:rPr>
        <w:t>Wickedness and cleansing are intrinsically connected.  Those listening to the Sermon were aware of the community of people, such as those following John the Baptist, that were calling for repentance and cleansing through water. It can be safely assumed that the baptism at Qumran, like the baptism of John, was not for initiation purposes.</w:t>
      </w:r>
      <w:r w:rsidRPr="00042B04">
        <w:rPr>
          <w:rStyle w:val="FootnoteReference"/>
          <w:lang w:val="en-AU"/>
        </w:rPr>
        <w:footnoteReference w:id="159"/>
      </w:r>
      <w:r w:rsidRPr="00042B04">
        <w:rPr>
          <w:lang w:val="en-AU"/>
        </w:rPr>
        <w:t xml:space="preserve"> The type of cleansing related to the water immersion is thus related to the heart’s repentance.</w:t>
      </w:r>
      <w:r w:rsidRPr="00042B04">
        <w:rPr>
          <w:rStyle w:val="FootnoteReference"/>
          <w:lang w:val="en-AU"/>
        </w:rPr>
        <w:footnoteReference w:id="160"/>
      </w:r>
      <w:r w:rsidRPr="00042B04">
        <w:rPr>
          <w:lang w:val="en-AU"/>
        </w:rPr>
        <w:t xml:space="preserve">  Joan E. Taylor observes: </w:t>
      </w:r>
    </w:p>
    <w:p w14:paraId="08ACB70E" w14:textId="1357C785" w:rsidR="00D25D36" w:rsidRPr="009E7B69" w:rsidRDefault="005C18F8" w:rsidP="0002561F">
      <w:pPr>
        <w:pStyle w:val="Blockquotation"/>
        <w:rPr>
          <w:sz w:val="24"/>
        </w:rPr>
      </w:pPr>
      <w:r w:rsidRPr="009E7B69">
        <w:rPr>
          <w:sz w:val="24"/>
        </w:rPr>
        <w:lastRenderedPageBreak/>
        <w:t>The point of correlation between John’s baptism and the initial immersion at Qumran is probably not these constituted initiation rites, but the idea that immersion is pointless without prior cleansing of the heart (the inner self) through the repentance and the practice of righteousness.</w:t>
      </w:r>
      <w:r w:rsidRPr="009E7B69">
        <w:rPr>
          <w:rStyle w:val="FootnoteReference"/>
          <w:sz w:val="24"/>
        </w:rPr>
        <w:footnoteReference w:id="161"/>
      </w:r>
    </w:p>
    <w:p w14:paraId="28092771" w14:textId="77777777" w:rsidR="005C18F8" w:rsidRPr="00BB7576" w:rsidRDefault="005C18F8" w:rsidP="005C18F8">
      <w:pPr>
        <w:spacing w:line="480" w:lineRule="auto"/>
        <w:contextualSpacing/>
        <w:rPr>
          <w:lang w:val="en-AU"/>
        </w:rPr>
      </w:pPr>
      <w:r w:rsidRPr="00BB7576">
        <w:rPr>
          <w:lang w:val="en-AU"/>
        </w:rPr>
        <w:t>The Qumran community and the Dead Sea Scrolls illuminate the need for a person’s change both through action and intent. The inner changes were exemplified in the lifestyle led by those in the community.</w:t>
      </w:r>
      <w:r w:rsidRPr="00BB7576">
        <w:rPr>
          <w:rStyle w:val="FootnoteReference"/>
          <w:lang w:val="en-AU"/>
        </w:rPr>
        <w:footnoteReference w:id="162"/>
      </w:r>
      <w:r w:rsidRPr="00BB7576">
        <w:rPr>
          <w:lang w:val="en-AU"/>
        </w:rPr>
        <w:t xml:space="preserve"> </w:t>
      </w:r>
    </w:p>
    <w:p w14:paraId="023AEF2C" w14:textId="77777777" w:rsidR="005C18F8" w:rsidRPr="00BB7576" w:rsidRDefault="005C18F8" w:rsidP="005C18F8">
      <w:pPr>
        <w:pStyle w:val="NormalWeb"/>
        <w:spacing w:before="2" w:after="2" w:line="480" w:lineRule="auto"/>
        <w:ind w:firstLine="720"/>
        <w:rPr>
          <w:rFonts w:ascii="Times New Roman" w:hAnsi="Times New Roman"/>
          <w:sz w:val="24"/>
          <w:szCs w:val="24"/>
          <w:lang w:val="en-AU"/>
        </w:rPr>
      </w:pPr>
      <w:r w:rsidRPr="00BB7576">
        <w:rPr>
          <w:rFonts w:ascii="Times New Roman" w:hAnsi="Times New Roman"/>
          <w:sz w:val="24"/>
          <w:szCs w:val="24"/>
          <w:lang w:val="en-AU"/>
        </w:rPr>
        <w:t>The views of repentance in the Pseudepigrapha are evident during the Second Temple period. As discussed, 1 Enoch has expectations of messianic deliverance.</w:t>
      </w:r>
      <w:r w:rsidRPr="00BB7576">
        <w:rPr>
          <w:rStyle w:val="FootnoteReference"/>
          <w:rFonts w:ascii="Times New Roman" w:hAnsi="Times New Roman"/>
          <w:sz w:val="24"/>
          <w:szCs w:val="24"/>
          <w:lang w:val="en-AU"/>
        </w:rPr>
        <w:footnoteReference w:id="163"/>
      </w:r>
      <w:r w:rsidRPr="00BB7576">
        <w:rPr>
          <w:rFonts w:ascii="Times New Roman" w:hAnsi="Times New Roman"/>
          <w:sz w:val="24"/>
          <w:szCs w:val="24"/>
          <w:lang w:val="en-AU"/>
        </w:rPr>
        <w:t xml:space="preserve"> There is an overlapping of time between the authorships of the Pseudepigrapha and the New Testament.</w:t>
      </w:r>
      <w:r w:rsidRPr="00BB7576">
        <w:rPr>
          <w:rStyle w:val="FootnoteReference"/>
          <w:rFonts w:ascii="Times New Roman" w:hAnsi="Times New Roman"/>
          <w:sz w:val="24"/>
          <w:szCs w:val="24"/>
          <w:lang w:val="en-AU"/>
        </w:rPr>
        <w:footnoteReference w:id="164"/>
      </w:r>
      <w:r w:rsidRPr="00BB7576">
        <w:rPr>
          <w:rFonts w:ascii="Times New Roman" w:hAnsi="Times New Roman"/>
          <w:sz w:val="24"/>
          <w:szCs w:val="24"/>
          <w:lang w:val="en-AU"/>
        </w:rPr>
        <w:t xml:space="preserve"> Pseudepigraphal writings can illuminate the thinking of the Jewish people who listened to the Sermon.  David DeSilva also contends that Ben Sira and Tobit influenced how Jesus delivered a message of peace and love.</w:t>
      </w:r>
      <w:r w:rsidRPr="00BB7576">
        <w:rPr>
          <w:rStyle w:val="FootnoteReference"/>
          <w:rFonts w:ascii="Times New Roman" w:hAnsi="Times New Roman"/>
          <w:sz w:val="24"/>
          <w:szCs w:val="24"/>
          <w:lang w:val="en-AU"/>
        </w:rPr>
        <w:footnoteReference w:id="165"/>
      </w:r>
      <w:r w:rsidRPr="00BB7576">
        <w:rPr>
          <w:rFonts w:ascii="Times New Roman" w:hAnsi="Times New Roman"/>
          <w:sz w:val="24"/>
          <w:szCs w:val="24"/>
          <w:lang w:val="en-AU"/>
        </w:rPr>
        <w:t xml:space="preserve"> DeSilva believes that the nonviolence </w:t>
      </w:r>
      <w:r w:rsidRPr="00BB7576">
        <w:rPr>
          <w:rFonts w:ascii="Times New Roman" w:hAnsi="Times New Roman"/>
          <w:sz w:val="24"/>
          <w:szCs w:val="24"/>
          <w:lang w:val="en-AU"/>
        </w:rPr>
        <w:lastRenderedPageBreak/>
        <w:t>teachings in Matthew 5:38–42 connect with Tobit.</w:t>
      </w:r>
      <w:r w:rsidRPr="00BB7576">
        <w:rPr>
          <w:rStyle w:val="FootnoteReference"/>
          <w:rFonts w:ascii="Times New Roman" w:hAnsi="Times New Roman"/>
          <w:sz w:val="24"/>
          <w:szCs w:val="24"/>
          <w:lang w:val="en-AU"/>
        </w:rPr>
        <w:footnoteReference w:id="166"/>
      </w:r>
      <w:r w:rsidRPr="00BB7576">
        <w:rPr>
          <w:rFonts w:ascii="Times New Roman" w:hAnsi="Times New Roman"/>
          <w:sz w:val="24"/>
          <w:szCs w:val="24"/>
          <w:lang w:val="en-AU"/>
        </w:rPr>
        <w:t xml:space="preserve"> There are more connections between Tobit and the sayings of Jesus </w:t>
      </w:r>
      <w:proofErr w:type="gramStart"/>
      <w:r w:rsidRPr="00BB7576">
        <w:rPr>
          <w:rFonts w:ascii="Times New Roman" w:hAnsi="Times New Roman"/>
          <w:sz w:val="24"/>
          <w:szCs w:val="24"/>
          <w:lang w:val="en-AU"/>
        </w:rPr>
        <w:t>in regard to</w:t>
      </w:r>
      <w:proofErr w:type="gramEnd"/>
      <w:r w:rsidRPr="00BB7576">
        <w:rPr>
          <w:rFonts w:ascii="Times New Roman" w:hAnsi="Times New Roman"/>
          <w:sz w:val="24"/>
          <w:szCs w:val="24"/>
          <w:lang w:val="en-AU"/>
        </w:rPr>
        <w:t xml:space="preserve"> the authority of Torah in one’s life.</w:t>
      </w:r>
      <w:r w:rsidRPr="00BB7576">
        <w:rPr>
          <w:rStyle w:val="FootnoteReference"/>
          <w:rFonts w:ascii="Times New Roman" w:hAnsi="Times New Roman"/>
          <w:sz w:val="24"/>
          <w:szCs w:val="24"/>
          <w:lang w:val="en-AU"/>
        </w:rPr>
        <w:footnoteReference w:id="167"/>
      </w:r>
      <w:r w:rsidRPr="00BB7576">
        <w:rPr>
          <w:rFonts w:ascii="Times New Roman" w:hAnsi="Times New Roman"/>
          <w:sz w:val="24"/>
          <w:szCs w:val="24"/>
          <w:lang w:val="en-AU"/>
        </w:rPr>
        <w:t xml:space="preserve"> </w:t>
      </w:r>
    </w:p>
    <w:p w14:paraId="29F62BA6" w14:textId="29B5F384" w:rsidR="005C18F8" w:rsidRPr="00BB7576" w:rsidRDefault="005C18F8" w:rsidP="005C18F8">
      <w:pPr>
        <w:pStyle w:val="NormalWeb"/>
        <w:spacing w:before="2" w:after="2" w:line="480" w:lineRule="auto"/>
        <w:ind w:firstLine="709"/>
        <w:rPr>
          <w:rFonts w:ascii="Times New Roman" w:hAnsi="Times New Roman"/>
          <w:sz w:val="24"/>
          <w:szCs w:val="24"/>
          <w:lang w:val="en-AU"/>
        </w:rPr>
      </w:pPr>
      <w:r w:rsidRPr="00BB7576">
        <w:rPr>
          <w:rFonts w:ascii="Times New Roman" w:hAnsi="Times New Roman"/>
          <w:sz w:val="24"/>
          <w:szCs w:val="24"/>
          <w:lang w:val="en-AU"/>
        </w:rPr>
        <w:t xml:space="preserve">There are other </w:t>
      </w:r>
      <w:r w:rsidR="0002561F" w:rsidRPr="00BB7576">
        <w:rPr>
          <w:rFonts w:ascii="Times New Roman" w:hAnsi="Times New Roman"/>
          <w:sz w:val="24"/>
          <w:szCs w:val="24"/>
          <w:lang w:val="en-AU"/>
        </w:rPr>
        <w:t>writings and ideas</w:t>
      </w:r>
      <w:r w:rsidRPr="00BB7576">
        <w:rPr>
          <w:rFonts w:ascii="Times New Roman" w:hAnsi="Times New Roman"/>
          <w:sz w:val="24"/>
          <w:szCs w:val="24"/>
          <w:lang w:val="en-AU"/>
        </w:rPr>
        <w:t xml:space="preserve"> that may have influenced Jesus. </w:t>
      </w:r>
      <w:r w:rsidR="00442E7E" w:rsidRPr="00BB7576">
        <w:rPr>
          <w:rFonts w:ascii="Times New Roman" w:hAnsi="Times New Roman"/>
          <w:sz w:val="24"/>
          <w:szCs w:val="24"/>
          <w:lang w:val="en-AU"/>
        </w:rPr>
        <w:t>Shifmann</w:t>
      </w:r>
      <w:r w:rsidRPr="00BB7576">
        <w:rPr>
          <w:rFonts w:ascii="Times New Roman" w:hAnsi="Times New Roman"/>
          <w:sz w:val="24"/>
          <w:szCs w:val="24"/>
          <w:lang w:val="en-AU"/>
        </w:rPr>
        <w:t xml:space="preserve"> suggest</w:t>
      </w:r>
      <w:r w:rsidR="003179C4">
        <w:rPr>
          <w:rFonts w:ascii="Times New Roman" w:hAnsi="Times New Roman"/>
          <w:sz w:val="24"/>
          <w:szCs w:val="24"/>
          <w:lang w:val="en-AU"/>
        </w:rPr>
        <w:t>s that</w:t>
      </w:r>
      <w:r w:rsidRPr="00BB7576">
        <w:rPr>
          <w:rFonts w:ascii="Times New Roman" w:hAnsi="Times New Roman"/>
          <w:sz w:val="24"/>
          <w:szCs w:val="24"/>
          <w:lang w:val="en-AU"/>
        </w:rPr>
        <w:t xml:space="preserve"> the Book of Jubilees</w:t>
      </w:r>
      <w:r w:rsidR="00467DD9" w:rsidRPr="00BB7576">
        <w:rPr>
          <w:rFonts w:ascii="Times New Roman" w:hAnsi="Times New Roman"/>
          <w:sz w:val="24"/>
          <w:szCs w:val="24"/>
          <w:lang w:val="en-AU"/>
        </w:rPr>
        <w:t xml:space="preserve"> contains valuable historical insights.</w:t>
      </w:r>
      <w:r w:rsidRPr="00BB7576">
        <w:rPr>
          <w:rStyle w:val="FootnoteReference"/>
          <w:rFonts w:ascii="Times New Roman" w:hAnsi="Times New Roman"/>
          <w:sz w:val="24"/>
          <w:szCs w:val="24"/>
          <w:lang w:val="en-AU"/>
        </w:rPr>
        <w:footnoteReference w:id="168"/>
      </w:r>
      <w:r w:rsidRPr="00BB7576">
        <w:rPr>
          <w:rFonts w:ascii="Times New Roman" w:hAnsi="Times New Roman"/>
          <w:sz w:val="24"/>
          <w:szCs w:val="24"/>
          <w:lang w:val="en-AU"/>
        </w:rPr>
        <w:t xml:space="preserve"> </w:t>
      </w:r>
      <w:r w:rsidR="00921512">
        <w:rPr>
          <w:rFonts w:ascii="Times New Roman" w:hAnsi="Times New Roman"/>
          <w:sz w:val="24"/>
          <w:szCs w:val="24"/>
          <w:lang w:val="en-AU"/>
        </w:rPr>
        <w:t xml:space="preserve">The book of Jubilees may have had many translations that have altered it after a Hebrew writing origin. </w:t>
      </w:r>
      <w:r w:rsidRPr="00BB7576">
        <w:rPr>
          <w:rFonts w:ascii="Times New Roman" w:hAnsi="Times New Roman"/>
          <w:sz w:val="24"/>
          <w:szCs w:val="24"/>
          <w:lang w:val="en-AU"/>
        </w:rPr>
        <w:t>VanderKam</w:t>
      </w:r>
      <w:r w:rsidR="00921512">
        <w:rPr>
          <w:rFonts w:ascii="Times New Roman" w:hAnsi="Times New Roman"/>
          <w:sz w:val="24"/>
          <w:szCs w:val="24"/>
          <w:lang w:val="en-AU"/>
        </w:rPr>
        <w:t xml:space="preserve"> suggests that the first translation was into Greek and Syriac. It subsequently was translated from the Greek into Latin for the later Christian church as well as Ethiopic.</w:t>
      </w:r>
      <w:r w:rsidR="00921512" w:rsidRPr="00BB7576">
        <w:rPr>
          <w:rStyle w:val="FootnoteReference"/>
          <w:rFonts w:ascii="Times New Roman" w:hAnsi="Times New Roman"/>
          <w:sz w:val="24"/>
          <w:szCs w:val="24"/>
          <w:lang w:val="en-AU"/>
        </w:rPr>
        <w:footnoteReference w:id="169"/>
      </w:r>
      <w:r w:rsidR="00921512">
        <w:rPr>
          <w:rFonts w:ascii="Times New Roman" w:hAnsi="Times New Roman"/>
          <w:sz w:val="24"/>
          <w:szCs w:val="24"/>
          <w:lang w:val="en-AU"/>
        </w:rPr>
        <w:t xml:space="preserve"> Vanderkam contends that the translation remains reliable.</w:t>
      </w:r>
      <w:r w:rsidR="00921512">
        <w:rPr>
          <w:rStyle w:val="FootnoteReference"/>
          <w:rFonts w:ascii="Times New Roman" w:hAnsi="Times New Roman"/>
          <w:sz w:val="24"/>
          <w:szCs w:val="24"/>
          <w:lang w:val="en-AU"/>
        </w:rPr>
        <w:footnoteReference w:id="170"/>
      </w:r>
      <w:r w:rsidR="00921512">
        <w:rPr>
          <w:rFonts w:ascii="Times New Roman" w:hAnsi="Times New Roman"/>
          <w:sz w:val="24"/>
          <w:szCs w:val="24"/>
          <w:lang w:val="en-AU"/>
        </w:rPr>
        <w:t xml:space="preserve"> </w:t>
      </w:r>
      <w:r w:rsidRPr="00BB7576">
        <w:rPr>
          <w:rFonts w:ascii="Times New Roman" w:hAnsi="Times New Roman"/>
          <w:sz w:val="24"/>
          <w:szCs w:val="24"/>
          <w:lang w:val="en-AU"/>
        </w:rPr>
        <w:t>Schiffman states that it is “possible that the work was written shortly before the Maccabean revolt of 167–164 BCE.  It is nevertheless to be dated no later than 140 BCE.”</w:t>
      </w:r>
      <w:r w:rsidRPr="00BB7576">
        <w:rPr>
          <w:rStyle w:val="FootnoteReference"/>
          <w:rFonts w:ascii="Times New Roman" w:hAnsi="Times New Roman"/>
          <w:sz w:val="24"/>
          <w:szCs w:val="24"/>
          <w:lang w:val="en-AU"/>
        </w:rPr>
        <w:footnoteReference w:id="171"/>
      </w:r>
      <w:r w:rsidRPr="00BB7576">
        <w:rPr>
          <w:rFonts w:ascii="Times New Roman" w:hAnsi="Times New Roman"/>
          <w:sz w:val="24"/>
          <w:szCs w:val="24"/>
          <w:lang w:val="en-AU"/>
        </w:rPr>
        <w:t xml:space="preserve"> Those who were listening to Jesus were likely familiar with the ideas in Jubilees, either from reading it or through oral tradition. The Book of Jubilees provides a historical and cultural context to reading the peace and ethical statements in the Sermon.  In Jubilees it is asserted that the Kingdom of Peace extinguishes evil:</w:t>
      </w:r>
    </w:p>
    <w:p w14:paraId="64F73833" w14:textId="00DF1E2B" w:rsidR="00D25D36" w:rsidRPr="00BB7576" w:rsidRDefault="005C18F8" w:rsidP="005C18F8">
      <w:pPr>
        <w:pStyle w:val="NormalWeb"/>
        <w:spacing w:before="2" w:after="2"/>
        <w:ind w:left="709" w:right="709"/>
        <w:rPr>
          <w:rFonts w:ascii="Times New Roman" w:hAnsi="Times New Roman"/>
          <w:sz w:val="24"/>
          <w:szCs w:val="24"/>
          <w:lang w:val="en-AU"/>
        </w:rPr>
      </w:pPr>
      <w:r w:rsidRPr="00BB7576">
        <w:rPr>
          <w:rFonts w:ascii="Times New Roman" w:hAnsi="Times New Roman"/>
          <w:sz w:val="24"/>
          <w:szCs w:val="24"/>
          <w:lang w:val="en-AU"/>
        </w:rPr>
        <w:t>Reference to the death of the patriarch provided the author with the opportunity to offer a minor apocalypse in chapter 23 in which the history of the people of Israel from Abraham to the Maccabean period is treated, a period that, according to the author, is to be followed by the eschatological kingdom of peace in which evil shall no longer be found.</w:t>
      </w:r>
      <w:r w:rsidRPr="00BB7576">
        <w:rPr>
          <w:rStyle w:val="FootnoteReference"/>
          <w:rFonts w:ascii="Times New Roman" w:hAnsi="Times New Roman"/>
          <w:sz w:val="24"/>
          <w:szCs w:val="24"/>
          <w:lang w:val="en-AU"/>
        </w:rPr>
        <w:footnoteReference w:id="172"/>
      </w:r>
    </w:p>
    <w:p w14:paraId="5AF39FE3" w14:textId="77777777" w:rsidR="005C18F8" w:rsidRPr="00BB7576" w:rsidRDefault="005C18F8" w:rsidP="00172050">
      <w:pPr>
        <w:pStyle w:val="NormalWeb"/>
        <w:spacing w:beforeLines="100" w:before="240" w:after="2" w:line="480" w:lineRule="auto"/>
        <w:rPr>
          <w:rFonts w:ascii="Times New Roman" w:hAnsi="Times New Roman"/>
          <w:sz w:val="24"/>
          <w:szCs w:val="24"/>
          <w:lang w:val="en-AU"/>
        </w:rPr>
      </w:pPr>
      <w:r w:rsidRPr="00BB7576">
        <w:rPr>
          <w:rFonts w:ascii="Times New Roman" w:hAnsi="Times New Roman"/>
          <w:sz w:val="24"/>
          <w:szCs w:val="24"/>
          <w:lang w:val="en-AU"/>
        </w:rPr>
        <w:lastRenderedPageBreak/>
        <w:t>Thus, it is evident that many in the Maccabean period looked forward to a Kingdom of Peace. The authors of the Book of Jubilees may not have had a belief in an afterlife. Vriezen and van der Woude point out that Jubilees does not have a concept of a resurrection of the dead and does not embrace the messianic figure.</w:t>
      </w:r>
      <w:r w:rsidRPr="00BB7576">
        <w:rPr>
          <w:rStyle w:val="FootnoteReference"/>
          <w:rFonts w:ascii="Times New Roman" w:hAnsi="Times New Roman"/>
          <w:sz w:val="24"/>
          <w:szCs w:val="24"/>
          <w:lang w:val="en-AU"/>
        </w:rPr>
        <w:footnoteReference w:id="173"/>
      </w:r>
      <w:r w:rsidRPr="00BB7576">
        <w:rPr>
          <w:rFonts w:ascii="Times New Roman" w:hAnsi="Times New Roman"/>
          <w:sz w:val="24"/>
          <w:szCs w:val="24"/>
          <w:lang w:val="en-AU"/>
        </w:rPr>
        <w:t xml:space="preserve"> The readers of the Book of Jubilees would have anticipated a Kingdom of Peace but not embraced the idea of a messiah.</w:t>
      </w:r>
    </w:p>
    <w:p w14:paraId="30A328D2" w14:textId="6C15F3EE" w:rsidR="008D4202" w:rsidRPr="009E7B69" w:rsidRDefault="001A69B4" w:rsidP="00AB7CAD">
      <w:pPr>
        <w:pStyle w:val="Heading2"/>
        <w:rPr>
          <w:bCs/>
        </w:rPr>
      </w:pPr>
      <w:bookmarkStart w:id="65" w:name="_Toc94536992"/>
      <w:bookmarkStart w:id="66" w:name="_Toc118063637"/>
      <w:r w:rsidRPr="009E7B69">
        <w:rPr>
          <w:bCs/>
        </w:rPr>
        <w:t>3.4</w:t>
      </w:r>
      <w:r w:rsidR="00BE6BA3" w:rsidRPr="009E7B69">
        <w:t xml:space="preserve"> </w:t>
      </w:r>
      <w:r w:rsidR="00592DC0" w:rsidRPr="009E7B69">
        <w:rPr>
          <w:rtl/>
        </w:rPr>
        <w:t>משיח</w:t>
      </w:r>
      <w:r w:rsidR="00592DC0" w:rsidRPr="009E7B69">
        <w:t xml:space="preserve"> </w:t>
      </w:r>
      <w:r w:rsidR="00BE6BA3" w:rsidRPr="009E7B69">
        <w:t xml:space="preserve">and Peace in </w:t>
      </w:r>
      <w:r w:rsidR="00560595" w:rsidRPr="009E7B69">
        <w:rPr>
          <w:iCs/>
        </w:rPr>
        <w:t>the Hebrew Bible</w:t>
      </w:r>
      <w:bookmarkEnd w:id="65"/>
      <w:bookmarkEnd w:id="66"/>
      <w:r w:rsidR="00A077A8" w:rsidRPr="009E7B69">
        <w:rPr>
          <w:iCs/>
        </w:rPr>
        <w:t xml:space="preserve"> </w:t>
      </w:r>
    </w:p>
    <w:p w14:paraId="78DD4351" w14:textId="24CDC676" w:rsidR="00636E34" w:rsidRPr="00BB7576" w:rsidRDefault="00F3517C" w:rsidP="000211DE">
      <w:pPr>
        <w:spacing w:line="480" w:lineRule="auto"/>
        <w:contextualSpacing/>
        <w:rPr>
          <w:lang w:val="en-AU"/>
        </w:rPr>
      </w:pPr>
      <w:r w:rsidRPr="009E7B69">
        <w:tab/>
      </w:r>
      <w:r w:rsidR="006A3312" w:rsidRPr="00BB7576">
        <w:rPr>
          <w:lang w:val="en-AU"/>
        </w:rPr>
        <w:t>T</w:t>
      </w:r>
      <w:r w:rsidRPr="00BB7576">
        <w:rPr>
          <w:lang w:val="en-AU"/>
        </w:rPr>
        <w:t>his section</w:t>
      </w:r>
      <w:r w:rsidR="006A3312" w:rsidRPr="00BB7576">
        <w:rPr>
          <w:lang w:val="en-AU"/>
        </w:rPr>
        <w:t xml:space="preserve"> explores the role of</w:t>
      </w:r>
      <w:r w:rsidR="006A3312" w:rsidRPr="009E7B69">
        <w:t xml:space="preserve"> </w:t>
      </w:r>
      <w:r w:rsidR="0016678B" w:rsidRPr="009E7B69">
        <w:rPr>
          <w:rtl/>
        </w:rPr>
        <w:t>משיח</w:t>
      </w:r>
      <w:r w:rsidR="0016678B" w:rsidRPr="009E7B69">
        <w:rPr>
          <w:i/>
          <w:iCs/>
        </w:rPr>
        <w:t xml:space="preserve"> </w:t>
      </w:r>
      <w:r w:rsidR="0016678B" w:rsidRPr="00BB7576">
        <w:rPr>
          <w:i/>
          <w:iCs/>
          <w:lang w:val="en-AU"/>
        </w:rPr>
        <w:t>(</w:t>
      </w:r>
      <w:r w:rsidR="00A077A8" w:rsidRPr="00BB7576">
        <w:rPr>
          <w:i/>
          <w:iCs/>
          <w:lang w:val="en-AU"/>
        </w:rPr>
        <w:t>m</w:t>
      </w:r>
      <w:r w:rsidR="006A3312" w:rsidRPr="00BB7576">
        <w:rPr>
          <w:i/>
          <w:iCs/>
          <w:lang w:val="en-AU"/>
        </w:rPr>
        <w:t>ashiach</w:t>
      </w:r>
      <w:r w:rsidR="006A3312" w:rsidRPr="00BB7576">
        <w:rPr>
          <w:lang w:val="en-AU"/>
        </w:rPr>
        <w:t xml:space="preserve"> </w:t>
      </w:r>
      <w:r w:rsidR="0016678B" w:rsidRPr="00BB7576">
        <w:rPr>
          <w:lang w:val="en-AU"/>
        </w:rPr>
        <w:t xml:space="preserve">or messiah) </w:t>
      </w:r>
      <w:r w:rsidR="006A3312" w:rsidRPr="00BB7576">
        <w:rPr>
          <w:lang w:val="en-AU"/>
        </w:rPr>
        <w:t>in the Hebrew Bible, and what it implies about</w:t>
      </w:r>
      <w:r w:rsidRPr="00BB7576">
        <w:rPr>
          <w:lang w:val="en-AU"/>
        </w:rPr>
        <w:t xml:space="preserve"> non-violence.</w:t>
      </w:r>
      <w:r w:rsidR="00F147F6" w:rsidRPr="00BB7576">
        <w:rPr>
          <w:lang w:val="en-AU"/>
        </w:rPr>
        <w:t xml:space="preserve">  In </w:t>
      </w:r>
      <w:r w:rsidR="000211DE" w:rsidRPr="00BB7576">
        <w:rPr>
          <w:lang w:val="en-AU"/>
        </w:rPr>
        <w:t>many</w:t>
      </w:r>
      <w:r w:rsidR="00F147F6" w:rsidRPr="00BB7576">
        <w:rPr>
          <w:lang w:val="en-AU"/>
        </w:rPr>
        <w:t xml:space="preserve"> of these texts, n</w:t>
      </w:r>
      <w:r w:rsidRPr="00BB7576">
        <w:rPr>
          <w:lang w:val="en-AU"/>
        </w:rPr>
        <w:t xml:space="preserve">on-violence was used primarily </w:t>
      </w:r>
      <w:r w:rsidR="00F147F6" w:rsidRPr="00BB7576">
        <w:rPr>
          <w:lang w:val="en-AU"/>
        </w:rPr>
        <w:t xml:space="preserve">as a strategy </w:t>
      </w:r>
      <w:r w:rsidRPr="00BB7576">
        <w:rPr>
          <w:lang w:val="en-AU"/>
        </w:rPr>
        <w:t>for self-preservation</w:t>
      </w:r>
      <w:r w:rsidR="00F147F6" w:rsidRPr="00BB7576">
        <w:rPr>
          <w:lang w:val="en-AU"/>
        </w:rPr>
        <w:t xml:space="preserve"> in the light of oppressive governments</w:t>
      </w:r>
      <w:r w:rsidR="005911FF" w:rsidRPr="009E7B69">
        <w:t>.</w:t>
      </w:r>
      <w:r w:rsidR="005911FF" w:rsidRPr="009E7B69">
        <w:rPr>
          <w:rStyle w:val="FootnoteReference"/>
        </w:rPr>
        <w:footnoteReference w:id="174"/>
      </w:r>
      <w:r w:rsidR="005911FF" w:rsidRPr="009E7B69">
        <w:t xml:space="preserve"> </w:t>
      </w:r>
      <w:r w:rsidR="000211DE" w:rsidRPr="00BB7576">
        <w:rPr>
          <w:lang w:val="en-AU"/>
        </w:rPr>
        <w:t>The expectation of a</w:t>
      </w:r>
      <w:r w:rsidR="000211DE" w:rsidRPr="009E7B69">
        <w:t xml:space="preserve"> </w:t>
      </w:r>
      <w:r w:rsidR="000211DE" w:rsidRPr="009E7B69">
        <w:rPr>
          <w:rtl/>
        </w:rPr>
        <w:t>משיח</w:t>
      </w:r>
      <w:r w:rsidR="000211DE" w:rsidRPr="009E7B69">
        <w:t xml:space="preserve"> </w:t>
      </w:r>
      <w:r w:rsidR="000211DE" w:rsidRPr="00BB7576">
        <w:rPr>
          <w:lang w:val="en-AU"/>
        </w:rPr>
        <w:t xml:space="preserve">being more peaceful in nature was evident in the writings of the day of Jesus. </w:t>
      </w:r>
      <w:r w:rsidR="00B86AE3" w:rsidRPr="00BB7576">
        <w:rPr>
          <w:lang w:val="en-AU"/>
        </w:rPr>
        <w:t>The biblical model of a</w:t>
      </w:r>
      <w:r w:rsidR="00B86AE3" w:rsidRPr="009E7B69">
        <w:t xml:space="preserve"> </w:t>
      </w:r>
      <w:r w:rsidR="001F7BCD" w:rsidRPr="009E7B69">
        <w:rPr>
          <w:rtl/>
        </w:rPr>
        <w:t>משיח</w:t>
      </w:r>
      <w:r w:rsidR="001F7BCD" w:rsidRPr="009E7B69">
        <w:t xml:space="preserve"> </w:t>
      </w:r>
      <w:r w:rsidR="00B86AE3" w:rsidRPr="00BB7576">
        <w:rPr>
          <w:lang w:val="en-AU"/>
        </w:rPr>
        <w:t xml:space="preserve">and a peaceful kingdom is reflected in the idea of peace evident in the </w:t>
      </w:r>
      <w:r w:rsidR="00B86AE3" w:rsidRPr="00BB7576">
        <w:rPr>
          <w:i/>
          <w:iCs/>
          <w:lang w:val="en-AU"/>
        </w:rPr>
        <w:t>Mishna Avot</w:t>
      </w:r>
      <w:r w:rsidR="0016678B" w:rsidRPr="009E7B69">
        <w:t>.</w:t>
      </w:r>
      <w:bookmarkStart w:id="67" w:name="_Hlk92792238"/>
      <w:r w:rsidR="0016678B" w:rsidRPr="009E7B69">
        <w:t xml:space="preserve"> </w:t>
      </w:r>
      <w:r w:rsidR="00B72FA3" w:rsidRPr="00BB7576">
        <w:rPr>
          <w:lang w:val="en-AU"/>
        </w:rPr>
        <w:t xml:space="preserve">Given the likelihood that at least some of the </w:t>
      </w:r>
      <w:r w:rsidR="00B53040" w:rsidRPr="00BB7576">
        <w:rPr>
          <w:lang w:val="en-AU"/>
        </w:rPr>
        <w:t xml:space="preserve">original </w:t>
      </w:r>
      <w:r w:rsidR="00B72FA3" w:rsidRPr="00BB7576">
        <w:rPr>
          <w:lang w:val="en-AU"/>
        </w:rPr>
        <w:t>audience of the sayings found in Matt</w:t>
      </w:r>
      <w:r w:rsidR="0079692F" w:rsidRPr="00BB7576">
        <w:rPr>
          <w:lang w:val="en-AU"/>
        </w:rPr>
        <w:t>hew 5 had some expectations of a</w:t>
      </w:r>
      <w:r w:rsidR="001F7BCD" w:rsidRPr="009E7B69">
        <w:t> </w:t>
      </w:r>
      <w:r w:rsidR="001F7BCD" w:rsidRPr="009E7B69">
        <w:rPr>
          <w:rtl/>
        </w:rPr>
        <w:t>משיח</w:t>
      </w:r>
      <w:r w:rsidR="001F7BCD" w:rsidRPr="009E7B69">
        <w:rPr>
          <w:i/>
          <w:iCs/>
        </w:rPr>
        <w:t xml:space="preserve"> </w:t>
      </w:r>
      <w:r w:rsidR="0079692F" w:rsidRPr="009E7B69">
        <w:t xml:space="preserve">figure, </w:t>
      </w:r>
      <w:r w:rsidR="00141E59" w:rsidRPr="00BB7576">
        <w:rPr>
          <w:lang w:val="en-AU"/>
        </w:rPr>
        <w:t xml:space="preserve">it is appropriate to explore </w:t>
      </w:r>
      <w:r w:rsidR="0079692F" w:rsidRPr="00BB7576">
        <w:rPr>
          <w:lang w:val="en-AU"/>
        </w:rPr>
        <w:t>t</w:t>
      </w:r>
      <w:r w:rsidR="00BE6BA3" w:rsidRPr="00BB7576">
        <w:rPr>
          <w:lang w:val="en-AU"/>
        </w:rPr>
        <w:t>he role</w:t>
      </w:r>
      <w:r w:rsidR="002630E4" w:rsidRPr="00BB7576">
        <w:rPr>
          <w:lang w:val="en-AU"/>
        </w:rPr>
        <w:t>s</w:t>
      </w:r>
      <w:r w:rsidR="00BE6BA3" w:rsidRPr="00BB7576">
        <w:rPr>
          <w:lang w:val="en-AU"/>
        </w:rPr>
        <w:t xml:space="preserve"> of peace and violence from the perspective of a</w:t>
      </w:r>
      <w:r w:rsidR="00BE6BA3" w:rsidRPr="009E7B69">
        <w:t xml:space="preserve"> </w:t>
      </w:r>
      <w:r w:rsidR="001F7BCD" w:rsidRPr="009E7B69">
        <w:rPr>
          <w:rtl/>
        </w:rPr>
        <w:t>משיח</w:t>
      </w:r>
      <w:r w:rsidR="00BE6BA3" w:rsidRPr="009E7B69">
        <w:t xml:space="preserve"> </w:t>
      </w:r>
      <w:r w:rsidR="00636E34" w:rsidRPr="00BB7576">
        <w:rPr>
          <w:lang w:val="en-AU"/>
        </w:rPr>
        <w:t xml:space="preserve">to discover what these expectations might be, and how they might influence </w:t>
      </w:r>
      <w:r w:rsidR="00E35288" w:rsidRPr="00BB7576">
        <w:rPr>
          <w:lang w:val="en-AU"/>
        </w:rPr>
        <w:t>Jesus’</w:t>
      </w:r>
      <w:r w:rsidR="00E35288">
        <w:rPr>
          <w:lang w:val="en-AU"/>
        </w:rPr>
        <w:t xml:space="preserve">s </w:t>
      </w:r>
      <w:r w:rsidR="00B53040" w:rsidRPr="00BB7576">
        <w:rPr>
          <w:lang w:val="en-AU"/>
        </w:rPr>
        <w:t>audience’s</w:t>
      </w:r>
      <w:r w:rsidR="00636E34" w:rsidRPr="00BB7576">
        <w:rPr>
          <w:lang w:val="en-AU"/>
        </w:rPr>
        <w:t xml:space="preserve"> understanding of what Jesus said</w:t>
      </w:r>
      <w:r w:rsidR="00BE6BA3" w:rsidRPr="00BB7576">
        <w:rPr>
          <w:lang w:val="en-AU"/>
        </w:rPr>
        <w:t xml:space="preserve">. </w:t>
      </w:r>
      <w:bookmarkEnd w:id="67"/>
    </w:p>
    <w:p w14:paraId="2C2D3C21" w14:textId="05435B70" w:rsidR="008D4202" w:rsidRPr="00BB7576" w:rsidRDefault="00BE6BA3" w:rsidP="001F7BCD">
      <w:pPr>
        <w:spacing w:line="480" w:lineRule="auto"/>
        <w:ind w:firstLine="720"/>
        <w:rPr>
          <w:lang w:val="en-AU"/>
        </w:rPr>
      </w:pPr>
      <w:r w:rsidRPr="00BB7576">
        <w:rPr>
          <w:lang w:val="en-AU"/>
        </w:rPr>
        <w:lastRenderedPageBreak/>
        <w:t>The Hebrew word</w:t>
      </w:r>
      <w:r w:rsidRPr="009E7B69">
        <w:t xml:space="preserve"> </w:t>
      </w:r>
      <w:r w:rsidR="001F7BCD" w:rsidRPr="009E7B69">
        <w:rPr>
          <w:rtl/>
        </w:rPr>
        <w:t>משיח</w:t>
      </w:r>
      <w:r w:rsidRPr="009E7B69">
        <w:rPr>
          <w:iCs/>
        </w:rPr>
        <w:t xml:space="preserve"> </w:t>
      </w:r>
      <w:r w:rsidRPr="00BB7576">
        <w:rPr>
          <w:lang w:val="en-AU"/>
        </w:rPr>
        <w:t xml:space="preserve">means </w:t>
      </w:r>
      <w:r w:rsidR="00863B47" w:rsidRPr="00BB7576">
        <w:rPr>
          <w:lang w:val="en-AU"/>
        </w:rPr>
        <w:t>“</w:t>
      </w:r>
      <w:r w:rsidRPr="00BB7576">
        <w:rPr>
          <w:lang w:val="en-AU"/>
        </w:rPr>
        <w:t>anointed one</w:t>
      </w:r>
      <w:r w:rsidR="00F30AC2" w:rsidRPr="00BB7576">
        <w:rPr>
          <w:lang w:val="en-AU"/>
        </w:rPr>
        <w:t>.</w:t>
      </w:r>
      <w:r w:rsidR="00863B47" w:rsidRPr="00BB7576">
        <w:rPr>
          <w:lang w:val="en-AU"/>
        </w:rPr>
        <w:t>”</w:t>
      </w:r>
      <w:r w:rsidRPr="00BB7576">
        <w:rPr>
          <w:lang w:val="en-AU"/>
        </w:rPr>
        <w:t xml:space="preserve"> </w:t>
      </w:r>
      <w:r w:rsidR="00623450" w:rsidRPr="00BB7576">
        <w:rPr>
          <w:lang w:val="en-AU"/>
        </w:rPr>
        <w:t>T</w:t>
      </w:r>
      <w:r w:rsidR="00F30AC2" w:rsidRPr="00BB7576">
        <w:rPr>
          <w:lang w:val="en-AU"/>
        </w:rPr>
        <w:t xml:space="preserve">here </w:t>
      </w:r>
      <w:r w:rsidR="004E3656" w:rsidRPr="00BB7576">
        <w:rPr>
          <w:lang w:val="en-AU"/>
        </w:rPr>
        <w:t>were</w:t>
      </w:r>
      <w:r w:rsidR="00F30AC2" w:rsidRPr="00BB7576">
        <w:rPr>
          <w:lang w:val="en-AU"/>
        </w:rPr>
        <w:t xml:space="preserve"> both Jewish kings and pagan kings who are referred to as </w:t>
      </w:r>
      <w:r w:rsidR="00863B47" w:rsidRPr="00BB7576">
        <w:rPr>
          <w:lang w:val="en-AU"/>
        </w:rPr>
        <w:t>“</w:t>
      </w:r>
      <w:r w:rsidRPr="00BB7576">
        <w:rPr>
          <w:lang w:val="en-AU"/>
        </w:rPr>
        <w:t>anointed one</w:t>
      </w:r>
      <w:r w:rsidR="00863B47" w:rsidRPr="00BB7576">
        <w:rPr>
          <w:lang w:val="en-AU"/>
        </w:rPr>
        <w:t>”</w:t>
      </w:r>
      <w:r w:rsidR="000011FB" w:rsidRPr="00BB7576">
        <w:rPr>
          <w:lang w:val="en-AU"/>
        </w:rPr>
        <w:t xml:space="preserve"> durin</w:t>
      </w:r>
      <w:r w:rsidR="00623450" w:rsidRPr="00BB7576">
        <w:rPr>
          <w:lang w:val="en-AU"/>
        </w:rPr>
        <w:t>g</w:t>
      </w:r>
      <w:r w:rsidR="000011FB" w:rsidRPr="00BB7576">
        <w:rPr>
          <w:lang w:val="en-AU"/>
        </w:rPr>
        <w:t xml:space="preserve"> the biblical era</w:t>
      </w:r>
      <w:r w:rsidR="00014BEE" w:rsidRPr="00BB7576">
        <w:rPr>
          <w:lang w:val="en-AU"/>
        </w:rPr>
        <w:t>.</w:t>
      </w:r>
      <w:r w:rsidRPr="00BB7576">
        <w:rPr>
          <w:rStyle w:val="FootnoteReference"/>
          <w:lang w:val="en-AU"/>
        </w:rPr>
        <w:footnoteReference w:id="175"/>
      </w:r>
      <w:r w:rsidRPr="00BB7576">
        <w:rPr>
          <w:lang w:val="en-AU"/>
        </w:rPr>
        <w:t xml:space="preserve"> </w:t>
      </w:r>
      <w:r w:rsidR="00014BEE" w:rsidRPr="00BB7576">
        <w:rPr>
          <w:lang w:val="en-AU"/>
        </w:rPr>
        <w:t>Furthermore, i</w:t>
      </w:r>
      <w:r w:rsidR="00F30AC2" w:rsidRPr="00BB7576">
        <w:rPr>
          <w:lang w:val="en-AU"/>
        </w:rPr>
        <w:t xml:space="preserve">n the </w:t>
      </w:r>
      <w:r w:rsidR="0054444B" w:rsidRPr="00BB7576">
        <w:rPr>
          <w:lang w:val="en-AU"/>
        </w:rPr>
        <w:t>Hebrew Bible</w:t>
      </w:r>
      <w:r w:rsidR="00F30AC2" w:rsidRPr="00BB7576">
        <w:rPr>
          <w:lang w:val="en-AU"/>
        </w:rPr>
        <w:t xml:space="preserve"> references to a</w:t>
      </w:r>
      <w:r w:rsidR="00F30AC2" w:rsidRPr="009E7B69">
        <w:t xml:space="preserve"> </w:t>
      </w:r>
      <w:r w:rsidR="001F7BCD" w:rsidRPr="009E7B69">
        <w:rPr>
          <w:rtl/>
        </w:rPr>
        <w:t>משיח</w:t>
      </w:r>
      <w:r w:rsidR="00F30AC2" w:rsidRPr="009E7B69">
        <w:rPr>
          <w:i/>
          <w:iCs/>
        </w:rPr>
        <w:t>,</w:t>
      </w:r>
      <w:r w:rsidR="00F30AC2" w:rsidRPr="009E7B69">
        <w:t xml:space="preserve"> </w:t>
      </w:r>
      <w:r w:rsidR="00F30AC2" w:rsidRPr="00BB7576">
        <w:rPr>
          <w:lang w:val="en-AU"/>
        </w:rPr>
        <w:t>the referenced person is not necessarily a king but could be a priest</w:t>
      </w:r>
      <w:r w:rsidR="00854AF9" w:rsidRPr="00BB7576">
        <w:rPr>
          <w:lang w:val="en-AU"/>
        </w:rPr>
        <w:t xml:space="preserve"> </w:t>
      </w:r>
      <w:r w:rsidR="00F30AC2" w:rsidRPr="00BB7576">
        <w:rPr>
          <w:lang w:val="en-AU"/>
        </w:rPr>
        <w:t>or a prophet.</w:t>
      </w:r>
      <w:r w:rsidRPr="00BB7576">
        <w:rPr>
          <w:rStyle w:val="FootnoteReference"/>
          <w:lang w:val="en-AU"/>
        </w:rPr>
        <w:footnoteReference w:id="176"/>
      </w:r>
      <w:r w:rsidRPr="00BB7576">
        <w:rPr>
          <w:lang w:val="en-AU"/>
        </w:rPr>
        <w:t xml:space="preserve"> </w:t>
      </w:r>
      <w:r w:rsidR="00014BEE" w:rsidRPr="00BB7576">
        <w:rPr>
          <w:lang w:val="en-AU"/>
        </w:rPr>
        <w:t>Indeed, the Hebrew word</w:t>
      </w:r>
      <w:r w:rsidR="00014BEE" w:rsidRPr="009E7B69">
        <w:t xml:space="preserve"> </w:t>
      </w:r>
      <w:r w:rsidR="001F7BCD" w:rsidRPr="009E7B69">
        <w:rPr>
          <w:rtl/>
        </w:rPr>
        <w:t>משיח</w:t>
      </w:r>
      <w:r w:rsidR="00014BEE" w:rsidRPr="009E7B69">
        <w:t xml:space="preserve"> </w:t>
      </w:r>
      <w:r w:rsidR="00014BEE" w:rsidRPr="00BB7576">
        <w:rPr>
          <w:lang w:val="en-AU"/>
        </w:rPr>
        <w:t xml:space="preserve">is seldom used in an eschatological sense in the Hebrew Scriptures. </w:t>
      </w:r>
      <w:r w:rsidRPr="00BB7576">
        <w:rPr>
          <w:lang w:val="en-AU"/>
        </w:rPr>
        <w:t xml:space="preserve">According to Adela Yarbro Collins and John J. Collins, after the </w:t>
      </w:r>
      <w:r w:rsidR="008A137B" w:rsidRPr="00BB7576">
        <w:rPr>
          <w:lang w:val="en-AU"/>
        </w:rPr>
        <w:t xml:space="preserve">beginning of </w:t>
      </w:r>
      <w:r w:rsidRPr="00BB7576">
        <w:rPr>
          <w:lang w:val="en-AU"/>
        </w:rPr>
        <w:t>Babylon</w:t>
      </w:r>
      <w:r w:rsidR="002B3874" w:rsidRPr="00BB7576">
        <w:rPr>
          <w:lang w:val="en-AU"/>
        </w:rPr>
        <w:t xml:space="preserve">ian exile </w:t>
      </w:r>
      <w:r w:rsidR="008D7311" w:rsidRPr="00BB7576">
        <w:rPr>
          <w:lang w:val="en-AU"/>
        </w:rPr>
        <w:t xml:space="preserve">in </w:t>
      </w:r>
      <w:r w:rsidRPr="00BB7576">
        <w:rPr>
          <w:lang w:val="en-AU"/>
        </w:rPr>
        <w:t>586/587 BCE</w:t>
      </w:r>
      <w:r w:rsidR="00E53E0E" w:rsidRPr="00BB7576">
        <w:rPr>
          <w:lang w:val="en-AU"/>
        </w:rPr>
        <w:t>, people did not seek out a messianic figure</w:t>
      </w:r>
      <w:r w:rsidRPr="00BB7576">
        <w:rPr>
          <w:lang w:val="en-AU"/>
        </w:rPr>
        <w:t>.</w:t>
      </w:r>
      <w:r w:rsidRPr="00BB7576">
        <w:rPr>
          <w:rStyle w:val="FootnoteReference"/>
          <w:lang w:val="en-AU"/>
        </w:rPr>
        <w:footnoteReference w:id="177"/>
      </w:r>
      <w:r w:rsidRPr="00BB7576">
        <w:rPr>
          <w:lang w:val="en-AU"/>
        </w:rPr>
        <w:t xml:space="preserve">  </w:t>
      </w:r>
      <w:r w:rsidR="00381452" w:rsidRPr="00BB7576">
        <w:rPr>
          <w:lang w:val="en-AU"/>
        </w:rPr>
        <w:t>During</w:t>
      </w:r>
      <w:r w:rsidR="00E53E0E" w:rsidRPr="00BB7576">
        <w:rPr>
          <w:lang w:val="en-AU"/>
        </w:rPr>
        <w:t xml:space="preserve"> the time of Jesus, there was a resurgence of the </w:t>
      </w:r>
      <w:r w:rsidR="00381452" w:rsidRPr="00BB7576">
        <w:rPr>
          <w:lang w:val="en-AU"/>
        </w:rPr>
        <w:t>messianic ideology because of Roman oppression.</w:t>
      </w:r>
      <w:r w:rsidRPr="00BB7576">
        <w:rPr>
          <w:rStyle w:val="FootnoteReference"/>
          <w:lang w:val="en-AU"/>
        </w:rPr>
        <w:footnoteReference w:id="178"/>
      </w:r>
      <w:r w:rsidRPr="00BB7576">
        <w:rPr>
          <w:lang w:val="en-AU"/>
        </w:rPr>
        <w:t xml:space="preserve"> </w:t>
      </w:r>
      <w:r w:rsidR="00381452" w:rsidRPr="00BB7576">
        <w:rPr>
          <w:lang w:val="en-AU"/>
        </w:rPr>
        <w:t xml:space="preserve">According to Boyarin, </w:t>
      </w:r>
      <w:r w:rsidR="00AF4C2A" w:rsidRPr="00BB7576">
        <w:rPr>
          <w:lang w:val="en-AU"/>
        </w:rPr>
        <w:t xml:space="preserve">many in </w:t>
      </w:r>
      <w:r w:rsidR="008D7311" w:rsidRPr="00BB7576">
        <w:rPr>
          <w:lang w:val="en-AU"/>
        </w:rPr>
        <w:t>Jesus</w:t>
      </w:r>
      <w:r w:rsidR="005C71CB" w:rsidRPr="00BB7576">
        <w:rPr>
          <w:lang w:val="en-AU"/>
        </w:rPr>
        <w:t>’</w:t>
      </w:r>
      <w:r w:rsidR="00E35288">
        <w:rPr>
          <w:lang w:val="en-AU"/>
        </w:rPr>
        <w:t>s</w:t>
      </w:r>
      <w:r w:rsidR="008D7311" w:rsidRPr="00BB7576">
        <w:rPr>
          <w:lang w:val="en-AU"/>
        </w:rPr>
        <w:t xml:space="preserve"> </w:t>
      </w:r>
      <w:r w:rsidRPr="00BB7576">
        <w:rPr>
          <w:lang w:val="en-AU"/>
        </w:rPr>
        <w:t xml:space="preserve">Jewish audience </w:t>
      </w:r>
      <w:r w:rsidR="00381452" w:rsidRPr="00BB7576">
        <w:rPr>
          <w:lang w:val="en-AU"/>
        </w:rPr>
        <w:t xml:space="preserve">would </w:t>
      </w:r>
      <w:r w:rsidR="00AF4C2A" w:rsidRPr="00BB7576">
        <w:rPr>
          <w:lang w:val="en-AU"/>
        </w:rPr>
        <w:t xml:space="preserve">have believed </w:t>
      </w:r>
      <w:r w:rsidR="00381452" w:rsidRPr="00BB7576">
        <w:rPr>
          <w:lang w:val="en-AU"/>
        </w:rPr>
        <w:t xml:space="preserve">that world peace could </w:t>
      </w:r>
      <w:r w:rsidR="00AF4C2A" w:rsidRPr="00BB7576">
        <w:rPr>
          <w:lang w:val="en-AU"/>
        </w:rPr>
        <w:t xml:space="preserve">be introduced by </w:t>
      </w:r>
      <w:r w:rsidR="00381452" w:rsidRPr="00BB7576">
        <w:rPr>
          <w:lang w:val="en-AU"/>
        </w:rPr>
        <w:t>a messianic figure</w:t>
      </w:r>
      <w:r w:rsidRPr="00BB7576">
        <w:rPr>
          <w:lang w:val="en-AU"/>
        </w:rPr>
        <w:t>.</w:t>
      </w:r>
      <w:r w:rsidRPr="00BB7576">
        <w:rPr>
          <w:rStyle w:val="FootnoteReference"/>
          <w:lang w:val="en-AU"/>
        </w:rPr>
        <w:footnoteReference w:id="179"/>
      </w:r>
      <w:r w:rsidRPr="00BB7576">
        <w:rPr>
          <w:lang w:val="en-AU"/>
        </w:rPr>
        <w:t xml:space="preserve"> </w:t>
      </w:r>
    </w:p>
    <w:p w14:paraId="5E688698" w14:textId="601BA196" w:rsidR="008D4202" w:rsidRPr="00BB7576" w:rsidRDefault="00BE6BA3" w:rsidP="001858B5">
      <w:pPr>
        <w:spacing w:line="480" w:lineRule="auto"/>
        <w:ind w:firstLine="720"/>
        <w:contextualSpacing/>
        <w:rPr>
          <w:lang w:val="en-AU"/>
        </w:rPr>
      </w:pPr>
      <w:r w:rsidRPr="00BB7576">
        <w:rPr>
          <w:lang w:val="en-AU"/>
        </w:rPr>
        <w:t>T</w:t>
      </w:r>
      <w:r w:rsidR="001858B5" w:rsidRPr="00BB7576">
        <w:rPr>
          <w:lang w:val="en-AU"/>
        </w:rPr>
        <w:t>wo</w:t>
      </w:r>
      <w:r w:rsidRPr="00BB7576">
        <w:rPr>
          <w:lang w:val="en-AU"/>
        </w:rPr>
        <w:t xml:space="preserve"> typologies of the</w:t>
      </w:r>
      <w:r w:rsidRPr="009E7B69">
        <w:t xml:space="preserve"> </w:t>
      </w:r>
      <w:r w:rsidR="0016678B" w:rsidRPr="009E7B69">
        <w:rPr>
          <w:rtl/>
        </w:rPr>
        <w:t>משיח</w:t>
      </w:r>
      <w:r w:rsidRPr="009E7B69">
        <w:t xml:space="preserve"> </w:t>
      </w:r>
      <w:r w:rsidRPr="00BB7576">
        <w:rPr>
          <w:lang w:val="en-AU"/>
        </w:rPr>
        <w:t xml:space="preserve">lineage would have been </w:t>
      </w:r>
      <w:r w:rsidR="001858B5" w:rsidRPr="00BB7576">
        <w:rPr>
          <w:lang w:val="en-AU"/>
        </w:rPr>
        <w:t xml:space="preserve">available to </w:t>
      </w:r>
      <w:r w:rsidRPr="00BB7576">
        <w:rPr>
          <w:lang w:val="en-AU"/>
        </w:rPr>
        <w:t>those listening to the Sermon</w:t>
      </w:r>
      <w:r w:rsidR="001858B5" w:rsidRPr="00BB7576">
        <w:rPr>
          <w:lang w:val="en-AU"/>
        </w:rPr>
        <w:t>: one from the House of Aaron, the other</w:t>
      </w:r>
      <w:r w:rsidR="00484DE2" w:rsidRPr="00BB7576">
        <w:rPr>
          <w:lang w:val="en-AU"/>
        </w:rPr>
        <w:t xml:space="preserve"> </w:t>
      </w:r>
      <w:r w:rsidR="005F21A9" w:rsidRPr="00BB7576">
        <w:rPr>
          <w:lang w:val="en-AU"/>
        </w:rPr>
        <w:t>from t</w:t>
      </w:r>
      <w:r w:rsidRPr="00BB7576">
        <w:rPr>
          <w:lang w:val="en-AU"/>
        </w:rPr>
        <w:t xml:space="preserve">he House of David. </w:t>
      </w:r>
      <w:r w:rsidR="001858B5" w:rsidRPr="00BB7576">
        <w:rPr>
          <w:lang w:val="en-AU"/>
        </w:rPr>
        <w:t xml:space="preserve"> </w:t>
      </w:r>
      <w:r w:rsidR="0029466F" w:rsidRPr="00BB7576">
        <w:rPr>
          <w:lang w:val="en-AU"/>
        </w:rPr>
        <w:t xml:space="preserve">Daniel Boyarin suggests that the House of Aaron </w:t>
      </w:r>
      <w:r w:rsidR="00AF4C2A" w:rsidRPr="00BB7576">
        <w:rPr>
          <w:lang w:val="en-AU"/>
        </w:rPr>
        <w:t xml:space="preserve">was understood to </w:t>
      </w:r>
      <w:r w:rsidR="0029466F" w:rsidRPr="00BB7576">
        <w:rPr>
          <w:lang w:val="en-AU"/>
        </w:rPr>
        <w:t xml:space="preserve">bring a messianic figure </w:t>
      </w:r>
      <w:r w:rsidR="00BC2766" w:rsidRPr="00BB7576">
        <w:rPr>
          <w:lang w:val="en-AU"/>
        </w:rPr>
        <w:t>who</w:t>
      </w:r>
      <w:r w:rsidR="0029466F" w:rsidRPr="00BB7576">
        <w:rPr>
          <w:lang w:val="en-AU"/>
        </w:rPr>
        <w:t xml:space="preserve"> will change and restore the priestly line through a spiritually restored High Priest.</w:t>
      </w:r>
      <w:r w:rsidRPr="00BB7576">
        <w:rPr>
          <w:rStyle w:val="FootnoteReference"/>
          <w:lang w:val="en-AU"/>
        </w:rPr>
        <w:footnoteReference w:id="180"/>
      </w:r>
      <w:r w:rsidRPr="00BB7576">
        <w:rPr>
          <w:lang w:val="en-AU"/>
        </w:rPr>
        <w:t xml:space="preserve"> </w:t>
      </w:r>
      <w:r w:rsidR="0029466F" w:rsidRPr="00BB7576">
        <w:rPr>
          <w:lang w:val="en-AU"/>
        </w:rPr>
        <w:t xml:space="preserve">Eisenman and Wise suggest that a messianic </w:t>
      </w:r>
      <w:r w:rsidR="002F69FD" w:rsidRPr="00BB7576">
        <w:rPr>
          <w:lang w:val="en-AU"/>
        </w:rPr>
        <w:t xml:space="preserve">figure from the line of </w:t>
      </w:r>
      <w:r w:rsidR="0029466F" w:rsidRPr="00BB7576">
        <w:rPr>
          <w:lang w:val="en-AU"/>
        </w:rPr>
        <w:t>David</w:t>
      </w:r>
      <w:r w:rsidR="002F69FD" w:rsidRPr="00BB7576">
        <w:rPr>
          <w:lang w:val="en-AU"/>
        </w:rPr>
        <w:t xml:space="preserve"> will be militaristic in nature, speaking </w:t>
      </w:r>
      <w:r w:rsidR="002F69FD" w:rsidRPr="00BB7576">
        <w:rPr>
          <w:lang w:val="en-AU"/>
        </w:rPr>
        <w:lastRenderedPageBreak/>
        <w:t>of war more than peace.</w:t>
      </w:r>
      <w:r w:rsidRPr="00BB7576">
        <w:rPr>
          <w:rStyle w:val="FootnoteReference"/>
          <w:lang w:val="en-AU"/>
        </w:rPr>
        <w:footnoteReference w:id="181"/>
      </w:r>
      <w:r w:rsidR="001858B5" w:rsidRPr="00BB7576">
        <w:rPr>
          <w:lang w:val="en-AU"/>
        </w:rPr>
        <w:t xml:space="preserve"> In the </w:t>
      </w:r>
      <w:r w:rsidR="001858B5" w:rsidRPr="00BB7576">
        <w:rPr>
          <w:i/>
          <w:lang w:val="en-AU"/>
        </w:rPr>
        <w:t>Aggadic Midrash</w:t>
      </w:r>
      <w:r w:rsidR="001858B5" w:rsidRPr="00BB7576">
        <w:rPr>
          <w:lang w:val="en-AU"/>
        </w:rPr>
        <w:t xml:space="preserve"> </w:t>
      </w:r>
      <w:r w:rsidR="001858B5" w:rsidRPr="00BB7576">
        <w:rPr>
          <w:i/>
          <w:iCs/>
          <w:lang w:val="en-AU"/>
        </w:rPr>
        <w:t>Pesikta Rabbati,</w:t>
      </w:r>
      <w:r w:rsidRPr="00BB7576">
        <w:rPr>
          <w:lang w:val="en-AU"/>
        </w:rPr>
        <w:t xml:space="preserve"> </w:t>
      </w:r>
      <w:r w:rsidR="001858B5" w:rsidRPr="00BB7576">
        <w:rPr>
          <w:lang w:val="en-AU"/>
        </w:rPr>
        <w:t>t</w:t>
      </w:r>
      <w:r w:rsidRPr="00BB7576">
        <w:rPr>
          <w:lang w:val="en-AU"/>
        </w:rPr>
        <w:t xml:space="preserve">his </w:t>
      </w:r>
      <w:r w:rsidR="001858B5" w:rsidRPr="00BB7576">
        <w:rPr>
          <w:lang w:val="en-AU"/>
        </w:rPr>
        <w:t xml:space="preserve">second type of </w:t>
      </w:r>
      <w:r w:rsidRPr="00BB7576">
        <w:rPr>
          <w:lang w:val="en-AU"/>
        </w:rPr>
        <w:t>Jewish messianic figure is said to find its origin in Ephraim, the son of Joseph, who was adopted by Jacob (Gen 48:5)</w:t>
      </w:r>
      <w:r w:rsidRPr="00BB7576">
        <w:rPr>
          <w:i/>
          <w:iCs/>
          <w:lang w:val="en-AU"/>
        </w:rPr>
        <w:t>.</w:t>
      </w:r>
      <w:r w:rsidRPr="00BB7576">
        <w:rPr>
          <w:rStyle w:val="FootnoteReference"/>
          <w:lang w:val="en-AU"/>
        </w:rPr>
        <w:footnoteReference w:id="182"/>
      </w:r>
      <w:r w:rsidRPr="00BB7576">
        <w:rPr>
          <w:i/>
          <w:iCs/>
          <w:lang w:val="en-AU"/>
        </w:rPr>
        <w:t xml:space="preserve"> </w:t>
      </w:r>
      <w:r w:rsidR="00595158" w:rsidRPr="00BB7576">
        <w:rPr>
          <w:lang w:val="en-AU"/>
        </w:rPr>
        <w:t xml:space="preserve">It is worth noting that the </w:t>
      </w:r>
      <w:r w:rsidRPr="00BB7576">
        <w:rPr>
          <w:i/>
          <w:iCs/>
          <w:lang w:val="en-AU"/>
        </w:rPr>
        <w:t>Psalms of Solomon</w:t>
      </w:r>
      <w:r w:rsidR="00595158" w:rsidRPr="00BB7576">
        <w:rPr>
          <w:lang w:val="en-AU"/>
        </w:rPr>
        <w:t xml:space="preserve"> </w:t>
      </w:r>
      <w:r w:rsidR="00CF7CA5" w:rsidRPr="00BB7576">
        <w:rPr>
          <w:lang w:val="en-AU"/>
        </w:rPr>
        <w:t xml:space="preserve">is the </w:t>
      </w:r>
      <w:r w:rsidR="00D83ECD" w:rsidRPr="00BB7576">
        <w:rPr>
          <w:lang w:val="en-AU"/>
        </w:rPr>
        <w:t xml:space="preserve">earliest literature outside of the Hebrew Scriptures </w:t>
      </w:r>
      <w:r w:rsidR="00CF7CA5" w:rsidRPr="00BB7576">
        <w:rPr>
          <w:lang w:val="en-AU"/>
        </w:rPr>
        <w:t xml:space="preserve">to </w:t>
      </w:r>
      <w:r w:rsidR="00DC0E7C" w:rsidRPr="00BB7576">
        <w:rPr>
          <w:lang w:val="en-AU"/>
        </w:rPr>
        <w:t xml:space="preserve">look for a </w:t>
      </w:r>
      <w:r w:rsidR="00595158" w:rsidRPr="00BB7576">
        <w:rPr>
          <w:lang w:val="en-AU"/>
        </w:rPr>
        <w:t>militant Davidic</w:t>
      </w:r>
      <w:r w:rsidR="00CF7CA5" w:rsidRPr="00BB7576">
        <w:rPr>
          <w:lang w:val="en-AU"/>
        </w:rPr>
        <w:t xml:space="preserve"> messiah figure.</w:t>
      </w:r>
      <w:r w:rsidRPr="00BB7576">
        <w:rPr>
          <w:rStyle w:val="FootnoteReference"/>
          <w:lang w:val="en-AU"/>
        </w:rPr>
        <w:footnoteReference w:id="183"/>
      </w:r>
      <w:r w:rsidRPr="00BB7576">
        <w:rPr>
          <w:lang w:val="en-AU"/>
        </w:rPr>
        <w:t xml:space="preserve"> </w:t>
      </w:r>
      <w:r w:rsidR="006C3CC3" w:rsidRPr="00BB7576">
        <w:rPr>
          <w:lang w:val="en-AU"/>
        </w:rPr>
        <w:t>There are other Jewish</w:t>
      </w:r>
      <w:r w:rsidRPr="00BB7576">
        <w:rPr>
          <w:lang w:val="en-AU"/>
        </w:rPr>
        <w:t xml:space="preserve"> texts written </w:t>
      </w:r>
      <w:r w:rsidR="006C3CC3" w:rsidRPr="00BB7576">
        <w:rPr>
          <w:lang w:val="en-AU"/>
        </w:rPr>
        <w:t xml:space="preserve">after </w:t>
      </w:r>
      <w:r w:rsidRPr="00BB7576">
        <w:rPr>
          <w:lang w:val="en-AU"/>
        </w:rPr>
        <w:t>Pompey</w:t>
      </w:r>
      <w:r w:rsidR="005C71CB" w:rsidRPr="00BB7576">
        <w:rPr>
          <w:lang w:val="en-AU"/>
        </w:rPr>
        <w:t>’</w:t>
      </w:r>
      <w:r w:rsidRPr="00BB7576">
        <w:rPr>
          <w:lang w:val="en-AU"/>
        </w:rPr>
        <w:t>s conquest</w:t>
      </w:r>
      <w:r w:rsidR="006D11B0" w:rsidRPr="00BB7576">
        <w:rPr>
          <w:lang w:val="en-AU"/>
        </w:rPr>
        <w:t xml:space="preserve"> (63</w:t>
      </w:r>
      <w:r w:rsidR="007E5B67" w:rsidRPr="00BB7576">
        <w:rPr>
          <w:lang w:val="en-AU"/>
        </w:rPr>
        <w:t xml:space="preserve"> </w:t>
      </w:r>
      <w:r w:rsidR="006D11B0" w:rsidRPr="00BB7576">
        <w:rPr>
          <w:lang w:val="en-AU"/>
        </w:rPr>
        <w:t>BCE)</w:t>
      </w:r>
      <w:r w:rsidR="00846D78" w:rsidRPr="00BB7576">
        <w:rPr>
          <w:lang w:val="en-AU"/>
        </w:rPr>
        <w:t xml:space="preserve">, which </w:t>
      </w:r>
      <w:r w:rsidR="000112F4" w:rsidRPr="00BB7576">
        <w:rPr>
          <w:lang w:val="en-AU"/>
        </w:rPr>
        <w:t xml:space="preserve">follow the </w:t>
      </w:r>
      <w:r w:rsidR="006C3CC3" w:rsidRPr="00BB7576">
        <w:rPr>
          <w:lang w:val="en-AU"/>
        </w:rPr>
        <w:t>militant imag</w:t>
      </w:r>
      <w:r w:rsidR="00311799" w:rsidRPr="00BB7576">
        <w:rPr>
          <w:lang w:val="en-AU"/>
        </w:rPr>
        <w:t>e</w:t>
      </w:r>
      <w:r w:rsidR="006C3CC3" w:rsidRPr="00BB7576">
        <w:rPr>
          <w:lang w:val="en-AU"/>
        </w:rPr>
        <w:t xml:space="preserve">ry </w:t>
      </w:r>
      <w:r w:rsidRPr="00BB7576">
        <w:rPr>
          <w:lang w:val="en-AU"/>
        </w:rPr>
        <w:t>of the Psalms of Solomon</w:t>
      </w:r>
      <w:r w:rsidR="00952C7E">
        <w:rPr>
          <w:lang w:val="en-AU"/>
        </w:rPr>
        <w:t>.  The militant imagery coupled with an image and a hope for a Davidic messiah provided the counterpart (and hope) to the Roman Pompey.</w:t>
      </w:r>
      <w:r w:rsidRPr="00BB7576">
        <w:rPr>
          <w:rStyle w:val="FootnoteReference"/>
          <w:lang w:val="en-AU"/>
        </w:rPr>
        <w:footnoteReference w:id="184"/>
      </w:r>
    </w:p>
    <w:p w14:paraId="0AFB2ECB" w14:textId="3897276F" w:rsidR="00E34C92" w:rsidRPr="00BB7576" w:rsidRDefault="00846D78" w:rsidP="000A26CA">
      <w:pPr>
        <w:spacing w:line="480" w:lineRule="auto"/>
        <w:ind w:firstLine="720"/>
        <w:contextualSpacing/>
        <w:rPr>
          <w:lang w:val="en-AU"/>
        </w:rPr>
      </w:pPr>
      <w:r w:rsidRPr="00BB7576">
        <w:rPr>
          <w:lang w:val="en-AU"/>
        </w:rPr>
        <w:t>It is the</w:t>
      </w:r>
      <w:r w:rsidR="00BE6BA3" w:rsidRPr="00BB7576">
        <w:rPr>
          <w:lang w:val="en-AU"/>
        </w:rPr>
        <w:t xml:space="preserve"> Davidic militant</w:t>
      </w:r>
      <w:r w:rsidR="005C337B" w:rsidRPr="00BB7576">
        <w:rPr>
          <w:lang w:val="en-AU"/>
        </w:rPr>
        <w:t>-</w:t>
      </w:r>
      <w:r w:rsidR="00BE6BA3" w:rsidRPr="00BB7576">
        <w:rPr>
          <w:lang w:val="en-AU"/>
        </w:rPr>
        <w:t xml:space="preserve">style </w:t>
      </w:r>
      <w:r w:rsidR="00BE6BA3" w:rsidRPr="00BB7576">
        <w:rPr>
          <w:iCs/>
          <w:lang w:val="en-AU"/>
        </w:rPr>
        <w:t>messiah</w:t>
      </w:r>
      <w:r w:rsidR="00BE6BA3" w:rsidRPr="00BB7576">
        <w:rPr>
          <w:lang w:val="en-AU"/>
        </w:rPr>
        <w:t xml:space="preserve"> </w:t>
      </w:r>
      <w:r w:rsidRPr="00BB7576">
        <w:rPr>
          <w:lang w:val="en-AU"/>
        </w:rPr>
        <w:t xml:space="preserve">that </w:t>
      </w:r>
      <w:r w:rsidR="00BE6BA3" w:rsidRPr="00BB7576">
        <w:rPr>
          <w:lang w:val="en-AU"/>
        </w:rPr>
        <w:t>is linked with eschatological thinking in the 1</w:t>
      </w:r>
      <w:r w:rsidR="00BE6BA3" w:rsidRPr="00BB7576">
        <w:rPr>
          <w:vertAlign w:val="superscript"/>
          <w:lang w:val="en-AU"/>
        </w:rPr>
        <w:t>st</w:t>
      </w:r>
      <w:r w:rsidR="00BE6BA3" w:rsidRPr="00BB7576">
        <w:rPr>
          <w:lang w:val="en-AU"/>
        </w:rPr>
        <w:t xml:space="preserve"> century.</w:t>
      </w:r>
      <w:r w:rsidR="00BE6BA3" w:rsidRPr="00BB7576">
        <w:rPr>
          <w:rStyle w:val="FootnoteReference"/>
          <w:lang w:val="en-AU"/>
        </w:rPr>
        <w:footnoteReference w:id="185"/>
      </w:r>
      <w:r w:rsidR="00BE6BA3" w:rsidRPr="00BB7576">
        <w:rPr>
          <w:lang w:val="en-AU"/>
        </w:rPr>
        <w:t xml:space="preserve"> The messiah that follows the Davidic line and </w:t>
      </w:r>
      <w:r w:rsidR="006A351B" w:rsidRPr="00BB7576">
        <w:rPr>
          <w:lang w:val="en-AU"/>
        </w:rPr>
        <w:t xml:space="preserve">who </w:t>
      </w:r>
      <w:r w:rsidR="00BE6BA3" w:rsidRPr="00BB7576">
        <w:rPr>
          <w:lang w:val="en-AU"/>
        </w:rPr>
        <w:t xml:space="preserve">rules in a future day of </w:t>
      </w:r>
      <w:r w:rsidR="00BE6BA3" w:rsidRPr="00BB7576">
        <w:rPr>
          <w:lang w:val="en-AU"/>
        </w:rPr>
        <w:lastRenderedPageBreak/>
        <w:t xml:space="preserve">the Lord </w:t>
      </w:r>
      <w:r w:rsidR="00873EFB" w:rsidRPr="00BB7576">
        <w:rPr>
          <w:lang w:val="en-AU"/>
        </w:rPr>
        <w:t>was expected to</w:t>
      </w:r>
      <w:r w:rsidR="00BC26E4" w:rsidRPr="00BB7576">
        <w:rPr>
          <w:lang w:val="en-AU"/>
        </w:rPr>
        <w:t xml:space="preserve"> accomplish</w:t>
      </w:r>
      <w:r w:rsidR="00BE6BA3" w:rsidRPr="00BB7576">
        <w:rPr>
          <w:lang w:val="en-AU"/>
        </w:rPr>
        <w:t xml:space="preserve"> the restoration </w:t>
      </w:r>
      <w:r w:rsidR="00191D4D" w:rsidRPr="00BB7576">
        <w:rPr>
          <w:lang w:val="en-AU"/>
        </w:rPr>
        <w:t>envisaged</w:t>
      </w:r>
      <w:r w:rsidR="00BE6BA3" w:rsidRPr="00BB7576">
        <w:rPr>
          <w:lang w:val="en-AU"/>
        </w:rPr>
        <w:t xml:space="preserve"> in Isaiah 11:6</w:t>
      </w:r>
      <w:r w:rsidR="005C337B" w:rsidRPr="00BB7576">
        <w:rPr>
          <w:lang w:val="en-AU"/>
        </w:rPr>
        <w:t>–</w:t>
      </w:r>
      <w:r w:rsidR="00BE6BA3" w:rsidRPr="00BB7576">
        <w:rPr>
          <w:lang w:val="en-AU"/>
        </w:rPr>
        <w:t>9.</w:t>
      </w:r>
      <w:r w:rsidR="00BE6BA3" w:rsidRPr="00BB7576">
        <w:rPr>
          <w:rStyle w:val="FootnoteReference"/>
          <w:lang w:val="en-AU"/>
        </w:rPr>
        <w:footnoteReference w:id="186"/>
      </w:r>
      <w:r w:rsidR="00BE6BA3" w:rsidRPr="00BB7576">
        <w:rPr>
          <w:lang w:val="en-AU"/>
        </w:rPr>
        <w:t xml:space="preserve"> Novenson appropriately distinguishes between the royal ideologies in the Hebrew Bible and the various messianic aspirations</w:t>
      </w:r>
      <w:r w:rsidR="00CF7CA5" w:rsidRPr="00BB7576">
        <w:rPr>
          <w:lang w:val="en-AU"/>
        </w:rPr>
        <w:t>.</w:t>
      </w:r>
      <w:r w:rsidR="00BE6BA3" w:rsidRPr="00BB7576">
        <w:rPr>
          <w:rStyle w:val="FootnoteReference"/>
          <w:lang w:val="en-AU"/>
        </w:rPr>
        <w:footnoteReference w:id="187"/>
      </w:r>
      <w:r w:rsidR="00BE6BA3" w:rsidRPr="00BB7576">
        <w:rPr>
          <w:lang w:val="en-AU"/>
        </w:rPr>
        <w:t xml:space="preserve"> </w:t>
      </w:r>
      <w:r w:rsidR="0006165C" w:rsidRPr="00BB7576">
        <w:rPr>
          <w:lang w:val="en-AU"/>
        </w:rPr>
        <w:t xml:space="preserve">Novenson demonstrates that the messianic language used in the literature coincides with the discussion of kings. The literature looks to a figure who will save, protect, and be </w:t>
      </w:r>
      <w:r w:rsidR="00D254BA" w:rsidRPr="00BB7576">
        <w:rPr>
          <w:lang w:val="en-AU"/>
        </w:rPr>
        <w:t>God’s representative of peace.</w:t>
      </w:r>
    </w:p>
    <w:p w14:paraId="40DA1758" w14:textId="0FD42A85" w:rsidR="001A69B4" w:rsidRPr="00BB7576" w:rsidRDefault="001A69B4" w:rsidP="00AB7CAD">
      <w:pPr>
        <w:pStyle w:val="Heading2"/>
      </w:pPr>
      <w:bookmarkStart w:id="68" w:name="_Toc94536993"/>
      <w:bookmarkStart w:id="69" w:name="_Toc118063638"/>
      <w:r w:rsidRPr="00BB7576">
        <w:t>3.5 The Qumran Writings Envisage Two Messiahs</w:t>
      </w:r>
      <w:bookmarkEnd w:id="68"/>
      <w:bookmarkEnd w:id="69"/>
    </w:p>
    <w:p w14:paraId="6B004F6E" w14:textId="61251883" w:rsidR="008D4202" w:rsidRPr="00BB7576" w:rsidRDefault="00B67D1C" w:rsidP="00B67D1C">
      <w:pPr>
        <w:spacing w:line="480" w:lineRule="auto"/>
        <w:ind w:firstLine="720"/>
        <w:contextualSpacing/>
        <w:rPr>
          <w:lang w:val="en-AU"/>
        </w:rPr>
      </w:pPr>
      <w:r w:rsidRPr="00BB7576">
        <w:rPr>
          <w:lang w:val="en-AU"/>
        </w:rPr>
        <w:t xml:space="preserve">The writings at Qumran appear to envisage two messianic figures. </w:t>
      </w:r>
      <w:r w:rsidR="002D1749">
        <w:rPr>
          <w:lang w:val="en-AU"/>
        </w:rPr>
        <w:t xml:space="preserve">One messianic figure is from the lineage of Aaron and the second messianic figure is from the lineage of David. </w:t>
      </w:r>
      <w:r w:rsidRPr="00BB7576">
        <w:rPr>
          <w:lang w:val="en-AU"/>
        </w:rPr>
        <w:t xml:space="preserve">As </w:t>
      </w:r>
      <w:r w:rsidR="00BE6BA3" w:rsidRPr="00BB7576">
        <w:rPr>
          <w:lang w:val="en-AU"/>
        </w:rPr>
        <w:t xml:space="preserve">James VanderKam </w:t>
      </w:r>
      <w:r w:rsidRPr="00BB7576">
        <w:rPr>
          <w:lang w:val="en-AU"/>
        </w:rPr>
        <w:t>says</w:t>
      </w:r>
      <w:r w:rsidR="007F370D" w:rsidRPr="00BB7576">
        <w:rPr>
          <w:lang w:val="en-AU"/>
        </w:rPr>
        <w:t>:</w:t>
      </w:r>
    </w:p>
    <w:p w14:paraId="7B33EB7E" w14:textId="3AB4F134" w:rsidR="00D25D36" w:rsidRPr="00BB7576" w:rsidRDefault="00BE6BA3" w:rsidP="00E01243">
      <w:pPr>
        <w:pStyle w:val="Blockquotation"/>
        <w:rPr>
          <w:sz w:val="24"/>
          <w:lang w:val="en-AU"/>
        </w:rPr>
      </w:pPr>
      <w:r w:rsidRPr="00BB7576">
        <w:rPr>
          <w:sz w:val="24"/>
          <w:lang w:val="en-AU"/>
        </w:rPr>
        <w:t>The more prominent messiah is the priestly one—the messiah of Aaron. The second and apparently lower ranking messiah is the lay one—the messiah of Israel. Precisely what the [Qumran] messiahs would do, other than officiate at the messianic banquet, is not clear.</w:t>
      </w:r>
      <w:r w:rsidRPr="00BB7576">
        <w:rPr>
          <w:rStyle w:val="FootnoteReference"/>
          <w:sz w:val="24"/>
          <w:lang w:val="en-AU"/>
        </w:rPr>
        <w:footnoteReference w:id="188"/>
      </w:r>
    </w:p>
    <w:p w14:paraId="18CFEFC8" w14:textId="356A5180" w:rsidR="008D4202" w:rsidRPr="00BB7576" w:rsidRDefault="00BE6BA3" w:rsidP="00873EFB">
      <w:pPr>
        <w:spacing w:line="480" w:lineRule="auto"/>
        <w:contextualSpacing/>
        <w:rPr>
          <w:lang w:val="en-AU"/>
        </w:rPr>
      </w:pPr>
      <w:r w:rsidRPr="00BB7576">
        <w:rPr>
          <w:lang w:val="en-AU"/>
        </w:rPr>
        <w:t>The idea of two</w:t>
      </w:r>
      <w:r w:rsidR="00C55B80">
        <w:rPr>
          <w:lang w:val="en-AU"/>
        </w:rPr>
        <w:t xml:space="preserve"> </w:t>
      </w:r>
      <w:r w:rsidRPr="00BB7576">
        <w:rPr>
          <w:lang w:val="en-AU"/>
        </w:rPr>
        <w:t>messiahs is found primarily in the Manual of Discipline (IQS) and the Damascus Covenant (CD)</w:t>
      </w:r>
      <w:r w:rsidR="004E36BF" w:rsidRPr="00BB7576">
        <w:rPr>
          <w:lang w:val="en-AU"/>
        </w:rPr>
        <w:t>.</w:t>
      </w:r>
      <w:r w:rsidR="005D6C62" w:rsidRPr="00BB7576">
        <w:rPr>
          <w:rStyle w:val="FootnoteReference"/>
          <w:lang w:val="en-AU"/>
        </w:rPr>
        <w:footnoteReference w:id="189"/>
      </w:r>
      <w:r w:rsidR="00873EFB" w:rsidRPr="00BB7576">
        <w:rPr>
          <w:lang w:val="en-AU"/>
        </w:rPr>
        <w:t xml:space="preserve"> </w:t>
      </w:r>
      <w:r w:rsidR="00CC0D47">
        <w:rPr>
          <w:lang w:val="en-AU"/>
        </w:rPr>
        <w:t>The premise of a two</w:t>
      </w:r>
      <w:r w:rsidR="00C55B80">
        <w:rPr>
          <w:lang w:val="en-AU"/>
        </w:rPr>
        <w:t>-</w:t>
      </w:r>
      <w:r w:rsidR="00CC0D47">
        <w:rPr>
          <w:lang w:val="en-AU"/>
        </w:rPr>
        <w:t xml:space="preserve">messiah theory rests </w:t>
      </w:r>
      <w:r w:rsidR="007D40B6">
        <w:rPr>
          <w:lang w:val="en-AU"/>
        </w:rPr>
        <w:t>on</w:t>
      </w:r>
      <w:r w:rsidR="00CC0D47">
        <w:rPr>
          <w:lang w:val="en-AU"/>
        </w:rPr>
        <w:t xml:space="preserve"> the notion that there is a dual priestly and royal leadership model in such examples </w:t>
      </w:r>
      <w:r w:rsidR="007D40B6">
        <w:rPr>
          <w:lang w:val="en-AU"/>
        </w:rPr>
        <w:t xml:space="preserve">such </w:t>
      </w:r>
      <w:r w:rsidR="00CC0D47">
        <w:rPr>
          <w:lang w:val="en-AU"/>
        </w:rPr>
        <w:t xml:space="preserve">as Moses and Aaron </w:t>
      </w:r>
      <w:r w:rsidR="00CC0D47">
        <w:rPr>
          <w:lang w:val="en-AU"/>
        </w:rPr>
        <w:lastRenderedPageBreak/>
        <w:t xml:space="preserve">in the Pentateuch, the king and high priest within the monarchy before the exile, and Joshua and the High Priest in Zechariah 4:14. </w:t>
      </w:r>
      <w:r w:rsidR="00873EFB" w:rsidRPr="00BB7576">
        <w:rPr>
          <w:lang w:val="en-AU"/>
        </w:rPr>
        <w:t xml:space="preserve">For example, </w:t>
      </w:r>
      <w:r w:rsidRPr="00BB7576">
        <w:rPr>
          <w:lang w:val="en-AU"/>
        </w:rPr>
        <w:t>4Q266</w:t>
      </w:r>
      <w:r w:rsidR="00A6316D" w:rsidRPr="00BB7576">
        <w:rPr>
          <w:lang w:val="en-AU"/>
        </w:rPr>
        <w:t xml:space="preserve">, which </w:t>
      </w:r>
      <w:r w:rsidR="005D6C62" w:rsidRPr="00BB7576">
        <w:rPr>
          <w:lang w:val="en-AU"/>
        </w:rPr>
        <w:t>is</w:t>
      </w:r>
      <w:r w:rsidR="00A6316D" w:rsidRPr="00BB7576">
        <w:rPr>
          <w:lang w:val="en-AU"/>
        </w:rPr>
        <w:t xml:space="preserve"> dated from the first century </w:t>
      </w:r>
      <w:r w:rsidR="006F268C" w:rsidRPr="00BB7576">
        <w:rPr>
          <w:lang w:val="en-AU"/>
        </w:rPr>
        <w:t xml:space="preserve">CE, </w:t>
      </w:r>
      <w:r w:rsidR="000A7EF3" w:rsidRPr="00BB7576">
        <w:rPr>
          <w:lang w:val="en-AU"/>
        </w:rPr>
        <w:t>s</w:t>
      </w:r>
      <w:r w:rsidR="006F268C" w:rsidRPr="00BB7576">
        <w:rPr>
          <w:lang w:val="en-AU"/>
        </w:rPr>
        <w:t>uggest</w:t>
      </w:r>
      <w:r w:rsidR="007D40B6">
        <w:rPr>
          <w:lang w:val="en-AU"/>
        </w:rPr>
        <w:t>s</w:t>
      </w:r>
      <w:r w:rsidRPr="00BB7576">
        <w:rPr>
          <w:lang w:val="en-AU"/>
        </w:rPr>
        <w:t xml:space="preserve"> that there are two distinct messiahs</w:t>
      </w:r>
      <w:r w:rsidR="00A6316D" w:rsidRPr="00BB7576">
        <w:rPr>
          <w:lang w:val="en-AU"/>
        </w:rPr>
        <w:t xml:space="preserve">: a Teacher of </w:t>
      </w:r>
      <w:r w:rsidR="00854AF9" w:rsidRPr="00BB7576">
        <w:rPr>
          <w:lang w:val="en-AU"/>
        </w:rPr>
        <w:t>R</w:t>
      </w:r>
      <w:r w:rsidR="00A6316D" w:rsidRPr="00BB7576">
        <w:rPr>
          <w:lang w:val="en-AU"/>
        </w:rPr>
        <w:t>i</w:t>
      </w:r>
      <w:r w:rsidR="00854AF9" w:rsidRPr="00BB7576">
        <w:rPr>
          <w:lang w:val="en-AU"/>
        </w:rPr>
        <w:t>ght</w:t>
      </w:r>
      <w:r w:rsidR="00A6316D" w:rsidRPr="00BB7576">
        <w:rPr>
          <w:lang w:val="en-AU"/>
        </w:rPr>
        <w:t>eousness and a convert</w:t>
      </w:r>
      <w:r w:rsidR="003F536B" w:rsidRPr="00BB7576">
        <w:rPr>
          <w:lang w:val="en-AU"/>
        </w:rPr>
        <w:t>,</w:t>
      </w:r>
      <w:r w:rsidR="00A6316D" w:rsidRPr="00BB7576">
        <w:rPr>
          <w:lang w:val="en-AU"/>
        </w:rPr>
        <w:t xml:space="preserve"> Zad</w:t>
      </w:r>
      <w:r w:rsidR="006F268C" w:rsidRPr="00BB7576">
        <w:rPr>
          <w:lang w:val="en-AU"/>
        </w:rPr>
        <w:t>ok.</w:t>
      </w:r>
      <w:r w:rsidRPr="00BB7576">
        <w:rPr>
          <w:rStyle w:val="FootnoteReference"/>
          <w:lang w:val="en-AU"/>
        </w:rPr>
        <w:footnoteReference w:id="190"/>
      </w:r>
      <w:r w:rsidRPr="00BB7576">
        <w:rPr>
          <w:lang w:val="en-AU"/>
        </w:rPr>
        <w:t xml:space="preserve"> </w:t>
      </w:r>
      <w:r w:rsidR="005D6C62" w:rsidRPr="00BB7576">
        <w:rPr>
          <w:lang w:val="en-AU"/>
        </w:rPr>
        <w:t xml:space="preserve"> </w:t>
      </w:r>
    </w:p>
    <w:p w14:paraId="1DC0B67F" w14:textId="5F9FDD62" w:rsidR="009D57BE" w:rsidRPr="00BB7576" w:rsidRDefault="001D6C3B" w:rsidP="0039678A">
      <w:pPr>
        <w:spacing w:line="480" w:lineRule="auto"/>
        <w:ind w:firstLine="720"/>
        <w:contextualSpacing/>
        <w:rPr>
          <w:lang w:val="en-AU"/>
        </w:rPr>
      </w:pPr>
      <w:r>
        <w:rPr>
          <w:lang w:val="en-AU"/>
        </w:rPr>
        <w:t xml:space="preserve">There is discussion of a </w:t>
      </w:r>
      <w:r w:rsidRPr="009E7B69">
        <w:rPr>
          <w:rtl/>
        </w:rPr>
        <w:t>משיח</w:t>
      </w:r>
      <w:r w:rsidR="00E4781C">
        <w:rPr>
          <w:lang w:val="en-AU"/>
        </w:rPr>
        <w:t xml:space="preserve"> in </w:t>
      </w:r>
      <w:r w:rsidR="007D40B6">
        <w:rPr>
          <w:lang w:val="en-AU"/>
        </w:rPr>
        <w:t xml:space="preserve">the </w:t>
      </w:r>
      <w:r w:rsidR="00E4781C">
        <w:rPr>
          <w:lang w:val="en-AU"/>
        </w:rPr>
        <w:t>literature that serves as commentaries to Isaiah and Habakkuk</w:t>
      </w:r>
      <w:r>
        <w:rPr>
          <w:lang w:val="en-AU"/>
        </w:rPr>
        <w:t xml:space="preserve">. </w:t>
      </w:r>
      <w:r w:rsidR="005D2CD7" w:rsidRPr="00BB7576">
        <w:rPr>
          <w:lang w:val="en-AU"/>
        </w:rPr>
        <w:t xml:space="preserve">A </w:t>
      </w:r>
      <w:r w:rsidR="00251DD3" w:rsidRPr="00BB7576">
        <w:rPr>
          <w:lang w:val="en-AU"/>
        </w:rPr>
        <w:t>further</w:t>
      </w:r>
      <w:r w:rsidR="005D2CD7" w:rsidRPr="00BB7576">
        <w:rPr>
          <w:lang w:val="en-AU"/>
        </w:rPr>
        <w:t xml:space="preserve"> discussion of a</w:t>
      </w:r>
      <w:r w:rsidR="005D2CD7" w:rsidRPr="009E7B69">
        <w:t xml:space="preserve"> </w:t>
      </w:r>
      <w:r w:rsidR="0016678B" w:rsidRPr="009E7B69">
        <w:rPr>
          <w:rtl/>
        </w:rPr>
        <w:t>משיח</w:t>
      </w:r>
      <w:r w:rsidR="005D2CD7" w:rsidRPr="009E7B69">
        <w:rPr>
          <w:i/>
          <w:iCs/>
        </w:rPr>
        <w:t xml:space="preserve"> </w:t>
      </w:r>
      <w:r w:rsidR="008E703A" w:rsidRPr="00BB7576">
        <w:rPr>
          <w:lang w:val="en-AU"/>
        </w:rPr>
        <w:t>occurs</w:t>
      </w:r>
      <w:r w:rsidR="005D2CD7" w:rsidRPr="00BB7576">
        <w:rPr>
          <w:lang w:val="en-AU"/>
        </w:rPr>
        <w:t xml:space="preserve"> in t</w:t>
      </w:r>
      <w:r w:rsidR="00DF11CE" w:rsidRPr="00BB7576">
        <w:rPr>
          <w:lang w:val="en-AU"/>
        </w:rPr>
        <w:t xml:space="preserve">he </w:t>
      </w:r>
      <w:r w:rsidR="00B67D1C" w:rsidRPr="00BB7576">
        <w:rPr>
          <w:lang w:val="en-AU"/>
        </w:rPr>
        <w:t xml:space="preserve">Qumran </w:t>
      </w:r>
      <w:r w:rsidR="00DF11CE" w:rsidRPr="00BB7576">
        <w:rPr>
          <w:lang w:val="en-AU"/>
        </w:rPr>
        <w:t xml:space="preserve">commentaries called </w:t>
      </w:r>
      <w:r w:rsidR="00BE6BA3" w:rsidRPr="00BB7576">
        <w:rPr>
          <w:i/>
          <w:iCs/>
          <w:lang w:val="en-AU"/>
        </w:rPr>
        <w:t>pesharim</w:t>
      </w:r>
      <w:r w:rsidR="005D2CD7" w:rsidRPr="00BB7576">
        <w:rPr>
          <w:i/>
          <w:iCs/>
          <w:lang w:val="en-AU"/>
        </w:rPr>
        <w:t>.</w:t>
      </w:r>
      <w:r w:rsidR="00C76E0B" w:rsidRPr="00BB7576">
        <w:rPr>
          <w:rStyle w:val="FootnoteReference"/>
          <w:i/>
          <w:iCs/>
          <w:lang w:val="en-AU"/>
        </w:rPr>
        <w:footnoteReference w:id="191"/>
      </w:r>
      <w:r w:rsidR="005D2CD7" w:rsidRPr="00BB7576">
        <w:rPr>
          <w:i/>
          <w:iCs/>
          <w:lang w:val="en-AU"/>
        </w:rPr>
        <w:t xml:space="preserve"> </w:t>
      </w:r>
      <w:r w:rsidR="00B67D1C" w:rsidRPr="00BB7576">
        <w:rPr>
          <w:lang w:val="en-AU"/>
        </w:rPr>
        <w:t>T</w:t>
      </w:r>
      <w:r w:rsidR="009D57BE" w:rsidRPr="00BB7576">
        <w:rPr>
          <w:lang w:val="en-AU"/>
        </w:rPr>
        <w:t xml:space="preserve">he </w:t>
      </w:r>
      <w:r w:rsidR="009D57BE" w:rsidRPr="00BB7576">
        <w:rPr>
          <w:i/>
          <w:iCs/>
          <w:lang w:val="en-AU"/>
        </w:rPr>
        <w:t>pesharim</w:t>
      </w:r>
      <w:r w:rsidR="009D57BE" w:rsidRPr="00BB7576">
        <w:rPr>
          <w:lang w:val="en-AU"/>
        </w:rPr>
        <w:t xml:space="preserve"> </w:t>
      </w:r>
      <w:r w:rsidR="00B67D1C" w:rsidRPr="00BB7576">
        <w:rPr>
          <w:lang w:val="en-AU"/>
        </w:rPr>
        <w:t xml:space="preserve">on </w:t>
      </w:r>
      <w:r w:rsidR="00BE6BA3" w:rsidRPr="00BB7576">
        <w:rPr>
          <w:lang w:val="en-AU"/>
        </w:rPr>
        <w:t xml:space="preserve">Isaiah, Zechariah, </w:t>
      </w:r>
      <w:proofErr w:type="gramStart"/>
      <w:r w:rsidR="00BE6BA3" w:rsidRPr="00BB7576">
        <w:rPr>
          <w:lang w:val="en-AU"/>
        </w:rPr>
        <w:t>Psalms</w:t>
      </w:r>
      <w:proofErr w:type="gramEnd"/>
      <w:r w:rsidR="00BE6BA3" w:rsidRPr="00BB7576">
        <w:rPr>
          <w:lang w:val="en-AU"/>
        </w:rPr>
        <w:t xml:space="preserve"> and compendiums of </w:t>
      </w:r>
      <w:r w:rsidR="007D40B6">
        <w:rPr>
          <w:lang w:val="en-AU"/>
        </w:rPr>
        <w:t>m</w:t>
      </w:r>
      <w:r w:rsidR="00BE6BA3" w:rsidRPr="00BB7576">
        <w:rPr>
          <w:lang w:val="en-AU"/>
        </w:rPr>
        <w:t>essianic proof texts</w:t>
      </w:r>
      <w:r w:rsidR="004E3E28" w:rsidRPr="00BB7576">
        <w:rPr>
          <w:lang w:val="en-AU"/>
        </w:rPr>
        <w:t xml:space="preserve"> </w:t>
      </w:r>
      <w:r w:rsidR="007D40B6">
        <w:rPr>
          <w:lang w:val="en-AU"/>
        </w:rPr>
        <w:t>p</w:t>
      </w:r>
      <w:r w:rsidR="004E3E28" w:rsidRPr="00BB7576">
        <w:rPr>
          <w:lang w:val="en-AU"/>
        </w:rPr>
        <w:t>rovide a two-level meaning for interpretation</w:t>
      </w:r>
      <w:r w:rsidR="003A2C35" w:rsidRPr="00BB7576">
        <w:rPr>
          <w:lang w:val="en-AU"/>
        </w:rPr>
        <w:t>.</w:t>
      </w:r>
      <w:r w:rsidR="00BE6BA3" w:rsidRPr="00BB7576">
        <w:rPr>
          <w:lang w:val="en-AU"/>
        </w:rPr>
        <w:t xml:space="preserve"> </w:t>
      </w:r>
      <w:r w:rsidR="004E3E28" w:rsidRPr="00BB7576">
        <w:rPr>
          <w:lang w:val="en-AU"/>
        </w:rPr>
        <w:t>These two levels o</w:t>
      </w:r>
      <w:r w:rsidR="000C297A">
        <w:rPr>
          <w:lang w:val="en-AU"/>
        </w:rPr>
        <w:t xml:space="preserve">f </w:t>
      </w:r>
      <w:r w:rsidR="004E3E28" w:rsidRPr="00BB7576">
        <w:rPr>
          <w:lang w:val="en-AU"/>
        </w:rPr>
        <w:t xml:space="preserve">learning include a deeper spiritual meaning </w:t>
      </w:r>
      <w:r w:rsidR="007D40B6">
        <w:rPr>
          <w:lang w:val="en-AU"/>
        </w:rPr>
        <w:t xml:space="preserve">and a </w:t>
      </w:r>
      <w:r w:rsidR="004E3E28" w:rsidRPr="00BB7576">
        <w:rPr>
          <w:lang w:val="en-AU"/>
        </w:rPr>
        <w:t>plain reading.</w:t>
      </w:r>
      <w:r w:rsidR="00D254BA" w:rsidRPr="00BB7576">
        <w:rPr>
          <w:rStyle w:val="FootnoteReference"/>
          <w:lang w:val="en-AU"/>
        </w:rPr>
        <w:footnoteReference w:id="192"/>
      </w:r>
      <w:r w:rsidR="004E3E28" w:rsidRPr="00BB7576">
        <w:rPr>
          <w:lang w:val="en-AU"/>
        </w:rPr>
        <w:t xml:space="preserve"> </w:t>
      </w:r>
      <w:r w:rsidR="00E4781C">
        <w:rPr>
          <w:lang w:val="en-AU"/>
        </w:rPr>
        <w:t xml:space="preserve">Having a deeper spiritual understanding and a literal understanding allows for </w:t>
      </w:r>
      <w:r w:rsidR="00C55B80">
        <w:rPr>
          <w:lang w:val="en-AU"/>
        </w:rPr>
        <w:t>broader</w:t>
      </w:r>
      <w:r w:rsidR="00E4781C">
        <w:rPr>
          <w:lang w:val="en-AU"/>
        </w:rPr>
        <w:t xml:space="preserve"> reading </w:t>
      </w:r>
      <w:r w:rsidR="00C55B80">
        <w:rPr>
          <w:lang w:val="en-AU"/>
        </w:rPr>
        <w:t>of</w:t>
      </w:r>
      <w:r w:rsidR="00E4781C">
        <w:rPr>
          <w:lang w:val="en-AU"/>
        </w:rPr>
        <w:t xml:space="preserve"> the text.</w:t>
      </w:r>
    </w:p>
    <w:p w14:paraId="721E654E" w14:textId="7D2783B2" w:rsidR="00E4781C" w:rsidRDefault="00F609E2" w:rsidP="0039678A">
      <w:pPr>
        <w:spacing w:line="480" w:lineRule="auto"/>
        <w:ind w:firstLine="720"/>
        <w:contextualSpacing/>
        <w:rPr>
          <w:lang w:val="en-AU"/>
        </w:rPr>
      </w:pPr>
      <w:r w:rsidRPr="00BB7576">
        <w:rPr>
          <w:lang w:val="en-AU"/>
        </w:rPr>
        <w:t xml:space="preserve">Jewish scholars such as </w:t>
      </w:r>
      <w:r w:rsidR="00BE6BA3" w:rsidRPr="00BB7576">
        <w:rPr>
          <w:lang w:val="en-AU"/>
        </w:rPr>
        <w:t>Moshe Reiss</w:t>
      </w:r>
      <w:r w:rsidRPr="00BB7576">
        <w:rPr>
          <w:lang w:val="en-AU"/>
        </w:rPr>
        <w:t xml:space="preserve"> suggest that </w:t>
      </w:r>
      <w:r w:rsidR="00BE6BA3" w:rsidRPr="00BB7576">
        <w:rPr>
          <w:lang w:val="en-AU"/>
        </w:rPr>
        <w:t>a</w:t>
      </w:r>
      <w:r w:rsidR="00BE6BA3" w:rsidRPr="009E7B69">
        <w:t xml:space="preserve"> </w:t>
      </w:r>
      <w:r w:rsidR="0016678B" w:rsidRPr="009E7B69">
        <w:rPr>
          <w:rtl/>
        </w:rPr>
        <w:t>משיח</w:t>
      </w:r>
      <w:r w:rsidR="00BE6BA3" w:rsidRPr="009E7B69">
        <w:t xml:space="preserve"> </w:t>
      </w:r>
      <w:r w:rsidR="00BE6BA3" w:rsidRPr="00BB7576">
        <w:rPr>
          <w:lang w:val="en-AU"/>
        </w:rPr>
        <w:t>in the Jewish tradition extends back to Isaiah 44:23</w:t>
      </w:r>
      <w:r w:rsidR="00360ABE" w:rsidRPr="00BB7576">
        <w:rPr>
          <w:lang w:val="en-AU"/>
        </w:rPr>
        <w:t>–</w:t>
      </w:r>
      <w:r w:rsidR="00BE6BA3" w:rsidRPr="00BB7576">
        <w:rPr>
          <w:lang w:val="en-AU"/>
        </w:rPr>
        <w:t>28</w:t>
      </w:r>
      <w:r w:rsidRPr="00BB7576">
        <w:rPr>
          <w:lang w:val="en-AU"/>
        </w:rPr>
        <w:t>.</w:t>
      </w:r>
      <w:r w:rsidR="00BE6BA3" w:rsidRPr="00BB7576">
        <w:rPr>
          <w:rStyle w:val="FootnoteReference"/>
          <w:lang w:val="en-AU"/>
        </w:rPr>
        <w:footnoteReference w:id="193"/>
      </w:r>
      <w:r w:rsidRPr="00BB7576">
        <w:rPr>
          <w:lang w:val="en-AU"/>
        </w:rPr>
        <w:t xml:space="preserve"> </w:t>
      </w:r>
      <w:r w:rsidR="00E4781C">
        <w:rPr>
          <w:lang w:val="en-AU"/>
        </w:rPr>
        <w:t xml:space="preserve">Developing a definition of </w:t>
      </w:r>
      <w:r w:rsidR="00E4781C" w:rsidRPr="009E7B69">
        <w:rPr>
          <w:rtl/>
        </w:rPr>
        <w:t>משיח</w:t>
      </w:r>
      <w:r w:rsidR="00E4781C">
        <w:t xml:space="preserve"> in Isaiah provides a </w:t>
      </w:r>
      <w:r w:rsidR="00E4781C">
        <w:lastRenderedPageBreak/>
        <w:t>foundational understanding of the role of a messiah.</w:t>
      </w:r>
      <w:r w:rsidR="00E4781C">
        <w:rPr>
          <w:lang w:val="en-AU"/>
        </w:rPr>
        <w:t xml:space="preserve"> How </w:t>
      </w:r>
      <w:r w:rsidR="00E4781C" w:rsidRPr="009E7B69">
        <w:rPr>
          <w:rtl/>
        </w:rPr>
        <w:t>משיח</w:t>
      </w:r>
      <w:r w:rsidR="00E4781C" w:rsidRPr="009E7B69">
        <w:t xml:space="preserve"> </w:t>
      </w:r>
      <w:r w:rsidR="00E4781C">
        <w:t xml:space="preserve">is viewed –either as a literal read or future messianic figure, allows for variable interpretations of what a </w:t>
      </w:r>
      <w:r w:rsidR="00E4781C" w:rsidRPr="009E7B69">
        <w:rPr>
          <w:rtl/>
        </w:rPr>
        <w:t>משיח</w:t>
      </w:r>
      <w:r w:rsidR="00E4781C" w:rsidRPr="009E7B69">
        <w:t xml:space="preserve"> </w:t>
      </w:r>
      <w:r w:rsidR="00E4781C">
        <w:t xml:space="preserve">is. </w:t>
      </w:r>
      <w:r w:rsidRPr="00BB7576">
        <w:rPr>
          <w:lang w:val="en-AU"/>
        </w:rPr>
        <w:t xml:space="preserve">Becker </w:t>
      </w:r>
      <w:r w:rsidR="00AD1776" w:rsidRPr="00BB7576">
        <w:rPr>
          <w:lang w:val="en-AU"/>
        </w:rPr>
        <w:t>further</w:t>
      </w:r>
      <w:r w:rsidRPr="00BB7576">
        <w:rPr>
          <w:lang w:val="en-AU"/>
        </w:rPr>
        <w:t xml:space="preserve"> believes that Cyrus </w:t>
      </w:r>
      <w:r w:rsidR="00AD1776" w:rsidRPr="00BB7576">
        <w:rPr>
          <w:lang w:val="en-AU"/>
        </w:rPr>
        <w:t>w</w:t>
      </w:r>
      <w:r w:rsidRPr="00BB7576">
        <w:rPr>
          <w:lang w:val="en-AU"/>
        </w:rPr>
        <w:t xml:space="preserve">as </w:t>
      </w:r>
      <w:r w:rsidR="00B67D1C" w:rsidRPr="00BB7576">
        <w:rPr>
          <w:lang w:val="en-AU"/>
        </w:rPr>
        <w:t>the</w:t>
      </w:r>
      <w:r w:rsidRPr="00BB7576">
        <w:rPr>
          <w:lang w:val="en-AU"/>
        </w:rPr>
        <w:t xml:space="preserve"> shepherd</w:t>
      </w:r>
      <w:r w:rsidR="00AD1776" w:rsidRPr="00BB7576">
        <w:rPr>
          <w:lang w:val="en-AU"/>
        </w:rPr>
        <w:t xml:space="preserve"> </w:t>
      </w:r>
      <w:r w:rsidR="00B67D1C" w:rsidRPr="00BB7576">
        <w:rPr>
          <w:lang w:val="en-AU"/>
        </w:rPr>
        <w:t xml:space="preserve">spoken of </w:t>
      </w:r>
      <w:r w:rsidR="00AD1776" w:rsidRPr="00BB7576">
        <w:rPr>
          <w:lang w:val="en-AU"/>
        </w:rPr>
        <w:t>in Isaiah 44:28</w:t>
      </w:r>
      <w:r w:rsidR="00B67D1C" w:rsidRPr="00BB7576">
        <w:rPr>
          <w:lang w:val="en-AU"/>
        </w:rPr>
        <w:t>,</w:t>
      </w:r>
      <w:r w:rsidR="0039678A" w:rsidRPr="00BB7576">
        <w:rPr>
          <w:lang w:val="en-AU"/>
        </w:rPr>
        <w:t xml:space="preserve"> which states, </w:t>
      </w:r>
      <w:r w:rsidR="00863B47" w:rsidRPr="00BB7576">
        <w:rPr>
          <w:lang w:val="en-AU"/>
        </w:rPr>
        <w:t>“</w:t>
      </w:r>
      <w:r w:rsidR="0039678A" w:rsidRPr="00BB7576">
        <w:rPr>
          <w:lang w:val="en-AU"/>
        </w:rPr>
        <w:t xml:space="preserve">who says of Cyrus, </w:t>
      </w:r>
      <w:r w:rsidR="005C71CB" w:rsidRPr="00BB7576">
        <w:rPr>
          <w:lang w:val="en-AU"/>
        </w:rPr>
        <w:t>‘</w:t>
      </w:r>
      <w:r w:rsidR="0039678A" w:rsidRPr="00BB7576">
        <w:rPr>
          <w:lang w:val="en-AU"/>
        </w:rPr>
        <w:t>He is my shepherd, and he shall carry out all my purpose</w:t>
      </w:r>
      <w:r w:rsidR="005C71CB" w:rsidRPr="00BB7576">
        <w:rPr>
          <w:lang w:val="en-AU"/>
        </w:rPr>
        <w:t>’</w:t>
      </w:r>
      <w:r w:rsidR="0039678A" w:rsidRPr="00BB7576">
        <w:rPr>
          <w:lang w:val="en-AU"/>
        </w:rPr>
        <w:t xml:space="preserve">; and who says of Jerusalem, </w:t>
      </w:r>
      <w:r w:rsidR="005C71CB" w:rsidRPr="00BB7576">
        <w:rPr>
          <w:lang w:val="en-AU"/>
        </w:rPr>
        <w:t>‘</w:t>
      </w:r>
      <w:r w:rsidR="0039678A" w:rsidRPr="00BB7576">
        <w:rPr>
          <w:lang w:val="en-AU"/>
        </w:rPr>
        <w:t>It shall be rebuilt,</w:t>
      </w:r>
      <w:r w:rsidR="005C71CB" w:rsidRPr="00BB7576">
        <w:rPr>
          <w:lang w:val="en-AU"/>
        </w:rPr>
        <w:t>’</w:t>
      </w:r>
      <w:r w:rsidR="0039678A" w:rsidRPr="00BB7576">
        <w:rPr>
          <w:lang w:val="en-AU"/>
        </w:rPr>
        <w:t xml:space="preserve"> and of the temple, </w:t>
      </w:r>
      <w:r w:rsidR="005C71CB" w:rsidRPr="00BB7576">
        <w:rPr>
          <w:lang w:val="en-AU"/>
        </w:rPr>
        <w:t>‘</w:t>
      </w:r>
      <w:r w:rsidR="0039678A" w:rsidRPr="00BB7576">
        <w:rPr>
          <w:lang w:val="en-AU"/>
        </w:rPr>
        <w:t>Your foundation shall be laid.</w:t>
      </w:r>
      <w:r w:rsidR="005C71CB" w:rsidRPr="00BB7576">
        <w:rPr>
          <w:lang w:val="en-AU"/>
        </w:rPr>
        <w:t>’</w:t>
      </w:r>
      <w:r w:rsidR="00863B47" w:rsidRPr="00BB7576">
        <w:rPr>
          <w:lang w:val="en-AU"/>
        </w:rPr>
        <w:t>”</w:t>
      </w:r>
      <w:r w:rsidR="00AD1776" w:rsidRPr="00BB7576">
        <w:rPr>
          <w:rStyle w:val="FootnoteReference"/>
          <w:lang w:val="en-AU"/>
        </w:rPr>
        <w:footnoteReference w:id="194"/>
      </w:r>
      <w:r w:rsidR="00BE6BA3" w:rsidRPr="00BB7576">
        <w:rPr>
          <w:lang w:val="en-AU"/>
        </w:rPr>
        <w:t xml:space="preserve"> Becker note</w:t>
      </w:r>
      <w:r w:rsidR="008D6ABD" w:rsidRPr="00BB7576">
        <w:rPr>
          <w:lang w:val="en-AU"/>
        </w:rPr>
        <w:t>s</w:t>
      </w:r>
      <w:r w:rsidR="00BE6BA3" w:rsidRPr="00BB7576">
        <w:rPr>
          <w:lang w:val="en-AU"/>
        </w:rPr>
        <w:t xml:space="preserve"> that </w:t>
      </w:r>
      <w:r w:rsidR="001C438E" w:rsidRPr="00BB7576">
        <w:rPr>
          <w:lang w:val="en-AU"/>
        </w:rPr>
        <w:t>in the book of Chronicles, the author c</w:t>
      </w:r>
      <w:r w:rsidR="00BE6BA3" w:rsidRPr="00BB7576">
        <w:rPr>
          <w:lang w:val="en-AU"/>
        </w:rPr>
        <w:t>laim</w:t>
      </w:r>
      <w:r w:rsidR="001C438E" w:rsidRPr="00BB7576">
        <w:rPr>
          <w:lang w:val="en-AU"/>
        </w:rPr>
        <w:t>s</w:t>
      </w:r>
      <w:r w:rsidR="00BE6BA3" w:rsidRPr="00BB7576">
        <w:rPr>
          <w:lang w:val="en-AU"/>
        </w:rPr>
        <w:t xml:space="preserve"> that earthly power</w:t>
      </w:r>
      <w:r w:rsidR="003973CC">
        <w:rPr>
          <w:lang w:val="en-AU"/>
        </w:rPr>
        <w:t xml:space="preserve"> was transferred to Cyrus and also that the </w:t>
      </w:r>
      <w:r w:rsidR="00BE6BA3" w:rsidRPr="00BB7576">
        <w:rPr>
          <w:lang w:val="en-AU"/>
        </w:rPr>
        <w:t>Davidic royal throne</w:t>
      </w:r>
      <w:r w:rsidR="003973CC">
        <w:rPr>
          <w:lang w:val="en-AU"/>
        </w:rPr>
        <w:t xml:space="preserve"> was </w:t>
      </w:r>
      <w:r w:rsidR="00BE6BA3" w:rsidRPr="00BB7576">
        <w:rPr>
          <w:lang w:val="en-AU"/>
        </w:rPr>
        <w:t>transferred to Cyrus (</w:t>
      </w:r>
      <w:r w:rsidR="008839E7" w:rsidRPr="00BB7576">
        <w:rPr>
          <w:lang w:val="en-AU"/>
        </w:rPr>
        <w:t xml:space="preserve">2 Chron 36:23 and </w:t>
      </w:r>
      <w:r w:rsidR="00B67D1C" w:rsidRPr="00BB7576">
        <w:rPr>
          <w:lang w:val="en-AU"/>
        </w:rPr>
        <w:t>Ezra 1:1–4</w:t>
      </w:r>
      <w:r w:rsidR="00BE6BA3" w:rsidRPr="00BB7576">
        <w:rPr>
          <w:lang w:val="en-AU"/>
        </w:rPr>
        <w:t>).</w:t>
      </w:r>
      <w:r w:rsidR="00BE6BA3" w:rsidRPr="00BB7576">
        <w:rPr>
          <w:rStyle w:val="FootnoteReference"/>
          <w:lang w:val="en-AU"/>
        </w:rPr>
        <w:footnoteReference w:id="195"/>
      </w:r>
      <w:r w:rsidR="00BE6BA3" w:rsidRPr="00BB7576">
        <w:rPr>
          <w:lang w:val="en-AU"/>
        </w:rPr>
        <w:t xml:space="preserve"> </w:t>
      </w:r>
      <w:r w:rsidR="00624B9B" w:rsidRPr="00BB7576">
        <w:rPr>
          <w:lang w:val="en-AU"/>
        </w:rPr>
        <w:t>Klaus Baltzer believes that Cyrus was given the status of the new David figure</w:t>
      </w:r>
      <w:r w:rsidR="00F738B9" w:rsidRPr="00BB7576">
        <w:rPr>
          <w:lang w:val="en-AU"/>
        </w:rPr>
        <w:t xml:space="preserve"> by</w:t>
      </w:r>
      <w:r w:rsidR="00624B9B" w:rsidRPr="00BB7576">
        <w:rPr>
          <w:lang w:val="en-AU"/>
        </w:rPr>
        <w:t xml:space="preserve"> the writers of Isaiah.</w:t>
      </w:r>
      <w:r w:rsidR="00624B9B" w:rsidRPr="00BB7576">
        <w:rPr>
          <w:rStyle w:val="FootnoteReference"/>
          <w:lang w:val="en-AU"/>
        </w:rPr>
        <w:footnoteReference w:id="196"/>
      </w:r>
      <w:r w:rsidR="00624B9B" w:rsidRPr="00BB7576">
        <w:rPr>
          <w:lang w:val="en-AU"/>
        </w:rPr>
        <w:t xml:space="preserve"> </w:t>
      </w:r>
      <w:r w:rsidR="00B67D1C" w:rsidRPr="00BB7576">
        <w:rPr>
          <w:lang w:val="en-AU"/>
        </w:rPr>
        <w:t xml:space="preserve">In early Judaism there was speculation about whether Cyrus the Great (600–530 BCE) was the </w:t>
      </w:r>
      <w:r w:rsidR="00B67D1C" w:rsidRPr="00BB7576">
        <w:rPr>
          <w:iCs/>
          <w:lang w:val="en-AU"/>
        </w:rPr>
        <w:t>messiah</w:t>
      </w:r>
      <w:r w:rsidR="00B67D1C" w:rsidRPr="00BB7576">
        <w:rPr>
          <w:lang w:val="en-AU"/>
        </w:rPr>
        <w:t>.</w:t>
      </w:r>
      <w:r w:rsidR="00B67D1C" w:rsidRPr="00BB7576">
        <w:rPr>
          <w:rStyle w:val="FootnoteReference"/>
          <w:lang w:val="en-AU"/>
        </w:rPr>
        <w:footnoteReference w:id="197"/>
      </w:r>
      <w:r w:rsidR="00B67D1C" w:rsidRPr="00BB7576">
        <w:rPr>
          <w:lang w:val="en-AU"/>
        </w:rPr>
        <w:t xml:space="preserve">  </w:t>
      </w:r>
      <w:r w:rsidR="00BE6BA3" w:rsidRPr="00BB7576">
        <w:rPr>
          <w:iCs/>
          <w:lang w:val="en-AU"/>
        </w:rPr>
        <w:t xml:space="preserve">After the fall of the Temple, </w:t>
      </w:r>
      <w:r w:rsidR="00BE6BA3" w:rsidRPr="00BB7576">
        <w:rPr>
          <w:lang w:val="en-AU"/>
        </w:rPr>
        <w:t xml:space="preserve">Rabbi Akiba </w:t>
      </w:r>
      <w:r w:rsidR="00792245" w:rsidRPr="00BB7576">
        <w:rPr>
          <w:lang w:val="en-AU"/>
        </w:rPr>
        <w:t xml:space="preserve">was asked if he was the messiah and </w:t>
      </w:r>
      <w:r w:rsidR="00BE6BA3" w:rsidRPr="00BB7576">
        <w:rPr>
          <w:lang w:val="en-AU"/>
        </w:rPr>
        <w:t xml:space="preserve">Bar Kokhba </w:t>
      </w:r>
      <w:r w:rsidR="00792245" w:rsidRPr="00BB7576">
        <w:rPr>
          <w:lang w:val="en-AU"/>
        </w:rPr>
        <w:t>was asked if he w</w:t>
      </w:r>
      <w:r w:rsidR="00BE6BA3" w:rsidRPr="00BB7576">
        <w:rPr>
          <w:lang w:val="en-AU"/>
        </w:rPr>
        <w:t>as the awaited messiah.</w:t>
      </w:r>
      <w:r w:rsidR="00BE6BA3" w:rsidRPr="00BB7576">
        <w:rPr>
          <w:rStyle w:val="FootnoteReference"/>
          <w:lang w:val="en-AU"/>
        </w:rPr>
        <w:footnoteReference w:id="198"/>
      </w:r>
      <w:r w:rsidR="00BE6BA3" w:rsidRPr="00BB7576">
        <w:rPr>
          <w:lang w:val="en-AU"/>
        </w:rPr>
        <w:t xml:space="preserve"> </w:t>
      </w:r>
    </w:p>
    <w:p w14:paraId="575D0139" w14:textId="79018549" w:rsidR="008D4202" w:rsidRPr="009E7B69" w:rsidRDefault="00C04DF9" w:rsidP="0039678A">
      <w:pPr>
        <w:spacing w:line="480" w:lineRule="auto"/>
        <w:ind w:firstLine="720"/>
        <w:contextualSpacing/>
      </w:pPr>
      <w:r>
        <w:rPr>
          <w:lang w:val="en-AU"/>
        </w:rPr>
        <w:t>The u</w:t>
      </w:r>
      <w:r w:rsidR="00E4781C">
        <w:rPr>
          <w:lang w:val="en-AU"/>
        </w:rPr>
        <w:t>nderstanding</w:t>
      </w:r>
      <w:r>
        <w:rPr>
          <w:lang w:val="en-AU"/>
        </w:rPr>
        <w:t xml:space="preserve"> of</w:t>
      </w:r>
      <w:r w:rsidR="00E4781C">
        <w:rPr>
          <w:lang w:val="en-AU"/>
        </w:rPr>
        <w:t xml:space="preserve"> </w:t>
      </w:r>
      <w:r w:rsidR="00E4781C" w:rsidRPr="009E7B69">
        <w:rPr>
          <w:rtl/>
        </w:rPr>
        <w:t>משיח</w:t>
      </w:r>
      <w:r w:rsidR="00E4781C" w:rsidRPr="009E7B69">
        <w:t xml:space="preserve"> </w:t>
      </w:r>
      <w:r w:rsidR="00E4781C">
        <w:t xml:space="preserve">as a single person or dual person </w:t>
      </w:r>
      <w:r>
        <w:t>underwent changes</w:t>
      </w:r>
      <w:r w:rsidR="00E4781C">
        <w:t xml:space="preserve">, especially after the time of Jesus and after the fall of the Temple. </w:t>
      </w:r>
      <w:r w:rsidR="00BE6BA3" w:rsidRPr="00BB7576">
        <w:rPr>
          <w:lang w:val="en-AU"/>
        </w:rPr>
        <w:t>By the time of Rabbinic Judaism</w:t>
      </w:r>
      <w:r w:rsidR="00BE6BA3" w:rsidRPr="009E7B69">
        <w:t xml:space="preserve">, </w:t>
      </w:r>
      <w:r w:rsidR="0016678B" w:rsidRPr="009E7B69">
        <w:rPr>
          <w:rtl/>
        </w:rPr>
        <w:t>משיח</w:t>
      </w:r>
      <w:r w:rsidR="00FB5780" w:rsidRPr="009E7B69">
        <w:t xml:space="preserve"> </w:t>
      </w:r>
      <w:r>
        <w:rPr>
          <w:lang w:val="en-AU"/>
        </w:rPr>
        <w:t>was</w:t>
      </w:r>
      <w:r w:rsidR="00FB5780" w:rsidRPr="00BB7576">
        <w:rPr>
          <w:lang w:val="en-AU"/>
        </w:rPr>
        <w:t xml:space="preserve"> understood as</w:t>
      </w:r>
      <w:r w:rsidR="007172AD" w:rsidRPr="00BB7576">
        <w:rPr>
          <w:lang w:val="en-AU"/>
        </w:rPr>
        <w:t xml:space="preserve"> </w:t>
      </w:r>
      <w:r w:rsidR="00BE6BA3" w:rsidRPr="00BB7576">
        <w:rPr>
          <w:lang w:val="en-AU"/>
        </w:rPr>
        <w:t>a single person.</w:t>
      </w:r>
      <w:r w:rsidR="00BE6BA3" w:rsidRPr="00BB7576">
        <w:rPr>
          <w:rStyle w:val="FootnoteReference"/>
          <w:lang w:val="en-AU"/>
        </w:rPr>
        <w:footnoteReference w:id="199"/>
      </w:r>
      <w:r w:rsidR="00BE6BA3" w:rsidRPr="00BB7576">
        <w:rPr>
          <w:lang w:val="en-AU"/>
        </w:rPr>
        <w:t xml:space="preserve"> This view</w:t>
      </w:r>
      <w:r w:rsidR="00FB5780" w:rsidRPr="00BB7576">
        <w:rPr>
          <w:lang w:val="en-AU"/>
        </w:rPr>
        <w:t>,</w:t>
      </w:r>
      <w:r w:rsidR="00BE6BA3" w:rsidRPr="00BB7576">
        <w:rPr>
          <w:lang w:val="en-AU"/>
        </w:rPr>
        <w:t xml:space="preserve"> however</w:t>
      </w:r>
      <w:r w:rsidR="00FB5780" w:rsidRPr="00BB7576">
        <w:rPr>
          <w:lang w:val="en-AU"/>
        </w:rPr>
        <w:t>,</w:t>
      </w:r>
      <w:r w:rsidR="00BE6BA3" w:rsidRPr="00BB7576">
        <w:rPr>
          <w:lang w:val="en-AU"/>
        </w:rPr>
        <w:t xml:space="preserve"> must come to terms </w:t>
      </w:r>
      <w:r w:rsidR="00BE6BA3" w:rsidRPr="00BB7576">
        <w:rPr>
          <w:lang w:val="en-AU"/>
        </w:rPr>
        <w:lastRenderedPageBreak/>
        <w:t>with the rabbinic texts that refer to two messiah figures</w:t>
      </w:r>
      <w:r w:rsidR="00C90BB2" w:rsidRPr="00BB7576">
        <w:rPr>
          <w:lang w:val="en-AU"/>
        </w:rPr>
        <w:t xml:space="preserve">. In the </w:t>
      </w:r>
      <w:r w:rsidR="00BE6BA3" w:rsidRPr="00BB7576">
        <w:rPr>
          <w:lang w:val="en-AU"/>
        </w:rPr>
        <w:t>J</w:t>
      </w:r>
      <w:r w:rsidR="00BE6BA3" w:rsidRPr="00BB7576">
        <w:rPr>
          <w:shd w:val="clear" w:color="auto" w:fill="FFFFFF"/>
          <w:lang w:val="en-AU"/>
        </w:rPr>
        <w:t>ewish tradition</w:t>
      </w:r>
      <w:r w:rsidR="00C90BB2" w:rsidRPr="00BB7576">
        <w:rPr>
          <w:shd w:val="clear" w:color="auto" w:fill="FFFFFF"/>
          <w:lang w:val="en-AU"/>
        </w:rPr>
        <w:t xml:space="preserve">, there are </w:t>
      </w:r>
      <w:r w:rsidR="00BE6BA3" w:rsidRPr="00BB7576">
        <w:rPr>
          <w:shd w:val="clear" w:color="auto" w:fill="FFFFFF"/>
          <w:lang w:val="en-AU"/>
        </w:rPr>
        <w:t>two redeemers</w:t>
      </w:r>
      <w:r w:rsidR="00C90BB2" w:rsidRPr="00BB7576">
        <w:rPr>
          <w:shd w:val="clear" w:color="auto" w:fill="FFFFFF"/>
          <w:lang w:val="en-AU"/>
        </w:rPr>
        <w:t xml:space="preserve"> and</w:t>
      </w:r>
      <w:r w:rsidR="00BE6BA3" w:rsidRPr="00BB7576">
        <w:rPr>
          <w:shd w:val="clear" w:color="auto" w:fill="FFFFFF"/>
          <w:lang w:val="en-AU"/>
        </w:rPr>
        <w:t xml:space="preserve"> each one</w:t>
      </w:r>
      <w:r w:rsidR="00A8390A" w:rsidRPr="00BB7576">
        <w:rPr>
          <w:shd w:val="clear" w:color="auto" w:fill="FFFFFF"/>
          <w:lang w:val="en-AU"/>
        </w:rPr>
        <w:t xml:space="preserve"> is</w:t>
      </w:r>
      <w:r w:rsidR="00BE6BA3" w:rsidRPr="00BB7576">
        <w:rPr>
          <w:shd w:val="clear" w:color="auto" w:fill="FFFFFF"/>
          <w:lang w:val="en-AU"/>
        </w:rPr>
        <w:t xml:space="preserve"> considered a</w:t>
      </w:r>
      <w:r w:rsidR="00BE6BA3" w:rsidRPr="009E7B69">
        <w:rPr>
          <w:shd w:val="clear" w:color="auto" w:fill="FFFFFF"/>
        </w:rPr>
        <w:t> </w:t>
      </w:r>
      <w:r w:rsidR="0016678B" w:rsidRPr="009E7B69">
        <w:rPr>
          <w:rtl/>
        </w:rPr>
        <w:t>משיח</w:t>
      </w:r>
      <w:r w:rsidR="00BE6BA3" w:rsidRPr="009E7B69">
        <w:rPr>
          <w:shd w:val="clear" w:color="auto" w:fill="FFFFFF"/>
        </w:rPr>
        <w:t>.</w:t>
      </w:r>
      <w:r w:rsidR="00BE6BA3" w:rsidRPr="009E7B69">
        <w:rPr>
          <w:rStyle w:val="FootnoteReference"/>
          <w:shd w:val="clear" w:color="auto" w:fill="FFFFFF"/>
        </w:rPr>
        <w:footnoteReference w:id="200"/>
      </w:r>
      <w:r w:rsidR="00BE6BA3" w:rsidRPr="009E7B69">
        <w:rPr>
          <w:shd w:val="clear" w:color="auto" w:fill="FFFFFF"/>
        </w:rPr>
        <w:t xml:space="preserve"> </w:t>
      </w:r>
      <w:r w:rsidR="00BE6BA3" w:rsidRPr="00BB7576">
        <w:rPr>
          <w:shd w:val="clear" w:color="auto" w:fill="FFFFFF"/>
          <w:lang w:val="en-AU"/>
        </w:rPr>
        <w:t>Talmud Sukkah 52a states:</w:t>
      </w:r>
    </w:p>
    <w:p w14:paraId="11DE415B" w14:textId="24EE2A31" w:rsidR="00D25D36" w:rsidRPr="009E7B69" w:rsidRDefault="00BE6BA3" w:rsidP="008D4202">
      <w:pPr>
        <w:ind w:left="706" w:right="706"/>
        <w:jc w:val="right"/>
      </w:pPr>
      <w:r w:rsidRPr="009E7B69">
        <w:rPr>
          <w:rtl/>
        </w:rPr>
        <w:t>הא הספידא מאי עבידתיה פליגי בה רבי דוסא ורבנן חד אמר על משיח בן יוסף שנהרג וחד אמר על יצה</w:t>
      </w:r>
      <w:r w:rsidR="00863B47" w:rsidRPr="009E7B69">
        <w:rPr>
          <w:rtl/>
        </w:rPr>
        <w:t>”</w:t>
      </w:r>
      <w:r w:rsidRPr="009E7B69">
        <w:rPr>
          <w:rtl/>
        </w:rPr>
        <w:t>ר שנהרג</w:t>
      </w:r>
    </w:p>
    <w:p w14:paraId="167DE7D9" w14:textId="17BCEF0B" w:rsidR="00D25D36" w:rsidRPr="00BB7576" w:rsidRDefault="00BE6BA3" w:rsidP="00E01243">
      <w:pPr>
        <w:pStyle w:val="Blockquotation"/>
        <w:rPr>
          <w:sz w:val="24"/>
          <w:lang w:val="en-AU"/>
        </w:rPr>
      </w:pPr>
      <w:r w:rsidRPr="009E7B69">
        <w:rPr>
          <w:sz w:val="24"/>
        </w:rPr>
        <w:t>[</w:t>
      </w:r>
      <w:r w:rsidRPr="00BB7576">
        <w:rPr>
          <w:sz w:val="24"/>
          <w:lang w:val="en-AU"/>
        </w:rPr>
        <w:t>Apropos the eulogy at the end of days, the Gemara asks: For] what is the nature of this eulogy? [The Gemara answers:] Rabbi Dosa and the Rabbis disagree concerning this [matter.] One said [that this eulogy is] for Messiah ben Yosef who was killed [in the war of Gog from the land of Magog prior to the ultimate redemption with the coming of Messiah ben David.] And one said [that this eulogy is] for the evil inclination that was killed.</w:t>
      </w:r>
    </w:p>
    <w:p w14:paraId="4059C2E8" w14:textId="40FE6642" w:rsidR="008D4202" w:rsidRPr="001C674C" w:rsidRDefault="00BE6BA3" w:rsidP="001C674C">
      <w:pPr>
        <w:spacing w:before="240" w:line="480" w:lineRule="auto"/>
        <w:contextualSpacing/>
        <w:rPr>
          <w:lang w:val="en-AU"/>
        </w:rPr>
      </w:pPr>
      <w:r w:rsidRPr="00BB7576">
        <w:rPr>
          <w:lang w:val="en-AU"/>
        </w:rPr>
        <w:t xml:space="preserve">Both </w:t>
      </w:r>
      <w:r w:rsidR="00B41132" w:rsidRPr="00BB7576">
        <w:rPr>
          <w:lang w:val="en-AU"/>
        </w:rPr>
        <w:t xml:space="preserve">Messiah ben Yosef and Messiah ben David </w:t>
      </w:r>
      <w:r w:rsidRPr="00BB7576">
        <w:rPr>
          <w:lang w:val="en-AU"/>
        </w:rPr>
        <w:t>usher</w:t>
      </w:r>
      <w:r w:rsidR="00C04DF9">
        <w:rPr>
          <w:lang w:val="en-AU"/>
        </w:rPr>
        <w:t>ed in</w:t>
      </w:r>
      <w:r w:rsidRPr="00BB7576">
        <w:rPr>
          <w:lang w:val="en-AU"/>
        </w:rPr>
        <w:t xml:space="preserve"> the Messianic era. The</w:t>
      </w:r>
      <w:r w:rsidR="00976F64" w:rsidRPr="00BB7576">
        <w:rPr>
          <w:lang w:val="en-AU"/>
        </w:rPr>
        <w:t xml:space="preserve">se two different messianic figures are known as </w:t>
      </w:r>
      <w:r w:rsidRPr="00BB7576">
        <w:rPr>
          <w:i/>
          <w:shd w:val="clear" w:color="auto" w:fill="FFFFFF"/>
          <w:lang w:val="en-AU"/>
        </w:rPr>
        <w:t xml:space="preserve">Mashiach ben Yosef </w:t>
      </w:r>
      <w:r w:rsidRPr="00BB7576">
        <w:rPr>
          <w:shd w:val="clear" w:color="auto" w:fill="FFFFFF"/>
          <w:lang w:val="en-AU"/>
        </w:rPr>
        <w:t xml:space="preserve">and </w:t>
      </w:r>
      <w:r w:rsidRPr="00BB7576">
        <w:rPr>
          <w:i/>
          <w:shd w:val="clear" w:color="auto" w:fill="FFFFFF"/>
          <w:lang w:val="en-AU"/>
        </w:rPr>
        <w:t>Mashiach ben David</w:t>
      </w:r>
      <w:r w:rsidRPr="00BB7576">
        <w:rPr>
          <w:shd w:val="clear" w:color="auto" w:fill="FFFFFF"/>
          <w:lang w:val="en-AU"/>
        </w:rPr>
        <w:t>.</w:t>
      </w:r>
      <w:r w:rsidRPr="00BB7576">
        <w:rPr>
          <w:lang w:val="en-AU"/>
        </w:rPr>
        <w:t xml:space="preserve"> </w:t>
      </w:r>
      <w:r w:rsidR="00E4781C">
        <w:rPr>
          <w:lang w:val="en-AU"/>
        </w:rPr>
        <w:t xml:space="preserve">Talmud Sukkah 52a </w:t>
      </w:r>
      <w:r w:rsidR="001C674C">
        <w:rPr>
          <w:lang w:val="en-AU"/>
        </w:rPr>
        <w:t xml:space="preserve">is composed of multiple layers. It begins with an introduction to Zechariah 12:12. </w:t>
      </w:r>
      <w:r w:rsidR="001C674C">
        <w:t xml:space="preserve">The first layer are the comments and remarks </w:t>
      </w:r>
      <w:r w:rsidR="001C674C" w:rsidRPr="001C674C">
        <w:t xml:space="preserve">by rabbinic commentators in both Hebrew and Aramaic. The Hebrew passages represent oral traditions deriving from Israel in the </w:t>
      </w:r>
      <w:r w:rsidR="00C04DF9">
        <w:t>T</w:t>
      </w:r>
      <w:r w:rsidR="001C674C" w:rsidRPr="001C674C">
        <w:t xml:space="preserve">annaitic period, before 200 CE. The Aramaic passages are the Babylonian redactor’s comments and date from the </w:t>
      </w:r>
      <w:r w:rsidR="00C04DF9">
        <w:t>A</w:t>
      </w:r>
      <w:r w:rsidR="001C674C" w:rsidRPr="001C674C">
        <w:t>moraic period, between c. 200 and 450 CE</w:t>
      </w:r>
      <w:r w:rsidR="00C04DF9">
        <w:t>. In</w:t>
      </w:r>
      <w:r w:rsidRPr="00BB7576">
        <w:rPr>
          <w:lang w:val="en-AU"/>
        </w:rPr>
        <w:t xml:space="preserve"> comparison to Talmudic sources, Marvin Sweeney </w:t>
      </w:r>
      <w:r w:rsidR="00797629" w:rsidRPr="00BB7576">
        <w:rPr>
          <w:lang w:val="en-AU"/>
        </w:rPr>
        <w:t>asser</w:t>
      </w:r>
      <w:r w:rsidR="00797629">
        <w:rPr>
          <w:lang w:val="en-AU"/>
        </w:rPr>
        <w:t xml:space="preserve">ts that </w:t>
      </w:r>
      <w:r w:rsidR="00797629" w:rsidRPr="00BB7576">
        <w:rPr>
          <w:lang w:val="en-AU"/>
        </w:rPr>
        <w:t xml:space="preserve">Isaiah chapters 40, 55 and 59 </w:t>
      </w:r>
      <w:r w:rsidR="00797629">
        <w:rPr>
          <w:lang w:val="en-AU"/>
        </w:rPr>
        <w:t xml:space="preserve">do not have the term </w:t>
      </w:r>
      <w:r w:rsidR="00863B47" w:rsidRPr="00BB7576">
        <w:rPr>
          <w:lang w:val="en-AU"/>
        </w:rPr>
        <w:t>“</w:t>
      </w:r>
      <w:r w:rsidRPr="00BB7576">
        <w:rPr>
          <w:lang w:val="en-AU"/>
        </w:rPr>
        <w:t>Davidic king</w:t>
      </w:r>
      <w:r w:rsidR="00863B47" w:rsidRPr="00BB7576">
        <w:rPr>
          <w:lang w:val="en-AU"/>
        </w:rPr>
        <w:t>”</w:t>
      </w:r>
      <w:r w:rsidRPr="00BB7576">
        <w:rPr>
          <w:lang w:val="en-AU"/>
        </w:rPr>
        <w:t xml:space="preserve"> </w:t>
      </w:r>
      <w:r w:rsidR="00797629">
        <w:rPr>
          <w:lang w:val="en-AU"/>
        </w:rPr>
        <w:t xml:space="preserve">because the dynasty had ended and </w:t>
      </w:r>
      <w:r w:rsidR="00C04DF9">
        <w:rPr>
          <w:lang w:val="en-AU"/>
        </w:rPr>
        <w:t>was</w:t>
      </w:r>
      <w:r w:rsidR="00797629">
        <w:rPr>
          <w:lang w:val="en-AU"/>
        </w:rPr>
        <w:t xml:space="preserve"> superseded by </w:t>
      </w:r>
      <w:r w:rsidR="00797629">
        <w:rPr>
          <w:lang w:val="en-AU"/>
        </w:rPr>
        <w:lastRenderedPageBreak/>
        <w:t xml:space="preserve">Cyrus as </w:t>
      </w:r>
      <w:r w:rsidRPr="00BB7576">
        <w:rPr>
          <w:lang w:val="en-AU"/>
        </w:rPr>
        <w:t>Yahweh</w:t>
      </w:r>
      <w:r w:rsidR="005C71CB" w:rsidRPr="00BB7576">
        <w:rPr>
          <w:lang w:val="en-AU"/>
        </w:rPr>
        <w:t>’</w:t>
      </w:r>
      <w:r w:rsidRPr="00BB7576">
        <w:rPr>
          <w:lang w:val="en-AU"/>
        </w:rPr>
        <w:t xml:space="preserve">s anointed </w:t>
      </w:r>
      <w:r w:rsidR="00797629">
        <w:rPr>
          <w:lang w:val="en-AU"/>
        </w:rPr>
        <w:t>(</w:t>
      </w:r>
      <w:r w:rsidRPr="00BB7576">
        <w:rPr>
          <w:lang w:val="en-AU"/>
        </w:rPr>
        <w:t>messiah</w:t>
      </w:r>
      <w:r w:rsidR="00797629">
        <w:rPr>
          <w:lang w:val="en-AU"/>
        </w:rPr>
        <w:t>)</w:t>
      </w:r>
      <w:r w:rsidRPr="00BB7576">
        <w:rPr>
          <w:lang w:val="en-AU"/>
        </w:rPr>
        <w:t>.</w:t>
      </w:r>
      <w:r w:rsidRPr="00BB7576">
        <w:rPr>
          <w:rStyle w:val="FootnoteReference"/>
          <w:lang w:val="en-AU"/>
        </w:rPr>
        <w:footnoteReference w:id="201"/>
      </w:r>
      <w:r w:rsidRPr="00BB7576">
        <w:rPr>
          <w:lang w:val="en-AU"/>
        </w:rPr>
        <w:t xml:space="preserve"> There have been only a few scholarly attempts </w:t>
      </w:r>
      <w:r w:rsidR="00797629">
        <w:rPr>
          <w:lang w:val="en-AU"/>
        </w:rPr>
        <w:t xml:space="preserve">to integrate the Christian Messianic figure into </w:t>
      </w:r>
      <w:r w:rsidRPr="00BB7576">
        <w:rPr>
          <w:lang w:val="en-AU"/>
        </w:rPr>
        <w:t>rabbinic discourse.</w:t>
      </w:r>
      <w:r w:rsidRPr="00BB7576">
        <w:rPr>
          <w:rStyle w:val="FootnoteReference"/>
          <w:lang w:val="en-AU"/>
        </w:rPr>
        <w:footnoteReference w:id="202"/>
      </w:r>
      <w:r w:rsidRPr="00BB7576">
        <w:rPr>
          <w:lang w:val="en-AU"/>
        </w:rPr>
        <w:t xml:space="preserve">  </w:t>
      </w:r>
    </w:p>
    <w:p w14:paraId="4E970D7B" w14:textId="6DBF2B8D" w:rsidR="008D4202" w:rsidRPr="00BB7576" w:rsidRDefault="00BE6BA3" w:rsidP="008D4202">
      <w:pPr>
        <w:spacing w:line="480" w:lineRule="auto"/>
        <w:ind w:firstLine="720"/>
        <w:contextualSpacing/>
        <w:rPr>
          <w:lang w:val="en-AU"/>
        </w:rPr>
      </w:pPr>
      <w:r w:rsidRPr="00BB7576">
        <w:rPr>
          <w:lang w:val="en-AU"/>
        </w:rPr>
        <w:t xml:space="preserve">The </w:t>
      </w:r>
      <w:r w:rsidR="00BD38C7" w:rsidRPr="00BB7576">
        <w:rPr>
          <w:lang w:val="en-AU"/>
        </w:rPr>
        <w:t>adapta</w:t>
      </w:r>
      <w:r w:rsidRPr="00BB7576">
        <w:rPr>
          <w:lang w:val="en-AU"/>
        </w:rPr>
        <w:t>tion of the Christian Messiah into rabbinic discourse is evident in the Jewish literature. Apocalyptic literature deals with the discussion of an end</w:t>
      </w:r>
      <w:r w:rsidR="004C5BEE">
        <w:rPr>
          <w:lang w:val="en-AU"/>
        </w:rPr>
        <w:t>-</w:t>
      </w:r>
      <w:r w:rsidRPr="00BB7576">
        <w:rPr>
          <w:lang w:val="en-AU"/>
        </w:rPr>
        <w:t>of</w:t>
      </w:r>
      <w:r w:rsidR="004C5BEE">
        <w:rPr>
          <w:lang w:val="en-AU"/>
        </w:rPr>
        <w:t>-</w:t>
      </w:r>
      <w:r w:rsidRPr="00BB7576">
        <w:rPr>
          <w:lang w:val="en-AU"/>
        </w:rPr>
        <w:t>time</w:t>
      </w:r>
      <w:r w:rsidR="00293576">
        <w:rPr>
          <w:lang w:val="en-AU"/>
        </w:rPr>
        <w:t xml:space="preserve"> </w:t>
      </w:r>
      <w:r w:rsidR="004C5BEE">
        <w:rPr>
          <w:lang w:val="en-AU"/>
        </w:rPr>
        <w:t>era</w:t>
      </w:r>
      <w:r w:rsidRPr="00BB7576">
        <w:rPr>
          <w:lang w:val="en-AU"/>
        </w:rPr>
        <w:t xml:space="preserve">. </w:t>
      </w:r>
      <w:r w:rsidR="00293576">
        <w:rPr>
          <w:lang w:val="en-AU"/>
        </w:rPr>
        <w:t xml:space="preserve">A </w:t>
      </w:r>
      <w:r w:rsidRPr="00BB7576">
        <w:rPr>
          <w:lang w:val="en-AU"/>
        </w:rPr>
        <w:t xml:space="preserve">connection between </w:t>
      </w:r>
      <w:r w:rsidR="00293576">
        <w:rPr>
          <w:lang w:val="en-AU"/>
        </w:rPr>
        <w:t xml:space="preserve">a </w:t>
      </w:r>
      <w:r w:rsidRPr="00BB7576">
        <w:rPr>
          <w:lang w:val="en-AU"/>
        </w:rPr>
        <w:t>Christian Messiah</w:t>
      </w:r>
      <w:r w:rsidR="00293576">
        <w:rPr>
          <w:lang w:val="en-AU"/>
        </w:rPr>
        <w:t xml:space="preserve"> figure</w:t>
      </w:r>
      <w:r w:rsidRPr="00BB7576">
        <w:rPr>
          <w:lang w:val="en-AU"/>
        </w:rPr>
        <w:t xml:space="preserve"> </w:t>
      </w:r>
      <w:r w:rsidR="00936243" w:rsidRPr="00BB7576">
        <w:rPr>
          <w:lang w:val="en-AU"/>
        </w:rPr>
        <w:t>and</w:t>
      </w:r>
      <w:r w:rsidRPr="00BB7576">
        <w:rPr>
          <w:lang w:val="en-AU"/>
        </w:rPr>
        <w:t xml:space="preserve"> Jewish messianism originates in apocalyptic literature. Jewish messianism </w:t>
      </w:r>
      <w:r w:rsidR="00976F64" w:rsidRPr="00BB7576">
        <w:rPr>
          <w:lang w:val="en-AU"/>
        </w:rPr>
        <w:t>originate</w:t>
      </w:r>
      <w:r w:rsidR="00936243" w:rsidRPr="00BB7576">
        <w:rPr>
          <w:lang w:val="en-AU"/>
        </w:rPr>
        <w:t>d</w:t>
      </w:r>
      <w:r w:rsidR="00976F64" w:rsidRPr="00BB7576">
        <w:rPr>
          <w:lang w:val="en-AU"/>
        </w:rPr>
        <w:t xml:space="preserve"> in </w:t>
      </w:r>
      <w:r w:rsidRPr="00BB7576">
        <w:rPr>
          <w:lang w:val="en-AU"/>
        </w:rPr>
        <w:t>apocalyptic literature</w:t>
      </w:r>
      <w:r w:rsidR="004953CB">
        <w:rPr>
          <w:lang w:val="en-AU"/>
        </w:rPr>
        <w:t>, where the latter originated</w:t>
      </w:r>
      <w:r w:rsidR="00976F64" w:rsidRPr="00BB7576">
        <w:rPr>
          <w:lang w:val="en-AU"/>
        </w:rPr>
        <w:t xml:space="preserve"> during the intertestamental period.</w:t>
      </w:r>
      <w:r w:rsidRPr="00BB7576">
        <w:rPr>
          <w:rStyle w:val="FootnoteReference"/>
          <w:lang w:val="en-AU"/>
        </w:rPr>
        <w:footnoteReference w:id="203"/>
      </w:r>
      <w:r w:rsidRPr="00BB7576">
        <w:rPr>
          <w:lang w:val="en-AU"/>
        </w:rPr>
        <w:t xml:space="preserve"> Lee, Hughes and Viljoen explain how the two lines of messianic thought developed different views of a messiah and that these views contribute</w:t>
      </w:r>
      <w:r w:rsidR="00936243" w:rsidRPr="00BB7576">
        <w:rPr>
          <w:lang w:val="en-AU"/>
        </w:rPr>
        <w:t xml:space="preserve"> to</w:t>
      </w:r>
      <w:r w:rsidR="004953CB">
        <w:rPr>
          <w:lang w:val="en-AU"/>
        </w:rPr>
        <w:t>,</w:t>
      </w:r>
      <w:r w:rsidRPr="00BB7576">
        <w:rPr>
          <w:lang w:val="en-AU"/>
        </w:rPr>
        <w:t xml:space="preserve"> but differ </w:t>
      </w:r>
      <w:r w:rsidR="004953CB">
        <w:rPr>
          <w:lang w:val="en-AU"/>
        </w:rPr>
        <w:t xml:space="preserve">from, </w:t>
      </w:r>
      <w:r w:rsidRPr="00BB7576">
        <w:rPr>
          <w:lang w:val="en-AU"/>
        </w:rPr>
        <w:t>Jesus</w:t>
      </w:r>
      <w:r w:rsidR="005C71CB" w:rsidRPr="00BB7576">
        <w:rPr>
          <w:lang w:val="en-AU"/>
        </w:rPr>
        <w:t>’</w:t>
      </w:r>
      <w:r w:rsidR="00E35288">
        <w:rPr>
          <w:lang w:val="en-AU"/>
        </w:rPr>
        <w:t>s</w:t>
      </w:r>
      <w:r w:rsidRPr="00BB7576">
        <w:rPr>
          <w:lang w:val="en-AU"/>
        </w:rPr>
        <w:t xml:space="preserve"> teachings in the Gospels:</w:t>
      </w:r>
    </w:p>
    <w:p w14:paraId="7734349D" w14:textId="19EDA2F5" w:rsidR="00D25D36" w:rsidRPr="00BB7576" w:rsidRDefault="00BE6BA3" w:rsidP="00DA3317">
      <w:pPr>
        <w:pStyle w:val="Blockquotation"/>
        <w:rPr>
          <w:sz w:val="24"/>
          <w:lang w:val="en-AU"/>
        </w:rPr>
      </w:pPr>
      <w:r w:rsidRPr="00BB7576">
        <w:rPr>
          <w:sz w:val="24"/>
          <w:lang w:val="en-AU"/>
        </w:rPr>
        <w:t>It seems that the Qumran community has two conceptions of the messiah. One of them is that the messiah will come from the shoot or branch of David (</w:t>
      </w:r>
      <w:proofErr w:type="gramStart"/>
      <w:r w:rsidRPr="00BB7576">
        <w:rPr>
          <w:sz w:val="24"/>
          <w:lang w:val="en-AU"/>
        </w:rPr>
        <w:t>e.g.</w:t>
      </w:r>
      <w:proofErr w:type="gramEnd"/>
      <w:r w:rsidRPr="00BB7576">
        <w:rPr>
          <w:sz w:val="24"/>
          <w:lang w:val="en-AU"/>
        </w:rPr>
        <w:t xml:space="preserve"> </w:t>
      </w:r>
      <w:r w:rsidRPr="00BB7576">
        <w:rPr>
          <w:sz w:val="24"/>
          <w:lang w:val="en-AU"/>
        </w:rPr>
        <w:lastRenderedPageBreak/>
        <w:t>1QSa 2:11–22; 4Q174, 3:11–13; 4Q252, 5:1–5). The other one is that the messiah will be the interpreter of the Law (</w:t>
      </w:r>
      <w:proofErr w:type="gramStart"/>
      <w:r w:rsidRPr="00BB7576">
        <w:rPr>
          <w:sz w:val="24"/>
          <w:lang w:val="en-AU"/>
        </w:rPr>
        <w:t>e.g.</w:t>
      </w:r>
      <w:proofErr w:type="gramEnd"/>
      <w:r w:rsidRPr="00BB7576">
        <w:rPr>
          <w:sz w:val="24"/>
          <w:lang w:val="en-AU"/>
        </w:rPr>
        <w:t xml:space="preserve"> 4Q174, 3:12). The Damascus Document mentions the interpreter of the Law, a title given to the messianic priest. As seen in large Qumran texts (the Commentary on Habakkuk, the Rule of the </w:t>
      </w:r>
      <w:proofErr w:type="gramStart"/>
      <w:r w:rsidRPr="00BB7576">
        <w:rPr>
          <w:sz w:val="24"/>
          <w:lang w:val="en-AU"/>
        </w:rPr>
        <w:t>Community</w:t>
      </w:r>
      <w:proofErr w:type="gramEnd"/>
      <w:r w:rsidRPr="00BB7576">
        <w:rPr>
          <w:sz w:val="24"/>
          <w:lang w:val="en-AU"/>
        </w:rPr>
        <w:t xml:space="preserve"> and the Rule of Congregation), the Qumran community anticipates the appearance of two messiahs. The Qumran messiah has different functions according to his different names, such as Judah, who indicates the Teacher of Righteousness, and Menahem, who indicates the suffering servant of the Dead Sea Scrolls. The concept of the </w:t>
      </w:r>
      <w:proofErr w:type="gramStart"/>
      <w:r w:rsidRPr="00BB7576">
        <w:rPr>
          <w:sz w:val="24"/>
          <w:lang w:val="en-AU"/>
        </w:rPr>
        <w:t>messiah</w:t>
      </w:r>
      <w:proofErr w:type="gramEnd"/>
      <w:r w:rsidRPr="00BB7576">
        <w:rPr>
          <w:sz w:val="24"/>
          <w:lang w:val="en-AU"/>
        </w:rPr>
        <w:t xml:space="preserve"> in the Qumran community differs from the concept of the messiah revealed through Jesus</w:t>
      </w:r>
      <w:r w:rsidR="005C71CB" w:rsidRPr="00BB7576">
        <w:rPr>
          <w:sz w:val="24"/>
          <w:lang w:val="en-AU"/>
        </w:rPr>
        <w:t>’</w:t>
      </w:r>
      <w:r w:rsidRPr="00BB7576">
        <w:rPr>
          <w:sz w:val="24"/>
          <w:lang w:val="en-AU"/>
        </w:rPr>
        <w:t xml:space="preserve"> teaching in the Gospel. The coming of Melchizedek is also connected to messianic expectations in Qumran texts.</w:t>
      </w:r>
      <w:r w:rsidRPr="00BB7576">
        <w:rPr>
          <w:rStyle w:val="FootnoteReference"/>
          <w:sz w:val="24"/>
          <w:lang w:val="en-AU"/>
        </w:rPr>
        <w:footnoteReference w:id="204"/>
      </w:r>
    </w:p>
    <w:p w14:paraId="6B316F69" w14:textId="13DEDA34" w:rsidR="008D4202" w:rsidRPr="009E7B69" w:rsidRDefault="004C5BEE" w:rsidP="004C5BEE">
      <w:pPr>
        <w:spacing w:before="240" w:line="480" w:lineRule="auto"/>
        <w:rPr>
          <w:lang w:val="en-AU"/>
        </w:rPr>
      </w:pPr>
      <w:r>
        <w:rPr>
          <w:lang w:val="en-AU"/>
        </w:rPr>
        <w:t xml:space="preserve">With the understanding of two different </w:t>
      </w:r>
      <w:r w:rsidRPr="009E7B69">
        <w:rPr>
          <w:rtl/>
        </w:rPr>
        <w:t>משיח</w:t>
      </w:r>
      <w:r>
        <w:rPr>
          <w:lang w:val="en-AU"/>
        </w:rPr>
        <w:t xml:space="preserve"> views in Judaism at the time of the Common Era, a clear understanding does not become evident</w:t>
      </w:r>
      <w:r w:rsidR="000918A0">
        <w:rPr>
          <w:lang w:val="en-AU"/>
        </w:rPr>
        <w:t xml:space="preserve"> at that point</w:t>
      </w:r>
      <w:r>
        <w:rPr>
          <w:lang w:val="en-AU"/>
        </w:rPr>
        <w:t xml:space="preserve">. </w:t>
      </w:r>
      <w:r w:rsidR="00BE6BA3" w:rsidRPr="009E7B69">
        <w:rPr>
          <w:lang w:val="en-AU"/>
        </w:rPr>
        <w:t xml:space="preserve">Judaism and its messiahs at the beginning of the Common Era </w:t>
      </w:r>
      <w:r w:rsidR="00BA0A3A" w:rsidRPr="009E7B69">
        <w:rPr>
          <w:lang w:val="en-AU"/>
        </w:rPr>
        <w:t>are</w:t>
      </w:r>
      <w:r w:rsidR="00BE6BA3" w:rsidRPr="009E7B69">
        <w:rPr>
          <w:lang w:val="en-AU"/>
        </w:rPr>
        <w:t xml:space="preserve"> problematic</w:t>
      </w:r>
      <w:r>
        <w:rPr>
          <w:lang w:val="en-AU"/>
        </w:rPr>
        <w:t xml:space="preserve"> because of the multiplicity of Jewish thought</w:t>
      </w:r>
      <w:r w:rsidR="00976F64" w:rsidRPr="009E7B69">
        <w:rPr>
          <w:lang w:val="en-AU"/>
        </w:rPr>
        <w:t xml:space="preserve">. There </w:t>
      </w:r>
      <w:r w:rsidR="00BA0A3A" w:rsidRPr="009E7B69">
        <w:rPr>
          <w:lang w:val="en-AU"/>
        </w:rPr>
        <w:t>wa</w:t>
      </w:r>
      <w:r w:rsidR="00976F64" w:rsidRPr="009E7B69">
        <w:rPr>
          <w:lang w:val="en-AU"/>
        </w:rPr>
        <w:t xml:space="preserve">s a </w:t>
      </w:r>
      <w:r w:rsidR="00BE6BA3" w:rsidRPr="009E7B69">
        <w:rPr>
          <w:lang w:val="en-AU"/>
        </w:rPr>
        <w:t>multitude of Jewish sects and Jewish messianic expectations at this time</w:t>
      </w:r>
      <w:r w:rsidR="000918A0">
        <w:rPr>
          <w:lang w:val="en-AU"/>
        </w:rPr>
        <w:t>, and</w:t>
      </w:r>
      <w:r>
        <w:rPr>
          <w:lang w:val="en-AU"/>
        </w:rPr>
        <w:t xml:space="preserve"> all were different</w:t>
      </w:r>
      <w:r w:rsidR="00BE6BA3" w:rsidRPr="009E7B69">
        <w:rPr>
          <w:lang w:val="en-AU"/>
        </w:rPr>
        <w:t>.</w:t>
      </w:r>
      <w:r w:rsidR="00BE6BA3" w:rsidRPr="009E7B69">
        <w:rPr>
          <w:rStyle w:val="FootnoteReference"/>
          <w:lang w:val="en-AU"/>
        </w:rPr>
        <w:footnoteReference w:id="205"/>
      </w:r>
      <w:r w:rsidR="00BE6BA3" w:rsidRPr="009E7B69">
        <w:rPr>
          <w:lang w:val="en-AU"/>
        </w:rPr>
        <w:t xml:space="preserve"> </w:t>
      </w:r>
      <w:r>
        <w:rPr>
          <w:lang w:val="en-AU"/>
        </w:rPr>
        <w:t xml:space="preserve">The role of a Jewish </w:t>
      </w:r>
      <w:r w:rsidRPr="009E7B69">
        <w:rPr>
          <w:rFonts w:hint="cs"/>
          <w:rtl/>
        </w:rPr>
        <w:t>משיח</w:t>
      </w:r>
      <w:r w:rsidRPr="009E7B69">
        <w:rPr>
          <w:lang w:val="en-AU"/>
        </w:rPr>
        <w:t xml:space="preserve"> </w:t>
      </w:r>
      <w:r>
        <w:rPr>
          <w:lang w:val="en-AU"/>
        </w:rPr>
        <w:t xml:space="preserve">extended beyond just the area around the Qumran community. The boundaries in which a </w:t>
      </w:r>
      <w:r w:rsidRPr="009E7B69">
        <w:rPr>
          <w:rtl/>
        </w:rPr>
        <w:t>משיח</w:t>
      </w:r>
      <w:r w:rsidRPr="009E7B69">
        <w:rPr>
          <w:lang w:val="en-AU"/>
        </w:rPr>
        <w:t xml:space="preserve"> </w:t>
      </w:r>
      <w:r>
        <w:rPr>
          <w:lang w:val="en-AU"/>
        </w:rPr>
        <w:t xml:space="preserve">was defined went beyond geography and to people groups. </w:t>
      </w:r>
      <w:r w:rsidR="00BE6BA3" w:rsidRPr="009E7B69">
        <w:rPr>
          <w:lang w:val="en-AU"/>
        </w:rPr>
        <w:t xml:space="preserve">Shaye Cohen contends that the wide range of meanings assigned to the Greek term </w:t>
      </w:r>
      <w:r w:rsidR="00BE6BA3" w:rsidRPr="009E7B69">
        <w:rPr>
          <w:i/>
          <w:iCs/>
          <w:lang w:val="en-AU"/>
        </w:rPr>
        <w:t xml:space="preserve">Iudaei </w:t>
      </w:r>
      <w:r w:rsidR="004F1C00" w:rsidRPr="009E7B69">
        <w:rPr>
          <w:lang w:val="en-AU"/>
        </w:rPr>
        <w:t xml:space="preserve">may be </w:t>
      </w:r>
      <w:r w:rsidR="00BE6BA3" w:rsidRPr="009E7B69">
        <w:rPr>
          <w:lang w:val="en-AU"/>
        </w:rPr>
        <w:t xml:space="preserve">geographical as well as </w:t>
      </w:r>
      <w:r w:rsidR="00431746" w:rsidRPr="009E7B69">
        <w:rPr>
          <w:lang w:val="en-AU"/>
        </w:rPr>
        <w:t xml:space="preserve">denoting </w:t>
      </w:r>
      <w:r w:rsidR="00BE6BA3" w:rsidRPr="009E7B69">
        <w:rPr>
          <w:lang w:val="en-AU"/>
        </w:rPr>
        <w:t>people groups.</w:t>
      </w:r>
      <w:r w:rsidR="00BE6BA3" w:rsidRPr="009E7B69">
        <w:rPr>
          <w:rStyle w:val="FootnoteReference"/>
          <w:lang w:val="en-AU"/>
        </w:rPr>
        <w:t xml:space="preserve"> </w:t>
      </w:r>
      <w:r w:rsidR="00BE6BA3" w:rsidRPr="009E7B69">
        <w:rPr>
          <w:rStyle w:val="FootnoteReference"/>
          <w:lang w:val="en-AU"/>
        </w:rPr>
        <w:footnoteReference w:id="206"/>
      </w:r>
      <w:r w:rsidR="00BE6BA3" w:rsidRPr="009E7B69">
        <w:rPr>
          <w:lang w:val="en-AU"/>
        </w:rPr>
        <w:t xml:space="preserve"> Th</w:t>
      </w:r>
      <w:r w:rsidR="00431746" w:rsidRPr="009E7B69">
        <w:rPr>
          <w:lang w:val="en-AU"/>
        </w:rPr>
        <w:t>e</w:t>
      </w:r>
      <w:r w:rsidR="00BE6BA3" w:rsidRPr="009E7B69">
        <w:rPr>
          <w:lang w:val="en-AU"/>
        </w:rPr>
        <w:t xml:space="preserve"> wide group of people that have the name </w:t>
      </w:r>
      <w:r w:rsidR="00BE6BA3" w:rsidRPr="009E7B69">
        <w:rPr>
          <w:i/>
          <w:iCs/>
          <w:lang w:val="en-AU"/>
        </w:rPr>
        <w:t xml:space="preserve">Iudaei </w:t>
      </w:r>
      <w:r w:rsidR="00BE6BA3" w:rsidRPr="009E7B69">
        <w:rPr>
          <w:lang w:val="en-AU"/>
        </w:rPr>
        <w:t xml:space="preserve">extends the definition of </w:t>
      </w:r>
      <w:r w:rsidR="00BE6BA3" w:rsidRPr="009E7B69">
        <w:rPr>
          <w:i/>
          <w:iCs/>
          <w:lang w:val="en-AU"/>
        </w:rPr>
        <w:t>Iudaei</w:t>
      </w:r>
      <w:r w:rsidR="00BE6BA3" w:rsidRPr="009E7B69">
        <w:rPr>
          <w:lang w:val="en-AU"/>
        </w:rPr>
        <w:t xml:space="preserve"> beyond Jewish persons. Christians </w:t>
      </w:r>
      <w:r w:rsidR="00E045E1" w:rsidRPr="009E7B69">
        <w:rPr>
          <w:lang w:val="en-AU"/>
        </w:rPr>
        <w:t xml:space="preserve">and Jewish people </w:t>
      </w:r>
      <w:r w:rsidR="00BE6BA3" w:rsidRPr="009E7B69">
        <w:rPr>
          <w:lang w:val="en-AU"/>
        </w:rPr>
        <w:t xml:space="preserve">were </w:t>
      </w:r>
      <w:r w:rsidR="00E045E1" w:rsidRPr="009E7B69">
        <w:rPr>
          <w:lang w:val="en-AU"/>
        </w:rPr>
        <w:t>called</w:t>
      </w:r>
      <w:r w:rsidR="00BE6BA3" w:rsidRPr="009E7B69">
        <w:rPr>
          <w:lang w:val="en-AU"/>
        </w:rPr>
        <w:t xml:space="preserve"> </w:t>
      </w:r>
      <w:r w:rsidR="00BE6BA3" w:rsidRPr="009E7B69">
        <w:rPr>
          <w:i/>
          <w:iCs/>
          <w:lang w:val="en-AU"/>
        </w:rPr>
        <w:t>Iudaei</w:t>
      </w:r>
      <w:r w:rsidR="00BE6BA3" w:rsidRPr="009E7B69">
        <w:rPr>
          <w:lang w:val="en-AU"/>
        </w:rPr>
        <w:t>.</w:t>
      </w:r>
      <w:r w:rsidR="00BE6BA3" w:rsidRPr="009E7B69">
        <w:rPr>
          <w:rStyle w:val="FootnoteReference"/>
          <w:lang w:val="en-AU"/>
        </w:rPr>
        <w:footnoteReference w:id="207"/>
      </w:r>
    </w:p>
    <w:p w14:paraId="4820A040" w14:textId="77777777" w:rsidR="005B5632" w:rsidRDefault="004C5BEE" w:rsidP="00FB12A7">
      <w:pPr>
        <w:spacing w:line="480" w:lineRule="auto"/>
        <w:ind w:firstLine="720"/>
        <w:contextualSpacing/>
        <w:rPr>
          <w:lang w:val="en-AU"/>
        </w:rPr>
      </w:pPr>
      <w:r>
        <w:rPr>
          <w:lang w:val="en-AU"/>
        </w:rPr>
        <w:lastRenderedPageBreak/>
        <w:t xml:space="preserve">In the </w:t>
      </w:r>
      <w:r w:rsidRPr="004C5BEE">
        <w:rPr>
          <w:i/>
          <w:iCs/>
          <w:lang w:val="en-AU"/>
        </w:rPr>
        <w:t>Iudaea</w:t>
      </w:r>
      <w:r>
        <w:rPr>
          <w:lang w:val="en-AU"/>
        </w:rPr>
        <w:t xml:space="preserve"> province, </w:t>
      </w:r>
      <w:r w:rsidR="00E045E1" w:rsidRPr="004C5BEE">
        <w:rPr>
          <w:lang w:val="en-AU"/>
        </w:rPr>
        <w:t>Josephus</w:t>
      </w:r>
      <w:r w:rsidR="00E045E1" w:rsidRPr="009E7B69">
        <w:rPr>
          <w:lang w:val="en-AU"/>
        </w:rPr>
        <w:t xml:space="preserve"> indicates that when the Zealots formed during </w:t>
      </w:r>
      <w:r w:rsidR="00E06BA2" w:rsidRPr="009E7B69">
        <w:rPr>
          <w:lang w:val="en-AU"/>
        </w:rPr>
        <w:t xml:space="preserve">the </w:t>
      </w:r>
      <w:r w:rsidR="00E045E1" w:rsidRPr="009E7B69">
        <w:rPr>
          <w:lang w:val="en-AU"/>
        </w:rPr>
        <w:t xml:space="preserve">Census of Quirinius </w:t>
      </w:r>
      <w:r w:rsidR="00E06BA2" w:rsidRPr="009E7B69">
        <w:rPr>
          <w:lang w:val="en-AU"/>
        </w:rPr>
        <w:t>in</w:t>
      </w:r>
      <w:r w:rsidR="00E045E1" w:rsidRPr="009E7B69">
        <w:rPr>
          <w:lang w:val="en-AU"/>
        </w:rPr>
        <w:t xml:space="preserve"> 6 CE, people </w:t>
      </w:r>
      <w:r w:rsidR="001C5F1A" w:rsidRPr="009E7B69">
        <w:rPr>
          <w:lang w:val="en-AU"/>
        </w:rPr>
        <w:t>turned against</w:t>
      </w:r>
      <w:r w:rsidR="00E045E1" w:rsidRPr="009E7B69">
        <w:rPr>
          <w:lang w:val="en-AU"/>
        </w:rPr>
        <w:t xml:space="preserve"> the</w:t>
      </w:r>
      <w:r w:rsidR="00784EF2" w:rsidRPr="009E7B69">
        <w:rPr>
          <w:lang w:val="en-AU"/>
        </w:rPr>
        <w:t xml:space="preserve"> </w:t>
      </w:r>
      <w:r w:rsidR="00BE6BA3" w:rsidRPr="009E7B69">
        <w:rPr>
          <w:lang w:val="en-AU"/>
        </w:rPr>
        <w:t xml:space="preserve">Roman </w:t>
      </w:r>
      <w:r w:rsidR="00784EF2" w:rsidRPr="009E7B69">
        <w:rPr>
          <w:lang w:val="en-AU"/>
        </w:rPr>
        <w:t>rulership of the</w:t>
      </w:r>
      <w:r w:rsidR="00BE6BA3" w:rsidRPr="009E7B69">
        <w:rPr>
          <w:lang w:val="en-AU"/>
        </w:rPr>
        <w:t xml:space="preserve"> </w:t>
      </w:r>
      <w:r w:rsidR="00BE6BA3" w:rsidRPr="009E7B69">
        <w:rPr>
          <w:i/>
          <w:iCs/>
          <w:lang w:val="en-AU"/>
        </w:rPr>
        <w:t>Iudaea</w:t>
      </w:r>
      <w:r w:rsidR="00BE6BA3" w:rsidRPr="009E7B69">
        <w:rPr>
          <w:lang w:val="en-AU"/>
        </w:rPr>
        <w:t xml:space="preserve"> Province</w:t>
      </w:r>
      <w:r w:rsidR="00976F64" w:rsidRPr="009E7B69">
        <w:rPr>
          <w:lang w:val="en-AU"/>
        </w:rPr>
        <w:t xml:space="preserve"> </w:t>
      </w:r>
      <w:r w:rsidR="001C5F1A" w:rsidRPr="009E7B69">
        <w:rPr>
          <w:lang w:val="en-AU"/>
        </w:rPr>
        <w:t xml:space="preserve">in search of </w:t>
      </w:r>
      <w:r w:rsidR="00976F64" w:rsidRPr="009E7B69">
        <w:rPr>
          <w:lang w:val="en-AU"/>
        </w:rPr>
        <w:t>a deliver</w:t>
      </w:r>
      <w:r w:rsidR="002639CE" w:rsidRPr="009E7B69">
        <w:rPr>
          <w:lang w:val="en-AU"/>
        </w:rPr>
        <w:t>er</w:t>
      </w:r>
      <w:r w:rsidR="00784EF2" w:rsidRPr="009E7B69">
        <w:rPr>
          <w:lang w:val="en-AU"/>
        </w:rPr>
        <w:t xml:space="preserve">. </w:t>
      </w:r>
      <w:r>
        <w:rPr>
          <w:lang w:val="en-AU"/>
        </w:rPr>
        <w:t xml:space="preserve">They were looking for a </w:t>
      </w:r>
      <w:r w:rsidRPr="009E7B69">
        <w:rPr>
          <w:rtl/>
        </w:rPr>
        <w:t>משיח</w:t>
      </w:r>
      <w:r>
        <w:rPr>
          <w:lang w:val="en-AU"/>
        </w:rPr>
        <w:t xml:space="preserve">. The hostile relationship between Rome and the Jewish people was a repeated theme.  </w:t>
      </w:r>
      <w:r w:rsidR="00926210" w:rsidRPr="009E7B69">
        <w:rPr>
          <w:lang w:val="en-AU"/>
        </w:rPr>
        <w:t>T</w:t>
      </w:r>
      <w:r w:rsidR="00BE6BA3" w:rsidRPr="009E7B69">
        <w:rPr>
          <w:lang w:val="en-AU"/>
        </w:rPr>
        <w:t xml:space="preserve">he </w:t>
      </w:r>
      <w:r w:rsidR="00E211AF" w:rsidRPr="009E7B69">
        <w:rPr>
          <w:lang w:val="en-AU"/>
        </w:rPr>
        <w:t>relationship between</w:t>
      </w:r>
      <w:r w:rsidR="00976F64" w:rsidRPr="009E7B69">
        <w:rPr>
          <w:lang w:val="en-AU"/>
        </w:rPr>
        <w:t xml:space="preserve"> the Romans and Jewish</w:t>
      </w:r>
      <w:r w:rsidR="00857FC3" w:rsidRPr="009E7B69">
        <w:rPr>
          <w:lang w:val="en-AU"/>
        </w:rPr>
        <w:t xml:space="preserve"> people was</w:t>
      </w:r>
      <w:r w:rsidR="00976F64" w:rsidRPr="009E7B69">
        <w:rPr>
          <w:lang w:val="en-AU"/>
        </w:rPr>
        <w:t xml:space="preserve"> openly hostile between </w:t>
      </w:r>
      <w:r w:rsidR="00926210" w:rsidRPr="009E7B69">
        <w:rPr>
          <w:lang w:val="en-AU"/>
        </w:rPr>
        <w:t xml:space="preserve">37 </w:t>
      </w:r>
      <w:r w:rsidR="00857FC3" w:rsidRPr="009E7B69">
        <w:rPr>
          <w:lang w:val="en-AU"/>
        </w:rPr>
        <w:t>and</w:t>
      </w:r>
      <w:r w:rsidR="00926210" w:rsidRPr="009E7B69">
        <w:rPr>
          <w:lang w:val="en-AU"/>
        </w:rPr>
        <w:t xml:space="preserve"> 41 CE</w:t>
      </w:r>
      <w:r w:rsidR="00BE6BA3" w:rsidRPr="009E7B69">
        <w:rPr>
          <w:lang w:val="en-AU"/>
        </w:rPr>
        <w:t>.</w:t>
      </w:r>
      <w:r w:rsidR="00BE6BA3" w:rsidRPr="009E7B69">
        <w:rPr>
          <w:rStyle w:val="FootnoteReference"/>
          <w:lang w:val="en-AU"/>
        </w:rPr>
        <w:footnoteReference w:id="208"/>
      </w:r>
      <w:r w:rsidR="00BE6BA3" w:rsidRPr="009E7B69">
        <w:rPr>
          <w:lang w:val="en-AU"/>
        </w:rPr>
        <w:t xml:space="preserve"> </w:t>
      </w:r>
      <w:r w:rsidR="005B5632">
        <w:rPr>
          <w:lang w:val="en-AU"/>
        </w:rPr>
        <w:t>Before the fall of the Temple, p</w:t>
      </w:r>
      <w:r w:rsidR="00BE6BA3" w:rsidRPr="009E7B69">
        <w:rPr>
          <w:lang w:val="en-AU"/>
        </w:rPr>
        <w:t xml:space="preserve">eople within the </w:t>
      </w:r>
      <w:r w:rsidR="00BE6BA3" w:rsidRPr="009E7B69">
        <w:rPr>
          <w:i/>
          <w:iCs/>
          <w:lang w:val="en-AU"/>
        </w:rPr>
        <w:t xml:space="preserve">Iudaea </w:t>
      </w:r>
      <w:r w:rsidR="00BE6BA3" w:rsidRPr="009E7B69">
        <w:rPr>
          <w:lang w:val="en-AU"/>
        </w:rPr>
        <w:t xml:space="preserve">Province </w:t>
      </w:r>
      <w:r w:rsidR="00857FC3" w:rsidRPr="009E7B69">
        <w:rPr>
          <w:lang w:val="en-AU"/>
        </w:rPr>
        <w:t>we</w:t>
      </w:r>
      <w:r w:rsidR="00BE6BA3" w:rsidRPr="009E7B69">
        <w:rPr>
          <w:lang w:val="en-AU"/>
        </w:rPr>
        <w:t xml:space="preserve">re referred to as </w:t>
      </w:r>
      <w:r w:rsidR="00BE6BA3" w:rsidRPr="009E7B69">
        <w:rPr>
          <w:i/>
          <w:iCs/>
          <w:lang w:val="en-AU"/>
        </w:rPr>
        <w:t>Iudaei</w:t>
      </w:r>
      <w:r w:rsidR="00BE6BA3" w:rsidRPr="009E7B69">
        <w:rPr>
          <w:iCs/>
          <w:lang w:val="en-AU"/>
        </w:rPr>
        <w:t xml:space="preserve">, and </w:t>
      </w:r>
      <w:r w:rsidR="00BE6BA3" w:rsidRPr="009E7B69">
        <w:rPr>
          <w:lang w:val="en-AU"/>
        </w:rPr>
        <w:t xml:space="preserve">the people Josephus described as </w:t>
      </w:r>
      <w:r w:rsidR="00BE6BA3" w:rsidRPr="009E7B69">
        <w:rPr>
          <w:i/>
          <w:iCs/>
          <w:lang w:val="en-AU"/>
        </w:rPr>
        <w:t>Iudaei</w:t>
      </w:r>
      <w:r w:rsidR="00BE6BA3" w:rsidRPr="009E7B69">
        <w:rPr>
          <w:lang w:val="en-AU"/>
        </w:rPr>
        <w:t xml:space="preserve"> are said to have taken part in this break with Rome.</w:t>
      </w:r>
      <w:r w:rsidR="00E045E1" w:rsidRPr="009E7B69">
        <w:rPr>
          <w:lang w:val="en-AU"/>
        </w:rPr>
        <w:t xml:space="preserve"> The result was that</w:t>
      </w:r>
      <w:r w:rsidR="009017CB" w:rsidRPr="009E7B69">
        <w:rPr>
          <w:lang w:val="en-AU"/>
        </w:rPr>
        <w:t xml:space="preserve"> the people in </w:t>
      </w:r>
      <w:r w:rsidR="009017CB" w:rsidRPr="009E7B69">
        <w:rPr>
          <w:i/>
          <w:iCs/>
          <w:lang w:val="en-AU"/>
        </w:rPr>
        <w:t>Iudaei</w:t>
      </w:r>
      <w:r w:rsidR="009017CB" w:rsidRPr="009E7B69">
        <w:rPr>
          <w:lang w:val="en-AU"/>
        </w:rPr>
        <w:t xml:space="preserve"> looked toward </w:t>
      </w:r>
      <w:proofErr w:type="gramStart"/>
      <w:r w:rsidR="004C0BB6" w:rsidRPr="009E7B69">
        <w:rPr>
          <w:lang w:val="en-AU"/>
        </w:rPr>
        <w:t>both</w:t>
      </w:r>
      <w:r w:rsidR="00FB12A7" w:rsidRPr="009E7B69">
        <w:rPr>
          <w:lang w:val="en-AU"/>
        </w:rPr>
        <w:t xml:space="preserve"> of</w:t>
      </w:r>
      <w:r w:rsidR="004C0BB6" w:rsidRPr="009E7B69">
        <w:rPr>
          <w:lang w:val="en-AU"/>
        </w:rPr>
        <w:t xml:space="preserve"> </w:t>
      </w:r>
      <w:r w:rsidR="00E045E1" w:rsidRPr="009E7B69">
        <w:rPr>
          <w:lang w:val="en-AU"/>
        </w:rPr>
        <w:t>the two</w:t>
      </w:r>
      <w:proofErr w:type="gramEnd"/>
      <w:r w:rsidR="00E045E1" w:rsidRPr="009E7B69">
        <w:rPr>
          <w:lang w:val="en-AU"/>
        </w:rPr>
        <w:t xml:space="preserve"> different branches of messianic </w:t>
      </w:r>
      <w:r w:rsidR="009017CB" w:rsidRPr="009E7B69">
        <w:rPr>
          <w:lang w:val="en-AU"/>
        </w:rPr>
        <w:t xml:space="preserve">deliverance. </w:t>
      </w:r>
    </w:p>
    <w:p w14:paraId="304CF111" w14:textId="0176DDA7" w:rsidR="008D4202" w:rsidRPr="009E7B69" w:rsidRDefault="00BE6BA3" w:rsidP="00FB12A7">
      <w:pPr>
        <w:spacing w:line="480" w:lineRule="auto"/>
        <w:ind w:firstLine="720"/>
        <w:contextualSpacing/>
        <w:rPr>
          <w:lang w:val="en-AU"/>
        </w:rPr>
      </w:pPr>
      <w:r w:rsidRPr="009E7B69">
        <w:rPr>
          <w:lang w:val="en-AU"/>
        </w:rPr>
        <w:t>After Jesus</w:t>
      </w:r>
      <w:r w:rsidR="005C71CB" w:rsidRPr="009E7B69">
        <w:rPr>
          <w:lang w:val="en-AU"/>
        </w:rPr>
        <w:t>’</w:t>
      </w:r>
      <w:r w:rsidR="00E35288">
        <w:rPr>
          <w:lang w:val="en-AU"/>
        </w:rPr>
        <w:t>s</w:t>
      </w:r>
      <w:r w:rsidRPr="009E7B69">
        <w:rPr>
          <w:lang w:val="en-AU"/>
        </w:rPr>
        <w:t xml:space="preserve"> death, Christianity developed the </w:t>
      </w:r>
      <w:r w:rsidR="00863B47" w:rsidRPr="009E7B69">
        <w:rPr>
          <w:lang w:val="en-AU"/>
        </w:rPr>
        <w:t>“</w:t>
      </w:r>
      <w:r w:rsidRPr="009E7B69">
        <w:rPr>
          <w:lang w:val="en-AU"/>
        </w:rPr>
        <w:t>world ruler</w:t>
      </w:r>
      <w:r w:rsidR="00863B47" w:rsidRPr="009E7B69">
        <w:rPr>
          <w:lang w:val="en-AU"/>
        </w:rPr>
        <w:t>”</w:t>
      </w:r>
      <w:r w:rsidRPr="009E7B69">
        <w:rPr>
          <w:lang w:val="en-AU"/>
        </w:rPr>
        <w:t xml:space="preserve"> or </w:t>
      </w:r>
      <w:r w:rsidR="00863B47" w:rsidRPr="009E7B69">
        <w:rPr>
          <w:lang w:val="en-AU"/>
        </w:rPr>
        <w:t>“</w:t>
      </w:r>
      <w:r w:rsidRPr="009E7B69">
        <w:rPr>
          <w:lang w:val="en-AU"/>
        </w:rPr>
        <w:t>star</w:t>
      </w:r>
      <w:r w:rsidR="00863B47" w:rsidRPr="009E7B69">
        <w:rPr>
          <w:lang w:val="en-AU"/>
        </w:rPr>
        <w:t>”</w:t>
      </w:r>
      <w:r w:rsidRPr="009E7B69">
        <w:rPr>
          <w:lang w:val="en-AU"/>
        </w:rPr>
        <w:t xml:space="preserve"> prophecy</w:t>
      </w:r>
      <w:r w:rsidR="005B5632">
        <w:rPr>
          <w:lang w:val="en-AU"/>
        </w:rPr>
        <w:t xml:space="preserve"> as part of the interpretation of </w:t>
      </w:r>
      <w:r w:rsidR="005B5632" w:rsidRPr="009E7B69">
        <w:rPr>
          <w:rtl/>
        </w:rPr>
        <w:t>משיח</w:t>
      </w:r>
      <w:r w:rsidR="0024395B" w:rsidRPr="009E7B69">
        <w:rPr>
          <w:lang w:val="en-AU"/>
        </w:rPr>
        <w:t xml:space="preserve">. The star prophecy looks at the </w:t>
      </w:r>
      <w:r w:rsidR="0024395B" w:rsidRPr="009E7B69">
        <w:rPr>
          <w:i/>
          <w:shd w:val="clear" w:color="auto" w:fill="FFFFFF"/>
          <w:lang w:val="en-AU"/>
        </w:rPr>
        <w:t xml:space="preserve">Mashiach ben Yosef </w:t>
      </w:r>
      <w:r w:rsidR="0024395B" w:rsidRPr="009E7B69">
        <w:rPr>
          <w:shd w:val="clear" w:color="auto" w:fill="FFFFFF"/>
          <w:lang w:val="en-AU"/>
        </w:rPr>
        <w:t xml:space="preserve">and </w:t>
      </w:r>
      <w:r w:rsidR="0024395B" w:rsidRPr="009E7B69">
        <w:rPr>
          <w:i/>
          <w:shd w:val="clear" w:color="auto" w:fill="FFFFFF"/>
          <w:lang w:val="en-AU"/>
        </w:rPr>
        <w:t>Mashiach ben David</w:t>
      </w:r>
      <w:r w:rsidR="0024395B" w:rsidRPr="009E7B69">
        <w:rPr>
          <w:lang w:val="en-AU"/>
        </w:rPr>
        <w:t xml:space="preserve"> prophecies and suggests that Numbers 24:7 </w:t>
      </w:r>
      <w:r w:rsidR="00F20A17" w:rsidRPr="009E7B69">
        <w:rPr>
          <w:lang w:val="en-AU"/>
        </w:rPr>
        <w:t>means</w:t>
      </w:r>
      <w:r w:rsidR="00021DC2" w:rsidRPr="009E7B69">
        <w:rPr>
          <w:lang w:val="en-AU"/>
        </w:rPr>
        <w:t xml:space="preserve"> that</w:t>
      </w:r>
      <w:r w:rsidRPr="009E7B69">
        <w:rPr>
          <w:lang w:val="en-AU"/>
        </w:rPr>
        <w:t xml:space="preserve"> </w:t>
      </w:r>
      <w:r w:rsidR="00F20A17" w:rsidRPr="009E7B69">
        <w:rPr>
          <w:lang w:val="en-AU"/>
        </w:rPr>
        <w:t xml:space="preserve">a </w:t>
      </w:r>
      <w:r w:rsidRPr="009E7B69">
        <w:rPr>
          <w:i/>
          <w:lang w:val="en-AU"/>
        </w:rPr>
        <w:t>star</w:t>
      </w:r>
      <w:r w:rsidRPr="009E7B69">
        <w:rPr>
          <w:lang w:val="en-AU"/>
        </w:rPr>
        <w:t xml:space="preserve"> will rise out of Jacob and a </w:t>
      </w:r>
      <w:r w:rsidRPr="009E7B69">
        <w:rPr>
          <w:i/>
          <w:lang w:val="en-AU"/>
        </w:rPr>
        <w:t>scept</w:t>
      </w:r>
      <w:r w:rsidR="00021DC2" w:rsidRPr="009E7B69">
        <w:rPr>
          <w:i/>
          <w:iCs/>
          <w:lang w:val="en-AU"/>
        </w:rPr>
        <w:t>e</w:t>
      </w:r>
      <w:r w:rsidR="000918A0">
        <w:rPr>
          <w:i/>
          <w:iCs/>
          <w:lang w:val="en-AU"/>
        </w:rPr>
        <w:t>r</w:t>
      </w:r>
      <w:r w:rsidR="00021DC2" w:rsidRPr="009E7B69">
        <w:rPr>
          <w:lang w:val="en-AU"/>
        </w:rPr>
        <w:t xml:space="preserve"> </w:t>
      </w:r>
      <w:r w:rsidRPr="009E7B69">
        <w:rPr>
          <w:lang w:val="en-AU"/>
        </w:rPr>
        <w:t xml:space="preserve">out of Israel. </w:t>
      </w:r>
      <w:r w:rsidR="00256D75">
        <w:rPr>
          <w:lang w:val="en-AU"/>
        </w:rPr>
        <w:t xml:space="preserve">During the time of Jesus, there is </w:t>
      </w:r>
      <w:r w:rsidR="005B5632">
        <w:rPr>
          <w:lang w:val="en-AU"/>
        </w:rPr>
        <w:t>no</w:t>
      </w:r>
      <w:r w:rsidR="00256D75">
        <w:rPr>
          <w:lang w:val="en-AU"/>
        </w:rPr>
        <w:t xml:space="preserve"> certainty that this was the most common </w:t>
      </w:r>
      <w:r w:rsidR="000918A0">
        <w:rPr>
          <w:lang w:val="en-AU"/>
        </w:rPr>
        <w:t>explanation during the time of Jesus</w:t>
      </w:r>
      <w:r w:rsidR="00256D75">
        <w:rPr>
          <w:lang w:val="en-AU"/>
        </w:rPr>
        <w:t>.</w:t>
      </w:r>
      <w:r w:rsidR="005B5632">
        <w:rPr>
          <w:lang w:val="en-AU"/>
        </w:rPr>
        <w:t xml:space="preserve"> This contributes to the adaptation of the interpretations after the death of Jesus. </w:t>
      </w:r>
      <w:r w:rsidR="009017CB" w:rsidRPr="009E7B69">
        <w:rPr>
          <w:lang w:val="en-AU"/>
        </w:rPr>
        <w:t xml:space="preserve">The </w:t>
      </w:r>
      <w:r w:rsidR="000301B0" w:rsidRPr="009E7B69">
        <w:rPr>
          <w:lang w:val="en-AU"/>
        </w:rPr>
        <w:t>s</w:t>
      </w:r>
      <w:r w:rsidR="009017CB" w:rsidRPr="009E7B69">
        <w:rPr>
          <w:lang w:val="en-AU"/>
        </w:rPr>
        <w:t xml:space="preserve">tar </w:t>
      </w:r>
      <w:r w:rsidR="000301B0" w:rsidRPr="009E7B69">
        <w:rPr>
          <w:lang w:val="en-AU"/>
        </w:rPr>
        <w:t>t</w:t>
      </w:r>
      <w:r w:rsidR="009017CB" w:rsidRPr="009E7B69">
        <w:rPr>
          <w:lang w:val="en-AU"/>
        </w:rPr>
        <w:t xml:space="preserve">heology of </w:t>
      </w:r>
      <w:r w:rsidRPr="009E7B69">
        <w:rPr>
          <w:lang w:val="en-AU"/>
        </w:rPr>
        <w:t xml:space="preserve">Numbers 24:17 </w:t>
      </w:r>
      <w:r w:rsidRPr="009E7B69">
        <w:rPr>
          <w:lang w:val="en-AU"/>
        </w:rPr>
        <w:lastRenderedPageBreak/>
        <w:t>may not have had the same prophetic interpretation</w:t>
      </w:r>
      <w:r w:rsidR="009017CB" w:rsidRPr="009E7B69">
        <w:rPr>
          <w:lang w:val="en-AU"/>
        </w:rPr>
        <w:t xml:space="preserve"> and people during Jesus</w:t>
      </w:r>
      <w:r w:rsidR="005C71CB" w:rsidRPr="009E7B69">
        <w:rPr>
          <w:lang w:val="en-AU"/>
        </w:rPr>
        <w:t>’</w:t>
      </w:r>
      <w:r w:rsidR="00E35288">
        <w:rPr>
          <w:lang w:val="en-AU"/>
        </w:rPr>
        <w:t>s</w:t>
      </w:r>
      <w:r w:rsidR="009017CB" w:rsidRPr="009E7B69">
        <w:rPr>
          <w:lang w:val="en-AU"/>
        </w:rPr>
        <w:t xml:space="preserve"> life may not have expected it to be fulfilled in Jesus</w:t>
      </w:r>
      <w:r w:rsidRPr="009E7B69">
        <w:rPr>
          <w:lang w:val="en-AU"/>
        </w:rPr>
        <w:t>.</w:t>
      </w:r>
      <w:r w:rsidRPr="009E7B69">
        <w:rPr>
          <w:rStyle w:val="FootnoteReference"/>
          <w:lang w:val="en-AU"/>
        </w:rPr>
        <w:footnoteReference w:id="209"/>
      </w:r>
      <w:r w:rsidR="005B5632">
        <w:rPr>
          <w:lang w:val="en-AU"/>
        </w:rPr>
        <w:t xml:space="preserve"> If has become an interpretation to define </w:t>
      </w:r>
      <w:r w:rsidR="005B5632" w:rsidRPr="009E7B69">
        <w:rPr>
          <w:rtl/>
        </w:rPr>
        <w:t>משיח</w:t>
      </w:r>
      <w:r w:rsidR="005B5632">
        <w:t>.</w:t>
      </w:r>
      <w:r w:rsidRPr="009E7B69">
        <w:rPr>
          <w:lang w:val="en-AU"/>
        </w:rPr>
        <w:t xml:space="preserve"> </w:t>
      </w:r>
    </w:p>
    <w:p w14:paraId="12C8DD37" w14:textId="7F392E2D" w:rsidR="006E6FB7" w:rsidRPr="009E7B69" w:rsidRDefault="005B5632" w:rsidP="008D4202">
      <w:pPr>
        <w:spacing w:line="480" w:lineRule="auto"/>
        <w:ind w:firstLine="720"/>
        <w:contextualSpacing/>
        <w:rPr>
          <w:lang w:val="en-AU"/>
        </w:rPr>
      </w:pPr>
      <w:r>
        <w:rPr>
          <w:lang w:val="en-AU"/>
        </w:rPr>
        <w:t xml:space="preserve">The Qumran writings all contain the influences of the intellectual thought behind the definition of a </w:t>
      </w:r>
      <w:r w:rsidRPr="009E7B69">
        <w:rPr>
          <w:rtl/>
        </w:rPr>
        <w:t>משיח</w:t>
      </w:r>
      <w:r>
        <w:rPr>
          <w:i/>
          <w:iCs/>
          <w:lang w:val="en-AU"/>
        </w:rPr>
        <w:t xml:space="preserve">. </w:t>
      </w:r>
      <w:r w:rsidR="005C17A4" w:rsidRPr="009E7B69">
        <w:rPr>
          <w:i/>
          <w:iCs/>
          <w:lang w:val="en-AU"/>
        </w:rPr>
        <w:t>The War of the Sons of Light Against the Sons of Darkness</w:t>
      </w:r>
      <w:r w:rsidR="005C17A4" w:rsidRPr="009E7B69">
        <w:rPr>
          <w:lang w:val="en-AU"/>
        </w:rPr>
        <w:t xml:space="preserve"> (</w:t>
      </w:r>
      <w:r w:rsidR="00BE6BA3" w:rsidRPr="009E7B69">
        <w:rPr>
          <w:lang w:val="en-AU"/>
        </w:rPr>
        <w:t>War Scroll</w:t>
      </w:r>
      <w:r w:rsidR="005C17A4" w:rsidRPr="009E7B69">
        <w:rPr>
          <w:lang w:val="en-AU"/>
        </w:rPr>
        <w:t>)</w:t>
      </w:r>
      <w:r w:rsidR="00F910B3" w:rsidRPr="009E7B69">
        <w:rPr>
          <w:lang w:val="en-AU"/>
        </w:rPr>
        <w:t xml:space="preserve"> as well as </w:t>
      </w:r>
      <w:r w:rsidR="00BE6BA3" w:rsidRPr="009E7B69">
        <w:rPr>
          <w:lang w:val="en-AU"/>
        </w:rPr>
        <w:t>4Q174</w:t>
      </w:r>
      <w:r w:rsidR="005239C7" w:rsidRPr="009E7B69">
        <w:rPr>
          <w:lang w:val="en-AU"/>
        </w:rPr>
        <w:t xml:space="preserve"> show similarities </w:t>
      </w:r>
      <w:r w:rsidR="004332BC" w:rsidRPr="009E7B69">
        <w:rPr>
          <w:lang w:val="en-AU"/>
        </w:rPr>
        <w:t>to</w:t>
      </w:r>
      <w:r w:rsidR="005239C7" w:rsidRPr="009E7B69">
        <w:rPr>
          <w:lang w:val="en-AU"/>
        </w:rPr>
        <w:t xml:space="preserve"> the converging messianic lineages</w:t>
      </w:r>
      <w:r w:rsidR="00BE6BA3" w:rsidRPr="009E7B69">
        <w:rPr>
          <w:lang w:val="en-AU"/>
        </w:rPr>
        <w:t>.</w:t>
      </w:r>
      <w:r w:rsidR="00BE6BA3" w:rsidRPr="009E7B69">
        <w:rPr>
          <w:rStyle w:val="FootnoteReference"/>
          <w:lang w:val="en-AU"/>
        </w:rPr>
        <w:footnoteReference w:id="210"/>
      </w:r>
      <w:r w:rsidR="00BE6BA3" w:rsidRPr="009E7B69">
        <w:rPr>
          <w:lang w:val="en-AU"/>
        </w:rPr>
        <w:t xml:space="preserve"> </w:t>
      </w:r>
      <w:r>
        <w:rPr>
          <w:lang w:val="en-AU"/>
        </w:rPr>
        <w:t xml:space="preserve">This is why there are </w:t>
      </w:r>
      <w:r w:rsidR="000918A0">
        <w:rPr>
          <w:lang w:val="en-AU"/>
        </w:rPr>
        <w:t xml:space="preserve">still </w:t>
      </w:r>
      <w:r>
        <w:rPr>
          <w:lang w:val="en-AU"/>
        </w:rPr>
        <w:t xml:space="preserve">varied interpretations of </w:t>
      </w:r>
      <w:r w:rsidRPr="009E7B69">
        <w:rPr>
          <w:rtl/>
        </w:rPr>
        <w:t>משיח</w:t>
      </w:r>
      <w:r w:rsidRPr="009E7B69">
        <w:rPr>
          <w:lang w:val="en-AU"/>
        </w:rPr>
        <w:t xml:space="preserve"> </w:t>
      </w:r>
      <w:r>
        <w:rPr>
          <w:lang w:val="en-AU"/>
        </w:rPr>
        <w:t xml:space="preserve">across </w:t>
      </w:r>
      <w:r w:rsidRPr="005B5632">
        <w:rPr>
          <w:i/>
          <w:iCs/>
          <w:lang w:val="en-AU"/>
        </w:rPr>
        <w:t>Iudaea</w:t>
      </w:r>
      <w:r>
        <w:rPr>
          <w:lang w:val="en-AU"/>
        </w:rPr>
        <w:t xml:space="preserve"> after the death of Jesus, still. In the Qumran writings, </w:t>
      </w:r>
      <w:r w:rsidR="00BE6BA3" w:rsidRPr="005B5632">
        <w:rPr>
          <w:lang w:val="en-AU"/>
        </w:rPr>
        <w:t>Kim</w:t>
      </w:r>
      <w:r w:rsidR="00BE6BA3" w:rsidRPr="009E7B69">
        <w:rPr>
          <w:lang w:val="en-AU"/>
        </w:rPr>
        <w:t xml:space="preserve"> </w:t>
      </w:r>
      <w:r w:rsidR="00D819D7" w:rsidRPr="009E7B69">
        <w:rPr>
          <w:lang w:val="en-AU"/>
        </w:rPr>
        <w:t>postulates,</w:t>
      </w:r>
      <w:r w:rsidR="00BE6BA3" w:rsidRPr="009E7B69">
        <w:rPr>
          <w:lang w:val="en-AU"/>
        </w:rPr>
        <w:t xml:space="preserve"> </w:t>
      </w:r>
      <w:r w:rsidR="00863B47" w:rsidRPr="009E7B69">
        <w:rPr>
          <w:lang w:val="en-AU"/>
        </w:rPr>
        <w:t>“</w:t>
      </w:r>
      <w:r w:rsidR="00827A86" w:rsidRPr="009E7B69">
        <w:rPr>
          <w:lang w:val="en-AU"/>
        </w:rPr>
        <w:t xml:space="preserve">… </w:t>
      </w:r>
      <w:r w:rsidR="006527D5" w:rsidRPr="009E7B69">
        <w:rPr>
          <w:lang w:val="en-AU"/>
        </w:rPr>
        <w:t>i</w:t>
      </w:r>
      <w:r w:rsidR="00BE6BA3" w:rsidRPr="009E7B69">
        <w:rPr>
          <w:lang w:val="en-AU"/>
        </w:rPr>
        <w:t xml:space="preserve">n addition, the Branch of David is identified with the Davidic Messiah in 4Q252 5:1–7. This identity creates two titles, </w:t>
      </w:r>
      <w:r w:rsidR="005C71CB" w:rsidRPr="009E7B69">
        <w:rPr>
          <w:lang w:val="en-AU"/>
        </w:rPr>
        <w:t>‘</w:t>
      </w:r>
      <w:r w:rsidR="00BE6BA3" w:rsidRPr="009E7B69">
        <w:rPr>
          <w:lang w:val="en-AU"/>
        </w:rPr>
        <w:t>the Messiah of righteousness</w:t>
      </w:r>
      <w:r w:rsidR="005C71CB" w:rsidRPr="009E7B69">
        <w:rPr>
          <w:lang w:val="en-AU"/>
        </w:rPr>
        <w:t>’</w:t>
      </w:r>
      <w:r w:rsidR="00BE6BA3" w:rsidRPr="009E7B69">
        <w:rPr>
          <w:lang w:val="en-AU"/>
        </w:rPr>
        <w:t xml:space="preserve"> and </w:t>
      </w:r>
      <w:r w:rsidR="005C71CB" w:rsidRPr="009E7B69">
        <w:rPr>
          <w:lang w:val="en-AU"/>
        </w:rPr>
        <w:t>‘</w:t>
      </w:r>
      <w:r w:rsidR="00BE6BA3" w:rsidRPr="009E7B69">
        <w:rPr>
          <w:lang w:val="en-AU"/>
        </w:rPr>
        <w:t>Branch of David.</w:t>
      </w:r>
      <w:r w:rsidR="005C71CB" w:rsidRPr="009E7B69">
        <w:rPr>
          <w:lang w:val="en-AU"/>
        </w:rPr>
        <w:t>’</w:t>
      </w:r>
      <w:r w:rsidR="00863B47" w:rsidRPr="009E7B69">
        <w:rPr>
          <w:lang w:val="en-AU"/>
        </w:rPr>
        <w:t>”</w:t>
      </w:r>
      <w:r w:rsidR="001968C1">
        <w:rPr>
          <w:lang w:val="en-AU"/>
        </w:rPr>
        <w:t xml:space="preserve"> </w:t>
      </w:r>
      <w:r w:rsidR="00FD5D76" w:rsidRPr="009E7B69">
        <w:rPr>
          <w:lang w:val="en-AU"/>
        </w:rPr>
        <w:t xml:space="preserve">Horgan </w:t>
      </w:r>
      <w:r w:rsidR="005C17A4" w:rsidRPr="009E7B69">
        <w:rPr>
          <w:lang w:val="en-AU"/>
        </w:rPr>
        <w:t xml:space="preserve">contends that </w:t>
      </w:r>
      <w:r w:rsidR="00BD7A89" w:rsidRPr="009E7B69">
        <w:rPr>
          <w:lang w:val="en-AU"/>
        </w:rPr>
        <w:t>the word</w:t>
      </w:r>
      <w:r w:rsidR="008014B4" w:rsidRPr="009E7B69">
        <w:rPr>
          <w:lang w:val="en-AU"/>
        </w:rPr>
        <w:t>s</w:t>
      </w:r>
      <w:r w:rsidR="00BD7A89" w:rsidRPr="009E7B69">
        <w:rPr>
          <w:lang w:val="en-AU"/>
        </w:rPr>
        <w:t xml:space="preserve"> for kingdom in the Hebrew, Aramaic, and Greek languages are not specific, but denote something abstract.</w:t>
      </w:r>
      <w:r w:rsidR="00BE6BA3" w:rsidRPr="009E7B69">
        <w:rPr>
          <w:rStyle w:val="FootnoteReference"/>
          <w:lang w:val="en-AU"/>
        </w:rPr>
        <w:footnoteReference w:id="211"/>
      </w:r>
      <w:r w:rsidR="00AC27C5" w:rsidRPr="009E7B69">
        <w:rPr>
          <w:lang w:val="en-AU"/>
        </w:rPr>
        <w:t xml:space="preserve"> </w:t>
      </w:r>
      <w:r>
        <w:rPr>
          <w:lang w:val="en-AU"/>
        </w:rPr>
        <w:t xml:space="preserve">The abstract definition of </w:t>
      </w:r>
      <w:r w:rsidRPr="009E7B69">
        <w:rPr>
          <w:rtl/>
        </w:rPr>
        <w:t>משיח</w:t>
      </w:r>
      <w:r w:rsidRPr="009E7B69">
        <w:rPr>
          <w:lang w:val="en-AU"/>
        </w:rPr>
        <w:t xml:space="preserve"> </w:t>
      </w:r>
      <w:r>
        <w:rPr>
          <w:lang w:val="en-AU"/>
        </w:rPr>
        <w:t xml:space="preserve">feeds a multiplicity of interpretations. </w:t>
      </w:r>
      <w:r w:rsidR="00AC27C5" w:rsidRPr="009E7B69">
        <w:rPr>
          <w:lang w:val="en-AU"/>
        </w:rPr>
        <w:t xml:space="preserve">Scott </w:t>
      </w:r>
      <w:r w:rsidR="000B6670" w:rsidRPr="009E7B69">
        <w:rPr>
          <w:lang w:val="en-AU"/>
        </w:rPr>
        <w:t xml:space="preserve">also </w:t>
      </w:r>
      <w:r w:rsidR="008014B4" w:rsidRPr="009E7B69">
        <w:rPr>
          <w:lang w:val="en-AU"/>
        </w:rPr>
        <w:t xml:space="preserve">comments </w:t>
      </w:r>
      <w:r w:rsidR="00AC27C5" w:rsidRPr="009E7B69">
        <w:rPr>
          <w:lang w:val="en-AU"/>
        </w:rPr>
        <w:t xml:space="preserve">that </w:t>
      </w:r>
      <w:r w:rsidR="00863B47" w:rsidRPr="009E7B69">
        <w:rPr>
          <w:lang w:val="en-AU"/>
        </w:rPr>
        <w:t>“</w:t>
      </w:r>
      <w:r w:rsidR="00AC27C5" w:rsidRPr="009E7B69">
        <w:rPr>
          <w:lang w:val="en-AU"/>
        </w:rPr>
        <w:t>i</w:t>
      </w:r>
      <w:r w:rsidR="00BE6BA3" w:rsidRPr="009E7B69">
        <w:rPr>
          <w:lang w:val="en-AU"/>
        </w:rPr>
        <w:t xml:space="preserve">n the ancient world, </w:t>
      </w:r>
      <w:r w:rsidR="005C71CB" w:rsidRPr="009E7B69">
        <w:rPr>
          <w:lang w:val="en-AU"/>
        </w:rPr>
        <w:t>‘</w:t>
      </w:r>
      <w:r w:rsidR="00BE6BA3" w:rsidRPr="009E7B69">
        <w:rPr>
          <w:lang w:val="en-AU"/>
        </w:rPr>
        <w:t>kingdom</w:t>
      </w:r>
      <w:r w:rsidR="005C71CB" w:rsidRPr="009E7B69">
        <w:rPr>
          <w:lang w:val="en-AU"/>
        </w:rPr>
        <w:t>’</w:t>
      </w:r>
      <w:r w:rsidR="00BE6BA3" w:rsidRPr="009E7B69">
        <w:rPr>
          <w:lang w:val="en-AU"/>
        </w:rPr>
        <w:t xml:space="preserve"> referred to lordship, rule, reign, or sovereignty, not primarily to a geographical area.</w:t>
      </w:r>
      <w:r w:rsidR="00863B47" w:rsidRPr="009E7B69">
        <w:rPr>
          <w:lang w:val="en-AU"/>
        </w:rPr>
        <w:t>”</w:t>
      </w:r>
      <w:r w:rsidR="00BE6BA3" w:rsidRPr="009E7B69">
        <w:rPr>
          <w:rStyle w:val="FootnoteReference"/>
          <w:lang w:val="en-AU"/>
        </w:rPr>
        <w:footnoteReference w:id="212"/>
      </w:r>
      <w:r w:rsidR="00BE6BA3" w:rsidRPr="009E7B69">
        <w:rPr>
          <w:lang w:val="en-AU"/>
        </w:rPr>
        <w:t xml:space="preserve">  </w:t>
      </w:r>
      <w:r w:rsidR="000B6670" w:rsidRPr="009E7B69">
        <w:rPr>
          <w:lang w:val="en-AU"/>
        </w:rPr>
        <w:t xml:space="preserve">This concept of a </w:t>
      </w:r>
      <w:r w:rsidR="005C71CB" w:rsidRPr="009E7B69">
        <w:rPr>
          <w:lang w:val="en-AU"/>
        </w:rPr>
        <w:t>‘</w:t>
      </w:r>
      <w:r w:rsidR="000B6670" w:rsidRPr="009E7B69">
        <w:rPr>
          <w:lang w:val="en-AU"/>
        </w:rPr>
        <w:t>lordship</w:t>
      </w:r>
      <w:r w:rsidR="005C71CB" w:rsidRPr="009E7B69">
        <w:rPr>
          <w:lang w:val="en-AU"/>
        </w:rPr>
        <w:t>’</w:t>
      </w:r>
      <w:r w:rsidR="000B6670" w:rsidRPr="009E7B69">
        <w:rPr>
          <w:lang w:val="en-AU"/>
        </w:rPr>
        <w:t xml:space="preserve"> could </w:t>
      </w:r>
      <w:r w:rsidR="008014B4" w:rsidRPr="009E7B69">
        <w:rPr>
          <w:lang w:val="en-AU"/>
        </w:rPr>
        <w:t>affect</w:t>
      </w:r>
      <w:r w:rsidR="000B6670" w:rsidRPr="009E7B69">
        <w:rPr>
          <w:lang w:val="en-AU"/>
        </w:rPr>
        <w:t xml:space="preserve"> the theological </w:t>
      </w:r>
      <w:r w:rsidR="007A500D" w:rsidRPr="009E7B69">
        <w:rPr>
          <w:lang w:val="en-AU"/>
        </w:rPr>
        <w:t>understanding</w:t>
      </w:r>
      <w:r w:rsidR="000B6670" w:rsidRPr="009E7B69">
        <w:rPr>
          <w:lang w:val="en-AU"/>
        </w:rPr>
        <w:t xml:space="preserve"> </w:t>
      </w:r>
      <w:r w:rsidR="008014B4" w:rsidRPr="009E7B69">
        <w:rPr>
          <w:lang w:val="en-AU"/>
        </w:rPr>
        <w:t>of</w:t>
      </w:r>
      <w:r w:rsidR="000B6670" w:rsidRPr="009E7B69">
        <w:rPr>
          <w:lang w:val="en-AU"/>
        </w:rPr>
        <w:t xml:space="preserve"> those listening to Jesus when he</w:t>
      </w:r>
      <w:r w:rsidR="008014B4" w:rsidRPr="009E7B69">
        <w:rPr>
          <w:lang w:val="en-AU"/>
        </w:rPr>
        <w:t xml:space="preserve"> gave </w:t>
      </w:r>
      <w:r w:rsidR="000B6670" w:rsidRPr="009E7B69">
        <w:rPr>
          <w:lang w:val="en-AU"/>
        </w:rPr>
        <w:t xml:space="preserve">discourses on the </w:t>
      </w:r>
      <w:r w:rsidR="00BD7A89" w:rsidRPr="009E7B69">
        <w:rPr>
          <w:lang w:val="en-AU"/>
        </w:rPr>
        <w:t xml:space="preserve">Kingdom of </w:t>
      </w:r>
      <w:r w:rsidR="000B6670" w:rsidRPr="009E7B69">
        <w:rPr>
          <w:lang w:val="en-AU"/>
        </w:rPr>
        <w:t>Heaven.</w:t>
      </w:r>
      <w:r w:rsidR="000B6670" w:rsidRPr="009E7B69">
        <w:rPr>
          <w:i/>
          <w:iCs/>
          <w:lang w:val="en-AU"/>
        </w:rPr>
        <w:t xml:space="preserve"> </w:t>
      </w:r>
      <w:r w:rsidR="00021F8D" w:rsidRPr="009E7B69">
        <w:rPr>
          <w:lang w:val="en-AU"/>
        </w:rPr>
        <w:t xml:space="preserve">The control </w:t>
      </w:r>
      <w:r w:rsidR="008014B4" w:rsidRPr="009E7B69">
        <w:rPr>
          <w:lang w:val="en-AU"/>
        </w:rPr>
        <w:t>over</w:t>
      </w:r>
      <w:r w:rsidR="00021F8D" w:rsidRPr="009E7B69">
        <w:rPr>
          <w:lang w:val="en-AU"/>
        </w:rPr>
        <w:t xml:space="preserve"> the people is not limited to a region. The messianic figure will </w:t>
      </w:r>
      <w:r w:rsidR="008014B4" w:rsidRPr="009E7B69">
        <w:rPr>
          <w:lang w:val="en-AU"/>
        </w:rPr>
        <w:lastRenderedPageBreak/>
        <w:t xml:space="preserve">ultimately </w:t>
      </w:r>
      <w:r w:rsidR="00021F8D" w:rsidRPr="009E7B69">
        <w:rPr>
          <w:lang w:val="en-AU"/>
        </w:rPr>
        <w:t>rule the region of Israel forever.</w:t>
      </w:r>
      <w:r w:rsidR="00BE6BA3" w:rsidRPr="009E7B69">
        <w:rPr>
          <w:rStyle w:val="FootnoteReference"/>
          <w:lang w:val="en-AU"/>
        </w:rPr>
        <w:footnoteReference w:id="213"/>
      </w:r>
      <w:r w:rsidR="00BE6BA3" w:rsidRPr="009E7B69">
        <w:rPr>
          <w:lang w:val="en-AU"/>
        </w:rPr>
        <w:t xml:space="preserve">  A </w:t>
      </w:r>
      <w:r w:rsidR="0016678B" w:rsidRPr="009E7B69">
        <w:rPr>
          <w:rtl/>
        </w:rPr>
        <w:t>משיח</w:t>
      </w:r>
      <w:r w:rsidR="00AB170D" w:rsidRPr="009E7B69">
        <w:rPr>
          <w:lang w:val="en-AU"/>
        </w:rPr>
        <w:t xml:space="preserve"> from the </w:t>
      </w:r>
      <w:r w:rsidR="000B6670" w:rsidRPr="009E7B69">
        <w:rPr>
          <w:lang w:val="en-AU"/>
        </w:rPr>
        <w:t xml:space="preserve">Davidic lineage was to be a king of </w:t>
      </w:r>
      <w:r w:rsidR="007A500D" w:rsidRPr="009E7B69">
        <w:rPr>
          <w:lang w:val="en-AU"/>
        </w:rPr>
        <w:t>Israel</w:t>
      </w:r>
      <w:r w:rsidR="000B6670" w:rsidRPr="009E7B69">
        <w:rPr>
          <w:lang w:val="en-AU"/>
        </w:rPr>
        <w:t xml:space="preserve"> upon </w:t>
      </w:r>
      <w:r w:rsidR="000902B2" w:rsidRPr="009E7B69">
        <w:rPr>
          <w:lang w:val="en-AU"/>
        </w:rPr>
        <w:t xml:space="preserve">his </w:t>
      </w:r>
      <w:r w:rsidR="000B6670" w:rsidRPr="009E7B69">
        <w:rPr>
          <w:lang w:val="en-AU"/>
        </w:rPr>
        <w:t xml:space="preserve">return. A </w:t>
      </w:r>
      <w:r w:rsidR="0016678B" w:rsidRPr="009E7B69">
        <w:rPr>
          <w:rtl/>
        </w:rPr>
        <w:t>משיח</w:t>
      </w:r>
      <w:r w:rsidR="00AB170D" w:rsidRPr="009E7B69">
        <w:rPr>
          <w:lang w:val="en-AU"/>
        </w:rPr>
        <w:t xml:space="preserve"> of the </w:t>
      </w:r>
      <w:r w:rsidR="000B6670" w:rsidRPr="009E7B69">
        <w:rPr>
          <w:lang w:val="en-AU"/>
        </w:rPr>
        <w:t xml:space="preserve">Levitical lineage </w:t>
      </w:r>
      <w:r w:rsidR="00F47521" w:rsidRPr="009E7B69">
        <w:rPr>
          <w:lang w:val="en-AU"/>
        </w:rPr>
        <w:t xml:space="preserve">was to be from the line of </w:t>
      </w:r>
      <w:r w:rsidR="00BE6BA3" w:rsidRPr="009E7B69">
        <w:rPr>
          <w:lang w:val="en-AU"/>
        </w:rPr>
        <w:t>Melchizedek.</w:t>
      </w:r>
      <w:r w:rsidR="00BE6BA3" w:rsidRPr="009E7B69">
        <w:rPr>
          <w:rStyle w:val="FootnoteReference"/>
          <w:lang w:val="en-AU"/>
        </w:rPr>
        <w:footnoteReference w:id="214"/>
      </w:r>
      <w:r w:rsidR="00BE6BA3" w:rsidRPr="009E7B69">
        <w:rPr>
          <w:lang w:val="en-AU"/>
        </w:rPr>
        <w:t xml:space="preserve"> The people looked </w:t>
      </w:r>
      <w:r w:rsidR="001C5F1A" w:rsidRPr="009E7B69">
        <w:rPr>
          <w:lang w:val="en-AU"/>
        </w:rPr>
        <w:t xml:space="preserve">for </w:t>
      </w:r>
      <w:r w:rsidR="00BE6BA3" w:rsidRPr="009E7B69">
        <w:rPr>
          <w:lang w:val="en-AU"/>
        </w:rPr>
        <w:t xml:space="preserve">hope within a world that did not have political hope. </w:t>
      </w:r>
      <w:r w:rsidR="007A500D" w:rsidRPr="009E7B69">
        <w:rPr>
          <w:lang w:val="en-AU"/>
        </w:rPr>
        <w:t xml:space="preserve">People wanted a messianic figure who would solve their problems, and this </w:t>
      </w:r>
      <w:proofErr w:type="gramStart"/>
      <w:r w:rsidR="007A500D" w:rsidRPr="009E7B69">
        <w:rPr>
          <w:lang w:val="en-AU"/>
        </w:rPr>
        <w:t>definitely influenced</w:t>
      </w:r>
      <w:proofErr w:type="gramEnd"/>
      <w:r w:rsidR="007A500D" w:rsidRPr="009E7B69">
        <w:rPr>
          <w:lang w:val="en-AU"/>
        </w:rPr>
        <w:t xml:space="preserve"> their view of </w:t>
      </w:r>
      <w:r w:rsidR="00611617" w:rsidRPr="009E7B69">
        <w:rPr>
          <w:lang w:val="en-AU"/>
        </w:rPr>
        <w:t>nonviolent</w:t>
      </w:r>
      <w:r w:rsidR="007A500D" w:rsidRPr="009E7B69">
        <w:rPr>
          <w:lang w:val="en-AU"/>
        </w:rPr>
        <w:t xml:space="preserve"> peace sayings</w:t>
      </w:r>
      <w:r w:rsidR="00BE6BA3" w:rsidRPr="009E7B69">
        <w:rPr>
          <w:lang w:val="en-AU"/>
        </w:rPr>
        <w:t>.</w:t>
      </w:r>
      <w:r w:rsidR="00BE6BA3" w:rsidRPr="009E7B69">
        <w:rPr>
          <w:rStyle w:val="FootnoteReference"/>
          <w:lang w:val="en-AU"/>
        </w:rPr>
        <w:footnoteReference w:id="215"/>
      </w:r>
      <w:r w:rsidR="00BE6BA3" w:rsidRPr="009E7B69">
        <w:rPr>
          <w:lang w:val="en-AU"/>
        </w:rPr>
        <w:t xml:space="preserve"> </w:t>
      </w:r>
      <w:r w:rsidR="007A500D" w:rsidRPr="009E7B69">
        <w:rPr>
          <w:lang w:val="en-AU"/>
        </w:rPr>
        <w:t xml:space="preserve">It is worth noting that the </w:t>
      </w:r>
      <w:r w:rsidR="00BE6BA3" w:rsidRPr="009E7B69">
        <w:rPr>
          <w:i/>
          <w:lang w:val="en-AU"/>
        </w:rPr>
        <w:t>Mishna</w:t>
      </w:r>
      <w:r w:rsidR="007A500D" w:rsidRPr="009E7B69">
        <w:rPr>
          <w:i/>
          <w:lang w:val="en-AU"/>
        </w:rPr>
        <w:t xml:space="preserve"> </w:t>
      </w:r>
      <w:r w:rsidR="007A500D" w:rsidRPr="009E7B69">
        <w:rPr>
          <w:iCs/>
          <w:lang w:val="en-AU"/>
        </w:rPr>
        <w:t xml:space="preserve">contains no definition </w:t>
      </w:r>
      <w:r w:rsidR="007432F0" w:rsidRPr="009E7B69">
        <w:rPr>
          <w:iCs/>
          <w:lang w:val="en-AU"/>
        </w:rPr>
        <w:t xml:space="preserve">of </w:t>
      </w:r>
      <w:r w:rsidR="007A500D" w:rsidRPr="009E7B69">
        <w:rPr>
          <w:iCs/>
          <w:lang w:val="en-AU"/>
        </w:rPr>
        <w:t xml:space="preserve">a </w:t>
      </w:r>
      <w:r w:rsidR="0016678B" w:rsidRPr="009E7B69">
        <w:rPr>
          <w:rtl/>
        </w:rPr>
        <w:t>משיח</w:t>
      </w:r>
      <w:r w:rsidR="007A500D" w:rsidRPr="009E7B69">
        <w:rPr>
          <w:iCs/>
          <w:lang w:val="en-AU"/>
        </w:rPr>
        <w:t xml:space="preserve"> according to these terms, even by </w:t>
      </w:r>
      <w:r w:rsidR="00BE6BA3" w:rsidRPr="009E7B69">
        <w:rPr>
          <w:lang w:val="en-AU"/>
        </w:rPr>
        <w:t>220 BCE</w:t>
      </w:r>
      <w:r w:rsidR="007A500D" w:rsidRPr="009E7B69">
        <w:rPr>
          <w:lang w:val="en-AU"/>
        </w:rPr>
        <w:t>.</w:t>
      </w:r>
      <w:r w:rsidR="00BE6BA3" w:rsidRPr="009E7B69">
        <w:rPr>
          <w:rStyle w:val="FootnoteReference"/>
          <w:lang w:val="en-AU"/>
        </w:rPr>
        <w:footnoteReference w:id="216"/>
      </w:r>
      <w:r w:rsidR="00BE6BA3" w:rsidRPr="009E7B69">
        <w:rPr>
          <w:lang w:val="en-AU"/>
        </w:rPr>
        <w:t xml:space="preserve"> Furthermore, the </w:t>
      </w:r>
      <w:r w:rsidR="00BE6BA3" w:rsidRPr="009E7B69">
        <w:rPr>
          <w:i/>
          <w:lang w:val="en-AU"/>
        </w:rPr>
        <w:t>Mishna</w:t>
      </w:r>
      <w:r w:rsidR="00BE6BA3" w:rsidRPr="009E7B69">
        <w:rPr>
          <w:lang w:val="en-AU"/>
        </w:rPr>
        <w:t xml:space="preserve"> uses the term </w:t>
      </w:r>
      <w:r w:rsidR="0016678B" w:rsidRPr="009E7B69">
        <w:rPr>
          <w:rtl/>
        </w:rPr>
        <w:t>משיח</w:t>
      </w:r>
      <w:r w:rsidR="00BE6BA3" w:rsidRPr="009E7B69">
        <w:rPr>
          <w:lang w:val="en-AU"/>
        </w:rPr>
        <w:t xml:space="preserve"> </w:t>
      </w:r>
      <w:r w:rsidR="008D7401" w:rsidRPr="009E7B69">
        <w:rPr>
          <w:lang w:val="en-AU"/>
        </w:rPr>
        <w:t>to mean</w:t>
      </w:r>
      <w:r w:rsidR="000C3D62" w:rsidRPr="009E7B69">
        <w:rPr>
          <w:lang w:val="en-AU"/>
        </w:rPr>
        <w:t xml:space="preserve"> </w:t>
      </w:r>
      <w:r w:rsidR="00863B47" w:rsidRPr="009E7B69">
        <w:rPr>
          <w:lang w:val="en-AU"/>
        </w:rPr>
        <w:t>“</w:t>
      </w:r>
      <w:r w:rsidR="00BE6BA3" w:rsidRPr="009E7B69">
        <w:rPr>
          <w:lang w:val="en-AU"/>
        </w:rPr>
        <w:t>anointed priest.</w:t>
      </w:r>
      <w:r w:rsidR="00863B47" w:rsidRPr="009E7B69">
        <w:rPr>
          <w:lang w:val="en-AU"/>
        </w:rPr>
        <w:t>”</w:t>
      </w:r>
      <w:r w:rsidR="00BE6BA3" w:rsidRPr="009E7B69">
        <w:rPr>
          <w:lang w:val="en-AU"/>
        </w:rPr>
        <w:t xml:space="preserve">  The </w:t>
      </w:r>
      <w:r w:rsidR="0016678B" w:rsidRPr="009E7B69">
        <w:rPr>
          <w:rtl/>
        </w:rPr>
        <w:t>משיח</w:t>
      </w:r>
      <w:r w:rsidR="00BE6BA3" w:rsidRPr="009E7B69">
        <w:rPr>
          <w:lang w:val="en-AU"/>
        </w:rPr>
        <w:t xml:space="preserve"> as a warrior and a person of peace sets the tone for the interpretation of the Sermon for those present.  Jesus would have been evaluated by his listeners from the viewpoint of </w:t>
      </w:r>
      <w:r w:rsidR="005B396F" w:rsidRPr="009E7B69">
        <w:rPr>
          <w:lang w:val="en-AU"/>
        </w:rPr>
        <w:t xml:space="preserve">his being </w:t>
      </w:r>
      <w:r w:rsidR="00BE6BA3" w:rsidRPr="009E7B69">
        <w:rPr>
          <w:lang w:val="en-AU"/>
        </w:rPr>
        <w:t>either an anointed priest or a warrior.</w:t>
      </w:r>
      <w:r>
        <w:rPr>
          <w:lang w:val="en-AU"/>
        </w:rPr>
        <w:t xml:space="preserve"> These views are evident in the Qumran writings. </w:t>
      </w:r>
      <w:r w:rsidR="00BE6BA3" w:rsidRPr="009E7B69">
        <w:rPr>
          <w:lang w:val="en-AU"/>
        </w:rPr>
        <w:t xml:space="preserve"> </w:t>
      </w:r>
    </w:p>
    <w:p w14:paraId="6CC68336" w14:textId="666477B2" w:rsidR="004D624F" w:rsidRPr="009E7B69" w:rsidRDefault="00FF678F" w:rsidP="009B7870">
      <w:pPr>
        <w:pStyle w:val="Heading2"/>
        <w:rPr>
          <w:bCs/>
        </w:rPr>
      </w:pPr>
      <w:bookmarkStart w:id="71" w:name="_Toc210760497"/>
      <w:bookmarkStart w:id="72" w:name="_Toc213307221"/>
      <w:bookmarkStart w:id="73" w:name="_Toc213482494"/>
      <w:bookmarkStart w:id="74" w:name="_Toc215743060"/>
      <w:bookmarkStart w:id="75" w:name="_Toc223675587"/>
      <w:bookmarkStart w:id="76" w:name="_Toc81571217"/>
      <w:bookmarkStart w:id="77" w:name="_Toc94536994"/>
      <w:bookmarkStart w:id="78" w:name="_Toc118063639"/>
      <w:r w:rsidRPr="009E7B69">
        <w:t>3.6</w:t>
      </w:r>
      <w:r w:rsidR="004D624F" w:rsidRPr="009E7B69">
        <w:t xml:space="preserve"> The Dead Sea Scrolls and Jesus’</w:t>
      </w:r>
      <w:r w:rsidR="00E35288">
        <w:t xml:space="preserve">s </w:t>
      </w:r>
      <w:r w:rsidR="004D624F" w:rsidRPr="009E7B69">
        <w:t>Listeners</w:t>
      </w:r>
      <w:bookmarkEnd w:id="71"/>
      <w:bookmarkEnd w:id="72"/>
      <w:bookmarkEnd w:id="73"/>
      <w:bookmarkEnd w:id="74"/>
      <w:bookmarkEnd w:id="75"/>
      <w:bookmarkEnd w:id="76"/>
      <w:bookmarkEnd w:id="77"/>
      <w:bookmarkEnd w:id="78"/>
    </w:p>
    <w:p w14:paraId="4657E586" w14:textId="6E06039D" w:rsidR="004D624F" w:rsidRPr="00A33814" w:rsidRDefault="004D624F" w:rsidP="004D624F">
      <w:pPr>
        <w:spacing w:line="480" w:lineRule="auto"/>
        <w:ind w:firstLine="284"/>
        <w:rPr>
          <w:lang w:val="en-AU"/>
        </w:rPr>
      </w:pPr>
      <w:r w:rsidRPr="00A33814">
        <w:rPr>
          <w:lang w:val="en-AU"/>
        </w:rPr>
        <w:t xml:space="preserve">The Essene community practiced nonviolent restraint; however, they did produce an apocalyptic </w:t>
      </w:r>
      <w:r w:rsidRPr="00A33814">
        <w:rPr>
          <w:i/>
          <w:iCs/>
          <w:lang w:val="en-AU"/>
        </w:rPr>
        <w:t>War Scroll</w:t>
      </w:r>
      <w:r w:rsidRPr="00A33814">
        <w:rPr>
          <w:lang w:val="en-AU"/>
        </w:rPr>
        <w:t xml:space="preserve"> which described how violence would manifest itself in the war against the Kittim.</w:t>
      </w:r>
      <w:r w:rsidRPr="00A33814">
        <w:rPr>
          <w:rStyle w:val="FootnoteReference"/>
          <w:lang w:val="en-AU"/>
        </w:rPr>
        <w:footnoteReference w:id="217"/>
      </w:r>
      <w:r w:rsidRPr="00A33814">
        <w:rPr>
          <w:lang w:val="en-AU"/>
        </w:rPr>
        <w:t xml:space="preserve">  Josephus (War 2:567) identifies a man joining in a revolt named Judah as an Essene.  In </w:t>
      </w:r>
      <w:r w:rsidRPr="00A33814">
        <w:rPr>
          <w:i/>
          <w:iCs/>
          <w:lang w:val="en-AU"/>
        </w:rPr>
        <w:t>Quod Omnis Probus Liber Sit</w:t>
      </w:r>
      <w:r w:rsidRPr="00A33814">
        <w:rPr>
          <w:lang w:val="en-AU"/>
        </w:rPr>
        <w:t xml:space="preserve"> 78, Philo establishes that the Essenes are </w:t>
      </w:r>
      <w:r w:rsidRPr="00A33814">
        <w:rPr>
          <w:lang w:val="en-AU"/>
        </w:rPr>
        <w:lastRenderedPageBreak/>
        <w:t>nonviolent pacifists. Jassen noted that the Essenes refrained from robbery.</w:t>
      </w:r>
      <w:r w:rsidRPr="00A33814">
        <w:rPr>
          <w:rStyle w:val="FootnoteReference"/>
          <w:lang w:val="en-AU"/>
        </w:rPr>
        <w:footnoteReference w:id="218"/>
      </w:r>
      <w:r w:rsidRPr="00A33814">
        <w:rPr>
          <w:lang w:val="en-AU"/>
        </w:rPr>
        <w:t xml:space="preserve"> Weitzman suggests that The </w:t>
      </w:r>
      <w:r w:rsidRPr="00A33814">
        <w:rPr>
          <w:i/>
          <w:lang w:val="en-AU"/>
        </w:rPr>
        <w:t>War Scroll</w:t>
      </w:r>
      <w:r w:rsidRPr="00A33814">
        <w:rPr>
          <w:lang w:val="en-AU"/>
        </w:rPr>
        <w:t xml:space="preserve"> has a similarity to 4Q491–497, 4Q471, 4Q285, and 11Q14.</w:t>
      </w:r>
      <w:r w:rsidRPr="00A33814">
        <w:rPr>
          <w:rStyle w:val="FootnoteReference"/>
          <w:lang w:val="en-AU"/>
        </w:rPr>
        <w:footnoteReference w:id="219"/>
      </w:r>
      <w:r w:rsidRPr="00A33814">
        <w:rPr>
          <w:lang w:val="en-AU"/>
        </w:rPr>
        <w:t xml:space="preserve"> The 4Q285 scroll and the 1QM scroll are the only Qumran scrolls that have both the word ‘war’ and the word ‘price’ in them, suggesting that they are not completely for military use.</w:t>
      </w:r>
      <w:r w:rsidRPr="00A33814">
        <w:rPr>
          <w:rStyle w:val="FootnoteReference"/>
          <w:lang w:val="en-AU"/>
        </w:rPr>
        <w:footnoteReference w:id="220"/>
      </w:r>
      <w:r w:rsidRPr="00A33814">
        <w:rPr>
          <w:lang w:val="en-AU"/>
        </w:rPr>
        <w:t xml:space="preserve"> Weitzman notes that these scrolls discuss political violence.</w:t>
      </w:r>
      <w:r w:rsidRPr="00A33814">
        <w:rPr>
          <w:rStyle w:val="FootnoteReference"/>
          <w:lang w:val="en-AU"/>
        </w:rPr>
        <w:footnoteReference w:id="221"/>
      </w:r>
      <w:r w:rsidRPr="00A33814">
        <w:rPr>
          <w:lang w:val="en-AU"/>
        </w:rPr>
        <w:t xml:space="preserve"> In comparison, Roman war manuals included precise  military strategies and tactics  on how to attack and to defend against an opposing army.  This is different from the </w:t>
      </w:r>
      <w:r w:rsidRPr="00A33814">
        <w:rPr>
          <w:i/>
          <w:iCs/>
          <w:lang w:val="en-AU"/>
        </w:rPr>
        <w:t>War Scroll</w:t>
      </w:r>
      <w:r w:rsidRPr="00A33814">
        <w:rPr>
          <w:lang w:val="en-AU"/>
        </w:rPr>
        <w:t xml:space="preserve"> which was not written as a guide for warfare and does not contain instructions on tactics of warfare.</w:t>
      </w:r>
      <w:r w:rsidRPr="00A33814">
        <w:rPr>
          <w:rStyle w:val="FootnoteReference"/>
          <w:lang w:val="en-AU"/>
        </w:rPr>
        <w:footnoteReference w:id="222"/>
      </w:r>
      <w:r w:rsidRPr="00A33814">
        <w:rPr>
          <w:lang w:val="en-AU"/>
        </w:rPr>
        <w:t xml:space="preserve"> Russell Gmirkin compared the discussion of weaponry, tactics, and military formations in the </w:t>
      </w:r>
      <w:r w:rsidRPr="00A33814">
        <w:rPr>
          <w:i/>
          <w:iCs/>
          <w:lang w:val="en-AU"/>
        </w:rPr>
        <w:t xml:space="preserve">War Scroll </w:t>
      </w:r>
      <w:r w:rsidRPr="00A33814">
        <w:rPr>
          <w:lang w:val="en-AU"/>
        </w:rPr>
        <w:t xml:space="preserve">to those of Roman armies before and after the reforms of Marius, dated 104–103 BCE. By doing so, Gmirkin has postulated that the date of the </w:t>
      </w:r>
      <w:r w:rsidRPr="00A33814">
        <w:rPr>
          <w:i/>
          <w:lang w:val="en-AU"/>
        </w:rPr>
        <w:t>War Scroll</w:t>
      </w:r>
      <w:r w:rsidRPr="00A33814">
        <w:rPr>
          <w:lang w:val="en-AU"/>
        </w:rPr>
        <w:t xml:space="preserve"> falls in the Roman Period between 63 BCE and 1 BCE.</w:t>
      </w:r>
      <w:r w:rsidRPr="00A33814">
        <w:rPr>
          <w:rStyle w:val="FootnoteReference"/>
          <w:lang w:val="en-AU"/>
        </w:rPr>
        <w:footnoteReference w:id="223"/>
      </w:r>
      <w:r w:rsidRPr="00A33814">
        <w:rPr>
          <w:lang w:val="en-AU"/>
        </w:rPr>
        <w:t xml:space="preserve"> Jean Duhaime dates the authorship </w:t>
      </w:r>
      <w:r w:rsidRPr="00A33814">
        <w:rPr>
          <w:i/>
          <w:lang w:val="en-AU"/>
        </w:rPr>
        <w:t>War Scroll</w:t>
      </w:r>
      <w:r w:rsidRPr="00A33814">
        <w:rPr>
          <w:lang w:val="en-AU"/>
        </w:rPr>
        <w:t xml:space="preserve"> at around 100 BCE. Disagreement among scholars abounds regarding the type of training and weaponry mentioned in the </w:t>
      </w:r>
      <w:r w:rsidRPr="00A33814">
        <w:rPr>
          <w:i/>
          <w:lang w:val="en-AU"/>
        </w:rPr>
        <w:t>War Scroll.</w:t>
      </w:r>
      <w:r w:rsidRPr="00A33814">
        <w:rPr>
          <w:rStyle w:val="FootnoteReference"/>
          <w:lang w:val="en-AU"/>
        </w:rPr>
        <w:footnoteReference w:id="224"/>
      </w:r>
      <w:r w:rsidRPr="00A33814">
        <w:rPr>
          <w:lang w:val="en-AU"/>
        </w:rPr>
        <w:t xml:space="preserve"> contends that the account of Zoroastrianism in Plutarch’s </w:t>
      </w:r>
      <w:r w:rsidRPr="00A33814">
        <w:rPr>
          <w:i/>
          <w:iCs/>
          <w:lang w:val="en-AU"/>
        </w:rPr>
        <w:t xml:space="preserve">De </w:t>
      </w:r>
      <w:r w:rsidRPr="00A33814">
        <w:rPr>
          <w:i/>
          <w:iCs/>
          <w:lang w:val="en-AU"/>
        </w:rPr>
        <w:lastRenderedPageBreak/>
        <w:t>Iside et Osiride</w:t>
      </w:r>
      <w:r w:rsidRPr="00A33814">
        <w:rPr>
          <w:lang w:val="en-AU"/>
        </w:rPr>
        <w:t xml:space="preserve"> 45–47 can inform on some of the dualistic ideology seen in 1 QM.</w:t>
      </w:r>
      <w:r w:rsidRPr="00A33814">
        <w:rPr>
          <w:rStyle w:val="FootnoteReference"/>
          <w:lang w:val="en-AU"/>
        </w:rPr>
        <w:footnoteReference w:id="225"/>
      </w:r>
      <w:r w:rsidRPr="00A33814">
        <w:rPr>
          <w:lang w:val="en-AU"/>
        </w:rPr>
        <w:t xml:space="preserve"> Weitzman suggests:</w:t>
      </w:r>
    </w:p>
    <w:p w14:paraId="28D36180" w14:textId="414D84DC" w:rsidR="00D25D36" w:rsidRPr="00A33814" w:rsidRDefault="004D624F" w:rsidP="004D624F">
      <w:pPr>
        <w:pStyle w:val="Blockquotation"/>
        <w:rPr>
          <w:sz w:val="24"/>
          <w:lang w:val="en-AU"/>
        </w:rPr>
      </w:pPr>
      <w:r w:rsidRPr="00A33814">
        <w:rPr>
          <w:sz w:val="24"/>
          <w:lang w:val="en-AU"/>
        </w:rPr>
        <w:t xml:space="preserve">This essay aims to rethink the role that the War Scroll played in early Jewish military practice by reading it </w:t>
      </w:r>
      <w:proofErr w:type="gramStart"/>
      <w:r w:rsidRPr="00A33814">
        <w:rPr>
          <w:sz w:val="24"/>
          <w:lang w:val="en-AU"/>
        </w:rPr>
        <w:t>in light of</w:t>
      </w:r>
      <w:proofErr w:type="gramEnd"/>
      <w:r w:rsidRPr="00A33814">
        <w:rPr>
          <w:sz w:val="24"/>
          <w:lang w:val="en-AU"/>
        </w:rPr>
        <w:t xml:space="preserve"> Greco-Roman theories of how to deploy emotion in battle. Military thinkers like Xenophon and Julius Caesar recognized troop psychology as an important tactical variable that could be manipulated through ritual and supernatural portents. The War Scroll mirrors these practices in a way that supports reading it as a similar effort to manipulate troop psychology arising under the influence of</w:t>
      </w:r>
      <w:r w:rsidR="00FC7FAC" w:rsidRPr="00A33814">
        <w:rPr>
          <w:sz w:val="24"/>
          <w:lang w:val="en-AU"/>
        </w:rPr>
        <w:t>—</w:t>
      </w:r>
      <w:r w:rsidRPr="00A33814">
        <w:rPr>
          <w:sz w:val="24"/>
          <w:lang w:val="en-AU"/>
        </w:rPr>
        <w:t>and perhaps in reaction against</w:t>
      </w:r>
      <w:r w:rsidR="00FC7FAC" w:rsidRPr="00A33814">
        <w:rPr>
          <w:sz w:val="24"/>
          <w:lang w:val="en-AU"/>
        </w:rPr>
        <w:t>—</w:t>
      </w:r>
      <w:r w:rsidRPr="00A33814">
        <w:rPr>
          <w:sz w:val="24"/>
          <w:lang w:val="en-AU"/>
        </w:rPr>
        <w:t>Greco-Roman military practice.</w:t>
      </w:r>
      <w:r w:rsidRPr="00A33814">
        <w:rPr>
          <w:rStyle w:val="FootnoteReference"/>
          <w:sz w:val="24"/>
          <w:lang w:val="en-AU"/>
        </w:rPr>
        <w:t xml:space="preserve"> </w:t>
      </w:r>
      <w:r w:rsidRPr="00A33814">
        <w:rPr>
          <w:rStyle w:val="FootnoteReference"/>
          <w:sz w:val="24"/>
          <w:lang w:val="en-AU"/>
        </w:rPr>
        <w:footnoteReference w:id="226"/>
      </w:r>
    </w:p>
    <w:p w14:paraId="35595947" w14:textId="77777777" w:rsidR="004D624F" w:rsidRPr="00A33814" w:rsidRDefault="004D624F" w:rsidP="004D624F">
      <w:pPr>
        <w:spacing w:line="480" w:lineRule="auto"/>
        <w:rPr>
          <w:lang w:val="en-AU"/>
        </w:rPr>
      </w:pPr>
      <w:r w:rsidRPr="00A33814">
        <w:rPr>
          <w:lang w:val="en-AU"/>
        </w:rPr>
        <w:t xml:space="preserve">Weitzman suggests that the War Scroll is about troop morale and emotion. The scroll lacks the promise and concept of a messianic figure as well. E. P. Sanders stated the problem, “What is most striking about the sect’s messianic expectation is that there is no Davidic messiah in the </w:t>
      </w:r>
      <w:r w:rsidRPr="00A33814">
        <w:rPr>
          <w:i/>
          <w:lang w:val="en-AU"/>
        </w:rPr>
        <w:t>War Scroll</w:t>
      </w:r>
      <w:r w:rsidRPr="00A33814">
        <w:rPr>
          <w:lang w:val="en-AU"/>
        </w:rPr>
        <w:t>.” Sanders went on to say that one would certainly expect to find the messiah taking the leading role in the war against darkness.</w:t>
      </w:r>
      <w:r w:rsidRPr="00A33814">
        <w:rPr>
          <w:rStyle w:val="FootnoteReference"/>
          <w:lang w:val="en-AU"/>
        </w:rPr>
        <w:footnoteReference w:id="227"/>
      </w:r>
      <w:r w:rsidRPr="00A33814">
        <w:rPr>
          <w:lang w:val="en-AU"/>
        </w:rPr>
        <w:t xml:space="preserve"> The </w:t>
      </w:r>
      <w:r w:rsidRPr="00A33814">
        <w:rPr>
          <w:i/>
          <w:lang w:val="en-AU"/>
        </w:rPr>
        <w:t>War Scroll</w:t>
      </w:r>
      <w:r w:rsidRPr="00A33814">
        <w:rPr>
          <w:lang w:val="en-AU"/>
        </w:rPr>
        <w:t xml:space="preserve"> envisages a war in which success does not rest on a Davidic messiah.</w:t>
      </w:r>
    </w:p>
    <w:p w14:paraId="0C17167D" w14:textId="590DAD0B" w:rsidR="004D624F" w:rsidRPr="009E7B69" w:rsidRDefault="004D624F" w:rsidP="00BF0E8E">
      <w:pPr>
        <w:spacing w:line="480" w:lineRule="auto"/>
        <w:ind w:firstLine="720"/>
      </w:pPr>
      <w:r w:rsidRPr="00A33814">
        <w:rPr>
          <w:lang w:val="en-AU"/>
        </w:rPr>
        <w:t xml:space="preserve">The culmination of Jewish literature in the Dead Sea Scrolls is in harmony with </w:t>
      </w:r>
      <w:r w:rsidR="002D1749">
        <w:rPr>
          <w:lang w:val="en-AU"/>
        </w:rPr>
        <w:t xml:space="preserve">the later writings </w:t>
      </w:r>
      <w:r w:rsidRPr="00A33814">
        <w:rPr>
          <w:i/>
          <w:iCs/>
          <w:lang w:val="en-AU"/>
        </w:rPr>
        <w:t xml:space="preserve">Mishna Avot. </w:t>
      </w:r>
      <w:r w:rsidR="002D1749">
        <w:rPr>
          <w:lang w:val="en-AU"/>
        </w:rPr>
        <w:t xml:space="preserve">There is a similar intellectual influence that connects the thought. </w:t>
      </w:r>
      <w:r w:rsidRPr="00A33814">
        <w:rPr>
          <w:lang w:val="en-AU"/>
        </w:rPr>
        <w:t>The</w:t>
      </w:r>
      <w:r w:rsidR="002D1749">
        <w:rPr>
          <w:lang w:val="en-AU"/>
        </w:rPr>
        <w:t xml:space="preserve"> writings in the Dead Sea Scrolls</w:t>
      </w:r>
      <w:r w:rsidRPr="00A33814">
        <w:rPr>
          <w:lang w:val="en-AU"/>
        </w:rPr>
        <w:t xml:space="preserve"> show a messianic influence of nonviolence, as advocated by Jesus.</w:t>
      </w:r>
      <w:r w:rsidRPr="00A33814">
        <w:rPr>
          <w:rStyle w:val="FootnoteReference"/>
          <w:lang w:val="en-AU"/>
        </w:rPr>
        <w:footnoteReference w:id="228"/>
      </w:r>
      <w:r w:rsidRPr="00A33814">
        <w:rPr>
          <w:lang w:val="en-AU"/>
        </w:rPr>
        <w:t xml:space="preserve"> </w:t>
      </w:r>
      <w:r w:rsidR="002D1749">
        <w:rPr>
          <w:lang w:val="en-AU"/>
        </w:rPr>
        <w:t xml:space="preserve">Jesus’s actions reflect the contemporary thought of the day regarding nonviolence. </w:t>
      </w:r>
      <w:r w:rsidRPr="00A33814">
        <w:rPr>
          <w:lang w:val="en-AU"/>
        </w:rPr>
        <w:t xml:space="preserve">There was an expectation of a messiah from the line of </w:t>
      </w:r>
      <w:r w:rsidR="002D1749" w:rsidRPr="00A33814">
        <w:rPr>
          <w:lang w:val="en-AU"/>
        </w:rPr>
        <w:t>David</w:t>
      </w:r>
      <w:r w:rsidR="002D1749">
        <w:rPr>
          <w:lang w:val="en-AU"/>
        </w:rPr>
        <w:t>; however,</w:t>
      </w:r>
      <w:r w:rsidRPr="00A33814">
        <w:rPr>
          <w:lang w:val="en-AU"/>
        </w:rPr>
        <w:t xml:space="preserve"> this is not evident in the </w:t>
      </w:r>
      <w:r w:rsidRPr="00A33814">
        <w:rPr>
          <w:i/>
          <w:iCs/>
          <w:lang w:val="en-AU"/>
        </w:rPr>
        <w:t>War Scroll.</w:t>
      </w:r>
      <w:r w:rsidRPr="00A33814">
        <w:rPr>
          <w:rStyle w:val="FootnoteReference"/>
          <w:lang w:val="en-AU"/>
        </w:rPr>
        <w:footnoteReference w:id="229"/>
      </w:r>
      <w:r w:rsidRPr="00A33814">
        <w:rPr>
          <w:lang w:val="en-AU"/>
        </w:rPr>
        <w:t xml:space="preserve"> At least some Jewish believers took the position that war </w:t>
      </w:r>
      <w:r w:rsidRPr="00A33814">
        <w:rPr>
          <w:lang w:val="en-AU"/>
        </w:rPr>
        <w:lastRenderedPageBreak/>
        <w:t>was to be avoided on ethical grounds.</w:t>
      </w:r>
      <w:r w:rsidRPr="00A33814">
        <w:rPr>
          <w:rStyle w:val="FootnoteReference"/>
          <w:lang w:val="en-AU"/>
        </w:rPr>
        <w:footnoteReference w:id="230"/>
      </w:r>
      <w:r w:rsidRPr="00A33814">
        <w:rPr>
          <w:lang w:val="en-AU"/>
        </w:rPr>
        <w:t xml:space="preserve"> These views expressed in the Dead Scrolls may have been apocalyptic but were nonviolent with</w:t>
      </w:r>
      <w:r w:rsidRPr="009E7B69">
        <w:t xml:space="preserve"> </w:t>
      </w:r>
      <w:r w:rsidRPr="009E7B69">
        <w:rPr>
          <w:shd w:val="clear" w:color="auto" w:fill="FFFFFF"/>
          <w:rtl/>
        </w:rPr>
        <w:t>צדקה</w:t>
      </w:r>
      <w:r w:rsidRPr="009E7B69">
        <w:t>.</w:t>
      </w:r>
      <w:r w:rsidRPr="009E7B69">
        <w:rPr>
          <w:rStyle w:val="FootnoteReference"/>
        </w:rPr>
        <w:footnoteReference w:id="231"/>
      </w:r>
      <w:r w:rsidRPr="009E7B69">
        <w:t xml:space="preserve"> </w:t>
      </w:r>
    </w:p>
    <w:p w14:paraId="2E4DAB5B" w14:textId="66A65E3D" w:rsidR="00D83ECD" w:rsidRPr="009E7B69" w:rsidRDefault="00D83ECD" w:rsidP="00153BD4">
      <w:pPr>
        <w:pStyle w:val="Heading2"/>
      </w:pPr>
      <w:bookmarkStart w:id="80" w:name="_Toc118063640"/>
      <w:r w:rsidRPr="009E7B69">
        <w:t>3.7 Chapter Summary</w:t>
      </w:r>
      <w:bookmarkEnd w:id="80"/>
    </w:p>
    <w:p w14:paraId="07851C53" w14:textId="77777777" w:rsidR="008C7F49" w:rsidRPr="00A33814" w:rsidRDefault="0037351D" w:rsidP="0001259C">
      <w:pPr>
        <w:spacing w:line="480" w:lineRule="auto"/>
        <w:ind w:firstLine="720"/>
        <w:contextualSpacing/>
        <w:rPr>
          <w:lang w:val="en-AU"/>
        </w:rPr>
      </w:pPr>
      <w:r w:rsidRPr="00A33814">
        <w:rPr>
          <w:lang w:val="en-AU"/>
        </w:rPr>
        <w:t xml:space="preserve">The Dead Sea Scrolls are dated before the life of Jesus and are examples of different Jewish traditions.  The writings were held by the residents of Qumran and the exact authorship is debatable.  The scrolls define concepts of messianism, conflict, and peace for the people who wrote them.  These concepts influence the Christian writers and the intellectual thought that </w:t>
      </w:r>
      <w:r w:rsidR="008C7F49" w:rsidRPr="00A33814">
        <w:rPr>
          <w:lang w:val="en-AU"/>
        </w:rPr>
        <w:t xml:space="preserve">carried from Jewish understanding into the birth of Christian understanding. The rise of Hellenistic and Roman periods shaped the way this transmission was preserved and written down. </w:t>
      </w:r>
    </w:p>
    <w:p w14:paraId="460B6B6B" w14:textId="093C40AB" w:rsidR="0001259C" w:rsidRPr="00A33814" w:rsidRDefault="0001259C" w:rsidP="0001259C">
      <w:pPr>
        <w:spacing w:line="480" w:lineRule="auto"/>
        <w:ind w:firstLine="720"/>
        <w:contextualSpacing/>
        <w:rPr>
          <w:lang w:val="en-AU"/>
        </w:rPr>
      </w:pPr>
      <w:r w:rsidRPr="00A33814">
        <w:rPr>
          <w:lang w:val="en-AU"/>
        </w:rPr>
        <w:t xml:space="preserve">Within these collections are different </w:t>
      </w:r>
      <w:r w:rsidRPr="00A33814">
        <w:rPr>
          <w:i/>
          <w:iCs/>
          <w:lang w:val="en-AU"/>
        </w:rPr>
        <w:t xml:space="preserve">Pesharim </w:t>
      </w:r>
      <w:r w:rsidRPr="00A33814">
        <w:rPr>
          <w:lang w:val="en-AU"/>
        </w:rPr>
        <w:t>that make comment about the apocalypse and salvation.</w:t>
      </w:r>
      <w:r w:rsidR="00BF0E8E">
        <w:rPr>
          <w:lang w:val="en-AU"/>
        </w:rPr>
        <w:t xml:space="preserve"> The text</w:t>
      </w:r>
      <w:r w:rsidRPr="00A33814">
        <w:rPr>
          <w:lang w:val="en-AU"/>
        </w:rPr>
        <w:t xml:space="preserve"> </w:t>
      </w:r>
      <w:r w:rsidR="008C7F49" w:rsidRPr="00A33814">
        <w:rPr>
          <w:lang w:val="en-AU"/>
        </w:rPr>
        <w:t xml:space="preserve">4q521 is an example of sectarianism and apocalypticism that resembles the thoughts of the writers of these scrolls. The discussions within the scrolls of the </w:t>
      </w:r>
      <w:r w:rsidR="008C7F49" w:rsidRPr="00A33814">
        <w:rPr>
          <w:i/>
          <w:iCs/>
          <w:lang w:val="en-AU"/>
        </w:rPr>
        <w:t xml:space="preserve">Wicked </w:t>
      </w:r>
      <w:r w:rsidR="00D83E04" w:rsidRPr="00A33814">
        <w:rPr>
          <w:i/>
          <w:iCs/>
          <w:lang w:val="en-AU"/>
        </w:rPr>
        <w:t xml:space="preserve">Priest </w:t>
      </w:r>
      <w:r w:rsidR="00D83E04" w:rsidRPr="00A33814">
        <w:rPr>
          <w:lang w:val="en-AU"/>
        </w:rPr>
        <w:t>are</w:t>
      </w:r>
      <w:r w:rsidR="008C7F49" w:rsidRPr="00A33814">
        <w:rPr>
          <w:lang w:val="en-AU"/>
        </w:rPr>
        <w:t xml:space="preserve"> critiques of the Hasmonean high priests and the people of Qumran are opposed </w:t>
      </w:r>
      <w:r w:rsidR="00BE4E0B">
        <w:rPr>
          <w:lang w:val="en-AU"/>
        </w:rPr>
        <w:t>to the views of the</w:t>
      </w:r>
      <w:r w:rsidR="008C7F49" w:rsidRPr="00A33814">
        <w:rPr>
          <w:lang w:val="en-AU"/>
        </w:rPr>
        <w:t xml:space="preserve"> Sadducees and the Hasmoneans</w:t>
      </w:r>
      <w:r w:rsidR="00BE4E0B">
        <w:rPr>
          <w:lang w:val="en-AU"/>
        </w:rPr>
        <w:t xml:space="preserve">.  The Sadducees and Hasmoneans are the </w:t>
      </w:r>
      <w:r w:rsidR="008C7F49" w:rsidRPr="00A33814">
        <w:rPr>
          <w:lang w:val="en-AU"/>
        </w:rPr>
        <w:t>controll</w:t>
      </w:r>
      <w:r w:rsidR="00BE4E0B">
        <w:rPr>
          <w:lang w:val="en-AU"/>
        </w:rPr>
        <w:t xml:space="preserve">ing power at </w:t>
      </w:r>
      <w:r w:rsidR="008C7F49" w:rsidRPr="00A33814">
        <w:rPr>
          <w:lang w:val="en-AU"/>
        </w:rPr>
        <w:t>the cultic temple in Jerusalem.</w:t>
      </w:r>
      <w:r w:rsidR="004C01A9" w:rsidRPr="00A33814">
        <w:rPr>
          <w:lang w:val="en-AU"/>
        </w:rPr>
        <w:t xml:space="preserve"> Scrolls such as 4Q246 provided the expectations of a messianic figure within this Qumran collection.</w:t>
      </w:r>
      <w:r w:rsidR="008C7F49" w:rsidRPr="00A33814">
        <w:rPr>
          <w:lang w:val="en-AU"/>
        </w:rPr>
        <w:t xml:space="preserve"> </w:t>
      </w:r>
    </w:p>
    <w:p w14:paraId="3F24C8AE" w14:textId="33BE8C0B" w:rsidR="0001259C" w:rsidRPr="00A33814" w:rsidRDefault="0001259C" w:rsidP="002A0B36">
      <w:pPr>
        <w:spacing w:line="480" w:lineRule="auto"/>
        <w:ind w:firstLine="720"/>
        <w:contextualSpacing/>
        <w:rPr>
          <w:lang w:val="en-AU"/>
        </w:rPr>
      </w:pPr>
      <w:r w:rsidRPr="00A33814">
        <w:rPr>
          <w:lang w:val="en-AU"/>
        </w:rPr>
        <w:t xml:space="preserve">This chapter </w:t>
      </w:r>
      <w:r w:rsidR="004C01A9" w:rsidRPr="00A33814">
        <w:rPr>
          <w:lang w:val="en-AU"/>
        </w:rPr>
        <w:t xml:space="preserve">contends that repentance </w:t>
      </w:r>
      <w:proofErr w:type="gramStart"/>
      <w:r w:rsidR="004C01A9" w:rsidRPr="00A33814">
        <w:rPr>
          <w:lang w:val="en-AU"/>
        </w:rPr>
        <w:t>is connected with</w:t>
      </w:r>
      <w:proofErr w:type="gramEnd"/>
      <w:r w:rsidR="004C01A9" w:rsidRPr="00A33814">
        <w:rPr>
          <w:lang w:val="en-AU"/>
        </w:rPr>
        <w:t xml:space="preserve"> the Jewish rituals practiced, such as </w:t>
      </w:r>
      <w:r w:rsidR="004C01A9" w:rsidRPr="00A33814">
        <w:rPr>
          <w:i/>
          <w:iCs/>
          <w:lang w:val="en-AU"/>
        </w:rPr>
        <w:t>mikvah.</w:t>
      </w:r>
      <w:r w:rsidR="004C01A9" w:rsidRPr="00A33814">
        <w:rPr>
          <w:lang w:val="en-AU"/>
        </w:rPr>
        <w:t xml:space="preserve"> Figures in the life of Jesus such as John the Baptist and the actions of Jesus’</w:t>
      </w:r>
      <w:r w:rsidR="00E35288">
        <w:rPr>
          <w:lang w:val="en-AU"/>
        </w:rPr>
        <w:t>s</w:t>
      </w:r>
      <w:r w:rsidR="004C01A9" w:rsidRPr="00A33814">
        <w:rPr>
          <w:lang w:val="en-AU"/>
        </w:rPr>
        <w:t xml:space="preserve"> baptism illustrate a concept of people is required to purify leaders who are wicked.  These actions of </w:t>
      </w:r>
      <w:r w:rsidR="002A0B36" w:rsidRPr="00A33814">
        <w:rPr>
          <w:lang w:val="en-AU"/>
        </w:rPr>
        <w:t>repentance</w:t>
      </w:r>
      <w:r w:rsidR="004C01A9" w:rsidRPr="00A33814">
        <w:rPr>
          <w:lang w:val="en-AU"/>
        </w:rPr>
        <w:t xml:space="preserve"> would </w:t>
      </w:r>
      <w:r w:rsidR="002A0B36" w:rsidRPr="00A33814">
        <w:rPr>
          <w:lang w:val="en-AU"/>
        </w:rPr>
        <w:t xml:space="preserve">change a person in action and in intent. A repentant person is </w:t>
      </w:r>
      <w:r w:rsidR="002A0B36" w:rsidRPr="00A33814">
        <w:rPr>
          <w:lang w:val="en-AU"/>
        </w:rPr>
        <w:lastRenderedPageBreak/>
        <w:t>essential to identify the messianic redeemer of the people who would either be</w:t>
      </w:r>
      <w:r w:rsidR="002A0B36" w:rsidRPr="00A33814">
        <w:rPr>
          <w:i/>
          <w:iCs/>
          <w:lang w:val="en-AU"/>
        </w:rPr>
        <w:t xml:space="preserve"> </w:t>
      </w:r>
      <w:r w:rsidRPr="00A33814">
        <w:rPr>
          <w:lang w:val="en-AU"/>
        </w:rPr>
        <w:t xml:space="preserve">associated with the line of David and the line of Aaron and how these figures feature in the writings preserved by the Qumran community. </w:t>
      </w:r>
      <w:r w:rsidR="002A0B36" w:rsidRPr="00A33814">
        <w:rPr>
          <w:lang w:val="en-AU"/>
        </w:rPr>
        <w:t xml:space="preserve">The two identified lineages of a messianic leader are part of the eschatology of the writers of Qumran and play a part defining if the people submit to a ruler peacefully or revolt against a ruler with violence.  This chapter concludes </w:t>
      </w:r>
      <w:r w:rsidRPr="00A33814">
        <w:rPr>
          <w:lang w:val="en-AU"/>
        </w:rPr>
        <w:t>with a discussion on the role of the scrolls and Jesus’</w:t>
      </w:r>
      <w:r w:rsidR="00E35288">
        <w:rPr>
          <w:lang w:val="en-AU"/>
        </w:rPr>
        <w:t>s</w:t>
      </w:r>
      <w:r w:rsidRPr="00A33814">
        <w:rPr>
          <w:lang w:val="en-AU"/>
        </w:rPr>
        <w:t xml:space="preserve"> listeners to the Sermon on the Mount</w:t>
      </w:r>
      <w:r w:rsidR="002A0B36" w:rsidRPr="00A33814">
        <w:rPr>
          <w:lang w:val="en-AU"/>
        </w:rPr>
        <w:t xml:space="preserve"> indicating that the listeners would be aware of the Qumran community, as well as the Essenes, especially since in Jerusalem an entire area was dedicated to them. </w:t>
      </w:r>
      <w:r w:rsidRPr="00A33814">
        <w:rPr>
          <w:lang w:val="en-AU"/>
        </w:rPr>
        <w:t xml:space="preserve"> </w:t>
      </w:r>
    </w:p>
    <w:p w14:paraId="3A2704AB" w14:textId="59AD4F5B" w:rsidR="008D4202" w:rsidRPr="00A33814" w:rsidRDefault="006E6FB7" w:rsidP="000F4907">
      <w:pPr>
        <w:rPr>
          <w:lang w:val="en-AU"/>
        </w:rPr>
      </w:pPr>
      <w:r w:rsidRPr="00A33814">
        <w:rPr>
          <w:lang w:val="en-AU"/>
        </w:rPr>
        <w:br w:type="page"/>
      </w:r>
    </w:p>
    <w:p w14:paraId="05EAEFB0" w14:textId="5615E3EE" w:rsidR="008D4202" w:rsidRPr="00A33814" w:rsidRDefault="006E6FB7" w:rsidP="009F5D32">
      <w:pPr>
        <w:pStyle w:val="Heading1"/>
        <w:rPr>
          <w:lang w:val="en-AU"/>
        </w:rPr>
      </w:pPr>
      <w:bookmarkStart w:id="81" w:name="_Toc94536995"/>
      <w:bookmarkStart w:id="82" w:name="_Toc118063641"/>
      <w:r w:rsidRPr="00A33814">
        <w:rPr>
          <w:lang w:val="en-AU"/>
        </w:rPr>
        <w:lastRenderedPageBreak/>
        <w:t xml:space="preserve">Chapter </w:t>
      </w:r>
      <w:r w:rsidR="00BE5E50" w:rsidRPr="00A33814">
        <w:rPr>
          <w:lang w:val="en-AU"/>
        </w:rPr>
        <w:t xml:space="preserve">4 </w:t>
      </w:r>
      <w:r w:rsidR="007B7745" w:rsidRPr="00A33814">
        <w:rPr>
          <w:lang w:val="en-AU"/>
        </w:rPr>
        <w:t xml:space="preserve">Moneylending </w:t>
      </w:r>
      <w:r w:rsidR="000578AA" w:rsidRPr="00A33814">
        <w:rPr>
          <w:lang w:val="en-AU"/>
        </w:rPr>
        <w:t>and Ethics in Torah</w:t>
      </w:r>
      <w:bookmarkEnd w:id="81"/>
      <w:bookmarkEnd w:id="82"/>
    </w:p>
    <w:p w14:paraId="44782529" w14:textId="13875F22" w:rsidR="00BE5E50" w:rsidRPr="00A33814" w:rsidRDefault="00EB7014" w:rsidP="000578AA">
      <w:pPr>
        <w:widowControl w:val="0"/>
        <w:autoSpaceDE w:val="0"/>
        <w:autoSpaceDN w:val="0"/>
        <w:adjustRightInd w:val="0"/>
        <w:spacing w:before="120" w:line="480" w:lineRule="auto"/>
        <w:ind w:firstLine="720"/>
        <w:rPr>
          <w:lang w:val="en-AU"/>
        </w:rPr>
      </w:pPr>
      <w:r>
        <w:rPr>
          <w:lang w:val="en-AU"/>
        </w:rPr>
        <w:t>Regarding m</w:t>
      </w:r>
      <w:r w:rsidR="00FF4E93">
        <w:rPr>
          <w:lang w:val="en-AU"/>
        </w:rPr>
        <w:t>oneylending</w:t>
      </w:r>
      <w:r>
        <w:rPr>
          <w:lang w:val="en-AU"/>
        </w:rPr>
        <w:t>,</w:t>
      </w:r>
      <w:r w:rsidR="00FF4E93">
        <w:rPr>
          <w:lang w:val="en-AU"/>
        </w:rPr>
        <w:t xml:space="preserve"> the Torah provides an understanding into the narrative surrounding nonviolen</w:t>
      </w:r>
      <w:r>
        <w:rPr>
          <w:lang w:val="en-AU"/>
        </w:rPr>
        <w:t>t</w:t>
      </w:r>
      <w:r w:rsidR="00FF4E93">
        <w:rPr>
          <w:lang w:val="en-AU"/>
        </w:rPr>
        <w:t xml:space="preserve"> resistance. </w:t>
      </w:r>
      <w:r w:rsidR="006E6FB7" w:rsidRPr="00A33814">
        <w:rPr>
          <w:lang w:val="en-AU"/>
        </w:rPr>
        <w:t>The passages in the Hebrew Bible</w:t>
      </w:r>
      <w:r w:rsidR="00BE6BA3" w:rsidRPr="00A33814">
        <w:rPr>
          <w:lang w:val="en-AU"/>
        </w:rPr>
        <w:t xml:space="preserve"> </w:t>
      </w:r>
      <w:r w:rsidR="006E6FB7" w:rsidRPr="00A33814">
        <w:rPr>
          <w:lang w:val="en-AU"/>
        </w:rPr>
        <w:t>concerning</w:t>
      </w:r>
      <w:r>
        <w:rPr>
          <w:lang w:val="en-AU"/>
        </w:rPr>
        <w:t xml:space="preserve"> compassion in </w:t>
      </w:r>
      <w:r w:rsidR="00BE6BA3" w:rsidRPr="00A33814">
        <w:rPr>
          <w:lang w:val="en-AU"/>
        </w:rPr>
        <w:t xml:space="preserve">collateral and debt compassion </w:t>
      </w:r>
      <w:r w:rsidR="0070619A" w:rsidRPr="00A33814">
        <w:rPr>
          <w:lang w:val="en-AU"/>
        </w:rPr>
        <w:t xml:space="preserve">help to </w:t>
      </w:r>
      <w:r w:rsidR="00EF01BA" w:rsidRPr="00A33814">
        <w:rPr>
          <w:lang w:val="en-AU"/>
        </w:rPr>
        <w:t xml:space="preserve">clarify </w:t>
      </w:r>
      <w:r w:rsidR="006E6FB7" w:rsidRPr="00A33814">
        <w:rPr>
          <w:lang w:val="en-AU"/>
        </w:rPr>
        <w:t xml:space="preserve">the background </w:t>
      </w:r>
      <w:r w:rsidR="00BE5E50" w:rsidRPr="00A33814">
        <w:rPr>
          <w:lang w:val="en-AU"/>
        </w:rPr>
        <w:t xml:space="preserve">conceptions of ethics and peace </w:t>
      </w:r>
      <w:r w:rsidR="006E6FB7" w:rsidRPr="00A33814">
        <w:rPr>
          <w:lang w:val="en-AU"/>
        </w:rPr>
        <w:t xml:space="preserve">that </w:t>
      </w:r>
      <w:r w:rsidR="00BE5E50" w:rsidRPr="00A33814">
        <w:rPr>
          <w:lang w:val="en-AU"/>
        </w:rPr>
        <w:t xml:space="preserve">would have been available to many in </w:t>
      </w:r>
      <w:r w:rsidR="006E6FB7" w:rsidRPr="00A33814">
        <w:rPr>
          <w:lang w:val="en-AU"/>
        </w:rPr>
        <w:t>the audience of the Sermon on the Mount</w:t>
      </w:r>
      <w:r w:rsidR="00BE5E50" w:rsidRPr="00A33814">
        <w:rPr>
          <w:lang w:val="en-AU"/>
        </w:rPr>
        <w:t xml:space="preserve">. </w:t>
      </w:r>
      <w:r w:rsidR="00FF4E93">
        <w:rPr>
          <w:lang w:val="en-AU"/>
        </w:rPr>
        <w:t>The rules surrounding interest collection for Jews and Gentiles differ. The viewpoint of compassion and debt relief in the Torah as defined in this dissertation</w:t>
      </w:r>
      <w:r>
        <w:rPr>
          <w:lang w:val="en-AU"/>
        </w:rPr>
        <w:t xml:space="preserve"> comes from a </w:t>
      </w:r>
      <w:r w:rsidR="00FF4E93">
        <w:rPr>
          <w:lang w:val="en-AU"/>
        </w:rPr>
        <w:t xml:space="preserve">foundational understanding of Matthew 5:38-42. </w:t>
      </w:r>
      <w:r w:rsidR="00BE5E50" w:rsidRPr="00A33814">
        <w:rPr>
          <w:lang w:val="en-AU"/>
        </w:rPr>
        <w:t>This chapter explores the source material in the Hebrew Bible concerning debt and collateral.</w:t>
      </w:r>
    </w:p>
    <w:p w14:paraId="38A09CC5" w14:textId="47A6491A" w:rsidR="00BE5E50" w:rsidRPr="00A33814" w:rsidRDefault="00BE5E50" w:rsidP="00AB7CAD">
      <w:pPr>
        <w:pStyle w:val="Heading2"/>
      </w:pPr>
      <w:bookmarkStart w:id="83" w:name="_Toc94536996"/>
      <w:bookmarkStart w:id="84" w:name="_Toc118063642"/>
      <w:r w:rsidRPr="00A33814">
        <w:t>4.1 Different Rules Regarding Interest</w:t>
      </w:r>
      <w:r w:rsidR="00DB0FB4" w:rsidRPr="00A33814">
        <w:t xml:space="preserve"> for Jews and Gentiles</w:t>
      </w:r>
      <w:bookmarkEnd w:id="83"/>
      <w:bookmarkEnd w:id="84"/>
    </w:p>
    <w:p w14:paraId="63C4FB60" w14:textId="77777777" w:rsidR="00EB7014" w:rsidRDefault="00EB7014" w:rsidP="000578AA">
      <w:pPr>
        <w:widowControl w:val="0"/>
        <w:autoSpaceDE w:val="0"/>
        <w:autoSpaceDN w:val="0"/>
        <w:adjustRightInd w:val="0"/>
        <w:spacing w:before="120" w:line="480" w:lineRule="auto"/>
        <w:ind w:firstLine="720"/>
        <w:rPr>
          <w:lang w:val="en-AU"/>
        </w:rPr>
      </w:pPr>
      <w:r>
        <w:rPr>
          <w:lang w:val="en-AU"/>
        </w:rPr>
        <w:t>Since t</w:t>
      </w:r>
      <w:r w:rsidR="00BE6BA3" w:rsidRPr="00A33814">
        <w:rPr>
          <w:lang w:val="en-AU"/>
        </w:rPr>
        <w:t xml:space="preserve">he Torah </w:t>
      </w:r>
      <w:r w:rsidR="00560E81" w:rsidRPr="00A33814">
        <w:rPr>
          <w:lang w:val="en-AU"/>
        </w:rPr>
        <w:t xml:space="preserve">regulates </w:t>
      </w:r>
      <w:r>
        <w:rPr>
          <w:lang w:val="en-AU"/>
        </w:rPr>
        <w:t xml:space="preserve">the </w:t>
      </w:r>
      <w:r w:rsidR="00560E81" w:rsidRPr="00A33814">
        <w:rPr>
          <w:lang w:val="en-AU"/>
        </w:rPr>
        <w:t>moneylending for Jews</w:t>
      </w:r>
      <w:r w:rsidR="00BE6BA3" w:rsidRPr="00A33814">
        <w:rPr>
          <w:lang w:val="en-AU"/>
        </w:rPr>
        <w:t xml:space="preserve">; </w:t>
      </w:r>
      <w:r w:rsidR="0097240C" w:rsidRPr="00A33814">
        <w:rPr>
          <w:lang w:val="en-AU"/>
        </w:rPr>
        <w:t>thus,</w:t>
      </w:r>
      <w:r w:rsidR="00BE6BA3" w:rsidRPr="00A33814">
        <w:rPr>
          <w:lang w:val="en-AU"/>
        </w:rPr>
        <w:t xml:space="preserve"> Jesus would have been obliged to follow those same monetary re</w:t>
      </w:r>
      <w:r w:rsidR="00017B82" w:rsidRPr="00A33814">
        <w:rPr>
          <w:lang w:val="en-AU"/>
        </w:rPr>
        <w:t>gulat</w:t>
      </w:r>
      <w:r w:rsidR="00BE6BA3" w:rsidRPr="00A33814">
        <w:rPr>
          <w:lang w:val="en-AU"/>
        </w:rPr>
        <w:t>ions in his ministry.</w:t>
      </w:r>
      <w:r w:rsidR="00D51A87">
        <w:rPr>
          <w:lang w:val="en-AU"/>
        </w:rPr>
        <w:t xml:space="preserve"> These rules for moneylending are foundational for understanding Matthew 5:38-42 in terms of borrowing and debt.</w:t>
      </w:r>
      <w:r w:rsidR="00BE6BA3" w:rsidRPr="00A33814">
        <w:rPr>
          <w:lang w:val="en-AU"/>
        </w:rPr>
        <w:t xml:space="preserve"> Jesus would have acted in a manner that coincided with the Jewish views </w:t>
      </w:r>
      <w:r w:rsidR="00F64665" w:rsidRPr="00A33814">
        <w:rPr>
          <w:lang w:val="en-AU"/>
        </w:rPr>
        <w:t xml:space="preserve">about </w:t>
      </w:r>
      <w:r w:rsidR="00BE6BA3" w:rsidRPr="00A33814">
        <w:rPr>
          <w:lang w:val="en-AU"/>
        </w:rPr>
        <w:t xml:space="preserve">moneylending and collateral during the Second Temple period. </w:t>
      </w:r>
      <w:r>
        <w:rPr>
          <w:lang w:val="en-AU"/>
        </w:rPr>
        <w:t xml:space="preserve">During this </w:t>
      </w:r>
      <w:proofErr w:type="gramStart"/>
      <w:r>
        <w:rPr>
          <w:lang w:val="en-AU"/>
        </w:rPr>
        <w:t>time period</w:t>
      </w:r>
      <w:proofErr w:type="gramEnd"/>
      <w:r>
        <w:rPr>
          <w:lang w:val="en-AU"/>
        </w:rPr>
        <w:t xml:space="preserve">, </w:t>
      </w:r>
      <w:r w:rsidR="00560E81" w:rsidRPr="00A33814">
        <w:rPr>
          <w:lang w:val="en-AU"/>
        </w:rPr>
        <w:t xml:space="preserve">Jews cannot charge interest to Jews. </w:t>
      </w:r>
      <w:r w:rsidR="00463935" w:rsidRPr="00A33814">
        <w:rPr>
          <w:lang w:val="en-AU"/>
        </w:rPr>
        <w:t xml:space="preserve">A Jewish person could lend money to </w:t>
      </w:r>
      <w:r>
        <w:rPr>
          <w:lang w:val="en-AU"/>
        </w:rPr>
        <w:t>g</w:t>
      </w:r>
      <w:r w:rsidR="00463935" w:rsidRPr="00A33814">
        <w:rPr>
          <w:lang w:val="en-AU"/>
        </w:rPr>
        <w:t xml:space="preserve">entiles. Furthermore, a Jewish person could collect interest only on </w:t>
      </w:r>
      <w:r w:rsidR="00E96921" w:rsidRPr="00A33814">
        <w:rPr>
          <w:lang w:val="en-AU"/>
        </w:rPr>
        <w:t>a</w:t>
      </w:r>
      <w:r w:rsidR="00463935" w:rsidRPr="00A33814">
        <w:rPr>
          <w:lang w:val="en-AU"/>
        </w:rPr>
        <w:t xml:space="preserve"> </w:t>
      </w:r>
      <w:r>
        <w:rPr>
          <w:lang w:val="en-AU"/>
        </w:rPr>
        <w:t>g</w:t>
      </w:r>
      <w:r w:rsidR="00463935" w:rsidRPr="00A33814">
        <w:rPr>
          <w:lang w:val="en-AU"/>
        </w:rPr>
        <w:t>entile</w:t>
      </w:r>
      <w:r w:rsidR="005C71CB" w:rsidRPr="00A33814">
        <w:rPr>
          <w:lang w:val="en-AU"/>
        </w:rPr>
        <w:t>’</w:t>
      </w:r>
      <w:r w:rsidR="00463935" w:rsidRPr="00A33814">
        <w:rPr>
          <w:lang w:val="en-AU"/>
        </w:rPr>
        <w:t xml:space="preserve">s loan, and not </w:t>
      </w:r>
      <w:r w:rsidR="00E96921" w:rsidRPr="00A33814">
        <w:rPr>
          <w:lang w:val="en-AU"/>
        </w:rPr>
        <w:t>a</w:t>
      </w:r>
      <w:r w:rsidR="00463935" w:rsidRPr="00A33814">
        <w:rPr>
          <w:lang w:val="en-AU"/>
        </w:rPr>
        <w:t xml:space="preserve"> Jewish person</w:t>
      </w:r>
      <w:r w:rsidR="005C71CB" w:rsidRPr="00A33814">
        <w:rPr>
          <w:lang w:val="en-AU"/>
        </w:rPr>
        <w:t>’</w:t>
      </w:r>
      <w:r w:rsidR="00463935" w:rsidRPr="00A33814">
        <w:rPr>
          <w:lang w:val="en-AU"/>
        </w:rPr>
        <w:t xml:space="preserve">s loan. </w:t>
      </w:r>
      <w:r w:rsidR="002A5DAC" w:rsidRPr="00A33814">
        <w:rPr>
          <w:lang w:val="en-AU"/>
        </w:rPr>
        <w:t>Jewish moneylending laws were</w:t>
      </w:r>
      <w:r w:rsidR="00BE6BA3" w:rsidRPr="00A33814">
        <w:rPr>
          <w:lang w:val="en-AU"/>
        </w:rPr>
        <w:t xml:space="preserve"> established before the Second Temple time</w:t>
      </w:r>
      <w:r w:rsidR="0051104F" w:rsidRPr="00A33814">
        <w:rPr>
          <w:lang w:val="en-AU"/>
        </w:rPr>
        <w:t xml:space="preserve">, dating from </w:t>
      </w:r>
      <w:r w:rsidR="00BE6BA3" w:rsidRPr="00A33814">
        <w:rPr>
          <w:lang w:val="en-AU"/>
        </w:rPr>
        <w:t xml:space="preserve">the Laws of Moses. </w:t>
      </w:r>
      <w:r w:rsidR="00D51A87">
        <w:rPr>
          <w:lang w:val="en-AU"/>
        </w:rPr>
        <w:t xml:space="preserve">They were practiced within the Jewish communities even when different empires ruled over them. </w:t>
      </w:r>
    </w:p>
    <w:p w14:paraId="20F9E511" w14:textId="3CF27485" w:rsidR="008D4202" w:rsidRPr="00A33814" w:rsidRDefault="00EB7014" w:rsidP="000578AA">
      <w:pPr>
        <w:widowControl w:val="0"/>
        <w:autoSpaceDE w:val="0"/>
        <w:autoSpaceDN w:val="0"/>
        <w:adjustRightInd w:val="0"/>
        <w:spacing w:before="120" w:line="480" w:lineRule="auto"/>
        <w:ind w:firstLine="720"/>
        <w:rPr>
          <w:lang w:val="en-AU"/>
        </w:rPr>
      </w:pPr>
      <w:r>
        <w:rPr>
          <w:lang w:val="en-AU"/>
        </w:rPr>
        <w:t>In this background,</w:t>
      </w:r>
      <w:r w:rsidR="0051104F" w:rsidRPr="00A33814">
        <w:rPr>
          <w:lang w:val="en-AU"/>
        </w:rPr>
        <w:t xml:space="preserve"> </w:t>
      </w:r>
      <w:r w:rsidR="00BE6BA3" w:rsidRPr="00A33814">
        <w:rPr>
          <w:lang w:val="en-AU"/>
        </w:rPr>
        <w:t xml:space="preserve">Deuteronomy 15:3 </w:t>
      </w:r>
      <w:r w:rsidR="0051104F" w:rsidRPr="00A33814">
        <w:rPr>
          <w:lang w:val="en-AU"/>
        </w:rPr>
        <w:t xml:space="preserve">it is </w:t>
      </w:r>
      <w:r w:rsidR="00BE6BA3" w:rsidRPr="00A33814">
        <w:rPr>
          <w:lang w:val="en-AU"/>
        </w:rPr>
        <w:t>state</w:t>
      </w:r>
      <w:r>
        <w:rPr>
          <w:lang w:val="en-AU"/>
        </w:rPr>
        <w:t>s</w:t>
      </w:r>
      <w:r w:rsidR="00BE6BA3" w:rsidRPr="00A33814">
        <w:rPr>
          <w:lang w:val="en-AU"/>
        </w:rPr>
        <w:t xml:space="preserve">, </w:t>
      </w:r>
      <w:r w:rsidR="00863B47" w:rsidRPr="00A33814">
        <w:rPr>
          <w:iCs/>
          <w:lang w:val="en-AU"/>
        </w:rPr>
        <w:t>“</w:t>
      </w:r>
      <w:r w:rsidR="00BE6BA3" w:rsidRPr="00A33814">
        <w:rPr>
          <w:iCs/>
          <w:lang w:val="en-AU"/>
        </w:rPr>
        <w:t>You may dun the foreigner; but you must remit whatever is due you from your kinsmen</w:t>
      </w:r>
      <w:r w:rsidR="00BE6BA3" w:rsidRPr="00A33814">
        <w:rPr>
          <w:lang w:val="en-AU"/>
        </w:rPr>
        <w:t>.</w:t>
      </w:r>
      <w:r w:rsidR="00863B47" w:rsidRPr="00A33814">
        <w:rPr>
          <w:lang w:val="en-AU"/>
        </w:rPr>
        <w:t>”</w:t>
      </w:r>
      <w:r>
        <w:rPr>
          <w:lang w:val="en-AU"/>
        </w:rPr>
        <w:t xml:space="preserve"> Based on this, a</w:t>
      </w:r>
      <w:r w:rsidR="002B5310" w:rsidRPr="00A33814">
        <w:rPr>
          <w:lang w:val="en-AU"/>
        </w:rPr>
        <w:t xml:space="preserve">lthough a loan </w:t>
      </w:r>
      <w:r w:rsidR="00FE6032" w:rsidRPr="00A33814">
        <w:rPr>
          <w:lang w:val="en-AU"/>
        </w:rPr>
        <w:lastRenderedPageBreak/>
        <w:t xml:space="preserve">could </w:t>
      </w:r>
      <w:r w:rsidR="002B5310" w:rsidRPr="00A33814">
        <w:rPr>
          <w:lang w:val="en-AU"/>
        </w:rPr>
        <w:t xml:space="preserve">be given to Israelites, </w:t>
      </w:r>
      <w:proofErr w:type="gramStart"/>
      <w:r w:rsidR="002B5310" w:rsidRPr="00A33814">
        <w:rPr>
          <w:lang w:val="en-AU"/>
        </w:rPr>
        <w:t xml:space="preserve">collection </w:t>
      </w:r>
      <w:r>
        <w:rPr>
          <w:lang w:val="en-AU"/>
        </w:rPr>
        <w:t xml:space="preserve"> in</w:t>
      </w:r>
      <w:proofErr w:type="gramEnd"/>
      <w:r>
        <w:rPr>
          <w:lang w:val="en-AU"/>
        </w:rPr>
        <w:t xml:space="preserve"> case </w:t>
      </w:r>
      <w:r w:rsidR="002B5310" w:rsidRPr="00A33814">
        <w:rPr>
          <w:lang w:val="en-AU"/>
        </w:rPr>
        <w:t>of a default was prohibited</w:t>
      </w:r>
      <w:r w:rsidR="00EF01BA" w:rsidRPr="00A33814">
        <w:rPr>
          <w:lang w:val="en-AU"/>
        </w:rPr>
        <w:t>.</w:t>
      </w:r>
      <w:r w:rsidR="00EF01BA" w:rsidRPr="00A33814">
        <w:rPr>
          <w:rStyle w:val="FootnoteReference"/>
          <w:lang w:val="en-AU"/>
        </w:rPr>
        <w:footnoteReference w:id="232"/>
      </w:r>
      <w:r w:rsidR="000578AA" w:rsidRPr="00A33814">
        <w:rPr>
          <w:lang w:val="en-AU"/>
        </w:rPr>
        <w:t xml:space="preserve"> </w:t>
      </w:r>
      <w:r w:rsidR="00BE6BA3" w:rsidRPr="00A33814">
        <w:rPr>
          <w:lang w:val="en-AU"/>
        </w:rPr>
        <w:t>The foreigner</w:t>
      </w:r>
      <w:r w:rsidR="00B8610F" w:rsidRPr="00A33814">
        <w:rPr>
          <w:lang w:val="en-AU"/>
        </w:rPr>
        <w:t>, wh</w:t>
      </w:r>
      <w:r w:rsidR="00FE6032" w:rsidRPr="00A33814">
        <w:rPr>
          <w:lang w:val="en-AU"/>
        </w:rPr>
        <w:t>o</w:t>
      </w:r>
      <w:r w:rsidR="00B8610F" w:rsidRPr="00A33814">
        <w:rPr>
          <w:lang w:val="en-AU"/>
        </w:rPr>
        <w:t xml:space="preserve"> was under different legal scrutiny, </w:t>
      </w:r>
      <w:r w:rsidR="00BE6BA3" w:rsidRPr="00A33814">
        <w:rPr>
          <w:lang w:val="en-AU"/>
        </w:rPr>
        <w:t>was looked upon with a different view of ethics in fiscal matters compared to the Jewish individual who would have had</w:t>
      </w:r>
      <w:r w:rsidR="00BC6E6B" w:rsidRPr="00A33814">
        <w:rPr>
          <w:lang w:val="en-AU"/>
        </w:rPr>
        <w:t xml:space="preserve"> </w:t>
      </w:r>
      <w:r w:rsidR="00FE6032" w:rsidRPr="00A33814">
        <w:rPr>
          <w:lang w:val="en-AU"/>
        </w:rPr>
        <w:t>different</w:t>
      </w:r>
      <w:r w:rsidR="00BE6BA3" w:rsidRPr="00A33814">
        <w:rPr>
          <w:lang w:val="en-AU"/>
        </w:rPr>
        <w:t xml:space="preserve"> </w:t>
      </w:r>
      <w:r w:rsidR="00BC6E6B" w:rsidRPr="00A33814">
        <w:rPr>
          <w:lang w:val="en-AU"/>
        </w:rPr>
        <w:t>terms for</w:t>
      </w:r>
      <w:r w:rsidR="00BE6BA3" w:rsidRPr="00A33814">
        <w:rPr>
          <w:lang w:val="en-AU"/>
        </w:rPr>
        <w:t xml:space="preserve"> </w:t>
      </w:r>
      <w:r w:rsidR="00BC6E6B" w:rsidRPr="00A33814">
        <w:rPr>
          <w:lang w:val="en-AU"/>
        </w:rPr>
        <w:t xml:space="preserve">a </w:t>
      </w:r>
      <w:r w:rsidR="00BE6BA3" w:rsidRPr="00A33814">
        <w:rPr>
          <w:lang w:val="en-AU"/>
        </w:rPr>
        <w:t xml:space="preserve">loan. </w:t>
      </w:r>
    </w:p>
    <w:p w14:paraId="73494611" w14:textId="187AE48A" w:rsidR="008D4202" w:rsidRPr="007D5825" w:rsidRDefault="003575A2" w:rsidP="002A5DAC">
      <w:pPr>
        <w:widowControl w:val="0"/>
        <w:autoSpaceDE w:val="0"/>
        <w:autoSpaceDN w:val="0"/>
        <w:adjustRightInd w:val="0"/>
        <w:spacing w:before="120" w:line="480" w:lineRule="auto"/>
        <w:ind w:firstLine="720"/>
        <w:rPr>
          <w:shd w:val="clear" w:color="auto" w:fill="FFFFFF"/>
          <w:lang w:val="en-AU"/>
        </w:rPr>
      </w:pPr>
      <w:r w:rsidRPr="00A33814">
        <w:rPr>
          <w:lang w:val="en-AU"/>
        </w:rPr>
        <w:t xml:space="preserve">The rule </w:t>
      </w:r>
      <w:r w:rsidR="00BC6E6B" w:rsidRPr="00A33814">
        <w:rPr>
          <w:lang w:val="en-AU"/>
        </w:rPr>
        <w:t>to</w:t>
      </w:r>
      <w:r w:rsidR="00DA52D6">
        <w:rPr>
          <w:lang w:val="en-AU"/>
        </w:rPr>
        <w:t xml:space="preserve"> not</w:t>
      </w:r>
      <w:r w:rsidR="00BC6E6B" w:rsidRPr="00A33814">
        <w:rPr>
          <w:lang w:val="en-AU"/>
        </w:rPr>
        <w:t xml:space="preserve"> </w:t>
      </w:r>
      <w:r w:rsidRPr="00A33814">
        <w:rPr>
          <w:lang w:val="en-AU"/>
        </w:rPr>
        <w:t>charge interest to Israelite people was</w:t>
      </w:r>
      <w:r w:rsidR="00DA52D6">
        <w:rPr>
          <w:lang w:val="en-AU"/>
        </w:rPr>
        <w:t xml:space="preserve"> significant in protecting peopl</w:t>
      </w:r>
      <w:r w:rsidRPr="00A33814">
        <w:rPr>
          <w:lang w:val="en-AU"/>
        </w:rPr>
        <w:t xml:space="preserve">e </w:t>
      </w:r>
      <w:r w:rsidR="00C108E0" w:rsidRPr="00A33814">
        <w:rPr>
          <w:lang w:val="en-AU"/>
        </w:rPr>
        <w:t>from</w:t>
      </w:r>
      <w:r w:rsidR="00151441" w:rsidRPr="00A33814">
        <w:rPr>
          <w:lang w:val="en-AU"/>
        </w:rPr>
        <w:t xml:space="preserve"> long-term </w:t>
      </w:r>
      <w:r w:rsidRPr="00A33814">
        <w:rPr>
          <w:lang w:val="en-AU"/>
        </w:rPr>
        <w:t>indebted</w:t>
      </w:r>
      <w:r w:rsidR="00151441" w:rsidRPr="00A33814">
        <w:rPr>
          <w:lang w:val="en-AU"/>
        </w:rPr>
        <w:t>ness</w:t>
      </w:r>
      <w:r w:rsidRPr="00A33814">
        <w:rPr>
          <w:lang w:val="en-AU"/>
        </w:rPr>
        <w:t xml:space="preserve"> to others </w:t>
      </w:r>
      <w:r w:rsidR="00C108E0" w:rsidRPr="00A33814">
        <w:rPr>
          <w:lang w:val="en-AU"/>
        </w:rPr>
        <w:t xml:space="preserve">and to prevent them from being </w:t>
      </w:r>
      <w:r w:rsidRPr="00A33814">
        <w:rPr>
          <w:lang w:val="en-AU"/>
        </w:rPr>
        <w:t>ma</w:t>
      </w:r>
      <w:r w:rsidR="00C108E0" w:rsidRPr="00A33814">
        <w:rPr>
          <w:lang w:val="en-AU"/>
        </w:rPr>
        <w:t>d</w:t>
      </w:r>
      <w:r w:rsidRPr="00A33814">
        <w:rPr>
          <w:lang w:val="en-AU"/>
        </w:rPr>
        <w:t>e slaves.</w:t>
      </w:r>
      <w:r w:rsidR="002335FC" w:rsidRPr="00A33814">
        <w:rPr>
          <w:rStyle w:val="FootnoteReference"/>
          <w:lang w:val="en-AU"/>
        </w:rPr>
        <w:footnoteReference w:id="233"/>
      </w:r>
      <w:r w:rsidR="00BE6BA3" w:rsidRPr="00A33814">
        <w:rPr>
          <w:lang w:val="en-AU"/>
        </w:rPr>
        <w:t xml:space="preserve"> The Jewish person was prohibited from </w:t>
      </w:r>
      <w:r w:rsidR="002335FC" w:rsidRPr="00A33814">
        <w:rPr>
          <w:lang w:val="en-AU"/>
        </w:rPr>
        <w:t xml:space="preserve">charging </w:t>
      </w:r>
      <w:r w:rsidR="00ED581E" w:rsidRPr="00A33814">
        <w:rPr>
          <w:lang w:val="en-AU"/>
        </w:rPr>
        <w:t>interest on a loan to</w:t>
      </w:r>
      <w:r w:rsidR="00504FBD">
        <w:rPr>
          <w:lang w:val="en-AU"/>
        </w:rPr>
        <w:t xml:space="preserve"> another Jewish person</w:t>
      </w:r>
      <w:r w:rsidR="00D51A87">
        <w:rPr>
          <w:lang w:val="en-AU"/>
        </w:rPr>
        <w:t>, to include an increase of a person’s food production</w:t>
      </w:r>
      <w:r w:rsidR="00504FBD">
        <w:rPr>
          <w:lang w:val="en-AU"/>
        </w:rPr>
        <w:t>.</w:t>
      </w:r>
      <w:r w:rsidR="00D51A87">
        <w:rPr>
          <w:lang w:val="en-AU"/>
        </w:rPr>
        <w:t xml:space="preserve"> The protection for the people was put in place so that someone could not impact future food supplies.</w:t>
      </w:r>
      <w:r w:rsidR="00BE6BA3" w:rsidRPr="00A33814">
        <w:rPr>
          <w:lang w:val="en-AU"/>
        </w:rPr>
        <w:t xml:space="preserve"> Leviticus 25:37 states, </w:t>
      </w:r>
      <w:r w:rsidR="00863B47" w:rsidRPr="00A33814">
        <w:rPr>
          <w:iCs/>
          <w:lang w:val="en-AU"/>
        </w:rPr>
        <w:t>“</w:t>
      </w:r>
      <w:r w:rsidR="00BE6BA3" w:rsidRPr="00A33814">
        <w:rPr>
          <w:iCs/>
          <w:lang w:val="en-AU"/>
        </w:rPr>
        <w:t>Do not lend him your money for interest, or give him your food for increase</w:t>
      </w:r>
      <w:r w:rsidR="00863B47" w:rsidRPr="00A33814">
        <w:rPr>
          <w:iCs/>
          <w:lang w:val="en-AU"/>
        </w:rPr>
        <w:t>”</w:t>
      </w:r>
      <w:r w:rsidR="00BE6BA3" w:rsidRPr="009E7B69">
        <w:rPr>
          <w:iCs/>
        </w:rPr>
        <w:t xml:space="preserve"> </w:t>
      </w:r>
      <w:r w:rsidR="00AF4D27" w:rsidRPr="009E7B69">
        <w:rPr>
          <w:iCs/>
        </w:rPr>
        <w:t>(</w:t>
      </w:r>
      <w:r w:rsidR="00863B47" w:rsidRPr="009E7B69">
        <w:rPr>
          <w:iCs/>
        </w:rPr>
        <w:t>“</w:t>
      </w:r>
      <w:r w:rsidR="00BE6BA3" w:rsidRPr="009E7B69">
        <w:rPr>
          <w:rtl/>
        </w:rPr>
        <w:t>לז</w:t>
      </w:r>
      <w:r w:rsidR="00BE6BA3" w:rsidRPr="009E7B69">
        <w:t> </w:t>
      </w:r>
      <w:r w:rsidR="00BE6BA3" w:rsidRPr="009E7B69">
        <w:rPr>
          <w:rtl/>
        </w:rPr>
        <w:t>אֶת-כַּסְפְּךָ</w:t>
      </w:r>
      <w:r w:rsidR="00BE6BA3" w:rsidRPr="009E7B69">
        <w:t xml:space="preserve"> </w:t>
      </w:r>
      <w:r w:rsidR="00BE6BA3" w:rsidRPr="009E7B69">
        <w:rPr>
          <w:rtl/>
        </w:rPr>
        <w:t>לֹא-תִתֵּן לוֹ, בְּנֶשֶׁךְ; וּבְמַרְבִּית, לֹא-תִתֵּן אָכְלֶךָ</w:t>
      </w:r>
      <w:r w:rsidR="00BE6BA3" w:rsidRPr="009E7B69">
        <w:t>.</w:t>
      </w:r>
      <w:r w:rsidR="00863B47" w:rsidRPr="009E7B69">
        <w:t>”</w:t>
      </w:r>
      <w:r w:rsidR="00BE6BA3" w:rsidRPr="009E7B69">
        <w:t xml:space="preserve"> </w:t>
      </w:r>
      <w:r w:rsidR="00BE6BA3" w:rsidRPr="007D5825">
        <w:rPr>
          <w:lang w:val="en-AU"/>
        </w:rPr>
        <w:t>Th</w:t>
      </w:r>
      <w:r w:rsidR="00A81FBD" w:rsidRPr="007D5825">
        <w:rPr>
          <w:lang w:val="en-AU"/>
        </w:rPr>
        <w:t>e prohibition of interest</w:t>
      </w:r>
      <w:r w:rsidR="00DD2723" w:rsidRPr="007D5825">
        <w:rPr>
          <w:lang w:val="en-AU"/>
        </w:rPr>
        <w:t xml:space="preserve"> being charged by an Israelite to another Israelite</w:t>
      </w:r>
      <w:r w:rsidR="00A81FBD" w:rsidRPr="007D5825">
        <w:rPr>
          <w:lang w:val="en-AU"/>
        </w:rPr>
        <w:t xml:space="preserve"> applies to both </w:t>
      </w:r>
      <w:r w:rsidR="00BE6BA3" w:rsidRPr="007D5825">
        <w:rPr>
          <w:lang w:val="en-AU"/>
        </w:rPr>
        <w:t xml:space="preserve">money </w:t>
      </w:r>
      <w:r w:rsidR="00A81FBD" w:rsidRPr="007D5825">
        <w:rPr>
          <w:lang w:val="en-AU"/>
        </w:rPr>
        <w:t>and</w:t>
      </w:r>
      <w:r w:rsidR="00BE6BA3" w:rsidRPr="007D5825">
        <w:rPr>
          <w:lang w:val="en-AU"/>
        </w:rPr>
        <w:t xml:space="preserve"> goods.  </w:t>
      </w:r>
      <w:r w:rsidR="00BE6BA3" w:rsidRPr="007D5825">
        <w:rPr>
          <w:shd w:val="clear" w:color="auto" w:fill="FFFFFF"/>
          <w:lang w:val="en-AU"/>
        </w:rPr>
        <w:t xml:space="preserve">English translations use the word interest to translate two distinct Hebrew words. </w:t>
      </w:r>
      <w:r w:rsidR="00BE6BA3" w:rsidRPr="007D5825">
        <w:rPr>
          <w:lang w:val="en-AU"/>
        </w:rPr>
        <w:t xml:space="preserve">In Leviticus 25:37, there are two Hebrew words translated as </w:t>
      </w:r>
      <w:r w:rsidR="005C71CB" w:rsidRPr="007D5825">
        <w:rPr>
          <w:lang w:val="en-AU"/>
        </w:rPr>
        <w:t>‘</w:t>
      </w:r>
      <w:r w:rsidR="00BE6BA3" w:rsidRPr="007D5825">
        <w:rPr>
          <w:lang w:val="en-AU"/>
        </w:rPr>
        <w:t>interest:</w:t>
      </w:r>
      <w:r w:rsidR="005C71CB" w:rsidRPr="007D5825">
        <w:rPr>
          <w:lang w:val="en-AU"/>
        </w:rPr>
        <w:t>’</w:t>
      </w:r>
      <w:r w:rsidR="00BE6BA3" w:rsidRPr="009E7B69">
        <w:t xml:space="preserve"> </w:t>
      </w:r>
      <w:r w:rsidR="00BE6BA3" w:rsidRPr="009E7B69">
        <w:rPr>
          <w:rtl/>
        </w:rPr>
        <w:t>נֶשֶׁךְ</w:t>
      </w:r>
      <w:r w:rsidR="00BE6BA3" w:rsidRPr="009E7B69">
        <w:t xml:space="preserve"> </w:t>
      </w:r>
      <w:r w:rsidR="00BE6BA3" w:rsidRPr="009E7B69">
        <w:rPr>
          <w:i/>
        </w:rPr>
        <w:t>neshek</w:t>
      </w:r>
      <w:r w:rsidR="00BE6BA3" w:rsidRPr="009E7B69">
        <w:t xml:space="preserve"> </w:t>
      </w:r>
      <w:r w:rsidR="00BE6BA3" w:rsidRPr="007D5825">
        <w:rPr>
          <w:iCs/>
          <w:lang w:val="en-AU"/>
        </w:rPr>
        <w:t>and</w:t>
      </w:r>
      <w:r w:rsidR="00BE6BA3" w:rsidRPr="009E7B69">
        <w:rPr>
          <w:iCs/>
        </w:rPr>
        <w:t xml:space="preserve"> </w:t>
      </w:r>
      <w:r w:rsidR="00BE6BA3" w:rsidRPr="009E7B69">
        <w:rPr>
          <w:rtl/>
        </w:rPr>
        <w:t xml:space="preserve">מַרְבִּית </w:t>
      </w:r>
      <w:r w:rsidR="00BE6BA3" w:rsidRPr="009E7B69">
        <w:rPr>
          <w:iCs/>
          <w:rtl/>
        </w:rPr>
        <w:t>marbeit</w:t>
      </w:r>
      <w:r w:rsidR="00BE6BA3" w:rsidRPr="009E7B69">
        <w:rPr>
          <w:i/>
          <w:iCs/>
        </w:rPr>
        <w:t xml:space="preserve">. </w:t>
      </w:r>
      <w:r w:rsidR="00A30AE0" w:rsidRPr="009E7B69">
        <w:rPr>
          <w:rtl/>
        </w:rPr>
        <w:t>נֶשֶׁךְ</w:t>
      </w:r>
      <w:r w:rsidR="00A30AE0" w:rsidRPr="009E7B69">
        <w:t xml:space="preserve"> </w:t>
      </w:r>
      <w:r w:rsidR="00A30AE0" w:rsidRPr="007D5825">
        <w:rPr>
          <w:iCs/>
          <w:lang w:val="en-AU"/>
        </w:rPr>
        <w:t>and</w:t>
      </w:r>
      <w:r w:rsidR="00A30AE0" w:rsidRPr="009E7B69">
        <w:rPr>
          <w:iCs/>
        </w:rPr>
        <w:t xml:space="preserve"> </w:t>
      </w:r>
      <w:r w:rsidR="00A30AE0" w:rsidRPr="009E7B69">
        <w:rPr>
          <w:rtl/>
        </w:rPr>
        <w:t xml:space="preserve">מַרְבִּית </w:t>
      </w:r>
      <w:r w:rsidR="00A30AE0" w:rsidRPr="007D5825">
        <w:rPr>
          <w:lang w:val="en-AU"/>
        </w:rPr>
        <w:t xml:space="preserve"> </w:t>
      </w:r>
      <w:r w:rsidR="00BE6BA3" w:rsidRPr="007D5825">
        <w:rPr>
          <w:lang w:val="en-AU"/>
        </w:rPr>
        <w:t>are not separate</w:t>
      </w:r>
      <w:r w:rsidR="00A5140B" w:rsidRPr="007D5825">
        <w:rPr>
          <w:lang w:val="en-AU"/>
        </w:rPr>
        <w:t>, and</w:t>
      </w:r>
      <w:r w:rsidR="00E86E83" w:rsidRPr="007D5825">
        <w:rPr>
          <w:lang w:val="en-AU"/>
        </w:rPr>
        <w:t xml:space="preserve"> both</w:t>
      </w:r>
      <w:r w:rsidR="00A5140B" w:rsidRPr="007D5825">
        <w:rPr>
          <w:lang w:val="en-AU"/>
        </w:rPr>
        <w:t xml:space="preserve"> entail a feeling of </w:t>
      </w:r>
      <w:r w:rsidR="005C71CB" w:rsidRPr="007D5825">
        <w:rPr>
          <w:lang w:val="en-AU"/>
        </w:rPr>
        <w:t>‘</w:t>
      </w:r>
      <w:r w:rsidR="00A5140B" w:rsidRPr="007D5825">
        <w:rPr>
          <w:lang w:val="en-AU"/>
        </w:rPr>
        <w:t>biting</w:t>
      </w:r>
      <w:r w:rsidR="005C71CB" w:rsidRPr="007D5825">
        <w:rPr>
          <w:lang w:val="en-AU"/>
        </w:rPr>
        <w:t>’</w:t>
      </w:r>
      <w:r w:rsidR="00BE6BA3" w:rsidRPr="007D5825">
        <w:rPr>
          <w:lang w:val="en-AU"/>
        </w:rPr>
        <w:t>, since</w:t>
      </w:r>
      <w:r w:rsidR="00BE6BA3" w:rsidRPr="009E7B69">
        <w:t xml:space="preserve"> </w:t>
      </w:r>
      <w:r w:rsidR="00BE6BA3" w:rsidRPr="009E7B69">
        <w:rPr>
          <w:rtl/>
        </w:rPr>
        <w:t>נֶשֶׁךְ</w:t>
      </w:r>
      <w:r w:rsidR="00BE6BA3" w:rsidRPr="009E7B69">
        <w:t xml:space="preserve"> </w:t>
      </w:r>
      <w:r w:rsidR="00BE6BA3" w:rsidRPr="007D5825">
        <w:rPr>
          <w:lang w:val="en-AU"/>
        </w:rPr>
        <w:t xml:space="preserve">is </w:t>
      </w:r>
      <w:r w:rsidR="00593971" w:rsidRPr="007D5825">
        <w:rPr>
          <w:lang w:val="en-AU"/>
        </w:rPr>
        <w:t>similar</w:t>
      </w:r>
      <w:r w:rsidR="00BE6BA3" w:rsidRPr="007D5825">
        <w:rPr>
          <w:lang w:val="en-AU"/>
        </w:rPr>
        <w:t xml:space="preserve"> </w:t>
      </w:r>
      <w:r w:rsidR="00593971" w:rsidRPr="007D5825">
        <w:rPr>
          <w:lang w:val="en-AU"/>
        </w:rPr>
        <w:t>to</w:t>
      </w:r>
      <w:r w:rsidR="00593971" w:rsidRPr="009E7B69">
        <w:t xml:space="preserve"> </w:t>
      </w:r>
      <w:r w:rsidR="00BE6BA3" w:rsidRPr="009E7B69">
        <w:rPr>
          <w:rtl/>
        </w:rPr>
        <w:t>מַרְבִּית</w:t>
      </w:r>
      <w:r w:rsidR="00BE6BA3" w:rsidRPr="009E7B69">
        <w:t xml:space="preserve"> </w:t>
      </w:r>
      <w:r w:rsidR="00BE6BA3" w:rsidRPr="007D5825">
        <w:rPr>
          <w:lang w:val="en-AU"/>
        </w:rPr>
        <w:t>and</w:t>
      </w:r>
      <w:r w:rsidR="00BE6BA3" w:rsidRPr="009E7B69">
        <w:t xml:space="preserve"> </w:t>
      </w:r>
      <w:r w:rsidR="00BE6BA3" w:rsidRPr="009E7B69">
        <w:rPr>
          <w:rtl/>
        </w:rPr>
        <w:t>מַרְבִּית</w:t>
      </w:r>
      <w:r w:rsidR="00BE6BA3" w:rsidRPr="009E7B69">
        <w:t xml:space="preserve"> </w:t>
      </w:r>
      <w:r w:rsidR="00BE6BA3" w:rsidRPr="007D5825">
        <w:rPr>
          <w:lang w:val="en-AU"/>
        </w:rPr>
        <w:t xml:space="preserve">is </w:t>
      </w:r>
      <w:r w:rsidR="00593971" w:rsidRPr="007D5825">
        <w:rPr>
          <w:lang w:val="en-AU"/>
        </w:rPr>
        <w:t>similar to</w:t>
      </w:r>
      <w:r w:rsidR="00BE6BA3" w:rsidRPr="009E7B69">
        <w:t xml:space="preserve"> </w:t>
      </w:r>
      <w:r w:rsidR="00BE6BA3" w:rsidRPr="009E7B69">
        <w:rPr>
          <w:rtl/>
        </w:rPr>
        <w:t>נֶשֶׁךְ</w:t>
      </w:r>
      <w:r w:rsidR="00BE6BA3" w:rsidRPr="009E7B69">
        <w:rPr>
          <w:i/>
          <w:iCs/>
        </w:rPr>
        <w:t>.</w:t>
      </w:r>
      <w:r w:rsidR="00BE6BA3" w:rsidRPr="009E7B69">
        <w:rPr>
          <w:rStyle w:val="FootnoteReference"/>
        </w:rPr>
        <w:footnoteReference w:id="234"/>
      </w:r>
      <w:r w:rsidR="00BE6BA3" w:rsidRPr="009E7B69">
        <w:rPr>
          <w:iCs/>
        </w:rPr>
        <w:t xml:space="preserve"> </w:t>
      </w:r>
      <w:r w:rsidR="00593971" w:rsidRPr="009E7B69">
        <w:rPr>
          <w:rtl/>
        </w:rPr>
        <w:t>נֶשֶׁךְ</w:t>
      </w:r>
      <w:r w:rsidR="00593971" w:rsidRPr="009E7B69">
        <w:t xml:space="preserve"> </w:t>
      </w:r>
      <w:r w:rsidR="00593971" w:rsidRPr="007D5825">
        <w:rPr>
          <w:lang w:val="en-AU"/>
        </w:rPr>
        <w:t>literally means bite</w:t>
      </w:r>
      <w:r w:rsidR="00593971" w:rsidRPr="009E7B69">
        <w:t>.</w:t>
      </w:r>
      <w:r w:rsidR="00133172">
        <w:rPr>
          <w:rStyle w:val="FootnoteReference"/>
        </w:rPr>
        <w:footnoteReference w:id="235"/>
      </w:r>
      <w:r w:rsidR="00593971" w:rsidRPr="009E7B69">
        <w:t xml:space="preserve"> </w:t>
      </w:r>
      <w:r w:rsidR="00593971" w:rsidRPr="009E7B69">
        <w:rPr>
          <w:rtl/>
        </w:rPr>
        <w:t>מַרְבִּית</w:t>
      </w:r>
      <w:r w:rsidR="00593971" w:rsidRPr="009E7B69">
        <w:t xml:space="preserve"> </w:t>
      </w:r>
      <w:r w:rsidR="00593971" w:rsidRPr="007D5825">
        <w:rPr>
          <w:lang w:val="en-AU"/>
        </w:rPr>
        <w:t xml:space="preserve">references the lenders profit they make from charging interest.  </w:t>
      </w:r>
      <w:r w:rsidR="00DD2723" w:rsidRPr="007D5825">
        <w:rPr>
          <w:iCs/>
          <w:lang w:val="en-AU"/>
        </w:rPr>
        <w:t>The Hebrew word meanings have similar connotations</w:t>
      </w:r>
      <w:r w:rsidR="00593971" w:rsidRPr="007D5825">
        <w:rPr>
          <w:iCs/>
          <w:lang w:val="en-AU"/>
        </w:rPr>
        <w:t xml:space="preserve"> because it is the pain that the </w:t>
      </w:r>
      <w:r w:rsidR="00E00DC8" w:rsidRPr="007D5825">
        <w:rPr>
          <w:iCs/>
          <w:lang w:val="en-AU"/>
        </w:rPr>
        <w:t>interest</w:t>
      </w:r>
      <w:r w:rsidR="00593971" w:rsidRPr="007D5825">
        <w:rPr>
          <w:iCs/>
          <w:lang w:val="en-AU"/>
        </w:rPr>
        <w:t xml:space="preserve"> </w:t>
      </w:r>
      <w:r w:rsidR="00593971" w:rsidRPr="007D5825">
        <w:rPr>
          <w:iCs/>
          <w:lang w:val="en-AU"/>
        </w:rPr>
        <w:lastRenderedPageBreak/>
        <w:t>causes that is in question</w:t>
      </w:r>
      <w:r w:rsidR="00DD2723" w:rsidRPr="007D5825">
        <w:rPr>
          <w:iCs/>
          <w:lang w:val="en-AU"/>
        </w:rPr>
        <w:t xml:space="preserve">. </w:t>
      </w:r>
      <w:r w:rsidR="00BE6BA3" w:rsidRPr="007D5825">
        <w:rPr>
          <w:iCs/>
          <w:lang w:val="en-AU"/>
        </w:rPr>
        <w:t>This is supported by Exodus 22:2</w:t>
      </w:r>
      <w:r w:rsidR="00460AF2" w:rsidRPr="007D5825">
        <w:rPr>
          <w:iCs/>
          <w:lang w:val="en-AU"/>
        </w:rPr>
        <w:t>5</w:t>
      </w:r>
      <w:r w:rsidR="000257DE" w:rsidRPr="007D5825">
        <w:rPr>
          <w:iCs/>
          <w:lang w:val="en-AU"/>
        </w:rPr>
        <w:t xml:space="preserve"> (NRSV)</w:t>
      </w:r>
      <w:r w:rsidR="00BE6BA3" w:rsidRPr="007D5825">
        <w:rPr>
          <w:iCs/>
          <w:lang w:val="en-AU"/>
        </w:rPr>
        <w:t xml:space="preserve"> which states, </w:t>
      </w:r>
      <w:r w:rsidR="00863B47" w:rsidRPr="007D5825">
        <w:rPr>
          <w:iCs/>
          <w:lang w:val="en-AU"/>
        </w:rPr>
        <w:t>“</w:t>
      </w:r>
      <w:r w:rsidR="00BE6BA3" w:rsidRPr="007D5825">
        <w:rPr>
          <w:iCs/>
          <w:lang w:val="en-AU"/>
        </w:rPr>
        <w:t>Exact no interest from them</w:t>
      </w:r>
      <w:r w:rsidR="0013110E" w:rsidRPr="007D5825">
        <w:rPr>
          <w:iCs/>
          <w:lang w:val="en-AU"/>
        </w:rPr>
        <w:t xml:space="preserve"> [fellow Israelite people]</w:t>
      </w:r>
      <w:r w:rsidR="00BE6BA3" w:rsidRPr="007D5825">
        <w:rPr>
          <w:iCs/>
          <w:lang w:val="en-AU"/>
        </w:rPr>
        <w:t>.</w:t>
      </w:r>
      <w:r w:rsidR="00863B47" w:rsidRPr="007D5825">
        <w:rPr>
          <w:iCs/>
          <w:lang w:val="en-AU"/>
        </w:rPr>
        <w:t>”</w:t>
      </w:r>
      <w:r w:rsidR="00BE6BA3" w:rsidRPr="007D5825">
        <w:rPr>
          <w:iCs/>
          <w:lang w:val="en-AU"/>
        </w:rPr>
        <w:t xml:space="preserve"> </w:t>
      </w:r>
      <w:r w:rsidR="002A5DAC" w:rsidRPr="007D5825">
        <w:rPr>
          <w:iCs/>
          <w:lang w:val="en-AU"/>
        </w:rPr>
        <w:t xml:space="preserve">Ultimately, by not charging interest, people in need were protected. </w:t>
      </w:r>
    </w:p>
    <w:p w14:paraId="5D11E805" w14:textId="334BBBE7" w:rsidR="008D4202" w:rsidRPr="007D5825" w:rsidRDefault="0013110E" w:rsidP="008D4202">
      <w:pPr>
        <w:widowControl w:val="0"/>
        <w:autoSpaceDE w:val="0"/>
        <w:autoSpaceDN w:val="0"/>
        <w:adjustRightInd w:val="0"/>
        <w:spacing w:before="120" w:line="480" w:lineRule="auto"/>
        <w:ind w:firstLine="284"/>
        <w:rPr>
          <w:bCs/>
          <w:lang w:val="en-AU"/>
        </w:rPr>
      </w:pPr>
      <w:r w:rsidRPr="007D5825">
        <w:rPr>
          <w:iCs/>
          <w:lang w:val="en-AU"/>
        </w:rPr>
        <w:t xml:space="preserve">When lenders </w:t>
      </w:r>
      <w:r w:rsidR="00BE5E50" w:rsidRPr="007D5825">
        <w:rPr>
          <w:iCs/>
          <w:lang w:val="en-AU"/>
        </w:rPr>
        <w:t>cannot</w:t>
      </w:r>
      <w:r w:rsidRPr="007D5825">
        <w:rPr>
          <w:iCs/>
          <w:lang w:val="en-AU"/>
        </w:rPr>
        <w:t xml:space="preserve"> lend with interest, the people </w:t>
      </w:r>
      <w:r w:rsidR="009B2F0A" w:rsidRPr="007D5825">
        <w:rPr>
          <w:iCs/>
          <w:lang w:val="en-AU"/>
        </w:rPr>
        <w:t>cannot</w:t>
      </w:r>
      <w:r w:rsidRPr="007D5825">
        <w:rPr>
          <w:iCs/>
          <w:lang w:val="en-AU"/>
        </w:rPr>
        <w:t xml:space="preserve"> </w:t>
      </w:r>
      <w:r w:rsidR="00BB642B" w:rsidRPr="007D5825">
        <w:rPr>
          <w:iCs/>
          <w:lang w:val="en-AU"/>
        </w:rPr>
        <w:t>borrow money with interest</w:t>
      </w:r>
      <w:r w:rsidR="00BE6BA3" w:rsidRPr="007D5825">
        <w:rPr>
          <w:bCs/>
          <w:lang w:val="en-AU"/>
        </w:rPr>
        <w:t xml:space="preserve"> in Deuteronomy 23:20</w:t>
      </w:r>
      <w:r w:rsidR="000257DE" w:rsidRPr="007D5825">
        <w:rPr>
          <w:bCs/>
          <w:lang w:val="en-AU"/>
        </w:rPr>
        <w:t xml:space="preserve"> (JPS)</w:t>
      </w:r>
      <w:r w:rsidR="00BE6BA3" w:rsidRPr="007D5825">
        <w:rPr>
          <w:bCs/>
          <w:lang w:val="en-AU"/>
        </w:rPr>
        <w:t xml:space="preserve">: </w:t>
      </w:r>
    </w:p>
    <w:p w14:paraId="12FEECBF" w14:textId="77777777" w:rsidR="008D4202" w:rsidRPr="009E7B69" w:rsidRDefault="00BE6BA3" w:rsidP="008D4202">
      <w:pPr>
        <w:spacing w:line="480" w:lineRule="auto"/>
        <w:ind w:left="284"/>
        <w:jc w:val="right"/>
        <w:rPr>
          <w:shd w:val="clear" w:color="auto" w:fill="FFFFF9"/>
        </w:rPr>
      </w:pPr>
      <w:r w:rsidRPr="009E7B69">
        <w:rPr>
          <w:shd w:val="clear" w:color="auto" w:fill="FFFFF9"/>
        </w:rPr>
        <w:t xml:space="preserve">  </w:t>
      </w:r>
      <w:r w:rsidRPr="009E7B69">
        <w:rPr>
          <w:shd w:val="clear" w:color="auto" w:fill="FFFFF9"/>
          <w:rtl/>
        </w:rPr>
        <w:t>לֹא־תַשִּׁיךְ לְאָחִיךָ נֶשֶׁךְ כֶּסֶף נֶשֶׁךְ אֹכֶל נֶשֶׁךְ כָּל־דָּבָר אֲשֶׁר יִשָּֽׁךְ׃</w:t>
      </w:r>
    </w:p>
    <w:p w14:paraId="58CD2890" w14:textId="77777777" w:rsidR="008D4202" w:rsidRPr="007D5825" w:rsidRDefault="00BE6BA3" w:rsidP="008D4202">
      <w:pPr>
        <w:spacing w:line="480" w:lineRule="auto"/>
        <w:ind w:left="1440"/>
        <w:rPr>
          <w:lang w:val="en-AU"/>
        </w:rPr>
      </w:pPr>
      <w:r w:rsidRPr="009E7B69">
        <w:rPr>
          <w:shd w:val="clear" w:color="auto" w:fill="FFFFFF"/>
        </w:rPr>
        <w:t>20 </w:t>
      </w:r>
      <w:r w:rsidRPr="007D5825">
        <w:rPr>
          <w:shd w:val="clear" w:color="auto" w:fill="FFFFFF"/>
          <w:lang w:val="en-AU"/>
        </w:rPr>
        <w:t>Thou shalt not lend upon interest to thy brother: interest of money, interest of victuals, interest of anything that is lent upon interest.</w:t>
      </w:r>
    </w:p>
    <w:p w14:paraId="4A0B1087" w14:textId="066CE974" w:rsidR="00DB0FB4" w:rsidRPr="007D5825" w:rsidRDefault="00DA52D6" w:rsidP="00BB642B">
      <w:pPr>
        <w:widowControl w:val="0"/>
        <w:autoSpaceDE w:val="0"/>
        <w:autoSpaceDN w:val="0"/>
        <w:adjustRightInd w:val="0"/>
        <w:spacing w:before="120" w:line="480" w:lineRule="auto"/>
        <w:rPr>
          <w:bCs/>
          <w:lang w:val="en-AU"/>
        </w:rPr>
      </w:pPr>
      <w:r>
        <w:rPr>
          <w:bCs/>
          <w:lang w:val="en-AU"/>
        </w:rPr>
        <w:t xml:space="preserve">Thus, the </w:t>
      </w:r>
      <w:r w:rsidR="00BB642B" w:rsidRPr="007D5825">
        <w:rPr>
          <w:bCs/>
          <w:lang w:val="en-AU"/>
        </w:rPr>
        <w:t xml:space="preserve">Torah </w:t>
      </w:r>
      <w:r w:rsidR="00FE1FE7">
        <w:rPr>
          <w:bCs/>
          <w:lang w:val="en-AU"/>
        </w:rPr>
        <w:t>stipulates that</w:t>
      </w:r>
      <w:r w:rsidR="00BB642B" w:rsidRPr="007D5825">
        <w:rPr>
          <w:bCs/>
          <w:lang w:val="en-AU"/>
        </w:rPr>
        <w:t xml:space="preserve"> one cannot borrow with </w:t>
      </w:r>
      <w:r w:rsidR="00FE1FE7" w:rsidRPr="007D5825">
        <w:rPr>
          <w:bCs/>
          <w:lang w:val="en-AU"/>
        </w:rPr>
        <w:t>interest,</w:t>
      </w:r>
      <w:r w:rsidR="00BB642B" w:rsidRPr="007D5825">
        <w:rPr>
          <w:bCs/>
          <w:lang w:val="en-AU"/>
        </w:rPr>
        <w:t xml:space="preserve"> and one cannot lend with interest, so both parties have equity of responsibility</w:t>
      </w:r>
      <w:r w:rsidR="00FE1FE7">
        <w:rPr>
          <w:bCs/>
          <w:lang w:val="en-AU"/>
        </w:rPr>
        <w:t>—one person is not stronger than another person</w:t>
      </w:r>
      <w:r w:rsidR="00BB642B" w:rsidRPr="007D5825">
        <w:rPr>
          <w:bCs/>
          <w:lang w:val="en-AU"/>
        </w:rPr>
        <w:t>.</w:t>
      </w:r>
      <w:r w:rsidR="00FE1FE7">
        <w:rPr>
          <w:bCs/>
          <w:lang w:val="en-AU"/>
        </w:rPr>
        <w:t xml:space="preserve"> This rule prevents the borrower of money from being a slave to the lender of money.</w:t>
      </w:r>
      <w:r w:rsidR="00BB642B" w:rsidRPr="007D5825">
        <w:rPr>
          <w:bCs/>
          <w:lang w:val="en-AU"/>
        </w:rPr>
        <w:t xml:space="preserve"> </w:t>
      </w:r>
      <w:r>
        <w:rPr>
          <w:bCs/>
          <w:lang w:val="en-AU"/>
        </w:rPr>
        <w:t>In conclusion, t</w:t>
      </w:r>
      <w:r w:rsidR="00121BC5" w:rsidRPr="007D5825">
        <w:rPr>
          <w:bCs/>
          <w:lang w:val="en-AU"/>
        </w:rPr>
        <w:t>he c</w:t>
      </w:r>
      <w:r w:rsidR="00BE6BA3" w:rsidRPr="007D5825">
        <w:rPr>
          <w:bCs/>
          <w:lang w:val="en-AU"/>
        </w:rPr>
        <w:t xml:space="preserve">harging </w:t>
      </w:r>
      <w:r w:rsidR="00121BC5" w:rsidRPr="007D5825">
        <w:rPr>
          <w:bCs/>
          <w:lang w:val="en-AU"/>
        </w:rPr>
        <w:t xml:space="preserve">of </w:t>
      </w:r>
      <w:r w:rsidR="00BE6BA3" w:rsidRPr="007D5825">
        <w:rPr>
          <w:bCs/>
          <w:lang w:val="en-AU"/>
        </w:rPr>
        <w:t xml:space="preserve">interest to those who are considered a brother or of the same faith was frowned upon as forbidden by Torah. </w:t>
      </w:r>
      <w:r>
        <w:rPr>
          <w:bCs/>
          <w:lang w:val="en-AU"/>
        </w:rPr>
        <w:t>However, l</w:t>
      </w:r>
      <w:r w:rsidR="00BE6BA3" w:rsidRPr="007D5825">
        <w:rPr>
          <w:bCs/>
          <w:lang w:val="en-AU"/>
        </w:rPr>
        <w:t xml:space="preserve">oans </w:t>
      </w:r>
      <w:r w:rsidR="00121BC5" w:rsidRPr="007D5825">
        <w:rPr>
          <w:bCs/>
          <w:lang w:val="en-AU"/>
        </w:rPr>
        <w:t xml:space="preserve">made to </w:t>
      </w:r>
      <w:r w:rsidR="00BE6BA3" w:rsidRPr="007D5825">
        <w:rPr>
          <w:bCs/>
          <w:lang w:val="en-AU"/>
        </w:rPr>
        <w:t xml:space="preserve">foreign people are not under the same rules in Torah.  </w:t>
      </w:r>
    </w:p>
    <w:p w14:paraId="1AB65A47" w14:textId="746F454A" w:rsidR="00DB0FB4" w:rsidRPr="007D5825" w:rsidRDefault="007802A2" w:rsidP="00AB7CAD">
      <w:pPr>
        <w:pStyle w:val="Heading2"/>
      </w:pPr>
      <w:bookmarkStart w:id="85" w:name="_Toc94536997"/>
      <w:bookmarkStart w:id="86" w:name="_Toc118063643"/>
      <w:r w:rsidRPr="007D5825">
        <w:t>4</w:t>
      </w:r>
      <w:r w:rsidR="00DB0FB4" w:rsidRPr="007D5825">
        <w:t>.2 Compassion and Debt Relief</w:t>
      </w:r>
      <w:bookmarkEnd w:id="85"/>
      <w:bookmarkEnd w:id="86"/>
    </w:p>
    <w:p w14:paraId="5199F999" w14:textId="297ED53C" w:rsidR="008D4202" w:rsidRPr="007D5825" w:rsidRDefault="00DA52D6" w:rsidP="00DB0FB4">
      <w:pPr>
        <w:widowControl w:val="0"/>
        <w:autoSpaceDE w:val="0"/>
        <w:autoSpaceDN w:val="0"/>
        <w:adjustRightInd w:val="0"/>
        <w:spacing w:before="120" w:line="480" w:lineRule="auto"/>
        <w:ind w:firstLine="720"/>
        <w:rPr>
          <w:bCs/>
          <w:lang w:val="en-AU"/>
        </w:rPr>
      </w:pPr>
      <w:r>
        <w:rPr>
          <w:bCs/>
          <w:lang w:val="en-AU"/>
        </w:rPr>
        <w:t xml:space="preserve">The discussion of charging interest was introduced in the dissertation previously.  The Torah provides reasoning on compassion and debt relief. </w:t>
      </w:r>
      <w:r w:rsidR="00BE6BA3" w:rsidRPr="007D5825">
        <w:rPr>
          <w:bCs/>
          <w:lang w:val="en-AU"/>
        </w:rPr>
        <w:t>A Jewish person may charge interest to a Gentile. Deuteronomy 23:21</w:t>
      </w:r>
      <w:r w:rsidR="000257DE" w:rsidRPr="007D5825">
        <w:rPr>
          <w:bCs/>
          <w:lang w:val="en-AU"/>
        </w:rPr>
        <w:t>(JPS)</w:t>
      </w:r>
      <w:r w:rsidR="00BE6BA3" w:rsidRPr="007D5825">
        <w:rPr>
          <w:bCs/>
          <w:lang w:val="en-AU"/>
        </w:rPr>
        <w:t xml:space="preserve"> states:</w:t>
      </w:r>
    </w:p>
    <w:p w14:paraId="1B0941E5" w14:textId="77777777" w:rsidR="008D4202" w:rsidRPr="009E7B69" w:rsidRDefault="00BE6BA3" w:rsidP="008D4202">
      <w:pPr>
        <w:widowControl w:val="0"/>
        <w:autoSpaceDE w:val="0"/>
        <w:autoSpaceDN w:val="0"/>
        <w:adjustRightInd w:val="0"/>
        <w:spacing w:before="120" w:line="480" w:lineRule="auto"/>
        <w:ind w:left="720"/>
        <w:jc w:val="right"/>
      </w:pPr>
      <w:r w:rsidRPr="009E7B69">
        <w:rPr>
          <w:rtl/>
        </w:rPr>
        <w:t>לַנָּכְרִי תַשִּׁיךְ וּלְאָחִיךָ לֹא תַשִּׁיךְ לְמַעַן יְבָרֶכְךָ יְהוָה אֱלֹהֶיךָ בְּכֹל מִשְׁלַח יָדֶךָ עַל־הָאָרֶץ אֲשֶׁר־אַתָּה בָא־שָׁמָּה לְרִשְׁתָּֽהּ׃ ס</w:t>
      </w:r>
    </w:p>
    <w:p w14:paraId="4D31A377" w14:textId="77777777" w:rsidR="008D4202" w:rsidRPr="007D5825" w:rsidRDefault="00BE6BA3" w:rsidP="008D4202">
      <w:pPr>
        <w:widowControl w:val="0"/>
        <w:autoSpaceDE w:val="0"/>
        <w:autoSpaceDN w:val="0"/>
        <w:adjustRightInd w:val="0"/>
        <w:spacing w:before="120" w:line="480" w:lineRule="auto"/>
        <w:ind w:left="720"/>
        <w:rPr>
          <w:bCs/>
          <w:lang w:val="en-AU"/>
        </w:rPr>
      </w:pPr>
      <w:r w:rsidRPr="007D5825">
        <w:rPr>
          <w:lang w:val="en-AU"/>
        </w:rPr>
        <w:t>21</w:t>
      </w:r>
      <w:r w:rsidRPr="007D5825">
        <w:rPr>
          <w:bCs/>
          <w:lang w:val="en-AU"/>
        </w:rPr>
        <w:t> On loans to a foreigner you may charge interest, but on loans to another Israelite you may not charge interest, so that the Lord your God may bless you in all your undertakings in the land that you are about to enter and possess.</w:t>
      </w:r>
    </w:p>
    <w:p w14:paraId="0458EBB1" w14:textId="6A92F6FD" w:rsidR="008D4202" w:rsidRPr="007D5825" w:rsidRDefault="00487621" w:rsidP="008D4202">
      <w:pPr>
        <w:widowControl w:val="0"/>
        <w:autoSpaceDE w:val="0"/>
        <w:autoSpaceDN w:val="0"/>
        <w:adjustRightInd w:val="0"/>
        <w:spacing w:before="120" w:line="480" w:lineRule="auto"/>
        <w:rPr>
          <w:iCs/>
          <w:lang w:val="en-AU"/>
        </w:rPr>
      </w:pPr>
      <w:r>
        <w:rPr>
          <w:bCs/>
          <w:lang w:val="en-AU"/>
        </w:rPr>
        <w:t xml:space="preserve">The text depicts that God wants to bless the undertakings in the land of the Jewish people. </w:t>
      </w:r>
      <w:r w:rsidR="00BE6BA3" w:rsidRPr="007D5825">
        <w:rPr>
          <w:bCs/>
          <w:lang w:val="en-AU"/>
        </w:rPr>
        <w:lastRenderedPageBreak/>
        <w:t>Deuteronomy 23:20</w:t>
      </w:r>
      <w:r w:rsidR="00D52618" w:rsidRPr="007D5825">
        <w:rPr>
          <w:bCs/>
          <w:lang w:val="en-AU"/>
        </w:rPr>
        <w:t>, 21</w:t>
      </w:r>
      <w:r w:rsidR="00BE6BA3" w:rsidRPr="007D5825">
        <w:rPr>
          <w:bCs/>
          <w:lang w:val="en-AU"/>
        </w:rPr>
        <w:t xml:space="preserve"> prohibits charg</w:t>
      </w:r>
      <w:r w:rsidR="00117E24" w:rsidRPr="007D5825">
        <w:rPr>
          <w:bCs/>
          <w:lang w:val="en-AU"/>
        </w:rPr>
        <w:t>ing</w:t>
      </w:r>
      <w:r w:rsidR="00BE6BA3" w:rsidRPr="007D5825">
        <w:rPr>
          <w:bCs/>
          <w:lang w:val="en-AU"/>
        </w:rPr>
        <w:t xml:space="preserve"> </w:t>
      </w:r>
      <w:r w:rsidR="00117E24" w:rsidRPr="007D5825">
        <w:rPr>
          <w:bCs/>
          <w:lang w:val="en-AU"/>
        </w:rPr>
        <w:t xml:space="preserve">interest </w:t>
      </w:r>
      <w:r w:rsidR="00BE6BA3" w:rsidRPr="007D5825">
        <w:rPr>
          <w:bCs/>
          <w:lang w:val="en-AU"/>
        </w:rPr>
        <w:t xml:space="preserve">to countrymen while allowing interest to </w:t>
      </w:r>
      <w:r w:rsidR="00117E24" w:rsidRPr="007D5825">
        <w:rPr>
          <w:bCs/>
          <w:lang w:val="en-AU"/>
        </w:rPr>
        <w:t xml:space="preserve">be charged to </w:t>
      </w:r>
      <w:r w:rsidR="00504FA4">
        <w:rPr>
          <w:bCs/>
          <w:lang w:val="en-AU"/>
        </w:rPr>
        <w:t>g</w:t>
      </w:r>
      <w:r w:rsidR="00BE6BA3" w:rsidRPr="007D5825">
        <w:rPr>
          <w:bCs/>
          <w:lang w:val="en-AU"/>
        </w:rPr>
        <w:t>entiles</w:t>
      </w:r>
      <w:r w:rsidR="000F32B1" w:rsidRPr="007D5825">
        <w:rPr>
          <w:bCs/>
          <w:lang w:val="en-AU"/>
        </w:rPr>
        <w:t>.</w:t>
      </w:r>
      <w:r w:rsidR="00D76D3F" w:rsidRPr="007D5825">
        <w:rPr>
          <w:rStyle w:val="FootnoteReference"/>
          <w:bCs/>
          <w:lang w:val="en-AU"/>
        </w:rPr>
        <w:footnoteReference w:id="236"/>
      </w:r>
      <w:r w:rsidR="000F32B1" w:rsidRPr="007D5825">
        <w:rPr>
          <w:bCs/>
          <w:lang w:val="en-AU"/>
        </w:rPr>
        <w:t xml:space="preserve"> If the Torah had not made both parties accountable, a</w:t>
      </w:r>
      <w:r w:rsidR="00C92780" w:rsidRPr="007D5825">
        <w:rPr>
          <w:bCs/>
          <w:lang w:val="en-AU"/>
        </w:rPr>
        <w:t>n</w:t>
      </w:r>
      <w:r w:rsidR="000F32B1" w:rsidRPr="007D5825">
        <w:rPr>
          <w:bCs/>
          <w:lang w:val="en-AU"/>
        </w:rPr>
        <w:t xml:space="preserve"> unequal and unjust scenario would have been created regarding moneylending. </w:t>
      </w:r>
      <w:r>
        <w:rPr>
          <w:bCs/>
          <w:lang w:val="en-AU"/>
        </w:rPr>
        <w:t xml:space="preserve">The Jewish people could leverage and loan away their property ownership to foreign lenders for money. </w:t>
      </w:r>
      <w:r w:rsidR="00BE6BA3" w:rsidRPr="007D5825">
        <w:rPr>
          <w:lang w:val="en-AU"/>
        </w:rPr>
        <w:t xml:space="preserve">Consequently, the lender and the borrower both have a duty of care to one another not to lend </w:t>
      </w:r>
      <w:r w:rsidR="00D52618" w:rsidRPr="007D5825">
        <w:rPr>
          <w:lang w:val="en-AU"/>
        </w:rPr>
        <w:t>or</w:t>
      </w:r>
      <w:r w:rsidR="00BE6BA3" w:rsidRPr="007D5825">
        <w:rPr>
          <w:lang w:val="en-AU"/>
        </w:rPr>
        <w:t xml:space="preserve"> borrow with interest. </w:t>
      </w:r>
      <w:r>
        <w:rPr>
          <w:lang w:val="en-AU"/>
        </w:rPr>
        <w:t xml:space="preserve">A protection for the Jewish person’s monetary interest becomes important. </w:t>
      </w:r>
      <w:r w:rsidR="00BE6BA3" w:rsidRPr="007D5825">
        <w:rPr>
          <w:lang w:val="en-AU"/>
        </w:rPr>
        <w:t xml:space="preserve">This is </w:t>
      </w:r>
      <w:r w:rsidR="00A333D5" w:rsidRPr="007D5825">
        <w:rPr>
          <w:lang w:val="en-AU"/>
        </w:rPr>
        <w:t>distinct</w:t>
      </w:r>
      <w:r w:rsidR="00BE6BA3" w:rsidRPr="007D5825">
        <w:rPr>
          <w:lang w:val="en-AU"/>
        </w:rPr>
        <w:t xml:space="preserve"> </w:t>
      </w:r>
      <w:r w:rsidR="00A333D5" w:rsidRPr="007D5825">
        <w:rPr>
          <w:lang w:val="en-AU"/>
        </w:rPr>
        <w:t>from</w:t>
      </w:r>
      <w:r w:rsidR="00BE6BA3" w:rsidRPr="007D5825">
        <w:rPr>
          <w:lang w:val="en-AU"/>
        </w:rPr>
        <w:t xml:space="preserve"> the </w:t>
      </w:r>
      <w:r w:rsidR="00BD102C" w:rsidRPr="007D5825">
        <w:rPr>
          <w:lang w:val="en-AU"/>
        </w:rPr>
        <w:t xml:space="preserve">permission for </w:t>
      </w:r>
      <w:r w:rsidR="00BE6BA3" w:rsidRPr="007D5825">
        <w:rPr>
          <w:lang w:val="en-AU"/>
        </w:rPr>
        <w:t xml:space="preserve">Jews </w:t>
      </w:r>
      <w:r w:rsidR="00BD102C" w:rsidRPr="007D5825">
        <w:rPr>
          <w:lang w:val="en-AU"/>
        </w:rPr>
        <w:t>to</w:t>
      </w:r>
      <w:r w:rsidR="00BE6BA3" w:rsidRPr="007D5825">
        <w:rPr>
          <w:lang w:val="en-AU"/>
        </w:rPr>
        <w:t xml:space="preserve"> lend with interest to </w:t>
      </w:r>
      <w:r w:rsidR="00504FA4">
        <w:rPr>
          <w:lang w:val="en-AU"/>
        </w:rPr>
        <w:t>g</w:t>
      </w:r>
      <w:r w:rsidR="00BE6BA3" w:rsidRPr="007D5825">
        <w:rPr>
          <w:lang w:val="en-AU"/>
        </w:rPr>
        <w:t xml:space="preserve">entiles, as this </w:t>
      </w:r>
      <w:r w:rsidR="00BD102C" w:rsidRPr="007D5825">
        <w:rPr>
          <w:lang w:val="en-AU"/>
        </w:rPr>
        <w:t xml:space="preserve">does not </w:t>
      </w:r>
      <w:r w:rsidR="00A6739F" w:rsidRPr="007D5825">
        <w:rPr>
          <w:lang w:val="en-AU"/>
        </w:rPr>
        <w:t xml:space="preserve">violate </w:t>
      </w:r>
      <w:r w:rsidR="00BE6BA3" w:rsidRPr="007D5825">
        <w:rPr>
          <w:lang w:val="en-AU"/>
        </w:rPr>
        <w:t>a duty of care for one</w:t>
      </w:r>
      <w:r w:rsidR="005C71CB" w:rsidRPr="007D5825">
        <w:rPr>
          <w:lang w:val="en-AU"/>
        </w:rPr>
        <w:t>’</w:t>
      </w:r>
      <w:r w:rsidR="00BE6BA3" w:rsidRPr="007D5825">
        <w:rPr>
          <w:lang w:val="en-AU"/>
        </w:rPr>
        <w:t>s countrymen.</w:t>
      </w:r>
      <w:r w:rsidR="004D4B5C" w:rsidRPr="007D5825">
        <w:rPr>
          <w:rStyle w:val="FootnoteReference"/>
          <w:lang w:val="en-AU"/>
        </w:rPr>
        <w:footnoteReference w:id="237"/>
      </w:r>
      <w:r w:rsidR="00BE6BA3" w:rsidRPr="007D5825">
        <w:rPr>
          <w:lang w:val="en-AU"/>
        </w:rPr>
        <w:t xml:space="preserve"> </w:t>
      </w:r>
      <w:r>
        <w:rPr>
          <w:lang w:val="en-AU"/>
        </w:rPr>
        <w:t xml:space="preserve">This compassion towards a fellow Jew and not towards the Gentile also is part of the understanding of Matthew 5:38-42 (discussed later in this dissertation). </w:t>
      </w:r>
      <w:r w:rsidR="00A6739F" w:rsidRPr="007D5825">
        <w:rPr>
          <w:lang w:val="en-AU"/>
        </w:rPr>
        <w:t xml:space="preserve">The </w:t>
      </w:r>
      <w:r w:rsidR="00C64474" w:rsidRPr="007D5825">
        <w:rPr>
          <w:lang w:val="en-AU"/>
        </w:rPr>
        <w:t>law in D</w:t>
      </w:r>
      <w:r w:rsidR="00BE6BA3" w:rsidRPr="007D5825">
        <w:rPr>
          <w:lang w:val="en-AU"/>
        </w:rPr>
        <w:t>euteronomy 23:21</w:t>
      </w:r>
      <w:r w:rsidR="00ED6A88" w:rsidRPr="007D5825">
        <w:rPr>
          <w:lang w:val="en-AU"/>
        </w:rPr>
        <w:t xml:space="preserve"> </w:t>
      </w:r>
      <w:r w:rsidR="00BE6BA3" w:rsidRPr="007D5825">
        <w:rPr>
          <w:lang w:val="en-AU"/>
        </w:rPr>
        <w:t xml:space="preserve">that </w:t>
      </w:r>
      <w:r w:rsidR="00ED6A88" w:rsidRPr="007D5825">
        <w:rPr>
          <w:lang w:val="en-AU"/>
        </w:rPr>
        <w:t xml:space="preserve">permits </w:t>
      </w:r>
      <w:r w:rsidR="00BE6BA3" w:rsidRPr="007D5825">
        <w:rPr>
          <w:lang w:val="en-AU"/>
        </w:rPr>
        <w:t xml:space="preserve">interest </w:t>
      </w:r>
      <w:r w:rsidR="00ED6A88" w:rsidRPr="007D5825">
        <w:rPr>
          <w:lang w:val="en-AU"/>
        </w:rPr>
        <w:t xml:space="preserve">to be </w:t>
      </w:r>
      <w:r w:rsidR="00BE6BA3" w:rsidRPr="007D5825">
        <w:rPr>
          <w:lang w:val="en-AU"/>
        </w:rPr>
        <w:t xml:space="preserve">charged to foreigners is accepted </w:t>
      </w:r>
      <w:r w:rsidR="00ED6A88" w:rsidRPr="007D5825">
        <w:rPr>
          <w:lang w:val="en-AU"/>
        </w:rPr>
        <w:t>a</w:t>
      </w:r>
      <w:r w:rsidR="00BE6BA3" w:rsidRPr="007D5825">
        <w:rPr>
          <w:lang w:val="en-AU"/>
        </w:rPr>
        <w:t>s the 198</w:t>
      </w:r>
      <w:r w:rsidR="00BE6BA3" w:rsidRPr="007D5825">
        <w:rPr>
          <w:vertAlign w:val="superscript"/>
          <w:lang w:val="en-AU"/>
        </w:rPr>
        <w:t>th</w:t>
      </w:r>
      <w:r w:rsidR="00BE6BA3" w:rsidRPr="007D5825">
        <w:rPr>
          <w:lang w:val="en-AU"/>
        </w:rPr>
        <w:t xml:space="preserve"> </w:t>
      </w:r>
      <w:r w:rsidR="00BE6BA3" w:rsidRPr="007D5825">
        <w:rPr>
          <w:i/>
          <w:iCs/>
          <w:lang w:val="en-AU"/>
        </w:rPr>
        <w:t>mitzvah</w:t>
      </w:r>
      <w:r w:rsidR="00BE6BA3" w:rsidRPr="007D5825">
        <w:rPr>
          <w:lang w:val="en-AU"/>
        </w:rPr>
        <w:t xml:space="preserve"> (out of the 613 </w:t>
      </w:r>
      <w:r w:rsidR="00BE6BA3" w:rsidRPr="007D5825">
        <w:rPr>
          <w:i/>
          <w:lang w:val="en-AU"/>
        </w:rPr>
        <w:t>mitzvoth</w:t>
      </w:r>
      <w:r w:rsidR="00BE6BA3" w:rsidRPr="007D5825">
        <w:rPr>
          <w:lang w:val="en-AU"/>
        </w:rPr>
        <w:t>, or commandments of Judaism).</w:t>
      </w:r>
      <w:r w:rsidR="00C92780" w:rsidRPr="007D5825">
        <w:rPr>
          <w:lang w:val="en-AU"/>
        </w:rPr>
        <w:t xml:space="preserve"> It is the obligation of every Jew to help one another and assist fellow Jews. </w:t>
      </w:r>
    </w:p>
    <w:p w14:paraId="6256A882" w14:textId="1B7C8D2F" w:rsidR="008D4202" w:rsidRPr="009E7B69" w:rsidRDefault="00BE6BA3" w:rsidP="000F32B1">
      <w:pPr>
        <w:widowControl w:val="0"/>
        <w:autoSpaceDE w:val="0"/>
        <w:autoSpaceDN w:val="0"/>
        <w:adjustRightInd w:val="0"/>
        <w:spacing w:before="120" w:line="480" w:lineRule="auto"/>
        <w:ind w:firstLine="720"/>
        <w:rPr>
          <w:lang w:val="en-AU"/>
        </w:rPr>
      </w:pPr>
      <w:r w:rsidRPr="009E7B69">
        <w:rPr>
          <w:lang w:val="en-AU"/>
        </w:rPr>
        <w:t xml:space="preserve">Another example of compassion in lending is </w:t>
      </w:r>
      <w:r w:rsidR="00352852" w:rsidRPr="009E7B69">
        <w:rPr>
          <w:lang w:val="en-AU"/>
        </w:rPr>
        <w:t xml:space="preserve">the </w:t>
      </w:r>
      <w:r w:rsidRPr="009E7B69">
        <w:rPr>
          <w:lang w:val="en-AU"/>
        </w:rPr>
        <w:t>guideline for loans and collateral</w:t>
      </w:r>
      <w:r w:rsidR="00352852" w:rsidRPr="009E7B69">
        <w:rPr>
          <w:lang w:val="en-AU"/>
        </w:rPr>
        <w:t xml:space="preserve"> given in Exodus 22:26</w:t>
      </w:r>
      <w:r w:rsidRPr="009E7B69">
        <w:rPr>
          <w:lang w:val="en-AU"/>
        </w:rPr>
        <w:t>.</w:t>
      </w:r>
      <w:r w:rsidR="00D76D3F">
        <w:rPr>
          <w:rStyle w:val="FootnoteReference"/>
          <w:lang w:val="en-AU"/>
        </w:rPr>
        <w:footnoteReference w:id="238"/>
      </w:r>
      <w:r w:rsidRPr="009E7B69">
        <w:rPr>
          <w:lang w:val="en-AU"/>
        </w:rPr>
        <w:t xml:space="preserve"> </w:t>
      </w:r>
      <w:r w:rsidR="002335FC" w:rsidRPr="009E7B69">
        <w:rPr>
          <w:lang w:val="en-AU"/>
        </w:rPr>
        <w:t xml:space="preserve">Interestingly enough, the verse does </w:t>
      </w:r>
      <w:r w:rsidR="005D04F2" w:rsidRPr="009E7B69">
        <w:rPr>
          <w:lang w:val="en-AU"/>
        </w:rPr>
        <w:t>not seem</w:t>
      </w:r>
      <w:r w:rsidR="002335FC" w:rsidRPr="009E7B69">
        <w:rPr>
          <w:lang w:val="en-AU"/>
        </w:rPr>
        <w:t xml:space="preserve"> to say anything about the obligation of the borrower to return the money for which he has offered his cloak as </w:t>
      </w:r>
      <w:r w:rsidR="002A5DAC" w:rsidRPr="009E7B69">
        <w:rPr>
          <w:lang w:val="en-AU"/>
        </w:rPr>
        <w:t>collateral. One</w:t>
      </w:r>
      <w:r w:rsidRPr="009E7B69">
        <w:rPr>
          <w:lang w:val="en-AU"/>
        </w:rPr>
        <w:t xml:space="preserve"> must have morality and ethics with lending. Exodus 22:26 is similar to both </w:t>
      </w:r>
      <w:r w:rsidRPr="009E7B69">
        <w:rPr>
          <w:lang w:val="en-AU"/>
        </w:rPr>
        <w:lastRenderedPageBreak/>
        <w:t xml:space="preserve">Proverbs 20:16 and Proverbs 27:13. Proverbs 20:16 </w:t>
      </w:r>
      <w:r w:rsidR="00661F8C" w:rsidRPr="009E7B69">
        <w:rPr>
          <w:lang w:val="en-AU"/>
        </w:rPr>
        <w:t xml:space="preserve">advises </w:t>
      </w:r>
      <w:r w:rsidRPr="009E7B69">
        <w:rPr>
          <w:lang w:val="en-AU"/>
        </w:rPr>
        <w:t>that one should take a garment for collateral from a stranger and in parallel structure, to take a pledge in the case of a foreigner.</w:t>
      </w:r>
      <w:r w:rsidRPr="009E7B69">
        <w:rPr>
          <w:rStyle w:val="FootnoteReference"/>
          <w:lang w:val="en-AU"/>
        </w:rPr>
        <w:footnoteReference w:id="239"/>
      </w:r>
      <w:r w:rsidRPr="009E7B69">
        <w:rPr>
          <w:lang w:val="en-AU"/>
        </w:rPr>
        <w:t xml:space="preserve"> Proverbs 27:13 </w:t>
      </w:r>
      <w:r w:rsidR="00DD1A34" w:rsidRPr="009E7B69">
        <w:rPr>
          <w:lang w:val="en-AU"/>
        </w:rPr>
        <w:t>provides a similar example</w:t>
      </w:r>
      <w:r w:rsidR="002E3181" w:rsidRPr="009E7B69">
        <w:rPr>
          <w:lang w:val="en-AU"/>
        </w:rPr>
        <w:t>, specifying</w:t>
      </w:r>
      <w:r w:rsidR="00DD1A34" w:rsidRPr="009E7B69">
        <w:rPr>
          <w:lang w:val="en-AU"/>
        </w:rPr>
        <w:t xml:space="preserve"> that the lender should take the garment from the person who is acting as the surety for the borrower, not from the borrower. The identity of the borrower may not necessarily be known to the lender. The lender may presumably keep the garment that belongs to the surety if the lender does not repay the loan. </w:t>
      </w:r>
      <w:r w:rsidRPr="009E7B69">
        <w:rPr>
          <w:lang w:val="en-AU"/>
        </w:rPr>
        <w:t>In both cases, the wisdom of taking a pledge from a</w:t>
      </w:r>
      <w:r w:rsidR="00054D6B" w:rsidRPr="009E7B69">
        <w:rPr>
          <w:lang w:val="en-AU"/>
        </w:rPr>
        <w:t>n unfamiliar</w:t>
      </w:r>
      <w:r w:rsidRPr="009E7B69">
        <w:rPr>
          <w:lang w:val="en-AU"/>
        </w:rPr>
        <w:t xml:space="preserve"> person is inscribed. While nothing is said about the length of time one could keep the garment, it is implied that it can be for the duration of the loan, since the requirement to return the garment before the sun sets seems only apply to fellow Israelites, also </w:t>
      </w:r>
      <w:r w:rsidR="00B03A98" w:rsidRPr="009E7B69">
        <w:rPr>
          <w:lang w:val="en-AU"/>
        </w:rPr>
        <w:t>express</w:t>
      </w:r>
      <w:r w:rsidRPr="009E7B69">
        <w:rPr>
          <w:lang w:val="en-AU"/>
        </w:rPr>
        <w:t>ed as one</w:t>
      </w:r>
      <w:r w:rsidR="005C71CB" w:rsidRPr="009E7B69">
        <w:rPr>
          <w:lang w:val="en-AU"/>
        </w:rPr>
        <w:t>’</w:t>
      </w:r>
      <w:r w:rsidRPr="009E7B69">
        <w:rPr>
          <w:lang w:val="en-AU"/>
        </w:rPr>
        <w:t xml:space="preserve">s </w:t>
      </w:r>
      <w:r w:rsidR="00863B47" w:rsidRPr="009E7B69">
        <w:rPr>
          <w:lang w:val="en-AU"/>
        </w:rPr>
        <w:t>“</w:t>
      </w:r>
      <w:r w:rsidRPr="009E7B69">
        <w:rPr>
          <w:lang w:val="en-AU"/>
        </w:rPr>
        <w:t>neighbo</w:t>
      </w:r>
      <w:r w:rsidR="007A131F" w:rsidRPr="009E7B69">
        <w:rPr>
          <w:lang w:val="en-AU"/>
        </w:rPr>
        <w:t>u</w:t>
      </w:r>
      <w:r w:rsidRPr="009E7B69">
        <w:rPr>
          <w:lang w:val="en-AU"/>
        </w:rPr>
        <w:t>r</w:t>
      </w:r>
      <w:r w:rsidR="00863B47" w:rsidRPr="009E7B69">
        <w:rPr>
          <w:lang w:val="en-AU"/>
        </w:rPr>
        <w:t>”</w:t>
      </w:r>
      <w:r w:rsidR="00B03A98" w:rsidRPr="009E7B69">
        <w:rPr>
          <w:lang w:val="en-AU"/>
        </w:rPr>
        <w:t xml:space="preserve"> </w:t>
      </w:r>
      <w:r w:rsidRPr="009E7B69">
        <w:rPr>
          <w:lang w:val="en-AU"/>
        </w:rPr>
        <w:t xml:space="preserve">in Exodus 22:26. </w:t>
      </w:r>
    </w:p>
    <w:p w14:paraId="318B80CF" w14:textId="14086F74" w:rsidR="008D4202" w:rsidRPr="009E7B69" w:rsidRDefault="00BE6BA3" w:rsidP="008D4202">
      <w:pPr>
        <w:widowControl w:val="0"/>
        <w:autoSpaceDE w:val="0"/>
        <w:autoSpaceDN w:val="0"/>
        <w:adjustRightInd w:val="0"/>
        <w:spacing w:before="120" w:line="480" w:lineRule="auto"/>
        <w:ind w:firstLine="720"/>
        <w:rPr>
          <w:lang w:val="en-AU"/>
        </w:rPr>
      </w:pPr>
      <w:r w:rsidRPr="009E7B69">
        <w:rPr>
          <w:lang w:val="en-AU"/>
        </w:rPr>
        <w:t xml:space="preserve">The Jewish </w:t>
      </w:r>
      <w:r w:rsidRPr="009E7B69">
        <w:rPr>
          <w:i/>
          <w:lang w:val="en-AU"/>
        </w:rPr>
        <w:t>Bet Dien</w:t>
      </w:r>
      <w:r w:rsidR="00EE045C" w:rsidRPr="009E7B69">
        <w:rPr>
          <w:i/>
          <w:lang w:val="en-AU"/>
        </w:rPr>
        <w:t xml:space="preserve">, </w:t>
      </w:r>
      <w:r w:rsidR="00EE045C" w:rsidRPr="009E7B69">
        <w:rPr>
          <w:iCs/>
          <w:lang w:val="en-AU"/>
        </w:rPr>
        <w:t xml:space="preserve">going back to </w:t>
      </w:r>
      <w:r w:rsidR="00710F01" w:rsidRPr="009E7B69">
        <w:rPr>
          <w:iCs/>
          <w:lang w:val="en-AU"/>
        </w:rPr>
        <w:t>D</w:t>
      </w:r>
      <w:r w:rsidR="00504FBD">
        <w:rPr>
          <w:iCs/>
          <w:lang w:val="en-AU"/>
        </w:rPr>
        <w:t>eu</w:t>
      </w:r>
      <w:r w:rsidR="00710F01" w:rsidRPr="009E7B69">
        <w:rPr>
          <w:iCs/>
          <w:lang w:val="en-AU"/>
        </w:rPr>
        <w:t>t</w:t>
      </w:r>
      <w:r w:rsidR="00EE045C" w:rsidRPr="009E7B69">
        <w:rPr>
          <w:iCs/>
          <w:lang w:val="en-AU"/>
        </w:rPr>
        <w:t xml:space="preserve"> 16:18, is the standard tribunal for </w:t>
      </w:r>
      <w:r w:rsidR="00D63273" w:rsidRPr="009E7B69">
        <w:rPr>
          <w:iCs/>
          <w:lang w:val="en-AU"/>
        </w:rPr>
        <w:t>Torah interpretations</w:t>
      </w:r>
      <w:r w:rsidRPr="009E7B69">
        <w:rPr>
          <w:iCs/>
          <w:lang w:val="en-AU"/>
        </w:rPr>
        <w:t>.</w:t>
      </w:r>
      <w:r w:rsidRPr="009E7B69">
        <w:rPr>
          <w:rStyle w:val="FootnoteReference"/>
          <w:iCs/>
          <w:lang w:val="en-AU"/>
        </w:rPr>
        <w:footnoteReference w:id="240"/>
      </w:r>
      <w:r w:rsidR="00AF40A3" w:rsidRPr="009E7B69">
        <w:rPr>
          <w:iCs/>
          <w:lang w:val="en-AU"/>
        </w:rPr>
        <w:t xml:space="preserve"> During the time of Jesus, which is much later than the period of De</w:t>
      </w:r>
      <w:r w:rsidR="00504FBD">
        <w:rPr>
          <w:iCs/>
          <w:lang w:val="en-AU"/>
        </w:rPr>
        <w:t>u</w:t>
      </w:r>
      <w:r w:rsidR="00AF40A3" w:rsidRPr="009E7B69">
        <w:rPr>
          <w:iCs/>
          <w:lang w:val="en-AU"/>
        </w:rPr>
        <w:t xml:space="preserve">t 16:18, the use of the Sanhedrin was still in practice as a Jewish court. </w:t>
      </w:r>
      <w:r w:rsidR="00D63273" w:rsidRPr="009E7B69">
        <w:rPr>
          <w:iCs/>
          <w:lang w:val="en-AU"/>
        </w:rPr>
        <w:t xml:space="preserve">By the time of the Sermon, deciding how to adjudicate differences </w:t>
      </w:r>
      <w:r w:rsidR="007A131F" w:rsidRPr="009E7B69">
        <w:rPr>
          <w:iCs/>
          <w:lang w:val="en-AU"/>
        </w:rPr>
        <w:t xml:space="preserve">equitably and with justice while under Roman rule </w:t>
      </w:r>
      <w:r w:rsidR="00D63273" w:rsidRPr="009E7B69">
        <w:rPr>
          <w:iCs/>
          <w:lang w:val="en-AU"/>
        </w:rPr>
        <w:t xml:space="preserve">was important. </w:t>
      </w:r>
      <w:r w:rsidRPr="009E7B69">
        <w:rPr>
          <w:lang w:val="en-AU"/>
        </w:rPr>
        <w:t>Exodus 22:25</w:t>
      </w:r>
      <w:r w:rsidR="00DC23F2" w:rsidRPr="009E7B69">
        <w:rPr>
          <w:lang w:val="en-AU"/>
        </w:rPr>
        <w:t>–</w:t>
      </w:r>
      <w:r w:rsidRPr="009E7B69">
        <w:rPr>
          <w:lang w:val="en-AU"/>
        </w:rPr>
        <w:t xml:space="preserve">26 states, </w:t>
      </w:r>
      <w:r w:rsidR="00863B47" w:rsidRPr="009E7B69">
        <w:rPr>
          <w:lang w:val="en-AU"/>
        </w:rPr>
        <w:t>“</w:t>
      </w:r>
      <w:r w:rsidRPr="009E7B69">
        <w:rPr>
          <w:lang w:val="en-AU"/>
        </w:rPr>
        <w:t xml:space="preserve">If you take your </w:t>
      </w:r>
      <w:r w:rsidR="002123A9" w:rsidRPr="009E7B69">
        <w:rPr>
          <w:lang w:val="en-AU"/>
        </w:rPr>
        <w:t>neighbour</w:t>
      </w:r>
      <w:r w:rsidR="005C71CB" w:rsidRPr="009E7B69">
        <w:rPr>
          <w:lang w:val="en-AU"/>
        </w:rPr>
        <w:t>’</w:t>
      </w:r>
      <w:r w:rsidRPr="009E7B69">
        <w:rPr>
          <w:lang w:val="en-AU"/>
        </w:rPr>
        <w:t>s garment in pledge, you must return it to him before the sun sets; it is his only clothing, the sole covering for his skin. In what else shall he sleep? Therefore, if he cries out to me, I will pay heed, for I am compassionate.</w:t>
      </w:r>
      <w:r w:rsidR="00863B47" w:rsidRPr="009E7B69">
        <w:rPr>
          <w:lang w:val="en-AU"/>
        </w:rPr>
        <w:t>”</w:t>
      </w:r>
      <w:r w:rsidRPr="009E7B69">
        <w:rPr>
          <w:lang w:val="en-AU"/>
        </w:rPr>
        <w:t xml:space="preserve"> The Hebrew text reads </w:t>
      </w:r>
      <w:r w:rsidR="00863B47" w:rsidRPr="009E7B69">
        <w:rPr>
          <w:lang w:val="en-AU"/>
        </w:rPr>
        <w:t>“</w:t>
      </w:r>
      <w:r w:rsidRPr="009E7B69">
        <w:rPr>
          <w:rtl/>
          <w:lang w:val="en-AU"/>
        </w:rPr>
        <w:t>אִם־חָבֹל תַּחְבֹּל שַׂלְמַת רֵעֶךָ עַד־בֹּא הַשֶּׁמֶשׁ תְּשִׁיבֶנּוּ לֹֽו׃</w:t>
      </w:r>
      <w:r w:rsidRPr="009E7B69">
        <w:rPr>
          <w:lang w:val="en-AU"/>
        </w:rPr>
        <w:t>.</w:t>
      </w:r>
      <w:r w:rsidR="00863B47" w:rsidRPr="009E7B69">
        <w:rPr>
          <w:lang w:val="en-AU"/>
        </w:rPr>
        <w:t>”</w:t>
      </w:r>
      <w:r w:rsidRPr="009E7B69">
        <w:rPr>
          <w:lang w:val="en-AU"/>
        </w:rPr>
        <w:t xml:space="preserve"> </w:t>
      </w:r>
      <w:proofErr w:type="gramStart"/>
      <w:r w:rsidRPr="009E7B69">
        <w:rPr>
          <w:lang w:val="en-AU"/>
        </w:rPr>
        <w:t>A main</w:t>
      </w:r>
      <w:r w:rsidR="009602BB" w:rsidRPr="009E7B69">
        <w:rPr>
          <w:lang w:val="en-AU"/>
        </w:rPr>
        <w:t xml:space="preserve"> </w:t>
      </w:r>
      <w:r w:rsidRPr="009E7B69">
        <w:rPr>
          <w:lang w:val="en-AU"/>
        </w:rPr>
        <w:t>focus</w:t>
      </w:r>
      <w:proofErr w:type="gramEnd"/>
      <w:r w:rsidRPr="009E7B69">
        <w:rPr>
          <w:lang w:val="en-AU"/>
        </w:rPr>
        <w:t xml:space="preserve"> </w:t>
      </w:r>
      <w:r w:rsidR="00D17526" w:rsidRPr="009E7B69">
        <w:rPr>
          <w:lang w:val="en-AU"/>
        </w:rPr>
        <w:t>i</w:t>
      </w:r>
      <w:r w:rsidRPr="009E7B69">
        <w:rPr>
          <w:lang w:val="en-AU"/>
        </w:rPr>
        <w:t xml:space="preserve">n this text is the biblical interpretation of </w:t>
      </w:r>
      <w:r w:rsidRPr="009E7B69">
        <w:rPr>
          <w:rtl/>
          <w:lang w:val="en-AU"/>
        </w:rPr>
        <w:t>שַׂלְמָה</w:t>
      </w:r>
      <w:r w:rsidRPr="009E7B69">
        <w:rPr>
          <w:lang w:val="en-AU"/>
        </w:rPr>
        <w:t xml:space="preserve"> which translates as </w:t>
      </w:r>
      <w:r w:rsidR="00863B47" w:rsidRPr="009E7B69">
        <w:rPr>
          <w:lang w:val="en-AU"/>
        </w:rPr>
        <w:t>“</w:t>
      </w:r>
      <w:r w:rsidRPr="009E7B69">
        <w:rPr>
          <w:lang w:val="en-AU"/>
        </w:rPr>
        <w:t>outer garment</w:t>
      </w:r>
      <w:r w:rsidR="00863B47" w:rsidRPr="009E7B69">
        <w:rPr>
          <w:lang w:val="en-AU"/>
        </w:rPr>
        <w:t>”</w:t>
      </w:r>
      <w:r w:rsidR="00504FBD">
        <w:rPr>
          <w:lang w:val="en-AU"/>
        </w:rPr>
        <w:t xml:space="preserve"> </w:t>
      </w:r>
      <w:r w:rsidR="00504FA4">
        <w:rPr>
          <w:lang w:val="en-AU"/>
        </w:rPr>
        <w:t>in</w:t>
      </w:r>
      <w:r w:rsidR="00504FBD">
        <w:rPr>
          <w:lang w:val="en-AU"/>
        </w:rPr>
        <w:t xml:space="preserve"> Deut 24: 10-13.</w:t>
      </w:r>
      <w:r w:rsidRPr="009E7B69">
        <w:rPr>
          <w:lang w:val="en-AU"/>
        </w:rPr>
        <w:t xml:space="preserve"> </w:t>
      </w:r>
    </w:p>
    <w:p w14:paraId="4FD94929" w14:textId="6515316F" w:rsidR="008D4202" w:rsidRPr="009E7B69" w:rsidRDefault="00504FA4" w:rsidP="008D4202">
      <w:pPr>
        <w:widowControl w:val="0"/>
        <w:autoSpaceDE w:val="0"/>
        <w:autoSpaceDN w:val="0"/>
        <w:adjustRightInd w:val="0"/>
        <w:spacing w:before="120" w:line="480" w:lineRule="auto"/>
        <w:ind w:firstLine="720"/>
        <w:rPr>
          <w:iCs/>
          <w:lang w:val="en-AU"/>
        </w:rPr>
      </w:pPr>
      <w:r>
        <w:rPr>
          <w:lang w:val="en-AU"/>
        </w:rPr>
        <w:lastRenderedPageBreak/>
        <w:t xml:space="preserve">Thus, </w:t>
      </w:r>
      <w:r w:rsidR="00D63273" w:rsidRPr="009E7B69">
        <w:rPr>
          <w:lang w:val="en-AU"/>
        </w:rPr>
        <w:t>Exodus 22:25</w:t>
      </w:r>
      <w:r w:rsidR="00BF36A2" w:rsidRPr="009E7B69">
        <w:rPr>
          <w:lang w:val="en-AU"/>
        </w:rPr>
        <w:t>–</w:t>
      </w:r>
      <w:r w:rsidR="00D63273" w:rsidRPr="009E7B69">
        <w:rPr>
          <w:lang w:val="en-AU"/>
        </w:rPr>
        <w:t xml:space="preserve">26 </w:t>
      </w:r>
      <w:r w:rsidR="0061377C" w:rsidRPr="009E7B69">
        <w:rPr>
          <w:lang w:val="en-AU"/>
        </w:rPr>
        <w:t xml:space="preserve">codifies how clothing and attire are </w:t>
      </w:r>
      <w:r w:rsidR="00BF36A2" w:rsidRPr="009E7B69">
        <w:rPr>
          <w:lang w:val="en-AU"/>
        </w:rPr>
        <w:t xml:space="preserve">to be </w:t>
      </w:r>
      <w:r w:rsidR="0061377C" w:rsidRPr="009E7B69">
        <w:rPr>
          <w:lang w:val="en-AU"/>
        </w:rPr>
        <w:t>used as loan collateral. Collections on loan defaults when clothing is the collateral become part of the discourse of Jesus</w:t>
      </w:r>
      <w:r w:rsidR="005C71CB" w:rsidRPr="009E7B69">
        <w:rPr>
          <w:lang w:val="en-AU"/>
        </w:rPr>
        <w:t>’</w:t>
      </w:r>
      <w:r w:rsidR="00E35288">
        <w:rPr>
          <w:lang w:val="en-AU"/>
        </w:rPr>
        <w:t>s</w:t>
      </w:r>
      <w:r w:rsidR="0061377C" w:rsidRPr="009E7B69">
        <w:rPr>
          <w:lang w:val="en-AU"/>
        </w:rPr>
        <w:t xml:space="preserve"> sermon.</w:t>
      </w:r>
      <w:r w:rsidR="00BE6BA3" w:rsidRPr="009E7B69">
        <w:rPr>
          <w:rStyle w:val="FootnoteReference"/>
          <w:lang w:val="en-AU"/>
        </w:rPr>
        <w:footnoteReference w:id="241"/>
      </w:r>
      <w:r w:rsidR="00BE6BA3" w:rsidRPr="009E7B69">
        <w:rPr>
          <w:lang w:val="en-AU"/>
        </w:rPr>
        <w:t xml:space="preserve"> The rule against keeping a person</w:t>
      </w:r>
      <w:r w:rsidR="005C71CB" w:rsidRPr="009E7B69">
        <w:rPr>
          <w:lang w:val="en-AU"/>
        </w:rPr>
        <w:t>’</w:t>
      </w:r>
      <w:r w:rsidR="00BE6BA3" w:rsidRPr="009E7B69">
        <w:rPr>
          <w:lang w:val="en-AU"/>
        </w:rPr>
        <w:t xml:space="preserve">s garment was important for Torah </w:t>
      </w:r>
      <w:proofErr w:type="gramStart"/>
      <w:r w:rsidR="00BE6BA3" w:rsidRPr="009E7B69">
        <w:rPr>
          <w:lang w:val="en-AU"/>
        </w:rPr>
        <w:t>in order to</w:t>
      </w:r>
      <w:proofErr w:type="gramEnd"/>
      <w:r w:rsidR="00BE6BA3" w:rsidRPr="009E7B69">
        <w:rPr>
          <w:lang w:val="en-AU"/>
        </w:rPr>
        <w:t xml:space="preserve"> protect the social rights of people; consequentially, </w:t>
      </w:r>
      <w:r w:rsidR="009C760A" w:rsidRPr="009E7B69">
        <w:rPr>
          <w:lang w:val="en-AU"/>
        </w:rPr>
        <w:t xml:space="preserve">in </w:t>
      </w:r>
      <w:r w:rsidR="00BE6BA3" w:rsidRPr="009E7B69">
        <w:rPr>
          <w:lang w:val="en-AU"/>
        </w:rPr>
        <w:t xml:space="preserve">Torah </w:t>
      </w:r>
      <w:r w:rsidR="0037335F" w:rsidRPr="009E7B69">
        <w:rPr>
          <w:lang w:val="en-AU"/>
        </w:rPr>
        <w:t>there is provision to protect</w:t>
      </w:r>
      <w:r w:rsidR="00BE6BA3" w:rsidRPr="009E7B69">
        <w:rPr>
          <w:lang w:val="en-AU"/>
        </w:rPr>
        <w:t xml:space="preserve"> those who are at risk </w:t>
      </w:r>
      <w:r w:rsidR="0037335F" w:rsidRPr="009E7B69">
        <w:rPr>
          <w:lang w:val="en-AU"/>
        </w:rPr>
        <w:t>of</w:t>
      </w:r>
      <w:r w:rsidR="00BE6BA3" w:rsidRPr="009E7B69">
        <w:rPr>
          <w:lang w:val="en-AU"/>
        </w:rPr>
        <w:t xml:space="preserve"> further harm. In Deuteronomy 24:17 the Torah states, </w:t>
      </w:r>
      <w:r w:rsidR="00863B47" w:rsidRPr="009E7B69">
        <w:rPr>
          <w:iCs/>
          <w:lang w:val="en-AU"/>
        </w:rPr>
        <w:t>“</w:t>
      </w:r>
      <w:r w:rsidR="00BE6BA3" w:rsidRPr="009E7B69">
        <w:rPr>
          <w:iCs/>
          <w:lang w:val="en-AU"/>
        </w:rPr>
        <w:t>Nor shall you take a widow</w:t>
      </w:r>
      <w:r w:rsidR="005C71CB" w:rsidRPr="009E7B69">
        <w:rPr>
          <w:iCs/>
          <w:lang w:val="en-AU"/>
        </w:rPr>
        <w:t>’</w:t>
      </w:r>
      <w:r w:rsidR="00BE6BA3" w:rsidRPr="009E7B69">
        <w:rPr>
          <w:iCs/>
          <w:lang w:val="en-AU"/>
        </w:rPr>
        <w:t>s garment as pawn.</w:t>
      </w:r>
      <w:r w:rsidR="00863B47" w:rsidRPr="009E7B69">
        <w:rPr>
          <w:iCs/>
          <w:lang w:val="en-AU"/>
        </w:rPr>
        <w:t>”</w:t>
      </w:r>
      <w:r w:rsidR="00BE6BA3" w:rsidRPr="009E7B69">
        <w:rPr>
          <w:iCs/>
          <w:lang w:val="en-AU"/>
        </w:rPr>
        <w:t xml:space="preserve"> The Hebrew reads </w:t>
      </w:r>
      <w:r w:rsidR="00863B47" w:rsidRPr="009E7B69">
        <w:rPr>
          <w:iCs/>
          <w:lang w:val="en-AU"/>
        </w:rPr>
        <w:t>“</w:t>
      </w:r>
      <w:r w:rsidR="00BE6BA3" w:rsidRPr="009E7B69">
        <w:rPr>
          <w:rtl/>
          <w:lang w:val="en-AU"/>
        </w:rPr>
        <w:t>לֹא תַטֶּה מִשְׁפַּט גֵּר יָתֹום וְלֹא תַחֲבֹל בֶּגֶד אַלְמָנָֽה</w:t>
      </w:r>
      <w:r w:rsidR="00BE6BA3" w:rsidRPr="009E7B69">
        <w:rPr>
          <w:iCs/>
          <w:rtl/>
          <w:lang w:val="en-AU"/>
        </w:rPr>
        <w:t>׃</w:t>
      </w:r>
      <w:r w:rsidR="00863B47" w:rsidRPr="009E7B69">
        <w:rPr>
          <w:iCs/>
          <w:lang w:val="en-AU"/>
        </w:rPr>
        <w:t>”</w:t>
      </w:r>
      <w:r w:rsidR="00196EDC" w:rsidRPr="009E7B69">
        <w:rPr>
          <w:iCs/>
          <w:lang w:val="en-AU"/>
        </w:rPr>
        <w:t>,</w:t>
      </w:r>
      <w:r w:rsidR="00BE6BA3" w:rsidRPr="009E7B69">
        <w:rPr>
          <w:iCs/>
          <w:lang w:val="en-AU"/>
        </w:rPr>
        <w:t xml:space="preserve"> with </w:t>
      </w:r>
      <w:r w:rsidR="00196EDC" w:rsidRPr="009E7B69">
        <w:rPr>
          <w:rtl/>
          <w:lang w:val="en-AU"/>
        </w:rPr>
        <w:t>בֶּגֶד</w:t>
      </w:r>
      <w:r w:rsidR="00196EDC" w:rsidRPr="009E7B69">
        <w:rPr>
          <w:lang w:val="en-AU"/>
        </w:rPr>
        <w:t xml:space="preserve"> </w:t>
      </w:r>
      <w:r w:rsidR="00AF40A3" w:rsidRPr="009E7B69">
        <w:rPr>
          <w:i/>
          <w:lang w:val="en-AU"/>
        </w:rPr>
        <w:t>begged,</w:t>
      </w:r>
      <w:r w:rsidR="00AF40A3" w:rsidRPr="009E7B69">
        <w:rPr>
          <w:iCs/>
          <w:lang w:val="en-AU"/>
        </w:rPr>
        <w:t xml:space="preserve"> the</w:t>
      </w:r>
      <w:r w:rsidR="00BE6BA3" w:rsidRPr="009E7B69">
        <w:rPr>
          <w:iCs/>
          <w:lang w:val="en-AU"/>
        </w:rPr>
        <w:t xml:space="preserve"> word </w:t>
      </w:r>
      <w:r w:rsidR="00196EDC" w:rsidRPr="009E7B69">
        <w:rPr>
          <w:iCs/>
          <w:lang w:val="en-AU"/>
        </w:rPr>
        <w:t xml:space="preserve">translated </w:t>
      </w:r>
      <w:r w:rsidR="00BE6BA3" w:rsidRPr="009E7B69">
        <w:rPr>
          <w:iCs/>
          <w:lang w:val="en-AU"/>
        </w:rPr>
        <w:t>garment</w:t>
      </w:r>
      <w:r w:rsidR="00CC26AD" w:rsidRPr="009E7B69">
        <w:rPr>
          <w:iCs/>
          <w:lang w:val="en-AU"/>
        </w:rPr>
        <w:t xml:space="preserve">, but </w:t>
      </w:r>
      <w:r w:rsidR="00EE1107" w:rsidRPr="009E7B69">
        <w:rPr>
          <w:i/>
          <w:lang w:val="en-AU"/>
        </w:rPr>
        <w:t>b</w:t>
      </w:r>
      <w:r w:rsidR="000257DE" w:rsidRPr="009E7B69">
        <w:rPr>
          <w:i/>
          <w:lang w:val="en-AU"/>
        </w:rPr>
        <w:t>egged</w:t>
      </w:r>
      <w:r w:rsidR="000B10E2" w:rsidRPr="009E7B69">
        <w:rPr>
          <w:i/>
          <w:lang w:val="en-AU"/>
        </w:rPr>
        <w:t xml:space="preserve"> </w:t>
      </w:r>
      <w:r w:rsidR="000B10E2" w:rsidRPr="009E7B69">
        <w:rPr>
          <w:iCs/>
          <w:lang w:val="en-AU"/>
        </w:rPr>
        <w:t>implies</w:t>
      </w:r>
      <w:r w:rsidR="000B10E2" w:rsidRPr="009E7B69">
        <w:rPr>
          <w:lang w:val="en-AU"/>
        </w:rPr>
        <w:t xml:space="preserve"> </w:t>
      </w:r>
      <w:r w:rsidR="00BE6BA3" w:rsidRPr="009E7B69">
        <w:rPr>
          <w:lang w:val="en-AU"/>
        </w:rPr>
        <w:t>undergarments or bottom</w:t>
      </w:r>
      <w:r w:rsidR="002D2B70" w:rsidRPr="009E7B69">
        <w:rPr>
          <w:lang w:val="en-AU"/>
        </w:rPr>
        <w:t>-l</w:t>
      </w:r>
      <w:r w:rsidR="00BE6BA3" w:rsidRPr="009E7B69">
        <w:rPr>
          <w:lang w:val="en-AU"/>
        </w:rPr>
        <w:t xml:space="preserve">ayer clothing. The difference in the Hebrew words </w:t>
      </w:r>
      <w:r w:rsidR="00386A5A" w:rsidRPr="009E7B69">
        <w:rPr>
          <w:lang w:val="en-AU"/>
        </w:rPr>
        <w:t>indicates</w:t>
      </w:r>
      <w:r w:rsidR="00BE6BA3" w:rsidRPr="009E7B69">
        <w:rPr>
          <w:lang w:val="en-AU"/>
        </w:rPr>
        <w:t xml:space="preserve"> the difference between garment</w:t>
      </w:r>
      <w:r w:rsidR="002D2B70" w:rsidRPr="009E7B69">
        <w:rPr>
          <w:lang w:val="en-AU"/>
        </w:rPr>
        <w:t>s</w:t>
      </w:r>
      <w:r w:rsidR="00BE6BA3" w:rsidRPr="009E7B69">
        <w:rPr>
          <w:lang w:val="en-AU"/>
        </w:rPr>
        <w:t xml:space="preserve"> of clothing</w:t>
      </w:r>
      <w:r w:rsidR="00931250" w:rsidRPr="009E7B69">
        <w:rPr>
          <w:lang w:val="en-AU"/>
        </w:rPr>
        <w:t xml:space="preserve">: </w:t>
      </w:r>
      <w:r w:rsidR="00BE6BA3" w:rsidRPr="009E7B69">
        <w:rPr>
          <w:rtl/>
          <w:lang w:val="en-AU"/>
        </w:rPr>
        <w:t>בֶּגֶד</w:t>
      </w:r>
      <w:r w:rsidR="00BE6BA3" w:rsidRPr="009E7B69">
        <w:rPr>
          <w:lang w:val="en-AU"/>
        </w:rPr>
        <w:t xml:space="preserve"> as undergarments and </w:t>
      </w:r>
      <w:r w:rsidR="00BE6BA3" w:rsidRPr="009E7B69">
        <w:rPr>
          <w:rtl/>
          <w:lang w:val="en-AU"/>
        </w:rPr>
        <w:t>שַׂלְמָה</w:t>
      </w:r>
      <w:r w:rsidR="002E6CDC" w:rsidRPr="009E7B69">
        <w:rPr>
          <w:lang w:val="en-AU"/>
        </w:rPr>
        <w:t xml:space="preserve">, </w:t>
      </w:r>
      <w:r w:rsidR="00BE6BA3" w:rsidRPr="009E7B69">
        <w:rPr>
          <w:i/>
          <w:lang w:val="en-AU"/>
        </w:rPr>
        <w:t>salmah</w:t>
      </w:r>
      <w:r w:rsidR="00BE6BA3" w:rsidRPr="009E7B69">
        <w:rPr>
          <w:lang w:val="en-AU"/>
        </w:rPr>
        <w:t xml:space="preserve">, which is outer clothing only. </w:t>
      </w:r>
      <w:r w:rsidR="00710F01" w:rsidRPr="009E7B69">
        <w:rPr>
          <w:iCs/>
          <w:lang w:val="en-AU"/>
        </w:rPr>
        <w:t>The</w:t>
      </w:r>
      <w:r w:rsidR="00BE6BA3" w:rsidRPr="009E7B69">
        <w:rPr>
          <w:iCs/>
          <w:lang w:val="en-AU"/>
        </w:rPr>
        <w:t xml:space="preserve"> nuances of </w:t>
      </w:r>
      <w:r w:rsidR="00BE6BA3" w:rsidRPr="009E7B69">
        <w:rPr>
          <w:rtl/>
          <w:lang w:val="en-AU"/>
        </w:rPr>
        <w:t>בֶּגֶד</w:t>
      </w:r>
      <w:r w:rsidR="00BE6BA3" w:rsidRPr="009E7B69">
        <w:rPr>
          <w:lang w:val="en-AU"/>
        </w:rPr>
        <w:t xml:space="preserve"> as undergarments and </w:t>
      </w:r>
      <w:r w:rsidR="00BE6BA3" w:rsidRPr="009E7B69">
        <w:rPr>
          <w:rtl/>
          <w:lang w:val="en-AU"/>
        </w:rPr>
        <w:t>שַׂלְמָה</w:t>
      </w:r>
      <w:r w:rsidR="00BE6BA3" w:rsidRPr="009E7B69">
        <w:rPr>
          <w:lang w:val="en-AU"/>
        </w:rPr>
        <w:t xml:space="preserve"> as outer clothing only</w:t>
      </w:r>
      <w:r w:rsidR="00821D37" w:rsidRPr="009E7B69">
        <w:rPr>
          <w:lang w:val="en-AU"/>
        </w:rPr>
        <w:t xml:space="preserve"> would have been understood</w:t>
      </w:r>
      <w:r w:rsidR="00710F01" w:rsidRPr="009E7B69">
        <w:rPr>
          <w:lang w:val="en-AU"/>
        </w:rPr>
        <w:t xml:space="preserve"> by Jesus when delivering the Sermon</w:t>
      </w:r>
      <w:r w:rsidR="00BE6BA3" w:rsidRPr="009E7B69">
        <w:rPr>
          <w:lang w:val="en-AU"/>
        </w:rPr>
        <w:t xml:space="preserve">. </w:t>
      </w:r>
      <w:r w:rsidR="004842C4" w:rsidRPr="009E7B69">
        <w:rPr>
          <w:lang w:val="en-AU"/>
        </w:rPr>
        <w:t>Widows could not be given credit based on collateral and t</w:t>
      </w:r>
      <w:r w:rsidR="00BE6BA3" w:rsidRPr="009E7B69">
        <w:rPr>
          <w:lang w:val="en-AU"/>
        </w:rPr>
        <w:t xml:space="preserve">he level of debt of the widow or the level of wealth was not used as a deciding factor </w:t>
      </w:r>
      <w:r w:rsidR="00DE1E31" w:rsidRPr="009E7B69">
        <w:rPr>
          <w:lang w:val="en-AU"/>
        </w:rPr>
        <w:t xml:space="preserve">to </w:t>
      </w:r>
      <w:r w:rsidR="00FF3174" w:rsidRPr="009E7B69">
        <w:rPr>
          <w:lang w:val="en-AU"/>
        </w:rPr>
        <w:t>preclude</w:t>
      </w:r>
      <w:r w:rsidR="00DE1E31" w:rsidRPr="009E7B69">
        <w:rPr>
          <w:lang w:val="en-AU"/>
        </w:rPr>
        <w:t xml:space="preserve"> pledges for loans given to</w:t>
      </w:r>
      <w:r w:rsidR="00BE6BA3" w:rsidRPr="009E7B69">
        <w:rPr>
          <w:lang w:val="en-AU"/>
        </w:rPr>
        <w:t xml:space="preserve"> widow</w:t>
      </w:r>
      <w:r w:rsidR="00DE1E31" w:rsidRPr="009E7B69">
        <w:rPr>
          <w:lang w:val="en-AU"/>
        </w:rPr>
        <w:t>s</w:t>
      </w:r>
      <w:r w:rsidR="00D54068">
        <w:rPr>
          <w:lang w:val="en-AU"/>
        </w:rPr>
        <w:t>.</w:t>
      </w:r>
      <w:r w:rsidR="00BE6BA3" w:rsidRPr="009E7B69">
        <w:rPr>
          <w:lang w:val="en-AU"/>
        </w:rPr>
        <w:t xml:space="preserve"> It was forbidden </w:t>
      </w:r>
      <w:proofErr w:type="gramStart"/>
      <w:r w:rsidR="006656E5" w:rsidRPr="009E7B69">
        <w:rPr>
          <w:lang w:val="en-AU"/>
        </w:rPr>
        <w:t>in order to</w:t>
      </w:r>
      <w:proofErr w:type="gramEnd"/>
      <w:r w:rsidR="006656E5" w:rsidRPr="009E7B69">
        <w:rPr>
          <w:lang w:val="en-AU"/>
        </w:rPr>
        <w:t xml:space="preserve"> protect</w:t>
      </w:r>
      <w:r w:rsidR="00BE6BA3" w:rsidRPr="009E7B69">
        <w:rPr>
          <w:lang w:val="en-AU"/>
        </w:rPr>
        <w:t xml:space="preserve"> this class of citizen.</w:t>
      </w:r>
    </w:p>
    <w:p w14:paraId="5BDD4E28" w14:textId="6FA40A41" w:rsidR="00A2305D" w:rsidRPr="009E7B69" w:rsidRDefault="007C17D4" w:rsidP="008D4202">
      <w:pPr>
        <w:widowControl w:val="0"/>
        <w:autoSpaceDE w:val="0"/>
        <w:autoSpaceDN w:val="0"/>
        <w:adjustRightInd w:val="0"/>
        <w:spacing w:before="120" w:line="480" w:lineRule="auto"/>
        <w:ind w:firstLine="720"/>
        <w:rPr>
          <w:lang w:val="en-AU"/>
        </w:rPr>
      </w:pPr>
      <w:r w:rsidRPr="009E7B69">
        <w:rPr>
          <w:lang w:val="en-AU"/>
        </w:rPr>
        <w:t>The law relating to widows</w:t>
      </w:r>
      <w:r w:rsidR="005C71CB" w:rsidRPr="009E7B69">
        <w:rPr>
          <w:lang w:val="en-AU"/>
        </w:rPr>
        <w:t>’</w:t>
      </w:r>
      <w:r w:rsidRPr="009E7B69">
        <w:rPr>
          <w:lang w:val="en-AU"/>
        </w:rPr>
        <w:t xml:space="preserve"> loans shows compassion in dealing with a vulnerable person. </w:t>
      </w:r>
      <w:r w:rsidR="0061377C" w:rsidRPr="009E7B69">
        <w:rPr>
          <w:lang w:val="en-AU"/>
        </w:rPr>
        <w:t xml:space="preserve">If a widow, or any person, were </w:t>
      </w:r>
      <w:r w:rsidR="007669C8" w:rsidRPr="009E7B69">
        <w:rPr>
          <w:lang w:val="en-AU"/>
        </w:rPr>
        <w:t xml:space="preserve">to be </w:t>
      </w:r>
      <w:r w:rsidR="00EB1154" w:rsidRPr="009E7B69">
        <w:rPr>
          <w:lang w:val="en-AU"/>
        </w:rPr>
        <w:t>s</w:t>
      </w:r>
      <w:r w:rsidR="0061377C" w:rsidRPr="009E7B69">
        <w:rPr>
          <w:lang w:val="en-AU"/>
        </w:rPr>
        <w:t xml:space="preserve">tripped naked, </w:t>
      </w:r>
      <w:r w:rsidR="00EB1154" w:rsidRPr="009E7B69">
        <w:rPr>
          <w:lang w:val="en-AU"/>
        </w:rPr>
        <w:t>this would constitute a g</w:t>
      </w:r>
      <w:r w:rsidR="002F7042" w:rsidRPr="009E7B69">
        <w:rPr>
          <w:lang w:val="en-AU"/>
        </w:rPr>
        <w:t>r</w:t>
      </w:r>
      <w:r w:rsidR="00EB1154" w:rsidRPr="009E7B69">
        <w:rPr>
          <w:lang w:val="en-AU"/>
        </w:rPr>
        <w:t xml:space="preserve">eat </w:t>
      </w:r>
      <w:r w:rsidR="00892E89" w:rsidRPr="009E7B69">
        <w:rPr>
          <w:lang w:val="en-AU"/>
        </w:rPr>
        <w:t>injustice.</w:t>
      </w:r>
      <w:r w:rsidR="00BE6BA3" w:rsidRPr="009E7B69">
        <w:rPr>
          <w:rStyle w:val="FootnoteReference"/>
          <w:lang w:val="en-AU"/>
        </w:rPr>
        <w:footnoteReference w:id="242"/>
      </w:r>
      <w:r w:rsidR="00892E89" w:rsidRPr="009E7B69">
        <w:rPr>
          <w:lang w:val="en-AU"/>
        </w:rPr>
        <w:t xml:space="preserve"> Having a pr</w:t>
      </w:r>
      <w:r w:rsidR="002F7042" w:rsidRPr="009E7B69">
        <w:rPr>
          <w:lang w:val="en-AU"/>
        </w:rPr>
        <w:t>o</w:t>
      </w:r>
      <w:r w:rsidR="00892E89" w:rsidRPr="009E7B69">
        <w:rPr>
          <w:lang w:val="en-AU"/>
        </w:rPr>
        <w:t>scription on the basic things used for health and safety provide</w:t>
      </w:r>
      <w:r w:rsidR="002F7042" w:rsidRPr="009E7B69">
        <w:rPr>
          <w:lang w:val="en-AU"/>
        </w:rPr>
        <w:t>s</w:t>
      </w:r>
      <w:r w:rsidR="00892E89" w:rsidRPr="009E7B69">
        <w:rPr>
          <w:lang w:val="en-AU"/>
        </w:rPr>
        <w:t xml:space="preserve"> the community</w:t>
      </w:r>
      <w:r w:rsidR="002F7042" w:rsidRPr="009E7B69">
        <w:rPr>
          <w:lang w:val="en-AU"/>
        </w:rPr>
        <w:t xml:space="preserve"> with</w:t>
      </w:r>
      <w:r w:rsidR="00892E89" w:rsidRPr="009E7B69">
        <w:rPr>
          <w:lang w:val="en-AU"/>
        </w:rPr>
        <w:t xml:space="preserve"> a stronger protection against starvation and being left without clothing.</w:t>
      </w:r>
    </w:p>
    <w:p w14:paraId="5DD87A11" w14:textId="03C72A5B" w:rsidR="008D4202" w:rsidRPr="009E7B69" w:rsidRDefault="00892E89" w:rsidP="004F033A">
      <w:pPr>
        <w:widowControl w:val="0"/>
        <w:autoSpaceDE w:val="0"/>
        <w:autoSpaceDN w:val="0"/>
        <w:adjustRightInd w:val="0"/>
        <w:spacing w:before="120" w:line="480" w:lineRule="auto"/>
        <w:ind w:firstLine="720"/>
        <w:rPr>
          <w:lang w:val="en-AU"/>
        </w:rPr>
      </w:pPr>
      <w:r w:rsidRPr="009E7B69">
        <w:rPr>
          <w:lang w:val="en-AU"/>
        </w:rPr>
        <w:t xml:space="preserve">The Torah </w:t>
      </w:r>
      <w:r w:rsidR="008E1480" w:rsidRPr="009E7B69">
        <w:rPr>
          <w:lang w:val="en-AU"/>
        </w:rPr>
        <w:t>safeguards</w:t>
      </w:r>
      <w:r w:rsidR="00515A94" w:rsidRPr="009E7B69">
        <w:rPr>
          <w:lang w:val="en-AU"/>
        </w:rPr>
        <w:t xml:space="preserve"> applied to</w:t>
      </w:r>
      <w:r w:rsidRPr="009E7B69">
        <w:rPr>
          <w:lang w:val="en-AU"/>
        </w:rPr>
        <w:t xml:space="preserve"> loans </w:t>
      </w:r>
      <w:r w:rsidR="00EE2292" w:rsidRPr="009E7B69">
        <w:rPr>
          <w:lang w:val="en-AU"/>
        </w:rPr>
        <w:t xml:space="preserve">afford </w:t>
      </w:r>
      <w:r w:rsidR="00515A94" w:rsidRPr="009E7B69">
        <w:rPr>
          <w:lang w:val="en-AU"/>
        </w:rPr>
        <w:t>protect</w:t>
      </w:r>
      <w:r w:rsidR="00EE2292" w:rsidRPr="009E7B69">
        <w:rPr>
          <w:lang w:val="en-AU"/>
        </w:rPr>
        <w:t>ion</w:t>
      </w:r>
      <w:r w:rsidR="00515A94" w:rsidRPr="009E7B69">
        <w:rPr>
          <w:lang w:val="en-AU"/>
        </w:rPr>
        <w:t xml:space="preserve"> from </w:t>
      </w:r>
      <w:r w:rsidR="00504FBD">
        <w:rPr>
          <w:lang w:val="en-AU"/>
        </w:rPr>
        <w:t xml:space="preserve">the loss of tools </w:t>
      </w:r>
      <w:r w:rsidR="008E31CB">
        <w:rPr>
          <w:lang w:val="en-AU"/>
        </w:rPr>
        <w:t xml:space="preserve">and </w:t>
      </w:r>
      <w:r w:rsidR="008E31CB" w:rsidRPr="009E7B69">
        <w:rPr>
          <w:lang w:val="en-AU"/>
        </w:rPr>
        <w:t>devices</w:t>
      </w:r>
      <w:r w:rsidRPr="009E7B69">
        <w:rPr>
          <w:lang w:val="en-AU"/>
        </w:rPr>
        <w:t xml:space="preserve"> that are used in creating meals. </w:t>
      </w:r>
      <w:r w:rsidR="00BE6BA3" w:rsidRPr="009E7B69">
        <w:rPr>
          <w:lang w:val="en-AU"/>
        </w:rPr>
        <w:t xml:space="preserve">Deuteronomy 24:6 states, </w:t>
      </w:r>
      <w:r w:rsidR="00863B47" w:rsidRPr="009E7B69">
        <w:rPr>
          <w:iCs/>
          <w:lang w:val="en-AU"/>
        </w:rPr>
        <w:t>“</w:t>
      </w:r>
      <w:r w:rsidR="00BE6BA3" w:rsidRPr="009E7B69">
        <w:rPr>
          <w:iCs/>
          <w:lang w:val="en-AU"/>
        </w:rPr>
        <w:t xml:space="preserve">A hand mill or an upper </w:t>
      </w:r>
      <w:r w:rsidR="00BE6BA3" w:rsidRPr="009E7B69">
        <w:rPr>
          <w:iCs/>
          <w:lang w:val="en-AU"/>
        </w:rPr>
        <w:lastRenderedPageBreak/>
        <w:t>millstone shall not be taken in pawn, for that would be taking someone</w:t>
      </w:r>
      <w:r w:rsidR="005C71CB" w:rsidRPr="009E7B69">
        <w:rPr>
          <w:iCs/>
          <w:lang w:val="en-AU"/>
        </w:rPr>
        <w:t>’</w:t>
      </w:r>
      <w:r w:rsidR="00BE6BA3" w:rsidRPr="009E7B69">
        <w:rPr>
          <w:iCs/>
          <w:lang w:val="en-AU"/>
        </w:rPr>
        <w:t>s life in pawn.</w:t>
      </w:r>
      <w:r w:rsidR="00863B47" w:rsidRPr="009E7B69">
        <w:rPr>
          <w:iCs/>
          <w:lang w:val="en-AU"/>
        </w:rPr>
        <w:t>”</w:t>
      </w:r>
      <w:r w:rsidR="00BE6BA3" w:rsidRPr="009E7B69">
        <w:rPr>
          <w:iCs/>
          <w:lang w:val="en-AU"/>
        </w:rPr>
        <w:t xml:space="preserve"> In the Hebrew, the text reads </w:t>
      </w:r>
      <w:r w:rsidR="00863B47" w:rsidRPr="009E7B69">
        <w:rPr>
          <w:iCs/>
          <w:lang w:val="en-AU"/>
        </w:rPr>
        <w:t>“</w:t>
      </w:r>
      <w:r w:rsidR="00BE6BA3" w:rsidRPr="009E7B69">
        <w:rPr>
          <w:rtl/>
          <w:lang w:val="en-AU"/>
        </w:rPr>
        <w:t>לֹא</w:t>
      </w:r>
      <w:r w:rsidR="00BE6BA3" w:rsidRPr="009E7B69">
        <w:rPr>
          <w:iCs/>
          <w:rtl/>
          <w:lang w:val="en-AU"/>
        </w:rPr>
        <w:t>־</w:t>
      </w:r>
      <w:r w:rsidR="00BE6BA3" w:rsidRPr="009E7B69">
        <w:rPr>
          <w:rtl/>
          <w:lang w:val="en-AU"/>
        </w:rPr>
        <w:t>יַחֲבֹל רֵחַיִם וָרָכֶב כִּי־נֶפֶשׁ הוּא חֹבֵֽל</w:t>
      </w:r>
      <w:r w:rsidR="00863B47" w:rsidRPr="009E7B69">
        <w:rPr>
          <w:iCs/>
          <w:lang w:val="en-AU"/>
        </w:rPr>
        <w:t>”</w:t>
      </w:r>
      <w:r w:rsidR="00524A09" w:rsidRPr="009E7B69">
        <w:rPr>
          <w:iCs/>
          <w:lang w:val="en-AU"/>
        </w:rPr>
        <w:t xml:space="preserve">. The </w:t>
      </w:r>
      <w:r w:rsidR="00BE6BA3" w:rsidRPr="009E7B69">
        <w:rPr>
          <w:iCs/>
          <w:lang w:val="en-AU"/>
        </w:rPr>
        <w:t>focus</w:t>
      </w:r>
      <w:r w:rsidR="00524A09" w:rsidRPr="009E7B69">
        <w:rPr>
          <w:iCs/>
          <w:lang w:val="en-AU"/>
        </w:rPr>
        <w:t xml:space="preserve"> is</w:t>
      </w:r>
      <w:r w:rsidR="00BE6BA3" w:rsidRPr="009E7B69">
        <w:rPr>
          <w:iCs/>
          <w:lang w:val="en-AU"/>
        </w:rPr>
        <w:t xml:space="preserve"> on the word </w:t>
      </w:r>
      <w:r w:rsidR="00AF40A3" w:rsidRPr="009E7B69">
        <w:rPr>
          <w:rtl/>
          <w:lang w:val="en-AU"/>
        </w:rPr>
        <w:t xml:space="preserve">רֶכֶב </w:t>
      </w:r>
      <w:r w:rsidR="00AF40A3" w:rsidRPr="009E7B69">
        <w:rPr>
          <w:lang w:val="en-AU"/>
        </w:rPr>
        <w:t>(</w:t>
      </w:r>
      <w:r w:rsidR="00BE6BA3" w:rsidRPr="009E7B69">
        <w:rPr>
          <w:iCs/>
          <w:lang w:val="en-AU"/>
        </w:rPr>
        <w:t>rekhev</w:t>
      </w:r>
      <w:r w:rsidR="00AF40A3" w:rsidRPr="009E7B69">
        <w:rPr>
          <w:iCs/>
          <w:lang w:val="en-AU"/>
        </w:rPr>
        <w:t>)</w:t>
      </w:r>
      <w:r w:rsidR="00AF40A3" w:rsidRPr="009E7B69">
        <w:rPr>
          <w:i/>
          <w:iCs/>
          <w:lang w:val="en-AU"/>
        </w:rPr>
        <w:t>,</w:t>
      </w:r>
      <w:r w:rsidR="00AF40A3" w:rsidRPr="009E7B69">
        <w:rPr>
          <w:lang w:val="en-AU"/>
        </w:rPr>
        <w:t xml:space="preserve"> which</w:t>
      </w:r>
      <w:r w:rsidR="00BE6BA3" w:rsidRPr="009E7B69">
        <w:rPr>
          <w:lang w:val="en-AU"/>
        </w:rPr>
        <w:t xml:space="preserve"> does mean millstone; however, the word can also mean a chariot</w:t>
      </w:r>
      <w:r w:rsidR="00086415" w:rsidRPr="009E7B69">
        <w:rPr>
          <w:lang w:val="en-AU"/>
        </w:rPr>
        <w:t>-</w:t>
      </w:r>
      <w:r w:rsidR="00BE6BA3" w:rsidRPr="009E7B69">
        <w:rPr>
          <w:lang w:val="en-AU"/>
        </w:rPr>
        <w:t xml:space="preserve">wheel piece. The context of </w:t>
      </w:r>
      <w:r w:rsidR="00BE6BA3" w:rsidRPr="009E7B69">
        <w:rPr>
          <w:i/>
          <w:rtl/>
          <w:lang w:val="en-AU"/>
        </w:rPr>
        <w:t>רֶכֶב</w:t>
      </w:r>
      <w:r w:rsidR="00BE6BA3" w:rsidRPr="009E7B69">
        <w:rPr>
          <w:i/>
          <w:lang w:val="en-AU"/>
        </w:rPr>
        <w:t xml:space="preserve"> </w:t>
      </w:r>
      <w:r w:rsidR="00BE6BA3" w:rsidRPr="009E7B69">
        <w:rPr>
          <w:lang w:val="en-AU"/>
        </w:rPr>
        <w:t xml:space="preserve">in the text would at least indicate that the collateral could not be </w:t>
      </w:r>
      <w:r w:rsidR="0060301E" w:rsidRPr="009E7B69">
        <w:rPr>
          <w:lang w:val="en-AU"/>
        </w:rPr>
        <w:t>any</w:t>
      </w:r>
      <w:r w:rsidR="00BE6BA3" w:rsidRPr="009E7B69">
        <w:rPr>
          <w:lang w:val="en-AU"/>
        </w:rPr>
        <w:t xml:space="preserve">thing that is like a millstone, wheel, or anything which functions as an instrument for meal preparation. </w:t>
      </w:r>
      <w:r w:rsidR="004F033A" w:rsidRPr="009E7B69">
        <w:rPr>
          <w:lang w:val="en-AU"/>
        </w:rPr>
        <w:t>Deuteronomy 24:6</w:t>
      </w:r>
      <w:r w:rsidR="00C16E77" w:rsidRPr="009E7B69">
        <w:rPr>
          <w:lang w:val="en-AU"/>
        </w:rPr>
        <w:t xml:space="preserve"> </w:t>
      </w:r>
      <w:r w:rsidR="0090759C" w:rsidRPr="009E7B69">
        <w:rPr>
          <w:lang w:val="en-AU"/>
        </w:rPr>
        <w:t>limits creditors.  Creditors cannot take the functional kitchen utensils for collateral</w:t>
      </w:r>
      <w:r w:rsidR="001B4AE8" w:rsidRPr="009E7B69">
        <w:rPr>
          <w:lang w:val="en-AU"/>
        </w:rPr>
        <w:t>,</w:t>
      </w:r>
      <w:r w:rsidR="0090759C" w:rsidRPr="009E7B69">
        <w:rPr>
          <w:lang w:val="en-AU"/>
        </w:rPr>
        <w:t xml:space="preserve"> thus ensuring </w:t>
      </w:r>
      <w:r w:rsidR="001B4AE8" w:rsidRPr="009E7B69">
        <w:rPr>
          <w:lang w:val="en-AU"/>
        </w:rPr>
        <w:t>that a borrower</w:t>
      </w:r>
      <w:r w:rsidR="005C71CB" w:rsidRPr="009E7B69">
        <w:rPr>
          <w:lang w:val="en-AU"/>
        </w:rPr>
        <w:t>’</w:t>
      </w:r>
      <w:r w:rsidR="001B4AE8" w:rsidRPr="009E7B69">
        <w:rPr>
          <w:lang w:val="en-AU"/>
        </w:rPr>
        <w:t xml:space="preserve">s </w:t>
      </w:r>
      <w:r w:rsidR="0090759C" w:rsidRPr="009E7B69">
        <w:rPr>
          <w:lang w:val="en-AU"/>
        </w:rPr>
        <w:t>ability to create meals</w:t>
      </w:r>
      <w:r w:rsidR="001B4AE8" w:rsidRPr="009E7B69">
        <w:rPr>
          <w:lang w:val="en-AU"/>
        </w:rPr>
        <w:t xml:space="preserve"> is not </w:t>
      </w:r>
      <w:r w:rsidR="005D6ECE" w:rsidRPr="009E7B69">
        <w:rPr>
          <w:lang w:val="en-AU"/>
        </w:rPr>
        <w:t>compromised</w:t>
      </w:r>
      <w:r w:rsidR="0090759C" w:rsidRPr="009E7B69">
        <w:rPr>
          <w:lang w:val="en-AU"/>
        </w:rPr>
        <w:t xml:space="preserve">. </w:t>
      </w:r>
      <w:r w:rsidR="004F033A" w:rsidRPr="009E7B69">
        <w:rPr>
          <w:lang w:val="en-AU"/>
        </w:rPr>
        <w:t>To take the items used for preparation of food as collateral is bad</w:t>
      </w:r>
      <w:r w:rsidR="00BE6BA3" w:rsidRPr="009E7B69">
        <w:rPr>
          <w:lang w:val="en-AU"/>
        </w:rPr>
        <w:t xml:space="preserve"> because it attacks the human</w:t>
      </w:r>
      <w:r w:rsidR="005C71CB" w:rsidRPr="009E7B69">
        <w:rPr>
          <w:lang w:val="en-AU"/>
        </w:rPr>
        <w:t>’</w:t>
      </w:r>
      <w:r w:rsidR="00BE6BA3" w:rsidRPr="009E7B69">
        <w:rPr>
          <w:lang w:val="en-AU"/>
        </w:rPr>
        <w:t xml:space="preserve">s existence, </w:t>
      </w:r>
      <w:r w:rsidR="00BE6BA3" w:rsidRPr="009E7B69">
        <w:rPr>
          <w:rtl/>
          <w:lang w:val="en-AU"/>
        </w:rPr>
        <w:t>נֶפֶשׁ</w:t>
      </w:r>
      <w:r w:rsidR="00BE6BA3" w:rsidRPr="009E7B69">
        <w:rPr>
          <w:lang w:val="en-AU"/>
        </w:rPr>
        <w:t xml:space="preserve"> </w:t>
      </w:r>
      <w:r w:rsidR="00BE6BA3" w:rsidRPr="009E7B69">
        <w:rPr>
          <w:i/>
          <w:lang w:val="en-AU"/>
        </w:rPr>
        <w:t>nefesh</w:t>
      </w:r>
      <w:r w:rsidR="00BE6BA3" w:rsidRPr="009E7B69">
        <w:rPr>
          <w:lang w:val="en-AU"/>
        </w:rPr>
        <w:t xml:space="preserve">, which is his soul. The text </w:t>
      </w:r>
      <w:r w:rsidR="003D6B67" w:rsidRPr="009E7B69">
        <w:rPr>
          <w:lang w:val="en-AU"/>
        </w:rPr>
        <w:t>parallel</w:t>
      </w:r>
      <w:r w:rsidR="005C71CB" w:rsidRPr="009E7B69">
        <w:rPr>
          <w:lang w:val="en-AU"/>
        </w:rPr>
        <w:t>’</w:t>
      </w:r>
      <w:r w:rsidR="003D6B67" w:rsidRPr="009E7B69">
        <w:rPr>
          <w:lang w:val="en-AU"/>
        </w:rPr>
        <w:t xml:space="preserve">s </w:t>
      </w:r>
      <w:r w:rsidR="00BE6BA3" w:rsidRPr="009E7B69">
        <w:rPr>
          <w:lang w:val="en-AU"/>
        </w:rPr>
        <w:t xml:space="preserve">the essence of </w:t>
      </w:r>
      <w:r w:rsidR="003D6B67" w:rsidRPr="009E7B69">
        <w:rPr>
          <w:lang w:val="en-AU"/>
        </w:rPr>
        <w:t>a human</w:t>
      </w:r>
      <w:r w:rsidR="005C71CB" w:rsidRPr="009E7B69">
        <w:rPr>
          <w:lang w:val="en-AU"/>
        </w:rPr>
        <w:t>’</w:t>
      </w:r>
      <w:r w:rsidR="003D6B67" w:rsidRPr="009E7B69">
        <w:rPr>
          <w:lang w:val="en-AU"/>
        </w:rPr>
        <w:t xml:space="preserve">s soul and </w:t>
      </w:r>
      <w:r w:rsidR="00BE6BA3" w:rsidRPr="009E7B69">
        <w:rPr>
          <w:lang w:val="en-AU"/>
        </w:rPr>
        <w:t xml:space="preserve">existence; consequentially, the impact of </w:t>
      </w:r>
      <w:r w:rsidR="00F16AC4" w:rsidRPr="009E7B69">
        <w:rPr>
          <w:lang w:val="en-AU"/>
        </w:rPr>
        <w:t>t</w:t>
      </w:r>
      <w:r w:rsidR="00BE6BA3" w:rsidRPr="009E7B69">
        <w:rPr>
          <w:lang w:val="en-AU"/>
        </w:rPr>
        <w:t xml:space="preserve">aking a collateral </w:t>
      </w:r>
      <w:r w:rsidR="00F16AC4" w:rsidRPr="009E7B69">
        <w:rPr>
          <w:lang w:val="en-AU"/>
        </w:rPr>
        <w:t>from</w:t>
      </w:r>
      <w:r w:rsidR="00BE6BA3" w:rsidRPr="009E7B69">
        <w:rPr>
          <w:lang w:val="en-AU"/>
        </w:rPr>
        <w:t xml:space="preserve"> their</w:t>
      </w:r>
      <w:r w:rsidR="004C5CB0" w:rsidRPr="009E7B69">
        <w:rPr>
          <w:lang w:val="en-AU"/>
        </w:rPr>
        <w:t xml:space="preserve"> essential</w:t>
      </w:r>
      <w:r w:rsidR="00BE6BA3" w:rsidRPr="009E7B69">
        <w:rPr>
          <w:lang w:val="en-AU"/>
        </w:rPr>
        <w:t xml:space="preserve"> resources is to rob them of their soul</w:t>
      </w:r>
      <w:r w:rsidR="005C71CB" w:rsidRPr="009E7B69">
        <w:rPr>
          <w:lang w:val="en-AU"/>
        </w:rPr>
        <w:t>’</w:t>
      </w:r>
      <w:r w:rsidR="00BE6BA3" w:rsidRPr="009E7B69">
        <w:rPr>
          <w:lang w:val="en-AU"/>
        </w:rPr>
        <w:t xml:space="preserve">s </w:t>
      </w:r>
      <w:r w:rsidR="000774E9" w:rsidRPr="009E7B69">
        <w:rPr>
          <w:lang w:val="en-AU"/>
        </w:rPr>
        <w:t>well-being</w:t>
      </w:r>
      <w:r w:rsidR="00BE6BA3" w:rsidRPr="009E7B69">
        <w:rPr>
          <w:lang w:val="en-AU"/>
        </w:rPr>
        <w:t>.</w:t>
      </w:r>
    </w:p>
    <w:p w14:paraId="54CFC5A7" w14:textId="2E6BF40C" w:rsidR="008D4202" w:rsidRPr="009E7B69" w:rsidRDefault="00BE6BA3" w:rsidP="008D4202">
      <w:pPr>
        <w:widowControl w:val="0"/>
        <w:autoSpaceDE w:val="0"/>
        <w:autoSpaceDN w:val="0"/>
        <w:adjustRightInd w:val="0"/>
        <w:spacing w:before="120" w:line="480" w:lineRule="auto"/>
        <w:ind w:firstLine="720"/>
        <w:rPr>
          <w:lang w:val="en-AU"/>
        </w:rPr>
      </w:pPr>
      <w:r w:rsidRPr="009E7B69">
        <w:rPr>
          <w:lang w:val="en-AU"/>
        </w:rPr>
        <w:t xml:space="preserve">If a person has surrendered their </w:t>
      </w:r>
      <w:r w:rsidRPr="009E7B69">
        <w:rPr>
          <w:rtl/>
          <w:lang w:val="en-AU"/>
        </w:rPr>
        <w:t>בֶּגֶד</w:t>
      </w:r>
      <w:r w:rsidRPr="009E7B69">
        <w:rPr>
          <w:lang w:val="en-AU"/>
        </w:rPr>
        <w:t xml:space="preserve"> and </w:t>
      </w:r>
      <w:r w:rsidRPr="009E7B69">
        <w:rPr>
          <w:rtl/>
          <w:lang w:val="en-AU"/>
        </w:rPr>
        <w:t>שַׂלְמָה</w:t>
      </w:r>
      <w:r w:rsidR="00504FA4">
        <w:rPr>
          <w:lang w:val="en-AU"/>
        </w:rPr>
        <w:t xml:space="preserve">, </w:t>
      </w:r>
      <w:r w:rsidRPr="009E7B69">
        <w:rPr>
          <w:lang w:val="en-AU"/>
        </w:rPr>
        <w:t xml:space="preserve">then the ethical actions of the creditor are subject to public scrutiny. The public has the capacity to humiliate the creditor. </w:t>
      </w:r>
      <w:r w:rsidR="0090759C" w:rsidRPr="009E7B69">
        <w:rPr>
          <w:lang w:val="en-AU"/>
        </w:rPr>
        <w:t>Worth suggests that the nudity of a borrow</w:t>
      </w:r>
      <w:r w:rsidR="00504FBD">
        <w:rPr>
          <w:lang w:val="en-AU"/>
        </w:rPr>
        <w:t>er</w:t>
      </w:r>
      <w:r w:rsidR="0090759C" w:rsidRPr="009E7B69">
        <w:rPr>
          <w:lang w:val="en-AU"/>
        </w:rPr>
        <w:t xml:space="preserve"> who has lost their </w:t>
      </w:r>
      <w:r w:rsidR="0090759C" w:rsidRPr="009E7B69">
        <w:rPr>
          <w:rtl/>
          <w:lang w:val="en-AU"/>
        </w:rPr>
        <w:t>בֶּגֶד</w:t>
      </w:r>
      <w:r w:rsidR="0090759C" w:rsidRPr="009E7B69">
        <w:rPr>
          <w:lang w:val="en-AU"/>
        </w:rPr>
        <w:t xml:space="preserve"> and </w:t>
      </w:r>
      <w:r w:rsidR="0090759C" w:rsidRPr="009E7B69">
        <w:rPr>
          <w:rtl/>
          <w:lang w:val="en-AU"/>
        </w:rPr>
        <w:t>שַׂלְמָה</w:t>
      </w:r>
      <w:r w:rsidR="0090759C" w:rsidRPr="009E7B69">
        <w:rPr>
          <w:lang w:val="en-AU"/>
        </w:rPr>
        <w:t xml:space="preserve"> demonstrates to others how the person who made a bad loan is unethical</w:t>
      </w:r>
      <w:r w:rsidRPr="009E7B69">
        <w:rPr>
          <w:lang w:val="en-AU"/>
        </w:rPr>
        <w:t>.</w:t>
      </w:r>
      <w:r w:rsidRPr="009E7B69">
        <w:rPr>
          <w:rStyle w:val="FootnoteReference"/>
          <w:lang w:val="en-AU"/>
        </w:rPr>
        <w:footnoteReference w:id="243"/>
      </w:r>
      <w:r w:rsidRPr="009E7B69">
        <w:rPr>
          <w:lang w:val="en-AU"/>
        </w:rPr>
        <w:t xml:space="preserve"> </w:t>
      </w:r>
      <w:r w:rsidR="003657AB" w:rsidRPr="009E7B69">
        <w:rPr>
          <w:lang w:val="en-AU"/>
        </w:rPr>
        <w:t xml:space="preserve">As an additional </w:t>
      </w:r>
      <w:r w:rsidR="008E1480" w:rsidRPr="009E7B69">
        <w:rPr>
          <w:lang w:val="en-AU"/>
        </w:rPr>
        <w:t xml:space="preserve">safeguard </w:t>
      </w:r>
      <w:r w:rsidR="003657AB" w:rsidRPr="009E7B69">
        <w:rPr>
          <w:lang w:val="en-AU"/>
        </w:rPr>
        <w:t xml:space="preserve">to protect </w:t>
      </w:r>
      <w:r w:rsidR="008E1480" w:rsidRPr="009E7B69">
        <w:rPr>
          <w:lang w:val="en-AU"/>
        </w:rPr>
        <w:t xml:space="preserve">people against repossession of collateral, </w:t>
      </w:r>
      <w:r w:rsidRPr="009E7B69">
        <w:rPr>
          <w:bCs/>
          <w:lang w:val="en-AU"/>
        </w:rPr>
        <w:t xml:space="preserve">Deuteronomy 24:10 states, </w:t>
      </w:r>
      <w:r w:rsidR="00863B47" w:rsidRPr="009E7B69">
        <w:rPr>
          <w:iCs/>
          <w:lang w:val="en-AU"/>
        </w:rPr>
        <w:t>“</w:t>
      </w:r>
      <w:r w:rsidRPr="009E7B69">
        <w:rPr>
          <w:iCs/>
          <w:lang w:val="en-AU"/>
        </w:rPr>
        <w:t>When you make a loan of any sort to your countryman, you must not enter his house to seize his pledge.</w:t>
      </w:r>
      <w:r w:rsidR="00863B47" w:rsidRPr="009E7B69">
        <w:rPr>
          <w:iCs/>
          <w:lang w:val="en-AU"/>
        </w:rPr>
        <w:t>”</w:t>
      </w:r>
      <w:r w:rsidRPr="009E7B69">
        <w:rPr>
          <w:iCs/>
          <w:lang w:val="en-AU"/>
        </w:rPr>
        <w:t xml:space="preserve"> In the Hebrew, it reads, </w:t>
      </w:r>
      <w:r w:rsidR="00863B47" w:rsidRPr="009E7B69">
        <w:rPr>
          <w:lang w:val="en-AU"/>
        </w:rPr>
        <w:t>“</w:t>
      </w:r>
      <w:r w:rsidRPr="009E7B69">
        <w:rPr>
          <w:rtl/>
          <w:lang w:val="en-AU"/>
        </w:rPr>
        <w:t>כִּֽי־תַשֶּׁה בְרֵֽעֲךָ מַשַּׁאת מְאוּמָה לֹא־תָבֹא אֶל־בֵּיתֹו לַעֲבֹט עֲבֹטֹֽו׃</w:t>
      </w:r>
      <w:r w:rsidRPr="009E7B69">
        <w:rPr>
          <w:lang w:val="en-AU"/>
        </w:rPr>
        <w:t>.</w:t>
      </w:r>
      <w:r w:rsidR="00863B47" w:rsidRPr="009E7B69">
        <w:rPr>
          <w:iCs/>
          <w:lang w:val="en-AU"/>
        </w:rPr>
        <w:t>”</w:t>
      </w:r>
      <w:r w:rsidRPr="009E7B69">
        <w:rPr>
          <w:iCs/>
          <w:lang w:val="en-AU"/>
        </w:rPr>
        <w:t xml:space="preserve"> The Hebrew text highlights the word </w:t>
      </w:r>
      <w:r w:rsidRPr="009E7B69">
        <w:rPr>
          <w:rtl/>
          <w:lang w:val="en-AU"/>
        </w:rPr>
        <w:t>מַשָּׁאָה</w:t>
      </w:r>
      <w:r w:rsidR="00A006E8" w:rsidRPr="009E7B69">
        <w:rPr>
          <w:lang w:val="en-AU"/>
        </w:rPr>
        <w:t xml:space="preserve">, </w:t>
      </w:r>
      <w:r w:rsidRPr="009E7B69">
        <w:rPr>
          <w:i/>
          <w:lang w:val="en-AU"/>
        </w:rPr>
        <w:t>mashaah</w:t>
      </w:r>
      <w:r w:rsidRPr="009E7B69">
        <w:rPr>
          <w:lang w:val="en-AU"/>
        </w:rPr>
        <w:t xml:space="preserve">, which translates as a loan </w:t>
      </w:r>
      <w:r w:rsidR="00E34A96" w:rsidRPr="009E7B69">
        <w:rPr>
          <w:lang w:val="en-AU"/>
        </w:rPr>
        <w:t>of debt.</w:t>
      </w:r>
      <w:r w:rsidRPr="009E7B69">
        <w:rPr>
          <w:lang w:val="en-AU"/>
        </w:rPr>
        <w:t xml:space="preserve"> The boundaries are set </w:t>
      </w:r>
      <w:r w:rsidR="0086092E" w:rsidRPr="009E7B69">
        <w:rPr>
          <w:lang w:val="en-AU"/>
        </w:rPr>
        <w:t xml:space="preserve">to </w:t>
      </w:r>
      <w:r w:rsidRPr="009E7B69">
        <w:rPr>
          <w:lang w:val="en-AU"/>
        </w:rPr>
        <w:t>deny repossession of an item when it is collateral</w:t>
      </w:r>
      <w:r w:rsidR="007C17D4" w:rsidRPr="009E7B69">
        <w:rPr>
          <w:lang w:val="en-AU"/>
        </w:rPr>
        <w:t xml:space="preserve">. This </w:t>
      </w:r>
      <w:r w:rsidR="00A006E8" w:rsidRPr="009E7B69">
        <w:rPr>
          <w:lang w:val="en-AU"/>
        </w:rPr>
        <w:t>law</w:t>
      </w:r>
      <w:r w:rsidR="007C17D4" w:rsidRPr="009E7B69">
        <w:rPr>
          <w:lang w:val="en-AU"/>
        </w:rPr>
        <w:t xml:space="preserve"> does not address lending to someone who has no collateral to offer, apart from </w:t>
      </w:r>
      <w:r w:rsidR="005D04F2" w:rsidRPr="009E7B69">
        <w:rPr>
          <w:lang w:val="en-AU"/>
        </w:rPr>
        <w:t>widowers</w:t>
      </w:r>
      <w:r w:rsidR="007C17D4" w:rsidRPr="009E7B69">
        <w:rPr>
          <w:lang w:val="en-AU"/>
        </w:rPr>
        <w:t xml:space="preserve">. </w:t>
      </w:r>
    </w:p>
    <w:p w14:paraId="41DE6B96" w14:textId="693BB7CB" w:rsidR="008D4202" w:rsidRPr="009E7B69" w:rsidRDefault="008E1480" w:rsidP="007C17D4">
      <w:pPr>
        <w:widowControl w:val="0"/>
        <w:autoSpaceDE w:val="0"/>
        <w:autoSpaceDN w:val="0"/>
        <w:adjustRightInd w:val="0"/>
        <w:spacing w:before="120" w:line="480" w:lineRule="auto"/>
        <w:ind w:firstLine="720"/>
        <w:rPr>
          <w:lang w:val="en-AU"/>
        </w:rPr>
      </w:pPr>
      <w:r w:rsidRPr="009E7B69">
        <w:rPr>
          <w:lang w:val="en-AU"/>
        </w:rPr>
        <w:t xml:space="preserve">Loans given to </w:t>
      </w:r>
      <w:r w:rsidR="003F6913" w:rsidRPr="009E7B69">
        <w:rPr>
          <w:lang w:val="en-AU"/>
        </w:rPr>
        <w:t>Israelite</w:t>
      </w:r>
      <w:r w:rsidRPr="009E7B69">
        <w:rPr>
          <w:lang w:val="en-AU"/>
        </w:rPr>
        <w:t xml:space="preserve"> people </w:t>
      </w:r>
      <w:r w:rsidR="00A006E8" w:rsidRPr="009E7B69">
        <w:rPr>
          <w:lang w:val="en-AU"/>
        </w:rPr>
        <w:t>by</w:t>
      </w:r>
      <w:r w:rsidRPr="009E7B69">
        <w:rPr>
          <w:lang w:val="en-AU"/>
        </w:rPr>
        <w:t xml:space="preserve"> </w:t>
      </w:r>
      <w:r w:rsidR="003F6913" w:rsidRPr="009E7B69">
        <w:rPr>
          <w:lang w:val="en-AU"/>
        </w:rPr>
        <w:t>Israelite</w:t>
      </w:r>
      <w:r w:rsidRPr="009E7B69">
        <w:rPr>
          <w:lang w:val="en-AU"/>
        </w:rPr>
        <w:t xml:space="preserve"> people are to be </w:t>
      </w:r>
      <w:r w:rsidR="003F6913" w:rsidRPr="009E7B69">
        <w:rPr>
          <w:lang w:val="en-AU"/>
        </w:rPr>
        <w:t>interest-free loans.</w:t>
      </w:r>
      <w:r w:rsidR="00BE6BA3" w:rsidRPr="009E7B69">
        <w:rPr>
          <w:rStyle w:val="FootnoteReference"/>
          <w:lang w:val="en-AU"/>
        </w:rPr>
        <w:footnoteReference w:id="244"/>
      </w:r>
      <w:r w:rsidR="00BE6BA3" w:rsidRPr="009E7B69">
        <w:rPr>
          <w:lang w:val="en-AU"/>
        </w:rPr>
        <w:t xml:space="preserve"> </w:t>
      </w:r>
      <w:r w:rsidR="00744B63" w:rsidRPr="009E7B69">
        <w:rPr>
          <w:lang w:val="en-AU"/>
        </w:rPr>
        <w:t xml:space="preserve">This </w:t>
      </w:r>
      <w:r w:rsidR="00744B63" w:rsidRPr="009E7B69">
        <w:rPr>
          <w:lang w:val="en-AU"/>
        </w:rPr>
        <w:lastRenderedPageBreak/>
        <w:t>interest</w:t>
      </w:r>
      <w:r w:rsidR="00661F45" w:rsidRPr="009E7B69">
        <w:rPr>
          <w:lang w:val="en-AU"/>
        </w:rPr>
        <w:t>-</w:t>
      </w:r>
      <w:r w:rsidR="00744B63" w:rsidRPr="009E7B69">
        <w:rPr>
          <w:lang w:val="en-AU"/>
        </w:rPr>
        <w:t xml:space="preserve">free loan, if it </w:t>
      </w:r>
      <w:r w:rsidR="00661F45" w:rsidRPr="009E7B69">
        <w:rPr>
          <w:lang w:val="en-AU"/>
        </w:rPr>
        <w:t>i</w:t>
      </w:r>
      <w:r w:rsidR="00744B63" w:rsidRPr="009E7B69">
        <w:rPr>
          <w:lang w:val="en-AU"/>
        </w:rPr>
        <w:t xml:space="preserve">s a garment, must be returned </w:t>
      </w:r>
      <w:r w:rsidR="0007173F" w:rsidRPr="009E7B69">
        <w:rPr>
          <w:lang w:val="en-AU"/>
        </w:rPr>
        <w:t>each night</w:t>
      </w:r>
      <w:r w:rsidR="00744B63" w:rsidRPr="009E7B69">
        <w:rPr>
          <w:lang w:val="en-AU"/>
        </w:rPr>
        <w:t xml:space="preserve"> to the </w:t>
      </w:r>
      <w:r w:rsidR="006D0876" w:rsidRPr="009E7B69">
        <w:rPr>
          <w:lang w:val="en-AU"/>
        </w:rPr>
        <w:t>borrower</w:t>
      </w:r>
      <w:r w:rsidR="00744B63" w:rsidRPr="009E7B69">
        <w:rPr>
          <w:lang w:val="en-AU"/>
        </w:rPr>
        <w:t xml:space="preserve">. </w:t>
      </w:r>
      <w:r w:rsidR="003F6913" w:rsidRPr="009E7B69">
        <w:rPr>
          <w:lang w:val="en-AU"/>
        </w:rPr>
        <w:t>T</w:t>
      </w:r>
      <w:r w:rsidR="00BE6BA3" w:rsidRPr="009E7B69">
        <w:rPr>
          <w:lang w:val="en-AU"/>
        </w:rPr>
        <w:t xml:space="preserve">he biblical mandate to </w:t>
      </w:r>
      <w:r w:rsidR="003F6913" w:rsidRPr="009E7B69">
        <w:rPr>
          <w:lang w:val="en-AU"/>
        </w:rPr>
        <w:t>give back a cloak nightly protected both creditors and</w:t>
      </w:r>
      <w:r w:rsidR="006D0876" w:rsidRPr="009E7B69">
        <w:rPr>
          <w:lang w:val="en-AU"/>
        </w:rPr>
        <w:t xml:space="preserve"> debtors</w:t>
      </w:r>
      <w:r w:rsidR="003F6913" w:rsidRPr="009E7B69">
        <w:rPr>
          <w:lang w:val="en-AU"/>
        </w:rPr>
        <w:t xml:space="preserve">. The creditor does not get shamed by those seeking to shame them and the </w:t>
      </w:r>
      <w:r w:rsidR="0042225F" w:rsidRPr="009E7B69">
        <w:rPr>
          <w:lang w:val="en-AU"/>
        </w:rPr>
        <w:t>debtor</w:t>
      </w:r>
      <w:r w:rsidR="003F6913" w:rsidRPr="009E7B69">
        <w:rPr>
          <w:lang w:val="en-AU"/>
        </w:rPr>
        <w:t xml:space="preserve"> will retain dignity </w:t>
      </w:r>
      <w:r w:rsidR="00B54CBB" w:rsidRPr="009E7B69">
        <w:rPr>
          <w:lang w:val="en-AU"/>
        </w:rPr>
        <w:t>a</w:t>
      </w:r>
      <w:r w:rsidR="0042225F" w:rsidRPr="009E7B69">
        <w:rPr>
          <w:lang w:val="en-AU"/>
        </w:rPr>
        <w:t xml:space="preserve">s </w:t>
      </w:r>
      <w:r w:rsidR="00B54CBB" w:rsidRPr="009E7B69">
        <w:rPr>
          <w:lang w:val="en-AU"/>
        </w:rPr>
        <w:t>w</w:t>
      </w:r>
      <w:r w:rsidR="0042225F" w:rsidRPr="009E7B69">
        <w:rPr>
          <w:lang w:val="en-AU"/>
        </w:rPr>
        <w:t xml:space="preserve">ell as </w:t>
      </w:r>
      <w:r w:rsidR="003F6913" w:rsidRPr="009E7B69">
        <w:rPr>
          <w:lang w:val="en-AU"/>
        </w:rPr>
        <w:t xml:space="preserve">warmth at night. </w:t>
      </w:r>
      <w:r w:rsidR="00BE6BA3" w:rsidRPr="009E7B69">
        <w:rPr>
          <w:lang w:val="en-AU"/>
        </w:rPr>
        <w:t xml:space="preserve">Berlin and Brettler </w:t>
      </w:r>
      <w:r w:rsidR="0061438E" w:rsidRPr="009E7B69">
        <w:rPr>
          <w:lang w:val="en-AU"/>
        </w:rPr>
        <w:t xml:space="preserve">contend that </w:t>
      </w:r>
      <w:r w:rsidR="00BE6BA3" w:rsidRPr="009E7B69">
        <w:rPr>
          <w:lang w:val="en-AU"/>
        </w:rPr>
        <w:t xml:space="preserve">Amos 2:8 </w:t>
      </w:r>
      <w:r w:rsidR="00F44119" w:rsidRPr="009E7B69">
        <w:rPr>
          <w:lang w:val="en-AU"/>
        </w:rPr>
        <w:t>(</w:t>
      </w:r>
      <w:r w:rsidR="00863B47" w:rsidRPr="009E7B69">
        <w:rPr>
          <w:lang w:val="en-AU"/>
        </w:rPr>
        <w:t>“</w:t>
      </w:r>
      <w:r w:rsidR="00F44119" w:rsidRPr="009E7B69">
        <w:rPr>
          <w:lang w:val="en-AU"/>
        </w:rPr>
        <w:t>T</w:t>
      </w:r>
      <w:r w:rsidR="007C17D4" w:rsidRPr="009E7B69">
        <w:rPr>
          <w:lang w:val="en-AU"/>
        </w:rPr>
        <w:t>hey lay themselves down beside every altar on garments taken in pledge; and in the house of their God they drink wine bought with fines they imposed</w:t>
      </w:r>
      <w:r w:rsidR="00863B47" w:rsidRPr="009E7B69">
        <w:rPr>
          <w:lang w:val="en-AU"/>
        </w:rPr>
        <w:t>”</w:t>
      </w:r>
      <w:r w:rsidR="007251BF" w:rsidRPr="009E7B69">
        <w:rPr>
          <w:lang w:val="en-AU"/>
        </w:rPr>
        <w:t xml:space="preserve"> (NRSV))</w:t>
      </w:r>
      <w:r w:rsidR="00F44119" w:rsidRPr="009E7B69">
        <w:rPr>
          <w:lang w:val="en-AU"/>
        </w:rPr>
        <w:t xml:space="preserve"> </w:t>
      </w:r>
      <w:r w:rsidR="00BE6BA3" w:rsidRPr="009E7B69">
        <w:rPr>
          <w:lang w:val="en-AU"/>
        </w:rPr>
        <w:t>and Job 22:6</w:t>
      </w:r>
      <w:r w:rsidR="007C17D4" w:rsidRPr="009E7B69">
        <w:rPr>
          <w:lang w:val="en-AU"/>
        </w:rPr>
        <w:t xml:space="preserve"> </w:t>
      </w:r>
      <w:r w:rsidR="007251BF" w:rsidRPr="009E7B69">
        <w:rPr>
          <w:lang w:val="en-AU"/>
        </w:rPr>
        <w:t>(</w:t>
      </w:r>
      <w:r w:rsidR="00863B47" w:rsidRPr="009E7B69">
        <w:rPr>
          <w:lang w:val="en-AU"/>
        </w:rPr>
        <w:t>“</w:t>
      </w:r>
      <w:r w:rsidR="007C17D4" w:rsidRPr="009E7B69">
        <w:rPr>
          <w:lang w:val="en-AU"/>
        </w:rPr>
        <w:t>For you have exacted pledges from your family for no reason, and stripped the naked of their clothing</w:t>
      </w:r>
      <w:r w:rsidR="00863B47" w:rsidRPr="009E7B69">
        <w:rPr>
          <w:lang w:val="en-AU"/>
        </w:rPr>
        <w:t>”</w:t>
      </w:r>
      <w:r w:rsidR="007251BF" w:rsidRPr="009E7B69">
        <w:rPr>
          <w:lang w:val="en-AU"/>
        </w:rPr>
        <w:t xml:space="preserve"> (NRSV)</w:t>
      </w:r>
      <w:r w:rsidR="00431ACE" w:rsidRPr="009E7B69">
        <w:rPr>
          <w:lang w:val="en-AU"/>
        </w:rPr>
        <w:t>)</w:t>
      </w:r>
      <w:r w:rsidR="0010091A" w:rsidRPr="009E7B69">
        <w:rPr>
          <w:lang w:val="en-AU"/>
        </w:rPr>
        <w:t>,</w:t>
      </w:r>
      <w:r w:rsidR="0061438E" w:rsidRPr="009E7B69">
        <w:rPr>
          <w:lang w:val="en-AU"/>
        </w:rPr>
        <w:t xml:space="preserve"> </w:t>
      </w:r>
      <w:r w:rsidR="00A7066A" w:rsidRPr="009E7B69">
        <w:rPr>
          <w:lang w:val="en-AU"/>
        </w:rPr>
        <w:t xml:space="preserve">are a </w:t>
      </w:r>
      <w:r w:rsidR="00BE6BA3" w:rsidRPr="009E7B69">
        <w:rPr>
          <w:lang w:val="en-AU"/>
        </w:rPr>
        <w:t>critique</w:t>
      </w:r>
      <w:r w:rsidR="00A7066A" w:rsidRPr="009E7B69">
        <w:rPr>
          <w:lang w:val="en-AU"/>
        </w:rPr>
        <w:t xml:space="preserve"> of</w:t>
      </w:r>
      <w:r w:rsidR="00BE6BA3" w:rsidRPr="009E7B69">
        <w:rPr>
          <w:lang w:val="en-AU"/>
        </w:rPr>
        <w:t xml:space="preserve"> </w:t>
      </w:r>
      <w:r w:rsidR="0061438E" w:rsidRPr="009E7B69">
        <w:rPr>
          <w:lang w:val="en-AU"/>
        </w:rPr>
        <w:t xml:space="preserve">money-lenders </w:t>
      </w:r>
      <w:r w:rsidR="00BE6BA3" w:rsidRPr="009E7B69">
        <w:rPr>
          <w:lang w:val="en-AU"/>
        </w:rPr>
        <w:t xml:space="preserve">because </w:t>
      </w:r>
      <w:r w:rsidR="00863B47" w:rsidRPr="009E7B69">
        <w:rPr>
          <w:lang w:val="en-AU"/>
        </w:rPr>
        <w:t>“</w:t>
      </w:r>
      <w:r w:rsidR="00BE6BA3" w:rsidRPr="009E7B69">
        <w:rPr>
          <w:lang w:val="en-AU"/>
        </w:rPr>
        <w:t>the poorest debtors might have nothing left but the cloaks they slept in.</w:t>
      </w:r>
      <w:r w:rsidR="00863B47" w:rsidRPr="009E7B69">
        <w:rPr>
          <w:lang w:val="en-AU"/>
        </w:rPr>
        <w:t>”</w:t>
      </w:r>
      <w:r w:rsidR="00BE6BA3" w:rsidRPr="009E7B69">
        <w:rPr>
          <w:rStyle w:val="FootnoteReference"/>
          <w:lang w:val="en-AU"/>
        </w:rPr>
        <w:footnoteReference w:id="245"/>
      </w:r>
      <w:r w:rsidR="00BE6BA3" w:rsidRPr="009E7B69">
        <w:rPr>
          <w:lang w:val="en-AU"/>
        </w:rPr>
        <w:t xml:space="preserve"> </w:t>
      </w:r>
      <w:r w:rsidR="0061438E" w:rsidRPr="009E7B69">
        <w:rPr>
          <w:lang w:val="en-AU"/>
        </w:rPr>
        <w:t>Pledges</w:t>
      </w:r>
      <w:r w:rsidR="007A0660" w:rsidRPr="009E7B69">
        <w:rPr>
          <w:lang w:val="en-AU"/>
        </w:rPr>
        <w:t xml:space="preserve"> must be returned.  </w:t>
      </w:r>
      <w:r w:rsidR="00BE6BA3" w:rsidRPr="009E7B69">
        <w:rPr>
          <w:bCs/>
          <w:lang w:val="en-AU"/>
        </w:rPr>
        <w:t xml:space="preserve">Deuteronomy 24:13 states, </w:t>
      </w:r>
      <w:r w:rsidR="00863B47" w:rsidRPr="009E7B69">
        <w:rPr>
          <w:iCs/>
          <w:lang w:val="en-AU"/>
        </w:rPr>
        <w:t>“</w:t>
      </w:r>
      <w:r w:rsidR="00BE6BA3" w:rsidRPr="009E7B69">
        <w:rPr>
          <w:iCs/>
          <w:lang w:val="en-AU"/>
        </w:rPr>
        <w:t>As the sun sets, you shall surely return the pledge to him.</w:t>
      </w:r>
      <w:r w:rsidR="00863B47" w:rsidRPr="009E7B69">
        <w:rPr>
          <w:iCs/>
          <w:lang w:val="en-AU"/>
        </w:rPr>
        <w:t>”</w:t>
      </w:r>
      <w:r w:rsidR="00BE6BA3" w:rsidRPr="009E7B69">
        <w:rPr>
          <w:iCs/>
          <w:lang w:val="en-AU"/>
        </w:rPr>
        <w:t xml:space="preserve"> The Hebrew text reads, </w:t>
      </w:r>
      <w:r w:rsidR="00863B47" w:rsidRPr="009E7B69">
        <w:rPr>
          <w:iCs/>
          <w:lang w:val="en-AU"/>
        </w:rPr>
        <w:t>“</w:t>
      </w:r>
      <w:r w:rsidR="00BE6BA3" w:rsidRPr="009E7B69">
        <w:rPr>
          <w:iCs/>
          <w:rtl/>
          <w:lang w:val="en-AU"/>
        </w:rPr>
        <w:t>הָשֵׁב</w:t>
      </w:r>
      <w:r w:rsidR="00BE6BA3" w:rsidRPr="009E7B69">
        <w:rPr>
          <w:rtl/>
          <w:lang w:val="en-AU"/>
        </w:rPr>
        <w:t xml:space="preserve"> תָּשִׁיב לֹו אֶֽת־הַעֲבֹוט כְּבֹא הַשֶּׁמֶשׁ וְשָׁכַב בְּשַׂלְמָתֹו וּבֵֽרֲכֶךָּ וּלְךָ תִּהְיֶה צְדָקָה לִפְנֵי יְהוָה אֱלֹהֶֽיךָ׃ ס</w:t>
      </w:r>
      <w:r w:rsidR="00BE6BA3" w:rsidRPr="009E7B69">
        <w:rPr>
          <w:lang w:val="en-AU"/>
        </w:rPr>
        <w:t>.</w:t>
      </w:r>
      <w:r w:rsidR="00863B47" w:rsidRPr="009E7B69">
        <w:rPr>
          <w:iCs/>
          <w:lang w:val="en-AU"/>
        </w:rPr>
        <w:t>”</w:t>
      </w:r>
      <w:r w:rsidR="00BE6BA3" w:rsidRPr="009E7B69">
        <w:rPr>
          <w:iCs/>
          <w:lang w:val="en-AU"/>
        </w:rPr>
        <w:t xml:space="preserve"> The focus of the Hebrew is </w:t>
      </w:r>
      <w:r w:rsidR="00BE6BA3" w:rsidRPr="009E7B69">
        <w:rPr>
          <w:rtl/>
          <w:lang w:val="en-AU"/>
        </w:rPr>
        <w:t>שַׂלְמָה</w:t>
      </w:r>
      <w:r w:rsidR="00BE6BA3" w:rsidRPr="009E7B69">
        <w:rPr>
          <w:i/>
          <w:lang w:val="en-AU"/>
        </w:rPr>
        <w:t xml:space="preserve"> </w:t>
      </w:r>
      <w:r w:rsidR="00BE6BA3" w:rsidRPr="009E7B69">
        <w:rPr>
          <w:lang w:val="en-AU"/>
        </w:rPr>
        <w:t xml:space="preserve">and the blessings will be </w:t>
      </w:r>
      <w:r w:rsidR="00BE6BA3" w:rsidRPr="009E7B69">
        <w:rPr>
          <w:rtl/>
          <w:lang w:val="en-AU"/>
        </w:rPr>
        <w:t xml:space="preserve">צְדָקָה </w:t>
      </w:r>
      <w:r w:rsidR="00BE6BA3" w:rsidRPr="009E7B69">
        <w:rPr>
          <w:i/>
          <w:rtl/>
          <w:lang w:val="en-AU"/>
        </w:rPr>
        <w:t>tzadakah</w:t>
      </w:r>
      <w:r w:rsidR="00BE6BA3" w:rsidRPr="009E7B69">
        <w:rPr>
          <w:i/>
          <w:iCs/>
          <w:lang w:val="en-AU"/>
        </w:rPr>
        <w:t xml:space="preserve">, </w:t>
      </w:r>
      <w:r w:rsidR="00BE6BA3" w:rsidRPr="009E7B69">
        <w:rPr>
          <w:lang w:val="en-AU"/>
        </w:rPr>
        <w:t>which is a focus on a charit</w:t>
      </w:r>
      <w:r w:rsidR="00056349" w:rsidRPr="009E7B69">
        <w:rPr>
          <w:lang w:val="en-AU"/>
        </w:rPr>
        <w:t>able</w:t>
      </w:r>
      <w:r w:rsidR="00BE6BA3" w:rsidRPr="009E7B69">
        <w:rPr>
          <w:lang w:val="en-AU"/>
        </w:rPr>
        <w:t xml:space="preserve"> and righteous benefactor</w:t>
      </w:r>
      <w:r w:rsidR="00BE6BA3" w:rsidRPr="009E7B69">
        <w:rPr>
          <w:i/>
          <w:iCs/>
          <w:lang w:val="en-AU"/>
        </w:rPr>
        <w:t>.</w:t>
      </w:r>
    </w:p>
    <w:p w14:paraId="6EBFECA8" w14:textId="71EDAD8C" w:rsidR="0097240C" w:rsidRPr="009E7B69" w:rsidRDefault="00BE6BA3" w:rsidP="00DB0FB4">
      <w:pPr>
        <w:spacing w:line="480" w:lineRule="auto"/>
        <w:contextualSpacing/>
        <w:rPr>
          <w:lang w:val="en-AU"/>
        </w:rPr>
      </w:pPr>
      <w:r w:rsidRPr="009E7B69">
        <w:rPr>
          <w:iCs/>
          <w:lang w:val="en-AU"/>
        </w:rPr>
        <w:t xml:space="preserve"> </w:t>
      </w:r>
      <w:r w:rsidRPr="009E7B69">
        <w:rPr>
          <w:iCs/>
          <w:lang w:val="en-AU"/>
        </w:rPr>
        <w:tab/>
      </w:r>
      <w:r w:rsidR="00F540C6" w:rsidRPr="009E7B69">
        <w:rPr>
          <w:iCs/>
          <w:lang w:val="en-AU"/>
        </w:rPr>
        <w:t xml:space="preserve">By protecting the </w:t>
      </w:r>
      <w:r w:rsidR="00612178" w:rsidRPr="009E7B69">
        <w:rPr>
          <w:iCs/>
          <w:lang w:val="en-AU"/>
        </w:rPr>
        <w:t xml:space="preserve">borrower with rules </w:t>
      </w:r>
      <w:r w:rsidR="007E788B" w:rsidRPr="009E7B69">
        <w:rPr>
          <w:iCs/>
          <w:lang w:val="en-AU"/>
        </w:rPr>
        <w:t xml:space="preserve">protecting </w:t>
      </w:r>
      <w:r w:rsidR="000774E9" w:rsidRPr="009E7B69">
        <w:rPr>
          <w:lang w:val="en-AU"/>
        </w:rPr>
        <w:t>tools used in the craftsmanship of one</w:t>
      </w:r>
      <w:r w:rsidR="005C71CB" w:rsidRPr="009E7B69">
        <w:rPr>
          <w:lang w:val="en-AU"/>
        </w:rPr>
        <w:t>’</w:t>
      </w:r>
      <w:r w:rsidR="000774E9" w:rsidRPr="009E7B69">
        <w:rPr>
          <w:lang w:val="en-AU"/>
        </w:rPr>
        <w:t>s trade or articles of clothing</w:t>
      </w:r>
      <w:r w:rsidR="00612178" w:rsidRPr="009E7B69">
        <w:rPr>
          <w:lang w:val="en-AU"/>
        </w:rPr>
        <w:t>, the community practices justice</w:t>
      </w:r>
      <w:r w:rsidR="000774E9" w:rsidRPr="009E7B69">
        <w:rPr>
          <w:lang w:val="en-AU"/>
        </w:rPr>
        <w:t>. It is imperative to return collateral used in a loan if the items are needed for health and safety at night</w:t>
      </w:r>
      <w:r w:rsidR="003E03F9" w:rsidRPr="009E7B69">
        <w:rPr>
          <w:lang w:val="en-AU"/>
        </w:rPr>
        <w:t>.</w:t>
      </w:r>
      <w:r w:rsidR="000774E9" w:rsidRPr="009E7B69">
        <w:rPr>
          <w:lang w:val="en-AU"/>
        </w:rPr>
        <w:t xml:space="preserve"> Each morning the person must return the items as collateral again and </w:t>
      </w:r>
      <w:r w:rsidR="00F61826" w:rsidRPr="009E7B69">
        <w:rPr>
          <w:lang w:val="en-AU"/>
        </w:rPr>
        <w:t xml:space="preserve">they </w:t>
      </w:r>
      <w:r w:rsidR="000774E9" w:rsidRPr="009E7B69">
        <w:rPr>
          <w:lang w:val="en-AU"/>
        </w:rPr>
        <w:t xml:space="preserve">must be returned each night.  </w:t>
      </w:r>
      <w:r w:rsidR="00F61826" w:rsidRPr="009E7B69">
        <w:rPr>
          <w:lang w:val="en-AU"/>
        </w:rPr>
        <w:t>Not d</w:t>
      </w:r>
      <w:r w:rsidR="000774E9" w:rsidRPr="009E7B69">
        <w:rPr>
          <w:lang w:val="en-AU"/>
        </w:rPr>
        <w:t xml:space="preserve">oing so will expose a </w:t>
      </w:r>
      <w:r w:rsidR="00FE3AD5" w:rsidRPr="009E7B69">
        <w:rPr>
          <w:lang w:val="en-AU"/>
        </w:rPr>
        <w:t>lender</w:t>
      </w:r>
      <w:r w:rsidR="000774E9" w:rsidRPr="009E7B69">
        <w:rPr>
          <w:lang w:val="en-AU"/>
        </w:rPr>
        <w:t xml:space="preserve"> </w:t>
      </w:r>
      <w:r w:rsidR="00FE3AD5" w:rsidRPr="009E7B69">
        <w:rPr>
          <w:lang w:val="en-AU"/>
        </w:rPr>
        <w:t xml:space="preserve">as </w:t>
      </w:r>
      <w:r w:rsidR="000774E9" w:rsidRPr="009E7B69">
        <w:rPr>
          <w:lang w:val="en-AU"/>
        </w:rPr>
        <w:t>greed</w:t>
      </w:r>
      <w:r w:rsidR="00FE3AD5" w:rsidRPr="009E7B69">
        <w:rPr>
          <w:lang w:val="en-AU"/>
        </w:rPr>
        <w:t>y</w:t>
      </w:r>
      <w:r w:rsidR="0061438E" w:rsidRPr="009E7B69">
        <w:rPr>
          <w:lang w:val="en-AU"/>
        </w:rPr>
        <w:t>.</w:t>
      </w:r>
      <w:r w:rsidRPr="009E7B69">
        <w:rPr>
          <w:rStyle w:val="FootnoteReference"/>
        </w:rPr>
        <w:footnoteReference w:id="246"/>
      </w:r>
    </w:p>
    <w:p w14:paraId="7DB7E152" w14:textId="251B5DD0" w:rsidR="00D83ECD" w:rsidRPr="009E7B69" w:rsidRDefault="00C07946" w:rsidP="00AB7CAD">
      <w:pPr>
        <w:pStyle w:val="Heading2"/>
      </w:pPr>
      <w:bookmarkStart w:id="87" w:name="_Toc118063644"/>
      <w:r w:rsidRPr="009E7B69">
        <w:t>4.3</w:t>
      </w:r>
      <w:r w:rsidR="00D83ECD" w:rsidRPr="009E7B69">
        <w:t xml:space="preserve"> Chapter Summary</w:t>
      </w:r>
      <w:bookmarkEnd w:id="87"/>
    </w:p>
    <w:p w14:paraId="0E7CA7D5" w14:textId="6E232EC4" w:rsidR="00936CB2" w:rsidRPr="00034EE6" w:rsidRDefault="00936CB2" w:rsidP="00936CB2">
      <w:pPr>
        <w:widowControl w:val="0"/>
        <w:autoSpaceDE w:val="0"/>
        <w:autoSpaceDN w:val="0"/>
        <w:adjustRightInd w:val="0"/>
        <w:spacing w:before="120" w:line="480" w:lineRule="auto"/>
        <w:ind w:firstLine="720"/>
        <w:rPr>
          <w:lang w:val="en-GB"/>
        </w:rPr>
      </w:pPr>
      <w:r w:rsidRPr="00034EE6">
        <w:rPr>
          <w:lang w:val="en-GB"/>
        </w:rPr>
        <w:t xml:space="preserve">The passages in the Hebrew Bible concerning collateral and debt compassion help to clarify the background conceptions of ethics and peace that would have been available to </w:t>
      </w:r>
      <w:r w:rsidRPr="00034EE6">
        <w:rPr>
          <w:lang w:val="en-GB"/>
        </w:rPr>
        <w:lastRenderedPageBreak/>
        <w:t>many in the audience of the Sermon on the Mount.</w:t>
      </w:r>
      <w:r w:rsidR="008E31CB">
        <w:rPr>
          <w:lang w:val="en-GB"/>
        </w:rPr>
        <w:t xml:space="preserve"> Collateral debt and compassion for those in debt are part of the Jewish ethics towards people and this standard is different for a Jew and Gentile. </w:t>
      </w:r>
      <w:r w:rsidRPr="00034EE6">
        <w:rPr>
          <w:lang w:val="en-GB"/>
        </w:rPr>
        <w:t xml:space="preserve"> </w:t>
      </w:r>
      <w:r w:rsidR="00BE4E0B">
        <w:rPr>
          <w:lang w:val="en-GB"/>
        </w:rPr>
        <w:t xml:space="preserve">How a person controls another person who is indebted demonstrates how compassion and ethics are understood. </w:t>
      </w:r>
      <w:r w:rsidRPr="00034EE6">
        <w:rPr>
          <w:lang w:val="en-GB"/>
        </w:rPr>
        <w:t xml:space="preserve">Jesus would have been </w:t>
      </w:r>
      <w:r w:rsidR="006C1EE5" w:rsidRPr="00034EE6">
        <w:rPr>
          <w:lang w:val="en-GB"/>
        </w:rPr>
        <w:t>knowledgeable</w:t>
      </w:r>
      <w:r w:rsidRPr="00034EE6">
        <w:rPr>
          <w:lang w:val="en-GB"/>
        </w:rPr>
        <w:t xml:space="preserve"> on these rules</w:t>
      </w:r>
      <w:r w:rsidR="00BE4E0B">
        <w:rPr>
          <w:lang w:val="en-GB"/>
        </w:rPr>
        <w:t xml:space="preserve"> of collateral and debt. Jesus would</w:t>
      </w:r>
      <w:r w:rsidR="008E31CB">
        <w:rPr>
          <w:lang w:val="en-GB"/>
        </w:rPr>
        <w:t xml:space="preserve"> h</w:t>
      </w:r>
      <w:r w:rsidR="00BE4E0B">
        <w:rPr>
          <w:lang w:val="en-GB"/>
        </w:rPr>
        <w:t>ave adapted them to his local context at the time he lived</w:t>
      </w:r>
      <w:r w:rsidRPr="00034EE6">
        <w:rPr>
          <w:lang w:val="en-GB"/>
        </w:rPr>
        <w:t xml:space="preserve">, especially since he has spoken about them in the Sermon on the Mount.  </w:t>
      </w:r>
    </w:p>
    <w:p w14:paraId="6AABCBC4" w14:textId="2746F0F8" w:rsidR="00936CB2" w:rsidRPr="009E7B69" w:rsidRDefault="00936CB2" w:rsidP="00936CB2">
      <w:pPr>
        <w:widowControl w:val="0"/>
        <w:autoSpaceDE w:val="0"/>
        <w:autoSpaceDN w:val="0"/>
        <w:adjustRightInd w:val="0"/>
        <w:spacing w:before="120" w:line="480" w:lineRule="auto"/>
        <w:ind w:firstLine="720"/>
      </w:pPr>
      <w:r w:rsidRPr="00034EE6">
        <w:rPr>
          <w:lang w:val="en-GB"/>
        </w:rPr>
        <w:t>With the Hebrew Bible</w:t>
      </w:r>
      <w:r w:rsidR="00BF0E8E">
        <w:rPr>
          <w:lang w:val="en-GB"/>
        </w:rPr>
        <w:t>,</w:t>
      </w:r>
      <w:r w:rsidRPr="00034EE6">
        <w:rPr>
          <w:lang w:val="en-GB"/>
        </w:rPr>
        <w:t xml:space="preserve"> rules</w:t>
      </w:r>
      <w:r w:rsidR="00BF0E8E">
        <w:rPr>
          <w:lang w:val="en-GB"/>
        </w:rPr>
        <w:t xml:space="preserve"> pertaining to </w:t>
      </w:r>
      <w:r w:rsidRPr="00034EE6">
        <w:rPr>
          <w:lang w:val="en-GB"/>
        </w:rPr>
        <w:t>charging interest to a fellow Jew</w:t>
      </w:r>
      <w:r w:rsidR="00BF0E8E">
        <w:rPr>
          <w:lang w:val="en-GB"/>
        </w:rPr>
        <w:t xml:space="preserve"> are forbidden</w:t>
      </w:r>
      <w:r w:rsidR="00C466F1">
        <w:rPr>
          <w:lang w:val="en-GB"/>
        </w:rPr>
        <w:t>,</w:t>
      </w:r>
      <w:r w:rsidR="00BF0E8E">
        <w:rPr>
          <w:lang w:val="en-GB"/>
        </w:rPr>
        <w:t xml:space="preserve"> but one is permitted to charge the Gentile interest.</w:t>
      </w:r>
      <w:r w:rsidRPr="00034EE6">
        <w:rPr>
          <w:lang w:val="en-GB"/>
        </w:rPr>
        <w:t xml:space="preserve"> The Hebrew Bible provided for the ability to charge interest to a </w:t>
      </w:r>
      <w:r w:rsidR="006C1EE5" w:rsidRPr="00034EE6">
        <w:rPr>
          <w:lang w:val="en-GB"/>
        </w:rPr>
        <w:t>foreigner</w:t>
      </w:r>
      <w:r w:rsidRPr="00034EE6">
        <w:rPr>
          <w:lang w:val="en-GB"/>
        </w:rPr>
        <w:t xml:space="preserve"> of the land. There is compassion in lending to a fellow believer and Exodus 22:25-26 extends this compassion to collateral with garments.  A person is protected from defaults on a loan against collateral used for sleeping.  As well, there is compassion commanded for widows in Deuteronomy 24:17</w:t>
      </w:r>
      <w:r w:rsidR="006C1EE5" w:rsidRPr="00034EE6">
        <w:rPr>
          <w:lang w:val="en-GB"/>
        </w:rPr>
        <w:t xml:space="preserve">.  </w:t>
      </w:r>
      <w:r w:rsidR="006C1EE5" w:rsidRPr="00034EE6">
        <w:rPr>
          <w:lang w:val="en-AU"/>
        </w:rPr>
        <w:t xml:space="preserve">All </w:t>
      </w:r>
      <w:r w:rsidR="00504FBD">
        <w:rPr>
          <w:lang w:val="en-AU"/>
        </w:rPr>
        <w:t xml:space="preserve">who lend to </w:t>
      </w:r>
      <w:r w:rsidR="006C1EE5" w:rsidRPr="00034EE6">
        <w:rPr>
          <w:lang w:val="en-AU"/>
        </w:rPr>
        <w:t>people could not keep</w:t>
      </w:r>
      <w:r w:rsidR="006C1EE5" w:rsidRPr="00034EE6">
        <w:rPr>
          <w:lang w:val="en-GB"/>
        </w:rPr>
        <w:t xml:space="preserve"> their</w:t>
      </w:r>
      <w:r w:rsidR="006C1EE5" w:rsidRPr="009E7B69">
        <w:t xml:space="preserve"> </w:t>
      </w:r>
      <w:r w:rsidR="006C1EE5" w:rsidRPr="009E7B69">
        <w:rPr>
          <w:rtl/>
          <w:lang w:val="en-AU"/>
        </w:rPr>
        <w:t>בֶּגֶד</w:t>
      </w:r>
      <w:r w:rsidR="006C1EE5" w:rsidRPr="009E7B69">
        <w:rPr>
          <w:lang w:val="en-AU"/>
        </w:rPr>
        <w:t xml:space="preserve"> and </w:t>
      </w:r>
      <w:r w:rsidR="006C1EE5" w:rsidRPr="009E7B69">
        <w:rPr>
          <w:rtl/>
          <w:lang w:val="en-AU"/>
        </w:rPr>
        <w:t>שַׂלְמָה</w:t>
      </w:r>
      <w:r w:rsidR="006C1EE5" w:rsidRPr="009E7B69">
        <w:rPr>
          <w:lang w:val="en-AU"/>
        </w:rPr>
        <w:t xml:space="preserve"> </w:t>
      </w:r>
      <w:r w:rsidR="006C1EE5" w:rsidRPr="00034EE6">
        <w:rPr>
          <w:lang w:val="en-AU"/>
        </w:rPr>
        <w:t xml:space="preserve">overnight. </w:t>
      </w:r>
      <w:r w:rsidRPr="00034EE6">
        <w:rPr>
          <w:lang w:val="en-AU"/>
        </w:rPr>
        <w:t>This chapter explores the source material in the Hebrew Bible concerning debt and collateral</w:t>
      </w:r>
      <w:r w:rsidR="006C1EE5" w:rsidRPr="00034EE6">
        <w:rPr>
          <w:lang w:val="en-AU"/>
        </w:rPr>
        <w:t>, and finds that</w:t>
      </w:r>
      <w:r w:rsidR="006C1EE5" w:rsidRPr="009E7B69">
        <w:t xml:space="preserve"> </w:t>
      </w:r>
      <w:r w:rsidR="006C1EE5" w:rsidRPr="009E7B69">
        <w:rPr>
          <w:rtl/>
          <w:lang w:val="en-AU"/>
        </w:rPr>
        <w:t>בֶּגֶד</w:t>
      </w:r>
      <w:r w:rsidR="006C1EE5" w:rsidRPr="009E7B69">
        <w:rPr>
          <w:lang w:val="en-AU"/>
        </w:rPr>
        <w:t xml:space="preserve"> and </w:t>
      </w:r>
      <w:r w:rsidR="006C1EE5" w:rsidRPr="009E7B69">
        <w:rPr>
          <w:rtl/>
          <w:lang w:val="en-AU"/>
        </w:rPr>
        <w:t>שַׂלְמָה</w:t>
      </w:r>
      <w:r w:rsidR="006C1EE5" w:rsidRPr="009E7B69">
        <w:rPr>
          <w:lang w:val="en-AU"/>
        </w:rPr>
        <w:t xml:space="preserve">, one cannot shame a person and must treat them with dignity and </w:t>
      </w:r>
      <w:r w:rsidR="006C1EE5" w:rsidRPr="009E7B69">
        <w:rPr>
          <w:rtl/>
          <w:lang w:val="en-AU"/>
        </w:rPr>
        <w:t xml:space="preserve">צְדָקָה </w:t>
      </w:r>
      <w:r w:rsidR="006C1EE5" w:rsidRPr="00504FA4">
        <w:rPr>
          <w:iCs/>
          <w:rtl/>
          <w:lang w:val="en-AU"/>
        </w:rPr>
        <w:t>tzadakah</w:t>
      </w:r>
      <w:r w:rsidR="006C1EE5" w:rsidRPr="009E7B69">
        <w:rPr>
          <w:i/>
          <w:lang w:val="en-AU"/>
        </w:rPr>
        <w:t>.</w:t>
      </w:r>
    </w:p>
    <w:p w14:paraId="505025B8" w14:textId="59555B8E" w:rsidR="00D25D36" w:rsidRPr="009E7B69" w:rsidRDefault="00213696">
      <w:r w:rsidRPr="009E7B69">
        <w:br w:type="page"/>
      </w:r>
      <w:bookmarkStart w:id="88" w:name="_Toc94536998"/>
    </w:p>
    <w:p w14:paraId="0CE3E7B0" w14:textId="0167D6F7" w:rsidR="008D4202" w:rsidRPr="009E7B69" w:rsidRDefault="00BA01CC" w:rsidP="009F5D32">
      <w:pPr>
        <w:pStyle w:val="Heading1"/>
      </w:pPr>
      <w:bookmarkStart w:id="89" w:name="_Toc118063645"/>
      <w:r w:rsidRPr="009E7B69">
        <w:lastRenderedPageBreak/>
        <w:t xml:space="preserve">Chapter </w:t>
      </w:r>
      <w:r w:rsidR="00DB0FB4" w:rsidRPr="009E7B69">
        <w:t>5</w:t>
      </w:r>
      <w:r w:rsidR="00BE6BA3" w:rsidRPr="009E7B69">
        <w:t xml:space="preserve"> M</w:t>
      </w:r>
      <w:r w:rsidR="00A95DD3" w:rsidRPr="009E7B69">
        <w:t>i</w:t>
      </w:r>
      <w:r w:rsidR="00BE6BA3" w:rsidRPr="009E7B69">
        <w:t>shna Avot</w:t>
      </w:r>
      <w:r w:rsidR="008215AA" w:rsidRPr="009E7B69">
        <w:t>, Ethics,</w:t>
      </w:r>
      <w:r w:rsidR="00BE6BA3" w:rsidRPr="009E7B69">
        <w:t xml:space="preserve"> and Intellectual Thought</w:t>
      </w:r>
      <w:bookmarkEnd w:id="88"/>
      <w:bookmarkEnd w:id="89"/>
    </w:p>
    <w:p w14:paraId="485BCEC9" w14:textId="39A7F705" w:rsidR="00F71454" w:rsidRPr="00034EE6" w:rsidRDefault="00996523" w:rsidP="00DC7FDB">
      <w:pPr>
        <w:pStyle w:val="NormalWeb"/>
        <w:spacing w:before="2" w:after="2" w:line="480" w:lineRule="auto"/>
        <w:ind w:firstLine="720"/>
        <w:rPr>
          <w:rFonts w:ascii="Times New Roman" w:hAnsi="Times New Roman"/>
          <w:sz w:val="24"/>
          <w:szCs w:val="24"/>
          <w:lang w:val="en-AU"/>
        </w:rPr>
      </w:pPr>
      <w:r w:rsidRPr="00034EE6">
        <w:rPr>
          <w:rFonts w:ascii="Times New Roman" w:hAnsi="Times New Roman"/>
          <w:iCs/>
          <w:sz w:val="24"/>
          <w:szCs w:val="24"/>
          <w:lang w:val="en-AU"/>
        </w:rPr>
        <w:t xml:space="preserve">An examination of certain texts in </w:t>
      </w:r>
      <w:r w:rsidRPr="00034EE6">
        <w:rPr>
          <w:rFonts w:ascii="Times New Roman" w:hAnsi="Times New Roman"/>
          <w:i/>
          <w:sz w:val="24"/>
          <w:szCs w:val="24"/>
          <w:lang w:val="en-AU"/>
        </w:rPr>
        <w:t>Mishna Avot</w:t>
      </w:r>
      <w:r w:rsidRPr="00034EE6">
        <w:rPr>
          <w:rFonts w:ascii="Times New Roman" w:hAnsi="Times New Roman"/>
          <w:iCs/>
          <w:sz w:val="24"/>
          <w:szCs w:val="24"/>
          <w:lang w:val="en-AU"/>
        </w:rPr>
        <w:t xml:space="preserve"> relating to charity, justice, peace, and the Torah helps </w:t>
      </w:r>
      <w:r w:rsidR="007D5D58" w:rsidRPr="00034EE6">
        <w:rPr>
          <w:rFonts w:ascii="Times New Roman" w:hAnsi="Times New Roman"/>
          <w:iCs/>
          <w:sz w:val="24"/>
          <w:szCs w:val="24"/>
          <w:lang w:val="en-AU"/>
        </w:rPr>
        <w:t>identify important strands of</w:t>
      </w:r>
      <w:r w:rsidR="00D3041C" w:rsidRPr="00034EE6">
        <w:rPr>
          <w:rFonts w:ascii="Times New Roman" w:hAnsi="Times New Roman"/>
          <w:iCs/>
          <w:sz w:val="24"/>
          <w:szCs w:val="24"/>
          <w:lang w:val="en-AU"/>
        </w:rPr>
        <w:t xml:space="preserve"> the ethical thought of Judaism during the time of Jesus</w:t>
      </w:r>
      <w:r w:rsidR="000C2138">
        <w:rPr>
          <w:rFonts w:ascii="Times New Roman" w:hAnsi="Times New Roman"/>
          <w:iCs/>
          <w:sz w:val="24"/>
          <w:szCs w:val="24"/>
          <w:lang w:val="en-AU"/>
        </w:rPr>
        <w:t xml:space="preserve"> by looking at texts attributed as contemporary to Jesus.</w:t>
      </w:r>
      <w:r w:rsidRPr="00034EE6">
        <w:rPr>
          <w:rFonts w:ascii="Times New Roman" w:hAnsi="Times New Roman"/>
          <w:iCs/>
          <w:sz w:val="24"/>
          <w:szCs w:val="24"/>
          <w:lang w:val="en-AU"/>
        </w:rPr>
        <w:t xml:space="preserve"> </w:t>
      </w:r>
      <w:r w:rsidR="00BE6BA3" w:rsidRPr="00034EE6">
        <w:rPr>
          <w:rFonts w:ascii="Times New Roman" w:hAnsi="Times New Roman"/>
          <w:iCs/>
          <w:sz w:val="24"/>
          <w:szCs w:val="24"/>
          <w:lang w:val="en-AU"/>
        </w:rPr>
        <w:t>Mishna</w:t>
      </w:r>
      <w:r w:rsidR="00BE6BA3" w:rsidRPr="00034EE6">
        <w:rPr>
          <w:rFonts w:ascii="Times New Roman" w:hAnsi="Times New Roman"/>
          <w:i/>
          <w:sz w:val="24"/>
          <w:szCs w:val="24"/>
          <w:lang w:val="en-AU"/>
        </w:rPr>
        <w:t xml:space="preserve"> Avot</w:t>
      </w:r>
      <w:r w:rsidR="00BE6BA3" w:rsidRPr="00034EE6">
        <w:rPr>
          <w:rFonts w:ascii="Times New Roman" w:hAnsi="Times New Roman"/>
          <w:sz w:val="24"/>
          <w:szCs w:val="24"/>
          <w:lang w:val="en-AU"/>
        </w:rPr>
        <w:t xml:space="preserve"> </w:t>
      </w:r>
      <w:r w:rsidR="005F30A6" w:rsidRPr="00034EE6">
        <w:rPr>
          <w:rFonts w:ascii="Times New Roman" w:hAnsi="Times New Roman"/>
          <w:sz w:val="24"/>
          <w:szCs w:val="24"/>
          <w:lang w:val="en-AU"/>
        </w:rPr>
        <w:t>inclu</w:t>
      </w:r>
      <w:r w:rsidR="00BE6BA3" w:rsidRPr="00034EE6">
        <w:rPr>
          <w:rFonts w:ascii="Times New Roman" w:hAnsi="Times New Roman"/>
          <w:sz w:val="24"/>
          <w:szCs w:val="24"/>
          <w:lang w:val="en-AU"/>
        </w:rPr>
        <w:t>des intellectual thought that originates in wisdom literature.</w:t>
      </w:r>
      <w:r w:rsidR="00330773">
        <w:rPr>
          <w:rStyle w:val="FootnoteReference"/>
          <w:rFonts w:ascii="Times New Roman" w:hAnsi="Times New Roman"/>
          <w:sz w:val="24"/>
          <w:szCs w:val="24"/>
          <w:lang w:val="en-AU"/>
        </w:rPr>
        <w:footnoteReference w:id="247"/>
      </w:r>
      <w:r w:rsidR="008A779E" w:rsidRPr="00034EE6">
        <w:rPr>
          <w:rFonts w:ascii="Times New Roman" w:hAnsi="Times New Roman"/>
          <w:sz w:val="24"/>
          <w:szCs w:val="24"/>
          <w:lang w:val="en-AU"/>
        </w:rPr>
        <w:t xml:space="preserve"> </w:t>
      </w:r>
      <w:r w:rsidR="000C2138">
        <w:rPr>
          <w:rFonts w:ascii="Times New Roman" w:hAnsi="Times New Roman"/>
          <w:sz w:val="24"/>
          <w:szCs w:val="24"/>
          <w:lang w:val="en-AU"/>
        </w:rPr>
        <w:t xml:space="preserve">These sayings in the Avot provide an insight into the intellectual thought attributed to people who were alive near the time of Jesus, or soon thereafter. The purpose of Mishna Avot is to </w:t>
      </w:r>
      <w:r w:rsidR="008A779E" w:rsidRPr="00034EE6">
        <w:rPr>
          <w:rFonts w:ascii="Times New Roman" w:hAnsi="Times New Roman"/>
          <w:sz w:val="24"/>
          <w:szCs w:val="24"/>
          <w:lang w:val="en-AU"/>
        </w:rPr>
        <w:t>provide common advice to people for daily living</w:t>
      </w:r>
      <w:r w:rsidR="000C2138">
        <w:rPr>
          <w:rFonts w:ascii="Times New Roman" w:hAnsi="Times New Roman"/>
          <w:sz w:val="24"/>
          <w:szCs w:val="24"/>
          <w:lang w:val="en-AU"/>
        </w:rPr>
        <w:t>, especially in the realm of ethical understanding</w:t>
      </w:r>
      <w:r w:rsidR="008A779E" w:rsidRPr="00034EE6">
        <w:rPr>
          <w:rFonts w:ascii="Times New Roman" w:hAnsi="Times New Roman"/>
          <w:sz w:val="24"/>
          <w:szCs w:val="24"/>
          <w:lang w:val="en-AU"/>
        </w:rPr>
        <w:t xml:space="preserve">. </w:t>
      </w:r>
      <w:r w:rsidR="005F30A6" w:rsidRPr="00034EE6">
        <w:rPr>
          <w:rFonts w:ascii="Times New Roman" w:hAnsi="Times New Roman"/>
          <w:sz w:val="24"/>
          <w:szCs w:val="24"/>
          <w:lang w:val="en-AU"/>
        </w:rPr>
        <w:t xml:space="preserve">In addition, </w:t>
      </w:r>
      <w:r w:rsidR="00D3041C" w:rsidRPr="00034EE6">
        <w:rPr>
          <w:rFonts w:ascii="Times New Roman" w:hAnsi="Times New Roman"/>
          <w:i/>
          <w:iCs/>
          <w:sz w:val="24"/>
          <w:szCs w:val="24"/>
          <w:lang w:val="en-AU"/>
        </w:rPr>
        <w:t xml:space="preserve">Mishna Avot </w:t>
      </w:r>
      <w:r w:rsidR="00D3041C" w:rsidRPr="00034EE6">
        <w:rPr>
          <w:rFonts w:ascii="Times New Roman" w:hAnsi="Times New Roman"/>
          <w:sz w:val="24"/>
          <w:szCs w:val="24"/>
          <w:lang w:val="en-AU"/>
        </w:rPr>
        <w:t>provides unique insights</w:t>
      </w:r>
      <w:r w:rsidR="005F30A6" w:rsidRPr="00034EE6">
        <w:rPr>
          <w:rFonts w:ascii="Times New Roman" w:hAnsi="Times New Roman"/>
          <w:sz w:val="24"/>
          <w:szCs w:val="24"/>
          <w:lang w:val="en-AU"/>
        </w:rPr>
        <w:t xml:space="preserve"> into</w:t>
      </w:r>
      <w:r w:rsidR="00D3041C" w:rsidRPr="00034EE6">
        <w:rPr>
          <w:rFonts w:ascii="Times New Roman" w:hAnsi="Times New Roman"/>
          <w:sz w:val="24"/>
          <w:szCs w:val="24"/>
          <w:lang w:val="en-AU"/>
        </w:rPr>
        <w:t xml:space="preserve"> and understanding </w:t>
      </w:r>
      <w:r w:rsidR="005F30A6" w:rsidRPr="00034EE6">
        <w:rPr>
          <w:rFonts w:ascii="Times New Roman" w:hAnsi="Times New Roman"/>
          <w:sz w:val="24"/>
          <w:szCs w:val="24"/>
          <w:lang w:val="en-AU"/>
        </w:rPr>
        <w:t>of</w:t>
      </w:r>
      <w:r w:rsidR="00D3041C" w:rsidRPr="00034EE6">
        <w:rPr>
          <w:rFonts w:ascii="Times New Roman" w:hAnsi="Times New Roman"/>
          <w:sz w:val="24"/>
          <w:szCs w:val="24"/>
          <w:lang w:val="en-AU"/>
        </w:rPr>
        <w:t xml:space="preserve"> the Oral Traditions of Judaism </w:t>
      </w:r>
      <w:r w:rsidR="005F30A6" w:rsidRPr="00034EE6">
        <w:rPr>
          <w:rFonts w:ascii="Times New Roman" w:hAnsi="Times New Roman"/>
          <w:sz w:val="24"/>
          <w:szCs w:val="24"/>
          <w:lang w:val="en-AU"/>
        </w:rPr>
        <w:t>from</w:t>
      </w:r>
      <w:r w:rsidR="00D3041C" w:rsidRPr="00034EE6">
        <w:rPr>
          <w:rFonts w:ascii="Times New Roman" w:hAnsi="Times New Roman"/>
          <w:sz w:val="24"/>
          <w:szCs w:val="24"/>
          <w:lang w:val="en-AU"/>
        </w:rPr>
        <w:t xml:space="preserve"> notable </w:t>
      </w:r>
      <w:r w:rsidR="005F30A6" w:rsidRPr="00034EE6">
        <w:rPr>
          <w:rFonts w:ascii="Times New Roman" w:hAnsi="Times New Roman"/>
          <w:sz w:val="24"/>
          <w:szCs w:val="24"/>
          <w:lang w:val="en-AU"/>
        </w:rPr>
        <w:t>s</w:t>
      </w:r>
      <w:r w:rsidR="00D3041C" w:rsidRPr="00034EE6">
        <w:rPr>
          <w:rFonts w:ascii="Times New Roman" w:hAnsi="Times New Roman"/>
          <w:sz w:val="24"/>
          <w:szCs w:val="24"/>
          <w:lang w:val="en-AU"/>
        </w:rPr>
        <w:t xml:space="preserve">ages before </w:t>
      </w:r>
      <w:r w:rsidR="008A779E" w:rsidRPr="00034EE6">
        <w:rPr>
          <w:rFonts w:ascii="Times New Roman" w:hAnsi="Times New Roman"/>
          <w:sz w:val="24"/>
          <w:szCs w:val="24"/>
          <w:lang w:val="en-AU"/>
        </w:rPr>
        <w:t xml:space="preserve">the time of </w:t>
      </w:r>
      <w:r w:rsidR="00D3041C" w:rsidRPr="00034EE6">
        <w:rPr>
          <w:rFonts w:ascii="Times New Roman" w:hAnsi="Times New Roman"/>
          <w:sz w:val="24"/>
          <w:szCs w:val="24"/>
          <w:lang w:val="en-AU"/>
        </w:rPr>
        <w:t>Jesus, during Jesus</w:t>
      </w:r>
      <w:r w:rsidR="005C71CB" w:rsidRPr="00034EE6">
        <w:rPr>
          <w:rFonts w:ascii="Times New Roman" w:hAnsi="Times New Roman"/>
          <w:sz w:val="24"/>
          <w:szCs w:val="24"/>
          <w:lang w:val="en-AU"/>
        </w:rPr>
        <w:t>’</w:t>
      </w:r>
      <w:r w:rsidR="00E35288">
        <w:rPr>
          <w:rFonts w:ascii="Times New Roman" w:hAnsi="Times New Roman"/>
          <w:sz w:val="24"/>
          <w:szCs w:val="24"/>
          <w:lang w:val="en-AU"/>
        </w:rPr>
        <w:t xml:space="preserve">s </w:t>
      </w:r>
      <w:r w:rsidR="006D2731" w:rsidRPr="00034EE6">
        <w:rPr>
          <w:rFonts w:ascii="Times New Roman" w:hAnsi="Times New Roman"/>
          <w:sz w:val="24"/>
          <w:szCs w:val="24"/>
          <w:lang w:val="en-AU"/>
        </w:rPr>
        <w:t>lifetime</w:t>
      </w:r>
      <w:r w:rsidR="00D3041C" w:rsidRPr="00034EE6">
        <w:rPr>
          <w:rFonts w:ascii="Times New Roman" w:hAnsi="Times New Roman"/>
          <w:sz w:val="24"/>
          <w:szCs w:val="24"/>
          <w:lang w:val="en-AU"/>
        </w:rPr>
        <w:t>, and after the time of Jesus.</w:t>
      </w:r>
      <w:r w:rsidR="00406AFA" w:rsidRPr="00034EE6">
        <w:rPr>
          <w:rStyle w:val="FootnoteReference"/>
          <w:rFonts w:ascii="Times New Roman" w:hAnsi="Times New Roman"/>
          <w:sz w:val="24"/>
          <w:szCs w:val="24"/>
          <w:lang w:val="en-AU"/>
        </w:rPr>
        <w:footnoteReference w:id="248"/>
      </w:r>
      <w:r w:rsidR="005A0462" w:rsidRPr="00034EE6">
        <w:rPr>
          <w:rFonts w:ascii="Times New Roman" w:hAnsi="Times New Roman"/>
          <w:sz w:val="24"/>
          <w:szCs w:val="24"/>
          <w:lang w:val="en-AU"/>
        </w:rPr>
        <w:t xml:space="preserve">  </w:t>
      </w:r>
      <w:r w:rsidR="00447FE1" w:rsidRPr="00034EE6">
        <w:rPr>
          <w:rFonts w:ascii="Times New Roman" w:hAnsi="Times New Roman"/>
          <w:sz w:val="24"/>
          <w:szCs w:val="24"/>
          <w:lang w:val="en-AU"/>
        </w:rPr>
        <w:t>T</w:t>
      </w:r>
      <w:r w:rsidR="00BE6BA3" w:rsidRPr="00034EE6">
        <w:rPr>
          <w:rFonts w:ascii="Times New Roman" w:hAnsi="Times New Roman"/>
          <w:sz w:val="24"/>
          <w:szCs w:val="24"/>
          <w:lang w:val="en-AU"/>
        </w:rPr>
        <w:t xml:space="preserve">he examination of literature </w:t>
      </w:r>
      <w:r w:rsidR="00F71454" w:rsidRPr="00034EE6">
        <w:rPr>
          <w:rFonts w:ascii="Times New Roman" w:hAnsi="Times New Roman"/>
          <w:sz w:val="24"/>
          <w:szCs w:val="24"/>
          <w:lang w:val="en-AU"/>
        </w:rPr>
        <w:t xml:space="preserve">such as </w:t>
      </w:r>
      <w:r w:rsidR="00F71454" w:rsidRPr="00034EE6">
        <w:rPr>
          <w:rFonts w:ascii="Times New Roman" w:hAnsi="Times New Roman"/>
          <w:i/>
          <w:iCs/>
          <w:sz w:val="24"/>
          <w:szCs w:val="24"/>
          <w:lang w:val="en-AU"/>
        </w:rPr>
        <w:t xml:space="preserve">Mishna Avot </w:t>
      </w:r>
      <w:r w:rsidR="00BE6BA3" w:rsidRPr="00034EE6">
        <w:rPr>
          <w:rFonts w:ascii="Times New Roman" w:hAnsi="Times New Roman"/>
          <w:sz w:val="24"/>
          <w:szCs w:val="24"/>
          <w:lang w:val="en-AU"/>
        </w:rPr>
        <w:t xml:space="preserve">is appropriate since it </w:t>
      </w:r>
      <w:r w:rsidR="00661EF3" w:rsidRPr="00034EE6">
        <w:rPr>
          <w:rFonts w:ascii="Times New Roman" w:hAnsi="Times New Roman"/>
          <w:sz w:val="24"/>
          <w:szCs w:val="24"/>
          <w:lang w:val="en-AU"/>
        </w:rPr>
        <w:t>reveals o</w:t>
      </w:r>
      <w:r w:rsidR="00BE6BA3" w:rsidRPr="00034EE6">
        <w:rPr>
          <w:rFonts w:ascii="Times New Roman" w:hAnsi="Times New Roman"/>
          <w:sz w:val="24"/>
          <w:szCs w:val="24"/>
          <w:lang w:val="en-AU"/>
        </w:rPr>
        <w:t>ral traditions</w:t>
      </w:r>
      <w:r w:rsidR="00D3041C" w:rsidRPr="00034EE6">
        <w:rPr>
          <w:rFonts w:ascii="Times New Roman" w:hAnsi="Times New Roman"/>
          <w:sz w:val="24"/>
          <w:szCs w:val="24"/>
          <w:lang w:val="en-AU"/>
        </w:rPr>
        <w:t xml:space="preserve"> of the Jewish people and </w:t>
      </w:r>
      <w:r w:rsidR="008230D8" w:rsidRPr="00034EE6">
        <w:rPr>
          <w:rFonts w:ascii="Times New Roman" w:hAnsi="Times New Roman"/>
          <w:sz w:val="24"/>
          <w:szCs w:val="24"/>
          <w:lang w:val="en-AU"/>
        </w:rPr>
        <w:t xml:space="preserve">any </w:t>
      </w:r>
      <w:r w:rsidR="00D3041C" w:rsidRPr="00034EE6">
        <w:rPr>
          <w:rFonts w:ascii="Times New Roman" w:hAnsi="Times New Roman"/>
          <w:sz w:val="24"/>
          <w:szCs w:val="24"/>
          <w:lang w:val="en-AU"/>
        </w:rPr>
        <w:t>commonality of thought in the ethics of the time with Jesus</w:t>
      </w:r>
      <w:r w:rsidR="005C71CB" w:rsidRPr="00034EE6">
        <w:rPr>
          <w:rFonts w:ascii="Times New Roman" w:hAnsi="Times New Roman"/>
          <w:sz w:val="24"/>
          <w:szCs w:val="24"/>
          <w:lang w:val="en-AU"/>
        </w:rPr>
        <w:t>’</w:t>
      </w:r>
      <w:r w:rsidR="008230D8" w:rsidRPr="00034EE6">
        <w:rPr>
          <w:rFonts w:ascii="Times New Roman" w:hAnsi="Times New Roman"/>
          <w:sz w:val="24"/>
          <w:szCs w:val="24"/>
          <w:lang w:val="en-AU"/>
        </w:rPr>
        <w:t xml:space="preserve">s teaching may be </w:t>
      </w:r>
      <w:r w:rsidR="00051CB0" w:rsidRPr="00034EE6">
        <w:rPr>
          <w:rFonts w:ascii="Times New Roman" w:hAnsi="Times New Roman"/>
          <w:sz w:val="24"/>
          <w:szCs w:val="24"/>
          <w:lang w:val="en-AU"/>
        </w:rPr>
        <w:t>assessed</w:t>
      </w:r>
      <w:r w:rsidR="00D3041C" w:rsidRPr="00034EE6">
        <w:rPr>
          <w:rFonts w:ascii="Times New Roman" w:hAnsi="Times New Roman"/>
          <w:sz w:val="24"/>
          <w:szCs w:val="24"/>
          <w:lang w:val="en-AU"/>
        </w:rPr>
        <w:t xml:space="preserve">. </w:t>
      </w:r>
      <w:r w:rsidR="00BE6BA3" w:rsidRPr="00034EE6">
        <w:rPr>
          <w:rFonts w:ascii="Times New Roman" w:hAnsi="Times New Roman"/>
          <w:sz w:val="24"/>
          <w:szCs w:val="24"/>
          <w:lang w:val="en-AU"/>
        </w:rPr>
        <w:t xml:space="preserve"> One example </w:t>
      </w:r>
      <w:r w:rsidR="00051CB0" w:rsidRPr="00034EE6">
        <w:rPr>
          <w:rFonts w:ascii="Times New Roman" w:hAnsi="Times New Roman"/>
          <w:sz w:val="24"/>
          <w:szCs w:val="24"/>
          <w:lang w:val="en-AU"/>
        </w:rPr>
        <w:t>from the</w:t>
      </w:r>
      <w:r w:rsidR="00BE6BA3" w:rsidRPr="00034EE6">
        <w:rPr>
          <w:rFonts w:ascii="Times New Roman" w:hAnsi="Times New Roman"/>
          <w:sz w:val="24"/>
          <w:szCs w:val="24"/>
          <w:lang w:val="en-AU"/>
        </w:rPr>
        <w:t xml:space="preserve"> wisdom literature</w:t>
      </w:r>
      <w:r w:rsidR="00051CB0" w:rsidRPr="00034EE6">
        <w:rPr>
          <w:rFonts w:ascii="Times New Roman" w:hAnsi="Times New Roman"/>
          <w:sz w:val="24"/>
          <w:szCs w:val="24"/>
          <w:lang w:val="en-AU"/>
        </w:rPr>
        <w:t xml:space="preserve"> about</w:t>
      </w:r>
      <w:r w:rsidR="00447FE1" w:rsidRPr="00034EE6">
        <w:rPr>
          <w:rFonts w:ascii="Times New Roman" w:hAnsi="Times New Roman"/>
          <w:sz w:val="24"/>
          <w:szCs w:val="24"/>
          <w:lang w:val="en-AU"/>
        </w:rPr>
        <w:t xml:space="preserve"> the need to seek wisdom </w:t>
      </w:r>
      <w:r w:rsidR="00BE6BA3" w:rsidRPr="00034EE6">
        <w:rPr>
          <w:rFonts w:ascii="Times New Roman" w:hAnsi="Times New Roman"/>
          <w:sz w:val="24"/>
          <w:szCs w:val="24"/>
          <w:lang w:val="en-AU"/>
        </w:rPr>
        <w:t xml:space="preserve">is found in </w:t>
      </w:r>
      <w:r w:rsidR="00BE6BA3" w:rsidRPr="00034EE6">
        <w:rPr>
          <w:rFonts w:ascii="Times New Roman" w:hAnsi="Times New Roman"/>
          <w:i/>
          <w:iCs/>
          <w:sz w:val="24"/>
          <w:szCs w:val="24"/>
          <w:lang w:val="en-AU"/>
        </w:rPr>
        <w:t>Mishna Avot</w:t>
      </w:r>
      <w:r w:rsidR="00BE6BA3" w:rsidRPr="00034EE6">
        <w:rPr>
          <w:rFonts w:ascii="Times New Roman" w:hAnsi="Times New Roman"/>
          <w:sz w:val="24"/>
          <w:szCs w:val="24"/>
          <w:lang w:val="en-AU"/>
        </w:rPr>
        <w:t xml:space="preserve"> 1:4</w:t>
      </w:r>
      <w:r w:rsidR="00051CB0" w:rsidRPr="00034EE6">
        <w:rPr>
          <w:rFonts w:ascii="Times New Roman" w:hAnsi="Times New Roman"/>
          <w:sz w:val="24"/>
          <w:szCs w:val="24"/>
          <w:lang w:val="en-AU"/>
        </w:rPr>
        <w:t>,</w:t>
      </w:r>
      <w:r w:rsidR="00BE6BA3" w:rsidRPr="00034EE6">
        <w:rPr>
          <w:rFonts w:ascii="Times New Roman" w:hAnsi="Times New Roman"/>
          <w:sz w:val="24"/>
          <w:szCs w:val="24"/>
          <w:lang w:val="en-AU"/>
        </w:rPr>
        <w:t xml:space="preserve"> </w:t>
      </w:r>
      <w:r w:rsidR="00447FE1" w:rsidRPr="00034EE6">
        <w:rPr>
          <w:rFonts w:ascii="Times New Roman" w:hAnsi="Times New Roman"/>
          <w:sz w:val="24"/>
          <w:szCs w:val="24"/>
          <w:lang w:val="en-AU"/>
        </w:rPr>
        <w:t xml:space="preserve">which </w:t>
      </w:r>
      <w:r w:rsidR="00BE6BA3" w:rsidRPr="00034EE6">
        <w:rPr>
          <w:rFonts w:ascii="Times New Roman" w:hAnsi="Times New Roman"/>
          <w:sz w:val="24"/>
          <w:szCs w:val="24"/>
          <w:lang w:val="en-AU"/>
        </w:rPr>
        <w:t xml:space="preserve">states: </w:t>
      </w:r>
      <w:r w:rsidR="00863B47" w:rsidRPr="00034EE6">
        <w:rPr>
          <w:rFonts w:ascii="Times New Roman" w:hAnsi="Times New Roman"/>
          <w:sz w:val="24"/>
          <w:szCs w:val="24"/>
          <w:lang w:val="en-AU"/>
        </w:rPr>
        <w:t>“</w:t>
      </w:r>
      <w:r w:rsidR="00BE6BA3" w:rsidRPr="00034EE6">
        <w:rPr>
          <w:rFonts w:ascii="Times New Roman" w:hAnsi="Times New Roman"/>
          <w:sz w:val="24"/>
          <w:szCs w:val="24"/>
          <w:lang w:val="en-AU"/>
        </w:rPr>
        <w:t>Yosi ben Yoezer of Zeredah said: Let your house be a meeting house for the sages, and sit in the dust of their feet, and drink in their words with thirst.</w:t>
      </w:r>
      <w:r w:rsidR="00863B47" w:rsidRPr="00034EE6">
        <w:rPr>
          <w:rFonts w:ascii="Times New Roman" w:hAnsi="Times New Roman"/>
          <w:sz w:val="24"/>
          <w:szCs w:val="24"/>
          <w:lang w:val="en-AU"/>
        </w:rPr>
        <w:t>”</w:t>
      </w:r>
      <w:r w:rsidR="00BE6BA3" w:rsidRPr="00034EE6">
        <w:rPr>
          <w:rStyle w:val="FootnoteReference"/>
          <w:rFonts w:ascii="Times New Roman" w:hAnsi="Times New Roman"/>
          <w:sz w:val="24"/>
          <w:szCs w:val="24"/>
          <w:lang w:val="en-AU"/>
        </w:rPr>
        <w:footnoteReference w:id="249"/>
      </w:r>
      <w:r w:rsidR="00BE6BA3" w:rsidRPr="00034EE6">
        <w:rPr>
          <w:rFonts w:ascii="Times New Roman" w:hAnsi="Times New Roman"/>
          <w:sz w:val="24"/>
          <w:szCs w:val="24"/>
          <w:lang w:val="en-AU"/>
        </w:rPr>
        <w:t xml:space="preserve"> </w:t>
      </w:r>
      <w:r w:rsidR="00447FE1" w:rsidRPr="00034EE6">
        <w:rPr>
          <w:rFonts w:ascii="Times New Roman" w:hAnsi="Times New Roman"/>
          <w:sz w:val="24"/>
          <w:szCs w:val="24"/>
          <w:lang w:val="en-AU"/>
        </w:rPr>
        <w:t>Yose ben Yoezer</w:t>
      </w:r>
      <w:r w:rsidR="00E86F12" w:rsidRPr="00034EE6">
        <w:rPr>
          <w:rFonts w:ascii="Times New Roman" w:hAnsi="Times New Roman"/>
          <w:sz w:val="24"/>
          <w:szCs w:val="24"/>
          <w:lang w:val="en-AU"/>
        </w:rPr>
        <w:t xml:space="preserve"> lived</w:t>
      </w:r>
      <w:r w:rsidR="00F71454" w:rsidRPr="00034EE6">
        <w:rPr>
          <w:rFonts w:ascii="Times New Roman" w:hAnsi="Times New Roman"/>
          <w:sz w:val="24"/>
          <w:szCs w:val="24"/>
          <w:lang w:val="en-AU"/>
        </w:rPr>
        <w:t xml:space="preserve"> approximately</w:t>
      </w:r>
      <w:r w:rsidR="00E86F12" w:rsidRPr="00034EE6">
        <w:rPr>
          <w:rFonts w:ascii="Times New Roman" w:hAnsi="Times New Roman"/>
          <w:sz w:val="24"/>
          <w:szCs w:val="24"/>
          <w:lang w:val="en-AU"/>
        </w:rPr>
        <w:t xml:space="preserve"> 150 years before Jesus; </w:t>
      </w:r>
      <w:r w:rsidR="00E86F12" w:rsidRPr="00034EE6">
        <w:rPr>
          <w:rFonts w:ascii="Times New Roman" w:hAnsi="Times New Roman"/>
          <w:sz w:val="24"/>
          <w:szCs w:val="24"/>
          <w:lang w:val="en-AU"/>
        </w:rPr>
        <w:lastRenderedPageBreak/>
        <w:t xml:space="preserve">however, his sayings </w:t>
      </w:r>
      <w:r w:rsidR="00051CB0" w:rsidRPr="00034EE6">
        <w:rPr>
          <w:rFonts w:ascii="Times New Roman" w:hAnsi="Times New Roman"/>
          <w:sz w:val="24"/>
          <w:szCs w:val="24"/>
          <w:lang w:val="en-AU"/>
        </w:rPr>
        <w:t>are</w:t>
      </w:r>
      <w:r w:rsidR="00E86F12" w:rsidRPr="00034EE6">
        <w:rPr>
          <w:rFonts w:ascii="Times New Roman" w:hAnsi="Times New Roman"/>
          <w:sz w:val="24"/>
          <w:szCs w:val="24"/>
          <w:lang w:val="en-AU"/>
        </w:rPr>
        <w:t xml:space="preserve"> part of the </w:t>
      </w:r>
      <w:r w:rsidR="002D7E4F" w:rsidRPr="00034EE6">
        <w:rPr>
          <w:rFonts w:ascii="Times New Roman" w:hAnsi="Times New Roman"/>
          <w:sz w:val="24"/>
          <w:szCs w:val="24"/>
          <w:lang w:val="en-AU"/>
        </w:rPr>
        <w:t>sages who became revered during the time of Jesus.</w:t>
      </w:r>
      <w:r w:rsidR="00756D7F" w:rsidRPr="00034EE6">
        <w:rPr>
          <w:rFonts w:ascii="Times New Roman" w:hAnsi="Times New Roman"/>
          <w:sz w:val="24"/>
          <w:szCs w:val="24"/>
          <w:lang w:val="en-AU"/>
        </w:rPr>
        <w:t xml:space="preserve"> The thought of the </w:t>
      </w:r>
      <w:r w:rsidR="00965CE6" w:rsidRPr="00034EE6">
        <w:rPr>
          <w:rFonts w:ascii="Times New Roman" w:hAnsi="Times New Roman"/>
          <w:sz w:val="24"/>
          <w:szCs w:val="24"/>
          <w:lang w:val="en-AU"/>
        </w:rPr>
        <w:t>s</w:t>
      </w:r>
      <w:r w:rsidR="00756D7F" w:rsidRPr="00034EE6">
        <w:rPr>
          <w:rFonts w:ascii="Times New Roman" w:hAnsi="Times New Roman"/>
          <w:sz w:val="24"/>
          <w:szCs w:val="24"/>
          <w:lang w:val="en-AU"/>
        </w:rPr>
        <w:t xml:space="preserve">ages who spoke before Jesus helped form the thoughts and ethical viewpoints of those who survived the destruction of Jerusalem and the writing of literature that formed both the New Testament and Apocryphal writings. </w:t>
      </w:r>
      <w:r w:rsidR="002D7E4F" w:rsidRPr="00034EE6">
        <w:rPr>
          <w:rFonts w:ascii="Times New Roman" w:hAnsi="Times New Roman"/>
          <w:sz w:val="24"/>
          <w:szCs w:val="24"/>
          <w:lang w:val="en-AU"/>
        </w:rPr>
        <w:t xml:space="preserve"> </w:t>
      </w:r>
      <w:r w:rsidR="00F71454" w:rsidRPr="00034EE6">
        <w:rPr>
          <w:rFonts w:ascii="Times New Roman" w:hAnsi="Times New Roman"/>
          <w:sz w:val="24"/>
          <w:szCs w:val="24"/>
          <w:lang w:val="en-AU"/>
        </w:rPr>
        <w:t>D</w:t>
      </w:r>
      <w:r w:rsidR="000B79C7" w:rsidRPr="00034EE6">
        <w:rPr>
          <w:rFonts w:ascii="Times New Roman" w:hAnsi="Times New Roman"/>
          <w:sz w:val="24"/>
          <w:szCs w:val="24"/>
          <w:lang w:val="en-AU"/>
        </w:rPr>
        <w:t>uring the Hasmonean era</w:t>
      </w:r>
      <w:r w:rsidR="005D1646" w:rsidRPr="00034EE6">
        <w:rPr>
          <w:rFonts w:ascii="Times New Roman" w:hAnsi="Times New Roman"/>
          <w:sz w:val="24"/>
          <w:szCs w:val="24"/>
          <w:lang w:val="en-AU"/>
        </w:rPr>
        <w:t xml:space="preserve"> </w:t>
      </w:r>
      <w:r w:rsidR="006D7F47" w:rsidRPr="00034EE6">
        <w:rPr>
          <w:rFonts w:ascii="Times New Roman" w:hAnsi="Times New Roman"/>
          <w:sz w:val="24"/>
          <w:szCs w:val="24"/>
          <w:lang w:val="en-AU"/>
        </w:rPr>
        <w:t xml:space="preserve">in which </w:t>
      </w:r>
      <w:r w:rsidR="002D7E4F" w:rsidRPr="00034EE6">
        <w:rPr>
          <w:rFonts w:ascii="Times New Roman" w:hAnsi="Times New Roman"/>
          <w:sz w:val="24"/>
          <w:szCs w:val="24"/>
          <w:lang w:val="en-AU"/>
        </w:rPr>
        <w:t>Yose ben Yoezer</w:t>
      </w:r>
      <w:r w:rsidR="006D7F47" w:rsidRPr="00034EE6">
        <w:rPr>
          <w:rFonts w:ascii="Times New Roman" w:hAnsi="Times New Roman"/>
          <w:sz w:val="24"/>
          <w:szCs w:val="24"/>
          <w:lang w:val="en-AU"/>
        </w:rPr>
        <w:t xml:space="preserve"> flourished</w:t>
      </w:r>
      <w:r w:rsidR="00F71454" w:rsidRPr="00034EE6">
        <w:rPr>
          <w:rFonts w:ascii="Times New Roman" w:hAnsi="Times New Roman"/>
          <w:sz w:val="24"/>
          <w:szCs w:val="24"/>
          <w:lang w:val="en-AU"/>
        </w:rPr>
        <w:t xml:space="preserve"> (</w:t>
      </w:r>
      <w:r w:rsidR="006D2731" w:rsidRPr="00034EE6">
        <w:rPr>
          <w:rFonts w:ascii="Times New Roman" w:hAnsi="Times New Roman"/>
          <w:sz w:val="24"/>
          <w:szCs w:val="24"/>
          <w:lang w:val="en-AU"/>
        </w:rPr>
        <w:t>i.e.,</w:t>
      </w:r>
      <w:r w:rsidR="00F71454" w:rsidRPr="00034EE6">
        <w:rPr>
          <w:rFonts w:ascii="Times New Roman" w:hAnsi="Times New Roman"/>
          <w:sz w:val="24"/>
          <w:szCs w:val="24"/>
          <w:lang w:val="en-AU"/>
        </w:rPr>
        <w:t xml:space="preserve"> well before the time of Jesus)</w:t>
      </w:r>
      <w:r w:rsidR="002D7E4F" w:rsidRPr="00034EE6">
        <w:rPr>
          <w:rFonts w:ascii="Times New Roman" w:hAnsi="Times New Roman"/>
          <w:sz w:val="24"/>
          <w:szCs w:val="24"/>
          <w:lang w:val="en-AU"/>
        </w:rPr>
        <w:t xml:space="preserve">, </w:t>
      </w:r>
      <w:r w:rsidR="000B79C7" w:rsidRPr="00034EE6">
        <w:rPr>
          <w:rFonts w:ascii="Times New Roman" w:hAnsi="Times New Roman"/>
          <w:sz w:val="24"/>
          <w:szCs w:val="24"/>
          <w:lang w:val="en-AU"/>
        </w:rPr>
        <w:t xml:space="preserve">different Torah scholars and </w:t>
      </w:r>
      <w:r w:rsidR="00E11F78" w:rsidRPr="00034EE6">
        <w:rPr>
          <w:rFonts w:ascii="Times New Roman" w:hAnsi="Times New Roman"/>
          <w:sz w:val="24"/>
          <w:szCs w:val="24"/>
          <w:lang w:val="en-AU"/>
        </w:rPr>
        <w:t>r</w:t>
      </w:r>
      <w:r w:rsidR="000B79C7" w:rsidRPr="00034EE6">
        <w:rPr>
          <w:rFonts w:ascii="Times New Roman" w:hAnsi="Times New Roman"/>
          <w:sz w:val="24"/>
          <w:szCs w:val="24"/>
          <w:lang w:val="en-AU"/>
        </w:rPr>
        <w:t>abbis were sent into exile by Antiochus Epiphanes</w:t>
      </w:r>
      <w:r w:rsidR="00E11F78" w:rsidRPr="00034EE6">
        <w:rPr>
          <w:rFonts w:ascii="Times New Roman" w:hAnsi="Times New Roman"/>
          <w:sz w:val="24"/>
          <w:szCs w:val="24"/>
          <w:lang w:val="en-AU"/>
        </w:rPr>
        <w:t>,</w:t>
      </w:r>
      <w:r w:rsidR="00BE6BA3" w:rsidRPr="00034EE6">
        <w:rPr>
          <w:rStyle w:val="FootnoteReference"/>
          <w:rFonts w:ascii="Times New Roman" w:hAnsi="Times New Roman"/>
          <w:sz w:val="24"/>
          <w:szCs w:val="24"/>
          <w:lang w:val="en-AU"/>
        </w:rPr>
        <w:footnoteReference w:id="250"/>
      </w:r>
      <w:r w:rsidR="00BE6BA3" w:rsidRPr="00034EE6">
        <w:rPr>
          <w:rFonts w:ascii="Times New Roman" w:hAnsi="Times New Roman"/>
          <w:sz w:val="24"/>
          <w:szCs w:val="24"/>
          <w:lang w:val="en-AU"/>
        </w:rPr>
        <w:t xml:space="preserve"> </w:t>
      </w:r>
      <w:r w:rsidR="00E11F78" w:rsidRPr="00034EE6">
        <w:rPr>
          <w:rFonts w:ascii="Times New Roman" w:hAnsi="Times New Roman"/>
          <w:sz w:val="24"/>
          <w:szCs w:val="24"/>
          <w:lang w:val="en-AU"/>
        </w:rPr>
        <w:t>leaving fewer r</w:t>
      </w:r>
      <w:r w:rsidR="002D7E4F" w:rsidRPr="00034EE6">
        <w:rPr>
          <w:rFonts w:ascii="Times New Roman" w:hAnsi="Times New Roman"/>
          <w:sz w:val="24"/>
          <w:szCs w:val="24"/>
          <w:lang w:val="en-AU"/>
        </w:rPr>
        <w:t xml:space="preserve">abbis </w:t>
      </w:r>
      <w:r w:rsidR="00E11F78" w:rsidRPr="00034EE6">
        <w:rPr>
          <w:rFonts w:ascii="Times New Roman" w:hAnsi="Times New Roman"/>
          <w:sz w:val="24"/>
          <w:szCs w:val="24"/>
          <w:lang w:val="en-AU"/>
        </w:rPr>
        <w:t xml:space="preserve">remaining </w:t>
      </w:r>
      <w:r w:rsidR="006D7F47" w:rsidRPr="00034EE6">
        <w:rPr>
          <w:rFonts w:ascii="Times New Roman" w:hAnsi="Times New Roman"/>
          <w:sz w:val="24"/>
          <w:szCs w:val="24"/>
          <w:lang w:val="en-AU"/>
        </w:rPr>
        <w:t>to instruct the people</w:t>
      </w:r>
      <w:r w:rsidR="002D7E4F" w:rsidRPr="00034EE6">
        <w:rPr>
          <w:rFonts w:ascii="Times New Roman" w:hAnsi="Times New Roman"/>
          <w:sz w:val="24"/>
          <w:szCs w:val="24"/>
          <w:lang w:val="en-AU"/>
        </w:rPr>
        <w:t>.</w:t>
      </w:r>
      <w:r w:rsidR="00BE6BA3" w:rsidRPr="00034EE6">
        <w:rPr>
          <w:rStyle w:val="FootnoteReference"/>
          <w:rFonts w:ascii="Times New Roman" w:hAnsi="Times New Roman"/>
          <w:sz w:val="24"/>
          <w:szCs w:val="24"/>
          <w:lang w:val="en-AU"/>
        </w:rPr>
        <w:footnoteReference w:id="251"/>
      </w:r>
      <w:r w:rsidR="00BE6BA3" w:rsidRPr="00034EE6">
        <w:rPr>
          <w:rFonts w:ascii="Times New Roman" w:hAnsi="Times New Roman"/>
          <w:sz w:val="24"/>
          <w:szCs w:val="24"/>
          <w:lang w:val="en-AU"/>
        </w:rPr>
        <w:t xml:space="preserve"> </w:t>
      </w:r>
      <w:r w:rsidR="00F71454" w:rsidRPr="00034EE6">
        <w:rPr>
          <w:rFonts w:ascii="Times New Roman" w:hAnsi="Times New Roman"/>
          <w:sz w:val="24"/>
          <w:szCs w:val="24"/>
          <w:lang w:val="en-AU"/>
        </w:rPr>
        <w:t>By the time</w:t>
      </w:r>
      <w:r w:rsidR="002D7E4F" w:rsidRPr="00034EE6">
        <w:rPr>
          <w:rFonts w:ascii="Times New Roman" w:hAnsi="Times New Roman"/>
          <w:sz w:val="24"/>
          <w:szCs w:val="24"/>
          <w:lang w:val="en-AU"/>
        </w:rPr>
        <w:t xml:space="preserve"> of Jesus</w:t>
      </w:r>
      <w:r w:rsidR="00F71454" w:rsidRPr="00034EE6">
        <w:rPr>
          <w:rFonts w:ascii="Times New Roman" w:hAnsi="Times New Roman"/>
          <w:sz w:val="24"/>
          <w:szCs w:val="24"/>
          <w:lang w:val="en-AU"/>
        </w:rPr>
        <w:t>’</w:t>
      </w:r>
      <w:r w:rsidR="00E35288">
        <w:rPr>
          <w:rFonts w:ascii="Times New Roman" w:hAnsi="Times New Roman"/>
          <w:sz w:val="24"/>
          <w:szCs w:val="24"/>
          <w:lang w:val="en-AU"/>
        </w:rPr>
        <w:t>s</w:t>
      </w:r>
      <w:r w:rsidR="00F71454" w:rsidRPr="00034EE6">
        <w:rPr>
          <w:rFonts w:ascii="Times New Roman" w:hAnsi="Times New Roman"/>
          <w:sz w:val="24"/>
          <w:szCs w:val="24"/>
          <w:lang w:val="en-AU"/>
        </w:rPr>
        <w:t xml:space="preserve"> ministry</w:t>
      </w:r>
      <w:r w:rsidR="002D7E4F" w:rsidRPr="00034EE6">
        <w:rPr>
          <w:rFonts w:ascii="Times New Roman" w:hAnsi="Times New Roman"/>
          <w:sz w:val="24"/>
          <w:szCs w:val="24"/>
          <w:lang w:val="en-AU"/>
        </w:rPr>
        <w:t xml:space="preserve">, </w:t>
      </w:r>
      <w:r w:rsidR="001658C7" w:rsidRPr="00034EE6">
        <w:rPr>
          <w:rFonts w:ascii="Times New Roman" w:hAnsi="Times New Roman"/>
          <w:sz w:val="24"/>
          <w:szCs w:val="24"/>
          <w:lang w:val="en-AU"/>
        </w:rPr>
        <w:t>sending Rabbis into exile ended</w:t>
      </w:r>
      <w:r w:rsidR="002D7E4F" w:rsidRPr="00034EE6">
        <w:rPr>
          <w:rFonts w:ascii="Times New Roman" w:hAnsi="Times New Roman"/>
          <w:sz w:val="24"/>
          <w:szCs w:val="24"/>
          <w:lang w:val="en-AU"/>
        </w:rPr>
        <w:t xml:space="preserve">, and people resumed </w:t>
      </w:r>
      <w:r w:rsidR="00F71454" w:rsidRPr="00034EE6">
        <w:rPr>
          <w:rFonts w:ascii="Times New Roman" w:hAnsi="Times New Roman"/>
          <w:sz w:val="24"/>
          <w:szCs w:val="24"/>
          <w:lang w:val="en-AU"/>
        </w:rPr>
        <w:t>the</w:t>
      </w:r>
      <w:r w:rsidR="002D7E4F" w:rsidRPr="00034EE6">
        <w:rPr>
          <w:rFonts w:ascii="Times New Roman" w:hAnsi="Times New Roman"/>
          <w:sz w:val="24"/>
          <w:szCs w:val="24"/>
          <w:lang w:val="en-AU"/>
        </w:rPr>
        <w:t xml:space="preserve"> practice</w:t>
      </w:r>
      <w:r w:rsidR="001658C7" w:rsidRPr="00034EE6">
        <w:rPr>
          <w:rFonts w:ascii="Times New Roman" w:hAnsi="Times New Roman"/>
          <w:sz w:val="24"/>
          <w:szCs w:val="24"/>
          <w:lang w:val="en-AU"/>
        </w:rPr>
        <w:t xml:space="preserve"> of Rabbis teaching in the local synagogues</w:t>
      </w:r>
      <w:r w:rsidR="002D7E4F" w:rsidRPr="00034EE6">
        <w:rPr>
          <w:rFonts w:ascii="Times New Roman" w:hAnsi="Times New Roman"/>
          <w:sz w:val="24"/>
          <w:szCs w:val="24"/>
          <w:lang w:val="en-AU"/>
        </w:rPr>
        <w:t xml:space="preserve">. </w:t>
      </w:r>
    </w:p>
    <w:p w14:paraId="56482F8D" w14:textId="16A8AF46" w:rsidR="0085311C" w:rsidRPr="009E7B69" w:rsidRDefault="00D22B22" w:rsidP="00DC7FDB">
      <w:pPr>
        <w:pStyle w:val="NormalWeb"/>
        <w:spacing w:before="2" w:after="2" w:line="480" w:lineRule="auto"/>
        <w:ind w:firstLine="720"/>
        <w:rPr>
          <w:rFonts w:ascii="Times New Roman" w:hAnsi="Times New Roman"/>
          <w:sz w:val="24"/>
          <w:szCs w:val="24"/>
        </w:rPr>
      </w:pPr>
      <w:r w:rsidRPr="00034EE6">
        <w:rPr>
          <w:rFonts w:ascii="Times New Roman" w:hAnsi="Times New Roman"/>
          <w:sz w:val="24"/>
          <w:szCs w:val="24"/>
          <w:lang w:val="en-AU"/>
        </w:rPr>
        <w:t xml:space="preserve">The </w:t>
      </w:r>
      <w:r w:rsidR="00F93706" w:rsidRPr="00034EE6">
        <w:rPr>
          <w:rFonts w:ascii="Times New Roman" w:hAnsi="Times New Roman"/>
          <w:sz w:val="24"/>
          <w:szCs w:val="24"/>
          <w:lang w:val="en-AU"/>
        </w:rPr>
        <w:t>r</w:t>
      </w:r>
      <w:r w:rsidRPr="00034EE6">
        <w:rPr>
          <w:rFonts w:ascii="Times New Roman" w:hAnsi="Times New Roman"/>
          <w:sz w:val="24"/>
          <w:szCs w:val="24"/>
          <w:lang w:val="en-AU"/>
        </w:rPr>
        <w:t xml:space="preserve">abbis </w:t>
      </w:r>
      <w:r w:rsidR="007E0C7D" w:rsidRPr="00034EE6">
        <w:rPr>
          <w:rFonts w:ascii="Times New Roman" w:hAnsi="Times New Roman"/>
          <w:sz w:val="24"/>
          <w:szCs w:val="24"/>
          <w:lang w:val="en-AU"/>
        </w:rPr>
        <w:t xml:space="preserve">had to learn to adapt to </w:t>
      </w:r>
      <w:r w:rsidR="00BE6BA3" w:rsidRPr="00034EE6">
        <w:rPr>
          <w:rFonts w:ascii="Times New Roman" w:hAnsi="Times New Roman"/>
          <w:sz w:val="24"/>
          <w:szCs w:val="24"/>
          <w:lang w:val="en-AU"/>
        </w:rPr>
        <w:t xml:space="preserve">different cultures in </w:t>
      </w:r>
      <w:r w:rsidR="00CE6052" w:rsidRPr="00034EE6">
        <w:rPr>
          <w:rFonts w:ascii="Times New Roman" w:hAnsi="Times New Roman"/>
          <w:sz w:val="24"/>
          <w:szCs w:val="24"/>
          <w:lang w:val="en-AU"/>
        </w:rPr>
        <w:t xml:space="preserve">the </w:t>
      </w:r>
      <w:r w:rsidR="00BE6BA3" w:rsidRPr="00034EE6">
        <w:rPr>
          <w:rFonts w:ascii="Times New Roman" w:hAnsi="Times New Roman"/>
          <w:sz w:val="24"/>
          <w:szCs w:val="24"/>
          <w:lang w:val="en-AU"/>
        </w:rPr>
        <w:t>Diaspora.</w:t>
      </w:r>
      <w:r w:rsidR="002E565B" w:rsidRPr="00034EE6">
        <w:rPr>
          <w:rStyle w:val="FootnoteReference"/>
          <w:rFonts w:ascii="Times New Roman" w:hAnsi="Times New Roman"/>
          <w:sz w:val="24"/>
          <w:szCs w:val="24"/>
          <w:lang w:val="en-AU"/>
        </w:rPr>
        <w:footnoteReference w:id="252"/>
      </w:r>
      <w:r w:rsidR="00BE6BA3" w:rsidRPr="00034EE6">
        <w:rPr>
          <w:rFonts w:ascii="Times New Roman" w:hAnsi="Times New Roman"/>
          <w:sz w:val="24"/>
          <w:szCs w:val="24"/>
          <w:lang w:val="en-AU"/>
        </w:rPr>
        <w:t xml:space="preserve"> </w:t>
      </w:r>
      <w:r w:rsidR="00BE6BA3" w:rsidRPr="00034EE6">
        <w:rPr>
          <w:rFonts w:ascii="Times New Roman" w:hAnsi="Times New Roman"/>
          <w:iCs/>
          <w:sz w:val="24"/>
          <w:szCs w:val="24"/>
          <w:lang w:val="en-AU"/>
        </w:rPr>
        <w:t xml:space="preserve">Maccabaeus </w:t>
      </w:r>
      <w:r w:rsidR="00854EE5" w:rsidRPr="00034EE6">
        <w:rPr>
          <w:rFonts w:ascii="Times New Roman" w:hAnsi="Times New Roman"/>
          <w:iCs/>
          <w:sz w:val="24"/>
          <w:szCs w:val="24"/>
          <w:lang w:val="en-AU"/>
        </w:rPr>
        <w:t xml:space="preserve">wanted to remove Hellenism from the land and restore the Jewish kingdom. </w:t>
      </w:r>
      <w:r w:rsidR="00BE6BA3" w:rsidRPr="00034EE6">
        <w:rPr>
          <w:rFonts w:ascii="Times New Roman" w:hAnsi="Times New Roman"/>
          <w:sz w:val="24"/>
          <w:szCs w:val="24"/>
          <w:lang w:val="en-AU"/>
        </w:rPr>
        <w:t xml:space="preserve">By the time of Jesus, </w:t>
      </w:r>
      <w:r w:rsidR="00B36714" w:rsidRPr="00034EE6">
        <w:rPr>
          <w:rFonts w:ascii="Times New Roman" w:hAnsi="Times New Roman"/>
          <w:sz w:val="24"/>
          <w:szCs w:val="24"/>
          <w:lang w:val="en-AU"/>
        </w:rPr>
        <w:t>archaeology</w:t>
      </w:r>
      <w:r w:rsidR="006D2731" w:rsidRPr="00034EE6">
        <w:rPr>
          <w:rFonts w:ascii="Times New Roman" w:hAnsi="Times New Roman"/>
          <w:sz w:val="24"/>
          <w:szCs w:val="24"/>
          <w:lang w:val="en-AU"/>
        </w:rPr>
        <w:t xml:space="preserve"> finds s</w:t>
      </w:r>
      <w:r w:rsidR="001658C7" w:rsidRPr="00034EE6">
        <w:rPr>
          <w:rFonts w:ascii="Times New Roman" w:hAnsi="Times New Roman"/>
          <w:sz w:val="24"/>
          <w:szCs w:val="24"/>
          <w:lang w:val="en-AU"/>
        </w:rPr>
        <w:t xml:space="preserve">crolls and books </w:t>
      </w:r>
      <w:r w:rsidR="00BE6BA3" w:rsidRPr="00034EE6">
        <w:rPr>
          <w:rFonts w:ascii="Times New Roman" w:hAnsi="Times New Roman"/>
          <w:sz w:val="24"/>
          <w:szCs w:val="24"/>
          <w:lang w:val="en-AU"/>
        </w:rPr>
        <w:t xml:space="preserve">written in Hebrew, Aramaic, </w:t>
      </w:r>
      <w:r w:rsidR="00A50F3A" w:rsidRPr="00034EE6">
        <w:rPr>
          <w:rFonts w:ascii="Times New Roman" w:hAnsi="Times New Roman"/>
          <w:sz w:val="24"/>
          <w:szCs w:val="24"/>
          <w:lang w:val="en-AU"/>
        </w:rPr>
        <w:t xml:space="preserve">and </w:t>
      </w:r>
      <w:r w:rsidR="00BE6BA3" w:rsidRPr="00034EE6">
        <w:rPr>
          <w:rFonts w:ascii="Times New Roman" w:hAnsi="Times New Roman"/>
          <w:sz w:val="24"/>
          <w:szCs w:val="24"/>
          <w:lang w:val="en-AU"/>
        </w:rPr>
        <w:t>Greek.</w:t>
      </w:r>
      <w:r w:rsidR="006D2731" w:rsidRPr="00034EE6">
        <w:rPr>
          <w:rStyle w:val="FootnoteReference"/>
          <w:rFonts w:ascii="Times New Roman" w:hAnsi="Times New Roman"/>
          <w:sz w:val="24"/>
          <w:szCs w:val="24"/>
          <w:lang w:val="en-AU"/>
        </w:rPr>
        <w:footnoteReference w:id="253"/>
      </w:r>
      <w:r w:rsidR="00BE6BA3" w:rsidRPr="00034EE6">
        <w:rPr>
          <w:rFonts w:ascii="Times New Roman" w:hAnsi="Times New Roman"/>
          <w:sz w:val="24"/>
          <w:szCs w:val="24"/>
          <w:lang w:val="en-AU"/>
        </w:rPr>
        <w:t xml:space="preserve">  Greek or Latin was probably more common in court circles both </w:t>
      </w:r>
      <w:bookmarkStart w:id="90" w:name="_Hlk99198701"/>
      <w:r w:rsidR="00BE6BA3" w:rsidRPr="00034EE6">
        <w:rPr>
          <w:rFonts w:ascii="Times New Roman" w:hAnsi="Times New Roman"/>
          <w:sz w:val="24"/>
          <w:szCs w:val="24"/>
          <w:lang w:val="en-AU"/>
        </w:rPr>
        <w:t>in Jerusalem</w:t>
      </w:r>
      <w:r w:rsidR="009F3FF5" w:rsidRPr="00034EE6">
        <w:rPr>
          <w:rFonts w:ascii="Times New Roman" w:hAnsi="Times New Roman"/>
          <w:sz w:val="24"/>
          <w:szCs w:val="24"/>
          <w:lang w:val="en-AU"/>
        </w:rPr>
        <w:t>,</w:t>
      </w:r>
      <w:r w:rsidR="00BE6BA3" w:rsidRPr="00034EE6">
        <w:rPr>
          <w:rFonts w:ascii="Times New Roman" w:hAnsi="Times New Roman"/>
          <w:sz w:val="24"/>
          <w:szCs w:val="24"/>
          <w:lang w:val="en-AU"/>
        </w:rPr>
        <w:t xml:space="preserve"> Sepphoris</w:t>
      </w:r>
      <w:r w:rsidR="009F3FF5" w:rsidRPr="00034EE6">
        <w:rPr>
          <w:rFonts w:ascii="Times New Roman" w:hAnsi="Times New Roman"/>
          <w:sz w:val="24"/>
          <w:szCs w:val="24"/>
          <w:lang w:val="en-AU"/>
        </w:rPr>
        <w:t xml:space="preserve"> and Tiberius</w:t>
      </w:r>
      <w:bookmarkEnd w:id="90"/>
      <w:r w:rsidR="00BE6BA3" w:rsidRPr="00034EE6">
        <w:rPr>
          <w:rFonts w:ascii="Times New Roman" w:hAnsi="Times New Roman"/>
          <w:sz w:val="24"/>
          <w:szCs w:val="24"/>
          <w:lang w:val="en-AU"/>
        </w:rPr>
        <w:t xml:space="preserve">, and the other </w:t>
      </w:r>
      <w:r w:rsidR="009F3FF5" w:rsidRPr="00034EE6">
        <w:rPr>
          <w:rFonts w:ascii="Times New Roman" w:hAnsi="Times New Roman"/>
          <w:sz w:val="24"/>
          <w:szCs w:val="24"/>
          <w:lang w:val="en-AU"/>
        </w:rPr>
        <w:t xml:space="preserve">larger </w:t>
      </w:r>
      <w:r w:rsidR="00BE6BA3" w:rsidRPr="00034EE6">
        <w:rPr>
          <w:rFonts w:ascii="Times New Roman" w:hAnsi="Times New Roman"/>
          <w:sz w:val="24"/>
          <w:szCs w:val="24"/>
          <w:lang w:val="en-AU"/>
        </w:rPr>
        <w:t>c</w:t>
      </w:r>
      <w:r w:rsidR="00571162" w:rsidRPr="00034EE6">
        <w:rPr>
          <w:rFonts w:ascii="Times New Roman" w:hAnsi="Times New Roman"/>
          <w:sz w:val="24"/>
          <w:szCs w:val="24"/>
          <w:lang w:val="en-AU"/>
        </w:rPr>
        <w:t>ities</w:t>
      </w:r>
      <w:r w:rsidR="00BE6BA3" w:rsidRPr="00034EE6">
        <w:rPr>
          <w:rFonts w:ascii="Times New Roman" w:hAnsi="Times New Roman"/>
          <w:sz w:val="24"/>
          <w:szCs w:val="24"/>
          <w:lang w:val="en-AU"/>
        </w:rPr>
        <w:t xml:space="preserve">, dominating in the Decapolis and probably </w:t>
      </w:r>
      <w:r w:rsidR="00571162" w:rsidRPr="00034EE6">
        <w:rPr>
          <w:rFonts w:ascii="Times New Roman" w:hAnsi="Times New Roman"/>
          <w:sz w:val="24"/>
          <w:szCs w:val="24"/>
          <w:lang w:val="en-AU"/>
        </w:rPr>
        <w:t xml:space="preserve">also </w:t>
      </w:r>
      <w:r w:rsidR="00BE6BA3" w:rsidRPr="00034EE6">
        <w:rPr>
          <w:rFonts w:ascii="Times New Roman" w:hAnsi="Times New Roman"/>
          <w:sz w:val="24"/>
          <w:szCs w:val="24"/>
          <w:lang w:val="en-AU"/>
        </w:rPr>
        <w:t xml:space="preserve">in Caesarea Maritima. </w:t>
      </w:r>
      <w:r w:rsidR="002D7E4F" w:rsidRPr="00034EE6">
        <w:rPr>
          <w:rFonts w:ascii="Times New Roman" w:hAnsi="Times New Roman"/>
          <w:sz w:val="24"/>
          <w:szCs w:val="24"/>
          <w:lang w:val="en-AU"/>
        </w:rPr>
        <w:t xml:space="preserve">The Hellenization of the culture was </w:t>
      </w:r>
      <w:r w:rsidR="00C81752" w:rsidRPr="00034EE6">
        <w:rPr>
          <w:rFonts w:ascii="Times New Roman" w:hAnsi="Times New Roman"/>
          <w:sz w:val="24"/>
          <w:szCs w:val="24"/>
          <w:lang w:val="en-AU"/>
        </w:rPr>
        <w:t xml:space="preserve">a </w:t>
      </w:r>
      <w:r w:rsidR="002D7E4F" w:rsidRPr="00034EE6">
        <w:rPr>
          <w:rFonts w:ascii="Times New Roman" w:hAnsi="Times New Roman"/>
          <w:sz w:val="24"/>
          <w:szCs w:val="24"/>
          <w:lang w:val="en-AU"/>
        </w:rPr>
        <w:t>challen</w:t>
      </w:r>
      <w:r w:rsidR="00C81752" w:rsidRPr="00034EE6">
        <w:rPr>
          <w:rFonts w:ascii="Times New Roman" w:hAnsi="Times New Roman"/>
          <w:sz w:val="24"/>
          <w:szCs w:val="24"/>
          <w:lang w:val="en-AU"/>
        </w:rPr>
        <w:t>ge</w:t>
      </w:r>
      <w:r w:rsidR="002D7E4F" w:rsidRPr="00034EE6">
        <w:rPr>
          <w:rFonts w:ascii="Times New Roman" w:hAnsi="Times New Roman"/>
          <w:sz w:val="24"/>
          <w:szCs w:val="24"/>
          <w:lang w:val="en-AU"/>
        </w:rPr>
        <w:t xml:space="preserve"> to the </w:t>
      </w:r>
      <w:r w:rsidR="00C81752" w:rsidRPr="00034EE6">
        <w:rPr>
          <w:rFonts w:ascii="Times New Roman" w:hAnsi="Times New Roman"/>
          <w:sz w:val="24"/>
          <w:szCs w:val="24"/>
          <w:lang w:val="en-AU"/>
        </w:rPr>
        <w:t xml:space="preserve">Jewish </w:t>
      </w:r>
      <w:r w:rsidR="002D7E4F" w:rsidRPr="00034EE6">
        <w:rPr>
          <w:rFonts w:ascii="Times New Roman" w:hAnsi="Times New Roman"/>
          <w:sz w:val="24"/>
          <w:szCs w:val="24"/>
          <w:lang w:val="en-AU"/>
        </w:rPr>
        <w:t>religious rites during Jesus</w:t>
      </w:r>
      <w:r w:rsidR="005C71CB" w:rsidRPr="00034EE6">
        <w:rPr>
          <w:rFonts w:ascii="Times New Roman" w:hAnsi="Times New Roman"/>
          <w:sz w:val="24"/>
          <w:szCs w:val="24"/>
          <w:lang w:val="en-AU"/>
        </w:rPr>
        <w:t>’</w:t>
      </w:r>
      <w:r w:rsidR="00E35288">
        <w:rPr>
          <w:rFonts w:ascii="Times New Roman" w:hAnsi="Times New Roman"/>
          <w:sz w:val="24"/>
          <w:szCs w:val="24"/>
          <w:lang w:val="en-AU"/>
        </w:rPr>
        <w:t>s</w:t>
      </w:r>
      <w:r w:rsidR="002D7E4F" w:rsidRPr="00034EE6">
        <w:rPr>
          <w:rFonts w:ascii="Times New Roman" w:hAnsi="Times New Roman"/>
          <w:sz w:val="24"/>
          <w:szCs w:val="24"/>
          <w:lang w:val="en-AU"/>
        </w:rPr>
        <w:t xml:space="preserve"> era.</w:t>
      </w:r>
      <w:r w:rsidR="00BE6BA3" w:rsidRPr="00034EE6">
        <w:rPr>
          <w:rStyle w:val="FootnoteReference"/>
          <w:rFonts w:ascii="Times New Roman" w:hAnsi="Times New Roman"/>
          <w:sz w:val="24"/>
          <w:szCs w:val="24"/>
          <w:lang w:val="en-AU"/>
        </w:rPr>
        <w:footnoteReference w:id="254"/>
      </w:r>
      <w:r w:rsidR="00BE6BA3" w:rsidRPr="00034EE6">
        <w:rPr>
          <w:rFonts w:ascii="Times New Roman" w:hAnsi="Times New Roman"/>
          <w:sz w:val="24"/>
          <w:szCs w:val="24"/>
          <w:lang w:val="en-AU"/>
        </w:rPr>
        <w:t xml:space="preserve"> </w:t>
      </w:r>
      <w:r w:rsidR="002D7E4F" w:rsidRPr="00034EE6">
        <w:rPr>
          <w:rFonts w:ascii="Times New Roman" w:hAnsi="Times New Roman"/>
          <w:sz w:val="24"/>
          <w:szCs w:val="24"/>
          <w:lang w:val="en-AU"/>
        </w:rPr>
        <w:t>B</w:t>
      </w:r>
      <w:r w:rsidR="00DC7FDB" w:rsidRPr="00034EE6">
        <w:rPr>
          <w:rFonts w:ascii="Times New Roman" w:hAnsi="Times New Roman"/>
          <w:sz w:val="24"/>
          <w:szCs w:val="24"/>
          <w:lang w:val="en-AU"/>
        </w:rPr>
        <w:t xml:space="preserve">efore Jesus, even the High Priests had </w:t>
      </w:r>
      <w:r w:rsidR="006D0CBA" w:rsidRPr="00034EE6">
        <w:rPr>
          <w:rFonts w:ascii="Times New Roman" w:hAnsi="Times New Roman"/>
          <w:sz w:val="24"/>
          <w:szCs w:val="24"/>
          <w:lang w:val="en-AU"/>
        </w:rPr>
        <w:t xml:space="preserve">adopted </w:t>
      </w:r>
      <w:r w:rsidR="00DC7FDB" w:rsidRPr="00034EE6">
        <w:rPr>
          <w:rFonts w:ascii="Times New Roman" w:hAnsi="Times New Roman"/>
          <w:sz w:val="24"/>
          <w:szCs w:val="24"/>
          <w:lang w:val="en-AU"/>
        </w:rPr>
        <w:t xml:space="preserve">Greek </w:t>
      </w:r>
      <w:r w:rsidR="001658C7" w:rsidRPr="00034EE6">
        <w:rPr>
          <w:rFonts w:ascii="Times New Roman" w:hAnsi="Times New Roman"/>
          <w:sz w:val="24"/>
          <w:szCs w:val="24"/>
          <w:lang w:val="en-AU"/>
        </w:rPr>
        <w:t xml:space="preserve">names, </w:t>
      </w:r>
      <w:r w:rsidR="001658C7" w:rsidRPr="00034EE6">
        <w:rPr>
          <w:rFonts w:ascii="Times New Roman" w:hAnsi="Times New Roman"/>
          <w:sz w:val="24"/>
          <w:szCs w:val="24"/>
          <w:lang w:val="en-AU"/>
        </w:rPr>
        <w:lastRenderedPageBreak/>
        <w:t>indicating</w:t>
      </w:r>
      <w:r w:rsidR="004B34EA" w:rsidRPr="00034EE6">
        <w:rPr>
          <w:rFonts w:ascii="Times New Roman" w:hAnsi="Times New Roman"/>
          <w:sz w:val="24"/>
          <w:szCs w:val="24"/>
          <w:lang w:val="en-AU"/>
        </w:rPr>
        <w:t xml:space="preserve"> the </w:t>
      </w:r>
      <w:r w:rsidR="00BE6BA3" w:rsidRPr="00034EE6">
        <w:rPr>
          <w:rFonts w:ascii="Times New Roman" w:hAnsi="Times New Roman"/>
          <w:sz w:val="24"/>
          <w:szCs w:val="24"/>
          <w:lang w:val="en-AU"/>
        </w:rPr>
        <w:t>extent of their assimilation</w:t>
      </w:r>
      <w:r w:rsidR="00E01E74" w:rsidRPr="00034EE6">
        <w:rPr>
          <w:rFonts w:ascii="Times New Roman" w:hAnsi="Times New Roman"/>
          <w:sz w:val="24"/>
          <w:szCs w:val="24"/>
          <w:lang w:val="en-AU"/>
        </w:rPr>
        <w:t>.</w:t>
      </w:r>
      <w:r w:rsidR="00DC7FDB" w:rsidRPr="00034EE6">
        <w:rPr>
          <w:rStyle w:val="FootnoteReference"/>
          <w:rFonts w:ascii="Times New Roman" w:hAnsi="Times New Roman"/>
          <w:sz w:val="24"/>
          <w:szCs w:val="24"/>
          <w:lang w:val="en-AU"/>
        </w:rPr>
        <w:footnoteReference w:id="255"/>
      </w:r>
      <w:r w:rsidR="00BE6BA3" w:rsidRPr="00034EE6">
        <w:rPr>
          <w:rFonts w:ascii="Times New Roman" w:hAnsi="Times New Roman"/>
          <w:sz w:val="24"/>
          <w:szCs w:val="24"/>
          <w:lang w:val="en-AU"/>
        </w:rPr>
        <w:t xml:space="preserve"> </w:t>
      </w:r>
      <w:r w:rsidR="00427BC1" w:rsidRPr="00034EE6">
        <w:rPr>
          <w:rFonts w:ascii="Times New Roman" w:hAnsi="Times New Roman"/>
          <w:sz w:val="24"/>
          <w:szCs w:val="24"/>
          <w:lang w:val="en-AU"/>
        </w:rPr>
        <w:t xml:space="preserve">The </w:t>
      </w:r>
      <w:r w:rsidR="00BE6BA3" w:rsidRPr="00034EE6">
        <w:rPr>
          <w:rFonts w:ascii="Times New Roman" w:hAnsi="Times New Roman"/>
          <w:sz w:val="24"/>
          <w:szCs w:val="24"/>
          <w:lang w:val="en-AU"/>
        </w:rPr>
        <w:t xml:space="preserve">Pharisees, the Sadducees, and the Essenes (who </w:t>
      </w:r>
      <w:r w:rsidR="002F4EFD" w:rsidRPr="00034EE6">
        <w:rPr>
          <w:rFonts w:ascii="Times New Roman" w:hAnsi="Times New Roman"/>
          <w:sz w:val="24"/>
          <w:szCs w:val="24"/>
          <w:lang w:val="en-AU"/>
        </w:rPr>
        <w:t>practiced</w:t>
      </w:r>
      <w:r w:rsidR="00BE6BA3" w:rsidRPr="00034EE6">
        <w:rPr>
          <w:rFonts w:ascii="Times New Roman" w:hAnsi="Times New Roman"/>
          <w:sz w:val="24"/>
          <w:szCs w:val="24"/>
          <w:lang w:val="en-AU"/>
        </w:rPr>
        <w:t xml:space="preserve"> ritual purity through the use of the </w:t>
      </w:r>
      <w:r w:rsidR="00BE6BA3" w:rsidRPr="00034EE6">
        <w:rPr>
          <w:rFonts w:ascii="Times New Roman" w:hAnsi="Times New Roman"/>
          <w:i/>
          <w:sz w:val="24"/>
          <w:szCs w:val="24"/>
          <w:lang w:val="en-AU"/>
        </w:rPr>
        <w:t>mikvah</w:t>
      </w:r>
      <w:r w:rsidR="00BE6BA3" w:rsidRPr="00034EE6">
        <w:rPr>
          <w:rFonts w:ascii="Times New Roman" w:hAnsi="Times New Roman"/>
          <w:sz w:val="24"/>
          <w:szCs w:val="24"/>
          <w:lang w:val="en-AU"/>
        </w:rPr>
        <w:t>, or ritual bath, and withdrew</w:t>
      </w:r>
      <w:r w:rsidR="00BE6BA3" w:rsidRPr="009E7B69">
        <w:rPr>
          <w:rFonts w:ascii="Times New Roman" w:hAnsi="Times New Roman"/>
          <w:sz w:val="24"/>
          <w:szCs w:val="24"/>
        </w:rPr>
        <w:t xml:space="preserve"> </w:t>
      </w:r>
      <w:r w:rsidR="00BE6BA3" w:rsidRPr="00C91742">
        <w:rPr>
          <w:rFonts w:ascii="Times New Roman" w:hAnsi="Times New Roman"/>
          <w:sz w:val="24"/>
          <w:szCs w:val="24"/>
          <w:lang w:val="en-AU"/>
        </w:rPr>
        <w:t>themselves from political life), as well the Herodians</w:t>
      </w:r>
      <w:r w:rsidR="00DB33FB" w:rsidRPr="00C91742">
        <w:rPr>
          <w:rFonts w:ascii="Times New Roman" w:hAnsi="Times New Roman"/>
          <w:sz w:val="24"/>
          <w:szCs w:val="24"/>
          <w:lang w:val="en-AU"/>
        </w:rPr>
        <w:t xml:space="preserve"> and the </w:t>
      </w:r>
      <w:r w:rsidR="00BE6BA3" w:rsidRPr="00C91742">
        <w:rPr>
          <w:rFonts w:ascii="Times New Roman" w:hAnsi="Times New Roman"/>
          <w:sz w:val="24"/>
          <w:szCs w:val="24"/>
          <w:lang w:val="en-AU"/>
        </w:rPr>
        <w:t>Sicarii Jews</w:t>
      </w:r>
      <w:r w:rsidR="00CF3E65" w:rsidRPr="00C91742">
        <w:rPr>
          <w:rFonts w:ascii="Times New Roman" w:hAnsi="Times New Roman"/>
          <w:sz w:val="24"/>
          <w:szCs w:val="24"/>
          <w:lang w:val="en-AU"/>
        </w:rPr>
        <w:t xml:space="preserve"> all had disagreements on the best practice of religion</w:t>
      </w:r>
      <w:r w:rsidR="00BE6BA3" w:rsidRPr="00C91742">
        <w:rPr>
          <w:rFonts w:ascii="Times New Roman" w:hAnsi="Times New Roman"/>
          <w:sz w:val="24"/>
          <w:szCs w:val="24"/>
          <w:lang w:val="en-AU"/>
        </w:rPr>
        <w:t xml:space="preserve">. </w:t>
      </w:r>
      <w:r w:rsidR="00DC7FDB" w:rsidRPr="00C91742">
        <w:rPr>
          <w:rFonts w:ascii="Times New Roman" w:hAnsi="Times New Roman"/>
          <w:sz w:val="24"/>
          <w:szCs w:val="24"/>
          <w:lang w:val="en-AU"/>
        </w:rPr>
        <w:t xml:space="preserve">The </w:t>
      </w:r>
      <w:r w:rsidR="00BE6BA3" w:rsidRPr="00C91742">
        <w:rPr>
          <w:rFonts w:ascii="Times New Roman" w:hAnsi="Times New Roman"/>
          <w:i/>
          <w:iCs/>
          <w:sz w:val="24"/>
          <w:szCs w:val="24"/>
          <w:lang w:val="en-AU"/>
        </w:rPr>
        <w:t>Mishna Avot</w:t>
      </w:r>
      <w:r w:rsidR="00DC7FDB" w:rsidRPr="00C91742">
        <w:rPr>
          <w:rFonts w:ascii="Times New Roman" w:hAnsi="Times New Roman"/>
          <w:i/>
          <w:iCs/>
          <w:sz w:val="24"/>
          <w:szCs w:val="24"/>
          <w:lang w:val="en-AU"/>
        </w:rPr>
        <w:t xml:space="preserve"> </w:t>
      </w:r>
      <w:r w:rsidR="00A20177" w:rsidRPr="00C91742">
        <w:rPr>
          <w:rFonts w:ascii="Times New Roman" w:hAnsi="Times New Roman"/>
          <w:sz w:val="24"/>
          <w:szCs w:val="24"/>
          <w:lang w:val="en-AU"/>
        </w:rPr>
        <w:t>reflects</w:t>
      </w:r>
      <w:r w:rsidR="00DC7FDB" w:rsidRPr="00C91742">
        <w:rPr>
          <w:rFonts w:ascii="Times New Roman" w:hAnsi="Times New Roman"/>
          <w:sz w:val="24"/>
          <w:szCs w:val="24"/>
          <w:lang w:val="en-AU"/>
        </w:rPr>
        <w:t xml:space="preserve"> </w:t>
      </w:r>
      <w:r w:rsidR="00A20177" w:rsidRPr="00C91742">
        <w:rPr>
          <w:rFonts w:ascii="Times New Roman" w:hAnsi="Times New Roman"/>
          <w:sz w:val="24"/>
          <w:szCs w:val="24"/>
          <w:lang w:val="en-AU"/>
        </w:rPr>
        <w:t>the</w:t>
      </w:r>
      <w:r w:rsidR="00DC7FDB" w:rsidRPr="00C91742">
        <w:rPr>
          <w:rFonts w:ascii="Times New Roman" w:hAnsi="Times New Roman"/>
          <w:sz w:val="24"/>
          <w:szCs w:val="24"/>
          <w:lang w:val="en-AU"/>
        </w:rPr>
        <w:t xml:space="preserve"> changing world of Judaism</w:t>
      </w:r>
      <w:r w:rsidR="00A20177" w:rsidRPr="00C91742">
        <w:rPr>
          <w:rFonts w:ascii="Times New Roman" w:hAnsi="Times New Roman"/>
          <w:sz w:val="24"/>
          <w:szCs w:val="24"/>
          <w:lang w:val="en-AU"/>
        </w:rPr>
        <w:t xml:space="preserve"> in which some</w:t>
      </w:r>
      <w:r w:rsidR="00DC7FDB" w:rsidRPr="00C91742">
        <w:rPr>
          <w:rFonts w:ascii="Times New Roman" w:hAnsi="Times New Roman"/>
          <w:sz w:val="24"/>
          <w:szCs w:val="24"/>
          <w:lang w:val="en-AU"/>
        </w:rPr>
        <w:t xml:space="preserve"> </w:t>
      </w:r>
      <w:r w:rsidR="003C4C77" w:rsidRPr="00C91742">
        <w:rPr>
          <w:rFonts w:ascii="Times New Roman" w:hAnsi="Times New Roman"/>
          <w:sz w:val="24"/>
          <w:szCs w:val="24"/>
          <w:lang w:val="en-AU"/>
        </w:rPr>
        <w:t xml:space="preserve">practiced </w:t>
      </w:r>
      <w:r w:rsidR="00611617" w:rsidRPr="00C91742">
        <w:rPr>
          <w:rFonts w:ascii="Times New Roman" w:hAnsi="Times New Roman"/>
          <w:sz w:val="24"/>
          <w:szCs w:val="24"/>
          <w:lang w:val="en-AU"/>
        </w:rPr>
        <w:t>nonviolent</w:t>
      </w:r>
      <w:r w:rsidR="00DC7FDB" w:rsidRPr="00C91742">
        <w:rPr>
          <w:rFonts w:ascii="Times New Roman" w:hAnsi="Times New Roman"/>
          <w:sz w:val="24"/>
          <w:szCs w:val="24"/>
          <w:lang w:val="en-AU"/>
        </w:rPr>
        <w:t xml:space="preserve"> resistance </w:t>
      </w:r>
      <w:r w:rsidR="003C4C77" w:rsidRPr="00C91742">
        <w:rPr>
          <w:rFonts w:ascii="Times New Roman" w:hAnsi="Times New Roman"/>
          <w:sz w:val="24"/>
          <w:szCs w:val="24"/>
          <w:lang w:val="en-AU"/>
        </w:rPr>
        <w:t xml:space="preserve">while at the same time </w:t>
      </w:r>
      <w:r w:rsidR="00DC7FDB" w:rsidRPr="00C91742">
        <w:rPr>
          <w:rFonts w:ascii="Times New Roman" w:hAnsi="Times New Roman"/>
          <w:sz w:val="24"/>
          <w:szCs w:val="24"/>
          <w:lang w:val="en-AU"/>
        </w:rPr>
        <w:t>suffer</w:t>
      </w:r>
      <w:r w:rsidR="003C4C77" w:rsidRPr="00C91742">
        <w:rPr>
          <w:rFonts w:ascii="Times New Roman" w:hAnsi="Times New Roman"/>
          <w:sz w:val="24"/>
          <w:szCs w:val="24"/>
          <w:lang w:val="en-AU"/>
        </w:rPr>
        <w:t>ing</w:t>
      </w:r>
      <w:r w:rsidR="00DC7FDB" w:rsidRPr="00C91742">
        <w:rPr>
          <w:rFonts w:ascii="Times New Roman" w:hAnsi="Times New Roman"/>
          <w:sz w:val="24"/>
          <w:szCs w:val="24"/>
          <w:lang w:val="en-AU"/>
        </w:rPr>
        <w:t xml:space="preserve"> </w:t>
      </w:r>
      <w:r w:rsidR="003C4C77" w:rsidRPr="00C91742">
        <w:rPr>
          <w:rFonts w:ascii="Times New Roman" w:hAnsi="Times New Roman"/>
          <w:sz w:val="24"/>
          <w:szCs w:val="24"/>
          <w:lang w:val="en-AU"/>
        </w:rPr>
        <w:t xml:space="preserve">under </w:t>
      </w:r>
      <w:r w:rsidR="00DC7FDB" w:rsidRPr="00C91742">
        <w:rPr>
          <w:rFonts w:ascii="Times New Roman" w:hAnsi="Times New Roman"/>
          <w:sz w:val="24"/>
          <w:szCs w:val="24"/>
          <w:lang w:val="en-AU"/>
        </w:rPr>
        <w:t>Hellenization</w:t>
      </w:r>
      <w:r w:rsidR="00F8578A" w:rsidRPr="009E7B69">
        <w:rPr>
          <w:rFonts w:ascii="Times New Roman" w:hAnsi="Times New Roman"/>
          <w:sz w:val="24"/>
          <w:szCs w:val="24"/>
        </w:rPr>
        <w:t>.</w:t>
      </w:r>
    </w:p>
    <w:p w14:paraId="2DC3E2DB" w14:textId="142B308F" w:rsidR="00D25D36" w:rsidRPr="009E7B69" w:rsidRDefault="00E30551" w:rsidP="00A95DD3">
      <w:pPr>
        <w:pStyle w:val="Heading2"/>
      </w:pPr>
      <w:bookmarkStart w:id="91" w:name="_Toc94536999"/>
      <w:bookmarkStart w:id="92" w:name="_Toc118063646"/>
      <w:r w:rsidRPr="009E7B69">
        <w:t xml:space="preserve">5.1 </w:t>
      </w:r>
      <w:r w:rsidRPr="009E7B69">
        <w:rPr>
          <w:i/>
          <w:iCs/>
        </w:rPr>
        <w:t xml:space="preserve">Mishna Avot </w:t>
      </w:r>
      <w:r w:rsidRPr="009E7B69">
        <w:t>6:4 and a Torah-Filled Life</w:t>
      </w:r>
      <w:bookmarkEnd w:id="91"/>
      <w:bookmarkEnd w:id="92"/>
    </w:p>
    <w:p w14:paraId="1BD4D0C6" w14:textId="77777777" w:rsidR="00E30551" w:rsidRPr="009E7B69" w:rsidRDefault="00E30551" w:rsidP="00E30551">
      <w:pPr>
        <w:ind w:left="709" w:right="709"/>
        <w:contextualSpacing/>
      </w:pPr>
      <w:r w:rsidRPr="009E7B69">
        <w:rPr>
          <w:i/>
          <w:iCs/>
        </w:rPr>
        <w:t>Mishna Avot</w:t>
      </w:r>
      <w:r w:rsidRPr="009E7B69">
        <w:rPr>
          <w:i/>
        </w:rPr>
        <w:t xml:space="preserve"> </w:t>
      </w:r>
      <w:r w:rsidRPr="009E7B69">
        <w:t>6:4</w:t>
      </w:r>
    </w:p>
    <w:p w14:paraId="4EE2AB52" w14:textId="1009B10A" w:rsidR="00D25D36" w:rsidRPr="009E7B69" w:rsidRDefault="00E30551" w:rsidP="00E30551">
      <w:pPr>
        <w:ind w:left="709" w:right="709"/>
        <w:contextualSpacing/>
        <w:jc w:val="right"/>
      </w:pPr>
      <w:r w:rsidRPr="009E7B69">
        <w:rPr>
          <w:rtl/>
        </w:rPr>
        <w:t>כַּךְ הִיא דַּרְכָּהּ שֶׁל תּוֹרָה, פַּת בְּמֶלַח תֹּאכַל, וּמַיִם בִּמְשׂוּרָה תִשְׁתֶּה, וְעַל הָאָרֶץ תִּישַׁן, וְחַיֵּי צַעַר תִּחְיֶה, וּבַתּוֹרָה אַתָּה עָמֵל, אִם אַתָּה עֹשֶׂה כֵן, (תהלים קכח) אַשְׁרֶיךָ וְטוֹב לָךְ. אַשְׁרֶיךָ בָּעוֹלָם הַזֶּה וְטוֹב לָךְ לָעוֹלָם הַבָּא</w:t>
      </w:r>
      <w:r w:rsidRPr="009E7B69">
        <w:t>:</w:t>
      </w:r>
    </w:p>
    <w:p w14:paraId="68D358BB" w14:textId="5AD20FCC" w:rsidR="00D25D36" w:rsidRPr="00C91742" w:rsidRDefault="00E30551" w:rsidP="00E30551">
      <w:pPr>
        <w:ind w:left="709" w:right="709"/>
        <w:contextualSpacing/>
        <w:rPr>
          <w:lang w:val="en-AU"/>
        </w:rPr>
      </w:pPr>
      <w:r w:rsidRPr="00C91742">
        <w:rPr>
          <w:lang w:val="en-AU"/>
        </w:rPr>
        <w:t>This is the way [to toil in] Torah: eat bread with salt and drink a small amount of water and sleep on the ground and live a life [whose conditions will cause you] pain and in Torah you toil; if you do so “happy shall you be, and it shall be well with you”(Psalms 128: 2)  – happy shall you be in this world, and it shall be well with you in the world to come.</w:t>
      </w:r>
      <w:r w:rsidRPr="00C91742">
        <w:rPr>
          <w:rStyle w:val="FootnoteReference"/>
          <w:lang w:val="en-AU"/>
        </w:rPr>
        <w:footnoteReference w:id="256"/>
      </w:r>
    </w:p>
    <w:p w14:paraId="3903EF0B" w14:textId="72ED8488" w:rsidR="00E30551" w:rsidRPr="009E7B69" w:rsidRDefault="00E30551" w:rsidP="00990707">
      <w:pPr>
        <w:spacing w:before="240" w:line="480" w:lineRule="auto"/>
        <w:ind w:firstLine="706"/>
        <w:rPr>
          <w:lang w:val="en-AU"/>
        </w:rPr>
      </w:pPr>
      <w:r w:rsidRPr="00C91742">
        <w:rPr>
          <w:i/>
          <w:iCs/>
          <w:lang w:val="en-AU"/>
        </w:rPr>
        <w:t>Avot</w:t>
      </w:r>
      <w:r w:rsidRPr="00C91742">
        <w:rPr>
          <w:lang w:val="en-AU"/>
        </w:rPr>
        <w:t xml:space="preserve"> </w:t>
      </w:r>
      <w:r w:rsidR="0058511B" w:rsidRPr="00C91742">
        <w:rPr>
          <w:lang w:val="en-AU"/>
        </w:rPr>
        <w:t xml:space="preserve">6:4 </w:t>
      </w:r>
      <w:r w:rsidRPr="00C91742">
        <w:rPr>
          <w:lang w:val="en-AU"/>
        </w:rPr>
        <w:t xml:space="preserve">suggests that happiness rests in observing Torah and practising restraint.  </w:t>
      </w:r>
      <w:r w:rsidRPr="00C91742">
        <w:rPr>
          <w:i/>
          <w:iCs/>
          <w:lang w:val="en-AU"/>
        </w:rPr>
        <w:t>Mishna Avot</w:t>
      </w:r>
      <w:r w:rsidRPr="00C91742">
        <w:rPr>
          <w:i/>
          <w:lang w:val="en-AU"/>
        </w:rPr>
        <w:t xml:space="preserve"> </w:t>
      </w:r>
      <w:r w:rsidRPr="00C91742">
        <w:rPr>
          <w:lang w:val="en-AU"/>
        </w:rPr>
        <w:t>teaches self-restraint and self-restraint reflects the role of Torah in one’s life. Hillel was a significant person in the development of Oral Tradition.</w:t>
      </w:r>
      <w:r w:rsidRPr="00C91742">
        <w:rPr>
          <w:rStyle w:val="FootnoteReference"/>
          <w:lang w:val="en-AU"/>
        </w:rPr>
        <w:footnoteReference w:id="257"/>
      </w:r>
      <w:r w:rsidRPr="00C91742">
        <w:rPr>
          <w:lang w:val="en-AU"/>
        </w:rPr>
        <w:t xml:space="preserve">  Hillel is quoted in the </w:t>
      </w:r>
      <w:r w:rsidRPr="00C91742">
        <w:rPr>
          <w:i/>
          <w:iCs/>
          <w:lang w:val="en-AU"/>
        </w:rPr>
        <w:t>Avot</w:t>
      </w:r>
      <w:r w:rsidRPr="00C91742">
        <w:rPr>
          <w:lang w:val="en-AU"/>
        </w:rPr>
        <w:t xml:space="preserve"> as saying, “a boor cannot fear sin; and an ignorant man cannot be pious, nor can the shy </w:t>
      </w:r>
      <w:r w:rsidRPr="00C91742">
        <w:rPr>
          <w:lang w:val="en-AU"/>
        </w:rPr>
        <w:lastRenderedPageBreak/>
        <w:t>person learn, nor can the impatient person teach. One who engages excessively in business cannot become wise. In a place where there are no men, strive to be a man” (</w:t>
      </w:r>
      <w:r w:rsidRPr="00C91742">
        <w:rPr>
          <w:i/>
          <w:iCs/>
          <w:lang w:val="en-AU"/>
        </w:rPr>
        <w:t>Mishna Avot</w:t>
      </w:r>
      <w:r w:rsidRPr="00C91742">
        <w:rPr>
          <w:i/>
          <w:lang w:val="en-AU"/>
        </w:rPr>
        <w:t xml:space="preserve"> </w:t>
      </w:r>
      <w:r w:rsidRPr="00C91742">
        <w:rPr>
          <w:lang w:val="en-AU"/>
        </w:rPr>
        <w:t>2:6). To understand the word</w:t>
      </w:r>
      <w:r w:rsidRPr="00C91742">
        <w:rPr>
          <w:i/>
          <w:lang w:val="en-AU"/>
        </w:rPr>
        <w:t xml:space="preserve"> </w:t>
      </w:r>
      <w:r w:rsidRPr="00C91742">
        <w:rPr>
          <w:rtl/>
          <w:lang w:val="en-AU"/>
        </w:rPr>
        <w:t>גַס</w:t>
      </w:r>
      <w:r w:rsidRPr="00C91742">
        <w:rPr>
          <w:lang w:val="en-AU"/>
        </w:rPr>
        <w:t xml:space="preserve"> (boor), in the </w:t>
      </w:r>
      <w:r w:rsidRPr="00C91742">
        <w:rPr>
          <w:i/>
          <w:lang w:val="en-AU"/>
        </w:rPr>
        <w:t xml:space="preserve">Mishna, </w:t>
      </w:r>
      <w:r w:rsidRPr="00C91742">
        <w:rPr>
          <w:iCs/>
          <w:lang w:val="en-AU"/>
        </w:rPr>
        <w:t>it is important to</w:t>
      </w:r>
      <w:r w:rsidRPr="00C91742">
        <w:rPr>
          <w:lang w:val="en-AU"/>
        </w:rPr>
        <w:t xml:space="preserve"> look at</w:t>
      </w:r>
      <w:r w:rsidRPr="009E7B69">
        <w:rPr>
          <w:lang w:val="en-AU"/>
        </w:rPr>
        <w:t xml:space="preserve"> </w:t>
      </w:r>
      <w:r w:rsidRPr="009E7B69">
        <w:rPr>
          <w:rtl/>
          <w:lang w:val="en-AU"/>
        </w:rPr>
        <w:t>הארץ</w:t>
      </w:r>
      <w:r w:rsidRPr="009E7B69">
        <w:rPr>
          <w:lang w:val="en-AU"/>
        </w:rPr>
        <w:t xml:space="preserve"> </w:t>
      </w:r>
      <w:r w:rsidRPr="009E7B69">
        <w:rPr>
          <w:color w:val="222222"/>
          <w:shd w:val="clear" w:color="auto" w:fill="FFFFFF"/>
          <w:rtl/>
          <w:lang w:val="en-AU"/>
        </w:rPr>
        <w:t>עם</w:t>
      </w:r>
      <w:r w:rsidRPr="009E7B69">
        <w:rPr>
          <w:i/>
          <w:lang w:val="en-AU"/>
        </w:rPr>
        <w:t xml:space="preserve">. </w:t>
      </w:r>
      <w:r w:rsidRPr="009E7B69">
        <w:rPr>
          <w:iCs/>
          <w:lang w:val="en-AU"/>
        </w:rPr>
        <w:t xml:space="preserve">The definition of </w:t>
      </w:r>
      <w:r w:rsidRPr="009E7B69">
        <w:rPr>
          <w:rtl/>
          <w:lang w:val="en-AU"/>
        </w:rPr>
        <w:t>הארץ</w:t>
      </w:r>
      <w:r w:rsidRPr="009E7B69">
        <w:rPr>
          <w:lang w:val="en-AU"/>
        </w:rPr>
        <w:t xml:space="preserve"> </w:t>
      </w:r>
      <w:r w:rsidRPr="009E7B69">
        <w:rPr>
          <w:color w:val="222222"/>
          <w:shd w:val="clear" w:color="auto" w:fill="FFFFFF"/>
          <w:rtl/>
          <w:lang w:val="en-AU"/>
        </w:rPr>
        <w:t>עם</w:t>
      </w:r>
      <w:r w:rsidRPr="009E7B69">
        <w:rPr>
          <w:lang w:val="en-AU"/>
        </w:rPr>
        <w:t xml:space="preserve"> is literally ‘people of the land.’ </w:t>
      </w:r>
      <w:r w:rsidRPr="009E7B69">
        <w:rPr>
          <w:i/>
          <w:iCs/>
          <w:lang w:val="en-AU"/>
        </w:rPr>
        <w:t xml:space="preserve">Mishna Avot </w:t>
      </w:r>
      <w:r w:rsidRPr="009E7B69">
        <w:rPr>
          <w:lang w:val="en-AU"/>
        </w:rPr>
        <w:t xml:space="preserve">2:6 has diverse interpretations. Toperoff suggests “authorities differ as to the precise meaning of </w:t>
      </w:r>
      <w:r w:rsidRPr="009E7B69">
        <w:rPr>
          <w:i/>
          <w:lang w:val="en-AU"/>
        </w:rPr>
        <w:t>am haaretz</w:t>
      </w:r>
      <w:r w:rsidRPr="009E7B69">
        <w:rPr>
          <w:lang w:val="en-AU"/>
        </w:rPr>
        <w:t xml:space="preserve">, but as it follows the boor, it obviously means an ignorant person or one who disregards the </w:t>
      </w:r>
      <w:r w:rsidRPr="009E7B69">
        <w:rPr>
          <w:i/>
          <w:lang w:val="en-AU"/>
        </w:rPr>
        <w:t xml:space="preserve">Halakha </w:t>
      </w:r>
      <w:r w:rsidRPr="009E7B69">
        <w:rPr>
          <w:lang w:val="en-AU"/>
        </w:rPr>
        <w:t>[or the ethical walk].”</w:t>
      </w:r>
      <w:r w:rsidRPr="009E7B69">
        <w:rPr>
          <w:rStyle w:val="FootnoteReference"/>
          <w:lang w:val="en-AU"/>
        </w:rPr>
        <w:footnoteReference w:id="258"/>
      </w:r>
      <w:r w:rsidRPr="009E7B69">
        <w:rPr>
          <w:lang w:val="en-AU"/>
        </w:rPr>
        <w:t xml:space="preserve">  The broader view is that </w:t>
      </w:r>
      <w:r w:rsidRPr="009E7B69">
        <w:rPr>
          <w:rtl/>
          <w:lang w:val="en-AU"/>
        </w:rPr>
        <w:t>גַס</w:t>
      </w:r>
      <w:r w:rsidRPr="009E7B69">
        <w:rPr>
          <w:lang w:val="en-AU"/>
        </w:rPr>
        <w:t xml:space="preserve"> is an ignorant person.</w:t>
      </w:r>
      <w:r w:rsidRPr="009E7B69">
        <w:rPr>
          <w:rStyle w:val="FootnoteReference"/>
          <w:lang w:val="en-AU"/>
        </w:rPr>
        <w:footnoteReference w:id="259"/>
      </w:r>
      <w:r w:rsidRPr="009E7B69">
        <w:rPr>
          <w:lang w:val="en-AU"/>
        </w:rPr>
        <w:t xml:space="preserve"> The understanding of ethical principles and living an ethical life in line with Torah is therefore a desirable quality in a person, acquired by training. </w:t>
      </w:r>
      <w:r w:rsidRPr="009E7B69">
        <w:rPr>
          <w:i/>
          <w:iCs/>
          <w:lang w:val="en-AU"/>
        </w:rPr>
        <w:t>Mishna Avot</w:t>
      </w:r>
      <w:r w:rsidRPr="009E7B69">
        <w:rPr>
          <w:i/>
          <w:lang w:val="en-AU"/>
        </w:rPr>
        <w:t xml:space="preserve"> </w:t>
      </w:r>
      <w:r w:rsidRPr="009E7B69">
        <w:rPr>
          <w:lang w:val="en-AU"/>
        </w:rPr>
        <w:t>2:6 presents a person who studies Torah and shows the characteristic of restraint. It must be noted that nothing in scripture suggests that the listeners to the Sermon were intellectual—they could have been simple farmers. Matthew 5:1 describes the listeners as ὄχλους (</w:t>
      </w:r>
      <w:r w:rsidRPr="009E7B69">
        <w:rPr>
          <w:iCs/>
          <w:lang w:val="en-AU"/>
        </w:rPr>
        <w:t>crowds)</w:t>
      </w:r>
      <w:r w:rsidRPr="009E7B69">
        <w:rPr>
          <w:i/>
          <w:lang w:val="en-AU"/>
        </w:rPr>
        <w:t>.</w:t>
      </w:r>
      <w:r w:rsidRPr="009E7B69">
        <w:rPr>
          <w:iCs/>
          <w:lang w:val="en-AU"/>
        </w:rPr>
        <w:t xml:space="preserve"> </w:t>
      </w:r>
    </w:p>
    <w:p w14:paraId="66F64785" w14:textId="724D760F" w:rsidR="00E30551" w:rsidRPr="009E7B69" w:rsidRDefault="00E30551" w:rsidP="00E30551">
      <w:pPr>
        <w:spacing w:before="120" w:line="480" w:lineRule="auto"/>
        <w:ind w:firstLine="709"/>
        <w:rPr>
          <w:lang w:val="en-AU"/>
        </w:rPr>
      </w:pPr>
      <w:r w:rsidRPr="009E7B69">
        <w:rPr>
          <w:i/>
          <w:iCs/>
          <w:lang w:val="en-AU"/>
        </w:rPr>
        <w:t xml:space="preserve">Mishna Avot 2:10 </w:t>
      </w:r>
      <w:r w:rsidRPr="009E7B69">
        <w:rPr>
          <w:lang w:val="en-AU"/>
        </w:rPr>
        <w:t>discusses a second example of practising personal restraint regarding anger.</w:t>
      </w:r>
      <w:r w:rsidR="00031CFF">
        <w:rPr>
          <w:rStyle w:val="FootnoteReference"/>
          <w:lang w:val="en-AU"/>
        </w:rPr>
        <w:footnoteReference w:id="260"/>
      </w:r>
      <w:r w:rsidRPr="009E7B69">
        <w:rPr>
          <w:lang w:val="en-AU"/>
        </w:rPr>
        <w:t xml:space="preserve"> Anger, as a reaction of an individual, must be qualified. Anger for those versed in </w:t>
      </w:r>
      <w:r w:rsidRPr="009E7B69">
        <w:rPr>
          <w:i/>
          <w:iCs/>
          <w:lang w:val="en-AU"/>
        </w:rPr>
        <w:t>Mishna Avot</w:t>
      </w:r>
      <w:r w:rsidRPr="009E7B69">
        <w:rPr>
          <w:lang w:val="en-AU"/>
        </w:rPr>
        <w:t xml:space="preserve"> must be moderated and controlled. This is especially true in in relation to foreign powers.  </w:t>
      </w:r>
      <w:r w:rsidRPr="009E7B69">
        <w:rPr>
          <w:i/>
          <w:iCs/>
          <w:lang w:val="en-AU"/>
        </w:rPr>
        <w:t>Mishna Avot</w:t>
      </w:r>
      <w:r w:rsidRPr="009E7B69">
        <w:rPr>
          <w:i/>
          <w:lang w:val="en-AU"/>
        </w:rPr>
        <w:t xml:space="preserve"> 2:10</w:t>
      </w:r>
      <w:r w:rsidRPr="009E7B69">
        <w:rPr>
          <w:lang w:val="en-AU"/>
        </w:rPr>
        <w:t xml:space="preserve"> gives a list of instructions:</w:t>
      </w:r>
    </w:p>
    <w:p w14:paraId="1122A0F2" w14:textId="77777777" w:rsidR="00E30551" w:rsidRPr="009E7B69" w:rsidRDefault="00E30551" w:rsidP="00E30551">
      <w:pPr>
        <w:ind w:left="706" w:right="706"/>
      </w:pPr>
      <w:r w:rsidRPr="009E7B69">
        <w:rPr>
          <w:rtl/>
        </w:rPr>
        <w:t>הֵם אָמְרוּ שְׁלשָׁה דְבָרִים. רַבִּי אֱלִיעֶזֶר אוֹמֵר, יְהִי כְבוֹד חֲבֵרְךָ חָבִיב עָלֶיךָ</w:t>
      </w:r>
    </w:p>
    <w:p w14:paraId="78851F67" w14:textId="77777777" w:rsidR="00E30551" w:rsidRPr="009E7B69" w:rsidRDefault="00E30551" w:rsidP="00E30551">
      <w:pPr>
        <w:ind w:left="706" w:right="706"/>
      </w:pPr>
      <w:r w:rsidRPr="009E7B69" w:rsidDel="00D75ADB">
        <w:rPr>
          <w:rtl/>
        </w:rPr>
        <w:t xml:space="preserve"> </w:t>
      </w:r>
      <w:r w:rsidRPr="009E7B69">
        <w:rPr>
          <w:rtl/>
        </w:rPr>
        <w:t>כְּשֶׁלָּךְ, וְאַל תְּהִי נוֹחַ לִכְעֹס. וְשׁוּב יוֹם אֶחָד לִפְנֵי מִיתָתְךָ. וֶהֱוֵי מִתְחַמֵּם כְּנֶגֶד</w:t>
      </w:r>
    </w:p>
    <w:p w14:paraId="2612BB2A" w14:textId="77777777" w:rsidR="00E30551" w:rsidRPr="009E7B69" w:rsidRDefault="00E30551" w:rsidP="00E30551">
      <w:pPr>
        <w:ind w:left="706" w:right="706"/>
      </w:pPr>
      <w:r w:rsidRPr="009E7B69" w:rsidDel="00D75ADB">
        <w:rPr>
          <w:rtl/>
        </w:rPr>
        <w:t xml:space="preserve"> </w:t>
      </w:r>
      <w:r w:rsidRPr="009E7B69">
        <w:rPr>
          <w:rtl/>
        </w:rPr>
        <w:t>אוּרָן שֶׁל חֲכָמִים, וֶהֱוֵי זָהִיר בְּגַחַלְתָּן שֶׁלֹּא תִכָּוֶה, שֶׁנְּשִׁיכָתָן נְשִׁיכַת שׁוּעָל</w:t>
      </w:r>
    </w:p>
    <w:p w14:paraId="0EFFE603" w14:textId="4F312115" w:rsidR="00D25D36" w:rsidRPr="009E7B69" w:rsidRDefault="00E30551" w:rsidP="00E30551">
      <w:pPr>
        <w:ind w:left="706" w:right="706"/>
      </w:pPr>
      <w:r w:rsidRPr="009E7B69" w:rsidDel="00D75ADB">
        <w:rPr>
          <w:rtl/>
        </w:rPr>
        <w:t xml:space="preserve"> </w:t>
      </w:r>
      <w:r w:rsidRPr="009E7B69">
        <w:rPr>
          <w:rtl/>
        </w:rPr>
        <w:t>וַעֲקִיצָתָן עֲקִיצַת עַקְרָב, וּלְחִישָׁתָן לְחִישַׁת שָׂרָף, וְכָל דִּבְרֵיהֶם כְּגַחֲלֵי אֵשׁ</w:t>
      </w:r>
    </w:p>
    <w:p w14:paraId="2156FE62" w14:textId="77777777" w:rsidR="00744C92" w:rsidRPr="009E7B69" w:rsidRDefault="00744C92" w:rsidP="00E30551">
      <w:pPr>
        <w:spacing w:before="120"/>
        <w:ind w:left="709" w:right="709"/>
      </w:pPr>
    </w:p>
    <w:p w14:paraId="0A27C009" w14:textId="2663132D" w:rsidR="00D25D36" w:rsidRDefault="00744C92" w:rsidP="00E30551">
      <w:pPr>
        <w:spacing w:before="120"/>
        <w:ind w:left="709" w:right="709"/>
        <w:rPr>
          <w:lang w:val="en-AU"/>
        </w:rPr>
      </w:pPr>
      <w:r w:rsidRPr="00C91742">
        <w:rPr>
          <w:lang w:val="en-AU"/>
        </w:rPr>
        <w:t xml:space="preserve">They each said three things: </w:t>
      </w:r>
      <w:r w:rsidR="00E30551" w:rsidRPr="00C91742">
        <w:rPr>
          <w:lang w:val="en-AU"/>
        </w:rPr>
        <w:t xml:space="preserve">Rabbi Eliezer said: ‘let the honour of your fellow be as dear to you as your own. Do not easily become angry. Repent one day </w:t>
      </w:r>
      <w:r w:rsidR="00E30551" w:rsidRPr="00C91742">
        <w:rPr>
          <w:lang w:val="en-AU"/>
        </w:rPr>
        <w:lastRenderedPageBreak/>
        <w:t xml:space="preserve">before your death [which could be at any time]. Warm yourself before the fire of the </w:t>
      </w:r>
      <w:proofErr w:type="gramStart"/>
      <w:r w:rsidR="00E30551" w:rsidRPr="00C91742">
        <w:rPr>
          <w:lang w:val="en-AU"/>
        </w:rPr>
        <w:t>sages, but</w:t>
      </w:r>
      <w:proofErr w:type="gramEnd"/>
      <w:r w:rsidR="00E30551" w:rsidRPr="00C91742">
        <w:rPr>
          <w:lang w:val="en-AU"/>
        </w:rPr>
        <w:t xml:space="preserve"> be careful of their glowing coals lest you be burned, for their bite is the bite of a jackal and their sting the sting of a scorpion and their hiss the hiss of a serpent, and all their words are like coals of fire’ (</w:t>
      </w:r>
      <w:r w:rsidR="00E30551" w:rsidRPr="00C91742">
        <w:rPr>
          <w:i/>
          <w:iCs/>
          <w:lang w:val="en-AU"/>
        </w:rPr>
        <w:t>Avot</w:t>
      </w:r>
      <w:r w:rsidR="00E30551" w:rsidRPr="00C91742">
        <w:rPr>
          <w:lang w:val="en-AU"/>
        </w:rPr>
        <w:t xml:space="preserve"> 2:10). </w:t>
      </w:r>
    </w:p>
    <w:p w14:paraId="41E374D9" w14:textId="77777777" w:rsidR="00031CFF" w:rsidRPr="00C91742" w:rsidRDefault="00031CFF" w:rsidP="00E30551">
      <w:pPr>
        <w:spacing w:before="120"/>
        <w:ind w:left="709" w:right="709"/>
        <w:rPr>
          <w:lang w:val="en-AU"/>
        </w:rPr>
      </w:pPr>
    </w:p>
    <w:p w14:paraId="2E1FF43D" w14:textId="6058C135" w:rsidR="00E30551" w:rsidRPr="00C91742" w:rsidRDefault="00E30551" w:rsidP="00E30551">
      <w:pPr>
        <w:spacing w:line="480" w:lineRule="auto"/>
        <w:rPr>
          <w:lang w:val="en-AU"/>
        </w:rPr>
      </w:pPr>
      <w:r w:rsidRPr="00C91742">
        <w:rPr>
          <w:lang w:val="en-AU"/>
        </w:rPr>
        <w:t xml:space="preserve">The advice given is not to become angry quickly. This integral part of human character is part of the management of temperaments as well as nonviolent response to other people.  The opposite is to become easily angered.  People will be less likely to respond quickly with anger once willing themselves to act with moderation; self-restraint enables the avoidance of acting in anger. Lieber comments from his work on </w:t>
      </w:r>
      <w:r w:rsidRPr="00C91742">
        <w:rPr>
          <w:i/>
          <w:iCs/>
          <w:lang w:val="en-AU"/>
        </w:rPr>
        <w:t>Pirkei Avos</w:t>
      </w:r>
      <w:r w:rsidRPr="00C91742">
        <w:rPr>
          <w:lang w:val="en-AU"/>
        </w:rPr>
        <w:t xml:space="preserve"> </w:t>
      </w:r>
      <w:r w:rsidRPr="00C91742">
        <w:rPr>
          <w:i/>
          <w:iCs/>
          <w:lang w:val="en-AU"/>
        </w:rPr>
        <w:t>Treasury</w:t>
      </w:r>
      <w:r w:rsidRPr="00C91742">
        <w:rPr>
          <w:lang w:val="en-AU"/>
        </w:rPr>
        <w:t xml:space="preserve"> by saying, “We must be levelheaded enough to assess whether the incident </w:t>
      </w:r>
      <w:proofErr w:type="gramStart"/>
      <w:r w:rsidRPr="00C91742">
        <w:rPr>
          <w:lang w:val="en-AU"/>
        </w:rPr>
        <w:t>actually sparked</w:t>
      </w:r>
      <w:proofErr w:type="gramEnd"/>
      <w:r w:rsidRPr="00C91742">
        <w:rPr>
          <w:lang w:val="en-AU"/>
        </w:rPr>
        <w:t xml:space="preserve"> true cause for outburst.  We should actively attempt to find reasons not to be angry.”</w:t>
      </w:r>
      <w:r w:rsidRPr="00C91742">
        <w:rPr>
          <w:rStyle w:val="FootnoteReference"/>
          <w:lang w:val="en-AU"/>
        </w:rPr>
        <w:footnoteReference w:id="261"/>
      </w:r>
      <w:r w:rsidRPr="00C91742">
        <w:rPr>
          <w:lang w:val="en-AU"/>
        </w:rPr>
        <w:t xml:space="preserve"> The </w:t>
      </w:r>
      <w:r w:rsidRPr="00C91742">
        <w:rPr>
          <w:i/>
          <w:iCs/>
          <w:lang w:val="en-AU"/>
        </w:rPr>
        <w:t xml:space="preserve">Mishna </w:t>
      </w:r>
      <w:r w:rsidRPr="00C91742">
        <w:rPr>
          <w:lang w:val="en-AU"/>
        </w:rPr>
        <w:t xml:space="preserve">was not admonishing those listening to the Sermon to have no anger, but not to be quick to anger.  Anger must be controlled </w:t>
      </w:r>
      <w:proofErr w:type="gramStart"/>
      <w:r w:rsidRPr="00C91742">
        <w:rPr>
          <w:lang w:val="en-AU"/>
        </w:rPr>
        <w:t>in order to</w:t>
      </w:r>
      <w:proofErr w:type="gramEnd"/>
      <w:r w:rsidRPr="00C91742">
        <w:rPr>
          <w:lang w:val="en-AU"/>
        </w:rPr>
        <w:t xml:space="preserve"> be wise and to avoid political aggression. The Jewish ethical and political thought at Jesus’</w:t>
      </w:r>
      <w:r w:rsidR="00E35288">
        <w:rPr>
          <w:lang w:val="en-AU"/>
        </w:rPr>
        <w:t>s</w:t>
      </w:r>
      <w:r w:rsidRPr="00C91742">
        <w:rPr>
          <w:lang w:val="en-AU"/>
        </w:rPr>
        <w:t xml:space="preserve"> time in </w:t>
      </w:r>
      <w:r w:rsidRPr="00C91742">
        <w:rPr>
          <w:i/>
          <w:iCs/>
          <w:lang w:val="en-AU"/>
        </w:rPr>
        <w:t xml:space="preserve">Mishna Avot </w:t>
      </w:r>
      <w:r w:rsidRPr="00C91742">
        <w:rPr>
          <w:lang w:val="en-AU"/>
        </w:rPr>
        <w:t>encompasses teaching self-restraint.</w:t>
      </w:r>
    </w:p>
    <w:p w14:paraId="31FEBC90" w14:textId="49C49C0A" w:rsidR="00D25D36" w:rsidRPr="009E7B69" w:rsidRDefault="00DB0FB4" w:rsidP="00A95DD3">
      <w:pPr>
        <w:pStyle w:val="Heading2"/>
      </w:pPr>
      <w:bookmarkStart w:id="93" w:name="_Toc94537000"/>
      <w:bookmarkStart w:id="94" w:name="_Toc118063647"/>
      <w:r w:rsidRPr="009E7B69">
        <w:t>5</w:t>
      </w:r>
      <w:r w:rsidR="00BE6BA3" w:rsidRPr="009E7B69">
        <w:t>.</w:t>
      </w:r>
      <w:r w:rsidR="00EE6A90" w:rsidRPr="009E7B69">
        <w:t>2</w:t>
      </w:r>
      <w:r w:rsidR="007762C4" w:rsidRPr="009E7B69">
        <w:t xml:space="preserve"> </w:t>
      </w:r>
      <w:r w:rsidR="007762C4" w:rsidRPr="009E7B69">
        <w:rPr>
          <w:i/>
          <w:iCs/>
        </w:rPr>
        <w:t xml:space="preserve">Mishna Avot </w:t>
      </w:r>
      <w:r w:rsidR="00D87644" w:rsidRPr="009E7B69">
        <w:t xml:space="preserve">1:4, </w:t>
      </w:r>
      <w:r w:rsidR="007762C4" w:rsidRPr="009E7B69">
        <w:t>2:7</w:t>
      </w:r>
      <w:r w:rsidR="00B44E71">
        <w:t>,</w:t>
      </w:r>
      <w:r w:rsidR="007762C4" w:rsidRPr="009E7B69">
        <w:t xml:space="preserve"> and </w:t>
      </w:r>
      <w:r w:rsidR="00DB1204" w:rsidRPr="009E7B69">
        <w:t>S</w:t>
      </w:r>
      <w:r w:rsidR="007762C4" w:rsidRPr="009E7B69">
        <w:t>eeking Torah</w:t>
      </w:r>
      <w:bookmarkEnd w:id="93"/>
      <w:bookmarkEnd w:id="94"/>
    </w:p>
    <w:p w14:paraId="4528765D" w14:textId="77777777" w:rsidR="008D4202" w:rsidRPr="009E7B69" w:rsidRDefault="00BE6BA3" w:rsidP="008D4202">
      <w:pPr>
        <w:pStyle w:val="NormalWeb"/>
        <w:spacing w:before="2" w:after="2" w:line="480" w:lineRule="auto"/>
        <w:rPr>
          <w:rFonts w:ascii="Times New Roman" w:hAnsi="Times New Roman"/>
          <w:i/>
          <w:iCs/>
          <w:sz w:val="24"/>
          <w:szCs w:val="24"/>
        </w:rPr>
      </w:pPr>
      <w:r w:rsidRPr="009E7B69">
        <w:rPr>
          <w:rFonts w:ascii="Times New Roman" w:hAnsi="Times New Roman"/>
          <w:i/>
          <w:iCs/>
          <w:sz w:val="24"/>
          <w:szCs w:val="24"/>
        </w:rPr>
        <w:t>Mishna Avot 2:7</w:t>
      </w:r>
    </w:p>
    <w:p w14:paraId="1494A8FF" w14:textId="448D54C3" w:rsidR="00D25D36" w:rsidRPr="009E7B69" w:rsidRDefault="00BE6BA3" w:rsidP="008D4202">
      <w:pPr>
        <w:pStyle w:val="NormalWeb"/>
        <w:spacing w:before="2" w:after="2" w:line="480" w:lineRule="auto"/>
        <w:ind w:firstLine="284"/>
        <w:rPr>
          <w:rFonts w:ascii="Times New Roman" w:hAnsi="Times New Roman"/>
          <w:i/>
          <w:iCs/>
          <w:sz w:val="24"/>
          <w:szCs w:val="24"/>
        </w:rPr>
      </w:pPr>
      <w:r w:rsidRPr="009E7B69">
        <w:rPr>
          <w:rFonts w:ascii="Times New Roman" w:hAnsi="Times New Roman"/>
          <w:sz w:val="24"/>
          <w:szCs w:val="24"/>
          <w:rtl/>
        </w:rPr>
        <w:t>הוּא הָיָה אוֹמֵר, מַרְבֶּה בָשָׂר, מַרְבֶּה רִמָּה. מַרְבֶּה נְכָסִים, מַרְבֶּה דְאָגָה. מַרְבֶּה נָשִׁים, מַרְבֶּה כְשָׁפִים. מַרְבֶּה שְׁפָחוֹת, מַרְבֶּה זִמָּה. מַרְבֶּה עֲבָדִים, מַרְבֶּה גָזֵל. מַרְבֶּה תוֹרָה, מַרְבֶּה חַיִּים. מַרְבֶּה יְשִׁיבָה, מַרְבֶּה חָכְמָה. מַרְבֶּה עֵצָה, מַרְבֶּה תְבוּנָה. מַרְבֶּה צְדָקָה, מַרְבֶּה שָׁלוֹם. קָנָה שֵׁם טוֹב, קָנָה לְעַצְמוֹ. קָנָה לוֹ דִבְרֵי תוֹרָה, קָנָה לוֹ חַיֵּי הָעוֹלָם הַבָּא</w:t>
      </w:r>
      <w:r w:rsidRPr="009E7B69">
        <w:rPr>
          <w:rFonts w:ascii="Times New Roman" w:hAnsi="Times New Roman"/>
          <w:i/>
          <w:iCs/>
          <w:sz w:val="24"/>
          <w:szCs w:val="24"/>
        </w:rPr>
        <w:t>:</w:t>
      </w:r>
    </w:p>
    <w:p w14:paraId="2623F975" w14:textId="0FC86F5C" w:rsidR="00D25D36" w:rsidRPr="00C91742" w:rsidRDefault="00BE6BA3" w:rsidP="008D4202">
      <w:pPr>
        <w:pStyle w:val="NormalWeb"/>
        <w:spacing w:before="2" w:after="2"/>
        <w:ind w:left="709" w:right="709"/>
        <w:rPr>
          <w:rFonts w:ascii="Times New Roman" w:hAnsi="Times New Roman"/>
          <w:sz w:val="24"/>
          <w:szCs w:val="24"/>
          <w:lang w:val="en-AU"/>
        </w:rPr>
      </w:pPr>
      <w:r w:rsidRPr="00C91742">
        <w:rPr>
          <w:rFonts w:ascii="Times New Roman" w:hAnsi="Times New Roman"/>
          <w:sz w:val="24"/>
          <w:szCs w:val="24"/>
          <w:lang w:val="en-AU"/>
        </w:rPr>
        <w:t>He [Rabban Gamaliel the son of Rabbi Judah Hanasi in the 3</w:t>
      </w:r>
      <w:r w:rsidRPr="00C91742">
        <w:rPr>
          <w:rFonts w:ascii="Times New Roman" w:hAnsi="Times New Roman"/>
          <w:sz w:val="24"/>
          <w:szCs w:val="24"/>
          <w:vertAlign w:val="superscript"/>
          <w:lang w:val="en-AU"/>
        </w:rPr>
        <w:t>rd</w:t>
      </w:r>
      <w:r w:rsidRPr="00C91742">
        <w:rPr>
          <w:rFonts w:ascii="Times New Roman" w:hAnsi="Times New Roman"/>
          <w:sz w:val="24"/>
          <w:szCs w:val="24"/>
          <w:lang w:val="en-AU"/>
        </w:rPr>
        <w:t xml:space="preserve"> century] was accustomed to say: The more flesh, the more worms. The more possessions, the more worry. The more wives, the more witchcraft. The more maidservants, the more lewdness. The more </w:t>
      </w:r>
      <w:proofErr w:type="gramStart"/>
      <w:r w:rsidRPr="00C91742">
        <w:rPr>
          <w:rFonts w:ascii="Times New Roman" w:hAnsi="Times New Roman"/>
          <w:sz w:val="24"/>
          <w:szCs w:val="24"/>
          <w:lang w:val="en-AU"/>
        </w:rPr>
        <w:t>man-servants</w:t>
      </w:r>
      <w:proofErr w:type="gramEnd"/>
      <w:r w:rsidRPr="00C91742">
        <w:rPr>
          <w:rFonts w:ascii="Times New Roman" w:hAnsi="Times New Roman"/>
          <w:sz w:val="24"/>
          <w:szCs w:val="24"/>
          <w:lang w:val="en-AU"/>
        </w:rPr>
        <w:t xml:space="preserve">, the more theft. The more Torah, the more life. The more sitting [and studying], the more wisdom. The more counsel, the more understanding. The more charity, the more peace. One who </w:t>
      </w:r>
      <w:r w:rsidRPr="00C91742">
        <w:rPr>
          <w:rFonts w:ascii="Times New Roman" w:hAnsi="Times New Roman"/>
          <w:sz w:val="24"/>
          <w:szCs w:val="24"/>
          <w:lang w:val="en-AU"/>
        </w:rPr>
        <w:lastRenderedPageBreak/>
        <w:t>has acquired a good name has acquired for himself. One who has acquired words of Torah has acquired for himself the life of the World to Come.</w:t>
      </w:r>
      <w:r w:rsidRPr="00C91742">
        <w:rPr>
          <w:rStyle w:val="FootnoteReference"/>
          <w:rFonts w:ascii="Times New Roman" w:hAnsi="Times New Roman"/>
          <w:sz w:val="24"/>
          <w:szCs w:val="24"/>
          <w:lang w:val="en-AU"/>
        </w:rPr>
        <w:footnoteReference w:id="262"/>
      </w:r>
    </w:p>
    <w:p w14:paraId="2D9B5BF5" w14:textId="77777777" w:rsidR="002E5AC3" w:rsidRPr="00C91742" w:rsidRDefault="002E5AC3" w:rsidP="0058511B">
      <w:pPr>
        <w:pStyle w:val="NormalWeb"/>
        <w:spacing w:before="2" w:after="2" w:line="480" w:lineRule="auto"/>
        <w:ind w:firstLine="709"/>
        <w:rPr>
          <w:rFonts w:ascii="Times New Roman" w:hAnsi="Times New Roman"/>
          <w:sz w:val="24"/>
          <w:szCs w:val="24"/>
          <w:lang w:val="en-AU"/>
        </w:rPr>
      </w:pPr>
    </w:p>
    <w:p w14:paraId="29BBC000" w14:textId="47F8F19C" w:rsidR="008D4202" w:rsidRPr="00C91742" w:rsidRDefault="00BE6BA3" w:rsidP="0058511B">
      <w:pPr>
        <w:pStyle w:val="NormalWeb"/>
        <w:spacing w:before="2" w:after="2" w:line="480" w:lineRule="auto"/>
        <w:ind w:firstLine="709"/>
        <w:rPr>
          <w:rFonts w:ascii="Times New Roman" w:hAnsi="Times New Roman"/>
          <w:sz w:val="24"/>
          <w:szCs w:val="24"/>
          <w:lang w:val="en-AU"/>
        </w:rPr>
      </w:pPr>
      <w:r w:rsidRPr="00C91742">
        <w:rPr>
          <w:rFonts w:ascii="Times New Roman" w:hAnsi="Times New Roman"/>
          <w:sz w:val="24"/>
          <w:szCs w:val="24"/>
          <w:lang w:val="en-AU"/>
        </w:rPr>
        <w:t xml:space="preserve">Seeking wisdom and counsel is </w:t>
      </w:r>
      <w:r w:rsidR="00642D15" w:rsidRPr="00C91742">
        <w:rPr>
          <w:rFonts w:ascii="Times New Roman" w:hAnsi="Times New Roman"/>
          <w:sz w:val="24"/>
          <w:szCs w:val="24"/>
          <w:lang w:val="en-AU"/>
        </w:rPr>
        <w:t>par</w:t>
      </w:r>
      <w:r w:rsidRPr="00C91742">
        <w:rPr>
          <w:rFonts w:ascii="Times New Roman" w:hAnsi="Times New Roman"/>
          <w:sz w:val="24"/>
          <w:szCs w:val="24"/>
          <w:lang w:val="en-AU"/>
        </w:rPr>
        <w:t xml:space="preserve">amount in </w:t>
      </w:r>
      <w:r w:rsidRPr="00C91742">
        <w:rPr>
          <w:rFonts w:ascii="Times New Roman" w:hAnsi="Times New Roman"/>
          <w:i/>
          <w:iCs/>
          <w:sz w:val="24"/>
          <w:szCs w:val="24"/>
          <w:lang w:val="en-AU"/>
        </w:rPr>
        <w:t xml:space="preserve">Mishna Avot </w:t>
      </w:r>
      <w:r w:rsidRPr="00C91742">
        <w:rPr>
          <w:rFonts w:ascii="Times New Roman" w:hAnsi="Times New Roman"/>
          <w:sz w:val="24"/>
          <w:szCs w:val="24"/>
          <w:lang w:val="en-AU"/>
        </w:rPr>
        <w:t>2:7</w:t>
      </w:r>
      <w:r w:rsidR="0058511B" w:rsidRPr="00C91742">
        <w:rPr>
          <w:rFonts w:ascii="Times New Roman" w:hAnsi="Times New Roman"/>
          <w:sz w:val="24"/>
          <w:szCs w:val="24"/>
          <w:lang w:val="en-AU"/>
        </w:rPr>
        <w:t>, which also suggests that having Torah is important to a happy life.</w:t>
      </w:r>
      <w:r w:rsidRPr="00C91742">
        <w:rPr>
          <w:rFonts w:ascii="Times New Roman" w:hAnsi="Times New Roman"/>
          <w:sz w:val="24"/>
          <w:szCs w:val="24"/>
          <w:lang w:val="en-AU"/>
        </w:rPr>
        <w:t xml:space="preserve"> Stemberger discusses</w:t>
      </w:r>
      <w:r w:rsidR="002C413D">
        <w:rPr>
          <w:rFonts w:ascii="Times New Roman" w:hAnsi="Times New Roman"/>
          <w:sz w:val="24"/>
          <w:szCs w:val="24"/>
          <w:lang w:val="en-AU"/>
        </w:rPr>
        <w:t xml:space="preserve"> that the style of</w:t>
      </w:r>
      <w:r w:rsidRPr="00C91742">
        <w:rPr>
          <w:rFonts w:ascii="Times New Roman" w:hAnsi="Times New Roman"/>
          <w:sz w:val="24"/>
          <w:szCs w:val="24"/>
          <w:lang w:val="en-AU"/>
        </w:rPr>
        <w:t xml:space="preserve"> Tractate </w:t>
      </w:r>
      <w:r w:rsidRPr="00C91742">
        <w:rPr>
          <w:rFonts w:ascii="Times New Roman" w:hAnsi="Times New Roman"/>
          <w:i/>
          <w:iCs/>
          <w:sz w:val="24"/>
          <w:szCs w:val="24"/>
          <w:lang w:val="en-AU"/>
        </w:rPr>
        <w:t>Avot</w:t>
      </w:r>
      <w:r w:rsidRPr="00C91742">
        <w:rPr>
          <w:rFonts w:ascii="Times New Roman" w:hAnsi="Times New Roman"/>
          <w:sz w:val="24"/>
          <w:szCs w:val="24"/>
          <w:lang w:val="en-AU"/>
        </w:rPr>
        <w:t xml:space="preserve"> </w:t>
      </w:r>
      <w:r w:rsidR="002C413D">
        <w:rPr>
          <w:rFonts w:ascii="Times New Roman" w:hAnsi="Times New Roman"/>
          <w:sz w:val="24"/>
          <w:szCs w:val="24"/>
          <w:lang w:val="en-AU"/>
        </w:rPr>
        <w:t xml:space="preserve">is written </w:t>
      </w:r>
      <w:proofErr w:type="gramStart"/>
      <w:r w:rsidR="002C413D">
        <w:rPr>
          <w:rFonts w:ascii="Times New Roman" w:hAnsi="Times New Roman"/>
          <w:sz w:val="24"/>
          <w:szCs w:val="24"/>
          <w:lang w:val="en-AU"/>
        </w:rPr>
        <w:t>similar to</w:t>
      </w:r>
      <w:proofErr w:type="gramEnd"/>
      <w:r w:rsidRPr="00C91742">
        <w:rPr>
          <w:rFonts w:ascii="Times New Roman" w:hAnsi="Times New Roman"/>
          <w:sz w:val="24"/>
          <w:szCs w:val="24"/>
          <w:lang w:val="en-AU"/>
        </w:rPr>
        <w:t xml:space="preserve"> wisdom literature.</w:t>
      </w:r>
      <w:r w:rsidRPr="00C91742">
        <w:rPr>
          <w:rStyle w:val="FootnoteReference"/>
          <w:rFonts w:ascii="Times New Roman" w:hAnsi="Times New Roman"/>
          <w:sz w:val="24"/>
          <w:szCs w:val="24"/>
          <w:lang w:val="en-AU"/>
        </w:rPr>
        <w:footnoteReference w:id="263"/>
      </w:r>
      <w:r w:rsidRPr="00C91742">
        <w:rPr>
          <w:rFonts w:ascii="Times New Roman" w:hAnsi="Times New Roman"/>
          <w:sz w:val="24"/>
          <w:szCs w:val="24"/>
          <w:lang w:val="en-AU"/>
        </w:rPr>
        <w:t xml:space="preserve"> </w:t>
      </w:r>
      <w:r w:rsidRPr="00C91742">
        <w:rPr>
          <w:rFonts w:ascii="Times New Roman" w:hAnsi="Times New Roman"/>
          <w:i/>
          <w:iCs/>
          <w:sz w:val="24"/>
          <w:szCs w:val="24"/>
          <w:lang w:val="en-AU"/>
        </w:rPr>
        <w:t>Avot</w:t>
      </w:r>
      <w:r w:rsidRPr="00C91742">
        <w:rPr>
          <w:rFonts w:ascii="Times New Roman" w:hAnsi="Times New Roman"/>
          <w:sz w:val="24"/>
          <w:szCs w:val="24"/>
          <w:lang w:val="en-AU"/>
        </w:rPr>
        <w:t xml:space="preserve"> is most similar to Proverbs</w:t>
      </w:r>
      <w:r w:rsidR="002C413D">
        <w:rPr>
          <w:rFonts w:ascii="Times New Roman" w:hAnsi="Times New Roman"/>
          <w:sz w:val="24"/>
          <w:szCs w:val="24"/>
          <w:lang w:val="en-AU"/>
        </w:rPr>
        <w:t xml:space="preserve">. </w:t>
      </w:r>
      <w:r w:rsidR="00E222AC">
        <w:rPr>
          <w:rFonts w:ascii="Times New Roman" w:hAnsi="Times New Roman"/>
          <w:sz w:val="24"/>
          <w:szCs w:val="24"/>
          <w:lang w:val="en-AU"/>
        </w:rPr>
        <w:t>Alouf suggests that “</w:t>
      </w:r>
      <w:r w:rsidRPr="00C91742">
        <w:rPr>
          <w:rFonts w:ascii="Times New Roman" w:hAnsi="Times New Roman"/>
          <w:sz w:val="24"/>
          <w:szCs w:val="24"/>
          <w:lang w:val="en-AU"/>
        </w:rPr>
        <w:t>instead of binary parallelisms there are often tripartite wisdom sentences.</w:t>
      </w:r>
      <w:r w:rsidR="00E222AC">
        <w:rPr>
          <w:rFonts w:ascii="Times New Roman" w:hAnsi="Times New Roman"/>
          <w:sz w:val="24"/>
          <w:szCs w:val="24"/>
          <w:lang w:val="en-AU"/>
        </w:rPr>
        <w:t>”</w:t>
      </w:r>
      <w:r w:rsidR="00E222AC">
        <w:rPr>
          <w:rStyle w:val="FootnoteReference"/>
          <w:rFonts w:ascii="Times New Roman" w:hAnsi="Times New Roman"/>
          <w:sz w:val="24"/>
          <w:szCs w:val="24"/>
          <w:lang w:val="en-AU"/>
        </w:rPr>
        <w:footnoteReference w:id="264"/>
      </w:r>
      <w:r w:rsidRPr="00C91742">
        <w:rPr>
          <w:rFonts w:ascii="Times New Roman" w:hAnsi="Times New Roman"/>
          <w:sz w:val="24"/>
          <w:szCs w:val="24"/>
          <w:lang w:val="en-AU"/>
        </w:rPr>
        <w:t xml:space="preserve"> </w:t>
      </w:r>
      <w:r w:rsidR="00E222AC">
        <w:rPr>
          <w:rFonts w:ascii="Times New Roman" w:hAnsi="Times New Roman"/>
          <w:sz w:val="24"/>
          <w:szCs w:val="24"/>
          <w:lang w:val="en-AU"/>
        </w:rPr>
        <w:t>T</w:t>
      </w:r>
      <w:r w:rsidRPr="00C91742">
        <w:rPr>
          <w:rFonts w:ascii="Times New Roman" w:hAnsi="Times New Roman"/>
          <w:sz w:val="24"/>
          <w:szCs w:val="24"/>
          <w:lang w:val="en-AU"/>
        </w:rPr>
        <w:t xml:space="preserve">hese tripartite wisdom sentences provide a common core </w:t>
      </w:r>
      <w:r w:rsidR="00F33672" w:rsidRPr="00C91742">
        <w:rPr>
          <w:rFonts w:ascii="Times New Roman" w:hAnsi="Times New Roman"/>
          <w:sz w:val="24"/>
          <w:szCs w:val="24"/>
          <w:lang w:val="en-AU"/>
        </w:rPr>
        <w:t xml:space="preserve">of </w:t>
      </w:r>
      <w:r w:rsidRPr="00C91742">
        <w:rPr>
          <w:rFonts w:ascii="Times New Roman" w:hAnsi="Times New Roman"/>
          <w:sz w:val="24"/>
          <w:szCs w:val="24"/>
          <w:lang w:val="en-AU"/>
        </w:rPr>
        <w:t xml:space="preserve">understanding that those who are writing and reading the </w:t>
      </w:r>
      <w:r w:rsidRPr="00C91742">
        <w:rPr>
          <w:rFonts w:ascii="Times New Roman" w:hAnsi="Times New Roman"/>
          <w:i/>
          <w:sz w:val="24"/>
          <w:szCs w:val="24"/>
          <w:lang w:val="en-AU"/>
        </w:rPr>
        <w:t xml:space="preserve">Mishna </w:t>
      </w:r>
      <w:r w:rsidRPr="00C91742">
        <w:rPr>
          <w:rFonts w:ascii="Times New Roman" w:hAnsi="Times New Roman"/>
          <w:i/>
          <w:iCs/>
          <w:sz w:val="24"/>
          <w:szCs w:val="24"/>
          <w:lang w:val="en-AU"/>
        </w:rPr>
        <w:t xml:space="preserve">Avot </w:t>
      </w:r>
      <w:r w:rsidRPr="00C91742">
        <w:rPr>
          <w:rFonts w:ascii="Times New Roman" w:hAnsi="Times New Roman"/>
          <w:sz w:val="24"/>
          <w:szCs w:val="24"/>
          <w:lang w:val="en-AU"/>
        </w:rPr>
        <w:t xml:space="preserve">pull from a pre-existing concept. </w:t>
      </w:r>
      <w:r w:rsidR="00E222AC">
        <w:rPr>
          <w:rFonts w:ascii="Times New Roman" w:hAnsi="Times New Roman"/>
          <w:sz w:val="24"/>
          <w:szCs w:val="24"/>
          <w:lang w:val="en-AU"/>
        </w:rPr>
        <w:t>Alouf further suggest that “</w:t>
      </w:r>
      <w:r w:rsidRPr="00C91742">
        <w:rPr>
          <w:rFonts w:ascii="Times New Roman" w:hAnsi="Times New Roman"/>
          <w:sz w:val="24"/>
          <w:szCs w:val="24"/>
          <w:lang w:val="en-AU"/>
        </w:rPr>
        <w:t xml:space="preserve">material in </w:t>
      </w:r>
      <w:r w:rsidRPr="00C91742">
        <w:rPr>
          <w:rFonts w:ascii="Times New Roman" w:hAnsi="Times New Roman"/>
          <w:i/>
          <w:iCs/>
          <w:sz w:val="24"/>
          <w:szCs w:val="24"/>
          <w:lang w:val="en-AU"/>
        </w:rPr>
        <w:t>Avot</w:t>
      </w:r>
      <w:r w:rsidRPr="00C91742">
        <w:rPr>
          <w:rFonts w:ascii="Times New Roman" w:hAnsi="Times New Roman"/>
          <w:sz w:val="24"/>
          <w:szCs w:val="24"/>
          <w:lang w:val="en-AU"/>
        </w:rPr>
        <w:t xml:space="preserve"> is similar to the Greek </w:t>
      </w:r>
      <w:r w:rsidRPr="00C91742">
        <w:rPr>
          <w:rFonts w:ascii="Times New Roman" w:hAnsi="Times New Roman"/>
          <w:sz w:val="24"/>
          <w:szCs w:val="24"/>
          <w:shd w:val="clear" w:color="auto" w:fill="FFFFFF"/>
          <w:lang w:val="en-AU"/>
        </w:rPr>
        <w:t xml:space="preserve">χρεία, </w:t>
      </w:r>
      <w:r w:rsidRPr="00C91742">
        <w:rPr>
          <w:rFonts w:ascii="Times New Roman" w:hAnsi="Times New Roman"/>
          <w:i/>
          <w:iCs/>
          <w:sz w:val="24"/>
          <w:szCs w:val="24"/>
          <w:lang w:val="en-AU"/>
        </w:rPr>
        <w:t>chreia</w:t>
      </w:r>
      <w:r w:rsidRPr="00C91742">
        <w:rPr>
          <w:rFonts w:ascii="Times New Roman" w:hAnsi="Times New Roman"/>
          <w:sz w:val="24"/>
          <w:szCs w:val="24"/>
          <w:lang w:val="en-AU"/>
        </w:rPr>
        <w:t>, which is a witty saying preceded by a brief narrative context.</w:t>
      </w:r>
      <w:r w:rsidR="00E222AC">
        <w:rPr>
          <w:rFonts w:ascii="Times New Roman" w:hAnsi="Times New Roman"/>
          <w:sz w:val="24"/>
          <w:szCs w:val="24"/>
          <w:lang w:val="en-AU"/>
        </w:rPr>
        <w:t>”</w:t>
      </w:r>
      <w:r w:rsidR="00E222AC">
        <w:rPr>
          <w:rStyle w:val="FootnoteReference"/>
          <w:rFonts w:ascii="Times New Roman" w:hAnsi="Times New Roman"/>
          <w:sz w:val="24"/>
          <w:szCs w:val="24"/>
          <w:lang w:val="en-AU"/>
        </w:rPr>
        <w:footnoteReference w:id="265"/>
      </w:r>
      <w:r w:rsidRPr="00C91742">
        <w:rPr>
          <w:rFonts w:ascii="Times New Roman" w:hAnsi="Times New Roman"/>
          <w:sz w:val="24"/>
          <w:szCs w:val="24"/>
          <w:lang w:val="en-AU"/>
        </w:rPr>
        <w:t xml:space="preserve"> </w:t>
      </w:r>
      <w:r w:rsidR="000A4EC7">
        <w:rPr>
          <w:rFonts w:ascii="Times New Roman" w:hAnsi="Times New Roman"/>
          <w:sz w:val="24"/>
          <w:szCs w:val="24"/>
          <w:lang w:val="en-AU"/>
        </w:rPr>
        <w:t xml:space="preserve">Saldarini suggests that </w:t>
      </w:r>
      <w:r w:rsidRPr="00C91742">
        <w:rPr>
          <w:rFonts w:ascii="Times New Roman" w:hAnsi="Times New Roman"/>
          <w:i/>
          <w:iCs/>
          <w:sz w:val="24"/>
          <w:szCs w:val="24"/>
          <w:lang w:val="en-AU"/>
        </w:rPr>
        <w:t>Avot</w:t>
      </w:r>
      <w:r w:rsidRPr="00C91742">
        <w:rPr>
          <w:rFonts w:ascii="Times New Roman" w:hAnsi="Times New Roman"/>
          <w:sz w:val="24"/>
          <w:szCs w:val="24"/>
          <w:lang w:val="en-AU"/>
        </w:rPr>
        <w:t xml:space="preserve"> </w:t>
      </w:r>
      <w:r w:rsidRPr="00C91742">
        <w:rPr>
          <w:rFonts w:ascii="Times New Roman" w:hAnsi="Times New Roman"/>
          <w:i/>
          <w:iCs/>
          <w:sz w:val="24"/>
          <w:szCs w:val="24"/>
          <w:lang w:val="en-AU"/>
        </w:rPr>
        <w:t>de-Rabbi Nathan</w:t>
      </w:r>
      <w:r w:rsidRPr="00C91742">
        <w:rPr>
          <w:rFonts w:ascii="Times New Roman" w:hAnsi="Times New Roman"/>
          <w:sz w:val="24"/>
          <w:szCs w:val="24"/>
          <w:lang w:val="en-AU"/>
        </w:rPr>
        <w:t xml:space="preserve"> </w:t>
      </w:r>
      <w:r w:rsidR="000A4EC7">
        <w:rPr>
          <w:rFonts w:ascii="Times New Roman" w:hAnsi="Times New Roman"/>
          <w:sz w:val="24"/>
          <w:szCs w:val="24"/>
          <w:lang w:val="en-AU"/>
        </w:rPr>
        <w:t>contains a wisdom element present in other wisdom literature.</w:t>
      </w:r>
      <w:r w:rsidRPr="00C91742">
        <w:rPr>
          <w:rStyle w:val="FootnoteReference"/>
          <w:rFonts w:ascii="Times New Roman" w:hAnsi="Times New Roman"/>
          <w:sz w:val="24"/>
          <w:szCs w:val="24"/>
          <w:lang w:val="en-AU"/>
        </w:rPr>
        <w:footnoteReference w:id="266"/>
      </w:r>
      <w:r w:rsidRPr="00C91742">
        <w:rPr>
          <w:rFonts w:ascii="Times New Roman" w:hAnsi="Times New Roman"/>
          <w:sz w:val="24"/>
          <w:szCs w:val="24"/>
          <w:lang w:val="en-AU"/>
        </w:rPr>
        <w:t xml:space="preserve"> </w:t>
      </w:r>
      <w:r w:rsidR="00724A34" w:rsidRPr="00C91742">
        <w:rPr>
          <w:rFonts w:ascii="Times New Roman" w:hAnsi="Times New Roman"/>
          <w:sz w:val="24"/>
          <w:szCs w:val="24"/>
          <w:lang w:val="en-AU"/>
        </w:rPr>
        <w:t xml:space="preserve">In </w:t>
      </w:r>
      <w:r w:rsidRPr="00C91742">
        <w:rPr>
          <w:rFonts w:ascii="Times New Roman" w:hAnsi="Times New Roman"/>
          <w:i/>
          <w:iCs/>
          <w:sz w:val="24"/>
          <w:szCs w:val="24"/>
          <w:lang w:val="en-AU"/>
        </w:rPr>
        <w:t>Mishna Avot</w:t>
      </w:r>
      <w:r w:rsidRPr="00C91742">
        <w:rPr>
          <w:rFonts w:ascii="Times New Roman" w:hAnsi="Times New Roman"/>
          <w:i/>
          <w:sz w:val="24"/>
          <w:szCs w:val="24"/>
          <w:lang w:val="en-AU"/>
        </w:rPr>
        <w:t xml:space="preserve"> </w:t>
      </w:r>
      <w:r w:rsidR="00724A34" w:rsidRPr="00C91742">
        <w:rPr>
          <w:rFonts w:ascii="Times New Roman" w:hAnsi="Times New Roman"/>
          <w:iCs/>
          <w:sz w:val="24"/>
          <w:szCs w:val="24"/>
          <w:lang w:val="en-AU"/>
        </w:rPr>
        <w:t xml:space="preserve">1:4 there is </w:t>
      </w:r>
      <w:r w:rsidRPr="00C91742">
        <w:rPr>
          <w:rFonts w:ascii="Times New Roman" w:hAnsi="Times New Roman"/>
          <w:iCs/>
          <w:sz w:val="24"/>
          <w:szCs w:val="24"/>
          <w:lang w:val="en-AU"/>
        </w:rPr>
        <w:t>a commonality with Jesus</w:t>
      </w:r>
      <w:r w:rsidR="005C71CB" w:rsidRPr="00C91742">
        <w:rPr>
          <w:rFonts w:ascii="Times New Roman" w:hAnsi="Times New Roman"/>
          <w:iCs/>
          <w:sz w:val="24"/>
          <w:szCs w:val="24"/>
          <w:lang w:val="en-AU"/>
        </w:rPr>
        <w:t>’</w:t>
      </w:r>
      <w:r w:rsidR="00E35288">
        <w:rPr>
          <w:rFonts w:ascii="Times New Roman" w:hAnsi="Times New Roman"/>
          <w:iCs/>
          <w:sz w:val="24"/>
          <w:szCs w:val="24"/>
          <w:lang w:val="en-AU"/>
        </w:rPr>
        <w:t>s</w:t>
      </w:r>
      <w:r w:rsidRPr="00C91742">
        <w:rPr>
          <w:rFonts w:ascii="Times New Roman" w:hAnsi="Times New Roman"/>
          <w:iCs/>
          <w:sz w:val="24"/>
          <w:szCs w:val="24"/>
          <w:lang w:val="en-AU"/>
        </w:rPr>
        <w:t xml:space="preserve"> ministry </w:t>
      </w:r>
      <w:r w:rsidR="00744505" w:rsidRPr="00C91742">
        <w:rPr>
          <w:rFonts w:ascii="Times New Roman" w:hAnsi="Times New Roman"/>
          <w:iCs/>
          <w:sz w:val="24"/>
          <w:szCs w:val="24"/>
          <w:lang w:val="en-AU"/>
        </w:rPr>
        <w:t>in</w:t>
      </w:r>
      <w:r w:rsidRPr="00C91742">
        <w:rPr>
          <w:rFonts w:ascii="Times New Roman" w:hAnsi="Times New Roman"/>
          <w:iCs/>
          <w:sz w:val="24"/>
          <w:szCs w:val="24"/>
          <w:lang w:val="en-AU"/>
        </w:rPr>
        <w:t xml:space="preserve"> </w:t>
      </w:r>
      <w:r w:rsidR="00724A34" w:rsidRPr="00C91742">
        <w:rPr>
          <w:rFonts w:ascii="Times New Roman" w:hAnsi="Times New Roman"/>
          <w:iCs/>
          <w:sz w:val="24"/>
          <w:szCs w:val="24"/>
          <w:lang w:val="en-AU"/>
        </w:rPr>
        <w:t xml:space="preserve">the </w:t>
      </w:r>
      <w:r w:rsidRPr="00C91742">
        <w:rPr>
          <w:rFonts w:ascii="Times New Roman" w:hAnsi="Times New Roman"/>
          <w:iCs/>
          <w:sz w:val="24"/>
          <w:szCs w:val="24"/>
          <w:lang w:val="en-AU"/>
        </w:rPr>
        <w:t xml:space="preserve">exhortation </w:t>
      </w:r>
      <w:r w:rsidR="00744505" w:rsidRPr="00C91742">
        <w:rPr>
          <w:rFonts w:ascii="Times New Roman" w:hAnsi="Times New Roman"/>
          <w:iCs/>
          <w:sz w:val="24"/>
          <w:szCs w:val="24"/>
          <w:lang w:val="en-AU"/>
        </w:rPr>
        <w:t>by</w:t>
      </w:r>
      <w:r w:rsidR="00292B3E" w:rsidRPr="00C91742">
        <w:rPr>
          <w:rFonts w:ascii="Times New Roman" w:hAnsi="Times New Roman"/>
          <w:iCs/>
          <w:sz w:val="24"/>
          <w:szCs w:val="24"/>
          <w:lang w:val="en-AU"/>
        </w:rPr>
        <w:t xml:space="preserve"> the early M</w:t>
      </w:r>
      <w:r w:rsidR="005132E6" w:rsidRPr="00C91742">
        <w:rPr>
          <w:rFonts w:ascii="Times New Roman" w:hAnsi="Times New Roman"/>
          <w:iCs/>
          <w:sz w:val="24"/>
          <w:szCs w:val="24"/>
          <w:lang w:val="en-AU"/>
        </w:rPr>
        <w:t>a</w:t>
      </w:r>
      <w:r w:rsidR="00292B3E" w:rsidRPr="00C91742">
        <w:rPr>
          <w:rFonts w:ascii="Times New Roman" w:hAnsi="Times New Roman"/>
          <w:iCs/>
          <w:sz w:val="24"/>
          <w:szCs w:val="24"/>
          <w:lang w:val="en-AU"/>
        </w:rPr>
        <w:t>ccabean</w:t>
      </w:r>
      <w:r w:rsidR="005132E6" w:rsidRPr="00C91742">
        <w:rPr>
          <w:rFonts w:ascii="Times New Roman" w:hAnsi="Times New Roman"/>
          <w:iCs/>
          <w:sz w:val="24"/>
          <w:szCs w:val="24"/>
          <w:lang w:val="en-AU"/>
        </w:rPr>
        <w:t>,</w:t>
      </w:r>
      <w:r w:rsidR="00744505" w:rsidRPr="00C91742">
        <w:rPr>
          <w:rFonts w:ascii="Times New Roman" w:hAnsi="Times New Roman"/>
          <w:iCs/>
          <w:sz w:val="24"/>
          <w:szCs w:val="24"/>
          <w:lang w:val="en-AU"/>
        </w:rPr>
        <w:t xml:space="preserve"> Yose ben Yoezer</w:t>
      </w:r>
      <w:r w:rsidR="002F1B17" w:rsidRPr="00C91742">
        <w:rPr>
          <w:rFonts w:ascii="Times New Roman" w:hAnsi="Times New Roman"/>
          <w:sz w:val="24"/>
          <w:szCs w:val="24"/>
          <w:lang w:val="en-AU"/>
        </w:rPr>
        <w:t>,</w:t>
      </w:r>
      <w:r w:rsidRPr="00C91742">
        <w:rPr>
          <w:rStyle w:val="FootnoteReference"/>
          <w:rFonts w:ascii="Times New Roman" w:hAnsi="Times New Roman"/>
          <w:sz w:val="24"/>
          <w:szCs w:val="24"/>
          <w:lang w:val="en-AU"/>
        </w:rPr>
        <w:footnoteReference w:id="267"/>
      </w:r>
      <w:r w:rsidRPr="00C91742">
        <w:rPr>
          <w:rFonts w:ascii="Times New Roman" w:hAnsi="Times New Roman"/>
          <w:sz w:val="24"/>
          <w:szCs w:val="24"/>
          <w:lang w:val="en-AU"/>
        </w:rPr>
        <w:t xml:space="preserve"> </w:t>
      </w:r>
      <w:r w:rsidR="002F1B17" w:rsidRPr="00C91742">
        <w:rPr>
          <w:rFonts w:ascii="Times New Roman" w:hAnsi="Times New Roman"/>
          <w:sz w:val="24"/>
          <w:szCs w:val="24"/>
          <w:lang w:val="en-AU"/>
        </w:rPr>
        <w:t xml:space="preserve">to </w:t>
      </w:r>
      <w:r w:rsidR="003A3330" w:rsidRPr="00C91742">
        <w:rPr>
          <w:rFonts w:ascii="Times New Roman" w:hAnsi="Times New Roman"/>
          <w:sz w:val="24"/>
          <w:szCs w:val="24"/>
          <w:lang w:val="en-AU"/>
        </w:rPr>
        <w:t xml:space="preserve">sit at the feet of a </w:t>
      </w:r>
      <w:r w:rsidR="003C4C77" w:rsidRPr="00C91742">
        <w:rPr>
          <w:rFonts w:ascii="Times New Roman" w:hAnsi="Times New Roman"/>
          <w:sz w:val="24"/>
          <w:szCs w:val="24"/>
          <w:lang w:val="en-AU"/>
        </w:rPr>
        <w:t>r</w:t>
      </w:r>
      <w:r w:rsidR="003A3330" w:rsidRPr="00C91742">
        <w:rPr>
          <w:rFonts w:ascii="Times New Roman" w:hAnsi="Times New Roman"/>
          <w:sz w:val="24"/>
          <w:szCs w:val="24"/>
          <w:lang w:val="en-AU"/>
        </w:rPr>
        <w:t>abbi</w:t>
      </w:r>
      <w:r w:rsidR="004F6299" w:rsidRPr="00C91742">
        <w:rPr>
          <w:rFonts w:ascii="Times New Roman" w:hAnsi="Times New Roman"/>
          <w:sz w:val="24"/>
          <w:szCs w:val="24"/>
          <w:lang w:val="en-AU"/>
        </w:rPr>
        <w:t>.</w:t>
      </w:r>
      <w:r w:rsidR="004F6299" w:rsidRPr="00C91742">
        <w:rPr>
          <w:rFonts w:ascii="Times New Roman" w:hAnsi="Times New Roman"/>
          <w:sz w:val="24"/>
          <w:szCs w:val="24"/>
          <w:vertAlign w:val="superscript"/>
          <w:lang w:val="en-AU"/>
        </w:rPr>
        <w:t xml:space="preserve"> </w:t>
      </w:r>
      <w:proofErr w:type="gramStart"/>
      <w:r w:rsidR="00BD36C4" w:rsidRPr="00C91742">
        <w:rPr>
          <w:rFonts w:ascii="Times New Roman" w:hAnsi="Times New Roman"/>
          <w:sz w:val="24"/>
          <w:szCs w:val="24"/>
          <w:lang w:val="en-AU"/>
        </w:rPr>
        <w:t>This sage advocates</w:t>
      </w:r>
      <w:proofErr w:type="gramEnd"/>
      <w:r w:rsidR="00BD36C4" w:rsidRPr="00C91742">
        <w:rPr>
          <w:rFonts w:ascii="Times New Roman" w:hAnsi="Times New Roman"/>
          <w:sz w:val="24"/>
          <w:szCs w:val="24"/>
          <w:lang w:val="en-AU"/>
        </w:rPr>
        <w:t xml:space="preserve"> learning wisdom from teachers</w:t>
      </w:r>
      <w:r w:rsidR="004F6299" w:rsidRPr="00C91742">
        <w:rPr>
          <w:rFonts w:ascii="Times New Roman" w:hAnsi="Times New Roman"/>
          <w:sz w:val="24"/>
          <w:szCs w:val="24"/>
          <w:lang w:val="en-AU"/>
        </w:rPr>
        <w:t>. I</w:t>
      </w:r>
      <w:r w:rsidR="00915B85" w:rsidRPr="00C91742">
        <w:rPr>
          <w:rFonts w:ascii="Times New Roman" w:hAnsi="Times New Roman"/>
          <w:sz w:val="24"/>
          <w:szCs w:val="24"/>
          <w:lang w:val="en-AU"/>
        </w:rPr>
        <w:t xml:space="preserve">n </w:t>
      </w:r>
      <w:r w:rsidR="00915B85" w:rsidRPr="00C91742">
        <w:rPr>
          <w:rFonts w:ascii="Times New Roman" w:hAnsi="Times New Roman"/>
          <w:sz w:val="24"/>
          <w:szCs w:val="24"/>
          <w:lang w:val="en-AU"/>
        </w:rPr>
        <w:lastRenderedPageBreak/>
        <w:t>Luke 10:39</w:t>
      </w:r>
      <w:r w:rsidR="00BD36C4" w:rsidRPr="00C91742">
        <w:rPr>
          <w:rFonts w:ascii="Times New Roman" w:hAnsi="Times New Roman"/>
          <w:sz w:val="24"/>
          <w:szCs w:val="24"/>
          <w:lang w:val="en-AU"/>
        </w:rPr>
        <w:t xml:space="preserve"> (NRSV) </w:t>
      </w:r>
      <w:r w:rsidR="004F6299" w:rsidRPr="00C91742">
        <w:rPr>
          <w:rFonts w:ascii="Times New Roman" w:hAnsi="Times New Roman"/>
          <w:sz w:val="24"/>
          <w:szCs w:val="24"/>
          <w:lang w:val="en-AU"/>
        </w:rPr>
        <w:t>it is written that Mar</w:t>
      </w:r>
      <w:r w:rsidR="00277A96" w:rsidRPr="00C91742">
        <w:rPr>
          <w:rFonts w:ascii="Times New Roman" w:hAnsi="Times New Roman"/>
          <w:sz w:val="24"/>
          <w:szCs w:val="24"/>
          <w:lang w:val="en-AU"/>
        </w:rPr>
        <w:t>tha</w:t>
      </w:r>
      <w:r w:rsidR="00BD36C4" w:rsidRPr="00C91742">
        <w:rPr>
          <w:rFonts w:ascii="Times New Roman" w:hAnsi="Times New Roman"/>
          <w:sz w:val="24"/>
          <w:szCs w:val="24"/>
          <w:lang w:val="en-AU"/>
        </w:rPr>
        <w:t xml:space="preserve"> </w:t>
      </w:r>
      <w:r w:rsidR="00863B47" w:rsidRPr="00C91742">
        <w:rPr>
          <w:rFonts w:ascii="Times New Roman" w:hAnsi="Times New Roman"/>
          <w:sz w:val="24"/>
          <w:szCs w:val="24"/>
          <w:lang w:val="en-AU"/>
        </w:rPr>
        <w:t>“</w:t>
      </w:r>
      <w:r w:rsidR="00277A96" w:rsidRPr="00C91742">
        <w:rPr>
          <w:rFonts w:ascii="Times New Roman" w:hAnsi="Times New Roman"/>
          <w:sz w:val="24"/>
          <w:szCs w:val="24"/>
          <w:lang w:val="en-AU"/>
        </w:rPr>
        <w:t>…</w:t>
      </w:r>
      <w:r w:rsidR="008B4EF4" w:rsidRPr="00C91742">
        <w:rPr>
          <w:rFonts w:ascii="Times New Roman" w:hAnsi="Times New Roman"/>
          <w:sz w:val="24"/>
          <w:szCs w:val="24"/>
          <w:lang w:val="en-AU"/>
        </w:rPr>
        <w:t xml:space="preserve"> </w:t>
      </w:r>
      <w:r w:rsidR="00BD36C4" w:rsidRPr="00C91742">
        <w:rPr>
          <w:rFonts w:ascii="Times New Roman" w:hAnsi="Times New Roman"/>
          <w:sz w:val="24"/>
          <w:szCs w:val="24"/>
          <w:lang w:val="en-AU"/>
        </w:rPr>
        <w:t>had a sister named Mary, who sat at the Lord</w:t>
      </w:r>
      <w:r w:rsidR="005C71CB" w:rsidRPr="00C91742">
        <w:rPr>
          <w:rFonts w:ascii="Times New Roman" w:hAnsi="Times New Roman"/>
          <w:sz w:val="24"/>
          <w:szCs w:val="24"/>
          <w:lang w:val="en-AU"/>
        </w:rPr>
        <w:t>’</w:t>
      </w:r>
      <w:r w:rsidR="00BD36C4" w:rsidRPr="00C91742">
        <w:rPr>
          <w:rFonts w:ascii="Times New Roman" w:hAnsi="Times New Roman"/>
          <w:sz w:val="24"/>
          <w:szCs w:val="24"/>
          <w:lang w:val="en-AU"/>
        </w:rPr>
        <w:t>s feet and listened to what he was saying</w:t>
      </w:r>
      <w:r w:rsidR="00863B47" w:rsidRPr="00C91742">
        <w:rPr>
          <w:rFonts w:ascii="Times New Roman" w:hAnsi="Times New Roman"/>
          <w:sz w:val="24"/>
          <w:szCs w:val="24"/>
          <w:lang w:val="en-AU"/>
        </w:rPr>
        <w:t>”</w:t>
      </w:r>
      <w:r w:rsidR="00915B85" w:rsidRPr="00C91742">
        <w:rPr>
          <w:rFonts w:ascii="Times New Roman" w:hAnsi="Times New Roman"/>
          <w:sz w:val="24"/>
          <w:szCs w:val="24"/>
          <w:lang w:val="en-AU"/>
        </w:rPr>
        <w:t>.</w:t>
      </w:r>
      <w:r w:rsidRPr="00C91742">
        <w:rPr>
          <w:rStyle w:val="FootnoteReference"/>
          <w:rFonts w:ascii="Times New Roman" w:hAnsi="Times New Roman"/>
          <w:sz w:val="24"/>
          <w:szCs w:val="24"/>
          <w:lang w:val="en-AU"/>
        </w:rPr>
        <w:footnoteReference w:id="268"/>
      </w:r>
      <w:r w:rsidRPr="00C91742">
        <w:rPr>
          <w:rFonts w:ascii="Times New Roman" w:hAnsi="Times New Roman"/>
          <w:sz w:val="24"/>
          <w:szCs w:val="24"/>
          <w:lang w:val="en-AU"/>
        </w:rPr>
        <w:t xml:space="preserve"> </w:t>
      </w:r>
    </w:p>
    <w:p w14:paraId="4D25C788" w14:textId="4B109912" w:rsidR="00D25D36" w:rsidRPr="009E7B69" w:rsidRDefault="00DB0FB4" w:rsidP="00A95DD3">
      <w:pPr>
        <w:pStyle w:val="Heading2"/>
      </w:pPr>
      <w:bookmarkStart w:id="95" w:name="_Toc94537001"/>
      <w:bookmarkStart w:id="96" w:name="_Toc118063648"/>
      <w:r w:rsidRPr="009E7B69">
        <w:t>5</w:t>
      </w:r>
      <w:r w:rsidR="00BE6BA3" w:rsidRPr="009E7B69">
        <w:t>.</w:t>
      </w:r>
      <w:r w:rsidR="00EE6A90" w:rsidRPr="009E7B69">
        <w:t>3</w:t>
      </w:r>
      <w:r w:rsidR="00BE6BA3" w:rsidRPr="009E7B69">
        <w:t xml:space="preserve"> </w:t>
      </w:r>
      <w:r w:rsidR="002109EB" w:rsidRPr="009E7B69">
        <w:rPr>
          <w:i/>
          <w:iCs/>
        </w:rPr>
        <w:t>Mishna Avot</w:t>
      </w:r>
      <w:r w:rsidR="002109EB" w:rsidRPr="009E7B69">
        <w:t xml:space="preserve"> 1:7 and </w:t>
      </w:r>
      <w:r w:rsidR="00AE59BE" w:rsidRPr="009E7B69">
        <w:t>Being Socially Astute</w:t>
      </w:r>
      <w:bookmarkEnd w:id="95"/>
      <w:bookmarkEnd w:id="96"/>
    </w:p>
    <w:p w14:paraId="3D6497EE" w14:textId="6CF6221F" w:rsidR="00D25D36" w:rsidRPr="009E7B69" w:rsidRDefault="00BE6BA3" w:rsidP="008D4202">
      <w:pPr>
        <w:contextualSpacing/>
      </w:pPr>
      <w:r w:rsidRPr="009E7B69">
        <w:rPr>
          <w:i/>
          <w:iCs/>
        </w:rPr>
        <w:t>Mishna Avot</w:t>
      </w:r>
      <w:r w:rsidRPr="009E7B69">
        <w:rPr>
          <w:i/>
        </w:rPr>
        <w:t xml:space="preserve"> </w:t>
      </w:r>
      <w:r w:rsidRPr="009E7B69">
        <w:t>1:7</w:t>
      </w:r>
    </w:p>
    <w:p w14:paraId="57255209" w14:textId="31CAA51E" w:rsidR="00D25D36" w:rsidRPr="009E7B69" w:rsidRDefault="00BE6BA3" w:rsidP="008D4202">
      <w:pPr>
        <w:ind w:leftChars="709" w:left="1702" w:right="709"/>
        <w:contextualSpacing/>
        <w:jc w:val="right"/>
      </w:pPr>
      <w:r w:rsidRPr="009E7B69">
        <w:rPr>
          <w:rtl/>
        </w:rPr>
        <w:t>נִתַּאי הָאַרְבֵּלִי אוֹמֵר, הַרְחֵק מִשָּׁכֵן רָע, וְאַל תִּתְחַבֵּר לָרָשָׁע, וְאַל תִּתְיָאֵשׁ מִן הַפֻּרְעָנוּת</w:t>
      </w:r>
      <w:r w:rsidRPr="009E7B69">
        <w:t>:</w:t>
      </w:r>
    </w:p>
    <w:p w14:paraId="4DC91589" w14:textId="5286C86D" w:rsidR="00D25D36" w:rsidRPr="009E7B69" w:rsidRDefault="00BE6BA3" w:rsidP="008D4202">
      <w:pPr>
        <w:ind w:leftChars="709" w:left="1702" w:right="709"/>
        <w:contextualSpacing/>
      </w:pPr>
      <w:r w:rsidRPr="009E7B69">
        <w:t xml:space="preserve">Nitai of Arbel says: </w:t>
      </w:r>
      <w:r w:rsidR="00863B47" w:rsidRPr="009E7B69">
        <w:t>“</w:t>
      </w:r>
      <w:r w:rsidRPr="009E7B69">
        <w:t>Distance [yourself] from a bad neighbo</w:t>
      </w:r>
      <w:r w:rsidR="005967A0" w:rsidRPr="009E7B69">
        <w:t>u</w:t>
      </w:r>
      <w:r w:rsidRPr="009E7B69">
        <w:t>r, do not befriend an evildoer and do not despair of punishment.</w:t>
      </w:r>
      <w:r w:rsidR="00863B47" w:rsidRPr="009E7B69">
        <w:t>”</w:t>
      </w:r>
    </w:p>
    <w:p w14:paraId="67EEB36B" w14:textId="77777777" w:rsidR="002E5AC3" w:rsidRPr="009E7B69" w:rsidRDefault="00BE6BA3" w:rsidP="008D4202">
      <w:pPr>
        <w:spacing w:line="480" w:lineRule="auto"/>
        <w:contextualSpacing/>
      </w:pPr>
      <w:r w:rsidRPr="009E7B69">
        <w:tab/>
      </w:r>
    </w:p>
    <w:p w14:paraId="39C8EFF9" w14:textId="21DEF8DD" w:rsidR="008D4202" w:rsidRPr="00C91742" w:rsidRDefault="00BE6BA3" w:rsidP="00990707">
      <w:pPr>
        <w:spacing w:line="480" w:lineRule="auto"/>
        <w:ind w:firstLine="709"/>
        <w:contextualSpacing/>
        <w:rPr>
          <w:lang w:val="en-AU"/>
        </w:rPr>
      </w:pPr>
      <w:r w:rsidRPr="00C91742">
        <w:rPr>
          <w:i/>
          <w:iCs/>
          <w:lang w:val="en-AU"/>
        </w:rPr>
        <w:t>Mishna Avot</w:t>
      </w:r>
      <w:r w:rsidRPr="00C91742">
        <w:rPr>
          <w:i/>
          <w:lang w:val="en-AU"/>
        </w:rPr>
        <w:t xml:space="preserve"> </w:t>
      </w:r>
      <w:r w:rsidRPr="00C91742">
        <w:rPr>
          <w:lang w:val="en-AU"/>
        </w:rPr>
        <w:t xml:space="preserve">1:7 </w:t>
      </w:r>
      <w:r w:rsidR="00133CE3" w:rsidRPr="00C91742">
        <w:rPr>
          <w:lang w:val="en-AU"/>
        </w:rPr>
        <w:t>provides advice given as a proverb to distance oneself from an evildoer.</w:t>
      </w:r>
      <w:r w:rsidR="00133CE3" w:rsidRPr="00C91742" w:rsidDel="00133CE3">
        <w:rPr>
          <w:lang w:val="en-AU"/>
        </w:rPr>
        <w:t xml:space="preserve"> </w:t>
      </w:r>
      <w:r w:rsidRPr="00C91742">
        <w:rPr>
          <w:lang w:val="en-AU"/>
        </w:rPr>
        <w:t xml:space="preserve">Such teachings of the </w:t>
      </w:r>
      <w:r w:rsidRPr="00C91742">
        <w:rPr>
          <w:i/>
          <w:iCs/>
          <w:lang w:val="en-AU"/>
        </w:rPr>
        <w:t>Mishna</w:t>
      </w:r>
      <w:r w:rsidRPr="00C91742">
        <w:rPr>
          <w:lang w:val="en-AU"/>
        </w:rPr>
        <w:t xml:space="preserve"> </w:t>
      </w:r>
      <w:r w:rsidR="00133CE3" w:rsidRPr="00C91742">
        <w:rPr>
          <w:lang w:val="en-AU"/>
        </w:rPr>
        <w:t>are similar</w:t>
      </w:r>
      <w:r w:rsidR="002A70B8" w:rsidRPr="00C91742">
        <w:rPr>
          <w:lang w:val="en-AU"/>
        </w:rPr>
        <w:t xml:space="preserve"> </w:t>
      </w:r>
      <w:r w:rsidRPr="00C91742">
        <w:rPr>
          <w:lang w:val="en-AU"/>
        </w:rPr>
        <w:t>Christianity</w:t>
      </w:r>
      <w:r w:rsidR="005C71CB" w:rsidRPr="00C91742">
        <w:rPr>
          <w:lang w:val="en-AU"/>
        </w:rPr>
        <w:t>’</w:t>
      </w:r>
      <w:r w:rsidR="00133CE3" w:rsidRPr="00C91742">
        <w:rPr>
          <w:lang w:val="en-AU"/>
        </w:rPr>
        <w:t>s teaching</w:t>
      </w:r>
      <w:r w:rsidRPr="00C91742">
        <w:rPr>
          <w:lang w:val="en-AU"/>
        </w:rPr>
        <w:t>.</w:t>
      </w:r>
      <w:r w:rsidR="002D570E">
        <w:rPr>
          <w:rStyle w:val="FootnoteReference"/>
          <w:lang w:val="en-AU"/>
        </w:rPr>
        <w:footnoteReference w:id="269"/>
      </w:r>
      <w:r w:rsidRPr="00C91742">
        <w:rPr>
          <w:lang w:val="en-AU"/>
        </w:rPr>
        <w:t xml:space="preserve"> Peter Schäfer contends that after Judaism and Christianity split ideologies, Judaism was </w:t>
      </w:r>
      <w:r w:rsidR="000D136F" w:rsidRPr="00C91742">
        <w:rPr>
          <w:lang w:val="en-AU"/>
        </w:rPr>
        <w:t xml:space="preserve">seen </w:t>
      </w:r>
      <w:r w:rsidRPr="00C91742">
        <w:rPr>
          <w:lang w:val="en-AU"/>
        </w:rPr>
        <w:t>as a parent to Christianity.</w:t>
      </w:r>
      <w:r w:rsidRPr="00C91742">
        <w:rPr>
          <w:rStyle w:val="FootnoteReference"/>
          <w:lang w:val="en-AU"/>
        </w:rPr>
        <w:footnoteReference w:id="270"/>
      </w:r>
      <w:r w:rsidRPr="00C91742">
        <w:rPr>
          <w:lang w:val="en-AU"/>
        </w:rPr>
        <w:t xml:space="preserve"> Philip Alexander notes that if one can connect the common thread </w:t>
      </w:r>
      <w:r w:rsidR="00A30AE0">
        <w:rPr>
          <w:lang w:val="en-AU"/>
        </w:rPr>
        <w:t>overlapping and common amongst the different</w:t>
      </w:r>
      <w:r w:rsidRPr="00C91742">
        <w:rPr>
          <w:lang w:val="en-AU"/>
        </w:rPr>
        <w:t xml:space="preserve"> Jewish groups, then one can determine where </w:t>
      </w:r>
      <w:r w:rsidR="00A30AE0">
        <w:rPr>
          <w:lang w:val="en-AU"/>
        </w:rPr>
        <w:t xml:space="preserve">divergence began to separate </w:t>
      </w:r>
      <w:r w:rsidRPr="00C91742">
        <w:rPr>
          <w:lang w:val="en-AU"/>
        </w:rPr>
        <w:t>Christianity</w:t>
      </w:r>
      <w:r w:rsidR="00A30AE0">
        <w:rPr>
          <w:lang w:val="en-AU"/>
        </w:rPr>
        <w:t xml:space="preserve"> from Judaism and when Christianity</w:t>
      </w:r>
      <w:r w:rsidRPr="00C91742">
        <w:rPr>
          <w:lang w:val="en-AU"/>
        </w:rPr>
        <w:t xml:space="preserve"> </w:t>
      </w:r>
      <w:r w:rsidR="000D136F" w:rsidRPr="00C91742">
        <w:rPr>
          <w:lang w:val="en-AU"/>
        </w:rPr>
        <w:t>part</w:t>
      </w:r>
      <w:r w:rsidRPr="00C91742">
        <w:rPr>
          <w:lang w:val="en-AU"/>
        </w:rPr>
        <w:t>ed from Judaism.</w:t>
      </w:r>
      <w:r w:rsidRPr="00C91742">
        <w:rPr>
          <w:rStyle w:val="FootnoteReference"/>
          <w:lang w:val="en-AU"/>
        </w:rPr>
        <w:footnoteReference w:id="271"/>
      </w:r>
      <w:r w:rsidRPr="00C91742">
        <w:rPr>
          <w:lang w:val="en-AU"/>
        </w:rPr>
        <w:t xml:space="preserve"> This similar theme that </w:t>
      </w:r>
      <w:r w:rsidR="00FE3501" w:rsidRPr="00C91742">
        <w:rPr>
          <w:lang w:val="en-AU"/>
        </w:rPr>
        <w:t>occurs</w:t>
      </w:r>
      <w:r w:rsidRPr="00C91742">
        <w:rPr>
          <w:lang w:val="en-AU"/>
        </w:rPr>
        <w:t xml:space="preserve"> in both the </w:t>
      </w:r>
      <w:r w:rsidRPr="00C91742">
        <w:rPr>
          <w:i/>
          <w:iCs/>
          <w:lang w:val="en-AU"/>
        </w:rPr>
        <w:t>Mishna Pir</w:t>
      </w:r>
      <w:r w:rsidR="00504FBD">
        <w:rPr>
          <w:i/>
          <w:iCs/>
          <w:lang w:val="en-AU"/>
        </w:rPr>
        <w:t>kei</w:t>
      </w:r>
      <w:r w:rsidRPr="00C91742">
        <w:rPr>
          <w:i/>
          <w:iCs/>
          <w:lang w:val="en-AU"/>
        </w:rPr>
        <w:t xml:space="preserve"> Avot</w:t>
      </w:r>
      <w:r w:rsidRPr="00C91742">
        <w:rPr>
          <w:lang w:val="en-AU"/>
        </w:rPr>
        <w:t xml:space="preserve"> and the New Testament is the concept that a person should be mindful of how they are seen and judged by others</w:t>
      </w:r>
      <w:r w:rsidR="00133CE3" w:rsidRPr="00C91742">
        <w:rPr>
          <w:lang w:val="en-AU"/>
        </w:rPr>
        <w:t>, such as Matthew 7:1</w:t>
      </w:r>
      <w:r w:rsidR="00896B95" w:rsidRPr="00C91742">
        <w:rPr>
          <w:lang w:val="en-AU"/>
        </w:rPr>
        <w:t>–</w:t>
      </w:r>
      <w:r w:rsidR="00133CE3" w:rsidRPr="00C91742">
        <w:rPr>
          <w:lang w:val="en-AU"/>
        </w:rPr>
        <w:t>6</w:t>
      </w:r>
      <w:r w:rsidRPr="00C91742">
        <w:rPr>
          <w:lang w:val="en-AU"/>
        </w:rPr>
        <w:t xml:space="preserve">. It is possible that the </w:t>
      </w:r>
      <w:r w:rsidRPr="00C91742">
        <w:rPr>
          <w:i/>
          <w:lang w:val="en-AU"/>
        </w:rPr>
        <w:t xml:space="preserve">Mishna </w:t>
      </w:r>
      <w:r w:rsidRPr="00C91742">
        <w:rPr>
          <w:i/>
          <w:iCs/>
          <w:lang w:val="en-AU"/>
        </w:rPr>
        <w:t xml:space="preserve">Avot </w:t>
      </w:r>
      <w:r w:rsidRPr="00C91742">
        <w:rPr>
          <w:lang w:val="en-AU"/>
        </w:rPr>
        <w:t xml:space="preserve">(completed circa </w:t>
      </w:r>
      <w:r w:rsidR="00442E7E" w:rsidRPr="00C91742">
        <w:rPr>
          <w:lang w:val="en-AU"/>
        </w:rPr>
        <w:t>2</w:t>
      </w:r>
      <w:r w:rsidRPr="00C91742">
        <w:rPr>
          <w:lang w:val="en-AU"/>
        </w:rPr>
        <w:t>00</w:t>
      </w:r>
      <w:r w:rsidR="00946D6B" w:rsidRPr="00C91742">
        <w:rPr>
          <w:lang w:val="en-AU"/>
        </w:rPr>
        <w:t xml:space="preserve"> CE</w:t>
      </w:r>
      <w:r w:rsidRPr="00C91742">
        <w:rPr>
          <w:lang w:val="en-AU"/>
        </w:rPr>
        <w:t>) was written in response to Christian neighbo</w:t>
      </w:r>
      <w:r w:rsidR="00FD04FE" w:rsidRPr="00C91742">
        <w:rPr>
          <w:lang w:val="en-AU"/>
        </w:rPr>
        <w:t>u</w:t>
      </w:r>
      <w:r w:rsidRPr="00C91742">
        <w:rPr>
          <w:lang w:val="en-AU"/>
        </w:rPr>
        <w:t xml:space="preserve">rs: </w:t>
      </w:r>
    </w:p>
    <w:p w14:paraId="364C02AF" w14:textId="2406E316" w:rsidR="00D25D36" w:rsidRPr="00C91742" w:rsidRDefault="00BE6BA3" w:rsidP="005E2F03">
      <w:pPr>
        <w:pStyle w:val="Blockquotation"/>
        <w:rPr>
          <w:sz w:val="24"/>
          <w:lang w:val="en-AU"/>
        </w:rPr>
      </w:pPr>
      <w:r w:rsidRPr="00C91742">
        <w:rPr>
          <w:sz w:val="24"/>
          <w:lang w:val="en-AU"/>
        </w:rPr>
        <w:t xml:space="preserve">It could have been done in view of rising Christianity. The purpose might have been to demonstrate that Judaism is not an exclusively nomistic religion, but also possesses ethical-theological values and principles which are of equal </w:t>
      </w:r>
      <w:r w:rsidRPr="00C91742">
        <w:rPr>
          <w:sz w:val="24"/>
          <w:lang w:val="en-AU"/>
        </w:rPr>
        <w:lastRenderedPageBreak/>
        <w:t>importance. Hence it could have been an apologetic move against Christian attacks on Pharisaic Nomism as being the essence of Judaism.</w:t>
      </w:r>
      <w:r w:rsidRPr="00C91742">
        <w:rPr>
          <w:rStyle w:val="FootnoteReference"/>
          <w:sz w:val="24"/>
          <w:lang w:val="en-AU"/>
        </w:rPr>
        <w:footnoteReference w:id="272"/>
      </w:r>
      <w:r w:rsidRPr="00C91742">
        <w:rPr>
          <w:sz w:val="24"/>
          <w:lang w:val="en-AU"/>
        </w:rPr>
        <w:t xml:space="preserve">  </w:t>
      </w:r>
    </w:p>
    <w:p w14:paraId="41CCB968" w14:textId="4A832E4F" w:rsidR="008D4202" w:rsidRPr="00C91742" w:rsidRDefault="00BE6BA3" w:rsidP="00990707">
      <w:pPr>
        <w:spacing w:before="240" w:line="480" w:lineRule="auto"/>
        <w:contextualSpacing/>
        <w:rPr>
          <w:lang w:val="en-AU"/>
        </w:rPr>
      </w:pPr>
      <w:r w:rsidRPr="00C91742">
        <w:rPr>
          <w:lang w:val="en-AU"/>
        </w:rPr>
        <w:t>However, it is contested whether by</w:t>
      </w:r>
      <w:r w:rsidR="00BB5F0B" w:rsidRPr="00C91742">
        <w:rPr>
          <w:lang w:val="en-AU"/>
        </w:rPr>
        <w:t xml:space="preserve"> </w:t>
      </w:r>
      <w:r w:rsidR="00442E7E" w:rsidRPr="00C91742">
        <w:rPr>
          <w:lang w:val="en-AU"/>
        </w:rPr>
        <w:t>2</w:t>
      </w:r>
      <w:r w:rsidR="00BB5F0B" w:rsidRPr="00C91742">
        <w:rPr>
          <w:lang w:val="en-AU"/>
        </w:rPr>
        <w:t xml:space="preserve">00 CE </w:t>
      </w:r>
      <w:r w:rsidRPr="00C91742">
        <w:rPr>
          <w:lang w:val="en-AU"/>
        </w:rPr>
        <w:t xml:space="preserve">Christianity had made such a major impression on the world that Rabbinic Judaism and </w:t>
      </w:r>
      <w:r w:rsidRPr="00C91742">
        <w:rPr>
          <w:i/>
          <w:lang w:val="en-AU"/>
        </w:rPr>
        <w:t>Mishna Avot</w:t>
      </w:r>
      <w:r w:rsidRPr="00C91742">
        <w:rPr>
          <w:lang w:val="en-AU"/>
        </w:rPr>
        <w:t xml:space="preserve"> would have felt compelled to combat it</w:t>
      </w:r>
      <w:r w:rsidR="00BB5F0B" w:rsidRPr="00C91742">
        <w:rPr>
          <w:lang w:val="en-AU"/>
        </w:rPr>
        <w:t xml:space="preserve">. </w:t>
      </w:r>
      <w:r w:rsidRPr="00C91742">
        <w:rPr>
          <w:lang w:val="en-AU"/>
        </w:rPr>
        <w:t xml:space="preserve">Even if the </w:t>
      </w:r>
      <w:r w:rsidRPr="00C91742">
        <w:rPr>
          <w:i/>
          <w:lang w:val="en-AU"/>
        </w:rPr>
        <w:t xml:space="preserve">Mishna </w:t>
      </w:r>
      <w:r w:rsidRPr="00C91742">
        <w:rPr>
          <w:i/>
          <w:iCs/>
          <w:lang w:val="en-AU"/>
        </w:rPr>
        <w:t>Avot</w:t>
      </w:r>
      <w:r w:rsidRPr="00C91742">
        <w:rPr>
          <w:lang w:val="en-AU"/>
        </w:rPr>
        <w:t xml:space="preserve"> is a response to Christian neighbo</w:t>
      </w:r>
      <w:r w:rsidR="00FD04FE" w:rsidRPr="00C91742">
        <w:rPr>
          <w:lang w:val="en-AU"/>
        </w:rPr>
        <w:t>u</w:t>
      </w:r>
      <w:r w:rsidRPr="00C91742">
        <w:rPr>
          <w:lang w:val="en-AU"/>
        </w:rPr>
        <w:t xml:space="preserve">rs, it does not </w:t>
      </w:r>
      <w:r w:rsidR="007D1888" w:rsidRPr="00C91742">
        <w:rPr>
          <w:lang w:val="en-AU"/>
        </w:rPr>
        <w:t>mean that</w:t>
      </w:r>
      <w:r w:rsidRPr="00C91742">
        <w:rPr>
          <w:lang w:val="en-AU"/>
        </w:rPr>
        <w:t xml:space="preserve"> the words and concepts </w:t>
      </w:r>
      <w:r w:rsidR="007D1888" w:rsidRPr="00C91742">
        <w:rPr>
          <w:lang w:val="en-AU"/>
        </w:rPr>
        <w:t xml:space="preserve">do not </w:t>
      </w:r>
      <w:r w:rsidRPr="00C91742">
        <w:rPr>
          <w:lang w:val="en-AU"/>
        </w:rPr>
        <w:t>predate the redaction of the text.</w:t>
      </w:r>
    </w:p>
    <w:p w14:paraId="65F19F60" w14:textId="0C4A8437" w:rsidR="008D4202" w:rsidRPr="00C91742" w:rsidRDefault="006B487F" w:rsidP="00EE6A90">
      <w:pPr>
        <w:pStyle w:val="NormalWeb"/>
        <w:spacing w:before="2" w:after="2" w:line="480" w:lineRule="auto"/>
        <w:ind w:firstLine="720"/>
        <w:rPr>
          <w:rFonts w:ascii="Times New Roman" w:hAnsi="Times New Roman"/>
          <w:sz w:val="24"/>
          <w:szCs w:val="24"/>
          <w:lang w:val="en-AU"/>
        </w:rPr>
      </w:pPr>
      <w:r w:rsidRPr="00C91742">
        <w:rPr>
          <w:rFonts w:ascii="Times New Roman" w:hAnsi="Times New Roman"/>
          <w:sz w:val="24"/>
          <w:szCs w:val="24"/>
          <w:lang w:val="en-AU"/>
        </w:rPr>
        <w:t xml:space="preserve">During and before the Second Temple period, avoiding confrontation with people in authority involved creating a physical proximity and legal separation between </w:t>
      </w:r>
      <w:r w:rsidR="007D1888" w:rsidRPr="00C91742">
        <w:rPr>
          <w:rFonts w:ascii="Times New Roman" w:hAnsi="Times New Roman"/>
          <w:sz w:val="24"/>
          <w:szCs w:val="24"/>
          <w:lang w:val="en-AU"/>
        </w:rPr>
        <w:t>ones</w:t>
      </w:r>
      <w:r w:rsidRPr="00C91742">
        <w:rPr>
          <w:rFonts w:ascii="Times New Roman" w:hAnsi="Times New Roman"/>
          <w:sz w:val="24"/>
          <w:szCs w:val="24"/>
          <w:lang w:val="en-AU"/>
        </w:rPr>
        <w:t xml:space="preserve">elf and another person. </w:t>
      </w:r>
      <w:r w:rsidR="00654EAF" w:rsidRPr="00C91742">
        <w:rPr>
          <w:rFonts w:ascii="Times New Roman" w:hAnsi="Times New Roman"/>
          <w:sz w:val="24"/>
          <w:szCs w:val="24"/>
          <w:lang w:val="en-AU"/>
        </w:rPr>
        <w:t xml:space="preserve">Some people </w:t>
      </w:r>
      <w:r w:rsidR="00D70DF1" w:rsidRPr="00C91742">
        <w:rPr>
          <w:rFonts w:ascii="Times New Roman" w:hAnsi="Times New Roman"/>
          <w:sz w:val="24"/>
          <w:szCs w:val="24"/>
          <w:lang w:val="en-AU"/>
        </w:rPr>
        <w:t xml:space="preserve">such as </w:t>
      </w:r>
      <w:r w:rsidR="00654EAF" w:rsidRPr="00C91742">
        <w:rPr>
          <w:rFonts w:ascii="Times New Roman" w:hAnsi="Times New Roman"/>
          <w:sz w:val="24"/>
          <w:szCs w:val="24"/>
          <w:lang w:val="en-AU"/>
        </w:rPr>
        <w:t xml:space="preserve">Bar Kokba </w:t>
      </w:r>
      <w:r w:rsidR="007524D5" w:rsidRPr="00C91742">
        <w:rPr>
          <w:rFonts w:ascii="Times New Roman" w:hAnsi="Times New Roman"/>
          <w:sz w:val="24"/>
          <w:szCs w:val="24"/>
          <w:lang w:val="en-AU"/>
        </w:rPr>
        <w:t>confronted</w:t>
      </w:r>
      <w:r w:rsidR="00654EAF" w:rsidRPr="00C91742">
        <w:rPr>
          <w:rFonts w:ascii="Times New Roman" w:hAnsi="Times New Roman"/>
          <w:sz w:val="24"/>
          <w:szCs w:val="24"/>
          <w:lang w:val="en-AU"/>
        </w:rPr>
        <w:t xml:space="preserve"> Rome and were met with wrath. </w:t>
      </w:r>
      <w:r w:rsidR="00D70DF1" w:rsidRPr="00C91742">
        <w:rPr>
          <w:rFonts w:ascii="Times New Roman" w:hAnsi="Times New Roman"/>
          <w:sz w:val="24"/>
          <w:szCs w:val="24"/>
          <w:lang w:val="en-AU"/>
        </w:rPr>
        <w:t>T</w:t>
      </w:r>
      <w:r w:rsidR="00654EAF" w:rsidRPr="00C91742">
        <w:rPr>
          <w:rFonts w:ascii="Times New Roman" w:hAnsi="Times New Roman"/>
          <w:sz w:val="24"/>
          <w:szCs w:val="24"/>
          <w:lang w:val="en-AU"/>
        </w:rPr>
        <w:t xml:space="preserve">o preserve life, </w:t>
      </w:r>
      <w:r w:rsidRPr="00C91742">
        <w:rPr>
          <w:rFonts w:ascii="Times New Roman" w:hAnsi="Times New Roman"/>
          <w:i/>
          <w:iCs/>
          <w:sz w:val="24"/>
          <w:szCs w:val="24"/>
          <w:lang w:val="en-AU"/>
        </w:rPr>
        <w:t>Mishna Avot</w:t>
      </w:r>
      <w:r w:rsidR="00654EAF" w:rsidRPr="00C91742">
        <w:rPr>
          <w:rFonts w:ascii="Times New Roman" w:hAnsi="Times New Roman"/>
          <w:i/>
          <w:iCs/>
          <w:sz w:val="24"/>
          <w:szCs w:val="24"/>
          <w:lang w:val="en-AU"/>
        </w:rPr>
        <w:t xml:space="preserve"> </w:t>
      </w:r>
      <w:r w:rsidR="00654EAF" w:rsidRPr="00C91742">
        <w:rPr>
          <w:rFonts w:ascii="Times New Roman" w:hAnsi="Times New Roman"/>
          <w:sz w:val="24"/>
          <w:szCs w:val="24"/>
          <w:lang w:val="en-AU"/>
        </w:rPr>
        <w:t>1:10</w:t>
      </w:r>
      <w:r w:rsidRPr="00C91742">
        <w:rPr>
          <w:rFonts w:ascii="Times New Roman" w:hAnsi="Times New Roman"/>
          <w:i/>
          <w:sz w:val="24"/>
          <w:szCs w:val="24"/>
          <w:lang w:val="en-AU"/>
        </w:rPr>
        <w:t xml:space="preserve"> </w:t>
      </w:r>
      <w:r w:rsidR="00654EAF" w:rsidRPr="00C91742">
        <w:rPr>
          <w:rFonts w:ascii="Times New Roman" w:hAnsi="Times New Roman"/>
          <w:sz w:val="24"/>
          <w:szCs w:val="24"/>
          <w:lang w:val="en-AU"/>
        </w:rPr>
        <w:t>suggest</w:t>
      </w:r>
      <w:r w:rsidR="00D70DF1" w:rsidRPr="00C91742">
        <w:rPr>
          <w:rFonts w:ascii="Times New Roman" w:hAnsi="Times New Roman"/>
          <w:sz w:val="24"/>
          <w:szCs w:val="24"/>
          <w:lang w:val="en-AU"/>
        </w:rPr>
        <w:t>s</w:t>
      </w:r>
      <w:r w:rsidRPr="00C91742">
        <w:rPr>
          <w:rFonts w:ascii="Times New Roman" w:hAnsi="Times New Roman"/>
          <w:sz w:val="24"/>
          <w:szCs w:val="24"/>
          <w:lang w:val="en-AU"/>
        </w:rPr>
        <w:t xml:space="preserve"> </w:t>
      </w:r>
      <w:r w:rsidR="00863B47" w:rsidRPr="00C91742">
        <w:rPr>
          <w:rFonts w:ascii="Times New Roman" w:hAnsi="Times New Roman"/>
          <w:sz w:val="24"/>
          <w:szCs w:val="24"/>
          <w:lang w:val="en-AU"/>
        </w:rPr>
        <w:t>“</w:t>
      </w:r>
      <w:r w:rsidRPr="00C91742">
        <w:rPr>
          <w:rFonts w:ascii="Times New Roman" w:hAnsi="Times New Roman"/>
          <w:sz w:val="24"/>
          <w:szCs w:val="24"/>
          <w:lang w:val="en-AU"/>
        </w:rPr>
        <w:t>Love work; hate authority; and do not become too well known to the ruling power.</w:t>
      </w:r>
      <w:r w:rsidR="00893616" w:rsidRPr="00C91742">
        <w:rPr>
          <w:rFonts w:ascii="Times New Roman" w:hAnsi="Times New Roman"/>
          <w:sz w:val="24"/>
          <w:szCs w:val="24"/>
          <w:lang w:val="en-AU"/>
        </w:rPr>
        <w:t>”</w:t>
      </w:r>
      <w:r w:rsidRPr="00C91742">
        <w:rPr>
          <w:rFonts w:ascii="Times New Roman" w:hAnsi="Times New Roman"/>
          <w:sz w:val="24"/>
          <w:szCs w:val="24"/>
          <w:lang w:val="en-AU"/>
        </w:rPr>
        <w:t xml:space="preserve"> </w:t>
      </w:r>
      <w:r w:rsidR="00BB5F0B" w:rsidRPr="00C91742">
        <w:rPr>
          <w:rFonts w:ascii="Times New Roman" w:hAnsi="Times New Roman"/>
          <w:sz w:val="24"/>
          <w:szCs w:val="24"/>
          <w:lang w:val="en-AU"/>
        </w:rPr>
        <w:t xml:space="preserve">Avot 1:10 </w:t>
      </w:r>
      <w:r w:rsidR="0094040B" w:rsidRPr="00C91742">
        <w:rPr>
          <w:rFonts w:ascii="Times New Roman" w:hAnsi="Times New Roman"/>
          <w:sz w:val="24"/>
          <w:szCs w:val="24"/>
          <w:lang w:val="en-AU"/>
        </w:rPr>
        <w:t xml:space="preserve">is referenced to </w:t>
      </w:r>
      <w:r w:rsidRPr="00C91742">
        <w:rPr>
          <w:rFonts w:ascii="Times New Roman" w:hAnsi="Times New Roman"/>
          <w:sz w:val="24"/>
          <w:szCs w:val="24"/>
          <w:lang w:val="en-AU"/>
        </w:rPr>
        <w:t>Shemaiah</w:t>
      </w:r>
      <w:r w:rsidR="0094040B" w:rsidRPr="00C91742">
        <w:rPr>
          <w:rFonts w:ascii="Times New Roman" w:hAnsi="Times New Roman"/>
          <w:sz w:val="24"/>
          <w:szCs w:val="24"/>
          <w:lang w:val="en-AU"/>
        </w:rPr>
        <w:t xml:space="preserve">, who </w:t>
      </w:r>
      <w:r w:rsidRPr="00C91742">
        <w:rPr>
          <w:rFonts w:ascii="Times New Roman" w:hAnsi="Times New Roman"/>
          <w:sz w:val="24"/>
          <w:szCs w:val="24"/>
          <w:lang w:val="en-AU"/>
        </w:rPr>
        <w:t xml:space="preserve">converted to Judaism and is said to be a distant descendant of King Sennacherib. </w:t>
      </w:r>
      <w:r w:rsidR="00654EAF" w:rsidRPr="00C91742">
        <w:rPr>
          <w:rFonts w:ascii="Times New Roman" w:hAnsi="Times New Roman"/>
          <w:sz w:val="24"/>
          <w:szCs w:val="24"/>
          <w:lang w:val="en-AU"/>
        </w:rPr>
        <w:t>It is good wisdom to have a good work ethic by not work</w:t>
      </w:r>
      <w:r w:rsidR="00AB33D0" w:rsidRPr="00C91742">
        <w:rPr>
          <w:rFonts w:ascii="Times New Roman" w:hAnsi="Times New Roman"/>
          <w:sz w:val="24"/>
          <w:szCs w:val="24"/>
          <w:lang w:val="en-AU"/>
        </w:rPr>
        <w:t>ing</w:t>
      </w:r>
      <w:r w:rsidR="00654EAF" w:rsidRPr="00C91742">
        <w:rPr>
          <w:rFonts w:ascii="Times New Roman" w:hAnsi="Times New Roman"/>
          <w:sz w:val="24"/>
          <w:szCs w:val="24"/>
          <w:lang w:val="en-AU"/>
        </w:rPr>
        <w:t xml:space="preserve"> too much or too little </w:t>
      </w:r>
      <w:proofErr w:type="gramStart"/>
      <w:r w:rsidR="00654EAF" w:rsidRPr="00C91742">
        <w:rPr>
          <w:rFonts w:ascii="Times New Roman" w:hAnsi="Times New Roman"/>
          <w:sz w:val="24"/>
          <w:szCs w:val="24"/>
          <w:lang w:val="en-AU"/>
        </w:rPr>
        <w:t>so as to</w:t>
      </w:r>
      <w:proofErr w:type="gramEnd"/>
      <w:r w:rsidR="00654EAF" w:rsidRPr="00C91742">
        <w:rPr>
          <w:rFonts w:ascii="Times New Roman" w:hAnsi="Times New Roman"/>
          <w:sz w:val="24"/>
          <w:szCs w:val="24"/>
          <w:lang w:val="en-AU"/>
        </w:rPr>
        <w:t xml:space="preserve"> </w:t>
      </w:r>
      <w:r w:rsidR="0089642A" w:rsidRPr="00C91742">
        <w:rPr>
          <w:rFonts w:ascii="Times New Roman" w:hAnsi="Times New Roman"/>
          <w:sz w:val="24"/>
          <w:szCs w:val="24"/>
          <w:lang w:val="en-AU"/>
        </w:rPr>
        <w:t>avoid being</w:t>
      </w:r>
      <w:r w:rsidR="00654EAF" w:rsidRPr="00C91742">
        <w:rPr>
          <w:rFonts w:ascii="Times New Roman" w:hAnsi="Times New Roman"/>
          <w:sz w:val="24"/>
          <w:szCs w:val="24"/>
          <w:lang w:val="en-AU"/>
        </w:rPr>
        <w:t xml:space="preserve"> scrutini</w:t>
      </w:r>
      <w:r w:rsidR="00D86BBD" w:rsidRPr="00C91742">
        <w:rPr>
          <w:rFonts w:ascii="Times New Roman" w:hAnsi="Times New Roman"/>
          <w:sz w:val="24"/>
          <w:szCs w:val="24"/>
          <w:lang w:val="en-AU"/>
        </w:rPr>
        <w:t>s</w:t>
      </w:r>
      <w:r w:rsidR="00654EAF" w:rsidRPr="00C91742">
        <w:rPr>
          <w:rFonts w:ascii="Times New Roman" w:hAnsi="Times New Roman"/>
          <w:sz w:val="24"/>
          <w:szCs w:val="24"/>
          <w:lang w:val="en-AU"/>
        </w:rPr>
        <w:t xml:space="preserve">ed by the rulers over you. It is evident from </w:t>
      </w:r>
      <w:r w:rsidR="0084266F" w:rsidRPr="00C91742">
        <w:rPr>
          <w:rFonts w:ascii="Times New Roman" w:hAnsi="Times New Roman"/>
          <w:sz w:val="24"/>
          <w:szCs w:val="24"/>
          <w:lang w:val="en-AU"/>
        </w:rPr>
        <w:t>Shemaiah</w:t>
      </w:r>
      <w:r w:rsidR="005C71CB" w:rsidRPr="00C91742">
        <w:rPr>
          <w:rFonts w:ascii="Times New Roman" w:hAnsi="Times New Roman"/>
          <w:sz w:val="24"/>
          <w:szCs w:val="24"/>
          <w:lang w:val="en-AU"/>
        </w:rPr>
        <w:t>’</w:t>
      </w:r>
      <w:r w:rsidR="0084266F" w:rsidRPr="00C91742">
        <w:rPr>
          <w:rFonts w:ascii="Times New Roman" w:hAnsi="Times New Roman"/>
          <w:sz w:val="24"/>
          <w:szCs w:val="24"/>
          <w:lang w:val="en-AU"/>
        </w:rPr>
        <w:t>s</w:t>
      </w:r>
      <w:r w:rsidR="00654EAF" w:rsidRPr="00C91742">
        <w:rPr>
          <w:rFonts w:ascii="Times New Roman" w:hAnsi="Times New Roman"/>
          <w:sz w:val="24"/>
          <w:szCs w:val="24"/>
          <w:lang w:val="en-AU"/>
        </w:rPr>
        <w:t xml:space="preserve"> wisdom that his advice is to avoid being </w:t>
      </w:r>
      <w:r w:rsidR="008344CF" w:rsidRPr="00C91742">
        <w:rPr>
          <w:rFonts w:ascii="Times New Roman" w:hAnsi="Times New Roman"/>
          <w:sz w:val="24"/>
          <w:szCs w:val="24"/>
          <w:lang w:val="en-AU"/>
        </w:rPr>
        <w:t>someone who raises suspicion.  Jesus</w:t>
      </w:r>
      <w:r w:rsidR="005C71CB" w:rsidRPr="00C91742">
        <w:rPr>
          <w:rFonts w:ascii="Times New Roman" w:hAnsi="Times New Roman"/>
          <w:sz w:val="24"/>
          <w:szCs w:val="24"/>
          <w:lang w:val="en-AU"/>
        </w:rPr>
        <w:t>’</w:t>
      </w:r>
      <w:r w:rsidR="00E35288">
        <w:rPr>
          <w:rFonts w:ascii="Times New Roman" w:hAnsi="Times New Roman"/>
          <w:sz w:val="24"/>
          <w:szCs w:val="24"/>
          <w:lang w:val="en-AU"/>
        </w:rPr>
        <w:t xml:space="preserve">s </w:t>
      </w:r>
      <w:r w:rsidR="008344CF" w:rsidRPr="00C91742">
        <w:rPr>
          <w:rFonts w:ascii="Times New Roman" w:hAnsi="Times New Roman"/>
          <w:sz w:val="24"/>
          <w:szCs w:val="24"/>
          <w:lang w:val="en-AU"/>
        </w:rPr>
        <w:t xml:space="preserve">own actions </w:t>
      </w:r>
      <w:r w:rsidR="0089642A" w:rsidRPr="00C91742">
        <w:rPr>
          <w:rFonts w:ascii="Times New Roman" w:hAnsi="Times New Roman"/>
          <w:sz w:val="24"/>
          <w:szCs w:val="24"/>
          <w:lang w:val="en-AU"/>
        </w:rPr>
        <w:t xml:space="preserve">show that he </w:t>
      </w:r>
      <w:r w:rsidR="008344CF" w:rsidRPr="00C91742">
        <w:rPr>
          <w:rFonts w:ascii="Times New Roman" w:hAnsi="Times New Roman"/>
          <w:sz w:val="24"/>
          <w:szCs w:val="24"/>
          <w:lang w:val="en-AU"/>
        </w:rPr>
        <w:t>tried to follow this</w:t>
      </w:r>
      <w:r w:rsidR="0089642A" w:rsidRPr="00C91742">
        <w:rPr>
          <w:rFonts w:ascii="Times New Roman" w:hAnsi="Times New Roman"/>
          <w:sz w:val="24"/>
          <w:szCs w:val="24"/>
          <w:lang w:val="en-AU"/>
        </w:rPr>
        <w:t>:</w:t>
      </w:r>
      <w:r w:rsidR="008344CF" w:rsidRPr="00C91742">
        <w:rPr>
          <w:rFonts w:ascii="Times New Roman" w:hAnsi="Times New Roman"/>
          <w:sz w:val="24"/>
          <w:szCs w:val="24"/>
          <w:lang w:val="en-AU"/>
        </w:rPr>
        <w:t xml:space="preserve"> even when healing people he would say not </w:t>
      </w:r>
      <w:r w:rsidR="0089642A" w:rsidRPr="00C91742">
        <w:rPr>
          <w:rFonts w:ascii="Times New Roman" w:hAnsi="Times New Roman"/>
          <w:sz w:val="24"/>
          <w:szCs w:val="24"/>
          <w:lang w:val="en-AU"/>
        </w:rPr>
        <w:t xml:space="preserve">to </w:t>
      </w:r>
      <w:r w:rsidR="008344CF" w:rsidRPr="00C91742">
        <w:rPr>
          <w:rFonts w:ascii="Times New Roman" w:hAnsi="Times New Roman"/>
          <w:sz w:val="24"/>
          <w:szCs w:val="24"/>
          <w:lang w:val="en-AU"/>
        </w:rPr>
        <w:t xml:space="preserve">tell anyone </w:t>
      </w:r>
      <w:r w:rsidR="00365D4A" w:rsidRPr="00C91742">
        <w:rPr>
          <w:rFonts w:ascii="Times New Roman" w:hAnsi="Times New Roman"/>
          <w:sz w:val="24"/>
          <w:szCs w:val="24"/>
          <w:lang w:val="en-AU"/>
        </w:rPr>
        <w:t>[</w:t>
      </w:r>
      <w:r w:rsidR="008344CF" w:rsidRPr="00C91742">
        <w:rPr>
          <w:rFonts w:ascii="Times New Roman" w:hAnsi="Times New Roman"/>
          <w:sz w:val="24"/>
          <w:szCs w:val="24"/>
          <w:lang w:val="en-AU"/>
        </w:rPr>
        <w:t>Matt 27:12</w:t>
      </w:r>
      <w:r w:rsidR="00365D4A" w:rsidRPr="00C91742">
        <w:rPr>
          <w:rFonts w:ascii="Times New Roman" w:hAnsi="Times New Roman"/>
          <w:sz w:val="24"/>
          <w:szCs w:val="24"/>
          <w:lang w:val="en-AU"/>
        </w:rPr>
        <w:t>]</w:t>
      </w:r>
      <w:r w:rsidR="008344CF" w:rsidRPr="00C91742">
        <w:rPr>
          <w:rFonts w:ascii="Times New Roman" w:hAnsi="Times New Roman"/>
          <w:sz w:val="24"/>
          <w:szCs w:val="24"/>
          <w:lang w:val="en-AU"/>
        </w:rPr>
        <w:t>.</w:t>
      </w:r>
      <w:r w:rsidRPr="00C91742">
        <w:rPr>
          <w:rFonts w:ascii="Times New Roman" w:hAnsi="Times New Roman"/>
          <w:sz w:val="24"/>
          <w:szCs w:val="24"/>
          <w:lang w:val="en-AU"/>
        </w:rPr>
        <w:t xml:space="preserve">  Those seeking to have only a spiritual leadership could submit to Roman </w:t>
      </w:r>
      <w:r w:rsidR="006470E7" w:rsidRPr="00C91742">
        <w:rPr>
          <w:rFonts w:ascii="Times New Roman" w:hAnsi="Times New Roman"/>
          <w:sz w:val="24"/>
          <w:szCs w:val="24"/>
          <w:lang w:val="en-AU"/>
        </w:rPr>
        <w:t>authority, whereas th</w:t>
      </w:r>
      <w:r w:rsidRPr="00C91742">
        <w:rPr>
          <w:rFonts w:ascii="Times New Roman" w:hAnsi="Times New Roman"/>
          <w:sz w:val="24"/>
          <w:szCs w:val="24"/>
          <w:lang w:val="en-AU"/>
        </w:rPr>
        <w:t>ose who sought a Messiah</w:t>
      </w:r>
      <w:r w:rsidR="00FC333A" w:rsidRPr="00C91742">
        <w:rPr>
          <w:rFonts w:ascii="Times New Roman" w:hAnsi="Times New Roman"/>
          <w:sz w:val="24"/>
          <w:szCs w:val="24"/>
          <w:lang w:val="en-AU"/>
        </w:rPr>
        <w:t xml:space="preserve"> from the line of</w:t>
      </w:r>
      <w:r w:rsidRPr="00C91742">
        <w:rPr>
          <w:rFonts w:ascii="Times New Roman" w:hAnsi="Times New Roman"/>
          <w:sz w:val="24"/>
          <w:szCs w:val="24"/>
          <w:lang w:val="en-AU"/>
        </w:rPr>
        <w:t xml:space="preserve"> David could not submit to Roman leadership. For example, the </w:t>
      </w:r>
      <w:r w:rsidR="00FC333A" w:rsidRPr="00C91742">
        <w:rPr>
          <w:rFonts w:ascii="Times New Roman" w:hAnsi="Times New Roman"/>
          <w:sz w:val="24"/>
          <w:szCs w:val="24"/>
          <w:lang w:val="en-AU"/>
        </w:rPr>
        <w:t xml:space="preserve">pacifist </w:t>
      </w:r>
      <w:r w:rsidRPr="00C91742">
        <w:rPr>
          <w:rFonts w:ascii="Times New Roman" w:hAnsi="Times New Roman"/>
          <w:sz w:val="24"/>
          <w:szCs w:val="24"/>
          <w:lang w:val="en-AU"/>
        </w:rPr>
        <w:t>Essene community</w:t>
      </w:r>
      <w:r w:rsidR="00FC333A" w:rsidRPr="00C91742">
        <w:rPr>
          <w:rFonts w:ascii="Times New Roman" w:hAnsi="Times New Roman"/>
          <w:sz w:val="24"/>
          <w:szCs w:val="24"/>
          <w:lang w:val="en-AU"/>
        </w:rPr>
        <w:t>,</w:t>
      </w:r>
      <w:r w:rsidRPr="00C91742">
        <w:rPr>
          <w:rFonts w:ascii="Times New Roman" w:hAnsi="Times New Roman"/>
          <w:sz w:val="24"/>
          <w:szCs w:val="24"/>
          <w:lang w:val="en-AU"/>
        </w:rPr>
        <w:t xml:space="preserve"> the Pharisees who follow</w:t>
      </w:r>
      <w:r w:rsidR="00FC333A" w:rsidRPr="00C91742">
        <w:rPr>
          <w:rFonts w:ascii="Times New Roman" w:hAnsi="Times New Roman"/>
          <w:sz w:val="24"/>
          <w:szCs w:val="24"/>
          <w:lang w:val="en-AU"/>
        </w:rPr>
        <w:t>ed</w:t>
      </w:r>
      <w:r w:rsidRPr="00C91742">
        <w:rPr>
          <w:rFonts w:ascii="Times New Roman" w:hAnsi="Times New Roman"/>
          <w:sz w:val="24"/>
          <w:szCs w:val="24"/>
          <w:lang w:val="en-AU"/>
        </w:rPr>
        <w:t xml:space="preserve"> Hillel</w:t>
      </w:r>
      <w:r w:rsidR="005C71CB" w:rsidRPr="00C91742">
        <w:rPr>
          <w:rFonts w:ascii="Times New Roman" w:hAnsi="Times New Roman"/>
          <w:sz w:val="24"/>
          <w:szCs w:val="24"/>
          <w:lang w:val="en-AU"/>
        </w:rPr>
        <w:t>’</w:t>
      </w:r>
      <w:r w:rsidRPr="00C91742">
        <w:rPr>
          <w:rFonts w:ascii="Times New Roman" w:hAnsi="Times New Roman"/>
          <w:sz w:val="24"/>
          <w:szCs w:val="24"/>
          <w:lang w:val="en-AU"/>
        </w:rPr>
        <w:t xml:space="preserve">s teachings, and the Sadducees </w:t>
      </w:r>
      <w:r w:rsidR="00FC333A" w:rsidRPr="00C91742">
        <w:rPr>
          <w:rFonts w:ascii="Times New Roman" w:hAnsi="Times New Roman"/>
          <w:sz w:val="24"/>
          <w:szCs w:val="24"/>
          <w:lang w:val="en-AU"/>
        </w:rPr>
        <w:t xml:space="preserve">who </w:t>
      </w:r>
      <w:r w:rsidRPr="00C91742">
        <w:rPr>
          <w:rFonts w:ascii="Times New Roman" w:hAnsi="Times New Roman"/>
          <w:sz w:val="24"/>
          <w:szCs w:val="24"/>
          <w:lang w:val="en-AU"/>
        </w:rPr>
        <w:t xml:space="preserve">followed Shammai (not Shemaiah as mentioned above) each developed different views </w:t>
      </w:r>
      <w:r w:rsidR="00FC333A" w:rsidRPr="00C91742">
        <w:rPr>
          <w:rFonts w:ascii="Times New Roman" w:hAnsi="Times New Roman"/>
          <w:sz w:val="24"/>
          <w:szCs w:val="24"/>
          <w:lang w:val="en-AU"/>
        </w:rPr>
        <w:t>on</w:t>
      </w:r>
      <w:r w:rsidRPr="00C91742">
        <w:rPr>
          <w:rFonts w:ascii="Times New Roman" w:hAnsi="Times New Roman"/>
          <w:sz w:val="24"/>
          <w:szCs w:val="24"/>
          <w:lang w:val="en-AU"/>
        </w:rPr>
        <w:t xml:space="preserve"> non-confrontation. </w:t>
      </w:r>
    </w:p>
    <w:p w14:paraId="1D0FCC38" w14:textId="4CC30AF3" w:rsidR="00D25D36" w:rsidRPr="00C91742" w:rsidRDefault="00DB3710" w:rsidP="00A95DD3">
      <w:pPr>
        <w:pStyle w:val="Heading2"/>
      </w:pPr>
      <w:bookmarkStart w:id="97" w:name="_Toc94537002"/>
      <w:bookmarkStart w:id="98" w:name="_Toc118063649"/>
      <w:r w:rsidRPr="00C91742">
        <w:t>5.</w:t>
      </w:r>
      <w:r w:rsidR="00EE6A90" w:rsidRPr="00C91742">
        <w:t>4</w:t>
      </w:r>
      <w:r w:rsidR="00BE6BA3" w:rsidRPr="00C91742">
        <w:t xml:space="preserve"> </w:t>
      </w:r>
      <w:r w:rsidR="00BE6BA3" w:rsidRPr="00C91742">
        <w:rPr>
          <w:i/>
          <w:iCs/>
        </w:rPr>
        <w:t>Mishna Avot</w:t>
      </w:r>
      <w:r w:rsidR="00BE6BA3" w:rsidRPr="00C91742">
        <w:t xml:space="preserve"> </w:t>
      </w:r>
      <w:r w:rsidR="001509BF" w:rsidRPr="00C91742">
        <w:t xml:space="preserve">1:12 and </w:t>
      </w:r>
      <w:r w:rsidR="002D51C6" w:rsidRPr="00C91742">
        <w:t>S</w:t>
      </w:r>
      <w:r w:rsidR="001509BF" w:rsidRPr="00C91742">
        <w:t xml:space="preserve">eeking </w:t>
      </w:r>
      <w:r w:rsidR="002D51C6" w:rsidRPr="00C91742">
        <w:t>Nonconfrontation</w:t>
      </w:r>
      <w:bookmarkEnd w:id="97"/>
      <w:bookmarkEnd w:id="98"/>
    </w:p>
    <w:p w14:paraId="58B0BC83" w14:textId="77777777" w:rsidR="008D4202" w:rsidRPr="00C91742" w:rsidRDefault="00BE6BA3" w:rsidP="008D4202">
      <w:pPr>
        <w:spacing w:line="480" w:lineRule="auto"/>
        <w:contextualSpacing/>
        <w:rPr>
          <w:lang w:val="en-AU"/>
        </w:rPr>
      </w:pPr>
      <w:r w:rsidRPr="00C91742">
        <w:rPr>
          <w:i/>
          <w:iCs/>
          <w:lang w:val="en-AU"/>
        </w:rPr>
        <w:t>Mishna Avot</w:t>
      </w:r>
      <w:r w:rsidRPr="00C91742">
        <w:rPr>
          <w:i/>
          <w:lang w:val="en-AU"/>
        </w:rPr>
        <w:t xml:space="preserve"> </w:t>
      </w:r>
      <w:r w:rsidRPr="00C91742">
        <w:rPr>
          <w:lang w:val="en-AU"/>
        </w:rPr>
        <w:t xml:space="preserve">1:12 </w:t>
      </w:r>
    </w:p>
    <w:p w14:paraId="021A2F41" w14:textId="7AC555B4" w:rsidR="00D25D36" w:rsidRPr="009E7B69" w:rsidRDefault="00BE6BA3" w:rsidP="008D4202">
      <w:pPr>
        <w:ind w:left="709" w:right="709"/>
        <w:contextualSpacing/>
        <w:jc w:val="right"/>
      </w:pPr>
      <w:r w:rsidRPr="009E7B69">
        <w:rPr>
          <w:rtl/>
        </w:rPr>
        <w:lastRenderedPageBreak/>
        <w:t>הִלֵּל וְשַׁמַּאי קִבְּלוּ מֵהֶם. הִלֵּל אוֹמֵר, הֱוֵי מִתַּלְמִידָיו שֶׁל אַהֲרֹן, אוֹהֵב שָׁלוֹם וְרוֹדֵף שָׁלוֹם, אוֹהֵב אֶת הַבְּרִיּוֹת וּמְקָרְבָן לַתּוֹרָה</w:t>
      </w:r>
      <w:r w:rsidRPr="009E7B69">
        <w:t>:</w:t>
      </w:r>
    </w:p>
    <w:p w14:paraId="419378DA" w14:textId="7118ACF2" w:rsidR="00D25D36" w:rsidRPr="00C91742" w:rsidRDefault="00BE6BA3" w:rsidP="008D4202">
      <w:pPr>
        <w:ind w:left="709" w:right="709"/>
        <w:contextualSpacing/>
        <w:rPr>
          <w:iCs/>
          <w:lang w:val="en-AU"/>
        </w:rPr>
      </w:pPr>
      <w:r w:rsidRPr="00C91742">
        <w:rPr>
          <w:iCs/>
          <w:lang w:val="en-AU"/>
        </w:rPr>
        <w:t xml:space="preserve">Hillel and Shammai received from them. Hillel says, </w:t>
      </w:r>
      <w:r w:rsidR="005C71CB" w:rsidRPr="00C91742">
        <w:rPr>
          <w:iCs/>
          <w:lang w:val="en-AU"/>
        </w:rPr>
        <w:t>‘</w:t>
      </w:r>
      <w:r w:rsidRPr="00C91742">
        <w:rPr>
          <w:iCs/>
          <w:lang w:val="en-AU"/>
        </w:rPr>
        <w:t>Be of the disciples of Aharon, loving peace and pursuing peace, loving the creatures and bringing them closer to Torah.</w:t>
      </w:r>
      <w:r w:rsidR="005C71CB" w:rsidRPr="00C91742">
        <w:rPr>
          <w:iCs/>
          <w:lang w:val="en-AU"/>
        </w:rPr>
        <w:t>’</w:t>
      </w:r>
      <w:r w:rsidRPr="00C91742">
        <w:rPr>
          <w:rStyle w:val="FootnoteReference"/>
          <w:iCs/>
          <w:lang w:val="en-AU"/>
        </w:rPr>
        <w:footnoteReference w:id="273"/>
      </w:r>
    </w:p>
    <w:p w14:paraId="7BE0E9D0" w14:textId="77777777" w:rsidR="008D4202" w:rsidRPr="00C91742" w:rsidRDefault="008D4202" w:rsidP="008D4202">
      <w:pPr>
        <w:contextualSpacing/>
        <w:rPr>
          <w:highlight w:val="yellow"/>
          <w:lang w:val="en-AU"/>
        </w:rPr>
      </w:pPr>
    </w:p>
    <w:p w14:paraId="62B0817C" w14:textId="1508091D" w:rsidR="00F31C2A" w:rsidRPr="00C91742" w:rsidRDefault="00923279" w:rsidP="008D4202">
      <w:pPr>
        <w:spacing w:line="480" w:lineRule="auto"/>
        <w:contextualSpacing/>
        <w:rPr>
          <w:strike/>
          <w:lang w:val="en-AU"/>
        </w:rPr>
      </w:pPr>
      <w:r w:rsidRPr="00C91742">
        <w:rPr>
          <w:lang w:val="en-AU"/>
        </w:rPr>
        <w:t>According to tradition, Hillel</w:t>
      </w:r>
      <w:r w:rsidRPr="009E7B69">
        <w:t xml:space="preserve"> (</w:t>
      </w:r>
      <w:r w:rsidRPr="009E7B69">
        <w:rPr>
          <w:rtl/>
        </w:rPr>
        <w:t>הלל</w:t>
      </w:r>
      <w:r w:rsidRPr="009E7B69">
        <w:t xml:space="preserve">) </w:t>
      </w:r>
      <w:r w:rsidRPr="00C91742">
        <w:rPr>
          <w:lang w:val="en-AU"/>
        </w:rPr>
        <w:t>was born in Babylon in 110 BCE and died in 10 CE in Jerusalem</w:t>
      </w:r>
      <w:r w:rsidR="00BE6BA3" w:rsidRPr="00C91742">
        <w:rPr>
          <w:lang w:val="en-AU"/>
        </w:rPr>
        <w:t>, while Shammai was born in 50 BCE and died in 30 CE.</w:t>
      </w:r>
      <w:r w:rsidR="00C31000" w:rsidRPr="00C91742">
        <w:rPr>
          <w:rStyle w:val="FootnoteReference"/>
          <w:lang w:val="en-AU"/>
        </w:rPr>
        <w:footnoteReference w:id="274"/>
      </w:r>
      <w:r w:rsidR="00BE6BA3" w:rsidRPr="00C91742">
        <w:rPr>
          <w:lang w:val="en-AU"/>
        </w:rPr>
        <w:t xml:space="preserve"> The significance of </w:t>
      </w:r>
      <w:r w:rsidR="00BE6BA3" w:rsidRPr="00C91742">
        <w:rPr>
          <w:i/>
          <w:iCs/>
          <w:lang w:val="en-AU"/>
        </w:rPr>
        <w:t>Mishna Avot</w:t>
      </w:r>
      <w:r w:rsidR="00BE6BA3" w:rsidRPr="00C91742">
        <w:rPr>
          <w:i/>
          <w:lang w:val="en-AU"/>
        </w:rPr>
        <w:t xml:space="preserve"> </w:t>
      </w:r>
      <w:r w:rsidR="00BE6BA3" w:rsidRPr="00C91742">
        <w:rPr>
          <w:lang w:val="en-AU"/>
        </w:rPr>
        <w:t xml:space="preserve">1:12 is in the action of being peaceful, and </w:t>
      </w:r>
      <w:r w:rsidR="00BE6BA3" w:rsidRPr="00C91742">
        <w:rPr>
          <w:i/>
          <w:iCs/>
          <w:lang w:val="en-AU"/>
        </w:rPr>
        <w:t>Mishna Avot</w:t>
      </w:r>
      <w:r w:rsidR="00BE6BA3" w:rsidRPr="00C91742">
        <w:rPr>
          <w:i/>
          <w:lang w:val="en-AU"/>
        </w:rPr>
        <w:t xml:space="preserve"> </w:t>
      </w:r>
      <w:r w:rsidR="00BE6BA3" w:rsidRPr="00C91742">
        <w:rPr>
          <w:lang w:val="en-AU"/>
        </w:rPr>
        <w:t xml:space="preserve">1:12 </w:t>
      </w:r>
      <w:r w:rsidR="008A1549" w:rsidRPr="00C91742">
        <w:rPr>
          <w:lang w:val="en-AU"/>
        </w:rPr>
        <w:t>presents</w:t>
      </w:r>
      <w:r w:rsidR="008A1549" w:rsidRPr="00C91742">
        <w:rPr>
          <w:i/>
          <w:iCs/>
          <w:lang w:val="en-AU"/>
        </w:rPr>
        <w:t xml:space="preserve"> </w:t>
      </w:r>
      <w:r w:rsidR="00BE6BA3" w:rsidRPr="00C91742">
        <w:rPr>
          <w:lang w:val="en-AU"/>
        </w:rPr>
        <w:t>Aharon</w:t>
      </w:r>
      <w:r w:rsidR="008A1549" w:rsidRPr="00C91742">
        <w:rPr>
          <w:lang w:val="en-AU"/>
        </w:rPr>
        <w:t xml:space="preserve"> as one who </w:t>
      </w:r>
      <w:r w:rsidR="00BE6BA3" w:rsidRPr="00C91742">
        <w:rPr>
          <w:lang w:val="en-AU"/>
        </w:rPr>
        <w:t>lov</w:t>
      </w:r>
      <w:r w:rsidR="008A1549" w:rsidRPr="00C91742">
        <w:rPr>
          <w:lang w:val="en-AU"/>
        </w:rPr>
        <w:t>ed</w:t>
      </w:r>
      <w:r w:rsidR="00BE6BA3" w:rsidRPr="00C91742">
        <w:rPr>
          <w:lang w:val="en-AU"/>
        </w:rPr>
        <w:t xml:space="preserve"> and pursu</w:t>
      </w:r>
      <w:r w:rsidR="008A1549" w:rsidRPr="00C91742">
        <w:rPr>
          <w:lang w:val="en-AU"/>
        </w:rPr>
        <w:t>ed</w:t>
      </w:r>
      <w:r w:rsidR="00BE6BA3" w:rsidRPr="00C91742">
        <w:rPr>
          <w:lang w:val="en-AU"/>
        </w:rPr>
        <w:t xml:space="preserve"> peace. The quote also </w:t>
      </w:r>
      <w:r w:rsidR="009F4A5B" w:rsidRPr="00C91742">
        <w:rPr>
          <w:lang w:val="en-AU"/>
        </w:rPr>
        <w:t>expre</w:t>
      </w:r>
      <w:r w:rsidR="003A5639" w:rsidRPr="00C91742">
        <w:rPr>
          <w:lang w:val="en-AU"/>
        </w:rPr>
        <w:t>s</w:t>
      </w:r>
      <w:r w:rsidR="009F4A5B" w:rsidRPr="00C91742">
        <w:rPr>
          <w:lang w:val="en-AU"/>
        </w:rPr>
        <w:t>s</w:t>
      </w:r>
      <w:r w:rsidR="00BE6BA3" w:rsidRPr="00C91742">
        <w:rPr>
          <w:lang w:val="en-AU"/>
        </w:rPr>
        <w:t>es the idea of loving creatures</w:t>
      </w:r>
      <w:r w:rsidR="00052E39" w:rsidRPr="00C91742">
        <w:rPr>
          <w:lang w:val="en-AU"/>
        </w:rPr>
        <w:t xml:space="preserve"> but discussion of that is beyond the scope of this dissertation.</w:t>
      </w:r>
      <w:r w:rsidR="00BE6BA3" w:rsidRPr="00C91742">
        <w:rPr>
          <w:lang w:val="en-AU"/>
        </w:rPr>
        <w:t xml:space="preserve"> </w:t>
      </w:r>
      <w:r w:rsidR="0096727A" w:rsidRPr="00C91742">
        <w:rPr>
          <w:lang w:val="en-AU"/>
        </w:rPr>
        <w:t>T</w:t>
      </w:r>
      <w:r w:rsidR="007524D5" w:rsidRPr="00C91742">
        <w:rPr>
          <w:lang w:val="en-AU"/>
        </w:rPr>
        <w:t xml:space="preserve">here is an element of love given to animals </w:t>
      </w:r>
      <w:r w:rsidR="0095277B" w:rsidRPr="00C91742">
        <w:rPr>
          <w:lang w:val="en-AU"/>
        </w:rPr>
        <w:t>because of</w:t>
      </w:r>
      <w:r w:rsidR="00017F89" w:rsidRPr="00C91742">
        <w:rPr>
          <w:lang w:val="en-AU"/>
        </w:rPr>
        <w:t xml:space="preserve"> </w:t>
      </w:r>
      <w:r w:rsidR="007524D5" w:rsidRPr="00C91742">
        <w:rPr>
          <w:lang w:val="en-AU"/>
        </w:rPr>
        <w:t>the sacredness they have.</w:t>
      </w:r>
      <w:r w:rsidR="00103E4A" w:rsidRPr="00C91742">
        <w:rPr>
          <w:rStyle w:val="FootnoteReference"/>
          <w:lang w:val="en-AU"/>
        </w:rPr>
        <w:footnoteReference w:id="275"/>
      </w:r>
      <w:r w:rsidR="007524D5" w:rsidRPr="00C91742">
        <w:rPr>
          <w:lang w:val="en-AU"/>
        </w:rPr>
        <w:t xml:space="preserve"> </w:t>
      </w:r>
      <w:r w:rsidR="00103E4A" w:rsidRPr="00C91742">
        <w:rPr>
          <w:lang w:val="en-AU"/>
        </w:rPr>
        <w:t>T</w:t>
      </w:r>
      <w:r w:rsidR="00BE6BA3" w:rsidRPr="00C91742">
        <w:rPr>
          <w:lang w:val="en-AU"/>
        </w:rPr>
        <w:t xml:space="preserve">he basis for the rabbinic view that Aaron embodied these attributes is </w:t>
      </w:r>
      <w:r w:rsidR="00EA3572" w:rsidRPr="00C91742">
        <w:rPr>
          <w:lang w:val="en-AU"/>
        </w:rPr>
        <w:t xml:space="preserve">in </w:t>
      </w:r>
      <w:r w:rsidR="00BE6BA3" w:rsidRPr="00C91742">
        <w:rPr>
          <w:lang w:val="en-AU"/>
        </w:rPr>
        <w:t>Malachi 2:6</w:t>
      </w:r>
      <w:r w:rsidR="00EA3572" w:rsidRPr="00C91742">
        <w:rPr>
          <w:lang w:val="en-AU"/>
        </w:rPr>
        <w:t>:</w:t>
      </w:r>
      <w:r w:rsidR="00BE6BA3" w:rsidRPr="00C91742">
        <w:rPr>
          <w:lang w:val="en-AU"/>
        </w:rPr>
        <w:t xml:space="preserve"> </w:t>
      </w:r>
      <w:r w:rsidR="00863B47" w:rsidRPr="00C91742">
        <w:rPr>
          <w:lang w:val="en-AU"/>
        </w:rPr>
        <w:t>“</w:t>
      </w:r>
      <w:r w:rsidR="00BE6BA3" w:rsidRPr="00C91742">
        <w:rPr>
          <w:lang w:val="en-AU"/>
        </w:rPr>
        <w:t>He walked with me in peace,</w:t>
      </w:r>
      <w:r w:rsidR="00863B47" w:rsidRPr="00C91742">
        <w:rPr>
          <w:lang w:val="en-AU"/>
        </w:rPr>
        <w:t>”</w:t>
      </w:r>
      <w:r w:rsidR="00BE6BA3" w:rsidRPr="00C91742">
        <w:rPr>
          <w:lang w:val="en-AU"/>
        </w:rPr>
        <w:t xml:space="preserve"> which was </w:t>
      </w:r>
      <w:r w:rsidR="00BE6BA3" w:rsidRPr="00C91742">
        <w:rPr>
          <w:lang w:val="en-AU"/>
        </w:rPr>
        <w:lastRenderedPageBreak/>
        <w:t>interpreted by the rabbis as referring to Aaron (</w:t>
      </w:r>
      <w:r w:rsidR="00BE6BA3" w:rsidRPr="00C91742">
        <w:rPr>
          <w:i/>
          <w:iCs/>
          <w:lang w:val="en-AU"/>
        </w:rPr>
        <w:t>Sanhedrin</w:t>
      </w:r>
      <w:r w:rsidR="00BE6BA3" w:rsidRPr="00C91742">
        <w:rPr>
          <w:lang w:val="en-AU"/>
        </w:rPr>
        <w:t xml:space="preserve"> 6b)</w:t>
      </w:r>
      <w:r w:rsidR="00C91742">
        <w:rPr>
          <w:lang w:val="en-AU"/>
        </w:rPr>
        <w:t>.</w:t>
      </w:r>
      <w:r w:rsidR="00987BF1" w:rsidRPr="00C91742">
        <w:rPr>
          <w:rStyle w:val="FootnoteReference"/>
          <w:lang w:val="en-AU"/>
        </w:rPr>
        <w:footnoteReference w:id="276"/>
      </w:r>
      <w:r w:rsidR="00BE6BA3" w:rsidRPr="00C91742">
        <w:rPr>
          <w:lang w:val="en-AU"/>
        </w:rPr>
        <w:t xml:space="preserve"> Similar peace sayings in </w:t>
      </w:r>
      <w:r w:rsidR="00BE6BA3" w:rsidRPr="00C91742">
        <w:rPr>
          <w:i/>
          <w:iCs/>
          <w:lang w:val="en-AU"/>
        </w:rPr>
        <w:t>Mishna Avot</w:t>
      </w:r>
      <w:r w:rsidR="00BE6BA3" w:rsidRPr="00C91742">
        <w:rPr>
          <w:i/>
          <w:lang w:val="en-AU"/>
        </w:rPr>
        <w:t xml:space="preserve"> </w:t>
      </w:r>
      <w:r w:rsidR="00BE6BA3" w:rsidRPr="00C91742">
        <w:rPr>
          <w:lang w:val="en-AU"/>
        </w:rPr>
        <w:t xml:space="preserve">1:18 easily prompt similar discussions of peace and justice.  </w:t>
      </w:r>
    </w:p>
    <w:p w14:paraId="6290FB91" w14:textId="3A17A4AD" w:rsidR="008D4202" w:rsidRPr="00C91742" w:rsidRDefault="00DB3710" w:rsidP="000915B1">
      <w:pPr>
        <w:pStyle w:val="Heading2"/>
      </w:pPr>
      <w:bookmarkStart w:id="99" w:name="_Toc94537003"/>
      <w:bookmarkStart w:id="100" w:name="_Toc118063650"/>
      <w:r w:rsidRPr="00C91742">
        <w:t>5.</w:t>
      </w:r>
      <w:r w:rsidR="0026200C" w:rsidRPr="00C91742">
        <w:t xml:space="preserve">5 </w:t>
      </w:r>
      <w:r w:rsidR="00F31C2A" w:rsidRPr="00C91742">
        <w:rPr>
          <w:i/>
          <w:iCs/>
        </w:rPr>
        <w:t>Mishna Avot</w:t>
      </w:r>
      <w:r w:rsidR="00F31C2A" w:rsidRPr="00C91742">
        <w:t xml:space="preserve"> 1:3 and </w:t>
      </w:r>
      <w:r w:rsidR="001629CE" w:rsidRPr="00C91742">
        <w:t>Examining Giving</w:t>
      </w:r>
      <w:bookmarkEnd w:id="99"/>
      <w:bookmarkEnd w:id="100"/>
    </w:p>
    <w:p w14:paraId="4F8F39CA" w14:textId="77777777" w:rsidR="008D4202" w:rsidRPr="009E7B69" w:rsidRDefault="00BE6BA3" w:rsidP="00E71B5E">
      <w:pPr>
        <w:keepNext/>
        <w:ind w:left="709" w:right="709"/>
        <w:contextualSpacing/>
      </w:pPr>
      <w:r w:rsidRPr="009E7B69">
        <w:rPr>
          <w:i/>
          <w:iCs/>
        </w:rPr>
        <w:t>Mishna Avot</w:t>
      </w:r>
      <w:r w:rsidRPr="009E7B69">
        <w:rPr>
          <w:i/>
        </w:rPr>
        <w:t xml:space="preserve"> </w:t>
      </w:r>
      <w:r w:rsidRPr="009E7B69">
        <w:t>1:3</w:t>
      </w:r>
    </w:p>
    <w:p w14:paraId="51900B6E" w14:textId="322D6CBD" w:rsidR="00D25D36" w:rsidRPr="009E7B69" w:rsidRDefault="00BE6BA3" w:rsidP="008D4202">
      <w:pPr>
        <w:ind w:left="709" w:right="709"/>
        <w:contextualSpacing/>
        <w:jc w:val="right"/>
      </w:pPr>
      <w:r w:rsidRPr="009E7B69">
        <w:rPr>
          <w:rtl/>
        </w:rPr>
        <w:t>אַנְטִיגְנוֹס אִישׁ סוֹכוֹ קִבֵּל מִשִּׁמְעוֹן הַצַּדִּיק. הוּא הָיָה אוֹמֵר, אַל תִּהְיוּ כַעֲבָדִים הַמְשַׁמְּשִׁין אֶת הָרַב עַל מְנָת לְקַבֵּל פְּרָס, אֶלָּא הֱווּ כַעֲבָדִים הַמְשַׁמְּשִׁין אֶת הָרַב שֶׁלֹּא עַל מְנָת לְקַבֵּל פְּרָס, וִיהִי מוֹרָא שָׁמַיִם עֲלֵיכֶם</w:t>
      </w:r>
      <w:r w:rsidRPr="009E7B69">
        <w:t>:</w:t>
      </w:r>
    </w:p>
    <w:p w14:paraId="1E134957" w14:textId="13FAD69A" w:rsidR="00D25D36" w:rsidRPr="00C91742" w:rsidRDefault="00BE6BA3" w:rsidP="008D4202">
      <w:pPr>
        <w:ind w:left="709" w:right="709"/>
        <w:contextualSpacing/>
        <w:rPr>
          <w:lang w:val="en-AU"/>
        </w:rPr>
      </w:pPr>
      <w:r w:rsidRPr="00C91742">
        <w:rPr>
          <w:lang w:val="en-AU"/>
        </w:rPr>
        <w:t>Antigonos, man of Sokho, received from Shimon the Righteous.</w:t>
      </w:r>
      <w:r w:rsidRPr="00C91742">
        <w:rPr>
          <w:rStyle w:val="FootnoteReference"/>
          <w:lang w:val="en-AU"/>
        </w:rPr>
        <w:footnoteReference w:id="277"/>
      </w:r>
      <w:r w:rsidRPr="00C91742">
        <w:rPr>
          <w:lang w:val="en-AU"/>
        </w:rPr>
        <w:t xml:space="preserve"> He would say, </w:t>
      </w:r>
      <w:r w:rsidR="005C71CB" w:rsidRPr="00C91742">
        <w:rPr>
          <w:lang w:val="en-AU"/>
        </w:rPr>
        <w:t>‘</w:t>
      </w:r>
      <w:r w:rsidRPr="00C91742">
        <w:rPr>
          <w:lang w:val="en-AU"/>
        </w:rPr>
        <w:t>Do not be as servants who are serving the master in order to receive a reward, rather be as servants who are serving the master not in order to receive a reward; and may the fear of Heaven be upon you.</w:t>
      </w:r>
      <w:r w:rsidR="005C71CB" w:rsidRPr="00C91742">
        <w:rPr>
          <w:lang w:val="en-AU"/>
        </w:rPr>
        <w:t>’</w:t>
      </w:r>
      <w:r w:rsidRPr="00C91742">
        <w:rPr>
          <w:rStyle w:val="FootnoteReference"/>
          <w:lang w:val="en-AU"/>
        </w:rPr>
        <w:footnoteReference w:id="278"/>
      </w:r>
    </w:p>
    <w:p w14:paraId="7E6C505C" w14:textId="77777777" w:rsidR="008D4202" w:rsidRPr="00C91742" w:rsidRDefault="008D4202" w:rsidP="008D4202">
      <w:pPr>
        <w:contextualSpacing/>
        <w:rPr>
          <w:lang w:val="en-AU"/>
        </w:rPr>
      </w:pPr>
    </w:p>
    <w:p w14:paraId="1C53E072" w14:textId="35FB8B8F" w:rsidR="008D4202" w:rsidRPr="00C91742" w:rsidRDefault="00BE6BA3" w:rsidP="008D4202">
      <w:pPr>
        <w:spacing w:line="480" w:lineRule="auto"/>
        <w:ind w:firstLine="709"/>
        <w:contextualSpacing/>
        <w:rPr>
          <w:lang w:val="en-AU"/>
        </w:rPr>
      </w:pPr>
      <w:r w:rsidRPr="00C91742">
        <w:rPr>
          <w:i/>
          <w:iCs/>
          <w:lang w:val="en-AU"/>
        </w:rPr>
        <w:t>Mishna Avot</w:t>
      </w:r>
      <w:r w:rsidR="001629CE" w:rsidRPr="00C91742">
        <w:rPr>
          <w:i/>
          <w:iCs/>
          <w:lang w:val="en-AU"/>
        </w:rPr>
        <w:t xml:space="preserve"> </w:t>
      </w:r>
      <w:r w:rsidR="001629CE" w:rsidRPr="00C91742">
        <w:rPr>
          <w:lang w:val="en-AU"/>
        </w:rPr>
        <w:t>1:3</w:t>
      </w:r>
      <w:r w:rsidR="00C1347A" w:rsidRPr="00C91742">
        <w:rPr>
          <w:lang w:val="en-AU"/>
        </w:rPr>
        <w:t xml:space="preserve"> provides </w:t>
      </w:r>
      <w:r w:rsidR="00C31000" w:rsidRPr="00C91742">
        <w:rPr>
          <w:lang w:val="en-AU"/>
        </w:rPr>
        <w:t>critique</w:t>
      </w:r>
      <w:r w:rsidR="00C1347A" w:rsidRPr="00C91742">
        <w:rPr>
          <w:lang w:val="en-AU"/>
        </w:rPr>
        <w:t xml:space="preserve"> on how people are giving and taking because our motivation for helping other people determines whether we have </w:t>
      </w:r>
      <w:r w:rsidR="00C31000" w:rsidRPr="00C91742">
        <w:rPr>
          <w:lang w:val="en-AU"/>
        </w:rPr>
        <w:t>integrity</w:t>
      </w:r>
      <w:r w:rsidR="00C1347A" w:rsidRPr="00C91742">
        <w:rPr>
          <w:lang w:val="en-AU"/>
        </w:rPr>
        <w:t xml:space="preserve">. </w:t>
      </w:r>
      <w:r w:rsidR="00CD450E" w:rsidRPr="00C91742">
        <w:rPr>
          <w:lang w:val="en-AU"/>
        </w:rPr>
        <w:t xml:space="preserve">An awareness of </w:t>
      </w:r>
      <w:r w:rsidR="00CD450E" w:rsidRPr="00C91742">
        <w:rPr>
          <w:i/>
          <w:iCs/>
          <w:lang w:val="en-AU"/>
        </w:rPr>
        <w:t xml:space="preserve">Mishna Avot </w:t>
      </w:r>
      <w:r w:rsidR="00CD450E" w:rsidRPr="00C91742">
        <w:rPr>
          <w:lang w:val="en-AU"/>
        </w:rPr>
        <w:t>1:3 among the Jewish audience of Jesus</w:t>
      </w:r>
      <w:r w:rsidR="005C71CB" w:rsidRPr="00C91742">
        <w:rPr>
          <w:lang w:val="en-AU"/>
        </w:rPr>
        <w:t>’</w:t>
      </w:r>
      <w:r w:rsidR="00E35288">
        <w:rPr>
          <w:lang w:val="en-AU"/>
        </w:rPr>
        <w:t>s</w:t>
      </w:r>
      <w:r w:rsidR="00CD450E" w:rsidRPr="00C91742">
        <w:rPr>
          <w:lang w:val="en-AU"/>
        </w:rPr>
        <w:t xml:space="preserve"> Sermon would affect their perception of reward, punishment, and service received by others.</w:t>
      </w:r>
      <w:r w:rsidR="00222D57">
        <w:rPr>
          <w:rStyle w:val="FootnoteReference"/>
          <w:lang w:val="en-AU"/>
        </w:rPr>
        <w:footnoteReference w:id="279"/>
      </w:r>
      <w:r w:rsidR="00CD450E" w:rsidRPr="00C91742">
        <w:rPr>
          <w:lang w:val="en-AU"/>
        </w:rPr>
        <w:t xml:space="preserve"> </w:t>
      </w:r>
      <w:r w:rsidRPr="00C91742">
        <w:rPr>
          <w:lang w:val="en-AU"/>
        </w:rPr>
        <w:t xml:space="preserve">The sayings of Antigonos convey that a person should serve without expecting reward. To understand ethical service, one can look at how one gives to another person. Selfless giving does not mean you allow </w:t>
      </w:r>
      <w:r w:rsidR="008F7CCE" w:rsidRPr="00C91742">
        <w:rPr>
          <w:lang w:val="en-AU"/>
        </w:rPr>
        <w:t>someone else</w:t>
      </w:r>
      <w:r w:rsidRPr="00C91742">
        <w:rPr>
          <w:lang w:val="en-AU"/>
        </w:rPr>
        <w:t xml:space="preserve"> taken advantage of</w:t>
      </w:r>
      <w:r w:rsidR="008F7CCE" w:rsidRPr="00C91742">
        <w:rPr>
          <w:lang w:val="en-AU"/>
        </w:rPr>
        <w:t xml:space="preserve"> you</w:t>
      </w:r>
      <w:r w:rsidRPr="00C91742">
        <w:rPr>
          <w:lang w:val="en-AU"/>
        </w:rPr>
        <w:t>. A person should not become a doormat to another person under false religious doctrine or guidance.</w:t>
      </w:r>
      <w:r w:rsidR="000B28A2" w:rsidRPr="00C91742">
        <w:rPr>
          <w:lang w:val="en-AU"/>
        </w:rPr>
        <w:t xml:space="preserve"> Those who heard the Sermon would have been acquainted with the concept that service to a person or to Rome would not bring a reward.  </w:t>
      </w:r>
      <w:r w:rsidRPr="00C91742">
        <w:rPr>
          <w:lang w:val="en-AU"/>
        </w:rPr>
        <w:t xml:space="preserve">A </w:t>
      </w:r>
      <w:r w:rsidRPr="00C91742">
        <w:rPr>
          <w:lang w:val="en-AU"/>
        </w:rPr>
        <w:lastRenderedPageBreak/>
        <w:t xml:space="preserve">person must be obedient to both the state and to Torah without an expectation of reward. When a person gives to another, they are to be giving without regard to personal gain but for the benefit of the person they are helping. Some translations of </w:t>
      </w:r>
      <w:r w:rsidRPr="00C91742">
        <w:rPr>
          <w:i/>
          <w:iCs/>
          <w:lang w:val="en-AU"/>
        </w:rPr>
        <w:t xml:space="preserve">Mishna Avot </w:t>
      </w:r>
      <w:r w:rsidRPr="00C91742">
        <w:rPr>
          <w:lang w:val="en-AU"/>
        </w:rPr>
        <w:t>1:3</w:t>
      </w:r>
      <w:r w:rsidR="00B12877" w:rsidRPr="00C91742">
        <w:rPr>
          <w:lang w:val="en-AU"/>
        </w:rPr>
        <w:t>,</w:t>
      </w:r>
      <w:r w:rsidR="00B12877" w:rsidRPr="009E7B69">
        <w:t xml:space="preserve"> </w:t>
      </w:r>
      <w:r w:rsidR="00B12877" w:rsidRPr="009E7B69">
        <w:rPr>
          <w:rtl/>
        </w:rPr>
        <w:t>עֲלֵיכֶם</w:t>
      </w:r>
      <w:r w:rsidRPr="009E7B69">
        <w:t xml:space="preserve"> </w:t>
      </w:r>
      <w:r w:rsidRPr="009E7B69">
        <w:rPr>
          <w:rtl/>
        </w:rPr>
        <w:t xml:space="preserve">מְנָת לְקַבֵּל </w:t>
      </w:r>
      <w:r w:rsidR="00B12877" w:rsidRPr="009E7B69">
        <w:rPr>
          <w:rtl/>
        </w:rPr>
        <w:t>פְּרָס</w:t>
      </w:r>
      <w:r w:rsidR="00B12877" w:rsidRPr="009E7B69">
        <w:t>,</w:t>
      </w:r>
      <w:r w:rsidR="00CD2462" w:rsidRPr="009E7B69">
        <w:t xml:space="preserve"> </w:t>
      </w:r>
      <w:r w:rsidR="00727FA0" w:rsidRPr="00C91742">
        <w:rPr>
          <w:lang w:val="en-AU"/>
        </w:rPr>
        <w:t>render</w:t>
      </w:r>
      <w:r w:rsidRPr="00C91742">
        <w:rPr>
          <w:lang w:val="en-AU"/>
        </w:rPr>
        <w:t xml:space="preserve"> as </w:t>
      </w:r>
      <w:r w:rsidR="00863B47" w:rsidRPr="00C91742">
        <w:rPr>
          <w:lang w:val="en-AU"/>
        </w:rPr>
        <w:t>“</w:t>
      </w:r>
      <w:r w:rsidRPr="00C91742">
        <w:rPr>
          <w:lang w:val="en-AU"/>
        </w:rPr>
        <w:t>let the fear of Heaven be upon you.</w:t>
      </w:r>
      <w:r w:rsidR="00863B47" w:rsidRPr="00C91742">
        <w:rPr>
          <w:lang w:val="en-AU"/>
        </w:rPr>
        <w:t>”</w:t>
      </w:r>
      <w:r w:rsidRPr="00C91742">
        <w:rPr>
          <w:rStyle w:val="FootnoteReference"/>
          <w:lang w:val="en-AU"/>
        </w:rPr>
        <w:footnoteReference w:id="280"/>
      </w:r>
      <w:r w:rsidRPr="00C91742">
        <w:rPr>
          <w:lang w:val="en-AU"/>
        </w:rPr>
        <w:t xml:space="preserve"> The</w:t>
      </w:r>
      <w:r w:rsidR="00C94789" w:rsidRPr="00C91742">
        <w:rPr>
          <w:lang w:val="en-AU"/>
        </w:rPr>
        <w:t xml:space="preserve"> use of the word </w:t>
      </w:r>
      <w:r w:rsidR="005C71CB" w:rsidRPr="00C91742">
        <w:rPr>
          <w:lang w:val="en-AU"/>
        </w:rPr>
        <w:t>‘</w:t>
      </w:r>
      <w:r w:rsidR="00C94789" w:rsidRPr="00C91742">
        <w:rPr>
          <w:lang w:val="en-AU"/>
        </w:rPr>
        <w:t>fear</w:t>
      </w:r>
      <w:r w:rsidR="005C71CB" w:rsidRPr="00C91742">
        <w:rPr>
          <w:lang w:val="en-AU"/>
        </w:rPr>
        <w:t>’</w:t>
      </w:r>
      <w:r w:rsidR="00C94789" w:rsidRPr="00C91742">
        <w:rPr>
          <w:lang w:val="en-AU"/>
        </w:rPr>
        <w:t xml:space="preserve"> can be confusing because it could </w:t>
      </w:r>
      <w:r w:rsidR="00947445" w:rsidRPr="00C91742">
        <w:rPr>
          <w:lang w:val="en-AU"/>
        </w:rPr>
        <w:t>insinuate</w:t>
      </w:r>
      <w:r w:rsidR="00C94789" w:rsidRPr="00C91742">
        <w:rPr>
          <w:lang w:val="en-AU"/>
        </w:rPr>
        <w:t xml:space="preserve"> dread.  This is not the case</w:t>
      </w:r>
      <w:r w:rsidR="00727FA0" w:rsidRPr="00C91742">
        <w:rPr>
          <w:lang w:val="en-AU"/>
        </w:rPr>
        <w:t>. Rather</w:t>
      </w:r>
      <w:r w:rsidR="00C94789" w:rsidRPr="00C91742">
        <w:rPr>
          <w:lang w:val="en-AU"/>
        </w:rPr>
        <w:t xml:space="preserve"> the word suggests that </w:t>
      </w:r>
      <w:r w:rsidR="00863B47" w:rsidRPr="00C91742">
        <w:rPr>
          <w:lang w:val="en-AU"/>
        </w:rPr>
        <w:t>“</w:t>
      </w:r>
      <w:r w:rsidRPr="00C91742">
        <w:rPr>
          <w:lang w:val="en-AU"/>
        </w:rPr>
        <w:t>something is full of awe, wonder, and the might of God.</w:t>
      </w:r>
      <w:r w:rsidR="00863B47" w:rsidRPr="00C91742">
        <w:rPr>
          <w:lang w:val="en-AU"/>
        </w:rPr>
        <w:t>”</w:t>
      </w:r>
      <w:r w:rsidRPr="00C91742">
        <w:rPr>
          <w:rStyle w:val="FootnoteReference"/>
          <w:lang w:val="en-AU"/>
        </w:rPr>
        <w:footnoteReference w:id="281"/>
      </w:r>
      <w:r w:rsidR="00044AE5" w:rsidRPr="00C91742">
        <w:rPr>
          <w:lang w:val="en-AU"/>
        </w:rPr>
        <w:t xml:space="preserve"> </w:t>
      </w:r>
      <w:r w:rsidR="00C94789" w:rsidRPr="00C91742">
        <w:rPr>
          <w:lang w:val="en-AU"/>
        </w:rPr>
        <w:t xml:space="preserve">There is a dilemma about why a person is good and </w:t>
      </w:r>
      <w:r w:rsidR="009233AB" w:rsidRPr="00C91742">
        <w:rPr>
          <w:lang w:val="en-AU"/>
        </w:rPr>
        <w:t>whether</w:t>
      </w:r>
      <w:r w:rsidR="00C94789" w:rsidRPr="00C91742">
        <w:rPr>
          <w:lang w:val="en-AU"/>
        </w:rPr>
        <w:t xml:space="preserve"> the action based on fear and punishment</w:t>
      </w:r>
      <w:r w:rsidR="005971A2" w:rsidRPr="00C91742">
        <w:rPr>
          <w:lang w:val="en-AU"/>
        </w:rPr>
        <w:t xml:space="preserve"> because if a person is only obedient due to fear of punishment, it does not actually determine if the character of a person is </w:t>
      </w:r>
      <w:r w:rsidR="005C71CB" w:rsidRPr="00C91742">
        <w:rPr>
          <w:lang w:val="en-AU"/>
        </w:rPr>
        <w:t>‘</w:t>
      </w:r>
      <w:r w:rsidR="005971A2" w:rsidRPr="00C91742">
        <w:rPr>
          <w:lang w:val="en-AU"/>
        </w:rPr>
        <w:t>good</w:t>
      </w:r>
      <w:r w:rsidR="005C71CB" w:rsidRPr="00C91742">
        <w:rPr>
          <w:lang w:val="en-AU"/>
        </w:rPr>
        <w:t>’</w:t>
      </w:r>
      <w:r w:rsidR="009233AB" w:rsidRPr="00C91742">
        <w:rPr>
          <w:lang w:val="en-AU"/>
        </w:rPr>
        <w:t>.</w:t>
      </w:r>
      <w:r w:rsidRPr="00C91742">
        <w:rPr>
          <w:lang w:val="en-AU"/>
        </w:rPr>
        <w:t xml:space="preserve"> E. P. Sanders believes that reward</w:t>
      </w:r>
      <w:r w:rsidR="00356E90" w:rsidRPr="00C91742">
        <w:rPr>
          <w:lang w:val="en-AU"/>
        </w:rPr>
        <w:t>-</w:t>
      </w:r>
      <w:r w:rsidRPr="00C91742">
        <w:rPr>
          <w:lang w:val="en-AU"/>
        </w:rPr>
        <w:t>and</w:t>
      </w:r>
      <w:r w:rsidR="00356E90" w:rsidRPr="00C91742">
        <w:rPr>
          <w:lang w:val="en-AU"/>
        </w:rPr>
        <w:t>-</w:t>
      </w:r>
      <w:r w:rsidRPr="00C91742">
        <w:rPr>
          <w:lang w:val="en-AU"/>
        </w:rPr>
        <w:t xml:space="preserve">punishment theology is not the guiding principle found in Jewish ethics in </w:t>
      </w:r>
      <w:r w:rsidRPr="00C91742">
        <w:rPr>
          <w:i/>
          <w:iCs/>
          <w:lang w:val="en-AU"/>
        </w:rPr>
        <w:t>Mishna.</w:t>
      </w:r>
      <w:r w:rsidRPr="00C91742">
        <w:rPr>
          <w:rStyle w:val="FootnoteReference"/>
          <w:i/>
          <w:iCs/>
          <w:lang w:val="en-AU"/>
        </w:rPr>
        <w:footnoteReference w:id="282"/>
      </w:r>
      <w:r w:rsidRPr="00C91742">
        <w:rPr>
          <w:lang w:val="en-AU"/>
        </w:rPr>
        <w:t xml:space="preserve"> A person is not calculating that if they do a quantifiable amount of goodness, then they will receive a similar equitable reward in return. </w:t>
      </w:r>
      <w:r w:rsidRPr="00C91742">
        <w:rPr>
          <w:i/>
          <w:iCs/>
          <w:lang w:val="en-AU"/>
        </w:rPr>
        <w:t>Mishna Avot</w:t>
      </w:r>
      <w:r w:rsidRPr="00C91742">
        <w:rPr>
          <w:i/>
          <w:lang w:val="en-AU"/>
        </w:rPr>
        <w:t xml:space="preserve"> </w:t>
      </w:r>
      <w:r w:rsidRPr="00C91742">
        <w:rPr>
          <w:lang w:val="en-AU"/>
        </w:rPr>
        <w:t xml:space="preserve">1:3 </w:t>
      </w:r>
      <w:r w:rsidR="005C1F65" w:rsidRPr="00C91742">
        <w:rPr>
          <w:lang w:val="en-AU"/>
        </w:rPr>
        <w:t>teaches that</w:t>
      </w:r>
      <w:r w:rsidR="00270A5A" w:rsidRPr="00C91742">
        <w:rPr>
          <w:lang w:val="en-AU"/>
        </w:rPr>
        <w:t xml:space="preserve"> the actions and choices a person make ethically should not be based on reward and punishment from Go</w:t>
      </w:r>
      <w:r w:rsidR="005C1F65" w:rsidRPr="00C91742">
        <w:rPr>
          <w:lang w:val="en-AU"/>
        </w:rPr>
        <w:t>d</w:t>
      </w:r>
      <w:r w:rsidR="000A2AC9" w:rsidRPr="00C91742">
        <w:rPr>
          <w:lang w:val="en-AU"/>
        </w:rPr>
        <w:t>:</w:t>
      </w:r>
      <w:r w:rsidRPr="00C91742">
        <w:rPr>
          <w:lang w:val="en-AU"/>
        </w:rPr>
        <w:t xml:space="preserve"> </w:t>
      </w:r>
      <w:r w:rsidR="00863B47" w:rsidRPr="00C91742">
        <w:rPr>
          <w:lang w:val="en-AU"/>
        </w:rPr>
        <w:t>“</w:t>
      </w:r>
      <w:r w:rsidR="000A2AC9" w:rsidRPr="00C91742">
        <w:rPr>
          <w:lang w:val="en-AU"/>
        </w:rPr>
        <w:t>C</w:t>
      </w:r>
      <w:r w:rsidRPr="00C91742">
        <w:rPr>
          <w:lang w:val="en-AU"/>
        </w:rPr>
        <w:t>alculation of gain and loss should not determine the ethical act; nevertheless, all human acts are played out before God.</w:t>
      </w:r>
      <w:r w:rsidR="00863B47" w:rsidRPr="00C91742">
        <w:rPr>
          <w:lang w:val="en-AU"/>
        </w:rPr>
        <w:t>”</w:t>
      </w:r>
      <w:r w:rsidRPr="00C91742">
        <w:rPr>
          <w:rStyle w:val="FootnoteReference"/>
          <w:lang w:val="en-AU"/>
        </w:rPr>
        <w:footnoteReference w:id="283"/>
      </w:r>
      <w:r w:rsidRPr="00C91742">
        <w:rPr>
          <w:lang w:val="en-AU"/>
        </w:rPr>
        <w:t xml:space="preserve"> </w:t>
      </w:r>
      <w:r w:rsidR="005971A2" w:rsidRPr="00C91742">
        <w:rPr>
          <w:lang w:val="en-AU"/>
        </w:rPr>
        <w:t>Although obedience of a person could be founded on fear (Deut 11:26–28; 28:15ff), t</w:t>
      </w:r>
      <w:r w:rsidR="00270A5A" w:rsidRPr="00C91742">
        <w:rPr>
          <w:lang w:val="en-AU"/>
        </w:rPr>
        <w:t xml:space="preserve">he obedience of a person </w:t>
      </w:r>
      <w:r w:rsidR="005971A2" w:rsidRPr="00C91742">
        <w:rPr>
          <w:lang w:val="en-AU"/>
        </w:rPr>
        <w:t xml:space="preserve">should </w:t>
      </w:r>
      <w:r w:rsidR="00270A5A" w:rsidRPr="00C91742">
        <w:rPr>
          <w:lang w:val="en-AU"/>
        </w:rPr>
        <w:t>not</w:t>
      </w:r>
      <w:r w:rsidR="00504FBD">
        <w:rPr>
          <w:lang w:val="en-AU"/>
        </w:rPr>
        <w:t xml:space="preserve"> be</w:t>
      </w:r>
      <w:r w:rsidR="00270A5A" w:rsidRPr="00C91742">
        <w:rPr>
          <w:lang w:val="en-AU"/>
        </w:rPr>
        <w:t xml:space="preserve"> founded on fear but </w:t>
      </w:r>
      <w:r w:rsidR="000A2AC9" w:rsidRPr="00C91742">
        <w:rPr>
          <w:lang w:val="en-AU"/>
        </w:rPr>
        <w:t xml:space="preserve">on </w:t>
      </w:r>
      <w:r w:rsidR="00270A5A" w:rsidRPr="00C91742">
        <w:rPr>
          <w:lang w:val="en-AU"/>
        </w:rPr>
        <w:t xml:space="preserve">following Torah. </w:t>
      </w:r>
    </w:p>
    <w:p w14:paraId="2CC2EF4B" w14:textId="38155CA3" w:rsidR="008D4202" w:rsidRPr="009E7B69" w:rsidRDefault="00DB3710" w:rsidP="00F5340B">
      <w:pPr>
        <w:pStyle w:val="Heading2"/>
        <w:rPr>
          <w:bCs/>
        </w:rPr>
      </w:pPr>
      <w:bookmarkStart w:id="101" w:name="_Toc94537004"/>
      <w:bookmarkStart w:id="102" w:name="_Toc118063651"/>
      <w:r w:rsidRPr="009E7B69">
        <w:rPr>
          <w:bCs/>
        </w:rPr>
        <w:t>5.</w:t>
      </w:r>
      <w:r w:rsidR="0026200C" w:rsidRPr="009E7B69">
        <w:rPr>
          <w:bCs/>
        </w:rPr>
        <w:t>6</w:t>
      </w:r>
      <w:r w:rsidR="0026200C" w:rsidRPr="009E7B69">
        <w:t xml:space="preserve"> </w:t>
      </w:r>
      <w:r w:rsidR="009A5174" w:rsidRPr="009E7B69">
        <w:rPr>
          <w:i/>
          <w:iCs/>
        </w:rPr>
        <w:t>Mishna Avot</w:t>
      </w:r>
      <w:r w:rsidR="009A5174" w:rsidRPr="009E7B69">
        <w:t xml:space="preserve"> 4:12</w:t>
      </w:r>
      <w:r w:rsidR="00860975" w:rsidRPr="009E7B69">
        <w:t xml:space="preserve"> Reverence</w:t>
      </w:r>
      <w:bookmarkEnd w:id="101"/>
      <w:bookmarkEnd w:id="102"/>
    </w:p>
    <w:p w14:paraId="631D894E" w14:textId="77777777" w:rsidR="008D4202" w:rsidRPr="009E7B69" w:rsidRDefault="00BE6BA3" w:rsidP="008D4202">
      <w:pPr>
        <w:ind w:left="709" w:right="709"/>
        <w:contextualSpacing/>
      </w:pPr>
      <w:r w:rsidRPr="009E7B69">
        <w:rPr>
          <w:i/>
          <w:iCs/>
        </w:rPr>
        <w:t>Mishna Avot</w:t>
      </w:r>
      <w:r w:rsidRPr="009E7B69">
        <w:rPr>
          <w:i/>
        </w:rPr>
        <w:t xml:space="preserve"> </w:t>
      </w:r>
      <w:r w:rsidRPr="009E7B69">
        <w:t>4:12</w:t>
      </w:r>
    </w:p>
    <w:p w14:paraId="64F141EE" w14:textId="3290CE56" w:rsidR="00D25D36" w:rsidRPr="009E7B69" w:rsidRDefault="00BE6BA3" w:rsidP="008D4202">
      <w:pPr>
        <w:ind w:left="709" w:right="709"/>
        <w:contextualSpacing/>
        <w:jc w:val="right"/>
      </w:pPr>
      <w:r w:rsidRPr="009E7B69">
        <w:rPr>
          <w:rtl/>
        </w:rPr>
        <w:t>רַבִּי אֶלְעָזָר בֶּן שַׁמּוּעַ אוֹמֵר, יְהִי כְבוֹד תַּלְמִידְךָ חָבִיב עָלֶיךָ כְּשֶׁלְּךָ, וּכְבוֹד חֲבֵרְךָ כְּמוֹרָא רַבְּךָ, וּמוֹרָא רַבְּךָ כְּמוֹרָא שָׁמָיִם</w:t>
      </w:r>
      <w:r w:rsidRPr="009E7B69">
        <w:t>:</w:t>
      </w:r>
    </w:p>
    <w:p w14:paraId="167B3190" w14:textId="1270679E" w:rsidR="00D25D36" w:rsidRPr="00C91742" w:rsidRDefault="00BE6BA3" w:rsidP="008D4202">
      <w:pPr>
        <w:ind w:left="709" w:right="709"/>
        <w:contextualSpacing/>
        <w:rPr>
          <w:lang w:val="en-AU"/>
        </w:rPr>
      </w:pPr>
      <w:r w:rsidRPr="00C91742">
        <w:rPr>
          <w:lang w:val="en-AU"/>
        </w:rPr>
        <w:lastRenderedPageBreak/>
        <w:t>Rabbi Elazar ben Shamua says: Let the hono</w:t>
      </w:r>
      <w:r w:rsidR="00CE0D29" w:rsidRPr="00C91742">
        <w:rPr>
          <w:lang w:val="en-AU"/>
        </w:rPr>
        <w:t>u</w:t>
      </w:r>
      <w:r w:rsidRPr="00C91742">
        <w:rPr>
          <w:lang w:val="en-AU"/>
        </w:rPr>
        <w:t>r of your student be dear to you as your own, and the hono</w:t>
      </w:r>
      <w:r w:rsidR="00CE0D29" w:rsidRPr="00C91742">
        <w:rPr>
          <w:lang w:val="en-AU"/>
        </w:rPr>
        <w:t>u</w:t>
      </w:r>
      <w:r w:rsidRPr="00C91742">
        <w:rPr>
          <w:lang w:val="en-AU"/>
        </w:rPr>
        <w:t>r of your fellow like the reverence of your teacher, and the reverence of your teacher like the reverence of Heaven.</w:t>
      </w:r>
    </w:p>
    <w:p w14:paraId="6BB96FA0" w14:textId="77777777" w:rsidR="002E5AC3" w:rsidRPr="00C91742" w:rsidRDefault="002E5AC3" w:rsidP="00C2049E">
      <w:pPr>
        <w:spacing w:line="480" w:lineRule="auto"/>
        <w:ind w:firstLine="720"/>
        <w:contextualSpacing/>
        <w:rPr>
          <w:lang w:val="en-AU"/>
        </w:rPr>
      </w:pPr>
    </w:p>
    <w:p w14:paraId="5571B444" w14:textId="350DB8D0" w:rsidR="008D4202" w:rsidRPr="00C91742" w:rsidRDefault="00BE6BA3" w:rsidP="00C2049E">
      <w:pPr>
        <w:spacing w:line="480" w:lineRule="auto"/>
        <w:ind w:firstLine="720"/>
        <w:contextualSpacing/>
        <w:rPr>
          <w:i/>
          <w:lang w:val="en-AU"/>
        </w:rPr>
      </w:pPr>
      <w:r w:rsidRPr="00C91742">
        <w:rPr>
          <w:lang w:val="en-AU"/>
        </w:rPr>
        <w:t xml:space="preserve">The Jewish thought </w:t>
      </w:r>
      <w:r w:rsidR="00A04236" w:rsidRPr="00C91742">
        <w:rPr>
          <w:lang w:val="en-AU"/>
        </w:rPr>
        <w:t xml:space="preserve">expressed </w:t>
      </w:r>
      <w:r w:rsidR="002D5BF4" w:rsidRPr="00C91742">
        <w:rPr>
          <w:lang w:val="en-AU"/>
        </w:rPr>
        <w:t xml:space="preserve">in </w:t>
      </w:r>
      <w:r w:rsidR="002D5BF4" w:rsidRPr="00C91742">
        <w:rPr>
          <w:i/>
          <w:iCs/>
          <w:lang w:val="en-AU"/>
        </w:rPr>
        <w:t xml:space="preserve">Mishna Avot </w:t>
      </w:r>
      <w:r w:rsidR="00B12877" w:rsidRPr="00C91742">
        <w:rPr>
          <w:lang w:val="en-AU"/>
        </w:rPr>
        <w:t xml:space="preserve">after </w:t>
      </w:r>
      <w:r w:rsidRPr="00C91742">
        <w:rPr>
          <w:lang w:val="en-AU"/>
        </w:rPr>
        <w:t>Jesus</w:t>
      </w:r>
      <w:r w:rsidR="005C71CB" w:rsidRPr="00C91742">
        <w:rPr>
          <w:lang w:val="en-AU"/>
        </w:rPr>
        <w:t>’</w:t>
      </w:r>
      <w:r w:rsidR="00E35288">
        <w:rPr>
          <w:lang w:val="en-AU"/>
        </w:rPr>
        <w:t>s</w:t>
      </w:r>
      <w:r w:rsidRPr="00C91742">
        <w:rPr>
          <w:lang w:val="en-AU"/>
        </w:rPr>
        <w:t xml:space="preserve"> time reveal</w:t>
      </w:r>
      <w:r w:rsidR="00860975" w:rsidRPr="00C91742">
        <w:rPr>
          <w:lang w:val="en-AU"/>
        </w:rPr>
        <w:t>s</w:t>
      </w:r>
      <w:r w:rsidRPr="00C91742">
        <w:rPr>
          <w:lang w:val="en-AU"/>
        </w:rPr>
        <w:t xml:space="preserve"> the importance of respecting others.  This concept of respect would be present in the Jewish audience</w:t>
      </w:r>
      <w:r w:rsidR="005C71CB" w:rsidRPr="00C91742">
        <w:rPr>
          <w:lang w:val="en-AU"/>
        </w:rPr>
        <w:t>’</w:t>
      </w:r>
      <w:r w:rsidRPr="00C91742">
        <w:rPr>
          <w:lang w:val="en-AU"/>
        </w:rPr>
        <w:t xml:space="preserve">s understanding of the Sermon. </w:t>
      </w:r>
      <w:r w:rsidR="00A04236" w:rsidRPr="00C91742">
        <w:rPr>
          <w:lang w:val="en-AU"/>
        </w:rPr>
        <w:t>The command to l</w:t>
      </w:r>
      <w:r w:rsidR="00C2049E" w:rsidRPr="00C91742">
        <w:rPr>
          <w:lang w:val="en-AU"/>
        </w:rPr>
        <w:t>ov</w:t>
      </w:r>
      <w:r w:rsidR="00A04236" w:rsidRPr="00C91742">
        <w:rPr>
          <w:lang w:val="en-AU"/>
        </w:rPr>
        <w:t>e</w:t>
      </w:r>
      <w:r w:rsidR="00C2049E" w:rsidRPr="00C91742">
        <w:rPr>
          <w:lang w:val="en-AU"/>
        </w:rPr>
        <w:t xml:space="preserve"> one</w:t>
      </w:r>
      <w:r w:rsidR="005C71CB" w:rsidRPr="00C91742">
        <w:rPr>
          <w:lang w:val="en-AU"/>
        </w:rPr>
        <w:t>’</w:t>
      </w:r>
      <w:r w:rsidR="00C2049E" w:rsidRPr="00C91742">
        <w:rPr>
          <w:lang w:val="en-AU"/>
        </w:rPr>
        <w:t>s neighbo</w:t>
      </w:r>
      <w:r w:rsidR="00A04236" w:rsidRPr="00C91742">
        <w:rPr>
          <w:lang w:val="en-AU"/>
        </w:rPr>
        <w:t>u</w:t>
      </w:r>
      <w:r w:rsidR="00C2049E" w:rsidRPr="00C91742">
        <w:rPr>
          <w:lang w:val="en-AU"/>
        </w:rPr>
        <w:t xml:space="preserve">r is </w:t>
      </w:r>
      <w:r w:rsidRPr="00C91742">
        <w:rPr>
          <w:lang w:val="en-AU"/>
        </w:rPr>
        <w:t>in the Oral Law</w:t>
      </w:r>
      <w:r w:rsidR="00916ABF" w:rsidRPr="00C91742">
        <w:rPr>
          <w:lang w:val="en-AU"/>
        </w:rPr>
        <w:t>,</w:t>
      </w:r>
      <w:r w:rsidRPr="00C91742">
        <w:rPr>
          <w:lang w:val="en-AU"/>
        </w:rPr>
        <w:t xml:space="preserve"> defining social interaction in various circumstances surrounding disputes, money disagreements, anger outbursts, and even expressions of joy. </w:t>
      </w:r>
      <w:r w:rsidR="00C2049E" w:rsidRPr="00C91742">
        <w:rPr>
          <w:lang w:val="en-AU"/>
        </w:rPr>
        <w:t xml:space="preserve">The respect for </w:t>
      </w:r>
      <w:r w:rsidR="008F0EFF" w:rsidRPr="00C91742">
        <w:rPr>
          <w:lang w:val="en-AU"/>
        </w:rPr>
        <w:t>a</w:t>
      </w:r>
      <w:r w:rsidR="00C2049E" w:rsidRPr="00C91742">
        <w:rPr>
          <w:lang w:val="en-AU"/>
        </w:rPr>
        <w:t xml:space="preserve"> neighbo</w:t>
      </w:r>
      <w:r w:rsidR="008F0EFF" w:rsidRPr="00C91742">
        <w:rPr>
          <w:lang w:val="en-AU"/>
        </w:rPr>
        <w:t>u</w:t>
      </w:r>
      <w:r w:rsidR="00C2049E" w:rsidRPr="00C91742">
        <w:rPr>
          <w:lang w:val="en-AU"/>
        </w:rPr>
        <w:t xml:space="preserve">r as seen in </w:t>
      </w:r>
      <w:r w:rsidR="00C2049E" w:rsidRPr="00C91742">
        <w:rPr>
          <w:i/>
          <w:iCs/>
          <w:lang w:val="en-AU"/>
        </w:rPr>
        <w:t xml:space="preserve">Avot </w:t>
      </w:r>
      <w:r w:rsidR="00C2049E" w:rsidRPr="00C91742">
        <w:rPr>
          <w:lang w:val="en-AU"/>
        </w:rPr>
        <w:t xml:space="preserve">4:12 is the same </w:t>
      </w:r>
      <w:r w:rsidRPr="00C91742">
        <w:rPr>
          <w:lang w:val="en-AU"/>
        </w:rPr>
        <w:t>whether Gentile or Jew</w:t>
      </w:r>
      <w:r w:rsidR="00291E28" w:rsidRPr="00C91742">
        <w:rPr>
          <w:lang w:val="en-AU"/>
        </w:rPr>
        <w:t xml:space="preserve"> based on a student-teacher relationship</w:t>
      </w:r>
      <w:r w:rsidRPr="00C91742">
        <w:rPr>
          <w:lang w:val="en-AU"/>
        </w:rPr>
        <w:t xml:space="preserve">. Respect equates with how a person treats another human being. </w:t>
      </w:r>
    </w:p>
    <w:p w14:paraId="061D804E" w14:textId="03D7CA9B" w:rsidR="008D4202" w:rsidRPr="00C91742" w:rsidRDefault="00C2049E" w:rsidP="00996DC7">
      <w:pPr>
        <w:spacing w:line="480" w:lineRule="auto"/>
        <w:ind w:firstLine="720"/>
        <w:contextualSpacing/>
        <w:rPr>
          <w:lang w:val="en-AU"/>
        </w:rPr>
      </w:pPr>
      <w:r w:rsidRPr="00C91742">
        <w:rPr>
          <w:lang w:val="en-AU"/>
        </w:rPr>
        <w:t>Respect must be afforded to other people, and this respect is not limited to a person</w:t>
      </w:r>
      <w:r w:rsidR="00BE6BA3" w:rsidRPr="00C91742">
        <w:rPr>
          <w:lang w:val="en-AU"/>
        </w:rPr>
        <w:t>.</w:t>
      </w:r>
      <w:r w:rsidRPr="00C91742">
        <w:rPr>
          <w:lang w:val="en-AU"/>
        </w:rPr>
        <w:t xml:space="preserve"> The respect afforded other people is also relevant to property and chattel.</w:t>
      </w:r>
      <w:r w:rsidR="00BE6BA3" w:rsidRPr="00C91742">
        <w:rPr>
          <w:lang w:val="en-AU"/>
        </w:rPr>
        <w:t xml:space="preserve"> </w:t>
      </w:r>
      <w:r w:rsidR="00BE6BA3" w:rsidRPr="00C91742">
        <w:rPr>
          <w:i/>
          <w:iCs/>
          <w:lang w:val="en-AU"/>
        </w:rPr>
        <w:t>Mishna Avot</w:t>
      </w:r>
      <w:r w:rsidR="00BE6BA3" w:rsidRPr="00C91742">
        <w:rPr>
          <w:i/>
          <w:lang w:val="en-AU"/>
        </w:rPr>
        <w:t xml:space="preserve"> </w:t>
      </w:r>
      <w:r w:rsidR="00BE6BA3" w:rsidRPr="00C91742">
        <w:rPr>
          <w:lang w:val="en-AU"/>
        </w:rPr>
        <w:t xml:space="preserve">quotes Rabbi </w:t>
      </w:r>
      <w:r w:rsidR="00BE6BA3" w:rsidRPr="00C91742">
        <w:rPr>
          <w:iCs/>
          <w:lang w:val="en-AU"/>
        </w:rPr>
        <w:t>Yosi</w:t>
      </w:r>
      <w:r w:rsidR="00BE6BA3" w:rsidRPr="00C91742">
        <w:rPr>
          <w:i/>
          <w:lang w:val="en-AU"/>
        </w:rPr>
        <w:t xml:space="preserve">: </w:t>
      </w:r>
      <w:r w:rsidR="00863B47" w:rsidRPr="00C91742">
        <w:rPr>
          <w:i/>
          <w:lang w:val="en-AU"/>
        </w:rPr>
        <w:t>“</w:t>
      </w:r>
      <w:r w:rsidR="00BE6BA3" w:rsidRPr="00C91742">
        <w:rPr>
          <w:lang w:val="en-AU"/>
        </w:rPr>
        <w:t>Let the property of your fellow be as dear to you as your own. Qualify yourself for the study of Torah, for the knowledge of it is not yours by inheritance. Let all your deeds be done for the sake of Heaven.</w:t>
      </w:r>
      <w:r w:rsidR="00863B47" w:rsidRPr="00C91742">
        <w:rPr>
          <w:lang w:val="en-AU"/>
        </w:rPr>
        <w:t>”</w:t>
      </w:r>
      <w:r w:rsidR="00BE6BA3" w:rsidRPr="00C91742">
        <w:rPr>
          <w:rStyle w:val="FootnoteReference"/>
          <w:lang w:val="en-AU"/>
        </w:rPr>
        <w:footnoteReference w:id="284"/>
      </w:r>
      <w:r w:rsidR="00BE6BA3" w:rsidRPr="00C91742">
        <w:rPr>
          <w:lang w:val="en-AU"/>
        </w:rPr>
        <w:t xml:space="preserve"> Actions must be upright and principled. Respecting others includes treating their property with respect as well.</w:t>
      </w:r>
      <w:r w:rsidR="009F03DE" w:rsidRPr="00C91742">
        <w:rPr>
          <w:lang w:val="en-AU"/>
        </w:rPr>
        <w:t xml:space="preserve"> </w:t>
      </w:r>
      <w:r w:rsidR="0031529B" w:rsidRPr="00C91742">
        <w:rPr>
          <w:lang w:val="en-AU"/>
        </w:rPr>
        <w:t xml:space="preserve">The application of </w:t>
      </w:r>
      <w:r w:rsidR="00A14CDD" w:rsidRPr="00C91742">
        <w:rPr>
          <w:i/>
          <w:iCs/>
          <w:lang w:val="en-AU"/>
        </w:rPr>
        <w:t>Mishna</w:t>
      </w:r>
      <w:r w:rsidR="0031529B" w:rsidRPr="00C91742">
        <w:rPr>
          <w:i/>
          <w:iCs/>
          <w:lang w:val="en-AU"/>
        </w:rPr>
        <w:t xml:space="preserve"> Avot 4:12</w:t>
      </w:r>
      <w:r w:rsidR="0031529B" w:rsidRPr="00C91742">
        <w:rPr>
          <w:lang w:val="en-AU"/>
        </w:rPr>
        <w:t xml:space="preserve"> to Matthew 5:38</w:t>
      </w:r>
      <w:r w:rsidR="00896B95" w:rsidRPr="00C91742">
        <w:rPr>
          <w:lang w:val="en-AU"/>
        </w:rPr>
        <w:t>–</w:t>
      </w:r>
      <w:r w:rsidR="0031529B" w:rsidRPr="00C91742">
        <w:rPr>
          <w:lang w:val="en-AU"/>
        </w:rPr>
        <w:t xml:space="preserve">42 would suggest that the </w:t>
      </w:r>
      <w:r w:rsidR="0041201B" w:rsidRPr="00C91742">
        <w:rPr>
          <w:lang w:val="en-AU"/>
        </w:rPr>
        <w:t>attitude</w:t>
      </w:r>
      <w:r w:rsidR="0031529B" w:rsidRPr="00C91742">
        <w:rPr>
          <w:lang w:val="en-AU"/>
        </w:rPr>
        <w:t xml:space="preserve"> of those l</w:t>
      </w:r>
      <w:r w:rsidR="0041201B" w:rsidRPr="00C91742">
        <w:rPr>
          <w:lang w:val="en-AU"/>
        </w:rPr>
        <w:t>istening</w:t>
      </w:r>
      <w:r w:rsidR="0031529B" w:rsidRPr="00C91742">
        <w:rPr>
          <w:lang w:val="en-AU"/>
        </w:rPr>
        <w:t xml:space="preserve"> the Sermon </w:t>
      </w:r>
      <w:r w:rsidR="00291E28" w:rsidRPr="00C91742">
        <w:rPr>
          <w:lang w:val="en-AU"/>
        </w:rPr>
        <w:t>would</w:t>
      </w:r>
      <w:r w:rsidR="003601A7" w:rsidRPr="00C91742">
        <w:rPr>
          <w:lang w:val="en-AU"/>
        </w:rPr>
        <w:t xml:space="preserve"> be one of </w:t>
      </w:r>
      <w:r w:rsidR="0031529B" w:rsidRPr="00C91742">
        <w:rPr>
          <w:lang w:val="en-AU"/>
        </w:rPr>
        <w:t xml:space="preserve">respect </w:t>
      </w:r>
      <w:r w:rsidR="003601A7" w:rsidRPr="00C91742">
        <w:rPr>
          <w:lang w:val="en-AU"/>
        </w:rPr>
        <w:t>for</w:t>
      </w:r>
      <w:r w:rsidR="0031529B" w:rsidRPr="00C91742">
        <w:rPr>
          <w:lang w:val="en-AU"/>
        </w:rPr>
        <w:t xml:space="preserve"> Jesus as a teacher.</w:t>
      </w:r>
    </w:p>
    <w:p w14:paraId="34CFDD85" w14:textId="268FA040" w:rsidR="008D4202" w:rsidRPr="00C91742" w:rsidRDefault="00DB3710" w:rsidP="00F5340B">
      <w:pPr>
        <w:pStyle w:val="Heading2"/>
      </w:pPr>
      <w:bookmarkStart w:id="103" w:name="_Toc94537005"/>
      <w:bookmarkStart w:id="104" w:name="_Toc118063652"/>
      <w:r w:rsidRPr="00C91742">
        <w:t>5.</w:t>
      </w:r>
      <w:r w:rsidR="0026200C" w:rsidRPr="00C91742">
        <w:t>7</w:t>
      </w:r>
      <w:r w:rsidR="00BE6BA3" w:rsidRPr="00C91742">
        <w:t xml:space="preserve"> </w:t>
      </w:r>
      <w:r w:rsidR="00BE6BA3" w:rsidRPr="00C91742">
        <w:rPr>
          <w:i/>
        </w:rPr>
        <w:t>Mishna Avot</w:t>
      </w:r>
      <w:r w:rsidR="005B779F" w:rsidRPr="00C91742">
        <w:rPr>
          <w:i/>
        </w:rPr>
        <w:t xml:space="preserve"> </w:t>
      </w:r>
      <w:r w:rsidR="005B779F" w:rsidRPr="00C91742">
        <w:rPr>
          <w:iCs/>
        </w:rPr>
        <w:t>5:8 and Justice</w:t>
      </w:r>
      <w:bookmarkEnd w:id="103"/>
      <w:bookmarkEnd w:id="104"/>
    </w:p>
    <w:p w14:paraId="21543C5F" w14:textId="2364C87B" w:rsidR="008D4202" w:rsidRPr="00C91742" w:rsidRDefault="00BE6BA3" w:rsidP="008D4202">
      <w:pPr>
        <w:spacing w:line="480" w:lineRule="auto"/>
        <w:ind w:firstLine="720"/>
        <w:rPr>
          <w:lang w:val="en-AU"/>
        </w:rPr>
      </w:pPr>
      <w:r w:rsidRPr="00C91742">
        <w:rPr>
          <w:lang w:val="en-AU"/>
        </w:rPr>
        <w:t xml:space="preserve">At the time of Jesus, </w:t>
      </w:r>
      <w:r w:rsidR="005A0510" w:rsidRPr="00C91742">
        <w:rPr>
          <w:lang w:val="en-AU"/>
        </w:rPr>
        <w:t>retributive justice was valued in the</w:t>
      </w:r>
      <w:r w:rsidR="00291E28" w:rsidRPr="00C91742">
        <w:rPr>
          <w:lang w:val="en-AU"/>
        </w:rPr>
        <w:t xml:space="preserve"> teachings of the people as seen in the </w:t>
      </w:r>
      <w:r w:rsidR="006E016A" w:rsidRPr="00C91742">
        <w:rPr>
          <w:lang w:val="en-AU"/>
        </w:rPr>
        <w:t xml:space="preserve">Hebrew </w:t>
      </w:r>
      <w:r w:rsidR="00291E28" w:rsidRPr="00C91742">
        <w:rPr>
          <w:lang w:val="en-AU"/>
        </w:rPr>
        <w:t>Bible</w:t>
      </w:r>
      <w:r w:rsidRPr="00C91742">
        <w:rPr>
          <w:lang w:val="en-AU"/>
        </w:rPr>
        <w:t xml:space="preserve">. The concept and term </w:t>
      </w:r>
      <w:r w:rsidR="00863B47" w:rsidRPr="00C91742">
        <w:rPr>
          <w:lang w:val="en-AU"/>
        </w:rPr>
        <w:t>“</w:t>
      </w:r>
      <w:r w:rsidRPr="00C91742">
        <w:rPr>
          <w:lang w:val="en-AU"/>
        </w:rPr>
        <w:t>retributive justice</w:t>
      </w:r>
      <w:r w:rsidR="00863B47" w:rsidRPr="00C91742">
        <w:rPr>
          <w:lang w:val="en-AU"/>
        </w:rPr>
        <w:t>”</w:t>
      </w:r>
      <w:r w:rsidRPr="00C91742">
        <w:rPr>
          <w:lang w:val="en-AU"/>
        </w:rPr>
        <w:t xml:space="preserve"> </w:t>
      </w:r>
      <w:r w:rsidR="007A665A" w:rsidRPr="00C91742">
        <w:rPr>
          <w:lang w:val="en-AU"/>
        </w:rPr>
        <w:t>crystal</w:t>
      </w:r>
      <w:r w:rsidR="0048434F" w:rsidRPr="00C91742">
        <w:rPr>
          <w:lang w:val="en-AU"/>
        </w:rPr>
        <w:t>l</w:t>
      </w:r>
      <w:r w:rsidR="007A665A" w:rsidRPr="00C91742">
        <w:rPr>
          <w:lang w:val="en-AU"/>
        </w:rPr>
        <w:t>i</w:t>
      </w:r>
      <w:r w:rsidR="0048434F" w:rsidRPr="00C91742">
        <w:rPr>
          <w:lang w:val="en-AU"/>
        </w:rPr>
        <w:t>s</w:t>
      </w:r>
      <w:r w:rsidR="007A665A" w:rsidRPr="00C91742">
        <w:rPr>
          <w:lang w:val="en-AU"/>
        </w:rPr>
        <w:t>ed after the destruction of the Temple;</w:t>
      </w:r>
      <w:r w:rsidRPr="00C91742">
        <w:rPr>
          <w:lang w:val="en-AU"/>
        </w:rPr>
        <w:t xml:space="preserve"> however, the premise and values of retributive justice are the core </w:t>
      </w:r>
      <w:r w:rsidRPr="00C91742">
        <w:rPr>
          <w:lang w:val="en-AU"/>
        </w:rPr>
        <w:lastRenderedPageBreak/>
        <w:t xml:space="preserve">and underlying concepts imperative to </w:t>
      </w:r>
      <w:r w:rsidR="00291E28" w:rsidRPr="00C91742">
        <w:rPr>
          <w:lang w:val="en-AU"/>
        </w:rPr>
        <w:t xml:space="preserve">interpreting and applying </w:t>
      </w:r>
      <w:r w:rsidRPr="00C91742">
        <w:rPr>
          <w:i/>
          <w:iCs/>
          <w:lang w:val="en-AU"/>
        </w:rPr>
        <w:t xml:space="preserve">lex talionis </w:t>
      </w:r>
      <w:r w:rsidRPr="00C91742">
        <w:rPr>
          <w:lang w:val="en-AU"/>
        </w:rPr>
        <w:t xml:space="preserve">as well as understanding equality in the Sermon on the Mount. </w:t>
      </w:r>
      <w:r w:rsidRPr="00C91742">
        <w:rPr>
          <w:iCs/>
          <w:lang w:val="en-AU"/>
        </w:rPr>
        <w:t>Retributive</w:t>
      </w:r>
      <w:r w:rsidRPr="00C91742">
        <w:rPr>
          <w:lang w:val="en-AU"/>
        </w:rPr>
        <w:t xml:space="preserve"> justice is a corrective theory of justice; it argues that the wrong that has flourished needs to be expunged with retributive punishment.</w:t>
      </w:r>
      <w:r w:rsidR="00622FB6" w:rsidRPr="00C91742">
        <w:rPr>
          <w:rStyle w:val="FootnoteReference"/>
          <w:lang w:val="en-AU"/>
        </w:rPr>
        <w:footnoteReference w:id="285"/>
      </w:r>
      <w:r w:rsidRPr="00C91742">
        <w:rPr>
          <w:lang w:val="en-AU"/>
        </w:rPr>
        <w:t xml:space="preserve"> A modern working definition </w:t>
      </w:r>
      <w:r w:rsidR="00A60B75" w:rsidRPr="00C91742">
        <w:rPr>
          <w:lang w:val="en-AU"/>
        </w:rPr>
        <w:t xml:space="preserve">of </w:t>
      </w:r>
      <w:r w:rsidRPr="00C91742">
        <w:rPr>
          <w:lang w:val="en-AU"/>
        </w:rPr>
        <w:t xml:space="preserve">retributive justice </w:t>
      </w:r>
      <w:r w:rsidR="009E2C29" w:rsidRPr="00C91742">
        <w:rPr>
          <w:lang w:val="en-AU"/>
        </w:rPr>
        <w:t>i</w:t>
      </w:r>
      <w:r w:rsidRPr="00C91742">
        <w:rPr>
          <w:lang w:val="en-AU"/>
        </w:rPr>
        <w:t xml:space="preserve">s </w:t>
      </w:r>
      <w:r w:rsidR="009E2C29" w:rsidRPr="00C91742">
        <w:rPr>
          <w:lang w:val="en-AU"/>
        </w:rPr>
        <w:t xml:space="preserve">system </w:t>
      </w:r>
      <w:r w:rsidRPr="00C91742">
        <w:rPr>
          <w:lang w:val="en-AU"/>
        </w:rPr>
        <w:t xml:space="preserve">of justice fixated </w:t>
      </w:r>
      <w:r w:rsidR="009E2C29" w:rsidRPr="00C91742">
        <w:rPr>
          <w:lang w:val="en-AU"/>
        </w:rPr>
        <w:t xml:space="preserve">on a </w:t>
      </w:r>
      <w:r w:rsidRPr="00C91742">
        <w:rPr>
          <w:lang w:val="en-AU"/>
        </w:rPr>
        <w:t>need to negate wrong and reassert right.</w:t>
      </w:r>
      <w:r w:rsidRPr="00C91742">
        <w:rPr>
          <w:rStyle w:val="FootnoteReference"/>
          <w:lang w:val="en-AU"/>
        </w:rPr>
        <w:footnoteReference w:id="286"/>
      </w:r>
      <w:r w:rsidRPr="00C91742">
        <w:rPr>
          <w:lang w:val="en-AU"/>
        </w:rPr>
        <w:t xml:space="preserve"> The working justification for punishing the guilty is not based on the possible benefits or utility it will yield for the future. According to Jeffrie Murphy</w:t>
      </w:r>
      <w:r w:rsidR="005C71CB" w:rsidRPr="00C91742">
        <w:rPr>
          <w:lang w:val="en-AU"/>
        </w:rPr>
        <w:t>’</w:t>
      </w:r>
      <w:r w:rsidRPr="00C91742">
        <w:rPr>
          <w:lang w:val="en-AU"/>
        </w:rPr>
        <w:t>s reading of</w:t>
      </w:r>
      <w:r w:rsidRPr="00C91742">
        <w:rPr>
          <w:i/>
          <w:lang w:val="en-AU"/>
        </w:rPr>
        <w:t xml:space="preserve"> </w:t>
      </w:r>
      <w:r w:rsidR="007E7277" w:rsidRPr="00C91742">
        <w:rPr>
          <w:i/>
          <w:lang w:val="en-AU"/>
        </w:rPr>
        <w:t>Mishna</w:t>
      </w:r>
      <w:r w:rsidRPr="00C91742">
        <w:rPr>
          <w:lang w:val="en-AU"/>
        </w:rPr>
        <w:t xml:space="preserve">, the criminal, or more importantly, his crime, deserves the punishment. Society has the right to punish him/her, and </w:t>
      </w:r>
      <w:r w:rsidR="00216A25" w:rsidRPr="00C91742">
        <w:rPr>
          <w:lang w:val="en-AU"/>
        </w:rPr>
        <w:t>according to</w:t>
      </w:r>
      <w:r w:rsidR="00FC1184" w:rsidRPr="00C91742">
        <w:rPr>
          <w:lang w:val="en-AU"/>
        </w:rPr>
        <w:t xml:space="preserve"> this theory of justice </w:t>
      </w:r>
      <w:r w:rsidRPr="00C91742">
        <w:rPr>
          <w:lang w:val="en-AU"/>
        </w:rPr>
        <w:t xml:space="preserve">the criminal </w:t>
      </w:r>
      <w:r w:rsidR="00291E28" w:rsidRPr="00C91742">
        <w:rPr>
          <w:lang w:val="en-AU"/>
        </w:rPr>
        <w:t>an expectation of such</w:t>
      </w:r>
      <w:r w:rsidRPr="00C91742">
        <w:rPr>
          <w:lang w:val="en-AU"/>
        </w:rPr>
        <w:t>.</w:t>
      </w:r>
      <w:r w:rsidRPr="00C91742">
        <w:rPr>
          <w:rStyle w:val="FootnoteReference"/>
          <w:lang w:val="en-AU"/>
        </w:rPr>
        <w:footnoteReference w:id="287"/>
      </w:r>
      <w:r w:rsidRPr="00C91742">
        <w:rPr>
          <w:lang w:val="en-AU"/>
        </w:rPr>
        <w:t xml:space="preserve"> </w:t>
      </w:r>
    </w:p>
    <w:p w14:paraId="379CDDA2" w14:textId="3D6E3A50" w:rsidR="008D4202" w:rsidRPr="00C91742" w:rsidRDefault="00BE6BA3" w:rsidP="008D4202">
      <w:pPr>
        <w:spacing w:line="480" w:lineRule="auto"/>
        <w:ind w:firstLine="720"/>
        <w:rPr>
          <w:lang w:val="en-AU"/>
        </w:rPr>
      </w:pPr>
      <w:r w:rsidRPr="00C91742">
        <w:rPr>
          <w:lang w:val="en-AU"/>
        </w:rPr>
        <w:t xml:space="preserve">In </w:t>
      </w:r>
      <w:r w:rsidR="00216A25" w:rsidRPr="00C91742">
        <w:rPr>
          <w:lang w:val="en-AU"/>
        </w:rPr>
        <w:t xml:space="preserve">the </w:t>
      </w:r>
      <w:r w:rsidR="00035E6C" w:rsidRPr="00C91742">
        <w:rPr>
          <w:lang w:val="en-AU"/>
        </w:rPr>
        <w:t xml:space="preserve">light of the Sermon, </w:t>
      </w:r>
      <w:r w:rsidRPr="00C91742">
        <w:rPr>
          <w:lang w:val="en-AU"/>
        </w:rPr>
        <w:t>retributive justice</w:t>
      </w:r>
      <w:r w:rsidR="00291E28" w:rsidRPr="00C91742">
        <w:rPr>
          <w:lang w:val="en-AU"/>
        </w:rPr>
        <w:t xml:space="preserve"> allows for equality in retribution, and as a </w:t>
      </w:r>
      <w:r w:rsidR="007F063D" w:rsidRPr="00C91742">
        <w:rPr>
          <w:lang w:val="en-AU"/>
        </w:rPr>
        <w:t>comparison</w:t>
      </w:r>
      <w:r w:rsidR="00291E28" w:rsidRPr="00C91742">
        <w:rPr>
          <w:lang w:val="en-AU"/>
        </w:rPr>
        <w:t xml:space="preserve">, </w:t>
      </w:r>
      <w:proofErr w:type="gramStart"/>
      <w:r w:rsidRPr="00C91742">
        <w:rPr>
          <w:lang w:val="en-AU"/>
        </w:rPr>
        <w:t>grace</w:t>
      </w:r>
      <w:proofErr w:type="gramEnd"/>
      <w:r w:rsidRPr="00C91742">
        <w:rPr>
          <w:lang w:val="en-AU"/>
        </w:rPr>
        <w:t xml:space="preserve"> and forgiveness</w:t>
      </w:r>
      <w:r w:rsidR="00291E28" w:rsidRPr="00C91742">
        <w:rPr>
          <w:lang w:val="en-AU"/>
        </w:rPr>
        <w:t>, are important to the rehabilit</w:t>
      </w:r>
      <w:r w:rsidR="007F063D" w:rsidRPr="00C91742">
        <w:rPr>
          <w:lang w:val="en-AU"/>
        </w:rPr>
        <w:t>at</w:t>
      </w:r>
      <w:r w:rsidR="00291E28" w:rsidRPr="00C91742">
        <w:rPr>
          <w:lang w:val="en-AU"/>
        </w:rPr>
        <w:t xml:space="preserve">ive justice </w:t>
      </w:r>
      <w:r w:rsidRPr="00C91742">
        <w:rPr>
          <w:lang w:val="en-AU"/>
        </w:rPr>
        <w:t xml:space="preserve">by God </w:t>
      </w:r>
      <w:r w:rsidR="00DB3D14" w:rsidRPr="00C91742">
        <w:rPr>
          <w:lang w:val="en-AU"/>
        </w:rPr>
        <w:t>extended t</w:t>
      </w:r>
      <w:r w:rsidRPr="00C91742">
        <w:rPr>
          <w:lang w:val="en-AU"/>
        </w:rPr>
        <w:t>o humanity</w:t>
      </w:r>
      <w:r w:rsidR="00291E28" w:rsidRPr="00C91742">
        <w:rPr>
          <w:lang w:val="en-AU"/>
        </w:rPr>
        <w:t xml:space="preserve">. </w:t>
      </w:r>
      <w:r w:rsidRPr="00C91742">
        <w:rPr>
          <w:lang w:val="en-AU"/>
        </w:rPr>
        <w:t>Theologically, one</w:t>
      </w:r>
      <w:r w:rsidR="005C71CB" w:rsidRPr="00C91742">
        <w:rPr>
          <w:lang w:val="en-AU"/>
        </w:rPr>
        <w:t>’</w:t>
      </w:r>
      <w:r w:rsidRPr="00C91742">
        <w:rPr>
          <w:lang w:val="en-AU"/>
        </w:rPr>
        <w:t>s understanding of God</w:t>
      </w:r>
      <w:r w:rsidR="005C71CB" w:rsidRPr="00C91742">
        <w:rPr>
          <w:lang w:val="en-AU"/>
        </w:rPr>
        <w:t>’</w:t>
      </w:r>
      <w:r w:rsidRPr="00C91742">
        <w:rPr>
          <w:lang w:val="en-AU"/>
        </w:rPr>
        <w:t>s retributive justice</w:t>
      </w:r>
      <w:r w:rsidR="00E3201F" w:rsidRPr="00C91742">
        <w:rPr>
          <w:lang w:val="en-AU"/>
        </w:rPr>
        <w:t xml:space="preserve"> defines how a person understands God and atonement.</w:t>
      </w:r>
      <w:r w:rsidRPr="00C91742">
        <w:rPr>
          <w:rStyle w:val="FootnoteReference"/>
          <w:lang w:val="en-AU"/>
        </w:rPr>
        <w:footnoteReference w:id="288"/>
      </w:r>
      <w:r w:rsidRPr="00C91742">
        <w:rPr>
          <w:lang w:val="en-AU"/>
        </w:rPr>
        <w:t xml:space="preserve"> </w:t>
      </w:r>
      <w:r w:rsidR="0068047C" w:rsidRPr="00C91742">
        <w:rPr>
          <w:lang w:val="en-AU"/>
        </w:rPr>
        <w:t>An elaboration of ret</w:t>
      </w:r>
      <w:r w:rsidR="0021173B" w:rsidRPr="00C91742">
        <w:rPr>
          <w:lang w:val="en-AU"/>
        </w:rPr>
        <w:t>r</w:t>
      </w:r>
      <w:r w:rsidR="0068047C" w:rsidRPr="00C91742">
        <w:rPr>
          <w:lang w:val="en-AU"/>
        </w:rPr>
        <w:t xml:space="preserve">ibutive justice </w:t>
      </w:r>
      <w:r w:rsidR="0021173B" w:rsidRPr="00C91742">
        <w:rPr>
          <w:lang w:val="en-AU"/>
        </w:rPr>
        <w:t>i</w:t>
      </w:r>
      <w:r w:rsidR="0068047C" w:rsidRPr="00C91742">
        <w:rPr>
          <w:lang w:val="en-AU"/>
        </w:rPr>
        <w:t>s beyond the scope of this dissertation</w:t>
      </w:r>
      <w:r w:rsidR="0021173B" w:rsidRPr="00C91742">
        <w:rPr>
          <w:lang w:val="en-AU"/>
        </w:rPr>
        <w:t xml:space="preserve">: suffice to say that </w:t>
      </w:r>
      <w:r w:rsidRPr="00C91742">
        <w:rPr>
          <w:lang w:val="en-AU"/>
        </w:rPr>
        <w:t>a broad foundation of retributive justice based on the interpretation of God</w:t>
      </w:r>
      <w:r w:rsidR="005C71CB" w:rsidRPr="00C91742">
        <w:rPr>
          <w:lang w:val="en-AU"/>
        </w:rPr>
        <w:t>’</w:t>
      </w:r>
      <w:r w:rsidRPr="00C91742">
        <w:rPr>
          <w:lang w:val="en-AU"/>
        </w:rPr>
        <w:t>s character guides</w:t>
      </w:r>
      <w:r w:rsidR="00DD2F43" w:rsidRPr="00C91742">
        <w:rPr>
          <w:lang w:val="en-AU"/>
        </w:rPr>
        <w:t xml:space="preserve"> the</w:t>
      </w:r>
      <w:r w:rsidRPr="00C91742">
        <w:rPr>
          <w:lang w:val="en-AU"/>
        </w:rPr>
        <w:t xml:space="preserve"> hermeneutics of both the Bible and </w:t>
      </w:r>
      <w:r w:rsidRPr="00C91742">
        <w:rPr>
          <w:i/>
          <w:iCs/>
          <w:lang w:val="en-AU"/>
        </w:rPr>
        <w:t>Mishna Avot.</w:t>
      </w:r>
      <w:r w:rsidRPr="00C91742">
        <w:rPr>
          <w:lang w:val="en-AU"/>
        </w:rPr>
        <w:t xml:space="preserve"> </w:t>
      </w:r>
      <w:r w:rsidR="00E3201F" w:rsidRPr="00C91742">
        <w:rPr>
          <w:lang w:val="en-AU"/>
        </w:rPr>
        <w:t xml:space="preserve">The task of defining retributive justice is uncomfortable and </w:t>
      </w:r>
      <w:r w:rsidRPr="00C91742">
        <w:rPr>
          <w:lang w:val="en-AU"/>
        </w:rPr>
        <w:t xml:space="preserve">Joel </w:t>
      </w:r>
      <w:r w:rsidRPr="00C91742">
        <w:rPr>
          <w:lang w:val="en-AU"/>
        </w:rPr>
        <w:lastRenderedPageBreak/>
        <w:t xml:space="preserve">Green and Mark Baker, for instance, </w:t>
      </w:r>
      <w:r w:rsidR="00E3201F" w:rsidRPr="00C91742">
        <w:rPr>
          <w:lang w:val="en-AU"/>
        </w:rPr>
        <w:t xml:space="preserve">state </w:t>
      </w:r>
      <w:r w:rsidRPr="00C91742">
        <w:rPr>
          <w:lang w:val="en-AU"/>
        </w:rPr>
        <w:t xml:space="preserve">in </w:t>
      </w:r>
      <w:r w:rsidRPr="00C91742">
        <w:rPr>
          <w:i/>
          <w:iCs/>
          <w:lang w:val="en-AU"/>
        </w:rPr>
        <w:t>Recovering the Scandal of the Cross</w:t>
      </w:r>
      <w:r w:rsidRPr="00C91742">
        <w:rPr>
          <w:lang w:val="en-AU"/>
        </w:rPr>
        <w:t xml:space="preserve">, </w:t>
      </w:r>
      <w:r w:rsidR="00E3201F" w:rsidRPr="00C91742">
        <w:rPr>
          <w:lang w:val="en-AU"/>
        </w:rPr>
        <w:t xml:space="preserve">that </w:t>
      </w:r>
      <w:r w:rsidR="00863B47" w:rsidRPr="00C91742">
        <w:rPr>
          <w:lang w:val="en-AU"/>
        </w:rPr>
        <w:t>“</w:t>
      </w:r>
      <w:r w:rsidRPr="00C91742">
        <w:rPr>
          <w:lang w:val="en-AU"/>
        </w:rPr>
        <w:t xml:space="preserve">The </w:t>
      </w:r>
      <w:r w:rsidR="005C71CB" w:rsidRPr="00C91742">
        <w:rPr>
          <w:lang w:val="en-AU"/>
        </w:rPr>
        <w:t>‘</w:t>
      </w:r>
      <w:r w:rsidRPr="00C91742">
        <w:rPr>
          <w:lang w:val="en-AU"/>
        </w:rPr>
        <w:t>wrath of God</w:t>
      </w:r>
      <w:r w:rsidR="005C71CB" w:rsidRPr="00C91742">
        <w:rPr>
          <w:lang w:val="en-AU"/>
        </w:rPr>
        <w:t>’</w:t>
      </w:r>
      <w:r w:rsidRPr="00C91742">
        <w:rPr>
          <w:lang w:val="en-AU"/>
        </w:rPr>
        <w:t xml:space="preserve"> is</w:t>
      </w:r>
      <w:r w:rsidR="00DD2F43" w:rsidRPr="00C91742">
        <w:rPr>
          <w:lang w:val="en-AU"/>
        </w:rPr>
        <w:t>,</w:t>
      </w:r>
      <w:r w:rsidRPr="00C91742">
        <w:rPr>
          <w:lang w:val="en-AU"/>
        </w:rPr>
        <w:t xml:space="preserve"> for Paul, not an effective response on the part of God, not the striking out of a vengeful God. As we have indicated, Paul</w:t>
      </w:r>
      <w:r w:rsidR="005C71CB" w:rsidRPr="00C91742">
        <w:rPr>
          <w:lang w:val="en-AU"/>
        </w:rPr>
        <w:t>’</w:t>
      </w:r>
      <w:r w:rsidRPr="00C91742">
        <w:rPr>
          <w:lang w:val="en-AU"/>
        </w:rPr>
        <w:t>s concern is not with retributive punishment.</w:t>
      </w:r>
      <w:r w:rsidR="00863B47" w:rsidRPr="00C91742">
        <w:rPr>
          <w:lang w:val="en-AU"/>
        </w:rPr>
        <w:t>”</w:t>
      </w:r>
      <w:r w:rsidRPr="00C91742">
        <w:rPr>
          <w:rStyle w:val="FootnoteReference"/>
          <w:lang w:val="en-AU"/>
        </w:rPr>
        <w:footnoteReference w:id="289"/>
      </w:r>
      <w:r w:rsidRPr="00C91742">
        <w:rPr>
          <w:lang w:val="en-AU"/>
        </w:rPr>
        <w:t xml:space="preserve"> Theologians </w:t>
      </w:r>
      <w:r w:rsidR="004E2642" w:rsidRPr="00C91742">
        <w:rPr>
          <w:lang w:val="en-AU"/>
        </w:rPr>
        <w:t>such as</w:t>
      </w:r>
      <w:r w:rsidRPr="00C91742">
        <w:rPr>
          <w:lang w:val="en-AU"/>
        </w:rPr>
        <w:t xml:space="preserve"> Stephen Travis characteri</w:t>
      </w:r>
      <w:r w:rsidR="00D86BBD" w:rsidRPr="00C91742">
        <w:rPr>
          <w:lang w:val="en-AU"/>
        </w:rPr>
        <w:t>s</w:t>
      </w:r>
      <w:r w:rsidRPr="00C91742">
        <w:rPr>
          <w:lang w:val="en-AU"/>
        </w:rPr>
        <w:t xml:space="preserve">e the wrath of God as the natural outworking of divine consequences </w:t>
      </w:r>
      <w:r w:rsidR="00FE59F8" w:rsidRPr="00C91742">
        <w:rPr>
          <w:lang w:val="en-AU"/>
        </w:rPr>
        <w:t>ensuing</w:t>
      </w:r>
      <w:r w:rsidRPr="00C91742">
        <w:rPr>
          <w:lang w:val="en-AU"/>
        </w:rPr>
        <w:t xml:space="preserve"> from sinful actions.</w:t>
      </w:r>
      <w:r w:rsidRPr="00C91742">
        <w:rPr>
          <w:rStyle w:val="FootnoteReference"/>
          <w:lang w:val="en-AU"/>
        </w:rPr>
        <w:footnoteReference w:id="290"/>
      </w:r>
      <w:r w:rsidRPr="00C91742">
        <w:rPr>
          <w:lang w:val="en-AU"/>
        </w:rPr>
        <w:t xml:space="preserve">  Goldingay </w:t>
      </w:r>
      <w:r w:rsidR="00014D5C" w:rsidRPr="00C91742">
        <w:rPr>
          <w:lang w:val="en-AU"/>
        </w:rPr>
        <w:t>clarifies what sin is within Leviticus</w:t>
      </w:r>
      <w:r w:rsidRPr="00C91742">
        <w:rPr>
          <w:lang w:val="en-AU"/>
        </w:rPr>
        <w:t>:</w:t>
      </w:r>
    </w:p>
    <w:p w14:paraId="0F291C96" w14:textId="7E3721E2" w:rsidR="00D25D36" w:rsidRPr="00C91742" w:rsidRDefault="00BE6BA3" w:rsidP="008D4202">
      <w:pPr>
        <w:ind w:left="706" w:right="706"/>
        <w:rPr>
          <w:lang w:val="en-AU"/>
        </w:rPr>
      </w:pPr>
      <w:r w:rsidRPr="00C91742">
        <w:rPr>
          <w:lang w:val="en-AU"/>
        </w:rPr>
        <w:t xml:space="preserve">The problem with sin in Leviticus is not that sin involves infidelity or disloyalty to God which makes God </w:t>
      </w:r>
      <w:proofErr w:type="gramStart"/>
      <w:r w:rsidRPr="00C91742">
        <w:rPr>
          <w:lang w:val="en-AU"/>
        </w:rPr>
        <w:t>angry</w:t>
      </w:r>
      <w:proofErr w:type="gramEnd"/>
      <w:r w:rsidRPr="00C91742">
        <w:rPr>
          <w:lang w:val="en-AU"/>
        </w:rPr>
        <w:t xml:space="preserve"> but that sin pollutes, stains, and spoils, and thus makes people or things repulsive. The problem that </w:t>
      </w:r>
      <w:proofErr w:type="gramStart"/>
      <w:r w:rsidRPr="00C91742">
        <w:rPr>
          <w:lang w:val="en-AU"/>
        </w:rPr>
        <w:t>sacrifice</w:t>
      </w:r>
      <w:proofErr w:type="gramEnd"/>
      <w:r w:rsidRPr="00C91742">
        <w:rPr>
          <w:lang w:val="en-AU"/>
        </w:rPr>
        <w:t xml:space="preserve"> thus deals with is not anger but revulsion or rather repulsiveness.</w:t>
      </w:r>
      <w:r w:rsidRPr="00C91742">
        <w:rPr>
          <w:rStyle w:val="FootnoteReference"/>
          <w:lang w:val="en-AU"/>
        </w:rPr>
        <w:footnoteReference w:id="291"/>
      </w:r>
      <w:r w:rsidRPr="00C91742">
        <w:rPr>
          <w:lang w:val="en-AU"/>
        </w:rPr>
        <w:t xml:space="preserve"> </w:t>
      </w:r>
    </w:p>
    <w:p w14:paraId="16E23F4E" w14:textId="77777777" w:rsidR="002E5AC3" w:rsidRPr="00C91742" w:rsidRDefault="002E5AC3" w:rsidP="008D4202">
      <w:pPr>
        <w:spacing w:line="480" w:lineRule="auto"/>
        <w:rPr>
          <w:lang w:val="en-AU"/>
        </w:rPr>
      </w:pPr>
    </w:p>
    <w:p w14:paraId="757A3A95" w14:textId="3F220338" w:rsidR="008D4202" w:rsidRPr="00C91742" w:rsidRDefault="00BE6BA3" w:rsidP="008D4202">
      <w:pPr>
        <w:spacing w:line="480" w:lineRule="auto"/>
        <w:rPr>
          <w:lang w:val="en-AU"/>
        </w:rPr>
      </w:pPr>
      <w:r w:rsidRPr="00C91742">
        <w:rPr>
          <w:lang w:val="en-AU"/>
        </w:rPr>
        <w:t>The concept of retributive justice would thus be centred, not on the concept that God is angry with someone and desires that they are punished, but rather that the person is repulsive and can</w:t>
      </w:r>
      <w:r w:rsidR="001A741D" w:rsidRPr="00C91742">
        <w:rPr>
          <w:lang w:val="en-AU"/>
        </w:rPr>
        <w:t>no</w:t>
      </w:r>
      <w:r w:rsidRPr="00C91742">
        <w:rPr>
          <w:lang w:val="en-AU"/>
        </w:rPr>
        <w:t xml:space="preserve">t be </w:t>
      </w:r>
      <w:r w:rsidR="001A741D" w:rsidRPr="00C91742">
        <w:rPr>
          <w:lang w:val="en-AU"/>
        </w:rPr>
        <w:t xml:space="preserve">brought </w:t>
      </w:r>
      <w:r w:rsidRPr="00C91742">
        <w:rPr>
          <w:lang w:val="en-AU"/>
        </w:rPr>
        <w:t>in</w:t>
      </w:r>
      <w:r w:rsidR="001A741D" w:rsidRPr="00C91742">
        <w:rPr>
          <w:lang w:val="en-AU"/>
        </w:rPr>
        <w:t>to</w:t>
      </w:r>
      <w:r w:rsidRPr="00C91742">
        <w:rPr>
          <w:lang w:val="en-AU"/>
        </w:rPr>
        <w:t xml:space="preserve"> the presence of goodness.</w:t>
      </w:r>
    </w:p>
    <w:p w14:paraId="6D264FED" w14:textId="33C61EF6" w:rsidR="008D4202" w:rsidRPr="00C91742" w:rsidRDefault="00050B34" w:rsidP="008D4202">
      <w:pPr>
        <w:spacing w:line="480" w:lineRule="auto"/>
        <w:ind w:firstLine="720"/>
        <w:rPr>
          <w:lang w:val="en-AU"/>
        </w:rPr>
      </w:pPr>
      <w:r w:rsidRPr="00C91742">
        <w:rPr>
          <w:lang w:val="en-AU"/>
        </w:rPr>
        <w:t xml:space="preserve">Understanding who </w:t>
      </w:r>
      <w:r w:rsidRPr="00C91742">
        <w:rPr>
          <w:i/>
          <w:iCs/>
          <w:lang w:val="en-AU"/>
        </w:rPr>
        <w:t xml:space="preserve">Mishna Avot </w:t>
      </w:r>
      <w:r w:rsidRPr="00C91742">
        <w:rPr>
          <w:lang w:val="en-AU"/>
        </w:rPr>
        <w:t xml:space="preserve">5 is attributed to helps connect the origins of </w:t>
      </w:r>
      <w:r w:rsidRPr="00C91742">
        <w:rPr>
          <w:i/>
          <w:iCs/>
          <w:lang w:val="en-AU"/>
        </w:rPr>
        <w:t xml:space="preserve">Mishna Avot </w:t>
      </w:r>
      <w:r w:rsidRPr="00C91742">
        <w:rPr>
          <w:lang w:val="en-AU"/>
        </w:rPr>
        <w:t xml:space="preserve">5 with very early writings </w:t>
      </w:r>
      <w:proofErr w:type="gramStart"/>
      <w:r w:rsidRPr="00C91742">
        <w:rPr>
          <w:lang w:val="en-AU"/>
        </w:rPr>
        <w:t>similar to</w:t>
      </w:r>
      <w:proofErr w:type="gramEnd"/>
      <w:r w:rsidRPr="00C91742">
        <w:rPr>
          <w:lang w:val="en-AU"/>
        </w:rPr>
        <w:t xml:space="preserve"> the time of Judah Ha-Nasi.</w:t>
      </w:r>
      <w:r w:rsidRPr="00C91742">
        <w:rPr>
          <w:rStyle w:val="FootnoteReference"/>
          <w:lang w:val="en-AU"/>
        </w:rPr>
        <w:footnoteReference w:id="292"/>
      </w:r>
      <w:r w:rsidRPr="00C91742">
        <w:rPr>
          <w:lang w:val="en-AU"/>
        </w:rPr>
        <w:t xml:space="preserve">  </w:t>
      </w:r>
      <w:r w:rsidR="00BE6BA3" w:rsidRPr="00C91742">
        <w:rPr>
          <w:i/>
          <w:iCs/>
          <w:lang w:val="en-AU"/>
        </w:rPr>
        <w:t>Mishna Avot</w:t>
      </w:r>
      <w:r w:rsidR="00BE6BA3" w:rsidRPr="00C91742">
        <w:rPr>
          <w:i/>
          <w:lang w:val="en-AU"/>
        </w:rPr>
        <w:t xml:space="preserve"> </w:t>
      </w:r>
      <w:r w:rsidR="00BE6BA3" w:rsidRPr="00C91742">
        <w:rPr>
          <w:lang w:val="en-AU"/>
        </w:rPr>
        <w:t>5:8 re</w:t>
      </w:r>
      <w:r w:rsidR="001A741D" w:rsidRPr="00C91742">
        <w:rPr>
          <w:lang w:val="en-AU"/>
        </w:rPr>
        <w:t>cords</w:t>
      </w:r>
      <w:r w:rsidR="00BE6BA3" w:rsidRPr="00C91742">
        <w:rPr>
          <w:lang w:val="en-AU"/>
        </w:rPr>
        <w:t xml:space="preserve"> a discussion about sin and the tithes and offerings one brings to the Temple for seven different categories of sin. </w:t>
      </w:r>
      <w:r w:rsidR="00BE6BA3" w:rsidRPr="00C91742">
        <w:rPr>
          <w:i/>
          <w:iCs/>
          <w:lang w:val="en-AU"/>
        </w:rPr>
        <w:t>Mishna Avot</w:t>
      </w:r>
      <w:r w:rsidR="00BE6BA3" w:rsidRPr="00C91742">
        <w:rPr>
          <w:i/>
          <w:lang w:val="en-AU"/>
        </w:rPr>
        <w:t xml:space="preserve"> </w:t>
      </w:r>
      <w:r w:rsidR="00BE6BA3" w:rsidRPr="00C91742">
        <w:rPr>
          <w:lang w:val="en-AU"/>
        </w:rPr>
        <w:t>states:</w:t>
      </w:r>
    </w:p>
    <w:p w14:paraId="373A4D9B" w14:textId="580A97EF" w:rsidR="00D25D36" w:rsidRPr="009E7B69" w:rsidRDefault="00BE6BA3" w:rsidP="008D4202">
      <w:pPr>
        <w:ind w:left="706" w:right="706"/>
        <w:contextualSpacing/>
      </w:pPr>
      <w:r w:rsidRPr="009E7B69">
        <w:rPr>
          <w:i/>
          <w:iCs/>
        </w:rPr>
        <w:t>Mishna Avot</w:t>
      </w:r>
      <w:r w:rsidRPr="009E7B69">
        <w:rPr>
          <w:i/>
        </w:rPr>
        <w:t xml:space="preserve"> </w:t>
      </w:r>
      <w:r w:rsidRPr="009E7B69">
        <w:t>5:8</w:t>
      </w:r>
    </w:p>
    <w:p w14:paraId="52C0061B" w14:textId="52B89B73" w:rsidR="00D25D36" w:rsidRPr="009E7B69" w:rsidRDefault="00BE6BA3" w:rsidP="008D4202">
      <w:pPr>
        <w:ind w:left="706" w:right="706"/>
        <w:contextualSpacing/>
        <w:jc w:val="right"/>
      </w:pPr>
      <w:r w:rsidRPr="009E7B69">
        <w:rPr>
          <w:rtl/>
        </w:rPr>
        <w:t xml:space="preserve">שִׁבְעָה מִינֵי פֻרְעָנֻיּוֹת בָּאִין לָעוֹלָם עַל שִׁבְעָה גוּפֵי עֲבֵרָה. מִקְצָתָן מְעַשְּׂרִין וּמִקְצָתָן אֵינָן מְעַשְּׂרִין, רָעָב שֶׁל בַּצֹּרֶת בָּאָה, מִקְצָתָן רְעֵבִים וּמִקְצָתָן שְׂבֵעִים. גָּמְרוּ שֶׁלֹּא לְעַשֵּׂר, רָעָב שֶׁל מְהוּמָה וְשֶׁל בַּצֹּרֶת בָּאָה. וְשֶׁלֹּא לִטֹּל אֶת הַחַלָּה, רָעָב שֶׁל כְּלָיָה בָאָה. דֶּבֶר בָּא לָעוֹלָם עַל מִיתוֹת הָאֲמוּרוֹת </w:t>
      </w:r>
      <w:r w:rsidRPr="009E7B69">
        <w:rPr>
          <w:rtl/>
        </w:rPr>
        <w:lastRenderedPageBreak/>
        <w:t>בַּתּוֹרָה שֶׁלֹּא נִמְסְרוּ לְבֵית דִּין, וְעַל פֵּרוֹת שְׁבִיעִית. חֶרֶב בָּאָה לָעוֹלָם עַל עִנּוּי הַדִּין, וְעַל עִוּוּת הַדִּין, וְעַל הַמּוֹרִים בַּתּוֹרָה שֶׁלֹּא כַהֲלָכָה</w:t>
      </w:r>
      <w:r w:rsidRPr="009E7B69">
        <w:t>:</w:t>
      </w:r>
    </w:p>
    <w:p w14:paraId="2BB708A2" w14:textId="2CEDFD46" w:rsidR="00D25D36" w:rsidRPr="00C91742" w:rsidRDefault="00BE6BA3" w:rsidP="008D4202">
      <w:pPr>
        <w:ind w:leftChars="378" w:left="907" w:right="709"/>
        <w:contextualSpacing/>
        <w:rPr>
          <w:lang w:val="en-AU"/>
        </w:rPr>
      </w:pPr>
      <w:r w:rsidRPr="00C91742">
        <w:rPr>
          <w:lang w:val="en-AU"/>
        </w:rPr>
        <w:t>Seven kinds of punishment come to the world for seven categories of sin: [When] some of [the people] give tithes, and others do not give tithes, a famine from drought comes; and some go hungry, and others have plenty. [When] they all decide not to give tithes, a famine from tumult and drought comes. [And when they decide, in addition,] not to set apart the dough [offering], a famine of annihilation comes. Pestilence comes to the world for the death penalties set forth in the Torah that are not given over to the court [to carry out]; and for [violation of the laws governing] the produce of the Sabbatical year. [The] sword comes to the world for the delay of justice, and for the perversion of justice, and because of those who interpret the Torah counter to the accepted law.</w:t>
      </w:r>
      <w:r w:rsidRPr="00C91742">
        <w:rPr>
          <w:rStyle w:val="FootnoteReference"/>
          <w:lang w:val="en-AU"/>
        </w:rPr>
        <w:footnoteReference w:id="293"/>
      </w:r>
    </w:p>
    <w:p w14:paraId="2DA915CC" w14:textId="67972A1D" w:rsidR="008D4202" w:rsidRPr="00C91742" w:rsidRDefault="00BE6BA3" w:rsidP="00990707">
      <w:pPr>
        <w:widowControl w:val="0"/>
        <w:autoSpaceDE w:val="0"/>
        <w:autoSpaceDN w:val="0"/>
        <w:adjustRightInd w:val="0"/>
        <w:spacing w:before="240" w:line="480" w:lineRule="auto"/>
        <w:rPr>
          <w:lang w:val="en-AU"/>
        </w:rPr>
      </w:pPr>
      <w:r w:rsidRPr="00C91742">
        <w:rPr>
          <w:lang w:val="en-AU"/>
        </w:rPr>
        <w:t xml:space="preserve">When the text in </w:t>
      </w:r>
      <w:r w:rsidR="008278D0" w:rsidRPr="00C91742">
        <w:rPr>
          <w:lang w:val="en-AU"/>
        </w:rPr>
        <w:t>is read t</w:t>
      </w:r>
      <w:r w:rsidRPr="00C91742">
        <w:rPr>
          <w:lang w:val="en-AU"/>
        </w:rPr>
        <w:t xml:space="preserve">erms of retributive justice and </w:t>
      </w:r>
      <w:r w:rsidR="00B63965" w:rsidRPr="00C91742">
        <w:rPr>
          <w:lang w:val="en-AU"/>
        </w:rPr>
        <w:t>in the knowledge</w:t>
      </w:r>
      <w:r w:rsidRPr="00C91742">
        <w:rPr>
          <w:lang w:val="en-AU"/>
        </w:rPr>
        <w:t xml:space="preserve"> that God has no pleasure in punishing people, </w:t>
      </w:r>
      <w:r w:rsidR="00D73F17" w:rsidRPr="00C91742">
        <w:rPr>
          <w:lang w:val="en-AU"/>
        </w:rPr>
        <w:t xml:space="preserve">a better understanding of </w:t>
      </w:r>
      <w:r w:rsidRPr="00C91742">
        <w:rPr>
          <w:lang w:val="en-AU"/>
        </w:rPr>
        <w:t xml:space="preserve">justice and equality </w:t>
      </w:r>
      <w:r w:rsidR="00D73F17" w:rsidRPr="00C91742">
        <w:rPr>
          <w:lang w:val="en-AU"/>
        </w:rPr>
        <w:t>emerges</w:t>
      </w:r>
      <w:r w:rsidRPr="00C91742">
        <w:rPr>
          <w:lang w:val="en-AU"/>
        </w:rPr>
        <w:t>.</w:t>
      </w:r>
      <w:r w:rsidR="00F8491D">
        <w:rPr>
          <w:rStyle w:val="FootnoteReference"/>
          <w:lang w:val="en-AU"/>
        </w:rPr>
        <w:footnoteReference w:id="294"/>
      </w:r>
      <w:r w:rsidRPr="00C91742">
        <w:rPr>
          <w:lang w:val="en-AU"/>
        </w:rPr>
        <w:t xml:space="preserve"> </w:t>
      </w:r>
      <w:r w:rsidR="00504FBD">
        <w:rPr>
          <w:lang w:val="en-AU"/>
        </w:rPr>
        <w:t>A l</w:t>
      </w:r>
      <w:r w:rsidRPr="00C91742">
        <w:rPr>
          <w:lang w:val="en-AU"/>
        </w:rPr>
        <w:t xml:space="preserve">istener to the </w:t>
      </w:r>
      <w:r w:rsidRPr="00C91742">
        <w:rPr>
          <w:i/>
          <w:iCs/>
          <w:lang w:val="en-AU"/>
        </w:rPr>
        <w:t xml:space="preserve">Mishna </w:t>
      </w:r>
      <w:r w:rsidRPr="00C91742">
        <w:rPr>
          <w:i/>
          <w:lang w:val="en-AU"/>
        </w:rPr>
        <w:t>Avot</w:t>
      </w:r>
      <w:r w:rsidRPr="00C91742">
        <w:rPr>
          <w:lang w:val="en-AU"/>
        </w:rPr>
        <w:t xml:space="preserve"> </w:t>
      </w:r>
      <w:r w:rsidR="00342EDB" w:rsidRPr="00C91742">
        <w:rPr>
          <w:lang w:val="en-AU"/>
        </w:rPr>
        <w:t xml:space="preserve">understands that </w:t>
      </w:r>
      <w:r w:rsidR="00D73F17" w:rsidRPr="00C91742">
        <w:rPr>
          <w:lang w:val="en-AU"/>
        </w:rPr>
        <w:t xml:space="preserve">they </w:t>
      </w:r>
      <w:r w:rsidR="00342EDB" w:rsidRPr="00C91742">
        <w:rPr>
          <w:lang w:val="en-AU"/>
        </w:rPr>
        <w:t xml:space="preserve">must care for others as part of tithing. </w:t>
      </w:r>
      <w:r w:rsidRPr="00C91742">
        <w:rPr>
          <w:lang w:val="en-AU"/>
        </w:rPr>
        <w:t xml:space="preserve">The Oral Law </w:t>
      </w:r>
      <w:r w:rsidR="005E222E" w:rsidRPr="00C91742">
        <w:rPr>
          <w:lang w:val="en-AU"/>
        </w:rPr>
        <w:t xml:space="preserve">creates a climate of helping and doing good to </w:t>
      </w:r>
      <w:r w:rsidR="00D54F71" w:rsidRPr="00C91742">
        <w:rPr>
          <w:lang w:val="en-AU"/>
        </w:rPr>
        <w:t>others (one</w:t>
      </w:r>
      <w:r w:rsidR="005C71CB" w:rsidRPr="00C91742">
        <w:rPr>
          <w:lang w:val="en-AU"/>
        </w:rPr>
        <w:t>’</w:t>
      </w:r>
      <w:r w:rsidR="00D54F71" w:rsidRPr="00C91742">
        <w:rPr>
          <w:lang w:val="en-AU"/>
        </w:rPr>
        <w:t>s neighbours)</w:t>
      </w:r>
      <w:r w:rsidR="005E222E" w:rsidRPr="00C91742">
        <w:rPr>
          <w:lang w:val="en-AU"/>
        </w:rPr>
        <w:t>.</w:t>
      </w:r>
      <w:r w:rsidRPr="00C91742">
        <w:rPr>
          <w:lang w:val="en-AU"/>
        </w:rPr>
        <w:t xml:space="preserve"> </w:t>
      </w:r>
      <w:r w:rsidRPr="00C91742">
        <w:rPr>
          <w:i/>
          <w:iCs/>
          <w:lang w:val="en-AU"/>
        </w:rPr>
        <w:t>Mishna Avot</w:t>
      </w:r>
      <w:r w:rsidRPr="00C91742">
        <w:rPr>
          <w:lang w:val="en-AU"/>
        </w:rPr>
        <w:t xml:space="preserve"> 2:7 states: </w:t>
      </w:r>
      <w:r w:rsidR="00863B47" w:rsidRPr="00C91742">
        <w:rPr>
          <w:lang w:val="en-AU"/>
        </w:rPr>
        <w:t>“</w:t>
      </w:r>
      <w:r w:rsidR="008D2A02" w:rsidRPr="00C91742">
        <w:rPr>
          <w:lang w:val="en-AU"/>
        </w:rPr>
        <w:t>H</w:t>
      </w:r>
      <w:r w:rsidRPr="00C91742">
        <w:rPr>
          <w:lang w:val="en-AU"/>
        </w:rPr>
        <w:t>e [Hillel] also saw a skull floating on the surface of the water. He said to it: because you have drowned others, you were drowned, and in the end, those who have drowned you will themselves be drowned.</w:t>
      </w:r>
      <w:r w:rsidR="00863B47" w:rsidRPr="00C91742">
        <w:rPr>
          <w:lang w:val="en-AU"/>
        </w:rPr>
        <w:t>”</w:t>
      </w:r>
      <w:r w:rsidRPr="00C91742">
        <w:rPr>
          <w:rStyle w:val="FootnoteReference"/>
          <w:lang w:val="en-AU"/>
        </w:rPr>
        <w:footnoteReference w:id="295"/>
      </w:r>
      <w:r w:rsidRPr="00C91742">
        <w:rPr>
          <w:lang w:val="en-AU"/>
        </w:rPr>
        <w:t xml:space="preserve"> In a dramatic fashion, Hillel demonstrates that when people do bad things to others, they also will have negative things happen to them in turn. </w:t>
      </w:r>
      <w:r w:rsidRPr="00C91742">
        <w:rPr>
          <w:iCs/>
          <w:lang w:val="en-AU"/>
        </w:rPr>
        <w:t xml:space="preserve">Toperoff </w:t>
      </w:r>
      <w:r w:rsidRPr="00C91742">
        <w:rPr>
          <w:lang w:val="en-AU"/>
        </w:rPr>
        <w:t xml:space="preserve">notes that </w:t>
      </w:r>
      <w:r w:rsidR="00863B47" w:rsidRPr="00C91742">
        <w:rPr>
          <w:lang w:val="en-AU"/>
        </w:rPr>
        <w:t>“</w:t>
      </w:r>
      <w:r w:rsidRPr="00C91742">
        <w:rPr>
          <w:lang w:val="en-AU"/>
        </w:rPr>
        <w:t>Rashi in Suk. 53a explains that the skull had been severed from the body with the victim identified as a robber who was himself murdered by other brigands.</w:t>
      </w:r>
      <w:r w:rsidR="00863B47" w:rsidRPr="00C91742">
        <w:rPr>
          <w:lang w:val="en-AU"/>
        </w:rPr>
        <w:t>”</w:t>
      </w:r>
      <w:r w:rsidRPr="00C91742">
        <w:rPr>
          <w:rStyle w:val="FootnoteReference"/>
          <w:lang w:val="en-AU"/>
        </w:rPr>
        <w:footnoteReference w:id="296"/>
      </w:r>
      <w:r w:rsidRPr="00C91742">
        <w:rPr>
          <w:lang w:val="en-AU"/>
        </w:rPr>
        <w:t xml:space="preserve"> </w:t>
      </w:r>
      <w:r w:rsidR="007F4169" w:rsidRPr="00C91742">
        <w:rPr>
          <w:lang w:val="en-AU"/>
        </w:rPr>
        <w:t>In t</w:t>
      </w:r>
      <w:r w:rsidRPr="00C91742">
        <w:rPr>
          <w:lang w:val="en-AU"/>
        </w:rPr>
        <w:t xml:space="preserve">he </w:t>
      </w:r>
      <w:r w:rsidRPr="00C91742">
        <w:rPr>
          <w:i/>
          <w:iCs/>
          <w:lang w:val="en-AU"/>
        </w:rPr>
        <w:t>Mishna</w:t>
      </w:r>
      <w:r w:rsidR="005C71CB" w:rsidRPr="00C91742">
        <w:rPr>
          <w:i/>
          <w:iCs/>
          <w:lang w:val="en-AU"/>
        </w:rPr>
        <w:t>’</w:t>
      </w:r>
      <w:r w:rsidRPr="00C91742">
        <w:rPr>
          <w:i/>
          <w:iCs/>
          <w:lang w:val="en-AU"/>
        </w:rPr>
        <w:t>s</w:t>
      </w:r>
      <w:r w:rsidRPr="00C91742">
        <w:rPr>
          <w:lang w:val="en-AU"/>
        </w:rPr>
        <w:t xml:space="preserve"> attempt to justify such harsh ethical actions </w:t>
      </w:r>
      <w:r w:rsidR="007F4169" w:rsidRPr="00C91742">
        <w:rPr>
          <w:lang w:val="en-AU"/>
        </w:rPr>
        <w:t xml:space="preserve">it is </w:t>
      </w:r>
      <w:r w:rsidRPr="00C91742">
        <w:rPr>
          <w:lang w:val="en-AU"/>
        </w:rPr>
        <w:t>claim</w:t>
      </w:r>
      <w:r w:rsidR="007F4169" w:rsidRPr="00C91742">
        <w:rPr>
          <w:lang w:val="en-AU"/>
        </w:rPr>
        <w:t>ed</w:t>
      </w:r>
      <w:r w:rsidRPr="00C91742">
        <w:rPr>
          <w:lang w:val="en-AU"/>
        </w:rPr>
        <w:t xml:space="preserve"> that the person who drowned was a robber; however, that was not in Hillel</w:t>
      </w:r>
      <w:r w:rsidR="005C71CB" w:rsidRPr="00C91742">
        <w:rPr>
          <w:lang w:val="en-AU"/>
        </w:rPr>
        <w:t>’</w:t>
      </w:r>
      <w:r w:rsidRPr="00C91742">
        <w:rPr>
          <w:lang w:val="en-AU"/>
        </w:rPr>
        <w:t xml:space="preserve">s statement, but </w:t>
      </w:r>
      <w:r w:rsidR="00622336" w:rsidRPr="00C91742">
        <w:rPr>
          <w:lang w:val="en-AU"/>
        </w:rPr>
        <w:t xml:space="preserve">it was </w:t>
      </w:r>
      <w:r w:rsidRPr="00C91742">
        <w:rPr>
          <w:lang w:val="en-AU"/>
        </w:rPr>
        <w:t>a theology created to justify that bad things</w:t>
      </w:r>
      <w:r w:rsidR="00504FBD">
        <w:rPr>
          <w:lang w:val="en-AU"/>
        </w:rPr>
        <w:t xml:space="preserve"> only</w:t>
      </w:r>
      <w:r w:rsidRPr="00C91742">
        <w:rPr>
          <w:lang w:val="en-AU"/>
        </w:rPr>
        <w:t xml:space="preserve"> happen to bad people. </w:t>
      </w:r>
      <w:r w:rsidR="00C3350D" w:rsidRPr="00C91742">
        <w:rPr>
          <w:lang w:val="en-AU"/>
        </w:rPr>
        <w:t xml:space="preserve">The comment </w:t>
      </w:r>
      <w:r w:rsidR="007F4169" w:rsidRPr="00C91742">
        <w:rPr>
          <w:lang w:val="en-AU"/>
        </w:rPr>
        <w:t>about</w:t>
      </w:r>
      <w:r w:rsidR="00C3350D" w:rsidRPr="00C91742">
        <w:rPr>
          <w:lang w:val="en-AU"/>
        </w:rPr>
        <w:t xml:space="preserve"> the floating </w:t>
      </w:r>
      <w:r w:rsidR="00C3350D" w:rsidRPr="00C91742">
        <w:rPr>
          <w:lang w:val="en-AU"/>
        </w:rPr>
        <w:lastRenderedPageBreak/>
        <w:t>skill may have been personal to Hillel.</w:t>
      </w:r>
      <w:r w:rsidRPr="00C91742">
        <w:rPr>
          <w:rStyle w:val="FootnoteReference"/>
          <w:lang w:val="en-AU"/>
        </w:rPr>
        <w:footnoteReference w:id="297"/>
      </w:r>
      <w:r w:rsidRPr="00C91742">
        <w:rPr>
          <w:lang w:val="en-AU"/>
        </w:rPr>
        <w:t xml:space="preserve"> Hillel chose not to disclose the </w:t>
      </w:r>
      <w:r w:rsidR="005C54E7" w:rsidRPr="00C91742">
        <w:rPr>
          <w:lang w:val="en-AU"/>
        </w:rPr>
        <w:t>character or morality</w:t>
      </w:r>
      <w:r w:rsidRPr="00C91742">
        <w:rPr>
          <w:lang w:val="en-AU"/>
        </w:rPr>
        <w:t xml:space="preserve"> of person who died; </w:t>
      </w:r>
      <w:r w:rsidR="005C54E7" w:rsidRPr="00C91742">
        <w:rPr>
          <w:lang w:val="en-AU"/>
        </w:rPr>
        <w:t>rather</w:t>
      </w:r>
      <w:r w:rsidRPr="00C91742">
        <w:rPr>
          <w:lang w:val="en-AU"/>
        </w:rPr>
        <w:t xml:space="preserve">, he chose </w:t>
      </w:r>
      <w:r w:rsidR="005C54E7" w:rsidRPr="00C91742">
        <w:rPr>
          <w:lang w:val="en-AU"/>
        </w:rPr>
        <w:t xml:space="preserve">only </w:t>
      </w:r>
      <w:r w:rsidRPr="00C91742">
        <w:rPr>
          <w:lang w:val="en-AU"/>
        </w:rPr>
        <w:t xml:space="preserve">to say that bad things that happen to people are retributive in nature. </w:t>
      </w:r>
      <w:r w:rsidR="00C3350D" w:rsidRPr="00C91742">
        <w:rPr>
          <w:lang w:val="en-AU"/>
        </w:rPr>
        <w:t xml:space="preserve">Toperroff contends that </w:t>
      </w:r>
      <w:r w:rsidR="00C3350D" w:rsidRPr="00C91742">
        <w:rPr>
          <w:i/>
          <w:iCs/>
          <w:lang w:val="en-AU"/>
        </w:rPr>
        <w:t>Avot</w:t>
      </w:r>
      <w:r w:rsidR="00C3350D" w:rsidRPr="00C91742">
        <w:rPr>
          <w:lang w:val="en-AU"/>
        </w:rPr>
        <w:t xml:space="preserve"> 2:7</w:t>
      </w:r>
      <w:r w:rsidR="00C3350D" w:rsidRPr="00C91742">
        <w:rPr>
          <w:i/>
          <w:iCs/>
          <w:lang w:val="en-AU"/>
        </w:rPr>
        <w:t xml:space="preserve"> </w:t>
      </w:r>
      <w:r w:rsidR="00C3350D" w:rsidRPr="00C91742">
        <w:rPr>
          <w:lang w:val="en-AU"/>
        </w:rPr>
        <w:t>teaches retributive justice</w:t>
      </w:r>
      <w:r w:rsidRPr="00C91742">
        <w:rPr>
          <w:lang w:val="en-AU"/>
        </w:rPr>
        <w:t>.</w:t>
      </w:r>
      <w:r w:rsidRPr="00C91742">
        <w:rPr>
          <w:rStyle w:val="FootnoteReference"/>
          <w:lang w:val="en-AU"/>
        </w:rPr>
        <w:footnoteReference w:id="298"/>
      </w:r>
      <w:r w:rsidRPr="00C91742">
        <w:rPr>
          <w:lang w:val="en-AU"/>
        </w:rPr>
        <w:t xml:space="preserve"> </w:t>
      </w:r>
      <w:r w:rsidR="00C3350D" w:rsidRPr="00C91742">
        <w:rPr>
          <w:lang w:val="en-AU"/>
        </w:rPr>
        <w:t>The very basic level of retribution is present in H</w:t>
      </w:r>
      <w:r w:rsidRPr="00C91742">
        <w:rPr>
          <w:lang w:val="en-AU"/>
        </w:rPr>
        <w:t>illel</w:t>
      </w:r>
      <w:r w:rsidR="005C71CB" w:rsidRPr="00C91742">
        <w:rPr>
          <w:lang w:val="en-AU"/>
        </w:rPr>
        <w:t>’</w:t>
      </w:r>
      <w:r w:rsidRPr="00C91742">
        <w:rPr>
          <w:lang w:val="en-AU"/>
        </w:rPr>
        <w:t>s</w:t>
      </w:r>
      <w:r w:rsidR="00C3350D" w:rsidRPr="00C91742">
        <w:rPr>
          <w:lang w:val="en-AU"/>
        </w:rPr>
        <w:t xml:space="preserve"> statement</w:t>
      </w:r>
      <w:r w:rsidRPr="00C91742">
        <w:rPr>
          <w:lang w:val="en-AU"/>
        </w:rPr>
        <w:t xml:space="preserve">: </w:t>
      </w:r>
      <w:r w:rsidR="00863B47" w:rsidRPr="00C91742">
        <w:rPr>
          <w:lang w:val="en-AU"/>
        </w:rPr>
        <w:t>“</w:t>
      </w:r>
      <w:r w:rsidRPr="00C91742">
        <w:rPr>
          <w:lang w:val="en-AU"/>
        </w:rPr>
        <w:t>you were killed because you killed others, and those who killed you will themselves be killed</w:t>
      </w:r>
      <w:r w:rsidR="00863B47" w:rsidRPr="00C91742">
        <w:rPr>
          <w:lang w:val="en-AU"/>
        </w:rPr>
        <w:t>”</w:t>
      </w:r>
      <w:r w:rsidR="006448E3" w:rsidRPr="00C91742">
        <w:rPr>
          <w:lang w:val="en-AU"/>
        </w:rPr>
        <w:t xml:space="preserve"> and retribution must have a point in which it stops between people.</w:t>
      </w:r>
      <w:r w:rsidRPr="00C91742">
        <w:rPr>
          <w:rStyle w:val="FootnoteReference"/>
          <w:lang w:val="en-AU"/>
        </w:rPr>
        <w:footnoteReference w:id="299"/>
      </w:r>
      <w:r w:rsidRPr="00C91742">
        <w:rPr>
          <w:lang w:val="en-AU"/>
        </w:rPr>
        <w:t xml:space="preserve"> The </w:t>
      </w:r>
      <w:r w:rsidR="00575B51" w:rsidRPr="00C91742">
        <w:rPr>
          <w:lang w:val="en-AU"/>
        </w:rPr>
        <w:t>attitude</w:t>
      </w:r>
      <w:r w:rsidRPr="00C91742">
        <w:rPr>
          <w:lang w:val="en-AU"/>
        </w:rPr>
        <w:t xml:space="preserve"> of </w:t>
      </w:r>
      <w:r w:rsidRPr="00C91742">
        <w:rPr>
          <w:i/>
          <w:lang w:val="en-AU"/>
        </w:rPr>
        <w:t>doing to other people what they have done to you</w:t>
      </w:r>
      <w:r w:rsidRPr="00C91742">
        <w:rPr>
          <w:lang w:val="en-AU"/>
        </w:rPr>
        <w:t xml:space="preserve"> has become part of human nature.  </w:t>
      </w:r>
      <w:r w:rsidR="006448E3" w:rsidRPr="00C91742">
        <w:rPr>
          <w:lang w:val="en-AU"/>
        </w:rPr>
        <w:t>If people are rude to you, you return their rudeness.  Greed elicits greed</w:t>
      </w:r>
      <w:r w:rsidRPr="00C91742">
        <w:rPr>
          <w:lang w:val="en-AU"/>
        </w:rPr>
        <w:t xml:space="preserve">. If people are in a loving and supportive environment, then their actions will reflect that same situation. Retributive justice in </w:t>
      </w:r>
      <w:r w:rsidRPr="00C91742">
        <w:rPr>
          <w:i/>
          <w:lang w:val="en-AU"/>
        </w:rPr>
        <w:t xml:space="preserve">Mishna Avot </w:t>
      </w:r>
      <w:r w:rsidR="00395F14" w:rsidRPr="00C91742">
        <w:rPr>
          <w:iCs/>
          <w:lang w:val="en-AU"/>
        </w:rPr>
        <w:t>resonates through Jesus</w:t>
      </w:r>
      <w:r w:rsidR="005C71CB" w:rsidRPr="00C91742">
        <w:rPr>
          <w:iCs/>
          <w:lang w:val="en-AU"/>
        </w:rPr>
        <w:t>’</w:t>
      </w:r>
      <w:r w:rsidR="00E35288">
        <w:rPr>
          <w:iCs/>
          <w:lang w:val="en-AU"/>
        </w:rPr>
        <w:t>s</w:t>
      </w:r>
      <w:r w:rsidR="00395F14" w:rsidRPr="00C91742">
        <w:rPr>
          <w:iCs/>
          <w:lang w:val="en-AU"/>
        </w:rPr>
        <w:t xml:space="preserve"> time and </w:t>
      </w:r>
      <w:r w:rsidR="00A32F54" w:rsidRPr="00C91742">
        <w:rPr>
          <w:iCs/>
          <w:lang w:val="en-AU"/>
        </w:rPr>
        <w:t xml:space="preserve">the </w:t>
      </w:r>
      <w:r w:rsidR="00395F14" w:rsidRPr="00C91742">
        <w:rPr>
          <w:iCs/>
          <w:lang w:val="en-AU"/>
        </w:rPr>
        <w:t>Oral Law.</w:t>
      </w:r>
      <w:r w:rsidRPr="00C91742">
        <w:rPr>
          <w:lang w:val="en-AU"/>
        </w:rPr>
        <w:t xml:space="preserve">  </w:t>
      </w:r>
    </w:p>
    <w:p w14:paraId="4AB60DD9" w14:textId="7432A38E" w:rsidR="008D4202" w:rsidRPr="00C91742" w:rsidRDefault="00BE6BA3" w:rsidP="008D4202">
      <w:pPr>
        <w:widowControl w:val="0"/>
        <w:autoSpaceDE w:val="0"/>
        <w:autoSpaceDN w:val="0"/>
        <w:adjustRightInd w:val="0"/>
        <w:spacing w:before="120" w:line="480" w:lineRule="auto"/>
        <w:ind w:firstLine="284"/>
        <w:rPr>
          <w:lang w:val="en-AU"/>
        </w:rPr>
      </w:pPr>
      <w:r w:rsidRPr="00C91742">
        <w:rPr>
          <w:lang w:val="en-AU"/>
        </w:rPr>
        <w:t xml:space="preserve">In relation to the neglect of these mitzvot, </w:t>
      </w:r>
      <w:r w:rsidRPr="00C91742">
        <w:rPr>
          <w:i/>
          <w:iCs/>
          <w:lang w:val="en-AU"/>
        </w:rPr>
        <w:t>Mishna Avot</w:t>
      </w:r>
      <w:r w:rsidRPr="00C91742">
        <w:rPr>
          <w:lang w:val="en-AU"/>
        </w:rPr>
        <w:t xml:space="preserve"> identifies pestilence as the punishment for failing to give the poor man</w:t>
      </w:r>
      <w:r w:rsidR="005C71CB" w:rsidRPr="00C91742">
        <w:rPr>
          <w:lang w:val="en-AU"/>
        </w:rPr>
        <w:t>’</w:t>
      </w:r>
      <w:r w:rsidRPr="00C91742">
        <w:rPr>
          <w:lang w:val="en-AU"/>
        </w:rPr>
        <w:t xml:space="preserve">s tithe and other </w:t>
      </w:r>
      <w:r w:rsidR="0055116F" w:rsidRPr="00C91742">
        <w:rPr>
          <w:lang w:val="en-AU"/>
        </w:rPr>
        <w:t xml:space="preserve">gifts of </w:t>
      </w:r>
      <w:r w:rsidRPr="00C91742">
        <w:rPr>
          <w:lang w:val="en-AU"/>
        </w:rPr>
        <w:t xml:space="preserve">produce, and for neglecting observance of the Sabbatical year:  This </w:t>
      </w:r>
      <w:r w:rsidR="00947445" w:rsidRPr="00C91742">
        <w:rPr>
          <w:i/>
          <w:iCs/>
          <w:lang w:val="en-AU"/>
        </w:rPr>
        <w:t>M</w:t>
      </w:r>
      <w:r w:rsidRPr="00C91742">
        <w:rPr>
          <w:i/>
          <w:iCs/>
          <w:lang w:val="en-AU"/>
        </w:rPr>
        <w:t>ishna</w:t>
      </w:r>
      <w:r w:rsidRPr="00C91742">
        <w:rPr>
          <w:lang w:val="en-AU"/>
        </w:rPr>
        <w:t xml:space="preserve"> indicates that at least during certain eras, these laws were not observed by </w:t>
      </w:r>
      <w:proofErr w:type="gramStart"/>
      <w:r w:rsidRPr="00C91742">
        <w:rPr>
          <w:lang w:val="en-AU"/>
        </w:rPr>
        <w:t>a majority of</w:t>
      </w:r>
      <w:proofErr w:type="gramEnd"/>
      <w:r w:rsidRPr="00C91742">
        <w:rPr>
          <w:lang w:val="en-AU"/>
        </w:rPr>
        <w:t xml:space="preserve"> the Jewish population.</w:t>
      </w:r>
      <w:r w:rsidRPr="00C91742">
        <w:rPr>
          <w:rStyle w:val="FootnoteReference"/>
          <w:lang w:val="en-AU"/>
        </w:rPr>
        <w:footnoteReference w:id="300"/>
      </w:r>
      <w:r w:rsidRPr="00C91742">
        <w:rPr>
          <w:lang w:val="en-AU"/>
        </w:rPr>
        <w:t xml:space="preserve"> </w:t>
      </w:r>
    </w:p>
    <w:p w14:paraId="27D30BFD" w14:textId="699FA037" w:rsidR="00D25D36" w:rsidRPr="00C91742" w:rsidRDefault="00DB3710" w:rsidP="00A95DD3">
      <w:pPr>
        <w:pStyle w:val="Heading2"/>
      </w:pPr>
      <w:bookmarkStart w:id="105" w:name="_Toc94537006"/>
      <w:bookmarkStart w:id="106" w:name="_Toc118063653"/>
      <w:r w:rsidRPr="00C91742">
        <w:t>5.</w:t>
      </w:r>
      <w:r w:rsidR="0026200C" w:rsidRPr="00C91742">
        <w:t>8</w:t>
      </w:r>
      <w:r w:rsidR="00BE6BA3" w:rsidRPr="00C91742">
        <w:t xml:space="preserve"> </w:t>
      </w:r>
      <w:r w:rsidR="005B779F" w:rsidRPr="00C91742">
        <w:rPr>
          <w:i/>
          <w:iCs/>
        </w:rPr>
        <w:t>Mishna Avot</w:t>
      </w:r>
      <w:r w:rsidR="005B779F" w:rsidRPr="00C91742">
        <w:t xml:space="preserve"> 1:10 and </w:t>
      </w:r>
      <w:r w:rsidR="0031745D" w:rsidRPr="00C91742">
        <w:t>N</w:t>
      </w:r>
      <w:r w:rsidR="00541215" w:rsidRPr="00C91742">
        <w:t xml:space="preserve">ot </w:t>
      </w:r>
      <w:r w:rsidR="00C9299D" w:rsidRPr="00C91742">
        <w:t>C</w:t>
      </w:r>
      <w:r w:rsidR="00541215" w:rsidRPr="00C91742">
        <w:t xml:space="preserve">reating </w:t>
      </w:r>
      <w:r w:rsidR="00C9299D" w:rsidRPr="00C91742">
        <w:t>P</w:t>
      </w:r>
      <w:r w:rsidR="00541215" w:rsidRPr="00C91742">
        <w:t xml:space="preserve">roblems </w:t>
      </w:r>
      <w:r w:rsidR="00760FCF" w:rsidRPr="00C91742">
        <w:t>for</w:t>
      </w:r>
      <w:r w:rsidR="007F063D" w:rsidRPr="00C91742">
        <w:t xml:space="preserve"> </w:t>
      </w:r>
      <w:r w:rsidR="0026200C" w:rsidRPr="00C91742">
        <w:t>Leadership</w:t>
      </w:r>
      <w:bookmarkEnd w:id="105"/>
      <w:bookmarkEnd w:id="106"/>
    </w:p>
    <w:p w14:paraId="0D94BE84" w14:textId="77777777" w:rsidR="008D4202" w:rsidRPr="00C91742" w:rsidRDefault="00BE6BA3" w:rsidP="008D4202">
      <w:pPr>
        <w:ind w:right="706"/>
        <w:contextualSpacing/>
        <w:rPr>
          <w:lang w:val="en-AU"/>
        </w:rPr>
      </w:pPr>
      <w:r w:rsidRPr="00C91742">
        <w:rPr>
          <w:i/>
          <w:lang w:val="en-AU"/>
        </w:rPr>
        <w:t xml:space="preserve">Mishna Avot </w:t>
      </w:r>
      <w:r w:rsidRPr="00C91742">
        <w:rPr>
          <w:iCs/>
          <w:lang w:val="en-AU"/>
        </w:rPr>
        <w:t>1:10</w:t>
      </w:r>
      <w:r w:rsidRPr="00C91742">
        <w:rPr>
          <w:lang w:val="en-AU"/>
        </w:rPr>
        <w:t>:</w:t>
      </w:r>
    </w:p>
    <w:p w14:paraId="1E5D88D9" w14:textId="77777777" w:rsidR="008D4202" w:rsidRPr="009E7B69" w:rsidRDefault="00BE6BA3" w:rsidP="008D4202">
      <w:pPr>
        <w:ind w:left="706" w:right="706"/>
        <w:contextualSpacing/>
        <w:jc w:val="right"/>
      </w:pPr>
      <w:r w:rsidRPr="009E7B69">
        <w:rPr>
          <w:rtl/>
        </w:rPr>
        <w:t>שְׁמַעְיָה וְאַבְטַלְיוֹן קִבְּלוּ מֵהֶם. שְׁמַעְיָה אוֹמֵר, אֱהֹב אֶת הַמְּלָאכָה, וּשְׂנָא </w:t>
      </w:r>
    </w:p>
    <w:p w14:paraId="667FBA48" w14:textId="3B833BA6" w:rsidR="00D25D36" w:rsidRPr="009E7B69" w:rsidRDefault="00BE6BA3" w:rsidP="008D4202">
      <w:pPr>
        <w:ind w:left="706" w:right="706"/>
        <w:contextualSpacing/>
        <w:jc w:val="right"/>
      </w:pPr>
      <w:r w:rsidRPr="009E7B69">
        <w:rPr>
          <w:rtl/>
        </w:rPr>
        <w:t>אֶת הָרַבָּנוּת, וְאַל תִּתְוַדַּע לָרָשׁוּת</w:t>
      </w:r>
    </w:p>
    <w:p w14:paraId="4D1A4009" w14:textId="19C2F4E5" w:rsidR="00D25D36" w:rsidRPr="009E7B69" w:rsidRDefault="00364F85" w:rsidP="00364F85">
      <w:pPr>
        <w:bidi/>
        <w:ind w:left="706" w:right="706"/>
        <w:contextualSpacing/>
        <w:jc w:val="right"/>
      </w:pPr>
      <w:r w:rsidRPr="009E7B69">
        <w:t>Shemaiah and Abtalion received [the oral tradition] from them. Shemaiah used to say: love work, hate acting the superior, and do not attempt to draw near to the ruling authority [government].</w:t>
      </w:r>
      <w:r w:rsidR="00BE6BA3" w:rsidRPr="009E7B69">
        <w:rPr>
          <w:rStyle w:val="FootnoteReference"/>
        </w:rPr>
        <w:footnoteReference w:id="301"/>
      </w:r>
    </w:p>
    <w:p w14:paraId="6A5F89DB" w14:textId="77777777" w:rsidR="002E5AC3" w:rsidRPr="009E7B69" w:rsidRDefault="002E5AC3" w:rsidP="00CC596F">
      <w:pPr>
        <w:spacing w:before="120" w:line="480" w:lineRule="auto"/>
        <w:ind w:firstLine="706"/>
      </w:pPr>
    </w:p>
    <w:p w14:paraId="0E9C9CD2" w14:textId="0692CE34" w:rsidR="008D4202" w:rsidRPr="00C91742" w:rsidRDefault="00BE6BA3" w:rsidP="00CC596F">
      <w:pPr>
        <w:spacing w:before="120" w:line="480" w:lineRule="auto"/>
        <w:ind w:firstLine="706"/>
        <w:rPr>
          <w:lang w:val="en-AU"/>
        </w:rPr>
      </w:pPr>
      <w:r w:rsidRPr="00C91742">
        <w:rPr>
          <w:lang w:val="en-AU"/>
        </w:rPr>
        <w:t xml:space="preserve">As mentioned before briefly, Jewish ethical thought at </w:t>
      </w:r>
      <w:r w:rsidR="00E35288" w:rsidRPr="00C91742">
        <w:rPr>
          <w:lang w:val="en-AU"/>
        </w:rPr>
        <w:t>Jesus’</w:t>
      </w:r>
      <w:r w:rsidR="00E35288">
        <w:rPr>
          <w:lang w:val="en-AU"/>
        </w:rPr>
        <w:t xml:space="preserve">s </w:t>
      </w:r>
      <w:r w:rsidRPr="00C91742">
        <w:rPr>
          <w:lang w:val="en-AU"/>
        </w:rPr>
        <w:t xml:space="preserve">time was connected to </w:t>
      </w:r>
      <w:r w:rsidRPr="00C91742">
        <w:rPr>
          <w:i/>
          <w:iCs/>
          <w:lang w:val="en-AU"/>
        </w:rPr>
        <w:t xml:space="preserve">Mishna Avot </w:t>
      </w:r>
      <w:r w:rsidRPr="00C91742">
        <w:rPr>
          <w:lang w:val="en-AU"/>
        </w:rPr>
        <w:t xml:space="preserve">through the understanding of how people </w:t>
      </w:r>
      <w:r w:rsidR="00EE31A7" w:rsidRPr="00C91742">
        <w:rPr>
          <w:lang w:val="en-AU"/>
        </w:rPr>
        <w:t xml:space="preserve">should </w:t>
      </w:r>
      <w:r w:rsidRPr="00C91742">
        <w:rPr>
          <w:lang w:val="en-AU"/>
        </w:rPr>
        <w:t>avoid conflict and love work.</w:t>
      </w:r>
      <w:r w:rsidR="009942C7">
        <w:rPr>
          <w:rStyle w:val="FootnoteReference"/>
          <w:lang w:val="en-AU"/>
        </w:rPr>
        <w:footnoteReference w:id="302"/>
      </w:r>
      <w:r w:rsidRPr="00C91742">
        <w:rPr>
          <w:lang w:val="en-AU"/>
        </w:rPr>
        <w:t xml:space="preserve"> The </w:t>
      </w:r>
      <w:r w:rsidRPr="00C91742">
        <w:rPr>
          <w:i/>
          <w:lang w:val="en-AU"/>
        </w:rPr>
        <w:t xml:space="preserve">Mishna </w:t>
      </w:r>
      <w:r w:rsidRPr="00C91742">
        <w:rPr>
          <w:i/>
          <w:iCs/>
          <w:lang w:val="en-AU"/>
        </w:rPr>
        <w:t xml:space="preserve">Avot </w:t>
      </w:r>
      <w:r w:rsidRPr="00C91742">
        <w:rPr>
          <w:lang w:val="en-AU"/>
        </w:rPr>
        <w:t xml:space="preserve">lays a </w:t>
      </w:r>
      <w:r w:rsidR="00325604" w:rsidRPr="00C91742">
        <w:rPr>
          <w:lang w:val="en-AU"/>
        </w:rPr>
        <w:t xml:space="preserve">basis </w:t>
      </w:r>
      <w:r w:rsidRPr="00C91742">
        <w:rPr>
          <w:lang w:val="en-AU"/>
        </w:rPr>
        <w:t xml:space="preserve">for the </w:t>
      </w:r>
      <w:r w:rsidR="00325604" w:rsidRPr="00C91742">
        <w:rPr>
          <w:lang w:val="en-AU"/>
        </w:rPr>
        <w:t xml:space="preserve">attitude to </w:t>
      </w:r>
      <w:r w:rsidRPr="00C91742">
        <w:rPr>
          <w:lang w:val="en-AU"/>
        </w:rPr>
        <w:t xml:space="preserve">government </w:t>
      </w:r>
      <w:r w:rsidR="005573D3" w:rsidRPr="00C91742">
        <w:rPr>
          <w:lang w:val="en-AU"/>
        </w:rPr>
        <w:t xml:space="preserve">to be adopted </w:t>
      </w:r>
      <w:r w:rsidR="00BC21D3" w:rsidRPr="00C91742">
        <w:rPr>
          <w:lang w:val="en-AU"/>
        </w:rPr>
        <w:t>by Jewish people</w:t>
      </w:r>
      <w:r w:rsidR="00D8170C" w:rsidRPr="00C91742">
        <w:rPr>
          <w:lang w:val="en-AU"/>
        </w:rPr>
        <w:t xml:space="preserve"> during the time of Jesus</w:t>
      </w:r>
      <w:r w:rsidR="00BC21D3" w:rsidRPr="00C91742">
        <w:rPr>
          <w:lang w:val="en-AU"/>
        </w:rPr>
        <w:t>.</w:t>
      </w:r>
      <w:r w:rsidRPr="00C91742">
        <w:rPr>
          <w:lang w:val="en-AU"/>
        </w:rPr>
        <w:t xml:space="preserve"> </w:t>
      </w:r>
      <w:r w:rsidR="00A876F6" w:rsidRPr="00C91742">
        <w:rPr>
          <w:lang w:val="en-AU"/>
        </w:rPr>
        <w:t>That o</w:t>
      </w:r>
      <w:r w:rsidR="00D8170C" w:rsidRPr="00C91742">
        <w:rPr>
          <w:lang w:val="en-AU"/>
        </w:rPr>
        <w:t>ne should avoid being under the spotlight of the government,</w:t>
      </w:r>
      <w:r w:rsidRPr="00C91742">
        <w:rPr>
          <w:lang w:val="en-AU"/>
        </w:rPr>
        <w:t xml:space="preserve"> </w:t>
      </w:r>
      <w:r w:rsidR="00863B47" w:rsidRPr="00C91742">
        <w:rPr>
          <w:lang w:val="en-AU"/>
        </w:rPr>
        <w:t>“</w:t>
      </w:r>
      <w:r w:rsidRPr="00C91742">
        <w:rPr>
          <w:lang w:val="en-AU"/>
        </w:rPr>
        <w:t>known</w:t>
      </w:r>
      <w:r w:rsidR="00863B47" w:rsidRPr="00C91742">
        <w:rPr>
          <w:lang w:val="en-AU"/>
        </w:rPr>
        <w:t>”</w:t>
      </w:r>
      <w:r w:rsidRPr="00C91742">
        <w:rPr>
          <w:lang w:val="en-AU"/>
        </w:rPr>
        <w:t xml:space="preserve"> or </w:t>
      </w:r>
      <w:r w:rsidR="00863B47" w:rsidRPr="00C91742">
        <w:rPr>
          <w:lang w:val="en-AU"/>
        </w:rPr>
        <w:t>“</w:t>
      </w:r>
      <w:r w:rsidRPr="00C91742">
        <w:rPr>
          <w:lang w:val="en-AU"/>
        </w:rPr>
        <w:t>familiar</w:t>
      </w:r>
      <w:r w:rsidR="00863B47" w:rsidRPr="00C91742">
        <w:rPr>
          <w:lang w:val="en-AU"/>
        </w:rPr>
        <w:t>”</w:t>
      </w:r>
      <w:r w:rsidRPr="00C91742">
        <w:rPr>
          <w:lang w:val="en-AU"/>
        </w:rPr>
        <w:t xml:space="preserve"> to the government</w:t>
      </w:r>
      <w:r w:rsidR="00BC21D3" w:rsidRPr="00C91742">
        <w:rPr>
          <w:lang w:val="en-AU"/>
        </w:rPr>
        <w:t xml:space="preserve"> is fundamental to Jewish ethical teaching</w:t>
      </w:r>
      <w:r w:rsidR="00A876F6" w:rsidRPr="00C91742">
        <w:rPr>
          <w:lang w:val="en-AU"/>
        </w:rPr>
        <w:t>,</w:t>
      </w:r>
      <w:r w:rsidR="00AD6943" w:rsidRPr="00C91742">
        <w:rPr>
          <w:lang w:val="en-AU"/>
        </w:rPr>
        <w:t xml:space="preserve"> as</w:t>
      </w:r>
      <w:r w:rsidR="00A876F6" w:rsidRPr="00C91742">
        <w:rPr>
          <w:lang w:val="en-AU"/>
        </w:rPr>
        <w:t xml:space="preserve"> is the idea that</w:t>
      </w:r>
      <w:r w:rsidR="00AD6943" w:rsidRPr="00C91742">
        <w:rPr>
          <w:lang w:val="en-AU"/>
        </w:rPr>
        <w:t xml:space="preserve"> people </w:t>
      </w:r>
      <w:r w:rsidR="00D8170C" w:rsidRPr="00C91742">
        <w:rPr>
          <w:lang w:val="en-AU"/>
        </w:rPr>
        <w:t xml:space="preserve">are to </w:t>
      </w:r>
      <w:r w:rsidR="00AD6943" w:rsidRPr="00C91742">
        <w:rPr>
          <w:lang w:val="en-AU"/>
        </w:rPr>
        <w:t>avoid laziness</w:t>
      </w:r>
      <w:r w:rsidRPr="00C91742">
        <w:rPr>
          <w:lang w:val="en-AU"/>
        </w:rPr>
        <w:t xml:space="preserve">. </w:t>
      </w:r>
      <w:r w:rsidRPr="00C91742">
        <w:rPr>
          <w:i/>
          <w:lang w:val="en-AU"/>
        </w:rPr>
        <w:t xml:space="preserve">Mishna Avot </w:t>
      </w:r>
      <w:r w:rsidRPr="00C91742">
        <w:rPr>
          <w:lang w:val="en-AU"/>
        </w:rPr>
        <w:t>1:10 discusses work and authority and</w:t>
      </w:r>
      <w:r w:rsidR="00A876F6" w:rsidRPr="00C91742">
        <w:rPr>
          <w:lang w:val="en-AU"/>
        </w:rPr>
        <w:t>,</w:t>
      </w:r>
      <w:r w:rsidRPr="00C91742">
        <w:rPr>
          <w:lang w:val="en-AU"/>
        </w:rPr>
        <w:t xml:space="preserve"> in doing so, creates an understanding that those in political control should not be questioned by people who are subservient. </w:t>
      </w:r>
      <w:r w:rsidR="00FD0C9E" w:rsidRPr="00C91742">
        <w:rPr>
          <w:lang w:val="en-AU"/>
        </w:rPr>
        <w:t xml:space="preserve">Jesus </w:t>
      </w:r>
      <w:r w:rsidR="00C04075" w:rsidRPr="00C91742">
        <w:rPr>
          <w:lang w:val="en-AU"/>
        </w:rPr>
        <w:t>taught</w:t>
      </w:r>
      <w:r w:rsidR="00FD0C9E" w:rsidRPr="00C91742">
        <w:rPr>
          <w:lang w:val="en-AU"/>
        </w:rPr>
        <w:t xml:space="preserve"> a</w:t>
      </w:r>
      <w:r w:rsidR="00867FA7" w:rsidRPr="00C91742">
        <w:rPr>
          <w:lang w:val="en-AU"/>
        </w:rPr>
        <w:t xml:space="preserve"> principle</w:t>
      </w:r>
      <w:r w:rsidR="00FD0C9E" w:rsidRPr="00C91742">
        <w:rPr>
          <w:lang w:val="en-AU"/>
        </w:rPr>
        <w:t xml:space="preserve"> </w:t>
      </w:r>
      <w:r w:rsidR="00C04075" w:rsidRPr="00C91742">
        <w:rPr>
          <w:lang w:val="en-AU"/>
        </w:rPr>
        <w:t xml:space="preserve">of </w:t>
      </w:r>
      <w:r w:rsidR="00CE2CE0" w:rsidRPr="00C91742">
        <w:rPr>
          <w:i/>
          <w:lang w:val="en-AU"/>
        </w:rPr>
        <w:t>lov</w:t>
      </w:r>
      <w:r w:rsidR="00C04075" w:rsidRPr="00C91742">
        <w:rPr>
          <w:i/>
          <w:lang w:val="en-AU"/>
        </w:rPr>
        <w:t>ing</w:t>
      </w:r>
      <w:r w:rsidR="00CE2CE0" w:rsidRPr="00C91742">
        <w:rPr>
          <w:i/>
          <w:lang w:val="en-AU"/>
        </w:rPr>
        <w:t xml:space="preserve"> </w:t>
      </w:r>
      <w:r w:rsidR="00867FA7" w:rsidRPr="00C91742">
        <w:rPr>
          <w:i/>
          <w:lang w:val="en-AU"/>
        </w:rPr>
        <w:t>one</w:t>
      </w:r>
      <w:r w:rsidR="005C71CB" w:rsidRPr="00C91742">
        <w:rPr>
          <w:i/>
          <w:lang w:val="en-AU"/>
        </w:rPr>
        <w:t>’</w:t>
      </w:r>
      <w:r w:rsidR="00867FA7" w:rsidRPr="00C91742">
        <w:rPr>
          <w:i/>
          <w:lang w:val="en-AU"/>
        </w:rPr>
        <w:t>s</w:t>
      </w:r>
      <w:r w:rsidR="00CE2CE0" w:rsidRPr="00C91742">
        <w:rPr>
          <w:i/>
          <w:lang w:val="en-AU"/>
        </w:rPr>
        <w:t xml:space="preserve"> neighbo</w:t>
      </w:r>
      <w:r w:rsidR="00867FA7" w:rsidRPr="00C91742">
        <w:rPr>
          <w:i/>
          <w:lang w:val="en-AU"/>
        </w:rPr>
        <w:t>u</w:t>
      </w:r>
      <w:r w:rsidR="00CE2CE0" w:rsidRPr="00C91742">
        <w:rPr>
          <w:i/>
          <w:lang w:val="en-AU"/>
        </w:rPr>
        <w:t>r</w:t>
      </w:r>
      <w:r w:rsidR="00C04075" w:rsidRPr="00C91742">
        <w:rPr>
          <w:i/>
          <w:lang w:val="en-AU"/>
        </w:rPr>
        <w:t>.</w:t>
      </w:r>
      <w:r w:rsidR="00FD0C9E" w:rsidRPr="00C91742">
        <w:rPr>
          <w:i/>
          <w:lang w:val="en-AU"/>
        </w:rPr>
        <w:t xml:space="preserve"> </w:t>
      </w:r>
      <w:r w:rsidR="00FD0C9E" w:rsidRPr="00C91742">
        <w:rPr>
          <w:iCs/>
          <w:lang w:val="en-AU"/>
        </w:rPr>
        <w:t xml:space="preserve">This same </w:t>
      </w:r>
      <w:r w:rsidR="00C04075" w:rsidRPr="00C91742">
        <w:rPr>
          <w:iCs/>
          <w:lang w:val="en-AU"/>
        </w:rPr>
        <w:t>principle is found</w:t>
      </w:r>
      <w:r w:rsidR="00FD0C9E" w:rsidRPr="00C91742">
        <w:rPr>
          <w:iCs/>
          <w:lang w:val="en-AU"/>
        </w:rPr>
        <w:t xml:space="preserve"> </w:t>
      </w:r>
      <w:r w:rsidR="004200FA" w:rsidRPr="00C91742">
        <w:rPr>
          <w:iCs/>
          <w:lang w:val="en-AU"/>
        </w:rPr>
        <w:t>in</w:t>
      </w:r>
      <w:r w:rsidR="00FD0C9E" w:rsidRPr="00C91742">
        <w:rPr>
          <w:iCs/>
          <w:lang w:val="en-AU"/>
        </w:rPr>
        <w:t xml:space="preserve"> </w:t>
      </w:r>
      <w:r w:rsidRPr="00C91742">
        <w:rPr>
          <w:lang w:val="en-AU"/>
        </w:rPr>
        <w:t xml:space="preserve">Leviticus 19:18, which states, </w:t>
      </w:r>
      <w:r w:rsidR="00863B47" w:rsidRPr="00C91742">
        <w:rPr>
          <w:lang w:val="en-AU"/>
        </w:rPr>
        <w:t>“</w:t>
      </w:r>
      <w:r w:rsidRPr="00C91742">
        <w:rPr>
          <w:lang w:val="en-AU"/>
        </w:rPr>
        <w:t>Love your neighbo</w:t>
      </w:r>
      <w:r w:rsidR="004200FA" w:rsidRPr="00C91742">
        <w:rPr>
          <w:lang w:val="en-AU"/>
        </w:rPr>
        <w:t>u</w:t>
      </w:r>
      <w:r w:rsidRPr="00C91742">
        <w:rPr>
          <w:lang w:val="en-AU"/>
        </w:rPr>
        <w:t>r as yourself,</w:t>
      </w:r>
      <w:r w:rsidR="00863B47" w:rsidRPr="00C91742">
        <w:rPr>
          <w:lang w:val="en-AU"/>
        </w:rPr>
        <w:t>”</w:t>
      </w:r>
      <w:r w:rsidRPr="00C91742">
        <w:rPr>
          <w:lang w:val="en-AU"/>
        </w:rPr>
        <w:t xml:space="preserve"> and </w:t>
      </w:r>
      <w:r w:rsidR="00CE2CE0" w:rsidRPr="00C91742">
        <w:rPr>
          <w:lang w:val="en-AU"/>
        </w:rPr>
        <w:t xml:space="preserve">this </w:t>
      </w:r>
      <w:r w:rsidRPr="00C91742">
        <w:rPr>
          <w:lang w:val="en-AU"/>
        </w:rPr>
        <w:t>is most likely the source of what Jesus sa</w:t>
      </w:r>
      <w:r w:rsidR="004200FA" w:rsidRPr="00C91742">
        <w:rPr>
          <w:lang w:val="en-AU"/>
        </w:rPr>
        <w:t>id</w:t>
      </w:r>
      <w:r w:rsidRPr="00C91742">
        <w:rPr>
          <w:lang w:val="en-AU"/>
        </w:rPr>
        <w:t xml:space="preserve">. </w:t>
      </w:r>
    </w:p>
    <w:p w14:paraId="2938D897" w14:textId="44AEE620" w:rsidR="008D4202" w:rsidRPr="00C91742" w:rsidRDefault="00BE6BA3" w:rsidP="008D4202">
      <w:pPr>
        <w:spacing w:line="480" w:lineRule="auto"/>
        <w:ind w:firstLine="706"/>
        <w:contextualSpacing/>
        <w:rPr>
          <w:rtl/>
          <w:lang w:val="en-AU"/>
        </w:rPr>
      </w:pPr>
      <w:r w:rsidRPr="00C91742">
        <w:rPr>
          <w:i/>
          <w:iCs/>
          <w:lang w:val="en-AU"/>
        </w:rPr>
        <w:t>Mishna Avot</w:t>
      </w:r>
      <w:r w:rsidR="00935AE5" w:rsidRPr="00C91742">
        <w:rPr>
          <w:lang w:val="en-AU"/>
        </w:rPr>
        <w:t xml:space="preserve"> describes a situatio</w:t>
      </w:r>
      <w:r w:rsidR="009D077A" w:rsidRPr="00C91742">
        <w:rPr>
          <w:lang w:val="en-AU"/>
        </w:rPr>
        <w:t xml:space="preserve">n in which </w:t>
      </w:r>
      <w:r w:rsidRPr="00C91742">
        <w:rPr>
          <w:lang w:val="en-AU"/>
        </w:rPr>
        <w:t xml:space="preserve">workers are pressed by a taskmaster </w:t>
      </w:r>
      <w:proofErr w:type="gramStart"/>
      <w:r w:rsidR="009D077A" w:rsidRPr="00C91742">
        <w:rPr>
          <w:lang w:val="en-AU"/>
        </w:rPr>
        <w:t xml:space="preserve">in order </w:t>
      </w:r>
      <w:r w:rsidRPr="00C91742">
        <w:rPr>
          <w:lang w:val="en-AU"/>
        </w:rPr>
        <w:t>to</w:t>
      </w:r>
      <w:proofErr w:type="gramEnd"/>
      <w:r w:rsidRPr="00C91742">
        <w:rPr>
          <w:lang w:val="en-AU"/>
        </w:rPr>
        <w:t xml:space="preserve"> prevent laz</w:t>
      </w:r>
      <w:r w:rsidR="00203057" w:rsidRPr="00C91742">
        <w:rPr>
          <w:lang w:val="en-AU"/>
        </w:rPr>
        <w:t>iness in the</w:t>
      </w:r>
      <w:r w:rsidRPr="00C91742">
        <w:rPr>
          <w:lang w:val="en-AU"/>
        </w:rPr>
        <w:t xml:space="preserve"> workforce.  </w:t>
      </w:r>
      <w:r w:rsidRPr="00C91742">
        <w:rPr>
          <w:i/>
          <w:lang w:val="en-AU"/>
        </w:rPr>
        <w:t xml:space="preserve">Mishna Avot </w:t>
      </w:r>
      <w:r w:rsidRPr="00C91742">
        <w:rPr>
          <w:lang w:val="en-AU"/>
        </w:rPr>
        <w:t xml:space="preserve">2:15 states: </w:t>
      </w:r>
    </w:p>
    <w:p w14:paraId="04D9EA75" w14:textId="77777777" w:rsidR="008D4202" w:rsidRPr="009E7B69" w:rsidRDefault="00BE6BA3" w:rsidP="006C3238">
      <w:pPr>
        <w:ind w:left="706" w:right="706"/>
        <w:contextualSpacing/>
        <w:jc w:val="right"/>
      </w:pPr>
      <w:r w:rsidRPr="009E7B69">
        <w:rPr>
          <w:rtl/>
        </w:rPr>
        <w:t>רַבִּי טַרְפוֹן אוֹמֵר, הַיּוֹם קָצָר וְהַמְּלָאכָה מְרֻבָּה, וְהַפּוֹעֲלִים עֲצֵלִים, וְהַשָּׂכָר </w:t>
      </w:r>
    </w:p>
    <w:p w14:paraId="031777FC" w14:textId="15E3BF3E" w:rsidR="00D25D36" w:rsidRPr="009E7B69" w:rsidRDefault="00BE6BA3" w:rsidP="006C3238">
      <w:pPr>
        <w:ind w:left="706" w:right="706"/>
        <w:contextualSpacing/>
        <w:jc w:val="right"/>
      </w:pPr>
      <w:r w:rsidRPr="009E7B69">
        <w:rPr>
          <w:rtl/>
        </w:rPr>
        <w:t>הַרְבֵּה, וּבַעַל הַבַּיִת דּוֹחֵק</w:t>
      </w:r>
    </w:p>
    <w:p w14:paraId="3662A270" w14:textId="0941BDCE" w:rsidR="00D25D36" w:rsidRPr="009E7B69" w:rsidRDefault="008C457F" w:rsidP="008C457F">
      <w:pPr>
        <w:ind w:left="706" w:right="706"/>
        <w:contextualSpacing/>
        <w:rPr>
          <w:i/>
        </w:rPr>
      </w:pPr>
      <w:r w:rsidRPr="009E7B69">
        <w:rPr>
          <w:i/>
        </w:rPr>
        <w:t>Rabbi Tarfon said: the day is short, and the work is plentiful, and the laborers are indolent, and the reward is great, and the master of the house is insistent.</w:t>
      </w:r>
      <w:r w:rsidR="00BE6BA3" w:rsidRPr="009E7B69">
        <w:rPr>
          <w:rStyle w:val="FootnoteReference"/>
          <w:i/>
        </w:rPr>
        <w:footnoteReference w:id="303"/>
      </w:r>
    </w:p>
    <w:p w14:paraId="7B1B9ED5" w14:textId="77777777" w:rsidR="002E5AC3" w:rsidRPr="009E7B69" w:rsidRDefault="002E5AC3" w:rsidP="008D4202">
      <w:pPr>
        <w:spacing w:line="480" w:lineRule="auto"/>
        <w:contextualSpacing/>
        <w:rPr>
          <w:iCs/>
        </w:rPr>
      </w:pPr>
    </w:p>
    <w:p w14:paraId="00FE7CC2" w14:textId="7C8450C5" w:rsidR="00D25D36" w:rsidRPr="00DC03B8" w:rsidRDefault="00BE6BA3" w:rsidP="008D4202">
      <w:pPr>
        <w:spacing w:line="480" w:lineRule="auto"/>
        <w:contextualSpacing/>
        <w:rPr>
          <w:iCs/>
          <w:lang w:val="en-AU"/>
        </w:rPr>
      </w:pPr>
      <w:r w:rsidRPr="00DC03B8">
        <w:rPr>
          <w:iCs/>
          <w:lang w:val="en-AU"/>
        </w:rPr>
        <w:t>There is an assumption that people will be lazy</w:t>
      </w:r>
      <w:r w:rsidR="00014D5C" w:rsidRPr="00DC03B8">
        <w:rPr>
          <w:iCs/>
          <w:lang w:val="en-AU"/>
        </w:rPr>
        <w:t>, as</w:t>
      </w:r>
      <w:r w:rsidRPr="00DC03B8">
        <w:rPr>
          <w:iCs/>
          <w:lang w:val="en-AU"/>
        </w:rPr>
        <w:t xml:space="preserve"> Rabbi Judah in </w:t>
      </w:r>
      <w:r w:rsidRPr="00DC03B8">
        <w:rPr>
          <w:i/>
          <w:lang w:val="en-AU"/>
        </w:rPr>
        <w:t>Midrash Bereshit Rabbah</w:t>
      </w:r>
      <w:r w:rsidRPr="00DC03B8">
        <w:rPr>
          <w:iCs/>
          <w:lang w:val="en-AU"/>
        </w:rPr>
        <w:t xml:space="preserve"> 70:20</w:t>
      </w:r>
      <w:r w:rsidR="00014D5C" w:rsidRPr="00DC03B8">
        <w:rPr>
          <w:iCs/>
          <w:lang w:val="en-AU"/>
        </w:rPr>
        <w:t xml:space="preserve">. </w:t>
      </w:r>
      <w:r w:rsidRPr="00DC03B8">
        <w:rPr>
          <w:lang w:val="en-AU"/>
        </w:rPr>
        <w:t xml:space="preserve">Hard work and ethical living are imperative. </w:t>
      </w:r>
      <w:r w:rsidRPr="00DC03B8">
        <w:rPr>
          <w:iCs/>
          <w:lang w:val="en-AU"/>
        </w:rPr>
        <w:t xml:space="preserve">The ethical response for a Jewish listener to the Sermon is to shun laziness, overcoming it with practical industry. </w:t>
      </w:r>
      <w:bookmarkStart w:id="107" w:name="_Toc94537007"/>
    </w:p>
    <w:p w14:paraId="3E04CF55" w14:textId="1BEC2474" w:rsidR="00D25D36" w:rsidRPr="009E7B69" w:rsidRDefault="00DB3710" w:rsidP="00A95DD3">
      <w:pPr>
        <w:pStyle w:val="Heading2"/>
        <w:rPr>
          <w:i/>
        </w:rPr>
      </w:pPr>
      <w:bookmarkStart w:id="108" w:name="_Toc118063654"/>
      <w:r w:rsidRPr="009E7B69">
        <w:rPr>
          <w:bCs/>
        </w:rPr>
        <w:t>5.</w:t>
      </w:r>
      <w:r w:rsidR="0026200C" w:rsidRPr="009E7B69">
        <w:rPr>
          <w:bCs/>
        </w:rPr>
        <w:t>9</w:t>
      </w:r>
      <w:r w:rsidR="00BE6BA3" w:rsidRPr="009E7B69">
        <w:t xml:space="preserve"> </w:t>
      </w:r>
      <w:r w:rsidR="00BE6BA3" w:rsidRPr="009E7B69">
        <w:rPr>
          <w:i/>
        </w:rPr>
        <w:t xml:space="preserve">Mishna Avot </w:t>
      </w:r>
      <w:r w:rsidR="00BE6BA3" w:rsidRPr="009E7B69">
        <w:rPr>
          <w:iCs/>
        </w:rPr>
        <w:t>3:2</w:t>
      </w:r>
      <w:r w:rsidR="00BE6BA3" w:rsidRPr="009E7B69">
        <w:rPr>
          <w:i/>
        </w:rPr>
        <w:t xml:space="preserve"> </w:t>
      </w:r>
      <w:r w:rsidR="00BE6BA3" w:rsidRPr="009E7B69">
        <w:rPr>
          <w:iCs/>
        </w:rPr>
        <w:t>and</w:t>
      </w:r>
      <w:r w:rsidR="00BE6BA3" w:rsidRPr="009E7B69">
        <w:rPr>
          <w:i/>
        </w:rPr>
        <w:t xml:space="preserve"> </w:t>
      </w:r>
      <w:r w:rsidR="00BE6BA3" w:rsidRPr="009E7B69">
        <w:rPr>
          <w:iCs/>
        </w:rPr>
        <w:t>Matthew 25:40</w:t>
      </w:r>
      <w:r w:rsidR="00C80C46" w:rsidRPr="009E7B69">
        <w:rPr>
          <w:i/>
        </w:rPr>
        <w:t>—</w:t>
      </w:r>
      <w:r w:rsidR="00BE6BA3" w:rsidRPr="009E7B69">
        <w:t>Peace as Submission</w:t>
      </w:r>
      <w:bookmarkEnd w:id="107"/>
      <w:bookmarkEnd w:id="108"/>
    </w:p>
    <w:p w14:paraId="5992B3D7" w14:textId="24FF50E8" w:rsidR="00D25D36" w:rsidRPr="009E7B69" w:rsidRDefault="00BE6BA3" w:rsidP="008D4202">
      <w:pPr>
        <w:spacing w:line="480" w:lineRule="auto"/>
        <w:ind w:firstLine="706"/>
        <w:contextualSpacing/>
      </w:pPr>
      <w:r w:rsidRPr="009E7B69">
        <w:rPr>
          <w:i/>
          <w:iCs/>
        </w:rPr>
        <w:t xml:space="preserve">Mishna Avot </w:t>
      </w:r>
      <w:r w:rsidRPr="009E7B69">
        <w:t>3:2</w:t>
      </w:r>
    </w:p>
    <w:p w14:paraId="6C0A1ABE" w14:textId="7714F398" w:rsidR="00D25D36" w:rsidRPr="009E7B69" w:rsidRDefault="00BE6BA3" w:rsidP="008D4202">
      <w:pPr>
        <w:ind w:left="706" w:right="706"/>
        <w:contextualSpacing/>
        <w:jc w:val="right"/>
      </w:pPr>
      <w:r w:rsidRPr="009E7B69">
        <w:rPr>
          <w:rtl/>
        </w:rPr>
        <w:lastRenderedPageBreak/>
        <w:t>רַבִּי יִשְׁמָעֵאל אוֹמֵר, הֱוֵי קַל לְרֹאשׁ, וְנוֹחַ לְתִשְׁחֹרֶת, וֶהֱוֵי מְקַבֵּל אֶת כָּל הָאָדָם בְּשִׂמְחָה</w:t>
      </w:r>
      <w:bookmarkStart w:id="109" w:name="_Hlk81903095"/>
    </w:p>
    <w:p w14:paraId="5AB0CA7B" w14:textId="5EA0B8D7" w:rsidR="00D25D36" w:rsidRPr="00DC03B8" w:rsidRDefault="00BE6BA3" w:rsidP="008D4202">
      <w:pPr>
        <w:ind w:left="706" w:right="706"/>
        <w:contextualSpacing/>
        <w:rPr>
          <w:rtl/>
          <w:lang w:val="en-AU"/>
        </w:rPr>
      </w:pPr>
      <w:r w:rsidRPr="00DC03B8">
        <w:rPr>
          <w:lang w:val="en-AU"/>
        </w:rPr>
        <w:t xml:space="preserve">Rabbi Ishmael </w:t>
      </w:r>
      <w:bookmarkEnd w:id="109"/>
      <w:r w:rsidRPr="00DC03B8">
        <w:rPr>
          <w:lang w:val="en-AU"/>
        </w:rPr>
        <w:t>said: be suppliant to a superior, submissive under compulsory service, and receive every man happily.</w:t>
      </w:r>
    </w:p>
    <w:p w14:paraId="4738D0E3" w14:textId="77777777" w:rsidR="008D4202" w:rsidRPr="009E7B69" w:rsidRDefault="008D4202" w:rsidP="008D4202">
      <w:pPr>
        <w:ind w:left="49" w:right="49"/>
        <w:contextualSpacing/>
      </w:pPr>
    </w:p>
    <w:p w14:paraId="69B270D9" w14:textId="77777777" w:rsidR="008D4202" w:rsidRPr="009E7B69" w:rsidRDefault="00BE6BA3" w:rsidP="008D4202">
      <w:pPr>
        <w:ind w:left="49" w:right="49" w:firstLine="657"/>
        <w:contextualSpacing/>
      </w:pPr>
      <w:r w:rsidRPr="009E7B69">
        <w:t>Matthew 25:40</w:t>
      </w:r>
    </w:p>
    <w:p w14:paraId="4B54BA68" w14:textId="6A2F7747" w:rsidR="00D25D36" w:rsidRPr="009E7B69" w:rsidRDefault="00BE6BA3" w:rsidP="008D4202">
      <w:pPr>
        <w:ind w:left="706" w:right="706"/>
        <w:contextualSpacing/>
      </w:pPr>
      <w:r w:rsidRPr="009E7B69">
        <w:t>καὶ ἀποκριθεὶς ὁ βασιλεὺς ἐρεῖ αὐτοῖς Ἀμὴν λέγω ὑμῖν ἐφ᾽ ὅσον ἐποιήσατε ἑνὶ τούτων τῶν ἀδελφῶν μου τῶν ἐλαχίστων ἐμοὶ ἐποιήσατε</w:t>
      </w:r>
      <w:r w:rsidR="00697504" w:rsidRPr="009E7B69">
        <w:t>.</w:t>
      </w:r>
      <w:r w:rsidRPr="009E7B69">
        <w:rPr>
          <w:rStyle w:val="FootnoteReference"/>
        </w:rPr>
        <w:footnoteReference w:id="304"/>
      </w:r>
    </w:p>
    <w:p w14:paraId="0C800CF0" w14:textId="262964AF" w:rsidR="00D25D36" w:rsidRPr="00DC03B8" w:rsidRDefault="00BE6BA3" w:rsidP="008D4202">
      <w:pPr>
        <w:ind w:left="706" w:right="706"/>
        <w:contextualSpacing/>
        <w:rPr>
          <w:lang w:val="en-AU"/>
        </w:rPr>
      </w:pPr>
      <w:r w:rsidRPr="00DC03B8">
        <w:rPr>
          <w:lang w:val="en-AU"/>
        </w:rPr>
        <w:t xml:space="preserve">And the king will answer them, </w:t>
      </w:r>
      <w:r w:rsidR="005C71CB" w:rsidRPr="00DC03B8">
        <w:rPr>
          <w:lang w:val="en-AU"/>
        </w:rPr>
        <w:t>‘</w:t>
      </w:r>
      <w:r w:rsidRPr="00DC03B8">
        <w:rPr>
          <w:lang w:val="en-AU"/>
        </w:rPr>
        <w:t>Truly I tell you, just as you did it to one of the least of these who are members of my family, you did it to me.</w:t>
      </w:r>
      <w:r w:rsidR="005C71CB" w:rsidRPr="00DC03B8">
        <w:rPr>
          <w:lang w:val="en-AU"/>
        </w:rPr>
        <w:t>’</w:t>
      </w:r>
    </w:p>
    <w:p w14:paraId="136CA7EE" w14:textId="77777777" w:rsidR="008D4202" w:rsidRPr="00DC03B8" w:rsidRDefault="008D4202" w:rsidP="008D4202">
      <w:pPr>
        <w:ind w:left="709" w:right="709"/>
        <w:contextualSpacing/>
        <w:rPr>
          <w:lang w:val="en-AU"/>
        </w:rPr>
      </w:pPr>
    </w:p>
    <w:p w14:paraId="4A730351" w14:textId="48FD55DD" w:rsidR="008D4202" w:rsidRPr="00DC03B8" w:rsidRDefault="00BE6BA3" w:rsidP="00061BC9">
      <w:pPr>
        <w:spacing w:line="480" w:lineRule="auto"/>
        <w:contextualSpacing/>
        <w:rPr>
          <w:lang w:val="en-AU"/>
        </w:rPr>
      </w:pPr>
      <w:r w:rsidRPr="00DC03B8">
        <w:rPr>
          <w:i/>
          <w:iCs/>
          <w:lang w:val="en-AU"/>
        </w:rPr>
        <w:t xml:space="preserve">Mishna Avot </w:t>
      </w:r>
      <w:r w:rsidRPr="00DC03B8">
        <w:rPr>
          <w:lang w:val="en-AU"/>
        </w:rPr>
        <w:t xml:space="preserve">3:2 </w:t>
      </w:r>
      <w:r w:rsidR="004E1243" w:rsidRPr="00DC03B8">
        <w:rPr>
          <w:lang w:val="en-AU"/>
        </w:rPr>
        <w:t xml:space="preserve">discuss peaceful actions </w:t>
      </w:r>
      <w:r w:rsidRPr="00DC03B8">
        <w:rPr>
          <w:lang w:val="en-AU"/>
        </w:rPr>
        <w:t>and Matthew 25:40</w:t>
      </w:r>
      <w:r w:rsidR="004E1243" w:rsidRPr="00DC03B8">
        <w:rPr>
          <w:lang w:val="en-AU"/>
        </w:rPr>
        <w:t xml:space="preserve"> addresses loving one</w:t>
      </w:r>
      <w:r w:rsidR="005C71CB" w:rsidRPr="00DC03B8">
        <w:rPr>
          <w:lang w:val="en-AU"/>
        </w:rPr>
        <w:t>’</w:t>
      </w:r>
      <w:r w:rsidR="004E1243" w:rsidRPr="00DC03B8">
        <w:rPr>
          <w:lang w:val="en-AU"/>
        </w:rPr>
        <w:t>s neighbour. Bo</w:t>
      </w:r>
      <w:r w:rsidRPr="00DC03B8">
        <w:rPr>
          <w:lang w:val="en-AU"/>
        </w:rPr>
        <w:t>th speak about peaceful actions towards other people. Peaceful submission has a foundation in the Torah</w:t>
      </w:r>
      <w:r w:rsidR="005C71CB" w:rsidRPr="00DC03B8">
        <w:rPr>
          <w:lang w:val="en-AU"/>
        </w:rPr>
        <w:t>’</w:t>
      </w:r>
      <w:r w:rsidRPr="00DC03B8">
        <w:rPr>
          <w:lang w:val="en-AU"/>
        </w:rPr>
        <w:t xml:space="preserve">s laws </w:t>
      </w:r>
      <w:r w:rsidR="001B4C30" w:rsidRPr="00DC03B8">
        <w:rPr>
          <w:lang w:val="en-AU"/>
        </w:rPr>
        <w:t>about</w:t>
      </w:r>
      <w:r w:rsidRPr="00DC03B8">
        <w:rPr>
          <w:lang w:val="en-AU"/>
        </w:rPr>
        <w:t xml:space="preserve"> </w:t>
      </w:r>
      <w:r w:rsidR="008F3568" w:rsidRPr="00DC03B8">
        <w:rPr>
          <w:lang w:val="en-AU"/>
        </w:rPr>
        <w:t>regard for</w:t>
      </w:r>
      <w:r w:rsidRPr="00DC03B8">
        <w:rPr>
          <w:lang w:val="en-AU"/>
        </w:rPr>
        <w:t xml:space="preserve"> </w:t>
      </w:r>
      <w:r w:rsidR="008F3568" w:rsidRPr="00DC03B8">
        <w:rPr>
          <w:lang w:val="en-AU"/>
        </w:rPr>
        <w:t>authority</w:t>
      </w:r>
      <w:r w:rsidRPr="00DC03B8">
        <w:rPr>
          <w:lang w:val="en-AU"/>
        </w:rPr>
        <w:t xml:space="preserve">. How a person responds ethically to a ruler in charge over them, including a king, shows how they </w:t>
      </w:r>
      <w:r w:rsidR="00FE253D" w:rsidRPr="00DC03B8">
        <w:rPr>
          <w:lang w:val="en-AU"/>
        </w:rPr>
        <w:t>relate</w:t>
      </w:r>
      <w:r w:rsidRPr="00DC03B8">
        <w:rPr>
          <w:lang w:val="en-AU"/>
        </w:rPr>
        <w:t xml:space="preserve"> to others around them in society. Herring states, </w:t>
      </w:r>
      <w:r w:rsidR="00863B47" w:rsidRPr="00DC03B8">
        <w:rPr>
          <w:lang w:val="en-AU"/>
        </w:rPr>
        <w:t>“</w:t>
      </w:r>
      <w:r w:rsidRPr="00DC03B8">
        <w:rPr>
          <w:lang w:val="en-AU"/>
        </w:rPr>
        <w:t>the status of nonhalakhic authority can be discussed in the first place in the context of the laws of the king.  Deuteronomy 17:14</w:t>
      </w:r>
      <w:r w:rsidR="004963D9" w:rsidRPr="00DC03B8">
        <w:rPr>
          <w:lang w:val="en-AU"/>
        </w:rPr>
        <w:t>–</w:t>
      </w:r>
      <w:r w:rsidRPr="00DC03B8">
        <w:rPr>
          <w:lang w:val="en-AU"/>
        </w:rPr>
        <w:t>20(A).</w:t>
      </w:r>
      <w:r w:rsidR="00863B47" w:rsidRPr="00DC03B8">
        <w:rPr>
          <w:lang w:val="en-AU"/>
        </w:rPr>
        <w:t>”</w:t>
      </w:r>
      <w:r w:rsidRPr="00DC03B8">
        <w:rPr>
          <w:rStyle w:val="FootnoteReference"/>
          <w:lang w:val="en-AU"/>
        </w:rPr>
        <w:footnoteReference w:id="305"/>
      </w:r>
      <w:r w:rsidRPr="00DC03B8">
        <w:rPr>
          <w:lang w:val="en-AU"/>
        </w:rPr>
        <w:t xml:space="preserve">  Torah limited the powers of the king. </w:t>
      </w:r>
      <w:r w:rsidR="00863B47" w:rsidRPr="00DC03B8">
        <w:rPr>
          <w:lang w:val="en-AU"/>
        </w:rPr>
        <w:t>“</w:t>
      </w:r>
      <w:r w:rsidR="004963D9" w:rsidRPr="00DC03B8">
        <w:rPr>
          <w:lang w:val="en-AU"/>
        </w:rPr>
        <w:t>P</w:t>
      </w:r>
      <w:r w:rsidRPr="00DC03B8">
        <w:rPr>
          <w:lang w:val="en-AU"/>
        </w:rPr>
        <w:t>eace only</w:t>
      </w:r>
      <w:r w:rsidR="00863B47" w:rsidRPr="00DC03B8">
        <w:rPr>
          <w:lang w:val="en-AU"/>
        </w:rPr>
        <w:t>”</w:t>
      </w:r>
      <w:r w:rsidRPr="00DC03B8">
        <w:rPr>
          <w:lang w:val="en-AU"/>
        </w:rPr>
        <w:t xml:space="preserve"> </w:t>
      </w:r>
      <w:r w:rsidR="004963D9" w:rsidRPr="00DC03B8">
        <w:rPr>
          <w:lang w:val="en-AU"/>
        </w:rPr>
        <w:t xml:space="preserve">has been seen </w:t>
      </w:r>
      <w:r w:rsidR="00602561" w:rsidRPr="00DC03B8">
        <w:rPr>
          <w:lang w:val="en-AU"/>
        </w:rPr>
        <w:t xml:space="preserve">frequently </w:t>
      </w:r>
      <w:r w:rsidRPr="00DC03B8">
        <w:rPr>
          <w:lang w:val="en-AU"/>
        </w:rPr>
        <w:t xml:space="preserve">as a view of submission.  These views </w:t>
      </w:r>
      <w:r w:rsidR="003C4400" w:rsidRPr="00DC03B8">
        <w:rPr>
          <w:lang w:val="en-AU"/>
        </w:rPr>
        <w:t>support the idea</w:t>
      </w:r>
      <w:r w:rsidRPr="00DC03B8">
        <w:rPr>
          <w:lang w:val="en-AU"/>
        </w:rPr>
        <w:t xml:space="preserve"> that </w:t>
      </w:r>
      <w:r w:rsidR="00863B47" w:rsidRPr="00DC03B8">
        <w:rPr>
          <w:lang w:val="en-AU"/>
        </w:rPr>
        <w:t>“</w:t>
      </w:r>
      <w:r w:rsidRPr="00DC03B8">
        <w:rPr>
          <w:lang w:val="en-AU"/>
        </w:rPr>
        <w:t>Jesus</w:t>
      </w:r>
      <w:r w:rsidR="005C71CB" w:rsidRPr="00DC03B8">
        <w:rPr>
          <w:lang w:val="en-AU"/>
        </w:rPr>
        <w:t>’</w:t>
      </w:r>
      <w:r w:rsidR="00E35288">
        <w:rPr>
          <w:lang w:val="en-AU"/>
        </w:rPr>
        <w:t>s</w:t>
      </w:r>
      <w:r w:rsidRPr="00DC03B8">
        <w:rPr>
          <w:lang w:val="en-AU"/>
        </w:rPr>
        <w:t xml:space="preserve"> teaching in substance is not radically divergent from that recorded in </w:t>
      </w:r>
      <w:r w:rsidRPr="00DC03B8">
        <w:rPr>
          <w:i/>
          <w:lang w:val="en-AU"/>
        </w:rPr>
        <w:t>Mishna Avot</w:t>
      </w:r>
      <w:r w:rsidRPr="00DC03B8">
        <w:rPr>
          <w:lang w:val="en-AU"/>
        </w:rPr>
        <w:t xml:space="preserve">. Just as the traditions attributed to the rabbis of </w:t>
      </w:r>
      <w:r w:rsidRPr="00DC03B8">
        <w:rPr>
          <w:i/>
          <w:lang w:val="en-AU"/>
        </w:rPr>
        <w:t xml:space="preserve">Mishna Avot </w:t>
      </w:r>
      <w:r w:rsidRPr="00DC03B8">
        <w:rPr>
          <w:lang w:val="en-AU"/>
        </w:rPr>
        <w:t>emphasi</w:t>
      </w:r>
      <w:r w:rsidR="00D86BBD" w:rsidRPr="00DC03B8">
        <w:rPr>
          <w:lang w:val="en-AU"/>
        </w:rPr>
        <w:t>s</w:t>
      </w:r>
      <w:r w:rsidRPr="00DC03B8">
        <w:rPr>
          <w:lang w:val="en-AU"/>
        </w:rPr>
        <w:t>e the importance of keeping the Torah, so Jesus embraces the Torah.</w:t>
      </w:r>
      <w:r w:rsidR="00863B47" w:rsidRPr="00DC03B8">
        <w:rPr>
          <w:lang w:val="en-AU"/>
        </w:rPr>
        <w:t>”</w:t>
      </w:r>
      <w:r w:rsidRPr="00DC03B8">
        <w:rPr>
          <w:rStyle w:val="FootnoteReference"/>
          <w:lang w:val="en-AU"/>
        </w:rPr>
        <w:footnoteReference w:id="306"/>
      </w:r>
      <w:r w:rsidRPr="00DC03B8">
        <w:rPr>
          <w:lang w:val="en-AU"/>
        </w:rPr>
        <w:t xml:space="preserve"> </w:t>
      </w:r>
      <w:r w:rsidR="00332B09" w:rsidRPr="00DC03B8">
        <w:rPr>
          <w:lang w:val="en-AU"/>
        </w:rPr>
        <w:t xml:space="preserve">The </w:t>
      </w:r>
      <w:r w:rsidR="00332B09" w:rsidRPr="00DC03B8">
        <w:rPr>
          <w:i/>
          <w:iCs/>
          <w:lang w:val="en-AU"/>
        </w:rPr>
        <w:t>Mishna Avot</w:t>
      </w:r>
      <w:r w:rsidR="00332B09" w:rsidRPr="00DC03B8">
        <w:rPr>
          <w:lang w:val="en-AU"/>
        </w:rPr>
        <w:t xml:space="preserve"> does teach submission to authority and those in power over you</w:t>
      </w:r>
      <w:r w:rsidR="00061BC9" w:rsidRPr="00DC03B8">
        <w:rPr>
          <w:lang w:val="en-AU"/>
        </w:rPr>
        <w:t xml:space="preserve">. </w:t>
      </w:r>
    </w:p>
    <w:p w14:paraId="442EBB83" w14:textId="43EDD440" w:rsidR="008D4202" w:rsidRPr="00DC03B8" w:rsidRDefault="00CC596F" w:rsidP="000D5520">
      <w:pPr>
        <w:spacing w:line="480" w:lineRule="auto"/>
        <w:ind w:firstLine="709"/>
        <w:contextualSpacing/>
        <w:rPr>
          <w:lang w:val="en-AU"/>
        </w:rPr>
      </w:pPr>
      <w:r w:rsidRPr="00DC03B8">
        <w:rPr>
          <w:i/>
          <w:iCs/>
          <w:lang w:val="en-AU"/>
        </w:rPr>
        <w:t xml:space="preserve">Avot </w:t>
      </w:r>
      <w:r w:rsidRPr="00DC03B8">
        <w:rPr>
          <w:lang w:val="en-AU"/>
        </w:rPr>
        <w:t>3:</w:t>
      </w:r>
      <w:r w:rsidR="007F063D" w:rsidRPr="00DC03B8">
        <w:rPr>
          <w:lang w:val="en-AU"/>
        </w:rPr>
        <w:t>2</w:t>
      </w:r>
      <w:r w:rsidRPr="00DC03B8">
        <w:rPr>
          <w:lang w:val="en-AU"/>
        </w:rPr>
        <w:t xml:space="preserve"> and Matthew 25:40 suggest that people should treat all people fairly. </w:t>
      </w:r>
      <w:r w:rsidR="00BE6BA3" w:rsidRPr="00DC03B8">
        <w:rPr>
          <w:lang w:val="en-AU"/>
        </w:rPr>
        <w:t xml:space="preserve">The traditions in </w:t>
      </w:r>
      <w:r w:rsidR="00BE6BA3" w:rsidRPr="00DC03B8">
        <w:rPr>
          <w:i/>
          <w:lang w:val="en-AU"/>
        </w:rPr>
        <w:t xml:space="preserve">Mishna Avot </w:t>
      </w:r>
      <w:r w:rsidR="00BE6BA3" w:rsidRPr="00DC03B8">
        <w:rPr>
          <w:lang w:val="en-AU"/>
        </w:rPr>
        <w:t xml:space="preserve">attributed to Rabbi Yishmael </w:t>
      </w:r>
      <w:r w:rsidR="00DE4706" w:rsidRPr="00DC03B8">
        <w:rPr>
          <w:lang w:val="en-AU"/>
        </w:rPr>
        <w:t xml:space="preserve">(born 90 CE in Galilee) </w:t>
      </w:r>
      <w:r w:rsidR="00186F1B" w:rsidRPr="00DC03B8">
        <w:rPr>
          <w:lang w:val="en-AU"/>
        </w:rPr>
        <w:t xml:space="preserve">teach </w:t>
      </w:r>
      <w:r w:rsidR="006E2F25" w:rsidRPr="00DC03B8">
        <w:rPr>
          <w:lang w:val="en-AU"/>
        </w:rPr>
        <w:t xml:space="preserve">that one should </w:t>
      </w:r>
      <w:r w:rsidR="00186F1B" w:rsidRPr="00DC03B8">
        <w:rPr>
          <w:lang w:val="en-AU"/>
        </w:rPr>
        <w:t xml:space="preserve">act cautiously against an oppressive government. </w:t>
      </w:r>
      <w:r w:rsidR="00BE6BA3" w:rsidRPr="00DC03B8">
        <w:rPr>
          <w:lang w:val="en-AU"/>
        </w:rPr>
        <w:t xml:space="preserve">Rabbi Yishmael </w:t>
      </w:r>
      <w:r w:rsidR="00186F1B" w:rsidRPr="00DC03B8">
        <w:rPr>
          <w:lang w:val="en-AU"/>
        </w:rPr>
        <w:t xml:space="preserve">created the </w:t>
      </w:r>
      <w:r w:rsidR="00BE6BA3" w:rsidRPr="00DC03B8">
        <w:rPr>
          <w:lang w:val="en-AU"/>
        </w:rPr>
        <w:t xml:space="preserve">Thirteen </w:t>
      </w:r>
      <w:r w:rsidR="00BE6BA3" w:rsidRPr="00DC03B8">
        <w:rPr>
          <w:lang w:val="en-AU"/>
        </w:rPr>
        <w:lastRenderedPageBreak/>
        <w:t xml:space="preserve">Hermeneutic Principles </w:t>
      </w:r>
      <w:r w:rsidR="00186F1B" w:rsidRPr="00DC03B8">
        <w:rPr>
          <w:lang w:val="en-AU"/>
        </w:rPr>
        <w:t>to interpret Torah</w:t>
      </w:r>
      <w:r w:rsidR="00B415FE" w:rsidRPr="00DC03B8">
        <w:rPr>
          <w:lang w:val="en-AU"/>
        </w:rPr>
        <w:t>, and part of this teaching was embedded in all people studying Torah for generations after</w:t>
      </w:r>
      <w:r w:rsidR="00186F1B" w:rsidRPr="00DC03B8">
        <w:rPr>
          <w:lang w:val="en-AU"/>
        </w:rPr>
        <w:t>.</w:t>
      </w:r>
      <w:r w:rsidR="00BE6BA3" w:rsidRPr="00DC03B8">
        <w:rPr>
          <w:rStyle w:val="FootnoteReference"/>
          <w:lang w:val="en-AU"/>
        </w:rPr>
        <w:footnoteReference w:id="307"/>
      </w:r>
      <w:r w:rsidR="00BE6BA3" w:rsidRPr="00DC03B8">
        <w:rPr>
          <w:lang w:val="en-AU"/>
        </w:rPr>
        <w:t xml:space="preserve"> </w:t>
      </w:r>
      <w:r w:rsidR="00B415FE" w:rsidRPr="00DC03B8">
        <w:rPr>
          <w:lang w:val="en-AU"/>
        </w:rPr>
        <w:t xml:space="preserve">The ethical statements of </w:t>
      </w:r>
      <w:r w:rsidR="00B415FE" w:rsidRPr="00DC03B8">
        <w:rPr>
          <w:i/>
          <w:iCs/>
          <w:lang w:val="en-AU"/>
        </w:rPr>
        <w:t>Mishna</w:t>
      </w:r>
      <w:r w:rsidR="00B415FE" w:rsidRPr="00DC03B8">
        <w:rPr>
          <w:lang w:val="en-AU"/>
        </w:rPr>
        <w:t xml:space="preserve"> became the </w:t>
      </w:r>
      <w:r w:rsidR="00BD48D5" w:rsidRPr="00DC03B8">
        <w:rPr>
          <w:lang w:val="en-AU"/>
        </w:rPr>
        <w:t>rationale</w:t>
      </w:r>
      <w:r w:rsidR="00B415FE" w:rsidRPr="00DC03B8">
        <w:rPr>
          <w:lang w:val="en-AU"/>
        </w:rPr>
        <w:t xml:space="preserve"> for people to wait patiently for political change.</w:t>
      </w:r>
      <w:r w:rsidR="004A6B93" w:rsidRPr="00DC03B8">
        <w:rPr>
          <w:lang w:val="en-AU"/>
        </w:rPr>
        <w:t xml:space="preserve"> </w:t>
      </w:r>
      <w:r w:rsidR="00BE6BA3" w:rsidRPr="00DC03B8">
        <w:rPr>
          <w:i/>
          <w:lang w:val="en-AU"/>
        </w:rPr>
        <w:t xml:space="preserve">Mishna Avot </w:t>
      </w:r>
      <w:r w:rsidR="00356A1A" w:rsidRPr="00DC03B8">
        <w:rPr>
          <w:lang w:val="en-AU"/>
        </w:rPr>
        <w:t>advise</w:t>
      </w:r>
      <w:r w:rsidR="00BE6BA3" w:rsidRPr="00DC03B8">
        <w:rPr>
          <w:lang w:val="en-AU"/>
        </w:rPr>
        <w:t xml:space="preserve">s against standing out from the crowd. As previously quoted in </w:t>
      </w:r>
      <w:r w:rsidR="00BE6BA3" w:rsidRPr="00DC03B8">
        <w:rPr>
          <w:i/>
          <w:lang w:val="en-AU"/>
        </w:rPr>
        <w:t>Mishna Avot</w:t>
      </w:r>
      <w:r w:rsidR="00BE6BA3" w:rsidRPr="00DC03B8">
        <w:rPr>
          <w:lang w:val="en-AU"/>
        </w:rPr>
        <w:t xml:space="preserve"> 1:10, [Shammai] said: </w:t>
      </w:r>
      <w:r w:rsidR="00863B47" w:rsidRPr="00DC03B8">
        <w:rPr>
          <w:lang w:val="en-AU"/>
        </w:rPr>
        <w:t>“</w:t>
      </w:r>
      <w:r w:rsidR="00BE6BA3" w:rsidRPr="00DC03B8">
        <w:rPr>
          <w:lang w:val="en-AU"/>
        </w:rPr>
        <w:t>Love work; hate authority; and do not become too well known to the ruling power.</w:t>
      </w:r>
      <w:r w:rsidR="00863B47" w:rsidRPr="00DC03B8">
        <w:rPr>
          <w:lang w:val="en-AU"/>
        </w:rPr>
        <w:t>”</w:t>
      </w:r>
      <w:r w:rsidR="00BE6BA3" w:rsidRPr="00DC03B8">
        <w:rPr>
          <w:lang w:val="en-AU"/>
        </w:rPr>
        <w:t xml:space="preserve"> </w:t>
      </w:r>
      <w:r w:rsidR="004A6B93" w:rsidRPr="00DC03B8">
        <w:rPr>
          <w:lang w:val="en-AU"/>
        </w:rPr>
        <w:t>This admonishment to love work and hate authority is connected to Micah 4:1</w:t>
      </w:r>
      <w:r w:rsidR="006D78F1" w:rsidRPr="00DC03B8">
        <w:rPr>
          <w:lang w:val="en-AU"/>
        </w:rPr>
        <w:t>–</w:t>
      </w:r>
      <w:r w:rsidR="004A6B93" w:rsidRPr="00DC03B8">
        <w:rPr>
          <w:lang w:val="en-AU"/>
        </w:rPr>
        <w:t xml:space="preserve">4 and the prophecy of </w:t>
      </w:r>
      <w:r w:rsidR="00CD3CAE" w:rsidRPr="00DC03B8">
        <w:rPr>
          <w:lang w:val="en-AU"/>
        </w:rPr>
        <w:t xml:space="preserve">a </w:t>
      </w:r>
      <w:r w:rsidR="004A6B93" w:rsidRPr="00DC03B8">
        <w:rPr>
          <w:lang w:val="en-AU"/>
        </w:rPr>
        <w:t>peace</w:t>
      </w:r>
      <w:r w:rsidR="00CD3CAE" w:rsidRPr="00DC03B8">
        <w:rPr>
          <w:lang w:val="en-AU"/>
        </w:rPr>
        <w:t>ful kingdom</w:t>
      </w:r>
      <w:r w:rsidR="004A6B93" w:rsidRPr="00DC03B8">
        <w:rPr>
          <w:lang w:val="en-AU"/>
        </w:rPr>
        <w:t xml:space="preserve">. </w:t>
      </w:r>
      <w:r w:rsidR="00BE6BA3" w:rsidRPr="00DC03B8">
        <w:rPr>
          <w:lang w:val="en-AU"/>
        </w:rPr>
        <w:t>Scott</w:t>
      </w:r>
      <w:r w:rsidR="004A6B93" w:rsidRPr="00DC03B8">
        <w:rPr>
          <w:lang w:val="en-AU"/>
        </w:rPr>
        <w:t xml:space="preserve"> contends that Micah 4:1</w:t>
      </w:r>
      <w:r w:rsidR="006D78F1" w:rsidRPr="00DC03B8">
        <w:rPr>
          <w:lang w:val="en-AU"/>
        </w:rPr>
        <w:t>–</w:t>
      </w:r>
      <w:r w:rsidR="004A6B93" w:rsidRPr="00DC03B8">
        <w:rPr>
          <w:lang w:val="en-AU"/>
        </w:rPr>
        <w:t>4</w:t>
      </w:r>
      <w:r w:rsidR="00BE6BA3" w:rsidRPr="00DC03B8">
        <w:rPr>
          <w:lang w:val="en-AU"/>
        </w:rPr>
        <w:t xml:space="preserve"> </w:t>
      </w:r>
      <w:r w:rsidR="006D78F1" w:rsidRPr="00DC03B8">
        <w:rPr>
          <w:lang w:val="en-AU"/>
        </w:rPr>
        <w:t xml:space="preserve">is </w:t>
      </w:r>
      <w:r w:rsidR="005740D8" w:rsidRPr="00DC03B8">
        <w:rPr>
          <w:lang w:val="en-AU"/>
        </w:rPr>
        <w:t>a messianic prophecy about a peaceful people following Torah and that people are not learning war</w:t>
      </w:r>
      <w:r w:rsidR="00BE6BA3" w:rsidRPr="00DC03B8">
        <w:rPr>
          <w:lang w:val="en-AU"/>
        </w:rPr>
        <w:t>.</w:t>
      </w:r>
      <w:r w:rsidR="00BE6BA3" w:rsidRPr="00DC03B8">
        <w:rPr>
          <w:rStyle w:val="FootnoteReference"/>
          <w:lang w:val="en-AU"/>
        </w:rPr>
        <w:footnoteReference w:id="308"/>
      </w:r>
      <w:r w:rsidR="00BE6BA3" w:rsidRPr="00DC03B8">
        <w:rPr>
          <w:lang w:val="en-AU"/>
        </w:rPr>
        <w:t xml:space="preserve"> Micah 4:1</w:t>
      </w:r>
      <w:r w:rsidR="009F09C6" w:rsidRPr="00DC03B8">
        <w:rPr>
          <w:lang w:val="en-AU"/>
        </w:rPr>
        <w:t>–</w:t>
      </w:r>
      <w:r w:rsidR="00BE6BA3" w:rsidRPr="00DC03B8">
        <w:rPr>
          <w:lang w:val="en-AU"/>
        </w:rPr>
        <w:t>4 (NRSV) reads:</w:t>
      </w:r>
    </w:p>
    <w:p w14:paraId="277D0EE8" w14:textId="6F41A0F2" w:rsidR="00D25D36" w:rsidRPr="00DC03B8" w:rsidRDefault="00BE6BA3" w:rsidP="00CF0239">
      <w:pPr>
        <w:pStyle w:val="Blockquotation"/>
        <w:rPr>
          <w:sz w:val="24"/>
          <w:lang w:val="en-AU"/>
        </w:rPr>
      </w:pPr>
      <w:r w:rsidRPr="00DC03B8">
        <w:rPr>
          <w:sz w:val="24"/>
          <w:lang w:val="en-AU"/>
        </w:rPr>
        <w:t>In days to come, the mountain of the Lord</w:t>
      </w:r>
      <w:r w:rsidR="005C71CB" w:rsidRPr="00DC03B8">
        <w:rPr>
          <w:sz w:val="24"/>
          <w:lang w:val="en-AU"/>
        </w:rPr>
        <w:t>’</w:t>
      </w:r>
      <w:r w:rsidRPr="00DC03B8">
        <w:rPr>
          <w:sz w:val="24"/>
          <w:lang w:val="en-AU"/>
        </w:rPr>
        <w:t xml:space="preserve">s house shall be established as the highest of the mountains and shall be raised up above the hills. Peoples shall stream to </w:t>
      </w:r>
      <w:proofErr w:type="gramStart"/>
      <w:r w:rsidRPr="00DC03B8">
        <w:rPr>
          <w:sz w:val="24"/>
          <w:lang w:val="en-AU"/>
        </w:rPr>
        <w:t>it,/</w:t>
      </w:r>
      <w:proofErr w:type="gramEnd"/>
      <w:r w:rsidRPr="00DC03B8">
        <w:rPr>
          <w:sz w:val="24"/>
          <w:lang w:val="en-AU"/>
        </w:rPr>
        <w:t xml:space="preserve"> and many nations shall come and say: </w:t>
      </w:r>
      <w:r w:rsidR="00863B47" w:rsidRPr="00DC03B8">
        <w:rPr>
          <w:sz w:val="24"/>
          <w:lang w:val="en-AU"/>
        </w:rPr>
        <w:t>“</w:t>
      </w:r>
      <w:r w:rsidRPr="00DC03B8">
        <w:rPr>
          <w:sz w:val="24"/>
          <w:lang w:val="en-AU"/>
        </w:rPr>
        <w:t>Come, let us go up to the mountain of the Lord, to the house of the God of Jacob; that he may teach us his ways and that we may walk in his paths.</w:t>
      </w:r>
      <w:r w:rsidR="00863B47" w:rsidRPr="00DC03B8">
        <w:rPr>
          <w:sz w:val="24"/>
          <w:lang w:val="en-AU"/>
        </w:rPr>
        <w:t>”</w:t>
      </w:r>
      <w:r w:rsidRPr="00DC03B8">
        <w:rPr>
          <w:sz w:val="24"/>
          <w:lang w:val="en-AU"/>
        </w:rPr>
        <w:t xml:space="preserve"> For out of Zion shall go forth instruction, and the word of the Lord from Jerusalem,/ He shall judge between many peoples, and shall arbitrate between strong nations far away; they shall beat their swords into ploughshares, and their spears into pruning hooks; nation shall not lift up sword against nation, neither shall they learn war any more;/ but they shall all sit under their own vines and under their own fig trees, and no one shall make them afraid; for the mouth of the Lord of hosts has spoken.</w:t>
      </w:r>
    </w:p>
    <w:p w14:paraId="55B811F6" w14:textId="40ABE272" w:rsidR="008D4202" w:rsidRPr="00DC03B8" w:rsidRDefault="00676154" w:rsidP="00990707">
      <w:pPr>
        <w:spacing w:before="240" w:line="480" w:lineRule="auto"/>
        <w:contextualSpacing/>
        <w:rPr>
          <w:lang w:val="en-AU"/>
        </w:rPr>
      </w:pPr>
      <w:r w:rsidRPr="00DC03B8">
        <w:rPr>
          <w:lang w:val="en-AU"/>
        </w:rPr>
        <w:t xml:space="preserve">The </w:t>
      </w:r>
      <w:r w:rsidR="00E22228" w:rsidRPr="00DC03B8">
        <w:rPr>
          <w:lang w:val="en-AU"/>
        </w:rPr>
        <w:t>kingdom heralded by the messiah brings peace. Th</w:t>
      </w:r>
      <w:r w:rsidR="00E71C87" w:rsidRPr="00DC03B8">
        <w:rPr>
          <w:lang w:val="en-AU"/>
        </w:rPr>
        <w:t>is</w:t>
      </w:r>
      <w:r w:rsidR="00E22228" w:rsidRPr="00DC03B8">
        <w:rPr>
          <w:lang w:val="en-AU"/>
        </w:rPr>
        <w:t xml:space="preserve"> peace </w:t>
      </w:r>
      <w:r w:rsidR="00E71C87" w:rsidRPr="00DC03B8">
        <w:rPr>
          <w:lang w:val="en-AU"/>
        </w:rPr>
        <w:t xml:space="preserve">makes redundant </w:t>
      </w:r>
      <w:r w:rsidR="00E22228" w:rsidRPr="00DC03B8">
        <w:rPr>
          <w:lang w:val="en-AU"/>
        </w:rPr>
        <w:t xml:space="preserve">the need to learn the art of warfare. The peace </w:t>
      </w:r>
      <w:r w:rsidR="00E74801" w:rsidRPr="00DC03B8">
        <w:rPr>
          <w:lang w:val="en-AU"/>
        </w:rPr>
        <w:t xml:space="preserve">brought is heralded by the messiah as the leader. </w:t>
      </w:r>
      <w:r w:rsidR="00E15A8B" w:rsidRPr="00DC03B8">
        <w:rPr>
          <w:lang w:val="en-AU"/>
        </w:rPr>
        <w:t>Fahey</w:t>
      </w:r>
      <w:r w:rsidR="00BE6BA3" w:rsidRPr="00DC03B8">
        <w:rPr>
          <w:lang w:val="en-AU"/>
        </w:rPr>
        <w:t xml:space="preserve"> </w:t>
      </w:r>
      <w:r w:rsidR="00E22228" w:rsidRPr="00DC03B8">
        <w:rPr>
          <w:lang w:val="en-AU"/>
        </w:rPr>
        <w:t xml:space="preserve">contends that the kingdom of peace </w:t>
      </w:r>
      <w:r w:rsidR="00E71C87" w:rsidRPr="00DC03B8">
        <w:rPr>
          <w:lang w:val="en-AU"/>
        </w:rPr>
        <w:t>described</w:t>
      </w:r>
      <w:r w:rsidR="00E22228" w:rsidRPr="00DC03B8">
        <w:rPr>
          <w:lang w:val="en-AU"/>
        </w:rPr>
        <w:t xml:space="preserve"> in Micah 4</w:t>
      </w:r>
      <w:r w:rsidR="001B1226">
        <w:rPr>
          <w:lang w:val="en-AU"/>
        </w:rPr>
        <w:t xml:space="preserve"> is</w:t>
      </w:r>
      <w:r w:rsidR="00E22228" w:rsidRPr="00DC03B8">
        <w:rPr>
          <w:lang w:val="en-AU"/>
        </w:rPr>
        <w:t xml:space="preserve"> based on justice and </w:t>
      </w:r>
      <w:r w:rsidR="00E71C87" w:rsidRPr="00DC03B8">
        <w:rPr>
          <w:lang w:val="en-AU"/>
        </w:rPr>
        <w:t xml:space="preserve">there is </w:t>
      </w:r>
      <w:r w:rsidR="00E22228" w:rsidRPr="00DC03B8">
        <w:rPr>
          <w:lang w:val="en-AU"/>
        </w:rPr>
        <w:t xml:space="preserve">no </w:t>
      </w:r>
      <w:r w:rsidR="00E22228" w:rsidRPr="00DC03B8">
        <w:rPr>
          <w:lang w:val="en-AU"/>
        </w:rPr>
        <w:lastRenderedPageBreak/>
        <w:t>bloodshed.</w:t>
      </w:r>
      <w:r w:rsidR="00BE6BA3" w:rsidRPr="00DC03B8">
        <w:rPr>
          <w:rStyle w:val="FootnoteReference"/>
          <w:lang w:val="en-AU"/>
        </w:rPr>
        <w:footnoteReference w:id="309"/>
      </w:r>
      <w:r w:rsidR="00BE6BA3" w:rsidRPr="00DC03B8">
        <w:rPr>
          <w:lang w:val="en-AU"/>
        </w:rPr>
        <w:t xml:space="preserve"> </w:t>
      </w:r>
      <w:r w:rsidR="00E74801" w:rsidRPr="00DC03B8">
        <w:rPr>
          <w:lang w:val="en-AU"/>
        </w:rPr>
        <w:t xml:space="preserve">Justice is the </w:t>
      </w:r>
      <w:r w:rsidR="001B1226">
        <w:rPr>
          <w:lang w:val="en-AU"/>
        </w:rPr>
        <w:t>virtue understood</w:t>
      </w:r>
      <w:r w:rsidR="00E74801" w:rsidRPr="00DC03B8">
        <w:rPr>
          <w:lang w:val="en-AU"/>
        </w:rPr>
        <w:t xml:space="preserve"> for the peace</w:t>
      </w:r>
      <w:r w:rsidR="001B1226">
        <w:rPr>
          <w:lang w:val="en-AU"/>
        </w:rPr>
        <w:t xml:space="preserve">.  Justice </w:t>
      </w:r>
      <w:r w:rsidR="00E74801" w:rsidRPr="00DC03B8">
        <w:rPr>
          <w:lang w:val="en-AU"/>
        </w:rPr>
        <w:t xml:space="preserve">found in the </w:t>
      </w:r>
      <w:r w:rsidR="00E74801" w:rsidRPr="00DC03B8">
        <w:rPr>
          <w:i/>
          <w:iCs/>
          <w:lang w:val="en-AU"/>
        </w:rPr>
        <w:t>Avot</w:t>
      </w:r>
      <w:r w:rsidR="001B1226">
        <w:rPr>
          <w:i/>
          <w:iCs/>
          <w:lang w:val="en-AU"/>
        </w:rPr>
        <w:t xml:space="preserve"> </w:t>
      </w:r>
      <w:r w:rsidR="001B1226">
        <w:rPr>
          <w:lang w:val="en-AU"/>
        </w:rPr>
        <w:t xml:space="preserve">was </w:t>
      </w:r>
      <w:r w:rsidR="00E74801" w:rsidRPr="00DC03B8">
        <w:rPr>
          <w:lang w:val="en-AU"/>
        </w:rPr>
        <w:t>pivotal to the author</w:t>
      </w:r>
      <w:r w:rsidR="007F063D" w:rsidRPr="00DC03B8">
        <w:rPr>
          <w:lang w:val="en-AU"/>
        </w:rPr>
        <w:t xml:space="preserve"> of Matthew</w:t>
      </w:r>
      <w:r w:rsidR="005C71CB" w:rsidRPr="00DC03B8">
        <w:rPr>
          <w:lang w:val="en-AU"/>
        </w:rPr>
        <w:t>’</w:t>
      </w:r>
      <w:r w:rsidR="007F063D" w:rsidRPr="00DC03B8">
        <w:rPr>
          <w:lang w:val="en-AU"/>
        </w:rPr>
        <w:t>s</w:t>
      </w:r>
      <w:r w:rsidR="00E74801" w:rsidRPr="00DC03B8">
        <w:rPr>
          <w:lang w:val="en-AU"/>
        </w:rPr>
        <w:t xml:space="preserve"> understanding of a peaceful kingdom during the time of the Sermon.</w:t>
      </w:r>
    </w:p>
    <w:p w14:paraId="10354E08" w14:textId="7684F0AA" w:rsidR="008A5124" w:rsidRPr="00DC03B8" w:rsidRDefault="00BE6BA3" w:rsidP="008D4202">
      <w:pPr>
        <w:spacing w:line="480" w:lineRule="auto"/>
        <w:contextualSpacing/>
        <w:rPr>
          <w:lang w:val="en-AU"/>
        </w:rPr>
      </w:pPr>
      <w:r w:rsidRPr="00DC03B8">
        <w:rPr>
          <w:lang w:val="en-AU"/>
        </w:rPr>
        <w:tab/>
        <w:t>The type of person characteri</w:t>
      </w:r>
      <w:r w:rsidR="00D86BBD" w:rsidRPr="00DC03B8">
        <w:rPr>
          <w:lang w:val="en-AU"/>
        </w:rPr>
        <w:t>s</w:t>
      </w:r>
      <w:r w:rsidRPr="00DC03B8">
        <w:rPr>
          <w:lang w:val="en-AU"/>
        </w:rPr>
        <w:t xml:space="preserve">ed in Micah 4 is </w:t>
      </w:r>
      <w:proofErr w:type="gramStart"/>
      <w:r w:rsidRPr="00DC03B8">
        <w:rPr>
          <w:lang w:val="en-AU"/>
        </w:rPr>
        <w:t>similar to</w:t>
      </w:r>
      <w:proofErr w:type="gramEnd"/>
      <w:r w:rsidRPr="00DC03B8">
        <w:rPr>
          <w:lang w:val="en-AU"/>
        </w:rPr>
        <w:t xml:space="preserve"> the submissive character in </w:t>
      </w:r>
      <w:r w:rsidRPr="00DC03B8">
        <w:rPr>
          <w:i/>
          <w:iCs/>
          <w:lang w:val="en-AU"/>
        </w:rPr>
        <w:t>Mishna Avot</w:t>
      </w:r>
      <w:r w:rsidR="007F063D" w:rsidRPr="00DC03B8">
        <w:rPr>
          <w:lang w:val="en-AU"/>
        </w:rPr>
        <w:t xml:space="preserve"> as a person who is willing to submit to authority</w:t>
      </w:r>
      <w:r w:rsidRPr="00DC03B8">
        <w:rPr>
          <w:i/>
          <w:iCs/>
          <w:lang w:val="en-AU"/>
        </w:rPr>
        <w:t>.</w:t>
      </w:r>
      <w:r w:rsidRPr="00DC03B8">
        <w:rPr>
          <w:lang w:val="en-AU"/>
        </w:rPr>
        <w:t xml:space="preserve"> The role of submission in </w:t>
      </w:r>
      <w:r w:rsidRPr="00DC03B8">
        <w:rPr>
          <w:i/>
          <w:lang w:val="en-AU"/>
        </w:rPr>
        <w:t xml:space="preserve">Mishna Avot </w:t>
      </w:r>
      <w:r w:rsidRPr="00DC03B8">
        <w:rPr>
          <w:lang w:val="en-AU"/>
        </w:rPr>
        <w:t>can be seen</w:t>
      </w:r>
      <w:r w:rsidR="007B440C" w:rsidRPr="00DC03B8">
        <w:rPr>
          <w:lang w:val="en-AU"/>
        </w:rPr>
        <w:t xml:space="preserve"> further</w:t>
      </w:r>
      <w:r w:rsidRPr="00DC03B8">
        <w:rPr>
          <w:lang w:val="en-AU"/>
        </w:rPr>
        <w:t xml:space="preserve"> in the role in which a person feels valued and plays a part in the peace process. In the </w:t>
      </w:r>
      <w:r w:rsidRPr="00DC03B8">
        <w:rPr>
          <w:i/>
          <w:lang w:val="en-AU"/>
        </w:rPr>
        <w:t>Avot</w:t>
      </w:r>
      <w:r w:rsidRPr="00DC03B8">
        <w:rPr>
          <w:lang w:val="en-AU"/>
        </w:rPr>
        <w:t xml:space="preserve">, it </w:t>
      </w:r>
      <w:r w:rsidR="007B440C" w:rsidRPr="00DC03B8">
        <w:rPr>
          <w:lang w:val="en-AU"/>
        </w:rPr>
        <w:t xml:space="preserve">is said </w:t>
      </w:r>
      <w:r w:rsidRPr="00DC03B8">
        <w:rPr>
          <w:lang w:val="en-AU"/>
        </w:rPr>
        <w:t xml:space="preserve">that </w:t>
      </w:r>
      <w:r w:rsidR="00863B47" w:rsidRPr="00DC03B8">
        <w:rPr>
          <w:lang w:val="en-AU"/>
        </w:rPr>
        <w:t>“</w:t>
      </w:r>
      <w:r w:rsidRPr="00DC03B8">
        <w:rPr>
          <w:lang w:val="en-AU"/>
        </w:rPr>
        <w:t>Hillel used to say: If I am not for myself, who will be for me? If I am for myself only, what am I? And if not now, when?</w:t>
      </w:r>
      <w:r w:rsidR="00863B47" w:rsidRPr="00DC03B8">
        <w:rPr>
          <w:lang w:val="en-AU"/>
        </w:rPr>
        <w:t>”</w:t>
      </w:r>
      <w:r w:rsidRPr="00DC03B8">
        <w:rPr>
          <w:lang w:val="en-AU"/>
        </w:rPr>
        <w:t xml:space="preserve"> (1:14). People must be self-aware of their own actions and likewise aware that other people</w:t>
      </w:r>
      <w:r w:rsidR="0084266F" w:rsidRPr="00DC03B8">
        <w:rPr>
          <w:lang w:val="en-AU"/>
        </w:rPr>
        <w:t xml:space="preserve"> could be deceitful.</w:t>
      </w:r>
      <w:r w:rsidRPr="00DC03B8">
        <w:rPr>
          <w:lang w:val="en-AU"/>
        </w:rPr>
        <w:t xml:space="preserve"> </w:t>
      </w:r>
    </w:p>
    <w:p w14:paraId="1195E136" w14:textId="1D1B0728" w:rsidR="008D4202" w:rsidRPr="00DC03B8" w:rsidRDefault="006974EF" w:rsidP="001B1226">
      <w:pPr>
        <w:spacing w:line="480" w:lineRule="auto"/>
        <w:ind w:firstLine="709"/>
        <w:contextualSpacing/>
        <w:rPr>
          <w:lang w:val="en-AU"/>
        </w:rPr>
      </w:pPr>
      <w:r w:rsidRPr="00DC03B8">
        <w:rPr>
          <w:lang w:val="en-AU"/>
        </w:rPr>
        <w:t>Al</w:t>
      </w:r>
      <w:r w:rsidR="00071C62" w:rsidRPr="00DC03B8">
        <w:rPr>
          <w:lang w:val="en-AU"/>
        </w:rPr>
        <w:t xml:space="preserve">though the </w:t>
      </w:r>
      <w:r w:rsidR="00BE6BA3" w:rsidRPr="00DC03B8">
        <w:rPr>
          <w:lang w:val="en-AU"/>
        </w:rPr>
        <w:t>Old Testament has violence and peace as essential parts of the narrative</w:t>
      </w:r>
      <w:r w:rsidR="00071C62" w:rsidRPr="00DC03B8">
        <w:rPr>
          <w:lang w:val="en-AU"/>
        </w:rPr>
        <w:t>, peace and submission are also taught</w:t>
      </w:r>
      <w:r w:rsidR="00BE6BA3" w:rsidRPr="00DC03B8">
        <w:rPr>
          <w:lang w:val="en-AU"/>
        </w:rPr>
        <w:t>. Many stories in the Old Testament are quite violent. Neville states:</w:t>
      </w:r>
    </w:p>
    <w:p w14:paraId="03B1AB35" w14:textId="2B6DD000" w:rsidR="00D25D36" w:rsidRPr="00DC03B8" w:rsidRDefault="00BE6BA3" w:rsidP="00CF0239">
      <w:pPr>
        <w:pStyle w:val="Blockquotation"/>
        <w:rPr>
          <w:sz w:val="24"/>
          <w:lang w:val="en-AU"/>
        </w:rPr>
      </w:pPr>
      <w:r w:rsidRPr="00DC03B8">
        <w:rPr>
          <w:sz w:val="24"/>
          <w:lang w:val="en-AU"/>
        </w:rPr>
        <w:t>Since violence is so much a part of … the biblical record, is it not implausible to suggest that the Bible envisages peace as primary? Not only does it contain stories of violence between humans, as in the case of Cain</w:t>
      </w:r>
      <w:r w:rsidR="005C71CB" w:rsidRPr="00DC03B8">
        <w:rPr>
          <w:sz w:val="24"/>
          <w:lang w:val="en-AU"/>
        </w:rPr>
        <w:t>’</w:t>
      </w:r>
      <w:r w:rsidRPr="00DC03B8">
        <w:rPr>
          <w:sz w:val="24"/>
          <w:lang w:val="en-AU"/>
        </w:rPr>
        <w:t>s primal killing of his brother Abel, but it also envisages God responding to human violence with overwhelming violence, as in the case of the liquidating flood.</w:t>
      </w:r>
      <w:r w:rsidRPr="00DC03B8">
        <w:rPr>
          <w:rStyle w:val="FootnoteReference"/>
          <w:sz w:val="24"/>
          <w:lang w:val="en-AU"/>
        </w:rPr>
        <w:footnoteReference w:id="310"/>
      </w:r>
      <w:r w:rsidRPr="00DC03B8">
        <w:rPr>
          <w:sz w:val="24"/>
          <w:lang w:val="en-AU"/>
        </w:rPr>
        <w:t xml:space="preserve"> </w:t>
      </w:r>
    </w:p>
    <w:p w14:paraId="7F4DBC75" w14:textId="43F78594" w:rsidR="001242F8" w:rsidRPr="00DC03B8" w:rsidRDefault="00BE6BA3" w:rsidP="00990707">
      <w:pPr>
        <w:spacing w:before="240" w:line="480" w:lineRule="auto"/>
        <w:contextualSpacing/>
        <w:rPr>
          <w:lang w:val="en-AU"/>
        </w:rPr>
      </w:pPr>
      <w:r w:rsidRPr="00DC03B8">
        <w:rPr>
          <w:lang w:val="en-AU"/>
        </w:rPr>
        <w:t xml:space="preserve">The eschatological violence (as seen in </w:t>
      </w:r>
      <w:r w:rsidR="007D19E9" w:rsidRPr="00DC03B8">
        <w:rPr>
          <w:lang w:val="en-AU"/>
        </w:rPr>
        <w:t xml:space="preserve">other </w:t>
      </w:r>
      <w:r w:rsidRPr="00DC03B8">
        <w:rPr>
          <w:lang w:val="en-AU"/>
        </w:rPr>
        <w:t xml:space="preserve">passages such as </w:t>
      </w:r>
      <w:r w:rsidRPr="00DC03B8">
        <w:rPr>
          <w:i/>
          <w:lang w:val="en-AU"/>
        </w:rPr>
        <w:t>4 Ezra</w:t>
      </w:r>
      <w:r w:rsidRPr="00DC03B8">
        <w:rPr>
          <w:lang w:val="en-AU"/>
        </w:rPr>
        <w:t>) ushers</w:t>
      </w:r>
      <w:r w:rsidR="001E3FBB" w:rsidRPr="00DC03B8">
        <w:rPr>
          <w:lang w:val="en-AU"/>
        </w:rPr>
        <w:t xml:space="preserve"> in</w:t>
      </w:r>
      <w:r w:rsidRPr="00DC03B8">
        <w:rPr>
          <w:lang w:val="en-AU"/>
        </w:rPr>
        <w:t xml:space="preserve"> the messianic era.</w:t>
      </w:r>
      <w:r w:rsidRPr="00DC03B8">
        <w:rPr>
          <w:rStyle w:val="FootnoteReference"/>
          <w:lang w:val="en-AU"/>
        </w:rPr>
        <w:footnoteReference w:id="311"/>
      </w:r>
      <w:r w:rsidRPr="00DC03B8">
        <w:rPr>
          <w:lang w:val="en-AU"/>
        </w:rPr>
        <w:t xml:space="preserve"> </w:t>
      </w:r>
      <w:r w:rsidR="007D19E9" w:rsidRPr="00DC03B8">
        <w:rPr>
          <w:lang w:val="en-AU"/>
        </w:rPr>
        <w:t xml:space="preserve">The book of 4 </w:t>
      </w:r>
      <w:r w:rsidR="007D19E9" w:rsidRPr="00DC03B8">
        <w:rPr>
          <w:i/>
          <w:iCs/>
          <w:lang w:val="en-AU"/>
        </w:rPr>
        <w:t>Ezra</w:t>
      </w:r>
      <w:r w:rsidR="007D19E9" w:rsidRPr="00DC03B8">
        <w:rPr>
          <w:lang w:val="en-AU"/>
        </w:rPr>
        <w:t>, though written in Hebrew and Aramaic, has no original copy, even though the early church cited the book</w:t>
      </w:r>
      <w:r w:rsidR="001B1226">
        <w:rPr>
          <w:lang w:val="en-AU"/>
        </w:rPr>
        <w:t>, we have not found the original source</w:t>
      </w:r>
      <w:r w:rsidR="007D19E9" w:rsidRPr="00DC03B8">
        <w:rPr>
          <w:lang w:val="en-AU"/>
        </w:rPr>
        <w:t>.</w:t>
      </w:r>
      <w:r w:rsidRPr="00DC03B8">
        <w:rPr>
          <w:rStyle w:val="FootnoteReference"/>
          <w:lang w:val="en-AU"/>
        </w:rPr>
        <w:footnoteReference w:id="312"/>
      </w:r>
      <w:r w:rsidRPr="00DC03B8">
        <w:rPr>
          <w:lang w:val="en-AU"/>
        </w:rPr>
        <w:t>  </w:t>
      </w:r>
      <w:r w:rsidR="00820268" w:rsidRPr="00DC03B8">
        <w:rPr>
          <w:lang w:val="en-AU"/>
        </w:rPr>
        <w:t xml:space="preserve">In </w:t>
      </w:r>
      <w:r w:rsidR="00820268" w:rsidRPr="00DC03B8">
        <w:rPr>
          <w:lang w:val="en-AU"/>
        </w:rPr>
        <w:lastRenderedPageBreak/>
        <w:t>t</w:t>
      </w:r>
      <w:r w:rsidRPr="00DC03B8">
        <w:rPr>
          <w:lang w:val="en-AU"/>
        </w:rPr>
        <w:t xml:space="preserve">hese apocryphal texts </w:t>
      </w:r>
      <w:r w:rsidR="00240411" w:rsidRPr="00DC03B8">
        <w:rPr>
          <w:lang w:val="en-AU"/>
        </w:rPr>
        <w:t xml:space="preserve">the </w:t>
      </w:r>
      <w:r w:rsidRPr="00DC03B8">
        <w:rPr>
          <w:lang w:val="en-AU"/>
        </w:rPr>
        <w:t xml:space="preserve">Jews </w:t>
      </w:r>
      <w:r w:rsidR="00240411" w:rsidRPr="00DC03B8">
        <w:rPr>
          <w:lang w:val="en-AU"/>
        </w:rPr>
        <w:t xml:space="preserve">are </w:t>
      </w:r>
      <w:r w:rsidR="00FF1A37" w:rsidRPr="00DC03B8">
        <w:rPr>
          <w:lang w:val="en-AU"/>
        </w:rPr>
        <w:t xml:space="preserve">seen to be </w:t>
      </w:r>
      <w:r w:rsidRPr="00DC03B8">
        <w:rPr>
          <w:lang w:val="en-AU"/>
        </w:rPr>
        <w:t>usher</w:t>
      </w:r>
      <w:r w:rsidR="00240411" w:rsidRPr="00DC03B8">
        <w:rPr>
          <w:lang w:val="en-AU"/>
        </w:rPr>
        <w:t>ing</w:t>
      </w:r>
      <w:r w:rsidR="00820268" w:rsidRPr="00DC03B8">
        <w:rPr>
          <w:lang w:val="en-AU"/>
        </w:rPr>
        <w:t xml:space="preserve"> in</w:t>
      </w:r>
      <w:r w:rsidRPr="00DC03B8">
        <w:rPr>
          <w:lang w:val="en-AU"/>
        </w:rPr>
        <w:t xml:space="preserve"> a messianic figure. </w:t>
      </w:r>
      <w:r w:rsidR="003E6588" w:rsidRPr="00DC03B8">
        <w:rPr>
          <w:lang w:val="en-AU"/>
        </w:rPr>
        <w:t>A</w:t>
      </w:r>
      <w:r w:rsidRPr="00DC03B8">
        <w:rPr>
          <w:lang w:val="en-AU"/>
        </w:rPr>
        <w:t xml:space="preserve"> similar view is </w:t>
      </w:r>
      <w:r w:rsidR="00AC7023" w:rsidRPr="00DC03B8">
        <w:rPr>
          <w:lang w:val="en-AU"/>
        </w:rPr>
        <w:t xml:space="preserve">given </w:t>
      </w:r>
      <w:r w:rsidRPr="00DC03B8">
        <w:rPr>
          <w:lang w:val="en-AU"/>
        </w:rPr>
        <w:t xml:space="preserve">in 2 </w:t>
      </w:r>
      <w:r w:rsidRPr="00DC03B8">
        <w:rPr>
          <w:i/>
          <w:iCs/>
          <w:lang w:val="en-AU"/>
        </w:rPr>
        <w:t>Baruch</w:t>
      </w:r>
      <w:r w:rsidRPr="00DC03B8">
        <w:rPr>
          <w:lang w:val="en-AU"/>
        </w:rPr>
        <w:t xml:space="preserve">. </w:t>
      </w:r>
      <w:r w:rsidR="00B040CF" w:rsidRPr="00DC03B8">
        <w:rPr>
          <w:lang w:val="en-AU"/>
        </w:rPr>
        <w:t xml:space="preserve">Richard Bauckham </w:t>
      </w:r>
      <w:r w:rsidR="001242F8" w:rsidRPr="00DC03B8">
        <w:rPr>
          <w:lang w:val="en-AU"/>
        </w:rPr>
        <w:t xml:space="preserve">states: </w:t>
      </w:r>
    </w:p>
    <w:p w14:paraId="077F733C" w14:textId="2062EFC7" w:rsidR="001242F8" w:rsidRPr="00DC03B8" w:rsidRDefault="001242F8" w:rsidP="00CF0239">
      <w:pPr>
        <w:pStyle w:val="Blockquotation"/>
        <w:rPr>
          <w:sz w:val="24"/>
          <w:lang w:val="en-AU"/>
        </w:rPr>
      </w:pPr>
      <w:r w:rsidRPr="00DC03B8">
        <w:rPr>
          <w:sz w:val="24"/>
          <w:lang w:val="en-AU"/>
        </w:rPr>
        <w:t>Early Christianity was both continuous and discontinuous with first-century Judaism. Its theology shared many features of contemporary Jewish thought, though these were given a distinctively Christian character by their relationship to Christianity</w:t>
      </w:r>
      <w:r w:rsidR="005C71CB" w:rsidRPr="00DC03B8">
        <w:rPr>
          <w:sz w:val="24"/>
          <w:lang w:val="en-AU"/>
        </w:rPr>
        <w:t>’</w:t>
      </w:r>
      <w:r w:rsidRPr="00DC03B8">
        <w:rPr>
          <w:sz w:val="24"/>
          <w:lang w:val="en-AU"/>
        </w:rPr>
        <w:t xml:space="preserve">s unique faith in Jesus Christ. As in the case of many other issues, an adequate account of the understanding of the delay of the parousia in early Christianity must reflect both the continuity and the discontinuity with Judaism. </w:t>
      </w:r>
    </w:p>
    <w:p w14:paraId="5201CA53" w14:textId="29697AFF" w:rsidR="00D25D36" w:rsidRPr="00DC03B8" w:rsidRDefault="001242F8" w:rsidP="00CF0239">
      <w:pPr>
        <w:pStyle w:val="Blockquotation"/>
        <w:rPr>
          <w:sz w:val="24"/>
          <w:lang w:val="en-AU"/>
        </w:rPr>
      </w:pPr>
      <w:r w:rsidRPr="00DC03B8">
        <w:rPr>
          <w:sz w:val="24"/>
          <w:lang w:val="en-AU"/>
        </w:rPr>
        <w:t xml:space="preserve">In some </w:t>
      </w:r>
      <w:proofErr w:type="gramStart"/>
      <w:r w:rsidRPr="00DC03B8">
        <w:rPr>
          <w:sz w:val="24"/>
          <w:lang w:val="en-AU"/>
        </w:rPr>
        <w:t>respects</w:t>
      </w:r>
      <w:proofErr w:type="gramEnd"/>
      <w:r w:rsidRPr="00DC03B8">
        <w:rPr>
          <w:sz w:val="24"/>
          <w:lang w:val="en-AU"/>
        </w:rPr>
        <w:t xml:space="preserve"> the problem</w:t>
      </w:r>
      <w:r w:rsidR="00061BC9" w:rsidRPr="00DC03B8">
        <w:rPr>
          <w:sz w:val="24"/>
          <w:lang w:val="en-AU"/>
        </w:rPr>
        <w:t xml:space="preserve"> </w:t>
      </w:r>
      <w:r w:rsidRPr="00DC03B8">
        <w:rPr>
          <w:sz w:val="24"/>
          <w:lang w:val="en-AU"/>
        </w:rPr>
        <w:t>of the delay of the parousia was the same problem of eschatological delay which had long confronted Jewish apocalyptic eschatology; in other respects it was a new and distinctively Christian problem, in that the End was now expected to take the form of the parousia of Jesus Christ in whose death and resurrection God had already acted eschatologically.</w:t>
      </w:r>
      <w:r w:rsidRPr="00DC03B8">
        <w:rPr>
          <w:rStyle w:val="FootnoteReference"/>
          <w:sz w:val="24"/>
          <w:lang w:val="en-AU"/>
        </w:rPr>
        <w:footnoteReference w:id="313"/>
      </w:r>
    </w:p>
    <w:p w14:paraId="5A834A35" w14:textId="0B17174E" w:rsidR="008D4202" w:rsidRPr="00DC03B8" w:rsidRDefault="00061BC9" w:rsidP="00990707">
      <w:pPr>
        <w:spacing w:before="240" w:line="480" w:lineRule="auto"/>
        <w:contextualSpacing/>
        <w:rPr>
          <w:lang w:val="en-AU"/>
        </w:rPr>
      </w:pPr>
      <w:r w:rsidRPr="00DC03B8">
        <w:rPr>
          <w:lang w:val="en-AU"/>
        </w:rPr>
        <w:t xml:space="preserve">The challenge to create a peaceful kingdom of submission based on a Parousia of Jesus Christ </w:t>
      </w:r>
      <w:r w:rsidR="001B1226">
        <w:rPr>
          <w:lang w:val="en-AU"/>
        </w:rPr>
        <w:t xml:space="preserve">is possible albeit diverse </w:t>
      </w:r>
      <w:r w:rsidRPr="00DC03B8">
        <w:rPr>
          <w:lang w:val="en-AU"/>
        </w:rPr>
        <w:t xml:space="preserve">even though Judaism and Christianity shared a similar thought. It must be noted that </w:t>
      </w:r>
      <w:r w:rsidR="00BE6BA3" w:rsidRPr="00DC03B8">
        <w:rPr>
          <w:lang w:val="en-AU"/>
        </w:rPr>
        <w:t xml:space="preserve">at the time of Jesus </w:t>
      </w:r>
      <w:r w:rsidR="001F1E9D" w:rsidRPr="00DC03B8">
        <w:rPr>
          <w:lang w:val="en-AU"/>
        </w:rPr>
        <w:t>some Jews</w:t>
      </w:r>
      <w:r w:rsidR="00F26042" w:rsidRPr="00DC03B8">
        <w:rPr>
          <w:lang w:val="en-AU"/>
        </w:rPr>
        <w:t xml:space="preserve">, like the Samaritan woman in </w:t>
      </w:r>
      <w:r w:rsidRPr="00DC03B8">
        <w:rPr>
          <w:lang w:val="en-AU"/>
        </w:rPr>
        <w:t>John</w:t>
      </w:r>
      <w:r w:rsidR="00F26042" w:rsidRPr="00DC03B8">
        <w:rPr>
          <w:lang w:val="en-AU"/>
        </w:rPr>
        <w:t xml:space="preserve"> 4, </w:t>
      </w:r>
      <w:r w:rsidR="00B040CF" w:rsidRPr="00DC03B8">
        <w:rPr>
          <w:lang w:val="en-AU"/>
        </w:rPr>
        <w:t>believed still in the prophets and the messianic era</w:t>
      </w:r>
      <w:r w:rsidRPr="00DC03B8">
        <w:rPr>
          <w:lang w:val="en-AU"/>
        </w:rPr>
        <w:t>, and Jesus</w:t>
      </w:r>
      <w:r w:rsidR="00B040CF" w:rsidRPr="00DC03B8">
        <w:rPr>
          <w:lang w:val="en-AU"/>
        </w:rPr>
        <w:t>.</w:t>
      </w:r>
      <w:r w:rsidR="00BE6BA3" w:rsidRPr="00DC03B8">
        <w:rPr>
          <w:lang w:val="en-AU"/>
        </w:rPr>
        <w:t xml:space="preserve"> </w:t>
      </w:r>
      <w:r w:rsidR="00DA48B8" w:rsidRPr="00DC03B8">
        <w:rPr>
          <w:lang w:val="en-AU"/>
        </w:rPr>
        <w:t>Bauckham</w:t>
      </w:r>
      <w:r w:rsidR="004E1243" w:rsidRPr="00DC03B8">
        <w:rPr>
          <w:lang w:val="en-AU"/>
        </w:rPr>
        <w:t xml:space="preserve"> contends that </w:t>
      </w:r>
      <w:r w:rsidR="00863B47" w:rsidRPr="00DC03B8">
        <w:rPr>
          <w:lang w:val="en-AU"/>
        </w:rPr>
        <w:t>“</w:t>
      </w:r>
      <w:r w:rsidR="004E1243" w:rsidRPr="00DC03B8">
        <w:rPr>
          <w:lang w:val="en-AU"/>
        </w:rPr>
        <w:t>Judaism and New Testament religion are really the same</w:t>
      </w:r>
      <w:r w:rsidR="00863B47" w:rsidRPr="00DC03B8">
        <w:rPr>
          <w:lang w:val="en-AU"/>
        </w:rPr>
        <w:t>”</w:t>
      </w:r>
      <w:r w:rsidR="004E1243" w:rsidRPr="00DC03B8">
        <w:rPr>
          <w:lang w:val="en-AU"/>
        </w:rPr>
        <w:t xml:space="preserve"> in that they share common origins and ethical paradigms </w:t>
      </w:r>
      <w:r w:rsidR="004E1243" w:rsidRPr="00DC03B8">
        <w:rPr>
          <w:vertAlign w:val="superscript"/>
          <w:lang w:val="en-AU"/>
        </w:rPr>
        <w:footnoteReference w:id="314"/>
      </w:r>
      <w:r w:rsidR="004E1243" w:rsidRPr="00DC03B8">
        <w:rPr>
          <w:vertAlign w:val="superscript"/>
          <w:lang w:val="en-AU"/>
        </w:rPr>
        <w:footnoteReference w:customMarkFollows="1" w:id="315"/>
        <w:t>,</w:t>
      </w:r>
      <w:r w:rsidR="004E1243" w:rsidRPr="00DC03B8">
        <w:rPr>
          <w:lang w:val="en-AU"/>
        </w:rPr>
        <w:t xml:space="preserve"> Sandmel does accurately state that </w:t>
      </w:r>
      <w:r w:rsidR="00863B47" w:rsidRPr="00DC03B8">
        <w:rPr>
          <w:lang w:val="en-AU"/>
        </w:rPr>
        <w:t>“</w:t>
      </w:r>
      <w:r w:rsidR="004E1243" w:rsidRPr="00DC03B8">
        <w:rPr>
          <w:lang w:val="en-AU"/>
        </w:rPr>
        <w:t>Judaism and Christianity became different religions over time,</w:t>
      </w:r>
      <w:r w:rsidR="00863B47" w:rsidRPr="00DC03B8">
        <w:rPr>
          <w:lang w:val="en-AU"/>
        </w:rPr>
        <w:t>”</w:t>
      </w:r>
      <w:r w:rsidR="004E1243" w:rsidRPr="00DC03B8">
        <w:rPr>
          <w:lang w:val="en-AU"/>
        </w:rPr>
        <w:t xml:space="preserve"> and as the time progressed further from Jesus so did the understanding of resistance.</w:t>
      </w:r>
      <w:r w:rsidR="004E1243" w:rsidRPr="00DC03B8">
        <w:rPr>
          <w:vertAlign w:val="superscript"/>
          <w:lang w:val="en-AU"/>
        </w:rPr>
        <w:footnoteReference w:id="316"/>
      </w:r>
      <w:r w:rsidR="004E1243" w:rsidRPr="00DC03B8">
        <w:rPr>
          <w:lang w:val="en-AU"/>
        </w:rPr>
        <w:t xml:space="preserve"> </w:t>
      </w:r>
      <w:r w:rsidR="00DB1925" w:rsidRPr="00DC03B8">
        <w:rPr>
          <w:lang w:val="en-AU"/>
        </w:rPr>
        <w:t xml:space="preserve">Matthew is of course not the earliest book in the New </w:t>
      </w:r>
      <w:proofErr w:type="gramStart"/>
      <w:r w:rsidR="00B42EFB" w:rsidRPr="00DC03B8">
        <w:rPr>
          <w:lang w:val="en-AU"/>
        </w:rPr>
        <w:t>Testament</w:t>
      </w:r>
      <w:proofErr w:type="gramEnd"/>
      <w:r w:rsidR="00DB1925" w:rsidRPr="00DC03B8">
        <w:rPr>
          <w:lang w:val="en-AU"/>
        </w:rPr>
        <w:t xml:space="preserve"> but </w:t>
      </w:r>
      <w:r w:rsidR="00C4411A" w:rsidRPr="00DC03B8">
        <w:rPr>
          <w:lang w:val="en-AU"/>
        </w:rPr>
        <w:t xml:space="preserve">it </w:t>
      </w:r>
      <w:r w:rsidR="00DB1925" w:rsidRPr="00DC03B8">
        <w:rPr>
          <w:lang w:val="en-AU"/>
        </w:rPr>
        <w:t>carries the eschatological theme</w:t>
      </w:r>
      <w:r w:rsidR="00BE6BA3" w:rsidRPr="00DC03B8">
        <w:rPr>
          <w:lang w:val="en-AU"/>
        </w:rPr>
        <w:t>. This prominence con</w:t>
      </w:r>
      <w:r w:rsidR="00CE45F3" w:rsidRPr="00DC03B8">
        <w:rPr>
          <w:lang w:val="en-AU"/>
        </w:rPr>
        <w:t>trast</w:t>
      </w:r>
      <w:r w:rsidR="00BE6BA3" w:rsidRPr="00DC03B8">
        <w:rPr>
          <w:lang w:val="en-AU"/>
        </w:rPr>
        <w:t xml:space="preserve">s with views of </w:t>
      </w:r>
      <w:r w:rsidR="00BE6BA3" w:rsidRPr="00DC03B8">
        <w:rPr>
          <w:lang w:val="en-AU"/>
        </w:rPr>
        <w:lastRenderedPageBreak/>
        <w:t>pacifism and peace found in Matthew 5:38</w:t>
      </w:r>
      <w:r w:rsidR="00CE45F3" w:rsidRPr="00DC03B8">
        <w:rPr>
          <w:lang w:val="en-AU"/>
        </w:rPr>
        <w:t>–</w:t>
      </w:r>
      <w:r w:rsidR="00BE6BA3" w:rsidRPr="00DC03B8">
        <w:rPr>
          <w:lang w:val="en-AU"/>
        </w:rPr>
        <w:t>42 in which a peaceful image</w:t>
      </w:r>
      <w:r w:rsidR="00CB07B0" w:rsidRPr="00DC03B8">
        <w:rPr>
          <w:lang w:val="en-AU"/>
        </w:rPr>
        <w:t xml:space="preserve"> of non-</w:t>
      </w:r>
      <w:r w:rsidR="00DB1925" w:rsidRPr="00DC03B8">
        <w:rPr>
          <w:lang w:val="en-AU"/>
        </w:rPr>
        <w:t>resistance or</w:t>
      </w:r>
      <w:r w:rsidR="00E92AF7" w:rsidRPr="00DC03B8">
        <w:rPr>
          <w:lang w:val="en-AU"/>
        </w:rPr>
        <w:t xml:space="preserve"> submission</w:t>
      </w:r>
      <w:r w:rsidR="00B933D0" w:rsidRPr="00DC03B8">
        <w:rPr>
          <w:lang w:val="en-AU"/>
        </w:rPr>
        <w:t xml:space="preserve"> </w:t>
      </w:r>
      <w:r w:rsidR="00BE6BA3" w:rsidRPr="00DC03B8">
        <w:rPr>
          <w:lang w:val="en-AU"/>
        </w:rPr>
        <w:t xml:space="preserve">is depicted by Jesus. </w:t>
      </w:r>
    </w:p>
    <w:p w14:paraId="79C2B1CF" w14:textId="143940B8" w:rsidR="008D4202" w:rsidRPr="00DC03B8" w:rsidRDefault="00BE6BA3" w:rsidP="008D4202">
      <w:pPr>
        <w:pStyle w:val="NormalWeb"/>
        <w:spacing w:before="2" w:after="2" w:line="480" w:lineRule="auto"/>
        <w:rPr>
          <w:rFonts w:ascii="Times New Roman" w:hAnsi="Times New Roman"/>
          <w:sz w:val="24"/>
          <w:szCs w:val="24"/>
          <w:lang w:val="en-AU"/>
        </w:rPr>
      </w:pPr>
      <w:r w:rsidRPr="00DC03B8">
        <w:rPr>
          <w:rFonts w:ascii="Times New Roman" w:hAnsi="Times New Roman"/>
          <w:sz w:val="24"/>
          <w:szCs w:val="24"/>
          <w:lang w:val="en-AU"/>
        </w:rPr>
        <w:tab/>
        <w:t xml:space="preserve">The rabbis often had to interact with the Roman authorities for the sake of the Jewish community, and this interaction required peaceful submission. This </w:t>
      </w:r>
      <w:r w:rsidR="00D8241C" w:rsidRPr="00DC03B8">
        <w:rPr>
          <w:rFonts w:ascii="Times New Roman" w:hAnsi="Times New Roman"/>
          <w:sz w:val="24"/>
          <w:szCs w:val="24"/>
          <w:lang w:val="en-AU"/>
        </w:rPr>
        <w:t>bec</w:t>
      </w:r>
      <w:r w:rsidR="00D01117" w:rsidRPr="00DC03B8">
        <w:rPr>
          <w:rFonts w:ascii="Times New Roman" w:hAnsi="Times New Roman"/>
          <w:sz w:val="24"/>
          <w:szCs w:val="24"/>
          <w:lang w:val="en-AU"/>
        </w:rPr>
        <w:t>a</w:t>
      </w:r>
      <w:r w:rsidR="00D8241C" w:rsidRPr="00DC03B8">
        <w:rPr>
          <w:rFonts w:ascii="Times New Roman" w:hAnsi="Times New Roman"/>
          <w:sz w:val="24"/>
          <w:szCs w:val="24"/>
          <w:lang w:val="en-AU"/>
        </w:rPr>
        <w:t>me problematic because p</w:t>
      </w:r>
      <w:r w:rsidRPr="00DC03B8">
        <w:rPr>
          <w:rFonts w:ascii="Times New Roman" w:hAnsi="Times New Roman"/>
          <w:sz w:val="24"/>
          <w:szCs w:val="24"/>
          <w:lang w:val="en-AU"/>
        </w:rPr>
        <w:t>rominent rabbis who became official liaisons to the Roman government had the ability to protect their own lives and the lives of fellow</w:t>
      </w:r>
      <w:r w:rsidR="00DC03B8">
        <w:rPr>
          <w:rFonts w:ascii="Times New Roman" w:hAnsi="Times New Roman"/>
          <w:sz w:val="24"/>
          <w:szCs w:val="24"/>
          <w:lang w:val="en-AU"/>
        </w:rPr>
        <w:t xml:space="preserve"> </w:t>
      </w:r>
      <w:r w:rsidRPr="00DC03B8">
        <w:rPr>
          <w:rFonts w:ascii="Times New Roman" w:hAnsi="Times New Roman"/>
          <w:sz w:val="24"/>
          <w:szCs w:val="24"/>
          <w:lang w:val="en-AU"/>
        </w:rPr>
        <w:t>Jews if any of them said or did anything that angered the Roman government</w:t>
      </w:r>
      <w:r w:rsidR="00D8241C" w:rsidRPr="00DC03B8">
        <w:rPr>
          <w:rFonts w:ascii="Times New Roman" w:hAnsi="Times New Roman"/>
          <w:sz w:val="24"/>
          <w:szCs w:val="24"/>
          <w:lang w:val="en-AU"/>
        </w:rPr>
        <w:t xml:space="preserve"> while often having to speak in ways </w:t>
      </w:r>
      <w:r w:rsidR="004C1F7D" w:rsidRPr="00DC03B8">
        <w:rPr>
          <w:rFonts w:ascii="Times New Roman" w:hAnsi="Times New Roman"/>
          <w:sz w:val="24"/>
          <w:szCs w:val="24"/>
          <w:lang w:val="en-AU"/>
        </w:rPr>
        <w:t>that would not</w:t>
      </w:r>
      <w:r w:rsidR="00D8241C" w:rsidRPr="00DC03B8">
        <w:rPr>
          <w:rFonts w:ascii="Times New Roman" w:hAnsi="Times New Roman"/>
          <w:sz w:val="24"/>
          <w:szCs w:val="24"/>
          <w:lang w:val="en-AU"/>
        </w:rPr>
        <w:t xml:space="preserve"> upset the Roman leadership</w:t>
      </w:r>
      <w:r w:rsidRPr="00DC03B8">
        <w:rPr>
          <w:rFonts w:ascii="Times New Roman" w:hAnsi="Times New Roman"/>
          <w:sz w:val="24"/>
          <w:szCs w:val="24"/>
          <w:lang w:val="en-AU"/>
        </w:rPr>
        <w:t xml:space="preserve">. </w:t>
      </w:r>
    </w:p>
    <w:p w14:paraId="3D2C5B3E" w14:textId="7D5731E7" w:rsidR="008D4202" w:rsidRPr="00A33814" w:rsidRDefault="00BE6BA3" w:rsidP="008D4202">
      <w:pPr>
        <w:pStyle w:val="NormalWeb"/>
        <w:spacing w:before="2" w:after="2" w:line="480" w:lineRule="auto"/>
        <w:rPr>
          <w:rFonts w:ascii="Times New Roman" w:hAnsi="Times New Roman"/>
          <w:sz w:val="24"/>
          <w:szCs w:val="24"/>
          <w:lang w:val="en-AU"/>
        </w:rPr>
      </w:pPr>
      <w:r w:rsidRPr="00DC03B8">
        <w:rPr>
          <w:rFonts w:ascii="Times New Roman" w:hAnsi="Times New Roman"/>
          <w:sz w:val="24"/>
          <w:szCs w:val="24"/>
          <w:lang w:val="en-AU"/>
        </w:rPr>
        <w:tab/>
        <w:t xml:space="preserve">The traditions attributed to the rabbis also address the abuse of power observed in the Roman Empire. The warnings </w:t>
      </w:r>
      <w:r w:rsidR="00C256E9" w:rsidRPr="00DC03B8">
        <w:rPr>
          <w:rFonts w:ascii="Times New Roman" w:hAnsi="Times New Roman"/>
          <w:sz w:val="24"/>
          <w:szCs w:val="24"/>
          <w:lang w:val="en-AU"/>
        </w:rPr>
        <w:t>in</w:t>
      </w:r>
      <w:r w:rsidR="006854F2" w:rsidRPr="00DC03B8">
        <w:rPr>
          <w:rFonts w:ascii="Times New Roman" w:hAnsi="Times New Roman"/>
          <w:sz w:val="24"/>
          <w:szCs w:val="24"/>
          <w:lang w:val="en-AU"/>
        </w:rPr>
        <w:t xml:space="preserve"> </w:t>
      </w:r>
      <w:r w:rsidR="006854F2" w:rsidRPr="00DC03B8">
        <w:rPr>
          <w:rFonts w:ascii="Times New Roman" w:hAnsi="Times New Roman"/>
          <w:i/>
          <w:iCs/>
          <w:sz w:val="24"/>
          <w:szCs w:val="24"/>
          <w:lang w:val="en-AU"/>
        </w:rPr>
        <w:t>Avot</w:t>
      </w:r>
      <w:r w:rsidR="006854F2" w:rsidRPr="00DC03B8">
        <w:rPr>
          <w:rFonts w:ascii="Times New Roman" w:hAnsi="Times New Roman"/>
          <w:sz w:val="24"/>
          <w:szCs w:val="24"/>
          <w:lang w:val="en-AU"/>
        </w:rPr>
        <w:t xml:space="preserve"> 1:10 about not being noticeable </w:t>
      </w:r>
      <w:r w:rsidR="00C256E9" w:rsidRPr="00DC03B8">
        <w:rPr>
          <w:rFonts w:ascii="Times New Roman" w:hAnsi="Times New Roman"/>
          <w:sz w:val="24"/>
          <w:szCs w:val="24"/>
          <w:lang w:val="en-AU"/>
        </w:rPr>
        <w:t>to</w:t>
      </w:r>
      <w:r w:rsidR="006854F2" w:rsidRPr="00DC03B8">
        <w:rPr>
          <w:rFonts w:ascii="Times New Roman" w:hAnsi="Times New Roman"/>
          <w:sz w:val="24"/>
          <w:szCs w:val="24"/>
          <w:lang w:val="en-AU"/>
        </w:rPr>
        <w:t xml:space="preserve"> the government </w:t>
      </w:r>
      <w:r w:rsidRPr="00DC03B8">
        <w:rPr>
          <w:rFonts w:ascii="Times New Roman" w:hAnsi="Times New Roman"/>
          <w:sz w:val="24"/>
          <w:szCs w:val="24"/>
          <w:lang w:val="en-AU"/>
        </w:rPr>
        <w:t>are based on bitter personal experience. The Romans did entice members of the Jewish community to serve as informants against their fellow Jews. Some Jews became collaborators with the Romans and were paid hefty bribes to do so</w:t>
      </w:r>
      <w:r w:rsidR="00CA54A4" w:rsidRPr="00DC03B8">
        <w:rPr>
          <w:rFonts w:ascii="Times New Roman" w:hAnsi="Times New Roman"/>
          <w:sz w:val="24"/>
          <w:szCs w:val="24"/>
          <w:lang w:val="en-AU"/>
        </w:rPr>
        <w:t>.</w:t>
      </w:r>
      <w:r w:rsidRPr="00DC03B8">
        <w:rPr>
          <w:rFonts w:ascii="Times New Roman" w:hAnsi="Times New Roman"/>
          <w:sz w:val="24"/>
          <w:szCs w:val="24"/>
          <w:lang w:val="en-AU"/>
        </w:rPr>
        <w:t xml:space="preserve"> </w:t>
      </w:r>
      <w:r w:rsidR="00CA54A4" w:rsidRPr="00DC03B8">
        <w:rPr>
          <w:rFonts w:ascii="Times New Roman" w:hAnsi="Times New Roman"/>
          <w:sz w:val="24"/>
          <w:szCs w:val="24"/>
          <w:lang w:val="en-AU"/>
        </w:rPr>
        <w:t>H</w:t>
      </w:r>
      <w:r w:rsidRPr="00DC03B8">
        <w:rPr>
          <w:rFonts w:ascii="Times New Roman" w:hAnsi="Times New Roman"/>
          <w:sz w:val="24"/>
          <w:szCs w:val="24"/>
          <w:lang w:val="en-AU"/>
        </w:rPr>
        <w:t>owever</w:t>
      </w:r>
      <w:r w:rsidR="00CA54A4" w:rsidRPr="00DC03B8">
        <w:rPr>
          <w:rFonts w:ascii="Times New Roman" w:hAnsi="Times New Roman"/>
          <w:sz w:val="24"/>
          <w:szCs w:val="24"/>
          <w:lang w:val="en-AU"/>
        </w:rPr>
        <w:t>,</w:t>
      </w:r>
      <w:r w:rsidRPr="00DC03B8">
        <w:rPr>
          <w:rFonts w:ascii="Times New Roman" w:hAnsi="Times New Roman"/>
          <w:sz w:val="24"/>
          <w:szCs w:val="24"/>
          <w:lang w:val="en-AU"/>
        </w:rPr>
        <w:t xml:space="preserve"> when the Romans no longer needed these Jewish collaborators or had the smallest suspicion about their loyalty, they were ruthlessly eliminated. This </w:t>
      </w:r>
      <w:r w:rsidR="0064029A" w:rsidRPr="00DC03B8">
        <w:rPr>
          <w:rFonts w:ascii="Times New Roman" w:hAnsi="Times New Roman"/>
          <w:sz w:val="24"/>
          <w:szCs w:val="24"/>
          <w:lang w:val="en-AU"/>
        </w:rPr>
        <w:t xml:space="preserve">ethical principle </w:t>
      </w:r>
      <w:r w:rsidRPr="00DC03B8">
        <w:rPr>
          <w:rFonts w:ascii="Times New Roman" w:hAnsi="Times New Roman"/>
          <w:sz w:val="24"/>
          <w:szCs w:val="24"/>
          <w:lang w:val="en-AU"/>
        </w:rPr>
        <w:t xml:space="preserve">of being scrupulous with </w:t>
      </w:r>
      <w:r w:rsidR="0064029A" w:rsidRPr="00DC03B8">
        <w:rPr>
          <w:rFonts w:ascii="Times New Roman" w:hAnsi="Times New Roman"/>
          <w:sz w:val="24"/>
          <w:szCs w:val="24"/>
          <w:lang w:val="en-AU"/>
        </w:rPr>
        <w:t xml:space="preserve">authority </w:t>
      </w:r>
      <w:r w:rsidRPr="00DC03B8">
        <w:rPr>
          <w:rFonts w:ascii="Times New Roman" w:hAnsi="Times New Roman"/>
          <w:sz w:val="24"/>
          <w:szCs w:val="24"/>
          <w:lang w:val="en-AU"/>
        </w:rPr>
        <w:t xml:space="preserve">is applicable from </w:t>
      </w:r>
      <w:r w:rsidRPr="00DC03B8">
        <w:rPr>
          <w:rFonts w:ascii="Times New Roman" w:hAnsi="Times New Roman"/>
          <w:i/>
          <w:sz w:val="24"/>
          <w:szCs w:val="24"/>
          <w:lang w:val="en-AU"/>
        </w:rPr>
        <w:t>Mishna Avot</w:t>
      </w:r>
      <w:r w:rsidRPr="00DC03B8">
        <w:rPr>
          <w:rFonts w:ascii="Times New Roman" w:hAnsi="Times New Roman"/>
          <w:sz w:val="24"/>
          <w:szCs w:val="24"/>
          <w:lang w:val="en-AU"/>
        </w:rPr>
        <w:t xml:space="preserve"> 2:3: </w:t>
      </w:r>
      <w:r w:rsidR="00863B47" w:rsidRPr="00DC03B8">
        <w:rPr>
          <w:rFonts w:ascii="Times New Roman" w:hAnsi="Times New Roman"/>
          <w:sz w:val="24"/>
          <w:szCs w:val="24"/>
          <w:lang w:val="en-AU"/>
        </w:rPr>
        <w:t>“</w:t>
      </w:r>
      <w:r w:rsidRPr="00DC03B8">
        <w:rPr>
          <w:rFonts w:ascii="Times New Roman" w:hAnsi="Times New Roman"/>
          <w:sz w:val="24"/>
          <w:szCs w:val="24"/>
          <w:lang w:val="en-AU"/>
        </w:rPr>
        <w:t>Be careful in dealing with the ruling power; for they draw no one near to themselves except for their own interests. They appear as friends when it is to their advantage, but they do not stand by an individual in his time of need.</w:t>
      </w:r>
      <w:r w:rsidR="00863B47" w:rsidRPr="00DC03B8">
        <w:rPr>
          <w:rFonts w:ascii="Times New Roman" w:hAnsi="Times New Roman"/>
          <w:sz w:val="24"/>
          <w:szCs w:val="24"/>
          <w:lang w:val="en-AU"/>
        </w:rPr>
        <w:t>”</w:t>
      </w:r>
      <w:r w:rsidRPr="00DC03B8">
        <w:rPr>
          <w:rFonts w:ascii="Times New Roman" w:hAnsi="Times New Roman"/>
          <w:sz w:val="24"/>
          <w:szCs w:val="24"/>
          <w:lang w:val="en-AU"/>
        </w:rPr>
        <w:t xml:space="preserve"> Yet even under Rome, the rabbis understood the necessity of the political system and the need for government to</w:t>
      </w:r>
      <w:r w:rsidRPr="00A33814">
        <w:rPr>
          <w:rFonts w:ascii="Times New Roman" w:hAnsi="Times New Roman"/>
          <w:sz w:val="24"/>
          <w:szCs w:val="24"/>
          <w:lang w:val="en-AU"/>
        </w:rPr>
        <w:t xml:space="preserve"> help control society. </w:t>
      </w:r>
      <w:r w:rsidRPr="00A33814">
        <w:rPr>
          <w:rFonts w:ascii="Times New Roman" w:hAnsi="Times New Roman"/>
          <w:i/>
          <w:sz w:val="24"/>
          <w:szCs w:val="24"/>
          <w:lang w:val="en-AU"/>
        </w:rPr>
        <w:t>Mishna Avot 3:2</w:t>
      </w:r>
      <w:r w:rsidRPr="00A33814">
        <w:rPr>
          <w:rFonts w:ascii="Times New Roman" w:hAnsi="Times New Roman"/>
          <w:sz w:val="24"/>
          <w:szCs w:val="24"/>
          <w:lang w:val="en-AU"/>
        </w:rPr>
        <w:t xml:space="preserve"> points out that </w:t>
      </w:r>
      <w:r w:rsidR="00863B47" w:rsidRPr="00A33814">
        <w:rPr>
          <w:rFonts w:ascii="Times New Roman" w:hAnsi="Times New Roman"/>
          <w:sz w:val="24"/>
          <w:szCs w:val="24"/>
          <w:lang w:val="en-AU"/>
        </w:rPr>
        <w:t>“</w:t>
      </w:r>
      <w:r w:rsidRPr="00A33814">
        <w:rPr>
          <w:rFonts w:ascii="Times New Roman" w:hAnsi="Times New Roman"/>
          <w:sz w:val="24"/>
          <w:szCs w:val="24"/>
          <w:lang w:val="en-AU"/>
        </w:rPr>
        <w:t xml:space="preserve">each person would swallow their </w:t>
      </w:r>
      <w:r w:rsidR="002123A9" w:rsidRPr="00A33814">
        <w:rPr>
          <w:rFonts w:ascii="Times New Roman" w:hAnsi="Times New Roman"/>
          <w:sz w:val="24"/>
          <w:szCs w:val="24"/>
          <w:lang w:val="en-AU"/>
        </w:rPr>
        <w:t>neighbour</w:t>
      </w:r>
      <w:r w:rsidRPr="00A33814">
        <w:rPr>
          <w:rFonts w:ascii="Times New Roman" w:hAnsi="Times New Roman"/>
          <w:sz w:val="24"/>
          <w:szCs w:val="24"/>
          <w:lang w:val="en-AU"/>
        </w:rPr>
        <w:t xml:space="preserve"> alive</w:t>
      </w:r>
      <w:r w:rsidR="00AE2F9D" w:rsidRPr="00A33814">
        <w:rPr>
          <w:rFonts w:ascii="Times New Roman" w:hAnsi="Times New Roman"/>
          <w:sz w:val="24"/>
          <w:szCs w:val="24"/>
          <w:lang w:val="en-AU"/>
        </w:rPr>
        <w:t>.</w:t>
      </w:r>
      <w:r w:rsidR="00863B47" w:rsidRPr="00A33814">
        <w:rPr>
          <w:rFonts w:ascii="Times New Roman" w:hAnsi="Times New Roman"/>
          <w:sz w:val="24"/>
          <w:szCs w:val="24"/>
          <w:lang w:val="en-AU"/>
        </w:rPr>
        <w:t>”</w:t>
      </w:r>
      <w:r w:rsidRPr="00A33814">
        <w:rPr>
          <w:rFonts w:ascii="Times New Roman" w:hAnsi="Times New Roman"/>
          <w:sz w:val="24"/>
          <w:szCs w:val="24"/>
          <w:lang w:val="en-AU"/>
        </w:rPr>
        <w:t xml:space="preserve"> </w:t>
      </w:r>
      <w:r w:rsidR="00AE2F9D" w:rsidRPr="00A33814">
        <w:rPr>
          <w:rFonts w:ascii="Times New Roman" w:hAnsi="Times New Roman"/>
          <w:sz w:val="24"/>
          <w:szCs w:val="24"/>
          <w:lang w:val="en-AU"/>
        </w:rPr>
        <w:t>H</w:t>
      </w:r>
      <w:r w:rsidRPr="00A33814">
        <w:rPr>
          <w:rFonts w:ascii="Times New Roman" w:hAnsi="Times New Roman"/>
          <w:sz w:val="24"/>
          <w:szCs w:val="24"/>
          <w:lang w:val="en-AU"/>
        </w:rPr>
        <w:t>uman beings could very possibly destroy each other if there were no authority in place to prevent it.</w:t>
      </w:r>
    </w:p>
    <w:p w14:paraId="69B53BE7" w14:textId="553DAFBF" w:rsidR="008D4202" w:rsidRPr="00A33814" w:rsidRDefault="00BE6BA3" w:rsidP="008D4202">
      <w:pPr>
        <w:widowControl w:val="0"/>
        <w:autoSpaceDE w:val="0"/>
        <w:autoSpaceDN w:val="0"/>
        <w:adjustRightInd w:val="0"/>
        <w:spacing w:line="480" w:lineRule="auto"/>
        <w:rPr>
          <w:lang w:val="en-AU"/>
        </w:rPr>
      </w:pPr>
      <w:r w:rsidRPr="00A33814">
        <w:rPr>
          <w:lang w:val="en-AU"/>
        </w:rPr>
        <w:tab/>
        <w:t>The rabbis reali</w:t>
      </w:r>
      <w:r w:rsidR="00D86BBD" w:rsidRPr="00A33814">
        <w:rPr>
          <w:lang w:val="en-AU"/>
        </w:rPr>
        <w:t>s</w:t>
      </w:r>
      <w:r w:rsidRPr="00A33814">
        <w:rPr>
          <w:lang w:val="en-AU"/>
        </w:rPr>
        <w:t xml:space="preserve">ed that </w:t>
      </w:r>
      <w:r w:rsidR="00A6038F" w:rsidRPr="00A33814">
        <w:rPr>
          <w:lang w:val="en-AU"/>
        </w:rPr>
        <w:t xml:space="preserve">realistically </w:t>
      </w:r>
      <w:r w:rsidRPr="00A33814">
        <w:rPr>
          <w:lang w:val="en-AU"/>
        </w:rPr>
        <w:t>they had no way of amassing a large army to use against the Roman forces; they also had no financial means to organi</w:t>
      </w:r>
      <w:r w:rsidR="00D86BBD" w:rsidRPr="00A33814">
        <w:rPr>
          <w:lang w:val="en-AU"/>
        </w:rPr>
        <w:t>s</w:t>
      </w:r>
      <w:r w:rsidRPr="00A33814">
        <w:rPr>
          <w:lang w:val="en-AU"/>
        </w:rPr>
        <w:t xml:space="preserve">e the Jewish community effectively against Rome. This left them with but one option—to be submissive </w:t>
      </w:r>
      <w:r w:rsidRPr="00A33814">
        <w:rPr>
          <w:lang w:val="en-AU"/>
        </w:rPr>
        <w:lastRenderedPageBreak/>
        <w:t>to Rome while working quietly behind the scenes asking God to intervene</w:t>
      </w:r>
      <w:r w:rsidR="00DE200B" w:rsidRPr="00A33814">
        <w:rPr>
          <w:lang w:val="en-AU"/>
        </w:rPr>
        <w:t xml:space="preserve"> and treating everyone with love and respect</w:t>
      </w:r>
      <w:r w:rsidRPr="00A33814">
        <w:rPr>
          <w:lang w:val="en-AU"/>
        </w:rPr>
        <w:t>.</w:t>
      </w:r>
    </w:p>
    <w:p w14:paraId="5AC3B16D" w14:textId="5C375C4E" w:rsidR="008D4202" w:rsidRPr="009E7B69" w:rsidRDefault="00E3671C" w:rsidP="00B42EFB">
      <w:pPr>
        <w:pStyle w:val="Heading2"/>
      </w:pPr>
      <w:bookmarkStart w:id="110" w:name="_Toc94537008"/>
      <w:bookmarkStart w:id="111" w:name="_Toc118063655"/>
      <w:r w:rsidRPr="009E7B69">
        <w:t>5.10</w:t>
      </w:r>
      <w:r w:rsidR="00AD0C67" w:rsidRPr="009E7B69">
        <w:t xml:space="preserve"> </w:t>
      </w:r>
      <w:r w:rsidR="00322ABC" w:rsidRPr="009E7B69">
        <w:rPr>
          <w:i/>
          <w:iCs/>
        </w:rPr>
        <w:t xml:space="preserve">Mishna </w:t>
      </w:r>
      <w:r w:rsidR="007634F3" w:rsidRPr="009E7B69">
        <w:rPr>
          <w:i/>
          <w:iCs/>
        </w:rPr>
        <w:t>A</w:t>
      </w:r>
      <w:r w:rsidR="00322ABC" w:rsidRPr="009E7B69">
        <w:rPr>
          <w:i/>
          <w:iCs/>
        </w:rPr>
        <w:t xml:space="preserve">vot </w:t>
      </w:r>
      <w:r w:rsidR="00322ABC" w:rsidRPr="009E7B69">
        <w:t>2:</w:t>
      </w:r>
      <w:r w:rsidR="00616924" w:rsidRPr="009E7B69">
        <w:t>4</w:t>
      </w:r>
      <w:r w:rsidR="00322ABC" w:rsidRPr="009E7B69">
        <w:t xml:space="preserve"> and </w:t>
      </w:r>
      <w:r w:rsidR="00355C36" w:rsidRPr="009E7B69">
        <w:t>the</w:t>
      </w:r>
      <w:r w:rsidR="00322ABC" w:rsidRPr="009E7B69">
        <w:t xml:space="preserve"> </w:t>
      </w:r>
      <w:r w:rsidR="00503B24">
        <w:t>R</w:t>
      </w:r>
      <w:r w:rsidR="00503B24" w:rsidRPr="009E7B69">
        <w:t xml:space="preserve">ole </w:t>
      </w:r>
      <w:r w:rsidR="00322ABC" w:rsidRPr="009E7B69">
        <w:t xml:space="preserve">of </w:t>
      </w:r>
      <w:bookmarkEnd w:id="110"/>
      <w:r w:rsidR="00503B24">
        <w:t>C</w:t>
      </w:r>
      <w:r w:rsidR="00503B24" w:rsidRPr="009E7B69">
        <w:t>ommunity</w:t>
      </w:r>
      <w:bookmarkEnd w:id="111"/>
    </w:p>
    <w:p w14:paraId="6914C90D" w14:textId="77777777" w:rsidR="00616924" w:rsidRPr="009E7B69" w:rsidRDefault="00616924" w:rsidP="00F6256C">
      <w:pPr>
        <w:spacing w:before="100" w:beforeAutospacing="1" w:after="100" w:afterAutospacing="1"/>
        <w:ind w:left="706" w:right="706"/>
        <w:mirrorIndents/>
        <w:jc w:val="right"/>
      </w:pPr>
      <w:r w:rsidRPr="009E7B69">
        <w:rPr>
          <w:rtl/>
        </w:rPr>
        <w:t>הוּא הָיָה אוֹמֵר, עֲשֵׂה רְצוֹנוֹ כִרְצוֹנְךָ, כְּדֵי שֶׁיַּעֲשֶׂה רְצוֹנְךָ כִרְצוֹנוֹ. בַּטֵּל רְצוֹנְךָ מִפְּנֵי רְצוֹנוֹ, כְּדֵי שֶׁיְּבַטֵּל רְצוֹן אֲחֵרִים מִפְּנֵי רְצוֹנֶךָ. הִלֵּל אוֹמֵר, אַל תִּפְרֹשׁ מִן הַצִּבּוּר, וְאַל תַּאֲמִין בְּעַצְמְךָ עַד יוֹם מוֹתְךָ, וְאַל תָּדִין אֶת חֲבֵרְךָ עַד שֶׁתַּגִּיעַ לִמְקוֹמוֹ, וְאַל תֹּאמַר דָּבָר שֶׁאִי אֶפְשָׁר לִשְׁמֹעַ, שֶׁסּוֹפוֹ לְהִשָּׁמַע. וְאַל תֹּאמַר לִכְשֶׁאִפָּנֶה אֶשְׁנֶה, שֶׁמָּא לֹא תִפָּנֶה</w:t>
      </w:r>
      <w:r w:rsidRPr="009E7B69">
        <w:t xml:space="preserve">: </w:t>
      </w:r>
    </w:p>
    <w:p w14:paraId="29BBA33A" w14:textId="6DCB7746" w:rsidR="00D25D36" w:rsidRPr="00A33814" w:rsidRDefault="00616924" w:rsidP="00F6256C">
      <w:pPr>
        <w:spacing w:before="100" w:beforeAutospacing="1" w:after="100" w:afterAutospacing="1"/>
        <w:ind w:left="706" w:right="706"/>
        <w:mirrorIndents/>
        <w:rPr>
          <w:lang w:val="en-AU"/>
        </w:rPr>
      </w:pPr>
      <w:r w:rsidRPr="00A33814">
        <w:rPr>
          <w:lang w:val="en-AU"/>
        </w:rPr>
        <w:t xml:space="preserve">He </w:t>
      </w:r>
      <w:r w:rsidR="00FF6564" w:rsidRPr="00A33814">
        <w:rPr>
          <w:lang w:val="en-AU"/>
        </w:rPr>
        <w:t xml:space="preserve">[Rabban Gamaliel, son of Juda ha Nasi] </w:t>
      </w:r>
      <w:r w:rsidRPr="00A33814">
        <w:rPr>
          <w:lang w:val="en-AU"/>
        </w:rPr>
        <w:t xml:space="preserve">used to say: do His will as though it were your will, so that He will do your will as though it were His. Set aside your will in the face of His will, so that he may set aside the will of others for the sake of your will. Hillel said: do not separate yourself from the community, </w:t>
      </w:r>
      <w:proofErr w:type="gramStart"/>
      <w:r w:rsidRPr="00A33814">
        <w:rPr>
          <w:lang w:val="en-AU"/>
        </w:rPr>
        <w:t>Do</w:t>
      </w:r>
      <w:proofErr w:type="gramEnd"/>
      <w:r w:rsidRPr="00A33814">
        <w:rPr>
          <w:lang w:val="en-AU"/>
        </w:rPr>
        <w:t xml:space="preserve"> not trust in yourself until the day of your death, Do not judge your fellow man until you have reached his place. Do not say something that cannot be understood [trusting] that in the end it will be understood. Say not: </w:t>
      </w:r>
      <w:r w:rsidR="005C71CB" w:rsidRPr="00A33814">
        <w:rPr>
          <w:lang w:val="en-AU"/>
        </w:rPr>
        <w:t>‘</w:t>
      </w:r>
      <w:r w:rsidRPr="00A33814">
        <w:rPr>
          <w:lang w:val="en-AU"/>
        </w:rPr>
        <w:t>when I shall have leisure I shall study;</w:t>
      </w:r>
      <w:r w:rsidR="005C71CB" w:rsidRPr="00A33814">
        <w:rPr>
          <w:lang w:val="en-AU"/>
        </w:rPr>
        <w:t>’</w:t>
      </w:r>
      <w:r w:rsidRPr="00A33814">
        <w:rPr>
          <w:lang w:val="en-AU"/>
        </w:rPr>
        <w:t xml:space="preserve"> perhaps you will not have leisure.</w:t>
      </w:r>
    </w:p>
    <w:p w14:paraId="1E71B014" w14:textId="3BF977F0" w:rsidR="00D25D36" w:rsidRPr="00A33814" w:rsidRDefault="00DE200B" w:rsidP="00990707">
      <w:pPr>
        <w:spacing w:before="240" w:line="480" w:lineRule="auto"/>
        <w:ind w:firstLine="720"/>
        <w:rPr>
          <w:lang w:val="en-AU"/>
        </w:rPr>
      </w:pPr>
      <w:r w:rsidRPr="00A33814">
        <w:rPr>
          <w:lang w:val="en-AU"/>
        </w:rPr>
        <w:t xml:space="preserve">The view during the time of Jesus was to not withdraw </w:t>
      </w:r>
      <w:r w:rsidR="007973E3" w:rsidRPr="00A33814">
        <w:rPr>
          <w:lang w:val="en-AU"/>
        </w:rPr>
        <w:t>one</w:t>
      </w:r>
      <w:r w:rsidRPr="00A33814">
        <w:rPr>
          <w:lang w:val="en-AU"/>
        </w:rPr>
        <w:t>self f</w:t>
      </w:r>
      <w:r w:rsidR="007973E3" w:rsidRPr="00A33814">
        <w:rPr>
          <w:lang w:val="en-AU"/>
        </w:rPr>
        <w:t>ro</w:t>
      </w:r>
      <w:r w:rsidRPr="00A33814">
        <w:rPr>
          <w:lang w:val="en-AU"/>
        </w:rPr>
        <w:t>m the larger community of people.</w:t>
      </w:r>
      <w:r w:rsidR="00F77422">
        <w:rPr>
          <w:rStyle w:val="FootnoteReference"/>
          <w:lang w:val="en-AU"/>
        </w:rPr>
        <w:footnoteReference w:id="317"/>
      </w:r>
      <w:r w:rsidRPr="00A33814">
        <w:rPr>
          <w:lang w:val="en-AU"/>
        </w:rPr>
        <w:t xml:space="preserve"> </w:t>
      </w:r>
      <w:r w:rsidR="00F6256C" w:rsidRPr="00A33814">
        <w:rPr>
          <w:lang w:val="en-AU"/>
        </w:rPr>
        <w:t xml:space="preserve">This view of the community is found in the sayings of the </w:t>
      </w:r>
      <w:r w:rsidR="00F6256C" w:rsidRPr="00A33814">
        <w:rPr>
          <w:i/>
          <w:iCs/>
          <w:lang w:val="en-AU"/>
        </w:rPr>
        <w:t>Avot</w:t>
      </w:r>
      <w:r w:rsidR="00F6256C" w:rsidRPr="00A33814">
        <w:rPr>
          <w:lang w:val="en-AU"/>
        </w:rPr>
        <w:t xml:space="preserve"> </w:t>
      </w:r>
      <w:proofErr w:type="gramStart"/>
      <w:r w:rsidR="00F6256C" w:rsidRPr="00A33814">
        <w:rPr>
          <w:lang w:val="en-AU"/>
        </w:rPr>
        <w:t>in regard to</w:t>
      </w:r>
      <w:proofErr w:type="gramEnd"/>
      <w:r w:rsidR="00F6256C" w:rsidRPr="00A33814">
        <w:rPr>
          <w:lang w:val="en-AU"/>
        </w:rPr>
        <w:t xml:space="preserve"> remaining separate from the community in</w:t>
      </w:r>
      <w:r w:rsidR="00953371" w:rsidRPr="00A33814">
        <w:rPr>
          <w:lang w:val="en-AU"/>
        </w:rPr>
        <w:t xml:space="preserve"> which one resides</w:t>
      </w:r>
      <w:r w:rsidR="00F6256C" w:rsidRPr="00A33814">
        <w:rPr>
          <w:lang w:val="en-AU"/>
        </w:rPr>
        <w:t>.</w:t>
      </w:r>
      <w:r w:rsidR="00BE6BA3" w:rsidRPr="00A33814">
        <w:rPr>
          <w:lang w:val="en-AU"/>
        </w:rPr>
        <w:t xml:space="preserve"> The communitarianism mindset</w:t>
      </w:r>
      <w:r w:rsidR="006854F2" w:rsidRPr="00A33814">
        <w:rPr>
          <w:lang w:val="en-AU"/>
        </w:rPr>
        <w:t xml:space="preserve"> in the </w:t>
      </w:r>
      <w:r w:rsidR="006854F2" w:rsidRPr="00A33814">
        <w:rPr>
          <w:i/>
          <w:iCs/>
          <w:lang w:val="en-AU"/>
        </w:rPr>
        <w:t>Avot</w:t>
      </w:r>
      <w:r w:rsidR="00BE6BA3" w:rsidRPr="00A33814">
        <w:rPr>
          <w:lang w:val="en-AU"/>
        </w:rPr>
        <w:t xml:space="preserve"> de</w:t>
      </w:r>
      <w:r w:rsidR="006134FF" w:rsidRPr="00A33814">
        <w:rPr>
          <w:lang w:val="en-AU"/>
        </w:rPr>
        <w:t>termines</w:t>
      </w:r>
      <w:r w:rsidR="00BE6BA3" w:rsidRPr="00A33814">
        <w:rPr>
          <w:lang w:val="en-AU"/>
        </w:rPr>
        <w:t xml:space="preserve"> how people act ethically with justice and equality amongst themselves. </w:t>
      </w:r>
      <w:r w:rsidR="00BE6BA3" w:rsidRPr="00A33814">
        <w:rPr>
          <w:i/>
          <w:lang w:val="en-AU"/>
        </w:rPr>
        <w:t xml:space="preserve">Mishna Avot </w:t>
      </w:r>
      <w:r w:rsidR="00BE6BA3" w:rsidRPr="00A33814">
        <w:rPr>
          <w:lang w:val="en-AU"/>
        </w:rPr>
        <w:t>2:</w:t>
      </w:r>
      <w:r w:rsidR="00616924" w:rsidRPr="00A33814">
        <w:rPr>
          <w:lang w:val="en-AU"/>
        </w:rPr>
        <w:t>4</w:t>
      </w:r>
      <w:r w:rsidR="006B1A80" w:rsidRPr="00A33814">
        <w:rPr>
          <w:lang w:val="en-AU"/>
        </w:rPr>
        <w:t xml:space="preserve"> quotes </w:t>
      </w:r>
      <w:r w:rsidR="00BE6BA3" w:rsidRPr="00A33814">
        <w:rPr>
          <w:lang w:val="en-AU"/>
        </w:rPr>
        <w:t xml:space="preserve">Hillel, </w:t>
      </w:r>
      <w:r w:rsidR="00953371" w:rsidRPr="00A33814">
        <w:rPr>
          <w:lang w:val="en-AU"/>
        </w:rPr>
        <w:t>stating</w:t>
      </w:r>
      <w:r w:rsidR="009866A8" w:rsidRPr="00A33814">
        <w:rPr>
          <w:lang w:val="en-AU"/>
        </w:rPr>
        <w:t>,</w:t>
      </w:r>
      <w:r w:rsidR="00BE6BA3" w:rsidRPr="00A33814">
        <w:rPr>
          <w:lang w:val="en-AU"/>
        </w:rPr>
        <w:t xml:space="preserve"> </w:t>
      </w:r>
      <w:r w:rsidR="00863B47" w:rsidRPr="00A33814">
        <w:rPr>
          <w:lang w:val="en-AU"/>
        </w:rPr>
        <w:t>“</w:t>
      </w:r>
      <w:r w:rsidR="00BE6BA3" w:rsidRPr="00A33814">
        <w:rPr>
          <w:lang w:val="en-AU"/>
        </w:rPr>
        <w:t>do not abandon community</w:t>
      </w:r>
      <w:r w:rsidR="009866A8" w:rsidRPr="00A33814">
        <w:rPr>
          <w:lang w:val="en-AU"/>
        </w:rPr>
        <w:t>.</w:t>
      </w:r>
      <w:r w:rsidR="00863B47" w:rsidRPr="00A33814">
        <w:rPr>
          <w:lang w:val="en-AU"/>
        </w:rPr>
        <w:t>”</w:t>
      </w:r>
      <w:r w:rsidR="00BE6BA3" w:rsidRPr="00A33814">
        <w:rPr>
          <w:rStyle w:val="FootnoteReference"/>
          <w:lang w:val="en-AU"/>
        </w:rPr>
        <w:footnoteReference w:id="318"/>
      </w:r>
      <w:r w:rsidR="00BE6BA3" w:rsidRPr="00A33814">
        <w:rPr>
          <w:lang w:val="en-AU"/>
        </w:rPr>
        <w:t xml:space="preserve"> There may </w:t>
      </w:r>
      <w:r w:rsidR="009A5C76" w:rsidRPr="00A33814">
        <w:rPr>
          <w:lang w:val="en-AU"/>
        </w:rPr>
        <w:t xml:space="preserve">have </w:t>
      </w:r>
      <w:r w:rsidR="00BE6BA3" w:rsidRPr="00A33814">
        <w:rPr>
          <w:lang w:val="en-AU"/>
        </w:rPr>
        <w:t>be</w:t>
      </w:r>
      <w:r w:rsidR="009A5C76" w:rsidRPr="00A33814">
        <w:rPr>
          <w:lang w:val="en-AU"/>
        </w:rPr>
        <w:t>en</w:t>
      </w:r>
      <w:r w:rsidR="00BE6BA3" w:rsidRPr="00A33814">
        <w:rPr>
          <w:lang w:val="en-AU"/>
        </w:rPr>
        <w:t xml:space="preserve"> communities who live</w:t>
      </w:r>
      <w:r w:rsidR="009A5C76" w:rsidRPr="00A33814">
        <w:rPr>
          <w:lang w:val="en-AU"/>
        </w:rPr>
        <w:t>d</w:t>
      </w:r>
      <w:r w:rsidR="00BE6BA3" w:rsidRPr="00A33814">
        <w:rPr>
          <w:lang w:val="en-AU"/>
        </w:rPr>
        <w:t xml:space="preserve"> out away from society such as the Essenes</w:t>
      </w:r>
      <w:r w:rsidR="009A5C76" w:rsidRPr="00A33814">
        <w:rPr>
          <w:lang w:val="en-AU"/>
        </w:rPr>
        <w:t>, but</w:t>
      </w:r>
      <w:r w:rsidR="00BE6BA3" w:rsidRPr="00A33814">
        <w:rPr>
          <w:lang w:val="en-AU"/>
        </w:rPr>
        <w:t xml:space="preserve"> they still congregated together for community connection. </w:t>
      </w:r>
      <w:r w:rsidR="005A7C39" w:rsidRPr="00A33814">
        <w:rPr>
          <w:i/>
          <w:lang w:val="en-AU"/>
        </w:rPr>
        <w:t xml:space="preserve">Mishna Avot </w:t>
      </w:r>
      <w:r w:rsidR="005A7C39" w:rsidRPr="00A33814">
        <w:rPr>
          <w:lang w:val="en-AU"/>
        </w:rPr>
        <w:t>2:</w:t>
      </w:r>
      <w:r w:rsidR="00616924" w:rsidRPr="00A33814">
        <w:rPr>
          <w:lang w:val="en-AU"/>
        </w:rPr>
        <w:t>4</w:t>
      </w:r>
      <w:r w:rsidR="005A7C39" w:rsidRPr="00A33814">
        <w:rPr>
          <w:lang w:val="en-AU"/>
        </w:rPr>
        <w:t xml:space="preserve"> demonstrates the th</w:t>
      </w:r>
      <w:r w:rsidR="009A5C76" w:rsidRPr="00A33814">
        <w:rPr>
          <w:lang w:val="en-AU"/>
        </w:rPr>
        <w:t>inking about</w:t>
      </w:r>
      <w:r w:rsidR="005A7C39" w:rsidRPr="00A33814">
        <w:rPr>
          <w:lang w:val="en-AU"/>
        </w:rPr>
        <w:t xml:space="preserve"> community near the time of Jesus. </w:t>
      </w:r>
      <w:r w:rsidR="00BE6BA3" w:rsidRPr="00A33814">
        <w:rPr>
          <w:lang w:val="en-AU"/>
        </w:rPr>
        <w:t xml:space="preserve">Hillel </w:t>
      </w:r>
      <w:r w:rsidR="00B865F2" w:rsidRPr="00A33814">
        <w:rPr>
          <w:lang w:val="en-AU"/>
        </w:rPr>
        <w:t>flourish</w:t>
      </w:r>
      <w:r w:rsidR="00756FFB" w:rsidRPr="00A33814">
        <w:rPr>
          <w:lang w:val="en-AU"/>
        </w:rPr>
        <w:t xml:space="preserve">ed </w:t>
      </w:r>
      <w:r w:rsidR="009A5C76" w:rsidRPr="00A33814">
        <w:rPr>
          <w:lang w:val="en-AU"/>
        </w:rPr>
        <w:t xml:space="preserve">immediately </w:t>
      </w:r>
      <w:r w:rsidR="00BE6BA3" w:rsidRPr="00A33814">
        <w:rPr>
          <w:lang w:val="en-AU"/>
        </w:rPr>
        <w:t xml:space="preserve">prior to Jesus, and his words were widely discussed in Pharisaic circles, and so could be known to those who heard Jesus. </w:t>
      </w:r>
      <w:r w:rsidR="006B1A80" w:rsidRPr="00A33814">
        <w:rPr>
          <w:lang w:val="en-AU"/>
        </w:rPr>
        <w:t xml:space="preserve">For those who apply </w:t>
      </w:r>
      <w:r w:rsidR="006B1A80" w:rsidRPr="00A33814">
        <w:rPr>
          <w:i/>
          <w:iCs/>
          <w:lang w:val="en-AU"/>
        </w:rPr>
        <w:t>Avot</w:t>
      </w:r>
      <w:r w:rsidR="006B1A80" w:rsidRPr="00A33814">
        <w:rPr>
          <w:lang w:val="en-AU"/>
        </w:rPr>
        <w:t xml:space="preserve"> into their life, the </w:t>
      </w:r>
      <w:r w:rsidR="006B1A80" w:rsidRPr="00A33814">
        <w:rPr>
          <w:lang w:val="en-AU"/>
        </w:rPr>
        <w:lastRenderedPageBreak/>
        <w:t>encouragement is to become part of a community</w:t>
      </w:r>
      <w:r w:rsidR="0009020C" w:rsidRPr="00A33814">
        <w:rPr>
          <w:lang w:val="en-AU"/>
        </w:rPr>
        <w:t>.</w:t>
      </w:r>
      <w:r w:rsidR="00BE6BA3" w:rsidRPr="00A33814">
        <w:rPr>
          <w:rStyle w:val="FootnoteReference"/>
          <w:lang w:val="en-AU"/>
        </w:rPr>
        <w:footnoteReference w:id="319"/>
      </w:r>
      <w:r w:rsidR="00BE6BA3" w:rsidRPr="00A33814">
        <w:rPr>
          <w:lang w:val="en-AU"/>
        </w:rPr>
        <w:t xml:space="preserve"> </w:t>
      </w:r>
      <w:r w:rsidR="006B1A80" w:rsidRPr="00A33814">
        <w:rPr>
          <w:lang w:val="en-AU"/>
        </w:rPr>
        <w:t xml:space="preserve">This was evident with the people who surrounded Jesus, they became part of his community. </w:t>
      </w:r>
      <w:r w:rsidR="00BE6BA3" w:rsidRPr="00A33814">
        <w:rPr>
          <w:lang w:val="en-AU"/>
        </w:rPr>
        <w:t>When writing the Talmud, Rashi</w:t>
      </w:r>
      <w:r w:rsidR="00116CEB" w:rsidRPr="00A33814">
        <w:rPr>
          <w:lang w:val="en-AU"/>
        </w:rPr>
        <w:t xml:space="preserve"> </w:t>
      </w:r>
      <w:r w:rsidR="00BE6BA3" w:rsidRPr="00A33814">
        <w:rPr>
          <w:lang w:val="en-AU"/>
        </w:rPr>
        <w:t>(also known as Shlomo Yitzhaki) explained</w:t>
      </w:r>
      <w:r w:rsidR="005A7C39" w:rsidRPr="00A33814">
        <w:rPr>
          <w:lang w:val="en-AU"/>
        </w:rPr>
        <w:t xml:space="preserve"> that it is the duty of a person to help community as well as study Torah.</w:t>
      </w:r>
      <w:r w:rsidR="00BE6BA3" w:rsidRPr="00A33814">
        <w:rPr>
          <w:rStyle w:val="FootnoteReference"/>
          <w:lang w:val="en-AU"/>
        </w:rPr>
        <w:footnoteReference w:id="320"/>
      </w:r>
      <w:r w:rsidR="00BE6BA3" w:rsidRPr="00A33814">
        <w:rPr>
          <w:lang w:val="en-AU"/>
        </w:rPr>
        <w:t xml:space="preserve"> Rashi</w:t>
      </w:r>
      <w:r w:rsidR="005C71CB" w:rsidRPr="00A33814">
        <w:rPr>
          <w:lang w:val="en-AU"/>
        </w:rPr>
        <w:t>’</w:t>
      </w:r>
      <w:r w:rsidR="00BE6BA3" w:rsidRPr="00A33814">
        <w:rPr>
          <w:lang w:val="en-AU"/>
        </w:rPr>
        <w:t xml:space="preserve">s </w:t>
      </w:r>
      <w:r w:rsidR="000C47BA" w:rsidRPr="00A33814">
        <w:rPr>
          <w:lang w:val="en-AU"/>
        </w:rPr>
        <w:t xml:space="preserve">view is </w:t>
      </w:r>
      <w:r w:rsidR="001811CA" w:rsidRPr="00A33814">
        <w:rPr>
          <w:lang w:val="en-AU"/>
        </w:rPr>
        <w:t>consistent</w:t>
      </w:r>
      <w:r w:rsidR="000C47BA" w:rsidRPr="00A33814">
        <w:rPr>
          <w:lang w:val="en-AU"/>
        </w:rPr>
        <w:t xml:space="preserve"> that Torah is important; however, one must ensure that the community is taken care of. </w:t>
      </w:r>
      <w:r w:rsidR="00996E7A" w:rsidRPr="00A33814">
        <w:rPr>
          <w:lang w:val="en-AU"/>
        </w:rPr>
        <w:t>The New Testament stories in Matthew 10:2</w:t>
      </w:r>
      <w:r w:rsidR="00B865F2" w:rsidRPr="00A33814">
        <w:rPr>
          <w:lang w:val="en-AU"/>
        </w:rPr>
        <w:t>–</w:t>
      </w:r>
      <w:r w:rsidR="00996E7A" w:rsidRPr="00A33814">
        <w:rPr>
          <w:lang w:val="en-AU"/>
        </w:rPr>
        <w:t xml:space="preserve">4 show the evident mindset of being in community and studying under Jesus. The triumphal entry into Jerusalem </w:t>
      </w:r>
      <w:r w:rsidR="00652607" w:rsidRPr="00A33814">
        <w:rPr>
          <w:lang w:val="en-AU"/>
        </w:rPr>
        <w:t xml:space="preserve">described </w:t>
      </w:r>
      <w:r w:rsidR="00996E7A" w:rsidRPr="00A33814">
        <w:rPr>
          <w:lang w:val="en-AU"/>
        </w:rPr>
        <w:t>in Matthew 21:8</w:t>
      </w:r>
      <w:r w:rsidR="00652607" w:rsidRPr="00A33814">
        <w:rPr>
          <w:lang w:val="en-AU"/>
        </w:rPr>
        <w:t>–</w:t>
      </w:r>
      <w:r w:rsidR="00996E7A" w:rsidRPr="00A33814">
        <w:rPr>
          <w:lang w:val="en-AU"/>
        </w:rPr>
        <w:t xml:space="preserve">11 is an example of a community in support of Jesus. </w:t>
      </w:r>
      <w:r w:rsidR="007639B0" w:rsidRPr="00A33814">
        <w:rPr>
          <w:lang w:val="en-AU"/>
        </w:rPr>
        <w:t xml:space="preserve">In this action </w:t>
      </w:r>
      <w:r w:rsidR="00BE6BA3" w:rsidRPr="00A33814">
        <w:rPr>
          <w:lang w:val="en-AU"/>
        </w:rPr>
        <w:t xml:space="preserve">followers of Jesus </w:t>
      </w:r>
      <w:r w:rsidR="00984A0A" w:rsidRPr="00A33814">
        <w:rPr>
          <w:lang w:val="en-AU"/>
        </w:rPr>
        <w:t>practiced</w:t>
      </w:r>
      <w:r w:rsidR="00BE6BA3" w:rsidRPr="00A33814">
        <w:rPr>
          <w:lang w:val="en-AU"/>
        </w:rPr>
        <w:t xml:space="preserve"> the precepts found in </w:t>
      </w:r>
      <w:r w:rsidR="00BE6BA3" w:rsidRPr="00A33814">
        <w:rPr>
          <w:i/>
          <w:lang w:val="en-AU"/>
        </w:rPr>
        <w:t xml:space="preserve">Avot </w:t>
      </w:r>
      <w:r w:rsidR="00BE6BA3" w:rsidRPr="00A33814">
        <w:rPr>
          <w:lang w:val="en-AU"/>
        </w:rPr>
        <w:t>2:</w:t>
      </w:r>
      <w:r w:rsidR="00616924" w:rsidRPr="00A33814">
        <w:rPr>
          <w:lang w:val="en-AU"/>
        </w:rPr>
        <w:t>4</w:t>
      </w:r>
      <w:r w:rsidR="00BE6BA3" w:rsidRPr="00A33814">
        <w:rPr>
          <w:lang w:val="en-AU"/>
        </w:rPr>
        <w:t xml:space="preserve">. </w:t>
      </w:r>
      <w:r w:rsidR="001811CA" w:rsidRPr="00A33814">
        <w:rPr>
          <w:lang w:val="en-AU"/>
        </w:rPr>
        <w:t>The followers of Jesus in each example did exactly that</w:t>
      </w:r>
      <w:r w:rsidR="00652607" w:rsidRPr="00A33814">
        <w:rPr>
          <w:lang w:val="en-AU"/>
        </w:rPr>
        <w:t>―</w:t>
      </w:r>
      <w:r w:rsidR="001811CA" w:rsidRPr="00A33814">
        <w:rPr>
          <w:lang w:val="en-AU"/>
        </w:rPr>
        <w:t xml:space="preserve">follow Jesus. </w:t>
      </w:r>
      <w:bookmarkStart w:id="112" w:name="_Toc94537009"/>
    </w:p>
    <w:p w14:paraId="0F949971" w14:textId="521D8B51" w:rsidR="008D4202" w:rsidRPr="009E7B69" w:rsidRDefault="00E3671C" w:rsidP="00B42EFB">
      <w:pPr>
        <w:pStyle w:val="Heading3"/>
      </w:pPr>
      <w:bookmarkStart w:id="113" w:name="_Toc118063656"/>
      <w:r w:rsidRPr="009E7B69">
        <w:t>5.10</w:t>
      </w:r>
      <w:r w:rsidR="00DB3710" w:rsidRPr="009E7B69">
        <w:t>.</w:t>
      </w:r>
      <w:r w:rsidR="00BE6BA3" w:rsidRPr="009E7B69">
        <w:t xml:space="preserve">1 </w:t>
      </w:r>
      <w:r w:rsidR="009121C2" w:rsidRPr="009E7B69">
        <w:rPr>
          <w:i/>
          <w:iCs/>
        </w:rPr>
        <w:t>M</w:t>
      </w:r>
      <w:r w:rsidR="00A45ED5" w:rsidRPr="009E7B69">
        <w:rPr>
          <w:i/>
          <w:iCs/>
        </w:rPr>
        <w:t>i</w:t>
      </w:r>
      <w:r w:rsidR="009121C2" w:rsidRPr="009E7B69">
        <w:rPr>
          <w:i/>
          <w:iCs/>
        </w:rPr>
        <w:t>sh</w:t>
      </w:r>
      <w:r w:rsidR="00D93037" w:rsidRPr="009E7B69">
        <w:rPr>
          <w:i/>
          <w:iCs/>
        </w:rPr>
        <w:t>n</w:t>
      </w:r>
      <w:r w:rsidR="009121C2" w:rsidRPr="009E7B69">
        <w:rPr>
          <w:i/>
          <w:iCs/>
        </w:rPr>
        <w:t xml:space="preserve">a Avot </w:t>
      </w:r>
      <w:r w:rsidR="009121C2" w:rsidRPr="009E7B69">
        <w:t>3:1</w:t>
      </w:r>
      <w:r w:rsidR="002A2693" w:rsidRPr="009E7B69">
        <w:t>2</w:t>
      </w:r>
      <w:r w:rsidR="009121C2" w:rsidRPr="009E7B69">
        <w:t xml:space="preserve"> </w:t>
      </w:r>
      <w:r w:rsidR="00BF0E8E">
        <w:t xml:space="preserve">and </w:t>
      </w:r>
      <w:r w:rsidR="00F82A82" w:rsidRPr="009E7B69">
        <w:t xml:space="preserve">Peaceful </w:t>
      </w:r>
      <w:r w:rsidR="003678F5" w:rsidRPr="009E7B69">
        <w:t>Work</w:t>
      </w:r>
      <w:bookmarkEnd w:id="112"/>
      <w:bookmarkEnd w:id="113"/>
    </w:p>
    <w:p w14:paraId="0F64BF0D" w14:textId="77777777" w:rsidR="002A2693" w:rsidRPr="009E7B69" w:rsidRDefault="002A2693" w:rsidP="002B0B07">
      <w:pPr>
        <w:spacing w:before="100" w:beforeAutospacing="1" w:after="100" w:afterAutospacing="1"/>
        <w:ind w:left="706" w:right="706"/>
        <w:mirrorIndents/>
        <w:jc w:val="right"/>
      </w:pPr>
      <w:r w:rsidRPr="009E7B69">
        <w:rPr>
          <w:rtl/>
        </w:rPr>
        <w:t>רַבִּי יִשְׁמָעֵאל אוֹמֵר, הֱוֵי קַל לְרֹאשׁ, וְנוֹחַ לְתִשְׁחֹרֶת, וֶהֱוֵי מְקַבֵּל אֶת כָּל הָאָדָם בְּשִׂמְחָה</w:t>
      </w:r>
      <w:r w:rsidRPr="009E7B69">
        <w:t xml:space="preserve">: </w:t>
      </w:r>
    </w:p>
    <w:p w14:paraId="0A7CB819" w14:textId="0C1C0126" w:rsidR="00D25D36" w:rsidRPr="00DC03B8" w:rsidRDefault="002A2693" w:rsidP="002B0B07">
      <w:pPr>
        <w:spacing w:before="100" w:beforeAutospacing="1" w:after="100" w:afterAutospacing="1"/>
        <w:ind w:left="706" w:right="706"/>
        <w:mirrorIndents/>
        <w:rPr>
          <w:lang w:val="en-AU"/>
        </w:rPr>
      </w:pPr>
      <w:r w:rsidRPr="00DC03B8">
        <w:rPr>
          <w:lang w:val="en-AU"/>
        </w:rPr>
        <w:t>Rabbi Ishmael said: be suppliant to a superior, submissive under compulsory service, and receive every man happily.</w:t>
      </w:r>
    </w:p>
    <w:p w14:paraId="71221844" w14:textId="5CC23A3C" w:rsidR="008D4202" w:rsidRPr="00DC03B8" w:rsidRDefault="00C3210E" w:rsidP="00990707">
      <w:pPr>
        <w:spacing w:before="240" w:line="480" w:lineRule="auto"/>
        <w:ind w:firstLine="720"/>
        <w:rPr>
          <w:lang w:val="en-AU"/>
        </w:rPr>
      </w:pPr>
      <w:r w:rsidRPr="00DC03B8">
        <w:rPr>
          <w:lang w:val="en-AU"/>
        </w:rPr>
        <w:t xml:space="preserve">The Oral Traditions in </w:t>
      </w:r>
      <w:r w:rsidRPr="00DC03B8">
        <w:rPr>
          <w:i/>
          <w:iCs/>
          <w:lang w:val="en-AU"/>
        </w:rPr>
        <w:t xml:space="preserve">Mishna Avot </w:t>
      </w:r>
      <w:r w:rsidRPr="00DC03B8">
        <w:rPr>
          <w:lang w:val="en-AU"/>
        </w:rPr>
        <w:t>3:</w:t>
      </w:r>
      <w:r w:rsidR="00F82A82" w:rsidRPr="00DC03B8">
        <w:rPr>
          <w:lang w:val="en-AU"/>
        </w:rPr>
        <w:t xml:space="preserve">12 </w:t>
      </w:r>
      <w:r w:rsidR="00767A7F" w:rsidRPr="00DC03B8">
        <w:rPr>
          <w:lang w:val="en-AU"/>
        </w:rPr>
        <w:t xml:space="preserve">show an </w:t>
      </w:r>
      <w:r w:rsidR="003B3224" w:rsidRPr="00DC03B8">
        <w:rPr>
          <w:lang w:val="en-AU"/>
        </w:rPr>
        <w:t>attitude</w:t>
      </w:r>
      <w:r w:rsidR="00767A7F" w:rsidRPr="00DC03B8">
        <w:rPr>
          <w:lang w:val="en-AU"/>
        </w:rPr>
        <w:t xml:space="preserve"> of complianc</w:t>
      </w:r>
      <w:r w:rsidR="001974BC" w:rsidRPr="00DC03B8">
        <w:rPr>
          <w:lang w:val="en-AU"/>
        </w:rPr>
        <w:t>e</w:t>
      </w:r>
      <w:r w:rsidR="00B90AAA" w:rsidRPr="00DC03B8">
        <w:rPr>
          <w:lang w:val="en-AU"/>
        </w:rPr>
        <w:t xml:space="preserve"> and submission to superiors</w:t>
      </w:r>
      <w:r w:rsidR="00767A7F" w:rsidRPr="00DC03B8">
        <w:rPr>
          <w:lang w:val="en-AU"/>
        </w:rPr>
        <w:t xml:space="preserve">. </w:t>
      </w:r>
      <w:r w:rsidR="00BE6BA3" w:rsidRPr="00DC03B8">
        <w:rPr>
          <w:lang w:val="en-AU"/>
        </w:rPr>
        <w:t xml:space="preserve">The </w:t>
      </w:r>
      <w:r w:rsidR="00BE6BA3" w:rsidRPr="00DC03B8">
        <w:rPr>
          <w:i/>
          <w:lang w:val="en-AU"/>
        </w:rPr>
        <w:t>Mishna</w:t>
      </w:r>
      <w:r w:rsidR="00BE6BA3" w:rsidRPr="00DC03B8">
        <w:rPr>
          <w:lang w:val="en-AU"/>
        </w:rPr>
        <w:t xml:space="preserve"> </w:t>
      </w:r>
      <w:r w:rsidR="00987FC5" w:rsidRPr="00DC03B8">
        <w:rPr>
          <w:lang w:val="en-AU"/>
        </w:rPr>
        <w:t>imparts</w:t>
      </w:r>
      <w:r w:rsidR="00BE6BA3" w:rsidRPr="00DC03B8">
        <w:rPr>
          <w:lang w:val="en-AU"/>
        </w:rPr>
        <w:t xml:space="preserve"> that people should be patient with the ruling government, and </w:t>
      </w:r>
      <w:r w:rsidR="00C85F66" w:rsidRPr="00DC03B8">
        <w:rPr>
          <w:lang w:val="en-AU"/>
        </w:rPr>
        <w:t>this practice</w:t>
      </w:r>
      <w:r w:rsidR="00BE6BA3" w:rsidRPr="00DC03B8">
        <w:rPr>
          <w:lang w:val="en-AU"/>
        </w:rPr>
        <w:t xml:space="preserve"> would keep violent uprising in check. </w:t>
      </w:r>
      <w:proofErr w:type="gramStart"/>
      <w:r w:rsidR="003B3224" w:rsidRPr="00DC03B8">
        <w:rPr>
          <w:lang w:val="en-AU"/>
        </w:rPr>
        <w:t>Interestingly</w:t>
      </w:r>
      <w:r w:rsidR="00767A7F" w:rsidRPr="00DC03B8">
        <w:rPr>
          <w:lang w:val="en-AU"/>
        </w:rPr>
        <w:t xml:space="preserve"> enough, during</w:t>
      </w:r>
      <w:proofErr w:type="gramEnd"/>
      <w:r w:rsidR="00767A7F" w:rsidRPr="00DC03B8">
        <w:rPr>
          <w:lang w:val="en-AU"/>
        </w:rPr>
        <w:t xml:space="preserve"> the time of Jesus, t</w:t>
      </w:r>
      <w:r w:rsidR="00BE6BA3" w:rsidRPr="00DC03B8">
        <w:rPr>
          <w:lang w:val="en-AU"/>
        </w:rPr>
        <w:t>he</w:t>
      </w:r>
      <w:r w:rsidRPr="00DC03B8">
        <w:rPr>
          <w:lang w:val="en-AU"/>
        </w:rPr>
        <w:t xml:space="preserve"> high priest Ishmael ben Elisha</w:t>
      </w:r>
      <w:r w:rsidR="009C43E4" w:rsidRPr="00DC03B8">
        <w:rPr>
          <w:lang w:val="en-AU"/>
        </w:rPr>
        <w:t xml:space="preserve"> (Ishmael ben Elisha ha-Kohen)</w:t>
      </w:r>
      <w:r w:rsidR="00294251" w:rsidRPr="00DC03B8">
        <w:rPr>
          <w:lang w:val="en-AU"/>
        </w:rPr>
        <w:t xml:space="preserve"> is the </w:t>
      </w:r>
      <w:r w:rsidR="00961D06" w:rsidRPr="00DC03B8">
        <w:rPr>
          <w:lang w:val="en-AU"/>
        </w:rPr>
        <w:t xml:space="preserve">grandfather of </w:t>
      </w:r>
      <w:r w:rsidR="00BE6BA3" w:rsidRPr="00DC03B8">
        <w:rPr>
          <w:lang w:val="en-AU"/>
        </w:rPr>
        <w:t>Rabbi Yishmael</w:t>
      </w:r>
      <w:r w:rsidR="00294251" w:rsidRPr="00DC03B8">
        <w:rPr>
          <w:lang w:val="en-AU"/>
        </w:rPr>
        <w:t xml:space="preserve">, </w:t>
      </w:r>
      <w:r w:rsidR="00CF2B12" w:rsidRPr="00DC03B8">
        <w:rPr>
          <w:lang w:val="en-AU"/>
        </w:rPr>
        <w:t xml:space="preserve">to </w:t>
      </w:r>
      <w:r w:rsidR="00294251" w:rsidRPr="00DC03B8">
        <w:rPr>
          <w:lang w:val="en-AU"/>
        </w:rPr>
        <w:t>who</w:t>
      </w:r>
      <w:r w:rsidR="00CF2B12" w:rsidRPr="00DC03B8">
        <w:rPr>
          <w:lang w:val="en-AU"/>
        </w:rPr>
        <w:t>m</w:t>
      </w:r>
      <w:r w:rsidR="00294251" w:rsidRPr="00DC03B8">
        <w:rPr>
          <w:lang w:val="en-AU"/>
        </w:rPr>
        <w:t xml:space="preserve"> </w:t>
      </w:r>
      <w:r w:rsidR="00294251" w:rsidRPr="00DC03B8">
        <w:rPr>
          <w:i/>
          <w:iCs/>
          <w:lang w:val="en-AU"/>
        </w:rPr>
        <w:t>Mishna Avot</w:t>
      </w:r>
      <w:r w:rsidR="00294251" w:rsidRPr="00DC03B8">
        <w:rPr>
          <w:lang w:val="en-AU"/>
        </w:rPr>
        <w:t xml:space="preserve"> 3:12 is attributed.</w:t>
      </w:r>
      <w:r w:rsidR="00BE6BA3" w:rsidRPr="00DC03B8">
        <w:rPr>
          <w:rStyle w:val="FootnoteReference"/>
          <w:lang w:val="en-AU"/>
        </w:rPr>
        <w:footnoteReference w:id="321"/>
      </w:r>
      <w:r w:rsidR="00BE6BA3" w:rsidRPr="00DC03B8">
        <w:rPr>
          <w:lang w:val="en-AU"/>
        </w:rPr>
        <w:t xml:space="preserve"> </w:t>
      </w:r>
      <w:r w:rsidR="00003C18" w:rsidRPr="00DC03B8">
        <w:rPr>
          <w:lang w:val="en-AU"/>
        </w:rPr>
        <w:t xml:space="preserve">The guidance in </w:t>
      </w:r>
      <w:r w:rsidR="00003C18" w:rsidRPr="00DC03B8">
        <w:rPr>
          <w:i/>
          <w:iCs/>
          <w:lang w:val="en-AU"/>
        </w:rPr>
        <w:t>Mishna Avot</w:t>
      </w:r>
      <w:r w:rsidR="00003C18" w:rsidRPr="00DC03B8">
        <w:rPr>
          <w:lang w:val="en-AU"/>
        </w:rPr>
        <w:t xml:space="preserve"> is very appropriate </w:t>
      </w:r>
      <w:r w:rsidR="00CF2B12" w:rsidRPr="00DC03B8">
        <w:rPr>
          <w:lang w:val="en-AU"/>
        </w:rPr>
        <w:t>with respect</w:t>
      </w:r>
      <w:r w:rsidR="00003C18" w:rsidRPr="00DC03B8">
        <w:rPr>
          <w:lang w:val="en-AU"/>
        </w:rPr>
        <w:t xml:space="preserve"> to how the Jewish people responded to the Roman leadership ruling over the Jewish people. </w:t>
      </w:r>
      <w:r w:rsidR="00B36F84" w:rsidRPr="00DC03B8">
        <w:rPr>
          <w:lang w:val="en-AU"/>
        </w:rPr>
        <w:t>The</w:t>
      </w:r>
      <w:r w:rsidR="00BE6BA3" w:rsidRPr="00DC03B8">
        <w:rPr>
          <w:lang w:val="en-AU"/>
        </w:rPr>
        <w:t xml:space="preserve"> character of a person is what allows </w:t>
      </w:r>
      <w:r w:rsidR="00BE6BA3" w:rsidRPr="00DC03B8">
        <w:rPr>
          <w:lang w:val="en-AU"/>
        </w:rPr>
        <w:lastRenderedPageBreak/>
        <w:t xml:space="preserve">submission to an oppressive ruler and is what allows patience. The people listening to the Sermon would be learning just such patience. This view of </w:t>
      </w:r>
      <w:r w:rsidR="00E52418" w:rsidRPr="00DC03B8">
        <w:rPr>
          <w:lang w:val="en-AU"/>
        </w:rPr>
        <w:t xml:space="preserve">obedience to </w:t>
      </w:r>
      <w:r w:rsidR="00BE6BA3" w:rsidRPr="00DC03B8">
        <w:rPr>
          <w:lang w:val="en-AU"/>
        </w:rPr>
        <w:t>government permeated Jewish thought during the time of Jesus</w:t>
      </w:r>
      <w:r w:rsidR="00E52418" w:rsidRPr="00DC03B8">
        <w:rPr>
          <w:lang w:val="en-AU"/>
        </w:rPr>
        <w:t xml:space="preserve"> and </w:t>
      </w:r>
      <w:r w:rsidR="00BE6BA3" w:rsidRPr="00DC03B8">
        <w:rPr>
          <w:lang w:val="en-AU"/>
        </w:rPr>
        <w:t xml:space="preserve">was in juxtaposition </w:t>
      </w:r>
      <w:r w:rsidR="00E52418" w:rsidRPr="00DC03B8">
        <w:rPr>
          <w:lang w:val="en-AU"/>
        </w:rPr>
        <w:t>to</w:t>
      </w:r>
      <w:r w:rsidR="00BE6BA3" w:rsidRPr="00DC03B8">
        <w:rPr>
          <w:lang w:val="en-AU"/>
        </w:rPr>
        <w:t xml:space="preserve"> </w:t>
      </w:r>
      <w:r w:rsidR="00C35082" w:rsidRPr="00DC03B8">
        <w:rPr>
          <w:lang w:val="en-AU"/>
        </w:rPr>
        <w:t xml:space="preserve">a </w:t>
      </w:r>
      <w:r w:rsidR="00BE6BA3" w:rsidRPr="00DC03B8">
        <w:rPr>
          <w:lang w:val="en-AU"/>
        </w:rPr>
        <w:t>revolutionary</w:t>
      </w:r>
      <w:r w:rsidR="00C35082" w:rsidRPr="00DC03B8">
        <w:rPr>
          <w:lang w:val="en-AU"/>
        </w:rPr>
        <w:t xml:space="preserve"> stance</w:t>
      </w:r>
      <w:r w:rsidR="00BE6BA3" w:rsidRPr="00DC03B8">
        <w:rPr>
          <w:lang w:val="en-AU"/>
        </w:rPr>
        <w:t xml:space="preserve">. However, it should also be noted that there were Jews who were strong advocates of rebellion and war against Rome; </w:t>
      </w:r>
      <w:r w:rsidR="00BE6BA3" w:rsidRPr="00DC03B8">
        <w:rPr>
          <w:i/>
          <w:lang w:val="en-AU"/>
        </w:rPr>
        <w:t>Mishna Avot</w:t>
      </w:r>
      <w:r w:rsidR="00BE6BA3" w:rsidRPr="00DC03B8">
        <w:rPr>
          <w:lang w:val="en-AU"/>
        </w:rPr>
        <w:t xml:space="preserve"> and Jesus represent those Jews who wanted submission and not rebellion.</w:t>
      </w:r>
    </w:p>
    <w:p w14:paraId="4409DEDD" w14:textId="39B31B1A" w:rsidR="008D4202" w:rsidRPr="009E7B69" w:rsidRDefault="00DB3710" w:rsidP="003B2C5C">
      <w:pPr>
        <w:pStyle w:val="Heading3"/>
      </w:pPr>
      <w:bookmarkStart w:id="114" w:name="_Toc94537010"/>
      <w:bookmarkStart w:id="115" w:name="_Toc118063657"/>
      <w:r w:rsidRPr="009E7B69">
        <w:t>5.</w:t>
      </w:r>
      <w:r w:rsidR="00E3671C" w:rsidRPr="009E7B69">
        <w:t>10.</w:t>
      </w:r>
      <w:r w:rsidR="00BE6BA3" w:rsidRPr="009E7B69">
        <w:t xml:space="preserve">2 </w:t>
      </w:r>
      <w:r w:rsidR="009121C2" w:rsidRPr="009E7B69">
        <w:rPr>
          <w:i/>
          <w:iCs/>
        </w:rPr>
        <w:t xml:space="preserve">Mishna Avot </w:t>
      </w:r>
      <w:r w:rsidR="009121C2" w:rsidRPr="009E7B69">
        <w:t xml:space="preserve">3:2 and </w:t>
      </w:r>
      <w:r w:rsidR="00304075" w:rsidRPr="009E7B69">
        <w:t>the Role of Praying</w:t>
      </w:r>
      <w:bookmarkEnd w:id="114"/>
      <w:bookmarkEnd w:id="115"/>
    </w:p>
    <w:p w14:paraId="6DAF5FD6" w14:textId="56814633" w:rsidR="00D25D36" w:rsidRPr="009E7B69" w:rsidRDefault="00D93037" w:rsidP="002B0B07">
      <w:pPr>
        <w:pStyle w:val="he"/>
        <w:spacing w:before="2" w:after="2"/>
        <w:ind w:left="706" w:right="706"/>
        <w:mirrorIndents/>
        <w:jc w:val="right"/>
        <w:rPr>
          <w:rFonts w:ascii="Times New Roman" w:hAnsi="Times New Roman" w:cs="Times New Roman"/>
          <w:sz w:val="24"/>
          <w:szCs w:val="24"/>
        </w:rPr>
      </w:pPr>
      <w:r w:rsidRPr="009E7B69">
        <w:rPr>
          <w:rFonts w:ascii="Times New Roman" w:hAnsi="Times New Roman" w:cs="Times New Roman"/>
          <w:sz w:val="24"/>
          <w:szCs w:val="24"/>
          <w:rtl/>
        </w:rPr>
        <w:t>רַבִּי חֲנִינָא בֶן תְּרַדְיוֹן אוֹמֵר, שְׁנַיִם שֶׁיּוֹשְׁבִין וְאֵין בֵּינֵיהֶן דִּבְרֵי תוֹרָה, הֲרֵי זֶה מוֹשַׁב לֵצִים, שֶׁנֶּאֱמַר</w:t>
      </w:r>
      <w:r w:rsidRPr="009E7B69">
        <w:rPr>
          <w:rFonts w:ascii="Times New Roman" w:hAnsi="Times New Roman" w:cs="Times New Roman"/>
          <w:sz w:val="24"/>
          <w:szCs w:val="24"/>
        </w:rPr>
        <w:t xml:space="preserve"> (</w:t>
      </w:r>
      <w:r w:rsidRPr="009E7B69">
        <w:rPr>
          <w:rFonts w:ascii="Times New Roman" w:hAnsi="Times New Roman" w:cs="Times New Roman"/>
          <w:sz w:val="24"/>
          <w:szCs w:val="24"/>
          <w:rtl/>
        </w:rPr>
        <w:t>תהלים א</w:t>
      </w:r>
      <w:r w:rsidRPr="009E7B69">
        <w:rPr>
          <w:rFonts w:ascii="Times New Roman" w:hAnsi="Times New Roman" w:cs="Times New Roman"/>
          <w:sz w:val="24"/>
          <w:szCs w:val="24"/>
        </w:rPr>
        <w:t xml:space="preserve">) </w:t>
      </w:r>
      <w:r w:rsidRPr="009E7B69">
        <w:rPr>
          <w:rFonts w:ascii="Times New Roman" w:hAnsi="Times New Roman" w:cs="Times New Roman"/>
          <w:sz w:val="24"/>
          <w:szCs w:val="24"/>
          <w:rtl/>
        </w:rPr>
        <w:t>וּבְמוֹשַׁב לֵצִים לֹא יָשָׁב. אֲבָל שְׁנַיִם שֶׁיּוֹשְׁבִין וְיֵשׁ בֵּינֵיהֶם דִּבְרֵי תוֹרָה, שְׁכִינָה שְׁרוּיָה בֵינֵיהֶם, שֶׁנֶּאֱמַר</w:t>
      </w:r>
      <w:r w:rsidRPr="009E7B69">
        <w:rPr>
          <w:rFonts w:ascii="Times New Roman" w:hAnsi="Times New Roman" w:cs="Times New Roman"/>
          <w:sz w:val="24"/>
          <w:szCs w:val="24"/>
        </w:rPr>
        <w:t xml:space="preserve"> (</w:t>
      </w:r>
      <w:r w:rsidRPr="009E7B69">
        <w:rPr>
          <w:rFonts w:ascii="Times New Roman" w:hAnsi="Times New Roman" w:cs="Times New Roman"/>
          <w:sz w:val="24"/>
          <w:szCs w:val="24"/>
          <w:rtl/>
        </w:rPr>
        <w:t>מלאכי ג</w:t>
      </w:r>
      <w:r w:rsidRPr="009E7B69">
        <w:rPr>
          <w:rFonts w:ascii="Times New Roman" w:hAnsi="Times New Roman" w:cs="Times New Roman"/>
          <w:sz w:val="24"/>
          <w:szCs w:val="24"/>
        </w:rPr>
        <w:t xml:space="preserve">) </w:t>
      </w:r>
      <w:r w:rsidRPr="009E7B69">
        <w:rPr>
          <w:rFonts w:ascii="Times New Roman" w:hAnsi="Times New Roman" w:cs="Times New Roman"/>
          <w:sz w:val="24"/>
          <w:szCs w:val="24"/>
          <w:rtl/>
        </w:rPr>
        <w:t>אָז נִדְבְּרוּ יִרְאֵי יְיָ אִישׁ אֶל רֵעֵהוּ וַיַּקְשֵׁב יְיָ וַיִּשְׁמָע וַיִּכָּתֵב סֵפֶר זִכָּרוֹן לְפָנָיו לְיִרְאֵי יְיָ וּלְחֹשְׁבֵי שְׁמוֹ. אֵין לִי אֶלָּא שְׁנַיִם, מִנַּיִן שֶׁאֲפִלּוּ אֶחָד שֶׁיּוֹשֵׁב וְעוֹסֵק בַּתּוֹרָה, שֶׁהַקָּדוֹשׁ בָּרוּךְ הוּא קוֹבֵעַ לוֹ שָׂכָר, שֶׁנֶּאֱמַר</w:t>
      </w:r>
      <w:r w:rsidRPr="009E7B69">
        <w:rPr>
          <w:rFonts w:ascii="Times New Roman" w:hAnsi="Times New Roman" w:cs="Times New Roman"/>
          <w:sz w:val="24"/>
          <w:szCs w:val="24"/>
        </w:rPr>
        <w:t xml:space="preserve"> (</w:t>
      </w:r>
      <w:r w:rsidRPr="009E7B69">
        <w:rPr>
          <w:rFonts w:ascii="Times New Roman" w:hAnsi="Times New Roman" w:cs="Times New Roman"/>
          <w:sz w:val="24"/>
          <w:szCs w:val="24"/>
          <w:rtl/>
        </w:rPr>
        <w:t>איכה ג</w:t>
      </w:r>
      <w:r w:rsidRPr="009E7B69">
        <w:rPr>
          <w:rFonts w:ascii="Times New Roman" w:hAnsi="Times New Roman" w:cs="Times New Roman"/>
          <w:sz w:val="24"/>
          <w:szCs w:val="24"/>
        </w:rPr>
        <w:t xml:space="preserve">) </w:t>
      </w:r>
      <w:r w:rsidRPr="009E7B69">
        <w:rPr>
          <w:rFonts w:ascii="Times New Roman" w:hAnsi="Times New Roman" w:cs="Times New Roman"/>
          <w:sz w:val="24"/>
          <w:szCs w:val="24"/>
          <w:rtl/>
        </w:rPr>
        <w:t>יֵשֵׁב בָּדָד וְיִדֹּם כִּי נָטַל עָלָיו</w:t>
      </w:r>
      <w:r w:rsidRPr="009E7B69">
        <w:rPr>
          <w:rFonts w:ascii="Times New Roman" w:hAnsi="Times New Roman" w:cs="Times New Roman"/>
          <w:sz w:val="24"/>
          <w:szCs w:val="24"/>
        </w:rPr>
        <w:t xml:space="preserve"> </w:t>
      </w:r>
    </w:p>
    <w:p w14:paraId="7BFC7CE4" w14:textId="11563846" w:rsidR="00D25D36" w:rsidRPr="00DC03B8" w:rsidRDefault="00D93037" w:rsidP="002B0B07">
      <w:pPr>
        <w:pStyle w:val="en"/>
        <w:spacing w:before="2" w:after="2"/>
        <w:ind w:left="706" w:right="706"/>
        <w:mirrorIndents/>
        <w:rPr>
          <w:rFonts w:ascii="Times New Roman" w:hAnsi="Times New Roman" w:cs="Times New Roman"/>
          <w:sz w:val="24"/>
          <w:szCs w:val="24"/>
          <w:lang w:val="en-AU"/>
        </w:rPr>
      </w:pPr>
      <w:r w:rsidRPr="00DC03B8">
        <w:rPr>
          <w:rFonts w:ascii="Times New Roman" w:hAnsi="Times New Roman" w:cs="Times New Roman"/>
          <w:sz w:val="24"/>
          <w:szCs w:val="24"/>
          <w:lang w:val="en-AU"/>
        </w:rPr>
        <w:t xml:space="preserve">Rabbi Hanina, the vice-high priest said: pray for the welfare of the government, for were it not for the fear it inspires, every man would swallow his </w:t>
      </w:r>
      <w:r w:rsidR="002123A9" w:rsidRPr="00DC03B8">
        <w:rPr>
          <w:rFonts w:ascii="Times New Roman" w:hAnsi="Times New Roman" w:cs="Times New Roman"/>
          <w:sz w:val="24"/>
          <w:szCs w:val="24"/>
          <w:lang w:val="en-AU"/>
        </w:rPr>
        <w:t>neighbour</w:t>
      </w:r>
      <w:r w:rsidRPr="00DC03B8">
        <w:rPr>
          <w:rFonts w:ascii="Times New Roman" w:hAnsi="Times New Roman" w:cs="Times New Roman"/>
          <w:sz w:val="24"/>
          <w:szCs w:val="24"/>
          <w:lang w:val="en-AU"/>
        </w:rPr>
        <w:t xml:space="preserve"> alive. R. Hananiah ben Teradion said: if two sit together and there are no words of Torah [spoken] between them, then this is a session of scorners, as it is said: </w:t>
      </w:r>
      <w:r w:rsidR="00863B47" w:rsidRPr="00DC03B8">
        <w:rPr>
          <w:rFonts w:ascii="Times New Roman" w:hAnsi="Times New Roman" w:cs="Times New Roman"/>
          <w:sz w:val="24"/>
          <w:szCs w:val="24"/>
          <w:lang w:val="en-AU"/>
        </w:rPr>
        <w:t>“</w:t>
      </w:r>
      <w:r w:rsidRPr="00DC03B8">
        <w:rPr>
          <w:rFonts w:ascii="Times New Roman" w:hAnsi="Times New Roman" w:cs="Times New Roman"/>
          <w:sz w:val="24"/>
          <w:szCs w:val="24"/>
          <w:lang w:val="en-AU"/>
        </w:rPr>
        <w:t>nor sat he in the seat of the scornful…[rather, the teaching of the Lord is his delight]</w:t>
      </w:r>
      <w:r w:rsidR="00863B47" w:rsidRPr="00DC03B8">
        <w:rPr>
          <w:rFonts w:ascii="Times New Roman" w:hAnsi="Times New Roman" w:cs="Times New Roman"/>
          <w:sz w:val="24"/>
          <w:szCs w:val="24"/>
          <w:lang w:val="en-AU"/>
        </w:rPr>
        <w:t>”</w:t>
      </w:r>
      <w:r w:rsidRPr="00DC03B8">
        <w:rPr>
          <w:rFonts w:ascii="Times New Roman" w:hAnsi="Times New Roman" w:cs="Times New Roman"/>
          <w:sz w:val="24"/>
          <w:szCs w:val="24"/>
          <w:lang w:val="en-AU"/>
        </w:rPr>
        <w:t xml:space="preserve"> (Psalms 1:1); but if two sit together and there are words of Torah [spoken] between them, then the Shekhinah abides among them, as it is said: </w:t>
      </w:r>
      <w:r w:rsidR="00863B47" w:rsidRPr="00DC03B8">
        <w:rPr>
          <w:rFonts w:ascii="Times New Roman" w:hAnsi="Times New Roman" w:cs="Times New Roman"/>
          <w:sz w:val="24"/>
          <w:szCs w:val="24"/>
          <w:lang w:val="en-AU"/>
        </w:rPr>
        <w:t>“</w:t>
      </w:r>
      <w:r w:rsidRPr="00DC03B8">
        <w:rPr>
          <w:rFonts w:ascii="Times New Roman" w:hAnsi="Times New Roman" w:cs="Times New Roman"/>
          <w:sz w:val="24"/>
          <w:szCs w:val="24"/>
          <w:lang w:val="en-AU"/>
        </w:rPr>
        <w:t>then they that feared the Lord spoke one with another; and the Lord hearkened and heard, and a book of remembrance was written before Him, for them that feared the Lord and that thought upon His name</w:t>
      </w:r>
      <w:r w:rsidR="00863B47" w:rsidRPr="00DC03B8">
        <w:rPr>
          <w:rFonts w:ascii="Times New Roman" w:hAnsi="Times New Roman" w:cs="Times New Roman"/>
          <w:sz w:val="24"/>
          <w:szCs w:val="24"/>
          <w:lang w:val="en-AU"/>
        </w:rPr>
        <w:t>”</w:t>
      </w:r>
      <w:r w:rsidRPr="00DC03B8">
        <w:rPr>
          <w:rFonts w:ascii="Times New Roman" w:hAnsi="Times New Roman" w:cs="Times New Roman"/>
          <w:sz w:val="24"/>
          <w:szCs w:val="24"/>
          <w:lang w:val="en-AU"/>
        </w:rPr>
        <w:t xml:space="preserve"> (Malachi 3:16). Now I have no [scriptural proof for the presence of the Shekhinah] except [among] two, how [do we know] that even one who sits and studies Torah the Holy One, blessed be He, fixes his reward? As it is said: </w:t>
      </w:r>
      <w:r w:rsidR="00863B47" w:rsidRPr="00DC03B8">
        <w:rPr>
          <w:rFonts w:ascii="Times New Roman" w:hAnsi="Times New Roman" w:cs="Times New Roman"/>
          <w:sz w:val="24"/>
          <w:szCs w:val="24"/>
          <w:lang w:val="en-AU"/>
        </w:rPr>
        <w:t>“</w:t>
      </w:r>
      <w:r w:rsidRPr="00DC03B8">
        <w:rPr>
          <w:rFonts w:ascii="Times New Roman" w:hAnsi="Times New Roman" w:cs="Times New Roman"/>
          <w:sz w:val="24"/>
          <w:szCs w:val="24"/>
          <w:lang w:val="en-AU"/>
        </w:rPr>
        <w:t xml:space="preserve">though he </w:t>
      </w:r>
      <w:proofErr w:type="gramStart"/>
      <w:r w:rsidRPr="00DC03B8">
        <w:rPr>
          <w:rFonts w:ascii="Times New Roman" w:hAnsi="Times New Roman" w:cs="Times New Roman"/>
          <w:sz w:val="24"/>
          <w:szCs w:val="24"/>
          <w:lang w:val="en-AU"/>
        </w:rPr>
        <w:t>sit</w:t>
      </w:r>
      <w:proofErr w:type="gramEnd"/>
      <w:r w:rsidRPr="00DC03B8">
        <w:rPr>
          <w:rFonts w:ascii="Times New Roman" w:hAnsi="Times New Roman" w:cs="Times New Roman"/>
          <w:sz w:val="24"/>
          <w:szCs w:val="24"/>
          <w:lang w:val="en-AU"/>
        </w:rPr>
        <w:t xml:space="preserve"> alone and [meditate] in stillness, yet he takes [a reward] unto himself</w:t>
      </w:r>
      <w:r w:rsidR="00863B47" w:rsidRPr="00DC03B8">
        <w:rPr>
          <w:rFonts w:ascii="Times New Roman" w:hAnsi="Times New Roman" w:cs="Times New Roman"/>
          <w:sz w:val="24"/>
          <w:szCs w:val="24"/>
          <w:lang w:val="en-AU"/>
        </w:rPr>
        <w:t>”</w:t>
      </w:r>
      <w:r w:rsidRPr="00DC03B8">
        <w:rPr>
          <w:rFonts w:ascii="Times New Roman" w:hAnsi="Times New Roman" w:cs="Times New Roman"/>
          <w:sz w:val="24"/>
          <w:szCs w:val="24"/>
          <w:lang w:val="en-AU"/>
        </w:rPr>
        <w:t xml:space="preserve"> (</w:t>
      </w:r>
      <w:r w:rsidR="00324455" w:rsidRPr="00DC03B8">
        <w:rPr>
          <w:rFonts w:ascii="Times New Roman" w:hAnsi="Times New Roman" w:cs="Times New Roman"/>
          <w:sz w:val="24"/>
          <w:szCs w:val="24"/>
          <w:lang w:val="en-AU"/>
        </w:rPr>
        <w:t>Lamentations 3:28</w:t>
      </w:r>
      <w:r w:rsidRPr="00DC03B8">
        <w:rPr>
          <w:rFonts w:ascii="Times New Roman" w:hAnsi="Times New Roman" w:cs="Times New Roman"/>
          <w:sz w:val="24"/>
          <w:szCs w:val="24"/>
          <w:lang w:val="en-AU"/>
        </w:rPr>
        <w:t>).</w:t>
      </w:r>
    </w:p>
    <w:p w14:paraId="1CC8B96A" w14:textId="77777777" w:rsidR="00990707" w:rsidRPr="00DC03B8" w:rsidRDefault="00990707" w:rsidP="008D4202">
      <w:pPr>
        <w:spacing w:line="480" w:lineRule="auto"/>
        <w:ind w:firstLine="720"/>
        <w:contextualSpacing/>
        <w:rPr>
          <w:i/>
          <w:iCs/>
          <w:lang w:val="en-AU"/>
        </w:rPr>
      </w:pPr>
    </w:p>
    <w:p w14:paraId="49B7AF5B" w14:textId="1C92ED69" w:rsidR="008D4202" w:rsidRPr="00DC03B8" w:rsidRDefault="00304075" w:rsidP="008D4202">
      <w:pPr>
        <w:spacing w:line="480" w:lineRule="auto"/>
        <w:ind w:firstLine="720"/>
        <w:contextualSpacing/>
        <w:rPr>
          <w:lang w:val="en-AU"/>
        </w:rPr>
      </w:pPr>
      <w:r w:rsidRPr="00DC03B8">
        <w:rPr>
          <w:i/>
          <w:iCs/>
          <w:lang w:val="en-AU"/>
        </w:rPr>
        <w:t xml:space="preserve">Mishna Avot </w:t>
      </w:r>
      <w:r w:rsidRPr="00DC03B8">
        <w:rPr>
          <w:lang w:val="en-AU"/>
        </w:rPr>
        <w:t xml:space="preserve">3:2 suggests that prayer for </w:t>
      </w:r>
      <w:r w:rsidR="00644B26" w:rsidRPr="00DC03B8">
        <w:rPr>
          <w:lang w:val="en-AU"/>
        </w:rPr>
        <w:t xml:space="preserve">welfare of </w:t>
      </w:r>
      <w:r w:rsidRPr="00DC03B8">
        <w:rPr>
          <w:lang w:val="en-AU"/>
        </w:rPr>
        <w:t>the government</w:t>
      </w:r>
      <w:r w:rsidR="00644B26" w:rsidRPr="00DC03B8">
        <w:rPr>
          <w:lang w:val="en-AU"/>
        </w:rPr>
        <w:t xml:space="preserve"> promotes peace in the community</w:t>
      </w:r>
      <w:r w:rsidRPr="00DC03B8">
        <w:rPr>
          <w:lang w:val="en-AU"/>
        </w:rPr>
        <w:t>.</w:t>
      </w:r>
      <w:r w:rsidR="00B22945" w:rsidRPr="00DC03B8">
        <w:rPr>
          <w:lang w:val="en-AU"/>
        </w:rPr>
        <w:t xml:space="preserve"> Prayer can be </w:t>
      </w:r>
      <w:r w:rsidR="00140870" w:rsidRPr="00DC03B8">
        <w:rPr>
          <w:lang w:val="en-AU"/>
        </w:rPr>
        <w:t>offered</w:t>
      </w:r>
      <w:r w:rsidR="00B22945" w:rsidRPr="00DC03B8">
        <w:rPr>
          <w:lang w:val="en-AU"/>
        </w:rPr>
        <w:t xml:space="preserve"> in </w:t>
      </w:r>
      <w:r w:rsidR="00140870" w:rsidRPr="00DC03B8">
        <w:rPr>
          <w:lang w:val="en-AU"/>
        </w:rPr>
        <w:t xml:space="preserve">a group of </w:t>
      </w:r>
      <w:r w:rsidR="00B22945" w:rsidRPr="00DC03B8">
        <w:rPr>
          <w:lang w:val="en-AU"/>
        </w:rPr>
        <w:t xml:space="preserve">people, and then the presence of the Lord is with them. </w:t>
      </w:r>
      <w:r w:rsidR="00386AE6" w:rsidRPr="00DC03B8">
        <w:rPr>
          <w:lang w:val="en-AU"/>
        </w:rPr>
        <w:t xml:space="preserve">In </w:t>
      </w:r>
      <w:r w:rsidR="00B22945" w:rsidRPr="00DC03B8">
        <w:rPr>
          <w:lang w:val="en-AU"/>
        </w:rPr>
        <w:t xml:space="preserve">Matthew 18:20 (NRSV) </w:t>
      </w:r>
      <w:r w:rsidR="00386AE6" w:rsidRPr="00DC03B8">
        <w:rPr>
          <w:lang w:val="en-AU"/>
        </w:rPr>
        <w:t xml:space="preserve">Jesus </w:t>
      </w:r>
      <w:r w:rsidR="00B22945" w:rsidRPr="00DC03B8">
        <w:rPr>
          <w:lang w:val="en-AU"/>
        </w:rPr>
        <w:t xml:space="preserve">says, </w:t>
      </w:r>
      <w:r w:rsidR="00863B47" w:rsidRPr="00DC03B8">
        <w:rPr>
          <w:lang w:val="en-AU"/>
        </w:rPr>
        <w:t>“</w:t>
      </w:r>
      <w:r w:rsidR="00B22945" w:rsidRPr="00DC03B8">
        <w:rPr>
          <w:lang w:val="en-AU"/>
        </w:rPr>
        <w:t>For where two or three gather in my name, there am I with them</w:t>
      </w:r>
      <w:r w:rsidR="00386AE6" w:rsidRPr="00DC03B8">
        <w:rPr>
          <w:lang w:val="en-AU"/>
        </w:rPr>
        <w:t>.</w:t>
      </w:r>
      <w:r w:rsidR="00863B47" w:rsidRPr="00DC03B8">
        <w:rPr>
          <w:lang w:val="en-AU"/>
        </w:rPr>
        <w:t>”</w:t>
      </w:r>
      <w:r w:rsidR="00B22945" w:rsidRPr="00DC03B8">
        <w:rPr>
          <w:lang w:val="en-AU"/>
        </w:rPr>
        <w:t xml:space="preserve"> </w:t>
      </w:r>
      <w:r w:rsidR="00386AE6" w:rsidRPr="00DC03B8">
        <w:rPr>
          <w:lang w:val="en-AU"/>
        </w:rPr>
        <w:t>T</w:t>
      </w:r>
      <w:r w:rsidR="00B22945" w:rsidRPr="00DC03B8">
        <w:rPr>
          <w:lang w:val="en-AU"/>
        </w:rPr>
        <w:t xml:space="preserve">his has a </w:t>
      </w:r>
      <w:r w:rsidR="00AB3BCA" w:rsidRPr="00DC03B8">
        <w:rPr>
          <w:lang w:val="en-AU"/>
        </w:rPr>
        <w:t>strong</w:t>
      </w:r>
      <w:r w:rsidR="00B22945" w:rsidRPr="00DC03B8">
        <w:rPr>
          <w:lang w:val="en-AU"/>
        </w:rPr>
        <w:t xml:space="preserve"> </w:t>
      </w:r>
      <w:r w:rsidR="00386AE6" w:rsidRPr="00DC03B8">
        <w:rPr>
          <w:lang w:val="en-AU"/>
        </w:rPr>
        <w:t xml:space="preserve">parallel </w:t>
      </w:r>
      <w:r w:rsidR="00B22945" w:rsidRPr="00DC03B8">
        <w:rPr>
          <w:lang w:val="en-AU"/>
        </w:rPr>
        <w:t xml:space="preserve">to </w:t>
      </w:r>
      <w:r w:rsidR="00B22945" w:rsidRPr="00DC03B8">
        <w:rPr>
          <w:i/>
          <w:iCs/>
          <w:lang w:val="en-AU"/>
        </w:rPr>
        <w:t xml:space="preserve">Mishna Avot </w:t>
      </w:r>
      <w:r w:rsidR="00B22945" w:rsidRPr="00DC03B8">
        <w:rPr>
          <w:lang w:val="en-AU"/>
        </w:rPr>
        <w:t xml:space="preserve">3:2 </w:t>
      </w:r>
      <w:r w:rsidR="00E6503E" w:rsidRPr="00DC03B8">
        <w:rPr>
          <w:lang w:val="en-AU"/>
        </w:rPr>
        <w:t>where</w:t>
      </w:r>
      <w:r w:rsidR="0032388B" w:rsidRPr="00DC03B8">
        <w:rPr>
          <w:lang w:val="en-AU"/>
        </w:rPr>
        <w:t xml:space="preserve"> </w:t>
      </w:r>
      <w:r w:rsidR="00B22945" w:rsidRPr="00DC03B8">
        <w:rPr>
          <w:lang w:val="en-AU"/>
        </w:rPr>
        <w:t>the Shekinah</w:t>
      </w:r>
      <w:r w:rsidR="0032388B" w:rsidRPr="00DC03B8">
        <w:rPr>
          <w:lang w:val="en-AU"/>
        </w:rPr>
        <w:t xml:space="preserve"> is said to abide among those who are </w:t>
      </w:r>
      <w:r w:rsidR="00140870" w:rsidRPr="00DC03B8">
        <w:rPr>
          <w:lang w:val="en-AU"/>
        </w:rPr>
        <w:t>speaking the Torah</w:t>
      </w:r>
      <w:r w:rsidR="00B22945" w:rsidRPr="00DC03B8">
        <w:rPr>
          <w:lang w:val="en-AU"/>
        </w:rPr>
        <w:t>.</w:t>
      </w:r>
      <w:r w:rsidR="00AB3BCA" w:rsidRPr="00DC03B8">
        <w:rPr>
          <w:lang w:val="en-AU"/>
        </w:rPr>
        <w:t xml:space="preserve"> </w:t>
      </w:r>
      <w:r w:rsidR="00BE6BA3" w:rsidRPr="00DC03B8">
        <w:rPr>
          <w:i/>
          <w:lang w:val="en-AU"/>
        </w:rPr>
        <w:t xml:space="preserve">Mishna Avot </w:t>
      </w:r>
      <w:r w:rsidR="00BE6BA3" w:rsidRPr="00DC03B8">
        <w:rPr>
          <w:lang w:val="en-AU"/>
        </w:rPr>
        <w:t xml:space="preserve">3:2 states: </w:t>
      </w:r>
      <w:r w:rsidR="00863B47" w:rsidRPr="00DC03B8">
        <w:rPr>
          <w:lang w:val="en-AU"/>
        </w:rPr>
        <w:t>“</w:t>
      </w:r>
      <w:r w:rsidR="00BE6BA3" w:rsidRPr="00DC03B8">
        <w:rPr>
          <w:lang w:val="en-AU"/>
        </w:rPr>
        <w:t xml:space="preserve">Pray for the welfare of the government, for were it not for fear of it, each person would swallow their </w:t>
      </w:r>
      <w:r w:rsidR="002123A9" w:rsidRPr="00DC03B8">
        <w:rPr>
          <w:lang w:val="en-AU"/>
        </w:rPr>
        <w:t>neighbour</w:t>
      </w:r>
      <w:r w:rsidR="00BE6BA3" w:rsidRPr="00DC03B8">
        <w:rPr>
          <w:lang w:val="en-AU"/>
        </w:rPr>
        <w:t xml:space="preserve"> alive</w:t>
      </w:r>
      <w:r w:rsidR="00B910BB" w:rsidRPr="00DC03B8">
        <w:rPr>
          <w:lang w:val="en-AU"/>
        </w:rPr>
        <w:t>,</w:t>
      </w:r>
      <w:r w:rsidR="00863B47" w:rsidRPr="00DC03B8">
        <w:rPr>
          <w:lang w:val="en-AU"/>
        </w:rPr>
        <w:t>”</w:t>
      </w:r>
      <w:r w:rsidR="00BE6BA3" w:rsidRPr="00DC03B8">
        <w:rPr>
          <w:lang w:val="en-AU"/>
        </w:rPr>
        <w:t xml:space="preserve"> </w:t>
      </w:r>
      <w:r w:rsidR="00B910BB" w:rsidRPr="00DC03B8">
        <w:rPr>
          <w:lang w:val="en-AU"/>
        </w:rPr>
        <w:t xml:space="preserve">which </w:t>
      </w:r>
      <w:r w:rsidR="00415CEC" w:rsidRPr="00DC03B8">
        <w:rPr>
          <w:lang w:val="en-AU"/>
        </w:rPr>
        <w:t>suggests that prayer protects</w:t>
      </w:r>
      <w:r w:rsidR="00D032FF" w:rsidRPr="00DC03B8">
        <w:rPr>
          <w:lang w:val="en-AU"/>
        </w:rPr>
        <w:t xml:space="preserve"> people against the </w:t>
      </w:r>
      <w:r w:rsidR="00D032FF" w:rsidRPr="00DC03B8">
        <w:rPr>
          <w:lang w:val="en-AU"/>
        </w:rPr>
        <w:lastRenderedPageBreak/>
        <w:t>tyranny of government.</w:t>
      </w:r>
      <w:r w:rsidR="00BE6BA3" w:rsidRPr="00DC03B8">
        <w:rPr>
          <w:lang w:val="en-AU"/>
        </w:rPr>
        <w:t xml:space="preserve"> As a people pray</w:t>
      </w:r>
      <w:r w:rsidR="00B910BB" w:rsidRPr="00DC03B8">
        <w:rPr>
          <w:lang w:val="en-AU"/>
        </w:rPr>
        <w:t>s</w:t>
      </w:r>
      <w:r w:rsidR="00BE6BA3" w:rsidRPr="00DC03B8">
        <w:rPr>
          <w:lang w:val="en-AU"/>
        </w:rPr>
        <w:t xml:space="preserve"> for the government</w:t>
      </w:r>
      <w:r w:rsidR="005C71CB" w:rsidRPr="00DC03B8">
        <w:rPr>
          <w:lang w:val="en-AU"/>
        </w:rPr>
        <w:t>’</w:t>
      </w:r>
      <w:r w:rsidR="00BE6BA3" w:rsidRPr="00DC03B8">
        <w:rPr>
          <w:lang w:val="en-AU"/>
        </w:rPr>
        <w:t xml:space="preserve">s stability, anarchy is also at a low. </w:t>
      </w:r>
      <w:r w:rsidR="002123C1" w:rsidRPr="00DC03B8">
        <w:rPr>
          <w:lang w:val="en-AU"/>
        </w:rPr>
        <w:t>When people are praying for their government, they have some control</w:t>
      </w:r>
      <w:r w:rsidR="00727985" w:rsidRPr="00DC03B8">
        <w:rPr>
          <w:lang w:val="en-AU"/>
        </w:rPr>
        <w:t>,</w:t>
      </w:r>
      <w:r w:rsidR="002123C1" w:rsidRPr="00DC03B8">
        <w:rPr>
          <w:lang w:val="en-AU"/>
        </w:rPr>
        <w:t xml:space="preserve"> </w:t>
      </w:r>
      <w:r w:rsidR="00727985" w:rsidRPr="00DC03B8">
        <w:rPr>
          <w:lang w:val="en-AU"/>
        </w:rPr>
        <w:t xml:space="preserve">through the act of prayer, </w:t>
      </w:r>
      <w:r w:rsidR="002123C1" w:rsidRPr="00DC03B8">
        <w:rPr>
          <w:lang w:val="en-AU"/>
        </w:rPr>
        <w:t xml:space="preserve">over their own lives by </w:t>
      </w:r>
      <w:r w:rsidR="00727985" w:rsidRPr="00DC03B8">
        <w:rPr>
          <w:lang w:val="en-AU"/>
        </w:rPr>
        <w:t xml:space="preserve">presenting </w:t>
      </w:r>
      <w:r w:rsidR="002123C1" w:rsidRPr="00DC03B8">
        <w:rPr>
          <w:lang w:val="en-AU"/>
        </w:rPr>
        <w:t>petitions to God, even if they are effective or no</w:t>
      </w:r>
      <w:r w:rsidR="0060087A" w:rsidRPr="00DC03B8">
        <w:rPr>
          <w:lang w:val="en-AU"/>
        </w:rPr>
        <w:t>t</w:t>
      </w:r>
      <w:r w:rsidR="002123C1" w:rsidRPr="00DC03B8">
        <w:rPr>
          <w:lang w:val="en-AU"/>
        </w:rPr>
        <w:t xml:space="preserve">. There is a psychological impact </w:t>
      </w:r>
      <w:r w:rsidR="0060087A" w:rsidRPr="00DC03B8">
        <w:rPr>
          <w:lang w:val="en-AU"/>
        </w:rPr>
        <w:t>on</w:t>
      </w:r>
      <w:r w:rsidR="002123C1" w:rsidRPr="00DC03B8">
        <w:rPr>
          <w:lang w:val="en-AU"/>
        </w:rPr>
        <w:t xml:space="preserve"> the person praying that liberat</w:t>
      </w:r>
      <w:r w:rsidR="0060087A" w:rsidRPr="00DC03B8">
        <w:rPr>
          <w:lang w:val="en-AU"/>
        </w:rPr>
        <w:t>es them</w:t>
      </w:r>
      <w:r w:rsidR="002123C1" w:rsidRPr="00DC03B8">
        <w:rPr>
          <w:lang w:val="en-AU"/>
        </w:rPr>
        <w:t xml:space="preserve"> from a feeling of power</w:t>
      </w:r>
      <w:r w:rsidR="0060087A" w:rsidRPr="00DC03B8">
        <w:rPr>
          <w:lang w:val="en-AU"/>
        </w:rPr>
        <w:t>lessness</w:t>
      </w:r>
      <w:r w:rsidR="002123C1" w:rsidRPr="00DC03B8">
        <w:rPr>
          <w:lang w:val="en-AU"/>
        </w:rPr>
        <w:t xml:space="preserve">. </w:t>
      </w:r>
      <w:r w:rsidR="003D3F24" w:rsidRPr="00DC03B8">
        <w:rPr>
          <w:lang w:val="en-AU"/>
        </w:rPr>
        <w:t xml:space="preserve">Having people feel as if God hears your prayers empowers them when they feel hopeless. </w:t>
      </w:r>
      <w:r w:rsidR="00BE6BA3" w:rsidRPr="00DC03B8">
        <w:rPr>
          <w:lang w:val="en-AU"/>
        </w:rPr>
        <w:t xml:space="preserve">When a person is praying for the government, there is a tendency not </w:t>
      </w:r>
      <w:r w:rsidR="00C966E8" w:rsidRPr="00DC03B8">
        <w:rPr>
          <w:lang w:val="en-AU"/>
        </w:rPr>
        <w:t xml:space="preserve">to </w:t>
      </w:r>
      <w:r w:rsidR="00BE6BA3" w:rsidRPr="00DC03B8">
        <w:rPr>
          <w:lang w:val="en-AU"/>
        </w:rPr>
        <w:t>feel alienated from the government</w:t>
      </w:r>
      <w:r w:rsidR="005C71CB" w:rsidRPr="00DC03B8">
        <w:rPr>
          <w:lang w:val="en-AU"/>
        </w:rPr>
        <w:t>’</w:t>
      </w:r>
      <w:r w:rsidR="00C966E8" w:rsidRPr="00DC03B8">
        <w:rPr>
          <w:lang w:val="en-AU"/>
        </w:rPr>
        <w:t>s</w:t>
      </w:r>
      <w:r w:rsidR="00BE6BA3" w:rsidRPr="00DC03B8">
        <w:rPr>
          <w:lang w:val="en-AU"/>
        </w:rPr>
        <w:t xml:space="preserve"> decision-making. </w:t>
      </w:r>
      <w:r w:rsidR="003D3F24" w:rsidRPr="00DC03B8">
        <w:rPr>
          <w:lang w:val="en-AU"/>
        </w:rPr>
        <w:t>Jews have historically been loyal to governments throughout history.</w:t>
      </w:r>
      <w:r w:rsidR="00BE6BA3" w:rsidRPr="00DC03B8">
        <w:rPr>
          <w:rStyle w:val="FootnoteReference"/>
          <w:lang w:val="en-AU"/>
        </w:rPr>
        <w:footnoteReference w:id="322"/>
      </w:r>
      <w:r w:rsidR="00BE6BA3" w:rsidRPr="00DC03B8">
        <w:rPr>
          <w:lang w:val="en-AU"/>
        </w:rPr>
        <w:t xml:space="preserve"> </w:t>
      </w:r>
      <w:r w:rsidR="0074100F" w:rsidRPr="00DC03B8">
        <w:rPr>
          <w:lang w:val="en-AU"/>
        </w:rPr>
        <w:t>Throughout history, w</w:t>
      </w:r>
      <w:r w:rsidR="00BE6BA3" w:rsidRPr="00DC03B8">
        <w:rPr>
          <w:lang w:val="en-AU"/>
        </w:rPr>
        <w:t xml:space="preserve">hen Jews have prayed for </w:t>
      </w:r>
      <w:r w:rsidR="00727985" w:rsidRPr="00DC03B8">
        <w:rPr>
          <w:lang w:val="en-AU"/>
        </w:rPr>
        <w:t>peace in all things</w:t>
      </w:r>
      <w:r w:rsidR="0074100F" w:rsidRPr="00DC03B8">
        <w:rPr>
          <w:lang w:val="en-AU"/>
        </w:rPr>
        <w:t xml:space="preserve"> (</w:t>
      </w:r>
      <w:r w:rsidR="00BE6BA3" w:rsidRPr="00DC03B8">
        <w:rPr>
          <w:lang w:val="en-AU"/>
        </w:rPr>
        <w:t>while not in a state of rebellion themselves</w:t>
      </w:r>
      <w:r w:rsidR="0074100F" w:rsidRPr="00DC03B8">
        <w:rPr>
          <w:lang w:val="en-AU"/>
        </w:rPr>
        <w:t>)</w:t>
      </w:r>
      <w:r w:rsidR="00BE6BA3" w:rsidRPr="00DC03B8">
        <w:rPr>
          <w:lang w:val="en-AU"/>
        </w:rPr>
        <w:t xml:space="preserve"> </w:t>
      </w:r>
      <w:r w:rsidR="004842D1" w:rsidRPr="00DC03B8">
        <w:rPr>
          <w:lang w:val="en-AU"/>
        </w:rPr>
        <w:t>as found for example</w:t>
      </w:r>
      <w:r w:rsidR="00727985" w:rsidRPr="00DC03B8">
        <w:rPr>
          <w:lang w:val="en-AU"/>
        </w:rPr>
        <w:t xml:space="preserve"> </w:t>
      </w:r>
      <w:r w:rsidR="004842D1" w:rsidRPr="00DC03B8">
        <w:rPr>
          <w:lang w:val="en-AU"/>
        </w:rPr>
        <w:t xml:space="preserve">in Matthew 6:9–13 with its prayer for unity, </w:t>
      </w:r>
      <w:r w:rsidR="00BE6BA3" w:rsidRPr="00DC03B8">
        <w:rPr>
          <w:lang w:val="en-AU"/>
        </w:rPr>
        <w:t xml:space="preserve">they were an actual asset to the ruling government. Prayer for the welfare of the government became a factor </w:t>
      </w:r>
      <w:r w:rsidR="004842D1" w:rsidRPr="00DC03B8">
        <w:rPr>
          <w:lang w:val="en-AU"/>
        </w:rPr>
        <w:t>in</w:t>
      </w:r>
      <w:r w:rsidR="00BE6BA3" w:rsidRPr="00DC03B8">
        <w:rPr>
          <w:lang w:val="en-AU"/>
        </w:rPr>
        <w:t xml:space="preserve"> peace</w:t>
      </w:r>
      <w:r w:rsidR="004842D1" w:rsidRPr="00DC03B8">
        <w:rPr>
          <w:lang w:val="en-AU"/>
        </w:rPr>
        <w:t>ful</w:t>
      </w:r>
      <w:r w:rsidR="00BE6BA3" w:rsidRPr="00DC03B8">
        <w:rPr>
          <w:lang w:val="en-AU"/>
        </w:rPr>
        <w:t xml:space="preserve"> submission and a method to prevent rebellion amongst the people.</w:t>
      </w:r>
    </w:p>
    <w:p w14:paraId="1A122DC0" w14:textId="62296977" w:rsidR="008724B6" w:rsidRPr="00DC03B8" w:rsidRDefault="008724B6" w:rsidP="0033335F">
      <w:pPr>
        <w:pStyle w:val="Heading2"/>
      </w:pPr>
      <w:bookmarkStart w:id="116" w:name="_Toc94537011"/>
      <w:bookmarkStart w:id="117" w:name="_Toc118063658"/>
      <w:r w:rsidRPr="00DC03B8">
        <w:t>5.11 Chapter Conclusion</w:t>
      </w:r>
      <w:bookmarkEnd w:id="116"/>
      <w:bookmarkEnd w:id="117"/>
    </w:p>
    <w:p w14:paraId="6F25D6FF" w14:textId="11A7767F" w:rsidR="008C7FBC" w:rsidRPr="00DC03B8" w:rsidRDefault="008724B6" w:rsidP="008724B6">
      <w:pPr>
        <w:spacing w:line="480" w:lineRule="auto"/>
        <w:rPr>
          <w:lang w:val="en-AU"/>
        </w:rPr>
      </w:pPr>
      <w:r w:rsidRPr="00DC03B8">
        <w:rPr>
          <w:lang w:val="en-AU"/>
        </w:rPr>
        <w:tab/>
        <w:t>Jewish ethical and political thought at Jesus’</w:t>
      </w:r>
      <w:r w:rsidR="00E35288">
        <w:rPr>
          <w:lang w:val="en-AU"/>
        </w:rPr>
        <w:t>s</w:t>
      </w:r>
      <w:r w:rsidRPr="00DC03B8">
        <w:rPr>
          <w:lang w:val="en-AU"/>
        </w:rPr>
        <w:t xml:space="preserve"> time is connected to </w:t>
      </w:r>
      <w:r w:rsidRPr="00DC03B8">
        <w:rPr>
          <w:i/>
          <w:iCs/>
          <w:lang w:val="en-AU"/>
        </w:rPr>
        <w:t>Mishna Avot</w:t>
      </w:r>
      <w:r w:rsidRPr="00DC03B8">
        <w:rPr>
          <w:lang w:val="en-AU"/>
        </w:rPr>
        <w:t>.</w:t>
      </w:r>
      <w:r w:rsidR="009F6A63" w:rsidRPr="00DC03B8">
        <w:rPr>
          <w:lang w:val="en-AU"/>
        </w:rPr>
        <w:t xml:space="preserve"> The concepts of charity, justice, and peace tell a story in the Torah. The Torah scholars before the time of Jesus such as Yose ben Yoezer helped build the foundation of Torah instruction that became the </w:t>
      </w:r>
      <w:r w:rsidR="009F6A63" w:rsidRPr="00DC03B8">
        <w:rPr>
          <w:i/>
          <w:iCs/>
          <w:lang w:val="en-AU"/>
        </w:rPr>
        <w:t>Mishna</w:t>
      </w:r>
      <w:r w:rsidR="009F6A63" w:rsidRPr="00DC03B8">
        <w:rPr>
          <w:lang w:val="en-AU"/>
        </w:rPr>
        <w:t xml:space="preserve">. Some of these teachings include </w:t>
      </w:r>
      <w:r w:rsidR="009F6A63" w:rsidRPr="00DC03B8">
        <w:rPr>
          <w:i/>
          <w:iCs/>
          <w:lang w:val="en-AU"/>
        </w:rPr>
        <w:t>Avot</w:t>
      </w:r>
      <w:r w:rsidR="009F6A63" w:rsidRPr="00DC03B8">
        <w:rPr>
          <w:lang w:val="en-AU"/>
        </w:rPr>
        <w:t xml:space="preserve"> 6:4 and the instruction to live a Torah-filled life. The instruction in the </w:t>
      </w:r>
      <w:r w:rsidR="009F6A63" w:rsidRPr="00DC03B8">
        <w:rPr>
          <w:i/>
          <w:iCs/>
          <w:lang w:val="en-AU"/>
        </w:rPr>
        <w:t xml:space="preserve">Avot </w:t>
      </w:r>
      <w:r w:rsidR="009F6A63" w:rsidRPr="00DC03B8">
        <w:rPr>
          <w:lang w:val="en-AU"/>
        </w:rPr>
        <w:t xml:space="preserve">builds happiness and further in </w:t>
      </w:r>
      <w:r w:rsidR="009F6A63" w:rsidRPr="00DC03B8">
        <w:rPr>
          <w:i/>
          <w:iCs/>
          <w:lang w:val="en-AU"/>
        </w:rPr>
        <w:t>Avot</w:t>
      </w:r>
      <w:r w:rsidR="009F6A63" w:rsidRPr="00DC03B8">
        <w:rPr>
          <w:lang w:val="en-AU"/>
        </w:rPr>
        <w:t xml:space="preserve"> 2:6 the </w:t>
      </w:r>
      <w:r w:rsidR="008C7FBC" w:rsidRPr="00DC03B8">
        <w:rPr>
          <w:lang w:val="en-AU"/>
        </w:rPr>
        <w:t xml:space="preserve">concept of restraint is presented with Torah observant people. The </w:t>
      </w:r>
      <w:r w:rsidR="008C7FBC" w:rsidRPr="00DC03B8">
        <w:rPr>
          <w:i/>
          <w:iCs/>
          <w:lang w:val="en-AU"/>
        </w:rPr>
        <w:t xml:space="preserve">Avot </w:t>
      </w:r>
      <w:r w:rsidR="008C7FBC" w:rsidRPr="00DC03B8">
        <w:rPr>
          <w:lang w:val="en-AU"/>
        </w:rPr>
        <w:t>also teaches that seeking wisdom and truth is found in Torah; thus, it was emulated by people learning from rabbis, including those like Mary who sat at Jesus’</w:t>
      </w:r>
      <w:r w:rsidR="00E35288">
        <w:rPr>
          <w:lang w:val="en-AU"/>
        </w:rPr>
        <w:t>s</w:t>
      </w:r>
      <w:r w:rsidR="008C7FBC" w:rsidRPr="00DC03B8">
        <w:rPr>
          <w:lang w:val="en-AU"/>
        </w:rPr>
        <w:t xml:space="preserve"> feet.</w:t>
      </w:r>
    </w:p>
    <w:p w14:paraId="0F0058FB" w14:textId="0E79D130" w:rsidR="003A655D" w:rsidRPr="00DC03B8" w:rsidRDefault="008C7FBC" w:rsidP="00CC0042">
      <w:pPr>
        <w:spacing w:line="480" w:lineRule="auto"/>
        <w:ind w:firstLine="720"/>
        <w:rPr>
          <w:lang w:val="en-AU"/>
        </w:rPr>
      </w:pPr>
      <w:r w:rsidRPr="00DC03B8">
        <w:rPr>
          <w:lang w:val="en-AU"/>
        </w:rPr>
        <w:lastRenderedPageBreak/>
        <w:t xml:space="preserve">Another ethical and political correlation from </w:t>
      </w:r>
      <w:r w:rsidRPr="00DC03B8">
        <w:rPr>
          <w:i/>
          <w:iCs/>
          <w:lang w:val="en-AU"/>
        </w:rPr>
        <w:t>Avot</w:t>
      </w:r>
      <w:r w:rsidRPr="00DC03B8">
        <w:rPr>
          <w:lang w:val="en-AU"/>
        </w:rPr>
        <w:t xml:space="preserve"> and Jesus is found in </w:t>
      </w:r>
      <w:r w:rsidRPr="00DC03B8">
        <w:rPr>
          <w:i/>
          <w:iCs/>
          <w:lang w:val="en-AU"/>
        </w:rPr>
        <w:t xml:space="preserve">Avot </w:t>
      </w:r>
      <w:r w:rsidRPr="00DC03B8">
        <w:rPr>
          <w:lang w:val="en-AU"/>
        </w:rPr>
        <w:t xml:space="preserve">1:7 in that one must be socially astute. An individual should not be gullible. </w:t>
      </w:r>
      <w:r w:rsidR="008724B6" w:rsidRPr="00DC03B8">
        <w:rPr>
          <w:lang w:val="en-AU"/>
        </w:rPr>
        <w:t>A kingdom of peace with peaceful citizenry represented a goal of the Jewish nation at the time of Jesus</w:t>
      </w:r>
      <w:r w:rsidRPr="00DC03B8">
        <w:rPr>
          <w:lang w:val="en-AU"/>
        </w:rPr>
        <w:t xml:space="preserve"> through the concept of nonconfrontation in </w:t>
      </w:r>
      <w:r w:rsidRPr="00DC03B8">
        <w:rPr>
          <w:i/>
          <w:iCs/>
          <w:lang w:val="en-AU"/>
        </w:rPr>
        <w:t xml:space="preserve">Avot </w:t>
      </w:r>
      <w:r w:rsidRPr="00DC03B8">
        <w:rPr>
          <w:lang w:val="en-AU"/>
        </w:rPr>
        <w:t>1:12.</w:t>
      </w:r>
      <w:r w:rsidR="008F0E81" w:rsidRPr="00DC03B8">
        <w:rPr>
          <w:lang w:val="en-AU"/>
        </w:rPr>
        <w:t xml:space="preserve"> These non-retaliatory concepts formed the premise of ethical thought. Reverence as identified in </w:t>
      </w:r>
      <w:r w:rsidR="008F0E81" w:rsidRPr="00DC03B8">
        <w:rPr>
          <w:i/>
          <w:iCs/>
          <w:lang w:val="en-AU"/>
        </w:rPr>
        <w:t xml:space="preserve">Avot </w:t>
      </w:r>
      <w:r w:rsidR="008F0E81" w:rsidRPr="00DC03B8">
        <w:rPr>
          <w:lang w:val="en-AU"/>
        </w:rPr>
        <w:t xml:space="preserve">4:12 is the foundation of respecting others. The chapter further develops that </w:t>
      </w:r>
      <w:proofErr w:type="gramStart"/>
      <w:r w:rsidR="008F0E81" w:rsidRPr="00DC03B8">
        <w:rPr>
          <w:lang w:val="en-AU"/>
        </w:rPr>
        <w:t>in order to</w:t>
      </w:r>
      <w:proofErr w:type="gramEnd"/>
      <w:r w:rsidR="008F0E81" w:rsidRPr="00DC03B8">
        <w:rPr>
          <w:lang w:val="en-AU"/>
        </w:rPr>
        <w:t xml:space="preserve"> be respecting others and be non-retaliatory that retributive justice would be the foundation using these core values of non-retaliation, restraint, wisdom, and truth. </w:t>
      </w:r>
      <w:r w:rsidR="008724B6" w:rsidRPr="00DC03B8">
        <w:rPr>
          <w:lang w:val="en-AU"/>
        </w:rPr>
        <w:t xml:space="preserve">Different aspects of ethics regulated and defined how the Jewish people lived their lives: they were to lend money ethically, adhere to ethics in war, and ultimately be a people of compassion. It was demonstrated that </w:t>
      </w:r>
      <w:r w:rsidR="008724B6" w:rsidRPr="00DC03B8">
        <w:rPr>
          <w:i/>
          <w:lang w:val="en-AU"/>
        </w:rPr>
        <w:t xml:space="preserve">Mishna Avot </w:t>
      </w:r>
      <w:r w:rsidR="008724B6" w:rsidRPr="00DC03B8">
        <w:rPr>
          <w:lang w:val="en-AU"/>
        </w:rPr>
        <w:t>influenced society by strongly advocating wisdom and counsel, separation from evildoers, and being a peacemaker</w:t>
      </w:r>
      <w:r w:rsidR="008F0E81" w:rsidRPr="00DC03B8">
        <w:rPr>
          <w:lang w:val="en-AU"/>
        </w:rPr>
        <w:t xml:space="preserve"> and in doing so, not creating problems for leadership. The chapter concludes with a discussion about the similarity of </w:t>
      </w:r>
      <w:r w:rsidR="008F0E81" w:rsidRPr="00DC03B8">
        <w:rPr>
          <w:i/>
          <w:iCs/>
          <w:lang w:val="en-AU"/>
        </w:rPr>
        <w:t xml:space="preserve">Avot </w:t>
      </w:r>
      <w:r w:rsidR="008F0E81" w:rsidRPr="00DC03B8">
        <w:rPr>
          <w:lang w:val="en-AU"/>
        </w:rPr>
        <w:t xml:space="preserve">3:12 and Matthew 25:40 and showing the similarity between </w:t>
      </w:r>
      <w:r w:rsidR="00CC0042" w:rsidRPr="00DC03B8">
        <w:rPr>
          <w:lang w:val="en-AU"/>
        </w:rPr>
        <w:t xml:space="preserve">the two </w:t>
      </w:r>
      <w:r w:rsidR="0046680C" w:rsidRPr="00DC03B8">
        <w:rPr>
          <w:lang w:val="en-AU"/>
        </w:rPr>
        <w:t>texts</w:t>
      </w:r>
      <w:r w:rsidR="00CC0042" w:rsidRPr="00DC03B8">
        <w:rPr>
          <w:lang w:val="en-AU"/>
        </w:rPr>
        <w:t xml:space="preserve"> while providing respect for all people in the actions done within the community one lives in through work and prayer. </w:t>
      </w:r>
    </w:p>
    <w:p w14:paraId="7B7EDF6E" w14:textId="57BCE1E5" w:rsidR="00CC0042" w:rsidRPr="009E7B69" w:rsidRDefault="00CC0042" w:rsidP="00CC0042">
      <w:r w:rsidRPr="009E7B69">
        <w:br w:type="page"/>
      </w:r>
    </w:p>
    <w:p w14:paraId="64EF2C40" w14:textId="7FB949BA" w:rsidR="008D4202" w:rsidRPr="00DC03B8" w:rsidRDefault="003A655D" w:rsidP="009F5D32">
      <w:pPr>
        <w:pStyle w:val="Heading1"/>
        <w:rPr>
          <w:lang w:val="en-AU"/>
        </w:rPr>
      </w:pPr>
      <w:bookmarkStart w:id="118" w:name="_Toc94537012"/>
      <w:bookmarkStart w:id="119" w:name="_Toc118063659"/>
      <w:r w:rsidRPr="00DC03B8">
        <w:rPr>
          <w:lang w:val="en-AU"/>
        </w:rPr>
        <w:lastRenderedPageBreak/>
        <w:t xml:space="preserve">Chapter </w:t>
      </w:r>
      <w:r w:rsidR="00E01243" w:rsidRPr="00DC03B8">
        <w:rPr>
          <w:lang w:val="en-AU"/>
        </w:rPr>
        <w:t>6</w:t>
      </w:r>
      <w:r w:rsidR="00BE6BA3" w:rsidRPr="00DC03B8">
        <w:rPr>
          <w:lang w:val="en-AU"/>
        </w:rPr>
        <w:t xml:space="preserve"> </w:t>
      </w:r>
      <w:r w:rsidR="00BE6BA3" w:rsidRPr="00DC03B8">
        <w:rPr>
          <w:i/>
          <w:lang w:val="en-AU"/>
        </w:rPr>
        <w:t>Lex Talionis</w:t>
      </w:r>
      <w:r w:rsidRPr="00DC03B8">
        <w:rPr>
          <w:lang w:val="en-AU"/>
        </w:rPr>
        <w:t xml:space="preserve"> in the Hebrew Bible, Roman Law</w:t>
      </w:r>
      <w:r w:rsidR="00DC03B8" w:rsidRPr="00DC03B8">
        <w:rPr>
          <w:lang w:val="en-AU"/>
        </w:rPr>
        <w:t>,</w:t>
      </w:r>
      <w:r w:rsidRPr="00DC03B8">
        <w:rPr>
          <w:lang w:val="en-AU"/>
        </w:rPr>
        <w:t xml:space="preserve"> and Mishnah</w:t>
      </w:r>
      <w:bookmarkEnd w:id="118"/>
      <w:bookmarkEnd w:id="119"/>
    </w:p>
    <w:p w14:paraId="3EF6CACA" w14:textId="548826E1" w:rsidR="00826B16" w:rsidRPr="00DC03B8" w:rsidRDefault="00826B16" w:rsidP="0033335F">
      <w:pPr>
        <w:pStyle w:val="Heading2"/>
      </w:pPr>
      <w:bookmarkStart w:id="120" w:name="_Toc94537013"/>
      <w:bookmarkStart w:id="121" w:name="_Toc118063660"/>
      <w:r w:rsidRPr="00DC03B8">
        <w:t>6.1 Introduction</w:t>
      </w:r>
      <w:bookmarkEnd w:id="120"/>
      <w:bookmarkEnd w:id="121"/>
    </w:p>
    <w:p w14:paraId="0094CD99" w14:textId="7090C5A8" w:rsidR="004D7190" w:rsidRPr="00DC03B8" w:rsidRDefault="00147346" w:rsidP="00C665DE">
      <w:pPr>
        <w:spacing w:line="480" w:lineRule="auto"/>
        <w:ind w:firstLine="720"/>
        <w:rPr>
          <w:rFonts w:eastAsiaTheme="majorEastAsia"/>
          <w:bCs/>
          <w:lang w:val="en-AU"/>
        </w:rPr>
      </w:pPr>
      <w:r w:rsidRPr="00DC03B8">
        <w:rPr>
          <w:rFonts w:eastAsiaTheme="majorEastAsia"/>
          <w:bCs/>
          <w:iCs/>
          <w:lang w:val="en-AU"/>
        </w:rPr>
        <w:t xml:space="preserve">An early </w:t>
      </w:r>
      <w:r w:rsidR="004B1F3E" w:rsidRPr="00DC03B8">
        <w:rPr>
          <w:rFonts w:eastAsiaTheme="majorEastAsia"/>
          <w:bCs/>
          <w:iCs/>
          <w:lang w:val="en-AU"/>
        </w:rPr>
        <w:t>criterion</w:t>
      </w:r>
      <w:r w:rsidRPr="00DC03B8">
        <w:rPr>
          <w:rFonts w:eastAsiaTheme="majorEastAsia"/>
          <w:bCs/>
          <w:iCs/>
          <w:lang w:val="en-AU"/>
        </w:rPr>
        <w:t xml:space="preserve"> of legal justice was known as </w:t>
      </w:r>
      <w:r w:rsidR="00863B47" w:rsidRPr="00DC03B8">
        <w:rPr>
          <w:rFonts w:eastAsiaTheme="majorEastAsia"/>
          <w:bCs/>
          <w:iCs/>
          <w:lang w:val="en-AU"/>
        </w:rPr>
        <w:t>“</w:t>
      </w:r>
      <w:r w:rsidR="00BE6BA3" w:rsidRPr="00DC03B8">
        <w:rPr>
          <w:rFonts w:eastAsiaTheme="majorEastAsia"/>
          <w:bCs/>
          <w:i/>
          <w:lang w:val="en-AU"/>
        </w:rPr>
        <w:t>lex talionis</w:t>
      </w:r>
      <w:r w:rsidR="00C07946" w:rsidRPr="00DC03B8">
        <w:rPr>
          <w:rFonts w:eastAsiaTheme="majorEastAsia"/>
          <w:bCs/>
          <w:i/>
          <w:lang w:val="en-AU"/>
        </w:rPr>
        <w:t>,</w:t>
      </w:r>
      <w:r w:rsidR="00863B47" w:rsidRPr="00DC03B8">
        <w:rPr>
          <w:rFonts w:eastAsiaTheme="majorEastAsia"/>
          <w:bCs/>
          <w:i/>
          <w:lang w:val="en-AU"/>
        </w:rPr>
        <w:t>”</w:t>
      </w:r>
      <w:r w:rsidRPr="00DC03B8">
        <w:rPr>
          <w:rFonts w:eastAsiaTheme="majorEastAsia"/>
          <w:bCs/>
          <w:i/>
          <w:lang w:val="en-AU"/>
        </w:rPr>
        <w:t xml:space="preserve"> </w:t>
      </w:r>
      <w:r w:rsidRPr="00DC03B8">
        <w:rPr>
          <w:rFonts w:eastAsiaTheme="majorEastAsia"/>
          <w:bCs/>
          <w:iCs/>
          <w:lang w:val="en-AU"/>
        </w:rPr>
        <w:t>which creates a standard of retributive punishment for injury.</w:t>
      </w:r>
      <w:r w:rsidRPr="00DC03B8">
        <w:rPr>
          <w:rFonts w:eastAsiaTheme="majorEastAsia"/>
          <w:bCs/>
          <w:lang w:val="en-AU"/>
        </w:rPr>
        <w:t xml:space="preserve"> </w:t>
      </w:r>
      <w:r w:rsidR="00C21AEE">
        <w:rPr>
          <w:rFonts w:eastAsiaTheme="majorEastAsia"/>
          <w:bCs/>
          <w:lang w:val="en-AU"/>
        </w:rPr>
        <w:t xml:space="preserve">As noted in this dissertation, the legal criterion of </w:t>
      </w:r>
      <w:r w:rsidR="00C21AEE">
        <w:rPr>
          <w:rFonts w:eastAsiaTheme="majorEastAsia"/>
          <w:bCs/>
          <w:i/>
          <w:iCs/>
          <w:lang w:val="en-AU"/>
        </w:rPr>
        <w:t xml:space="preserve">lex </w:t>
      </w:r>
      <w:r w:rsidR="00C21AEE" w:rsidRPr="00C21AEE">
        <w:rPr>
          <w:rFonts w:eastAsiaTheme="majorEastAsia"/>
          <w:bCs/>
          <w:i/>
          <w:iCs/>
          <w:lang w:val="en-AU"/>
        </w:rPr>
        <w:t>talionis</w:t>
      </w:r>
      <w:r w:rsidR="00C21AEE">
        <w:rPr>
          <w:rFonts w:eastAsiaTheme="majorEastAsia"/>
          <w:bCs/>
          <w:lang w:val="en-AU"/>
        </w:rPr>
        <w:t xml:space="preserve"> has had many cultural and political </w:t>
      </w:r>
      <w:r w:rsidR="006444BE">
        <w:rPr>
          <w:rFonts w:eastAsiaTheme="majorEastAsia"/>
          <w:bCs/>
          <w:lang w:val="en-AU"/>
        </w:rPr>
        <w:t>views from empires surrounding the Jewish nation in Torah and the Jewish nation refined it for their context.</w:t>
      </w:r>
      <w:r w:rsidR="00C21AEE">
        <w:rPr>
          <w:rFonts w:eastAsiaTheme="majorEastAsia"/>
          <w:bCs/>
          <w:lang w:val="en-AU"/>
        </w:rPr>
        <w:t xml:space="preserve"> </w:t>
      </w:r>
      <w:r w:rsidR="005F56F7" w:rsidRPr="00C21AEE">
        <w:rPr>
          <w:rFonts w:eastAsiaTheme="majorEastAsia"/>
          <w:bCs/>
          <w:lang w:val="en-AU"/>
        </w:rPr>
        <w:t>The</w:t>
      </w:r>
      <w:r w:rsidR="005F56F7" w:rsidRPr="00DC03B8">
        <w:rPr>
          <w:rFonts w:eastAsiaTheme="majorEastAsia"/>
          <w:bCs/>
          <w:lang w:val="en-AU"/>
        </w:rPr>
        <w:t xml:space="preserve"> principles of Matthew 5:38</w:t>
      </w:r>
      <w:r w:rsidR="004B1F3E" w:rsidRPr="00DC03B8">
        <w:rPr>
          <w:rFonts w:eastAsiaTheme="majorEastAsia"/>
          <w:bCs/>
          <w:lang w:val="en-AU"/>
        </w:rPr>
        <w:t>–</w:t>
      </w:r>
      <w:r w:rsidR="005F56F7" w:rsidRPr="00DC03B8">
        <w:rPr>
          <w:rFonts w:eastAsiaTheme="majorEastAsia"/>
          <w:bCs/>
          <w:lang w:val="en-AU"/>
        </w:rPr>
        <w:t>42</w:t>
      </w:r>
      <w:r w:rsidR="00B756E8" w:rsidRPr="00DC03B8">
        <w:rPr>
          <w:rFonts w:eastAsiaTheme="majorEastAsia"/>
          <w:bCs/>
          <w:lang w:val="en-AU"/>
        </w:rPr>
        <w:t xml:space="preserve"> (see also </w:t>
      </w:r>
      <w:r w:rsidR="00B756E8" w:rsidRPr="00DC03B8">
        <w:rPr>
          <w:lang w:val="en-AU"/>
        </w:rPr>
        <w:t>Matt 5:17, 19, 21, 27, 31, 33, 43 for similar thought)</w:t>
      </w:r>
      <w:r w:rsidR="005F56F7" w:rsidRPr="00DC03B8">
        <w:rPr>
          <w:rFonts w:eastAsiaTheme="majorEastAsia"/>
          <w:bCs/>
          <w:lang w:val="en-AU"/>
        </w:rPr>
        <w:t xml:space="preserve"> coincide with the Roman views of </w:t>
      </w:r>
      <w:r w:rsidR="005F56F7" w:rsidRPr="00DC03B8">
        <w:rPr>
          <w:rFonts w:eastAsiaTheme="majorEastAsia"/>
          <w:bCs/>
          <w:i/>
          <w:iCs/>
          <w:lang w:val="en-AU"/>
        </w:rPr>
        <w:t>lex talionis</w:t>
      </w:r>
      <w:r w:rsidR="005F56F7" w:rsidRPr="00DC03B8">
        <w:rPr>
          <w:rFonts w:eastAsiaTheme="majorEastAsia"/>
          <w:bCs/>
          <w:lang w:val="en-AU"/>
        </w:rPr>
        <w:t xml:space="preserve"> contained in the Roman Twelve Tablets</w:t>
      </w:r>
      <w:r w:rsidR="009F4B4E" w:rsidRPr="00DC03B8">
        <w:rPr>
          <w:rFonts w:eastAsiaTheme="majorEastAsia"/>
          <w:bCs/>
          <w:lang w:val="en-AU"/>
        </w:rPr>
        <w:t xml:space="preserve"> dating from 450 BCE</w:t>
      </w:r>
      <w:r w:rsidR="00BE6BA3" w:rsidRPr="00DC03B8">
        <w:rPr>
          <w:rFonts w:eastAsiaTheme="majorEastAsia"/>
          <w:bCs/>
          <w:lang w:val="en-AU"/>
        </w:rPr>
        <w:t>.</w:t>
      </w:r>
      <w:r w:rsidR="002F2AD5" w:rsidRPr="00DC03B8">
        <w:rPr>
          <w:rStyle w:val="FootnoteReference"/>
          <w:rFonts w:eastAsiaTheme="majorEastAsia"/>
          <w:bCs/>
          <w:lang w:val="en-AU"/>
        </w:rPr>
        <w:t xml:space="preserve"> </w:t>
      </w:r>
      <w:r w:rsidR="002F2AD5" w:rsidRPr="00DC03B8">
        <w:rPr>
          <w:rStyle w:val="FootnoteReference"/>
          <w:rFonts w:eastAsiaTheme="majorEastAsia"/>
          <w:bCs/>
          <w:lang w:val="en-AU"/>
        </w:rPr>
        <w:footnoteReference w:id="323"/>
      </w:r>
      <w:r w:rsidR="00BE6BA3" w:rsidRPr="00DC03B8">
        <w:rPr>
          <w:rFonts w:eastAsiaTheme="majorEastAsia"/>
          <w:bCs/>
          <w:lang w:val="en-AU"/>
        </w:rPr>
        <w:t xml:space="preserve"> </w:t>
      </w:r>
      <w:r w:rsidR="004D7190" w:rsidRPr="00DC03B8">
        <w:rPr>
          <w:rFonts w:eastAsiaTheme="majorEastAsia"/>
          <w:bCs/>
          <w:lang w:val="en-AU"/>
        </w:rPr>
        <w:t xml:space="preserve">The </w:t>
      </w:r>
      <w:r w:rsidR="004D7190" w:rsidRPr="00DC03B8">
        <w:rPr>
          <w:rFonts w:eastAsiaTheme="majorEastAsia"/>
          <w:bCs/>
          <w:i/>
          <w:lang w:val="en-AU"/>
        </w:rPr>
        <w:t>lex talionis</w:t>
      </w:r>
      <w:r w:rsidR="004D7190" w:rsidRPr="00DC03B8">
        <w:rPr>
          <w:rFonts w:eastAsiaTheme="majorEastAsia"/>
          <w:bCs/>
          <w:iCs/>
          <w:lang w:val="en-AU"/>
        </w:rPr>
        <w:t xml:space="preserve"> </w:t>
      </w:r>
      <w:r w:rsidR="004D7190" w:rsidRPr="00DC03B8">
        <w:rPr>
          <w:rFonts w:eastAsiaTheme="majorEastAsia"/>
          <w:bCs/>
          <w:lang w:val="en-AU"/>
        </w:rPr>
        <w:t>from the Twelve Tables in Roman law defines retaliatory justice.</w:t>
      </w:r>
      <w:r w:rsidR="004D7190" w:rsidRPr="00DC03B8">
        <w:rPr>
          <w:rStyle w:val="FootnoteReference"/>
          <w:rFonts w:eastAsiaTheme="majorEastAsia"/>
          <w:bCs/>
          <w:lang w:val="en-AU"/>
        </w:rPr>
        <w:footnoteReference w:id="324"/>
      </w:r>
      <w:r w:rsidR="004D7190" w:rsidRPr="00DC03B8">
        <w:rPr>
          <w:rFonts w:eastAsiaTheme="majorEastAsia"/>
          <w:bCs/>
          <w:lang w:val="en-AU"/>
        </w:rPr>
        <w:t xml:space="preserve"> The Latin from the Twelve Tables in Roman law say</w:t>
      </w:r>
      <w:r w:rsidR="002A106A" w:rsidRPr="00DC03B8">
        <w:rPr>
          <w:rFonts w:eastAsiaTheme="majorEastAsia"/>
          <w:bCs/>
          <w:lang w:val="en-AU"/>
        </w:rPr>
        <w:t>s</w:t>
      </w:r>
      <w:r w:rsidR="004D7190" w:rsidRPr="00DC03B8">
        <w:rPr>
          <w:rFonts w:eastAsiaTheme="majorEastAsia"/>
          <w:bCs/>
          <w:lang w:val="en-AU"/>
        </w:rPr>
        <w:t xml:space="preserve">, </w:t>
      </w:r>
      <w:r w:rsidR="004D7190" w:rsidRPr="00DC03B8">
        <w:rPr>
          <w:rFonts w:eastAsiaTheme="majorEastAsia"/>
          <w:bCs/>
          <w:i/>
          <w:iCs/>
          <w:lang w:val="en-AU"/>
        </w:rPr>
        <w:t>Si membrum rupsit, ni cum eo pacit, talio esto</w:t>
      </w:r>
      <w:r w:rsidR="004D7190" w:rsidRPr="00DC03B8">
        <w:rPr>
          <w:rFonts w:eastAsiaTheme="majorEastAsia"/>
          <w:bCs/>
          <w:lang w:val="en-AU"/>
        </w:rPr>
        <w:t>.</w:t>
      </w:r>
      <w:r w:rsidR="004D7190" w:rsidRPr="00DC03B8">
        <w:rPr>
          <w:rStyle w:val="FootnoteReference"/>
          <w:rFonts w:eastAsiaTheme="majorEastAsia"/>
          <w:bCs/>
          <w:lang w:val="en-AU"/>
        </w:rPr>
        <w:footnoteReference w:id="325"/>
      </w:r>
      <w:r w:rsidR="004D7190" w:rsidRPr="00DC03B8">
        <w:rPr>
          <w:rFonts w:eastAsiaTheme="majorEastAsia"/>
          <w:bCs/>
          <w:lang w:val="en-AU"/>
        </w:rPr>
        <w:t xml:space="preserve"> Warmin</w:t>
      </w:r>
      <w:r w:rsidR="00CA533D" w:rsidRPr="00DC03B8">
        <w:rPr>
          <w:rFonts w:eastAsiaTheme="majorEastAsia"/>
          <w:bCs/>
          <w:lang w:val="en-AU"/>
        </w:rPr>
        <w:t>g</w:t>
      </w:r>
      <w:r w:rsidR="004D7190" w:rsidRPr="00DC03B8">
        <w:rPr>
          <w:rFonts w:eastAsiaTheme="majorEastAsia"/>
          <w:bCs/>
          <w:lang w:val="en-AU"/>
        </w:rPr>
        <w:t xml:space="preserve">ton translates this text, </w:t>
      </w:r>
      <w:r w:rsidR="00863B47" w:rsidRPr="00DC03B8">
        <w:rPr>
          <w:rFonts w:eastAsiaTheme="majorEastAsia"/>
          <w:bCs/>
          <w:lang w:val="en-AU"/>
        </w:rPr>
        <w:t>“</w:t>
      </w:r>
      <w:r w:rsidR="004D7190" w:rsidRPr="00DC03B8">
        <w:rPr>
          <w:rFonts w:eastAsiaTheme="majorEastAsia"/>
          <w:bCs/>
          <w:lang w:val="en-AU"/>
        </w:rPr>
        <w:t>when anyone breaks a member of another, and is unwilling to come to make a settlement with him, he shall be punished by the law of retaliation.</w:t>
      </w:r>
      <w:r w:rsidR="00863B47" w:rsidRPr="00DC03B8">
        <w:rPr>
          <w:rFonts w:eastAsiaTheme="majorEastAsia"/>
          <w:bCs/>
          <w:lang w:val="en-AU"/>
        </w:rPr>
        <w:t>”</w:t>
      </w:r>
      <w:r w:rsidR="004D7190" w:rsidRPr="00DC03B8">
        <w:rPr>
          <w:rStyle w:val="FootnoteReference"/>
          <w:rFonts w:eastAsiaTheme="majorEastAsia"/>
          <w:bCs/>
          <w:lang w:val="en-AU"/>
        </w:rPr>
        <w:footnoteReference w:id="326"/>
      </w:r>
      <w:r w:rsidR="004D7190" w:rsidRPr="00DC03B8">
        <w:rPr>
          <w:rFonts w:eastAsiaTheme="majorEastAsia"/>
          <w:bCs/>
          <w:lang w:val="en-AU"/>
        </w:rPr>
        <w:t xml:space="preserve"> The </w:t>
      </w:r>
      <w:r w:rsidR="004D7190" w:rsidRPr="00DC03B8">
        <w:rPr>
          <w:rFonts w:eastAsiaTheme="majorEastAsia"/>
          <w:bCs/>
          <w:i/>
          <w:iCs/>
          <w:lang w:val="en-AU"/>
        </w:rPr>
        <w:t>lex talionis</w:t>
      </w:r>
      <w:r w:rsidR="004D7190" w:rsidRPr="00DC03B8">
        <w:rPr>
          <w:rFonts w:eastAsiaTheme="majorEastAsia"/>
          <w:bCs/>
          <w:lang w:val="en-AU"/>
        </w:rPr>
        <w:t xml:space="preserve"> allows for a settlement of money under the Roman law and allows for retaliation when a solution has not been reached. </w:t>
      </w:r>
    </w:p>
    <w:p w14:paraId="01701B5F" w14:textId="1DFA9D95" w:rsidR="004D7190" w:rsidRPr="00DC03B8" w:rsidRDefault="003D1096" w:rsidP="004D7190">
      <w:pPr>
        <w:spacing w:line="480" w:lineRule="auto"/>
        <w:ind w:firstLine="720"/>
        <w:rPr>
          <w:lang w:val="en-AU"/>
        </w:rPr>
      </w:pPr>
      <w:r w:rsidRPr="00DC03B8">
        <w:rPr>
          <w:rFonts w:eastAsiaTheme="majorEastAsia"/>
          <w:bCs/>
          <w:lang w:val="en-AU"/>
        </w:rPr>
        <w:lastRenderedPageBreak/>
        <w:t>I</w:t>
      </w:r>
      <w:r w:rsidR="00BE6BA3" w:rsidRPr="00DC03B8">
        <w:rPr>
          <w:rFonts w:eastAsiaTheme="majorEastAsia"/>
          <w:bCs/>
          <w:lang w:val="en-AU"/>
        </w:rPr>
        <w:t xml:space="preserve">n the Twelve </w:t>
      </w:r>
      <w:r w:rsidRPr="00DC03B8">
        <w:rPr>
          <w:rFonts w:eastAsiaTheme="majorEastAsia"/>
          <w:bCs/>
          <w:lang w:val="en-AU"/>
        </w:rPr>
        <w:t xml:space="preserve">Roman </w:t>
      </w:r>
      <w:r w:rsidR="0026071F" w:rsidRPr="00DC03B8">
        <w:rPr>
          <w:rFonts w:eastAsiaTheme="majorEastAsia"/>
          <w:bCs/>
          <w:lang w:val="en-AU"/>
        </w:rPr>
        <w:t>L</w:t>
      </w:r>
      <w:r w:rsidRPr="00DC03B8">
        <w:rPr>
          <w:rFonts w:eastAsiaTheme="majorEastAsia"/>
          <w:bCs/>
          <w:lang w:val="en-AU"/>
        </w:rPr>
        <w:t>aw</w:t>
      </w:r>
      <w:r w:rsidR="00BE6BA3" w:rsidRPr="00DC03B8">
        <w:rPr>
          <w:rFonts w:eastAsiaTheme="majorEastAsia"/>
          <w:bCs/>
          <w:lang w:val="en-AU"/>
        </w:rPr>
        <w:t xml:space="preserve"> Table</w:t>
      </w:r>
      <w:r w:rsidR="0026071F" w:rsidRPr="00DC03B8">
        <w:rPr>
          <w:rFonts w:eastAsiaTheme="majorEastAsia"/>
          <w:bCs/>
          <w:lang w:val="en-AU"/>
        </w:rPr>
        <w:t>t</w:t>
      </w:r>
      <w:r w:rsidR="00BE6BA3" w:rsidRPr="00DC03B8">
        <w:rPr>
          <w:rFonts w:eastAsiaTheme="majorEastAsia"/>
          <w:bCs/>
          <w:lang w:val="en-AU"/>
        </w:rPr>
        <w:t>s</w:t>
      </w:r>
      <w:r w:rsidR="004D7190" w:rsidRPr="00DC03B8">
        <w:rPr>
          <w:rFonts w:eastAsiaTheme="majorEastAsia"/>
          <w:bCs/>
          <w:lang w:val="en-AU"/>
        </w:rPr>
        <w:t>,</w:t>
      </w:r>
      <w:r w:rsidR="00BE6BA3" w:rsidRPr="00DC03B8">
        <w:rPr>
          <w:rFonts w:eastAsiaTheme="majorEastAsia"/>
          <w:bCs/>
          <w:lang w:val="en-AU"/>
        </w:rPr>
        <w:t xml:space="preserve"> the concept of retaliatory justice </w:t>
      </w:r>
      <w:r w:rsidR="00231C04" w:rsidRPr="00DC03B8">
        <w:rPr>
          <w:rFonts w:eastAsiaTheme="majorEastAsia"/>
          <w:bCs/>
          <w:lang w:val="en-AU"/>
        </w:rPr>
        <w:t>i</w:t>
      </w:r>
      <w:r w:rsidR="00BE6BA3" w:rsidRPr="00DC03B8">
        <w:rPr>
          <w:rFonts w:eastAsiaTheme="majorEastAsia"/>
          <w:bCs/>
          <w:lang w:val="en-AU"/>
        </w:rPr>
        <w:t>s a guiding principle.</w:t>
      </w:r>
      <w:r w:rsidR="00BE6BA3" w:rsidRPr="00DC03B8">
        <w:rPr>
          <w:rStyle w:val="FootnoteReference"/>
          <w:rFonts w:eastAsiaTheme="majorEastAsia"/>
          <w:bCs/>
          <w:lang w:val="en-AU"/>
        </w:rPr>
        <w:footnoteReference w:id="327"/>
      </w:r>
      <w:r w:rsidR="00BE6BA3" w:rsidRPr="00DC03B8">
        <w:rPr>
          <w:rFonts w:eastAsiaTheme="majorEastAsia"/>
          <w:bCs/>
          <w:lang w:val="en-AU"/>
        </w:rPr>
        <w:t xml:space="preserve"> </w:t>
      </w:r>
      <w:r w:rsidR="005F56F7" w:rsidRPr="00DC03B8">
        <w:rPr>
          <w:rFonts w:eastAsiaTheme="majorEastAsia"/>
          <w:bCs/>
          <w:lang w:val="en-AU"/>
        </w:rPr>
        <w:t xml:space="preserve">The concepts of the Roman Twelve Tablets are uniquely </w:t>
      </w:r>
      <w:r w:rsidR="00436E22" w:rsidRPr="00DC03B8">
        <w:rPr>
          <w:rFonts w:eastAsiaTheme="majorEastAsia"/>
          <w:bCs/>
          <w:lang w:val="en-AU"/>
        </w:rPr>
        <w:t>intertwined</w:t>
      </w:r>
      <w:r w:rsidR="005F56F7" w:rsidRPr="00DC03B8">
        <w:rPr>
          <w:rFonts w:eastAsiaTheme="majorEastAsia"/>
          <w:bCs/>
          <w:lang w:val="en-AU"/>
        </w:rPr>
        <w:t xml:space="preserve"> with Matthew 5:38</w:t>
      </w:r>
      <w:r w:rsidR="00AB062F" w:rsidRPr="00DC03B8">
        <w:rPr>
          <w:rFonts w:eastAsiaTheme="majorEastAsia"/>
          <w:bCs/>
          <w:lang w:val="en-AU"/>
        </w:rPr>
        <w:t>–</w:t>
      </w:r>
      <w:r w:rsidR="005F56F7" w:rsidRPr="00DC03B8">
        <w:rPr>
          <w:rFonts w:eastAsiaTheme="majorEastAsia"/>
          <w:bCs/>
          <w:lang w:val="en-AU"/>
        </w:rPr>
        <w:t>42 in terms of legal authority and responsibility towards other human beings.  Th</w:t>
      </w:r>
      <w:r w:rsidR="000727AC" w:rsidRPr="00DC03B8">
        <w:rPr>
          <w:rFonts w:eastAsiaTheme="majorEastAsia"/>
          <w:bCs/>
          <w:lang w:val="en-AU"/>
        </w:rPr>
        <w:t>e</w:t>
      </w:r>
      <w:r w:rsidR="005F56F7" w:rsidRPr="00DC03B8">
        <w:rPr>
          <w:rFonts w:eastAsiaTheme="majorEastAsia"/>
          <w:bCs/>
          <w:lang w:val="en-AU"/>
        </w:rPr>
        <w:t xml:space="preserve"> concept</w:t>
      </w:r>
      <w:r w:rsidR="000727AC" w:rsidRPr="00DC03B8">
        <w:rPr>
          <w:rFonts w:eastAsiaTheme="majorEastAsia"/>
          <w:bCs/>
          <w:lang w:val="en-AU"/>
        </w:rPr>
        <w:t>s</w:t>
      </w:r>
      <w:r w:rsidR="005F56F7" w:rsidRPr="00DC03B8">
        <w:rPr>
          <w:rFonts w:eastAsiaTheme="majorEastAsia"/>
          <w:bCs/>
          <w:lang w:val="en-AU"/>
        </w:rPr>
        <w:t xml:space="preserve"> </w:t>
      </w:r>
      <w:r w:rsidR="000727AC" w:rsidRPr="00DC03B8">
        <w:rPr>
          <w:rFonts w:eastAsiaTheme="majorEastAsia"/>
          <w:bCs/>
          <w:lang w:val="en-AU"/>
        </w:rPr>
        <w:t>in</w:t>
      </w:r>
      <w:r w:rsidR="005F56F7" w:rsidRPr="00DC03B8">
        <w:rPr>
          <w:rFonts w:eastAsiaTheme="majorEastAsia"/>
          <w:bCs/>
          <w:lang w:val="en-AU"/>
        </w:rPr>
        <w:t xml:space="preserve"> Matthew 5:38</w:t>
      </w:r>
      <w:r w:rsidR="00A7241D" w:rsidRPr="00DC03B8">
        <w:rPr>
          <w:rFonts w:eastAsiaTheme="majorEastAsia"/>
          <w:bCs/>
          <w:lang w:val="en-AU"/>
        </w:rPr>
        <w:t>–</w:t>
      </w:r>
      <w:r w:rsidR="005F56F7" w:rsidRPr="00DC03B8">
        <w:rPr>
          <w:rFonts w:eastAsiaTheme="majorEastAsia"/>
          <w:bCs/>
          <w:lang w:val="en-AU"/>
        </w:rPr>
        <w:t xml:space="preserve">42 </w:t>
      </w:r>
      <w:proofErr w:type="gramStart"/>
      <w:r w:rsidR="005F56F7" w:rsidRPr="00DC03B8">
        <w:rPr>
          <w:rFonts w:eastAsiaTheme="majorEastAsia"/>
          <w:bCs/>
          <w:lang w:val="en-AU"/>
        </w:rPr>
        <w:t>are</w:t>
      </w:r>
      <w:proofErr w:type="gramEnd"/>
      <w:r w:rsidR="005F56F7" w:rsidRPr="00DC03B8">
        <w:rPr>
          <w:rFonts w:eastAsiaTheme="majorEastAsia"/>
          <w:bCs/>
          <w:lang w:val="en-AU"/>
        </w:rPr>
        <w:t xml:space="preserve"> part of Jesus</w:t>
      </w:r>
      <w:r w:rsidR="005C71CB" w:rsidRPr="00DC03B8">
        <w:rPr>
          <w:rFonts w:eastAsiaTheme="majorEastAsia"/>
          <w:bCs/>
          <w:lang w:val="en-AU"/>
        </w:rPr>
        <w:t>’</w:t>
      </w:r>
      <w:r w:rsidR="00E35288">
        <w:rPr>
          <w:rFonts w:eastAsiaTheme="majorEastAsia"/>
          <w:bCs/>
          <w:lang w:val="en-AU"/>
        </w:rPr>
        <w:t>s</w:t>
      </w:r>
      <w:r w:rsidR="0069209C" w:rsidRPr="00DC03B8">
        <w:rPr>
          <w:rFonts w:eastAsiaTheme="majorEastAsia"/>
          <w:bCs/>
          <w:lang w:val="en-AU"/>
        </w:rPr>
        <w:t xml:space="preserve"> discussion on human conflict. </w:t>
      </w:r>
      <w:r w:rsidR="00970861" w:rsidRPr="00DC03B8">
        <w:rPr>
          <w:rFonts w:eastAsiaTheme="majorEastAsia"/>
          <w:bCs/>
          <w:lang w:val="en-AU"/>
        </w:rPr>
        <w:t xml:space="preserve">The principles of </w:t>
      </w:r>
      <w:r w:rsidR="00BE6BA3" w:rsidRPr="00DC03B8">
        <w:rPr>
          <w:rFonts w:eastAsiaTheme="majorEastAsia"/>
          <w:bCs/>
          <w:lang w:val="en-AU"/>
        </w:rPr>
        <w:t>Jesus</w:t>
      </w:r>
      <w:r w:rsidR="005C71CB" w:rsidRPr="00DC03B8">
        <w:rPr>
          <w:rFonts w:eastAsiaTheme="majorEastAsia"/>
          <w:bCs/>
          <w:lang w:val="en-AU"/>
        </w:rPr>
        <w:t>’</w:t>
      </w:r>
      <w:r w:rsidR="00E35288">
        <w:rPr>
          <w:rFonts w:eastAsiaTheme="majorEastAsia"/>
          <w:bCs/>
          <w:lang w:val="en-AU"/>
        </w:rPr>
        <w:t>s</w:t>
      </w:r>
      <w:r w:rsidR="00BE6BA3" w:rsidRPr="00DC03B8">
        <w:rPr>
          <w:rFonts w:eastAsiaTheme="majorEastAsia"/>
          <w:bCs/>
          <w:lang w:val="en-AU"/>
        </w:rPr>
        <w:t xml:space="preserve"> morality w</w:t>
      </w:r>
      <w:r w:rsidR="00970861" w:rsidRPr="00DC03B8">
        <w:rPr>
          <w:rFonts w:eastAsiaTheme="majorEastAsia"/>
          <w:bCs/>
          <w:lang w:val="en-AU"/>
        </w:rPr>
        <w:t xml:space="preserve">ere </w:t>
      </w:r>
      <w:r w:rsidR="00BE6BA3" w:rsidRPr="00DC03B8">
        <w:rPr>
          <w:rFonts w:eastAsiaTheme="majorEastAsia"/>
          <w:bCs/>
          <w:lang w:val="en-AU"/>
        </w:rPr>
        <w:t xml:space="preserve">difficult </w:t>
      </w:r>
      <w:r w:rsidR="006764C6" w:rsidRPr="00DC03B8">
        <w:rPr>
          <w:rFonts w:eastAsiaTheme="majorEastAsia"/>
          <w:bCs/>
          <w:lang w:val="en-AU"/>
        </w:rPr>
        <w:t>for</w:t>
      </w:r>
      <w:r w:rsidR="00BE6BA3" w:rsidRPr="00DC03B8">
        <w:rPr>
          <w:rFonts w:eastAsiaTheme="majorEastAsia"/>
          <w:bCs/>
          <w:lang w:val="en-AU"/>
        </w:rPr>
        <w:t xml:space="preserve"> the common </w:t>
      </w:r>
      <w:r w:rsidR="006764C6" w:rsidRPr="00DC03B8">
        <w:rPr>
          <w:rFonts w:eastAsiaTheme="majorEastAsia"/>
          <w:bCs/>
          <w:lang w:val="en-AU"/>
        </w:rPr>
        <w:t>person</w:t>
      </w:r>
      <w:r w:rsidR="00BE6BA3" w:rsidRPr="00DC03B8">
        <w:rPr>
          <w:rFonts w:eastAsiaTheme="majorEastAsia"/>
          <w:bCs/>
          <w:lang w:val="en-AU"/>
        </w:rPr>
        <w:t xml:space="preserve">. </w:t>
      </w:r>
      <w:r w:rsidR="00BE6BA3" w:rsidRPr="00DC03B8">
        <w:rPr>
          <w:lang w:val="en-AU"/>
        </w:rPr>
        <w:t>Reinhold Niebuhr saw Jesu</w:t>
      </w:r>
      <w:r w:rsidR="003209BA" w:rsidRPr="00DC03B8">
        <w:rPr>
          <w:lang w:val="en-AU"/>
        </w:rPr>
        <w:t>s</w:t>
      </w:r>
      <w:r w:rsidR="005C71CB" w:rsidRPr="00DC03B8">
        <w:rPr>
          <w:lang w:val="en-AU"/>
        </w:rPr>
        <w:t>’</w:t>
      </w:r>
      <w:r w:rsidR="00E35288">
        <w:rPr>
          <w:lang w:val="en-AU"/>
        </w:rPr>
        <w:t>s</w:t>
      </w:r>
      <w:r w:rsidR="003209BA" w:rsidRPr="00DC03B8">
        <w:rPr>
          <w:lang w:val="en-AU"/>
        </w:rPr>
        <w:t xml:space="preserve"> ethics </w:t>
      </w:r>
      <w:r w:rsidR="00A7241D" w:rsidRPr="00DC03B8">
        <w:rPr>
          <w:lang w:val="en-AU"/>
        </w:rPr>
        <w:t>as</w:t>
      </w:r>
      <w:r w:rsidR="00BE6BA3" w:rsidRPr="00DC03B8">
        <w:rPr>
          <w:lang w:val="en-AU"/>
        </w:rPr>
        <w:t xml:space="preserve"> transcend</w:t>
      </w:r>
      <w:r w:rsidR="00A7241D" w:rsidRPr="00DC03B8">
        <w:rPr>
          <w:lang w:val="en-AU"/>
        </w:rPr>
        <w:t>ing</w:t>
      </w:r>
      <w:r w:rsidR="00BE6BA3" w:rsidRPr="00DC03B8">
        <w:rPr>
          <w:lang w:val="en-AU"/>
        </w:rPr>
        <w:t xml:space="preserve"> human possibility </w:t>
      </w:r>
      <w:r w:rsidR="003209BA" w:rsidRPr="00DC03B8">
        <w:rPr>
          <w:lang w:val="en-AU"/>
        </w:rPr>
        <w:t>with love connected with moral perfection, as found in the Sermon.</w:t>
      </w:r>
      <w:r w:rsidR="00BE6BA3" w:rsidRPr="00DC03B8">
        <w:rPr>
          <w:rStyle w:val="FootnoteReference"/>
          <w:lang w:val="en-AU"/>
        </w:rPr>
        <w:footnoteReference w:id="328"/>
      </w:r>
      <w:r w:rsidR="00BE6BA3" w:rsidRPr="00DC03B8">
        <w:rPr>
          <w:lang w:val="en-AU"/>
        </w:rPr>
        <w:t xml:space="preserve"> </w:t>
      </w:r>
    </w:p>
    <w:p w14:paraId="4D34FBEE" w14:textId="6F47625A" w:rsidR="00826B16" w:rsidRPr="00DC03B8" w:rsidRDefault="00826B16" w:rsidP="0033335F">
      <w:pPr>
        <w:pStyle w:val="Heading2"/>
      </w:pPr>
      <w:bookmarkStart w:id="122" w:name="_Toc94537014"/>
      <w:bookmarkStart w:id="123" w:name="_Toc118063661"/>
      <w:r w:rsidRPr="00DC03B8">
        <w:t xml:space="preserve">6.2 </w:t>
      </w:r>
      <w:r w:rsidRPr="00DC03B8">
        <w:rPr>
          <w:i/>
          <w:iCs/>
        </w:rPr>
        <w:t>Lex Talionis</w:t>
      </w:r>
      <w:r w:rsidRPr="00DC03B8">
        <w:t xml:space="preserve"> in the Hebrew Bible</w:t>
      </w:r>
      <w:bookmarkEnd w:id="122"/>
      <w:bookmarkEnd w:id="123"/>
    </w:p>
    <w:p w14:paraId="7BEFDCE9" w14:textId="725ADA87" w:rsidR="00826B16" w:rsidRPr="009E7B69" w:rsidRDefault="00D30F72" w:rsidP="00826B16">
      <w:pPr>
        <w:spacing w:line="480" w:lineRule="auto"/>
        <w:ind w:firstLine="720"/>
        <w:contextualSpacing/>
      </w:pPr>
      <w:r w:rsidRPr="00DC03B8">
        <w:rPr>
          <w:i/>
          <w:iCs/>
          <w:lang w:val="en-AU"/>
        </w:rPr>
        <w:t>Lex talionis</w:t>
      </w:r>
      <w:r w:rsidRPr="00DC03B8">
        <w:rPr>
          <w:lang w:val="en-AU"/>
        </w:rPr>
        <w:t xml:space="preserve"> occurs in three places in the </w:t>
      </w:r>
      <w:r w:rsidR="00656222" w:rsidRPr="00DC03B8">
        <w:rPr>
          <w:lang w:val="en-AU"/>
        </w:rPr>
        <w:t>Hebrew Bible</w:t>
      </w:r>
      <w:r w:rsidRPr="00DC03B8">
        <w:rPr>
          <w:lang w:val="en-AU"/>
        </w:rPr>
        <w:t xml:space="preserve">: Exod 21:24; Lev 24:20 and Deut 19:21. </w:t>
      </w:r>
      <w:r w:rsidR="00826B16" w:rsidRPr="00DC03B8">
        <w:rPr>
          <w:lang w:val="en-AU"/>
        </w:rPr>
        <w:t>Vod Rad contends that the talion in Deuteronomy, “occupies merely a modest position” because of the influence of the rest of Torah.</w:t>
      </w:r>
      <w:r w:rsidR="00826B16" w:rsidRPr="00DC03B8">
        <w:rPr>
          <w:rStyle w:val="FootnoteReference"/>
          <w:lang w:val="en-AU"/>
        </w:rPr>
        <w:footnoteReference w:id="329"/>
      </w:r>
      <w:r w:rsidR="00826B16" w:rsidRPr="00DC03B8">
        <w:rPr>
          <w:lang w:val="en-AU"/>
        </w:rPr>
        <w:t xml:space="preserve"> The Torah provides a different version of a talion with Leviticus 24:20 being the shortest version of the talion</w:t>
      </w:r>
      <w:r w:rsidR="00B32087" w:rsidRPr="00DC03B8">
        <w:rPr>
          <w:lang w:val="en-AU"/>
        </w:rPr>
        <w:t>.</w:t>
      </w:r>
      <w:r w:rsidR="00826B16" w:rsidRPr="00DC03B8">
        <w:rPr>
          <w:lang w:val="en-AU"/>
        </w:rPr>
        <w:t xml:space="preserve"> In </w:t>
      </w:r>
      <w:r w:rsidR="00B32087" w:rsidRPr="00DC03B8">
        <w:rPr>
          <w:lang w:val="en-AU"/>
        </w:rPr>
        <w:t>the</w:t>
      </w:r>
      <w:r w:rsidR="00826B16" w:rsidRPr="00DC03B8">
        <w:rPr>
          <w:lang w:val="en-AU"/>
        </w:rPr>
        <w:t xml:space="preserve"> Hebrew</w:t>
      </w:r>
      <w:r w:rsidR="00B32087" w:rsidRPr="00DC03B8">
        <w:rPr>
          <w:lang w:val="en-AU"/>
        </w:rPr>
        <w:t xml:space="preserve"> Bible</w:t>
      </w:r>
      <w:r w:rsidR="00826B16" w:rsidRPr="00DC03B8">
        <w:rPr>
          <w:lang w:val="en-AU"/>
        </w:rPr>
        <w:t>, the text reads</w:t>
      </w:r>
      <w:r w:rsidR="00826B16" w:rsidRPr="009E7B69">
        <w:t xml:space="preserve"> </w:t>
      </w:r>
      <w:r w:rsidR="00826B16" w:rsidRPr="009E7B69">
        <w:rPr>
          <w:rtl/>
        </w:rPr>
        <w:t>תַּחַת שֶׁבֶר, עַיִן תַּחַת עַיִן, שֵׁן</w:t>
      </w:r>
      <w:r w:rsidR="00826B16" w:rsidRPr="009E7B69">
        <w:t xml:space="preserve"> </w:t>
      </w:r>
      <w:r w:rsidR="00826B16" w:rsidRPr="00DC03B8">
        <w:rPr>
          <w:lang w:val="en-AU"/>
        </w:rPr>
        <w:t xml:space="preserve">which may be translated as “fracture for fracture, eye for eye, tooth for tooth”. </w:t>
      </w:r>
      <w:r w:rsidR="00B32087" w:rsidRPr="00DC03B8">
        <w:rPr>
          <w:lang w:val="en-AU"/>
        </w:rPr>
        <w:t>A longer version is found in Exod 21:22–25</w:t>
      </w:r>
      <w:r w:rsidR="00B32087" w:rsidRPr="009E7B69">
        <w:t xml:space="preserve">: </w:t>
      </w:r>
    </w:p>
    <w:p w14:paraId="098FCF39" w14:textId="4E50087F" w:rsidR="00F37B8D" w:rsidRPr="009E7B69" w:rsidRDefault="00F37B8D" w:rsidP="00F37B8D">
      <w:pPr>
        <w:tabs>
          <w:tab w:val="left" w:pos="540"/>
        </w:tabs>
        <w:autoSpaceDE w:val="0"/>
        <w:autoSpaceDN w:val="0"/>
        <w:bidi/>
        <w:adjustRightInd w:val="0"/>
        <w:spacing w:before="180"/>
        <w:ind w:right="540" w:hanging="540"/>
        <w:rPr>
          <w:rFonts w:eastAsiaTheme="minorEastAsia"/>
          <w:color w:val="000000" w:themeColor="text1"/>
          <w:lang w:val="en-AU"/>
        </w:rPr>
      </w:pPr>
      <w:r w:rsidRPr="009E7B69">
        <w:rPr>
          <w:rFonts w:eastAsiaTheme="minorEastAsia"/>
          <w:color w:val="000000" w:themeColor="text1"/>
          <w:rtl/>
          <w:lang w:val="en-AU"/>
        </w:rPr>
        <w:t>22</w:t>
      </w:r>
      <w:r w:rsidRPr="009E7B69">
        <w:rPr>
          <w:rFonts w:eastAsiaTheme="minorEastAsia"/>
          <w:color w:val="000000" w:themeColor="text1"/>
          <w:rtl/>
          <w:lang w:val="en-AU"/>
        </w:rPr>
        <w:tab/>
        <w:t>וְכִי־יִנָּצוּ אֲנָשִׁ֗ים וְנָגְפוּ אִשָּׁה הָרָה וְיָצְא֣וּ יְלָדֶיהָ וְלֹא יִהְיֶה אָסוֹן עָנוֹשׁ יֵעָנֵשׁ כַּאֲשֶׁר יָשִׁית עָלָיו בַּעַל הָֽאִשָּׁה וְנָתַן בִּפְלִלִים׃</w:t>
      </w:r>
    </w:p>
    <w:p w14:paraId="6D0D742D" w14:textId="43E0CCED" w:rsidR="00F37B8D" w:rsidRPr="009E7B69" w:rsidRDefault="00F37B8D" w:rsidP="00F37B8D">
      <w:pPr>
        <w:tabs>
          <w:tab w:val="left" w:pos="540"/>
        </w:tabs>
        <w:autoSpaceDE w:val="0"/>
        <w:autoSpaceDN w:val="0"/>
        <w:bidi/>
        <w:adjustRightInd w:val="0"/>
        <w:spacing w:before="180"/>
        <w:ind w:right="540" w:hanging="540"/>
        <w:rPr>
          <w:rFonts w:eastAsiaTheme="minorEastAsia"/>
          <w:color w:val="000000" w:themeColor="text1"/>
          <w:lang w:val="en-AU"/>
        </w:rPr>
      </w:pPr>
      <w:r w:rsidRPr="009E7B69">
        <w:rPr>
          <w:rFonts w:eastAsiaTheme="minorEastAsia"/>
          <w:color w:val="000000" w:themeColor="text1"/>
          <w:rtl/>
          <w:lang w:val="en-AU"/>
        </w:rPr>
        <w:t>23</w:t>
      </w:r>
      <w:r w:rsidRPr="009E7B69">
        <w:rPr>
          <w:rFonts w:eastAsiaTheme="minorEastAsia"/>
          <w:color w:val="000000" w:themeColor="text1"/>
          <w:rtl/>
          <w:lang w:val="en-AU"/>
        </w:rPr>
        <w:tab/>
        <w:t>וְאִם־אָסוֹן יִהְיֶה וְנָתַתָּה נֶפֶשׁ תַּחַת נָפֶשׁ׃</w:t>
      </w:r>
    </w:p>
    <w:p w14:paraId="382EE493" w14:textId="3781F27C" w:rsidR="00F37B8D" w:rsidRPr="009E7B69" w:rsidRDefault="00F37B8D" w:rsidP="00F37B8D">
      <w:pPr>
        <w:tabs>
          <w:tab w:val="left" w:pos="540"/>
        </w:tabs>
        <w:autoSpaceDE w:val="0"/>
        <w:autoSpaceDN w:val="0"/>
        <w:bidi/>
        <w:adjustRightInd w:val="0"/>
        <w:spacing w:before="180"/>
        <w:ind w:right="540" w:hanging="540"/>
        <w:rPr>
          <w:rFonts w:eastAsiaTheme="minorEastAsia"/>
          <w:color w:val="000000" w:themeColor="text1"/>
          <w:lang w:val="en-AU"/>
        </w:rPr>
      </w:pPr>
      <w:r w:rsidRPr="009E7B69">
        <w:rPr>
          <w:rFonts w:eastAsiaTheme="minorEastAsia"/>
          <w:color w:val="000000" w:themeColor="text1"/>
          <w:rtl/>
          <w:lang w:val="en-AU"/>
        </w:rPr>
        <w:t>24</w:t>
      </w:r>
      <w:r w:rsidRPr="009E7B69">
        <w:rPr>
          <w:rFonts w:eastAsiaTheme="minorEastAsia"/>
          <w:color w:val="000000" w:themeColor="text1"/>
          <w:rtl/>
          <w:lang w:val="en-AU"/>
        </w:rPr>
        <w:tab/>
        <w:t>עַיִן תַּחַת עַיִן שֵׁן תַּחַת שֵׁן יָד תַּחַת יָ֔ד רֶגֶל תַּחַת רָגֶל׃</w:t>
      </w:r>
    </w:p>
    <w:p w14:paraId="20502340" w14:textId="78C0E19D" w:rsidR="00D25D36" w:rsidRPr="009E7B69" w:rsidRDefault="00F37B8D" w:rsidP="00F37B8D">
      <w:pPr>
        <w:tabs>
          <w:tab w:val="left" w:pos="540"/>
        </w:tabs>
        <w:autoSpaceDE w:val="0"/>
        <w:autoSpaceDN w:val="0"/>
        <w:bidi/>
        <w:adjustRightInd w:val="0"/>
        <w:spacing w:before="180"/>
        <w:ind w:right="540" w:hanging="540"/>
        <w:rPr>
          <w:rFonts w:eastAsiaTheme="minorEastAsia"/>
          <w:color w:val="000000" w:themeColor="text1"/>
          <w:lang w:val="en-AU"/>
        </w:rPr>
      </w:pPr>
      <w:r w:rsidRPr="009E7B69">
        <w:rPr>
          <w:rFonts w:eastAsiaTheme="minorEastAsia"/>
          <w:color w:val="000000" w:themeColor="text1"/>
          <w:rtl/>
          <w:lang w:val="en-AU"/>
        </w:rPr>
        <w:lastRenderedPageBreak/>
        <w:t>25</w:t>
      </w:r>
      <w:r w:rsidRPr="009E7B69">
        <w:rPr>
          <w:rFonts w:eastAsiaTheme="minorEastAsia"/>
          <w:color w:val="000000" w:themeColor="text1"/>
          <w:rtl/>
          <w:lang w:val="en-AU"/>
        </w:rPr>
        <w:tab/>
        <w:t xml:space="preserve">כְּוִיָּה תַּחַת כְּוִיָּה פֶּצַע תַּחַת פָּצַע חַבּוּרָה תַּחַת </w:t>
      </w:r>
      <w:r w:rsidRPr="009E7B69">
        <w:rPr>
          <w:rFonts w:eastAsiaTheme="minorEastAsia"/>
          <w:color w:val="000000" w:themeColor="text1"/>
          <w:vertAlign w:val="superscript"/>
          <w:rtl/>
          <w:lang w:val="en-AU"/>
        </w:rPr>
        <w:footnoteReference w:id="330"/>
      </w:r>
    </w:p>
    <w:p w14:paraId="3D6521CC" w14:textId="2519780E" w:rsidR="00D25D36" w:rsidRPr="00DC03B8" w:rsidRDefault="00826B16" w:rsidP="001B19BD">
      <w:pPr>
        <w:pStyle w:val="Blockquotation"/>
        <w:rPr>
          <w:sz w:val="24"/>
          <w:lang w:val="en-AU"/>
        </w:rPr>
      </w:pPr>
      <w:r w:rsidRPr="00DC03B8">
        <w:rPr>
          <w:sz w:val="24"/>
          <w:lang w:val="en-AU"/>
        </w:rPr>
        <w:t>When people who are fighting injure a pregnant woman so that there is a miscarriage, and yet no further harm follows, the one responsible shall be fined what the woman’s husband demands, paying as much as the judges determine. If any harm follows, then you shall give life for life, eye for eye, tooth for tooth, hand for hand, foot for foot, burn for burn, wound for wound, stripe for stripe. (NRSV)</w:t>
      </w:r>
    </w:p>
    <w:p w14:paraId="7C40D79C" w14:textId="77777777" w:rsidR="00990707" w:rsidRPr="00DC03B8" w:rsidRDefault="00990707" w:rsidP="00826B16">
      <w:pPr>
        <w:spacing w:line="480" w:lineRule="auto"/>
        <w:ind w:firstLine="720"/>
        <w:rPr>
          <w:lang w:val="en-AU"/>
        </w:rPr>
      </w:pPr>
    </w:p>
    <w:p w14:paraId="506CE090" w14:textId="4F1AB1AB" w:rsidR="00826B16" w:rsidRPr="00DC03B8" w:rsidRDefault="00826B16" w:rsidP="00826B16">
      <w:pPr>
        <w:spacing w:line="480" w:lineRule="auto"/>
        <w:ind w:firstLine="720"/>
        <w:rPr>
          <w:lang w:val="en-AU"/>
        </w:rPr>
      </w:pPr>
      <w:r w:rsidRPr="00DC03B8">
        <w:rPr>
          <w:lang w:val="en-AU"/>
        </w:rPr>
        <w:t xml:space="preserve">The </w:t>
      </w:r>
      <w:r w:rsidR="00656222" w:rsidRPr="00DC03B8">
        <w:rPr>
          <w:lang w:val="en-AU"/>
        </w:rPr>
        <w:t xml:space="preserve">Hebrew </w:t>
      </w:r>
      <w:r w:rsidRPr="00DC03B8">
        <w:rPr>
          <w:lang w:val="en-AU"/>
        </w:rPr>
        <w:t>Bible presents the legal concept that the punishment should fit the crime.</w:t>
      </w:r>
      <w:r w:rsidR="009902C1" w:rsidRPr="00DC03B8">
        <w:rPr>
          <w:rStyle w:val="FootnoteReference"/>
          <w:lang w:val="en-AU"/>
        </w:rPr>
        <w:footnoteReference w:id="331"/>
      </w:r>
      <w:r w:rsidR="00656222" w:rsidRPr="00DC03B8">
        <w:rPr>
          <w:lang w:val="en-AU"/>
        </w:rPr>
        <w:t xml:space="preserve"> The Hebrew Bible introduces that idea that a talion would extend into areas of women’s unborn children and as well as to the hands, feet, eyes, teeth, and hands of people. If a person was to have the exact action done in return to them for a damage, they would cut a hand off for stealing</w:t>
      </w:r>
      <w:r w:rsidR="00294382" w:rsidRPr="00DC03B8">
        <w:rPr>
          <w:lang w:val="en-AU"/>
        </w:rPr>
        <w:t xml:space="preserve">. Much later did </w:t>
      </w:r>
      <w:r w:rsidR="00656222" w:rsidRPr="00DC03B8">
        <w:rPr>
          <w:lang w:val="en-AU"/>
        </w:rPr>
        <w:t xml:space="preserve">a monetary </w:t>
      </w:r>
      <w:r w:rsidR="00294382" w:rsidRPr="00DC03B8">
        <w:rPr>
          <w:lang w:val="en-AU"/>
        </w:rPr>
        <w:t>valuation</w:t>
      </w:r>
      <w:r w:rsidR="00656222" w:rsidRPr="00DC03B8">
        <w:rPr>
          <w:lang w:val="en-AU"/>
        </w:rPr>
        <w:t xml:space="preserve"> that allowed for exacting justice without causing harm</w:t>
      </w:r>
      <w:r w:rsidR="00294382" w:rsidRPr="00DC03B8">
        <w:rPr>
          <w:lang w:val="en-AU"/>
        </w:rPr>
        <w:t xml:space="preserve"> </w:t>
      </w:r>
      <w:r w:rsidR="00DB7255" w:rsidRPr="00DC03B8">
        <w:rPr>
          <w:lang w:val="en-AU"/>
        </w:rPr>
        <w:t>to occur</w:t>
      </w:r>
      <w:r w:rsidR="00294382" w:rsidRPr="00DC03B8">
        <w:rPr>
          <w:lang w:val="en-AU"/>
        </w:rPr>
        <w:t>.</w:t>
      </w:r>
    </w:p>
    <w:p w14:paraId="0B09DFCD" w14:textId="72D4FFF1" w:rsidR="008D4202" w:rsidRPr="00DC03B8" w:rsidRDefault="006843DF" w:rsidP="00F5340B">
      <w:pPr>
        <w:pStyle w:val="Heading2"/>
      </w:pPr>
      <w:bookmarkStart w:id="124" w:name="_Toc94537015"/>
      <w:bookmarkStart w:id="125" w:name="_Toc118063662"/>
      <w:r w:rsidRPr="00DC03B8">
        <w:t>6</w:t>
      </w:r>
      <w:r w:rsidR="00BE6BA3" w:rsidRPr="00DC03B8">
        <w:t>.</w:t>
      </w:r>
      <w:r w:rsidR="00AF2E41" w:rsidRPr="00DC03B8">
        <w:t>3</w:t>
      </w:r>
      <w:r w:rsidR="00BE6BA3" w:rsidRPr="00DC03B8">
        <w:t xml:space="preserve"> </w:t>
      </w:r>
      <w:r w:rsidR="00005937" w:rsidRPr="00DC03B8">
        <w:t>Retribution</w:t>
      </w:r>
      <w:r w:rsidR="00750887" w:rsidRPr="00DC03B8">
        <w:t xml:space="preserve"> in </w:t>
      </w:r>
      <w:r w:rsidR="00750887" w:rsidRPr="00DC03B8">
        <w:rPr>
          <w:i/>
          <w:iCs/>
        </w:rPr>
        <w:t xml:space="preserve">Mishna Avot </w:t>
      </w:r>
      <w:r w:rsidR="00750887" w:rsidRPr="00DC03B8">
        <w:t>compared to</w:t>
      </w:r>
      <w:r w:rsidR="00BE6BA3" w:rsidRPr="00DC03B8">
        <w:rPr>
          <w:i/>
          <w:iCs/>
        </w:rPr>
        <w:t xml:space="preserve"> Lex Talionis</w:t>
      </w:r>
      <w:bookmarkEnd w:id="124"/>
      <w:bookmarkEnd w:id="125"/>
    </w:p>
    <w:p w14:paraId="43EB330A" w14:textId="327C1780" w:rsidR="008D4202" w:rsidRPr="00DC03B8" w:rsidRDefault="00BE6BA3" w:rsidP="008D4202">
      <w:pPr>
        <w:spacing w:line="480" w:lineRule="auto"/>
        <w:contextualSpacing/>
        <w:rPr>
          <w:lang w:val="en-AU"/>
        </w:rPr>
      </w:pPr>
      <w:r w:rsidRPr="00DC03B8">
        <w:rPr>
          <w:lang w:val="en-AU"/>
        </w:rPr>
        <w:tab/>
      </w:r>
      <w:r w:rsidR="0062503A" w:rsidRPr="00DC03B8">
        <w:rPr>
          <w:lang w:val="en-AU"/>
        </w:rPr>
        <w:t xml:space="preserve">Retribution in </w:t>
      </w:r>
      <w:r w:rsidR="0062503A" w:rsidRPr="00DC03B8">
        <w:rPr>
          <w:i/>
          <w:iCs/>
          <w:lang w:val="en-AU"/>
        </w:rPr>
        <w:t>Mishna Avot</w:t>
      </w:r>
      <w:r w:rsidR="00305D1F" w:rsidRPr="00DC03B8">
        <w:rPr>
          <w:lang w:val="en-AU"/>
        </w:rPr>
        <w:t xml:space="preserve"> compares to </w:t>
      </w:r>
      <w:r w:rsidR="00305D1F" w:rsidRPr="00DC03B8">
        <w:rPr>
          <w:i/>
          <w:iCs/>
          <w:lang w:val="en-AU"/>
        </w:rPr>
        <w:t xml:space="preserve">lex talionis </w:t>
      </w:r>
      <w:r w:rsidR="00305D1F" w:rsidRPr="00DC03B8">
        <w:rPr>
          <w:lang w:val="en-AU"/>
        </w:rPr>
        <w:t>and determines how people respond to conflict.</w:t>
      </w:r>
      <w:r w:rsidR="00305D1F" w:rsidRPr="00DC03B8">
        <w:rPr>
          <w:i/>
          <w:iCs/>
          <w:lang w:val="en-AU"/>
        </w:rPr>
        <w:t xml:space="preserve"> </w:t>
      </w:r>
      <w:r w:rsidRPr="00DC03B8">
        <w:rPr>
          <w:i/>
          <w:lang w:val="en-AU"/>
        </w:rPr>
        <w:t xml:space="preserve">Mishna Avot </w:t>
      </w:r>
      <w:r w:rsidRPr="00DC03B8">
        <w:rPr>
          <w:lang w:val="en-AU"/>
        </w:rPr>
        <w:t>1:7</w:t>
      </w:r>
      <w:r w:rsidR="005157D3" w:rsidRPr="00DC03B8">
        <w:rPr>
          <w:lang w:val="en-AU"/>
        </w:rPr>
        <w:t xml:space="preserve"> states</w:t>
      </w:r>
      <w:r w:rsidRPr="00DC03B8">
        <w:rPr>
          <w:lang w:val="en-AU"/>
        </w:rPr>
        <w:t xml:space="preserve">, </w:t>
      </w:r>
      <w:r w:rsidR="00863B47" w:rsidRPr="00DC03B8">
        <w:rPr>
          <w:lang w:val="en-AU"/>
        </w:rPr>
        <w:t>“</w:t>
      </w:r>
      <w:r w:rsidRPr="00DC03B8">
        <w:rPr>
          <w:lang w:val="en-AU"/>
        </w:rPr>
        <w:t>Nittai the Arbelite said: Keep far from an evil neighbo</w:t>
      </w:r>
      <w:r w:rsidR="008345A6" w:rsidRPr="00DC03B8">
        <w:rPr>
          <w:lang w:val="en-AU"/>
        </w:rPr>
        <w:t>u</w:t>
      </w:r>
      <w:r w:rsidRPr="00DC03B8">
        <w:rPr>
          <w:lang w:val="en-AU"/>
        </w:rPr>
        <w:t>r, and do not associate with the wicked; and do not despair about retribution.</w:t>
      </w:r>
      <w:r w:rsidR="00863B47" w:rsidRPr="00DC03B8">
        <w:rPr>
          <w:lang w:val="en-AU"/>
        </w:rPr>
        <w:t>”</w:t>
      </w:r>
      <w:r w:rsidRPr="00DC03B8">
        <w:rPr>
          <w:lang w:val="en-AU"/>
        </w:rPr>
        <w:t xml:space="preserve"> Berlin and Brettler argue </w:t>
      </w:r>
      <w:r w:rsidR="00DE2FA0" w:rsidRPr="00DC03B8">
        <w:rPr>
          <w:lang w:val="en-AU"/>
        </w:rPr>
        <w:t>that the scales of justice under Jewish law for crime and punishment balance and fit.</w:t>
      </w:r>
      <w:r w:rsidRPr="00DC03B8">
        <w:rPr>
          <w:rStyle w:val="FootnoteReference"/>
          <w:lang w:val="en-AU"/>
        </w:rPr>
        <w:footnoteReference w:id="332"/>
      </w:r>
      <w:r w:rsidRPr="00DC03B8">
        <w:rPr>
          <w:lang w:val="en-AU"/>
        </w:rPr>
        <w:t xml:space="preserve"> The value of justice found </w:t>
      </w:r>
      <w:r w:rsidR="00623305" w:rsidRPr="00DC03B8">
        <w:rPr>
          <w:lang w:val="en-AU"/>
        </w:rPr>
        <w:t xml:space="preserve">in </w:t>
      </w:r>
      <w:r w:rsidRPr="00DC03B8">
        <w:rPr>
          <w:lang w:val="en-AU"/>
        </w:rPr>
        <w:t xml:space="preserve">Jewish law is the premise of equality in </w:t>
      </w:r>
      <w:r w:rsidRPr="00DC03B8">
        <w:rPr>
          <w:lang w:val="en-AU"/>
        </w:rPr>
        <w:lastRenderedPageBreak/>
        <w:t xml:space="preserve">retribution. Worth argues that </w:t>
      </w:r>
      <w:r w:rsidR="00863B47" w:rsidRPr="00DC03B8">
        <w:rPr>
          <w:lang w:val="en-AU"/>
        </w:rPr>
        <w:t>“</w:t>
      </w:r>
      <w:r w:rsidRPr="00DC03B8">
        <w:rPr>
          <w:lang w:val="en-AU"/>
        </w:rPr>
        <w:t>In the world that Israel lived, vengeance was the rule of the day … they were being told that they could exact nothing more than justice.</w:t>
      </w:r>
      <w:r w:rsidR="00863B47" w:rsidRPr="00DC03B8">
        <w:rPr>
          <w:lang w:val="en-AU"/>
        </w:rPr>
        <w:t>”</w:t>
      </w:r>
      <w:r w:rsidRPr="00DC03B8">
        <w:rPr>
          <w:rStyle w:val="FootnoteReference"/>
          <w:lang w:val="en-AU"/>
        </w:rPr>
        <w:footnoteReference w:id="333"/>
      </w:r>
      <w:r w:rsidRPr="00DC03B8">
        <w:rPr>
          <w:lang w:val="en-AU"/>
        </w:rPr>
        <w:t xml:space="preserve"> </w:t>
      </w:r>
      <w:r w:rsidR="00A5538C" w:rsidRPr="00DC03B8">
        <w:rPr>
          <w:lang w:val="en-AU"/>
        </w:rPr>
        <w:t xml:space="preserve">Being treated fairly would be </w:t>
      </w:r>
      <w:r w:rsidR="00673724" w:rsidRPr="00DC03B8">
        <w:rPr>
          <w:lang w:val="en-AU"/>
        </w:rPr>
        <w:t>seen as</w:t>
      </w:r>
      <w:r w:rsidR="00A5538C" w:rsidRPr="00DC03B8">
        <w:rPr>
          <w:lang w:val="en-AU"/>
        </w:rPr>
        <w:t xml:space="preserve"> desir</w:t>
      </w:r>
      <w:r w:rsidR="00673724" w:rsidRPr="00DC03B8">
        <w:rPr>
          <w:lang w:val="en-AU"/>
        </w:rPr>
        <w:t>able</w:t>
      </w:r>
      <w:r w:rsidR="00A5538C" w:rsidRPr="00DC03B8">
        <w:rPr>
          <w:lang w:val="en-AU"/>
        </w:rPr>
        <w:t xml:space="preserve"> by Jesus</w:t>
      </w:r>
      <w:r w:rsidR="005C71CB" w:rsidRPr="00DC03B8">
        <w:rPr>
          <w:lang w:val="en-AU"/>
        </w:rPr>
        <w:t>’</w:t>
      </w:r>
      <w:r w:rsidR="00E35288">
        <w:rPr>
          <w:lang w:val="en-AU"/>
        </w:rPr>
        <w:t>s</w:t>
      </w:r>
      <w:r w:rsidR="00A5538C" w:rsidRPr="00DC03B8">
        <w:rPr>
          <w:lang w:val="en-AU"/>
        </w:rPr>
        <w:t xml:space="preserve"> audience</w:t>
      </w:r>
      <w:r w:rsidRPr="00DC03B8">
        <w:rPr>
          <w:lang w:val="en-AU"/>
        </w:rPr>
        <w:t>. Reiser suggests that Jesus</w:t>
      </w:r>
      <w:r w:rsidR="00DE2FA0" w:rsidRPr="00DC03B8">
        <w:rPr>
          <w:lang w:val="en-AU"/>
        </w:rPr>
        <w:t xml:space="preserve"> was speaking about an </w:t>
      </w:r>
      <w:r w:rsidRPr="00DC03B8">
        <w:rPr>
          <w:lang w:val="en-AU"/>
        </w:rPr>
        <w:t>eschatological judgment</w:t>
      </w:r>
      <w:r w:rsidR="00DE2FA0" w:rsidRPr="00DC03B8">
        <w:rPr>
          <w:lang w:val="en-AU"/>
        </w:rPr>
        <w:t xml:space="preserve"> for the world</w:t>
      </w:r>
      <w:r w:rsidRPr="00DC03B8">
        <w:rPr>
          <w:lang w:val="en-AU"/>
        </w:rPr>
        <w:t>.</w:t>
      </w:r>
      <w:r w:rsidRPr="00DC03B8">
        <w:rPr>
          <w:rStyle w:val="FootnoteReference"/>
          <w:lang w:val="en-AU"/>
        </w:rPr>
        <w:footnoteReference w:id="334"/>
      </w:r>
      <w:r w:rsidRPr="00DC03B8">
        <w:rPr>
          <w:lang w:val="en-AU"/>
        </w:rPr>
        <w:t xml:space="preserve"> This view of judgment founded in such reckoning defines the viewpoint of eschatology and retribution; however, </w:t>
      </w:r>
      <w:r w:rsidR="0033576F" w:rsidRPr="00DC03B8">
        <w:rPr>
          <w:lang w:val="en-AU"/>
        </w:rPr>
        <w:t xml:space="preserve">this view created fear in </w:t>
      </w:r>
      <w:r w:rsidRPr="00DC03B8">
        <w:rPr>
          <w:lang w:val="en-AU"/>
        </w:rPr>
        <w:t>many people</w:t>
      </w:r>
      <w:r w:rsidR="0033576F" w:rsidRPr="00DC03B8">
        <w:rPr>
          <w:lang w:val="en-AU"/>
        </w:rPr>
        <w:t>.</w:t>
      </w:r>
      <w:r w:rsidRPr="00DC03B8">
        <w:rPr>
          <w:lang w:val="en-AU"/>
        </w:rPr>
        <w:t xml:space="preserve"> Fahey </w:t>
      </w:r>
      <w:r w:rsidR="00A87956" w:rsidRPr="00DC03B8">
        <w:rPr>
          <w:lang w:val="en-AU"/>
        </w:rPr>
        <w:t xml:space="preserve">contends that attributing revenge </w:t>
      </w:r>
      <w:r w:rsidR="00E10E8A" w:rsidRPr="00DC03B8">
        <w:rPr>
          <w:lang w:val="en-AU"/>
        </w:rPr>
        <w:t>to</w:t>
      </w:r>
      <w:r w:rsidR="00A87956" w:rsidRPr="00DC03B8">
        <w:rPr>
          <w:lang w:val="en-AU"/>
        </w:rPr>
        <w:t xml:space="preserve"> the Law of Talion is more </w:t>
      </w:r>
      <w:r w:rsidRPr="00DC03B8">
        <w:rPr>
          <w:lang w:val="en-AU"/>
        </w:rPr>
        <w:t>negative</w:t>
      </w:r>
      <w:r w:rsidR="00A87956" w:rsidRPr="00DC03B8">
        <w:rPr>
          <w:lang w:val="en-AU"/>
        </w:rPr>
        <w:t xml:space="preserve"> than </w:t>
      </w:r>
      <w:r w:rsidR="00E10E8A" w:rsidRPr="00DC03B8">
        <w:rPr>
          <w:lang w:val="en-AU"/>
        </w:rPr>
        <w:t>intend</w:t>
      </w:r>
      <w:r w:rsidR="00A87956" w:rsidRPr="00DC03B8">
        <w:rPr>
          <w:lang w:val="en-AU"/>
        </w:rPr>
        <w:t>ed</w:t>
      </w:r>
      <w:r w:rsidRPr="00DC03B8">
        <w:rPr>
          <w:lang w:val="en-AU"/>
        </w:rPr>
        <w:t>.</w:t>
      </w:r>
      <w:r w:rsidRPr="00DC03B8">
        <w:rPr>
          <w:rStyle w:val="FootnoteReference"/>
          <w:lang w:val="en-AU"/>
        </w:rPr>
        <w:footnoteReference w:id="335"/>
      </w:r>
      <w:r w:rsidRPr="00DC03B8">
        <w:rPr>
          <w:lang w:val="en-AU"/>
        </w:rPr>
        <w:t xml:space="preserve"> The Jewish </w:t>
      </w:r>
      <w:r w:rsidR="0056063C" w:rsidRPr="00DC03B8">
        <w:rPr>
          <w:lang w:val="en-AU"/>
        </w:rPr>
        <w:t>idea</w:t>
      </w:r>
      <w:r w:rsidRPr="00DC03B8">
        <w:rPr>
          <w:lang w:val="en-AU"/>
        </w:rPr>
        <w:t xml:space="preserve"> of</w:t>
      </w:r>
      <w:r w:rsidR="00646F6A" w:rsidRPr="00DC03B8">
        <w:rPr>
          <w:lang w:val="en-AU"/>
        </w:rPr>
        <w:t xml:space="preserve"> keeping a</w:t>
      </w:r>
      <w:r w:rsidRPr="00DC03B8">
        <w:rPr>
          <w:lang w:val="en-AU"/>
        </w:rPr>
        <w:t xml:space="preserve"> distance from an evildoer </w:t>
      </w:r>
      <w:r w:rsidR="0056063C" w:rsidRPr="00DC03B8">
        <w:rPr>
          <w:lang w:val="en-AU"/>
        </w:rPr>
        <w:t>expresse</w:t>
      </w:r>
      <w:r w:rsidR="00646F6A" w:rsidRPr="00DC03B8">
        <w:rPr>
          <w:lang w:val="en-AU"/>
        </w:rPr>
        <w:t>d</w:t>
      </w:r>
      <w:r w:rsidR="0056063C" w:rsidRPr="00DC03B8">
        <w:rPr>
          <w:lang w:val="en-AU"/>
        </w:rPr>
        <w:t xml:space="preserve"> </w:t>
      </w:r>
      <w:r w:rsidRPr="00DC03B8">
        <w:rPr>
          <w:lang w:val="en-AU"/>
        </w:rPr>
        <w:t xml:space="preserve">in </w:t>
      </w:r>
      <w:r w:rsidRPr="00DC03B8">
        <w:rPr>
          <w:i/>
          <w:lang w:val="en-AU"/>
        </w:rPr>
        <w:t xml:space="preserve">Mishna Avot </w:t>
      </w:r>
      <w:r w:rsidRPr="00DC03B8">
        <w:rPr>
          <w:lang w:val="en-AU"/>
        </w:rPr>
        <w:t xml:space="preserve">could be </w:t>
      </w:r>
      <w:r w:rsidR="00646F6A" w:rsidRPr="00DC03B8">
        <w:rPr>
          <w:lang w:val="en-AU"/>
        </w:rPr>
        <w:t xml:space="preserve">viewed from the perspective of either </w:t>
      </w:r>
      <w:r w:rsidRPr="00DC03B8">
        <w:rPr>
          <w:lang w:val="en-AU"/>
        </w:rPr>
        <w:t>a person</w:t>
      </w:r>
      <w:r w:rsidR="005C71CB" w:rsidRPr="00DC03B8">
        <w:rPr>
          <w:lang w:val="en-AU"/>
        </w:rPr>
        <w:t>’</w:t>
      </w:r>
      <w:r w:rsidRPr="00DC03B8">
        <w:rPr>
          <w:lang w:val="en-AU"/>
        </w:rPr>
        <w:t>s holiness or their imminent judgment. Allison suggests that Jewish apocalyptic believers accepted this eschatological view.</w:t>
      </w:r>
      <w:r w:rsidRPr="00DC03B8">
        <w:rPr>
          <w:rStyle w:val="FootnoteReference"/>
          <w:lang w:val="en-AU"/>
        </w:rPr>
        <w:footnoteReference w:id="336"/>
      </w:r>
      <w:r w:rsidRPr="00DC03B8">
        <w:rPr>
          <w:lang w:val="en-AU"/>
        </w:rPr>
        <w:t xml:space="preserve"> Cohen notes</w:t>
      </w:r>
      <w:r w:rsidR="00A5538C" w:rsidRPr="00DC03B8">
        <w:rPr>
          <w:lang w:val="en-AU"/>
        </w:rPr>
        <w:t xml:space="preserve"> that a person</w:t>
      </w:r>
      <w:r w:rsidR="005C71CB" w:rsidRPr="00DC03B8">
        <w:rPr>
          <w:lang w:val="en-AU"/>
        </w:rPr>
        <w:t>’</w:t>
      </w:r>
      <w:r w:rsidR="00A5538C" w:rsidRPr="00DC03B8">
        <w:rPr>
          <w:lang w:val="en-AU"/>
        </w:rPr>
        <w:t>s holiness or imminent justice would not allow a person to do wrong to others in fear of being punished divinely</w:t>
      </w:r>
      <w:r w:rsidRPr="00DC03B8">
        <w:rPr>
          <w:lang w:val="en-AU"/>
        </w:rPr>
        <w:t>.</w:t>
      </w:r>
      <w:r w:rsidRPr="00DC03B8">
        <w:rPr>
          <w:rStyle w:val="FootnoteReference"/>
          <w:lang w:val="en-AU"/>
        </w:rPr>
        <w:footnoteReference w:id="337"/>
      </w:r>
      <w:r w:rsidRPr="00DC03B8">
        <w:rPr>
          <w:lang w:val="en-AU"/>
        </w:rPr>
        <w:t xml:space="preserve"> </w:t>
      </w:r>
      <w:r w:rsidRPr="00DC03B8">
        <w:rPr>
          <w:i/>
          <w:lang w:val="en-AU"/>
        </w:rPr>
        <w:t>Mishna Avot</w:t>
      </w:r>
      <w:r w:rsidRPr="00DC03B8">
        <w:rPr>
          <w:iCs/>
          <w:lang w:val="en-AU"/>
        </w:rPr>
        <w:t xml:space="preserve"> (1:12)</w:t>
      </w:r>
      <w:r w:rsidRPr="00DC03B8">
        <w:rPr>
          <w:i/>
          <w:lang w:val="en-AU"/>
        </w:rPr>
        <w:t xml:space="preserve"> </w:t>
      </w:r>
      <w:r w:rsidRPr="00DC03B8">
        <w:rPr>
          <w:lang w:val="en-AU"/>
        </w:rPr>
        <w:t>also teaches</w:t>
      </w:r>
      <w:r w:rsidR="004F26DE" w:rsidRPr="00DC03B8">
        <w:rPr>
          <w:lang w:val="en-AU"/>
        </w:rPr>
        <w:t xml:space="preserve"> that</w:t>
      </w:r>
      <w:r w:rsidRPr="00DC03B8">
        <w:rPr>
          <w:lang w:val="en-AU"/>
        </w:rPr>
        <w:t xml:space="preserve"> </w:t>
      </w:r>
      <w:r w:rsidR="00863B47" w:rsidRPr="00DC03B8">
        <w:rPr>
          <w:lang w:val="en-AU"/>
        </w:rPr>
        <w:t>“</w:t>
      </w:r>
      <w:r w:rsidRPr="00DC03B8">
        <w:rPr>
          <w:lang w:val="en-AU"/>
        </w:rPr>
        <w:t xml:space="preserve">Hillel and Shammai received (Torah) from them. Hillel said: Be of the disciples of Aaron, loving peace and pursuing peace, loving your fellow </w:t>
      </w:r>
      <w:proofErr w:type="gramStart"/>
      <w:r w:rsidRPr="00DC03B8">
        <w:rPr>
          <w:lang w:val="en-AU"/>
        </w:rPr>
        <w:t>creatures</w:t>
      </w:r>
      <w:proofErr w:type="gramEnd"/>
      <w:r w:rsidRPr="00DC03B8">
        <w:rPr>
          <w:lang w:val="en-AU"/>
        </w:rPr>
        <w:t xml:space="preserve"> and bringing them near to the Torah.</w:t>
      </w:r>
      <w:r w:rsidR="00863B47" w:rsidRPr="00DC03B8">
        <w:rPr>
          <w:lang w:val="en-AU"/>
        </w:rPr>
        <w:t>”</w:t>
      </w:r>
      <w:r w:rsidRPr="00DC03B8">
        <w:rPr>
          <w:lang w:val="en-AU"/>
        </w:rPr>
        <w:t xml:space="preserve"> </w:t>
      </w:r>
      <w:r w:rsidR="004333E4" w:rsidRPr="00DC03B8">
        <w:rPr>
          <w:lang w:val="en-AU"/>
        </w:rPr>
        <w:t xml:space="preserve">Bringing people to Torah was </w:t>
      </w:r>
      <w:r w:rsidR="00363E2A" w:rsidRPr="00DC03B8">
        <w:rPr>
          <w:lang w:val="en-AU"/>
        </w:rPr>
        <w:t>part of t</w:t>
      </w:r>
      <w:r w:rsidRPr="00DC03B8">
        <w:rPr>
          <w:lang w:val="en-AU"/>
        </w:rPr>
        <w:t xml:space="preserve">he pursuit of peace. </w:t>
      </w:r>
      <w:r w:rsidRPr="00DC03B8">
        <w:rPr>
          <w:lang w:val="en-AU"/>
        </w:rPr>
        <w:lastRenderedPageBreak/>
        <w:t xml:space="preserve">Cohen states that perhaps, like Matthew, the writer of </w:t>
      </w:r>
      <w:r w:rsidRPr="00DC03B8">
        <w:rPr>
          <w:i/>
          <w:lang w:val="en-AU"/>
        </w:rPr>
        <w:t>Mishna</w:t>
      </w:r>
      <w:r w:rsidRPr="00DC03B8">
        <w:rPr>
          <w:lang w:val="en-AU"/>
        </w:rPr>
        <w:t xml:space="preserve"> anticipated punishment, even </w:t>
      </w:r>
      <w:r w:rsidR="005C71CB" w:rsidRPr="00DC03B8">
        <w:rPr>
          <w:lang w:val="en-AU"/>
        </w:rPr>
        <w:t>‘</w:t>
      </w:r>
      <w:r w:rsidRPr="00DC03B8">
        <w:rPr>
          <w:lang w:val="en-AU"/>
        </w:rPr>
        <w:t>Gehenna.</w:t>
      </w:r>
      <w:r w:rsidR="005C71CB" w:rsidRPr="00DC03B8">
        <w:rPr>
          <w:lang w:val="en-AU"/>
        </w:rPr>
        <w:t>’</w:t>
      </w:r>
      <w:r w:rsidRPr="00DC03B8">
        <w:rPr>
          <w:rStyle w:val="FootnoteReference"/>
          <w:lang w:val="en-AU"/>
        </w:rPr>
        <w:footnoteReference w:id="338"/>
      </w:r>
      <w:r w:rsidRPr="00DC03B8">
        <w:rPr>
          <w:lang w:val="en-AU"/>
        </w:rPr>
        <w:t xml:space="preserve">  </w:t>
      </w:r>
    </w:p>
    <w:p w14:paraId="3111EC89" w14:textId="4E1EDE6A" w:rsidR="008D4202" w:rsidRPr="00AF4B63" w:rsidRDefault="00BE6BA3" w:rsidP="004D7190">
      <w:pPr>
        <w:spacing w:line="480" w:lineRule="auto"/>
        <w:contextualSpacing/>
        <w:rPr>
          <w:lang w:val="en-AU"/>
        </w:rPr>
      </w:pPr>
      <w:r w:rsidRPr="009E7B69">
        <w:tab/>
      </w:r>
      <w:r w:rsidRPr="00AF4B63">
        <w:rPr>
          <w:lang w:val="en-AU"/>
        </w:rPr>
        <w:t>The role of retribution could be political or communal, and both the</w:t>
      </w:r>
      <w:r w:rsidR="002F2AD5" w:rsidRPr="00AF4B63">
        <w:rPr>
          <w:lang w:val="en-AU"/>
        </w:rPr>
        <w:t xml:space="preserve"> </w:t>
      </w:r>
      <w:r w:rsidR="002F2AD5" w:rsidRPr="00AF4B63">
        <w:rPr>
          <w:i/>
          <w:iCs/>
          <w:lang w:val="en-AU"/>
        </w:rPr>
        <w:t>L</w:t>
      </w:r>
      <w:r w:rsidRPr="00AF4B63">
        <w:rPr>
          <w:i/>
          <w:lang w:val="en-AU"/>
        </w:rPr>
        <w:t>ex Talionis</w:t>
      </w:r>
      <w:r w:rsidRPr="00AF4B63">
        <w:rPr>
          <w:lang w:val="en-AU"/>
        </w:rPr>
        <w:t xml:space="preserve"> and the theology of retribution in </w:t>
      </w:r>
      <w:r w:rsidRPr="00AF4B63">
        <w:rPr>
          <w:i/>
          <w:lang w:val="en-AU"/>
        </w:rPr>
        <w:t xml:space="preserve">Mishna Avot </w:t>
      </w:r>
      <w:r w:rsidRPr="00AF4B63">
        <w:rPr>
          <w:lang w:val="en-AU"/>
        </w:rPr>
        <w:t xml:space="preserve">give counsel about this. </w:t>
      </w:r>
      <w:r w:rsidRPr="00AF4B63">
        <w:rPr>
          <w:i/>
          <w:lang w:val="en-AU"/>
        </w:rPr>
        <w:t>Mishna Avot</w:t>
      </w:r>
      <w:r w:rsidRPr="00AF4B63">
        <w:rPr>
          <w:lang w:val="en-AU"/>
        </w:rPr>
        <w:t xml:space="preserve"> </w:t>
      </w:r>
      <w:r w:rsidR="008E392D" w:rsidRPr="00AF4B63">
        <w:rPr>
          <w:lang w:val="en-AU"/>
        </w:rPr>
        <w:t>warns against</w:t>
      </w:r>
      <w:r w:rsidRPr="00AF4B63">
        <w:rPr>
          <w:lang w:val="en-AU"/>
        </w:rPr>
        <w:t xml:space="preserve"> the misuse of communal and political power. </w:t>
      </w:r>
      <w:r w:rsidR="00230FF0" w:rsidRPr="00AF4B63">
        <w:rPr>
          <w:lang w:val="en-AU"/>
        </w:rPr>
        <w:t xml:space="preserve">As already mentioned, in </w:t>
      </w:r>
      <w:r w:rsidRPr="00AF4B63">
        <w:rPr>
          <w:i/>
          <w:lang w:val="en-AU"/>
        </w:rPr>
        <w:t xml:space="preserve">Mishna Avot </w:t>
      </w:r>
      <w:r w:rsidRPr="00AF4B63">
        <w:rPr>
          <w:lang w:val="en-AU"/>
        </w:rPr>
        <w:t>3:2</w:t>
      </w:r>
      <w:r w:rsidRPr="00AF4B63">
        <w:rPr>
          <w:i/>
          <w:lang w:val="en-AU"/>
        </w:rPr>
        <w:t xml:space="preserve"> </w:t>
      </w:r>
      <w:r w:rsidRPr="00AF4B63">
        <w:rPr>
          <w:lang w:val="en-AU"/>
        </w:rPr>
        <w:t xml:space="preserve">it </w:t>
      </w:r>
      <w:r w:rsidR="00230FF0" w:rsidRPr="00AF4B63">
        <w:rPr>
          <w:lang w:val="en-AU"/>
        </w:rPr>
        <w:t xml:space="preserve">is </w:t>
      </w:r>
      <w:r w:rsidRPr="00AF4B63">
        <w:rPr>
          <w:lang w:val="en-AU"/>
        </w:rPr>
        <w:t>state</w:t>
      </w:r>
      <w:r w:rsidR="00230FF0" w:rsidRPr="00AF4B63">
        <w:rPr>
          <w:lang w:val="en-AU"/>
        </w:rPr>
        <w:t>d</w:t>
      </w:r>
      <w:r w:rsidRPr="00AF4B63">
        <w:rPr>
          <w:lang w:val="en-AU"/>
        </w:rPr>
        <w:t xml:space="preserve"> that </w:t>
      </w:r>
      <w:r w:rsidR="00863B47" w:rsidRPr="00AF4B63">
        <w:rPr>
          <w:lang w:val="en-AU"/>
        </w:rPr>
        <w:t>“</w:t>
      </w:r>
      <w:r w:rsidR="00B103E1" w:rsidRPr="00AF4B63">
        <w:rPr>
          <w:lang w:val="en-AU"/>
        </w:rPr>
        <w:t xml:space="preserve">Rabbi Haninah, </w:t>
      </w:r>
      <w:r w:rsidR="00294382" w:rsidRPr="00AF4B63">
        <w:rPr>
          <w:lang w:val="en-AU"/>
        </w:rPr>
        <w:t>the vice-high priest</w:t>
      </w:r>
      <w:r w:rsidRPr="00AF4B63">
        <w:rPr>
          <w:lang w:val="en-AU"/>
        </w:rPr>
        <w:t>, said: Pray for the welfare of the government, for were it not for fear of it, each person would swallow their neighbo</w:t>
      </w:r>
      <w:r w:rsidR="005E4EAA" w:rsidRPr="00AF4B63">
        <w:rPr>
          <w:lang w:val="en-AU"/>
        </w:rPr>
        <w:t>u</w:t>
      </w:r>
      <w:r w:rsidRPr="00AF4B63">
        <w:rPr>
          <w:lang w:val="en-AU"/>
        </w:rPr>
        <w:t>r alive.</w:t>
      </w:r>
      <w:r w:rsidR="00863B47" w:rsidRPr="00AF4B63">
        <w:rPr>
          <w:lang w:val="en-AU"/>
        </w:rPr>
        <w:t>”</w:t>
      </w:r>
      <w:r w:rsidRPr="00AF4B63">
        <w:rPr>
          <w:lang w:val="en-AU"/>
        </w:rPr>
        <w:t xml:space="preserve"> The limitations of the power afforded to the community and to the political party are in balance in </w:t>
      </w:r>
      <w:r w:rsidRPr="00AF4B63">
        <w:rPr>
          <w:i/>
          <w:lang w:val="en-AU"/>
        </w:rPr>
        <w:t xml:space="preserve">Mishna Avot. </w:t>
      </w:r>
      <w:r w:rsidR="0035616D" w:rsidRPr="00AF4B63">
        <w:rPr>
          <w:lang w:val="en-AU"/>
        </w:rPr>
        <w:t>Jesus</w:t>
      </w:r>
      <w:r w:rsidR="005C71CB" w:rsidRPr="00AF4B63">
        <w:rPr>
          <w:lang w:val="en-AU"/>
        </w:rPr>
        <w:t>’</w:t>
      </w:r>
      <w:r w:rsidR="006D41DD">
        <w:rPr>
          <w:lang w:val="en-AU"/>
        </w:rPr>
        <w:t>s</w:t>
      </w:r>
      <w:r w:rsidR="0035616D" w:rsidRPr="00AF4B63">
        <w:rPr>
          <w:lang w:val="en-AU"/>
        </w:rPr>
        <w:t xml:space="preserve"> reference to </w:t>
      </w:r>
      <w:r w:rsidR="00A37077" w:rsidRPr="00AF4B63">
        <w:rPr>
          <w:i/>
          <w:iCs/>
          <w:lang w:val="en-AU"/>
        </w:rPr>
        <w:t>lex talionis</w:t>
      </w:r>
      <w:r w:rsidR="0035616D" w:rsidRPr="00AF4B63">
        <w:rPr>
          <w:lang w:val="en-AU"/>
        </w:rPr>
        <w:t xml:space="preserve"> in Matt 5</w:t>
      </w:r>
      <w:r w:rsidR="00795255" w:rsidRPr="00AF4B63">
        <w:rPr>
          <w:lang w:val="en-AU"/>
        </w:rPr>
        <w:t>:38</w:t>
      </w:r>
      <w:r w:rsidR="00A37077" w:rsidRPr="00AF4B63">
        <w:rPr>
          <w:lang w:val="en-AU"/>
        </w:rPr>
        <w:t xml:space="preserve"> ha</w:t>
      </w:r>
      <w:r w:rsidR="00795255" w:rsidRPr="00AF4B63">
        <w:rPr>
          <w:lang w:val="en-AU"/>
        </w:rPr>
        <w:t>s</w:t>
      </w:r>
      <w:r w:rsidR="00A37077" w:rsidRPr="00AF4B63">
        <w:rPr>
          <w:lang w:val="en-AU"/>
        </w:rPr>
        <w:t xml:space="preserve"> commonalities with </w:t>
      </w:r>
      <w:r w:rsidR="00A37077" w:rsidRPr="00AF4B63">
        <w:rPr>
          <w:i/>
          <w:iCs/>
          <w:lang w:val="en-AU"/>
        </w:rPr>
        <w:t xml:space="preserve">Mishna Avot </w:t>
      </w:r>
      <w:r w:rsidR="00A37077" w:rsidRPr="00AF4B63">
        <w:rPr>
          <w:lang w:val="en-AU"/>
        </w:rPr>
        <w:t>3:2</w:t>
      </w:r>
      <w:r w:rsidR="00DB7255">
        <w:rPr>
          <w:lang w:val="en-AU"/>
        </w:rPr>
        <w:t>.</w:t>
      </w:r>
    </w:p>
    <w:p w14:paraId="17AC1ECF" w14:textId="7B80EF21" w:rsidR="008D4202" w:rsidRPr="00AF4B63" w:rsidRDefault="00BE6BA3" w:rsidP="008D4202">
      <w:pPr>
        <w:spacing w:line="480" w:lineRule="auto"/>
        <w:contextualSpacing/>
        <w:rPr>
          <w:lang w:val="en-AU"/>
        </w:rPr>
      </w:pPr>
      <w:r w:rsidRPr="00AF4B63">
        <w:rPr>
          <w:lang w:val="en-AU"/>
        </w:rPr>
        <w:tab/>
        <w:t>Matthew 5:38</w:t>
      </w:r>
      <w:r w:rsidR="009639ED" w:rsidRPr="00AF4B63">
        <w:rPr>
          <w:lang w:val="en-AU"/>
        </w:rPr>
        <w:t>–</w:t>
      </w:r>
      <w:r w:rsidRPr="00AF4B63">
        <w:rPr>
          <w:lang w:val="en-AU"/>
        </w:rPr>
        <w:t>42</w:t>
      </w:r>
      <w:r w:rsidR="004810F4" w:rsidRPr="00AF4B63">
        <w:rPr>
          <w:lang w:val="en-AU"/>
        </w:rPr>
        <w:t xml:space="preserve"> </w:t>
      </w:r>
      <w:r w:rsidR="00E86944" w:rsidRPr="00AF4B63">
        <w:rPr>
          <w:lang w:val="en-AU"/>
        </w:rPr>
        <w:t xml:space="preserve">is an outflowing of </w:t>
      </w:r>
      <w:r w:rsidR="00314CBE" w:rsidRPr="00AF4B63">
        <w:rPr>
          <w:lang w:val="en-AU"/>
        </w:rPr>
        <w:t>contemporary J</w:t>
      </w:r>
      <w:r w:rsidR="00E86944" w:rsidRPr="00AF4B63">
        <w:rPr>
          <w:lang w:val="en-AU"/>
        </w:rPr>
        <w:t xml:space="preserve">ewish </w:t>
      </w:r>
      <w:r w:rsidR="00314CBE" w:rsidRPr="00AF4B63">
        <w:rPr>
          <w:lang w:val="en-AU"/>
        </w:rPr>
        <w:t xml:space="preserve">discussion on </w:t>
      </w:r>
      <w:r w:rsidR="00E86944" w:rsidRPr="00AF4B63">
        <w:rPr>
          <w:lang w:val="en-AU"/>
        </w:rPr>
        <w:t>non-violence and retaliatory justice</w:t>
      </w:r>
      <w:r w:rsidRPr="00AF4B63">
        <w:rPr>
          <w:lang w:val="en-AU"/>
        </w:rPr>
        <w:t>.</w:t>
      </w:r>
      <w:r w:rsidRPr="00AF4B63">
        <w:rPr>
          <w:rStyle w:val="FootnoteReference"/>
          <w:lang w:val="en-AU"/>
        </w:rPr>
        <w:footnoteReference w:id="339"/>
      </w:r>
      <w:r w:rsidRPr="00AF4B63">
        <w:rPr>
          <w:lang w:val="en-AU"/>
        </w:rPr>
        <w:t xml:space="preserve"> David Stern </w:t>
      </w:r>
      <w:r w:rsidR="00E86944" w:rsidRPr="00AF4B63">
        <w:rPr>
          <w:lang w:val="en-AU"/>
        </w:rPr>
        <w:t xml:space="preserve">agrees </w:t>
      </w:r>
      <w:r w:rsidR="00314CBE" w:rsidRPr="00AF4B63">
        <w:rPr>
          <w:lang w:val="en-AU"/>
        </w:rPr>
        <w:t xml:space="preserve">that </w:t>
      </w:r>
      <w:r w:rsidRPr="00AF4B63">
        <w:rPr>
          <w:i/>
          <w:lang w:val="en-AU"/>
        </w:rPr>
        <w:t>lex talionis</w:t>
      </w:r>
      <w:r w:rsidR="00E86944" w:rsidRPr="00AF4B63">
        <w:rPr>
          <w:i/>
          <w:lang w:val="en-AU"/>
        </w:rPr>
        <w:t xml:space="preserve"> </w:t>
      </w:r>
      <w:r w:rsidR="00E86944" w:rsidRPr="00AF4B63">
        <w:rPr>
          <w:iCs/>
          <w:lang w:val="en-AU"/>
        </w:rPr>
        <w:t>and Matthew 5:38</w:t>
      </w:r>
      <w:r w:rsidR="00314CBE" w:rsidRPr="00AF4B63">
        <w:rPr>
          <w:iCs/>
          <w:lang w:val="en-AU"/>
        </w:rPr>
        <w:t>–</w:t>
      </w:r>
      <w:r w:rsidR="00E86944" w:rsidRPr="00AF4B63">
        <w:rPr>
          <w:iCs/>
          <w:lang w:val="en-AU"/>
        </w:rPr>
        <w:t xml:space="preserve">42 </w:t>
      </w:r>
      <w:proofErr w:type="gramStart"/>
      <w:r w:rsidR="00E86944" w:rsidRPr="00AF4B63">
        <w:rPr>
          <w:iCs/>
          <w:lang w:val="en-AU"/>
        </w:rPr>
        <w:t>are</w:t>
      </w:r>
      <w:proofErr w:type="gramEnd"/>
      <w:r w:rsidR="00E86944" w:rsidRPr="00AF4B63">
        <w:rPr>
          <w:iCs/>
          <w:lang w:val="en-AU"/>
        </w:rPr>
        <w:t xml:space="preserve"> connected</w:t>
      </w:r>
      <w:r w:rsidR="00E86944" w:rsidRPr="00AF4B63">
        <w:rPr>
          <w:lang w:val="en-AU"/>
        </w:rPr>
        <w:t>.</w:t>
      </w:r>
      <w:r w:rsidRPr="00AF4B63">
        <w:rPr>
          <w:lang w:val="en-AU"/>
        </w:rPr>
        <w:t xml:space="preserve"> Later sayings in </w:t>
      </w:r>
      <w:r w:rsidRPr="00AF4B63">
        <w:rPr>
          <w:i/>
          <w:lang w:val="en-AU"/>
        </w:rPr>
        <w:t>Mishna</w:t>
      </w:r>
      <w:r w:rsidR="00294382" w:rsidRPr="00AF4B63">
        <w:rPr>
          <w:i/>
          <w:lang w:val="en-AU"/>
        </w:rPr>
        <w:t xml:space="preserve"> Talmud</w:t>
      </w:r>
      <w:r w:rsidRPr="00AF4B63">
        <w:rPr>
          <w:i/>
          <w:lang w:val="en-AU"/>
        </w:rPr>
        <w:t xml:space="preserve"> </w:t>
      </w:r>
      <w:r w:rsidRPr="00AF4B63">
        <w:rPr>
          <w:lang w:val="en-AU"/>
        </w:rPr>
        <w:t xml:space="preserve">carry the intellectual thought of the Sermon, especially in </w:t>
      </w:r>
      <w:r w:rsidRPr="00AF4B63">
        <w:rPr>
          <w:i/>
          <w:lang w:val="en-AU"/>
        </w:rPr>
        <w:t xml:space="preserve">Bava Kama </w:t>
      </w:r>
      <w:r w:rsidRPr="00AF4B63">
        <w:rPr>
          <w:lang w:val="en-AU"/>
        </w:rPr>
        <w:t>8:1:</w:t>
      </w:r>
    </w:p>
    <w:p w14:paraId="4126B946" w14:textId="1C62B948" w:rsidR="008D4202" w:rsidRPr="00AF4B63" w:rsidRDefault="00BE6BA3" w:rsidP="00AF2E41">
      <w:pPr>
        <w:pStyle w:val="Blockquotation"/>
        <w:rPr>
          <w:sz w:val="24"/>
          <w:lang w:val="en-AU"/>
        </w:rPr>
      </w:pPr>
      <w:r w:rsidRPr="00AF4B63">
        <w:rPr>
          <w:sz w:val="24"/>
          <w:lang w:val="en-AU"/>
        </w:rPr>
        <w:t xml:space="preserve">One who wounds his </w:t>
      </w:r>
      <w:r w:rsidR="002123A9" w:rsidRPr="00AF4B63">
        <w:rPr>
          <w:sz w:val="24"/>
          <w:lang w:val="en-AU"/>
        </w:rPr>
        <w:t>neighbor</w:t>
      </w:r>
      <w:r w:rsidRPr="00AF4B63">
        <w:rPr>
          <w:sz w:val="24"/>
          <w:lang w:val="en-AU"/>
        </w:rPr>
        <w:t xml:space="preserve"> is liable to pay the following five things: damage, pain, healing, loss of time, and disgrace. </w:t>
      </w:r>
      <w:r w:rsidR="00863B47" w:rsidRPr="00AF4B63">
        <w:rPr>
          <w:sz w:val="24"/>
          <w:lang w:val="en-AU"/>
        </w:rPr>
        <w:t>“</w:t>
      </w:r>
      <w:r w:rsidRPr="00AF4B63">
        <w:rPr>
          <w:sz w:val="24"/>
          <w:lang w:val="en-AU"/>
        </w:rPr>
        <w:t>Damage.</w:t>
      </w:r>
      <w:r w:rsidR="00863B47" w:rsidRPr="00AF4B63">
        <w:rPr>
          <w:sz w:val="24"/>
          <w:lang w:val="en-AU"/>
        </w:rPr>
        <w:t>”</w:t>
      </w:r>
      <w:r w:rsidRPr="00AF4B63">
        <w:rPr>
          <w:sz w:val="24"/>
          <w:lang w:val="en-AU"/>
        </w:rPr>
        <w:t xml:space="preserve"> – If he blinds one</w:t>
      </w:r>
      <w:r w:rsidR="005C71CB" w:rsidRPr="00AF4B63">
        <w:rPr>
          <w:sz w:val="24"/>
          <w:lang w:val="en-AU"/>
        </w:rPr>
        <w:t>’</w:t>
      </w:r>
      <w:r w:rsidRPr="00AF4B63">
        <w:rPr>
          <w:sz w:val="24"/>
          <w:lang w:val="en-AU"/>
        </w:rPr>
        <w:t xml:space="preserve">s eye, cuts off his hand, or breaks his leg, the injured person is considered as if he were a slave sold in the market, and he is appraised at his former and his present value. </w:t>
      </w:r>
      <w:r w:rsidR="00863B47" w:rsidRPr="00AF4B63">
        <w:rPr>
          <w:sz w:val="24"/>
          <w:lang w:val="en-AU"/>
        </w:rPr>
        <w:t>“</w:t>
      </w:r>
      <w:r w:rsidRPr="00AF4B63">
        <w:rPr>
          <w:sz w:val="24"/>
          <w:lang w:val="en-AU"/>
        </w:rPr>
        <w:t>Pain.</w:t>
      </w:r>
      <w:r w:rsidR="00863B47" w:rsidRPr="00AF4B63">
        <w:rPr>
          <w:sz w:val="24"/>
          <w:lang w:val="en-AU"/>
        </w:rPr>
        <w:t>”</w:t>
      </w:r>
      <w:r w:rsidRPr="00AF4B63">
        <w:rPr>
          <w:sz w:val="24"/>
          <w:lang w:val="en-AU"/>
        </w:rPr>
        <w:t xml:space="preserve"> – If he burns him with a spit or with a nail, if even only on the nail (of his hand or foot), where it produces no wound, it is appraised how much a man his equal would take to suffer such pain. </w:t>
      </w:r>
      <w:r w:rsidR="00863B47" w:rsidRPr="00AF4B63">
        <w:rPr>
          <w:sz w:val="24"/>
          <w:lang w:val="en-AU"/>
        </w:rPr>
        <w:t>“</w:t>
      </w:r>
      <w:r w:rsidRPr="00AF4B63">
        <w:rPr>
          <w:sz w:val="24"/>
          <w:lang w:val="en-AU"/>
        </w:rPr>
        <w:t>Healing.</w:t>
      </w:r>
      <w:r w:rsidR="00863B47" w:rsidRPr="00AF4B63">
        <w:rPr>
          <w:sz w:val="24"/>
          <w:lang w:val="en-AU"/>
        </w:rPr>
        <w:t>”</w:t>
      </w:r>
      <w:r w:rsidRPr="00AF4B63">
        <w:rPr>
          <w:sz w:val="24"/>
          <w:lang w:val="en-AU"/>
        </w:rPr>
        <w:t xml:space="preserve"> – If he caused him bodily injury, he must heal him; if pus collected by reason of the wound, he must cause him to be healed; if, however, not by reason of the wound, he is free. If the wound heals up and breaks out again, even several times, he must cause it to be healed; if, however, it once heals up thoroughly, he is no more obliged to heal it. </w:t>
      </w:r>
      <w:r w:rsidR="00863B47" w:rsidRPr="00AF4B63">
        <w:rPr>
          <w:sz w:val="24"/>
          <w:lang w:val="en-AU"/>
        </w:rPr>
        <w:t>“</w:t>
      </w:r>
      <w:r w:rsidRPr="00AF4B63">
        <w:rPr>
          <w:sz w:val="24"/>
          <w:lang w:val="en-AU"/>
        </w:rPr>
        <w:t>Loss of time.</w:t>
      </w:r>
      <w:r w:rsidR="00863B47" w:rsidRPr="00AF4B63">
        <w:rPr>
          <w:sz w:val="24"/>
          <w:lang w:val="en-AU"/>
        </w:rPr>
        <w:t>”</w:t>
      </w:r>
      <w:r w:rsidRPr="00AF4B63">
        <w:rPr>
          <w:sz w:val="24"/>
          <w:lang w:val="en-AU"/>
        </w:rPr>
        <w:t xml:space="preserve"> – The injured person is considered as if he were a watchman of a pumpkin field, as he was already paid the value of his hand or foot. The disgrace is appraised with </w:t>
      </w:r>
      <w:r w:rsidRPr="00AF4B63">
        <w:rPr>
          <w:sz w:val="24"/>
          <w:lang w:val="en-AU"/>
        </w:rPr>
        <w:lastRenderedPageBreak/>
        <w:t>consideration of the station and rank of the one who causes as well as of the one who suffers it.</w:t>
      </w:r>
      <w:r w:rsidRPr="00AF4B63">
        <w:rPr>
          <w:rStyle w:val="FootnoteReference"/>
          <w:sz w:val="24"/>
          <w:lang w:val="en-AU"/>
        </w:rPr>
        <w:footnoteReference w:id="340"/>
      </w:r>
    </w:p>
    <w:p w14:paraId="2CEE6283" w14:textId="77777777" w:rsidR="00990707" w:rsidRPr="00AF4B63" w:rsidRDefault="00990707" w:rsidP="00A231F7">
      <w:pPr>
        <w:spacing w:before="120" w:line="480" w:lineRule="auto"/>
        <w:rPr>
          <w:i/>
          <w:lang w:val="en-AU"/>
        </w:rPr>
      </w:pPr>
    </w:p>
    <w:p w14:paraId="44950E07" w14:textId="77777777" w:rsidR="005D63C8" w:rsidRDefault="00BE6BA3" w:rsidP="00A231F7">
      <w:pPr>
        <w:spacing w:before="120" w:line="480" w:lineRule="auto"/>
        <w:rPr>
          <w:lang w:val="en-AU"/>
        </w:rPr>
      </w:pPr>
      <w:r w:rsidRPr="00AF4B63">
        <w:rPr>
          <w:i/>
          <w:lang w:val="en-AU"/>
        </w:rPr>
        <w:t>Bava Kama</w:t>
      </w:r>
      <w:r w:rsidRPr="00AF4B63">
        <w:rPr>
          <w:lang w:val="en-AU"/>
        </w:rPr>
        <w:t xml:space="preserve"> 8:1 </w:t>
      </w:r>
      <w:r w:rsidR="00E86944" w:rsidRPr="00AF4B63">
        <w:rPr>
          <w:lang w:val="en-AU"/>
        </w:rPr>
        <w:t xml:space="preserve">looks at the concept of retaliation for damages and provides just and ethical methods to compensate </w:t>
      </w:r>
      <w:r w:rsidR="005B6515" w:rsidRPr="00AF4B63">
        <w:rPr>
          <w:lang w:val="en-AU"/>
        </w:rPr>
        <w:t xml:space="preserve">for wrongdoing. </w:t>
      </w:r>
      <w:r w:rsidR="005D63C8">
        <w:rPr>
          <w:lang w:val="en-AU"/>
        </w:rPr>
        <w:t xml:space="preserve">This is a divergence from causing ‘harm for harm’ towards another person. This progression of justice within </w:t>
      </w:r>
      <w:r w:rsidR="005D63C8">
        <w:rPr>
          <w:i/>
          <w:iCs/>
          <w:lang w:val="en-AU"/>
        </w:rPr>
        <w:t xml:space="preserve">Bava Kama </w:t>
      </w:r>
      <w:r w:rsidR="005D63C8">
        <w:rPr>
          <w:lang w:val="en-AU"/>
        </w:rPr>
        <w:t xml:space="preserve">8:1 is continuity between the Hebrew Scriptures and the understanding found in New Testament texts. </w:t>
      </w:r>
      <w:r w:rsidRPr="00AF4B63">
        <w:rPr>
          <w:lang w:val="en-AU"/>
        </w:rPr>
        <w:t xml:space="preserve">David Fox Sandmel suggests that the development of </w:t>
      </w:r>
      <w:r w:rsidRPr="00AF4B63">
        <w:rPr>
          <w:i/>
          <w:lang w:val="en-AU"/>
        </w:rPr>
        <w:t xml:space="preserve">Mishna Bava Kama </w:t>
      </w:r>
      <w:r w:rsidRPr="00AF4B63">
        <w:rPr>
          <w:lang w:val="en-AU"/>
        </w:rPr>
        <w:t xml:space="preserve">shows a similarity </w:t>
      </w:r>
      <w:r w:rsidR="00180466" w:rsidRPr="00AF4B63">
        <w:rPr>
          <w:lang w:val="en-AU"/>
        </w:rPr>
        <w:t>to</w:t>
      </w:r>
      <w:r w:rsidRPr="00AF4B63">
        <w:rPr>
          <w:lang w:val="en-AU"/>
        </w:rPr>
        <w:t xml:space="preserve"> both the Old Testament and the New Testament.</w:t>
      </w:r>
      <w:r w:rsidRPr="00AF4B63">
        <w:rPr>
          <w:rStyle w:val="FootnoteReference"/>
          <w:lang w:val="en-AU"/>
        </w:rPr>
        <w:footnoteReference w:id="341"/>
      </w:r>
      <w:r w:rsidRPr="00AF4B63">
        <w:rPr>
          <w:i/>
          <w:lang w:val="en-AU"/>
        </w:rPr>
        <w:t xml:space="preserve"> </w:t>
      </w:r>
      <w:r w:rsidR="005B6515" w:rsidRPr="00AF4B63">
        <w:rPr>
          <w:i/>
          <w:lang w:val="en-AU"/>
        </w:rPr>
        <w:t>Bava Kama</w:t>
      </w:r>
      <w:r w:rsidR="005B6515" w:rsidRPr="00AF4B63">
        <w:rPr>
          <w:lang w:val="en-AU"/>
        </w:rPr>
        <w:t xml:space="preserve"> 8:1 </w:t>
      </w:r>
      <w:r w:rsidR="00A37077" w:rsidRPr="00AF4B63">
        <w:rPr>
          <w:lang w:val="en-AU"/>
        </w:rPr>
        <w:t xml:space="preserve">demonstrates how </w:t>
      </w:r>
      <w:r w:rsidR="00A37077" w:rsidRPr="00AF4B63">
        <w:rPr>
          <w:i/>
          <w:iCs/>
          <w:lang w:val="en-AU"/>
        </w:rPr>
        <w:t>lex talionis</w:t>
      </w:r>
      <w:r w:rsidR="00A37077" w:rsidRPr="00AF4B63">
        <w:rPr>
          <w:lang w:val="en-AU"/>
        </w:rPr>
        <w:t xml:space="preserve"> has limitations on retribution</w:t>
      </w:r>
      <w:r w:rsidR="005B6515" w:rsidRPr="00AF4B63">
        <w:rPr>
          <w:lang w:val="en-AU"/>
        </w:rPr>
        <w:t xml:space="preserve">. </w:t>
      </w:r>
      <w:r w:rsidRPr="00AF4B63">
        <w:rPr>
          <w:lang w:val="en-AU"/>
        </w:rPr>
        <w:t xml:space="preserve">Stern </w:t>
      </w:r>
      <w:r w:rsidR="005B6515" w:rsidRPr="00AF4B63">
        <w:rPr>
          <w:lang w:val="en-AU"/>
        </w:rPr>
        <w:t xml:space="preserve">further suggests that the view of Judaism found in </w:t>
      </w:r>
      <w:r w:rsidR="005B6515" w:rsidRPr="00AF4B63">
        <w:rPr>
          <w:i/>
          <w:lang w:val="en-AU"/>
        </w:rPr>
        <w:t>Bava Kama</w:t>
      </w:r>
      <w:r w:rsidR="005B6515" w:rsidRPr="00AF4B63">
        <w:rPr>
          <w:lang w:val="en-AU"/>
        </w:rPr>
        <w:t xml:space="preserve"> 8:1 and the New Testament are foundationally the same.</w:t>
      </w:r>
      <w:r w:rsidRPr="00AF4B63">
        <w:rPr>
          <w:rStyle w:val="FootnoteReference"/>
          <w:lang w:val="en-AU"/>
        </w:rPr>
        <w:footnoteReference w:id="342"/>
      </w:r>
      <w:r w:rsidRPr="00AF4B63">
        <w:rPr>
          <w:lang w:val="en-AU"/>
        </w:rPr>
        <w:t xml:space="preserve"> </w:t>
      </w:r>
    </w:p>
    <w:p w14:paraId="3004B2E4" w14:textId="53CA5745" w:rsidR="008D4202" w:rsidRPr="00AF4B63" w:rsidRDefault="005D63C8" w:rsidP="005D63C8">
      <w:pPr>
        <w:spacing w:before="120" w:line="480" w:lineRule="auto"/>
        <w:ind w:firstLine="720"/>
        <w:rPr>
          <w:lang w:val="en-AU"/>
        </w:rPr>
      </w:pPr>
      <w:r>
        <w:rPr>
          <w:lang w:val="en-AU"/>
        </w:rPr>
        <w:t xml:space="preserve">At the time of the Sermon, there would be similar thoughts to justice and harm. </w:t>
      </w:r>
      <w:r w:rsidR="005B6515" w:rsidRPr="00AF4B63">
        <w:rPr>
          <w:lang w:val="en-AU"/>
        </w:rPr>
        <w:t xml:space="preserve">Even though both religions had </w:t>
      </w:r>
      <w:r>
        <w:rPr>
          <w:lang w:val="en-AU"/>
        </w:rPr>
        <w:t>a similar</w:t>
      </w:r>
      <w:r w:rsidR="005B6515" w:rsidRPr="00AF4B63">
        <w:rPr>
          <w:lang w:val="en-AU"/>
        </w:rPr>
        <w:t xml:space="preserve"> foundation, by the time the </w:t>
      </w:r>
      <w:r w:rsidR="005B6515" w:rsidRPr="00AF4B63">
        <w:rPr>
          <w:i/>
          <w:iCs/>
          <w:lang w:val="en-AU"/>
        </w:rPr>
        <w:t>Avot</w:t>
      </w:r>
      <w:r w:rsidR="005B6515" w:rsidRPr="00AF4B63">
        <w:rPr>
          <w:lang w:val="en-AU"/>
        </w:rPr>
        <w:t xml:space="preserve"> </w:t>
      </w:r>
      <w:r w:rsidR="004E78E8" w:rsidRPr="00AF4B63">
        <w:rPr>
          <w:lang w:val="en-AU"/>
        </w:rPr>
        <w:t>wa</w:t>
      </w:r>
      <w:r w:rsidR="005B6515" w:rsidRPr="00AF4B63">
        <w:rPr>
          <w:lang w:val="en-AU"/>
        </w:rPr>
        <w:t xml:space="preserve">s written, the religions had become very different in </w:t>
      </w:r>
      <w:r w:rsidR="007A4135" w:rsidRPr="00AF4B63">
        <w:rPr>
          <w:lang w:val="en-AU"/>
        </w:rPr>
        <w:t xml:space="preserve">their interpretation of a </w:t>
      </w:r>
      <w:r w:rsidR="005B6515" w:rsidRPr="00AF4B63">
        <w:rPr>
          <w:lang w:val="en-AU"/>
        </w:rPr>
        <w:t>messianic figure.</w:t>
      </w:r>
      <w:r w:rsidR="00BE6BA3" w:rsidRPr="00AF4B63">
        <w:rPr>
          <w:rStyle w:val="FootnoteReference"/>
          <w:lang w:val="en-AU"/>
        </w:rPr>
        <w:footnoteReference w:id="343"/>
      </w:r>
      <w:r w:rsidR="00BE6BA3" w:rsidRPr="00AF4B63">
        <w:rPr>
          <w:lang w:val="en-AU"/>
        </w:rPr>
        <w:t xml:space="preserve"> </w:t>
      </w:r>
      <w:r w:rsidR="00A231F7" w:rsidRPr="00AF4B63">
        <w:rPr>
          <w:lang w:val="en-AU"/>
        </w:rPr>
        <w:t xml:space="preserve">Vermes teaches contrary to Stern and suggests that </w:t>
      </w:r>
      <w:r w:rsidR="00BE6BA3" w:rsidRPr="00AF4B63">
        <w:rPr>
          <w:lang w:val="en-AU"/>
        </w:rPr>
        <w:t>Matthew 5:38</w:t>
      </w:r>
      <w:r w:rsidR="00CC5EB5" w:rsidRPr="00AF4B63">
        <w:rPr>
          <w:lang w:val="en-AU"/>
        </w:rPr>
        <w:t>–</w:t>
      </w:r>
      <w:r w:rsidR="00BE6BA3" w:rsidRPr="00AF4B63">
        <w:rPr>
          <w:lang w:val="en-AU"/>
        </w:rPr>
        <w:t>42</w:t>
      </w:r>
      <w:r w:rsidR="00A231F7" w:rsidRPr="00AF4B63">
        <w:rPr>
          <w:lang w:val="en-AU"/>
        </w:rPr>
        <w:t xml:space="preserve"> is </w:t>
      </w:r>
      <w:r w:rsidR="00F465DF" w:rsidRPr="00AF4B63">
        <w:rPr>
          <w:lang w:val="en-AU"/>
        </w:rPr>
        <w:t>exaggerated in nature</w:t>
      </w:r>
      <w:r w:rsidR="00BE6BA3" w:rsidRPr="00AF4B63">
        <w:rPr>
          <w:i/>
          <w:lang w:val="en-AU"/>
        </w:rPr>
        <w:t>.</w:t>
      </w:r>
      <w:r w:rsidR="00BE6BA3" w:rsidRPr="00AF4B63">
        <w:rPr>
          <w:rStyle w:val="FootnoteReference"/>
          <w:iCs/>
          <w:lang w:val="en-AU"/>
        </w:rPr>
        <w:footnoteReference w:id="344"/>
      </w:r>
      <w:r w:rsidR="00BE6BA3" w:rsidRPr="00AF4B63">
        <w:rPr>
          <w:i/>
          <w:lang w:val="en-AU"/>
        </w:rPr>
        <w:t xml:space="preserve"> </w:t>
      </w:r>
      <w:r w:rsidR="00BE6BA3" w:rsidRPr="00AF4B63">
        <w:rPr>
          <w:lang w:val="en-AU"/>
        </w:rPr>
        <w:t>According to Vermes, Matthew 5:38</w:t>
      </w:r>
      <w:r w:rsidR="00DD133F" w:rsidRPr="00AF4B63">
        <w:rPr>
          <w:lang w:val="en-AU"/>
        </w:rPr>
        <w:t>–</w:t>
      </w:r>
      <w:r w:rsidR="00BE6BA3" w:rsidRPr="00AF4B63">
        <w:rPr>
          <w:lang w:val="en-AU"/>
        </w:rPr>
        <w:t xml:space="preserve">42 is </w:t>
      </w:r>
      <w:r w:rsidR="00A231F7" w:rsidRPr="00AF4B63">
        <w:rPr>
          <w:lang w:val="en-AU"/>
        </w:rPr>
        <w:t>good but not morally required</w:t>
      </w:r>
      <w:r w:rsidR="00BE6BA3" w:rsidRPr="00AF4B63">
        <w:rPr>
          <w:lang w:val="en-AU"/>
        </w:rPr>
        <w:t>.</w:t>
      </w:r>
      <w:r w:rsidR="00BE6BA3" w:rsidRPr="00AF4B63">
        <w:rPr>
          <w:rStyle w:val="FootnoteReference"/>
          <w:lang w:val="en-AU"/>
        </w:rPr>
        <w:footnoteReference w:id="345"/>
      </w:r>
      <w:r w:rsidR="00BE6BA3" w:rsidRPr="00AF4B63">
        <w:rPr>
          <w:lang w:val="en-AU"/>
        </w:rPr>
        <w:t xml:space="preserve"> Long contends that the </w:t>
      </w:r>
      <w:r w:rsidR="005C71CB" w:rsidRPr="00AF4B63">
        <w:rPr>
          <w:lang w:val="en-AU"/>
        </w:rPr>
        <w:t>‘</w:t>
      </w:r>
      <w:r w:rsidR="00BE6BA3" w:rsidRPr="00AF4B63">
        <w:rPr>
          <w:lang w:val="en-AU"/>
        </w:rPr>
        <w:t xml:space="preserve">eye </w:t>
      </w:r>
      <w:r w:rsidR="00BE6BA3" w:rsidRPr="00AF4B63">
        <w:rPr>
          <w:lang w:val="en-AU"/>
        </w:rPr>
        <w:lastRenderedPageBreak/>
        <w:t>for an eye</w:t>
      </w:r>
      <w:r w:rsidR="005C71CB" w:rsidRPr="00AF4B63">
        <w:rPr>
          <w:lang w:val="en-AU"/>
        </w:rPr>
        <w:t>’</w:t>
      </w:r>
      <w:r w:rsidR="00BE6BA3" w:rsidRPr="00AF4B63">
        <w:rPr>
          <w:lang w:val="en-AU"/>
        </w:rPr>
        <w:t xml:space="preserve"> legal principle should instead focus on the concept of how revenge should not be a person</w:t>
      </w:r>
      <w:r w:rsidR="005C71CB" w:rsidRPr="00AF4B63">
        <w:rPr>
          <w:lang w:val="en-AU"/>
        </w:rPr>
        <w:t>’</w:t>
      </w:r>
      <w:r w:rsidR="00BE6BA3" w:rsidRPr="00AF4B63">
        <w:rPr>
          <w:lang w:val="en-AU"/>
        </w:rPr>
        <w:t>s motivation.</w:t>
      </w:r>
      <w:r w:rsidR="00BE6BA3" w:rsidRPr="00AF4B63">
        <w:rPr>
          <w:rStyle w:val="FootnoteReference"/>
          <w:lang w:val="en-AU"/>
        </w:rPr>
        <w:footnoteReference w:id="346"/>
      </w:r>
    </w:p>
    <w:p w14:paraId="3F4FB4F6" w14:textId="6DEA04F3" w:rsidR="008D4202" w:rsidRPr="00AF4B63" w:rsidRDefault="00BE6BA3" w:rsidP="00CE4B44">
      <w:pPr>
        <w:spacing w:line="480" w:lineRule="auto"/>
        <w:contextualSpacing/>
        <w:rPr>
          <w:iCs/>
          <w:lang w:val="en-AU"/>
        </w:rPr>
      </w:pPr>
      <w:r w:rsidRPr="00AF4B63">
        <w:rPr>
          <w:i/>
          <w:lang w:val="en-AU"/>
        </w:rPr>
        <w:t xml:space="preserve"> </w:t>
      </w:r>
      <w:r w:rsidRPr="00AF4B63">
        <w:rPr>
          <w:i/>
          <w:lang w:val="en-AU"/>
        </w:rPr>
        <w:tab/>
      </w:r>
      <w:r w:rsidRPr="00AF4B63">
        <w:rPr>
          <w:lang w:val="en-AU"/>
        </w:rPr>
        <w:t>During the</w:t>
      </w:r>
      <w:r w:rsidRPr="00AF4B63">
        <w:rPr>
          <w:i/>
          <w:lang w:val="en-AU"/>
        </w:rPr>
        <w:t xml:space="preserve"> Mishnaic </w:t>
      </w:r>
      <w:r w:rsidRPr="00AF4B63">
        <w:rPr>
          <w:lang w:val="en-AU"/>
        </w:rPr>
        <w:t xml:space="preserve">period, the </w:t>
      </w:r>
      <w:r w:rsidRPr="00AF4B63">
        <w:rPr>
          <w:i/>
          <w:lang w:val="en-AU"/>
        </w:rPr>
        <w:t>Mishna</w:t>
      </w:r>
      <w:r w:rsidRPr="00AF4B63">
        <w:rPr>
          <w:lang w:val="en-AU"/>
        </w:rPr>
        <w:t xml:space="preserve"> continues to </w:t>
      </w:r>
      <w:r w:rsidR="00BB31FC" w:rsidRPr="00AF4B63">
        <w:rPr>
          <w:lang w:val="en-AU"/>
        </w:rPr>
        <w:t>develop</w:t>
      </w:r>
      <w:r w:rsidRPr="00AF4B63">
        <w:rPr>
          <w:lang w:val="en-AU"/>
        </w:rPr>
        <w:t xml:space="preserve"> the doctrine</w:t>
      </w:r>
      <w:r w:rsidR="005578E4" w:rsidRPr="00AF4B63">
        <w:rPr>
          <w:lang w:val="en-AU"/>
        </w:rPr>
        <w:t>s</w:t>
      </w:r>
      <w:r w:rsidRPr="00AF4B63">
        <w:rPr>
          <w:lang w:val="en-AU"/>
        </w:rPr>
        <w:t xml:space="preserve"> of retribution and pacifism by limiting the powers of individuals to judge others. The doctrine of pacifism was taught and extended through </w:t>
      </w:r>
      <w:r w:rsidRPr="00AF4B63">
        <w:rPr>
          <w:i/>
          <w:lang w:val="en-AU"/>
        </w:rPr>
        <w:t>Mishna Avot</w:t>
      </w:r>
      <w:r w:rsidRPr="00AF4B63">
        <w:rPr>
          <w:lang w:val="en-AU"/>
        </w:rPr>
        <w:t xml:space="preserve"> 4:</w:t>
      </w:r>
      <w:r w:rsidR="001F2F90" w:rsidRPr="00AF4B63">
        <w:rPr>
          <w:lang w:val="en-AU"/>
        </w:rPr>
        <w:t xml:space="preserve">15 </w:t>
      </w:r>
      <w:r w:rsidRPr="00AF4B63">
        <w:rPr>
          <w:lang w:val="en-AU"/>
        </w:rPr>
        <w:t>which states</w:t>
      </w:r>
      <w:r w:rsidR="00BC1291" w:rsidRPr="00AF4B63">
        <w:rPr>
          <w:lang w:val="en-AU"/>
        </w:rPr>
        <w:t>,</w:t>
      </w:r>
      <w:r w:rsidRPr="00AF4B63">
        <w:rPr>
          <w:lang w:val="en-AU"/>
        </w:rPr>
        <w:t xml:space="preserve"> </w:t>
      </w:r>
      <w:r w:rsidR="00863B47" w:rsidRPr="00AF4B63">
        <w:rPr>
          <w:lang w:val="en-AU"/>
        </w:rPr>
        <w:t>“</w:t>
      </w:r>
      <w:bookmarkStart w:id="126" w:name="_Hlk93849363"/>
      <w:r w:rsidRPr="00AF4B63">
        <w:rPr>
          <w:lang w:val="en-AU"/>
        </w:rPr>
        <w:t>Rabbi Yannai</w:t>
      </w:r>
      <w:bookmarkEnd w:id="126"/>
      <w:r w:rsidRPr="00AF4B63">
        <w:rPr>
          <w:lang w:val="en-AU"/>
        </w:rPr>
        <w:t xml:space="preserve"> said: Neither the well-being of the wicked nor the sorrows of the righteous are in our power [to understand fully].</w:t>
      </w:r>
      <w:r w:rsidR="00863B47" w:rsidRPr="00AF4B63">
        <w:rPr>
          <w:lang w:val="en-AU"/>
        </w:rPr>
        <w:t>”</w:t>
      </w:r>
      <w:r w:rsidRPr="00AF4B63">
        <w:rPr>
          <w:lang w:val="en-AU"/>
        </w:rPr>
        <w:t xml:space="preserve"> </w:t>
      </w:r>
      <w:r w:rsidR="00D06BD6" w:rsidRPr="00AF4B63">
        <w:rPr>
          <w:lang w:val="en-AU"/>
        </w:rPr>
        <w:t>When interpreting the Sermon on the Mount</w:t>
      </w:r>
      <w:r w:rsidR="00AD4CDC" w:rsidRPr="00AF4B63">
        <w:rPr>
          <w:lang w:val="en-AU"/>
        </w:rPr>
        <w:t>, which was delivered</w:t>
      </w:r>
      <w:r w:rsidR="00D06BD6" w:rsidRPr="00AF4B63">
        <w:rPr>
          <w:lang w:val="en-AU"/>
        </w:rPr>
        <w:t xml:space="preserve"> </w:t>
      </w:r>
      <w:r w:rsidR="00AD4CDC" w:rsidRPr="00AF4B63">
        <w:rPr>
          <w:lang w:val="en-AU"/>
        </w:rPr>
        <w:t xml:space="preserve">in a climate of Roman oppression, it is important to consider </w:t>
      </w:r>
      <w:r w:rsidRPr="00AF4B63">
        <w:rPr>
          <w:lang w:val="en-AU"/>
        </w:rPr>
        <w:t xml:space="preserve">his political doctrine of </w:t>
      </w:r>
      <w:r w:rsidR="00EA0A31" w:rsidRPr="00AF4B63">
        <w:rPr>
          <w:lang w:val="en-AU"/>
        </w:rPr>
        <w:t>pacifism</w:t>
      </w:r>
      <w:r w:rsidR="00EA0A31" w:rsidRPr="00AF4B63">
        <w:rPr>
          <w:rStyle w:val="CommentReference"/>
          <w:sz w:val="24"/>
          <w:szCs w:val="24"/>
          <w:lang w:val="en-AU" w:eastAsia="ja-JP"/>
        </w:rPr>
        <w:t>.</w:t>
      </w:r>
      <w:r w:rsidR="001272F9" w:rsidRPr="00AF4B63">
        <w:rPr>
          <w:rStyle w:val="CommentReference"/>
          <w:sz w:val="24"/>
          <w:szCs w:val="24"/>
          <w:lang w:val="en-AU" w:eastAsia="ja-JP"/>
        </w:rPr>
        <w:t xml:space="preserve"> </w:t>
      </w:r>
      <w:r w:rsidRPr="00AF4B63">
        <w:rPr>
          <w:lang w:val="en-AU"/>
        </w:rPr>
        <w:t xml:space="preserve">These issues </w:t>
      </w:r>
      <w:r w:rsidR="001272F9" w:rsidRPr="00AF4B63">
        <w:rPr>
          <w:lang w:val="en-AU"/>
        </w:rPr>
        <w:t>we</w:t>
      </w:r>
      <w:r w:rsidRPr="00AF4B63">
        <w:rPr>
          <w:lang w:val="en-AU"/>
        </w:rPr>
        <w:t>re extremely urgent in the Rabbinic period,</w:t>
      </w:r>
      <w:r w:rsidR="006F311E" w:rsidRPr="00AF4B63">
        <w:rPr>
          <w:lang w:val="en-AU"/>
        </w:rPr>
        <w:t xml:space="preserve"> and the rabbis had to incorporate them in the </w:t>
      </w:r>
      <w:r w:rsidR="006F311E" w:rsidRPr="00AF4B63">
        <w:rPr>
          <w:i/>
          <w:iCs/>
          <w:lang w:val="en-AU"/>
        </w:rPr>
        <w:t>Mishna Avot.</w:t>
      </w:r>
      <w:r w:rsidRPr="00AF4B63">
        <w:rPr>
          <w:lang w:val="en-AU"/>
        </w:rPr>
        <w:t xml:space="preserve"> Jeffrey Cohen argues that</w:t>
      </w:r>
      <w:r w:rsidR="00E11F0F" w:rsidRPr="00AF4B63">
        <w:rPr>
          <w:lang w:val="en-AU"/>
        </w:rPr>
        <w:t xml:space="preserve"> punishment from Rome was overly harsh; </w:t>
      </w:r>
      <w:r w:rsidR="00CE4B44" w:rsidRPr="00AF4B63">
        <w:rPr>
          <w:lang w:val="en-AU"/>
        </w:rPr>
        <w:t>thus,</w:t>
      </w:r>
      <w:r w:rsidR="00E11F0F" w:rsidRPr="00AF4B63">
        <w:rPr>
          <w:lang w:val="en-AU"/>
        </w:rPr>
        <w:t xml:space="preserve"> </w:t>
      </w:r>
      <w:r w:rsidR="00C34ACA" w:rsidRPr="00AF4B63">
        <w:rPr>
          <w:lang w:val="en-AU"/>
        </w:rPr>
        <w:t xml:space="preserve">at the time of the Sermon pacifism was a common </w:t>
      </w:r>
      <w:r w:rsidR="00E11F0F" w:rsidRPr="00AF4B63">
        <w:rPr>
          <w:lang w:val="en-AU"/>
        </w:rPr>
        <w:t xml:space="preserve">teaching </w:t>
      </w:r>
      <w:proofErr w:type="gramStart"/>
      <w:r w:rsidR="00E11F0F" w:rsidRPr="00AF4B63">
        <w:rPr>
          <w:lang w:val="en-AU"/>
        </w:rPr>
        <w:t>in order to</w:t>
      </w:r>
      <w:proofErr w:type="gramEnd"/>
      <w:r w:rsidR="00E11F0F" w:rsidRPr="00AF4B63">
        <w:rPr>
          <w:lang w:val="en-AU"/>
        </w:rPr>
        <w:t xml:space="preserve"> protect human life.</w:t>
      </w:r>
      <w:r w:rsidRPr="00AF4B63">
        <w:rPr>
          <w:rStyle w:val="FootnoteReference"/>
          <w:lang w:val="en-AU"/>
        </w:rPr>
        <w:footnoteReference w:id="347"/>
      </w:r>
      <w:r w:rsidRPr="00AF4B63">
        <w:rPr>
          <w:lang w:val="en-AU"/>
        </w:rPr>
        <w:t xml:space="preserve"> The Jewish listener would have known that the Roman view of retribution was to seek merciless justice and this view was juxtaposed </w:t>
      </w:r>
      <w:r w:rsidR="005778C0" w:rsidRPr="00AF4B63">
        <w:rPr>
          <w:lang w:val="en-AU"/>
        </w:rPr>
        <w:t>with</w:t>
      </w:r>
      <w:r w:rsidRPr="00AF4B63">
        <w:rPr>
          <w:lang w:val="en-AU"/>
        </w:rPr>
        <w:t xml:space="preserve"> the </w:t>
      </w:r>
      <w:r w:rsidRPr="00AF4B63">
        <w:rPr>
          <w:i/>
          <w:lang w:val="en-AU"/>
        </w:rPr>
        <w:t xml:space="preserve">Mishna </w:t>
      </w:r>
      <w:r w:rsidRPr="00AF4B63">
        <w:rPr>
          <w:lang w:val="en-AU"/>
        </w:rPr>
        <w:t xml:space="preserve">writers. </w:t>
      </w:r>
      <w:r w:rsidRPr="00AF4B63">
        <w:rPr>
          <w:i/>
          <w:lang w:val="en-AU"/>
        </w:rPr>
        <w:t xml:space="preserve">Mishna Avot </w:t>
      </w:r>
      <w:r w:rsidRPr="00AF4B63">
        <w:rPr>
          <w:iCs/>
          <w:lang w:val="en-AU"/>
        </w:rPr>
        <w:t>2:3</w:t>
      </w:r>
      <w:r w:rsidR="00CE4B44" w:rsidRPr="00AF4B63">
        <w:rPr>
          <w:iCs/>
          <w:lang w:val="en-AU"/>
        </w:rPr>
        <w:t xml:space="preserve"> references Rabban Gamaliel the son of Rabbi Judah Hanasi regarding trusting the ruling </w:t>
      </w:r>
      <w:r w:rsidR="00C77777" w:rsidRPr="00AF4B63">
        <w:rPr>
          <w:iCs/>
          <w:lang w:val="en-AU"/>
        </w:rPr>
        <w:t xml:space="preserve">power, </w:t>
      </w:r>
      <w:r w:rsidR="00C77777" w:rsidRPr="00AF4B63">
        <w:rPr>
          <w:lang w:val="en-AU"/>
        </w:rPr>
        <w:t>“</w:t>
      </w:r>
      <w:r w:rsidRPr="00AF4B63">
        <w:rPr>
          <w:lang w:val="en-AU"/>
        </w:rPr>
        <w:t>Be careful in dealing with the ruling power; for they who draw no one near to themselves except for their own interests. They appear as friends when it is to their advantage, but they do not stand by an individual in his time of need.</w:t>
      </w:r>
      <w:r w:rsidR="00863B47" w:rsidRPr="00AF4B63">
        <w:rPr>
          <w:lang w:val="en-AU"/>
        </w:rPr>
        <w:t>”</w:t>
      </w:r>
      <w:r w:rsidRPr="00AF4B63">
        <w:rPr>
          <w:lang w:val="en-AU"/>
        </w:rPr>
        <w:t xml:space="preserve"> </w:t>
      </w:r>
      <w:r w:rsidR="000F1952" w:rsidRPr="00AF4B63">
        <w:rPr>
          <w:lang w:val="en-AU"/>
        </w:rPr>
        <w:t xml:space="preserve">It is evident that those </w:t>
      </w:r>
      <w:r w:rsidR="000F1952" w:rsidRPr="00AF4B63">
        <w:rPr>
          <w:lang w:val="en-AU"/>
        </w:rPr>
        <w:lastRenderedPageBreak/>
        <w:t xml:space="preserve">who listened to the Sermon </w:t>
      </w:r>
      <w:r w:rsidR="00D722AA" w:rsidRPr="00AF4B63">
        <w:rPr>
          <w:lang w:val="en-AU"/>
        </w:rPr>
        <w:t xml:space="preserve">on the Mount </w:t>
      </w:r>
      <w:r w:rsidRPr="00AF4B63">
        <w:rPr>
          <w:lang w:val="en-AU"/>
        </w:rPr>
        <w:t xml:space="preserve">did not </w:t>
      </w:r>
      <w:r w:rsidR="00CB7D5B" w:rsidRPr="00AF4B63">
        <w:rPr>
          <w:lang w:val="en-AU"/>
        </w:rPr>
        <w:t>derive</w:t>
      </w:r>
      <w:r w:rsidRPr="00AF4B63">
        <w:rPr>
          <w:lang w:val="en-AU"/>
        </w:rPr>
        <w:t xml:space="preserve"> their view of pacifism s</w:t>
      </w:r>
      <w:r w:rsidR="00CB7D5B" w:rsidRPr="00AF4B63">
        <w:rPr>
          <w:lang w:val="en-AU"/>
        </w:rPr>
        <w:t>ole</w:t>
      </w:r>
      <w:r w:rsidRPr="00AF4B63">
        <w:rPr>
          <w:lang w:val="en-AU"/>
        </w:rPr>
        <w:t>ly from Jesus but</w:t>
      </w:r>
      <w:r w:rsidR="00CB7D5B" w:rsidRPr="00AF4B63">
        <w:rPr>
          <w:lang w:val="en-AU"/>
        </w:rPr>
        <w:t>,</w:t>
      </w:r>
      <w:r w:rsidRPr="00AF4B63">
        <w:rPr>
          <w:lang w:val="en-AU"/>
        </w:rPr>
        <w:t xml:space="preserve"> rather, they </w:t>
      </w:r>
      <w:r w:rsidR="00CB7D5B" w:rsidRPr="00AF4B63">
        <w:rPr>
          <w:lang w:val="en-AU"/>
        </w:rPr>
        <w:t>drew</w:t>
      </w:r>
      <w:r w:rsidRPr="00AF4B63">
        <w:rPr>
          <w:lang w:val="en-AU"/>
        </w:rPr>
        <w:t xml:space="preserve"> on a </w:t>
      </w:r>
      <w:r w:rsidR="00CB7D5B" w:rsidRPr="00AF4B63">
        <w:rPr>
          <w:lang w:val="en-AU"/>
        </w:rPr>
        <w:t>comprehensive</w:t>
      </w:r>
      <w:r w:rsidRPr="00AF4B63">
        <w:rPr>
          <w:lang w:val="en-AU"/>
        </w:rPr>
        <w:t xml:space="preserve"> code of ethics found in </w:t>
      </w:r>
      <w:r w:rsidRPr="00AF4B63">
        <w:rPr>
          <w:i/>
          <w:lang w:val="en-AU"/>
        </w:rPr>
        <w:t>Mishna</w:t>
      </w:r>
      <w:r w:rsidRPr="00AF4B63">
        <w:rPr>
          <w:lang w:val="en-AU"/>
        </w:rPr>
        <w:t xml:space="preserve">. </w:t>
      </w:r>
    </w:p>
    <w:p w14:paraId="56C7AD78" w14:textId="17FF3753" w:rsidR="008D4202" w:rsidRPr="00AF4B63" w:rsidRDefault="00AF2E41" w:rsidP="0033335F">
      <w:pPr>
        <w:pStyle w:val="Heading2"/>
      </w:pPr>
      <w:bookmarkStart w:id="127" w:name="_Toc94537016"/>
      <w:bookmarkStart w:id="128" w:name="_Toc118063663"/>
      <w:r w:rsidRPr="00AF4B63">
        <w:t>6.4</w:t>
      </w:r>
      <w:r w:rsidR="00BE6BA3" w:rsidRPr="00AF4B63">
        <w:t xml:space="preserve"> </w:t>
      </w:r>
      <w:r w:rsidR="009111D1" w:rsidRPr="00AF4B63">
        <w:t>The Function of Roman Law in Society</w:t>
      </w:r>
      <w:bookmarkEnd w:id="127"/>
      <w:bookmarkEnd w:id="128"/>
      <w:r w:rsidR="009111D1" w:rsidRPr="00AF4B63">
        <w:t xml:space="preserve"> </w:t>
      </w:r>
    </w:p>
    <w:p w14:paraId="2D06809D" w14:textId="6C176BA0" w:rsidR="008D4202" w:rsidRPr="00AF4B63" w:rsidRDefault="00BE6BA3" w:rsidP="008D4202">
      <w:pPr>
        <w:spacing w:before="120" w:line="480" w:lineRule="auto"/>
        <w:ind w:firstLine="720"/>
        <w:rPr>
          <w:lang w:val="en-AU"/>
        </w:rPr>
      </w:pPr>
      <w:r w:rsidRPr="00AF4B63">
        <w:rPr>
          <w:lang w:val="en-AU"/>
        </w:rPr>
        <w:t xml:space="preserve">Roman legal tradition created a division between the public and private applications of law. </w:t>
      </w:r>
      <w:r w:rsidR="009471B6" w:rsidRPr="00AF4B63">
        <w:rPr>
          <w:lang w:val="en-AU"/>
        </w:rPr>
        <w:t xml:space="preserve">Under Roman rule </w:t>
      </w:r>
      <w:r w:rsidRPr="00AF4B63">
        <w:rPr>
          <w:lang w:val="en-AU"/>
        </w:rPr>
        <w:t>Roman law t</w:t>
      </w:r>
      <w:r w:rsidR="009471B6" w:rsidRPr="00AF4B63">
        <w:rPr>
          <w:lang w:val="en-AU"/>
        </w:rPr>
        <w:t>ook</w:t>
      </w:r>
      <w:r w:rsidRPr="00AF4B63">
        <w:rPr>
          <w:lang w:val="en-AU"/>
        </w:rPr>
        <w:t xml:space="preserve"> preceden</w:t>
      </w:r>
      <w:r w:rsidR="009F3E70" w:rsidRPr="00AF4B63">
        <w:rPr>
          <w:lang w:val="en-AU"/>
        </w:rPr>
        <w:t xml:space="preserve">ce </w:t>
      </w:r>
      <w:r w:rsidRPr="00AF4B63">
        <w:rPr>
          <w:lang w:val="en-AU"/>
        </w:rPr>
        <w:t>over Jewish Law</w:t>
      </w:r>
      <w:r w:rsidR="00EB072A" w:rsidRPr="00AF4B63">
        <w:rPr>
          <w:lang w:val="en-AU"/>
        </w:rPr>
        <w:t>:</w:t>
      </w:r>
      <w:r w:rsidRPr="00AF4B63">
        <w:rPr>
          <w:lang w:val="en-AU"/>
        </w:rPr>
        <w:t xml:space="preserve"> </w:t>
      </w:r>
      <w:r w:rsidR="00EB072A" w:rsidRPr="00AF4B63">
        <w:rPr>
          <w:lang w:val="en-AU"/>
        </w:rPr>
        <w:t xml:space="preserve">in the Roman legal system </w:t>
      </w:r>
      <w:r w:rsidRPr="00AF4B63">
        <w:rPr>
          <w:lang w:val="en-AU"/>
        </w:rPr>
        <w:t xml:space="preserve">the </w:t>
      </w:r>
      <w:r w:rsidRPr="00AF4B63">
        <w:rPr>
          <w:i/>
          <w:iCs/>
          <w:lang w:val="en-AU"/>
        </w:rPr>
        <w:t xml:space="preserve">Mishna Avot </w:t>
      </w:r>
      <w:r w:rsidR="00E22A5A" w:rsidRPr="00AF4B63">
        <w:rPr>
          <w:lang w:val="en-AU"/>
        </w:rPr>
        <w:t>wa</w:t>
      </w:r>
      <w:r w:rsidRPr="00AF4B63">
        <w:rPr>
          <w:lang w:val="en-AU"/>
        </w:rPr>
        <w:t xml:space="preserve">s not superior to Roman law, but rather, it </w:t>
      </w:r>
      <w:r w:rsidR="00E22A5A" w:rsidRPr="00AF4B63">
        <w:rPr>
          <w:lang w:val="en-AU"/>
        </w:rPr>
        <w:t>wa</w:t>
      </w:r>
      <w:r w:rsidRPr="00AF4B63">
        <w:rPr>
          <w:lang w:val="en-AU"/>
        </w:rPr>
        <w:t>s considered inferior. Cicero (106</w:t>
      </w:r>
      <w:r w:rsidR="00DC3240" w:rsidRPr="00AF4B63">
        <w:rPr>
          <w:lang w:val="en-AU"/>
        </w:rPr>
        <w:t>–</w:t>
      </w:r>
      <w:r w:rsidRPr="00AF4B63">
        <w:rPr>
          <w:lang w:val="en-AU"/>
        </w:rPr>
        <w:t>43 BC</w:t>
      </w:r>
      <w:r w:rsidR="00044319" w:rsidRPr="00AF4B63">
        <w:rPr>
          <w:lang w:val="en-AU"/>
        </w:rPr>
        <w:t>E</w:t>
      </w:r>
      <w:r w:rsidRPr="00AF4B63">
        <w:rPr>
          <w:lang w:val="en-AU"/>
        </w:rPr>
        <w:t>) is one of the earliest sources in the Roman legal tradition that</w:t>
      </w:r>
      <w:r w:rsidR="009471B6" w:rsidRPr="00AF4B63">
        <w:rPr>
          <w:lang w:val="en-AU"/>
        </w:rPr>
        <w:t>,</w:t>
      </w:r>
      <w:r w:rsidRPr="00AF4B63">
        <w:rPr>
          <w:lang w:val="en-AU"/>
        </w:rPr>
        <w:t xml:space="preserve"> Russell claims, </w:t>
      </w:r>
      <w:r w:rsidR="00863B47" w:rsidRPr="00AF4B63">
        <w:rPr>
          <w:lang w:val="en-AU"/>
        </w:rPr>
        <w:t>“</w:t>
      </w:r>
      <w:r w:rsidRPr="00AF4B63">
        <w:rPr>
          <w:lang w:val="en-AU"/>
        </w:rPr>
        <w:t>implies a tripartite division in which public, private, and sacred are each</w:t>
      </w:r>
      <w:r w:rsidRPr="009E7B69">
        <w:t xml:space="preserve"> </w:t>
      </w:r>
      <w:r w:rsidRPr="00AF4B63">
        <w:rPr>
          <w:lang w:val="en-AU"/>
        </w:rPr>
        <w:t>distinct.</w:t>
      </w:r>
      <w:r w:rsidR="00863B47" w:rsidRPr="00AF4B63">
        <w:rPr>
          <w:lang w:val="en-AU"/>
        </w:rPr>
        <w:t>”</w:t>
      </w:r>
      <w:r w:rsidRPr="00AF4B63">
        <w:rPr>
          <w:rStyle w:val="FootnoteReference"/>
          <w:lang w:val="en-AU"/>
        </w:rPr>
        <w:footnoteReference w:id="348"/>
      </w:r>
      <w:r w:rsidRPr="00AF4B63">
        <w:rPr>
          <w:lang w:val="en-AU"/>
        </w:rPr>
        <w:t xml:space="preserve"> </w:t>
      </w:r>
      <w:r w:rsidRPr="00AF4B63">
        <w:rPr>
          <w:shd w:val="clear" w:color="auto" w:fill="FFFFFF"/>
          <w:lang w:val="en-AU"/>
        </w:rPr>
        <w:t>Cicero predates the earliest sources of the legal division in the Christian theological tradition</w:t>
      </w:r>
      <w:r w:rsidR="009F4893" w:rsidRPr="00AF4B63">
        <w:rPr>
          <w:shd w:val="clear" w:color="auto" w:fill="FFFFFF"/>
          <w:lang w:val="en-AU"/>
        </w:rPr>
        <w:t xml:space="preserve"> of </w:t>
      </w:r>
      <w:r w:rsidRPr="00AF4B63">
        <w:rPr>
          <w:shd w:val="clear" w:color="auto" w:fill="FFFFFF"/>
          <w:lang w:val="en-AU"/>
        </w:rPr>
        <w:t>Justin Martyr (100</w:t>
      </w:r>
      <w:r w:rsidR="009F4893" w:rsidRPr="00AF4B63">
        <w:rPr>
          <w:shd w:val="clear" w:color="auto" w:fill="FFFFFF"/>
          <w:lang w:val="en-AU"/>
        </w:rPr>
        <w:t>–</w:t>
      </w:r>
      <w:r w:rsidRPr="00AF4B63">
        <w:rPr>
          <w:shd w:val="clear" w:color="auto" w:fill="FFFFFF"/>
          <w:lang w:val="en-AU"/>
        </w:rPr>
        <w:t>165</w:t>
      </w:r>
      <w:r w:rsidR="00044319" w:rsidRPr="00AF4B63">
        <w:rPr>
          <w:shd w:val="clear" w:color="auto" w:fill="FFFFFF"/>
          <w:lang w:val="en-AU"/>
        </w:rPr>
        <w:t xml:space="preserve"> CE</w:t>
      </w:r>
      <w:r w:rsidRPr="00AF4B63">
        <w:rPr>
          <w:shd w:val="clear" w:color="auto" w:fill="FFFFFF"/>
          <w:lang w:val="en-AU"/>
        </w:rPr>
        <w:t>) and Irenaeus (130</w:t>
      </w:r>
      <w:r w:rsidR="004D1498" w:rsidRPr="00AF4B63">
        <w:rPr>
          <w:shd w:val="clear" w:color="auto" w:fill="FFFFFF"/>
          <w:lang w:val="en-AU"/>
        </w:rPr>
        <w:t>–</w:t>
      </w:r>
      <w:r w:rsidRPr="00AF4B63">
        <w:rPr>
          <w:shd w:val="clear" w:color="auto" w:fill="FFFFFF"/>
          <w:lang w:val="en-AU"/>
        </w:rPr>
        <w:t>200</w:t>
      </w:r>
      <w:r w:rsidR="00044319" w:rsidRPr="00AF4B63">
        <w:rPr>
          <w:shd w:val="clear" w:color="auto" w:fill="FFFFFF"/>
          <w:lang w:val="en-AU"/>
        </w:rPr>
        <w:t xml:space="preserve"> CE</w:t>
      </w:r>
      <w:r w:rsidRPr="00AF4B63">
        <w:rPr>
          <w:shd w:val="clear" w:color="auto" w:fill="FFFFFF"/>
          <w:lang w:val="en-AU"/>
        </w:rPr>
        <w:t>) and provide</w:t>
      </w:r>
      <w:r w:rsidR="00822F93" w:rsidRPr="00AF4B63">
        <w:rPr>
          <w:shd w:val="clear" w:color="auto" w:fill="FFFFFF"/>
          <w:lang w:val="en-AU"/>
        </w:rPr>
        <w:t>s</w:t>
      </w:r>
      <w:r w:rsidRPr="00AF4B63">
        <w:rPr>
          <w:shd w:val="clear" w:color="auto" w:fill="FFFFFF"/>
          <w:lang w:val="en-AU"/>
        </w:rPr>
        <w:t xml:space="preserve"> pre-Christian understanding of how law is separated between public and private and Roman and Jewish people.</w:t>
      </w:r>
      <w:r w:rsidRPr="00AF4B63">
        <w:rPr>
          <w:lang w:val="en-AU"/>
        </w:rPr>
        <w:t xml:space="preserve"> In the Jewish theological tradition, there is merely a primitive distinction between moral, civil, and ceremonial duties (or spheres of life or thought) rather than a completely formed division of the law. Philo</w:t>
      </w:r>
      <w:r w:rsidR="007E24EA" w:rsidRPr="00AF4B63">
        <w:rPr>
          <w:lang w:val="en-AU"/>
        </w:rPr>
        <w:t xml:space="preserve"> (a Helleni</w:t>
      </w:r>
      <w:r w:rsidR="00D86BBD" w:rsidRPr="00AF4B63">
        <w:rPr>
          <w:lang w:val="en-AU"/>
        </w:rPr>
        <w:t>s</w:t>
      </w:r>
      <w:r w:rsidR="007E24EA" w:rsidRPr="00AF4B63">
        <w:rPr>
          <w:lang w:val="en-AU"/>
        </w:rPr>
        <w:t>ed Alexandrian Jew)</w:t>
      </w:r>
      <w:r w:rsidRPr="00AF4B63">
        <w:rPr>
          <w:lang w:val="en-AU"/>
        </w:rPr>
        <w:t xml:space="preserve"> (20 BC</w:t>
      </w:r>
      <w:r w:rsidR="00FE5431" w:rsidRPr="00AF4B63">
        <w:rPr>
          <w:lang w:val="en-AU"/>
        </w:rPr>
        <w:t>E</w:t>
      </w:r>
      <w:r w:rsidR="001B371A" w:rsidRPr="00AF4B63">
        <w:rPr>
          <w:lang w:val="en-AU"/>
        </w:rPr>
        <w:t>–</w:t>
      </w:r>
      <w:r w:rsidRPr="00AF4B63">
        <w:rPr>
          <w:lang w:val="en-AU"/>
        </w:rPr>
        <w:t>50</w:t>
      </w:r>
      <w:r w:rsidR="00FE5431" w:rsidRPr="00AF4B63">
        <w:rPr>
          <w:lang w:val="en-AU"/>
        </w:rPr>
        <w:t xml:space="preserve"> CE</w:t>
      </w:r>
      <w:r w:rsidRPr="00AF4B63">
        <w:rPr>
          <w:lang w:val="en-AU"/>
        </w:rPr>
        <w:t>) and Josephus (37</w:t>
      </w:r>
      <w:r w:rsidR="001B371A" w:rsidRPr="00AF4B63">
        <w:rPr>
          <w:lang w:val="en-AU"/>
        </w:rPr>
        <w:t>–</w:t>
      </w:r>
      <w:r w:rsidRPr="00AF4B63">
        <w:rPr>
          <w:lang w:val="en-AU"/>
        </w:rPr>
        <w:t>100</w:t>
      </w:r>
      <w:r w:rsidR="00FE5431" w:rsidRPr="00AF4B63">
        <w:rPr>
          <w:lang w:val="en-AU"/>
        </w:rPr>
        <w:t xml:space="preserve"> CE</w:t>
      </w:r>
      <w:r w:rsidRPr="00AF4B63">
        <w:rPr>
          <w:lang w:val="en-AU"/>
        </w:rPr>
        <w:t>), are remembered as being</w:t>
      </w:r>
      <w:r w:rsidR="00CC44CC" w:rsidRPr="00AF4B63">
        <w:rPr>
          <w:lang w:val="en-AU"/>
        </w:rPr>
        <w:t>,</w:t>
      </w:r>
      <w:r w:rsidRPr="00AF4B63">
        <w:rPr>
          <w:lang w:val="en-AU"/>
        </w:rPr>
        <w:t xml:space="preserve"> </w:t>
      </w:r>
      <w:r w:rsidR="00CC44CC" w:rsidRPr="00AF4B63">
        <w:rPr>
          <w:lang w:val="en-AU"/>
        </w:rPr>
        <w:t xml:space="preserve">respectively, </w:t>
      </w:r>
      <w:r w:rsidRPr="00AF4B63">
        <w:rPr>
          <w:lang w:val="en-AU"/>
        </w:rPr>
        <w:t>a philosopher and a historian</w:t>
      </w:r>
      <w:r w:rsidR="00BA1FF1" w:rsidRPr="00AF4B63">
        <w:rPr>
          <w:lang w:val="en-AU"/>
        </w:rPr>
        <w:t>. They</w:t>
      </w:r>
      <w:r w:rsidRPr="00AF4B63">
        <w:rPr>
          <w:lang w:val="en-AU"/>
        </w:rPr>
        <w:t xml:space="preserve"> shed light on the </w:t>
      </w:r>
      <w:r w:rsidR="00CC44CC" w:rsidRPr="00AF4B63">
        <w:rPr>
          <w:lang w:val="en-AU"/>
        </w:rPr>
        <w:t>historical</w:t>
      </w:r>
      <w:r w:rsidR="007253D8" w:rsidRPr="00AF4B63">
        <w:rPr>
          <w:lang w:val="en-AU"/>
        </w:rPr>
        <w:t xml:space="preserve"> and </w:t>
      </w:r>
      <w:r w:rsidRPr="00AF4B63">
        <w:rPr>
          <w:lang w:val="en-AU"/>
        </w:rPr>
        <w:t>legal understanding</w:t>
      </w:r>
      <w:r w:rsidR="00BA1FF1" w:rsidRPr="00AF4B63">
        <w:rPr>
          <w:lang w:val="en-AU"/>
        </w:rPr>
        <w:t xml:space="preserve"> of the time</w:t>
      </w:r>
      <w:r w:rsidRPr="00AF4B63">
        <w:rPr>
          <w:lang w:val="en-AU"/>
        </w:rPr>
        <w:t xml:space="preserve">. </w:t>
      </w:r>
      <w:r w:rsidR="00BA1FF1" w:rsidRPr="00AF4B63">
        <w:rPr>
          <w:lang w:val="en-AU"/>
        </w:rPr>
        <w:t>As in</w:t>
      </w:r>
      <w:r w:rsidRPr="00AF4B63">
        <w:rPr>
          <w:lang w:val="en-AU"/>
        </w:rPr>
        <w:t xml:space="preserve"> the Roman legal tradition, Philo</w:t>
      </w:r>
      <w:r w:rsidR="005C71CB" w:rsidRPr="00AF4B63">
        <w:rPr>
          <w:lang w:val="en-AU"/>
        </w:rPr>
        <w:t>’</w:t>
      </w:r>
      <w:r w:rsidRPr="00AF4B63">
        <w:rPr>
          <w:lang w:val="en-AU"/>
        </w:rPr>
        <w:t xml:space="preserve">s rudimentary division between spheres of life or thought is related to an explicit public/private distinction, </w:t>
      </w:r>
      <w:r w:rsidR="00863B47" w:rsidRPr="00AF4B63">
        <w:rPr>
          <w:lang w:val="en-AU"/>
        </w:rPr>
        <w:t>“</w:t>
      </w:r>
      <w:r w:rsidRPr="00AF4B63">
        <w:rPr>
          <w:lang w:val="en-AU"/>
        </w:rPr>
        <w:t>with a view to the due performance of any public or private duty.</w:t>
      </w:r>
      <w:r w:rsidR="00863B47" w:rsidRPr="00AF4B63">
        <w:rPr>
          <w:lang w:val="en-AU"/>
        </w:rPr>
        <w:t>”</w:t>
      </w:r>
      <w:r w:rsidRPr="00AF4B63">
        <w:rPr>
          <w:rStyle w:val="FootnoteReference"/>
          <w:lang w:val="en-AU"/>
        </w:rPr>
        <w:footnoteReference w:id="349"/>
      </w:r>
      <w:r w:rsidRPr="00AF4B63">
        <w:rPr>
          <w:lang w:val="en-AU"/>
        </w:rPr>
        <w:t xml:space="preserve"> </w:t>
      </w:r>
      <w:r w:rsidR="00EE2169" w:rsidRPr="00AF4B63">
        <w:rPr>
          <w:lang w:val="en-AU"/>
        </w:rPr>
        <w:t>P</w:t>
      </w:r>
      <w:r w:rsidRPr="00AF4B63">
        <w:rPr>
          <w:lang w:val="en-AU"/>
        </w:rPr>
        <w:t xml:space="preserve">ublic </w:t>
      </w:r>
      <w:r w:rsidR="00EE2169" w:rsidRPr="00AF4B63">
        <w:rPr>
          <w:lang w:val="en-AU"/>
        </w:rPr>
        <w:t>adherence to the R</w:t>
      </w:r>
      <w:r w:rsidR="005C467E" w:rsidRPr="00AF4B63">
        <w:rPr>
          <w:lang w:val="en-AU"/>
        </w:rPr>
        <w:t>o</w:t>
      </w:r>
      <w:r w:rsidR="00EE2169" w:rsidRPr="00AF4B63">
        <w:rPr>
          <w:lang w:val="en-AU"/>
        </w:rPr>
        <w:t>man l</w:t>
      </w:r>
      <w:r w:rsidRPr="00AF4B63">
        <w:rPr>
          <w:lang w:val="en-AU"/>
        </w:rPr>
        <w:t>aw could be different from that which was done in private, where compliance to Jewish law could be legitimi</w:t>
      </w:r>
      <w:r w:rsidR="00D86BBD" w:rsidRPr="00AF4B63">
        <w:rPr>
          <w:lang w:val="en-AU"/>
        </w:rPr>
        <w:t>s</w:t>
      </w:r>
      <w:r w:rsidRPr="00AF4B63">
        <w:rPr>
          <w:lang w:val="en-AU"/>
        </w:rPr>
        <w:t xml:space="preserve">ed. </w:t>
      </w:r>
    </w:p>
    <w:p w14:paraId="6D80D209" w14:textId="5EB0EFBE" w:rsidR="008D4202" w:rsidRPr="00AF4B63" w:rsidRDefault="00BE6BA3" w:rsidP="008D4202">
      <w:pPr>
        <w:spacing w:before="120" w:line="480" w:lineRule="auto"/>
        <w:rPr>
          <w:lang w:val="en-AU"/>
        </w:rPr>
      </w:pPr>
      <w:r w:rsidRPr="00AF4B63">
        <w:rPr>
          <w:lang w:val="en-AU"/>
        </w:rPr>
        <w:lastRenderedPageBreak/>
        <w:tab/>
        <w:t xml:space="preserve"> In his comprehensive 1966 study of Roman Law, </w:t>
      </w:r>
      <w:r w:rsidRPr="00AF4B63">
        <w:rPr>
          <w:i/>
          <w:iCs/>
          <w:lang w:val="en-AU"/>
        </w:rPr>
        <w:t>Jewish and Roman Law: A Comparative Study</w:t>
      </w:r>
      <w:r w:rsidRPr="00AF4B63">
        <w:rPr>
          <w:lang w:val="en-AU"/>
        </w:rPr>
        <w:t xml:space="preserve">, Boaz Cohen explained the purpose of comparing Roman law and rabbinic law. Cohen explained as follows: </w:t>
      </w:r>
    </w:p>
    <w:p w14:paraId="02069CA8" w14:textId="77777777" w:rsidR="008D4202" w:rsidRPr="00AF4B63" w:rsidRDefault="00BE6BA3" w:rsidP="008D4202">
      <w:pPr>
        <w:spacing w:before="120"/>
        <w:ind w:left="706" w:right="706"/>
        <w:rPr>
          <w:lang w:val="en-AU"/>
        </w:rPr>
      </w:pPr>
      <w:r w:rsidRPr="00AF4B63">
        <w:rPr>
          <w:lang w:val="en-AU"/>
        </w:rPr>
        <w:t xml:space="preserve">It is to determine whether there was any mutual indebtedness, and if little or no connection between their legal creations is discoverable, then to illumine dark corners in sundry branches of the law by </w:t>
      </w:r>
      <w:proofErr w:type="gramStart"/>
      <w:r w:rsidRPr="00AF4B63">
        <w:rPr>
          <w:lang w:val="en-AU"/>
        </w:rPr>
        <w:t>opening up</w:t>
      </w:r>
      <w:proofErr w:type="gramEnd"/>
      <w:r w:rsidRPr="00AF4B63">
        <w:rPr>
          <w:lang w:val="en-AU"/>
        </w:rPr>
        <w:t xml:space="preserve"> new vistas and perspectives afforded by the aggregate of analogies and contrasts.</w:t>
      </w:r>
      <w:r w:rsidRPr="00AF4B63">
        <w:rPr>
          <w:rStyle w:val="FootnoteReference"/>
          <w:lang w:val="en-AU"/>
        </w:rPr>
        <w:footnoteReference w:id="350"/>
      </w:r>
      <w:r w:rsidRPr="00AF4B63">
        <w:rPr>
          <w:lang w:val="en-AU"/>
        </w:rPr>
        <w:t xml:space="preserve">  </w:t>
      </w:r>
    </w:p>
    <w:p w14:paraId="52B49666" w14:textId="76E743F1" w:rsidR="008D4202" w:rsidRPr="00AF4B63" w:rsidRDefault="00AB33C2" w:rsidP="00EC4DD5">
      <w:pPr>
        <w:spacing w:before="240" w:line="480" w:lineRule="auto"/>
        <w:rPr>
          <w:lang w:val="en-AU"/>
        </w:rPr>
      </w:pPr>
      <w:r w:rsidRPr="00AF4B63">
        <w:rPr>
          <w:lang w:val="en-AU"/>
        </w:rPr>
        <w:t xml:space="preserve">The Siege of Jerusalem </w:t>
      </w:r>
      <w:r w:rsidR="00B11B9A" w:rsidRPr="00AF4B63">
        <w:rPr>
          <w:lang w:val="en-AU"/>
        </w:rPr>
        <w:t xml:space="preserve">by Pompey the Great </w:t>
      </w:r>
      <w:r w:rsidRPr="00AF4B63">
        <w:rPr>
          <w:lang w:val="en-AU"/>
        </w:rPr>
        <w:t xml:space="preserve">occurred </w:t>
      </w:r>
      <w:r w:rsidR="00EE5F10" w:rsidRPr="00AF4B63">
        <w:rPr>
          <w:lang w:val="en-AU"/>
        </w:rPr>
        <w:t>in 63 BCE</w:t>
      </w:r>
      <w:r w:rsidR="00B11B9A" w:rsidRPr="00AF4B63">
        <w:rPr>
          <w:lang w:val="en-AU"/>
        </w:rPr>
        <w:t>. Following</w:t>
      </w:r>
      <w:r w:rsidRPr="00AF4B63">
        <w:rPr>
          <w:lang w:val="en-AU"/>
        </w:rPr>
        <w:t xml:space="preserve"> </w:t>
      </w:r>
      <w:r w:rsidR="00F51B54" w:rsidRPr="00AF4B63">
        <w:rPr>
          <w:lang w:val="en-AU"/>
        </w:rPr>
        <w:t>the</w:t>
      </w:r>
      <w:r w:rsidRPr="00AF4B63">
        <w:rPr>
          <w:lang w:val="en-AU"/>
        </w:rPr>
        <w:t xml:space="preserve"> conquest of </w:t>
      </w:r>
      <w:r w:rsidR="00D17564" w:rsidRPr="00AF4B63">
        <w:rPr>
          <w:lang w:val="en-AU"/>
        </w:rPr>
        <w:t>Jerusalem</w:t>
      </w:r>
      <w:r w:rsidR="00E007B3">
        <w:rPr>
          <w:lang w:val="en-AU"/>
        </w:rPr>
        <w:t>,</w:t>
      </w:r>
      <w:r w:rsidR="00B11B9A" w:rsidRPr="00AF4B63">
        <w:rPr>
          <w:lang w:val="en-AU"/>
        </w:rPr>
        <w:t xml:space="preserve"> </w:t>
      </w:r>
      <w:r w:rsidR="00BE6BA3" w:rsidRPr="00AF4B63">
        <w:rPr>
          <w:lang w:val="en-AU"/>
        </w:rPr>
        <w:t>Roman law superseded Jewish law.</w:t>
      </w:r>
      <w:r w:rsidR="00BE6BA3" w:rsidRPr="00AF4B63">
        <w:rPr>
          <w:rStyle w:val="FootnoteReference"/>
          <w:lang w:val="en-AU"/>
        </w:rPr>
        <w:footnoteReference w:id="351"/>
      </w:r>
      <w:r w:rsidR="00BE6BA3" w:rsidRPr="00AF4B63">
        <w:rPr>
          <w:lang w:val="en-AU"/>
        </w:rPr>
        <w:t xml:space="preserve"> Until 70 CE, </w:t>
      </w:r>
      <w:r w:rsidR="00D51360">
        <w:rPr>
          <w:lang w:val="en-AU"/>
        </w:rPr>
        <w:t xml:space="preserve">the majority of </w:t>
      </w:r>
      <w:r w:rsidR="00BE6BA3" w:rsidRPr="00AF4B63">
        <w:rPr>
          <w:lang w:val="en-AU"/>
        </w:rPr>
        <w:t xml:space="preserve">Jews in Judea and </w:t>
      </w:r>
      <w:r w:rsidR="00D51360">
        <w:rPr>
          <w:lang w:val="en-AU"/>
        </w:rPr>
        <w:t xml:space="preserve">the region of </w:t>
      </w:r>
      <w:r w:rsidR="00BE6BA3" w:rsidRPr="00AF4B63">
        <w:rPr>
          <w:lang w:val="en-AU"/>
        </w:rPr>
        <w:t>Palestine</w:t>
      </w:r>
      <w:r w:rsidR="00D51360">
        <w:rPr>
          <w:lang w:val="en-AU"/>
        </w:rPr>
        <w:t xml:space="preserve"> could not access Roman courts of law because they were not Roman citizens.</w:t>
      </w:r>
      <w:r w:rsidR="00D51360" w:rsidRPr="00D51360">
        <w:rPr>
          <w:rStyle w:val="FootnoteReference"/>
          <w:lang w:val="en-AU"/>
        </w:rPr>
        <w:t xml:space="preserve"> </w:t>
      </w:r>
      <w:r w:rsidR="00D51360" w:rsidRPr="00AF4B63">
        <w:rPr>
          <w:rStyle w:val="FootnoteReference"/>
          <w:lang w:val="en-AU"/>
        </w:rPr>
        <w:footnoteReference w:id="352"/>
      </w:r>
      <w:r w:rsidR="00D51360">
        <w:rPr>
          <w:lang w:val="en-AU"/>
        </w:rPr>
        <w:t xml:space="preserve"> Rabello explains that only Roman citizens could bring a lawsuit against Romans and non-Romans in court.</w:t>
      </w:r>
      <w:r w:rsidR="00D51360">
        <w:rPr>
          <w:rStyle w:val="FootnoteReference"/>
          <w:lang w:val="en-AU"/>
        </w:rPr>
        <w:footnoteReference w:id="353"/>
      </w:r>
      <w:r w:rsidR="00D51360">
        <w:rPr>
          <w:lang w:val="en-AU"/>
        </w:rPr>
        <w:t xml:space="preserve"> </w:t>
      </w:r>
      <w:r w:rsidR="00BE6BA3" w:rsidRPr="00AF4B63">
        <w:rPr>
          <w:lang w:val="en-AU"/>
        </w:rPr>
        <w:t xml:space="preserve">Jonathan Pomeranz suggests that </w:t>
      </w:r>
      <w:r w:rsidR="00966D22">
        <w:rPr>
          <w:lang w:val="en-AU"/>
        </w:rPr>
        <w:t>“</w:t>
      </w:r>
      <w:r w:rsidR="00BE6BA3" w:rsidRPr="00AF4B63">
        <w:rPr>
          <w:lang w:val="en-AU"/>
        </w:rPr>
        <w:t xml:space="preserve">rabbinic law diverges from biblical and Second Temple precedent, but is similar to Roman law in the areas of </w:t>
      </w:r>
      <w:r w:rsidR="00BE6BA3" w:rsidRPr="00AF4B63">
        <w:rPr>
          <w:i/>
          <w:iCs/>
          <w:lang w:val="en-AU"/>
        </w:rPr>
        <w:t>nezek</w:t>
      </w:r>
      <w:r w:rsidR="00BE6BA3" w:rsidRPr="00AF4B63">
        <w:rPr>
          <w:lang w:val="en-AU"/>
        </w:rPr>
        <w:t xml:space="preserve"> (loss of value as a slave as a result of physical injury) and </w:t>
      </w:r>
      <w:r w:rsidR="00BE6BA3" w:rsidRPr="00AF4B63">
        <w:rPr>
          <w:i/>
          <w:iCs/>
          <w:lang w:val="en-AU"/>
        </w:rPr>
        <w:t xml:space="preserve">boshet </w:t>
      </w:r>
      <w:r w:rsidR="00BE6BA3" w:rsidRPr="00AF4B63">
        <w:rPr>
          <w:lang w:val="en-AU"/>
        </w:rPr>
        <w:t>(damages for</w:t>
      </w:r>
      <w:r w:rsidR="00966D22">
        <w:rPr>
          <w:lang w:val="en-AU"/>
        </w:rPr>
        <w:t xml:space="preserve"> </w:t>
      </w:r>
      <w:r w:rsidR="00BE6BA3" w:rsidRPr="00AF4B63">
        <w:rPr>
          <w:lang w:val="en-AU"/>
        </w:rPr>
        <w:t>humiliation).</w:t>
      </w:r>
      <w:r w:rsidR="00966D22">
        <w:rPr>
          <w:lang w:val="en-AU"/>
        </w:rPr>
        <w:t>”</w:t>
      </w:r>
      <w:r w:rsidR="00BE6BA3" w:rsidRPr="00AF4B63">
        <w:rPr>
          <w:rStyle w:val="FootnoteReference"/>
          <w:lang w:val="en-AU"/>
        </w:rPr>
        <w:footnoteReference w:id="354"/>
      </w:r>
      <w:r w:rsidR="00BE6BA3" w:rsidRPr="00AF4B63">
        <w:rPr>
          <w:lang w:val="en-AU"/>
        </w:rPr>
        <w:t xml:space="preserve"> </w:t>
      </w:r>
      <w:r w:rsidR="00966D22">
        <w:rPr>
          <w:lang w:val="en-AU"/>
        </w:rPr>
        <w:t xml:space="preserve">For a Roman in a Roman court suiing a non-Roman, there was a legal benefit to them knowing the law. The Jewish defendant often would become aquatinted with </w:t>
      </w:r>
      <w:r w:rsidR="00966D22">
        <w:rPr>
          <w:lang w:val="en-AU"/>
        </w:rPr>
        <w:lastRenderedPageBreak/>
        <w:t>Roman law for self-defence in these Roman courts when being sued.</w:t>
      </w:r>
      <w:r w:rsidR="00BE6BA3" w:rsidRPr="00AF4B63">
        <w:rPr>
          <w:rStyle w:val="FootnoteReference"/>
          <w:lang w:val="en-AU"/>
        </w:rPr>
        <w:footnoteReference w:id="355"/>
      </w:r>
      <w:r w:rsidR="00BE6BA3" w:rsidRPr="00AF4B63">
        <w:rPr>
          <w:lang w:val="en-AU"/>
        </w:rPr>
        <w:t xml:space="preserve"> The Roman model of citizenship on tannaitic </w:t>
      </w:r>
      <w:r w:rsidR="00BE6BA3" w:rsidRPr="00AF4B63">
        <w:rPr>
          <w:i/>
          <w:iCs/>
          <w:lang w:val="en-AU"/>
        </w:rPr>
        <w:t>halakha</w:t>
      </w:r>
      <w:r w:rsidR="00BE6BA3" w:rsidRPr="00AF4B63">
        <w:rPr>
          <w:lang w:val="en-AU"/>
        </w:rPr>
        <w:t xml:space="preserve"> impacted the legal rights of Jews. </w:t>
      </w:r>
    </w:p>
    <w:p w14:paraId="74FA97D4" w14:textId="33BA3EBA" w:rsidR="008D4202" w:rsidRPr="00AF4B63" w:rsidRDefault="00BE6BA3" w:rsidP="00EE4B0A">
      <w:pPr>
        <w:spacing w:before="120" w:line="480" w:lineRule="auto"/>
        <w:rPr>
          <w:lang w:val="en-AU"/>
        </w:rPr>
      </w:pPr>
      <w:r w:rsidRPr="00AF4B63">
        <w:rPr>
          <w:lang w:val="en-AU"/>
        </w:rPr>
        <w:tab/>
      </w:r>
      <w:r w:rsidR="00966D22">
        <w:rPr>
          <w:lang w:val="en-AU"/>
        </w:rPr>
        <w:t xml:space="preserve">There are ways in which non-Romans could gain citizenship and one of those methods was a slave who was </w:t>
      </w:r>
      <w:r w:rsidRPr="00AF4B63">
        <w:rPr>
          <w:lang w:val="en-AU"/>
        </w:rPr>
        <w:t>manumitted.</w:t>
      </w:r>
      <w:r w:rsidRPr="00AF4B63">
        <w:rPr>
          <w:rStyle w:val="FootnoteReference"/>
          <w:lang w:val="en-AU"/>
        </w:rPr>
        <w:footnoteReference w:id="356"/>
      </w:r>
      <w:r w:rsidRPr="00AF4B63">
        <w:rPr>
          <w:lang w:val="en-AU"/>
        </w:rPr>
        <w:t xml:space="preserve"> </w:t>
      </w:r>
      <w:r w:rsidR="00885F91">
        <w:rPr>
          <w:lang w:val="en-AU"/>
        </w:rPr>
        <w:t>Myers and Sanders explain how manumitted Jews taken by Romans after the Great War gained citizenship.</w:t>
      </w:r>
      <w:r w:rsidRPr="00AF4B63">
        <w:rPr>
          <w:rStyle w:val="FootnoteReference"/>
          <w:lang w:val="en-AU"/>
        </w:rPr>
        <w:footnoteReference w:id="357"/>
      </w:r>
      <w:r w:rsidR="00304EB4" w:rsidRPr="00AF4B63">
        <w:rPr>
          <w:lang w:val="en-AU"/>
        </w:rPr>
        <w:t xml:space="preserve"> </w:t>
      </w:r>
      <w:r w:rsidR="00BD6477" w:rsidRPr="00AF4B63">
        <w:rPr>
          <w:lang w:val="en-AU"/>
        </w:rPr>
        <w:t>During the lifetime of Jesus, b</w:t>
      </w:r>
      <w:r w:rsidR="00304EB4" w:rsidRPr="00AF4B63">
        <w:rPr>
          <w:lang w:val="en-AU"/>
        </w:rPr>
        <w:t>efore the fall of the Temple, the Roman</w:t>
      </w:r>
      <w:r w:rsidR="00EE4B0A" w:rsidRPr="00AF4B63">
        <w:rPr>
          <w:lang w:val="en-AU"/>
        </w:rPr>
        <w:t xml:space="preserve"> Prefects h</w:t>
      </w:r>
      <w:r w:rsidR="00304EB4" w:rsidRPr="00AF4B63">
        <w:rPr>
          <w:lang w:val="en-AU"/>
        </w:rPr>
        <w:t>a</w:t>
      </w:r>
      <w:r w:rsidR="0087535F" w:rsidRPr="00AF4B63">
        <w:rPr>
          <w:lang w:val="en-AU"/>
        </w:rPr>
        <w:t>d</w:t>
      </w:r>
      <w:r w:rsidR="00304EB4" w:rsidRPr="00AF4B63">
        <w:rPr>
          <w:lang w:val="en-AU"/>
        </w:rPr>
        <w:t xml:space="preserve"> all authority over the people of Judaea and Samaria</w:t>
      </w:r>
      <w:r w:rsidR="00EE4B0A" w:rsidRPr="00AF4B63">
        <w:rPr>
          <w:lang w:val="en-AU"/>
        </w:rPr>
        <w:t xml:space="preserve"> (6 CE to 41 CE)</w:t>
      </w:r>
      <w:r w:rsidR="00304EB4" w:rsidRPr="00AF4B63">
        <w:rPr>
          <w:lang w:val="en-AU"/>
        </w:rPr>
        <w:t xml:space="preserve"> as well as</w:t>
      </w:r>
      <w:r w:rsidR="0087535F" w:rsidRPr="00AF4B63">
        <w:rPr>
          <w:lang w:val="en-AU"/>
        </w:rPr>
        <w:t xml:space="preserve"> over</w:t>
      </w:r>
      <w:r w:rsidR="00304EB4" w:rsidRPr="00AF4B63">
        <w:rPr>
          <w:lang w:val="en-AU"/>
        </w:rPr>
        <w:t xml:space="preserve"> the area know</w:t>
      </w:r>
      <w:r w:rsidR="00503E64" w:rsidRPr="00AF4B63">
        <w:rPr>
          <w:lang w:val="en-AU"/>
        </w:rPr>
        <w:t>n</w:t>
      </w:r>
      <w:r w:rsidR="00304EB4" w:rsidRPr="00AF4B63">
        <w:rPr>
          <w:lang w:val="en-AU"/>
        </w:rPr>
        <w:t xml:space="preserve"> as Idumea which is on the </w:t>
      </w:r>
      <w:r w:rsidR="00503E64" w:rsidRPr="00AF4B63">
        <w:rPr>
          <w:lang w:val="en-AU"/>
        </w:rPr>
        <w:t>southern border of Israel</w:t>
      </w:r>
      <w:r w:rsidR="005353DB" w:rsidRPr="00AF4B63">
        <w:rPr>
          <w:lang w:val="en-AU"/>
        </w:rPr>
        <w:t>.</w:t>
      </w:r>
      <w:r w:rsidRPr="00AF4B63">
        <w:rPr>
          <w:rStyle w:val="FootnoteReference"/>
          <w:lang w:val="en-AU"/>
        </w:rPr>
        <w:footnoteReference w:id="358"/>
      </w:r>
      <w:r w:rsidR="00EE4B0A" w:rsidRPr="00AF4B63">
        <w:rPr>
          <w:lang w:val="en-AU"/>
        </w:rPr>
        <w:t xml:space="preserve"> Agrippa I was an autonomous king from 41 to 44 CE (the Herod of Acts 12). Procurators ruled over Judea from 44 to 70 CE, after the life of Jesus.</w:t>
      </w:r>
      <w:r w:rsidR="00FE7232" w:rsidRPr="00AF4B63">
        <w:rPr>
          <w:rStyle w:val="FootnoteReference"/>
          <w:lang w:val="en-AU"/>
        </w:rPr>
        <w:t xml:space="preserve"> </w:t>
      </w:r>
      <w:r w:rsidR="00FE7232" w:rsidRPr="00AF4B63">
        <w:rPr>
          <w:rStyle w:val="FootnoteReference"/>
          <w:lang w:val="en-AU"/>
        </w:rPr>
        <w:footnoteReference w:id="359"/>
      </w:r>
      <w:r w:rsidR="00EE4B0A" w:rsidRPr="00AF4B63">
        <w:rPr>
          <w:lang w:val="en-AU"/>
        </w:rPr>
        <w:t xml:space="preserve"> They were succeeded by legates after the fall of Jerusalem. </w:t>
      </w:r>
      <w:r w:rsidR="00503E64" w:rsidRPr="00AF4B63">
        <w:rPr>
          <w:lang w:val="en-AU"/>
        </w:rPr>
        <w:t xml:space="preserve">The Roman procurator had full authority; however, on </w:t>
      </w:r>
      <w:r w:rsidR="00426EF6" w:rsidRPr="00AF4B63">
        <w:rPr>
          <w:lang w:val="en-AU"/>
        </w:rPr>
        <w:t>matters</w:t>
      </w:r>
      <w:r w:rsidR="00503E64" w:rsidRPr="00AF4B63">
        <w:rPr>
          <w:lang w:val="en-AU"/>
        </w:rPr>
        <w:t xml:space="preserve"> </w:t>
      </w:r>
      <w:r w:rsidR="00426EF6" w:rsidRPr="00AF4B63">
        <w:rPr>
          <w:lang w:val="en-AU"/>
        </w:rPr>
        <w:t xml:space="preserve">for which </w:t>
      </w:r>
      <w:r w:rsidR="00503E64" w:rsidRPr="00AF4B63">
        <w:rPr>
          <w:lang w:val="en-AU"/>
        </w:rPr>
        <w:t xml:space="preserve">the Roman </w:t>
      </w:r>
      <w:r w:rsidR="00426EF6" w:rsidRPr="00AF4B63">
        <w:rPr>
          <w:lang w:val="en-AU"/>
        </w:rPr>
        <w:t>law</w:t>
      </w:r>
      <w:r w:rsidR="00503E64" w:rsidRPr="00AF4B63">
        <w:rPr>
          <w:lang w:val="en-AU"/>
        </w:rPr>
        <w:t xml:space="preserve"> did not have a rul</w:t>
      </w:r>
      <w:r w:rsidR="00426EF6" w:rsidRPr="00AF4B63">
        <w:rPr>
          <w:lang w:val="en-AU"/>
        </w:rPr>
        <w:t>ing</w:t>
      </w:r>
      <w:r w:rsidR="00503E64" w:rsidRPr="00AF4B63">
        <w:rPr>
          <w:lang w:val="en-AU"/>
        </w:rPr>
        <w:t xml:space="preserve">, the authority was left to the </w:t>
      </w:r>
      <w:r w:rsidRPr="00AF4B63">
        <w:rPr>
          <w:i/>
          <w:iCs/>
          <w:lang w:val="en-AU"/>
        </w:rPr>
        <w:t>Sanhedrin</w:t>
      </w:r>
      <w:r w:rsidR="00503E64" w:rsidRPr="00AF4B63">
        <w:rPr>
          <w:i/>
          <w:iCs/>
          <w:lang w:val="en-AU"/>
        </w:rPr>
        <w:t>.</w:t>
      </w:r>
      <w:r w:rsidRPr="00AF4B63">
        <w:rPr>
          <w:rStyle w:val="FootnoteReference"/>
          <w:lang w:val="en-AU"/>
        </w:rPr>
        <w:footnoteReference w:id="360"/>
      </w:r>
      <w:r w:rsidRPr="00AF4B63">
        <w:rPr>
          <w:lang w:val="en-AU"/>
        </w:rPr>
        <w:t xml:space="preserve"> The </w:t>
      </w:r>
      <w:r w:rsidRPr="00AF4B63">
        <w:rPr>
          <w:i/>
          <w:iCs/>
          <w:lang w:val="en-AU"/>
        </w:rPr>
        <w:t xml:space="preserve">Megillat Taanit </w:t>
      </w:r>
      <w:r w:rsidRPr="00AF4B63">
        <w:rPr>
          <w:lang w:val="en-AU"/>
        </w:rPr>
        <w:t xml:space="preserve">(the Scroll of Fasting) was </w:t>
      </w:r>
      <w:proofErr w:type="gramStart"/>
      <w:r w:rsidRPr="00AF4B63">
        <w:rPr>
          <w:lang w:val="en-AU"/>
        </w:rPr>
        <w:t>an</w:t>
      </w:r>
      <w:proofErr w:type="gramEnd"/>
      <w:r w:rsidRPr="00AF4B63">
        <w:rPr>
          <w:lang w:val="en-AU"/>
        </w:rPr>
        <w:t xml:space="preserve"> Hasmon</w:t>
      </w:r>
      <w:r w:rsidR="00726FA6" w:rsidRPr="00AF4B63">
        <w:rPr>
          <w:lang w:val="en-AU"/>
        </w:rPr>
        <w:t>e</w:t>
      </w:r>
      <w:r w:rsidRPr="00AF4B63">
        <w:rPr>
          <w:lang w:val="en-AU"/>
        </w:rPr>
        <w:t xml:space="preserve">an Period scroll </w:t>
      </w:r>
      <w:r w:rsidR="003510B2" w:rsidRPr="00AF4B63">
        <w:rPr>
          <w:lang w:val="en-AU"/>
        </w:rPr>
        <w:t xml:space="preserve">(written 41 CE to 70 CE) </w:t>
      </w:r>
      <w:r w:rsidRPr="00AF4B63">
        <w:rPr>
          <w:lang w:val="en-AU"/>
        </w:rPr>
        <w:t xml:space="preserve">and the commentary written in Hebrew </w:t>
      </w:r>
      <w:r w:rsidR="001E7BA3" w:rsidRPr="00AF4B63">
        <w:rPr>
          <w:lang w:val="en-AU"/>
        </w:rPr>
        <w:t xml:space="preserve">added </w:t>
      </w:r>
      <w:r w:rsidRPr="00AF4B63">
        <w:rPr>
          <w:lang w:val="en-AU"/>
        </w:rPr>
        <w:t xml:space="preserve">to the </w:t>
      </w:r>
      <w:r w:rsidRPr="00AF4B63">
        <w:rPr>
          <w:i/>
          <w:iCs/>
          <w:lang w:val="en-AU"/>
        </w:rPr>
        <w:t>Taanit</w:t>
      </w:r>
      <w:r w:rsidRPr="00AF4B63">
        <w:rPr>
          <w:lang w:val="en-AU"/>
        </w:rPr>
        <w:t xml:space="preserve"> </w:t>
      </w:r>
      <w:r w:rsidR="001E7BA3" w:rsidRPr="00AF4B63">
        <w:rPr>
          <w:lang w:val="en-AU"/>
        </w:rPr>
        <w:t xml:space="preserve">at a later date </w:t>
      </w:r>
      <w:r w:rsidRPr="00AF4B63">
        <w:rPr>
          <w:lang w:val="en-AU"/>
        </w:rPr>
        <w:t>is known a</w:t>
      </w:r>
      <w:r w:rsidR="008902F5" w:rsidRPr="00AF4B63">
        <w:rPr>
          <w:lang w:val="en-AU"/>
        </w:rPr>
        <w:t>s</w:t>
      </w:r>
      <w:r w:rsidRPr="00AF4B63">
        <w:rPr>
          <w:i/>
          <w:iCs/>
          <w:lang w:val="en-AU"/>
        </w:rPr>
        <w:t xml:space="preserve"> Scholion</w:t>
      </w:r>
      <w:r w:rsidRPr="00AF4B63">
        <w:rPr>
          <w:lang w:val="en-AU"/>
        </w:rPr>
        <w:t xml:space="preserve">. </w:t>
      </w:r>
      <w:r w:rsidR="00E50E41" w:rsidRPr="00AF4B63">
        <w:rPr>
          <w:lang w:val="en-AU"/>
        </w:rPr>
        <w:t>“</w:t>
      </w:r>
      <w:r w:rsidR="00EE4B0A" w:rsidRPr="00AF4B63">
        <w:rPr>
          <w:lang w:val="en-AU"/>
        </w:rPr>
        <w:t>Scholion O</w:t>
      </w:r>
      <w:r w:rsidR="00E50E41" w:rsidRPr="00AF4B63">
        <w:rPr>
          <w:lang w:val="en-AU"/>
        </w:rPr>
        <w:t>”</w:t>
      </w:r>
      <w:r w:rsidR="00EE4B0A" w:rsidRPr="00AF4B63">
        <w:rPr>
          <w:lang w:val="en-AU"/>
        </w:rPr>
        <w:t xml:space="preserve"> is the Oxford manuscript, </w:t>
      </w:r>
      <w:r w:rsidR="00E50E41" w:rsidRPr="00AF4B63">
        <w:rPr>
          <w:lang w:val="en-AU"/>
        </w:rPr>
        <w:t>“</w:t>
      </w:r>
      <w:r w:rsidR="00EE4B0A" w:rsidRPr="00AF4B63">
        <w:rPr>
          <w:lang w:val="en-AU"/>
        </w:rPr>
        <w:t>Scholion P</w:t>
      </w:r>
      <w:r w:rsidR="00E50E41" w:rsidRPr="00AF4B63">
        <w:rPr>
          <w:lang w:val="en-AU"/>
        </w:rPr>
        <w:t>”</w:t>
      </w:r>
      <w:r w:rsidR="00EE4B0A" w:rsidRPr="00AF4B63">
        <w:rPr>
          <w:lang w:val="en-AU"/>
        </w:rPr>
        <w:t xml:space="preserve"> is the Parma manuscript. They were combined in the 9</w:t>
      </w:r>
      <w:r w:rsidR="00EE4B0A" w:rsidRPr="00AF4B63">
        <w:rPr>
          <w:vertAlign w:val="superscript"/>
          <w:lang w:val="en-AU"/>
        </w:rPr>
        <w:t>th</w:t>
      </w:r>
      <w:r w:rsidR="00EE4B0A" w:rsidRPr="00AF4B63">
        <w:rPr>
          <w:lang w:val="en-AU"/>
        </w:rPr>
        <w:t xml:space="preserve"> or 10</w:t>
      </w:r>
      <w:r w:rsidR="00EE4B0A" w:rsidRPr="00AF4B63">
        <w:rPr>
          <w:vertAlign w:val="superscript"/>
          <w:lang w:val="en-AU"/>
        </w:rPr>
        <w:t>th</w:t>
      </w:r>
      <w:r w:rsidR="00EE4B0A" w:rsidRPr="00AF4B63">
        <w:rPr>
          <w:lang w:val="en-AU"/>
        </w:rPr>
        <w:t xml:space="preserve"> centuries CE</w:t>
      </w:r>
      <w:r w:rsidR="00590CBD" w:rsidRPr="00AF4B63">
        <w:rPr>
          <w:lang w:val="en-AU"/>
        </w:rPr>
        <w:t>.</w:t>
      </w:r>
      <w:r w:rsidR="00EE4B0A" w:rsidRPr="00AF4B63">
        <w:rPr>
          <w:lang w:val="en-AU"/>
        </w:rPr>
        <w:t xml:space="preserve"> </w:t>
      </w:r>
      <w:r w:rsidRPr="00AF4B63">
        <w:rPr>
          <w:lang w:val="en-AU"/>
        </w:rPr>
        <w:t>The</w:t>
      </w:r>
      <w:r w:rsidR="008902F5" w:rsidRPr="00AF4B63">
        <w:rPr>
          <w:i/>
          <w:iCs/>
          <w:lang w:val="en-AU"/>
        </w:rPr>
        <w:t xml:space="preserve"> </w:t>
      </w:r>
      <w:r w:rsidRPr="00AF4B63">
        <w:rPr>
          <w:i/>
          <w:iCs/>
          <w:lang w:val="en-AU"/>
        </w:rPr>
        <w:lastRenderedPageBreak/>
        <w:t>Scholion</w:t>
      </w:r>
      <w:r w:rsidRPr="00AF4B63">
        <w:rPr>
          <w:lang w:val="en-AU"/>
        </w:rPr>
        <w:t xml:space="preserve"> </w:t>
      </w:r>
      <w:r w:rsidR="006C26B3">
        <w:rPr>
          <w:lang w:val="en-AU"/>
        </w:rPr>
        <w:t>explains</w:t>
      </w:r>
      <w:r w:rsidRPr="00AF4B63">
        <w:rPr>
          <w:lang w:val="en-AU"/>
        </w:rPr>
        <w:t xml:space="preserve"> that the Boethusians (a Second</w:t>
      </w:r>
      <w:r w:rsidR="001E7BA3" w:rsidRPr="00AF4B63">
        <w:rPr>
          <w:lang w:val="en-AU"/>
        </w:rPr>
        <w:t>-T</w:t>
      </w:r>
      <w:r w:rsidRPr="00AF4B63">
        <w:rPr>
          <w:lang w:val="en-AU"/>
        </w:rPr>
        <w:t xml:space="preserve">emple sect from the Sadducees) understood </w:t>
      </w:r>
      <w:r w:rsidR="00863B47" w:rsidRPr="00AF4B63">
        <w:rPr>
          <w:lang w:val="en-AU"/>
        </w:rPr>
        <w:t>“</w:t>
      </w:r>
      <w:r w:rsidRPr="00AF4B63">
        <w:rPr>
          <w:lang w:val="en-AU"/>
        </w:rPr>
        <w:t>an eye for an eye</w:t>
      </w:r>
      <w:r w:rsidR="00863B47" w:rsidRPr="00AF4B63">
        <w:rPr>
          <w:lang w:val="en-AU"/>
        </w:rPr>
        <w:t>”</w:t>
      </w:r>
      <w:r w:rsidR="00A34B4F">
        <w:rPr>
          <w:lang w:val="en-AU"/>
        </w:rPr>
        <w:t xml:space="preserve"> as a literal application</w:t>
      </w:r>
      <w:r w:rsidRPr="00AF4B63">
        <w:rPr>
          <w:lang w:val="en-AU"/>
        </w:rPr>
        <w:t>.</w:t>
      </w:r>
      <w:r w:rsidRPr="00AF4B63">
        <w:rPr>
          <w:rStyle w:val="FootnoteReference"/>
          <w:lang w:val="en-AU"/>
        </w:rPr>
        <w:footnoteReference w:id="361"/>
      </w:r>
      <w:r w:rsidRPr="00AF4B63">
        <w:rPr>
          <w:lang w:val="en-AU"/>
        </w:rPr>
        <w:t xml:space="preserve"> The commentary found in the </w:t>
      </w:r>
      <w:r w:rsidRPr="00AF4B63">
        <w:rPr>
          <w:i/>
          <w:iCs/>
          <w:lang w:val="en-AU"/>
        </w:rPr>
        <w:t xml:space="preserve">Tannit </w:t>
      </w:r>
      <w:r w:rsidRPr="00AF4B63">
        <w:rPr>
          <w:lang w:val="en-AU"/>
        </w:rPr>
        <w:t xml:space="preserve">is attributed to the </w:t>
      </w:r>
      <w:r w:rsidRPr="00AF4B63">
        <w:rPr>
          <w:i/>
          <w:lang w:val="en-AU"/>
        </w:rPr>
        <w:t>Mekhilta de-Rabbi Ishmael</w:t>
      </w:r>
      <w:r w:rsidRPr="00AF4B63">
        <w:rPr>
          <w:lang w:val="en-AU"/>
        </w:rPr>
        <w:t xml:space="preserve"> and Babylonian Talmud</w:t>
      </w:r>
      <w:r w:rsidRPr="00AF4B63">
        <w:rPr>
          <w:i/>
          <w:lang w:val="en-AU"/>
        </w:rPr>
        <w:t xml:space="preserve"> </w:t>
      </w:r>
      <w:r w:rsidRPr="00AF4B63">
        <w:rPr>
          <w:lang w:val="en-AU"/>
        </w:rPr>
        <w:t>with the final attribut</w:t>
      </w:r>
      <w:r w:rsidR="00453450" w:rsidRPr="00AF4B63">
        <w:rPr>
          <w:lang w:val="en-AU"/>
        </w:rPr>
        <w:t>ion of</w:t>
      </w:r>
      <w:r w:rsidRPr="00AF4B63">
        <w:rPr>
          <w:lang w:val="en-AU"/>
        </w:rPr>
        <w:t xml:space="preserve"> this literal interpretation of an eye for an eye to Rabbi Eliezer b. Hyrcanus.</w:t>
      </w:r>
      <w:r w:rsidRPr="00AF4B63">
        <w:rPr>
          <w:rStyle w:val="FootnoteReference"/>
          <w:lang w:val="en-AU"/>
        </w:rPr>
        <w:footnoteReference w:id="362"/>
      </w:r>
      <w:r w:rsidRPr="00AF4B63">
        <w:rPr>
          <w:lang w:val="en-AU"/>
        </w:rPr>
        <w:t xml:space="preserve"> </w:t>
      </w:r>
      <w:r w:rsidR="009F4B4E" w:rsidRPr="00AF4B63">
        <w:rPr>
          <w:lang w:val="en-AU"/>
        </w:rPr>
        <w:t>J</w:t>
      </w:r>
      <w:r w:rsidRPr="00AF4B63">
        <w:rPr>
          <w:lang w:val="en-AU"/>
        </w:rPr>
        <w:t xml:space="preserve">ohn Cook explains that </w:t>
      </w:r>
      <w:r w:rsidR="00A34B4F">
        <w:rPr>
          <w:lang w:val="en-AU"/>
        </w:rPr>
        <w:t xml:space="preserve">the Roman law during the redaction of </w:t>
      </w:r>
      <w:r w:rsidRPr="00AF4B63">
        <w:rPr>
          <w:i/>
          <w:lang w:val="en-AU"/>
        </w:rPr>
        <w:t>Mishna</w:t>
      </w:r>
      <w:r w:rsidRPr="00AF4B63">
        <w:rPr>
          <w:lang w:val="en-AU"/>
        </w:rPr>
        <w:t xml:space="preserve"> </w:t>
      </w:r>
      <w:r w:rsidR="00A34B4F">
        <w:rPr>
          <w:lang w:val="en-AU"/>
        </w:rPr>
        <w:t>created two legal categories to deal with injury to property and p</w:t>
      </w:r>
      <w:r w:rsidR="00742E16">
        <w:rPr>
          <w:lang w:val="en-AU"/>
        </w:rPr>
        <w:t>e</w:t>
      </w:r>
      <w:r w:rsidR="00A34B4F">
        <w:rPr>
          <w:lang w:val="en-AU"/>
        </w:rPr>
        <w:t xml:space="preserve">rson. </w:t>
      </w:r>
      <w:r w:rsidRPr="00AF4B63">
        <w:rPr>
          <w:lang w:val="en-AU"/>
        </w:rPr>
        <w:t xml:space="preserve">One of these was grounded in the document of Roman law, </w:t>
      </w:r>
      <w:r w:rsidRPr="00AF4B63">
        <w:rPr>
          <w:i/>
          <w:lang w:val="en-AU"/>
        </w:rPr>
        <w:t>Lex Aquilia</w:t>
      </w:r>
      <w:r w:rsidRPr="00AF4B63">
        <w:rPr>
          <w:lang w:val="en-AU"/>
        </w:rPr>
        <w:t xml:space="preserve"> (passed in the early 3</w:t>
      </w:r>
      <w:r w:rsidRPr="00AF4B63">
        <w:rPr>
          <w:vertAlign w:val="superscript"/>
          <w:lang w:val="en-AU"/>
        </w:rPr>
        <w:t>rd</w:t>
      </w:r>
      <w:r w:rsidRPr="00AF4B63">
        <w:rPr>
          <w:lang w:val="en-AU"/>
        </w:rPr>
        <w:t xml:space="preserve"> century BCE), </w:t>
      </w:r>
      <w:r w:rsidR="00742E16">
        <w:rPr>
          <w:lang w:val="en-AU"/>
        </w:rPr>
        <w:t xml:space="preserve">to remedy </w:t>
      </w:r>
      <w:r w:rsidRPr="00AF4B63">
        <w:rPr>
          <w:lang w:val="en-AU"/>
        </w:rPr>
        <w:t>physical damage to property (</w:t>
      </w:r>
      <w:r w:rsidR="00742E16">
        <w:rPr>
          <w:lang w:val="en-AU"/>
        </w:rPr>
        <w:t xml:space="preserve">this includes </w:t>
      </w:r>
      <w:r w:rsidRPr="00AF4B63">
        <w:rPr>
          <w:lang w:val="en-AU"/>
        </w:rPr>
        <w:t xml:space="preserve">slaves, </w:t>
      </w:r>
      <w:proofErr w:type="gramStart"/>
      <w:r w:rsidRPr="00AF4B63">
        <w:rPr>
          <w:lang w:val="en-AU"/>
        </w:rPr>
        <w:t>and,</w:t>
      </w:r>
      <w:proofErr w:type="gramEnd"/>
      <w:r w:rsidRPr="00AF4B63">
        <w:rPr>
          <w:lang w:val="en-AU"/>
        </w:rPr>
        <w:t xml:space="preserve"> </w:t>
      </w:r>
      <w:r w:rsidR="00742E16">
        <w:rPr>
          <w:lang w:val="en-AU"/>
        </w:rPr>
        <w:t xml:space="preserve">later it included </w:t>
      </w:r>
      <w:r w:rsidRPr="00AF4B63">
        <w:rPr>
          <w:lang w:val="en-AU"/>
        </w:rPr>
        <w:t>children who were legally in the power [</w:t>
      </w:r>
      <w:r w:rsidRPr="00AF4B63">
        <w:rPr>
          <w:i/>
          <w:lang w:val="en-AU"/>
        </w:rPr>
        <w:t>potestas</w:t>
      </w:r>
      <w:r w:rsidRPr="00AF4B63">
        <w:rPr>
          <w:lang w:val="en-AU"/>
        </w:rPr>
        <w:t>] of their fathers).</w:t>
      </w:r>
      <w:r w:rsidRPr="00AF4B63">
        <w:rPr>
          <w:rStyle w:val="FootnoteReference"/>
          <w:lang w:val="en-AU"/>
        </w:rPr>
        <w:footnoteReference w:id="363"/>
      </w:r>
      <w:r w:rsidRPr="00AF4B63">
        <w:rPr>
          <w:lang w:val="en-AU"/>
        </w:rPr>
        <w:t xml:space="preserve"> </w:t>
      </w:r>
      <w:r w:rsidR="00CC0D9F" w:rsidRPr="00AF4B63">
        <w:rPr>
          <w:lang w:val="en-AU"/>
        </w:rPr>
        <w:t>During the time of Jesus</w:t>
      </w:r>
      <w:r w:rsidR="00742E16">
        <w:rPr>
          <w:lang w:val="en-AU"/>
        </w:rPr>
        <w:t>,</w:t>
      </w:r>
      <w:r w:rsidR="00CC0D9F" w:rsidRPr="00AF4B63">
        <w:rPr>
          <w:lang w:val="en-AU"/>
        </w:rPr>
        <w:t xml:space="preserve"> </w:t>
      </w:r>
      <w:r w:rsidR="00B90ABB" w:rsidRPr="00AF4B63">
        <w:rPr>
          <w:lang w:val="en-AU"/>
        </w:rPr>
        <w:t>Rom</w:t>
      </w:r>
      <w:r w:rsidR="00CB0573" w:rsidRPr="00AF4B63">
        <w:rPr>
          <w:lang w:val="en-AU"/>
        </w:rPr>
        <w:t xml:space="preserve">an law would have </w:t>
      </w:r>
      <w:r w:rsidR="00B90ABB" w:rsidRPr="00AF4B63">
        <w:rPr>
          <w:lang w:val="en-AU"/>
        </w:rPr>
        <w:t>utili</w:t>
      </w:r>
      <w:r w:rsidR="00D86BBD" w:rsidRPr="00AF4B63">
        <w:rPr>
          <w:lang w:val="en-AU"/>
        </w:rPr>
        <w:t>s</w:t>
      </w:r>
      <w:r w:rsidR="00B90ABB" w:rsidRPr="00AF4B63">
        <w:rPr>
          <w:lang w:val="en-AU"/>
        </w:rPr>
        <w:t xml:space="preserve">ed the </w:t>
      </w:r>
      <w:r w:rsidRPr="00AF4B63">
        <w:rPr>
          <w:i/>
          <w:iCs/>
          <w:lang w:val="en-AU"/>
        </w:rPr>
        <w:t>edictum generale de iniuriis aestimandis</w:t>
      </w:r>
      <w:r w:rsidR="00CB0573" w:rsidRPr="00AF4B63">
        <w:rPr>
          <w:lang w:val="en-AU"/>
        </w:rPr>
        <w:t xml:space="preserve"> to evaluate the extent of injuries</w:t>
      </w:r>
      <w:r w:rsidR="00B90ABB" w:rsidRPr="00AF4B63">
        <w:rPr>
          <w:i/>
          <w:iCs/>
          <w:lang w:val="en-AU"/>
        </w:rPr>
        <w:t xml:space="preserve">. </w:t>
      </w:r>
      <w:r w:rsidR="006F718B" w:rsidRPr="00AF4B63">
        <w:rPr>
          <w:lang w:val="en-AU"/>
        </w:rPr>
        <w:t xml:space="preserve">Subjects </w:t>
      </w:r>
      <w:r w:rsidR="00B90ABB" w:rsidRPr="00AF4B63">
        <w:rPr>
          <w:lang w:val="en-AU"/>
        </w:rPr>
        <w:t xml:space="preserve">of Rome would </w:t>
      </w:r>
      <w:r w:rsidR="00CB0573" w:rsidRPr="00AF4B63">
        <w:rPr>
          <w:lang w:val="en-AU"/>
        </w:rPr>
        <w:t xml:space="preserve">have </w:t>
      </w:r>
      <w:r w:rsidR="00B90ABB" w:rsidRPr="00AF4B63">
        <w:rPr>
          <w:lang w:val="en-AU"/>
        </w:rPr>
        <w:t>know</w:t>
      </w:r>
      <w:r w:rsidR="00CB0573" w:rsidRPr="00AF4B63">
        <w:rPr>
          <w:lang w:val="en-AU"/>
        </w:rPr>
        <w:t>n</w:t>
      </w:r>
      <w:r w:rsidR="00B90ABB" w:rsidRPr="00AF4B63">
        <w:rPr>
          <w:lang w:val="en-AU"/>
        </w:rPr>
        <w:t xml:space="preserve"> this edict</w:t>
      </w:r>
      <w:r w:rsidR="00C40A5D" w:rsidRPr="00AF4B63">
        <w:rPr>
          <w:lang w:val="en-AU"/>
        </w:rPr>
        <w:t xml:space="preserve">. </w:t>
      </w:r>
      <w:r w:rsidR="00344248" w:rsidRPr="00AF4B63">
        <w:rPr>
          <w:lang w:val="en-AU"/>
        </w:rPr>
        <w:t>When dealing with a maiming</w:t>
      </w:r>
      <w:r w:rsidR="00AF4B63">
        <w:rPr>
          <w:lang w:val="en-AU"/>
        </w:rPr>
        <w:t>,</w:t>
      </w:r>
      <w:r w:rsidR="00344248" w:rsidRPr="00AF4B63">
        <w:rPr>
          <w:lang w:val="en-AU"/>
        </w:rPr>
        <w:t xml:space="preserve"> t</w:t>
      </w:r>
      <w:r w:rsidR="008A279E" w:rsidRPr="00AF4B63">
        <w:rPr>
          <w:lang w:val="en-AU"/>
        </w:rPr>
        <w:t xml:space="preserve">he legal guidance for Roman courts from the </w:t>
      </w:r>
      <w:r w:rsidR="008A279E" w:rsidRPr="00AF4B63">
        <w:rPr>
          <w:i/>
          <w:iCs/>
          <w:lang w:val="en-AU"/>
        </w:rPr>
        <w:t>Twelve Tables</w:t>
      </w:r>
      <w:r w:rsidR="008A279E" w:rsidRPr="00AF4B63">
        <w:rPr>
          <w:lang w:val="en-AU"/>
        </w:rPr>
        <w:t xml:space="preserve"> was </w:t>
      </w:r>
      <w:r w:rsidR="00344248" w:rsidRPr="00AF4B63">
        <w:rPr>
          <w:lang w:val="en-AU"/>
        </w:rPr>
        <w:t xml:space="preserve">to impose </w:t>
      </w:r>
      <w:r w:rsidR="008A279E" w:rsidRPr="00AF4B63">
        <w:rPr>
          <w:lang w:val="en-AU"/>
        </w:rPr>
        <w:t xml:space="preserve">either a literal talion or </w:t>
      </w:r>
      <w:r w:rsidR="00344248" w:rsidRPr="00AF4B63">
        <w:rPr>
          <w:lang w:val="en-AU"/>
        </w:rPr>
        <w:t xml:space="preserve">a </w:t>
      </w:r>
      <w:r w:rsidR="008A279E" w:rsidRPr="00AF4B63">
        <w:rPr>
          <w:lang w:val="en-AU"/>
        </w:rPr>
        <w:t>mone</w:t>
      </w:r>
      <w:r w:rsidR="00344248" w:rsidRPr="00AF4B63">
        <w:rPr>
          <w:lang w:val="en-AU"/>
        </w:rPr>
        <w:t>tary equivalent</w:t>
      </w:r>
      <w:r w:rsidR="008A279E" w:rsidRPr="00AF4B63">
        <w:rPr>
          <w:lang w:val="en-AU"/>
        </w:rPr>
        <w:t>.</w:t>
      </w:r>
      <w:r w:rsidRPr="00AF4B63">
        <w:rPr>
          <w:rStyle w:val="FootnoteReference"/>
          <w:lang w:val="en-AU"/>
        </w:rPr>
        <w:footnoteReference w:id="364"/>
      </w:r>
      <w:r w:rsidRPr="00AF4B63">
        <w:rPr>
          <w:lang w:val="en-AU"/>
        </w:rPr>
        <w:t xml:space="preserve"> The edict of </w:t>
      </w:r>
      <w:r w:rsidRPr="00AF4B63">
        <w:rPr>
          <w:i/>
          <w:iCs/>
          <w:lang w:val="en-AU"/>
        </w:rPr>
        <w:t xml:space="preserve">edictum generale de iniuriis aestimandis </w:t>
      </w:r>
      <w:r w:rsidRPr="00AF4B63">
        <w:rPr>
          <w:iCs/>
          <w:lang w:val="en-AU"/>
        </w:rPr>
        <w:t xml:space="preserve">(the general command of evaluating injuries) </w:t>
      </w:r>
      <w:r w:rsidRPr="00AF4B63">
        <w:rPr>
          <w:lang w:val="en-AU"/>
        </w:rPr>
        <w:t>replaced the previous statutes for personal injury in the Twelve Tables, the Romans</w:t>
      </w:r>
      <w:r w:rsidR="005C71CB" w:rsidRPr="00AF4B63">
        <w:rPr>
          <w:lang w:val="en-AU"/>
        </w:rPr>
        <w:t>’</w:t>
      </w:r>
      <w:r w:rsidRPr="00AF4B63">
        <w:rPr>
          <w:lang w:val="en-AU"/>
        </w:rPr>
        <w:t xml:space="preserve"> earliest code of law</w:t>
      </w:r>
      <w:r w:rsidR="00742E16">
        <w:rPr>
          <w:lang w:val="en-AU"/>
        </w:rPr>
        <w:t xml:space="preserve"> to be written down and found</w:t>
      </w:r>
      <w:r w:rsidRPr="00AF4B63">
        <w:rPr>
          <w:lang w:val="en-AU"/>
        </w:rPr>
        <w:t>, from the mid-5</w:t>
      </w:r>
      <w:r w:rsidRPr="00AF4B63">
        <w:rPr>
          <w:vertAlign w:val="superscript"/>
          <w:lang w:val="en-AU"/>
        </w:rPr>
        <w:t>th</w:t>
      </w:r>
      <w:r w:rsidRPr="00AF4B63">
        <w:rPr>
          <w:lang w:val="en-AU"/>
        </w:rPr>
        <w:t xml:space="preserve"> century BCE.</w:t>
      </w:r>
      <w:r w:rsidRPr="00AF4B63">
        <w:rPr>
          <w:rStyle w:val="FootnoteReference"/>
          <w:lang w:val="en-AU"/>
        </w:rPr>
        <w:footnoteReference w:id="365"/>
      </w:r>
      <w:r w:rsidRPr="00AF4B63">
        <w:rPr>
          <w:lang w:val="en-AU"/>
        </w:rPr>
        <w:t xml:space="preserve"> </w:t>
      </w:r>
    </w:p>
    <w:p w14:paraId="3D8E6D6E" w14:textId="77777777" w:rsidR="007F2F10" w:rsidRDefault="00BE6BA3" w:rsidP="00AE02EA">
      <w:pPr>
        <w:spacing w:before="120" w:line="480" w:lineRule="auto"/>
        <w:ind w:firstLine="284"/>
        <w:rPr>
          <w:lang w:val="en-AU"/>
        </w:rPr>
      </w:pPr>
      <w:r w:rsidRPr="00FC7FAC">
        <w:rPr>
          <w:lang w:val="en-AU"/>
        </w:rPr>
        <w:lastRenderedPageBreak/>
        <w:t xml:space="preserve">The rabbinic law </w:t>
      </w:r>
      <w:r w:rsidR="00895306" w:rsidRPr="00FC7FAC">
        <w:rPr>
          <w:lang w:val="en-AU"/>
        </w:rPr>
        <w:t>wa</w:t>
      </w:r>
      <w:r w:rsidRPr="00FC7FAC">
        <w:rPr>
          <w:lang w:val="en-AU"/>
        </w:rPr>
        <w:t xml:space="preserve">s </w:t>
      </w:r>
      <w:proofErr w:type="gramStart"/>
      <w:r w:rsidRPr="00FC7FAC">
        <w:rPr>
          <w:lang w:val="en-AU"/>
        </w:rPr>
        <w:t>similar to</w:t>
      </w:r>
      <w:proofErr w:type="gramEnd"/>
      <w:r w:rsidRPr="00FC7FAC">
        <w:rPr>
          <w:lang w:val="en-AU"/>
        </w:rPr>
        <w:t xml:space="preserve"> the Roman </w:t>
      </w:r>
      <w:r w:rsidRPr="00FC7FAC">
        <w:rPr>
          <w:i/>
          <w:iCs/>
          <w:lang w:val="en-AU"/>
        </w:rPr>
        <w:t>Lex Aquilia</w:t>
      </w:r>
      <w:r w:rsidRPr="00FC7FAC">
        <w:rPr>
          <w:lang w:val="en-AU"/>
        </w:rPr>
        <w:t xml:space="preserve">. </w:t>
      </w:r>
      <w:r w:rsidR="00C74DB3" w:rsidRPr="00FC7FAC">
        <w:rPr>
          <w:lang w:val="en-AU"/>
        </w:rPr>
        <w:t xml:space="preserve">As previously noted, </w:t>
      </w:r>
      <w:r w:rsidRPr="00FC7FAC">
        <w:rPr>
          <w:i/>
          <w:iCs/>
          <w:lang w:val="en-AU"/>
        </w:rPr>
        <w:t>Mishna Bava Kamma</w:t>
      </w:r>
      <w:r w:rsidRPr="00FC7FAC">
        <w:rPr>
          <w:lang w:val="en-AU"/>
        </w:rPr>
        <w:t xml:space="preserve"> </w:t>
      </w:r>
      <w:r w:rsidR="005E54F8">
        <w:rPr>
          <w:lang w:val="en-AU"/>
        </w:rPr>
        <w:t xml:space="preserve">(Chapter 8) stipulates </w:t>
      </w:r>
      <w:r w:rsidRPr="00FC7FAC">
        <w:rPr>
          <w:lang w:val="en-AU"/>
        </w:rPr>
        <w:t>the rabbinic laws of damages for harm inflicted by one person on another</w:t>
      </w:r>
      <w:r w:rsidR="00AE02EA" w:rsidRPr="00FC7FAC">
        <w:rPr>
          <w:lang w:val="en-AU"/>
        </w:rPr>
        <w:t xml:space="preserve">. </w:t>
      </w:r>
      <w:r w:rsidRPr="00FC7FAC">
        <w:rPr>
          <w:lang w:val="en-AU"/>
        </w:rPr>
        <w:t>Jonathan Pomeranz explains</w:t>
      </w:r>
      <w:r w:rsidR="007F2F10">
        <w:rPr>
          <w:lang w:val="en-AU"/>
        </w:rPr>
        <w:t>:</w:t>
      </w:r>
      <w:r w:rsidRPr="00FC7FAC">
        <w:rPr>
          <w:lang w:val="en-AU"/>
        </w:rPr>
        <w:t xml:space="preserve"> </w:t>
      </w:r>
    </w:p>
    <w:p w14:paraId="7E2F3792" w14:textId="3E66710C" w:rsidR="008D4202" w:rsidRPr="00AF4B63" w:rsidRDefault="007F2F10" w:rsidP="001454AE">
      <w:pPr>
        <w:spacing w:after="240"/>
        <w:ind w:left="720" w:right="720"/>
        <w:rPr>
          <w:lang w:val="en-AU"/>
        </w:rPr>
      </w:pPr>
      <w:r>
        <w:rPr>
          <w:lang w:val="en-AU"/>
        </w:rPr>
        <w:t>This</w:t>
      </w:r>
      <w:r w:rsidR="00BE6BA3" w:rsidRPr="00FC7FAC">
        <w:rPr>
          <w:lang w:val="en-AU"/>
        </w:rPr>
        <w:t xml:space="preserve"> passage lists five types of payment for which a person who injures his fellow may be liable: injury—the loss of value to the person were he a slave; pain—the amount of money that a person with similar pain tolerance would want in order to suffer that amount of pain; medical expenses; recuperation time—the amount of income that the victim lost by being unable to work (though he is paid only as a guard for a cucumber field and not for any difficult labo</w:t>
      </w:r>
      <w:r w:rsidR="003A225D" w:rsidRPr="00FC7FAC">
        <w:rPr>
          <w:lang w:val="en-AU"/>
        </w:rPr>
        <w:t>u</w:t>
      </w:r>
      <w:r w:rsidR="00BE6BA3" w:rsidRPr="00FC7FAC">
        <w:rPr>
          <w:lang w:val="en-AU"/>
        </w:rPr>
        <w:t>r, since his loss of value as a slave already takes into account the plaintiff</w:t>
      </w:r>
      <w:r w:rsidR="005C71CB" w:rsidRPr="00FC7FAC">
        <w:rPr>
          <w:lang w:val="en-AU"/>
        </w:rPr>
        <w:t>’</w:t>
      </w:r>
      <w:r w:rsidR="00BE6BA3" w:rsidRPr="00FC7FAC">
        <w:rPr>
          <w:lang w:val="en-AU"/>
        </w:rPr>
        <w:t>s inability to perform difficult manual labo</w:t>
      </w:r>
      <w:r w:rsidR="003A225D" w:rsidRPr="00FC7FAC">
        <w:rPr>
          <w:lang w:val="en-AU"/>
        </w:rPr>
        <w:t>u</w:t>
      </w:r>
      <w:r w:rsidR="00BE6BA3" w:rsidRPr="00FC7FAC">
        <w:rPr>
          <w:lang w:val="en-AU"/>
        </w:rPr>
        <w:t>r); humiliation—an amount of money, unspecified</w:t>
      </w:r>
      <w:r w:rsidR="00BE6BA3" w:rsidRPr="009E7B69">
        <w:t xml:space="preserve"> in the first </w:t>
      </w:r>
      <w:r w:rsidR="00BE6BA3" w:rsidRPr="009E7B69">
        <w:rPr>
          <w:i/>
          <w:iCs/>
        </w:rPr>
        <w:t>Mishna</w:t>
      </w:r>
      <w:r w:rsidR="00BE6BA3" w:rsidRPr="009E7B69">
        <w:t xml:space="preserve">, </w:t>
      </w:r>
      <w:r w:rsidR="00BE6BA3" w:rsidRPr="00AF4B63">
        <w:rPr>
          <w:lang w:val="en-AU"/>
        </w:rPr>
        <w:t>for the slight to the plaintiff</w:t>
      </w:r>
      <w:r w:rsidR="005C71CB" w:rsidRPr="00AF4B63">
        <w:rPr>
          <w:lang w:val="en-AU"/>
        </w:rPr>
        <w:t>’</w:t>
      </w:r>
      <w:r w:rsidR="00BE6BA3" w:rsidRPr="00AF4B63">
        <w:rPr>
          <w:lang w:val="en-AU"/>
        </w:rPr>
        <w:t>s hono</w:t>
      </w:r>
      <w:r w:rsidR="003A225D" w:rsidRPr="00AF4B63">
        <w:rPr>
          <w:lang w:val="en-AU"/>
        </w:rPr>
        <w:t>u</w:t>
      </w:r>
      <w:r w:rsidR="00BE6BA3" w:rsidRPr="00AF4B63">
        <w:rPr>
          <w:lang w:val="en-AU"/>
        </w:rPr>
        <w:t>r that he incurred when he was attacked.</w:t>
      </w:r>
      <w:r w:rsidR="00BE6BA3" w:rsidRPr="00AF4B63">
        <w:rPr>
          <w:rStyle w:val="FootnoteReference"/>
          <w:lang w:val="en-AU"/>
        </w:rPr>
        <w:footnoteReference w:id="366"/>
      </w:r>
      <w:r w:rsidR="00BE6BA3" w:rsidRPr="00AF4B63">
        <w:rPr>
          <w:lang w:val="en-AU"/>
        </w:rPr>
        <w:tab/>
      </w:r>
    </w:p>
    <w:p w14:paraId="7473D9C4" w14:textId="193B1051" w:rsidR="008D4202" w:rsidRPr="00AF4B63" w:rsidRDefault="000B4A17" w:rsidP="008D4202">
      <w:pPr>
        <w:spacing w:line="480" w:lineRule="auto"/>
        <w:rPr>
          <w:lang w:val="en-AU"/>
        </w:rPr>
      </w:pPr>
      <w:r w:rsidRPr="00FC7FAC">
        <w:rPr>
          <w:i/>
          <w:iCs/>
          <w:lang w:val="en-AU"/>
        </w:rPr>
        <w:t>Mishna Bava Kamma</w:t>
      </w:r>
      <w:r w:rsidRPr="00FC7FAC">
        <w:rPr>
          <w:lang w:val="en-AU"/>
        </w:rPr>
        <w:t xml:space="preserve"> </w:t>
      </w:r>
      <w:r>
        <w:rPr>
          <w:lang w:val="en-AU"/>
        </w:rPr>
        <w:t xml:space="preserve">(Chapter 8) is </w:t>
      </w:r>
      <w:proofErr w:type="gramStart"/>
      <w:r>
        <w:rPr>
          <w:lang w:val="en-AU"/>
        </w:rPr>
        <w:t>similar to</w:t>
      </w:r>
      <w:proofErr w:type="gramEnd"/>
      <w:r>
        <w:rPr>
          <w:lang w:val="en-AU"/>
        </w:rPr>
        <w:t xml:space="preserve"> the</w:t>
      </w:r>
      <w:r w:rsidR="00BE6BA3" w:rsidRPr="00AF4B63">
        <w:rPr>
          <w:lang w:val="en-AU"/>
        </w:rPr>
        <w:t xml:space="preserve"> laws of </w:t>
      </w:r>
      <w:r w:rsidR="00BE6BA3" w:rsidRPr="00AF4B63">
        <w:rPr>
          <w:i/>
          <w:iCs/>
          <w:lang w:val="en-AU"/>
        </w:rPr>
        <w:t>iniuria</w:t>
      </w:r>
      <w:r w:rsidR="00BE6BA3" w:rsidRPr="00AF4B63">
        <w:rPr>
          <w:lang w:val="en-AU"/>
        </w:rPr>
        <w:t xml:space="preserve"> </w:t>
      </w:r>
      <w:r>
        <w:rPr>
          <w:lang w:val="en-AU"/>
        </w:rPr>
        <w:t xml:space="preserve">(that replaced the </w:t>
      </w:r>
      <w:r w:rsidR="00BE6BA3" w:rsidRPr="00AF4B63">
        <w:rPr>
          <w:lang w:val="en-AU"/>
        </w:rPr>
        <w:t>Twelve Tables</w:t>
      </w:r>
      <w:r>
        <w:rPr>
          <w:lang w:val="en-AU"/>
        </w:rPr>
        <w:t xml:space="preserve">) and had their origins in </w:t>
      </w:r>
      <w:r w:rsidR="00BE6BA3" w:rsidRPr="00AF4B63">
        <w:rPr>
          <w:i/>
          <w:iCs/>
          <w:lang w:val="en-AU"/>
        </w:rPr>
        <w:t>lex talionis</w:t>
      </w:r>
      <w:r w:rsidR="00BE6BA3" w:rsidRPr="00AF4B63">
        <w:rPr>
          <w:lang w:val="en-AU"/>
        </w:rPr>
        <w:t>.</w:t>
      </w:r>
      <w:r w:rsidR="00BE6BA3" w:rsidRPr="00AF4B63">
        <w:rPr>
          <w:rStyle w:val="FootnoteReference"/>
          <w:lang w:val="en-AU"/>
        </w:rPr>
        <w:footnoteReference w:id="367"/>
      </w:r>
      <w:r w:rsidR="00BE6BA3" w:rsidRPr="00AF4B63">
        <w:rPr>
          <w:lang w:val="en-AU"/>
        </w:rPr>
        <w:t xml:space="preserve"> </w:t>
      </w:r>
      <w:r w:rsidR="00242626" w:rsidRPr="00AF4B63">
        <w:rPr>
          <w:lang w:val="en-AU"/>
        </w:rPr>
        <w:t xml:space="preserve">The punishment for violation of Roman law was </w:t>
      </w:r>
      <w:r w:rsidR="00033CE0" w:rsidRPr="00AF4B63">
        <w:rPr>
          <w:lang w:val="en-AU"/>
        </w:rPr>
        <w:t xml:space="preserve">codified and often </w:t>
      </w:r>
      <w:r w:rsidR="00242626" w:rsidRPr="00AF4B63">
        <w:rPr>
          <w:lang w:val="en-AU"/>
        </w:rPr>
        <w:t xml:space="preserve">harsh. </w:t>
      </w:r>
      <w:r w:rsidR="00BE6BA3" w:rsidRPr="00AF4B63">
        <w:rPr>
          <w:i/>
          <w:lang w:val="en-AU"/>
        </w:rPr>
        <w:t>The Twelve Tables</w:t>
      </w:r>
      <w:r w:rsidR="00BE6BA3" w:rsidRPr="00AF4B63">
        <w:rPr>
          <w:lang w:val="en-AU"/>
        </w:rPr>
        <w:t xml:space="preserve"> </w:t>
      </w:r>
      <w:r w:rsidR="00242626" w:rsidRPr="00AF4B63">
        <w:rPr>
          <w:lang w:val="en-AU"/>
        </w:rPr>
        <w:t xml:space="preserve">codified </w:t>
      </w:r>
      <w:r w:rsidR="00347BDD" w:rsidRPr="00AF4B63">
        <w:rPr>
          <w:lang w:val="en-AU"/>
        </w:rPr>
        <w:t>penalties</w:t>
      </w:r>
      <w:r w:rsidR="00242626" w:rsidRPr="00AF4B63">
        <w:rPr>
          <w:lang w:val="en-AU"/>
        </w:rPr>
        <w:t xml:space="preserve"> for maiming and assaults.</w:t>
      </w:r>
      <w:r w:rsidR="00BE6BA3" w:rsidRPr="00AF4B63">
        <w:rPr>
          <w:rStyle w:val="FootnoteReference"/>
          <w:lang w:val="en-AU"/>
        </w:rPr>
        <w:footnoteReference w:id="368"/>
      </w:r>
      <w:r w:rsidR="00BE6BA3" w:rsidRPr="00AF4B63">
        <w:rPr>
          <w:lang w:val="en-AU"/>
        </w:rPr>
        <w:t xml:space="preserve"> </w:t>
      </w:r>
      <w:r w:rsidR="00347BDD" w:rsidRPr="00AF4B63">
        <w:rPr>
          <w:lang w:val="en-AU"/>
        </w:rPr>
        <w:t>Even in the Mosaic courts</w:t>
      </w:r>
      <w:r w:rsidR="00355328" w:rsidRPr="00AF4B63">
        <w:rPr>
          <w:lang w:val="en-AU"/>
        </w:rPr>
        <w:t>,</w:t>
      </w:r>
      <w:r w:rsidR="00347BDD" w:rsidRPr="00AF4B63">
        <w:rPr>
          <w:lang w:val="en-AU"/>
        </w:rPr>
        <w:t xml:space="preserve"> called the </w:t>
      </w:r>
      <w:r w:rsidR="00347BDD" w:rsidRPr="00AF4B63">
        <w:rPr>
          <w:i/>
          <w:iCs/>
          <w:lang w:val="en-AU"/>
        </w:rPr>
        <w:t>Beit Din,</w:t>
      </w:r>
      <w:r w:rsidR="00347BDD" w:rsidRPr="00AF4B63">
        <w:rPr>
          <w:lang w:val="en-AU"/>
        </w:rPr>
        <w:t xml:space="preserve"> after 63 BCE, </w:t>
      </w:r>
      <w:r w:rsidR="00BE6BA3" w:rsidRPr="00AF4B63">
        <w:rPr>
          <w:lang w:val="en-AU"/>
        </w:rPr>
        <w:t>physical assault</w:t>
      </w:r>
      <w:r w:rsidR="00347BDD" w:rsidRPr="00AF4B63">
        <w:rPr>
          <w:lang w:val="en-AU"/>
        </w:rPr>
        <w:t xml:space="preserve"> crimes </w:t>
      </w:r>
      <w:r w:rsidR="00355328" w:rsidRPr="00AF4B63">
        <w:rPr>
          <w:lang w:val="en-AU"/>
        </w:rPr>
        <w:t xml:space="preserve">came under </w:t>
      </w:r>
      <w:r w:rsidR="00347BDD" w:rsidRPr="00AF4B63">
        <w:rPr>
          <w:lang w:val="en-AU"/>
        </w:rPr>
        <w:t>a monetary compensation system.</w:t>
      </w:r>
      <w:r w:rsidR="00BE6BA3" w:rsidRPr="00AF4B63">
        <w:rPr>
          <w:rStyle w:val="FootnoteReference"/>
          <w:lang w:val="en-AU"/>
        </w:rPr>
        <w:footnoteReference w:id="369"/>
      </w:r>
      <w:r w:rsidR="00BE6BA3" w:rsidRPr="00AF4B63">
        <w:rPr>
          <w:lang w:val="en-AU"/>
        </w:rPr>
        <w:t xml:space="preserve"> </w:t>
      </w:r>
      <w:r w:rsidR="00805350" w:rsidRPr="00AF4B63">
        <w:rPr>
          <w:lang w:val="en-AU"/>
        </w:rPr>
        <w:t xml:space="preserve">As the powers of the Jewish courts </w:t>
      </w:r>
      <w:r w:rsidR="00355328" w:rsidRPr="00AF4B63">
        <w:rPr>
          <w:lang w:val="en-AU"/>
        </w:rPr>
        <w:t xml:space="preserve">to </w:t>
      </w:r>
      <w:r w:rsidR="009C2B25" w:rsidRPr="00AF4B63">
        <w:rPr>
          <w:lang w:val="en-AU"/>
        </w:rPr>
        <w:t>use</w:t>
      </w:r>
      <w:r w:rsidR="00805350" w:rsidRPr="00AF4B63">
        <w:rPr>
          <w:lang w:val="en-AU"/>
        </w:rPr>
        <w:t xml:space="preserve"> physical punishment</w:t>
      </w:r>
      <w:r w:rsidR="009C2B25" w:rsidRPr="00AF4B63">
        <w:rPr>
          <w:lang w:val="en-AU"/>
        </w:rPr>
        <w:t xml:space="preserve"> diminished</w:t>
      </w:r>
      <w:r w:rsidR="00805350" w:rsidRPr="00AF4B63">
        <w:rPr>
          <w:lang w:val="en-AU"/>
        </w:rPr>
        <w:t xml:space="preserve">, the </w:t>
      </w:r>
      <w:r w:rsidR="009C2B25" w:rsidRPr="00AF4B63">
        <w:rPr>
          <w:lang w:val="en-AU"/>
        </w:rPr>
        <w:t>use</w:t>
      </w:r>
      <w:r w:rsidR="00805350" w:rsidRPr="00AF4B63">
        <w:rPr>
          <w:lang w:val="en-AU"/>
        </w:rPr>
        <w:t xml:space="preserve"> of monetary </w:t>
      </w:r>
      <w:r w:rsidR="001B3561" w:rsidRPr="00AF4B63">
        <w:rPr>
          <w:lang w:val="en-AU"/>
        </w:rPr>
        <w:t>compensati</w:t>
      </w:r>
      <w:r w:rsidR="009C2B25" w:rsidRPr="00AF4B63">
        <w:rPr>
          <w:lang w:val="en-AU"/>
        </w:rPr>
        <w:t>on</w:t>
      </w:r>
      <w:r w:rsidR="001B3561" w:rsidRPr="00AF4B63">
        <w:rPr>
          <w:lang w:val="en-AU"/>
        </w:rPr>
        <w:t xml:space="preserve"> </w:t>
      </w:r>
      <w:r w:rsidR="009C2B25" w:rsidRPr="00AF4B63">
        <w:rPr>
          <w:lang w:val="en-AU"/>
        </w:rPr>
        <w:t>increased</w:t>
      </w:r>
      <w:r w:rsidR="001B3561" w:rsidRPr="00AF4B63">
        <w:rPr>
          <w:lang w:val="en-AU"/>
        </w:rPr>
        <w:t xml:space="preserve"> in Judaism.</w:t>
      </w:r>
      <w:r w:rsidR="00BE6BA3" w:rsidRPr="00AF4B63">
        <w:rPr>
          <w:rStyle w:val="FootnoteReference"/>
          <w:lang w:val="en-AU"/>
        </w:rPr>
        <w:footnoteReference w:id="370"/>
      </w:r>
      <w:r w:rsidR="00BE6BA3" w:rsidRPr="00AF4B63">
        <w:rPr>
          <w:lang w:val="en-AU"/>
        </w:rPr>
        <w:t xml:space="preserve">  </w:t>
      </w:r>
    </w:p>
    <w:p w14:paraId="1F9A58FB" w14:textId="2640C8F9" w:rsidR="008D4202" w:rsidRPr="00AF4B63" w:rsidRDefault="00BE6BA3" w:rsidP="00E01243">
      <w:pPr>
        <w:spacing w:before="120" w:line="480" w:lineRule="auto"/>
        <w:ind w:firstLine="288"/>
        <w:rPr>
          <w:lang w:val="en-AU"/>
        </w:rPr>
      </w:pPr>
      <w:r w:rsidRPr="00AF4B63">
        <w:rPr>
          <w:lang w:val="en-AU"/>
        </w:rPr>
        <w:lastRenderedPageBreak/>
        <w:t>In Roman law, Aulus Gellius (circa 125</w:t>
      </w:r>
      <w:r w:rsidR="009A7F72" w:rsidRPr="00AF4B63">
        <w:rPr>
          <w:lang w:val="en-AU"/>
        </w:rPr>
        <w:t>–</w:t>
      </w:r>
      <w:r w:rsidRPr="00AF4B63">
        <w:rPr>
          <w:lang w:val="en-AU"/>
        </w:rPr>
        <w:t xml:space="preserve">180 CE) reported that Favorinus made several </w:t>
      </w:r>
      <w:r w:rsidR="008D6EBB">
        <w:rPr>
          <w:lang w:val="en-AU"/>
        </w:rPr>
        <w:t>disagreements regarding the</w:t>
      </w:r>
      <w:r w:rsidRPr="00AF4B63">
        <w:rPr>
          <w:lang w:val="en-AU"/>
        </w:rPr>
        <w:t xml:space="preserve"> impossibility of </w:t>
      </w:r>
      <w:r w:rsidR="00CC4298">
        <w:rPr>
          <w:lang w:val="en-AU"/>
        </w:rPr>
        <w:t>executing</w:t>
      </w:r>
      <w:r w:rsidR="008D6EBB">
        <w:rPr>
          <w:lang w:val="en-AU"/>
        </w:rPr>
        <w:t xml:space="preserve"> a</w:t>
      </w:r>
      <w:r w:rsidRPr="00AF4B63">
        <w:rPr>
          <w:lang w:val="en-AU"/>
        </w:rPr>
        <w:t xml:space="preserve"> talion with an intent to change the intent of </w:t>
      </w:r>
      <w:r w:rsidRPr="00AF4B63">
        <w:rPr>
          <w:i/>
          <w:iCs/>
          <w:lang w:val="en-AU"/>
        </w:rPr>
        <w:t>lex talionis</w:t>
      </w:r>
      <w:r w:rsidRPr="00AF4B63">
        <w:rPr>
          <w:lang w:val="en-AU"/>
        </w:rPr>
        <w:t xml:space="preserve"> in Roman law.</w:t>
      </w:r>
      <w:r w:rsidRPr="00AF4B63">
        <w:rPr>
          <w:rStyle w:val="FootnoteReference"/>
          <w:lang w:val="en-AU"/>
        </w:rPr>
        <w:footnoteReference w:id="371"/>
      </w:r>
      <w:r w:rsidRPr="00AF4B63">
        <w:rPr>
          <w:lang w:val="en-AU"/>
        </w:rPr>
        <w:t xml:space="preserve"> Davis assert</w:t>
      </w:r>
      <w:r w:rsidR="001B3561" w:rsidRPr="00AF4B63">
        <w:rPr>
          <w:lang w:val="en-AU"/>
        </w:rPr>
        <w:t xml:space="preserve">s that Roman law </w:t>
      </w:r>
      <w:r w:rsidR="00106475" w:rsidRPr="00AF4B63">
        <w:rPr>
          <w:lang w:val="en-AU"/>
        </w:rPr>
        <w:t xml:space="preserve">sought </w:t>
      </w:r>
      <w:r w:rsidR="001B3561" w:rsidRPr="00AF4B63">
        <w:rPr>
          <w:lang w:val="en-AU"/>
        </w:rPr>
        <w:t>to quan</w:t>
      </w:r>
      <w:r w:rsidR="00106475" w:rsidRPr="00AF4B63">
        <w:rPr>
          <w:lang w:val="en-AU"/>
        </w:rPr>
        <w:t>t</w:t>
      </w:r>
      <w:r w:rsidR="001B3561" w:rsidRPr="00AF4B63">
        <w:rPr>
          <w:lang w:val="en-AU"/>
        </w:rPr>
        <w:t>ify justice to be exacted</w:t>
      </w:r>
      <w:r w:rsidRPr="00AF4B63">
        <w:rPr>
          <w:lang w:val="en-AU"/>
        </w:rPr>
        <w:t>.</w:t>
      </w:r>
      <w:r w:rsidRPr="00AF4B63">
        <w:rPr>
          <w:rStyle w:val="FootnoteReference"/>
          <w:lang w:val="en-AU"/>
        </w:rPr>
        <w:footnoteReference w:id="372"/>
      </w:r>
      <w:r w:rsidRPr="00AF4B63">
        <w:rPr>
          <w:lang w:val="en-AU"/>
        </w:rPr>
        <w:t xml:space="preserve"> Judaism</w:t>
      </w:r>
      <w:r w:rsidR="001B3561" w:rsidRPr="00AF4B63">
        <w:rPr>
          <w:lang w:val="en-AU"/>
        </w:rPr>
        <w:t xml:space="preserve"> had to adopt financial fines in the </w:t>
      </w:r>
      <w:r w:rsidR="001B3561" w:rsidRPr="00AF4B63">
        <w:rPr>
          <w:i/>
          <w:iCs/>
          <w:lang w:val="en-AU"/>
        </w:rPr>
        <w:t>Beit Din</w:t>
      </w:r>
      <w:r w:rsidR="001B3561" w:rsidRPr="00AF4B63">
        <w:rPr>
          <w:lang w:val="en-AU"/>
        </w:rPr>
        <w:t xml:space="preserve"> instead of physical </w:t>
      </w:r>
      <w:r w:rsidR="00E55FD8" w:rsidRPr="00AF4B63">
        <w:rPr>
          <w:lang w:val="en-AU"/>
        </w:rPr>
        <w:t>punishment</w:t>
      </w:r>
      <w:r w:rsidRPr="00AF4B63">
        <w:rPr>
          <w:lang w:val="en-AU"/>
        </w:rPr>
        <w:t>.</w:t>
      </w:r>
      <w:r w:rsidRPr="00AF4B63">
        <w:rPr>
          <w:rStyle w:val="FootnoteReference"/>
          <w:lang w:val="en-AU"/>
        </w:rPr>
        <w:footnoteReference w:id="373"/>
      </w:r>
      <w:r w:rsidRPr="00AF4B63">
        <w:rPr>
          <w:lang w:val="en-AU"/>
        </w:rPr>
        <w:t xml:space="preserve"> </w:t>
      </w:r>
      <w:r w:rsidR="00A65154" w:rsidRPr="00AF4B63">
        <w:rPr>
          <w:lang w:val="en-AU"/>
        </w:rPr>
        <w:t>Rome had legal jurisdiction and the</w:t>
      </w:r>
      <w:r w:rsidRPr="00AF4B63">
        <w:rPr>
          <w:lang w:val="en-AU"/>
        </w:rPr>
        <w:t xml:space="preserve"> </w:t>
      </w:r>
      <w:r w:rsidR="00E55FD8" w:rsidRPr="00AF4B63">
        <w:rPr>
          <w:lang w:val="en-AU"/>
        </w:rPr>
        <w:t>r</w:t>
      </w:r>
      <w:r w:rsidRPr="00AF4B63">
        <w:rPr>
          <w:lang w:val="en-AU"/>
        </w:rPr>
        <w:t xml:space="preserve">abbis preached against the use of </w:t>
      </w:r>
      <w:r w:rsidR="00FE7232" w:rsidRPr="00AF4B63">
        <w:rPr>
          <w:i/>
          <w:iCs/>
          <w:lang w:val="en-AU"/>
        </w:rPr>
        <w:t xml:space="preserve">Beit Din </w:t>
      </w:r>
      <w:r w:rsidRPr="00AF4B63">
        <w:rPr>
          <w:lang w:val="en-AU"/>
        </w:rPr>
        <w:t xml:space="preserve">courts, and several cases have been discovered in which these courts overruled the </w:t>
      </w:r>
      <w:r w:rsidR="00D124BF" w:rsidRPr="00AF4B63">
        <w:rPr>
          <w:lang w:val="en-AU"/>
        </w:rPr>
        <w:t xml:space="preserve">decision of a </w:t>
      </w:r>
      <w:r w:rsidRPr="00AF4B63">
        <w:rPr>
          <w:lang w:val="en-AU"/>
        </w:rPr>
        <w:t>rabbinic court.</w:t>
      </w:r>
      <w:r w:rsidRPr="00AF4B63">
        <w:rPr>
          <w:rStyle w:val="FootnoteReference"/>
          <w:lang w:val="en-AU"/>
        </w:rPr>
        <w:footnoteReference w:id="374"/>
      </w:r>
      <w:r w:rsidRPr="00AF4B63">
        <w:rPr>
          <w:lang w:val="en-AU"/>
        </w:rPr>
        <w:t xml:space="preserve"> </w:t>
      </w:r>
      <w:r w:rsidR="00A65154" w:rsidRPr="00AF4B63">
        <w:rPr>
          <w:lang w:val="en-AU"/>
        </w:rPr>
        <w:t xml:space="preserve">Ultimately, </w:t>
      </w:r>
      <w:r w:rsidR="00AF4B63" w:rsidRPr="00AF4B63">
        <w:rPr>
          <w:lang w:val="en-AU"/>
        </w:rPr>
        <w:t>t</w:t>
      </w:r>
      <w:r w:rsidR="00A65154" w:rsidRPr="00AF4B63">
        <w:rPr>
          <w:lang w:val="en-AU"/>
        </w:rPr>
        <w:t xml:space="preserve">he Roman law clipped the power of the Jewish courts. </w:t>
      </w:r>
    </w:p>
    <w:p w14:paraId="59B5C748" w14:textId="0B6810BE" w:rsidR="00E01243" w:rsidRPr="00AF4B63" w:rsidRDefault="00AF2E41" w:rsidP="0033335F">
      <w:pPr>
        <w:pStyle w:val="Heading2"/>
      </w:pPr>
      <w:bookmarkStart w:id="130" w:name="_Toc94537017"/>
      <w:bookmarkStart w:id="131" w:name="_Toc118063664"/>
      <w:r w:rsidRPr="00AF4B63">
        <w:t>6.5</w:t>
      </w:r>
      <w:r w:rsidR="00BE6BA3" w:rsidRPr="00AF4B63">
        <w:t xml:space="preserve"> Roman</w:t>
      </w:r>
      <w:r w:rsidR="00BE6BA3" w:rsidRPr="00AF4B63">
        <w:rPr>
          <w:i/>
        </w:rPr>
        <w:t xml:space="preserve"> </w:t>
      </w:r>
      <w:r w:rsidR="00BE6BA3" w:rsidRPr="00AF4B63">
        <w:t>Codes of Ruling and Governance Similar to</w:t>
      </w:r>
      <w:r w:rsidR="00BE6BA3" w:rsidRPr="00AF4B63">
        <w:rPr>
          <w:i/>
        </w:rPr>
        <w:t xml:space="preserve"> Lex Talionis</w:t>
      </w:r>
      <w:bookmarkEnd w:id="130"/>
      <w:bookmarkEnd w:id="131"/>
      <w:r w:rsidR="00BE6BA3" w:rsidRPr="00AF4B63">
        <w:t xml:space="preserve"> </w:t>
      </w:r>
    </w:p>
    <w:p w14:paraId="7F5455C5" w14:textId="27309727" w:rsidR="008D4202" w:rsidRPr="00AF4B63" w:rsidRDefault="00D124BF" w:rsidP="008D4202">
      <w:pPr>
        <w:spacing w:line="480" w:lineRule="auto"/>
        <w:ind w:firstLine="288"/>
        <w:contextualSpacing/>
        <w:rPr>
          <w:lang w:val="en-AU"/>
        </w:rPr>
      </w:pPr>
      <w:r w:rsidRPr="00AF4B63">
        <w:rPr>
          <w:iCs/>
          <w:lang w:val="en-AU"/>
        </w:rPr>
        <w:t>In Roman Law t</w:t>
      </w:r>
      <w:r w:rsidR="00BE6BA3" w:rsidRPr="00AF4B63">
        <w:rPr>
          <w:iCs/>
          <w:lang w:val="en-AU"/>
        </w:rPr>
        <w:t xml:space="preserve">here are codes and rules of governance from the Second Temple era that are </w:t>
      </w:r>
      <w:proofErr w:type="gramStart"/>
      <w:r w:rsidR="00BE6BA3" w:rsidRPr="00AF4B63">
        <w:rPr>
          <w:iCs/>
          <w:lang w:val="en-AU"/>
        </w:rPr>
        <w:t>similar to</w:t>
      </w:r>
      <w:proofErr w:type="gramEnd"/>
      <w:r w:rsidR="00BE6BA3" w:rsidRPr="00AF4B63">
        <w:rPr>
          <w:iCs/>
          <w:lang w:val="en-AU"/>
        </w:rPr>
        <w:t xml:space="preserve"> </w:t>
      </w:r>
      <w:r w:rsidR="00BE6BA3" w:rsidRPr="00AF4B63">
        <w:rPr>
          <w:i/>
          <w:lang w:val="en-AU"/>
        </w:rPr>
        <w:t>Mishna</w:t>
      </w:r>
      <w:r w:rsidR="00BE6BA3" w:rsidRPr="00AF4B63">
        <w:rPr>
          <w:iCs/>
          <w:lang w:val="en-AU"/>
        </w:rPr>
        <w:t>.</w:t>
      </w:r>
      <w:r w:rsidR="00BE6BA3" w:rsidRPr="00AF4B63">
        <w:rPr>
          <w:b/>
          <w:bCs/>
          <w:iCs/>
          <w:lang w:val="en-AU"/>
        </w:rPr>
        <w:t xml:space="preserve">  </w:t>
      </w:r>
      <w:r w:rsidR="00BE6BA3" w:rsidRPr="00AF4B63">
        <w:rPr>
          <w:iCs/>
          <w:lang w:val="en-AU"/>
        </w:rPr>
        <w:t>Roman Laws</w:t>
      </w:r>
      <w:r w:rsidR="00742E16">
        <w:rPr>
          <w:iCs/>
          <w:lang w:val="en-AU"/>
        </w:rPr>
        <w:t xml:space="preserve"> developed during the same political and cultural period that </w:t>
      </w:r>
      <w:r w:rsidR="00BE6BA3" w:rsidRPr="00AF4B63">
        <w:rPr>
          <w:i/>
          <w:lang w:val="en-AU"/>
        </w:rPr>
        <w:t>Mishna Bava Kamma</w:t>
      </w:r>
      <w:r w:rsidR="00742E16">
        <w:rPr>
          <w:iCs/>
          <w:lang w:val="en-AU"/>
        </w:rPr>
        <w:t xml:space="preserve"> developed; thus, there are overlaps in which the intellectual similarity develops the same way</w:t>
      </w:r>
      <w:r w:rsidR="00BE6BA3" w:rsidRPr="00AF4B63">
        <w:rPr>
          <w:i/>
          <w:lang w:val="en-AU"/>
        </w:rPr>
        <w:t xml:space="preserve">. </w:t>
      </w:r>
      <w:r w:rsidR="00BE6BA3" w:rsidRPr="00AF4B63">
        <w:rPr>
          <w:iCs/>
          <w:lang w:val="en-AU"/>
        </w:rPr>
        <w:t xml:space="preserve">Major research conducted by Boaz Cohen </w:t>
      </w:r>
      <w:r w:rsidR="00D33D30" w:rsidRPr="00AF4B63">
        <w:rPr>
          <w:iCs/>
          <w:lang w:val="en-AU"/>
        </w:rPr>
        <w:t xml:space="preserve">made </w:t>
      </w:r>
      <w:r w:rsidR="00BE6BA3" w:rsidRPr="00AF4B63">
        <w:rPr>
          <w:iCs/>
          <w:lang w:val="en-AU"/>
        </w:rPr>
        <w:t>connect</w:t>
      </w:r>
      <w:r w:rsidR="00D33D30" w:rsidRPr="00AF4B63">
        <w:rPr>
          <w:iCs/>
          <w:lang w:val="en-AU"/>
        </w:rPr>
        <w:t>ions</w:t>
      </w:r>
      <w:r w:rsidR="00BE6BA3" w:rsidRPr="00AF4B63">
        <w:rPr>
          <w:iCs/>
          <w:lang w:val="en-AU"/>
        </w:rPr>
        <w:t xml:space="preserve"> between Roman law and Jewish law.</w:t>
      </w:r>
      <w:r w:rsidR="00BE6BA3" w:rsidRPr="00AF4B63">
        <w:rPr>
          <w:rStyle w:val="FootnoteReference"/>
          <w:iCs/>
          <w:lang w:val="en-AU"/>
        </w:rPr>
        <w:footnoteReference w:id="375"/>
      </w:r>
      <w:r w:rsidR="00BE6BA3" w:rsidRPr="00AF4B63">
        <w:rPr>
          <w:iCs/>
          <w:lang w:val="en-AU"/>
        </w:rPr>
        <w:t xml:space="preserve"> Jonathan Pomeranz argues that </w:t>
      </w:r>
      <w:r w:rsidR="00742E16">
        <w:rPr>
          <w:iCs/>
          <w:lang w:val="en-AU"/>
        </w:rPr>
        <w:t xml:space="preserve">the development of </w:t>
      </w:r>
      <w:r w:rsidR="00BE6BA3" w:rsidRPr="00AF4B63">
        <w:rPr>
          <w:lang w:val="en-AU"/>
        </w:rPr>
        <w:t>Roman law</w:t>
      </w:r>
      <w:r w:rsidR="00742E16">
        <w:rPr>
          <w:lang w:val="en-AU"/>
        </w:rPr>
        <w:t xml:space="preserve"> specifically </w:t>
      </w:r>
      <w:r w:rsidR="00A65154" w:rsidRPr="00AF4B63">
        <w:rPr>
          <w:lang w:val="en-AU"/>
        </w:rPr>
        <w:t xml:space="preserve">influenced </w:t>
      </w:r>
      <w:r w:rsidR="00742E16">
        <w:rPr>
          <w:lang w:val="en-AU"/>
        </w:rPr>
        <w:t xml:space="preserve">how </w:t>
      </w:r>
      <w:r w:rsidR="00BE6BA3" w:rsidRPr="00AF4B63">
        <w:rPr>
          <w:lang w:val="en-AU"/>
        </w:rPr>
        <w:t xml:space="preserve">the </w:t>
      </w:r>
      <w:r w:rsidR="00CE46E8" w:rsidRPr="00AF4B63">
        <w:rPr>
          <w:i/>
          <w:iCs/>
          <w:lang w:val="en-AU"/>
        </w:rPr>
        <w:t>Mishnaic</w:t>
      </w:r>
      <w:r w:rsidR="00BE6BA3" w:rsidRPr="00AF4B63">
        <w:rPr>
          <w:lang w:val="en-AU"/>
        </w:rPr>
        <w:t xml:space="preserve"> law of personal injury</w:t>
      </w:r>
      <w:r w:rsidR="00742E16">
        <w:rPr>
          <w:lang w:val="en-AU"/>
        </w:rPr>
        <w:t xml:space="preserve"> </w:t>
      </w:r>
      <w:r w:rsidR="00742E16">
        <w:rPr>
          <w:lang w:val="en-AU"/>
        </w:rPr>
        <w:lastRenderedPageBreak/>
        <w:t xml:space="preserve">would </w:t>
      </w:r>
      <w:r w:rsidR="00CE46E8">
        <w:rPr>
          <w:lang w:val="en-AU"/>
        </w:rPr>
        <w:t>be developed, specifically, it was because of a similar cultural and political culture between at the time of writing.</w:t>
      </w:r>
      <w:r w:rsidR="00BE6BA3" w:rsidRPr="00AF4B63">
        <w:rPr>
          <w:rStyle w:val="FootnoteReference"/>
          <w:lang w:val="en-AU"/>
        </w:rPr>
        <w:footnoteReference w:id="376"/>
      </w:r>
    </w:p>
    <w:p w14:paraId="616B566F" w14:textId="77777777" w:rsidR="008D4202" w:rsidRPr="00AF4B63" w:rsidRDefault="00BE6BA3" w:rsidP="008D4202">
      <w:pPr>
        <w:spacing w:line="480" w:lineRule="auto"/>
        <w:ind w:firstLine="709"/>
        <w:rPr>
          <w:lang w:val="en-AU"/>
        </w:rPr>
      </w:pPr>
      <w:r w:rsidRPr="00AF4B63">
        <w:rPr>
          <w:lang w:val="en-AU"/>
        </w:rPr>
        <w:t>Pomeranz contends that rabbinic law diverged from biblical and Second Temple precedent in three areas.  Pomeranz writes:</w:t>
      </w:r>
    </w:p>
    <w:p w14:paraId="6BCE56E3" w14:textId="28DB0EB8" w:rsidR="00D25D36" w:rsidRPr="00AF4B63" w:rsidRDefault="00BE6BA3" w:rsidP="00E01243">
      <w:pPr>
        <w:pStyle w:val="Blockquotation"/>
        <w:rPr>
          <w:sz w:val="24"/>
          <w:lang w:val="en-AU"/>
        </w:rPr>
      </w:pPr>
      <w:r w:rsidRPr="00AF4B63">
        <w:rPr>
          <w:sz w:val="24"/>
          <w:lang w:val="en-AU"/>
        </w:rPr>
        <w:t xml:space="preserve">Rabbinic law diverges from biblical and Second Temple precedent but is </w:t>
      </w:r>
      <w:proofErr w:type="gramStart"/>
      <w:r w:rsidRPr="00AF4B63">
        <w:rPr>
          <w:sz w:val="24"/>
          <w:lang w:val="en-AU"/>
        </w:rPr>
        <w:t>similar to</w:t>
      </w:r>
      <w:proofErr w:type="gramEnd"/>
      <w:r w:rsidRPr="00AF4B63">
        <w:rPr>
          <w:sz w:val="24"/>
          <w:lang w:val="en-AU"/>
        </w:rPr>
        <w:t xml:space="preserve"> Roman law in the areas of </w:t>
      </w:r>
      <w:r w:rsidRPr="00AF4B63">
        <w:rPr>
          <w:i/>
          <w:sz w:val="24"/>
          <w:lang w:val="en-AU"/>
        </w:rPr>
        <w:t>nezek</w:t>
      </w:r>
      <w:r w:rsidRPr="00AF4B63">
        <w:rPr>
          <w:sz w:val="24"/>
          <w:lang w:val="en-AU"/>
        </w:rPr>
        <w:t xml:space="preserve"> (loss of value as a slave as a result of physical injury) and </w:t>
      </w:r>
      <w:r w:rsidRPr="00AF4B63">
        <w:rPr>
          <w:i/>
          <w:sz w:val="24"/>
          <w:lang w:val="en-AU"/>
        </w:rPr>
        <w:t>boshet</w:t>
      </w:r>
      <w:r w:rsidRPr="00AF4B63">
        <w:rPr>
          <w:sz w:val="24"/>
          <w:lang w:val="en-AU"/>
        </w:rPr>
        <w:t xml:space="preserve"> (damages for humiliation). The Bible knows of no monetary payment for </w:t>
      </w:r>
      <w:r w:rsidRPr="00AF4B63">
        <w:rPr>
          <w:i/>
          <w:sz w:val="24"/>
          <w:lang w:val="en-AU"/>
        </w:rPr>
        <w:t>boshet</w:t>
      </w:r>
      <w:r w:rsidRPr="00AF4B63">
        <w:rPr>
          <w:sz w:val="24"/>
          <w:lang w:val="en-AU"/>
        </w:rPr>
        <w:t xml:space="preserve"> and its basic provision for personal injury involves the </w:t>
      </w:r>
      <w:r w:rsidRPr="00AF4B63">
        <w:rPr>
          <w:i/>
          <w:iCs/>
          <w:sz w:val="24"/>
          <w:lang w:val="en-AU"/>
        </w:rPr>
        <w:t>lex talionis</w:t>
      </w:r>
      <w:r w:rsidRPr="00AF4B63">
        <w:rPr>
          <w:sz w:val="24"/>
          <w:lang w:val="en-AU"/>
        </w:rPr>
        <w:t xml:space="preserve"> (an eye for an eye), not the restitution to the victim of his loss of value as a slave. The payment for </w:t>
      </w:r>
      <w:r w:rsidRPr="00AF4B63">
        <w:rPr>
          <w:i/>
          <w:sz w:val="24"/>
          <w:lang w:val="en-AU"/>
        </w:rPr>
        <w:t>boshet</w:t>
      </w:r>
      <w:r w:rsidRPr="00AF4B63">
        <w:rPr>
          <w:sz w:val="24"/>
          <w:lang w:val="en-AU"/>
        </w:rPr>
        <w:t xml:space="preserve"> is absent in the Jewish literature of the Second Temple period as well, and while Josephus reports that the law allows the plaintiff to choose monetary compensation in place of the talion, no Second Temple source eliminates the talion outright.</w:t>
      </w:r>
      <w:r w:rsidRPr="00AF4B63">
        <w:rPr>
          <w:rStyle w:val="FootnoteReference"/>
          <w:sz w:val="24"/>
          <w:lang w:val="en-AU"/>
        </w:rPr>
        <w:footnoteReference w:id="377"/>
      </w:r>
    </w:p>
    <w:p w14:paraId="35394323" w14:textId="2D3C92DA" w:rsidR="008D4202" w:rsidRPr="00AF4B63" w:rsidRDefault="00BE6BA3" w:rsidP="008D4202">
      <w:pPr>
        <w:spacing w:line="480" w:lineRule="auto"/>
        <w:jc w:val="both"/>
        <w:rPr>
          <w:lang w:val="en-AU"/>
        </w:rPr>
      </w:pPr>
      <w:r w:rsidRPr="00AF4B63">
        <w:rPr>
          <w:iCs/>
          <w:lang w:val="en-AU"/>
        </w:rPr>
        <w:t xml:space="preserve">The </w:t>
      </w:r>
      <w:r w:rsidRPr="00AF4B63">
        <w:rPr>
          <w:i/>
          <w:lang w:val="en-AU"/>
        </w:rPr>
        <w:t>Lex Talionis</w:t>
      </w:r>
      <w:r w:rsidRPr="00AF4B63">
        <w:rPr>
          <w:iCs/>
          <w:lang w:val="en-AU"/>
        </w:rPr>
        <w:t xml:space="preserve"> did not </w:t>
      </w:r>
      <w:r w:rsidR="005E6F80" w:rsidRPr="00AF4B63">
        <w:rPr>
          <w:iCs/>
          <w:lang w:val="en-AU"/>
        </w:rPr>
        <w:t>prescribe</w:t>
      </w:r>
      <w:r w:rsidRPr="00AF4B63">
        <w:rPr>
          <w:iCs/>
          <w:lang w:val="en-AU"/>
        </w:rPr>
        <w:t xml:space="preserve"> a value of restitution for a victim; however, the practice </w:t>
      </w:r>
      <w:r w:rsidR="00FE7232" w:rsidRPr="00AF4B63">
        <w:rPr>
          <w:iCs/>
          <w:lang w:val="en-AU"/>
        </w:rPr>
        <w:t>entered future</w:t>
      </w:r>
      <w:r w:rsidRPr="00AF4B63">
        <w:rPr>
          <w:iCs/>
          <w:lang w:val="en-AU"/>
        </w:rPr>
        <w:t xml:space="preserve"> Jewish Mishnaic writing. </w:t>
      </w:r>
      <w:r w:rsidR="00B13E78">
        <w:rPr>
          <w:iCs/>
          <w:lang w:val="en-AU"/>
        </w:rPr>
        <w:t xml:space="preserve">Roman law protected people with a higher social class or status. </w:t>
      </w:r>
      <w:r w:rsidRPr="00AF4B63">
        <w:rPr>
          <w:iCs/>
          <w:lang w:val="en-AU"/>
        </w:rPr>
        <w:t>In</w:t>
      </w:r>
      <w:r w:rsidRPr="00AF4B63">
        <w:rPr>
          <w:lang w:val="en-AU"/>
        </w:rPr>
        <w:t xml:space="preserve"> Roman law, </w:t>
      </w:r>
      <w:r w:rsidRPr="00AF4B63">
        <w:rPr>
          <w:i/>
          <w:iCs/>
          <w:lang w:val="en-AU"/>
        </w:rPr>
        <w:t>iniuria</w:t>
      </w:r>
      <w:r w:rsidRPr="00AF4B63">
        <w:rPr>
          <w:lang w:val="en-AU"/>
        </w:rPr>
        <w:t xml:space="preserve"> </w:t>
      </w:r>
      <w:r w:rsidR="00B13E78">
        <w:rPr>
          <w:lang w:val="en-AU"/>
        </w:rPr>
        <w:t xml:space="preserve">was </w:t>
      </w:r>
      <w:r w:rsidRPr="00AF4B63">
        <w:rPr>
          <w:lang w:val="en-AU"/>
        </w:rPr>
        <w:t>aggravated (</w:t>
      </w:r>
      <w:r w:rsidRPr="00AF4B63">
        <w:rPr>
          <w:i/>
          <w:iCs/>
          <w:lang w:val="en-AU"/>
        </w:rPr>
        <w:t>atrox</w:t>
      </w:r>
      <w:r w:rsidRPr="00AF4B63">
        <w:rPr>
          <w:lang w:val="en-AU"/>
        </w:rPr>
        <w:t xml:space="preserve">) if it </w:t>
      </w:r>
      <w:r w:rsidR="00C33149" w:rsidRPr="00AF4B63">
        <w:rPr>
          <w:lang w:val="en-AU"/>
        </w:rPr>
        <w:t>wa</w:t>
      </w:r>
      <w:r w:rsidRPr="00AF4B63">
        <w:rPr>
          <w:lang w:val="en-AU"/>
        </w:rPr>
        <w:t>s inflicted on a magistrate, a parent, or one</w:t>
      </w:r>
      <w:r w:rsidR="005C71CB" w:rsidRPr="00AF4B63">
        <w:rPr>
          <w:lang w:val="en-AU"/>
        </w:rPr>
        <w:t>’</w:t>
      </w:r>
      <w:r w:rsidRPr="00AF4B63">
        <w:rPr>
          <w:lang w:val="en-AU"/>
        </w:rPr>
        <w:t>s patron.</w:t>
      </w:r>
      <w:r w:rsidRPr="00AF4B63">
        <w:rPr>
          <w:rStyle w:val="FootnoteReference"/>
          <w:lang w:val="en-AU"/>
        </w:rPr>
        <w:footnoteReference w:id="378"/>
      </w:r>
      <w:r w:rsidRPr="00AF4B63">
        <w:rPr>
          <w:lang w:val="en-AU"/>
        </w:rPr>
        <w:t xml:space="preserve"> </w:t>
      </w:r>
    </w:p>
    <w:p w14:paraId="70D1624A" w14:textId="7B8BB9D3" w:rsidR="008D4202" w:rsidRPr="00AF4B63" w:rsidRDefault="00BE6BA3" w:rsidP="008D4202">
      <w:pPr>
        <w:spacing w:line="480" w:lineRule="auto"/>
        <w:ind w:firstLine="720"/>
        <w:rPr>
          <w:lang w:val="en-AU"/>
        </w:rPr>
      </w:pPr>
      <w:r w:rsidRPr="00AF4B63">
        <w:rPr>
          <w:lang w:val="en-AU"/>
        </w:rPr>
        <w:t xml:space="preserve">Roman law around the time of the </w:t>
      </w:r>
      <w:r w:rsidRPr="00AF4B63">
        <w:rPr>
          <w:i/>
          <w:iCs/>
          <w:lang w:val="en-AU"/>
        </w:rPr>
        <w:t>Mishna</w:t>
      </w:r>
      <w:r w:rsidRPr="00AF4B63">
        <w:rPr>
          <w:lang w:val="en-AU"/>
        </w:rPr>
        <w:t xml:space="preserve"> had two main legal provisions that dealt with injury which are </w:t>
      </w:r>
      <w:proofErr w:type="gramStart"/>
      <w:r w:rsidRPr="00AF4B63">
        <w:rPr>
          <w:lang w:val="en-AU"/>
        </w:rPr>
        <w:t>similar to</w:t>
      </w:r>
      <w:proofErr w:type="gramEnd"/>
      <w:r w:rsidRPr="00AF4B63">
        <w:rPr>
          <w:lang w:val="en-AU"/>
        </w:rPr>
        <w:t xml:space="preserve"> </w:t>
      </w:r>
      <w:r w:rsidRPr="00AF4B63">
        <w:rPr>
          <w:i/>
          <w:iCs/>
          <w:lang w:val="en-AU"/>
        </w:rPr>
        <w:t>Lex Talionis</w:t>
      </w:r>
      <w:r w:rsidRPr="00AF4B63">
        <w:rPr>
          <w:lang w:val="en-AU"/>
        </w:rPr>
        <w:t>.</w:t>
      </w:r>
      <w:r w:rsidRPr="00AF4B63">
        <w:rPr>
          <w:rStyle w:val="FootnoteReference"/>
          <w:lang w:val="en-AU"/>
        </w:rPr>
        <w:footnoteReference w:id="379"/>
      </w:r>
      <w:r w:rsidRPr="00AF4B63">
        <w:rPr>
          <w:lang w:val="en-AU"/>
        </w:rPr>
        <w:t xml:space="preserve"> </w:t>
      </w:r>
      <w:r w:rsidR="002F0E4F" w:rsidRPr="002F0E4F">
        <w:rPr>
          <w:lang w:val="en-AU"/>
        </w:rPr>
        <w:t>Pomeranz</w:t>
      </w:r>
      <w:r w:rsidR="002F0E4F" w:rsidRPr="00AF4B63">
        <w:rPr>
          <w:lang w:val="en-AU"/>
        </w:rPr>
        <w:t xml:space="preserve"> </w:t>
      </w:r>
      <w:r w:rsidR="002F0E4F">
        <w:rPr>
          <w:lang w:val="en-AU"/>
        </w:rPr>
        <w:t>suggest that t</w:t>
      </w:r>
      <w:r w:rsidRPr="00AF4B63">
        <w:rPr>
          <w:lang w:val="en-AU"/>
        </w:rPr>
        <w:t xml:space="preserve">o make claims of injury in Roman law, </w:t>
      </w:r>
      <w:r w:rsidR="002F0E4F">
        <w:rPr>
          <w:lang w:val="en-AU"/>
        </w:rPr>
        <w:t>“</w:t>
      </w:r>
      <w:r w:rsidRPr="00AF4B63">
        <w:rPr>
          <w:lang w:val="en-AU"/>
        </w:rPr>
        <w:t xml:space="preserve">a free person had an action for </w:t>
      </w:r>
      <w:r w:rsidRPr="00AF4B63">
        <w:rPr>
          <w:i/>
          <w:iCs/>
          <w:lang w:val="en-AU"/>
        </w:rPr>
        <w:t>iniuria</w:t>
      </w:r>
      <w:r w:rsidRPr="00AF4B63">
        <w:rPr>
          <w:lang w:val="en-AU"/>
        </w:rPr>
        <w:t>, insulting behavio</w:t>
      </w:r>
      <w:r w:rsidR="005901EB" w:rsidRPr="00AF4B63">
        <w:rPr>
          <w:lang w:val="en-AU"/>
        </w:rPr>
        <w:t>u</w:t>
      </w:r>
      <w:r w:rsidRPr="00AF4B63">
        <w:rPr>
          <w:lang w:val="en-AU"/>
        </w:rPr>
        <w:t xml:space="preserve">r that harmed another person either physically or </w:t>
      </w:r>
      <w:r w:rsidR="008E41DB" w:rsidRPr="00AF4B63">
        <w:rPr>
          <w:lang w:val="en-AU"/>
        </w:rPr>
        <w:t>by using</w:t>
      </w:r>
      <w:r w:rsidRPr="00AF4B63">
        <w:rPr>
          <w:lang w:val="en-AU"/>
        </w:rPr>
        <w:t xml:space="preserve"> words. The Roman laws of </w:t>
      </w:r>
      <w:r w:rsidRPr="00AF4B63">
        <w:rPr>
          <w:i/>
          <w:iCs/>
          <w:lang w:val="en-AU"/>
        </w:rPr>
        <w:t>iniuria</w:t>
      </w:r>
      <w:r w:rsidRPr="00AF4B63">
        <w:rPr>
          <w:lang w:val="en-AU"/>
        </w:rPr>
        <w:t xml:space="preserve"> developed </w:t>
      </w:r>
      <w:r w:rsidRPr="00AF4B63">
        <w:rPr>
          <w:lang w:val="en-AU"/>
        </w:rPr>
        <w:lastRenderedPageBreak/>
        <w:t>through a series of praetorian edicts</w:t>
      </w:r>
      <w:r w:rsidR="002F0E4F">
        <w:rPr>
          <w:lang w:val="en-AU"/>
        </w:rPr>
        <w:t>”</w:t>
      </w:r>
      <w:r w:rsidR="002F0E4F">
        <w:rPr>
          <w:rStyle w:val="FootnoteReference"/>
          <w:lang w:val="en-AU"/>
        </w:rPr>
        <w:footnoteReference w:id="380"/>
      </w:r>
      <w:r w:rsidRPr="00AF4B63">
        <w:rPr>
          <w:lang w:val="en-AU"/>
        </w:rPr>
        <w:t xml:space="preserve"> Joseph Plescia</w:t>
      </w:r>
      <w:r w:rsidR="005C71CB" w:rsidRPr="00AF4B63">
        <w:rPr>
          <w:lang w:val="en-AU"/>
        </w:rPr>
        <w:t>’</w:t>
      </w:r>
      <w:r w:rsidRPr="00AF4B63">
        <w:rPr>
          <w:lang w:val="en-AU"/>
        </w:rPr>
        <w:t xml:space="preserve">s work on Roman law explains how claims of tort law </w:t>
      </w:r>
      <w:r w:rsidR="008E41DB" w:rsidRPr="00AF4B63">
        <w:rPr>
          <w:lang w:val="en-AU"/>
        </w:rPr>
        <w:t>we</w:t>
      </w:r>
      <w:r w:rsidRPr="00AF4B63">
        <w:rPr>
          <w:lang w:val="en-AU"/>
        </w:rPr>
        <w:t xml:space="preserve">re adjudicated, </w:t>
      </w:r>
      <w:r w:rsidR="00863B47" w:rsidRPr="00AF4B63">
        <w:rPr>
          <w:lang w:val="en-AU"/>
        </w:rPr>
        <w:t>“</w:t>
      </w:r>
      <w:r w:rsidRPr="00AF4B63">
        <w:rPr>
          <w:lang w:val="en-AU"/>
        </w:rPr>
        <w:t xml:space="preserve">Whoever brings a law-suit for </w:t>
      </w:r>
      <w:r w:rsidRPr="00AF4B63">
        <w:rPr>
          <w:i/>
          <w:iCs/>
          <w:lang w:val="en-AU"/>
        </w:rPr>
        <w:t>iniuriae,</w:t>
      </w:r>
      <w:r w:rsidRPr="00AF4B63">
        <w:rPr>
          <w:lang w:val="en-AU"/>
        </w:rPr>
        <w:t xml:space="preserve"> let him clearly report all the specific facts which caused the </w:t>
      </w:r>
      <w:r w:rsidRPr="00AF4B63">
        <w:rPr>
          <w:i/>
          <w:iCs/>
          <w:lang w:val="en-AU"/>
        </w:rPr>
        <w:t>iniuriae</w:t>
      </w:r>
      <w:r w:rsidRPr="00AF4B63">
        <w:rPr>
          <w:lang w:val="en-AU"/>
        </w:rPr>
        <w:t>, and let him propose a penalty of not less than what was the bail.</w:t>
      </w:r>
      <w:r w:rsidR="00863B47" w:rsidRPr="00AF4B63">
        <w:rPr>
          <w:lang w:val="en-AU"/>
        </w:rPr>
        <w:t>”</w:t>
      </w:r>
      <w:r w:rsidRPr="00AF4B63">
        <w:rPr>
          <w:rStyle w:val="FootnoteReference"/>
          <w:lang w:val="en-AU"/>
        </w:rPr>
        <w:footnoteReference w:id="381"/>
      </w:r>
      <w:r w:rsidRPr="00AF4B63">
        <w:rPr>
          <w:lang w:val="en-AU"/>
        </w:rPr>
        <w:t xml:space="preserve"> </w:t>
      </w:r>
      <w:r w:rsidR="002F0E4F" w:rsidRPr="002F0E4F">
        <w:rPr>
          <w:lang w:val="en-AU"/>
        </w:rPr>
        <w:t>Pomeranz</w:t>
      </w:r>
      <w:r w:rsidR="002F0E4F">
        <w:rPr>
          <w:lang w:val="en-AU"/>
        </w:rPr>
        <w:t xml:space="preserve"> suggest that t</w:t>
      </w:r>
      <w:r w:rsidRPr="00AF4B63">
        <w:rPr>
          <w:lang w:val="en-AU"/>
        </w:rPr>
        <w:t xml:space="preserve">he development of Roman Law indicated that </w:t>
      </w:r>
      <w:r w:rsidR="002F0E4F">
        <w:rPr>
          <w:lang w:val="en-AU"/>
        </w:rPr>
        <w:t>“</w:t>
      </w:r>
      <w:r w:rsidRPr="00AF4B63">
        <w:rPr>
          <w:lang w:val="en-AU"/>
        </w:rPr>
        <w:t>striking another person</w:t>
      </w:r>
      <w:r w:rsidR="005C71CB" w:rsidRPr="00AF4B63">
        <w:rPr>
          <w:lang w:val="en-AU"/>
        </w:rPr>
        <w:t>’</w:t>
      </w:r>
      <w:r w:rsidRPr="00AF4B63">
        <w:rPr>
          <w:lang w:val="en-AU"/>
        </w:rPr>
        <w:t xml:space="preserve">s face was considered </w:t>
      </w:r>
      <w:r w:rsidRPr="00AF4B63">
        <w:rPr>
          <w:i/>
          <w:iCs/>
          <w:lang w:val="en-AU"/>
        </w:rPr>
        <w:t>atrox</w:t>
      </w:r>
      <w:r w:rsidRPr="00AF4B63">
        <w:rPr>
          <w:lang w:val="en-AU"/>
        </w:rPr>
        <w:t xml:space="preserve"> (aggravated) </w:t>
      </w:r>
      <w:r w:rsidRPr="00AF4B63">
        <w:rPr>
          <w:i/>
          <w:iCs/>
          <w:lang w:val="en-AU"/>
        </w:rPr>
        <w:t>iniuria</w:t>
      </w:r>
      <w:r w:rsidRPr="00AF4B63">
        <w:rPr>
          <w:lang w:val="en-AU"/>
        </w:rPr>
        <w:t xml:space="preserve"> and was dealt with especially harshly.</w:t>
      </w:r>
      <w:r w:rsidR="002F0E4F">
        <w:rPr>
          <w:lang w:val="en-AU"/>
        </w:rPr>
        <w:t>”</w:t>
      </w:r>
      <w:r w:rsidR="002F0E4F">
        <w:rPr>
          <w:rStyle w:val="FootnoteReference"/>
          <w:lang w:val="en-AU"/>
        </w:rPr>
        <w:footnoteReference w:id="382"/>
      </w:r>
      <w:r w:rsidRPr="00AF4B63">
        <w:rPr>
          <w:lang w:val="en-AU"/>
        </w:rPr>
        <w:t xml:space="preserve"> </w:t>
      </w:r>
      <w:r w:rsidR="006B482F" w:rsidRPr="002F0E4F">
        <w:rPr>
          <w:lang w:val="en-AU"/>
        </w:rPr>
        <w:t>Pomeranz</w:t>
      </w:r>
      <w:r w:rsidR="006B482F" w:rsidRPr="00AF4B63">
        <w:rPr>
          <w:lang w:val="en-AU"/>
        </w:rPr>
        <w:t xml:space="preserve"> </w:t>
      </w:r>
      <w:r w:rsidR="006B482F">
        <w:rPr>
          <w:lang w:val="en-AU"/>
        </w:rPr>
        <w:t xml:space="preserve">also suggest that </w:t>
      </w:r>
      <w:r w:rsidRPr="00AF4B63">
        <w:rPr>
          <w:lang w:val="en-AU"/>
        </w:rPr>
        <w:t xml:space="preserve">provisions (47.10.7.8) for </w:t>
      </w:r>
      <w:r w:rsidRPr="00AF4B63">
        <w:rPr>
          <w:i/>
          <w:iCs/>
          <w:lang w:val="en-AU"/>
        </w:rPr>
        <w:t>iniuria</w:t>
      </w:r>
      <w:r w:rsidRPr="00AF4B63">
        <w:rPr>
          <w:lang w:val="en-AU"/>
        </w:rPr>
        <w:t xml:space="preserve"> were covered under the </w:t>
      </w:r>
      <w:r w:rsidRPr="00AF4B63">
        <w:rPr>
          <w:i/>
          <w:iCs/>
          <w:lang w:val="en-AU"/>
        </w:rPr>
        <w:t>Lex Cornelia de Iniuriis</w:t>
      </w:r>
      <w:r w:rsidRPr="00AF4B63">
        <w:rPr>
          <w:lang w:val="en-AU"/>
        </w:rPr>
        <w:t xml:space="preserve"> of 81 BCE which gave people civil rights </w:t>
      </w:r>
      <w:r w:rsidR="008E41DB" w:rsidRPr="00AF4B63">
        <w:rPr>
          <w:lang w:val="en-AU"/>
        </w:rPr>
        <w:t>to protect them from</w:t>
      </w:r>
      <w:r w:rsidRPr="00AF4B63">
        <w:rPr>
          <w:lang w:val="en-AU"/>
        </w:rPr>
        <w:t xml:space="preserve"> forced home invasion.</w:t>
      </w:r>
      <w:r w:rsidR="006B482F">
        <w:rPr>
          <w:rStyle w:val="FootnoteReference"/>
          <w:lang w:val="en-AU"/>
        </w:rPr>
        <w:footnoteReference w:id="383"/>
      </w:r>
      <w:r w:rsidRPr="00AF4B63">
        <w:rPr>
          <w:lang w:val="en-AU"/>
        </w:rPr>
        <w:t xml:space="preserve">  </w:t>
      </w:r>
    </w:p>
    <w:p w14:paraId="24FA4C9C" w14:textId="6AC212B3" w:rsidR="007634F3" w:rsidRPr="009E7B69" w:rsidRDefault="00AF2E41" w:rsidP="0033335F">
      <w:pPr>
        <w:pStyle w:val="Heading2"/>
      </w:pPr>
      <w:bookmarkStart w:id="132" w:name="_Toc94537018"/>
      <w:bookmarkStart w:id="133" w:name="_Toc118063665"/>
      <w:r w:rsidRPr="009E7B69">
        <w:t xml:space="preserve">6.6 </w:t>
      </w:r>
      <w:r w:rsidR="00BE6BA3" w:rsidRPr="009E7B69">
        <w:t xml:space="preserve">Jewish Citizenry Living </w:t>
      </w:r>
      <w:r w:rsidR="00F2221B" w:rsidRPr="009E7B69">
        <w:t>Under</w:t>
      </w:r>
      <w:r w:rsidR="00BE6BA3" w:rsidRPr="009E7B69">
        <w:t xml:space="preserve"> Roman Law</w:t>
      </w:r>
      <w:bookmarkEnd w:id="132"/>
      <w:bookmarkEnd w:id="133"/>
      <w:r w:rsidR="00BE6BA3" w:rsidRPr="009E7B69">
        <w:t xml:space="preserve"> </w:t>
      </w:r>
    </w:p>
    <w:p w14:paraId="2BB4A326" w14:textId="79018308" w:rsidR="008D4202" w:rsidRPr="00AF4B63" w:rsidRDefault="00BE6BA3" w:rsidP="007634F3">
      <w:pPr>
        <w:spacing w:line="480" w:lineRule="auto"/>
        <w:ind w:firstLine="720"/>
        <w:contextualSpacing/>
        <w:rPr>
          <w:lang w:val="en-AU"/>
        </w:rPr>
      </w:pPr>
      <w:r w:rsidRPr="00AF4B63">
        <w:rPr>
          <w:lang w:val="en-AU"/>
        </w:rPr>
        <w:t xml:space="preserve">Jewish </w:t>
      </w:r>
      <w:r w:rsidR="00AD0BF8" w:rsidRPr="00AF4B63">
        <w:rPr>
          <w:lang w:val="en-AU"/>
        </w:rPr>
        <w:t>subjects</w:t>
      </w:r>
      <w:r w:rsidRPr="00AF4B63">
        <w:rPr>
          <w:lang w:val="en-AU"/>
        </w:rPr>
        <w:t xml:space="preserve"> living </w:t>
      </w:r>
      <w:r w:rsidR="00AD0BF8" w:rsidRPr="00AF4B63">
        <w:rPr>
          <w:lang w:val="en-AU"/>
        </w:rPr>
        <w:t xml:space="preserve">in Roman territory were </w:t>
      </w:r>
      <w:r w:rsidRPr="00AF4B63">
        <w:rPr>
          <w:lang w:val="en-AU"/>
        </w:rPr>
        <w:t xml:space="preserve">subject to Roman Law </w:t>
      </w:r>
      <w:r w:rsidR="00C61DBE" w:rsidRPr="00AF4B63">
        <w:rPr>
          <w:lang w:val="en-AU"/>
        </w:rPr>
        <w:t xml:space="preserve">but </w:t>
      </w:r>
      <w:r w:rsidRPr="00AF4B63">
        <w:rPr>
          <w:lang w:val="en-AU"/>
        </w:rPr>
        <w:t xml:space="preserve">had certain rights restricted.  The power of Jewish law was limited while the reach and power of Roman law covered both Jews and Romans.  During </w:t>
      </w:r>
      <w:r w:rsidR="00CA6E09" w:rsidRPr="00AF4B63">
        <w:rPr>
          <w:lang w:val="en-AU"/>
        </w:rPr>
        <w:t xml:space="preserve">the Tannaitic Period (10 CE–220 CE) </w:t>
      </w:r>
      <w:r w:rsidR="007D2950" w:rsidRPr="00AF4B63">
        <w:rPr>
          <w:lang w:val="en-AU"/>
        </w:rPr>
        <w:t xml:space="preserve">the Jews had less autonomy from </w:t>
      </w:r>
      <w:r w:rsidR="00831384" w:rsidRPr="00AF4B63">
        <w:rPr>
          <w:lang w:val="en-AU"/>
        </w:rPr>
        <w:t>Rome</w:t>
      </w:r>
      <w:r w:rsidR="00831384" w:rsidRPr="00AF4B63" w:rsidDel="00CA6E09">
        <w:rPr>
          <w:lang w:val="en-AU"/>
        </w:rPr>
        <w:t xml:space="preserve"> </w:t>
      </w:r>
      <w:r w:rsidR="00574006" w:rsidRPr="00AF4B63">
        <w:rPr>
          <w:lang w:val="en-AU"/>
        </w:rPr>
        <w:t xml:space="preserve">and their </w:t>
      </w:r>
      <w:r w:rsidR="007D2950" w:rsidRPr="00AF4B63">
        <w:rPr>
          <w:lang w:val="en-AU"/>
        </w:rPr>
        <w:t>practi</w:t>
      </w:r>
      <w:r w:rsidR="00574006" w:rsidRPr="00AF4B63">
        <w:rPr>
          <w:lang w:val="en-AU"/>
        </w:rPr>
        <w:t>c</w:t>
      </w:r>
      <w:r w:rsidR="007D2950" w:rsidRPr="00AF4B63">
        <w:rPr>
          <w:lang w:val="en-AU"/>
        </w:rPr>
        <w:t xml:space="preserve">e </w:t>
      </w:r>
      <w:r w:rsidR="007769BE" w:rsidRPr="00AF4B63">
        <w:rPr>
          <w:lang w:val="en-AU"/>
        </w:rPr>
        <w:t xml:space="preserve">of </w:t>
      </w:r>
      <w:r w:rsidRPr="00AF4B63">
        <w:rPr>
          <w:lang w:val="en-AU"/>
        </w:rPr>
        <w:t>the rabbinic law</w:t>
      </w:r>
      <w:r w:rsidR="007769BE" w:rsidRPr="00AF4B63">
        <w:rPr>
          <w:lang w:val="en-AU"/>
        </w:rPr>
        <w:t xml:space="preserve"> was restricted</w:t>
      </w:r>
      <w:r w:rsidRPr="00AF4B63">
        <w:rPr>
          <w:lang w:val="en-AU"/>
        </w:rPr>
        <w:t>.</w:t>
      </w:r>
      <w:r w:rsidRPr="00AF4B63">
        <w:rPr>
          <w:rStyle w:val="FootnoteReference"/>
          <w:lang w:val="en-AU"/>
        </w:rPr>
        <w:footnoteReference w:id="384"/>
      </w:r>
      <w:r w:rsidRPr="00AF4B63">
        <w:rPr>
          <w:lang w:val="en-AU"/>
        </w:rPr>
        <w:t xml:space="preserve"> Jewish rabbis lived under Roman law and had to be equitable in justice according to both laws. The role of hono</w:t>
      </w:r>
      <w:r w:rsidR="007769BE" w:rsidRPr="00AF4B63">
        <w:rPr>
          <w:lang w:val="en-AU"/>
        </w:rPr>
        <w:t>u</w:t>
      </w:r>
      <w:r w:rsidRPr="00AF4B63">
        <w:rPr>
          <w:lang w:val="en-AU"/>
        </w:rPr>
        <w:t xml:space="preserve">r in the Roman Empire influenced the rabbis and </w:t>
      </w:r>
      <w:r w:rsidR="007769BE" w:rsidRPr="00AF4B63">
        <w:rPr>
          <w:lang w:val="en-AU"/>
        </w:rPr>
        <w:t xml:space="preserve">the values of </w:t>
      </w:r>
      <w:r w:rsidR="00BC5B17" w:rsidRPr="00AF4B63">
        <w:rPr>
          <w:lang w:val="en-AU"/>
        </w:rPr>
        <w:t>the Jewish</w:t>
      </w:r>
      <w:r w:rsidRPr="00AF4B63">
        <w:rPr>
          <w:lang w:val="en-AU"/>
        </w:rPr>
        <w:t xml:space="preserve"> </w:t>
      </w:r>
      <w:r w:rsidR="00717DA8" w:rsidRPr="00AF4B63">
        <w:rPr>
          <w:lang w:val="en-AU"/>
        </w:rPr>
        <w:lastRenderedPageBreak/>
        <w:t>people</w:t>
      </w:r>
      <w:r w:rsidRPr="00AF4B63">
        <w:rPr>
          <w:lang w:val="en-AU"/>
        </w:rPr>
        <w:t xml:space="preserve"> as they became eligible for Roman </w:t>
      </w:r>
      <w:r w:rsidR="00717DA8" w:rsidRPr="00AF4B63">
        <w:rPr>
          <w:lang w:val="en-AU"/>
        </w:rPr>
        <w:t>c</w:t>
      </w:r>
      <w:r w:rsidRPr="00AF4B63">
        <w:rPr>
          <w:lang w:val="en-AU"/>
        </w:rPr>
        <w:t>itizenship.</w:t>
      </w:r>
      <w:r w:rsidRPr="00AF4B63">
        <w:rPr>
          <w:rStyle w:val="FootnoteReference"/>
          <w:lang w:val="en-AU"/>
        </w:rPr>
        <w:footnoteReference w:id="385"/>
      </w:r>
      <w:r w:rsidRPr="00AF4B63">
        <w:rPr>
          <w:lang w:val="en-AU"/>
        </w:rPr>
        <w:t xml:space="preserve"> </w:t>
      </w:r>
      <w:r w:rsidR="007D2950" w:rsidRPr="00AF4B63">
        <w:rPr>
          <w:lang w:val="en-AU"/>
        </w:rPr>
        <w:t>After</w:t>
      </w:r>
      <w:r w:rsidRPr="00AF4B63">
        <w:rPr>
          <w:lang w:val="en-AU"/>
        </w:rPr>
        <w:t xml:space="preserve"> the incorporation of Judea and Galilee into direct Roman administration </w:t>
      </w:r>
      <w:r w:rsidR="00903D5C" w:rsidRPr="00AF4B63">
        <w:rPr>
          <w:lang w:val="en-AU"/>
        </w:rPr>
        <w:t>under</w:t>
      </w:r>
      <w:r w:rsidRPr="00AF4B63">
        <w:rPr>
          <w:lang w:val="en-AU"/>
        </w:rPr>
        <w:t xml:space="preserve"> </w:t>
      </w:r>
      <w:r w:rsidR="007D2950" w:rsidRPr="00AF4B63">
        <w:rPr>
          <w:lang w:val="en-AU"/>
        </w:rPr>
        <w:t xml:space="preserve">the </w:t>
      </w:r>
      <w:r w:rsidRPr="00AF4B63">
        <w:rPr>
          <w:lang w:val="en-AU"/>
        </w:rPr>
        <w:t xml:space="preserve">Roman Empire </w:t>
      </w:r>
      <w:r w:rsidR="00282A44" w:rsidRPr="00AF4B63">
        <w:rPr>
          <w:lang w:val="en-AU"/>
        </w:rPr>
        <w:t xml:space="preserve">in </w:t>
      </w:r>
      <w:r w:rsidRPr="00AF4B63">
        <w:rPr>
          <w:lang w:val="en-AU"/>
        </w:rPr>
        <w:t xml:space="preserve">6 CE, Jews lived with partial autonomy until 28 CE when the Jews lost the right to judge their own people, including capital offenders. After this, Jewish ethics developed against a background of Roman law.  </w:t>
      </w:r>
    </w:p>
    <w:p w14:paraId="4BE3C2CB" w14:textId="10FE923B" w:rsidR="008D4202" w:rsidRPr="00AF4B63" w:rsidRDefault="00EC71E1" w:rsidP="008D4202">
      <w:pPr>
        <w:spacing w:line="480" w:lineRule="auto"/>
        <w:ind w:firstLine="720"/>
        <w:contextualSpacing/>
        <w:rPr>
          <w:lang w:val="en-AU"/>
        </w:rPr>
      </w:pPr>
      <w:r w:rsidRPr="00AF4B63">
        <w:rPr>
          <w:lang w:val="en-AU"/>
        </w:rPr>
        <w:t xml:space="preserve">Accessibility of Roman </w:t>
      </w:r>
      <w:r w:rsidR="00BE6BA3" w:rsidRPr="00AF4B63">
        <w:rPr>
          <w:lang w:val="en-AU"/>
        </w:rPr>
        <w:t xml:space="preserve">citizenship </w:t>
      </w:r>
      <w:r w:rsidRPr="00AF4B63">
        <w:rPr>
          <w:lang w:val="en-AU"/>
        </w:rPr>
        <w:t xml:space="preserve">to Jews </w:t>
      </w:r>
      <w:r w:rsidR="00BE6BA3" w:rsidRPr="00AF4B63">
        <w:rPr>
          <w:lang w:val="en-AU"/>
        </w:rPr>
        <w:t>was limited</w:t>
      </w:r>
      <w:r w:rsidR="003F47F8" w:rsidRPr="00AF4B63">
        <w:rPr>
          <w:lang w:val="en-AU"/>
        </w:rPr>
        <w:t xml:space="preserve"> before the time of Jesus</w:t>
      </w:r>
      <w:r w:rsidR="00BE6BA3" w:rsidRPr="00AF4B63">
        <w:rPr>
          <w:lang w:val="en-AU"/>
        </w:rPr>
        <w:t xml:space="preserve">. </w:t>
      </w:r>
      <w:r w:rsidR="00B13E78">
        <w:rPr>
          <w:lang w:val="en-AU"/>
        </w:rPr>
        <w:t xml:space="preserve">Before the year </w:t>
      </w:r>
      <w:r w:rsidR="00BE6BA3" w:rsidRPr="00AF4B63">
        <w:rPr>
          <w:lang w:val="en-AU"/>
        </w:rPr>
        <w:t xml:space="preserve">70 CE, </w:t>
      </w:r>
      <w:proofErr w:type="gramStart"/>
      <w:r w:rsidR="00B13E78">
        <w:rPr>
          <w:lang w:val="en-AU"/>
        </w:rPr>
        <w:t>the majority of</w:t>
      </w:r>
      <w:proofErr w:type="gramEnd"/>
      <w:r w:rsidR="00B13E78">
        <w:rPr>
          <w:lang w:val="en-AU"/>
        </w:rPr>
        <w:t xml:space="preserve"> </w:t>
      </w:r>
      <w:r w:rsidR="00BE6BA3" w:rsidRPr="00AF4B63">
        <w:rPr>
          <w:lang w:val="en-AU"/>
        </w:rPr>
        <w:t xml:space="preserve">Jews in </w:t>
      </w:r>
      <w:r w:rsidR="00B13E78">
        <w:rPr>
          <w:lang w:val="en-AU"/>
        </w:rPr>
        <w:t xml:space="preserve">the region known as </w:t>
      </w:r>
      <w:r w:rsidR="00BE6BA3" w:rsidRPr="00AF4B63">
        <w:rPr>
          <w:lang w:val="en-AU"/>
        </w:rPr>
        <w:t xml:space="preserve">Palestine </w:t>
      </w:r>
      <w:r w:rsidR="00B13E78">
        <w:rPr>
          <w:lang w:val="en-AU"/>
        </w:rPr>
        <w:t xml:space="preserve">did not have citizenship in the </w:t>
      </w:r>
      <w:r w:rsidRPr="00AF4B63">
        <w:rPr>
          <w:lang w:val="en-AU"/>
        </w:rPr>
        <w:t>e</w:t>
      </w:r>
      <w:r w:rsidR="00BE6BA3" w:rsidRPr="00AF4B63">
        <w:rPr>
          <w:lang w:val="en-AU"/>
        </w:rPr>
        <w:t>mpire</w:t>
      </w:r>
      <w:r w:rsidR="00B13E78">
        <w:rPr>
          <w:lang w:val="en-AU"/>
        </w:rPr>
        <w:t xml:space="preserve">; therefore, they could not have direct access to the </w:t>
      </w:r>
      <w:r w:rsidR="00BE6BA3" w:rsidRPr="00AF4B63">
        <w:rPr>
          <w:lang w:val="en-AU"/>
        </w:rPr>
        <w:t xml:space="preserve">Roman courts. </w:t>
      </w:r>
      <w:r w:rsidR="00D8028A">
        <w:rPr>
          <w:lang w:val="en-AU"/>
        </w:rPr>
        <w:t>If a Jewish person was suing a Roman citizen, the Jewish person could sue them in a Jewish court or in a Roman court only if the defendant was Roman.</w:t>
      </w:r>
      <w:r w:rsidR="00BE6BA3" w:rsidRPr="00AF4B63">
        <w:rPr>
          <w:rStyle w:val="FootnoteReference"/>
          <w:lang w:val="en-AU"/>
        </w:rPr>
        <w:footnoteReference w:id="386"/>
      </w:r>
      <w:r w:rsidR="00D8028A">
        <w:rPr>
          <w:lang w:val="en-AU"/>
        </w:rPr>
        <w:t xml:space="preserve"> Since the Roman system had a better protection for Roman defendants, those who </w:t>
      </w:r>
      <w:proofErr w:type="gramStart"/>
      <w:r w:rsidR="00D8028A">
        <w:rPr>
          <w:lang w:val="en-AU"/>
        </w:rPr>
        <w:t>brought suit against</w:t>
      </w:r>
      <w:proofErr w:type="gramEnd"/>
      <w:r w:rsidR="00D8028A">
        <w:rPr>
          <w:lang w:val="en-AU"/>
        </w:rPr>
        <w:t xml:space="preserve"> Roman defendants would </w:t>
      </w:r>
      <w:r w:rsidR="00BE6BA3" w:rsidRPr="00AF4B63">
        <w:rPr>
          <w:lang w:val="en-AU"/>
        </w:rPr>
        <w:t xml:space="preserve">quickly </w:t>
      </w:r>
      <w:r w:rsidR="001F76A6" w:rsidRPr="00AF4B63">
        <w:rPr>
          <w:lang w:val="en-AU"/>
        </w:rPr>
        <w:t>become</w:t>
      </w:r>
      <w:r w:rsidR="00BE6BA3" w:rsidRPr="00AF4B63">
        <w:rPr>
          <w:lang w:val="en-AU"/>
        </w:rPr>
        <w:t xml:space="preserve"> acquainted with the Roman system of law. Roman and Jewish jurisprudence </w:t>
      </w:r>
      <w:r w:rsidR="00831384" w:rsidRPr="00AF4B63">
        <w:rPr>
          <w:lang w:val="en-AU"/>
        </w:rPr>
        <w:t>overlapped,</w:t>
      </w:r>
      <w:r w:rsidR="00BE6BA3" w:rsidRPr="00AF4B63">
        <w:rPr>
          <w:lang w:val="en-AU"/>
        </w:rPr>
        <w:t xml:space="preserve"> </w:t>
      </w:r>
      <w:r w:rsidR="00F54BE2" w:rsidRPr="00AF4B63">
        <w:rPr>
          <w:lang w:val="en-AU"/>
        </w:rPr>
        <w:t>and</w:t>
      </w:r>
      <w:r w:rsidR="00BE6BA3" w:rsidRPr="00AF4B63">
        <w:rPr>
          <w:lang w:val="en-AU"/>
        </w:rPr>
        <w:t xml:space="preserve"> a Roman view </w:t>
      </w:r>
      <w:r w:rsidR="00F54BE2" w:rsidRPr="00AF4B63">
        <w:rPr>
          <w:lang w:val="en-AU"/>
        </w:rPr>
        <w:t xml:space="preserve">developed </w:t>
      </w:r>
      <w:r w:rsidR="00BE6BA3" w:rsidRPr="00AF4B63">
        <w:rPr>
          <w:lang w:val="en-AU"/>
        </w:rPr>
        <w:t>within the Jewish interpretation.</w:t>
      </w:r>
      <w:r w:rsidR="00BE6BA3" w:rsidRPr="00AF4B63">
        <w:rPr>
          <w:lang w:val="en-AU"/>
        </w:rPr>
        <w:tab/>
      </w:r>
    </w:p>
    <w:p w14:paraId="7BB4C55A" w14:textId="1E6ACE1A" w:rsidR="008D4202" w:rsidRPr="00AF4B63" w:rsidRDefault="00BE6BA3" w:rsidP="008D4202">
      <w:pPr>
        <w:spacing w:line="480" w:lineRule="auto"/>
        <w:ind w:firstLine="720"/>
        <w:contextualSpacing/>
        <w:rPr>
          <w:lang w:val="en-AU"/>
        </w:rPr>
      </w:pPr>
      <w:r w:rsidRPr="00AF4B63">
        <w:rPr>
          <w:lang w:val="en-AU"/>
        </w:rPr>
        <w:t xml:space="preserve">The integration of the local rabbis into the Roman Empire helped mediate Roman law </w:t>
      </w:r>
      <w:r w:rsidR="00F54BE2" w:rsidRPr="00AF4B63">
        <w:rPr>
          <w:lang w:val="en-AU"/>
        </w:rPr>
        <w:t>for</w:t>
      </w:r>
      <w:r w:rsidRPr="00AF4B63">
        <w:rPr>
          <w:lang w:val="en-AU"/>
        </w:rPr>
        <w:t xml:space="preserve"> the community</w:t>
      </w:r>
      <w:r w:rsidR="005C71CB" w:rsidRPr="00AF4B63">
        <w:rPr>
          <w:lang w:val="en-AU"/>
        </w:rPr>
        <w:t>’</w:t>
      </w:r>
      <w:r w:rsidRPr="00AF4B63">
        <w:rPr>
          <w:lang w:val="en-AU"/>
        </w:rPr>
        <w:t xml:space="preserve">s Jewish residents. </w:t>
      </w:r>
      <w:r w:rsidR="00FD7DE0" w:rsidRPr="00AF4B63">
        <w:rPr>
          <w:lang w:val="en-AU"/>
        </w:rPr>
        <w:t>Schwartz contends that t</w:t>
      </w:r>
      <w:r w:rsidRPr="00AF4B63">
        <w:rPr>
          <w:lang w:val="en-AU"/>
        </w:rPr>
        <w:t>he rabbis</w:t>
      </w:r>
      <w:r w:rsidR="00FD7DE0" w:rsidRPr="00AF4B63">
        <w:rPr>
          <w:lang w:val="en-AU"/>
        </w:rPr>
        <w:t xml:space="preserve"> were very different </w:t>
      </w:r>
      <w:r w:rsidR="001B0C16" w:rsidRPr="00AF4B63">
        <w:rPr>
          <w:lang w:val="en-AU"/>
        </w:rPr>
        <w:t xml:space="preserve"> from the Romans </w:t>
      </w:r>
      <w:r w:rsidR="00FD7DE0" w:rsidRPr="00AF4B63">
        <w:rPr>
          <w:lang w:val="en-AU"/>
        </w:rPr>
        <w:t>and not part of the normal elite class of the Roman Empire.</w:t>
      </w:r>
      <w:r w:rsidRPr="00AF4B63">
        <w:rPr>
          <w:rStyle w:val="FootnoteReference"/>
          <w:lang w:val="en-AU"/>
        </w:rPr>
        <w:footnoteReference w:id="387"/>
      </w:r>
      <w:r w:rsidRPr="00AF4B63">
        <w:rPr>
          <w:lang w:val="en-AU"/>
        </w:rPr>
        <w:t xml:space="preserve"> Hayim Lapin </w:t>
      </w:r>
      <w:r w:rsidR="00590CBD" w:rsidRPr="00AF4B63">
        <w:rPr>
          <w:lang w:val="en-AU"/>
        </w:rPr>
        <w:t xml:space="preserve">emphasises </w:t>
      </w:r>
      <w:r w:rsidRPr="00AF4B63">
        <w:rPr>
          <w:lang w:val="en-AU"/>
        </w:rPr>
        <w:t xml:space="preserve">the </w:t>
      </w:r>
      <w:r w:rsidR="00863B47" w:rsidRPr="00AF4B63">
        <w:rPr>
          <w:lang w:val="en-AU"/>
        </w:rPr>
        <w:t>“</w:t>
      </w:r>
      <w:r w:rsidRPr="00AF4B63">
        <w:rPr>
          <w:lang w:val="en-AU"/>
        </w:rPr>
        <w:t>fundamental embeddedness</w:t>
      </w:r>
      <w:r w:rsidR="00863B47" w:rsidRPr="00AF4B63">
        <w:rPr>
          <w:lang w:val="en-AU"/>
        </w:rPr>
        <w:t>”</w:t>
      </w:r>
      <w:r w:rsidRPr="00AF4B63">
        <w:rPr>
          <w:lang w:val="en-AU"/>
        </w:rPr>
        <w:t xml:space="preserve"> of the rabbis in the structure of the Roman Empire, describing the rabbinic movement as </w:t>
      </w:r>
      <w:r w:rsidR="00863B47" w:rsidRPr="00AF4B63">
        <w:rPr>
          <w:lang w:val="en-AU"/>
        </w:rPr>
        <w:t>“</w:t>
      </w:r>
      <w:r w:rsidRPr="00AF4B63">
        <w:rPr>
          <w:lang w:val="en-AU"/>
        </w:rPr>
        <w:t xml:space="preserve">an urban provincial movement within its </w:t>
      </w:r>
      <w:r w:rsidRPr="00AF4B63">
        <w:rPr>
          <w:lang w:val="en-AU"/>
        </w:rPr>
        <w:lastRenderedPageBreak/>
        <w:t>Roman imperial setting</w:t>
      </w:r>
      <w:r w:rsidR="001B0C16" w:rsidRPr="00AF4B63">
        <w:rPr>
          <w:lang w:val="en-AU"/>
        </w:rPr>
        <w:t>.</w:t>
      </w:r>
      <w:r w:rsidR="00863B47" w:rsidRPr="00AF4B63">
        <w:rPr>
          <w:lang w:val="en-AU"/>
        </w:rPr>
        <w:t>”</w:t>
      </w:r>
      <w:r w:rsidR="001B0C16" w:rsidRPr="00AF4B63">
        <w:rPr>
          <w:rStyle w:val="FootnoteReference"/>
          <w:lang w:val="en-AU"/>
        </w:rPr>
        <w:footnoteReference w:id="388"/>
      </w:r>
      <w:r w:rsidRPr="00AF4B63">
        <w:rPr>
          <w:lang w:val="en-AU"/>
        </w:rPr>
        <w:t xml:space="preserve"> </w:t>
      </w:r>
      <w:r w:rsidR="001B0C16" w:rsidRPr="00AF4B63">
        <w:rPr>
          <w:lang w:val="en-AU"/>
        </w:rPr>
        <w:t xml:space="preserve">Lapin further </w:t>
      </w:r>
      <w:r w:rsidRPr="00AF4B63">
        <w:rPr>
          <w:lang w:val="en-AU"/>
        </w:rPr>
        <w:t>argu</w:t>
      </w:r>
      <w:r w:rsidR="00CC4298">
        <w:rPr>
          <w:lang w:val="en-AU"/>
        </w:rPr>
        <w:t>e</w:t>
      </w:r>
      <w:r w:rsidR="001B0C16" w:rsidRPr="00AF4B63">
        <w:rPr>
          <w:lang w:val="en-AU"/>
        </w:rPr>
        <w:t xml:space="preserve">s </w:t>
      </w:r>
      <w:r w:rsidRPr="00AF4B63">
        <w:rPr>
          <w:lang w:val="en-AU"/>
        </w:rPr>
        <w:t xml:space="preserve">that the rabbinic movement </w:t>
      </w:r>
      <w:r w:rsidR="00F54BE2" w:rsidRPr="00AF4B63">
        <w:rPr>
          <w:lang w:val="en-AU"/>
        </w:rPr>
        <w:t xml:space="preserve">will be understood </w:t>
      </w:r>
      <w:r w:rsidRPr="00AF4B63">
        <w:rPr>
          <w:lang w:val="en-AU"/>
        </w:rPr>
        <w:t xml:space="preserve">better if </w:t>
      </w:r>
      <w:r w:rsidR="001F76A6">
        <w:rPr>
          <w:lang w:val="en-AU"/>
        </w:rPr>
        <w:t>“</w:t>
      </w:r>
      <w:r w:rsidRPr="00AF4B63">
        <w:rPr>
          <w:lang w:val="en-AU"/>
        </w:rPr>
        <w:t>assumptions of Judaean or Jewish exceptionalism</w:t>
      </w:r>
      <w:r w:rsidR="001F76A6">
        <w:rPr>
          <w:lang w:val="en-AU"/>
        </w:rPr>
        <w:t>”</w:t>
      </w:r>
      <w:r w:rsidRPr="00AF4B63">
        <w:rPr>
          <w:lang w:val="en-AU"/>
        </w:rPr>
        <w:t xml:space="preserve"> </w:t>
      </w:r>
      <w:r w:rsidR="00F54BE2" w:rsidRPr="00AF4B63">
        <w:rPr>
          <w:lang w:val="en-AU"/>
        </w:rPr>
        <w:t xml:space="preserve">are set aside </w:t>
      </w:r>
      <w:r w:rsidRPr="00AF4B63">
        <w:rPr>
          <w:lang w:val="en-AU"/>
        </w:rPr>
        <w:t xml:space="preserve">and </w:t>
      </w:r>
      <w:r w:rsidR="001F76A6">
        <w:rPr>
          <w:lang w:val="en-AU"/>
        </w:rPr>
        <w:t>“</w:t>
      </w:r>
      <w:r w:rsidR="00250904" w:rsidRPr="00AF4B63">
        <w:rPr>
          <w:lang w:val="en-AU"/>
        </w:rPr>
        <w:t xml:space="preserve">the </w:t>
      </w:r>
      <w:r w:rsidR="00F54BE2" w:rsidRPr="00AF4B63">
        <w:rPr>
          <w:lang w:val="en-AU"/>
        </w:rPr>
        <w:t xml:space="preserve">rabbinic movement is </w:t>
      </w:r>
      <w:r w:rsidRPr="00AF4B63">
        <w:rPr>
          <w:lang w:val="en-AU"/>
        </w:rPr>
        <w:t>examine</w:t>
      </w:r>
      <w:r w:rsidR="00F54BE2" w:rsidRPr="00AF4B63">
        <w:rPr>
          <w:lang w:val="en-AU"/>
        </w:rPr>
        <w:t>d</w:t>
      </w:r>
      <w:r w:rsidRPr="00AF4B63">
        <w:rPr>
          <w:lang w:val="en-AU"/>
        </w:rPr>
        <w:t xml:space="preserve"> as one modality of the provincial construction of local, particularistic identity formation in the Roman Empire</w:t>
      </w:r>
      <w:r w:rsidR="001F76A6">
        <w:rPr>
          <w:lang w:val="en-AU"/>
        </w:rPr>
        <w:t>”</w:t>
      </w:r>
      <w:r w:rsidRPr="00AF4B63">
        <w:rPr>
          <w:lang w:val="en-AU"/>
        </w:rPr>
        <w:t>.</w:t>
      </w:r>
      <w:r w:rsidRPr="00AF4B63">
        <w:rPr>
          <w:rStyle w:val="FootnoteReference"/>
          <w:lang w:val="en-AU"/>
        </w:rPr>
        <w:footnoteReference w:id="389"/>
      </w:r>
    </w:p>
    <w:p w14:paraId="61040534" w14:textId="0A23E50D" w:rsidR="008D4202" w:rsidRPr="00AF4B63" w:rsidRDefault="00CD1D81" w:rsidP="008D4202">
      <w:pPr>
        <w:spacing w:line="480" w:lineRule="auto"/>
        <w:ind w:firstLine="720"/>
        <w:contextualSpacing/>
        <w:rPr>
          <w:lang w:val="en-AU"/>
        </w:rPr>
      </w:pPr>
      <w:r w:rsidRPr="00AF4B63">
        <w:rPr>
          <w:lang w:val="en-AU"/>
        </w:rPr>
        <w:t>R</w:t>
      </w:r>
      <w:r w:rsidR="00BE6BA3" w:rsidRPr="00AF4B63">
        <w:rPr>
          <w:lang w:val="en-AU"/>
        </w:rPr>
        <w:t>abbis imagined that</w:t>
      </w:r>
      <w:r w:rsidR="0031556D" w:rsidRPr="00AF4B63">
        <w:rPr>
          <w:lang w:val="en-AU"/>
        </w:rPr>
        <w:t xml:space="preserve"> </w:t>
      </w:r>
      <w:proofErr w:type="gramStart"/>
      <w:r w:rsidR="0031556D" w:rsidRPr="00AF4B63">
        <w:rPr>
          <w:lang w:val="en-AU"/>
        </w:rPr>
        <w:t>in order to</w:t>
      </w:r>
      <w:proofErr w:type="gramEnd"/>
      <w:r w:rsidR="0031556D" w:rsidRPr="00AF4B63">
        <w:rPr>
          <w:lang w:val="en-AU"/>
        </w:rPr>
        <w:t xml:space="preserve"> understand the Jewish religion,</w:t>
      </w:r>
      <w:r w:rsidR="00BE6BA3" w:rsidRPr="00AF4B63">
        <w:rPr>
          <w:lang w:val="en-AU"/>
        </w:rPr>
        <w:t xml:space="preserve"> Roman generals disguised themselves</w:t>
      </w:r>
      <w:r w:rsidR="006A64ED">
        <w:rPr>
          <w:lang w:val="en-AU"/>
        </w:rPr>
        <w:t xml:space="preserve"> and hid covertly in the Jewish courts</w:t>
      </w:r>
      <w:r w:rsidR="00BE6BA3" w:rsidRPr="00AF4B63">
        <w:rPr>
          <w:lang w:val="en-AU"/>
        </w:rPr>
        <w:t xml:space="preserve"> as Jews to learn rabbinic law and </w:t>
      </w:r>
      <w:r w:rsidR="0031556D" w:rsidRPr="00AF4B63">
        <w:rPr>
          <w:lang w:val="en-AU"/>
        </w:rPr>
        <w:t xml:space="preserve">to </w:t>
      </w:r>
      <w:r w:rsidR="006A64ED">
        <w:rPr>
          <w:lang w:val="en-AU"/>
        </w:rPr>
        <w:t>send the new knowledge</w:t>
      </w:r>
      <w:r w:rsidR="00BE6BA3" w:rsidRPr="00AF4B63">
        <w:rPr>
          <w:lang w:val="en-AU"/>
        </w:rPr>
        <w:t xml:space="preserve"> back to Rome.</w:t>
      </w:r>
      <w:r w:rsidR="00BE6BA3" w:rsidRPr="00AF4B63">
        <w:rPr>
          <w:rStyle w:val="FootnoteReference"/>
          <w:lang w:val="en-AU"/>
        </w:rPr>
        <w:footnoteReference w:id="390"/>
      </w:r>
      <w:r w:rsidR="00BE6BA3" w:rsidRPr="00AF4B63">
        <w:rPr>
          <w:lang w:val="en-AU"/>
        </w:rPr>
        <w:t xml:space="preserve"> In Judea, the Romans deemed that the whole Torah was pleasant and praiseworthy</w:t>
      </w:r>
      <w:r w:rsidR="00021697" w:rsidRPr="00AF4B63">
        <w:rPr>
          <w:lang w:val="en-AU"/>
        </w:rPr>
        <w:t xml:space="preserve">. </w:t>
      </w:r>
      <w:r w:rsidR="00BE6BA3" w:rsidRPr="00AF4B63">
        <w:rPr>
          <w:lang w:val="en-AU"/>
        </w:rPr>
        <w:t xml:space="preserve">This story sounds </w:t>
      </w:r>
      <w:r w:rsidR="00AA756A">
        <w:rPr>
          <w:lang w:val="en-AU"/>
        </w:rPr>
        <w:t xml:space="preserve">like a story lacking truth and validity and used as propaganda. </w:t>
      </w:r>
      <w:r w:rsidR="00BE6BA3" w:rsidRPr="00AF4B63">
        <w:rPr>
          <w:lang w:val="en-AU"/>
        </w:rPr>
        <w:t xml:space="preserve">Roman generals probably did not disguise themselves as </w:t>
      </w:r>
      <w:r w:rsidR="00CB45CE" w:rsidRPr="00AF4B63">
        <w:rPr>
          <w:lang w:val="en-AU"/>
        </w:rPr>
        <w:t>Jews but</w:t>
      </w:r>
      <w:r w:rsidR="00AA756A">
        <w:rPr>
          <w:lang w:val="en-AU"/>
        </w:rPr>
        <w:t xml:space="preserve"> does explain the </w:t>
      </w:r>
      <w:r w:rsidR="00BE6BA3" w:rsidRPr="00AF4B63">
        <w:rPr>
          <w:lang w:val="en-AU"/>
        </w:rPr>
        <w:t xml:space="preserve">rabbinic concern </w:t>
      </w:r>
      <w:r w:rsidR="00AA756A">
        <w:rPr>
          <w:lang w:val="en-AU"/>
        </w:rPr>
        <w:t xml:space="preserve">of the day </w:t>
      </w:r>
      <w:r w:rsidR="009E1280" w:rsidRPr="00AF4B63">
        <w:rPr>
          <w:lang w:val="en-AU"/>
        </w:rPr>
        <w:t xml:space="preserve">about </w:t>
      </w:r>
      <w:r w:rsidR="00BE6BA3" w:rsidRPr="00AF4B63">
        <w:rPr>
          <w:lang w:val="en-AU"/>
        </w:rPr>
        <w:t xml:space="preserve">how Romans </w:t>
      </w:r>
      <w:r w:rsidR="00AA756A">
        <w:rPr>
          <w:lang w:val="en-AU"/>
        </w:rPr>
        <w:t>were trying to undermine</w:t>
      </w:r>
      <w:r w:rsidR="00BE6BA3" w:rsidRPr="00AF4B63">
        <w:rPr>
          <w:lang w:val="en-AU"/>
        </w:rPr>
        <w:t xml:space="preserve"> their legal system and </w:t>
      </w:r>
      <w:r w:rsidR="00831272" w:rsidRPr="00AF4B63">
        <w:rPr>
          <w:lang w:val="en-AU"/>
        </w:rPr>
        <w:t>their desire</w:t>
      </w:r>
      <w:r w:rsidR="00BE6BA3" w:rsidRPr="00AF4B63">
        <w:rPr>
          <w:lang w:val="en-AU"/>
        </w:rPr>
        <w:t xml:space="preserve"> to understand Jewish law more </w:t>
      </w:r>
      <w:r w:rsidR="00831272" w:rsidRPr="00AF4B63">
        <w:rPr>
          <w:lang w:val="en-AU"/>
        </w:rPr>
        <w:t>cl</w:t>
      </w:r>
      <w:r w:rsidR="00C415DC" w:rsidRPr="00AF4B63">
        <w:rPr>
          <w:lang w:val="en-AU"/>
        </w:rPr>
        <w:t>e</w:t>
      </w:r>
      <w:r w:rsidR="00831272" w:rsidRPr="00AF4B63">
        <w:rPr>
          <w:lang w:val="en-AU"/>
        </w:rPr>
        <w:t>ar</w:t>
      </w:r>
      <w:r w:rsidR="00BE6BA3" w:rsidRPr="00AF4B63">
        <w:rPr>
          <w:lang w:val="en-AU"/>
        </w:rPr>
        <w:t xml:space="preserve">ly. The impact of Roman law </w:t>
      </w:r>
      <w:r w:rsidR="0056088C" w:rsidRPr="00AF4B63">
        <w:rPr>
          <w:lang w:val="en-AU"/>
        </w:rPr>
        <w:t xml:space="preserve">on </w:t>
      </w:r>
      <w:r w:rsidR="007253D8" w:rsidRPr="00AF4B63">
        <w:rPr>
          <w:lang w:val="en-AU"/>
        </w:rPr>
        <w:t>the development</w:t>
      </w:r>
      <w:r w:rsidR="0056088C" w:rsidRPr="00AF4B63">
        <w:rPr>
          <w:lang w:val="en-AU"/>
        </w:rPr>
        <w:t xml:space="preserve"> of </w:t>
      </w:r>
      <w:r w:rsidR="00BE6BA3" w:rsidRPr="00AF4B63">
        <w:rPr>
          <w:lang w:val="en-AU"/>
        </w:rPr>
        <w:t>Jewish law could therefore be linked to the rabbis</w:t>
      </w:r>
      <w:r w:rsidR="005C71CB" w:rsidRPr="00AF4B63">
        <w:rPr>
          <w:lang w:val="en-AU"/>
        </w:rPr>
        <w:t>’</w:t>
      </w:r>
      <w:r w:rsidR="00BE6BA3" w:rsidRPr="00AF4B63">
        <w:rPr>
          <w:lang w:val="en-AU"/>
        </w:rPr>
        <w:t xml:space="preserve"> </w:t>
      </w:r>
      <w:r w:rsidR="004675FA" w:rsidRPr="00AF4B63">
        <w:rPr>
          <w:lang w:val="en-AU"/>
        </w:rPr>
        <w:t xml:space="preserve">attempts to </w:t>
      </w:r>
      <w:r w:rsidR="00BE6BA3" w:rsidRPr="00AF4B63">
        <w:rPr>
          <w:lang w:val="en-AU"/>
        </w:rPr>
        <w:t>convinc</w:t>
      </w:r>
      <w:r w:rsidR="004675FA" w:rsidRPr="00AF4B63">
        <w:rPr>
          <w:lang w:val="en-AU"/>
        </w:rPr>
        <w:t>e</w:t>
      </w:r>
      <w:r w:rsidR="00BE6BA3" w:rsidRPr="00AF4B63">
        <w:rPr>
          <w:lang w:val="en-AU"/>
        </w:rPr>
        <w:t xml:space="preserve"> the Romans (or themselves) of the justice of their legal system.</w:t>
      </w:r>
      <w:r w:rsidR="00BE6BA3" w:rsidRPr="00AF4B63">
        <w:rPr>
          <w:rStyle w:val="FootnoteReference"/>
          <w:lang w:val="en-AU"/>
        </w:rPr>
        <w:footnoteReference w:id="391"/>
      </w:r>
    </w:p>
    <w:p w14:paraId="1C2EEFA0" w14:textId="3223BEB1" w:rsidR="003A655D" w:rsidRPr="00AF4B63" w:rsidRDefault="00AF2E41" w:rsidP="00D37F31">
      <w:pPr>
        <w:pStyle w:val="Heading2"/>
      </w:pPr>
      <w:bookmarkStart w:id="134" w:name="_Toc94537019"/>
      <w:bookmarkStart w:id="135" w:name="_Toc118063666"/>
      <w:r w:rsidRPr="00AF4B63">
        <w:t>6.7</w:t>
      </w:r>
      <w:r w:rsidR="00010BA6" w:rsidRPr="00AF4B63">
        <w:t xml:space="preserve"> Justice</w:t>
      </w:r>
      <w:r w:rsidR="00B81204" w:rsidRPr="00AF4B63">
        <w:t xml:space="preserve"> and Self Defen</w:t>
      </w:r>
      <w:r w:rsidR="00A67623" w:rsidRPr="00AF4B63">
        <w:t>c</w:t>
      </w:r>
      <w:r w:rsidR="00B81204" w:rsidRPr="00AF4B63">
        <w:t xml:space="preserve">e </w:t>
      </w:r>
      <w:r w:rsidR="00010BA6" w:rsidRPr="00AF4B63">
        <w:t xml:space="preserve">in </w:t>
      </w:r>
      <w:r w:rsidR="00010BA6" w:rsidRPr="00AF4B63">
        <w:rPr>
          <w:i/>
          <w:iCs/>
        </w:rPr>
        <w:t>Lex Talionis</w:t>
      </w:r>
      <w:bookmarkEnd w:id="134"/>
      <w:bookmarkEnd w:id="135"/>
    </w:p>
    <w:p w14:paraId="2843C0DC" w14:textId="3B1ABC7B" w:rsidR="00010BA6" w:rsidRPr="00AF4B63" w:rsidRDefault="00D226D1" w:rsidP="00010BA6">
      <w:pPr>
        <w:spacing w:line="480" w:lineRule="auto"/>
        <w:ind w:firstLine="720"/>
        <w:contextualSpacing/>
        <w:rPr>
          <w:highlight w:val="yellow"/>
          <w:lang w:val="en-AU"/>
        </w:rPr>
      </w:pPr>
      <w:r w:rsidRPr="00AF4B63">
        <w:rPr>
          <w:lang w:val="en-AU"/>
        </w:rPr>
        <w:t xml:space="preserve">The extent </w:t>
      </w:r>
      <w:r w:rsidR="00CF2B75" w:rsidRPr="00AF4B63">
        <w:rPr>
          <w:lang w:val="en-AU"/>
        </w:rPr>
        <w:t>to which</w:t>
      </w:r>
      <w:r w:rsidRPr="00AF4B63">
        <w:rPr>
          <w:lang w:val="en-AU"/>
        </w:rPr>
        <w:t xml:space="preserve"> </w:t>
      </w:r>
      <w:r w:rsidRPr="00AF4B63">
        <w:rPr>
          <w:i/>
          <w:iCs/>
          <w:lang w:val="en-AU"/>
        </w:rPr>
        <w:t xml:space="preserve">lex talionis </w:t>
      </w:r>
      <w:r w:rsidRPr="00AF4B63">
        <w:rPr>
          <w:lang w:val="en-AU"/>
        </w:rPr>
        <w:t>was applied changed</w:t>
      </w:r>
      <w:r w:rsidR="00CF2B75" w:rsidRPr="00AF4B63">
        <w:rPr>
          <w:lang w:val="en-AU"/>
        </w:rPr>
        <w:t xml:space="preserve"> over time</w:t>
      </w:r>
      <w:r w:rsidRPr="00AF4B63">
        <w:rPr>
          <w:lang w:val="en-AU"/>
        </w:rPr>
        <w:t xml:space="preserve">.  Joachim Jeremias suggests that by the time of Jesus, </w:t>
      </w:r>
      <w:r w:rsidRPr="00AF4B63">
        <w:rPr>
          <w:i/>
          <w:iCs/>
          <w:lang w:val="en-AU"/>
        </w:rPr>
        <w:t xml:space="preserve">lex talionis </w:t>
      </w:r>
      <w:r w:rsidRPr="00AF4B63">
        <w:rPr>
          <w:lang w:val="en-AU"/>
        </w:rPr>
        <w:t>was not disproportionate.</w:t>
      </w:r>
      <w:r w:rsidR="00010BA6" w:rsidRPr="00AF4B63">
        <w:rPr>
          <w:rStyle w:val="FootnoteReference"/>
          <w:lang w:val="en-AU"/>
        </w:rPr>
        <w:footnoteReference w:id="392"/>
      </w:r>
      <w:r w:rsidR="00010BA6" w:rsidRPr="00AF4B63">
        <w:rPr>
          <w:lang w:val="en-AU"/>
        </w:rPr>
        <w:t xml:space="preserve"> </w:t>
      </w:r>
      <w:r w:rsidR="00665BFE" w:rsidRPr="00AF4B63">
        <w:rPr>
          <w:lang w:val="en-AU"/>
        </w:rPr>
        <w:t xml:space="preserve">David Daube </w:t>
      </w:r>
      <w:r w:rsidR="00665BFE" w:rsidRPr="00AF4B63">
        <w:rPr>
          <w:lang w:val="en-AU"/>
        </w:rPr>
        <w:lastRenderedPageBreak/>
        <w:t>contends that the talion began to lose its sting with</w:t>
      </w:r>
      <w:r w:rsidR="00CE35E4" w:rsidRPr="00AF4B63">
        <w:rPr>
          <w:lang w:val="en-AU"/>
        </w:rPr>
        <w:t xml:space="preserve"> the introduction of</w:t>
      </w:r>
      <w:r w:rsidR="00665BFE" w:rsidRPr="00AF4B63">
        <w:rPr>
          <w:lang w:val="en-AU"/>
        </w:rPr>
        <w:t xml:space="preserve"> monetary fines.</w:t>
      </w:r>
      <w:r w:rsidR="00665BFE" w:rsidRPr="00AF4B63">
        <w:rPr>
          <w:rStyle w:val="FootnoteReference"/>
          <w:lang w:val="en-AU"/>
        </w:rPr>
        <w:footnoteReference w:id="393"/>
      </w:r>
      <w:r w:rsidR="00665BFE" w:rsidRPr="00AF4B63">
        <w:rPr>
          <w:lang w:val="en-AU"/>
        </w:rPr>
        <w:t xml:space="preserve"> </w:t>
      </w:r>
      <w:r w:rsidR="00D27627" w:rsidRPr="00AF4B63">
        <w:rPr>
          <w:lang w:val="en-AU"/>
        </w:rPr>
        <w:t>P</w:t>
      </w:r>
      <w:r w:rsidR="00010BA6" w:rsidRPr="00AF4B63">
        <w:rPr>
          <w:lang w:val="en-AU"/>
        </w:rPr>
        <w:t xml:space="preserve">roportional retaliatory justice in </w:t>
      </w:r>
      <w:r w:rsidR="00D27627" w:rsidRPr="00AF4B63">
        <w:rPr>
          <w:lang w:val="en-AU"/>
        </w:rPr>
        <w:t xml:space="preserve">the form of </w:t>
      </w:r>
      <w:r w:rsidR="00010BA6" w:rsidRPr="00AF4B63">
        <w:rPr>
          <w:lang w:val="en-AU"/>
        </w:rPr>
        <w:t>violent resistance</w:t>
      </w:r>
      <w:r w:rsidR="00AA756A">
        <w:rPr>
          <w:lang w:val="en-AU"/>
        </w:rPr>
        <w:t xml:space="preserve">, in the form of </w:t>
      </w:r>
      <w:r w:rsidR="00010BA6" w:rsidRPr="00AF4B63">
        <w:rPr>
          <w:lang w:val="en-AU"/>
        </w:rPr>
        <w:t>lethal force</w:t>
      </w:r>
      <w:r w:rsidR="00AA756A">
        <w:rPr>
          <w:lang w:val="en-AU"/>
        </w:rPr>
        <w:t xml:space="preserve">, would be allowable for the </w:t>
      </w:r>
      <w:r w:rsidR="00010BA6" w:rsidRPr="00AF4B63">
        <w:rPr>
          <w:lang w:val="en-AU"/>
        </w:rPr>
        <w:t>sake of self-defen</w:t>
      </w:r>
      <w:r w:rsidR="00D27627" w:rsidRPr="00AF4B63">
        <w:rPr>
          <w:lang w:val="en-AU"/>
        </w:rPr>
        <w:t>c</w:t>
      </w:r>
      <w:r w:rsidR="00010BA6" w:rsidRPr="00AF4B63">
        <w:rPr>
          <w:lang w:val="en-AU"/>
        </w:rPr>
        <w:t>e</w:t>
      </w:r>
      <w:r w:rsidR="00631B14" w:rsidRPr="00AF4B63">
        <w:rPr>
          <w:lang w:val="en-AU"/>
        </w:rPr>
        <w:t xml:space="preserve"> and protection of property</w:t>
      </w:r>
      <w:r w:rsidR="00D27627" w:rsidRPr="00AF4B63">
        <w:rPr>
          <w:lang w:val="en-AU"/>
        </w:rPr>
        <w:t xml:space="preserve">. </w:t>
      </w:r>
      <w:r w:rsidR="00010BA6" w:rsidRPr="00AF4B63">
        <w:rPr>
          <w:lang w:val="en-AU"/>
        </w:rPr>
        <w:t xml:space="preserve"> </w:t>
      </w:r>
      <w:r w:rsidR="00631B14" w:rsidRPr="00AF4B63">
        <w:rPr>
          <w:lang w:val="en-AU"/>
        </w:rPr>
        <w:t xml:space="preserve">In </w:t>
      </w:r>
      <w:r w:rsidR="00010BA6" w:rsidRPr="00AF4B63">
        <w:rPr>
          <w:lang w:val="en-AU"/>
        </w:rPr>
        <w:t>Exodus 22:2</w:t>
      </w:r>
      <w:r w:rsidR="00631B14" w:rsidRPr="00AF4B63">
        <w:rPr>
          <w:lang w:val="en-AU"/>
        </w:rPr>
        <w:t xml:space="preserve"> it is stated</w:t>
      </w:r>
      <w:r w:rsidR="00010BA6" w:rsidRPr="00AF4B63">
        <w:rPr>
          <w:lang w:val="en-AU"/>
        </w:rPr>
        <w:t xml:space="preserve">: </w:t>
      </w:r>
      <w:r w:rsidR="00863B47" w:rsidRPr="00AF4B63">
        <w:rPr>
          <w:lang w:val="en-AU"/>
        </w:rPr>
        <w:t>“</w:t>
      </w:r>
      <w:r w:rsidR="00010BA6" w:rsidRPr="00AF4B63">
        <w:rPr>
          <w:lang w:val="en-AU"/>
        </w:rPr>
        <w:t>If a thief is caught breaking in and is struck a fatal blow, the defender is not guilty of bloodshed.</w:t>
      </w:r>
      <w:r w:rsidR="00863B47" w:rsidRPr="00AF4B63">
        <w:rPr>
          <w:lang w:val="en-AU"/>
        </w:rPr>
        <w:t>”</w:t>
      </w:r>
      <w:r w:rsidR="00010BA6" w:rsidRPr="00AF4B63">
        <w:rPr>
          <w:lang w:val="en-AU"/>
        </w:rPr>
        <w:t xml:space="preserve"> It seems that the law allowed for protection of property and life in the face of an attacker.</w:t>
      </w:r>
      <w:r w:rsidR="004D2155" w:rsidRPr="00AF4B63">
        <w:rPr>
          <w:rStyle w:val="FootnoteReference"/>
          <w:lang w:val="en-AU"/>
        </w:rPr>
        <w:footnoteReference w:id="394"/>
      </w:r>
      <w:r w:rsidR="00010BA6" w:rsidRPr="00AF4B63">
        <w:rPr>
          <w:lang w:val="en-AU"/>
        </w:rPr>
        <w:t xml:space="preserve"> This would </w:t>
      </w:r>
      <w:r w:rsidR="005E0560" w:rsidRPr="00AF4B63">
        <w:rPr>
          <w:lang w:val="en-AU"/>
        </w:rPr>
        <w:t xml:space="preserve">permit </w:t>
      </w:r>
      <w:r w:rsidR="00010BA6" w:rsidRPr="00AF4B63">
        <w:rPr>
          <w:lang w:val="en-AU"/>
        </w:rPr>
        <w:t xml:space="preserve">resistance against </w:t>
      </w:r>
      <w:r w:rsidR="005E0560" w:rsidRPr="00AF4B63">
        <w:rPr>
          <w:lang w:val="en-AU"/>
        </w:rPr>
        <w:t>an</w:t>
      </w:r>
      <w:r w:rsidR="00010BA6" w:rsidRPr="00AF4B63">
        <w:rPr>
          <w:lang w:val="en-AU"/>
        </w:rPr>
        <w:t xml:space="preserve"> evil person.</w:t>
      </w:r>
      <w:r w:rsidR="00010BA6" w:rsidRPr="00AF4B63">
        <w:rPr>
          <w:rStyle w:val="FootnoteReference"/>
          <w:lang w:val="en-AU"/>
        </w:rPr>
        <w:footnoteReference w:id="395"/>
      </w:r>
      <w:r w:rsidR="00233ECF" w:rsidRPr="00AF4B63">
        <w:rPr>
          <w:lang w:val="en-AU"/>
        </w:rPr>
        <w:t xml:space="preserve"> The question as to how much a </w:t>
      </w:r>
      <w:r w:rsidR="004D2155" w:rsidRPr="00AF4B63">
        <w:rPr>
          <w:lang w:val="en-AU"/>
        </w:rPr>
        <w:t>penalty</w:t>
      </w:r>
      <w:r w:rsidR="00233ECF" w:rsidRPr="00AF4B63">
        <w:rPr>
          <w:lang w:val="en-AU"/>
        </w:rPr>
        <w:t xml:space="preserve"> would cost for an action or crime developed over time.</w:t>
      </w:r>
      <w:r w:rsidR="00233ECF" w:rsidRPr="00AF4B63">
        <w:rPr>
          <w:rStyle w:val="FootnoteReference"/>
          <w:lang w:val="en-AU"/>
        </w:rPr>
        <w:footnoteReference w:id="396"/>
      </w:r>
    </w:p>
    <w:p w14:paraId="4A4A7596" w14:textId="1BD4BA56" w:rsidR="00010BA6" w:rsidRPr="00AF4B63" w:rsidRDefault="00D226D1" w:rsidP="00DB0F62">
      <w:pPr>
        <w:widowControl w:val="0"/>
        <w:autoSpaceDE w:val="0"/>
        <w:autoSpaceDN w:val="0"/>
        <w:adjustRightInd w:val="0"/>
        <w:spacing w:before="120" w:line="480" w:lineRule="auto"/>
        <w:rPr>
          <w:lang w:val="en-AU"/>
        </w:rPr>
      </w:pPr>
      <w:r w:rsidRPr="00AF4B63">
        <w:rPr>
          <w:lang w:val="en-AU"/>
        </w:rPr>
        <w:t xml:space="preserve">The talion in </w:t>
      </w:r>
      <w:r w:rsidRPr="00AF4B63">
        <w:rPr>
          <w:i/>
          <w:iCs/>
          <w:lang w:val="en-AU"/>
        </w:rPr>
        <w:t>eye and tooth</w:t>
      </w:r>
      <w:r w:rsidRPr="00AF4B63">
        <w:rPr>
          <w:lang w:val="en-AU"/>
        </w:rPr>
        <w:t xml:space="preserve"> </w:t>
      </w:r>
      <w:r w:rsidR="00DB0F62" w:rsidRPr="00AF4B63">
        <w:rPr>
          <w:lang w:val="en-AU"/>
        </w:rPr>
        <w:t>was not enforced literally by Jesus</w:t>
      </w:r>
      <w:r w:rsidR="005C71CB" w:rsidRPr="00AF4B63">
        <w:rPr>
          <w:lang w:val="en-AU"/>
        </w:rPr>
        <w:t>’</w:t>
      </w:r>
      <w:r w:rsidR="006D41DD">
        <w:rPr>
          <w:lang w:val="en-AU"/>
        </w:rPr>
        <w:t>s</w:t>
      </w:r>
      <w:r w:rsidR="00DB0F62" w:rsidRPr="00AF4B63">
        <w:rPr>
          <w:lang w:val="en-AU"/>
        </w:rPr>
        <w:t xml:space="preserve"> time. </w:t>
      </w:r>
      <w:r w:rsidR="00010BA6" w:rsidRPr="00AF4B63">
        <w:rPr>
          <w:lang w:val="en-AU"/>
        </w:rPr>
        <w:t xml:space="preserve">Davis </w:t>
      </w:r>
      <w:r w:rsidR="00DB0F62" w:rsidRPr="00AF4B63">
        <w:rPr>
          <w:lang w:val="en-AU"/>
        </w:rPr>
        <w:t xml:space="preserve">explains </w:t>
      </w:r>
    </w:p>
    <w:p w14:paraId="258DE824" w14:textId="0BC8B28E" w:rsidR="00010BA6" w:rsidRPr="00AF4B63" w:rsidRDefault="00010BA6" w:rsidP="00AF2E41">
      <w:pPr>
        <w:pStyle w:val="Blockquotation"/>
        <w:rPr>
          <w:sz w:val="24"/>
          <w:lang w:val="en-AU"/>
        </w:rPr>
      </w:pPr>
      <w:r w:rsidRPr="00AF4B63">
        <w:rPr>
          <w:sz w:val="24"/>
          <w:lang w:val="en-AU"/>
        </w:rPr>
        <w:t xml:space="preserve">The formula itself is stated without the first Old Testament element </w:t>
      </w:r>
      <w:r w:rsidR="005C71CB" w:rsidRPr="00AF4B63">
        <w:rPr>
          <w:sz w:val="24"/>
          <w:lang w:val="en-AU"/>
        </w:rPr>
        <w:t>‘</w:t>
      </w:r>
      <w:r w:rsidRPr="00AF4B63">
        <w:rPr>
          <w:sz w:val="24"/>
          <w:lang w:val="en-AU"/>
        </w:rPr>
        <w:t>life for life</w:t>
      </w:r>
      <w:r w:rsidR="005C71CB" w:rsidRPr="00AF4B63">
        <w:rPr>
          <w:sz w:val="24"/>
          <w:lang w:val="en-AU"/>
        </w:rPr>
        <w:t>’</w:t>
      </w:r>
      <w:r w:rsidRPr="00AF4B63">
        <w:rPr>
          <w:sz w:val="24"/>
          <w:lang w:val="en-AU"/>
        </w:rPr>
        <w:t xml:space="preserve"> as it had already been separated from the entire formula in the Jewish exegesis and debate. The next two elements in line, </w:t>
      </w:r>
      <w:r w:rsidR="005C71CB" w:rsidRPr="00AF4B63">
        <w:rPr>
          <w:sz w:val="24"/>
          <w:lang w:val="en-AU"/>
        </w:rPr>
        <w:t>‘</w:t>
      </w:r>
      <w:r w:rsidRPr="00AF4B63">
        <w:rPr>
          <w:sz w:val="24"/>
          <w:lang w:val="en-AU"/>
        </w:rPr>
        <w:t>eye</w:t>
      </w:r>
      <w:r w:rsidR="005C71CB" w:rsidRPr="00AF4B63">
        <w:rPr>
          <w:sz w:val="24"/>
          <w:lang w:val="en-AU"/>
        </w:rPr>
        <w:t>’</w:t>
      </w:r>
      <w:r w:rsidRPr="00AF4B63">
        <w:rPr>
          <w:sz w:val="24"/>
          <w:lang w:val="en-AU"/>
        </w:rPr>
        <w:t xml:space="preserve"> and </w:t>
      </w:r>
      <w:r w:rsidR="005C71CB" w:rsidRPr="00AF4B63">
        <w:rPr>
          <w:sz w:val="24"/>
          <w:lang w:val="en-AU"/>
        </w:rPr>
        <w:t>‘</w:t>
      </w:r>
      <w:r w:rsidRPr="00AF4B63">
        <w:rPr>
          <w:sz w:val="24"/>
          <w:lang w:val="en-AU"/>
        </w:rPr>
        <w:t>tooth,</w:t>
      </w:r>
      <w:r w:rsidR="005C71CB" w:rsidRPr="00AF4B63">
        <w:rPr>
          <w:sz w:val="24"/>
          <w:lang w:val="en-AU"/>
        </w:rPr>
        <w:t>’</w:t>
      </w:r>
      <w:r w:rsidRPr="00AF4B63">
        <w:rPr>
          <w:sz w:val="24"/>
          <w:lang w:val="en-AU"/>
        </w:rPr>
        <w:t xml:space="preserve"> are then given prominence in the equation. They represent an ethic of proportional and retaliatory justice.</w:t>
      </w:r>
      <w:r w:rsidRPr="00AF4B63">
        <w:rPr>
          <w:rStyle w:val="FootnoteReference"/>
          <w:sz w:val="24"/>
          <w:lang w:val="en-AU"/>
        </w:rPr>
        <w:footnoteReference w:id="397"/>
      </w:r>
      <w:r w:rsidRPr="00AF4B63">
        <w:rPr>
          <w:sz w:val="24"/>
          <w:lang w:val="en-AU"/>
        </w:rPr>
        <w:t xml:space="preserve"> </w:t>
      </w:r>
    </w:p>
    <w:p w14:paraId="3D90E633" w14:textId="4AFD3C20" w:rsidR="00AB1970" w:rsidRPr="00AF4B63" w:rsidRDefault="00BC2279" w:rsidP="00EC4DD5">
      <w:pPr>
        <w:widowControl w:val="0"/>
        <w:autoSpaceDE w:val="0"/>
        <w:autoSpaceDN w:val="0"/>
        <w:adjustRightInd w:val="0"/>
        <w:spacing w:before="240" w:line="480" w:lineRule="auto"/>
        <w:rPr>
          <w:lang w:val="en-AU"/>
        </w:rPr>
      </w:pPr>
      <w:r w:rsidRPr="00AF4B63">
        <w:rPr>
          <w:lang w:val="en-AU"/>
        </w:rPr>
        <w:t xml:space="preserve">Those who </w:t>
      </w:r>
      <w:r w:rsidR="00853FC2" w:rsidRPr="00AF4B63">
        <w:rPr>
          <w:lang w:val="en-AU"/>
        </w:rPr>
        <w:t>we</w:t>
      </w:r>
      <w:r w:rsidRPr="00AF4B63">
        <w:rPr>
          <w:lang w:val="en-AU"/>
        </w:rPr>
        <w:t xml:space="preserve">re familiar with Torah </w:t>
      </w:r>
      <w:r w:rsidR="00853FC2" w:rsidRPr="00AF4B63">
        <w:rPr>
          <w:lang w:val="en-AU"/>
        </w:rPr>
        <w:t>among Jesus</w:t>
      </w:r>
      <w:r w:rsidR="005C71CB" w:rsidRPr="00AF4B63">
        <w:rPr>
          <w:lang w:val="en-AU"/>
        </w:rPr>
        <w:t>’</w:t>
      </w:r>
      <w:r w:rsidR="006D41DD">
        <w:rPr>
          <w:lang w:val="en-AU"/>
        </w:rPr>
        <w:t>s</w:t>
      </w:r>
      <w:r w:rsidR="00853FC2" w:rsidRPr="00AF4B63">
        <w:rPr>
          <w:lang w:val="en-AU"/>
        </w:rPr>
        <w:t xml:space="preserve"> audience</w:t>
      </w:r>
      <w:r w:rsidRPr="00AF4B63">
        <w:rPr>
          <w:lang w:val="en-AU"/>
        </w:rPr>
        <w:t xml:space="preserve"> would understand the practical application of justice</w:t>
      </w:r>
      <w:r w:rsidR="00853FC2" w:rsidRPr="00AF4B63">
        <w:rPr>
          <w:lang w:val="en-AU"/>
        </w:rPr>
        <w:t xml:space="preserve"> in Matthew 5:38–42</w:t>
      </w:r>
      <w:r w:rsidRPr="00AF4B63">
        <w:rPr>
          <w:lang w:val="en-AU"/>
        </w:rPr>
        <w:t xml:space="preserve">. </w:t>
      </w:r>
      <w:r w:rsidR="00010BA6" w:rsidRPr="00AF4B63">
        <w:rPr>
          <w:lang w:val="en-AU"/>
        </w:rPr>
        <w:t xml:space="preserve">Jesus did not contradict </w:t>
      </w:r>
      <w:r w:rsidR="00010BA6" w:rsidRPr="00AF4B63">
        <w:rPr>
          <w:i/>
          <w:iCs/>
          <w:lang w:val="en-AU"/>
        </w:rPr>
        <w:t xml:space="preserve">lex </w:t>
      </w:r>
      <w:r w:rsidR="00010BA6" w:rsidRPr="00AF4B63">
        <w:rPr>
          <w:i/>
          <w:lang w:val="en-AU"/>
        </w:rPr>
        <w:t>talionis</w:t>
      </w:r>
      <w:r w:rsidR="00010BA6" w:rsidRPr="00AF4B63">
        <w:rPr>
          <w:lang w:val="en-AU"/>
        </w:rPr>
        <w:t xml:space="preserve"> or abrogate it.</w:t>
      </w:r>
      <w:r w:rsidR="00010BA6" w:rsidRPr="00AF4B63">
        <w:rPr>
          <w:rStyle w:val="FootnoteReference"/>
          <w:lang w:val="en-AU"/>
        </w:rPr>
        <w:footnoteReference w:id="398"/>
      </w:r>
      <w:r w:rsidR="00010BA6" w:rsidRPr="00AF4B63">
        <w:rPr>
          <w:lang w:val="en-AU"/>
        </w:rPr>
        <w:t xml:space="preserve"> </w:t>
      </w:r>
      <w:r w:rsidRPr="00AF4B63">
        <w:rPr>
          <w:lang w:val="en-AU"/>
        </w:rPr>
        <w:t>Matthew 5:38</w:t>
      </w:r>
      <w:r w:rsidR="008B361C" w:rsidRPr="00AF4B63">
        <w:rPr>
          <w:lang w:val="en-AU"/>
        </w:rPr>
        <w:t>–</w:t>
      </w:r>
      <w:r w:rsidRPr="00AF4B63">
        <w:rPr>
          <w:lang w:val="en-AU"/>
        </w:rPr>
        <w:t>42 extrapolates justice in</w:t>
      </w:r>
      <w:r w:rsidR="008B361C" w:rsidRPr="00AF4B63">
        <w:rPr>
          <w:lang w:val="en-AU"/>
        </w:rPr>
        <w:t>to</w:t>
      </w:r>
      <w:r w:rsidRPr="00AF4B63">
        <w:rPr>
          <w:lang w:val="en-AU"/>
        </w:rPr>
        <w:t xml:space="preserve"> daily life scenarios.</w:t>
      </w:r>
      <w:r w:rsidR="00010BA6" w:rsidRPr="00AF4B63">
        <w:rPr>
          <w:lang w:val="en-AU"/>
        </w:rPr>
        <w:t xml:space="preserve"> </w:t>
      </w:r>
      <w:r w:rsidR="0011020A" w:rsidRPr="00AF4B63">
        <w:rPr>
          <w:i/>
          <w:lang w:val="en-AU"/>
        </w:rPr>
        <w:t>L</w:t>
      </w:r>
      <w:r w:rsidR="00010BA6" w:rsidRPr="00AF4B63">
        <w:rPr>
          <w:i/>
          <w:lang w:val="en-AU"/>
        </w:rPr>
        <w:t xml:space="preserve">ex talionis </w:t>
      </w:r>
      <w:r w:rsidR="00DB0F62" w:rsidRPr="00AF4B63">
        <w:rPr>
          <w:lang w:val="en-AU"/>
        </w:rPr>
        <w:t xml:space="preserve">is about </w:t>
      </w:r>
      <w:r w:rsidR="00FA286E" w:rsidRPr="00AF4B63">
        <w:rPr>
          <w:lang w:val="en-AU"/>
        </w:rPr>
        <w:lastRenderedPageBreak/>
        <w:t>equality</w:t>
      </w:r>
      <w:r w:rsidR="00DB0F62" w:rsidRPr="00AF4B63">
        <w:rPr>
          <w:lang w:val="en-AU"/>
        </w:rPr>
        <w:t>, not revenge</w:t>
      </w:r>
      <w:r w:rsidR="00010BA6" w:rsidRPr="00AF4B63">
        <w:rPr>
          <w:lang w:val="en-AU"/>
        </w:rPr>
        <w:t>.</w:t>
      </w:r>
      <w:r w:rsidR="00010BA6" w:rsidRPr="00AF4B63">
        <w:rPr>
          <w:rStyle w:val="FootnoteReference"/>
          <w:lang w:val="en-AU"/>
        </w:rPr>
        <w:footnoteReference w:id="399"/>
      </w:r>
      <w:r w:rsidR="00010BA6" w:rsidRPr="00AF4B63">
        <w:rPr>
          <w:lang w:val="en-AU"/>
        </w:rPr>
        <w:t xml:space="preserve"> </w:t>
      </w:r>
      <w:r w:rsidR="00AB1970" w:rsidRPr="00AF4B63">
        <w:rPr>
          <w:lang w:val="en-AU"/>
        </w:rPr>
        <w:t>Those who hear</w:t>
      </w:r>
      <w:r w:rsidR="008B361C" w:rsidRPr="00AF4B63">
        <w:rPr>
          <w:lang w:val="en-AU"/>
        </w:rPr>
        <w:t>d</w:t>
      </w:r>
      <w:r w:rsidR="00AB1970" w:rsidRPr="00AF4B63">
        <w:rPr>
          <w:lang w:val="en-AU"/>
        </w:rPr>
        <w:t xml:space="preserve"> Matthew 5:38</w:t>
      </w:r>
      <w:r w:rsidR="008B361C" w:rsidRPr="00AF4B63">
        <w:rPr>
          <w:lang w:val="en-AU"/>
        </w:rPr>
        <w:t>–</w:t>
      </w:r>
      <w:r w:rsidR="00AB1970" w:rsidRPr="00AF4B63">
        <w:rPr>
          <w:lang w:val="en-AU"/>
        </w:rPr>
        <w:t xml:space="preserve">42 would understand that justice is only given when the one who commits a personal injury is held accountable. </w:t>
      </w:r>
    </w:p>
    <w:p w14:paraId="6D7E7127" w14:textId="6FF87685" w:rsidR="00010BA6" w:rsidRPr="00AF4B63" w:rsidRDefault="00B82BFB" w:rsidP="00010BA6">
      <w:pPr>
        <w:spacing w:line="480" w:lineRule="auto"/>
        <w:ind w:firstLine="709"/>
        <w:contextualSpacing/>
        <w:rPr>
          <w:lang w:val="en-AU"/>
        </w:rPr>
      </w:pPr>
      <w:r w:rsidRPr="00AF4B63">
        <w:rPr>
          <w:lang w:val="en-AU"/>
        </w:rPr>
        <w:t>Actions taken in</w:t>
      </w:r>
      <w:r w:rsidR="002A7302" w:rsidRPr="00AF4B63">
        <w:rPr>
          <w:lang w:val="en-AU"/>
        </w:rPr>
        <w:t xml:space="preserve"> </w:t>
      </w:r>
      <w:r w:rsidR="00010BA6" w:rsidRPr="00AF4B63">
        <w:rPr>
          <w:lang w:val="en-AU"/>
        </w:rPr>
        <w:t>self-defen</w:t>
      </w:r>
      <w:r w:rsidRPr="00AF4B63">
        <w:rPr>
          <w:lang w:val="en-AU"/>
        </w:rPr>
        <w:t>c</w:t>
      </w:r>
      <w:r w:rsidR="00010BA6" w:rsidRPr="00AF4B63">
        <w:rPr>
          <w:lang w:val="en-AU"/>
        </w:rPr>
        <w:t>e and retaliat</w:t>
      </w:r>
      <w:r w:rsidRPr="00AF4B63">
        <w:rPr>
          <w:lang w:val="en-AU"/>
        </w:rPr>
        <w:t xml:space="preserve">ion </w:t>
      </w:r>
      <w:r w:rsidR="00010BA6" w:rsidRPr="00AF4B63">
        <w:rPr>
          <w:lang w:val="en-AU"/>
        </w:rPr>
        <w:t>in the Second Temple</w:t>
      </w:r>
      <w:r w:rsidRPr="00AF4B63">
        <w:rPr>
          <w:lang w:val="en-AU"/>
        </w:rPr>
        <w:t xml:space="preserve"> period</w:t>
      </w:r>
      <w:r w:rsidR="00010BA6" w:rsidRPr="00AF4B63">
        <w:rPr>
          <w:lang w:val="en-AU"/>
        </w:rPr>
        <w:t xml:space="preserve"> closely reflect </w:t>
      </w:r>
      <w:r w:rsidR="00010BA6" w:rsidRPr="00AF4B63">
        <w:rPr>
          <w:i/>
          <w:iCs/>
          <w:lang w:val="en-AU"/>
        </w:rPr>
        <w:t xml:space="preserve">Mishna </w:t>
      </w:r>
      <w:r w:rsidR="00010BA6" w:rsidRPr="00AF4B63">
        <w:rPr>
          <w:lang w:val="en-AU"/>
        </w:rPr>
        <w:t>Avot</w:t>
      </w:r>
      <w:r w:rsidR="00A93037" w:rsidRPr="00AF4B63">
        <w:rPr>
          <w:lang w:val="en-AU"/>
        </w:rPr>
        <w:t xml:space="preserve"> and have very limited </w:t>
      </w:r>
      <w:r w:rsidR="007D4B2B" w:rsidRPr="00AF4B63">
        <w:rPr>
          <w:lang w:val="en-AU"/>
        </w:rPr>
        <w:t>authori</w:t>
      </w:r>
      <w:r w:rsidR="006F59A5" w:rsidRPr="00AF4B63">
        <w:rPr>
          <w:lang w:val="en-AU"/>
        </w:rPr>
        <w:t>s</w:t>
      </w:r>
      <w:r w:rsidR="007D4B2B" w:rsidRPr="00AF4B63">
        <w:rPr>
          <w:lang w:val="en-AU"/>
        </w:rPr>
        <w:t>ed uses</w:t>
      </w:r>
      <w:r w:rsidR="00010BA6" w:rsidRPr="00AF4B63">
        <w:rPr>
          <w:lang w:val="en-AU"/>
        </w:rPr>
        <w:t xml:space="preserve">. </w:t>
      </w:r>
      <w:r w:rsidR="007D4B2B" w:rsidRPr="00AF4B63">
        <w:rPr>
          <w:lang w:val="en-AU"/>
        </w:rPr>
        <w:t xml:space="preserve">There is a difference between </w:t>
      </w:r>
      <w:r w:rsidR="00010BA6" w:rsidRPr="00AF4B63">
        <w:rPr>
          <w:lang w:val="en-AU"/>
        </w:rPr>
        <w:t>nonviolent self-</w:t>
      </w:r>
      <w:r w:rsidRPr="00AF4B63">
        <w:rPr>
          <w:lang w:val="en-AU"/>
        </w:rPr>
        <w:t>defence</w:t>
      </w:r>
      <w:r w:rsidR="00010BA6" w:rsidRPr="00AF4B63">
        <w:rPr>
          <w:lang w:val="en-AU"/>
        </w:rPr>
        <w:t xml:space="preserve"> by an individual and violence used in self-</w:t>
      </w:r>
      <w:r w:rsidRPr="00AF4B63">
        <w:rPr>
          <w:lang w:val="en-AU"/>
        </w:rPr>
        <w:t>defence</w:t>
      </w:r>
      <w:r w:rsidR="00010BA6" w:rsidRPr="00AF4B63">
        <w:rPr>
          <w:lang w:val="en-AU"/>
        </w:rPr>
        <w:t xml:space="preserve">. Robert Guelich makes a convincing case that Jesus is citing </w:t>
      </w:r>
      <w:proofErr w:type="gramStart"/>
      <w:r w:rsidR="00010BA6" w:rsidRPr="00AF4B63">
        <w:rPr>
          <w:lang w:val="en-AU"/>
        </w:rPr>
        <w:t>in particular the</w:t>
      </w:r>
      <w:proofErr w:type="gramEnd"/>
      <w:r w:rsidR="00010BA6" w:rsidRPr="00AF4B63">
        <w:rPr>
          <w:lang w:val="en-AU"/>
        </w:rPr>
        <w:t xml:space="preserve"> passage in Deuteronomy 21:10</w:t>
      </w:r>
      <w:r w:rsidRPr="00AF4B63">
        <w:rPr>
          <w:lang w:val="en-AU"/>
        </w:rPr>
        <w:t>–</w:t>
      </w:r>
      <w:r w:rsidR="00010BA6" w:rsidRPr="00AF4B63">
        <w:rPr>
          <w:lang w:val="en-AU"/>
        </w:rPr>
        <w:t>14</w:t>
      </w:r>
      <w:r w:rsidRPr="00AF4B63">
        <w:rPr>
          <w:lang w:val="en-AU"/>
        </w:rPr>
        <w:t>. His argument</w:t>
      </w:r>
      <w:r w:rsidR="008203B7" w:rsidRPr="00AF4B63">
        <w:rPr>
          <w:lang w:val="en-AU"/>
        </w:rPr>
        <w:t xml:space="preserve"> is</w:t>
      </w:r>
      <w:r w:rsidR="00010BA6" w:rsidRPr="00AF4B63">
        <w:rPr>
          <w:lang w:val="en-AU"/>
        </w:rPr>
        <w:t xml:space="preserve"> based on four lines of evidence in which parallels are seen with Matthew</w:t>
      </w:r>
      <w:r w:rsidR="005C71CB" w:rsidRPr="00AF4B63">
        <w:rPr>
          <w:lang w:val="en-AU"/>
        </w:rPr>
        <w:t>’</w:t>
      </w:r>
      <w:r w:rsidR="008203B7" w:rsidRPr="00AF4B63">
        <w:rPr>
          <w:lang w:val="en-AU"/>
        </w:rPr>
        <w:t>s</w:t>
      </w:r>
      <w:r w:rsidR="00010BA6" w:rsidRPr="00AF4B63">
        <w:rPr>
          <w:lang w:val="en-AU"/>
        </w:rPr>
        <w:t xml:space="preserve"> </w:t>
      </w:r>
      <w:r w:rsidR="00577BA5" w:rsidRPr="00AF4B63">
        <w:rPr>
          <w:lang w:val="en-AU"/>
        </w:rPr>
        <w:t>position on</w:t>
      </w:r>
      <w:r w:rsidR="00010BA6" w:rsidRPr="00AF4B63">
        <w:rPr>
          <w:lang w:val="en-AU"/>
        </w:rPr>
        <w:t xml:space="preserve"> the rights of people under an oppressive ruler.</w:t>
      </w:r>
      <w:r w:rsidR="00010BA6" w:rsidRPr="00AF4B63">
        <w:rPr>
          <w:rStyle w:val="FootnoteReference"/>
          <w:lang w:val="en-AU"/>
        </w:rPr>
        <w:footnoteReference w:id="400"/>
      </w:r>
      <w:r w:rsidR="00010BA6" w:rsidRPr="00AF4B63">
        <w:rPr>
          <w:lang w:val="en-AU"/>
        </w:rPr>
        <w:t xml:space="preserve"> As to how Jesus</w:t>
      </w:r>
      <w:r w:rsidR="005C71CB" w:rsidRPr="00AF4B63">
        <w:rPr>
          <w:lang w:val="en-AU"/>
        </w:rPr>
        <w:t>’</w:t>
      </w:r>
      <w:r w:rsidR="006D41DD">
        <w:rPr>
          <w:lang w:val="en-AU"/>
        </w:rPr>
        <w:t>s</w:t>
      </w:r>
      <w:r w:rsidR="00010BA6" w:rsidRPr="00AF4B63">
        <w:rPr>
          <w:lang w:val="en-AU"/>
        </w:rPr>
        <w:t xml:space="preserve"> statement relates to the OT law, Guelich also feels that Jesus is </w:t>
      </w:r>
      <w:r w:rsidR="00367067" w:rsidRPr="00AF4B63">
        <w:rPr>
          <w:lang w:val="en-AU"/>
        </w:rPr>
        <w:t xml:space="preserve">not superseding </w:t>
      </w:r>
      <w:r w:rsidR="008040A1" w:rsidRPr="00AF4B63">
        <w:rPr>
          <w:lang w:val="en-AU"/>
        </w:rPr>
        <w:t>b</w:t>
      </w:r>
      <w:r w:rsidR="00367067" w:rsidRPr="00AF4B63">
        <w:rPr>
          <w:lang w:val="en-AU"/>
        </w:rPr>
        <w:t>ut</w:t>
      </w:r>
      <w:r w:rsidR="008040A1" w:rsidRPr="00AF4B63">
        <w:rPr>
          <w:lang w:val="en-AU"/>
        </w:rPr>
        <w:t xml:space="preserve"> </w:t>
      </w:r>
      <w:r w:rsidR="00010BA6" w:rsidRPr="00AF4B63">
        <w:rPr>
          <w:lang w:val="en-AU"/>
        </w:rPr>
        <w:t>setting aside the O</w:t>
      </w:r>
      <w:r w:rsidR="00367067" w:rsidRPr="00AF4B63">
        <w:rPr>
          <w:lang w:val="en-AU"/>
        </w:rPr>
        <w:t>ld Testament</w:t>
      </w:r>
      <w:r w:rsidR="00010BA6" w:rsidRPr="00AF4B63">
        <w:rPr>
          <w:lang w:val="en-AU"/>
        </w:rPr>
        <w:t xml:space="preserve"> command</w:t>
      </w:r>
      <w:r w:rsidR="008040A1" w:rsidRPr="00AF4B63">
        <w:rPr>
          <w:lang w:val="en-AU"/>
        </w:rPr>
        <w:t xml:space="preserve">, calling </w:t>
      </w:r>
      <w:r w:rsidR="00BC5B17" w:rsidRPr="00AF4B63">
        <w:rPr>
          <w:lang w:val="en-AU"/>
        </w:rPr>
        <w:t>for a</w:t>
      </w:r>
      <w:r w:rsidR="00010BA6" w:rsidRPr="00AF4B63">
        <w:rPr>
          <w:lang w:val="en-AU"/>
        </w:rPr>
        <w:t xml:space="preserve"> new starting point in </w:t>
      </w:r>
      <w:r w:rsidR="008040A1" w:rsidRPr="00AF4B63">
        <w:rPr>
          <w:lang w:val="en-AU"/>
        </w:rPr>
        <w:t xml:space="preserve">human </w:t>
      </w:r>
      <w:r w:rsidR="00010BA6" w:rsidRPr="00AF4B63">
        <w:rPr>
          <w:lang w:val="en-AU"/>
        </w:rPr>
        <w:t xml:space="preserve">relationships in which evil </w:t>
      </w:r>
      <w:r w:rsidR="008040A1" w:rsidRPr="00AF4B63">
        <w:rPr>
          <w:lang w:val="en-AU"/>
        </w:rPr>
        <w:t>i</w:t>
      </w:r>
      <w:r w:rsidR="00010BA6" w:rsidRPr="00AF4B63">
        <w:rPr>
          <w:lang w:val="en-AU"/>
        </w:rPr>
        <w:t xml:space="preserve">s no longer primarily a controlling force. He concludes: </w:t>
      </w:r>
    </w:p>
    <w:p w14:paraId="26C7D5C9" w14:textId="50D87CE6" w:rsidR="00010BA6" w:rsidRPr="00AF4B63" w:rsidRDefault="00010BA6" w:rsidP="00AF2E41">
      <w:pPr>
        <w:pStyle w:val="Blockquotation"/>
        <w:rPr>
          <w:sz w:val="24"/>
          <w:lang w:val="en-AU"/>
        </w:rPr>
      </w:pPr>
      <w:r w:rsidRPr="00AF4B63">
        <w:rPr>
          <w:sz w:val="24"/>
          <w:lang w:val="en-AU"/>
        </w:rPr>
        <w:t>The fifth Antithesis strikes at the very basis of legal justice. The Law</w:t>
      </w:r>
      <w:r w:rsidR="005C71CB" w:rsidRPr="00AF4B63">
        <w:rPr>
          <w:sz w:val="24"/>
          <w:lang w:val="en-AU"/>
        </w:rPr>
        <w:t>’</w:t>
      </w:r>
      <w:r w:rsidRPr="00AF4B63">
        <w:rPr>
          <w:sz w:val="24"/>
          <w:lang w:val="en-AU"/>
        </w:rPr>
        <w:t xml:space="preserve">s explicit basis for such justice, the </w:t>
      </w:r>
      <w:r w:rsidRPr="00AF4B63">
        <w:rPr>
          <w:i/>
          <w:sz w:val="24"/>
          <w:lang w:val="en-AU"/>
        </w:rPr>
        <w:t>lex talionis</w:t>
      </w:r>
      <w:r w:rsidRPr="00AF4B63">
        <w:rPr>
          <w:sz w:val="24"/>
          <w:lang w:val="en-AU"/>
        </w:rPr>
        <w:t>, stands over against Jesus</w:t>
      </w:r>
      <w:r w:rsidR="005C71CB" w:rsidRPr="00AF4B63">
        <w:rPr>
          <w:sz w:val="24"/>
          <w:lang w:val="en-AU"/>
        </w:rPr>
        <w:t>’</w:t>
      </w:r>
      <w:r w:rsidRPr="00AF4B63">
        <w:rPr>
          <w:sz w:val="24"/>
          <w:lang w:val="en-AU"/>
        </w:rPr>
        <w:t xml:space="preserve"> demand of not seeking legal vindication from the evil one in court. In other words, the implications of this Antithesis, like the third (5:31</w:t>
      </w:r>
      <w:r w:rsidR="00896B95" w:rsidRPr="00AF4B63">
        <w:rPr>
          <w:sz w:val="24"/>
          <w:lang w:val="en-AU"/>
        </w:rPr>
        <w:t>–</w:t>
      </w:r>
      <w:r w:rsidRPr="00AF4B63">
        <w:rPr>
          <w:sz w:val="24"/>
          <w:lang w:val="en-AU"/>
        </w:rPr>
        <w:t>32), set aside rather than supersede the Old Testament Law. Taken legalistically, such a demand would lead to anarchy. Taken in keeping with the other Antithesis, however, this one also calls for behavior commensurate with a totally different starting point in human relationships. Rather than perceiving these relationships as controlled by legal justice, and thus presupposing the presence of evil and the need for such justice, Jesus called for relationships in which evil was no longer the controlling factor.</w:t>
      </w:r>
      <w:r w:rsidRPr="00AF4B63">
        <w:rPr>
          <w:rStyle w:val="FootnoteReference"/>
          <w:sz w:val="24"/>
          <w:lang w:val="en-AU"/>
        </w:rPr>
        <w:footnoteReference w:id="401"/>
      </w:r>
      <w:r w:rsidRPr="00AF4B63">
        <w:rPr>
          <w:sz w:val="24"/>
          <w:lang w:val="en-AU"/>
        </w:rPr>
        <w:t xml:space="preserve"> </w:t>
      </w:r>
    </w:p>
    <w:p w14:paraId="40CC9E14" w14:textId="52A9BF6F" w:rsidR="00010BA6" w:rsidRPr="00AF4B63" w:rsidRDefault="00010BA6" w:rsidP="00EC4DD5">
      <w:pPr>
        <w:spacing w:before="240" w:line="480" w:lineRule="auto"/>
        <w:rPr>
          <w:highlight w:val="yellow"/>
          <w:lang w:val="en-AU"/>
        </w:rPr>
      </w:pPr>
      <w:r w:rsidRPr="00AF4B63">
        <w:rPr>
          <w:lang w:val="en-AU"/>
        </w:rPr>
        <w:t>The command not to resist is primarily intended as foregoing one</w:t>
      </w:r>
      <w:r w:rsidR="005C71CB" w:rsidRPr="00AF4B63">
        <w:rPr>
          <w:lang w:val="en-AU"/>
        </w:rPr>
        <w:t>’</w:t>
      </w:r>
      <w:r w:rsidRPr="00AF4B63">
        <w:rPr>
          <w:lang w:val="en-AU"/>
        </w:rPr>
        <w:t>s rights for legal redress for an offense, rather than a general call for nonresistance.</w:t>
      </w:r>
      <w:r w:rsidR="007D4B2B" w:rsidRPr="00AF4B63">
        <w:rPr>
          <w:lang w:val="en-AU"/>
        </w:rPr>
        <w:t xml:space="preserve"> In </w:t>
      </w:r>
      <w:r w:rsidR="007D4B2B" w:rsidRPr="00AF4B63">
        <w:rPr>
          <w:i/>
          <w:iCs/>
          <w:lang w:val="en-AU"/>
        </w:rPr>
        <w:t>halakha</w:t>
      </w:r>
      <w:r w:rsidR="007D4B2B" w:rsidRPr="00AF4B63">
        <w:rPr>
          <w:lang w:val="en-AU"/>
        </w:rPr>
        <w:t xml:space="preserve">, lethal force is allowed in </w:t>
      </w:r>
      <w:r w:rsidR="00721B56" w:rsidRPr="00AF4B63">
        <w:rPr>
          <w:lang w:val="en-AU"/>
        </w:rPr>
        <w:lastRenderedPageBreak/>
        <w:t>self-</w:t>
      </w:r>
      <w:r w:rsidR="00B82BFB" w:rsidRPr="00AF4B63">
        <w:rPr>
          <w:lang w:val="en-AU"/>
        </w:rPr>
        <w:t>defence</w:t>
      </w:r>
      <w:r w:rsidR="007D4B2B" w:rsidRPr="00AF4B63">
        <w:rPr>
          <w:lang w:val="en-AU"/>
        </w:rPr>
        <w:t>.</w:t>
      </w:r>
      <w:r w:rsidRPr="00AF4B63">
        <w:rPr>
          <w:rStyle w:val="FootnoteReference"/>
          <w:lang w:val="en-AU"/>
        </w:rPr>
        <w:footnoteReference w:id="402"/>
      </w:r>
      <w:r w:rsidRPr="00AF4B63">
        <w:rPr>
          <w:lang w:val="en-AU"/>
        </w:rPr>
        <w:t xml:space="preserve"> </w:t>
      </w:r>
      <w:r w:rsidR="00DB0F62" w:rsidRPr="00AF4B63">
        <w:rPr>
          <w:i/>
          <w:iCs/>
          <w:lang w:val="en-AU"/>
        </w:rPr>
        <w:t xml:space="preserve">Mishna </w:t>
      </w:r>
      <w:r w:rsidRPr="00AF4B63">
        <w:rPr>
          <w:i/>
          <w:iCs/>
          <w:lang w:val="en-AU"/>
        </w:rPr>
        <w:t xml:space="preserve">Berakot </w:t>
      </w:r>
      <w:r w:rsidRPr="00AF4B63">
        <w:rPr>
          <w:lang w:val="en-AU"/>
        </w:rPr>
        <w:t>62b</w:t>
      </w:r>
      <w:r w:rsidR="001A3687" w:rsidRPr="00AF4B63">
        <w:rPr>
          <w:lang w:val="en-AU"/>
        </w:rPr>
        <w:t xml:space="preserve"> (8)</w:t>
      </w:r>
      <w:r w:rsidRPr="00AF4B63">
        <w:rPr>
          <w:lang w:val="en-AU"/>
        </w:rPr>
        <w:t xml:space="preserve"> states: </w:t>
      </w:r>
      <w:r w:rsidR="00863B47" w:rsidRPr="00AF4B63">
        <w:rPr>
          <w:lang w:val="en-AU"/>
        </w:rPr>
        <w:t>“</w:t>
      </w:r>
      <w:r w:rsidRPr="00AF4B63">
        <w:rPr>
          <w:lang w:val="en-AU"/>
        </w:rPr>
        <w:t>if a man comes to kill you, rise early in the morning and kill him first.</w:t>
      </w:r>
      <w:r w:rsidR="00863B47" w:rsidRPr="00AF4B63">
        <w:rPr>
          <w:lang w:val="en-AU"/>
        </w:rPr>
        <w:t>”</w:t>
      </w:r>
      <w:r w:rsidRPr="00AF4B63">
        <w:rPr>
          <w:lang w:val="en-AU"/>
        </w:rPr>
        <w:t xml:space="preserve"> </w:t>
      </w:r>
      <w:r w:rsidR="00DB0F62" w:rsidRPr="00AF4B63">
        <w:rPr>
          <w:lang w:val="en-AU"/>
        </w:rPr>
        <w:t>This allows the use of deadly force in self-</w:t>
      </w:r>
      <w:r w:rsidR="00B82BFB" w:rsidRPr="00AF4B63">
        <w:rPr>
          <w:lang w:val="en-AU"/>
        </w:rPr>
        <w:t>defence</w:t>
      </w:r>
      <w:r w:rsidR="00DB0F62" w:rsidRPr="00AF4B63">
        <w:rPr>
          <w:lang w:val="en-AU"/>
        </w:rPr>
        <w:t xml:space="preserve"> </w:t>
      </w:r>
      <w:r w:rsidR="009F1247" w:rsidRPr="00AF4B63">
        <w:rPr>
          <w:lang w:val="en-AU"/>
        </w:rPr>
        <w:t xml:space="preserve">only and </w:t>
      </w:r>
      <w:r w:rsidR="003D0656" w:rsidRPr="00AF4B63">
        <w:rPr>
          <w:lang w:val="en-AU"/>
        </w:rPr>
        <w:t>does</w:t>
      </w:r>
      <w:r w:rsidR="009F1247" w:rsidRPr="00AF4B63">
        <w:rPr>
          <w:lang w:val="en-AU"/>
        </w:rPr>
        <w:t xml:space="preserve"> not </w:t>
      </w:r>
      <w:r w:rsidR="003D0656" w:rsidRPr="00AF4B63">
        <w:rPr>
          <w:lang w:val="en-AU"/>
        </w:rPr>
        <w:t xml:space="preserve">give </w:t>
      </w:r>
      <w:r w:rsidR="009F1247" w:rsidRPr="00AF4B63">
        <w:rPr>
          <w:lang w:val="en-AU"/>
        </w:rPr>
        <w:t xml:space="preserve">unlimited authorization </w:t>
      </w:r>
      <w:r w:rsidR="003D0656" w:rsidRPr="00AF4B63">
        <w:rPr>
          <w:lang w:val="en-AU"/>
        </w:rPr>
        <w:t>for the use of f</w:t>
      </w:r>
      <w:r w:rsidR="00CA25CE" w:rsidRPr="00AF4B63">
        <w:rPr>
          <w:lang w:val="en-AU"/>
        </w:rPr>
        <w:t>o</w:t>
      </w:r>
      <w:r w:rsidR="003D0656" w:rsidRPr="00AF4B63">
        <w:rPr>
          <w:lang w:val="en-AU"/>
        </w:rPr>
        <w:t>rce</w:t>
      </w:r>
      <w:r w:rsidR="00DB0F62" w:rsidRPr="00AF4B63">
        <w:rPr>
          <w:lang w:val="en-AU"/>
        </w:rPr>
        <w:t xml:space="preserve">. </w:t>
      </w:r>
      <w:r w:rsidR="00721B56" w:rsidRPr="00AF4B63">
        <w:rPr>
          <w:i/>
          <w:iCs/>
          <w:lang w:val="en-AU"/>
        </w:rPr>
        <w:t>Mishna</w:t>
      </w:r>
      <w:r w:rsidRPr="00AF4B63">
        <w:rPr>
          <w:lang w:val="en-AU"/>
        </w:rPr>
        <w:t xml:space="preserve"> sought to ensure that preventative self-</w:t>
      </w:r>
      <w:r w:rsidR="00B82BFB" w:rsidRPr="00AF4B63">
        <w:rPr>
          <w:lang w:val="en-AU"/>
        </w:rPr>
        <w:t>defence</w:t>
      </w:r>
      <w:r w:rsidRPr="00AF4B63">
        <w:rPr>
          <w:lang w:val="en-AU"/>
        </w:rPr>
        <w:t xml:space="preserve"> was legal. </w:t>
      </w:r>
    </w:p>
    <w:p w14:paraId="04D92E2D" w14:textId="0DCBF355" w:rsidR="00010BA6" w:rsidRPr="00AF4B63" w:rsidRDefault="00010BA6" w:rsidP="00010BA6">
      <w:pPr>
        <w:spacing w:line="480" w:lineRule="auto"/>
        <w:ind w:firstLine="720"/>
        <w:rPr>
          <w:lang w:val="en-AU"/>
        </w:rPr>
      </w:pPr>
      <w:r w:rsidRPr="00AF4B63">
        <w:rPr>
          <w:lang w:val="en-AU"/>
        </w:rPr>
        <w:t>Benno Jacob contends that the Sermon is not an argument against a Jewish interpretation of a literal talion requirement but is a polemic against the classical pagan morality found in Greek and Roman writings, attitude, and law. Thus, this vulgar morality was reflective of the average person</w:t>
      </w:r>
      <w:r w:rsidR="005C71CB" w:rsidRPr="00AF4B63">
        <w:rPr>
          <w:lang w:val="en-AU"/>
        </w:rPr>
        <w:t>’</w:t>
      </w:r>
      <w:r w:rsidRPr="00AF4B63">
        <w:rPr>
          <w:lang w:val="en-AU"/>
        </w:rPr>
        <w:t>s ethics and is what the Sermon on the Mount condemns.</w:t>
      </w:r>
      <w:r w:rsidRPr="00AF4B63">
        <w:rPr>
          <w:rStyle w:val="FootnoteReference"/>
          <w:lang w:val="en-AU"/>
        </w:rPr>
        <w:footnoteReference w:id="403"/>
      </w:r>
    </w:p>
    <w:p w14:paraId="059AC14E" w14:textId="7A1A5F41" w:rsidR="00010BA6" w:rsidRPr="00AF4B63" w:rsidRDefault="00010BA6" w:rsidP="00CC4298">
      <w:pPr>
        <w:spacing w:before="120" w:line="480" w:lineRule="auto"/>
        <w:ind w:firstLine="720"/>
        <w:rPr>
          <w:lang w:val="en-AU"/>
        </w:rPr>
      </w:pPr>
      <w:r w:rsidRPr="00AF4B63">
        <w:rPr>
          <w:lang w:val="en-AU"/>
        </w:rPr>
        <w:t>The premise</w:t>
      </w:r>
      <w:r w:rsidR="00CA25CE" w:rsidRPr="00AF4B63">
        <w:rPr>
          <w:lang w:val="en-AU"/>
        </w:rPr>
        <w:t>s</w:t>
      </w:r>
      <w:r w:rsidRPr="00AF4B63">
        <w:rPr>
          <w:lang w:val="en-AU"/>
        </w:rPr>
        <w:t xml:space="preserve"> in </w:t>
      </w:r>
      <w:r w:rsidRPr="00AF4B63">
        <w:rPr>
          <w:i/>
          <w:lang w:val="en-AU"/>
        </w:rPr>
        <w:t xml:space="preserve">Berakot </w:t>
      </w:r>
      <w:r w:rsidRPr="00AF4B63">
        <w:rPr>
          <w:iCs/>
          <w:lang w:val="en-AU"/>
        </w:rPr>
        <w:t>58a and 62b</w:t>
      </w:r>
      <w:r w:rsidRPr="00AF4B63">
        <w:rPr>
          <w:lang w:val="en-AU"/>
        </w:rPr>
        <w:t xml:space="preserve"> </w:t>
      </w:r>
      <w:r w:rsidR="00721B56" w:rsidRPr="00AF4B63">
        <w:rPr>
          <w:lang w:val="en-AU"/>
        </w:rPr>
        <w:t xml:space="preserve">as well as </w:t>
      </w:r>
      <w:r w:rsidRPr="00AF4B63">
        <w:rPr>
          <w:i/>
          <w:lang w:val="en-AU"/>
        </w:rPr>
        <w:t>Tannit 25b</w:t>
      </w:r>
      <w:r w:rsidRPr="00AF4B63">
        <w:rPr>
          <w:lang w:val="en-AU"/>
        </w:rPr>
        <w:t xml:space="preserve"> </w:t>
      </w:r>
      <w:r w:rsidR="00721B56" w:rsidRPr="00AF4B63">
        <w:rPr>
          <w:lang w:val="en-AU"/>
        </w:rPr>
        <w:t xml:space="preserve">revolve around the intent of a person and how well they </w:t>
      </w:r>
      <w:r w:rsidR="00A37020" w:rsidRPr="00AF4B63">
        <w:rPr>
          <w:lang w:val="en-AU"/>
        </w:rPr>
        <w:t>practice</w:t>
      </w:r>
      <w:r w:rsidR="00721B56" w:rsidRPr="00AF4B63">
        <w:rPr>
          <w:lang w:val="en-AU"/>
        </w:rPr>
        <w:t xml:space="preserve"> self-control.</w:t>
      </w:r>
      <w:r w:rsidRPr="00AF4B63">
        <w:rPr>
          <w:rStyle w:val="FootnoteReference"/>
          <w:lang w:val="en-AU"/>
        </w:rPr>
        <w:footnoteReference w:id="404"/>
      </w:r>
      <w:r w:rsidRPr="00AF4B63">
        <w:rPr>
          <w:lang w:val="en-AU"/>
        </w:rPr>
        <w:t xml:space="preserve"> </w:t>
      </w:r>
      <w:r w:rsidR="009D616B" w:rsidRPr="00AF4B63">
        <w:rPr>
          <w:lang w:val="en-AU"/>
        </w:rPr>
        <w:t>Matthew 5:38</w:t>
      </w:r>
      <w:r w:rsidR="00CA25CE" w:rsidRPr="00AF4B63">
        <w:rPr>
          <w:lang w:val="en-AU"/>
        </w:rPr>
        <w:t>–</w:t>
      </w:r>
      <w:r w:rsidR="009D616B" w:rsidRPr="00AF4B63">
        <w:rPr>
          <w:lang w:val="en-AU"/>
        </w:rPr>
        <w:t xml:space="preserve">42 </w:t>
      </w:r>
      <w:r w:rsidR="00A91C70" w:rsidRPr="00AF4B63">
        <w:rPr>
          <w:lang w:val="en-AU"/>
        </w:rPr>
        <w:t>is concerned with</w:t>
      </w:r>
      <w:r w:rsidR="00A37020" w:rsidRPr="00AF4B63">
        <w:rPr>
          <w:lang w:val="en-AU"/>
        </w:rPr>
        <w:t xml:space="preserve"> </w:t>
      </w:r>
      <w:r w:rsidR="009D616B" w:rsidRPr="00AF4B63">
        <w:rPr>
          <w:lang w:val="en-AU"/>
        </w:rPr>
        <w:t>the actions of a person and how they react.  Matthew 5:43</w:t>
      </w:r>
      <w:r w:rsidR="009F1247" w:rsidRPr="00AF4B63">
        <w:rPr>
          <w:lang w:val="en-AU"/>
        </w:rPr>
        <w:t xml:space="preserve"> crysta</w:t>
      </w:r>
      <w:r w:rsidR="00A91C70" w:rsidRPr="00AF4B63">
        <w:rPr>
          <w:lang w:val="en-AU"/>
        </w:rPr>
        <w:t>l</w:t>
      </w:r>
      <w:r w:rsidR="009F1247" w:rsidRPr="00AF4B63">
        <w:rPr>
          <w:lang w:val="en-AU"/>
        </w:rPr>
        <w:t>li</w:t>
      </w:r>
      <w:r w:rsidR="006F59A5" w:rsidRPr="00AF4B63">
        <w:rPr>
          <w:lang w:val="en-AU"/>
        </w:rPr>
        <w:t>s</w:t>
      </w:r>
      <w:r w:rsidR="009F1247" w:rsidRPr="00AF4B63">
        <w:rPr>
          <w:lang w:val="en-AU"/>
        </w:rPr>
        <w:t xml:space="preserve">es these actions in the context of love. </w:t>
      </w:r>
      <w:r w:rsidR="007E7277" w:rsidRPr="00AF4B63">
        <w:rPr>
          <w:lang w:val="en-AU"/>
        </w:rPr>
        <w:t xml:space="preserve">The </w:t>
      </w:r>
      <w:r w:rsidR="007E7277" w:rsidRPr="00AF4B63">
        <w:rPr>
          <w:i/>
          <w:iCs/>
          <w:lang w:val="en-AU"/>
        </w:rPr>
        <w:t xml:space="preserve">Avot </w:t>
      </w:r>
      <w:r w:rsidR="007E7277" w:rsidRPr="00AF4B63">
        <w:rPr>
          <w:lang w:val="en-AU"/>
        </w:rPr>
        <w:t xml:space="preserve">further suggest that the </w:t>
      </w:r>
      <w:r w:rsidR="00A91C70" w:rsidRPr="00AF4B63">
        <w:rPr>
          <w:lang w:val="en-AU"/>
        </w:rPr>
        <w:t>attitude</w:t>
      </w:r>
      <w:r w:rsidR="007E7277" w:rsidRPr="00AF4B63">
        <w:rPr>
          <w:lang w:val="en-AU"/>
        </w:rPr>
        <w:t xml:space="preserve"> we have towards other people will help justice prevail</w:t>
      </w:r>
      <w:r w:rsidR="00ED657F" w:rsidRPr="00AF4B63">
        <w:rPr>
          <w:lang w:val="en-AU"/>
        </w:rPr>
        <w:t>.  Finkelstein suggests that f</w:t>
      </w:r>
      <w:r w:rsidR="00E33ADB" w:rsidRPr="00AF4B63">
        <w:rPr>
          <w:lang w:val="en-AU"/>
        </w:rPr>
        <w:t xml:space="preserve">or justice to occur we must </w:t>
      </w:r>
      <w:r w:rsidR="00A37020" w:rsidRPr="00AF4B63">
        <w:rPr>
          <w:lang w:val="en-AU"/>
        </w:rPr>
        <w:t>practice</w:t>
      </w:r>
      <w:r w:rsidR="00E33ADB" w:rsidRPr="00AF4B63">
        <w:rPr>
          <w:lang w:val="en-AU"/>
        </w:rPr>
        <w:t xml:space="preserve"> making peace</w:t>
      </w:r>
      <w:r w:rsidR="004E7CCB" w:rsidRPr="00AF4B63">
        <w:rPr>
          <w:lang w:val="en-AU"/>
        </w:rPr>
        <w:t xml:space="preserve"> and follow the command to love one</w:t>
      </w:r>
      <w:r w:rsidR="005C71CB" w:rsidRPr="00AF4B63">
        <w:rPr>
          <w:lang w:val="en-AU"/>
        </w:rPr>
        <w:t>’</w:t>
      </w:r>
      <w:r w:rsidR="004E7CCB" w:rsidRPr="00AF4B63">
        <w:rPr>
          <w:lang w:val="en-AU"/>
        </w:rPr>
        <w:t>s neighbour</w:t>
      </w:r>
      <w:r w:rsidR="00E33ADB" w:rsidRPr="00AF4B63">
        <w:rPr>
          <w:lang w:val="en-AU"/>
        </w:rPr>
        <w:t>.</w:t>
      </w:r>
      <w:r w:rsidRPr="00AF4B63">
        <w:rPr>
          <w:rStyle w:val="FootnoteReference"/>
          <w:lang w:val="en-AU"/>
        </w:rPr>
        <w:footnoteReference w:id="405"/>
      </w:r>
      <w:r w:rsidRPr="00AF4B63">
        <w:rPr>
          <w:lang w:val="en-AU"/>
        </w:rPr>
        <w:t xml:space="preserve"> </w:t>
      </w:r>
      <w:r w:rsidR="00E33ADB" w:rsidRPr="00AF4B63">
        <w:rPr>
          <w:i/>
          <w:iCs/>
          <w:lang w:val="en-AU"/>
        </w:rPr>
        <w:t>Mishna Avot</w:t>
      </w:r>
      <w:r w:rsidR="00E33ADB" w:rsidRPr="00AF4B63">
        <w:rPr>
          <w:lang w:val="en-AU"/>
        </w:rPr>
        <w:t xml:space="preserve"> </w:t>
      </w:r>
      <w:r w:rsidRPr="00AF4B63">
        <w:rPr>
          <w:lang w:val="en-AU"/>
        </w:rPr>
        <w:t>1:7</w:t>
      </w:r>
      <w:r w:rsidR="006A40F0" w:rsidRPr="00AF4B63">
        <w:rPr>
          <w:lang w:val="en-AU"/>
        </w:rPr>
        <w:t xml:space="preserve"> states</w:t>
      </w:r>
      <w:r w:rsidR="00E33ADB" w:rsidRPr="00AF4B63">
        <w:rPr>
          <w:lang w:val="en-AU"/>
        </w:rPr>
        <w:t>:</w:t>
      </w:r>
      <w:r w:rsidRPr="00AF4B63">
        <w:rPr>
          <w:lang w:val="en-AU"/>
        </w:rPr>
        <w:t xml:space="preserve"> </w:t>
      </w:r>
      <w:r w:rsidR="00863B47" w:rsidRPr="00AF4B63">
        <w:rPr>
          <w:lang w:val="en-AU"/>
        </w:rPr>
        <w:t>“</w:t>
      </w:r>
      <w:r w:rsidRPr="00AF4B63">
        <w:rPr>
          <w:lang w:val="en-AU"/>
        </w:rPr>
        <w:t xml:space="preserve">Do not conspire to prevent the truth or exploit another, and in time, justice will prevail, for evil cannot succeed alone. Do not despair because justice is slow; do justice yourself and work for justice in your community, and in the </w:t>
      </w:r>
      <w:r w:rsidR="00E33ADB" w:rsidRPr="00AF4B63">
        <w:rPr>
          <w:lang w:val="en-AU"/>
        </w:rPr>
        <w:t>end, evil</w:t>
      </w:r>
      <w:r w:rsidRPr="00AF4B63">
        <w:rPr>
          <w:lang w:val="en-AU"/>
        </w:rPr>
        <w:t xml:space="preserve"> will fall before it.</w:t>
      </w:r>
      <w:r w:rsidR="00863B47" w:rsidRPr="00AF4B63">
        <w:rPr>
          <w:lang w:val="en-AU"/>
        </w:rPr>
        <w:t>”</w:t>
      </w:r>
      <w:r w:rsidRPr="00AF4B63">
        <w:rPr>
          <w:rStyle w:val="FootnoteReference"/>
          <w:lang w:val="en-AU"/>
        </w:rPr>
        <w:footnoteReference w:id="406"/>
      </w:r>
      <w:r w:rsidRPr="00AF4B63">
        <w:rPr>
          <w:lang w:val="en-AU"/>
        </w:rPr>
        <w:t xml:space="preserve"> </w:t>
      </w:r>
      <w:r w:rsidR="00E33ADB" w:rsidRPr="00AF4B63">
        <w:rPr>
          <w:lang w:val="en-AU"/>
        </w:rPr>
        <w:t xml:space="preserve">If people are naturally </w:t>
      </w:r>
      <w:r w:rsidR="00E33ADB" w:rsidRPr="00AF4B63">
        <w:rPr>
          <w:lang w:val="en-AU"/>
        </w:rPr>
        <w:lastRenderedPageBreak/>
        <w:t xml:space="preserve">good and loving people in their community, justice will naturally occur. </w:t>
      </w:r>
      <w:r w:rsidR="00C20EA2" w:rsidRPr="00AF4B63">
        <w:rPr>
          <w:lang w:val="en-AU"/>
        </w:rPr>
        <w:t>D</w:t>
      </w:r>
      <w:r w:rsidRPr="00AF4B63">
        <w:rPr>
          <w:lang w:val="en-AU"/>
        </w:rPr>
        <w:t>oing justice and allowing truth to be explored is tantamount to allowing a love of one</w:t>
      </w:r>
      <w:r w:rsidR="005C71CB" w:rsidRPr="00AF4B63">
        <w:rPr>
          <w:lang w:val="en-AU"/>
        </w:rPr>
        <w:t>’</w:t>
      </w:r>
      <w:r w:rsidRPr="00AF4B63">
        <w:rPr>
          <w:lang w:val="en-AU"/>
        </w:rPr>
        <w:t>s neighbo</w:t>
      </w:r>
      <w:r w:rsidR="00C20EA2" w:rsidRPr="00AF4B63">
        <w:rPr>
          <w:lang w:val="en-AU"/>
        </w:rPr>
        <w:t>u</w:t>
      </w:r>
      <w:r w:rsidRPr="00AF4B63">
        <w:rPr>
          <w:lang w:val="en-AU"/>
        </w:rPr>
        <w:t>r.</w:t>
      </w:r>
    </w:p>
    <w:p w14:paraId="1DCF8631" w14:textId="76EA60E8" w:rsidR="003A655D" w:rsidRPr="00AF4B63" w:rsidRDefault="00AF2E41" w:rsidP="00D37F31">
      <w:pPr>
        <w:pStyle w:val="Heading2"/>
      </w:pPr>
      <w:bookmarkStart w:id="136" w:name="_Toc118063667"/>
      <w:bookmarkStart w:id="137" w:name="_Toc94537020"/>
      <w:r w:rsidRPr="00AF4B63">
        <w:t>6.8</w:t>
      </w:r>
      <w:r w:rsidR="00010BA6" w:rsidRPr="00AF4B63">
        <w:t xml:space="preserve"> </w:t>
      </w:r>
      <w:r w:rsidR="002B4C76" w:rsidRPr="00AF4B63">
        <w:t xml:space="preserve">A Similar Interpretation </w:t>
      </w:r>
      <w:r w:rsidR="00894656" w:rsidRPr="00AF4B63">
        <w:t>of</w:t>
      </w:r>
      <w:r w:rsidR="003A655D" w:rsidRPr="00AF4B63">
        <w:t xml:space="preserve"> </w:t>
      </w:r>
      <w:r w:rsidR="003A655D" w:rsidRPr="00AF4B63">
        <w:rPr>
          <w:i/>
          <w:iCs/>
        </w:rPr>
        <w:t>Talion</w:t>
      </w:r>
      <w:r w:rsidR="003A655D" w:rsidRPr="00AF4B63">
        <w:t xml:space="preserve"> in the Talmud</w:t>
      </w:r>
      <w:bookmarkEnd w:id="136"/>
      <w:r w:rsidR="00010BA6" w:rsidRPr="00AF4B63">
        <w:t xml:space="preserve"> </w:t>
      </w:r>
      <w:bookmarkEnd w:id="137"/>
    </w:p>
    <w:p w14:paraId="1CF68F5A" w14:textId="29E7BB36" w:rsidR="00010BA6" w:rsidRPr="00AF4B63" w:rsidRDefault="00861B84" w:rsidP="00EF1AFD">
      <w:pPr>
        <w:spacing w:line="480" w:lineRule="auto"/>
        <w:ind w:firstLine="720"/>
        <w:contextualSpacing/>
        <w:rPr>
          <w:lang w:val="en-AU"/>
        </w:rPr>
      </w:pPr>
      <w:r w:rsidRPr="00AF4B63">
        <w:rPr>
          <w:lang w:val="en-AU"/>
        </w:rPr>
        <w:t xml:space="preserve">There are two different </w:t>
      </w:r>
      <w:r w:rsidR="002123A9" w:rsidRPr="00AF4B63">
        <w:rPr>
          <w:lang w:val="en-AU"/>
        </w:rPr>
        <w:t>sources</w:t>
      </w:r>
      <w:r w:rsidRPr="00AF4B63">
        <w:rPr>
          <w:lang w:val="en-AU"/>
        </w:rPr>
        <w:t xml:space="preserve"> of Talmud</w:t>
      </w:r>
      <w:r w:rsidR="00EF1AFD" w:rsidRPr="00AF4B63">
        <w:rPr>
          <w:lang w:val="en-AU"/>
        </w:rPr>
        <w:t xml:space="preserve">, which are based on two different Oral Traditions, but they were very similar.  </w:t>
      </w:r>
      <w:r w:rsidRPr="00AF4B63">
        <w:rPr>
          <w:lang w:val="en-AU"/>
        </w:rPr>
        <w:t xml:space="preserve">One </w:t>
      </w:r>
      <w:r w:rsidR="00EF1AFD" w:rsidRPr="00AF4B63">
        <w:rPr>
          <w:lang w:val="en-AU"/>
        </w:rPr>
        <w:t xml:space="preserve">set of Oral Traditions finds expression </w:t>
      </w:r>
      <w:r w:rsidRPr="00AF4B63">
        <w:rPr>
          <w:lang w:val="en-AU"/>
        </w:rPr>
        <w:t>i</w:t>
      </w:r>
      <w:r w:rsidR="00EF1AFD" w:rsidRPr="00AF4B63">
        <w:rPr>
          <w:lang w:val="en-AU"/>
        </w:rPr>
        <w:t>n</w:t>
      </w:r>
      <w:r w:rsidRPr="00AF4B63">
        <w:rPr>
          <w:lang w:val="en-AU"/>
        </w:rPr>
        <w:t xml:space="preserve"> </w:t>
      </w:r>
      <w:r w:rsidR="00B65536" w:rsidRPr="00AF4B63">
        <w:rPr>
          <w:lang w:val="en-AU"/>
        </w:rPr>
        <w:t>t</w:t>
      </w:r>
      <w:r w:rsidR="00010BA6" w:rsidRPr="00AF4B63">
        <w:rPr>
          <w:lang w:val="en-AU"/>
        </w:rPr>
        <w:t xml:space="preserve">he </w:t>
      </w:r>
      <w:r w:rsidRPr="00AF4B63">
        <w:rPr>
          <w:lang w:val="en-AU"/>
        </w:rPr>
        <w:t xml:space="preserve">Jerusalem Talmud and the </w:t>
      </w:r>
      <w:r w:rsidR="00B65536" w:rsidRPr="00AF4B63">
        <w:rPr>
          <w:lang w:val="en-AU"/>
        </w:rPr>
        <w:t>other</w:t>
      </w:r>
      <w:r w:rsidRPr="00AF4B63">
        <w:rPr>
          <w:lang w:val="en-AU"/>
        </w:rPr>
        <w:t xml:space="preserve"> i</w:t>
      </w:r>
      <w:r w:rsidR="00EF1AFD" w:rsidRPr="00AF4B63">
        <w:rPr>
          <w:lang w:val="en-AU"/>
        </w:rPr>
        <w:t>n</w:t>
      </w:r>
      <w:r w:rsidRPr="00AF4B63">
        <w:rPr>
          <w:lang w:val="en-AU"/>
        </w:rPr>
        <w:t xml:space="preserve"> the </w:t>
      </w:r>
      <w:r w:rsidR="00010BA6" w:rsidRPr="00AF4B63">
        <w:rPr>
          <w:lang w:val="en-AU"/>
        </w:rPr>
        <w:t>Babylonian Talmud</w:t>
      </w:r>
      <w:r w:rsidRPr="00AF4B63">
        <w:rPr>
          <w:lang w:val="en-AU"/>
        </w:rPr>
        <w:t xml:space="preserve">. </w:t>
      </w:r>
      <w:r w:rsidR="00EF1AFD" w:rsidRPr="00AF4B63">
        <w:rPr>
          <w:lang w:val="en-AU"/>
        </w:rPr>
        <w:t xml:space="preserve">The composition of these different writings occurred after the time of Jesus. </w:t>
      </w:r>
      <w:r w:rsidRPr="00AF4B63">
        <w:rPr>
          <w:lang w:val="en-AU"/>
        </w:rPr>
        <w:t xml:space="preserve">In each collection of rabbinic text, there are writings on </w:t>
      </w:r>
      <w:r w:rsidRPr="00AF4B63">
        <w:rPr>
          <w:i/>
          <w:iCs/>
          <w:lang w:val="en-AU"/>
        </w:rPr>
        <w:t>l</w:t>
      </w:r>
      <w:r w:rsidR="00010BA6" w:rsidRPr="00AF4B63">
        <w:rPr>
          <w:i/>
          <w:lang w:val="en-AU"/>
        </w:rPr>
        <w:t xml:space="preserve">ex </w:t>
      </w:r>
      <w:r w:rsidRPr="00AF4B63">
        <w:rPr>
          <w:i/>
          <w:lang w:val="en-AU"/>
        </w:rPr>
        <w:t>t</w:t>
      </w:r>
      <w:r w:rsidR="00010BA6" w:rsidRPr="00AF4B63">
        <w:rPr>
          <w:i/>
          <w:lang w:val="en-AU"/>
        </w:rPr>
        <w:t>alionis</w:t>
      </w:r>
      <w:r w:rsidR="00010BA6" w:rsidRPr="00AF4B63">
        <w:rPr>
          <w:lang w:val="en-AU"/>
        </w:rPr>
        <w:t xml:space="preserve">. </w:t>
      </w:r>
      <w:r w:rsidR="00EF1AFD" w:rsidRPr="00AF4B63">
        <w:rPr>
          <w:lang w:val="en-AU"/>
        </w:rPr>
        <w:t>During the time period of Jesus’</w:t>
      </w:r>
      <w:r w:rsidR="006D41DD">
        <w:rPr>
          <w:lang w:val="en-AU"/>
        </w:rPr>
        <w:t>s</w:t>
      </w:r>
      <w:r w:rsidR="00EF1AFD" w:rsidRPr="00AF4B63">
        <w:rPr>
          <w:lang w:val="en-AU"/>
        </w:rPr>
        <w:t xml:space="preserve"> ministry, </w:t>
      </w:r>
      <w:r w:rsidR="00010BA6" w:rsidRPr="00AF4B63">
        <w:rPr>
          <w:lang w:val="en-AU"/>
        </w:rPr>
        <w:t>scholars uniformly assume that even if the Roman authorities may have occasionally turned a blind eye to Jewish administration of punishments, they maintained all legal criminal</w:t>
      </w:r>
      <w:r w:rsidR="00635682" w:rsidRPr="00AF4B63">
        <w:rPr>
          <w:lang w:val="en-AU"/>
        </w:rPr>
        <w:t xml:space="preserve"> </w:t>
      </w:r>
      <w:r w:rsidR="00010BA6" w:rsidRPr="00AF4B63">
        <w:rPr>
          <w:lang w:val="en-AU"/>
        </w:rPr>
        <w:t>jurisdiction.</w:t>
      </w:r>
      <w:r w:rsidR="00010BA6" w:rsidRPr="00AF4B63">
        <w:rPr>
          <w:rStyle w:val="FootnoteReference"/>
          <w:lang w:val="en-AU"/>
        </w:rPr>
        <w:footnoteReference w:id="407"/>
      </w:r>
      <w:r w:rsidR="00EE2DBE" w:rsidRPr="00AF4B63">
        <w:rPr>
          <w:lang w:val="en-AU"/>
        </w:rPr>
        <w:t xml:space="preserve"> After the fall of the Temple, Rome removed all authority from the Jewish people and made the</w:t>
      </w:r>
      <w:r w:rsidR="00134BE9" w:rsidRPr="00AF4B63">
        <w:rPr>
          <w:lang w:val="en-AU"/>
        </w:rPr>
        <w:t>m</w:t>
      </w:r>
      <w:r w:rsidR="00EE2DBE" w:rsidRPr="00AF4B63">
        <w:rPr>
          <w:lang w:val="en-AU"/>
        </w:rPr>
        <w:t xml:space="preserve"> recognizable </w:t>
      </w:r>
      <w:r w:rsidR="00134BE9" w:rsidRPr="00AF4B63">
        <w:rPr>
          <w:lang w:val="en-AU"/>
        </w:rPr>
        <w:t xml:space="preserve">only </w:t>
      </w:r>
      <w:r w:rsidR="00EE2DBE" w:rsidRPr="00AF4B63">
        <w:rPr>
          <w:lang w:val="en-AU"/>
        </w:rPr>
        <w:t>as a group of people.</w:t>
      </w:r>
      <w:r w:rsidR="00010BA6" w:rsidRPr="00AF4B63">
        <w:rPr>
          <w:rStyle w:val="FootnoteReference"/>
          <w:lang w:val="en-AU"/>
        </w:rPr>
        <w:footnoteReference w:id="408"/>
      </w:r>
      <w:r w:rsidR="00010BA6" w:rsidRPr="00AF4B63">
        <w:rPr>
          <w:lang w:val="en-AU"/>
        </w:rPr>
        <w:t xml:space="preserve"> </w:t>
      </w:r>
      <w:r w:rsidR="006A40F0" w:rsidRPr="00AF4B63">
        <w:rPr>
          <w:lang w:val="en-AU"/>
        </w:rPr>
        <w:t xml:space="preserve">Lach suggests </w:t>
      </w:r>
      <w:r w:rsidR="00291834" w:rsidRPr="00AF4B63">
        <w:rPr>
          <w:lang w:val="en-AU"/>
        </w:rPr>
        <w:t xml:space="preserve">that the </w:t>
      </w:r>
      <w:r w:rsidR="00134BE9" w:rsidRPr="00AF4B63">
        <w:rPr>
          <w:lang w:val="en-AU"/>
        </w:rPr>
        <w:t>r</w:t>
      </w:r>
      <w:r w:rsidR="00291834" w:rsidRPr="00AF4B63">
        <w:rPr>
          <w:lang w:val="en-AU"/>
        </w:rPr>
        <w:t xml:space="preserve">abbinic interpretation was influenced by Roman Law, and states: </w:t>
      </w:r>
    </w:p>
    <w:p w14:paraId="39E62425" w14:textId="51C5D047" w:rsidR="00010BA6" w:rsidRPr="00AF4B63" w:rsidRDefault="00010BA6" w:rsidP="00AF2E41">
      <w:pPr>
        <w:pStyle w:val="Blockquotation"/>
        <w:rPr>
          <w:sz w:val="24"/>
          <w:lang w:val="en-AU"/>
        </w:rPr>
      </w:pPr>
      <w:r w:rsidRPr="00AF4B63">
        <w:rPr>
          <w:sz w:val="24"/>
          <w:lang w:val="en-AU"/>
        </w:rPr>
        <w:t>The rabbinic interpretation of the biblical law is</w:t>
      </w:r>
      <w:r w:rsidR="00157023" w:rsidRPr="00AF4B63">
        <w:rPr>
          <w:sz w:val="24"/>
          <w:lang w:val="en-AU"/>
        </w:rPr>
        <w:t xml:space="preserve"> </w:t>
      </w:r>
      <w:r w:rsidRPr="00AF4B63">
        <w:rPr>
          <w:sz w:val="24"/>
          <w:lang w:val="en-AU"/>
        </w:rPr>
        <w:t xml:space="preserve">if a man wound his fellow man, he thereby becomes liable on five counts: for injury, for pain, for healing, for loss of time, and for indignity afflicted. During this entire </w:t>
      </w:r>
      <w:proofErr w:type="gramStart"/>
      <w:r w:rsidRPr="00AF4B63">
        <w:rPr>
          <w:sz w:val="24"/>
          <w:lang w:val="en-AU"/>
        </w:rPr>
        <w:t>period</w:t>
      </w:r>
      <w:proofErr w:type="gramEnd"/>
      <w:r w:rsidRPr="00AF4B63">
        <w:rPr>
          <w:sz w:val="24"/>
          <w:lang w:val="en-AU"/>
        </w:rPr>
        <w:t xml:space="preserve"> it remained a private wrong, and it was up to the injured party whether or not he would press his claim and demand judgment in the form of a money payment.</w:t>
      </w:r>
      <w:r w:rsidRPr="00AF4B63">
        <w:rPr>
          <w:rStyle w:val="FootnoteReference"/>
          <w:sz w:val="24"/>
          <w:lang w:val="en-AU"/>
        </w:rPr>
        <w:footnoteReference w:id="409"/>
      </w:r>
      <w:r w:rsidRPr="00AF4B63">
        <w:rPr>
          <w:sz w:val="24"/>
          <w:lang w:val="en-AU"/>
        </w:rPr>
        <w:t xml:space="preserve"> </w:t>
      </w:r>
    </w:p>
    <w:p w14:paraId="4D057EF9" w14:textId="77777777" w:rsidR="00010BA6" w:rsidRPr="00AF4B63" w:rsidRDefault="00010BA6" w:rsidP="00010BA6">
      <w:pPr>
        <w:ind w:left="709" w:right="709"/>
        <w:rPr>
          <w:lang w:val="en-AU"/>
        </w:rPr>
      </w:pPr>
      <w:r w:rsidRPr="00AF4B63">
        <w:rPr>
          <w:lang w:val="en-AU"/>
        </w:rPr>
        <w:t xml:space="preserve"> </w:t>
      </w:r>
    </w:p>
    <w:p w14:paraId="66E506FF" w14:textId="0E812BBC" w:rsidR="00010BA6" w:rsidRPr="00AF4B63" w:rsidRDefault="00134BE9" w:rsidP="003213CB">
      <w:pPr>
        <w:spacing w:line="480" w:lineRule="auto"/>
        <w:rPr>
          <w:lang w:val="en-AU"/>
        </w:rPr>
      </w:pPr>
      <w:r w:rsidRPr="00AF4B63">
        <w:rPr>
          <w:lang w:val="en-AU"/>
        </w:rPr>
        <w:t>I</w:t>
      </w:r>
      <w:r w:rsidR="00291834" w:rsidRPr="00AF4B63">
        <w:rPr>
          <w:lang w:val="en-AU"/>
        </w:rPr>
        <w:t xml:space="preserve">n both the Palestinian and Babylonian Talmudim, there is an allowance for injuries to be sorted out privately before </w:t>
      </w:r>
      <w:r w:rsidR="00895434" w:rsidRPr="00AF4B63">
        <w:rPr>
          <w:lang w:val="en-AU"/>
        </w:rPr>
        <w:t>becoming</w:t>
      </w:r>
      <w:r w:rsidR="00291834" w:rsidRPr="00AF4B63">
        <w:rPr>
          <w:lang w:val="en-AU"/>
        </w:rPr>
        <w:t xml:space="preserve"> a state matter. This was helpful, especially during Roman times, because there was an Oral Law standard in which private matters could be </w:t>
      </w:r>
      <w:r w:rsidR="00291834" w:rsidRPr="00AF4B63">
        <w:rPr>
          <w:lang w:val="en-AU"/>
        </w:rPr>
        <w:lastRenderedPageBreak/>
        <w:t xml:space="preserve">solved without going to the public court.  </w:t>
      </w:r>
      <w:r w:rsidR="00320BAD" w:rsidRPr="00AF4B63">
        <w:rPr>
          <w:lang w:val="en-AU"/>
        </w:rPr>
        <w:t xml:space="preserve">Instone-Brewer suggests that </w:t>
      </w:r>
      <w:r w:rsidR="00863B47" w:rsidRPr="00AF4B63">
        <w:rPr>
          <w:lang w:val="en-AU"/>
        </w:rPr>
        <w:t>“</w:t>
      </w:r>
      <w:r w:rsidR="00320BAD" w:rsidRPr="00AF4B63">
        <w:rPr>
          <w:lang w:val="en-AU"/>
        </w:rPr>
        <w:t>R</w:t>
      </w:r>
      <w:r w:rsidR="00010BA6" w:rsidRPr="00AF4B63">
        <w:rPr>
          <w:lang w:val="en-AU"/>
        </w:rPr>
        <w:t>abbinic Judaism was split between the literal</w:t>
      </w:r>
      <w:r w:rsidR="00010BA6" w:rsidRPr="00AF4B63">
        <w:rPr>
          <w:i/>
          <w:lang w:val="en-AU"/>
        </w:rPr>
        <w:t xml:space="preserve"> talion</w:t>
      </w:r>
      <w:r w:rsidR="00010BA6" w:rsidRPr="00AF4B63">
        <w:rPr>
          <w:lang w:val="en-AU"/>
        </w:rPr>
        <w:t xml:space="preserve"> (retaliation) and fiscal punishment.</w:t>
      </w:r>
      <w:r w:rsidR="00863B47" w:rsidRPr="00AF4B63">
        <w:rPr>
          <w:lang w:val="en-AU"/>
        </w:rPr>
        <w:t>”</w:t>
      </w:r>
      <w:r w:rsidR="00010BA6" w:rsidRPr="00AF4B63">
        <w:rPr>
          <w:rStyle w:val="FootnoteReference"/>
          <w:lang w:val="en-AU"/>
        </w:rPr>
        <w:footnoteReference w:id="410"/>
      </w:r>
      <w:r w:rsidR="00010BA6" w:rsidRPr="00AF4B63">
        <w:rPr>
          <w:lang w:val="en-AU"/>
        </w:rPr>
        <w:t xml:space="preserve"> </w:t>
      </w:r>
      <w:r w:rsidR="00320BAD" w:rsidRPr="00AF4B63">
        <w:rPr>
          <w:lang w:val="en-AU"/>
        </w:rPr>
        <w:t xml:space="preserve">This was </w:t>
      </w:r>
      <w:r w:rsidR="00EF1AFD" w:rsidRPr="00AF4B63">
        <w:rPr>
          <w:lang w:val="en-AU"/>
        </w:rPr>
        <w:t xml:space="preserve">possibly </w:t>
      </w:r>
      <w:r w:rsidR="00320BAD" w:rsidRPr="00AF4B63">
        <w:rPr>
          <w:lang w:val="en-AU"/>
        </w:rPr>
        <w:t>due to the differen</w:t>
      </w:r>
      <w:r w:rsidR="00CC4298">
        <w:rPr>
          <w:lang w:val="en-AU"/>
        </w:rPr>
        <w:t>t</w:t>
      </w:r>
      <w:r w:rsidR="00320BAD" w:rsidRPr="00AF4B63">
        <w:rPr>
          <w:lang w:val="en-AU"/>
        </w:rPr>
        <w:t xml:space="preserve"> influences o</w:t>
      </w:r>
      <w:r w:rsidR="00621CF8" w:rsidRPr="00AF4B63">
        <w:rPr>
          <w:lang w:val="en-AU"/>
        </w:rPr>
        <w:t>n</w:t>
      </w:r>
      <w:r w:rsidR="00320BAD" w:rsidRPr="00AF4B63">
        <w:rPr>
          <w:lang w:val="en-AU"/>
        </w:rPr>
        <w:t xml:space="preserve"> Rabbinic discourse</w:t>
      </w:r>
      <w:r w:rsidR="00621CF8" w:rsidRPr="00AF4B63">
        <w:rPr>
          <w:lang w:val="en-AU"/>
        </w:rPr>
        <w:t xml:space="preserve"> of the</w:t>
      </w:r>
      <w:r w:rsidR="00320BAD" w:rsidRPr="00AF4B63">
        <w:rPr>
          <w:lang w:val="en-AU"/>
        </w:rPr>
        <w:t xml:space="preserve"> Palestinian and Babylonian Talmudic writings.</w:t>
      </w:r>
      <w:r w:rsidR="00701EB2" w:rsidRPr="00AF4B63">
        <w:rPr>
          <w:rStyle w:val="FootnoteReference"/>
          <w:lang w:val="en-AU"/>
        </w:rPr>
        <w:footnoteReference w:id="411"/>
      </w:r>
      <w:r w:rsidR="00320BAD" w:rsidRPr="00AF4B63">
        <w:rPr>
          <w:lang w:val="en-AU"/>
        </w:rPr>
        <w:t xml:space="preserve"> </w:t>
      </w:r>
      <w:r w:rsidR="00BB78B4" w:rsidRPr="00AF4B63">
        <w:rPr>
          <w:lang w:val="en-AU"/>
        </w:rPr>
        <w:t>A</w:t>
      </w:r>
      <w:r w:rsidR="00496F6C" w:rsidRPr="00AF4B63">
        <w:rPr>
          <w:lang w:val="en-AU"/>
        </w:rPr>
        <w:t xml:space="preserve"> literal application</w:t>
      </w:r>
      <w:r w:rsidR="00BB78B4" w:rsidRPr="00AF4B63">
        <w:rPr>
          <w:lang w:val="en-AU"/>
        </w:rPr>
        <w:t xml:space="preserve"> of talion</w:t>
      </w:r>
      <w:r w:rsidR="00496F6C" w:rsidRPr="00AF4B63">
        <w:rPr>
          <w:lang w:val="en-AU"/>
        </w:rPr>
        <w:t>, Davis</w:t>
      </w:r>
      <w:r w:rsidR="00010BA6" w:rsidRPr="00AF4B63">
        <w:rPr>
          <w:lang w:val="en-AU"/>
        </w:rPr>
        <w:t xml:space="preserve"> </w:t>
      </w:r>
      <w:r w:rsidR="001D1809" w:rsidRPr="00AF4B63">
        <w:rPr>
          <w:lang w:val="en-AU"/>
        </w:rPr>
        <w:t>concludes, was</w:t>
      </w:r>
      <w:r w:rsidR="00496F6C" w:rsidRPr="00AF4B63">
        <w:rPr>
          <w:lang w:val="en-AU"/>
        </w:rPr>
        <w:t xml:space="preserve"> visible in Talmud.  Davis states, </w:t>
      </w:r>
      <w:r w:rsidR="00863B47" w:rsidRPr="00AF4B63">
        <w:rPr>
          <w:lang w:val="en-AU"/>
        </w:rPr>
        <w:t>“</w:t>
      </w:r>
      <w:r w:rsidR="00010BA6" w:rsidRPr="00AF4B63">
        <w:rPr>
          <w:lang w:val="en-AU"/>
        </w:rPr>
        <w:t xml:space="preserve">The strongest evidence that a literal interpretation of the </w:t>
      </w:r>
      <w:r w:rsidR="00010BA6" w:rsidRPr="00AF4B63">
        <w:rPr>
          <w:i/>
          <w:lang w:val="en-AU"/>
        </w:rPr>
        <w:t>Lex Talionis</w:t>
      </w:r>
      <w:r w:rsidR="00010BA6" w:rsidRPr="00AF4B63">
        <w:rPr>
          <w:lang w:val="en-AU"/>
        </w:rPr>
        <w:t xml:space="preserve"> was a viable viewpoint in Judaism comes from R. Eliezer [</w:t>
      </w:r>
      <w:r w:rsidR="00010BA6" w:rsidRPr="00AF4B63">
        <w:rPr>
          <w:i/>
          <w:lang w:val="en-AU"/>
        </w:rPr>
        <w:t>b. B. Qam. 83b</w:t>
      </w:r>
      <w:r w:rsidR="00896B95" w:rsidRPr="00AF4B63">
        <w:rPr>
          <w:i/>
          <w:lang w:val="en-AU"/>
        </w:rPr>
        <w:t>–</w:t>
      </w:r>
      <w:r w:rsidR="00010BA6" w:rsidRPr="00AF4B63">
        <w:rPr>
          <w:i/>
          <w:lang w:val="en-AU"/>
        </w:rPr>
        <w:t>84a; Mek. Nexikim Exodus. 21</w:t>
      </w:r>
      <w:r w:rsidR="00010BA6" w:rsidRPr="00AF4B63">
        <w:rPr>
          <w:lang w:val="en-AU"/>
        </w:rPr>
        <w:t>] and Philo [</w:t>
      </w:r>
      <w:r w:rsidR="00010BA6" w:rsidRPr="00AF4B63">
        <w:rPr>
          <w:i/>
          <w:lang w:val="en-AU"/>
        </w:rPr>
        <w:t>Spec. Leg. 3.181</w:t>
      </w:r>
      <w:r w:rsidR="00896B95" w:rsidRPr="00AF4B63">
        <w:rPr>
          <w:i/>
          <w:lang w:val="en-AU"/>
        </w:rPr>
        <w:t>–</w:t>
      </w:r>
      <w:r w:rsidR="00010BA6" w:rsidRPr="00AF4B63">
        <w:rPr>
          <w:i/>
          <w:lang w:val="en-AU"/>
        </w:rPr>
        <w:t>183</w:t>
      </w:r>
      <w:r w:rsidR="00010BA6" w:rsidRPr="00AF4B63">
        <w:rPr>
          <w:lang w:val="en-AU"/>
        </w:rPr>
        <w:t>].</w:t>
      </w:r>
      <w:r w:rsidR="00863B47" w:rsidRPr="00AF4B63">
        <w:rPr>
          <w:lang w:val="en-AU"/>
        </w:rPr>
        <w:t>”</w:t>
      </w:r>
      <w:r w:rsidR="00010BA6" w:rsidRPr="00AF4B63">
        <w:rPr>
          <w:rStyle w:val="FootnoteReference"/>
          <w:lang w:val="en-AU"/>
        </w:rPr>
        <w:footnoteReference w:id="412"/>
      </w:r>
      <w:r w:rsidR="00010BA6" w:rsidRPr="00AF4B63">
        <w:rPr>
          <w:lang w:val="en-AU"/>
        </w:rPr>
        <w:t xml:space="preserve"> </w:t>
      </w:r>
    </w:p>
    <w:p w14:paraId="7B4A5E18" w14:textId="5425D5FB" w:rsidR="00010BA6" w:rsidRPr="00AF4B63" w:rsidRDefault="00010BA6" w:rsidP="00C32374">
      <w:pPr>
        <w:spacing w:line="480" w:lineRule="auto"/>
        <w:rPr>
          <w:lang w:val="en-AU"/>
        </w:rPr>
      </w:pPr>
      <w:r w:rsidRPr="00AF4B63">
        <w:rPr>
          <w:lang w:val="en-AU"/>
        </w:rPr>
        <w:tab/>
        <w:t xml:space="preserve">The Palestinian and Babylonian </w:t>
      </w:r>
      <w:r w:rsidRPr="00AF4B63">
        <w:rPr>
          <w:i/>
          <w:iCs/>
          <w:lang w:val="en-AU"/>
        </w:rPr>
        <w:t>Talmudim</w:t>
      </w:r>
      <w:r w:rsidRPr="00AF4B63">
        <w:rPr>
          <w:lang w:val="en-AU"/>
        </w:rPr>
        <w:t xml:space="preserve"> </w:t>
      </w:r>
      <w:r w:rsidR="001D1809" w:rsidRPr="00AF4B63">
        <w:rPr>
          <w:lang w:val="en-AU"/>
        </w:rPr>
        <w:t xml:space="preserve">both address </w:t>
      </w:r>
      <w:r w:rsidR="001D1809" w:rsidRPr="00AF4B63">
        <w:rPr>
          <w:i/>
          <w:iCs/>
          <w:lang w:val="en-AU"/>
        </w:rPr>
        <w:t>l</w:t>
      </w:r>
      <w:r w:rsidRPr="00AF4B63">
        <w:rPr>
          <w:i/>
          <w:lang w:val="en-AU"/>
        </w:rPr>
        <w:t xml:space="preserve">ex talionis. </w:t>
      </w:r>
      <w:r w:rsidR="005E4C3D" w:rsidRPr="00AF4B63">
        <w:rPr>
          <w:iCs/>
          <w:lang w:val="en-AU"/>
        </w:rPr>
        <w:t xml:space="preserve">In </w:t>
      </w:r>
      <w:r w:rsidRPr="00AF4B63">
        <w:rPr>
          <w:lang w:val="en-AU"/>
        </w:rPr>
        <w:t xml:space="preserve">the Palestinian Talmud, </w:t>
      </w:r>
      <w:r w:rsidRPr="00AF4B63">
        <w:rPr>
          <w:i/>
          <w:lang w:val="en-AU"/>
        </w:rPr>
        <w:t>y. Baba Qamma</w:t>
      </w:r>
      <w:r w:rsidRPr="00AF4B63">
        <w:rPr>
          <w:lang w:val="en-AU"/>
        </w:rPr>
        <w:t xml:space="preserve"> 8.1</w:t>
      </w:r>
      <w:r w:rsidR="000B6490" w:rsidRPr="00AF4B63">
        <w:rPr>
          <w:lang w:val="en-AU"/>
        </w:rPr>
        <w:t>,</w:t>
      </w:r>
      <w:r w:rsidRPr="00AF4B63">
        <w:rPr>
          <w:lang w:val="en-AU"/>
        </w:rPr>
        <w:t xml:space="preserve"> </w:t>
      </w:r>
      <w:r w:rsidR="001D1809" w:rsidRPr="00AF4B63">
        <w:rPr>
          <w:lang w:val="en-AU"/>
        </w:rPr>
        <w:t>the</w:t>
      </w:r>
      <w:r w:rsidRPr="00AF4B63">
        <w:rPr>
          <w:lang w:val="en-AU"/>
        </w:rPr>
        <w:t xml:space="preserve"> </w:t>
      </w:r>
      <w:r w:rsidR="00863B47" w:rsidRPr="00AF4B63">
        <w:rPr>
          <w:lang w:val="en-AU"/>
        </w:rPr>
        <w:t>“</w:t>
      </w:r>
      <w:r w:rsidRPr="00AF4B63">
        <w:rPr>
          <w:lang w:val="en-AU"/>
        </w:rPr>
        <w:t>eye for an eye</w:t>
      </w:r>
      <w:r w:rsidR="00863B47" w:rsidRPr="00AF4B63">
        <w:rPr>
          <w:lang w:val="en-AU"/>
        </w:rPr>
        <w:t>”</w:t>
      </w:r>
      <w:r w:rsidRPr="00AF4B63">
        <w:rPr>
          <w:lang w:val="en-AU"/>
        </w:rPr>
        <w:t xml:space="preserve"> standard</w:t>
      </w:r>
      <w:r w:rsidR="001D1809" w:rsidRPr="00AF4B63">
        <w:rPr>
          <w:lang w:val="en-AU"/>
        </w:rPr>
        <w:t xml:space="preserve"> </w:t>
      </w:r>
      <w:r w:rsidR="000B6490" w:rsidRPr="00AF4B63">
        <w:rPr>
          <w:lang w:val="en-AU"/>
        </w:rPr>
        <w:t>is replaced by</w:t>
      </w:r>
      <w:r w:rsidR="001D1809" w:rsidRPr="00AF4B63">
        <w:rPr>
          <w:lang w:val="en-AU"/>
        </w:rPr>
        <w:t xml:space="preserve"> a monetary </w:t>
      </w:r>
      <w:r w:rsidR="00486A8B" w:rsidRPr="00AF4B63">
        <w:rPr>
          <w:lang w:val="en-AU"/>
        </w:rPr>
        <w:t>punishment</w:t>
      </w:r>
      <w:r w:rsidRPr="00AF4B63">
        <w:rPr>
          <w:lang w:val="en-AU"/>
        </w:rPr>
        <w:t xml:space="preserve">. This is the primary text of the </w:t>
      </w:r>
      <w:r w:rsidR="00C32374" w:rsidRPr="00AF4B63">
        <w:rPr>
          <w:i/>
          <w:lang w:val="en-AU"/>
        </w:rPr>
        <w:t>Gemara</w:t>
      </w:r>
      <w:r w:rsidR="00B74C9F" w:rsidRPr="00AF4B63">
        <w:rPr>
          <w:rStyle w:val="FootnoteReference"/>
          <w:i/>
          <w:lang w:val="en-AU"/>
        </w:rPr>
        <w:footnoteReference w:id="413"/>
      </w:r>
      <w:r w:rsidRPr="00AF4B63">
        <w:rPr>
          <w:lang w:val="en-AU"/>
        </w:rPr>
        <w:t xml:space="preserve"> on the issue of the </w:t>
      </w:r>
      <w:r w:rsidRPr="00AF4B63">
        <w:rPr>
          <w:i/>
          <w:iCs/>
          <w:lang w:val="en-AU"/>
        </w:rPr>
        <w:t>lex talionis</w:t>
      </w:r>
      <w:r w:rsidRPr="00AF4B63">
        <w:rPr>
          <w:lang w:val="en-AU"/>
        </w:rPr>
        <w:t xml:space="preserve"> </w:t>
      </w:r>
      <w:r w:rsidR="000B6490" w:rsidRPr="00AF4B63">
        <w:rPr>
          <w:lang w:val="en-AU"/>
        </w:rPr>
        <w:t>in connection with</w:t>
      </w:r>
      <w:r w:rsidRPr="00AF4B63">
        <w:rPr>
          <w:lang w:val="en-AU"/>
        </w:rPr>
        <w:t xml:space="preserve"> wounding or maiming. It is in the fourth division of the </w:t>
      </w:r>
      <w:r w:rsidRPr="00AF4B63">
        <w:rPr>
          <w:i/>
          <w:lang w:val="en-AU"/>
        </w:rPr>
        <w:t>Mishna</w:t>
      </w:r>
      <w:r w:rsidRPr="00AF4B63">
        <w:rPr>
          <w:lang w:val="en-AU"/>
        </w:rPr>
        <w:t xml:space="preserve"> called </w:t>
      </w:r>
      <w:r w:rsidRPr="00AF4B63">
        <w:rPr>
          <w:i/>
          <w:lang w:val="en-AU"/>
        </w:rPr>
        <w:t>Nezikin</w:t>
      </w:r>
      <w:r w:rsidRPr="00AF4B63">
        <w:rPr>
          <w:lang w:val="en-AU"/>
        </w:rPr>
        <w:t xml:space="preserve"> (i.e., Damages). As </w:t>
      </w:r>
      <w:r w:rsidR="00EA0A31" w:rsidRPr="00AF4B63">
        <w:rPr>
          <w:lang w:val="en-AU"/>
        </w:rPr>
        <w:t>quoted</w:t>
      </w:r>
      <w:r w:rsidRPr="00AF4B63">
        <w:rPr>
          <w:lang w:val="en-AU"/>
        </w:rPr>
        <w:t xml:space="preserve"> previously:</w:t>
      </w:r>
    </w:p>
    <w:p w14:paraId="65E8431D" w14:textId="3B8CF43B" w:rsidR="00D25D36" w:rsidRPr="00AF4B63" w:rsidRDefault="00010BA6" w:rsidP="00E01243">
      <w:pPr>
        <w:pStyle w:val="Blockquotation"/>
        <w:rPr>
          <w:sz w:val="24"/>
          <w:lang w:val="en-AU"/>
        </w:rPr>
      </w:pPr>
      <w:bookmarkStart w:id="138" w:name="_Hlk93909122"/>
      <w:r w:rsidRPr="00AF4B63">
        <w:rPr>
          <w:sz w:val="24"/>
          <w:lang w:val="en-AU"/>
        </w:rPr>
        <w:t>If a man wounded his fellow</w:t>
      </w:r>
      <w:bookmarkEnd w:id="138"/>
      <w:r w:rsidRPr="00AF4B63">
        <w:rPr>
          <w:sz w:val="24"/>
          <w:lang w:val="en-AU"/>
        </w:rPr>
        <w:t>, he thereby becomes liable on five counts: for</w:t>
      </w:r>
      <w:r w:rsidR="007634F3" w:rsidRPr="00AF4B63">
        <w:rPr>
          <w:sz w:val="24"/>
          <w:lang w:val="en-AU"/>
        </w:rPr>
        <w:t xml:space="preserve"> </w:t>
      </w:r>
      <w:r w:rsidRPr="00AF4B63">
        <w:rPr>
          <w:sz w:val="24"/>
          <w:lang w:val="en-AU"/>
        </w:rPr>
        <w:t xml:space="preserve">injury, for pain, for healing, for loss of time, and for indignity inflicted. </w:t>
      </w:r>
      <w:r w:rsidR="005C71CB" w:rsidRPr="00AF4B63">
        <w:rPr>
          <w:sz w:val="24"/>
          <w:lang w:val="en-AU"/>
        </w:rPr>
        <w:t>‘</w:t>
      </w:r>
      <w:r w:rsidRPr="00AF4B63">
        <w:rPr>
          <w:sz w:val="24"/>
          <w:lang w:val="en-AU"/>
        </w:rPr>
        <w:t>For</w:t>
      </w:r>
      <w:r w:rsidR="007634F3" w:rsidRPr="00AF4B63">
        <w:rPr>
          <w:sz w:val="24"/>
          <w:lang w:val="en-AU"/>
        </w:rPr>
        <w:t xml:space="preserve"> </w:t>
      </w:r>
      <w:r w:rsidRPr="00AF4B63">
        <w:rPr>
          <w:sz w:val="24"/>
          <w:lang w:val="en-AU"/>
        </w:rPr>
        <w:t>injury</w:t>
      </w:r>
      <w:r w:rsidR="005C71CB" w:rsidRPr="00AF4B63">
        <w:rPr>
          <w:sz w:val="24"/>
          <w:lang w:val="en-AU"/>
        </w:rPr>
        <w:t>’</w:t>
      </w:r>
      <w:r w:rsidRPr="00AF4B63">
        <w:rPr>
          <w:sz w:val="24"/>
          <w:lang w:val="en-AU"/>
        </w:rPr>
        <w:t>—thus, if he blinded his fellow</w:t>
      </w:r>
      <w:r w:rsidR="005C71CB" w:rsidRPr="00AF4B63">
        <w:rPr>
          <w:sz w:val="24"/>
          <w:lang w:val="en-AU"/>
        </w:rPr>
        <w:t>’</w:t>
      </w:r>
      <w:r w:rsidRPr="00AF4B63">
        <w:rPr>
          <w:sz w:val="24"/>
          <w:lang w:val="en-AU"/>
        </w:rPr>
        <w:t>s eye, cut off his hand, or broke his foot,</w:t>
      </w:r>
      <w:r w:rsidR="007634F3" w:rsidRPr="00AF4B63">
        <w:rPr>
          <w:sz w:val="24"/>
          <w:lang w:val="en-AU"/>
        </w:rPr>
        <w:t xml:space="preserve"> </w:t>
      </w:r>
      <w:r w:rsidRPr="00AF4B63">
        <w:rPr>
          <w:sz w:val="24"/>
          <w:lang w:val="en-AU"/>
        </w:rPr>
        <w:t>[his fellow] is looked upon as if he was a slave to be sold in the market: they</w:t>
      </w:r>
      <w:r w:rsidR="007634F3" w:rsidRPr="00AF4B63">
        <w:rPr>
          <w:sz w:val="24"/>
          <w:lang w:val="en-AU"/>
        </w:rPr>
        <w:t xml:space="preserve"> </w:t>
      </w:r>
      <w:r w:rsidRPr="00AF4B63">
        <w:rPr>
          <w:sz w:val="24"/>
          <w:lang w:val="en-AU"/>
        </w:rPr>
        <w:t xml:space="preserve">assess how much he was worth and how much he is worth now. </w:t>
      </w:r>
      <w:r w:rsidR="005C71CB" w:rsidRPr="00AF4B63">
        <w:rPr>
          <w:sz w:val="24"/>
          <w:lang w:val="en-AU"/>
        </w:rPr>
        <w:t>‘</w:t>
      </w:r>
      <w:r w:rsidRPr="00AF4B63">
        <w:rPr>
          <w:sz w:val="24"/>
          <w:lang w:val="en-AU"/>
        </w:rPr>
        <w:t>For pain</w:t>
      </w:r>
      <w:r w:rsidR="005C71CB" w:rsidRPr="00AF4B63">
        <w:rPr>
          <w:sz w:val="24"/>
          <w:lang w:val="en-AU"/>
        </w:rPr>
        <w:t>’</w:t>
      </w:r>
      <w:r w:rsidRPr="00AF4B63">
        <w:rPr>
          <w:sz w:val="24"/>
          <w:lang w:val="en-AU"/>
        </w:rPr>
        <w:t xml:space="preserve">—thus, if he burnt his fellow with a spit or a nail, even though it was on his </w:t>
      </w:r>
      <w:proofErr w:type="gramStart"/>
      <w:r w:rsidRPr="00AF4B63">
        <w:rPr>
          <w:sz w:val="24"/>
          <w:lang w:val="en-AU"/>
        </w:rPr>
        <w:t>finger-nail</w:t>
      </w:r>
      <w:proofErr w:type="gramEnd"/>
      <w:r w:rsidRPr="00AF4B63">
        <w:rPr>
          <w:sz w:val="24"/>
          <w:lang w:val="en-AU"/>
        </w:rPr>
        <w:t xml:space="preserve"> where it leaves no wound, they estimate how much money such a man would be willing to take to suffer so. </w:t>
      </w:r>
      <w:r w:rsidR="005C71CB" w:rsidRPr="00AF4B63">
        <w:rPr>
          <w:sz w:val="24"/>
          <w:lang w:val="en-AU"/>
        </w:rPr>
        <w:t>‘</w:t>
      </w:r>
      <w:r w:rsidRPr="00AF4B63">
        <w:rPr>
          <w:sz w:val="24"/>
          <w:lang w:val="en-AU"/>
        </w:rPr>
        <w:t>For healing</w:t>
      </w:r>
      <w:r w:rsidR="005C71CB" w:rsidRPr="00AF4B63">
        <w:rPr>
          <w:sz w:val="24"/>
          <w:lang w:val="en-AU"/>
        </w:rPr>
        <w:t>’</w:t>
      </w:r>
      <w:r w:rsidRPr="00AF4B63">
        <w:rPr>
          <w:sz w:val="24"/>
          <w:lang w:val="en-AU"/>
        </w:rPr>
        <w:t xml:space="preserve">—thus, if he struck </w:t>
      </w:r>
      <w:proofErr w:type="gramStart"/>
      <w:r w:rsidRPr="00AF4B63">
        <w:rPr>
          <w:sz w:val="24"/>
          <w:lang w:val="en-AU"/>
        </w:rPr>
        <w:t>him</w:t>
      </w:r>
      <w:proofErr w:type="gramEnd"/>
      <w:r w:rsidRPr="00AF4B63">
        <w:rPr>
          <w:sz w:val="24"/>
          <w:lang w:val="en-AU"/>
        </w:rPr>
        <w:t xml:space="preserve"> he is liable to pay the cost of his healing; if by reason of the blow ulcers arise he is liable [for the cost of their healing], but if they did not arise by reason of the blow, he is not liable. If the wound healed and then opened and healed again and again opened, he continues liable for the cost of his healing; but once it is properly </w:t>
      </w:r>
      <w:proofErr w:type="gramStart"/>
      <w:r w:rsidRPr="00AF4B63">
        <w:rPr>
          <w:sz w:val="24"/>
          <w:lang w:val="en-AU"/>
        </w:rPr>
        <w:t>healed</w:t>
      </w:r>
      <w:proofErr w:type="gramEnd"/>
      <w:r w:rsidRPr="00AF4B63">
        <w:rPr>
          <w:sz w:val="24"/>
          <w:lang w:val="en-AU"/>
        </w:rPr>
        <w:t xml:space="preserve"> he is no longer liable to pay the cost of his healing. </w:t>
      </w:r>
      <w:r w:rsidR="005C71CB" w:rsidRPr="00AF4B63">
        <w:rPr>
          <w:sz w:val="24"/>
          <w:lang w:val="en-AU"/>
        </w:rPr>
        <w:lastRenderedPageBreak/>
        <w:t>‘</w:t>
      </w:r>
      <w:r w:rsidRPr="00AF4B63">
        <w:rPr>
          <w:sz w:val="24"/>
          <w:lang w:val="en-AU"/>
        </w:rPr>
        <w:t>For loss of time</w:t>
      </w:r>
      <w:r w:rsidR="005C71CB" w:rsidRPr="00AF4B63">
        <w:rPr>
          <w:sz w:val="24"/>
          <w:lang w:val="en-AU"/>
        </w:rPr>
        <w:t>’</w:t>
      </w:r>
      <w:r w:rsidRPr="00AF4B63">
        <w:rPr>
          <w:sz w:val="24"/>
          <w:lang w:val="en-AU"/>
        </w:rPr>
        <w:t>—thus, he is looked upon as a watchman of a cucumber-</w:t>
      </w:r>
      <w:proofErr w:type="gramStart"/>
      <w:r w:rsidRPr="00AF4B63">
        <w:rPr>
          <w:sz w:val="24"/>
          <w:lang w:val="en-AU"/>
        </w:rPr>
        <w:t>field, since</w:t>
      </w:r>
      <w:proofErr w:type="gramEnd"/>
      <w:r w:rsidRPr="00AF4B63">
        <w:rPr>
          <w:sz w:val="24"/>
          <w:lang w:val="en-AU"/>
        </w:rPr>
        <w:t xml:space="preserve"> he has already been paid the value of his hand or foot. </w:t>
      </w:r>
      <w:r w:rsidR="005C71CB" w:rsidRPr="00AF4B63">
        <w:rPr>
          <w:sz w:val="24"/>
          <w:lang w:val="en-AU"/>
        </w:rPr>
        <w:t>‘</w:t>
      </w:r>
      <w:r w:rsidRPr="00AF4B63">
        <w:rPr>
          <w:sz w:val="24"/>
          <w:lang w:val="en-AU"/>
        </w:rPr>
        <w:t>For indignity inflicted</w:t>
      </w:r>
      <w:r w:rsidR="005C71CB" w:rsidRPr="00AF4B63">
        <w:rPr>
          <w:sz w:val="24"/>
          <w:lang w:val="en-AU"/>
        </w:rPr>
        <w:t>’</w:t>
      </w:r>
      <w:r w:rsidRPr="00AF4B63">
        <w:rPr>
          <w:sz w:val="24"/>
          <w:lang w:val="en-AU"/>
        </w:rPr>
        <w:t xml:space="preserve">—all is in accordance with [the condition of life of] him that inflicts and him that suffers the indignity. If a man inflicted the indignity on a naked man, or a blind man, or a sleeping man, he is [still] liable; but if he that inflicted the indignity was </w:t>
      </w:r>
      <w:proofErr w:type="gramStart"/>
      <w:r w:rsidRPr="00AF4B63">
        <w:rPr>
          <w:sz w:val="24"/>
          <w:lang w:val="en-AU"/>
        </w:rPr>
        <w:t>asleep</w:t>
      </w:r>
      <w:proofErr w:type="gramEnd"/>
      <w:r w:rsidRPr="00AF4B63">
        <w:rPr>
          <w:sz w:val="24"/>
          <w:lang w:val="en-AU"/>
        </w:rPr>
        <w:t xml:space="preserve"> he is not liable. If a man fell from the roof and caused injury and inflicted indignity, he is liable for the injury but not for the indignity, for as it is written, and she putteth forth her hand and taketh him by the secrets—a man is liable only when he acts with intention [of causing injury] (m. B. Qam. 8.1).</w:t>
      </w:r>
    </w:p>
    <w:p w14:paraId="69C6D854" w14:textId="3D7AA079" w:rsidR="00010BA6" w:rsidRPr="00AF4B63" w:rsidRDefault="00324F87" w:rsidP="00EC4DD5">
      <w:pPr>
        <w:spacing w:before="240" w:line="480" w:lineRule="auto"/>
        <w:rPr>
          <w:lang w:val="en-AU"/>
        </w:rPr>
      </w:pPr>
      <w:r w:rsidRPr="00AF4B63">
        <w:rPr>
          <w:lang w:val="en-AU"/>
        </w:rPr>
        <w:t>Cohen argues that i</w:t>
      </w:r>
      <w:r w:rsidR="00EE2DBE" w:rsidRPr="00AF4B63">
        <w:rPr>
          <w:lang w:val="en-AU"/>
        </w:rPr>
        <w:t xml:space="preserve">n the </w:t>
      </w:r>
      <w:r w:rsidR="00EE2DBE" w:rsidRPr="00AF4B63">
        <w:rPr>
          <w:i/>
          <w:iCs/>
          <w:lang w:val="en-AU"/>
        </w:rPr>
        <w:t>Nezikin</w:t>
      </w:r>
      <w:r w:rsidR="00EE2DBE" w:rsidRPr="00AF4B63">
        <w:rPr>
          <w:lang w:val="en-AU"/>
        </w:rPr>
        <w:t xml:space="preserve"> section of Talmud, </w:t>
      </w:r>
      <w:r w:rsidR="00BE4B24" w:rsidRPr="00AF4B63">
        <w:rPr>
          <w:i/>
          <w:iCs/>
          <w:lang w:val="en-AU"/>
        </w:rPr>
        <w:t xml:space="preserve">lex talionis </w:t>
      </w:r>
      <w:r w:rsidR="00BE4B24" w:rsidRPr="00AF4B63">
        <w:rPr>
          <w:lang w:val="en-AU"/>
        </w:rPr>
        <w:t>has changed to monetary justice.</w:t>
      </w:r>
      <w:r w:rsidR="00010BA6" w:rsidRPr="00AF4B63">
        <w:rPr>
          <w:lang w:val="en-AU"/>
        </w:rPr>
        <w:t xml:space="preserve"> He </w:t>
      </w:r>
      <w:r w:rsidR="00967234" w:rsidRPr="00AF4B63">
        <w:rPr>
          <w:lang w:val="en-AU"/>
        </w:rPr>
        <w:t>explains</w:t>
      </w:r>
      <w:r w:rsidR="00010BA6" w:rsidRPr="00AF4B63">
        <w:rPr>
          <w:lang w:val="en-AU"/>
        </w:rPr>
        <w:t xml:space="preserve"> how the jump could be made from the </w:t>
      </w:r>
      <w:r w:rsidR="00010BA6" w:rsidRPr="00AF4B63">
        <w:rPr>
          <w:i/>
          <w:iCs/>
          <w:lang w:val="en-AU"/>
        </w:rPr>
        <w:t>lex talionis</w:t>
      </w:r>
      <w:r w:rsidR="00010BA6" w:rsidRPr="00AF4B63">
        <w:rPr>
          <w:lang w:val="en-AU"/>
        </w:rPr>
        <w:t xml:space="preserve"> to financial compensation.  Cohen state</w:t>
      </w:r>
      <w:r w:rsidR="00486A8B" w:rsidRPr="00AF4B63">
        <w:rPr>
          <w:lang w:val="en-AU"/>
        </w:rPr>
        <w:t>s</w:t>
      </w:r>
      <w:r w:rsidR="00010BA6" w:rsidRPr="00AF4B63">
        <w:rPr>
          <w:lang w:val="en-AU"/>
        </w:rPr>
        <w:t xml:space="preserve">:  </w:t>
      </w:r>
    </w:p>
    <w:p w14:paraId="1A63AB18" w14:textId="16810B4F" w:rsidR="00D25D36" w:rsidRPr="00AF4B63" w:rsidRDefault="00010BA6" w:rsidP="007634F3">
      <w:pPr>
        <w:pStyle w:val="Blockquotation"/>
        <w:rPr>
          <w:sz w:val="24"/>
          <w:lang w:val="en-AU"/>
        </w:rPr>
      </w:pPr>
      <w:r w:rsidRPr="00AF4B63">
        <w:rPr>
          <w:sz w:val="24"/>
          <w:lang w:val="en-AU"/>
        </w:rPr>
        <w:t xml:space="preserve">Secondly, there is corrective justice. </w:t>
      </w:r>
      <w:proofErr w:type="gramStart"/>
      <w:r w:rsidRPr="00AF4B63">
        <w:rPr>
          <w:sz w:val="24"/>
          <w:lang w:val="en-AU"/>
        </w:rPr>
        <w:t>With regard to</w:t>
      </w:r>
      <w:proofErr w:type="gramEnd"/>
      <w:r w:rsidRPr="00AF4B63">
        <w:rPr>
          <w:sz w:val="24"/>
          <w:lang w:val="en-AU"/>
        </w:rPr>
        <w:t xml:space="preserve"> the redress of wrongs committed by man against his fellow, the principle of retaliation formulated in Lev 24:19 </w:t>
      </w:r>
      <w:r w:rsidR="005C71CB" w:rsidRPr="00AF4B63">
        <w:rPr>
          <w:sz w:val="24"/>
          <w:lang w:val="en-AU"/>
        </w:rPr>
        <w:t>‘</w:t>
      </w:r>
      <w:r w:rsidRPr="00AF4B63">
        <w:rPr>
          <w:sz w:val="24"/>
          <w:lang w:val="en-AU"/>
        </w:rPr>
        <w:t>As he did, so shall it be done to him</w:t>
      </w:r>
      <w:r w:rsidR="005C71CB" w:rsidRPr="00AF4B63">
        <w:rPr>
          <w:sz w:val="24"/>
          <w:lang w:val="en-AU"/>
        </w:rPr>
        <w:t>’</w:t>
      </w:r>
      <w:r w:rsidRPr="00AF4B63">
        <w:rPr>
          <w:sz w:val="24"/>
          <w:lang w:val="en-AU"/>
        </w:rPr>
        <w:t xml:space="preserve"> was accepted in principle as a general rule in antiquity.  The rabbis interpreted this principle as compensation because a consistently strict application of the rule would lead to the violation of the intent and purpose of the law.</w:t>
      </w:r>
      <w:r w:rsidRPr="00AF4B63">
        <w:rPr>
          <w:rStyle w:val="FootnoteReference"/>
          <w:sz w:val="24"/>
          <w:lang w:val="en-AU"/>
        </w:rPr>
        <w:footnoteReference w:id="414"/>
      </w:r>
    </w:p>
    <w:p w14:paraId="1F891E65" w14:textId="3D9C0854" w:rsidR="00010BA6" w:rsidRPr="00AF4B63" w:rsidRDefault="00486A8B" w:rsidP="00EC4DD5">
      <w:pPr>
        <w:spacing w:before="240" w:line="480" w:lineRule="auto"/>
        <w:rPr>
          <w:lang w:val="en-AU"/>
        </w:rPr>
      </w:pPr>
      <w:r w:rsidRPr="00AF4B63">
        <w:rPr>
          <w:lang w:val="en-AU"/>
        </w:rPr>
        <w:t xml:space="preserve">The </w:t>
      </w:r>
      <w:r w:rsidR="00010BA6" w:rsidRPr="00AF4B63">
        <w:rPr>
          <w:lang w:val="en-AU"/>
        </w:rPr>
        <w:t xml:space="preserve">Babylonian Talmud, </w:t>
      </w:r>
      <w:r w:rsidR="00010BA6" w:rsidRPr="00AF4B63">
        <w:rPr>
          <w:i/>
          <w:lang w:val="en-AU"/>
        </w:rPr>
        <w:t xml:space="preserve">b. Ketubot </w:t>
      </w:r>
      <w:r w:rsidR="00010BA6" w:rsidRPr="00AF4B63">
        <w:rPr>
          <w:lang w:val="en-AU"/>
        </w:rPr>
        <w:t>32a</w:t>
      </w:r>
      <w:r w:rsidR="00896B95" w:rsidRPr="00AF4B63">
        <w:rPr>
          <w:lang w:val="en-AU"/>
        </w:rPr>
        <w:t>–</w:t>
      </w:r>
      <w:r w:rsidR="00010BA6" w:rsidRPr="00AF4B63">
        <w:rPr>
          <w:lang w:val="en-AU"/>
        </w:rPr>
        <w:t>33b</w:t>
      </w:r>
      <w:r w:rsidRPr="00AF4B63">
        <w:rPr>
          <w:lang w:val="en-AU"/>
        </w:rPr>
        <w:t xml:space="preserve">, also suggests the use of a monetary penalty for the talion. </w:t>
      </w:r>
      <w:r w:rsidR="00142804" w:rsidRPr="00AF4B63">
        <w:rPr>
          <w:lang w:val="en-AU"/>
        </w:rPr>
        <w:t>Davis contends that</w:t>
      </w:r>
      <w:r w:rsidRPr="00AF4B63">
        <w:rPr>
          <w:lang w:val="en-AU"/>
        </w:rPr>
        <w:t xml:space="preserve"> punishment </w:t>
      </w:r>
      <w:r w:rsidR="00142804" w:rsidRPr="00AF4B63">
        <w:rPr>
          <w:lang w:val="en-AU"/>
        </w:rPr>
        <w:t>by means of</w:t>
      </w:r>
      <w:r w:rsidRPr="00AF4B63">
        <w:rPr>
          <w:lang w:val="en-AU"/>
        </w:rPr>
        <w:t xml:space="preserve"> fiscal penalties reinforced non-retaliatory actions.</w:t>
      </w:r>
      <w:r w:rsidR="00010BA6" w:rsidRPr="00AF4B63">
        <w:rPr>
          <w:rStyle w:val="FootnoteReference"/>
          <w:lang w:val="en-AU"/>
        </w:rPr>
        <w:footnoteReference w:id="415"/>
      </w:r>
      <w:r w:rsidR="00010BA6" w:rsidRPr="00AF4B63">
        <w:rPr>
          <w:lang w:val="en-AU"/>
        </w:rPr>
        <w:t xml:space="preserve"> </w:t>
      </w:r>
    </w:p>
    <w:p w14:paraId="6A5FBAAB" w14:textId="7F7882D5" w:rsidR="00010BA6" w:rsidRPr="00AF4B63" w:rsidRDefault="00010BA6" w:rsidP="00010BA6">
      <w:pPr>
        <w:spacing w:line="480" w:lineRule="auto"/>
        <w:ind w:firstLine="720"/>
        <w:rPr>
          <w:lang w:val="en-AU"/>
        </w:rPr>
      </w:pPr>
      <w:r w:rsidRPr="00AF4B63">
        <w:rPr>
          <w:lang w:val="en-AU"/>
        </w:rPr>
        <w:t xml:space="preserve">In </w:t>
      </w:r>
      <w:r w:rsidR="00D47800" w:rsidRPr="00AF4B63">
        <w:rPr>
          <w:lang w:val="en-AU"/>
        </w:rPr>
        <w:t xml:space="preserve">his research on </w:t>
      </w:r>
      <w:r w:rsidRPr="00AF4B63">
        <w:rPr>
          <w:lang w:val="en-AU"/>
        </w:rPr>
        <w:t xml:space="preserve">early Judaism, Finkelstein focuses most of his attention on beliefs of Pharisees and Sadducees. From the </w:t>
      </w:r>
      <w:r w:rsidRPr="00AF4B63">
        <w:rPr>
          <w:i/>
          <w:lang w:val="en-AU"/>
        </w:rPr>
        <w:t>Mishna</w:t>
      </w:r>
      <w:r w:rsidRPr="00AF4B63">
        <w:rPr>
          <w:lang w:val="en-AU"/>
        </w:rPr>
        <w:t xml:space="preserve"> comp</w:t>
      </w:r>
      <w:r w:rsidR="00624B2B" w:rsidRPr="00AF4B63">
        <w:rPr>
          <w:lang w:val="en-AU"/>
        </w:rPr>
        <w:t>il</w:t>
      </w:r>
      <w:r w:rsidRPr="00AF4B63">
        <w:rPr>
          <w:lang w:val="en-AU"/>
        </w:rPr>
        <w:t>ed in late 2</w:t>
      </w:r>
      <w:r w:rsidRPr="00AF4B63">
        <w:rPr>
          <w:vertAlign w:val="superscript"/>
          <w:lang w:val="en-AU"/>
        </w:rPr>
        <w:t>nd</w:t>
      </w:r>
      <w:r w:rsidRPr="00AF4B63">
        <w:rPr>
          <w:lang w:val="en-AU"/>
        </w:rPr>
        <w:t xml:space="preserve"> century or early 3</w:t>
      </w:r>
      <w:r w:rsidRPr="00AF4B63">
        <w:rPr>
          <w:vertAlign w:val="superscript"/>
          <w:lang w:val="en-AU"/>
        </w:rPr>
        <w:t>rd</w:t>
      </w:r>
      <w:r w:rsidRPr="00AF4B63">
        <w:rPr>
          <w:lang w:val="en-AU"/>
        </w:rPr>
        <w:t xml:space="preserve"> century (cf. b. B. Qam. 8), he argues that the rabbinic tradition was to use monetary damages and not a literal </w:t>
      </w:r>
      <w:r w:rsidRPr="00AF4B63">
        <w:rPr>
          <w:iCs/>
          <w:lang w:val="en-AU"/>
        </w:rPr>
        <w:t>talion</w:t>
      </w:r>
      <w:r w:rsidRPr="00AF4B63">
        <w:rPr>
          <w:lang w:val="en-AU"/>
        </w:rPr>
        <w:t>. This was the actual legal practice at least at that time and explains the Sadducees</w:t>
      </w:r>
      <w:r w:rsidR="00AF4B63" w:rsidRPr="00AF4B63">
        <w:rPr>
          <w:lang w:val="en-AU"/>
        </w:rPr>
        <w:t>’</w:t>
      </w:r>
      <w:r w:rsidRPr="00AF4B63">
        <w:rPr>
          <w:lang w:val="en-AU"/>
        </w:rPr>
        <w:t xml:space="preserve"> role in the talion. He writes:</w:t>
      </w:r>
    </w:p>
    <w:p w14:paraId="7CA77F59" w14:textId="1E29D805" w:rsidR="00D25D36" w:rsidRPr="00AF4B63" w:rsidRDefault="00010BA6" w:rsidP="00E01243">
      <w:pPr>
        <w:pStyle w:val="Blockquotation"/>
        <w:rPr>
          <w:sz w:val="24"/>
          <w:lang w:val="en-AU"/>
        </w:rPr>
      </w:pPr>
      <w:r w:rsidRPr="00AF4B63">
        <w:rPr>
          <w:sz w:val="24"/>
          <w:lang w:val="en-AU"/>
        </w:rPr>
        <w:t xml:space="preserve">The </w:t>
      </w:r>
      <w:r w:rsidRPr="00AF4B63">
        <w:rPr>
          <w:i/>
          <w:sz w:val="24"/>
          <w:lang w:val="en-AU"/>
        </w:rPr>
        <w:t>Mishna</w:t>
      </w:r>
      <w:r w:rsidRPr="00AF4B63">
        <w:rPr>
          <w:sz w:val="24"/>
          <w:lang w:val="en-AU"/>
        </w:rPr>
        <w:t xml:space="preserve"> thus clearly indicates that the Talmudists interpreted </w:t>
      </w:r>
      <w:r w:rsidR="00863B47" w:rsidRPr="00AF4B63">
        <w:rPr>
          <w:sz w:val="24"/>
          <w:lang w:val="en-AU"/>
        </w:rPr>
        <w:t>“</w:t>
      </w:r>
      <w:r w:rsidRPr="00AF4B63">
        <w:rPr>
          <w:sz w:val="24"/>
          <w:lang w:val="en-AU"/>
        </w:rPr>
        <w:t>an eye for</w:t>
      </w:r>
      <w:r w:rsidR="00E01243" w:rsidRPr="00AF4B63">
        <w:rPr>
          <w:sz w:val="24"/>
          <w:lang w:val="en-AU"/>
        </w:rPr>
        <w:t xml:space="preserve"> </w:t>
      </w:r>
      <w:r w:rsidRPr="00AF4B63">
        <w:rPr>
          <w:sz w:val="24"/>
          <w:lang w:val="en-AU"/>
        </w:rPr>
        <w:t>an eye</w:t>
      </w:r>
      <w:r w:rsidR="00863B47" w:rsidRPr="00AF4B63">
        <w:rPr>
          <w:sz w:val="24"/>
          <w:lang w:val="en-AU"/>
        </w:rPr>
        <w:t>”</w:t>
      </w:r>
      <w:r w:rsidRPr="00AF4B63">
        <w:rPr>
          <w:sz w:val="24"/>
          <w:lang w:val="en-AU"/>
        </w:rPr>
        <w:t xml:space="preserve"> to mean </w:t>
      </w:r>
      <w:r w:rsidR="00863B47" w:rsidRPr="00AF4B63">
        <w:rPr>
          <w:sz w:val="24"/>
          <w:lang w:val="en-AU"/>
        </w:rPr>
        <w:t>“</w:t>
      </w:r>
      <w:r w:rsidRPr="00AF4B63">
        <w:rPr>
          <w:sz w:val="24"/>
          <w:lang w:val="en-AU"/>
        </w:rPr>
        <w:t>the value of an eye for an eye.</w:t>
      </w:r>
      <w:r w:rsidR="00863B47" w:rsidRPr="00AF4B63">
        <w:rPr>
          <w:sz w:val="24"/>
          <w:lang w:val="en-AU"/>
        </w:rPr>
        <w:t>”</w:t>
      </w:r>
      <w:r w:rsidRPr="00AF4B63">
        <w:rPr>
          <w:sz w:val="24"/>
          <w:lang w:val="en-AU"/>
        </w:rPr>
        <w:t xml:space="preserve"> The whole Rabbinic tradition supports this interpretation. How old it is, and whether it was limited to the </w:t>
      </w:r>
      <w:r w:rsidRPr="00AF4B63">
        <w:rPr>
          <w:sz w:val="24"/>
          <w:lang w:val="en-AU"/>
        </w:rPr>
        <w:lastRenderedPageBreak/>
        <w:t xml:space="preserve">Pharisees, the predecessors of the Rabbis, but rejected by their opponents, the conservative Sadducees, is unknown. The only writer who discusses this question is the author of </w:t>
      </w:r>
      <w:r w:rsidRPr="00AF4B63">
        <w:rPr>
          <w:i/>
          <w:iCs/>
          <w:sz w:val="24"/>
          <w:lang w:val="en-AU"/>
        </w:rPr>
        <w:t xml:space="preserve">Megillat Ta </w:t>
      </w:r>
      <w:r w:rsidR="005C71CB" w:rsidRPr="00AF4B63">
        <w:rPr>
          <w:i/>
          <w:iCs/>
          <w:sz w:val="24"/>
          <w:lang w:val="en-AU"/>
        </w:rPr>
        <w:t>‘</w:t>
      </w:r>
      <w:r w:rsidRPr="00AF4B63">
        <w:rPr>
          <w:i/>
          <w:iCs/>
          <w:sz w:val="24"/>
          <w:lang w:val="en-AU"/>
        </w:rPr>
        <w:t>anit</w:t>
      </w:r>
      <w:r w:rsidRPr="00AF4B63">
        <w:rPr>
          <w:sz w:val="24"/>
          <w:lang w:val="en-AU"/>
        </w:rPr>
        <w:t>, who claims that the Sadducees rejected the interpretation. But his evidence is completely without value. He wrote centuries after the Sadducees ceased to exist, and his interpretations of other passages have been proven to be utterly unhistorical.</w:t>
      </w:r>
      <w:r w:rsidRPr="00AF4B63">
        <w:rPr>
          <w:rStyle w:val="FootnoteReference"/>
          <w:sz w:val="24"/>
          <w:lang w:val="en-AU"/>
        </w:rPr>
        <w:footnoteReference w:id="416"/>
      </w:r>
    </w:p>
    <w:p w14:paraId="1B84474C" w14:textId="1FA527D4" w:rsidR="00010BA6" w:rsidRPr="00AF4B63" w:rsidRDefault="00010BA6" w:rsidP="00EC4DD5">
      <w:pPr>
        <w:spacing w:before="240" w:line="480" w:lineRule="auto"/>
        <w:contextualSpacing/>
        <w:rPr>
          <w:lang w:val="en-AU"/>
        </w:rPr>
      </w:pPr>
      <w:r w:rsidRPr="00AF4B63">
        <w:rPr>
          <w:lang w:val="en-AU"/>
        </w:rPr>
        <w:t xml:space="preserve">In </w:t>
      </w:r>
      <w:r w:rsidR="00C55FA3" w:rsidRPr="00AF4B63">
        <w:rPr>
          <w:lang w:val="en-AU"/>
        </w:rPr>
        <w:t xml:space="preserve">another </w:t>
      </w:r>
      <w:r w:rsidRPr="00AF4B63">
        <w:rPr>
          <w:lang w:val="en-AU"/>
        </w:rPr>
        <w:t xml:space="preserve">work, Finkelstein reflects that the Pharisees are less literal than the Sadducees </w:t>
      </w:r>
      <w:r w:rsidR="00624B2B" w:rsidRPr="00AF4B63">
        <w:rPr>
          <w:lang w:val="en-AU"/>
        </w:rPr>
        <w:t>in their interpretation of</w:t>
      </w:r>
      <w:r w:rsidRPr="00AF4B63">
        <w:rPr>
          <w:lang w:val="en-AU"/>
        </w:rPr>
        <w:t xml:space="preserve"> the talion</w:t>
      </w:r>
      <w:r w:rsidRPr="00AF4B63">
        <w:rPr>
          <w:i/>
          <w:iCs/>
          <w:lang w:val="en-AU"/>
        </w:rPr>
        <w:t>.</w:t>
      </w:r>
      <w:r w:rsidRPr="00AF4B63">
        <w:rPr>
          <w:lang w:val="en-AU"/>
        </w:rPr>
        <w:t xml:space="preserve"> </w:t>
      </w:r>
      <w:r w:rsidR="00907C11" w:rsidRPr="00AF4B63">
        <w:rPr>
          <w:lang w:val="en-AU"/>
        </w:rPr>
        <w:t>The Pharisees, upon which Jesus was influencing, w</w:t>
      </w:r>
      <w:r w:rsidR="00CC4298">
        <w:rPr>
          <w:lang w:val="en-AU"/>
        </w:rPr>
        <w:t>ere</w:t>
      </w:r>
      <w:r w:rsidR="00907C11" w:rsidRPr="00AF4B63">
        <w:rPr>
          <w:lang w:val="en-AU"/>
        </w:rPr>
        <w:t xml:space="preserve"> less literal in how to exact punishment. </w:t>
      </w:r>
      <w:r w:rsidRPr="00AF4B63">
        <w:rPr>
          <w:lang w:val="en-AU"/>
        </w:rPr>
        <w:t>The Sadducees discussion according to Finkelstein revolves around the principle of being a witness. He writes:</w:t>
      </w:r>
    </w:p>
    <w:p w14:paraId="40CD6C0C" w14:textId="654CFB2A" w:rsidR="00D25D36" w:rsidRPr="00AF4B63" w:rsidRDefault="00010BA6" w:rsidP="00E01243">
      <w:pPr>
        <w:pStyle w:val="Blockquotation"/>
        <w:rPr>
          <w:sz w:val="24"/>
          <w:lang w:val="en-AU"/>
        </w:rPr>
      </w:pPr>
      <w:r w:rsidRPr="00AF4B63">
        <w:rPr>
          <w:sz w:val="24"/>
          <w:lang w:val="en-AU"/>
        </w:rPr>
        <w:t>The basic issue between the Pharisees and the Sadducees concerned the</w:t>
      </w:r>
      <w:r w:rsidR="00E01243" w:rsidRPr="00AF4B63">
        <w:rPr>
          <w:sz w:val="24"/>
          <w:lang w:val="en-AU"/>
        </w:rPr>
        <w:t xml:space="preserve"> </w:t>
      </w:r>
      <w:r w:rsidRPr="00AF4B63">
        <w:rPr>
          <w:sz w:val="24"/>
          <w:lang w:val="en-AU"/>
        </w:rPr>
        <w:t xml:space="preserve">principle of the </w:t>
      </w:r>
      <w:r w:rsidRPr="00AF4B63">
        <w:rPr>
          <w:i/>
          <w:iCs/>
          <w:sz w:val="24"/>
          <w:lang w:val="en-AU"/>
        </w:rPr>
        <w:t>lex talionis</w:t>
      </w:r>
      <w:r w:rsidRPr="00AF4B63">
        <w:rPr>
          <w:sz w:val="24"/>
          <w:lang w:val="en-AU"/>
        </w:rPr>
        <w:t>. According to the Sadducees, false witnesses, found guilty, suffered the injury they had inflicted on their victim. The Sadducees based their position on Deuteronomy 19</w:t>
      </w:r>
      <w:r w:rsidR="00C6582D" w:rsidRPr="00AF4B63">
        <w:rPr>
          <w:sz w:val="24"/>
          <w:lang w:val="en-AU"/>
        </w:rPr>
        <w:t>:</w:t>
      </w:r>
      <w:r w:rsidRPr="00AF4B63">
        <w:rPr>
          <w:sz w:val="24"/>
          <w:lang w:val="en-AU"/>
        </w:rPr>
        <w:t xml:space="preserve">21 But this harsh punishment could hardly be justified for unsuccessful attempts to inflict injury. Therefore, when the decision was not carried out on the accused, the witnesses should not suffer the prescribed punishment. The Pharisees (as will become clear) rejected the literal interpretation of the </w:t>
      </w:r>
      <w:r w:rsidRPr="00AF4B63">
        <w:rPr>
          <w:i/>
          <w:iCs/>
          <w:sz w:val="24"/>
          <w:lang w:val="en-AU"/>
        </w:rPr>
        <w:t>lex talionis</w:t>
      </w:r>
      <w:r w:rsidRPr="00AF4B63">
        <w:rPr>
          <w:sz w:val="24"/>
          <w:lang w:val="en-AU"/>
        </w:rPr>
        <w:t>. The penalty exacted by them was monetary compensation, reasonably imposed even though the conspiracy of the witnesses had been discovered in time to save the accused.</w:t>
      </w:r>
      <w:r w:rsidRPr="00AF4B63">
        <w:rPr>
          <w:rStyle w:val="FootnoteReference"/>
          <w:sz w:val="24"/>
          <w:lang w:val="en-AU"/>
        </w:rPr>
        <w:footnoteReference w:id="417"/>
      </w:r>
    </w:p>
    <w:p w14:paraId="05C1E05F" w14:textId="77777777" w:rsidR="00F70A8C" w:rsidRPr="00AF4B63" w:rsidRDefault="0001298E" w:rsidP="00EC4DD5">
      <w:pPr>
        <w:spacing w:before="240" w:line="480" w:lineRule="auto"/>
        <w:contextualSpacing/>
        <w:rPr>
          <w:lang w:val="en-AU"/>
        </w:rPr>
      </w:pPr>
      <w:r w:rsidRPr="00AF4B63">
        <w:rPr>
          <w:lang w:val="en-AU"/>
        </w:rPr>
        <w:t>The</w:t>
      </w:r>
      <w:r w:rsidR="00010BA6" w:rsidRPr="00AF4B63">
        <w:rPr>
          <w:lang w:val="en-AU"/>
        </w:rPr>
        <w:t xml:space="preserve"> Pharisees were less literal with </w:t>
      </w:r>
      <w:r w:rsidRPr="00AF4B63">
        <w:rPr>
          <w:lang w:val="en-AU"/>
        </w:rPr>
        <w:t xml:space="preserve">applying </w:t>
      </w:r>
      <w:r w:rsidR="00010BA6" w:rsidRPr="00AF4B63">
        <w:rPr>
          <w:lang w:val="en-AU"/>
        </w:rPr>
        <w:t>the talion</w:t>
      </w:r>
      <w:r w:rsidRPr="00AF4B63">
        <w:rPr>
          <w:lang w:val="en-AU"/>
        </w:rPr>
        <w:t xml:space="preserve"> as a strict punishment. T</w:t>
      </w:r>
      <w:r w:rsidR="00010BA6" w:rsidRPr="00AF4B63">
        <w:rPr>
          <w:lang w:val="en-AU"/>
        </w:rPr>
        <w:t xml:space="preserve">he Sadducees interpreted the actions </w:t>
      </w:r>
      <w:r w:rsidRPr="00AF4B63">
        <w:rPr>
          <w:lang w:val="en-AU"/>
        </w:rPr>
        <w:t xml:space="preserve">of the talion </w:t>
      </w:r>
      <w:r w:rsidR="00010BA6" w:rsidRPr="00AF4B63">
        <w:rPr>
          <w:lang w:val="en-AU"/>
        </w:rPr>
        <w:t>more literally than the Pharisees</w:t>
      </w:r>
      <w:r w:rsidRPr="00AF4B63">
        <w:rPr>
          <w:lang w:val="en-AU"/>
        </w:rPr>
        <w:t xml:space="preserve">, without variance in punishment. </w:t>
      </w:r>
      <w:r w:rsidR="00010BA6" w:rsidRPr="00AF4B63">
        <w:rPr>
          <w:lang w:val="en-AU"/>
        </w:rPr>
        <w:t xml:space="preserve"> </w:t>
      </w:r>
    </w:p>
    <w:p w14:paraId="38F4E6C4" w14:textId="56ACD26E" w:rsidR="00F70A8C" w:rsidRPr="00AF4B63" w:rsidRDefault="00F70A8C" w:rsidP="00D37F31">
      <w:pPr>
        <w:pStyle w:val="Heading2"/>
      </w:pPr>
      <w:bookmarkStart w:id="139" w:name="_Toc118063668"/>
      <w:r w:rsidRPr="00AF4B63">
        <w:t>6.9 Chapter Conclusion</w:t>
      </w:r>
      <w:bookmarkEnd w:id="139"/>
    </w:p>
    <w:p w14:paraId="0F3371E1" w14:textId="6842A709" w:rsidR="00B44CEB" w:rsidRPr="00AF4B63" w:rsidRDefault="00757E6C" w:rsidP="00757E6C">
      <w:pPr>
        <w:spacing w:line="480" w:lineRule="auto"/>
        <w:ind w:firstLine="720"/>
        <w:contextualSpacing/>
        <w:rPr>
          <w:lang w:val="en-AU"/>
        </w:rPr>
      </w:pPr>
      <w:r w:rsidRPr="00AF4B63">
        <w:rPr>
          <w:lang w:val="en-AU"/>
        </w:rPr>
        <w:t xml:space="preserve">The early criteria for </w:t>
      </w:r>
      <w:r w:rsidRPr="00AF4B63">
        <w:rPr>
          <w:i/>
          <w:iCs/>
          <w:lang w:val="en-AU"/>
        </w:rPr>
        <w:t>lex talionis</w:t>
      </w:r>
      <w:r w:rsidRPr="00AF4B63">
        <w:rPr>
          <w:lang w:val="en-AU"/>
        </w:rPr>
        <w:t xml:space="preserve"> w</w:t>
      </w:r>
      <w:r w:rsidR="00BF0E8E">
        <w:rPr>
          <w:lang w:val="en-AU"/>
        </w:rPr>
        <w:t>ere</w:t>
      </w:r>
      <w:r w:rsidRPr="00AF4B63">
        <w:rPr>
          <w:lang w:val="en-AU"/>
        </w:rPr>
        <w:t xml:space="preserve"> a standard for retributive punishment for an injury.  Matthew 5:38-42 follows this formula for retribution from both the Hebrew Bible and </w:t>
      </w:r>
      <w:r w:rsidRPr="00AF4B63">
        <w:rPr>
          <w:lang w:val="en-AU"/>
        </w:rPr>
        <w:lastRenderedPageBreak/>
        <w:t xml:space="preserve">the Roman Twelve Tablets.  In the Hebrew Bible the </w:t>
      </w:r>
      <w:r w:rsidRPr="00AF4B63">
        <w:rPr>
          <w:i/>
          <w:iCs/>
          <w:lang w:val="en-AU"/>
        </w:rPr>
        <w:t xml:space="preserve">lex talionis </w:t>
      </w:r>
      <w:r w:rsidRPr="00AF4B63">
        <w:rPr>
          <w:lang w:val="en-AU"/>
        </w:rPr>
        <w:t xml:space="preserve">formula is in Exod 21:24, Lev 24:20, and Deut 19:21.  </w:t>
      </w:r>
      <w:r w:rsidR="002F4ACF" w:rsidRPr="00AF4B63">
        <w:rPr>
          <w:lang w:val="en-AU"/>
        </w:rPr>
        <w:t xml:space="preserve">These passages provide for a </w:t>
      </w:r>
      <w:r w:rsidR="002F4ACF" w:rsidRPr="00AF4B63">
        <w:rPr>
          <w:i/>
          <w:iCs/>
          <w:lang w:val="en-AU"/>
        </w:rPr>
        <w:t>talion</w:t>
      </w:r>
      <w:r w:rsidR="002F4ACF" w:rsidRPr="00AF4B63">
        <w:rPr>
          <w:lang w:val="en-AU"/>
        </w:rPr>
        <w:t xml:space="preserve"> response for injuries for fractures, eyes, teeth, hands, and bodily damage. The same concept of retribution carries into </w:t>
      </w:r>
      <w:r w:rsidR="002F4ACF" w:rsidRPr="00AF4B63">
        <w:rPr>
          <w:i/>
          <w:iCs/>
          <w:lang w:val="en-AU"/>
        </w:rPr>
        <w:t>Mishna Avot</w:t>
      </w:r>
      <w:r w:rsidR="002F4ACF" w:rsidRPr="00AF4B63">
        <w:rPr>
          <w:lang w:val="en-AU"/>
        </w:rPr>
        <w:t xml:space="preserve"> 1:7 and people keeping distant from one another and into </w:t>
      </w:r>
      <w:r w:rsidR="002F4ACF" w:rsidRPr="00AF4B63">
        <w:rPr>
          <w:i/>
          <w:iCs/>
          <w:lang w:val="en-AU"/>
        </w:rPr>
        <w:t xml:space="preserve">Mishna </w:t>
      </w:r>
      <w:r w:rsidR="002F4ACF" w:rsidRPr="00AF4B63">
        <w:rPr>
          <w:lang w:val="en-AU"/>
        </w:rPr>
        <w:t xml:space="preserve">Avot 1:12 balancing retribution with loving another person. Matthew 5:38-42 represents the intellectual thoughts of the Hebrew Bible and </w:t>
      </w:r>
      <w:r w:rsidR="002F4ACF" w:rsidRPr="00AF4B63">
        <w:rPr>
          <w:i/>
          <w:iCs/>
          <w:lang w:val="en-AU"/>
        </w:rPr>
        <w:t>Mishna Avot</w:t>
      </w:r>
      <w:r w:rsidR="002F4ACF" w:rsidRPr="00AF4B63">
        <w:rPr>
          <w:lang w:val="en-AU"/>
        </w:rPr>
        <w:t xml:space="preserve">. The same concept of retribution carries also into the </w:t>
      </w:r>
      <w:r w:rsidR="002F4ACF" w:rsidRPr="00AF4B63">
        <w:rPr>
          <w:i/>
          <w:iCs/>
          <w:lang w:val="en-AU"/>
        </w:rPr>
        <w:t xml:space="preserve">Mishnaic </w:t>
      </w:r>
      <w:r w:rsidR="002F4ACF" w:rsidRPr="00AF4B63">
        <w:rPr>
          <w:lang w:val="en-AU"/>
        </w:rPr>
        <w:t xml:space="preserve">period; thus, </w:t>
      </w:r>
      <w:r w:rsidR="00B44CEB" w:rsidRPr="00AF4B63">
        <w:rPr>
          <w:lang w:val="en-AU"/>
        </w:rPr>
        <w:t>solidifying</w:t>
      </w:r>
      <w:r w:rsidR="002F4ACF" w:rsidRPr="00AF4B63">
        <w:rPr>
          <w:lang w:val="en-AU"/>
        </w:rPr>
        <w:t xml:space="preserve"> a common understanding of retri</w:t>
      </w:r>
      <w:r w:rsidR="00B44CEB" w:rsidRPr="00AF4B63">
        <w:rPr>
          <w:lang w:val="en-AU"/>
        </w:rPr>
        <w:t>bu</w:t>
      </w:r>
      <w:r w:rsidR="002F4ACF" w:rsidRPr="00AF4B63">
        <w:rPr>
          <w:lang w:val="en-AU"/>
        </w:rPr>
        <w:t>t</w:t>
      </w:r>
      <w:r w:rsidR="00B44CEB" w:rsidRPr="00AF4B63">
        <w:rPr>
          <w:lang w:val="en-AU"/>
        </w:rPr>
        <w:t>io</w:t>
      </w:r>
      <w:r w:rsidR="002F4ACF" w:rsidRPr="00AF4B63">
        <w:rPr>
          <w:lang w:val="en-AU"/>
        </w:rPr>
        <w:t xml:space="preserve">n continually from the Hebrew Bible through the Sermon on the Mount, and up until the writings of the </w:t>
      </w:r>
      <w:r w:rsidR="00B44CEB" w:rsidRPr="00AF4B63">
        <w:rPr>
          <w:i/>
          <w:iCs/>
          <w:lang w:val="en-AU"/>
        </w:rPr>
        <w:t>Avot.</w:t>
      </w:r>
      <w:r w:rsidR="00B44CEB" w:rsidRPr="00AF4B63">
        <w:rPr>
          <w:lang w:val="en-AU"/>
        </w:rPr>
        <w:t xml:space="preserve"> The concept of retribution and ethics influenced the political doctrine of pacifism extending through Matthew 5:38-42 and further through the writings of </w:t>
      </w:r>
      <w:r w:rsidR="00B44CEB" w:rsidRPr="00AF4B63">
        <w:rPr>
          <w:i/>
          <w:iCs/>
          <w:lang w:val="en-AU"/>
        </w:rPr>
        <w:t>Mishna</w:t>
      </w:r>
      <w:r w:rsidR="00B44CEB" w:rsidRPr="00AF4B63">
        <w:rPr>
          <w:lang w:val="en-AU"/>
        </w:rPr>
        <w:t xml:space="preserve"> such as </w:t>
      </w:r>
      <w:r w:rsidR="00B44CEB" w:rsidRPr="00AF4B63">
        <w:rPr>
          <w:i/>
          <w:iCs/>
          <w:lang w:val="en-AU"/>
        </w:rPr>
        <w:t xml:space="preserve">Avot </w:t>
      </w:r>
      <w:r w:rsidR="00B44CEB" w:rsidRPr="00AF4B63">
        <w:rPr>
          <w:lang w:val="en-AU"/>
        </w:rPr>
        <w:t>2:3.</w:t>
      </w:r>
      <w:r w:rsidR="002C4CF2" w:rsidRPr="00AF4B63">
        <w:rPr>
          <w:lang w:val="en-AU"/>
        </w:rPr>
        <w:t xml:space="preserve"> Justice </w:t>
      </w:r>
      <w:r w:rsidR="0043586F" w:rsidRPr="00AF4B63">
        <w:rPr>
          <w:lang w:val="en-AU"/>
        </w:rPr>
        <w:t xml:space="preserve">within </w:t>
      </w:r>
      <w:r w:rsidR="002C4CF2" w:rsidRPr="00AF4B63">
        <w:rPr>
          <w:lang w:val="en-AU"/>
        </w:rPr>
        <w:t xml:space="preserve">self-retaliation become the cornerstone of Jewish thought regarding </w:t>
      </w:r>
      <w:r w:rsidR="002C4CF2" w:rsidRPr="00AF4B63">
        <w:rPr>
          <w:i/>
          <w:iCs/>
          <w:lang w:val="en-AU"/>
        </w:rPr>
        <w:t>lex talionis</w:t>
      </w:r>
      <w:r w:rsidR="002C4CF2" w:rsidRPr="00AF4B63">
        <w:rPr>
          <w:lang w:val="en-AU"/>
        </w:rPr>
        <w:t xml:space="preserve"> by the time of Jesus.  Justice before Jesus was ‘proportional retaliation’ and after Jesus the standard becomes ‘justice’ with a distinct difference between nonviolent defence and violence used in defence.  </w:t>
      </w:r>
      <w:r w:rsidR="0043586F" w:rsidRPr="00AF4B63">
        <w:rPr>
          <w:lang w:val="en-AU"/>
        </w:rPr>
        <w:t>Nonviolent defence is about changing character</w:t>
      </w:r>
      <w:r w:rsidR="00335D64">
        <w:rPr>
          <w:lang w:val="en-AU"/>
        </w:rPr>
        <w:t xml:space="preserve">. A person being assaulted has power against the aggressor.  Nonviolent defence is </w:t>
      </w:r>
      <w:r w:rsidR="0043586F" w:rsidRPr="00AF4B63">
        <w:rPr>
          <w:lang w:val="en-AU"/>
        </w:rPr>
        <w:t>how one responds- not by demanding an exact measure of flesh but having the discernment for deterrence to violence through equitable measures</w:t>
      </w:r>
      <w:r w:rsidR="00335D64">
        <w:rPr>
          <w:lang w:val="en-AU"/>
        </w:rPr>
        <w:t xml:space="preserve"> that will exact justice without being violent</w:t>
      </w:r>
      <w:r w:rsidR="0043586F" w:rsidRPr="00AF4B63">
        <w:rPr>
          <w:lang w:val="en-AU"/>
        </w:rPr>
        <w:t>.</w:t>
      </w:r>
      <w:r w:rsidR="00335D64">
        <w:rPr>
          <w:lang w:val="en-AU"/>
        </w:rPr>
        <w:t xml:space="preserve">  This is attainable by making the use of force unacceptable for the person using force against another person.</w:t>
      </w:r>
      <w:r w:rsidR="0043586F" w:rsidRPr="00AF4B63">
        <w:rPr>
          <w:lang w:val="en-AU"/>
        </w:rPr>
        <w:t xml:space="preserve"> Both </w:t>
      </w:r>
      <w:r w:rsidR="0043586F" w:rsidRPr="00AF4B63">
        <w:rPr>
          <w:i/>
          <w:iCs/>
          <w:lang w:val="en-AU"/>
        </w:rPr>
        <w:t xml:space="preserve">Mishna and </w:t>
      </w:r>
      <w:r w:rsidR="0043586F" w:rsidRPr="00AF4B63">
        <w:rPr>
          <w:lang w:val="en-AU"/>
        </w:rPr>
        <w:t xml:space="preserve">Matthew 5:38-42 explain how preventative self-defence was legal. </w:t>
      </w:r>
    </w:p>
    <w:p w14:paraId="47AD27B9" w14:textId="3A05D9DD" w:rsidR="008B1D6C" w:rsidRPr="00AF4B63" w:rsidRDefault="00B44CEB" w:rsidP="008B1D6C">
      <w:pPr>
        <w:spacing w:line="480" w:lineRule="auto"/>
        <w:ind w:firstLine="720"/>
        <w:contextualSpacing/>
        <w:rPr>
          <w:lang w:val="en-AU"/>
        </w:rPr>
      </w:pPr>
      <w:r w:rsidRPr="00AF4B63">
        <w:rPr>
          <w:i/>
          <w:iCs/>
          <w:lang w:val="en-AU"/>
        </w:rPr>
        <w:t>Lex talionis</w:t>
      </w:r>
      <w:r w:rsidRPr="00AF4B63">
        <w:rPr>
          <w:lang w:val="en-AU"/>
        </w:rPr>
        <w:t xml:space="preserve"> was in the Roman society</w:t>
      </w:r>
      <w:r w:rsidR="00BF0E8E">
        <w:rPr>
          <w:lang w:val="en-AU"/>
        </w:rPr>
        <w:t xml:space="preserve">, </w:t>
      </w:r>
      <w:r w:rsidRPr="00AF4B63">
        <w:rPr>
          <w:lang w:val="en-AU"/>
        </w:rPr>
        <w:t xml:space="preserve">and the laws of Rome </w:t>
      </w:r>
      <w:r w:rsidR="00770F0E" w:rsidRPr="00AF4B63">
        <w:rPr>
          <w:lang w:val="en-AU"/>
        </w:rPr>
        <w:t>superseded</w:t>
      </w:r>
      <w:r w:rsidRPr="00AF4B63">
        <w:rPr>
          <w:lang w:val="en-AU"/>
        </w:rPr>
        <w:t xml:space="preserve"> Jewish laws and authority regarding retribution.  Rome’s laws became the way of life for Jews at the time of Jesus for how people interacted and sought legal justice in the court.  Jesus’</w:t>
      </w:r>
      <w:r w:rsidR="006D41DD">
        <w:rPr>
          <w:lang w:val="en-AU"/>
        </w:rPr>
        <w:t>s</w:t>
      </w:r>
      <w:r w:rsidRPr="00AF4B63">
        <w:rPr>
          <w:lang w:val="en-AU"/>
        </w:rPr>
        <w:t xml:space="preserve"> teachings and the teachings of </w:t>
      </w:r>
      <w:r w:rsidR="00B648EE" w:rsidRPr="00AF4B63">
        <w:rPr>
          <w:lang w:val="en-AU"/>
        </w:rPr>
        <w:t xml:space="preserve">Jewish teachers as they became Roman citizens were highly influenced by Roman ethics and law.  Jewish law of </w:t>
      </w:r>
      <w:r w:rsidR="00B648EE" w:rsidRPr="00AF4B63">
        <w:rPr>
          <w:i/>
          <w:iCs/>
          <w:lang w:val="en-AU"/>
        </w:rPr>
        <w:t>lex talionis</w:t>
      </w:r>
      <w:r w:rsidR="00B648EE" w:rsidRPr="00AF4B63">
        <w:rPr>
          <w:lang w:val="en-AU"/>
        </w:rPr>
        <w:t xml:space="preserve"> was only applied if Roman law did not apply to a legal case; thus, Matthew 5:38-42 would speak to the law which is in rule at the </w:t>
      </w:r>
      <w:r w:rsidR="00B648EE" w:rsidRPr="00AF4B63">
        <w:rPr>
          <w:lang w:val="en-AU"/>
        </w:rPr>
        <w:lastRenderedPageBreak/>
        <w:t xml:space="preserve">time— that being Roman Law. </w:t>
      </w:r>
      <w:r w:rsidR="00770F0E" w:rsidRPr="00AF4B63">
        <w:rPr>
          <w:lang w:val="en-AU"/>
        </w:rPr>
        <w:t>In the case of Roman Law</w:t>
      </w:r>
      <w:r w:rsidR="008B1D6C" w:rsidRPr="00AF4B63">
        <w:rPr>
          <w:lang w:val="en-AU"/>
        </w:rPr>
        <w:t xml:space="preserve"> (</w:t>
      </w:r>
      <w:r w:rsidR="008B1D6C" w:rsidRPr="00AF4B63">
        <w:rPr>
          <w:i/>
          <w:iCs/>
          <w:lang w:val="en-AU"/>
        </w:rPr>
        <w:t xml:space="preserve">Lex Aquilia </w:t>
      </w:r>
      <w:r w:rsidR="008B1D6C" w:rsidRPr="00AF4B63">
        <w:rPr>
          <w:lang w:val="en-AU"/>
        </w:rPr>
        <w:t>and The Twelve Tablets)</w:t>
      </w:r>
      <w:r w:rsidR="00770F0E" w:rsidRPr="00AF4B63">
        <w:rPr>
          <w:lang w:val="en-AU"/>
        </w:rPr>
        <w:t xml:space="preserve">, protections were given to slaves and citizens as well; therefore, Jews had legal protection to some degree. </w:t>
      </w:r>
      <w:r w:rsidR="008B1D6C" w:rsidRPr="00AF4B63">
        <w:rPr>
          <w:lang w:val="en-AU"/>
        </w:rPr>
        <w:t xml:space="preserve">This chapter affirms how later </w:t>
      </w:r>
      <w:r w:rsidR="008B1D6C" w:rsidRPr="00AF4B63">
        <w:rPr>
          <w:i/>
          <w:iCs/>
          <w:lang w:val="en-AU"/>
        </w:rPr>
        <w:t>Mishna Bava Kamma</w:t>
      </w:r>
      <w:r w:rsidR="008B1D6C" w:rsidRPr="00AF4B63">
        <w:rPr>
          <w:lang w:val="en-AU"/>
        </w:rPr>
        <w:t xml:space="preserve"> and </w:t>
      </w:r>
      <w:r w:rsidR="008B1D6C" w:rsidRPr="00AF4B63">
        <w:rPr>
          <w:i/>
          <w:iCs/>
          <w:lang w:val="en-AU"/>
        </w:rPr>
        <w:t xml:space="preserve">Avot </w:t>
      </w:r>
      <w:r w:rsidR="008B1D6C" w:rsidRPr="00AF4B63">
        <w:rPr>
          <w:lang w:val="en-AU"/>
        </w:rPr>
        <w:t xml:space="preserve">resemble the earlier Roman laws.  By the time of Aulus Gellius, Roman Law sought to quantify damages done in </w:t>
      </w:r>
      <w:r w:rsidR="008B1D6C" w:rsidRPr="00AF4B63">
        <w:rPr>
          <w:i/>
          <w:iCs/>
          <w:lang w:val="en-AU"/>
        </w:rPr>
        <w:t>lex talionis</w:t>
      </w:r>
      <w:r w:rsidR="008B1D6C" w:rsidRPr="00AF4B63">
        <w:rPr>
          <w:lang w:val="en-AU"/>
        </w:rPr>
        <w:t xml:space="preserve"> as did Jewish </w:t>
      </w:r>
      <w:r w:rsidR="008B1D6C" w:rsidRPr="00AF4B63">
        <w:rPr>
          <w:i/>
          <w:iCs/>
          <w:lang w:val="en-AU"/>
        </w:rPr>
        <w:t xml:space="preserve">Mishna </w:t>
      </w:r>
      <w:r w:rsidR="008B1D6C" w:rsidRPr="00AF4B63">
        <w:rPr>
          <w:lang w:val="en-AU"/>
        </w:rPr>
        <w:t xml:space="preserve">by having financial punishments instead of exacting a </w:t>
      </w:r>
      <w:r w:rsidR="008B1D6C" w:rsidRPr="00AF4B63">
        <w:rPr>
          <w:i/>
          <w:iCs/>
          <w:lang w:val="en-AU"/>
        </w:rPr>
        <w:t xml:space="preserve">talion. </w:t>
      </w:r>
    </w:p>
    <w:p w14:paraId="098D594A" w14:textId="000A5D56" w:rsidR="00157023" w:rsidRPr="00AF4B63" w:rsidRDefault="008B1D6C" w:rsidP="008B1D6C">
      <w:pPr>
        <w:spacing w:line="480" w:lineRule="auto"/>
        <w:ind w:firstLine="720"/>
        <w:contextualSpacing/>
        <w:rPr>
          <w:lang w:val="en-AU"/>
        </w:rPr>
      </w:pPr>
      <w:r w:rsidRPr="00AF4B63">
        <w:rPr>
          <w:lang w:val="en-AU"/>
        </w:rPr>
        <w:t xml:space="preserve">This chapter sought to show how Roman codes are </w:t>
      </w:r>
      <w:proofErr w:type="gramStart"/>
      <w:r w:rsidRPr="00AF4B63">
        <w:rPr>
          <w:lang w:val="en-AU"/>
        </w:rPr>
        <w:t>similar to</w:t>
      </w:r>
      <w:proofErr w:type="gramEnd"/>
      <w:r w:rsidRPr="00AF4B63">
        <w:rPr>
          <w:lang w:val="en-AU"/>
        </w:rPr>
        <w:t xml:space="preserve"> </w:t>
      </w:r>
      <w:r w:rsidRPr="00AF4B63">
        <w:rPr>
          <w:i/>
          <w:iCs/>
          <w:lang w:val="en-AU"/>
        </w:rPr>
        <w:t xml:space="preserve">Lex Talionis </w:t>
      </w:r>
      <w:r w:rsidRPr="00AF4B63">
        <w:rPr>
          <w:lang w:val="en-AU"/>
        </w:rPr>
        <w:t xml:space="preserve">in the </w:t>
      </w:r>
      <w:r w:rsidRPr="00AF4B63">
        <w:rPr>
          <w:i/>
          <w:iCs/>
          <w:lang w:val="en-AU"/>
        </w:rPr>
        <w:t>Mishna</w:t>
      </w:r>
      <w:r w:rsidRPr="00AF4B63">
        <w:rPr>
          <w:lang w:val="en-AU"/>
        </w:rPr>
        <w:t xml:space="preserve">.  </w:t>
      </w:r>
      <w:r w:rsidRPr="00AF4B63">
        <w:rPr>
          <w:i/>
          <w:iCs/>
          <w:lang w:val="en-AU"/>
        </w:rPr>
        <w:t>M. Bava Kamma</w:t>
      </w:r>
      <w:r w:rsidRPr="00AF4B63">
        <w:rPr>
          <w:lang w:val="en-AU"/>
        </w:rPr>
        <w:t xml:space="preserve"> is </w:t>
      </w:r>
      <w:proofErr w:type="gramStart"/>
      <w:r w:rsidRPr="00AF4B63">
        <w:rPr>
          <w:lang w:val="en-AU"/>
        </w:rPr>
        <w:t>similar to</w:t>
      </w:r>
      <w:proofErr w:type="gramEnd"/>
      <w:r w:rsidRPr="00AF4B63">
        <w:rPr>
          <w:lang w:val="en-AU"/>
        </w:rPr>
        <w:t xml:space="preserve"> Roman laws showing how intellectual thought and development is similar during the development of </w:t>
      </w:r>
      <w:r w:rsidR="00211352" w:rsidRPr="00AF4B63">
        <w:rPr>
          <w:lang w:val="en-AU"/>
        </w:rPr>
        <w:t>pacificist</w:t>
      </w:r>
      <w:r w:rsidRPr="00AF4B63">
        <w:rPr>
          <w:lang w:val="en-AU"/>
        </w:rPr>
        <w:t xml:space="preserve"> ideology</w:t>
      </w:r>
      <w:r w:rsidR="00211352" w:rsidRPr="00AF4B63">
        <w:rPr>
          <w:lang w:val="en-AU"/>
        </w:rPr>
        <w:t xml:space="preserve">, specifically in the areas of restitution and </w:t>
      </w:r>
      <w:r w:rsidR="00211352" w:rsidRPr="00AF4B63">
        <w:rPr>
          <w:i/>
          <w:iCs/>
          <w:lang w:val="en-AU"/>
        </w:rPr>
        <w:t xml:space="preserve">iniuria. </w:t>
      </w:r>
      <w:r w:rsidR="00211352" w:rsidRPr="00AF4B63">
        <w:rPr>
          <w:lang w:val="en-AU"/>
        </w:rPr>
        <w:t xml:space="preserve">Since the Jewish citizens lived under Roman law during the Tannaitic Period, they had less freedoms and the rabbis had to comply with Roman authority over them.  The rabbis who did not teach in accordance with Roman law were moved away from the area; thus, the teachings people received both reflected pro-Roman views and the justice through the courts was primarily from Roman jurisprudence. </w:t>
      </w:r>
    </w:p>
    <w:p w14:paraId="6D988451" w14:textId="082C7A7F" w:rsidR="007634F3" w:rsidRPr="009E7B69" w:rsidRDefault="00157023" w:rsidP="008B1D6C">
      <w:pPr>
        <w:spacing w:line="480" w:lineRule="auto"/>
        <w:ind w:firstLine="720"/>
        <w:contextualSpacing/>
        <w:rPr>
          <w:i/>
          <w:iCs/>
        </w:rPr>
      </w:pPr>
      <w:r w:rsidRPr="00AF4B63">
        <w:rPr>
          <w:lang w:val="en-AU"/>
        </w:rPr>
        <w:t>Matthew 5:38-42 is concerned about the actions of a person, how the</w:t>
      </w:r>
      <w:r w:rsidR="00335D64">
        <w:rPr>
          <w:lang w:val="en-AU"/>
        </w:rPr>
        <w:t>y</w:t>
      </w:r>
      <w:r w:rsidRPr="00AF4B63">
        <w:rPr>
          <w:lang w:val="en-AU"/>
        </w:rPr>
        <w:t xml:space="preserve"> react, and is this action just and equitable.</w:t>
      </w:r>
      <w:r w:rsidR="00335D64">
        <w:rPr>
          <w:lang w:val="en-AU"/>
        </w:rPr>
        <w:t xml:space="preserve"> A person whose rights are being abrogated by another person can act differently by responding differently.</w:t>
      </w:r>
      <w:r w:rsidRPr="00AF4B63">
        <w:rPr>
          <w:lang w:val="en-AU"/>
        </w:rPr>
        <w:t xml:space="preserve"> </w:t>
      </w:r>
      <w:r w:rsidR="00B4443F">
        <w:rPr>
          <w:lang w:val="en-AU"/>
        </w:rPr>
        <w:t>A person’s intent for when reacting to physical provocation defines if the person acts justl</w:t>
      </w:r>
      <w:r w:rsidR="00335D64">
        <w:rPr>
          <w:lang w:val="en-AU"/>
        </w:rPr>
        <w:t>y</w:t>
      </w:r>
      <w:r w:rsidR="00B4443F">
        <w:rPr>
          <w:lang w:val="en-AU"/>
        </w:rPr>
        <w:t>.</w:t>
      </w:r>
      <w:r w:rsidR="00335D64">
        <w:rPr>
          <w:lang w:val="en-AU"/>
        </w:rPr>
        <w:t xml:space="preserve"> A person is not submitting if they do not use violence in retaliation, a nonviolent reply would shift the balance of power for the aggressor.</w:t>
      </w:r>
      <w:r w:rsidR="00B4443F">
        <w:rPr>
          <w:lang w:val="en-AU"/>
        </w:rPr>
        <w:t xml:space="preserve"> I</w:t>
      </w:r>
      <w:r w:rsidRPr="00AF4B63">
        <w:rPr>
          <w:lang w:val="en-AU"/>
        </w:rPr>
        <w:t>f a person is morally just and not with evil</w:t>
      </w:r>
      <w:r w:rsidR="00B4443F">
        <w:rPr>
          <w:lang w:val="en-AU"/>
        </w:rPr>
        <w:t xml:space="preserve"> intent, </w:t>
      </w:r>
      <w:r w:rsidRPr="00AF4B63">
        <w:rPr>
          <w:lang w:val="en-AU"/>
        </w:rPr>
        <w:t xml:space="preserve">then the person acts in justice without malice towards another person. </w:t>
      </w:r>
      <w:r w:rsidR="008270AD" w:rsidRPr="00AF4B63">
        <w:rPr>
          <w:i/>
          <w:iCs/>
          <w:lang w:val="en-AU"/>
        </w:rPr>
        <w:t>Lex talionis</w:t>
      </w:r>
      <w:r w:rsidR="008270AD" w:rsidRPr="00AF4B63">
        <w:rPr>
          <w:lang w:val="en-AU"/>
        </w:rPr>
        <w:t xml:space="preserve"> in Matthew 5:38-42 and </w:t>
      </w:r>
      <w:r w:rsidR="008270AD" w:rsidRPr="00AF4B63">
        <w:rPr>
          <w:i/>
          <w:iCs/>
          <w:lang w:val="en-AU"/>
        </w:rPr>
        <w:t>Mishna</w:t>
      </w:r>
      <w:r w:rsidR="008270AD" w:rsidRPr="00AF4B63">
        <w:rPr>
          <w:lang w:val="en-AU"/>
        </w:rPr>
        <w:t xml:space="preserve"> </w:t>
      </w:r>
      <w:r w:rsidR="00B4443F">
        <w:rPr>
          <w:lang w:val="en-AU"/>
        </w:rPr>
        <w:t>suggest being p</w:t>
      </w:r>
      <w:r w:rsidR="00C95DB9" w:rsidRPr="00AF4B63">
        <w:rPr>
          <w:lang w:val="en-AU"/>
        </w:rPr>
        <w:t xml:space="preserve">roactive with one’s rights when in a controversy; ultimately, by the </w:t>
      </w:r>
      <w:r w:rsidR="00C95DB9" w:rsidRPr="00AF4B63">
        <w:rPr>
          <w:i/>
          <w:iCs/>
          <w:lang w:val="en-AU"/>
        </w:rPr>
        <w:t>Mishnaic</w:t>
      </w:r>
      <w:r w:rsidR="00C95DB9" w:rsidRPr="00AF4B63">
        <w:rPr>
          <w:lang w:val="en-AU"/>
        </w:rPr>
        <w:t xml:space="preserve"> period, this was quantifiable by financial quantification.  The essence of this was how Jesus taught in Matthew 5:38-42 that a person should not seek an exact retribution but a nonviolent alternative that abrogates violence and demands equity from wrongdoing. </w:t>
      </w:r>
      <w:r w:rsidR="007634F3" w:rsidRPr="009E7B69">
        <w:br w:type="page"/>
      </w:r>
    </w:p>
    <w:p w14:paraId="0F190247" w14:textId="2B3432B5" w:rsidR="00010BA6" w:rsidRPr="009E7B69" w:rsidRDefault="003A655D" w:rsidP="009F5D32">
      <w:pPr>
        <w:pStyle w:val="Heading1"/>
      </w:pPr>
      <w:bookmarkStart w:id="140" w:name="_Toc94537021"/>
      <w:bookmarkStart w:id="141" w:name="_Toc118063669"/>
      <w:r w:rsidRPr="009E7B69">
        <w:lastRenderedPageBreak/>
        <w:t xml:space="preserve">Chapter </w:t>
      </w:r>
      <w:r w:rsidR="007802A2" w:rsidRPr="009E7B69">
        <w:t>7</w:t>
      </w:r>
      <w:r w:rsidR="00010BA6" w:rsidRPr="009E7B69">
        <w:rPr>
          <w:i/>
        </w:rPr>
        <w:t xml:space="preserve"> </w:t>
      </w:r>
      <w:r w:rsidR="00010BA6" w:rsidRPr="009E7B69">
        <w:rPr>
          <w:shd w:val="clear" w:color="auto" w:fill="FFFFFF"/>
          <w:rtl/>
        </w:rPr>
        <w:t>צדקה</w:t>
      </w:r>
      <w:r w:rsidR="00010BA6" w:rsidRPr="009E7B69">
        <w:rPr>
          <w:shd w:val="clear" w:color="auto" w:fill="FFFFFF"/>
        </w:rPr>
        <w:t xml:space="preserve"> </w:t>
      </w:r>
      <w:r w:rsidRPr="009E7B69">
        <w:t>as Justice</w:t>
      </w:r>
      <w:bookmarkEnd w:id="140"/>
      <w:bookmarkEnd w:id="141"/>
    </w:p>
    <w:p w14:paraId="726B03BC" w14:textId="0A65AFD7" w:rsidR="00010BA6" w:rsidRPr="00AF4B63" w:rsidRDefault="006C0EFF" w:rsidP="00F90D48">
      <w:pPr>
        <w:autoSpaceDE w:val="0"/>
        <w:autoSpaceDN w:val="0"/>
        <w:adjustRightInd w:val="0"/>
        <w:spacing w:line="480" w:lineRule="auto"/>
        <w:ind w:firstLine="720"/>
        <w:rPr>
          <w:lang w:val="en-AU"/>
        </w:rPr>
      </w:pPr>
      <w:r w:rsidRPr="00AF4B63">
        <w:rPr>
          <w:lang w:val="en-AU"/>
        </w:rPr>
        <w:t>The concept of j</w:t>
      </w:r>
      <w:r w:rsidR="00252A4C" w:rsidRPr="00AF4B63">
        <w:rPr>
          <w:lang w:val="en-AU"/>
        </w:rPr>
        <w:t>ustice</w:t>
      </w:r>
      <w:r w:rsidR="00CA5C6C" w:rsidRPr="00AF4B63">
        <w:rPr>
          <w:lang w:val="en-AU"/>
        </w:rPr>
        <w:t>/righteousness</w:t>
      </w:r>
      <w:r w:rsidR="00252A4C" w:rsidRPr="00AF4B63">
        <w:rPr>
          <w:lang w:val="en-AU"/>
        </w:rPr>
        <w:t xml:space="preserve"> connects </w:t>
      </w:r>
      <w:r w:rsidR="00EA53DD" w:rsidRPr="00AF4B63">
        <w:rPr>
          <w:lang w:val="en-AU"/>
        </w:rPr>
        <w:t xml:space="preserve">the ethical and political thought of Jesus to </w:t>
      </w:r>
      <w:r w:rsidR="00010BA6" w:rsidRPr="00AF4B63">
        <w:rPr>
          <w:i/>
          <w:iCs/>
          <w:lang w:val="en-AU"/>
        </w:rPr>
        <w:t>Mishna Avot</w:t>
      </w:r>
      <w:r w:rsidR="00EA53DD" w:rsidRPr="00AF4B63">
        <w:rPr>
          <w:i/>
          <w:iCs/>
          <w:lang w:val="en-AU"/>
        </w:rPr>
        <w:t>.</w:t>
      </w:r>
      <w:r w:rsidR="00010BA6" w:rsidRPr="00AF4B63">
        <w:rPr>
          <w:lang w:val="en-AU"/>
        </w:rPr>
        <w:t xml:space="preserve"> </w:t>
      </w:r>
      <w:r w:rsidR="004B0E1B" w:rsidRPr="00AF4B63">
        <w:rPr>
          <w:lang w:val="en-AU"/>
        </w:rPr>
        <w:t>Understanding</w:t>
      </w:r>
      <w:r w:rsidR="00010BA6" w:rsidRPr="00AF4B63">
        <w:rPr>
          <w:lang w:val="en-AU"/>
        </w:rPr>
        <w:t xml:space="preserve"> the </w:t>
      </w:r>
      <w:r w:rsidR="00503B65" w:rsidRPr="00AF4B63">
        <w:rPr>
          <w:lang w:val="en-AU"/>
        </w:rPr>
        <w:t xml:space="preserve">Hebrew </w:t>
      </w:r>
      <w:r w:rsidR="00010BA6" w:rsidRPr="00AF4B63">
        <w:rPr>
          <w:lang w:val="en-AU"/>
        </w:rPr>
        <w:t xml:space="preserve">word for justice </w:t>
      </w:r>
      <w:r w:rsidR="00DE34C8" w:rsidRPr="00AF4B63">
        <w:rPr>
          <w:lang w:val="en-AU"/>
        </w:rPr>
        <w:t xml:space="preserve">helps to understand the </w:t>
      </w:r>
      <w:r w:rsidR="00010BA6" w:rsidRPr="00AF4B63">
        <w:rPr>
          <w:lang w:val="en-AU"/>
        </w:rPr>
        <w:t xml:space="preserve">ethics </w:t>
      </w:r>
      <w:r w:rsidR="00DE34C8" w:rsidRPr="00AF4B63">
        <w:rPr>
          <w:lang w:val="en-AU"/>
        </w:rPr>
        <w:t>of Jewish people who lived</w:t>
      </w:r>
      <w:r w:rsidR="00010BA6" w:rsidRPr="00AF4B63">
        <w:rPr>
          <w:lang w:val="en-AU"/>
        </w:rPr>
        <w:t xml:space="preserve"> during the Second Temple</w:t>
      </w:r>
      <w:r w:rsidR="00DE34C8" w:rsidRPr="00AF4B63">
        <w:rPr>
          <w:lang w:val="en-AU"/>
        </w:rPr>
        <w:t xml:space="preserve"> period</w:t>
      </w:r>
      <w:r w:rsidR="00010BA6" w:rsidRPr="00AF4B63">
        <w:rPr>
          <w:lang w:val="en-AU"/>
        </w:rPr>
        <w:t>.</w:t>
      </w:r>
      <w:r w:rsidR="00F00DAB" w:rsidRPr="00AF4B63">
        <w:rPr>
          <w:lang w:val="en-AU"/>
        </w:rPr>
        <w:t xml:space="preserve"> </w:t>
      </w:r>
      <w:r w:rsidR="00F90D48">
        <w:rPr>
          <w:lang w:val="en-AU"/>
        </w:rPr>
        <w:t xml:space="preserve">Understanding </w:t>
      </w:r>
      <w:r w:rsidR="00F90D48" w:rsidRPr="00F90D48">
        <w:rPr>
          <w:rtl/>
          <w:lang w:val="en-AU"/>
        </w:rPr>
        <w:t>צדקה</w:t>
      </w:r>
      <w:r w:rsidR="00F90D48">
        <w:rPr>
          <w:lang w:val="en-AU"/>
        </w:rPr>
        <w:t xml:space="preserve"> will give a deeper understanding to the Sermon on the Mount as explored later in this dissertation. </w:t>
      </w:r>
      <w:r w:rsidR="00F00DAB" w:rsidRPr="00AF4B63">
        <w:rPr>
          <w:lang w:val="en-AU"/>
        </w:rPr>
        <w:t>Justice</w:t>
      </w:r>
      <w:r w:rsidR="00EA53DD" w:rsidRPr="00AF4B63">
        <w:rPr>
          <w:lang w:val="en-AU"/>
        </w:rPr>
        <w:t xml:space="preserve"> is assume</w:t>
      </w:r>
      <w:r w:rsidR="00D10402" w:rsidRPr="00AF4B63">
        <w:rPr>
          <w:lang w:val="en-AU"/>
        </w:rPr>
        <w:t>d to be</w:t>
      </w:r>
      <w:r w:rsidR="00EA53DD" w:rsidRPr="00AF4B63">
        <w:rPr>
          <w:lang w:val="en-AU"/>
        </w:rPr>
        <w:t xml:space="preserve"> the </w:t>
      </w:r>
      <w:r w:rsidR="00D10402" w:rsidRPr="00AF4B63">
        <w:rPr>
          <w:lang w:val="en-AU"/>
        </w:rPr>
        <w:t>meaning</w:t>
      </w:r>
      <w:r w:rsidR="00EA53DD" w:rsidRPr="00AF4B63">
        <w:rPr>
          <w:lang w:val="en-AU"/>
        </w:rPr>
        <w:t xml:space="preserve"> of</w:t>
      </w:r>
      <w:r w:rsidR="00010BA6" w:rsidRPr="009E7B69">
        <w:rPr>
          <w:shd w:val="clear" w:color="auto" w:fill="FFFFFF"/>
        </w:rPr>
        <w:t xml:space="preserve"> </w:t>
      </w:r>
      <w:r w:rsidR="00010BA6" w:rsidRPr="009E7B69">
        <w:rPr>
          <w:shd w:val="clear" w:color="auto" w:fill="FFFFFF"/>
          <w:rtl/>
        </w:rPr>
        <w:t>צדק</w:t>
      </w:r>
      <w:r w:rsidR="00010BA6" w:rsidRPr="009E7B69">
        <w:rPr>
          <w:shd w:val="clear" w:color="auto" w:fill="FFFFFF"/>
        </w:rPr>
        <w:t xml:space="preserve"> </w:t>
      </w:r>
      <w:r w:rsidR="00DE34C8" w:rsidRPr="00AF4B63">
        <w:rPr>
          <w:shd w:val="clear" w:color="auto" w:fill="FFFFFF"/>
          <w:lang w:val="en-AU"/>
        </w:rPr>
        <w:t>(</w:t>
      </w:r>
      <w:r w:rsidR="00CA5C6C" w:rsidRPr="00AF4B63">
        <w:rPr>
          <w:shd w:val="clear" w:color="auto" w:fill="FFFFFF"/>
          <w:lang w:val="en-AU"/>
        </w:rPr>
        <w:t>righteousness, justice</w:t>
      </w:r>
      <w:r w:rsidR="00DE34C8" w:rsidRPr="00AF4B63">
        <w:rPr>
          <w:i/>
          <w:iCs/>
          <w:shd w:val="clear" w:color="auto" w:fill="FFFFFF"/>
          <w:lang w:val="en-AU"/>
        </w:rPr>
        <w:t>)</w:t>
      </w:r>
      <w:r w:rsidR="00945233" w:rsidRPr="00AF4B63">
        <w:rPr>
          <w:shd w:val="clear" w:color="auto" w:fill="FFFFFF"/>
          <w:lang w:val="en-AU"/>
        </w:rPr>
        <w:t xml:space="preserve"> as used</w:t>
      </w:r>
      <w:r w:rsidR="00EA53DD" w:rsidRPr="00AF4B63">
        <w:rPr>
          <w:i/>
          <w:iCs/>
          <w:shd w:val="clear" w:color="auto" w:fill="FFFFFF"/>
          <w:lang w:val="en-AU"/>
        </w:rPr>
        <w:t xml:space="preserve"> </w:t>
      </w:r>
      <w:r w:rsidR="00EA53DD" w:rsidRPr="00AF4B63">
        <w:rPr>
          <w:shd w:val="clear" w:color="auto" w:fill="FFFFFF"/>
          <w:lang w:val="en-AU"/>
        </w:rPr>
        <w:t xml:space="preserve">in </w:t>
      </w:r>
      <w:r w:rsidR="00010BA6" w:rsidRPr="00AF4B63">
        <w:rPr>
          <w:shd w:val="clear" w:color="auto" w:fill="FFFFFF"/>
          <w:lang w:val="en-AU"/>
        </w:rPr>
        <w:t>Deut 16:2</w:t>
      </w:r>
      <w:r w:rsidR="000E08B9" w:rsidRPr="00AF4B63">
        <w:rPr>
          <w:shd w:val="clear" w:color="auto" w:fill="FFFFFF"/>
          <w:lang w:val="en-AU"/>
        </w:rPr>
        <w:t>0 (JPS)</w:t>
      </w:r>
      <w:r w:rsidR="00010BA6" w:rsidRPr="00AF4B63">
        <w:rPr>
          <w:shd w:val="clear" w:color="auto" w:fill="FFFFFF"/>
          <w:lang w:val="en-AU"/>
        </w:rPr>
        <w:t>.</w:t>
      </w:r>
      <w:r w:rsidR="00010BA6" w:rsidRPr="00AF4B63">
        <w:rPr>
          <w:rStyle w:val="FootnoteReference"/>
          <w:shd w:val="clear" w:color="auto" w:fill="FFFFFF"/>
          <w:lang w:val="en-AU"/>
        </w:rPr>
        <w:footnoteReference w:id="418"/>
      </w:r>
      <w:r w:rsidR="00010BA6" w:rsidRPr="00AF4B63">
        <w:rPr>
          <w:shd w:val="clear" w:color="auto" w:fill="FFFFFF"/>
          <w:lang w:val="en-AU"/>
        </w:rPr>
        <w:t xml:space="preserve"> </w:t>
      </w:r>
      <w:r w:rsidR="00010BA6" w:rsidRPr="00AF4B63">
        <w:rPr>
          <w:lang w:val="en-AU"/>
        </w:rPr>
        <w:t>This Hebrew word,</w:t>
      </w:r>
      <w:r w:rsidR="00010BA6" w:rsidRPr="009E7B69">
        <w:t xml:space="preserve"> </w:t>
      </w:r>
      <w:r w:rsidR="00010BA6" w:rsidRPr="009E7B69">
        <w:rPr>
          <w:i/>
        </w:rPr>
        <w:t>tzedek</w:t>
      </w:r>
      <w:r w:rsidR="00010BA6" w:rsidRPr="009E7B69">
        <w:t xml:space="preserve">, </w:t>
      </w:r>
      <w:r w:rsidR="00010BA6" w:rsidRPr="00AF4B63">
        <w:rPr>
          <w:lang w:val="en-AU"/>
        </w:rPr>
        <w:t xml:space="preserve">or justice, </w:t>
      </w:r>
      <w:r w:rsidR="004F2708" w:rsidRPr="00AF4B63">
        <w:rPr>
          <w:lang w:val="en-AU"/>
        </w:rPr>
        <w:t>has</w:t>
      </w:r>
      <w:r w:rsidR="00010BA6" w:rsidRPr="00AF4B63">
        <w:rPr>
          <w:lang w:val="en-AU"/>
        </w:rPr>
        <w:t xml:space="preserve"> a strong social component. Deut 16:2</w:t>
      </w:r>
      <w:r w:rsidR="000E08B9" w:rsidRPr="00AF4B63">
        <w:rPr>
          <w:lang w:val="en-AU"/>
        </w:rPr>
        <w:t>0</w:t>
      </w:r>
      <w:r w:rsidR="00010BA6" w:rsidRPr="00AF4B63">
        <w:rPr>
          <w:lang w:val="en-AU"/>
        </w:rPr>
        <w:t xml:space="preserve"> famously states </w:t>
      </w:r>
      <w:r w:rsidR="00863B47" w:rsidRPr="00AF4B63">
        <w:rPr>
          <w:lang w:val="en-AU"/>
        </w:rPr>
        <w:t>“</w:t>
      </w:r>
      <w:r w:rsidR="00010BA6" w:rsidRPr="00AF4B63">
        <w:rPr>
          <w:lang w:val="en-AU"/>
        </w:rPr>
        <w:t>justice, justice shalt thou follow, that thou mayest live, and inherit the land which the Lord thy God giveth thee</w:t>
      </w:r>
      <w:r w:rsidR="00863B47" w:rsidRPr="00AF4B63">
        <w:rPr>
          <w:lang w:val="en-AU"/>
        </w:rPr>
        <w:t>”</w:t>
      </w:r>
      <w:r w:rsidR="00010BA6" w:rsidRPr="00AF4B63">
        <w:rPr>
          <w:lang w:val="en-AU"/>
        </w:rPr>
        <w:t xml:space="preserve"> (Jewish Publication Society). The Hebrew root of</w:t>
      </w:r>
      <w:r w:rsidR="00010BA6" w:rsidRPr="009E7B69">
        <w:t xml:space="preserve"> </w:t>
      </w:r>
      <w:r w:rsidR="00010BA6" w:rsidRPr="009E7B69">
        <w:rPr>
          <w:shd w:val="clear" w:color="auto" w:fill="FFFFFF"/>
          <w:rtl/>
        </w:rPr>
        <w:t>צדק</w:t>
      </w:r>
      <w:r w:rsidR="00010BA6" w:rsidRPr="009E7B69">
        <w:t xml:space="preserve">, </w:t>
      </w:r>
      <w:r w:rsidR="00010BA6" w:rsidRPr="00AF4B63">
        <w:rPr>
          <w:lang w:val="en-AU"/>
        </w:rPr>
        <w:t>like the Roman root of justice, means upright, straight.</w:t>
      </w:r>
      <w:r w:rsidR="00010BA6" w:rsidRPr="00AF4B63">
        <w:rPr>
          <w:rStyle w:val="FootnoteReference"/>
          <w:lang w:val="en-AU"/>
        </w:rPr>
        <w:footnoteReference w:id="419"/>
      </w:r>
      <w:r w:rsidR="00010BA6" w:rsidRPr="00AF4B63">
        <w:rPr>
          <w:lang w:val="en-AU"/>
        </w:rPr>
        <w:t xml:space="preserve"> In Jewish literature, the word is used </w:t>
      </w:r>
      <w:r w:rsidR="00821ECF" w:rsidRPr="00AF4B63">
        <w:rPr>
          <w:lang w:val="en-AU"/>
        </w:rPr>
        <w:t>to indicate</w:t>
      </w:r>
      <w:r w:rsidR="00010BA6" w:rsidRPr="00AF4B63">
        <w:rPr>
          <w:lang w:val="en-AU"/>
        </w:rPr>
        <w:t xml:space="preserve"> righteousness and social justice. The root</w:t>
      </w:r>
      <w:r w:rsidR="00010BA6" w:rsidRPr="009E7B69">
        <w:t xml:space="preserve"> </w:t>
      </w:r>
      <w:r w:rsidR="00010BA6" w:rsidRPr="009E7B69">
        <w:rPr>
          <w:shd w:val="clear" w:color="auto" w:fill="FFFFFF"/>
          <w:rtl/>
        </w:rPr>
        <w:t>צדק</w:t>
      </w:r>
      <w:r w:rsidR="00010BA6" w:rsidRPr="009E7B69" w:rsidDel="00E400E7">
        <w:t xml:space="preserve"> </w:t>
      </w:r>
      <w:r w:rsidR="00010BA6" w:rsidRPr="009E7B69">
        <w:rPr>
          <w:i/>
          <w:iCs/>
        </w:rPr>
        <w:t>tz-d-k</w:t>
      </w:r>
      <w:r w:rsidR="00010BA6" w:rsidRPr="009E7B69">
        <w:t xml:space="preserve"> </w:t>
      </w:r>
      <w:r w:rsidR="00010BA6" w:rsidRPr="00AF4B63">
        <w:rPr>
          <w:lang w:val="en-AU"/>
        </w:rPr>
        <w:t>is the word</w:t>
      </w:r>
      <w:r w:rsidR="00EC33DA" w:rsidRPr="00AF4B63">
        <w:rPr>
          <w:lang w:val="en-AU"/>
        </w:rPr>
        <w:t xml:space="preserve"> of</w:t>
      </w:r>
      <w:r w:rsidR="00010BA6" w:rsidRPr="009E7B69">
        <w:t xml:space="preserve"> </w:t>
      </w:r>
      <w:r w:rsidR="00010BA6" w:rsidRPr="009E7B69">
        <w:rPr>
          <w:shd w:val="clear" w:color="auto" w:fill="FFFFFF"/>
          <w:rtl/>
        </w:rPr>
        <w:t>צדקה</w:t>
      </w:r>
      <w:r w:rsidR="00EC33DA" w:rsidRPr="009E7B69">
        <w:t xml:space="preserve">. </w:t>
      </w:r>
      <w:r w:rsidR="00EC33DA" w:rsidRPr="00AF4B63">
        <w:rPr>
          <w:lang w:val="en-AU"/>
        </w:rPr>
        <w:t>Although the use of</w:t>
      </w:r>
      <w:r w:rsidR="00EC33DA" w:rsidRPr="009E7B69">
        <w:t xml:space="preserve"> </w:t>
      </w:r>
      <w:r w:rsidR="00EC33DA" w:rsidRPr="009E7B69">
        <w:rPr>
          <w:shd w:val="clear" w:color="auto" w:fill="FFFFFF"/>
          <w:rtl/>
        </w:rPr>
        <w:t>צדקה</w:t>
      </w:r>
      <w:r w:rsidR="00EC33DA" w:rsidRPr="009E7B69">
        <w:rPr>
          <w:shd w:val="clear" w:color="auto" w:fill="FFFFFF"/>
        </w:rPr>
        <w:t xml:space="preserve"> </w:t>
      </w:r>
      <w:r w:rsidR="00EC33DA" w:rsidRPr="00AF4B63">
        <w:rPr>
          <w:shd w:val="clear" w:color="auto" w:fill="FFFFFF"/>
          <w:lang w:val="en-AU"/>
        </w:rPr>
        <w:t>has different meanings in the interpretation, the most common and accepted use of the word is in the context of charity.</w:t>
      </w:r>
      <w:r w:rsidR="00010BA6" w:rsidRPr="00AF4B63">
        <w:rPr>
          <w:lang w:val="en-AU"/>
        </w:rPr>
        <w:t xml:space="preserve"> The root word </w:t>
      </w:r>
      <w:r w:rsidR="004B0E1B" w:rsidRPr="00AF4B63">
        <w:rPr>
          <w:lang w:val="en-AU"/>
        </w:rPr>
        <w:t>connotes</w:t>
      </w:r>
      <w:r w:rsidR="00010BA6" w:rsidRPr="00AF4B63">
        <w:rPr>
          <w:lang w:val="en-AU"/>
        </w:rPr>
        <w:t xml:space="preserve"> merciful acts of charity. Since</w:t>
      </w:r>
      <w:r w:rsidR="00010BA6" w:rsidRPr="009E7B69">
        <w:t xml:space="preserve"> </w:t>
      </w:r>
      <w:r w:rsidR="00010BA6" w:rsidRPr="009E7B69">
        <w:rPr>
          <w:shd w:val="clear" w:color="auto" w:fill="FFFFFF"/>
          <w:rtl/>
        </w:rPr>
        <w:t>צדקה</w:t>
      </w:r>
      <w:r w:rsidR="00010BA6" w:rsidRPr="009E7B69">
        <w:t> </w:t>
      </w:r>
      <w:r w:rsidR="00010BA6" w:rsidRPr="00AF4B63">
        <w:rPr>
          <w:lang w:val="en-AU"/>
        </w:rPr>
        <w:t>is one of the</w:t>
      </w:r>
      <w:r w:rsidR="00010BA6" w:rsidRPr="009E7B69">
        <w:t xml:space="preserve"> </w:t>
      </w:r>
      <w:r w:rsidR="00010BA6" w:rsidRPr="009E7B69">
        <w:rPr>
          <w:rtl/>
        </w:rPr>
        <w:t>מִצְוָה</w:t>
      </w:r>
      <w:r w:rsidR="00010BA6" w:rsidRPr="009E7B69">
        <w:t xml:space="preserve"> </w:t>
      </w:r>
      <w:r w:rsidR="00010BA6" w:rsidRPr="009E7B69">
        <w:rPr>
          <w:i/>
          <w:iCs/>
        </w:rPr>
        <w:t>mitzvoth</w:t>
      </w:r>
      <w:r w:rsidR="00010BA6" w:rsidRPr="009E7B69">
        <w:t xml:space="preserve">, </w:t>
      </w:r>
      <w:r w:rsidR="00010BA6" w:rsidRPr="00AF4B63">
        <w:rPr>
          <w:lang w:val="en-AU"/>
        </w:rPr>
        <w:t>or commandments, it is an act of justice. The Jewish ethical and political thought at Jesus</w:t>
      </w:r>
      <w:r w:rsidR="005C71CB" w:rsidRPr="00AF4B63">
        <w:rPr>
          <w:lang w:val="en-AU"/>
        </w:rPr>
        <w:t>’</w:t>
      </w:r>
      <w:r w:rsidR="006D41DD">
        <w:rPr>
          <w:lang w:val="en-AU"/>
        </w:rPr>
        <w:t>s</w:t>
      </w:r>
      <w:r w:rsidR="00010BA6" w:rsidRPr="00AF4B63">
        <w:rPr>
          <w:lang w:val="en-AU"/>
        </w:rPr>
        <w:t xml:space="preserve"> time that is connected to </w:t>
      </w:r>
      <w:r w:rsidR="00010BA6" w:rsidRPr="00AF4B63">
        <w:rPr>
          <w:i/>
          <w:iCs/>
          <w:lang w:val="en-AU"/>
        </w:rPr>
        <w:t>Mishna Avot</w:t>
      </w:r>
      <w:r w:rsidR="004B0E1B" w:rsidRPr="00AF4B63">
        <w:rPr>
          <w:lang w:val="en-AU"/>
        </w:rPr>
        <w:t xml:space="preserve"> </w:t>
      </w:r>
      <w:r w:rsidR="00010BA6" w:rsidRPr="00AF4B63">
        <w:rPr>
          <w:lang w:val="en-AU"/>
        </w:rPr>
        <w:t>defines justice as charity.</w:t>
      </w:r>
    </w:p>
    <w:p w14:paraId="0E7B3C62" w14:textId="334102F0" w:rsidR="00010BA6" w:rsidRPr="009E7B69" w:rsidRDefault="006843DF" w:rsidP="00D37F31">
      <w:pPr>
        <w:pStyle w:val="Heading2"/>
      </w:pPr>
      <w:bookmarkStart w:id="142" w:name="_Toc94537022"/>
      <w:bookmarkStart w:id="143" w:name="_Toc118063670"/>
      <w:r w:rsidRPr="00AF4B63">
        <w:t>7</w:t>
      </w:r>
      <w:r w:rsidR="00010BA6" w:rsidRPr="00AF4B63">
        <w:t>.1</w:t>
      </w:r>
      <w:r w:rsidR="00010BA6" w:rsidRPr="009E7B69">
        <w:t xml:space="preserve"> </w:t>
      </w:r>
      <w:proofErr w:type="gramStart"/>
      <w:r w:rsidR="00010BA6" w:rsidRPr="009E7B69">
        <w:rPr>
          <w:shd w:val="clear" w:color="auto" w:fill="FFFFFF"/>
          <w:rtl/>
        </w:rPr>
        <w:t xml:space="preserve">צדקה </w:t>
      </w:r>
      <w:r w:rsidR="00010BA6" w:rsidRPr="009E7B69">
        <w:rPr>
          <w:i/>
          <w:iCs/>
        </w:rPr>
        <w:t xml:space="preserve"> </w:t>
      </w:r>
      <w:r w:rsidR="004F2708" w:rsidRPr="009E7B69">
        <w:t>(</w:t>
      </w:r>
      <w:proofErr w:type="gramEnd"/>
      <w:r w:rsidR="004F2708" w:rsidRPr="009E7B69">
        <w:rPr>
          <w:i/>
          <w:iCs/>
        </w:rPr>
        <w:t>tzedek</w:t>
      </w:r>
      <w:r w:rsidR="004F2708" w:rsidRPr="009E7B69">
        <w:t>)</w:t>
      </w:r>
      <w:bookmarkEnd w:id="142"/>
      <w:bookmarkEnd w:id="143"/>
    </w:p>
    <w:p w14:paraId="25D0C0C3" w14:textId="7A177D87" w:rsidR="00010BA6" w:rsidRPr="009E7B69" w:rsidRDefault="00F00DAB" w:rsidP="00F34727">
      <w:pPr>
        <w:spacing w:line="480" w:lineRule="auto"/>
        <w:ind w:firstLine="720"/>
      </w:pPr>
      <w:r w:rsidRPr="009E7B69">
        <w:rPr>
          <w:rtl/>
        </w:rPr>
        <w:t>צדקה</w:t>
      </w:r>
      <w:r w:rsidRPr="009E7B69">
        <w:t xml:space="preserve"> </w:t>
      </w:r>
      <w:r w:rsidR="00564E93" w:rsidRPr="00AF4B63">
        <w:rPr>
          <w:lang w:val="en-AU"/>
        </w:rPr>
        <w:t>is the charity that is mandated in the Bible</w:t>
      </w:r>
      <w:r w:rsidR="00AF4B63">
        <w:t>.</w:t>
      </w:r>
      <w:r w:rsidR="0044529B" w:rsidRPr="009E7B69">
        <w:rPr>
          <w:rStyle w:val="FootnoteReference"/>
        </w:rPr>
        <w:footnoteReference w:id="420"/>
      </w:r>
      <w:r w:rsidR="00564E93" w:rsidRPr="009E7B69">
        <w:t xml:space="preserve"> </w:t>
      </w:r>
      <w:r w:rsidR="00010BA6" w:rsidRPr="00AF4B63">
        <w:rPr>
          <w:lang w:val="en-AU"/>
        </w:rPr>
        <w:t xml:space="preserve">The Hebrew </w:t>
      </w:r>
      <w:r w:rsidR="00641C66" w:rsidRPr="00AF4B63">
        <w:rPr>
          <w:lang w:val="en-AU"/>
        </w:rPr>
        <w:t>word</w:t>
      </w:r>
      <w:r w:rsidR="00641C66" w:rsidRPr="009E7B69">
        <w:t xml:space="preserve"> </w:t>
      </w:r>
      <w:r w:rsidR="00641C66" w:rsidRPr="009E7B69">
        <w:rPr>
          <w:shd w:val="clear" w:color="auto" w:fill="FFFFFF"/>
          <w:rtl/>
        </w:rPr>
        <w:t>צדקה</w:t>
      </w:r>
      <w:r w:rsidR="00010BA6" w:rsidRPr="009E7B69">
        <w:rPr>
          <w:iCs/>
        </w:rPr>
        <w:t xml:space="preserve"> </w:t>
      </w:r>
      <w:r w:rsidR="00010BA6" w:rsidRPr="00AF4B63">
        <w:rPr>
          <w:iCs/>
          <w:lang w:val="en-AU"/>
        </w:rPr>
        <w:t xml:space="preserve">literally translates with a meaning focusing on justice or righteousness but is commonly applied to </w:t>
      </w:r>
      <w:r w:rsidR="00010BA6" w:rsidRPr="00AF4B63">
        <w:rPr>
          <w:iCs/>
          <w:lang w:val="en-AU"/>
        </w:rPr>
        <w:lastRenderedPageBreak/>
        <w:t>signify the charity which a person has towards another.</w:t>
      </w:r>
      <w:r w:rsidR="002B0AEB" w:rsidRPr="00AF4B63">
        <w:rPr>
          <w:iCs/>
          <w:lang w:val="en-AU"/>
        </w:rPr>
        <w:t xml:space="preserve"> Nelson suggests that</w:t>
      </w:r>
      <w:r w:rsidR="002B0AEB" w:rsidRPr="009E7B69">
        <w:rPr>
          <w:iCs/>
        </w:rPr>
        <w:t xml:space="preserve"> </w:t>
      </w:r>
      <w:r w:rsidR="002B0AEB" w:rsidRPr="009E7B69">
        <w:rPr>
          <w:shd w:val="clear" w:color="auto" w:fill="FFFFFF"/>
          <w:rtl/>
        </w:rPr>
        <w:t>צדקה</w:t>
      </w:r>
      <w:r w:rsidR="002B0AEB" w:rsidRPr="009E7B69">
        <w:rPr>
          <w:iCs/>
        </w:rPr>
        <w:t xml:space="preserve"> </w:t>
      </w:r>
      <w:r w:rsidR="002B0AEB" w:rsidRPr="00AF4B63">
        <w:rPr>
          <w:iCs/>
          <w:lang w:val="en-AU"/>
        </w:rPr>
        <w:t xml:space="preserve">means a person is </w:t>
      </w:r>
      <w:r w:rsidR="005C71CB" w:rsidRPr="00AF4B63">
        <w:rPr>
          <w:iCs/>
          <w:lang w:val="en-AU"/>
        </w:rPr>
        <w:t>‘</w:t>
      </w:r>
      <w:r w:rsidR="002B0AEB" w:rsidRPr="00AF4B63">
        <w:rPr>
          <w:iCs/>
          <w:lang w:val="en-AU"/>
        </w:rPr>
        <w:t>in the right.</w:t>
      </w:r>
      <w:r w:rsidR="00863B47" w:rsidRPr="00AF4B63">
        <w:rPr>
          <w:iCs/>
          <w:lang w:val="en-AU"/>
        </w:rPr>
        <w:t>”</w:t>
      </w:r>
      <w:r w:rsidR="002B0AEB" w:rsidRPr="00AF4B63">
        <w:rPr>
          <w:rStyle w:val="FootnoteReference"/>
          <w:iCs/>
          <w:lang w:val="en-AU"/>
        </w:rPr>
        <w:footnoteReference w:id="421"/>
      </w:r>
      <w:r w:rsidR="00010BA6" w:rsidRPr="00AF4B63">
        <w:rPr>
          <w:iCs/>
          <w:lang w:val="en-AU"/>
        </w:rPr>
        <w:t xml:space="preserve"> </w:t>
      </w:r>
      <w:r w:rsidR="00F34727" w:rsidRPr="00AF4B63">
        <w:rPr>
          <w:iCs/>
          <w:lang w:val="en-AU"/>
        </w:rPr>
        <w:t>Pitkänen</w:t>
      </w:r>
      <w:r w:rsidR="00F34727" w:rsidRPr="00AF4B63" w:rsidDel="00F34727">
        <w:rPr>
          <w:iCs/>
          <w:lang w:val="en-AU"/>
        </w:rPr>
        <w:t xml:space="preserve"> </w:t>
      </w:r>
      <w:r w:rsidR="00BA7D63" w:rsidRPr="00AF4B63">
        <w:rPr>
          <w:iCs/>
          <w:lang w:val="en-AU"/>
        </w:rPr>
        <w:t xml:space="preserve">suggests that </w:t>
      </w:r>
      <w:r w:rsidR="0085698A" w:rsidRPr="00AF4B63">
        <w:rPr>
          <w:iCs/>
          <w:lang w:val="en-AU"/>
        </w:rPr>
        <w:t xml:space="preserve">the </w:t>
      </w:r>
      <w:r w:rsidR="0085698A" w:rsidRPr="00AF4B63">
        <w:rPr>
          <w:shd w:val="clear" w:color="auto" w:fill="FFFFFF"/>
          <w:lang w:val="en-AU"/>
        </w:rPr>
        <w:t>meaning of</w:t>
      </w:r>
      <w:r w:rsidR="0085698A" w:rsidRPr="009E7B69">
        <w:rPr>
          <w:shd w:val="clear" w:color="auto" w:fill="FFFFFF"/>
        </w:rPr>
        <w:t xml:space="preserve">  </w:t>
      </w:r>
      <w:r w:rsidR="0085698A" w:rsidRPr="009E7B69">
        <w:rPr>
          <w:shd w:val="clear" w:color="auto" w:fill="FFFFFF"/>
          <w:rtl/>
        </w:rPr>
        <w:t xml:space="preserve"> </w:t>
      </w:r>
      <w:r w:rsidR="00BA7D63" w:rsidRPr="009E7B69">
        <w:rPr>
          <w:shd w:val="clear" w:color="auto" w:fill="FFFFFF"/>
          <w:rtl/>
        </w:rPr>
        <w:t>צדקה</w:t>
      </w:r>
      <w:r w:rsidR="0085698A" w:rsidRPr="00AF4B63">
        <w:rPr>
          <w:shd w:val="clear" w:color="auto" w:fill="FFFFFF"/>
          <w:lang w:val="en-AU"/>
        </w:rPr>
        <w:t xml:space="preserve">is better </w:t>
      </w:r>
      <w:r w:rsidR="00BA7D63" w:rsidRPr="00AF4B63">
        <w:rPr>
          <w:shd w:val="clear" w:color="auto" w:fill="FFFFFF"/>
          <w:lang w:val="en-AU"/>
        </w:rPr>
        <w:t>render</w:t>
      </w:r>
      <w:r w:rsidR="0085698A" w:rsidRPr="00AF4B63">
        <w:rPr>
          <w:shd w:val="clear" w:color="auto" w:fill="FFFFFF"/>
          <w:lang w:val="en-AU"/>
        </w:rPr>
        <w:t>ed</w:t>
      </w:r>
      <w:r w:rsidR="00BA7D63" w:rsidRPr="00AF4B63">
        <w:rPr>
          <w:shd w:val="clear" w:color="auto" w:fill="FFFFFF"/>
          <w:lang w:val="en-AU"/>
        </w:rPr>
        <w:t xml:space="preserve"> as </w:t>
      </w:r>
      <w:r w:rsidR="005C71CB" w:rsidRPr="00AF4B63">
        <w:rPr>
          <w:shd w:val="clear" w:color="auto" w:fill="FFFFFF"/>
          <w:lang w:val="en-AU"/>
        </w:rPr>
        <w:t>‘</w:t>
      </w:r>
      <w:r w:rsidR="00BA7D63" w:rsidRPr="00AF4B63">
        <w:rPr>
          <w:shd w:val="clear" w:color="auto" w:fill="FFFFFF"/>
          <w:lang w:val="en-AU"/>
        </w:rPr>
        <w:t>fidelity</w:t>
      </w:r>
      <w:r w:rsidR="005C71CB" w:rsidRPr="00AF4B63">
        <w:rPr>
          <w:shd w:val="clear" w:color="auto" w:fill="FFFFFF"/>
          <w:lang w:val="en-AU"/>
        </w:rPr>
        <w:t>’</w:t>
      </w:r>
      <w:r w:rsidR="00BA7D63" w:rsidRPr="00AF4B63">
        <w:rPr>
          <w:shd w:val="clear" w:color="auto" w:fill="FFFFFF"/>
          <w:lang w:val="en-AU"/>
        </w:rPr>
        <w:t xml:space="preserve"> or </w:t>
      </w:r>
      <w:r w:rsidR="005C71CB" w:rsidRPr="00AF4B63">
        <w:rPr>
          <w:shd w:val="clear" w:color="auto" w:fill="FFFFFF"/>
          <w:lang w:val="en-AU"/>
        </w:rPr>
        <w:t>‘</w:t>
      </w:r>
      <w:r w:rsidR="00BA7D63" w:rsidRPr="00AF4B63">
        <w:rPr>
          <w:shd w:val="clear" w:color="auto" w:fill="FFFFFF"/>
          <w:lang w:val="en-AU"/>
        </w:rPr>
        <w:t>community solidarity.</w:t>
      </w:r>
      <w:r w:rsidR="005C71CB" w:rsidRPr="00AF4B63">
        <w:rPr>
          <w:shd w:val="clear" w:color="auto" w:fill="FFFFFF"/>
          <w:lang w:val="en-AU"/>
        </w:rPr>
        <w:t>’</w:t>
      </w:r>
      <w:r w:rsidR="00BA7D63" w:rsidRPr="00AF4B63">
        <w:rPr>
          <w:rStyle w:val="FootnoteReference"/>
          <w:shd w:val="clear" w:color="auto" w:fill="FFFFFF"/>
          <w:lang w:val="en-AU"/>
        </w:rPr>
        <w:footnoteReference w:id="422"/>
      </w:r>
      <w:r w:rsidR="00BA7D63" w:rsidRPr="00AF4B63">
        <w:rPr>
          <w:shd w:val="clear" w:color="auto" w:fill="FFFFFF"/>
          <w:lang w:val="en-AU"/>
        </w:rPr>
        <w:t xml:space="preserve"> </w:t>
      </w:r>
      <w:r w:rsidR="002B0AEB" w:rsidRPr="00AF4B63">
        <w:rPr>
          <w:iCs/>
          <w:lang w:val="en-AU"/>
        </w:rPr>
        <w:t xml:space="preserve"> </w:t>
      </w:r>
      <w:r w:rsidR="00010BA6" w:rsidRPr="00AF4B63">
        <w:rPr>
          <w:iCs/>
          <w:lang w:val="en-AU"/>
        </w:rPr>
        <w:t xml:space="preserve">In </w:t>
      </w:r>
      <w:r w:rsidR="0085698A" w:rsidRPr="00AF4B63">
        <w:rPr>
          <w:iCs/>
          <w:lang w:val="en-AU"/>
        </w:rPr>
        <w:t xml:space="preserve">modern </w:t>
      </w:r>
      <w:r w:rsidR="00010BA6" w:rsidRPr="00AF4B63">
        <w:rPr>
          <w:iCs/>
          <w:lang w:val="en-AU"/>
        </w:rPr>
        <w:t>Jewish practice</w:t>
      </w:r>
      <w:r w:rsidR="00010BA6" w:rsidRPr="009E7B69">
        <w:rPr>
          <w:iCs/>
        </w:rPr>
        <w:t xml:space="preserve">, </w:t>
      </w:r>
      <w:proofErr w:type="gramStart"/>
      <w:r w:rsidR="00010BA6" w:rsidRPr="009E7B69">
        <w:rPr>
          <w:shd w:val="clear" w:color="auto" w:fill="FFFFFF"/>
          <w:rtl/>
        </w:rPr>
        <w:t xml:space="preserve">צדקה </w:t>
      </w:r>
      <w:r w:rsidR="00641C66" w:rsidRPr="009E7B69">
        <w:rPr>
          <w:shd w:val="clear" w:color="auto" w:fill="FFFFFF"/>
        </w:rPr>
        <w:t xml:space="preserve"> </w:t>
      </w:r>
      <w:r w:rsidR="0085698A" w:rsidRPr="00AF4B63">
        <w:rPr>
          <w:iCs/>
          <w:lang w:val="en-AU"/>
        </w:rPr>
        <w:t>means</w:t>
      </w:r>
      <w:proofErr w:type="gramEnd"/>
      <w:r w:rsidR="00010BA6" w:rsidRPr="00AF4B63">
        <w:rPr>
          <w:iCs/>
          <w:lang w:val="en-AU"/>
        </w:rPr>
        <w:t xml:space="preserve"> action attributed </w:t>
      </w:r>
      <w:r w:rsidR="002A7302" w:rsidRPr="00AF4B63">
        <w:rPr>
          <w:iCs/>
          <w:lang w:val="en-AU"/>
        </w:rPr>
        <w:t>for</w:t>
      </w:r>
      <w:r w:rsidR="00010BA6" w:rsidRPr="00AF4B63">
        <w:rPr>
          <w:iCs/>
          <w:lang w:val="en-AU"/>
        </w:rPr>
        <w:t xml:space="preserve"> giving charity to others</w:t>
      </w:r>
      <w:r w:rsidR="00010BA6" w:rsidRPr="009E7B69">
        <w:rPr>
          <w:iCs/>
        </w:rPr>
        <w:t>.</w:t>
      </w:r>
      <w:r w:rsidR="00641C66" w:rsidRPr="009E7B69">
        <w:rPr>
          <w:iCs/>
        </w:rPr>
        <w:t xml:space="preserve"> </w:t>
      </w:r>
      <w:r w:rsidR="00010BA6" w:rsidRPr="009E7B69">
        <w:rPr>
          <w:iCs/>
        </w:rPr>
        <w:t xml:space="preserve"> </w:t>
      </w:r>
      <w:r w:rsidR="00010BA6" w:rsidRPr="009E7B69">
        <w:rPr>
          <w:shd w:val="clear" w:color="auto" w:fill="FFFFFF"/>
          <w:rtl/>
        </w:rPr>
        <w:t>צדקה</w:t>
      </w:r>
      <w:r w:rsidR="00010BA6" w:rsidRPr="009E7B69">
        <w:rPr>
          <w:i/>
        </w:rPr>
        <w:t xml:space="preserve"> </w:t>
      </w:r>
      <w:r w:rsidR="00010BA6" w:rsidRPr="00AF4B63">
        <w:rPr>
          <w:lang w:val="en-AU"/>
        </w:rPr>
        <w:t xml:space="preserve">translates as </w:t>
      </w:r>
      <w:r w:rsidR="00564E93" w:rsidRPr="00AF4B63">
        <w:rPr>
          <w:lang w:val="en-AU"/>
        </w:rPr>
        <w:t>a person</w:t>
      </w:r>
      <w:r w:rsidR="005C71CB" w:rsidRPr="00AF4B63">
        <w:rPr>
          <w:lang w:val="en-AU"/>
        </w:rPr>
        <w:t>’</w:t>
      </w:r>
      <w:r w:rsidR="00564E93" w:rsidRPr="00AF4B63">
        <w:rPr>
          <w:lang w:val="en-AU"/>
        </w:rPr>
        <w:t>s righteousness or godliness.</w:t>
      </w:r>
      <w:r w:rsidR="006E29E0" w:rsidRPr="00AF4B63">
        <w:rPr>
          <w:lang w:val="en-AU"/>
        </w:rPr>
        <w:t xml:space="preserve"> The righteousness of a person is witnessed in their actions; </w:t>
      </w:r>
      <w:r w:rsidR="00B74C9F" w:rsidRPr="00AF4B63">
        <w:rPr>
          <w:lang w:val="en-AU"/>
        </w:rPr>
        <w:t>thus,</w:t>
      </w:r>
      <w:r w:rsidR="00F00FFA" w:rsidRPr="00AF4B63">
        <w:rPr>
          <w:lang w:val="en-AU"/>
        </w:rPr>
        <w:t xml:space="preserve"> </w:t>
      </w:r>
      <w:r w:rsidR="008E0268" w:rsidRPr="00AF4B63">
        <w:rPr>
          <w:lang w:val="en-AU"/>
        </w:rPr>
        <w:t xml:space="preserve">Jill Jacobs </w:t>
      </w:r>
      <w:r w:rsidR="006E29E0" w:rsidRPr="00AF4B63">
        <w:rPr>
          <w:lang w:val="en-AU"/>
        </w:rPr>
        <w:t>contends t</w:t>
      </w:r>
      <w:r w:rsidR="008E0268" w:rsidRPr="00AF4B63">
        <w:rPr>
          <w:lang w:val="en-AU"/>
        </w:rPr>
        <w:t>hat</w:t>
      </w:r>
      <w:r w:rsidR="008E0268" w:rsidRPr="009E7B69">
        <w:t xml:space="preserve"> </w:t>
      </w:r>
      <w:r w:rsidR="00010BA6" w:rsidRPr="009E7B69">
        <w:rPr>
          <w:shd w:val="clear" w:color="auto" w:fill="FFFFFF"/>
          <w:rtl/>
        </w:rPr>
        <w:t>צדקה</w:t>
      </w:r>
      <w:r w:rsidR="00010BA6" w:rsidRPr="009E7B69">
        <w:t xml:space="preserve"> </w:t>
      </w:r>
      <w:r w:rsidR="006E29E0" w:rsidRPr="00AF4B63">
        <w:rPr>
          <w:lang w:val="en-AU"/>
        </w:rPr>
        <w:t>existed to support those within a community that need help or support such as food.</w:t>
      </w:r>
      <w:r w:rsidR="00010BA6" w:rsidRPr="00AF4B63">
        <w:rPr>
          <w:rStyle w:val="FootnoteReference"/>
          <w:lang w:val="en-AU"/>
        </w:rPr>
        <w:footnoteReference w:id="423"/>
      </w:r>
      <w:r w:rsidR="00010BA6" w:rsidRPr="00AF4B63">
        <w:rPr>
          <w:lang w:val="en-AU"/>
        </w:rPr>
        <w:t xml:space="preserve"> </w:t>
      </w:r>
      <w:r w:rsidR="008E0268" w:rsidRPr="00AF4B63">
        <w:rPr>
          <w:lang w:val="en-AU"/>
        </w:rPr>
        <w:t>Steven Silbiger suggests that</w:t>
      </w:r>
      <w:r w:rsidR="008E0268" w:rsidRPr="009E7B69">
        <w:t xml:space="preserve"> </w:t>
      </w:r>
      <w:r w:rsidR="008E0268" w:rsidRPr="009E7B69">
        <w:rPr>
          <w:shd w:val="clear" w:color="auto" w:fill="FFFFFF"/>
          <w:rtl/>
        </w:rPr>
        <w:t>צדקה</w:t>
      </w:r>
      <w:r w:rsidR="008E0268" w:rsidRPr="009E7B69">
        <w:t xml:space="preserve"> </w:t>
      </w:r>
      <w:r w:rsidR="008E0268" w:rsidRPr="00675CC2">
        <w:rPr>
          <w:lang w:val="en-AU"/>
        </w:rPr>
        <w:t xml:space="preserve">implies how </w:t>
      </w:r>
      <w:r w:rsidR="00964D64" w:rsidRPr="00675CC2">
        <w:rPr>
          <w:lang w:val="en-AU"/>
        </w:rPr>
        <w:t xml:space="preserve">our </w:t>
      </w:r>
      <w:r w:rsidR="008E0268" w:rsidRPr="00675CC2">
        <w:rPr>
          <w:lang w:val="en-AU"/>
        </w:rPr>
        <w:t xml:space="preserve">actions towards those around us </w:t>
      </w:r>
      <w:r w:rsidR="00964D64" w:rsidRPr="00675CC2">
        <w:rPr>
          <w:lang w:val="en-AU"/>
        </w:rPr>
        <w:t>should be</w:t>
      </w:r>
      <w:r w:rsidR="0007581A" w:rsidRPr="00675CC2">
        <w:rPr>
          <w:lang w:val="en-AU"/>
        </w:rPr>
        <w:t xml:space="preserve">: </w:t>
      </w:r>
      <w:r w:rsidR="00863B47" w:rsidRPr="00675CC2">
        <w:rPr>
          <w:lang w:val="en-AU"/>
        </w:rPr>
        <w:t>“</w:t>
      </w:r>
      <w:r w:rsidR="00010BA6" w:rsidRPr="00675CC2">
        <w:rPr>
          <w:lang w:val="en-AU"/>
        </w:rPr>
        <w:t>the word for charity in Hebrew is</w:t>
      </w:r>
      <w:r w:rsidR="00010BA6" w:rsidRPr="009E7B69">
        <w:t xml:space="preserve"> </w:t>
      </w:r>
      <w:r w:rsidR="00010BA6" w:rsidRPr="009E7B69">
        <w:rPr>
          <w:shd w:val="clear" w:color="auto" w:fill="FFFFFF"/>
          <w:rtl/>
        </w:rPr>
        <w:t>צדקה</w:t>
      </w:r>
      <w:r w:rsidR="00010BA6" w:rsidRPr="009E7B69">
        <w:t xml:space="preserve">, </w:t>
      </w:r>
      <w:r w:rsidR="00010BA6" w:rsidRPr="00675CC2">
        <w:rPr>
          <w:lang w:val="en-AU"/>
        </w:rPr>
        <w:t>from the root word</w:t>
      </w:r>
      <w:r w:rsidR="00010BA6" w:rsidRPr="009E7B69">
        <w:t xml:space="preserve"> t</w:t>
      </w:r>
      <w:r w:rsidR="00010BA6" w:rsidRPr="009E7B69">
        <w:rPr>
          <w:i/>
        </w:rPr>
        <w:t>zedek</w:t>
      </w:r>
      <w:r w:rsidR="00010BA6" w:rsidRPr="009E7B69">
        <w:t xml:space="preserve"> </w:t>
      </w:r>
      <w:r w:rsidR="00010BA6" w:rsidRPr="00675CC2">
        <w:rPr>
          <w:lang w:val="en-AU"/>
        </w:rPr>
        <w:t xml:space="preserve">meaning </w:t>
      </w:r>
      <w:r w:rsidR="005C71CB" w:rsidRPr="00675CC2">
        <w:rPr>
          <w:lang w:val="en-AU"/>
        </w:rPr>
        <w:t>‘</w:t>
      </w:r>
      <w:r w:rsidR="00010BA6" w:rsidRPr="00675CC2">
        <w:rPr>
          <w:lang w:val="en-AU"/>
        </w:rPr>
        <w:t>justice</w:t>
      </w:r>
      <w:r w:rsidR="005C71CB" w:rsidRPr="00675CC2">
        <w:rPr>
          <w:lang w:val="en-AU"/>
        </w:rPr>
        <w:t>’</w:t>
      </w:r>
      <w:r w:rsidR="00010BA6" w:rsidRPr="00675CC2">
        <w:rPr>
          <w:lang w:val="en-AU"/>
        </w:rPr>
        <w:t xml:space="preserve"> or </w:t>
      </w:r>
      <w:r w:rsidR="005C71CB" w:rsidRPr="00675CC2">
        <w:rPr>
          <w:lang w:val="en-AU"/>
        </w:rPr>
        <w:t>‘</w:t>
      </w:r>
      <w:r w:rsidR="00010BA6" w:rsidRPr="00675CC2">
        <w:rPr>
          <w:lang w:val="en-AU"/>
        </w:rPr>
        <w:t>righteousness.</w:t>
      </w:r>
      <w:r w:rsidR="005C71CB" w:rsidRPr="00675CC2">
        <w:rPr>
          <w:lang w:val="en-AU"/>
        </w:rPr>
        <w:t>’</w:t>
      </w:r>
      <w:r w:rsidR="00010BA6" w:rsidRPr="00675CC2">
        <w:rPr>
          <w:lang w:val="en-AU"/>
        </w:rPr>
        <w:t xml:space="preserve"> This definition as understood in the Hebrew connotation implies that the act of giving is </w:t>
      </w:r>
      <w:r w:rsidR="005C71CB" w:rsidRPr="00675CC2">
        <w:rPr>
          <w:lang w:val="en-AU"/>
        </w:rPr>
        <w:t>‘</w:t>
      </w:r>
      <w:r w:rsidR="00010BA6" w:rsidRPr="00675CC2">
        <w:rPr>
          <w:lang w:val="en-AU"/>
        </w:rPr>
        <w:t>justice</w:t>
      </w:r>
      <w:r w:rsidR="005C71CB" w:rsidRPr="00675CC2">
        <w:rPr>
          <w:lang w:val="en-AU"/>
        </w:rPr>
        <w:t>’</w:t>
      </w:r>
      <w:r w:rsidR="00010BA6" w:rsidRPr="00675CC2">
        <w:rPr>
          <w:lang w:val="en-AU"/>
        </w:rPr>
        <w:t xml:space="preserve"> and </w:t>
      </w:r>
      <w:r w:rsidR="005C71CB" w:rsidRPr="00675CC2">
        <w:rPr>
          <w:lang w:val="en-AU"/>
        </w:rPr>
        <w:t>‘</w:t>
      </w:r>
      <w:r w:rsidR="00010BA6" w:rsidRPr="00675CC2">
        <w:rPr>
          <w:lang w:val="en-AU"/>
        </w:rPr>
        <w:t>righteousness</w:t>
      </w:r>
      <w:r w:rsidR="005C71CB" w:rsidRPr="00675CC2">
        <w:rPr>
          <w:lang w:val="en-AU"/>
        </w:rPr>
        <w:t>’</w:t>
      </w:r>
      <w:r w:rsidR="00010BA6" w:rsidRPr="00675CC2">
        <w:rPr>
          <w:lang w:val="en-AU"/>
        </w:rPr>
        <w:t xml:space="preserve"> which are desired obligations in obeying [God].</w:t>
      </w:r>
      <w:r w:rsidR="00863B47" w:rsidRPr="00675CC2">
        <w:rPr>
          <w:lang w:val="en-AU"/>
        </w:rPr>
        <w:t>”</w:t>
      </w:r>
      <w:r w:rsidR="00010BA6" w:rsidRPr="00675CC2">
        <w:rPr>
          <w:rStyle w:val="FootnoteReference"/>
          <w:lang w:val="en-AU"/>
        </w:rPr>
        <w:footnoteReference w:id="424"/>
      </w:r>
      <w:r w:rsidR="00010BA6" w:rsidRPr="00675CC2">
        <w:rPr>
          <w:lang w:val="en-AU"/>
        </w:rPr>
        <w:t xml:space="preserve"> </w:t>
      </w:r>
      <w:r w:rsidR="00267242" w:rsidRPr="00675CC2">
        <w:rPr>
          <w:lang w:val="en-AU"/>
        </w:rPr>
        <w:t>T</w:t>
      </w:r>
      <w:r w:rsidR="004E5C47" w:rsidRPr="00675CC2">
        <w:rPr>
          <w:lang w:val="en-AU"/>
        </w:rPr>
        <w:t>he translation of</w:t>
      </w:r>
      <w:r w:rsidR="004E5C47" w:rsidRPr="009E7B69">
        <w:t xml:space="preserve"> </w:t>
      </w:r>
      <w:r w:rsidR="004E5C47" w:rsidRPr="009E7B69">
        <w:rPr>
          <w:shd w:val="clear" w:color="auto" w:fill="FFFFFF"/>
          <w:rtl/>
        </w:rPr>
        <w:t>צדקה</w:t>
      </w:r>
      <w:r w:rsidR="004E5C47" w:rsidRPr="009E7B69">
        <w:t xml:space="preserve"> </w:t>
      </w:r>
      <w:r w:rsidR="004E5C47" w:rsidRPr="00675CC2">
        <w:rPr>
          <w:lang w:val="en-AU"/>
        </w:rPr>
        <w:t xml:space="preserve">into </w:t>
      </w:r>
      <w:r w:rsidR="00267242" w:rsidRPr="00675CC2">
        <w:rPr>
          <w:lang w:val="en-AU"/>
        </w:rPr>
        <w:t xml:space="preserve">languages </w:t>
      </w:r>
      <w:r w:rsidR="004E5C47" w:rsidRPr="00675CC2">
        <w:rPr>
          <w:lang w:val="en-AU"/>
        </w:rPr>
        <w:t xml:space="preserve">such as </w:t>
      </w:r>
      <w:r w:rsidR="00010BA6" w:rsidRPr="00675CC2">
        <w:rPr>
          <w:lang w:val="en-AU"/>
        </w:rPr>
        <w:t>Greek and Latin has caused differences in the word</w:t>
      </w:r>
      <w:r w:rsidR="005C71CB" w:rsidRPr="00675CC2">
        <w:rPr>
          <w:lang w:val="en-AU"/>
        </w:rPr>
        <w:t>’</w:t>
      </w:r>
      <w:r w:rsidR="00010BA6" w:rsidRPr="00675CC2">
        <w:rPr>
          <w:lang w:val="en-AU"/>
        </w:rPr>
        <w:t>s application</w:t>
      </w:r>
      <w:r w:rsidR="00046413" w:rsidRPr="00675CC2">
        <w:rPr>
          <w:lang w:val="en-AU"/>
        </w:rPr>
        <w:t xml:space="preserve">. This has flowed on into </w:t>
      </w:r>
      <w:r w:rsidR="000746F3" w:rsidRPr="00675CC2">
        <w:rPr>
          <w:lang w:val="en-AU"/>
        </w:rPr>
        <w:t xml:space="preserve">translations in </w:t>
      </w:r>
      <w:r w:rsidR="00046413" w:rsidRPr="00675CC2">
        <w:rPr>
          <w:lang w:val="en-AU"/>
        </w:rPr>
        <w:t>other languages such as English.</w:t>
      </w:r>
      <w:r w:rsidR="00010BA6" w:rsidRPr="00675CC2">
        <w:rPr>
          <w:lang w:val="en-AU"/>
        </w:rPr>
        <w:t xml:space="preserve"> The LXX (Septuagint) translation render</w:t>
      </w:r>
      <w:r w:rsidR="000746F3" w:rsidRPr="00675CC2">
        <w:rPr>
          <w:lang w:val="en-AU"/>
        </w:rPr>
        <w:t>s</w:t>
      </w:r>
      <w:r w:rsidR="00010BA6" w:rsidRPr="009E7B69">
        <w:rPr>
          <w:iCs/>
        </w:rPr>
        <w:t xml:space="preserve"> </w:t>
      </w:r>
      <w:r w:rsidR="00010BA6" w:rsidRPr="009E7B69">
        <w:rPr>
          <w:shd w:val="clear" w:color="auto" w:fill="FFFFFF"/>
          <w:rtl/>
        </w:rPr>
        <w:t>צדקה</w:t>
      </w:r>
      <w:r w:rsidR="00010BA6" w:rsidRPr="009E7B69">
        <w:rPr>
          <w:iCs/>
        </w:rPr>
        <w:t xml:space="preserve"> </w:t>
      </w:r>
      <w:r w:rsidR="00010BA6" w:rsidRPr="00675CC2">
        <w:rPr>
          <w:lang w:val="en-AU"/>
        </w:rPr>
        <w:t>as ἀγάπη</w:t>
      </w:r>
      <w:r w:rsidR="00010BA6" w:rsidRPr="00675CC2">
        <w:rPr>
          <w:i/>
          <w:lang w:val="en-AU"/>
        </w:rPr>
        <w:t xml:space="preserve">, </w:t>
      </w:r>
      <w:r w:rsidR="00E46A2A" w:rsidRPr="00675CC2">
        <w:rPr>
          <w:lang w:val="en-AU"/>
        </w:rPr>
        <w:t>with agape focusing on love, goodwill, or morality of benevolenc</w:t>
      </w:r>
      <w:r w:rsidR="00CC4298">
        <w:rPr>
          <w:lang w:val="en-AU"/>
        </w:rPr>
        <w:t>e</w:t>
      </w:r>
      <w:r w:rsidR="00010BA6" w:rsidRPr="00675CC2">
        <w:rPr>
          <w:lang w:val="en-AU"/>
        </w:rPr>
        <w:t>.</w:t>
      </w:r>
      <w:r w:rsidR="00010BA6" w:rsidRPr="00675CC2">
        <w:rPr>
          <w:rStyle w:val="FootnoteReference"/>
          <w:lang w:val="en-AU"/>
        </w:rPr>
        <w:footnoteReference w:id="425"/>
      </w:r>
      <w:r w:rsidR="00010BA6" w:rsidRPr="00675CC2">
        <w:rPr>
          <w:lang w:val="en-AU"/>
        </w:rPr>
        <w:t xml:space="preserve"> </w:t>
      </w:r>
      <w:r w:rsidR="00CC4298">
        <w:rPr>
          <w:lang w:val="en-AU"/>
        </w:rPr>
        <w:t>It does not use</w:t>
      </w:r>
      <w:r w:rsidR="00010BA6" w:rsidRPr="009E7B69">
        <w:t xml:space="preserve"> </w:t>
      </w:r>
      <w:r w:rsidR="00010BA6" w:rsidRPr="009E7B69">
        <w:rPr>
          <w:shd w:val="clear" w:color="auto" w:fill="FFFFFF"/>
          <w:rtl/>
        </w:rPr>
        <w:t>צדקה</w:t>
      </w:r>
      <w:r w:rsidR="00010BA6" w:rsidRPr="009E7B69">
        <w:t xml:space="preserve"> </w:t>
      </w:r>
      <w:r w:rsidR="00010BA6" w:rsidRPr="00675CC2">
        <w:rPr>
          <w:lang w:val="en-AU"/>
        </w:rPr>
        <w:t>with δικαιοσύνη</w:t>
      </w:r>
      <w:r w:rsidR="00010BA6" w:rsidRPr="00675CC2">
        <w:rPr>
          <w:i/>
          <w:iCs/>
          <w:lang w:val="en-AU"/>
        </w:rPr>
        <w:t xml:space="preserve">, </w:t>
      </w:r>
      <w:r w:rsidR="00010BA6" w:rsidRPr="00675CC2">
        <w:rPr>
          <w:iCs/>
          <w:lang w:val="en-AU"/>
        </w:rPr>
        <w:t>a form of</w:t>
      </w:r>
      <w:r w:rsidR="00010BA6" w:rsidRPr="00675CC2">
        <w:rPr>
          <w:i/>
          <w:iCs/>
          <w:lang w:val="en-AU"/>
        </w:rPr>
        <w:t xml:space="preserve"> </w:t>
      </w:r>
      <w:r w:rsidR="00010BA6" w:rsidRPr="00675CC2">
        <w:rPr>
          <w:i/>
          <w:lang w:val="en-AU"/>
        </w:rPr>
        <w:t>dikaios</w:t>
      </w:r>
      <w:r w:rsidR="00010BA6" w:rsidRPr="00675CC2">
        <w:rPr>
          <w:lang w:val="en-AU"/>
        </w:rPr>
        <w:t>,</w:t>
      </w:r>
      <w:r w:rsidR="00010BA6" w:rsidRPr="00675CC2">
        <w:rPr>
          <w:i/>
          <w:iCs/>
          <w:lang w:val="en-AU"/>
        </w:rPr>
        <w:t xml:space="preserve"> </w:t>
      </w:r>
      <w:r w:rsidR="00010BA6" w:rsidRPr="00675CC2">
        <w:rPr>
          <w:lang w:val="en-AU"/>
        </w:rPr>
        <w:t>which means righteousness</w:t>
      </w:r>
      <w:r w:rsidR="00010BA6" w:rsidRPr="009E7B69">
        <w:t xml:space="preserve">. </w:t>
      </w:r>
    </w:p>
    <w:p w14:paraId="547FC9D6" w14:textId="7799043C" w:rsidR="00010BA6" w:rsidRPr="009E7B69" w:rsidRDefault="00010BA6" w:rsidP="00673C99">
      <w:pPr>
        <w:spacing w:line="480" w:lineRule="auto"/>
        <w:ind w:firstLine="720"/>
      </w:pPr>
      <w:r w:rsidRPr="009E7B69">
        <w:lastRenderedPageBreak/>
        <w:t xml:space="preserve">The word </w:t>
      </w:r>
      <w:proofErr w:type="gramStart"/>
      <w:r w:rsidR="004D083A" w:rsidRPr="009E7B69">
        <w:rPr>
          <w:shd w:val="clear" w:color="auto" w:fill="FFFFFF"/>
          <w:rtl/>
        </w:rPr>
        <w:t xml:space="preserve">צדקה </w:t>
      </w:r>
      <w:r w:rsidR="004D083A" w:rsidRPr="009E7B69">
        <w:rPr>
          <w:shd w:val="clear" w:color="auto" w:fill="FFFFFF"/>
        </w:rPr>
        <w:t xml:space="preserve"> </w:t>
      </w:r>
      <w:r w:rsidR="004D083A" w:rsidRPr="00675CC2">
        <w:rPr>
          <w:shd w:val="clear" w:color="auto" w:fill="FFFFFF"/>
          <w:lang w:val="en-AU"/>
        </w:rPr>
        <w:t>was</w:t>
      </w:r>
      <w:proofErr w:type="gramEnd"/>
      <w:r w:rsidR="009214AE" w:rsidRPr="00675CC2">
        <w:rPr>
          <w:shd w:val="clear" w:color="auto" w:fill="FFFFFF"/>
          <w:lang w:val="en-AU"/>
        </w:rPr>
        <w:t xml:space="preserve"> interpreted</w:t>
      </w:r>
      <w:r w:rsidR="00706B36" w:rsidRPr="00675CC2">
        <w:rPr>
          <w:shd w:val="clear" w:color="auto" w:fill="FFFFFF"/>
          <w:lang w:val="en-AU"/>
        </w:rPr>
        <w:t xml:space="preserve"> different</w:t>
      </w:r>
      <w:r w:rsidR="009214AE" w:rsidRPr="00675CC2">
        <w:rPr>
          <w:shd w:val="clear" w:color="auto" w:fill="FFFFFF"/>
          <w:lang w:val="en-AU"/>
        </w:rPr>
        <w:t>ly</w:t>
      </w:r>
      <w:r w:rsidR="00706B36" w:rsidRPr="00675CC2">
        <w:rPr>
          <w:shd w:val="clear" w:color="auto" w:fill="FFFFFF"/>
          <w:lang w:val="en-AU"/>
        </w:rPr>
        <w:t xml:space="preserve"> in the Latin Vulgate </w:t>
      </w:r>
      <w:r w:rsidR="009214AE" w:rsidRPr="00675CC2">
        <w:rPr>
          <w:shd w:val="clear" w:color="auto" w:fill="FFFFFF"/>
          <w:lang w:val="en-AU"/>
        </w:rPr>
        <w:t>B</w:t>
      </w:r>
      <w:r w:rsidR="00706B36" w:rsidRPr="00675CC2">
        <w:rPr>
          <w:shd w:val="clear" w:color="auto" w:fill="FFFFFF"/>
          <w:lang w:val="en-AU"/>
        </w:rPr>
        <w:t>ible</w:t>
      </w:r>
      <w:r w:rsidR="002A7302" w:rsidRPr="00675CC2">
        <w:rPr>
          <w:shd w:val="clear" w:color="auto" w:fill="FFFFFF"/>
          <w:lang w:val="en-AU"/>
        </w:rPr>
        <w:t>, which was completed in the late 4</w:t>
      </w:r>
      <w:r w:rsidR="002A7302" w:rsidRPr="00675CC2">
        <w:rPr>
          <w:shd w:val="clear" w:color="auto" w:fill="FFFFFF"/>
          <w:vertAlign w:val="superscript"/>
          <w:lang w:val="en-AU"/>
        </w:rPr>
        <w:t>th</w:t>
      </w:r>
      <w:r w:rsidR="002A7302" w:rsidRPr="00675CC2">
        <w:rPr>
          <w:shd w:val="clear" w:color="auto" w:fill="FFFFFF"/>
          <w:lang w:val="en-AU"/>
        </w:rPr>
        <w:t xml:space="preserve"> century CE</w:t>
      </w:r>
      <w:r w:rsidR="00437882" w:rsidRPr="00675CC2">
        <w:rPr>
          <w:shd w:val="clear" w:color="auto" w:fill="FFFFFF"/>
          <w:lang w:val="en-AU"/>
        </w:rPr>
        <w:t xml:space="preserve">. </w:t>
      </w:r>
      <w:r w:rsidR="00706B36" w:rsidRPr="00675CC2">
        <w:rPr>
          <w:shd w:val="clear" w:color="auto" w:fill="FFFFFF"/>
          <w:lang w:val="en-AU"/>
        </w:rPr>
        <w:t xml:space="preserve">Silbiger contends </w:t>
      </w:r>
      <w:r w:rsidR="00673C99" w:rsidRPr="00675CC2">
        <w:rPr>
          <w:shd w:val="clear" w:color="auto" w:fill="FFFFFF"/>
          <w:lang w:val="en-AU"/>
        </w:rPr>
        <w:t>that</w:t>
      </w:r>
      <w:r w:rsidR="00673C99" w:rsidRPr="009E7B69">
        <w:rPr>
          <w:shd w:val="clear" w:color="auto" w:fill="FFFFFF"/>
        </w:rPr>
        <w:t xml:space="preserve"> </w:t>
      </w:r>
      <w:r w:rsidR="00673C99" w:rsidRPr="009E7B69">
        <w:rPr>
          <w:shd w:val="clear" w:color="auto" w:fill="FFFFFF"/>
          <w:rtl/>
        </w:rPr>
        <w:t>צדקה</w:t>
      </w:r>
      <w:r w:rsidR="00706B36" w:rsidRPr="009E7B69" w:rsidDel="00706B36">
        <w:t xml:space="preserve"> </w:t>
      </w:r>
      <w:r w:rsidR="00706B36" w:rsidRPr="00675CC2">
        <w:rPr>
          <w:lang w:val="en-AU"/>
        </w:rPr>
        <w:t xml:space="preserve">became </w:t>
      </w:r>
      <w:r w:rsidR="001556C5" w:rsidRPr="00675CC2">
        <w:rPr>
          <w:i/>
          <w:iCs/>
          <w:lang w:val="en-AU"/>
        </w:rPr>
        <w:t>caritas</w:t>
      </w:r>
      <w:r w:rsidR="001556C5" w:rsidRPr="00675CC2">
        <w:rPr>
          <w:lang w:val="en-AU"/>
        </w:rPr>
        <w:t xml:space="preserve">.  Silbiger states, </w:t>
      </w:r>
      <w:r w:rsidR="00863B47" w:rsidRPr="00675CC2">
        <w:rPr>
          <w:lang w:val="en-AU"/>
        </w:rPr>
        <w:t>“</w:t>
      </w:r>
      <w:r w:rsidRPr="00675CC2">
        <w:rPr>
          <w:lang w:val="en-AU"/>
        </w:rPr>
        <w:t>When it is translated to the Latin</w:t>
      </w:r>
      <w:r w:rsidR="00E777A2" w:rsidRPr="00675CC2">
        <w:rPr>
          <w:lang w:val="en-AU"/>
        </w:rPr>
        <w:t xml:space="preserve"> [383 CE]</w:t>
      </w:r>
      <w:r w:rsidRPr="00675CC2">
        <w:rPr>
          <w:lang w:val="en-AU"/>
        </w:rPr>
        <w:t xml:space="preserve">, which developed after the time of Jesus and the Latin </w:t>
      </w:r>
      <w:r w:rsidRPr="00675CC2">
        <w:rPr>
          <w:i/>
          <w:lang w:val="en-AU"/>
        </w:rPr>
        <w:t>Vulgate</w:t>
      </w:r>
      <w:r w:rsidRPr="00675CC2">
        <w:rPr>
          <w:iCs/>
          <w:lang w:val="en-AU"/>
        </w:rPr>
        <w:t xml:space="preserve"> </w:t>
      </w:r>
      <w:r w:rsidRPr="00675CC2">
        <w:rPr>
          <w:lang w:val="en-AU"/>
        </w:rPr>
        <w:t xml:space="preserve">Bible… the word charity [becomes] the Latin word </w:t>
      </w:r>
      <w:r w:rsidRPr="00675CC2">
        <w:rPr>
          <w:i/>
          <w:lang w:val="en-AU"/>
        </w:rPr>
        <w:t>caritas,</w:t>
      </w:r>
      <w:r w:rsidRPr="00675CC2">
        <w:rPr>
          <w:lang w:val="en-AU"/>
        </w:rPr>
        <w:t xml:space="preserve"> meaning </w:t>
      </w:r>
      <w:r w:rsidRPr="00675CC2">
        <w:rPr>
          <w:i/>
          <w:lang w:val="en-AU"/>
        </w:rPr>
        <w:t>love.</w:t>
      </w:r>
      <w:r w:rsidR="00863B47" w:rsidRPr="00675CC2">
        <w:rPr>
          <w:iCs/>
          <w:lang w:val="en-AU"/>
        </w:rPr>
        <w:t>”</w:t>
      </w:r>
      <w:r w:rsidRPr="00675CC2">
        <w:rPr>
          <w:rStyle w:val="FootnoteReference"/>
          <w:iCs/>
          <w:lang w:val="en-AU"/>
        </w:rPr>
        <w:footnoteReference w:id="426"/>
      </w:r>
      <w:r w:rsidRPr="00675CC2">
        <w:rPr>
          <w:iCs/>
          <w:lang w:val="en-AU"/>
        </w:rPr>
        <w:t xml:space="preserve"> </w:t>
      </w:r>
      <w:r w:rsidR="001556C5" w:rsidRPr="00675CC2">
        <w:rPr>
          <w:iCs/>
          <w:lang w:val="en-AU"/>
        </w:rPr>
        <w:t xml:space="preserve">Telshukin </w:t>
      </w:r>
      <w:r w:rsidR="003F607F" w:rsidRPr="00675CC2">
        <w:rPr>
          <w:iCs/>
          <w:lang w:val="en-AU"/>
        </w:rPr>
        <w:t xml:space="preserve">suggests that </w:t>
      </w:r>
      <w:r w:rsidR="001556C5" w:rsidRPr="00675CC2">
        <w:rPr>
          <w:i/>
          <w:lang w:val="en-AU"/>
        </w:rPr>
        <w:t>c</w:t>
      </w:r>
      <w:r w:rsidRPr="00675CC2">
        <w:rPr>
          <w:i/>
          <w:lang w:val="en-AU"/>
        </w:rPr>
        <w:t>aritas</w:t>
      </w:r>
      <w:r w:rsidR="003F607F" w:rsidRPr="00675CC2">
        <w:rPr>
          <w:i/>
          <w:lang w:val="en-AU"/>
        </w:rPr>
        <w:t xml:space="preserve"> </w:t>
      </w:r>
      <w:r w:rsidR="003F607F" w:rsidRPr="00675CC2">
        <w:rPr>
          <w:iCs/>
          <w:lang w:val="en-AU"/>
        </w:rPr>
        <w:t>mean</w:t>
      </w:r>
      <w:r w:rsidR="00CD3281" w:rsidRPr="00675CC2">
        <w:rPr>
          <w:iCs/>
          <w:lang w:val="en-AU"/>
        </w:rPr>
        <w:t>s</w:t>
      </w:r>
      <w:r w:rsidR="003F607F" w:rsidRPr="00675CC2">
        <w:rPr>
          <w:iCs/>
          <w:lang w:val="en-AU"/>
        </w:rPr>
        <w:t xml:space="preserve"> </w:t>
      </w:r>
      <w:r w:rsidR="00863B47" w:rsidRPr="00675CC2">
        <w:rPr>
          <w:lang w:val="en-AU"/>
        </w:rPr>
        <w:t>“</w:t>
      </w:r>
      <w:r w:rsidRPr="00675CC2">
        <w:rPr>
          <w:lang w:val="en-AU"/>
        </w:rPr>
        <w:t>a donation made out of affection.</w:t>
      </w:r>
      <w:r w:rsidR="00863B47" w:rsidRPr="00675CC2">
        <w:rPr>
          <w:lang w:val="en-AU"/>
        </w:rPr>
        <w:t>”</w:t>
      </w:r>
      <w:r w:rsidRPr="00675CC2">
        <w:rPr>
          <w:rStyle w:val="FootnoteReference"/>
          <w:lang w:val="en-AU"/>
        </w:rPr>
        <w:footnoteReference w:id="427"/>
      </w:r>
      <w:r w:rsidR="001556C5" w:rsidRPr="00675CC2">
        <w:rPr>
          <w:lang w:val="en-AU"/>
        </w:rPr>
        <w:t xml:space="preserve"> This would imply that the person giving had to have a</w:t>
      </w:r>
      <w:r w:rsidR="004119DC" w:rsidRPr="00675CC2">
        <w:rPr>
          <w:lang w:val="en-AU"/>
        </w:rPr>
        <w:t>n ulterior</w:t>
      </w:r>
      <w:r w:rsidR="001556C5" w:rsidRPr="00675CC2">
        <w:rPr>
          <w:lang w:val="en-AU"/>
        </w:rPr>
        <w:t xml:space="preserve"> purpose </w:t>
      </w:r>
      <w:r w:rsidR="00C839DC" w:rsidRPr="00675CC2">
        <w:rPr>
          <w:lang w:val="en-AU"/>
        </w:rPr>
        <w:t>other than</w:t>
      </w:r>
      <w:r w:rsidR="001556C5" w:rsidRPr="00675CC2">
        <w:rPr>
          <w:lang w:val="en-AU"/>
        </w:rPr>
        <w:t xml:space="preserve"> pure altruism</w:t>
      </w:r>
      <w:r w:rsidR="00705C8A" w:rsidRPr="00675CC2">
        <w:rPr>
          <w:lang w:val="en-AU"/>
        </w:rPr>
        <w:t xml:space="preserve"> but this is not the case.</w:t>
      </w:r>
      <w:r w:rsidR="001556C5" w:rsidRPr="00675CC2">
        <w:rPr>
          <w:lang w:val="en-AU"/>
        </w:rPr>
        <w:t xml:space="preserve"> </w:t>
      </w:r>
      <w:r w:rsidR="00C839DC" w:rsidRPr="00675CC2">
        <w:rPr>
          <w:lang w:val="en-AU"/>
        </w:rPr>
        <w:t xml:space="preserve">Rather it means </w:t>
      </w:r>
      <w:r w:rsidRPr="00675CC2">
        <w:rPr>
          <w:lang w:val="en-AU"/>
        </w:rPr>
        <w:t xml:space="preserve">that a person will give without reward. </w:t>
      </w:r>
      <w:r w:rsidR="001556C5" w:rsidRPr="00675CC2">
        <w:rPr>
          <w:lang w:val="en-AU"/>
        </w:rPr>
        <w:t xml:space="preserve">A person who </w:t>
      </w:r>
      <w:proofErr w:type="gramStart"/>
      <w:r w:rsidR="001556C5" w:rsidRPr="00675CC2">
        <w:rPr>
          <w:lang w:val="en-AU"/>
        </w:rPr>
        <w:t>has to</w:t>
      </w:r>
      <w:proofErr w:type="gramEnd"/>
      <w:r w:rsidR="001556C5" w:rsidRPr="00675CC2">
        <w:rPr>
          <w:lang w:val="en-AU"/>
        </w:rPr>
        <w:t xml:space="preserve"> beg for charity </w:t>
      </w:r>
      <w:r w:rsidR="00673C99" w:rsidRPr="00675CC2">
        <w:rPr>
          <w:lang w:val="en-AU"/>
        </w:rPr>
        <w:t>loses</w:t>
      </w:r>
      <w:r w:rsidR="001556C5" w:rsidRPr="00675CC2">
        <w:rPr>
          <w:lang w:val="en-AU"/>
        </w:rPr>
        <w:t xml:space="preserve"> something valuable in the process, they </w:t>
      </w:r>
      <w:r w:rsidR="00673C99" w:rsidRPr="00675CC2">
        <w:rPr>
          <w:lang w:val="en-AU"/>
        </w:rPr>
        <w:t>lose</w:t>
      </w:r>
      <w:r w:rsidR="001556C5" w:rsidRPr="00675CC2">
        <w:rPr>
          <w:lang w:val="en-AU"/>
        </w:rPr>
        <w:t xml:space="preserve"> their </w:t>
      </w:r>
      <w:r w:rsidR="00673C99" w:rsidRPr="00675CC2">
        <w:rPr>
          <w:lang w:val="en-AU"/>
        </w:rPr>
        <w:t>self-respect</w:t>
      </w:r>
      <w:r w:rsidR="001556C5" w:rsidRPr="00675CC2">
        <w:rPr>
          <w:lang w:val="en-AU"/>
        </w:rPr>
        <w:t xml:space="preserve"> and dignity; thus</w:t>
      </w:r>
      <w:r w:rsidR="004D083A" w:rsidRPr="009E7B69">
        <w:t>,</w:t>
      </w:r>
      <w:r w:rsidR="006D6B4F" w:rsidRPr="009E7B69">
        <w:t xml:space="preserve"> </w:t>
      </w:r>
      <w:r w:rsidR="001556C5" w:rsidRPr="009E7B69">
        <w:rPr>
          <w:shd w:val="clear" w:color="auto" w:fill="FFFFFF"/>
          <w:rtl/>
        </w:rPr>
        <w:t>צדקה</w:t>
      </w:r>
      <w:r w:rsidR="001556C5" w:rsidRPr="009E7B69">
        <w:t xml:space="preserve"> </w:t>
      </w:r>
      <w:r w:rsidR="001556C5" w:rsidRPr="00675CC2">
        <w:rPr>
          <w:lang w:val="en-AU"/>
        </w:rPr>
        <w:t xml:space="preserve">will allow the </w:t>
      </w:r>
      <w:r w:rsidR="00E90BA5" w:rsidRPr="00675CC2">
        <w:rPr>
          <w:lang w:val="en-AU"/>
        </w:rPr>
        <w:t>beggar</w:t>
      </w:r>
      <w:r w:rsidR="001556C5" w:rsidRPr="00675CC2">
        <w:rPr>
          <w:lang w:val="en-AU"/>
        </w:rPr>
        <w:t xml:space="preserve"> to keep their dignity.</w:t>
      </w:r>
      <w:r w:rsidR="001556C5" w:rsidRPr="009E7B69">
        <w:t xml:space="preserve"> </w:t>
      </w:r>
    </w:p>
    <w:p w14:paraId="104F315F" w14:textId="0CDC8F64" w:rsidR="00211BF9" w:rsidRPr="00675CC2" w:rsidRDefault="00211BF9" w:rsidP="00211BF9">
      <w:pPr>
        <w:spacing w:before="120" w:line="480" w:lineRule="auto"/>
        <w:ind w:firstLine="720"/>
        <w:rPr>
          <w:lang w:val="en-AU"/>
        </w:rPr>
      </w:pPr>
      <w:r w:rsidRPr="00675CC2">
        <w:rPr>
          <w:lang w:val="en-AU"/>
        </w:rPr>
        <w:t xml:space="preserve">An examination of the </w:t>
      </w:r>
      <w:r w:rsidR="00663B3C" w:rsidRPr="00675CC2">
        <w:rPr>
          <w:lang w:val="en-AU"/>
        </w:rPr>
        <w:t xml:space="preserve">audience of the </w:t>
      </w:r>
      <w:r w:rsidRPr="00675CC2">
        <w:rPr>
          <w:lang w:val="en-AU"/>
        </w:rPr>
        <w:t>Sermon (namely their perceptions of charity and mutual respect and how they applied the concept of human dignity in the local context) reveals a better understanding of these people. As has been noted above, the word</w:t>
      </w:r>
      <w:r w:rsidRPr="009E7B69">
        <w:t xml:space="preserve"> </w:t>
      </w:r>
      <w:r w:rsidRPr="009E7B69">
        <w:rPr>
          <w:shd w:val="clear" w:color="auto" w:fill="FFFFFF"/>
          <w:rtl/>
        </w:rPr>
        <w:t>צדקה</w:t>
      </w:r>
      <w:r w:rsidRPr="009E7B69">
        <w:t xml:space="preserve"> </w:t>
      </w:r>
      <w:r w:rsidRPr="00675CC2">
        <w:rPr>
          <w:lang w:val="en-AU"/>
        </w:rPr>
        <w:t>represents one</w:t>
      </w:r>
      <w:r w:rsidR="005C71CB" w:rsidRPr="00675CC2">
        <w:rPr>
          <w:lang w:val="en-AU"/>
        </w:rPr>
        <w:t>’</w:t>
      </w:r>
      <w:r w:rsidRPr="00675CC2">
        <w:rPr>
          <w:lang w:val="en-AU"/>
        </w:rPr>
        <w:t xml:space="preserve">s charity. </w:t>
      </w:r>
      <w:proofErr w:type="gramStart"/>
      <w:r w:rsidRPr="00675CC2">
        <w:rPr>
          <w:lang w:val="en-AU"/>
        </w:rPr>
        <w:t>In order to</w:t>
      </w:r>
      <w:proofErr w:type="gramEnd"/>
      <w:r w:rsidRPr="00675CC2">
        <w:rPr>
          <w:lang w:val="en-AU"/>
        </w:rPr>
        <w:t xml:space="preserve"> define</w:t>
      </w:r>
      <w:r w:rsidRPr="009E7B69">
        <w:t xml:space="preserve"> </w:t>
      </w:r>
      <w:r w:rsidRPr="009E7B69">
        <w:rPr>
          <w:shd w:val="clear" w:color="auto" w:fill="FFFFFF"/>
          <w:rtl/>
        </w:rPr>
        <w:t>צדקה</w:t>
      </w:r>
      <w:r w:rsidRPr="009E7B69">
        <w:rPr>
          <w:iCs/>
        </w:rPr>
        <w:t xml:space="preserve"> </w:t>
      </w:r>
      <w:r w:rsidRPr="00675CC2">
        <w:rPr>
          <w:iCs/>
          <w:lang w:val="en-AU"/>
        </w:rPr>
        <w:t xml:space="preserve">in the context of </w:t>
      </w:r>
      <w:r w:rsidR="00B74C9F" w:rsidRPr="00675CC2">
        <w:rPr>
          <w:iCs/>
          <w:lang w:val="en-AU"/>
        </w:rPr>
        <w:t>real-life</w:t>
      </w:r>
      <w:r w:rsidRPr="00675CC2">
        <w:rPr>
          <w:iCs/>
          <w:lang w:val="en-AU"/>
        </w:rPr>
        <w:t xml:space="preserve"> application, the book of </w:t>
      </w:r>
      <w:r w:rsidRPr="00675CC2">
        <w:rPr>
          <w:i/>
          <w:lang w:val="en-AU"/>
        </w:rPr>
        <w:t xml:space="preserve">Bava Bathra </w:t>
      </w:r>
      <w:r w:rsidRPr="00675CC2">
        <w:rPr>
          <w:lang w:val="en-AU"/>
        </w:rPr>
        <w:t>9a defines how</w:t>
      </w:r>
      <w:r w:rsidRPr="009E7B69">
        <w:t xml:space="preserve"> </w:t>
      </w:r>
      <w:r w:rsidRPr="009E7B69">
        <w:rPr>
          <w:shd w:val="clear" w:color="auto" w:fill="FFFFFF"/>
          <w:rtl/>
        </w:rPr>
        <w:t>צדקה</w:t>
      </w:r>
      <w:r w:rsidRPr="009E7B69">
        <w:rPr>
          <w:i/>
        </w:rPr>
        <w:t xml:space="preserve"> </w:t>
      </w:r>
      <w:r w:rsidRPr="00675CC2">
        <w:rPr>
          <w:lang w:val="en-AU"/>
        </w:rPr>
        <w:t>was understood</w:t>
      </w:r>
      <w:r w:rsidRPr="009E7B69">
        <w:t>.</w:t>
      </w:r>
      <w:r w:rsidRPr="009E7B69">
        <w:rPr>
          <w:rStyle w:val="FootnoteReference"/>
        </w:rPr>
        <w:footnoteReference w:id="428"/>
      </w:r>
      <w:r w:rsidRPr="009E7B69">
        <w:t xml:space="preserve"> </w:t>
      </w:r>
      <w:r w:rsidRPr="00675CC2">
        <w:rPr>
          <w:i/>
          <w:lang w:val="en-AU"/>
        </w:rPr>
        <w:t xml:space="preserve">Bava Bathra </w:t>
      </w:r>
      <w:r w:rsidRPr="00675CC2">
        <w:rPr>
          <w:lang w:val="en-AU"/>
        </w:rPr>
        <w:t>9a focuses on charity</w:t>
      </w:r>
      <w:r w:rsidR="00663B3C" w:rsidRPr="00675CC2">
        <w:rPr>
          <w:lang w:val="en-AU"/>
        </w:rPr>
        <w:t>:</w:t>
      </w:r>
      <w:r w:rsidRPr="00675CC2">
        <w:rPr>
          <w:lang w:val="en-AU"/>
        </w:rPr>
        <w:t xml:space="preserve"> </w:t>
      </w:r>
      <w:r w:rsidR="00863B47" w:rsidRPr="00675CC2">
        <w:rPr>
          <w:lang w:val="en-AU"/>
        </w:rPr>
        <w:t>“</w:t>
      </w:r>
      <w:r w:rsidRPr="00675CC2">
        <w:rPr>
          <w:lang w:val="en-AU"/>
        </w:rPr>
        <w:t>charity is equal in importance to all the other commandments combined.</w:t>
      </w:r>
      <w:r w:rsidR="00863B47" w:rsidRPr="00675CC2">
        <w:rPr>
          <w:lang w:val="en-AU"/>
        </w:rPr>
        <w:t>”</w:t>
      </w:r>
      <w:r w:rsidRPr="00675CC2">
        <w:rPr>
          <w:rStyle w:val="FootnoteReference"/>
          <w:lang w:val="en-AU"/>
        </w:rPr>
        <w:footnoteReference w:id="429"/>
      </w:r>
      <w:r w:rsidRPr="00675CC2">
        <w:rPr>
          <w:lang w:val="en-AU"/>
        </w:rPr>
        <w:t xml:space="preserve"> Oral tradition recommends courses of action to its listeners, testifying </w:t>
      </w:r>
      <w:r w:rsidR="00E66BC7" w:rsidRPr="00675CC2">
        <w:rPr>
          <w:lang w:val="en-AU"/>
        </w:rPr>
        <w:t>to</w:t>
      </w:r>
      <w:r w:rsidRPr="00675CC2">
        <w:rPr>
          <w:lang w:val="en-AU"/>
        </w:rPr>
        <w:t xml:space="preserve"> a strong view of charity and mutual care and responsibility in society. </w:t>
      </w:r>
    </w:p>
    <w:p w14:paraId="4925B964" w14:textId="133EC35D" w:rsidR="00211BF9" w:rsidRPr="00675CC2" w:rsidRDefault="002314AA" w:rsidP="00211BF9">
      <w:pPr>
        <w:spacing w:before="120" w:line="480" w:lineRule="auto"/>
        <w:ind w:firstLine="284"/>
        <w:rPr>
          <w:lang w:val="en-AU"/>
        </w:rPr>
      </w:pPr>
      <w:r w:rsidRPr="00675CC2">
        <w:rPr>
          <w:lang w:val="en-AU"/>
        </w:rPr>
        <w:lastRenderedPageBreak/>
        <w:t>Maintaining h</w:t>
      </w:r>
      <w:r w:rsidR="0053511F" w:rsidRPr="00675CC2">
        <w:rPr>
          <w:lang w:val="en-AU"/>
        </w:rPr>
        <w:t xml:space="preserve">uman dignity is part of charity.  Human dignity means a person can live without begging off others. </w:t>
      </w:r>
      <w:r w:rsidR="00211BF9" w:rsidRPr="00675CC2">
        <w:rPr>
          <w:lang w:val="en-AU"/>
        </w:rPr>
        <w:t xml:space="preserve"> Jesus</w:t>
      </w:r>
      <w:r w:rsidR="005C71CB" w:rsidRPr="00675CC2">
        <w:rPr>
          <w:lang w:val="en-AU"/>
        </w:rPr>
        <w:t>’</w:t>
      </w:r>
      <w:r w:rsidR="006D41DD">
        <w:rPr>
          <w:lang w:val="en-AU"/>
        </w:rPr>
        <w:t>s</w:t>
      </w:r>
      <w:r w:rsidR="00211BF9" w:rsidRPr="00675CC2">
        <w:rPr>
          <w:lang w:val="en-AU"/>
        </w:rPr>
        <w:t xml:space="preserve"> sermon typifies the charitable acts </w:t>
      </w:r>
      <w:r w:rsidRPr="00675CC2">
        <w:rPr>
          <w:lang w:val="en-AU"/>
        </w:rPr>
        <w:t xml:space="preserve">for which </w:t>
      </w:r>
      <w:r w:rsidR="00211BF9" w:rsidRPr="00675CC2">
        <w:rPr>
          <w:lang w:val="en-AU"/>
        </w:rPr>
        <w:t>Judaism is known. Jacobs writes:</w:t>
      </w:r>
    </w:p>
    <w:p w14:paraId="47460DCA" w14:textId="48FDE701" w:rsidR="00211BF9" w:rsidRPr="00675CC2" w:rsidRDefault="00211BF9" w:rsidP="00CA5C6C">
      <w:pPr>
        <w:pStyle w:val="Blockquotation"/>
        <w:rPr>
          <w:sz w:val="24"/>
          <w:lang w:val="en-AU"/>
        </w:rPr>
      </w:pPr>
      <w:r w:rsidRPr="00675CC2">
        <w:rPr>
          <w:sz w:val="24"/>
          <w:lang w:val="en-AU"/>
        </w:rPr>
        <w:t xml:space="preserve">The concept of human dignity is well-ingrained throughout Judaism. Those listening to the Sermon would identify the charitable acts of Jesus through such activities as feeding people, healing people, and listening to people. The book of Genesis describes human beings as created </w:t>
      </w:r>
      <w:r w:rsidR="005C71CB" w:rsidRPr="00675CC2">
        <w:rPr>
          <w:sz w:val="24"/>
          <w:lang w:val="en-AU"/>
        </w:rPr>
        <w:t>‘</w:t>
      </w:r>
      <w:r w:rsidRPr="00675CC2">
        <w:rPr>
          <w:i/>
          <w:sz w:val="24"/>
          <w:lang w:val="en-AU"/>
        </w:rPr>
        <w:t>b</w:t>
      </w:r>
      <w:r w:rsidR="005C71CB" w:rsidRPr="00675CC2">
        <w:rPr>
          <w:i/>
          <w:sz w:val="24"/>
          <w:lang w:val="en-AU"/>
        </w:rPr>
        <w:t>’</w:t>
      </w:r>
      <w:r w:rsidRPr="00675CC2">
        <w:rPr>
          <w:i/>
          <w:sz w:val="24"/>
          <w:lang w:val="en-AU"/>
        </w:rPr>
        <w:t>tzelem Elohim,</w:t>
      </w:r>
      <w:r w:rsidR="005C71CB" w:rsidRPr="00675CC2">
        <w:rPr>
          <w:i/>
          <w:sz w:val="24"/>
          <w:lang w:val="en-AU"/>
        </w:rPr>
        <w:t>’</w:t>
      </w:r>
      <w:r w:rsidRPr="00675CC2">
        <w:rPr>
          <w:i/>
          <w:sz w:val="24"/>
          <w:lang w:val="en-AU"/>
        </w:rPr>
        <w:t xml:space="preserve"> </w:t>
      </w:r>
      <w:r w:rsidRPr="00675CC2">
        <w:rPr>
          <w:sz w:val="24"/>
          <w:lang w:val="en-AU"/>
        </w:rPr>
        <w:t>in the image of God.</w:t>
      </w:r>
      <w:r w:rsidRPr="00675CC2">
        <w:rPr>
          <w:rStyle w:val="FootnoteReference"/>
          <w:sz w:val="24"/>
          <w:lang w:val="en-AU"/>
        </w:rPr>
        <w:footnoteReference w:id="430"/>
      </w:r>
      <w:r w:rsidRPr="00675CC2">
        <w:rPr>
          <w:sz w:val="24"/>
          <w:lang w:val="en-AU"/>
        </w:rPr>
        <w:t xml:space="preserve"> </w:t>
      </w:r>
    </w:p>
    <w:p w14:paraId="456EFE25" w14:textId="19FDA2E9" w:rsidR="00010BA6" w:rsidRPr="00675CC2" w:rsidRDefault="00211BF9" w:rsidP="00EC4DD5">
      <w:pPr>
        <w:spacing w:before="240" w:line="480" w:lineRule="auto"/>
        <w:rPr>
          <w:lang w:val="en-AU"/>
        </w:rPr>
      </w:pPr>
      <w:r w:rsidRPr="00675CC2">
        <w:rPr>
          <w:lang w:val="en-AU"/>
        </w:rPr>
        <w:t>If a person is heartless to the downtrodden, then it reflects in their character. The character of the person is evident in how a person treats others. Jesus treated people with compassion through healing and car</w:t>
      </w:r>
      <w:r w:rsidR="00DC7ABE" w:rsidRPr="00675CC2">
        <w:rPr>
          <w:lang w:val="en-AU"/>
        </w:rPr>
        <w:t>ing for</w:t>
      </w:r>
      <w:r w:rsidRPr="00675CC2">
        <w:rPr>
          <w:lang w:val="en-AU"/>
        </w:rPr>
        <w:t xml:space="preserve"> the sick. </w:t>
      </w:r>
    </w:p>
    <w:p w14:paraId="4E189E64" w14:textId="55DE4997" w:rsidR="00010BA6" w:rsidRPr="009E7B69" w:rsidRDefault="006843DF" w:rsidP="00F5340B">
      <w:pPr>
        <w:pStyle w:val="Heading2"/>
        <w:rPr>
          <w:i/>
          <w:iCs/>
        </w:rPr>
      </w:pPr>
      <w:bookmarkStart w:id="144" w:name="_Toc94537023"/>
      <w:bookmarkStart w:id="145" w:name="_Toc118063671"/>
      <w:r w:rsidRPr="009E7B69">
        <w:t>7</w:t>
      </w:r>
      <w:r w:rsidR="00010BA6" w:rsidRPr="009E7B69">
        <w:t>.</w:t>
      </w:r>
      <w:r w:rsidR="007802A2" w:rsidRPr="009E7B69">
        <w:t>2</w:t>
      </w:r>
      <w:r w:rsidR="00010BA6" w:rsidRPr="009E7B69">
        <w:t xml:space="preserve"> </w:t>
      </w:r>
      <w:r w:rsidR="00EB3F4C" w:rsidRPr="009E7B69">
        <w:rPr>
          <w:shd w:val="clear" w:color="auto" w:fill="FFFFFF"/>
          <w:rtl/>
        </w:rPr>
        <w:t>צדקה</w:t>
      </w:r>
      <w:r w:rsidR="00EB3F4C" w:rsidRPr="009E7B69">
        <w:t xml:space="preserve"> </w:t>
      </w:r>
      <w:r w:rsidR="00E713CF" w:rsidRPr="009E7B69">
        <w:t>(</w:t>
      </w:r>
      <w:r w:rsidR="00E2456F" w:rsidRPr="009E7B69">
        <w:t>C</w:t>
      </w:r>
      <w:r w:rsidR="00E713CF" w:rsidRPr="009E7B69">
        <w:t xml:space="preserve">harity) </w:t>
      </w:r>
      <w:r w:rsidR="00EB3F4C" w:rsidRPr="009E7B69">
        <w:t xml:space="preserve">and </w:t>
      </w:r>
      <w:r w:rsidR="00E2456F" w:rsidRPr="009E7B69">
        <w:t>C</w:t>
      </w:r>
      <w:r w:rsidR="00A14558" w:rsidRPr="009E7B69">
        <w:t xml:space="preserve">ommunity </w:t>
      </w:r>
      <w:r w:rsidR="00E2456F" w:rsidRPr="009E7B69">
        <w:t>S</w:t>
      </w:r>
      <w:r w:rsidR="00A14558" w:rsidRPr="009E7B69">
        <w:t xml:space="preserve">upport to the </w:t>
      </w:r>
      <w:r w:rsidR="00E2456F" w:rsidRPr="009E7B69">
        <w:t>P</w:t>
      </w:r>
      <w:r w:rsidR="00A14558" w:rsidRPr="009E7B69">
        <w:t>oor</w:t>
      </w:r>
      <w:bookmarkEnd w:id="144"/>
      <w:bookmarkEnd w:id="145"/>
    </w:p>
    <w:p w14:paraId="21815113" w14:textId="7C23A89C" w:rsidR="00010BA6" w:rsidRPr="009E7B69" w:rsidRDefault="00DC7ABE" w:rsidP="00010BA6">
      <w:pPr>
        <w:spacing w:before="120" w:line="480" w:lineRule="auto"/>
        <w:ind w:firstLine="720"/>
      </w:pPr>
      <w:r w:rsidRPr="00675CC2">
        <w:rPr>
          <w:lang w:val="en-AU"/>
        </w:rPr>
        <w:t xml:space="preserve">In </w:t>
      </w:r>
      <w:r w:rsidR="00010BA6" w:rsidRPr="00675CC2">
        <w:rPr>
          <w:lang w:val="en-AU"/>
        </w:rPr>
        <w:t>The Second Temple period charity to the poor</w:t>
      </w:r>
      <w:r w:rsidRPr="00675CC2">
        <w:rPr>
          <w:lang w:val="en-AU"/>
        </w:rPr>
        <w:t xml:space="preserve"> was valued, </w:t>
      </w:r>
      <w:r w:rsidR="00010BA6" w:rsidRPr="00675CC2">
        <w:rPr>
          <w:lang w:val="en-AU"/>
        </w:rPr>
        <w:t xml:space="preserve">as evidenced in </w:t>
      </w:r>
      <w:r w:rsidR="00010BA6" w:rsidRPr="00675CC2">
        <w:rPr>
          <w:i/>
          <w:iCs/>
          <w:lang w:val="en-AU"/>
        </w:rPr>
        <w:t>Mishna Avot.</w:t>
      </w:r>
      <w:r w:rsidR="00010BA6" w:rsidRPr="00675CC2">
        <w:rPr>
          <w:lang w:val="en-AU"/>
        </w:rPr>
        <w:t xml:space="preserve"> </w:t>
      </w:r>
      <w:r w:rsidR="00561F05" w:rsidRPr="00675CC2">
        <w:rPr>
          <w:lang w:val="en-AU"/>
        </w:rPr>
        <w:t>Although the Bible does not use the</w:t>
      </w:r>
      <w:r w:rsidR="00010BA6" w:rsidRPr="00675CC2">
        <w:rPr>
          <w:lang w:val="en-AU"/>
        </w:rPr>
        <w:t xml:space="preserve"> word</w:t>
      </w:r>
      <w:r w:rsidR="00010BA6" w:rsidRPr="009E7B69">
        <w:t xml:space="preserve"> </w:t>
      </w:r>
      <w:r w:rsidR="00010BA6" w:rsidRPr="009E7B69">
        <w:rPr>
          <w:shd w:val="clear" w:color="auto" w:fill="FFFFFF"/>
          <w:rtl/>
        </w:rPr>
        <w:t>צדקה</w:t>
      </w:r>
      <w:r w:rsidR="00010BA6" w:rsidRPr="009E7B69">
        <w:t xml:space="preserve"> </w:t>
      </w:r>
      <w:r w:rsidR="00E90BA5" w:rsidRPr="00675CC2">
        <w:rPr>
          <w:lang w:val="en-AU"/>
        </w:rPr>
        <w:t>to ma</w:t>
      </w:r>
      <w:r w:rsidR="00EB3F4C" w:rsidRPr="00675CC2">
        <w:rPr>
          <w:lang w:val="en-AU"/>
        </w:rPr>
        <w:t xml:space="preserve">ndate </w:t>
      </w:r>
      <w:r w:rsidR="00E90BA5" w:rsidRPr="00675CC2">
        <w:rPr>
          <w:lang w:val="en-AU"/>
        </w:rPr>
        <w:t xml:space="preserve">monetary </w:t>
      </w:r>
      <w:r w:rsidR="00CF4933" w:rsidRPr="00675CC2">
        <w:rPr>
          <w:lang w:val="en-AU"/>
        </w:rPr>
        <w:t xml:space="preserve">support to the poor, </w:t>
      </w:r>
      <w:r w:rsidR="00561F05" w:rsidRPr="00675CC2">
        <w:rPr>
          <w:lang w:val="en-AU"/>
        </w:rPr>
        <w:t xml:space="preserve">it has </w:t>
      </w:r>
      <w:r w:rsidR="00F628D5" w:rsidRPr="00675CC2">
        <w:rPr>
          <w:lang w:val="en-AU"/>
        </w:rPr>
        <w:t>acquired</w:t>
      </w:r>
      <w:r w:rsidR="00561F05" w:rsidRPr="00675CC2">
        <w:rPr>
          <w:lang w:val="en-AU"/>
        </w:rPr>
        <w:t xml:space="preserve"> that meaning. </w:t>
      </w:r>
      <w:r w:rsidR="00CF4933" w:rsidRPr="00675CC2">
        <w:rPr>
          <w:lang w:val="en-AU"/>
        </w:rPr>
        <w:t xml:space="preserve">The </w:t>
      </w:r>
      <w:r w:rsidR="00F628D5" w:rsidRPr="00675CC2">
        <w:rPr>
          <w:lang w:val="en-AU"/>
        </w:rPr>
        <w:t>r</w:t>
      </w:r>
      <w:r w:rsidR="00CF4933" w:rsidRPr="00675CC2">
        <w:rPr>
          <w:lang w:val="en-AU"/>
        </w:rPr>
        <w:t xml:space="preserve">abbis in the </w:t>
      </w:r>
      <w:r w:rsidR="00F628D5" w:rsidRPr="00675CC2">
        <w:rPr>
          <w:lang w:val="en-AU"/>
        </w:rPr>
        <w:t xml:space="preserve">early </w:t>
      </w:r>
      <w:r w:rsidR="00CF4933" w:rsidRPr="00675CC2">
        <w:rPr>
          <w:i/>
          <w:iCs/>
          <w:lang w:val="en-AU"/>
        </w:rPr>
        <w:t>Avot</w:t>
      </w:r>
      <w:r w:rsidR="00CF4933" w:rsidRPr="00675CC2">
        <w:rPr>
          <w:lang w:val="en-AU"/>
        </w:rPr>
        <w:t xml:space="preserve"> era used</w:t>
      </w:r>
      <w:r w:rsidR="00CF4933" w:rsidRPr="009E7B69">
        <w:t xml:space="preserve"> </w:t>
      </w:r>
      <w:r w:rsidR="00CF4933" w:rsidRPr="009E7B69">
        <w:rPr>
          <w:shd w:val="clear" w:color="auto" w:fill="FFFFFF"/>
          <w:rtl/>
        </w:rPr>
        <w:t>צדקה</w:t>
      </w:r>
      <w:r w:rsidR="00CF4933" w:rsidRPr="009E7B69">
        <w:t xml:space="preserve"> </w:t>
      </w:r>
      <w:r w:rsidR="00CF4933" w:rsidRPr="00675CC2">
        <w:rPr>
          <w:lang w:val="en-AU"/>
        </w:rPr>
        <w:t xml:space="preserve">to signal charity in the community, especially when Jews </w:t>
      </w:r>
      <w:r w:rsidR="00B5587A" w:rsidRPr="00675CC2">
        <w:rPr>
          <w:lang w:val="en-AU"/>
        </w:rPr>
        <w:t>no longer had</w:t>
      </w:r>
      <w:r w:rsidR="00CF4933" w:rsidRPr="00675CC2">
        <w:rPr>
          <w:lang w:val="en-AU"/>
        </w:rPr>
        <w:t xml:space="preserve"> the Temple</w:t>
      </w:r>
      <w:r w:rsidR="00CF4933" w:rsidRPr="009E7B69">
        <w:t xml:space="preserve">. </w:t>
      </w:r>
      <w:r w:rsidR="00CF4933" w:rsidRPr="00675CC2">
        <w:rPr>
          <w:lang w:val="en-AU"/>
        </w:rPr>
        <w:t>The</w:t>
      </w:r>
      <w:r w:rsidR="00CF4933" w:rsidRPr="009E7B69">
        <w:t xml:space="preserve"> </w:t>
      </w:r>
      <w:r w:rsidR="00CF4933" w:rsidRPr="009E7B69">
        <w:rPr>
          <w:shd w:val="clear" w:color="auto" w:fill="FFFFFF"/>
          <w:rtl/>
        </w:rPr>
        <w:t>צדקה</w:t>
      </w:r>
      <w:r w:rsidR="00CF4933" w:rsidRPr="009E7B69">
        <w:t xml:space="preserve"> </w:t>
      </w:r>
      <w:r w:rsidR="00CF4933" w:rsidRPr="00675CC2">
        <w:rPr>
          <w:lang w:val="en-AU"/>
        </w:rPr>
        <w:t>became a unifying factor t</w:t>
      </w:r>
      <w:r w:rsidR="00B5587A" w:rsidRPr="00675CC2">
        <w:rPr>
          <w:lang w:val="en-AU"/>
        </w:rPr>
        <w:t>hat</w:t>
      </w:r>
      <w:r w:rsidR="00CF4933" w:rsidRPr="00675CC2">
        <w:rPr>
          <w:lang w:val="en-AU"/>
        </w:rPr>
        <w:t xml:space="preserve"> help</w:t>
      </w:r>
      <w:r w:rsidR="00B5587A" w:rsidRPr="00675CC2">
        <w:rPr>
          <w:lang w:val="en-AU"/>
        </w:rPr>
        <w:t>ed</w:t>
      </w:r>
      <w:r w:rsidR="00CF4933" w:rsidRPr="00675CC2">
        <w:rPr>
          <w:lang w:val="en-AU"/>
        </w:rPr>
        <w:t xml:space="preserve"> communities </w:t>
      </w:r>
      <w:r w:rsidR="00B5587A" w:rsidRPr="00675CC2">
        <w:rPr>
          <w:lang w:val="en-AU"/>
        </w:rPr>
        <w:t xml:space="preserve">to </w:t>
      </w:r>
      <w:r w:rsidR="00CF4933" w:rsidRPr="00675CC2">
        <w:rPr>
          <w:lang w:val="en-AU"/>
        </w:rPr>
        <w:t>survive.  Jacobs suggests that since the intent behind</w:t>
      </w:r>
      <w:r w:rsidR="00CF4933" w:rsidRPr="009E7B69">
        <w:t xml:space="preserve"> </w:t>
      </w:r>
      <w:r w:rsidR="00CF4933" w:rsidRPr="009E7B69">
        <w:rPr>
          <w:shd w:val="clear" w:color="auto" w:fill="FFFFFF"/>
          <w:rtl/>
        </w:rPr>
        <w:t>צדקה</w:t>
      </w:r>
      <w:r w:rsidR="00CF4933" w:rsidRPr="009E7B69">
        <w:t xml:space="preserve"> </w:t>
      </w:r>
      <w:r w:rsidR="00CF4933" w:rsidRPr="00675CC2">
        <w:rPr>
          <w:lang w:val="en-AU"/>
        </w:rPr>
        <w:t xml:space="preserve">was already established in practice and form by the </w:t>
      </w:r>
      <w:r w:rsidR="00B5587A" w:rsidRPr="00675CC2">
        <w:rPr>
          <w:lang w:val="en-AU"/>
        </w:rPr>
        <w:t>r</w:t>
      </w:r>
      <w:r w:rsidR="00CF4933" w:rsidRPr="00675CC2">
        <w:rPr>
          <w:lang w:val="en-AU"/>
        </w:rPr>
        <w:t xml:space="preserve">abbis, it </w:t>
      </w:r>
      <w:r w:rsidR="00477DB7" w:rsidRPr="00675CC2">
        <w:rPr>
          <w:lang w:val="en-AU"/>
        </w:rPr>
        <w:t xml:space="preserve">would have been observed </w:t>
      </w:r>
      <w:r w:rsidR="00CF4933" w:rsidRPr="00675CC2">
        <w:rPr>
          <w:lang w:val="en-AU"/>
        </w:rPr>
        <w:t>early in the Common Era during the time of Jesus</w:t>
      </w:r>
      <w:r w:rsidR="00CF4933" w:rsidRPr="009E7B69">
        <w:t>.</w:t>
      </w:r>
      <w:r w:rsidR="00010BA6" w:rsidRPr="009E7B69">
        <w:rPr>
          <w:rStyle w:val="FootnoteReference"/>
        </w:rPr>
        <w:footnoteReference w:id="431"/>
      </w:r>
    </w:p>
    <w:p w14:paraId="79100B35" w14:textId="1E3E8D91" w:rsidR="00010BA6" w:rsidRPr="009E7B69" w:rsidRDefault="00CF4933" w:rsidP="00010BA6">
      <w:pPr>
        <w:spacing w:before="120" w:line="480" w:lineRule="auto"/>
        <w:ind w:firstLine="284"/>
      </w:pPr>
      <w:r w:rsidRPr="009E7B69">
        <w:rPr>
          <w:shd w:val="clear" w:color="auto" w:fill="FFFFFF"/>
          <w:rtl/>
        </w:rPr>
        <w:t>צדקה</w:t>
      </w:r>
      <w:r w:rsidRPr="009E7B69">
        <w:t xml:space="preserve"> </w:t>
      </w:r>
      <w:r w:rsidRPr="00675CC2">
        <w:rPr>
          <w:lang w:val="en-AU"/>
        </w:rPr>
        <w:t xml:space="preserve">is related to the tithing cycle of the </w:t>
      </w:r>
      <w:r w:rsidR="001232AE" w:rsidRPr="00675CC2">
        <w:rPr>
          <w:lang w:val="en-AU"/>
        </w:rPr>
        <w:t>early Temple structure, especially</w:t>
      </w:r>
      <w:r w:rsidR="00412182" w:rsidRPr="00675CC2">
        <w:rPr>
          <w:lang w:val="en-AU"/>
        </w:rPr>
        <w:t xml:space="preserve"> in</w:t>
      </w:r>
      <w:r w:rsidR="001232AE" w:rsidRPr="00675CC2">
        <w:rPr>
          <w:lang w:val="en-AU"/>
        </w:rPr>
        <w:t xml:space="preserve"> the</w:t>
      </w:r>
      <w:r w:rsidR="00B74C9F" w:rsidRPr="009E7B69">
        <w:t xml:space="preserve"> </w:t>
      </w:r>
      <w:r w:rsidR="00B74C9F" w:rsidRPr="009E7B69">
        <w:rPr>
          <w:rtl/>
        </w:rPr>
        <w:t>מִשְׁכָּן</w:t>
      </w:r>
      <w:r w:rsidR="001232AE" w:rsidRPr="009E7B69">
        <w:t xml:space="preserve"> </w:t>
      </w:r>
      <w:r w:rsidR="00412182" w:rsidRPr="009E7B69">
        <w:rPr>
          <w:rStyle w:val="FootnoteReference"/>
        </w:rPr>
        <w:footnoteReference w:id="432"/>
      </w:r>
      <w:r w:rsidR="001232AE" w:rsidRPr="009E7B69">
        <w:rPr>
          <w:i/>
          <w:iCs/>
        </w:rPr>
        <w:t xml:space="preserve"> </w:t>
      </w:r>
      <w:r w:rsidR="001232AE" w:rsidRPr="00675CC2">
        <w:rPr>
          <w:lang w:val="en-AU"/>
        </w:rPr>
        <w:t>and the First Temple. The concept of tithing is connected to</w:t>
      </w:r>
      <w:r w:rsidR="001232AE" w:rsidRPr="009E7B69">
        <w:t xml:space="preserve"> </w:t>
      </w:r>
      <w:r w:rsidR="001232AE" w:rsidRPr="009E7B69">
        <w:rPr>
          <w:shd w:val="clear" w:color="auto" w:fill="FFFFFF"/>
          <w:rtl/>
        </w:rPr>
        <w:t>צדקה</w:t>
      </w:r>
      <w:r w:rsidR="001232AE" w:rsidRPr="009E7B69">
        <w:t xml:space="preserve"> </w:t>
      </w:r>
      <w:r w:rsidR="001232AE" w:rsidRPr="00675CC2">
        <w:rPr>
          <w:lang w:val="en-AU"/>
        </w:rPr>
        <w:t xml:space="preserve">because of who it benefits. </w:t>
      </w:r>
      <w:r w:rsidR="00010BA6" w:rsidRPr="00675CC2">
        <w:rPr>
          <w:lang w:val="en-AU"/>
        </w:rPr>
        <w:lastRenderedPageBreak/>
        <w:t xml:space="preserve">Deuteronomy requires the giving of a tithe every three years for benefit of the Levite, the </w:t>
      </w:r>
      <w:r w:rsidR="00010BA6" w:rsidRPr="00675CC2">
        <w:rPr>
          <w:iCs/>
          <w:lang w:val="en-AU"/>
        </w:rPr>
        <w:t xml:space="preserve">foreigner or </w:t>
      </w:r>
      <w:r w:rsidR="00FB1E79" w:rsidRPr="00675CC2">
        <w:rPr>
          <w:iCs/>
          <w:lang w:val="en-AU"/>
        </w:rPr>
        <w:t>traveller</w:t>
      </w:r>
      <w:r w:rsidR="00010BA6" w:rsidRPr="00675CC2">
        <w:rPr>
          <w:iCs/>
          <w:lang w:val="en-AU"/>
        </w:rPr>
        <w:t xml:space="preserve">, </w:t>
      </w:r>
      <w:r w:rsidR="00010BA6" w:rsidRPr="00675CC2">
        <w:rPr>
          <w:lang w:val="en-AU"/>
        </w:rPr>
        <w:t xml:space="preserve">the </w:t>
      </w:r>
      <w:proofErr w:type="gramStart"/>
      <w:r w:rsidR="00010BA6" w:rsidRPr="00675CC2">
        <w:rPr>
          <w:lang w:val="en-AU"/>
        </w:rPr>
        <w:t>orphan</w:t>
      </w:r>
      <w:proofErr w:type="gramEnd"/>
      <w:r w:rsidR="00010BA6" w:rsidRPr="00675CC2">
        <w:rPr>
          <w:lang w:val="en-AU"/>
        </w:rPr>
        <w:t xml:space="preserve"> and the widow</w:t>
      </w:r>
      <w:r w:rsidR="001232AE" w:rsidRPr="00675CC2">
        <w:rPr>
          <w:lang w:val="en-AU"/>
        </w:rPr>
        <w:t>.  The Torah states</w:t>
      </w:r>
      <w:r w:rsidR="00010BA6" w:rsidRPr="00675CC2">
        <w:rPr>
          <w:lang w:val="en-AU"/>
        </w:rPr>
        <w:t>:</w:t>
      </w:r>
      <w:r w:rsidR="00010BA6" w:rsidRPr="009E7B69">
        <w:t xml:space="preserve"> </w:t>
      </w:r>
    </w:p>
    <w:p w14:paraId="23B6E5CC" w14:textId="266747A0" w:rsidR="00D25D36" w:rsidRPr="00675CC2" w:rsidRDefault="00010BA6" w:rsidP="003A1126">
      <w:pPr>
        <w:pStyle w:val="Blockquotation"/>
        <w:rPr>
          <w:sz w:val="24"/>
          <w:lang w:val="en-AU"/>
        </w:rPr>
      </w:pPr>
      <w:r w:rsidRPr="00675CC2">
        <w:rPr>
          <w:sz w:val="24"/>
          <w:lang w:val="en-AU"/>
        </w:rPr>
        <w:t>Every third year you shall bring out the full tithe of your produce for that year, and store it within your towns; the Levites, because they have no allotment or inheritance with you, as well as the resident aliens, the orphans, and the widows in your towns, may come and eat their fill so that the Lord your God may bless you in all the work that you undertake (Deut 14:28</w:t>
      </w:r>
      <w:r w:rsidR="00723800" w:rsidRPr="00675CC2">
        <w:rPr>
          <w:sz w:val="24"/>
          <w:lang w:val="en-AU"/>
        </w:rPr>
        <w:t>–</w:t>
      </w:r>
      <w:r w:rsidRPr="00675CC2">
        <w:rPr>
          <w:sz w:val="24"/>
          <w:lang w:val="en-AU"/>
        </w:rPr>
        <w:t>29, NRSV)</w:t>
      </w:r>
      <w:r w:rsidR="00723800" w:rsidRPr="00675CC2">
        <w:rPr>
          <w:sz w:val="24"/>
          <w:lang w:val="en-AU"/>
        </w:rPr>
        <w:t>.</w:t>
      </w:r>
    </w:p>
    <w:p w14:paraId="563672D4" w14:textId="449A5176" w:rsidR="00010BA6" w:rsidRPr="009E7B69" w:rsidRDefault="00010BA6" w:rsidP="001E29E2">
      <w:pPr>
        <w:spacing w:line="480" w:lineRule="auto"/>
      </w:pPr>
      <w:r w:rsidRPr="00675CC2">
        <w:rPr>
          <w:lang w:val="en-AU"/>
        </w:rPr>
        <w:t xml:space="preserve">In rabbinic texts, </w:t>
      </w:r>
      <w:r w:rsidR="003A1126" w:rsidRPr="00675CC2">
        <w:rPr>
          <w:lang w:val="en-AU"/>
        </w:rPr>
        <w:t>the</w:t>
      </w:r>
      <w:r w:rsidRPr="00675CC2">
        <w:rPr>
          <w:lang w:val="en-AU"/>
        </w:rPr>
        <w:t xml:space="preserve"> tithe</w:t>
      </w:r>
      <w:r w:rsidR="003A1126" w:rsidRPr="00675CC2">
        <w:rPr>
          <w:lang w:val="en-AU"/>
        </w:rPr>
        <w:t xml:space="preserve"> of Deut 14:28–29</w:t>
      </w:r>
      <w:r w:rsidRPr="00675CC2">
        <w:rPr>
          <w:lang w:val="en-AU"/>
        </w:rPr>
        <w:t xml:space="preserve"> is called</w:t>
      </w:r>
      <w:r w:rsidRPr="009E7B69">
        <w:rPr>
          <w:shd w:val="clear" w:color="auto" w:fill="FFFFFF"/>
        </w:rPr>
        <w:t xml:space="preserve"> עָנִי מַעְשַׂר, </w:t>
      </w:r>
      <w:r w:rsidR="00863B47" w:rsidRPr="009E7B69">
        <w:t>“</w:t>
      </w:r>
      <w:r w:rsidRPr="00675CC2">
        <w:rPr>
          <w:lang w:val="en-AU"/>
        </w:rPr>
        <w:t>the poor man</w:t>
      </w:r>
      <w:r w:rsidR="005C71CB" w:rsidRPr="00675CC2">
        <w:rPr>
          <w:lang w:val="en-AU"/>
        </w:rPr>
        <w:t>’</w:t>
      </w:r>
      <w:r w:rsidRPr="00675CC2">
        <w:rPr>
          <w:lang w:val="en-AU"/>
        </w:rPr>
        <w:t>s tithe,</w:t>
      </w:r>
      <w:r w:rsidR="00863B47" w:rsidRPr="00675CC2">
        <w:rPr>
          <w:lang w:val="en-AU"/>
        </w:rPr>
        <w:t>”</w:t>
      </w:r>
      <w:r w:rsidRPr="00675CC2">
        <w:rPr>
          <w:lang w:val="en-AU"/>
        </w:rPr>
        <w:t xml:space="preserve"> a</w:t>
      </w:r>
      <w:r w:rsidR="00507137" w:rsidRPr="00675CC2">
        <w:rPr>
          <w:lang w:val="en-AU"/>
        </w:rPr>
        <w:t xml:space="preserve"> </w:t>
      </w:r>
      <w:r w:rsidRPr="00675CC2">
        <w:rPr>
          <w:lang w:val="en-AU"/>
        </w:rPr>
        <w:t>tithe for the</w:t>
      </w:r>
      <w:r w:rsidR="00507137" w:rsidRPr="00675CC2">
        <w:rPr>
          <w:lang w:val="en-AU"/>
        </w:rPr>
        <w:t xml:space="preserve"> charitable</w:t>
      </w:r>
      <w:r w:rsidRPr="00675CC2">
        <w:rPr>
          <w:lang w:val="en-AU"/>
        </w:rPr>
        <w:t xml:space="preserve"> purpose of helping the poor.</w:t>
      </w:r>
      <w:r w:rsidR="00E713CF" w:rsidRPr="00675CC2">
        <w:rPr>
          <w:lang w:val="en-AU"/>
        </w:rPr>
        <w:t xml:space="preserve"> In</w:t>
      </w:r>
      <w:r w:rsidR="0001298E" w:rsidRPr="00675CC2">
        <w:rPr>
          <w:lang w:val="en-AU"/>
        </w:rPr>
        <w:t xml:space="preserve"> defining charity</w:t>
      </w:r>
      <w:r w:rsidR="0001298E" w:rsidRPr="009E7B69">
        <w:t>,</w:t>
      </w:r>
      <w:r w:rsidRPr="009E7B69">
        <w:t xml:space="preserve"> </w:t>
      </w:r>
      <w:r w:rsidRPr="009E7B69">
        <w:rPr>
          <w:shd w:val="clear" w:color="auto" w:fill="FFFFFF"/>
          <w:rtl/>
        </w:rPr>
        <w:t>צדקה</w:t>
      </w:r>
      <w:r w:rsidR="0001298E" w:rsidRPr="009E7B69">
        <w:t xml:space="preserve">, </w:t>
      </w:r>
      <w:r w:rsidR="00BA5869" w:rsidRPr="00675CC2">
        <w:rPr>
          <w:lang w:val="en-AU"/>
        </w:rPr>
        <w:t>the amount that a poor person g</w:t>
      </w:r>
      <w:r w:rsidR="00E713CF" w:rsidRPr="00675CC2">
        <w:rPr>
          <w:lang w:val="en-AU"/>
        </w:rPr>
        <w:t>ave</w:t>
      </w:r>
      <w:r w:rsidR="00BA5869" w:rsidRPr="00675CC2">
        <w:rPr>
          <w:lang w:val="en-AU"/>
        </w:rPr>
        <w:t xml:space="preserve"> </w:t>
      </w:r>
      <w:r w:rsidR="00EB4751" w:rsidRPr="00675CC2">
        <w:rPr>
          <w:lang w:val="en-AU"/>
        </w:rPr>
        <w:t xml:space="preserve">was not </w:t>
      </w:r>
      <w:r w:rsidR="0001298E" w:rsidRPr="00675CC2">
        <w:rPr>
          <w:lang w:val="en-AU"/>
        </w:rPr>
        <w:t>considered</w:t>
      </w:r>
      <w:r w:rsidR="00BA5869" w:rsidRPr="00675CC2">
        <w:rPr>
          <w:lang w:val="en-AU"/>
        </w:rPr>
        <w:t xml:space="preserve"> a way to </w:t>
      </w:r>
      <w:r w:rsidR="00EB4751" w:rsidRPr="00675CC2">
        <w:rPr>
          <w:lang w:val="en-AU"/>
        </w:rPr>
        <w:t>determine</w:t>
      </w:r>
      <w:r w:rsidR="00BA5869" w:rsidRPr="00675CC2">
        <w:rPr>
          <w:lang w:val="en-AU"/>
        </w:rPr>
        <w:t xml:space="preserve"> if they </w:t>
      </w:r>
      <w:r w:rsidR="00EB4751" w:rsidRPr="00675CC2">
        <w:rPr>
          <w:lang w:val="en-AU"/>
        </w:rPr>
        <w:t>we</w:t>
      </w:r>
      <w:r w:rsidR="00BA5869" w:rsidRPr="00675CC2">
        <w:rPr>
          <w:lang w:val="en-AU"/>
        </w:rPr>
        <w:t>re giving to God with faith</w:t>
      </w:r>
      <w:r w:rsidR="00BA5869" w:rsidRPr="009E7B69">
        <w:t xml:space="preserve">. </w:t>
      </w:r>
      <w:r w:rsidR="001E29E2" w:rsidRPr="009E7B69">
        <w:rPr>
          <w:shd w:val="clear" w:color="auto" w:fill="FFFFFF"/>
          <w:rtl/>
        </w:rPr>
        <w:t>צדקה</w:t>
      </w:r>
      <w:r w:rsidR="001E29E2" w:rsidRPr="009E7B69">
        <w:t xml:space="preserve"> </w:t>
      </w:r>
      <w:r w:rsidR="001E29E2" w:rsidRPr="00675CC2">
        <w:rPr>
          <w:lang w:val="en-AU"/>
        </w:rPr>
        <w:t>in</w:t>
      </w:r>
      <w:r w:rsidR="00BA5869" w:rsidRPr="00675CC2">
        <w:rPr>
          <w:lang w:val="en-AU"/>
        </w:rPr>
        <w:t xml:space="preserve"> connection with</w:t>
      </w:r>
      <w:r w:rsidR="00BA5869" w:rsidRPr="009E7B69">
        <w:t xml:space="preserve"> </w:t>
      </w:r>
      <w:r w:rsidR="00BA5869" w:rsidRPr="009E7B69">
        <w:rPr>
          <w:shd w:val="clear" w:color="auto" w:fill="FFFFFF"/>
        </w:rPr>
        <w:t>עָנִי מַעְשַׂר</w:t>
      </w:r>
      <w:r w:rsidR="00BA5869" w:rsidRPr="009E7B69">
        <w:t xml:space="preserve"> </w:t>
      </w:r>
      <w:r w:rsidR="00240B48" w:rsidRPr="00675CC2">
        <w:rPr>
          <w:lang w:val="en-AU"/>
        </w:rPr>
        <w:t>considered</w:t>
      </w:r>
      <w:r w:rsidR="00BA5869" w:rsidRPr="00675CC2">
        <w:rPr>
          <w:lang w:val="en-AU"/>
        </w:rPr>
        <w:t xml:space="preserve">  the poor </w:t>
      </w:r>
      <w:r w:rsidR="00240B48" w:rsidRPr="00675CC2">
        <w:rPr>
          <w:lang w:val="en-AU"/>
        </w:rPr>
        <w:t xml:space="preserve">in </w:t>
      </w:r>
      <w:r w:rsidR="00BA5869" w:rsidRPr="00675CC2">
        <w:rPr>
          <w:lang w:val="en-AU"/>
        </w:rPr>
        <w:t xml:space="preserve">society and </w:t>
      </w:r>
      <w:r w:rsidR="001E415F" w:rsidRPr="00675CC2">
        <w:rPr>
          <w:lang w:val="en-AU"/>
        </w:rPr>
        <w:t>the need to take</w:t>
      </w:r>
      <w:r w:rsidR="00BA5869" w:rsidRPr="00675CC2">
        <w:rPr>
          <w:lang w:val="en-AU"/>
        </w:rPr>
        <w:t xml:space="preserve"> care of them.  When given the context of the New Testament stories of </w:t>
      </w:r>
      <w:r w:rsidR="001E415F" w:rsidRPr="00675CC2">
        <w:rPr>
          <w:lang w:val="en-AU"/>
        </w:rPr>
        <w:t>the w</w:t>
      </w:r>
      <w:r w:rsidR="00BA5869" w:rsidRPr="00675CC2">
        <w:rPr>
          <w:lang w:val="en-AU"/>
        </w:rPr>
        <w:t>idow</w:t>
      </w:r>
      <w:r w:rsidR="005C71CB" w:rsidRPr="00675CC2">
        <w:rPr>
          <w:lang w:val="en-AU"/>
        </w:rPr>
        <w:t>’</w:t>
      </w:r>
      <w:r w:rsidR="00BA5869" w:rsidRPr="00675CC2">
        <w:rPr>
          <w:lang w:val="en-AU"/>
        </w:rPr>
        <w:t xml:space="preserve">s </w:t>
      </w:r>
      <w:r w:rsidR="001E415F" w:rsidRPr="00675CC2">
        <w:rPr>
          <w:lang w:val="en-AU"/>
        </w:rPr>
        <w:t>o</w:t>
      </w:r>
      <w:r w:rsidR="00BA5869" w:rsidRPr="00675CC2">
        <w:rPr>
          <w:lang w:val="en-AU"/>
        </w:rPr>
        <w:t xml:space="preserve">ffering </w:t>
      </w:r>
      <w:r w:rsidR="004C7F40" w:rsidRPr="00675CC2">
        <w:rPr>
          <w:lang w:val="en-AU"/>
        </w:rPr>
        <w:t>(</w:t>
      </w:r>
      <w:r w:rsidR="00BA5869" w:rsidRPr="00675CC2">
        <w:rPr>
          <w:lang w:val="en-AU"/>
        </w:rPr>
        <w:t>Mark 12:41</w:t>
      </w:r>
      <w:r w:rsidR="004C7F40" w:rsidRPr="00675CC2">
        <w:rPr>
          <w:lang w:val="en-AU"/>
        </w:rPr>
        <w:t>–</w:t>
      </w:r>
      <w:r w:rsidR="00BA5869" w:rsidRPr="00675CC2">
        <w:rPr>
          <w:lang w:val="en-AU"/>
        </w:rPr>
        <w:t>44</w:t>
      </w:r>
      <w:r w:rsidR="004C7F40" w:rsidRPr="00675CC2">
        <w:rPr>
          <w:lang w:val="en-AU"/>
        </w:rPr>
        <w:t xml:space="preserve">; </w:t>
      </w:r>
      <w:r w:rsidR="00BA5869" w:rsidRPr="00675CC2">
        <w:rPr>
          <w:lang w:val="en-AU"/>
        </w:rPr>
        <w:t>Luke 21:1</w:t>
      </w:r>
      <w:r w:rsidR="004C7F40" w:rsidRPr="00675CC2">
        <w:rPr>
          <w:lang w:val="en-AU"/>
        </w:rPr>
        <w:t>–</w:t>
      </w:r>
      <w:r w:rsidR="00BA5869" w:rsidRPr="00675CC2">
        <w:rPr>
          <w:lang w:val="en-AU"/>
        </w:rPr>
        <w:t>4</w:t>
      </w:r>
      <w:r w:rsidR="004C7F40" w:rsidRPr="00675CC2">
        <w:rPr>
          <w:lang w:val="en-AU"/>
        </w:rPr>
        <w:t>)</w:t>
      </w:r>
      <w:r w:rsidR="00BA5869" w:rsidRPr="00675CC2">
        <w:rPr>
          <w:lang w:val="en-AU"/>
        </w:rPr>
        <w:t xml:space="preserve">, the historical context of the story sheds light on those around the </w:t>
      </w:r>
      <w:r w:rsidR="009B3D21" w:rsidRPr="00675CC2">
        <w:rPr>
          <w:lang w:val="en-AU"/>
        </w:rPr>
        <w:t>w</w:t>
      </w:r>
      <w:r w:rsidR="00BA5869" w:rsidRPr="00675CC2">
        <w:rPr>
          <w:lang w:val="en-AU"/>
        </w:rPr>
        <w:t>idow.  The rich were to take care of the poor</w:t>
      </w:r>
      <w:r w:rsidR="004C1A36">
        <w:rPr>
          <w:lang w:val="en-AU"/>
        </w:rPr>
        <w:t>.</w:t>
      </w:r>
      <w:r w:rsidR="00BA5869" w:rsidRPr="00675CC2">
        <w:rPr>
          <w:lang w:val="en-AU"/>
        </w:rPr>
        <w:t xml:space="preserve"> </w:t>
      </w:r>
      <w:r w:rsidR="004C1A36">
        <w:rPr>
          <w:lang w:val="en-AU"/>
        </w:rPr>
        <w:t>The story of Jesus and widow’s mite s</w:t>
      </w:r>
      <w:r w:rsidR="00BA5869" w:rsidRPr="00675CC2">
        <w:rPr>
          <w:lang w:val="en-AU"/>
        </w:rPr>
        <w:t>hed</w:t>
      </w:r>
      <w:r w:rsidR="004C1A36">
        <w:rPr>
          <w:lang w:val="en-AU"/>
        </w:rPr>
        <w:t>s</w:t>
      </w:r>
      <w:r w:rsidR="00BA5869" w:rsidRPr="00675CC2">
        <w:rPr>
          <w:lang w:val="en-AU"/>
        </w:rPr>
        <w:t xml:space="preserve"> light on the </w:t>
      </w:r>
      <w:r w:rsidR="009B3D21" w:rsidRPr="00675CC2">
        <w:rPr>
          <w:lang w:val="en-AU"/>
        </w:rPr>
        <w:t>w</w:t>
      </w:r>
      <w:r w:rsidR="00BA5869" w:rsidRPr="00675CC2">
        <w:rPr>
          <w:lang w:val="en-AU"/>
        </w:rPr>
        <w:t>idow</w:t>
      </w:r>
      <w:r w:rsidR="005C71CB" w:rsidRPr="00675CC2">
        <w:rPr>
          <w:lang w:val="en-AU"/>
        </w:rPr>
        <w:t>’</w:t>
      </w:r>
      <w:r w:rsidR="00BA5869" w:rsidRPr="00675CC2">
        <w:rPr>
          <w:lang w:val="en-AU"/>
        </w:rPr>
        <w:t>s contribution</w:t>
      </w:r>
      <w:r w:rsidR="00BA5869" w:rsidRPr="009E7B69">
        <w:t xml:space="preserve">.  </w:t>
      </w:r>
      <w:r w:rsidR="001E29E2" w:rsidRPr="009E7B69">
        <w:rPr>
          <w:shd w:val="clear" w:color="auto" w:fill="FFFFFF"/>
        </w:rPr>
        <w:t>עָנִי מַעְשַׂר,</w:t>
      </w:r>
      <w:r w:rsidR="001E29E2" w:rsidRPr="009E7B69" w:rsidDel="001E29E2">
        <w:t xml:space="preserve"> </w:t>
      </w:r>
      <w:r w:rsidR="001E29E2" w:rsidRPr="00675CC2">
        <w:rPr>
          <w:lang w:val="en-AU"/>
        </w:rPr>
        <w:t>specifically</w:t>
      </w:r>
      <w:r w:rsidR="001E29E2" w:rsidRPr="009E7B69">
        <w:t xml:space="preserve"> </w:t>
      </w:r>
      <w:r w:rsidR="001E29E2" w:rsidRPr="009E7B69">
        <w:rPr>
          <w:shd w:val="clear" w:color="auto" w:fill="FFFFFF"/>
          <w:rtl/>
        </w:rPr>
        <w:t>צדקה</w:t>
      </w:r>
      <w:r w:rsidR="001E29E2" w:rsidRPr="009E7B69">
        <w:rPr>
          <w:shd w:val="clear" w:color="auto" w:fill="FFFFFF"/>
        </w:rPr>
        <w:t xml:space="preserve">, </w:t>
      </w:r>
      <w:r w:rsidR="001E29E2" w:rsidRPr="00675CC2">
        <w:rPr>
          <w:shd w:val="clear" w:color="auto" w:fill="FFFFFF"/>
          <w:lang w:val="en-AU"/>
        </w:rPr>
        <w:t>is about the ethic</w:t>
      </w:r>
      <w:r w:rsidR="001C7E6D" w:rsidRPr="00675CC2">
        <w:rPr>
          <w:shd w:val="clear" w:color="auto" w:fill="FFFFFF"/>
          <w:lang w:val="en-AU"/>
        </w:rPr>
        <w:t>s of the</w:t>
      </w:r>
      <w:r w:rsidR="001E29E2" w:rsidRPr="00675CC2">
        <w:rPr>
          <w:shd w:val="clear" w:color="auto" w:fill="FFFFFF"/>
          <w:lang w:val="en-AU"/>
        </w:rPr>
        <w:t xml:space="preserve"> behavio</w:t>
      </w:r>
      <w:r w:rsidR="009B3D21" w:rsidRPr="00675CC2">
        <w:rPr>
          <w:shd w:val="clear" w:color="auto" w:fill="FFFFFF"/>
          <w:lang w:val="en-AU"/>
        </w:rPr>
        <w:t>u</w:t>
      </w:r>
      <w:r w:rsidR="001E29E2" w:rsidRPr="00675CC2">
        <w:rPr>
          <w:shd w:val="clear" w:color="auto" w:fill="FFFFFF"/>
          <w:lang w:val="en-AU"/>
        </w:rPr>
        <w:t xml:space="preserve">r we </w:t>
      </w:r>
      <w:r w:rsidR="001C7E6D" w:rsidRPr="00675CC2">
        <w:rPr>
          <w:shd w:val="clear" w:color="auto" w:fill="FFFFFF"/>
          <w:lang w:val="en-AU"/>
        </w:rPr>
        <w:t>show</w:t>
      </w:r>
      <w:r w:rsidR="001E29E2" w:rsidRPr="00675CC2">
        <w:rPr>
          <w:shd w:val="clear" w:color="auto" w:fill="FFFFFF"/>
          <w:lang w:val="en-AU"/>
        </w:rPr>
        <w:t xml:space="preserve"> towards others by doing good and loving the community around us.</w:t>
      </w:r>
      <w:r w:rsidR="001E29E2" w:rsidRPr="009E7B69">
        <w:rPr>
          <w:shd w:val="clear" w:color="auto" w:fill="FFFFFF"/>
        </w:rPr>
        <w:t xml:space="preserve"> </w:t>
      </w:r>
      <w:r w:rsidR="001E29E2" w:rsidRPr="009E7B69">
        <w:t xml:space="preserve"> </w:t>
      </w:r>
    </w:p>
    <w:p w14:paraId="6F6F7580" w14:textId="18345D65" w:rsidR="00010BA6" w:rsidRPr="00675CC2" w:rsidRDefault="00A14558" w:rsidP="000E2D4F">
      <w:pPr>
        <w:spacing w:line="480" w:lineRule="auto"/>
        <w:contextualSpacing/>
        <w:rPr>
          <w:lang w:val="en-AU"/>
        </w:rPr>
      </w:pPr>
      <w:r w:rsidRPr="009E7B69">
        <w:tab/>
      </w:r>
      <w:r w:rsidR="001C7E6D" w:rsidRPr="00675CC2">
        <w:rPr>
          <w:lang w:val="en-AU"/>
        </w:rPr>
        <w:t>In t</w:t>
      </w:r>
      <w:r w:rsidR="00705C8A" w:rsidRPr="00675CC2">
        <w:rPr>
          <w:lang w:val="en-AU"/>
        </w:rPr>
        <w:t>he Jewish c</w:t>
      </w:r>
      <w:r w:rsidR="00FA67FE" w:rsidRPr="00675CC2">
        <w:rPr>
          <w:lang w:val="en-AU"/>
        </w:rPr>
        <w:t xml:space="preserve">ommunity </w:t>
      </w:r>
      <w:r w:rsidR="001C7E6D" w:rsidRPr="00675CC2">
        <w:rPr>
          <w:lang w:val="en-AU"/>
        </w:rPr>
        <w:t xml:space="preserve">the way </w:t>
      </w:r>
      <w:r w:rsidR="00FA67FE" w:rsidRPr="00675CC2">
        <w:rPr>
          <w:lang w:val="en-AU"/>
        </w:rPr>
        <w:t>in which a person helps other</w:t>
      </w:r>
      <w:r w:rsidR="00705C8A" w:rsidRPr="00675CC2">
        <w:rPr>
          <w:lang w:val="en-AU"/>
        </w:rPr>
        <w:t>s</w:t>
      </w:r>
      <w:r w:rsidR="00FA67FE" w:rsidRPr="00675CC2">
        <w:rPr>
          <w:lang w:val="en-AU"/>
        </w:rPr>
        <w:t xml:space="preserve"> </w:t>
      </w:r>
      <w:r w:rsidR="00975641" w:rsidRPr="00675CC2">
        <w:rPr>
          <w:lang w:val="en-AU"/>
        </w:rPr>
        <w:t>is a measure of that person</w:t>
      </w:r>
      <w:r w:rsidR="005C71CB" w:rsidRPr="00675CC2">
        <w:rPr>
          <w:lang w:val="en-AU"/>
        </w:rPr>
        <w:t>’</w:t>
      </w:r>
      <w:r w:rsidR="00975641" w:rsidRPr="00675CC2">
        <w:rPr>
          <w:lang w:val="en-AU"/>
        </w:rPr>
        <w:t>s ethical standards</w:t>
      </w:r>
      <w:r w:rsidR="00010BA6" w:rsidRPr="00675CC2">
        <w:rPr>
          <w:lang w:val="en-AU"/>
        </w:rPr>
        <w:t xml:space="preserve">. </w:t>
      </w:r>
      <w:r w:rsidR="00010BA6" w:rsidRPr="00675CC2">
        <w:rPr>
          <w:i/>
          <w:lang w:val="en-AU"/>
        </w:rPr>
        <w:t xml:space="preserve">Mishna Avot </w:t>
      </w:r>
      <w:r w:rsidR="00010BA6" w:rsidRPr="00675CC2">
        <w:rPr>
          <w:lang w:val="en-AU"/>
        </w:rPr>
        <w:t>2:</w:t>
      </w:r>
      <w:r w:rsidR="008F4B0F" w:rsidRPr="00675CC2">
        <w:rPr>
          <w:lang w:val="en-AU"/>
        </w:rPr>
        <w:t xml:space="preserve">4 </w:t>
      </w:r>
      <w:r w:rsidR="00010BA6" w:rsidRPr="00675CC2">
        <w:rPr>
          <w:lang w:val="en-AU"/>
        </w:rPr>
        <w:t xml:space="preserve">states: </w:t>
      </w:r>
      <w:r w:rsidR="00863B47" w:rsidRPr="00675CC2">
        <w:rPr>
          <w:lang w:val="en-AU"/>
        </w:rPr>
        <w:t>“</w:t>
      </w:r>
      <w:r w:rsidR="00010BA6" w:rsidRPr="00675CC2">
        <w:rPr>
          <w:lang w:val="en-AU"/>
        </w:rPr>
        <w:t xml:space="preserve">Hillel said: </w:t>
      </w:r>
      <w:r w:rsidR="005C71CB" w:rsidRPr="00675CC2">
        <w:rPr>
          <w:lang w:val="en-AU"/>
        </w:rPr>
        <w:t>‘</w:t>
      </w:r>
      <w:r w:rsidR="00010BA6" w:rsidRPr="00675CC2">
        <w:rPr>
          <w:lang w:val="en-AU"/>
        </w:rPr>
        <w:t>Do not separate yourself from the community; and do not trust in yourself until the day of your death. Do not judge your fellow until you are in his place.</w:t>
      </w:r>
      <w:r w:rsidR="005C71CB" w:rsidRPr="00675CC2">
        <w:rPr>
          <w:lang w:val="en-AU"/>
        </w:rPr>
        <w:t>’</w:t>
      </w:r>
      <w:r w:rsidR="00863B47" w:rsidRPr="00675CC2">
        <w:rPr>
          <w:lang w:val="en-AU"/>
        </w:rPr>
        <w:t>”</w:t>
      </w:r>
      <w:r w:rsidR="00010BA6" w:rsidRPr="00675CC2">
        <w:rPr>
          <w:lang w:val="en-AU"/>
        </w:rPr>
        <w:t xml:space="preserve"> </w:t>
      </w:r>
      <w:r w:rsidR="00975641" w:rsidRPr="00675CC2">
        <w:rPr>
          <w:lang w:val="en-AU"/>
        </w:rPr>
        <w:t xml:space="preserve">Not working with the common good </w:t>
      </w:r>
      <w:r w:rsidR="00E35F2F" w:rsidRPr="00675CC2">
        <w:rPr>
          <w:lang w:val="en-AU"/>
        </w:rPr>
        <w:t>in mind reveals a lack of</w:t>
      </w:r>
      <w:r w:rsidR="00975641" w:rsidRPr="00675CC2">
        <w:rPr>
          <w:lang w:val="en-AU"/>
        </w:rPr>
        <w:t xml:space="preserve"> </w:t>
      </w:r>
      <w:r w:rsidR="00FA67FE" w:rsidRPr="00675CC2">
        <w:rPr>
          <w:lang w:val="en-AU"/>
        </w:rPr>
        <w:t>a sense of communit</w:t>
      </w:r>
      <w:r w:rsidR="004C1A36">
        <w:rPr>
          <w:lang w:val="en-AU"/>
        </w:rPr>
        <w:t>y</w:t>
      </w:r>
      <w:r w:rsidR="00FA67FE" w:rsidRPr="00675CC2">
        <w:rPr>
          <w:lang w:val="en-AU"/>
        </w:rPr>
        <w:t xml:space="preserve">. </w:t>
      </w:r>
      <w:r w:rsidR="00E35F2F" w:rsidRPr="00675CC2">
        <w:rPr>
          <w:lang w:val="en-AU"/>
        </w:rPr>
        <w:t>R</w:t>
      </w:r>
      <w:r w:rsidR="00FA67FE" w:rsidRPr="00675CC2">
        <w:rPr>
          <w:lang w:val="en-AU"/>
        </w:rPr>
        <w:t>emaining in community</w:t>
      </w:r>
      <w:r w:rsidR="00E35F2F" w:rsidRPr="00675CC2">
        <w:rPr>
          <w:lang w:val="en-AU"/>
        </w:rPr>
        <w:t xml:space="preserve"> means</w:t>
      </w:r>
      <w:r w:rsidR="00FA67FE" w:rsidRPr="00675CC2">
        <w:rPr>
          <w:lang w:val="en-AU"/>
        </w:rPr>
        <w:t xml:space="preserve"> remain</w:t>
      </w:r>
      <w:r w:rsidR="00E35F2F" w:rsidRPr="00675CC2">
        <w:rPr>
          <w:lang w:val="en-AU"/>
        </w:rPr>
        <w:t>ing</w:t>
      </w:r>
      <w:r w:rsidR="00FA67FE" w:rsidRPr="00675CC2">
        <w:rPr>
          <w:lang w:val="en-AU"/>
        </w:rPr>
        <w:t xml:space="preserve"> in a Jewish lifestyle.</w:t>
      </w:r>
      <w:r w:rsidR="00010BA6" w:rsidRPr="00675CC2">
        <w:rPr>
          <w:rStyle w:val="FootnoteReference"/>
          <w:lang w:val="en-AU"/>
        </w:rPr>
        <w:footnoteReference w:id="433"/>
      </w:r>
      <w:r w:rsidR="00010BA6" w:rsidRPr="00675CC2">
        <w:rPr>
          <w:lang w:val="en-AU"/>
        </w:rPr>
        <w:t xml:space="preserve"> According to the Oral Law from the time of Jesus found in the traditions recorded in </w:t>
      </w:r>
      <w:r w:rsidR="00010BA6" w:rsidRPr="00675CC2">
        <w:rPr>
          <w:i/>
          <w:iCs/>
          <w:lang w:val="en-AU"/>
        </w:rPr>
        <w:t>Mishna Avot</w:t>
      </w:r>
      <w:r w:rsidR="00010BA6" w:rsidRPr="00675CC2">
        <w:rPr>
          <w:lang w:val="en-AU"/>
        </w:rPr>
        <w:t>,</w:t>
      </w:r>
      <w:r w:rsidR="00327A00" w:rsidRPr="00675CC2">
        <w:rPr>
          <w:lang w:val="en-AU"/>
        </w:rPr>
        <w:t xml:space="preserve"> a person is to focus on the community around them</w:t>
      </w:r>
      <w:r w:rsidR="00F45DE0" w:rsidRPr="00675CC2">
        <w:rPr>
          <w:lang w:val="en-AU"/>
        </w:rPr>
        <w:t xml:space="preserve"> rat</w:t>
      </w:r>
      <w:r w:rsidR="002F3818" w:rsidRPr="00675CC2">
        <w:rPr>
          <w:lang w:val="en-AU"/>
        </w:rPr>
        <w:t xml:space="preserve">her </w:t>
      </w:r>
      <w:r w:rsidR="00327A00" w:rsidRPr="00675CC2">
        <w:rPr>
          <w:lang w:val="en-AU"/>
        </w:rPr>
        <w:t>than be</w:t>
      </w:r>
      <w:r w:rsidR="002F3818" w:rsidRPr="00675CC2">
        <w:rPr>
          <w:lang w:val="en-AU"/>
        </w:rPr>
        <w:t>ing</w:t>
      </w:r>
      <w:r w:rsidR="00327A00" w:rsidRPr="00675CC2">
        <w:rPr>
          <w:lang w:val="en-AU"/>
        </w:rPr>
        <w:t xml:space="preserve"> </w:t>
      </w:r>
      <w:r w:rsidR="00FB1E79" w:rsidRPr="00675CC2">
        <w:rPr>
          <w:lang w:val="en-AU"/>
        </w:rPr>
        <w:t>self-centred</w:t>
      </w:r>
      <w:r w:rsidR="00327A00" w:rsidRPr="00675CC2">
        <w:rPr>
          <w:lang w:val="en-AU"/>
        </w:rPr>
        <w:t>.</w:t>
      </w:r>
      <w:r w:rsidR="00010BA6" w:rsidRPr="00675CC2">
        <w:rPr>
          <w:rStyle w:val="FootnoteReference"/>
          <w:lang w:val="en-AU"/>
        </w:rPr>
        <w:footnoteReference w:id="434"/>
      </w:r>
      <w:r w:rsidR="00010BA6" w:rsidRPr="00675CC2">
        <w:rPr>
          <w:lang w:val="en-AU"/>
        </w:rPr>
        <w:t xml:space="preserve"> </w:t>
      </w:r>
      <w:r w:rsidR="00327A00" w:rsidRPr="00675CC2">
        <w:rPr>
          <w:lang w:val="en-AU"/>
        </w:rPr>
        <w:t xml:space="preserve">Shapiro </w:t>
      </w:r>
      <w:r w:rsidR="004820EA" w:rsidRPr="00675CC2">
        <w:rPr>
          <w:lang w:val="en-AU"/>
        </w:rPr>
        <w:t>suggests “</w:t>
      </w:r>
      <w:r w:rsidR="00010BA6" w:rsidRPr="00675CC2">
        <w:rPr>
          <w:lang w:val="en-AU"/>
        </w:rPr>
        <w:t xml:space="preserve">working for the welfare of the community aligns the community behind you, strengthening your efforts and maximizing results. And while your </w:t>
      </w:r>
      <w:r w:rsidR="00010BA6" w:rsidRPr="00675CC2">
        <w:rPr>
          <w:lang w:val="en-AU"/>
        </w:rPr>
        <w:lastRenderedPageBreak/>
        <w:t>success will depend on the support of the community, the credit will be yours nonetheless.</w:t>
      </w:r>
      <w:r w:rsidR="00863B47" w:rsidRPr="00675CC2">
        <w:rPr>
          <w:lang w:val="en-AU"/>
        </w:rPr>
        <w:t>”</w:t>
      </w:r>
      <w:r w:rsidR="00010BA6" w:rsidRPr="00675CC2">
        <w:rPr>
          <w:rStyle w:val="FootnoteReference"/>
          <w:lang w:val="en-AU"/>
        </w:rPr>
        <w:footnoteReference w:id="435"/>
      </w:r>
      <w:r w:rsidR="00010BA6" w:rsidRPr="00675CC2">
        <w:rPr>
          <w:lang w:val="en-AU"/>
        </w:rPr>
        <w:t xml:space="preserve"> Jesus fed his community.</w:t>
      </w:r>
      <w:r w:rsidR="00010BA6" w:rsidRPr="00675CC2">
        <w:rPr>
          <w:rStyle w:val="FootnoteReference"/>
          <w:lang w:val="en-AU"/>
        </w:rPr>
        <w:footnoteReference w:id="436"/>
      </w:r>
      <w:r w:rsidR="00010BA6" w:rsidRPr="00675CC2">
        <w:rPr>
          <w:lang w:val="en-AU"/>
        </w:rPr>
        <w:t xml:space="preserve"> Jesus healed his community. These acts of charity to the community were not self-serving in nature or</w:t>
      </w:r>
      <w:r w:rsidR="00596F6A" w:rsidRPr="00675CC2">
        <w:rPr>
          <w:lang w:val="en-AU"/>
        </w:rPr>
        <w:t xml:space="preserve"> done to</w:t>
      </w:r>
      <w:r w:rsidR="00010BA6" w:rsidRPr="00675CC2">
        <w:rPr>
          <w:lang w:val="en-AU"/>
        </w:rPr>
        <w:t xml:space="preserve"> generat</w:t>
      </w:r>
      <w:r w:rsidR="00596F6A" w:rsidRPr="00675CC2">
        <w:rPr>
          <w:lang w:val="en-AU"/>
        </w:rPr>
        <w:t xml:space="preserve">e </w:t>
      </w:r>
      <w:r w:rsidR="00010BA6" w:rsidRPr="00675CC2">
        <w:rPr>
          <w:lang w:val="en-AU"/>
        </w:rPr>
        <w:t xml:space="preserve">personal wealth; on the contrary, they taught a lesson </w:t>
      </w:r>
      <w:r w:rsidR="00BA0EC5" w:rsidRPr="00675CC2">
        <w:rPr>
          <w:lang w:val="en-AU"/>
        </w:rPr>
        <w:t xml:space="preserve">about </w:t>
      </w:r>
      <w:r w:rsidR="00984785" w:rsidRPr="00675CC2">
        <w:rPr>
          <w:lang w:val="en-AU"/>
        </w:rPr>
        <w:t>focus</w:t>
      </w:r>
      <w:r w:rsidR="00BA0EC5" w:rsidRPr="00675CC2">
        <w:rPr>
          <w:lang w:val="en-AU"/>
        </w:rPr>
        <w:t>ing</w:t>
      </w:r>
      <w:r w:rsidR="00984785" w:rsidRPr="00675CC2">
        <w:rPr>
          <w:lang w:val="en-AU"/>
        </w:rPr>
        <w:t xml:space="preserve"> on the community</w:t>
      </w:r>
      <w:r w:rsidR="00010BA6" w:rsidRPr="00675CC2">
        <w:rPr>
          <w:lang w:val="en-AU"/>
        </w:rPr>
        <w:t>.</w:t>
      </w:r>
    </w:p>
    <w:p w14:paraId="21FBA597" w14:textId="6F09B52A" w:rsidR="00010BA6" w:rsidRPr="009E7B69" w:rsidRDefault="007802A2" w:rsidP="003A655D">
      <w:pPr>
        <w:pStyle w:val="C11st-levelchapterparagraph"/>
        <w:rPr>
          <w:sz w:val="24"/>
          <w:szCs w:val="24"/>
        </w:rPr>
      </w:pPr>
      <w:bookmarkStart w:id="146" w:name="_Toc94537024"/>
      <w:r w:rsidRPr="009E7B69">
        <w:rPr>
          <w:sz w:val="24"/>
          <w:szCs w:val="24"/>
        </w:rPr>
        <w:t>7.3</w:t>
      </w:r>
      <w:r w:rsidR="00010BA6" w:rsidRPr="009E7B69">
        <w:rPr>
          <w:sz w:val="24"/>
          <w:szCs w:val="24"/>
        </w:rPr>
        <w:t xml:space="preserve"> </w:t>
      </w:r>
      <w:r w:rsidR="00010BA6" w:rsidRPr="009E7B69">
        <w:rPr>
          <w:sz w:val="24"/>
          <w:szCs w:val="24"/>
          <w:shd w:val="clear" w:color="auto" w:fill="FFFFFF"/>
          <w:rtl/>
        </w:rPr>
        <w:t>צדקה</w:t>
      </w:r>
      <w:r w:rsidR="00010BA6" w:rsidRPr="009E7B69">
        <w:rPr>
          <w:i/>
          <w:iCs/>
          <w:sz w:val="24"/>
          <w:szCs w:val="24"/>
        </w:rPr>
        <w:t xml:space="preserve"> </w:t>
      </w:r>
      <w:r w:rsidR="00924E90" w:rsidRPr="009E7B69">
        <w:rPr>
          <w:sz w:val="24"/>
          <w:szCs w:val="24"/>
        </w:rPr>
        <w:t>a</w:t>
      </w:r>
      <w:r w:rsidR="00B51565" w:rsidRPr="009E7B69">
        <w:rPr>
          <w:sz w:val="24"/>
          <w:szCs w:val="24"/>
        </w:rPr>
        <w:t xml:space="preserve">nd </w:t>
      </w:r>
      <w:r w:rsidR="00A909C6" w:rsidRPr="009E7B69">
        <w:rPr>
          <w:sz w:val="24"/>
          <w:szCs w:val="24"/>
        </w:rPr>
        <w:t xml:space="preserve">Helping the </w:t>
      </w:r>
      <w:r w:rsidR="00924E90" w:rsidRPr="009E7B69">
        <w:rPr>
          <w:sz w:val="24"/>
          <w:szCs w:val="24"/>
        </w:rPr>
        <w:t>U</w:t>
      </w:r>
      <w:r w:rsidR="00B51565" w:rsidRPr="009E7B69">
        <w:rPr>
          <w:sz w:val="24"/>
          <w:szCs w:val="24"/>
        </w:rPr>
        <w:t>nderprivileged</w:t>
      </w:r>
      <w:bookmarkEnd w:id="146"/>
    </w:p>
    <w:p w14:paraId="62352D55" w14:textId="1FCEA066" w:rsidR="0006068B" w:rsidRPr="00675CC2" w:rsidRDefault="00010BA6" w:rsidP="00BA6BB0">
      <w:pPr>
        <w:spacing w:line="480" w:lineRule="auto"/>
        <w:contextualSpacing/>
        <w:rPr>
          <w:lang w:val="en-AU"/>
        </w:rPr>
      </w:pPr>
      <w:r w:rsidRPr="009E7B69">
        <w:tab/>
      </w:r>
      <w:r w:rsidRPr="00675CC2">
        <w:rPr>
          <w:lang w:val="en-AU"/>
        </w:rPr>
        <w:t xml:space="preserve">The </w:t>
      </w:r>
      <w:r w:rsidRPr="00675CC2">
        <w:rPr>
          <w:i/>
          <w:iCs/>
          <w:lang w:val="en-AU"/>
        </w:rPr>
        <w:t>Mishna Avot</w:t>
      </w:r>
      <w:r w:rsidR="00D07AB6" w:rsidRPr="00675CC2">
        <w:rPr>
          <w:i/>
          <w:iCs/>
          <w:lang w:val="en-AU"/>
        </w:rPr>
        <w:t>,</w:t>
      </w:r>
      <w:r w:rsidRPr="00675CC2">
        <w:rPr>
          <w:i/>
          <w:iCs/>
          <w:lang w:val="en-AU"/>
        </w:rPr>
        <w:t xml:space="preserve"> </w:t>
      </w:r>
      <w:r w:rsidRPr="00675CC2">
        <w:rPr>
          <w:lang w:val="en-AU"/>
        </w:rPr>
        <w:t xml:space="preserve">through </w:t>
      </w:r>
      <w:r w:rsidR="00D07AB6" w:rsidRPr="00675CC2">
        <w:rPr>
          <w:lang w:val="en-AU"/>
        </w:rPr>
        <w:t>its</w:t>
      </w:r>
      <w:r w:rsidRPr="00675CC2">
        <w:rPr>
          <w:lang w:val="en-AU"/>
        </w:rPr>
        <w:t xml:space="preserve"> understanding</w:t>
      </w:r>
      <w:r w:rsidRPr="009E7B69">
        <w:t xml:space="preserve"> of</w:t>
      </w:r>
      <w:r w:rsidR="00D07AB6" w:rsidRPr="009E7B69">
        <w:t xml:space="preserve"> </w:t>
      </w:r>
      <w:r w:rsidRPr="009E7B69">
        <w:rPr>
          <w:shd w:val="clear" w:color="auto" w:fill="FFFFFF"/>
          <w:rtl/>
        </w:rPr>
        <w:t>צדקה</w:t>
      </w:r>
      <w:r w:rsidR="00D07AB6" w:rsidRPr="009E7B69">
        <w:t xml:space="preserve">, </w:t>
      </w:r>
      <w:r w:rsidR="00E2227F" w:rsidRPr="00675CC2">
        <w:rPr>
          <w:lang w:val="en-AU"/>
        </w:rPr>
        <w:t xml:space="preserve">focuses </w:t>
      </w:r>
      <w:r w:rsidR="00D07AB6" w:rsidRPr="00675CC2">
        <w:rPr>
          <w:lang w:val="en-AU"/>
        </w:rPr>
        <w:t xml:space="preserve">on and </w:t>
      </w:r>
      <w:r w:rsidR="00E2227F" w:rsidRPr="00675CC2">
        <w:rPr>
          <w:lang w:val="en-AU"/>
        </w:rPr>
        <w:t xml:space="preserve">supports </w:t>
      </w:r>
      <w:r w:rsidR="000E7964" w:rsidRPr="00675CC2">
        <w:rPr>
          <w:lang w:val="en-AU"/>
        </w:rPr>
        <w:t>those</w:t>
      </w:r>
      <w:r w:rsidR="00E2227F" w:rsidRPr="00675CC2">
        <w:rPr>
          <w:lang w:val="en-AU"/>
        </w:rPr>
        <w:t xml:space="preserve"> who are </w:t>
      </w:r>
      <w:r w:rsidR="000E7964" w:rsidRPr="00675CC2">
        <w:rPr>
          <w:lang w:val="en-AU"/>
        </w:rPr>
        <w:t>underprivileged</w:t>
      </w:r>
      <w:r w:rsidR="00E2227F" w:rsidRPr="00675CC2">
        <w:rPr>
          <w:lang w:val="en-AU"/>
        </w:rPr>
        <w:t xml:space="preserve"> in society; furthermore, this aligns with </w:t>
      </w:r>
      <w:r w:rsidR="00D07AB6" w:rsidRPr="00675CC2">
        <w:rPr>
          <w:lang w:val="en-AU"/>
        </w:rPr>
        <w:t>the</w:t>
      </w:r>
      <w:r w:rsidR="00E2227F" w:rsidRPr="00675CC2">
        <w:rPr>
          <w:lang w:val="en-AU"/>
        </w:rPr>
        <w:t xml:space="preserve"> ministry of Jesus</w:t>
      </w:r>
      <w:r w:rsidR="00E2227F" w:rsidRPr="009E7B69">
        <w:t>.</w:t>
      </w:r>
      <w:r w:rsidRPr="009E7B69">
        <w:rPr>
          <w:rStyle w:val="FootnoteReference"/>
        </w:rPr>
        <w:footnoteReference w:id="437"/>
      </w:r>
      <w:r w:rsidRPr="009E7B69">
        <w:t xml:space="preserve"> </w:t>
      </w:r>
      <w:r w:rsidR="00E2227F" w:rsidRPr="009E7B69">
        <w:rPr>
          <w:shd w:val="clear" w:color="auto" w:fill="FFFFFF"/>
          <w:rtl/>
        </w:rPr>
        <w:t>צדקה</w:t>
      </w:r>
      <w:r w:rsidR="00E2227F" w:rsidRPr="009E7B69">
        <w:t xml:space="preserve"> </w:t>
      </w:r>
      <w:r w:rsidR="00E2227F" w:rsidRPr="00675CC2">
        <w:rPr>
          <w:lang w:val="en-AU"/>
        </w:rPr>
        <w:t>supports those who are underprivileged and lacking care</w:t>
      </w:r>
      <w:r w:rsidR="004A0702" w:rsidRPr="00675CC2">
        <w:rPr>
          <w:lang w:val="en-AU"/>
        </w:rPr>
        <w:t xml:space="preserve">, </w:t>
      </w:r>
      <w:r w:rsidR="00E2227F" w:rsidRPr="00675CC2">
        <w:rPr>
          <w:lang w:val="en-AU"/>
        </w:rPr>
        <w:t>who are the poorest and hungry</w:t>
      </w:r>
      <w:r w:rsidR="00E2227F" w:rsidRPr="009E7B69">
        <w:t xml:space="preserve">. </w:t>
      </w:r>
      <w:r w:rsidR="00E2227F" w:rsidRPr="009E7B69">
        <w:rPr>
          <w:shd w:val="clear" w:color="auto" w:fill="FFFFFF"/>
          <w:rtl/>
        </w:rPr>
        <w:t>צדקה</w:t>
      </w:r>
      <w:r w:rsidR="00E2227F" w:rsidRPr="009E7B69">
        <w:t xml:space="preserve"> </w:t>
      </w:r>
      <w:r w:rsidR="001723E2" w:rsidRPr="00675CC2">
        <w:rPr>
          <w:lang w:val="en-AU"/>
        </w:rPr>
        <w:t xml:space="preserve">supports </w:t>
      </w:r>
      <w:r w:rsidR="00E2227F" w:rsidRPr="00675CC2">
        <w:rPr>
          <w:lang w:val="en-AU"/>
        </w:rPr>
        <w:t>redistribution</w:t>
      </w:r>
      <w:r w:rsidR="001723E2" w:rsidRPr="00675CC2">
        <w:rPr>
          <w:lang w:val="en-AU"/>
        </w:rPr>
        <w:t xml:space="preserve"> of charity.</w:t>
      </w:r>
      <w:r w:rsidR="00E2227F" w:rsidRPr="00675CC2">
        <w:rPr>
          <w:lang w:val="en-AU"/>
        </w:rPr>
        <w:t xml:space="preserve"> For example, if your crop </w:t>
      </w:r>
      <w:r w:rsidR="000E7964" w:rsidRPr="00675CC2">
        <w:rPr>
          <w:lang w:val="en-AU"/>
        </w:rPr>
        <w:t>yields</w:t>
      </w:r>
      <w:r w:rsidR="00E2227F" w:rsidRPr="00675CC2">
        <w:rPr>
          <w:lang w:val="en-AU"/>
        </w:rPr>
        <w:t xml:space="preserve"> new grap</w:t>
      </w:r>
      <w:r w:rsidR="000E7964" w:rsidRPr="00675CC2">
        <w:rPr>
          <w:lang w:val="en-AU"/>
        </w:rPr>
        <w:t>e</w:t>
      </w:r>
      <w:r w:rsidR="00E2227F" w:rsidRPr="00675CC2">
        <w:rPr>
          <w:lang w:val="en-AU"/>
        </w:rPr>
        <w:t>s</w:t>
      </w:r>
      <w:r w:rsidR="004A0702" w:rsidRPr="00675CC2">
        <w:rPr>
          <w:lang w:val="en-AU"/>
        </w:rPr>
        <w:t>,</w:t>
      </w:r>
      <w:r w:rsidR="00E2227F" w:rsidRPr="00675CC2">
        <w:rPr>
          <w:lang w:val="en-AU"/>
        </w:rPr>
        <w:t xml:space="preserve"> </w:t>
      </w:r>
      <w:r w:rsidR="004A0702" w:rsidRPr="00675CC2">
        <w:rPr>
          <w:lang w:val="en-AU"/>
        </w:rPr>
        <w:t>w</w:t>
      </w:r>
      <w:r w:rsidR="00E2227F" w:rsidRPr="00675CC2">
        <w:rPr>
          <w:lang w:val="en-AU"/>
        </w:rPr>
        <w:t>hen you give</w:t>
      </w:r>
      <w:r w:rsidR="00E2227F" w:rsidRPr="009E7B69">
        <w:t xml:space="preserve"> </w:t>
      </w:r>
      <w:r w:rsidR="00E2227F" w:rsidRPr="009E7B69">
        <w:rPr>
          <w:shd w:val="clear" w:color="auto" w:fill="FFFFFF"/>
          <w:rtl/>
        </w:rPr>
        <w:t>צדקה</w:t>
      </w:r>
      <w:r w:rsidR="00E2227F" w:rsidRPr="009E7B69">
        <w:t xml:space="preserve"> </w:t>
      </w:r>
      <w:r w:rsidR="00E2227F" w:rsidRPr="00675CC2">
        <w:rPr>
          <w:lang w:val="en-AU"/>
        </w:rPr>
        <w:t xml:space="preserve">from your increase, the person who does not have grapes will now have grapes. </w:t>
      </w:r>
      <w:r w:rsidRPr="00675CC2">
        <w:rPr>
          <w:rStyle w:val="FootnoteReference"/>
          <w:lang w:val="en-AU"/>
        </w:rPr>
        <w:footnoteReference w:id="438"/>
      </w:r>
      <w:r w:rsidRPr="00675CC2">
        <w:rPr>
          <w:lang w:val="en-AU"/>
        </w:rPr>
        <w:t xml:space="preserve"> </w:t>
      </w:r>
      <w:r w:rsidR="009F7279" w:rsidRPr="00675CC2">
        <w:rPr>
          <w:lang w:val="en-AU"/>
        </w:rPr>
        <w:t>Giving</w:t>
      </w:r>
      <w:r w:rsidR="000E7964" w:rsidRPr="00675CC2">
        <w:rPr>
          <w:lang w:val="en-AU"/>
        </w:rPr>
        <w:t xml:space="preserve"> food</w:t>
      </w:r>
      <w:r w:rsidR="009F7279" w:rsidRPr="00675CC2">
        <w:rPr>
          <w:lang w:val="en-AU"/>
        </w:rPr>
        <w:t xml:space="preserve"> as</w:t>
      </w:r>
      <w:r w:rsidR="009F7279" w:rsidRPr="009E7B69">
        <w:t xml:space="preserve"> </w:t>
      </w:r>
      <w:r w:rsidR="009F7279" w:rsidRPr="009E7B69">
        <w:rPr>
          <w:shd w:val="clear" w:color="auto" w:fill="FFFFFF"/>
          <w:rtl/>
        </w:rPr>
        <w:t>צדקה</w:t>
      </w:r>
      <w:r w:rsidR="000E7964" w:rsidRPr="009E7B69">
        <w:t xml:space="preserve"> </w:t>
      </w:r>
      <w:r w:rsidR="000E7964" w:rsidRPr="00675CC2">
        <w:rPr>
          <w:lang w:val="en-AU"/>
        </w:rPr>
        <w:t>to those who do</w:t>
      </w:r>
      <w:r w:rsidR="00675CC2" w:rsidRPr="00675CC2">
        <w:rPr>
          <w:lang w:val="en-AU"/>
        </w:rPr>
        <w:t xml:space="preserve"> </w:t>
      </w:r>
      <w:r w:rsidR="000E7964" w:rsidRPr="00675CC2">
        <w:rPr>
          <w:lang w:val="en-AU"/>
        </w:rPr>
        <w:t>n</w:t>
      </w:r>
      <w:r w:rsidR="00675CC2" w:rsidRPr="00675CC2">
        <w:rPr>
          <w:lang w:val="en-AU"/>
        </w:rPr>
        <w:t>o</w:t>
      </w:r>
      <w:r w:rsidR="000E7964" w:rsidRPr="00675CC2">
        <w:rPr>
          <w:lang w:val="en-AU"/>
        </w:rPr>
        <w:t xml:space="preserve">t have any is different </w:t>
      </w:r>
      <w:r w:rsidR="00B54CA5" w:rsidRPr="00675CC2">
        <w:rPr>
          <w:lang w:val="en-AU"/>
        </w:rPr>
        <w:t>from</w:t>
      </w:r>
      <w:r w:rsidR="000E7964" w:rsidRPr="00675CC2">
        <w:rPr>
          <w:lang w:val="en-AU"/>
        </w:rPr>
        <w:t xml:space="preserve"> giving of first fruits as tithes and offerings. </w:t>
      </w:r>
      <w:r w:rsidRPr="00675CC2">
        <w:rPr>
          <w:lang w:val="en-AU"/>
        </w:rPr>
        <w:t xml:space="preserve">Contrarily, </w:t>
      </w:r>
      <w:r w:rsidR="001723E2" w:rsidRPr="00675CC2">
        <w:rPr>
          <w:lang w:val="en-AU"/>
        </w:rPr>
        <w:t xml:space="preserve">we do not know if the </w:t>
      </w:r>
      <w:r w:rsidR="001723E2" w:rsidRPr="00675CC2">
        <w:rPr>
          <w:i/>
          <w:iCs/>
          <w:lang w:val="en-AU"/>
        </w:rPr>
        <w:t>Tannaim</w:t>
      </w:r>
      <w:r w:rsidR="001723E2" w:rsidRPr="00675CC2">
        <w:rPr>
          <w:lang w:val="en-AU"/>
        </w:rPr>
        <w:t xml:space="preserve"> wealthy, according to </w:t>
      </w:r>
      <w:r w:rsidRPr="00675CC2">
        <w:rPr>
          <w:lang w:val="en-AU"/>
        </w:rPr>
        <w:t>Alyssa Gray</w:t>
      </w:r>
      <w:r w:rsidR="001723E2" w:rsidRPr="00675CC2">
        <w:rPr>
          <w:lang w:val="en-AU"/>
        </w:rPr>
        <w:t xml:space="preserve">, gave money to local synagogues and the synagogue redistributed the wealth of if the wealthy person had to give charity </w:t>
      </w:r>
      <w:r w:rsidR="00F0080C" w:rsidRPr="00675CC2">
        <w:rPr>
          <w:lang w:val="en-AU"/>
        </w:rPr>
        <w:t xml:space="preserve">personally </w:t>
      </w:r>
      <w:r w:rsidR="001723E2" w:rsidRPr="00675CC2">
        <w:rPr>
          <w:lang w:val="en-AU"/>
        </w:rPr>
        <w:t>to a person in need.</w:t>
      </w:r>
      <w:r w:rsidRPr="00675CC2">
        <w:rPr>
          <w:rStyle w:val="FootnoteReference"/>
          <w:lang w:val="en-AU"/>
        </w:rPr>
        <w:footnoteReference w:id="439"/>
      </w:r>
      <w:r w:rsidRPr="00675CC2">
        <w:rPr>
          <w:lang w:val="en-AU"/>
        </w:rPr>
        <w:t xml:space="preserve"> The </w:t>
      </w:r>
      <w:r w:rsidRPr="00675CC2">
        <w:rPr>
          <w:i/>
          <w:lang w:val="en-AU"/>
        </w:rPr>
        <w:t>Seder Zeraim</w:t>
      </w:r>
      <w:r w:rsidRPr="00675CC2">
        <w:rPr>
          <w:lang w:val="en-AU"/>
        </w:rPr>
        <w:t xml:space="preserve"> </w:t>
      </w:r>
      <w:r w:rsidR="000E7964" w:rsidRPr="00675CC2">
        <w:rPr>
          <w:lang w:val="en-AU"/>
        </w:rPr>
        <w:t>further shows how the</w:t>
      </w:r>
      <w:r w:rsidR="007A4D6C" w:rsidRPr="00675CC2">
        <w:rPr>
          <w:lang w:val="en-AU"/>
        </w:rPr>
        <w:t xml:space="preserve"> offerings</w:t>
      </w:r>
      <w:r w:rsidR="000E7964" w:rsidRPr="00675CC2">
        <w:rPr>
          <w:lang w:val="en-AU"/>
        </w:rPr>
        <w:t xml:space="preserve"> of produce</w:t>
      </w:r>
      <w:r w:rsidR="007A4D6C" w:rsidRPr="00675CC2">
        <w:rPr>
          <w:lang w:val="en-AU"/>
        </w:rPr>
        <w:t xml:space="preserve"> </w:t>
      </w:r>
      <w:r w:rsidR="000E7964" w:rsidRPr="00675CC2">
        <w:rPr>
          <w:lang w:val="en-AU"/>
        </w:rPr>
        <w:t>sustain</w:t>
      </w:r>
      <w:r w:rsidR="007A4D6C" w:rsidRPr="00675CC2">
        <w:rPr>
          <w:lang w:val="en-AU"/>
        </w:rPr>
        <w:t>ed</w:t>
      </w:r>
      <w:r w:rsidR="000E7964" w:rsidRPr="00675CC2">
        <w:rPr>
          <w:lang w:val="en-AU"/>
        </w:rPr>
        <w:t xml:space="preserve"> more than just </w:t>
      </w:r>
      <w:r w:rsidR="007A4D6C" w:rsidRPr="00675CC2">
        <w:rPr>
          <w:lang w:val="en-AU"/>
        </w:rPr>
        <w:t>one</w:t>
      </w:r>
      <w:r w:rsidR="005C71CB" w:rsidRPr="00675CC2">
        <w:rPr>
          <w:lang w:val="en-AU"/>
        </w:rPr>
        <w:t>’</w:t>
      </w:r>
      <w:r w:rsidR="007A4D6C" w:rsidRPr="00675CC2">
        <w:rPr>
          <w:lang w:val="en-AU"/>
        </w:rPr>
        <w:t xml:space="preserve">s own </w:t>
      </w:r>
      <w:r w:rsidR="000E7964" w:rsidRPr="00675CC2">
        <w:rPr>
          <w:lang w:val="en-AU"/>
        </w:rPr>
        <w:t>household</w:t>
      </w:r>
      <w:r w:rsidR="00FE770B" w:rsidRPr="00675CC2">
        <w:rPr>
          <w:lang w:val="en-AU"/>
        </w:rPr>
        <w:t>:</w:t>
      </w:r>
      <w:r w:rsidR="000E7964" w:rsidRPr="00675CC2">
        <w:rPr>
          <w:lang w:val="en-AU"/>
        </w:rPr>
        <w:t xml:space="preserve"> there is a </w:t>
      </w:r>
      <w:r w:rsidR="00B91739" w:rsidRPr="00675CC2">
        <w:rPr>
          <w:lang w:val="en-AU"/>
        </w:rPr>
        <w:t>sustentation</w:t>
      </w:r>
      <w:r w:rsidR="000E7964" w:rsidRPr="00675CC2">
        <w:rPr>
          <w:lang w:val="en-AU"/>
        </w:rPr>
        <w:t xml:space="preserve"> of the Cohen </w:t>
      </w:r>
      <w:r w:rsidR="00B91739" w:rsidRPr="00675CC2">
        <w:rPr>
          <w:lang w:val="en-AU"/>
        </w:rPr>
        <w:t>priests</w:t>
      </w:r>
      <w:r w:rsidR="000E7964" w:rsidRPr="00675CC2">
        <w:rPr>
          <w:lang w:val="en-AU"/>
        </w:rPr>
        <w:t xml:space="preserve">, the Levites, and the poor. </w:t>
      </w:r>
      <w:r w:rsidR="00B91739" w:rsidRPr="00675CC2">
        <w:rPr>
          <w:lang w:val="en-AU"/>
        </w:rPr>
        <w:t xml:space="preserve">These </w:t>
      </w:r>
      <w:r w:rsidR="00B91739" w:rsidRPr="00675CC2">
        <w:rPr>
          <w:lang w:val="en-AU"/>
        </w:rPr>
        <w:lastRenderedPageBreak/>
        <w:t xml:space="preserve">offerings </w:t>
      </w:r>
      <w:r w:rsidR="00BC285D" w:rsidRPr="00675CC2">
        <w:rPr>
          <w:lang w:val="en-AU"/>
        </w:rPr>
        <w:t>constitute</w:t>
      </w:r>
      <w:r w:rsidR="00B91739" w:rsidRPr="00675CC2">
        <w:rPr>
          <w:lang w:val="en-AU"/>
        </w:rPr>
        <w:t xml:space="preserve"> the </w:t>
      </w:r>
      <w:r w:rsidR="003A1126" w:rsidRPr="00675CC2">
        <w:rPr>
          <w:lang w:val="en-AU"/>
        </w:rPr>
        <w:t>mandated</w:t>
      </w:r>
      <w:r w:rsidR="00B91739" w:rsidRPr="00675CC2">
        <w:rPr>
          <w:lang w:val="en-AU"/>
        </w:rPr>
        <w:t xml:space="preserve"> ten percent of </w:t>
      </w:r>
      <w:r w:rsidR="00BC285D" w:rsidRPr="00675CC2">
        <w:rPr>
          <w:lang w:val="en-AU"/>
        </w:rPr>
        <w:t xml:space="preserve">the increase in </w:t>
      </w:r>
      <w:r w:rsidR="00B91739" w:rsidRPr="00675CC2">
        <w:rPr>
          <w:lang w:val="en-AU"/>
        </w:rPr>
        <w:t>one</w:t>
      </w:r>
      <w:r w:rsidR="005C71CB" w:rsidRPr="00675CC2">
        <w:rPr>
          <w:lang w:val="en-AU"/>
        </w:rPr>
        <w:t>’</w:t>
      </w:r>
      <w:r w:rsidR="00B91739" w:rsidRPr="00675CC2">
        <w:rPr>
          <w:lang w:val="en-AU"/>
        </w:rPr>
        <w:t>s wealth</w:t>
      </w:r>
      <w:r w:rsidR="00B91739" w:rsidRPr="009E7B69">
        <w:t xml:space="preserve">.  </w:t>
      </w:r>
      <w:r w:rsidR="00B91739" w:rsidRPr="009E7B69">
        <w:rPr>
          <w:shd w:val="clear" w:color="auto" w:fill="FFFFFF"/>
          <w:rtl/>
        </w:rPr>
        <w:t>צדקה</w:t>
      </w:r>
      <w:r w:rsidR="00B91739" w:rsidRPr="009E7B69">
        <w:t xml:space="preserve"> </w:t>
      </w:r>
      <w:r w:rsidR="00B91739" w:rsidRPr="00675CC2">
        <w:rPr>
          <w:lang w:val="en-AU"/>
        </w:rPr>
        <w:t xml:space="preserve">was different and provided for </w:t>
      </w:r>
      <w:r w:rsidR="001D27E9" w:rsidRPr="00675CC2">
        <w:rPr>
          <w:lang w:val="en-AU"/>
        </w:rPr>
        <w:t xml:space="preserve">help for the </w:t>
      </w:r>
      <w:r w:rsidR="00B91739" w:rsidRPr="00675CC2">
        <w:rPr>
          <w:lang w:val="en-AU"/>
        </w:rPr>
        <w:t>underprivileged.</w:t>
      </w:r>
      <w:r w:rsidRPr="009E7B69">
        <w:rPr>
          <w:rStyle w:val="FootnoteReference"/>
        </w:rPr>
        <w:footnoteReference w:id="440"/>
      </w:r>
      <w:r w:rsidRPr="009E7B69">
        <w:t xml:space="preserve"> </w:t>
      </w:r>
      <w:r w:rsidRPr="00675CC2">
        <w:rPr>
          <w:lang w:val="en-AU"/>
        </w:rPr>
        <w:t>Deuteronomy 15</w:t>
      </w:r>
      <w:r w:rsidR="00B91739" w:rsidRPr="00675CC2">
        <w:rPr>
          <w:lang w:val="en-AU"/>
        </w:rPr>
        <w:t xml:space="preserve"> and</w:t>
      </w:r>
      <w:r w:rsidR="00B91739" w:rsidRPr="009E7B69">
        <w:t xml:space="preserve"> </w:t>
      </w:r>
      <w:r w:rsidR="00B91739" w:rsidRPr="009E7B69">
        <w:rPr>
          <w:shd w:val="clear" w:color="auto" w:fill="FFFFFF"/>
          <w:rtl/>
        </w:rPr>
        <w:t>צדקה</w:t>
      </w:r>
      <w:r w:rsidR="00B91739" w:rsidRPr="009E7B69">
        <w:rPr>
          <w:shd w:val="clear" w:color="auto" w:fill="FFFFFF"/>
        </w:rPr>
        <w:t xml:space="preserve"> </w:t>
      </w:r>
      <w:r w:rsidR="001D27E9" w:rsidRPr="00675CC2">
        <w:rPr>
          <w:lang w:val="en-AU"/>
        </w:rPr>
        <w:t>form a p</w:t>
      </w:r>
      <w:r w:rsidR="00AB2CA7" w:rsidRPr="00675CC2">
        <w:rPr>
          <w:lang w:val="en-AU"/>
        </w:rPr>
        <w:t xml:space="preserve">rogram of </w:t>
      </w:r>
      <w:r w:rsidR="00652657" w:rsidRPr="00675CC2">
        <w:rPr>
          <w:lang w:val="en-AU"/>
        </w:rPr>
        <w:t>giving every three years</w:t>
      </w:r>
      <w:r w:rsidR="00652657" w:rsidRPr="009E7B69">
        <w:t xml:space="preserve">.  </w:t>
      </w:r>
      <w:r w:rsidRPr="009E7B69">
        <w:rPr>
          <w:shd w:val="clear" w:color="auto" w:fill="FFFFFF"/>
          <w:rtl/>
        </w:rPr>
        <w:t>צדקה</w:t>
      </w:r>
      <w:r w:rsidRPr="009E7B69">
        <w:t xml:space="preserve"> </w:t>
      </w:r>
      <w:r w:rsidRPr="00675CC2">
        <w:rPr>
          <w:lang w:val="en-AU"/>
        </w:rPr>
        <w:t>was often linked and connected with the concept of justice, or</w:t>
      </w:r>
      <w:r w:rsidRPr="009E7B69">
        <w:t xml:space="preserve"> </w:t>
      </w:r>
      <w:r w:rsidRPr="009E7B69">
        <w:rPr>
          <w:rtl/>
        </w:rPr>
        <w:t>משפט</w:t>
      </w:r>
      <w:r w:rsidRPr="009E7B69">
        <w:t xml:space="preserve">. </w:t>
      </w:r>
      <w:r w:rsidRPr="00675CC2">
        <w:rPr>
          <w:lang w:val="en-AU"/>
        </w:rPr>
        <w:t>The common phrase</w:t>
      </w:r>
      <w:r w:rsidRPr="009E7B69">
        <w:t xml:space="preserve"> </w:t>
      </w:r>
      <w:r w:rsidRPr="009E7B69">
        <w:rPr>
          <w:rtl/>
        </w:rPr>
        <w:t>משפט וצדקה</w:t>
      </w:r>
      <w:r w:rsidRPr="009E7B69">
        <w:t xml:space="preserve"> </w:t>
      </w:r>
      <w:r w:rsidRPr="00675CC2">
        <w:rPr>
          <w:lang w:val="en-AU"/>
        </w:rPr>
        <w:t xml:space="preserve">can be translated as </w:t>
      </w:r>
      <w:r w:rsidR="00863B47" w:rsidRPr="00675CC2">
        <w:rPr>
          <w:lang w:val="en-AU"/>
        </w:rPr>
        <w:t>“</w:t>
      </w:r>
      <w:r w:rsidRPr="00675CC2">
        <w:rPr>
          <w:lang w:val="en-AU"/>
        </w:rPr>
        <w:t>justice and righteousness [to all]</w:t>
      </w:r>
      <w:r w:rsidR="00863B47" w:rsidRPr="00675CC2">
        <w:rPr>
          <w:lang w:val="en-AU"/>
        </w:rPr>
        <w:t>”</w:t>
      </w:r>
      <w:r w:rsidRPr="00675CC2">
        <w:rPr>
          <w:lang w:val="en-AU"/>
        </w:rPr>
        <w:t>.</w:t>
      </w:r>
      <w:r w:rsidRPr="00675CC2">
        <w:rPr>
          <w:rStyle w:val="FootnoteReference"/>
          <w:lang w:val="en-AU"/>
        </w:rPr>
        <w:footnoteReference w:id="441"/>
      </w:r>
      <w:r w:rsidRPr="00675CC2">
        <w:rPr>
          <w:lang w:val="en-AU"/>
        </w:rPr>
        <w:t xml:space="preserve"> According to Jacob Licht, these two words are often synonymous, conveying similar meanings, as exemplified by </w:t>
      </w:r>
      <w:r w:rsidR="005F5C36" w:rsidRPr="00675CC2">
        <w:rPr>
          <w:lang w:val="en-AU"/>
        </w:rPr>
        <w:t xml:space="preserve">the </w:t>
      </w:r>
      <w:r w:rsidRPr="00675CC2">
        <w:rPr>
          <w:lang w:val="en-AU"/>
        </w:rPr>
        <w:t>Israelite kings</w:t>
      </w:r>
      <w:r w:rsidR="009B4E21" w:rsidRPr="00675CC2">
        <w:rPr>
          <w:lang w:val="en-AU"/>
        </w:rPr>
        <w:t xml:space="preserve"> which could reference God in that manner as the supreme sovereign</w:t>
      </w:r>
      <w:r w:rsidR="00BA6BB0" w:rsidRPr="00675CC2">
        <w:rPr>
          <w:lang w:val="en-AU"/>
        </w:rPr>
        <w:t>.</w:t>
      </w:r>
      <w:r w:rsidRPr="00675CC2">
        <w:rPr>
          <w:rStyle w:val="FootnoteReference"/>
          <w:lang w:val="en-AU"/>
        </w:rPr>
        <w:footnoteReference w:id="442"/>
      </w:r>
      <w:r w:rsidRPr="00675CC2">
        <w:rPr>
          <w:lang w:val="en-AU"/>
        </w:rPr>
        <w:t xml:space="preserve"> </w:t>
      </w:r>
    </w:p>
    <w:p w14:paraId="463AB289" w14:textId="6CE8C087" w:rsidR="00010BA6" w:rsidRPr="00675CC2" w:rsidRDefault="007802A2" w:rsidP="00D37F31">
      <w:pPr>
        <w:pStyle w:val="Heading2"/>
      </w:pPr>
      <w:bookmarkStart w:id="148" w:name="_Toc94537025"/>
      <w:bookmarkStart w:id="149" w:name="_Toc118063672"/>
      <w:r w:rsidRPr="009E7B69">
        <w:t>7.4</w:t>
      </w:r>
      <w:r w:rsidR="00010BA6" w:rsidRPr="009E7B69">
        <w:t xml:space="preserve"> </w:t>
      </w:r>
      <w:r w:rsidR="00B15A85" w:rsidRPr="009E7B69">
        <w:rPr>
          <w:bCs/>
          <w:shd w:val="clear" w:color="auto" w:fill="FFFFFF"/>
          <w:rtl/>
        </w:rPr>
        <w:t>צדקה</w:t>
      </w:r>
      <w:r w:rsidR="00B15A85" w:rsidRPr="009E7B69" w:rsidDel="00B15A85">
        <w:t xml:space="preserve"> </w:t>
      </w:r>
      <w:r w:rsidR="00B15A85" w:rsidRPr="00675CC2">
        <w:t xml:space="preserve">and </w:t>
      </w:r>
      <w:r w:rsidR="00924E90" w:rsidRPr="00675CC2">
        <w:t>M</w:t>
      </w:r>
      <w:r w:rsidR="00B51565" w:rsidRPr="00675CC2">
        <w:t>oneylending</w:t>
      </w:r>
      <w:bookmarkEnd w:id="148"/>
      <w:bookmarkEnd w:id="149"/>
      <w:r w:rsidR="00B51565" w:rsidRPr="00675CC2">
        <w:t xml:space="preserve"> </w:t>
      </w:r>
    </w:p>
    <w:p w14:paraId="320A92C4" w14:textId="2BA3A9E5" w:rsidR="00010BA6" w:rsidRPr="00675CC2" w:rsidRDefault="00010BA6" w:rsidP="00BA6BB0">
      <w:pPr>
        <w:spacing w:line="480" w:lineRule="auto"/>
        <w:ind w:firstLine="720"/>
        <w:contextualSpacing/>
        <w:rPr>
          <w:lang w:val="en-AU"/>
        </w:rPr>
      </w:pPr>
      <w:r w:rsidRPr="00675CC2">
        <w:rPr>
          <w:lang w:val="en-AU"/>
        </w:rPr>
        <w:t>Looking at the biblical rules for moneylending creates the understanding for interpreting Matthew 5:38</w:t>
      </w:r>
      <w:r w:rsidR="00D14031" w:rsidRPr="00675CC2">
        <w:rPr>
          <w:lang w:val="en-AU"/>
        </w:rPr>
        <w:t>–</w:t>
      </w:r>
      <w:r w:rsidRPr="00675CC2">
        <w:rPr>
          <w:lang w:val="en-AU"/>
        </w:rPr>
        <w:t xml:space="preserve">42 </w:t>
      </w:r>
      <w:proofErr w:type="gramStart"/>
      <w:r w:rsidRPr="00675CC2">
        <w:rPr>
          <w:lang w:val="en-AU"/>
        </w:rPr>
        <w:t>in regard to</w:t>
      </w:r>
      <w:proofErr w:type="gramEnd"/>
      <w:r w:rsidRPr="00675CC2">
        <w:rPr>
          <w:lang w:val="en-AU"/>
        </w:rPr>
        <w:t xml:space="preserve"> </w:t>
      </w:r>
      <w:r w:rsidR="00BA6BB0" w:rsidRPr="00675CC2">
        <w:rPr>
          <w:lang w:val="en-AU"/>
        </w:rPr>
        <w:t xml:space="preserve">the ethics of </w:t>
      </w:r>
      <w:r w:rsidRPr="00675CC2">
        <w:rPr>
          <w:lang w:val="en-AU"/>
        </w:rPr>
        <w:t>lending</w:t>
      </w:r>
      <w:r w:rsidR="0053511F" w:rsidRPr="00675CC2">
        <w:rPr>
          <w:lang w:val="en-AU"/>
        </w:rPr>
        <w:t xml:space="preserve"> loans to Jews</w:t>
      </w:r>
      <w:r w:rsidR="00BA6BB0" w:rsidRPr="00675CC2">
        <w:rPr>
          <w:lang w:val="en-AU"/>
        </w:rPr>
        <w:t xml:space="preserve">, especially if they are to be </w:t>
      </w:r>
      <w:r w:rsidR="0053511F" w:rsidRPr="00675CC2">
        <w:rPr>
          <w:lang w:val="en-AU"/>
        </w:rPr>
        <w:t>interest free</w:t>
      </w:r>
      <w:r w:rsidRPr="00675CC2">
        <w:rPr>
          <w:lang w:val="en-AU"/>
        </w:rPr>
        <w:t xml:space="preserve">. </w:t>
      </w:r>
      <w:r w:rsidR="0080213D" w:rsidRPr="00675CC2">
        <w:rPr>
          <w:lang w:val="en-AU"/>
        </w:rPr>
        <w:t xml:space="preserve">The views </w:t>
      </w:r>
      <w:r w:rsidR="00E5511B" w:rsidRPr="00675CC2">
        <w:rPr>
          <w:lang w:val="en-AU"/>
        </w:rPr>
        <w:t xml:space="preserve">about </w:t>
      </w:r>
      <w:r w:rsidR="0080213D" w:rsidRPr="00675CC2">
        <w:rPr>
          <w:lang w:val="en-AU"/>
        </w:rPr>
        <w:t>lending found in Matthew 5:38</w:t>
      </w:r>
      <w:r w:rsidR="00E5511B" w:rsidRPr="00675CC2">
        <w:rPr>
          <w:lang w:val="en-AU"/>
        </w:rPr>
        <w:t>–</w:t>
      </w:r>
      <w:r w:rsidR="0080213D" w:rsidRPr="00675CC2">
        <w:rPr>
          <w:lang w:val="en-AU"/>
        </w:rPr>
        <w:t xml:space="preserve">42 </w:t>
      </w:r>
      <w:proofErr w:type="gramStart"/>
      <w:r w:rsidR="0080213D" w:rsidRPr="00675CC2">
        <w:rPr>
          <w:lang w:val="en-AU"/>
        </w:rPr>
        <w:t>are</w:t>
      </w:r>
      <w:proofErr w:type="gramEnd"/>
      <w:r w:rsidR="0080213D" w:rsidRPr="00675CC2">
        <w:rPr>
          <w:lang w:val="en-AU"/>
        </w:rPr>
        <w:t xml:space="preserve"> </w:t>
      </w:r>
      <w:r w:rsidR="00C61830" w:rsidRPr="00675CC2">
        <w:rPr>
          <w:lang w:val="en-AU"/>
        </w:rPr>
        <w:t xml:space="preserve">set in </w:t>
      </w:r>
      <w:r w:rsidR="0080213D" w:rsidRPr="00675CC2">
        <w:rPr>
          <w:lang w:val="en-AU"/>
        </w:rPr>
        <w:t xml:space="preserve">the </w:t>
      </w:r>
      <w:r w:rsidRPr="00675CC2">
        <w:rPr>
          <w:lang w:val="en-AU"/>
        </w:rPr>
        <w:t>historical context of loan</w:t>
      </w:r>
      <w:r w:rsidR="00C61830" w:rsidRPr="00675CC2">
        <w:rPr>
          <w:lang w:val="en-AU"/>
        </w:rPr>
        <w:t>-</w:t>
      </w:r>
      <w:r w:rsidRPr="00675CC2">
        <w:rPr>
          <w:lang w:val="en-AU"/>
        </w:rPr>
        <w:t>giving</w:t>
      </w:r>
      <w:r w:rsidR="00D31C60" w:rsidRPr="00675CC2">
        <w:rPr>
          <w:lang w:val="en-AU"/>
        </w:rPr>
        <w:t xml:space="preserve">, </w:t>
      </w:r>
      <w:r w:rsidR="00BA6BB0" w:rsidRPr="00675CC2">
        <w:rPr>
          <w:lang w:val="en-AU"/>
        </w:rPr>
        <w:t>which guides</w:t>
      </w:r>
      <w:r w:rsidRPr="00675CC2">
        <w:rPr>
          <w:lang w:val="en-AU"/>
        </w:rPr>
        <w:t xml:space="preserve"> </w:t>
      </w:r>
      <w:r w:rsidR="00D31C60" w:rsidRPr="00675CC2">
        <w:rPr>
          <w:lang w:val="en-AU"/>
        </w:rPr>
        <w:t>the</w:t>
      </w:r>
      <w:r w:rsidRPr="00675CC2">
        <w:rPr>
          <w:lang w:val="en-AU"/>
        </w:rPr>
        <w:t xml:space="preserve"> interpretation that Jesus gives. The Torah </w:t>
      </w:r>
      <w:r w:rsidR="00BB17DF" w:rsidRPr="00675CC2">
        <w:rPr>
          <w:lang w:val="en-AU"/>
        </w:rPr>
        <w:t>stipulates</w:t>
      </w:r>
      <w:r w:rsidRPr="00675CC2">
        <w:rPr>
          <w:lang w:val="en-AU"/>
        </w:rPr>
        <w:t xml:space="preserve"> that </w:t>
      </w:r>
      <w:r w:rsidR="008D5F15" w:rsidRPr="00675CC2">
        <w:rPr>
          <w:lang w:val="en-AU"/>
        </w:rPr>
        <w:t xml:space="preserve">loans are </w:t>
      </w:r>
      <w:r w:rsidR="00BB17DF" w:rsidRPr="00675CC2">
        <w:rPr>
          <w:lang w:val="en-AU"/>
        </w:rPr>
        <w:t xml:space="preserve">to be </w:t>
      </w:r>
      <w:r w:rsidR="008D5F15" w:rsidRPr="00675CC2">
        <w:rPr>
          <w:lang w:val="en-AU"/>
        </w:rPr>
        <w:t xml:space="preserve">interest free for </w:t>
      </w:r>
      <w:r w:rsidRPr="00675CC2">
        <w:rPr>
          <w:lang w:val="en-AU"/>
        </w:rPr>
        <w:t>fellow</w:t>
      </w:r>
      <w:r w:rsidR="00DC03B8" w:rsidRPr="00675CC2">
        <w:rPr>
          <w:lang w:val="en-AU"/>
        </w:rPr>
        <w:t xml:space="preserve"> </w:t>
      </w:r>
      <w:r w:rsidRPr="00675CC2">
        <w:rPr>
          <w:lang w:val="en-AU"/>
        </w:rPr>
        <w:t>Jews</w:t>
      </w:r>
      <w:r w:rsidR="00BA6BB0" w:rsidRPr="00675CC2">
        <w:rPr>
          <w:lang w:val="en-AU"/>
        </w:rPr>
        <w:t xml:space="preserve"> (Deut 23:19</w:t>
      </w:r>
      <w:r w:rsidR="00896B95" w:rsidRPr="00675CC2">
        <w:rPr>
          <w:lang w:val="en-AU"/>
        </w:rPr>
        <w:t>–</w:t>
      </w:r>
      <w:r w:rsidR="00BA6BB0" w:rsidRPr="00675CC2">
        <w:rPr>
          <w:lang w:val="en-AU"/>
        </w:rPr>
        <w:t xml:space="preserve">20; Matthew 5:42; </w:t>
      </w:r>
      <w:r w:rsidR="00BA6BB0" w:rsidRPr="00675CC2">
        <w:rPr>
          <w:lang w:val="en-AU"/>
        </w:rPr>
        <w:lastRenderedPageBreak/>
        <w:t>Psalms 37:21)</w:t>
      </w:r>
      <w:r w:rsidRPr="00675CC2">
        <w:rPr>
          <w:lang w:val="en-AU"/>
        </w:rPr>
        <w:t>.</w:t>
      </w:r>
      <w:r w:rsidRPr="00675CC2">
        <w:rPr>
          <w:rStyle w:val="FootnoteReference"/>
          <w:lang w:val="en-AU"/>
        </w:rPr>
        <w:footnoteReference w:id="443"/>
      </w:r>
      <w:r w:rsidRPr="00675CC2">
        <w:rPr>
          <w:lang w:val="en-AU"/>
        </w:rPr>
        <w:t xml:space="preserve"> </w:t>
      </w:r>
      <w:r w:rsidR="00CF5099" w:rsidRPr="00675CC2">
        <w:rPr>
          <w:lang w:val="en-AU"/>
        </w:rPr>
        <w:t>The practice of m</w:t>
      </w:r>
      <w:r w:rsidRPr="00675CC2">
        <w:rPr>
          <w:lang w:val="en-AU"/>
        </w:rPr>
        <w:t>oneylending reveal</w:t>
      </w:r>
      <w:r w:rsidR="008D5F15" w:rsidRPr="00675CC2">
        <w:rPr>
          <w:lang w:val="en-AU"/>
        </w:rPr>
        <w:t xml:space="preserve">s how people treat others in a community. Torah allows interest to the </w:t>
      </w:r>
      <w:r w:rsidR="009130CE" w:rsidRPr="00675CC2">
        <w:rPr>
          <w:lang w:val="en-AU"/>
        </w:rPr>
        <w:t>Gentile</w:t>
      </w:r>
      <w:r w:rsidR="00FB013D" w:rsidRPr="00675CC2">
        <w:rPr>
          <w:lang w:val="en-AU"/>
        </w:rPr>
        <w:t xml:space="preserve"> (Deut 23:19; Deut 23:20; Eze 18:8)</w:t>
      </w:r>
      <w:r w:rsidRPr="00675CC2">
        <w:rPr>
          <w:lang w:val="en-AU"/>
        </w:rPr>
        <w:t>.</w:t>
      </w:r>
      <w:r w:rsidRPr="00675CC2">
        <w:rPr>
          <w:rStyle w:val="FootnoteReference"/>
          <w:lang w:val="en-AU"/>
        </w:rPr>
        <w:footnoteReference w:id="444"/>
      </w:r>
      <w:r w:rsidRPr="00675CC2">
        <w:rPr>
          <w:lang w:val="en-AU"/>
        </w:rPr>
        <w:t xml:space="preserve"> </w:t>
      </w:r>
      <w:r w:rsidR="002A008D" w:rsidRPr="00675CC2">
        <w:rPr>
          <w:lang w:val="en-AU"/>
        </w:rPr>
        <w:t>However, f</w:t>
      </w:r>
      <w:r w:rsidRPr="00675CC2">
        <w:rPr>
          <w:lang w:val="en-AU"/>
        </w:rPr>
        <w:t xml:space="preserve">urther </w:t>
      </w:r>
      <w:r w:rsidRPr="00675CC2">
        <w:rPr>
          <w:i/>
          <w:lang w:val="en-AU"/>
        </w:rPr>
        <w:t>Mishna</w:t>
      </w:r>
      <w:r w:rsidRPr="00675CC2">
        <w:rPr>
          <w:lang w:val="en-AU"/>
        </w:rPr>
        <w:t xml:space="preserve">ic development in b. Mak. 24a </w:t>
      </w:r>
      <w:r w:rsidR="002A008D" w:rsidRPr="00675CC2">
        <w:rPr>
          <w:lang w:val="en-AU"/>
        </w:rPr>
        <w:t xml:space="preserve">discourages </w:t>
      </w:r>
      <w:r w:rsidR="005B1D4B" w:rsidRPr="00675CC2">
        <w:rPr>
          <w:lang w:val="en-AU"/>
        </w:rPr>
        <w:t xml:space="preserve">charging </w:t>
      </w:r>
      <w:r w:rsidRPr="00675CC2">
        <w:rPr>
          <w:lang w:val="en-AU"/>
        </w:rPr>
        <w:t>interest</w:t>
      </w:r>
      <w:r w:rsidR="005B1D4B" w:rsidRPr="00675CC2">
        <w:rPr>
          <w:lang w:val="en-AU"/>
        </w:rPr>
        <w:t xml:space="preserve"> on loans</w:t>
      </w:r>
      <w:r w:rsidRPr="00675CC2">
        <w:rPr>
          <w:lang w:val="en-AU"/>
        </w:rPr>
        <w:t xml:space="preserve"> to a foreigner. </w:t>
      </w:r>
      <w:r w:rsidR="00A07907" w:rsidRPr="00675CC2">
        <w:rPr>
          <w:lang w:val="en-AU"/>
        </w:rPr>
        <w:t>There was a prescribed</w:t>
      </w:r>
      <w:r w:rsidR="004C1A36">
        <w:rPr>
          <w:lang w:val="en-AU"/>
        </w:rPr>
        <w:t xml:space="preserve"> understanding</w:t>
      </w:r>
      <w:r w:rsidRPr="00675CC2">
        <w:rPr>
          <w:lang w:val="en-AU"/>
        </w:rPr>
        <w:t xml:space="preserve"> which the Jewish moneylender was ethically bound</w:t>
      </w:r>
      <w:r w:rsidR="002655A7" w:rsidRPr="00675CC2">
        <w:rPr>
          <w:lang w:val="en-AU"/>
        </w:rPr>
        <w:t xml:space="preserve"> to observe</w:t>
      </w:r>
      <w:r w:rsidRPr="00675CC2">
        <w:rPr>
          <w:lang w:val="en-AU"/>
        </w:rPr>
        <w:t>.</w:t>
      </w:r>
      <w:r w:rsidRPr="00675CC2">
        <w:rPr>
          <w:rStyle w:val="FootnoteReference"/>
          <w:lang w:val="en-AU"/>
        </w:rPr>
        <w:footnoteReference w:id="445"/>
      </w:r>
      <w:r w:rsidRPr="00675CC2">
        <w:rPr>
          <w:lang w:val="en-AU"/>
        </w:rPr>
        <w:t xml:space="preserve"> Even though the Jewish moneylender could charge interest to non-Jews, the ethical lender was not to take unfair advantage of such borrowers.</w:t>
      </w:r>
    </w:p>
    <w:p w14:paraId="5AAD498F" w14:textId="69D9740A" w:rsidR="00010BA6" w:rsidRPr="00675CC2" w:rsidRDefault="00EF6A1D" w:rsidP="00010BA6">
      <w:pPr>
        <w:spacing w:line="480" w:lineRule="auto"/>
        <w:ind w:firstLine="720"/>
        <w:contextualSpacing/>
        <w:rPr>
          <w:lang w:val="en-AU"/>
        </w:rPr>
      </w:pPr>
      <w:r w:rsidRPr="00675CC2">
        <w:rPr>
          <w:lang w:val="en-AU"/>
        </w:rPr>
        <w:t>Compassion was shown in</w:t>
      </w:r>
      <w:r w:rsidR="00E533C9" w:rsidRPr="00675CC2">
        <w:rPr>
          <w:lang w:val="en-AU"/>
        </w:rPr>
        <w:t xml:space="preserve"> not charging</w:t>
      </w:r>
      <w:r w:rsidR="003B26F6" w:rsidRPr="00675CC2">
        <w:rPr>
          <w:lang w:val="en-AU"/>
        </w:rPr>
        <w:t xml:space="preserve"> interest</w:t>
      </w:r>
      <w:r w:rsidR="00E533C9" w:rsidRPr="00675CC2">
        <w:rPr>
          <w:lang w:val="en-AU"/>
        </w:rPr>
        <w:t xml:space="preserve"> </w:t>
      </w:r>
      <w:r w:rsidR="003B26F6" w:rsidRPr="00675CC2">
        <w:rPr>
          <w:lang w:val="en-AU"/>
        </w:rPr>
        <w:t>to a fellow Jew.</w:t>
      </w:r>
      <w:r w:rsidR="00010BA6" w:rsidRPr="00675CC2">
        <w:rPr>
          <w:lang w:val="en-AU"/>
        </w:rPr>
        <w:t xml:space="preserve"> This practice provides a historical context to Jesus</w:t>
      </w:r>
      <w:r w:rsidR="005C71CB" w:rsidRPr="00675CC2">
        <w:rPr>
          <w:lang w:val="en-AU"/>
        </w:rPr>
        <w:t>’</w:t>
      </w:r>
      <w:r w:rsidR="006D41DD">
        <w:rPr>
          <w:lang w:val="en-AU"/>
        </w:rPr>
        <w:t>s</w:t>
      </w:r>
      <w:r w:rsidR="00010BA6" w:rsidRPr="00675CC2">
        <w:rPr>
          <w:lang w:val="en-AU"/>
        </w:rPr>
        <w:t xml:space="preserve"> Sermon when he addresses the concept of lending and repossession in Matthew 5:38</w:t>
      </w:r>
      <w:r w:rsidR="00E533C9" w:rsidRPr="00675CC2">
        <w:rPr>
          <w:lang w:val="en-AU"/>
        </w:rPr>
        <w:t>–</w:t>
      </w:r>
      <w:r w:rsidR="00010BA6" w:rsidRPr="00675CC2">
        <w:rPr>
          <w:lang w:val="en-AU"/>
        </w:rPr>
        <w:t>42</w:t>
      </w:r>
      <w:r w:rsidR="00620595" w:rsidRPr="00675CC2">
        <w:rPr>
          <w:lang w:val="en-AU"/>
        </w:rPr>
        <w:t xml:space="preserve">. </w:t>
      </w:r>
      <w:r w:rsidR="00010BA6" w:rsidRPr="00675CC2">
        <w:rPr>
          <w:lang w:val="en-AU"/>
        </w:rPr>
        <w:t xml:space="preserve">Charitable loans were to be made to those in penury whose dignity did not allow them to be </w:t>
      </w:r>
      <w:r w:rsidR="00863B47" w:rsidRPr="00675CC2">
        <w:rPr>
          <w:lang w:val="en-AU"/>
        </w:rPr>
        <w:t>“</w:t>
      </w:r>
      <w:r w:rsidR="00010BA6" w:rsidRPr="00675CC2">
        <w:rPr>
          <w:lang w:val="en-AU"/>
        </w:rPr>
        <w:t>supported by others</w:t>
      </w:r>
      <w:r w:rsidR="003051CB" w:rsidRPr="00675CC2">
        <w:rPr>
          <w:lang w:val="en-AU"/>
        </w:rPr>
        <w:t>.</w:t>
      </w:r>
      <w:r w:rsidR="00863B47" w:rsidRPr="00675CC2">
        <w:rPr>
          <w:lang w:val="en-AU"/>
        </w:rPr>
        <w:t>”</w:t>
      </w:r>
      <w:r w:rsidR="003051CB" w:rsidRPr="00675CC2">
        <w:rPr>
          <w:lang w:val="en-AU"/>
        </w:rPr>
        <w:t xml:space="preserve"> I</w:t>
      </w:r>
      <w:r w:rsidR="00010BA6" w:rsidRPr="00675CC2">
        <w:rPr>
          <w:lang w:val="en-AU"/>
        </w:rPr>
        <w:t xml:space="preserve">n this manner they would be receiving aid while remaining on an equal social level </w:t>
      </w:r>
      <w:r w:rsidR="005B5CD7" w:rsidRPr="00675CC2">
        <w:rPr>
          <w:lang w:val="en-AU"/>
        </w:rPr>
        <w:t>to</w:t>
      </w:r>
      <w:r w:rsidR="00010BA6" w:rsidRPr="00675CC2">
        <w:rPr>
          <w:lang w:val="en-AU"/>
        </w:rPr>
        <w:t xml:space="preserve"> the lender (4.12</w:t>
      </w:r>
      <w:r w:rsidR="003051CB" w:rsidRPr="00675CC2">
        <w:rPr>
          <w:lang w:val="en-AU"/>
        </w:rPr>
        <w:t>–</w:t>
      </w:r>
      <w:r w:rsidR="00010BA6" w:rsidRPr="00675CC2">
        <w:rPr>
          <w:lang w:val="en-AU"/>
        </w:rPr>
        <w:t xml:space="preserve">13). </w:t>
      </w:r>
    </w:p>
    <w:p w14:paraId="22622659" w14:textId="77777777" w:rsidR="00F70A8C" w:rsidRPr="00675CC2" w:rsidRDefault="00010BA6" w:rsidP="008724B6">
      <w:pPr>
        <w:spacing w:line="480" w:lineRule="auto"/>
        <w:ind w:firstLine="720"/>
        <w:contextualSpacing/>
        <w:rPr>
          <w:lang w:val="en-AU"/>
        </w:rPr>
      </w:pPr>
      <w:r w:rsidRPr="00675CC2">
        <w:rPr>
          <w:lang w:val="en-AU"/>
        </w:rPr>
        <w:t>In Matt</w:t>
      </w:r>
      <w:r w:rsidR="0053511F" w:rsidRPr="00675CC2">
        <w:rPr>
          <w:lang w:val="en-AU"/>
        </w:rPr>
        <w:t>hew</w:t>
      </w:r>
      <w:r w:rsidRPr="00675CC2">
        <w:rPr>
          <w:lang w:val="en-AU"/>
        </w:rPr>
        <w:t xml:space="preserve"> 5:42, however, Jesus highlights how debt </w:t>
      </w:r>
      <w:r w:rsidR="001A3BE2" w:rsidRPr="00675CC2">
        <w:rPr>
          <w:lang w:val="en-AU"/>
        </w:rPr>
        <w:t>from</w:t>
      </w:r>
      <w:r w:rsidRPr="00675CC2">
        <w:rPr>
          <w:lang w:val="en-AU"/>
        </w:rPr>
        <w:t xml:space="preserve"> loans easily creates an unbalanced society, as it diminishes the charity of simply helping each other as loving </w:t>
      </w:r>
      <w:r w:rsidR="002123A9" w:rsidRPr="00675CC2">
        <w:rPr>
          <w:lang w:val="en-AU"/>
        </w:rPr>
        <w:t>neighbour</w:t>
      </w:r>
      <w:r w:rsidRPr="00675CC2">
        <w:rPr>
          <w:lang w:val="en-AU"/>
        </w:rPr>
        <w:t xml:space="preserve">s. </w:t>
      </w:r>
      <w:r w:rsidR="0053511F" w:rsidRPr="00675CC2">
        <w:rPr>
          <w:lang w:val="en-AU"/>
        </w:rPr>
        <w:t xml:space="preserve">Matthew 5:42 was influenced by </w:t>
      </w:r>
      <w:r w:rsidRPr="00675CC2">
        <w:rPr>
          <w:lang w:val="en-AU"/>
        </w:rPr>
        <w:t xml:space="preserve">Proverbs 22:7, which states: </w:t>
      </w:r>
      <w:r w:rsidR="00863B47" w:rsidRPr="00675CC2">
        <w:rPr>
          <w:lang w:val="en-AU"/>
        </w:rPr>
        <w:t>“</w:t>
      </w:r>
      <w:r w:rsidRPr="00675CC2">
        <w:rPr>
          <w:lang w:val="en-AU"/>
        </w:rPr>
        <w:t>The rich rule over the poor, and the borrower is the slave of the lender.</w:t>
      </w:r>
      <w:r w:rsidR="00863B47" w:rsidRPr="00675CC2">
        <w:rPr>
          <w:lang w:val="en-AU"/>
        </w:rPr>
        <w:t>”</w:t>
      </w:r>
      <w:r w:rsidRPr="00675CC2">
        <w:rPr>
          <w:lang w:val="en-AU"/>
        </w:rPr>
        <w:t xml:space="preserve"> Those who borrow money are no longer free people according to </w:t>
      </w:r>
      <w:r w:rsidR="00620595" w:rsidRPr="00675CC2">
        <w:rPr>
          <w:i/>
          <w:iCs/>
          <w:lang w:val="en-AU"/>
        </w:rPr>
        <w:t>Tanakh</w:t>
      </w:r>
      <w:r w:rsidRPr="00675CC2">
        <w:rPr>
          <w:lang w:val="en-AU"/>
        </w:rPr>
        <w:t xml:space="preserve">, as they become slaves to someone else. The Jewish </w:t>
      </w:r>
      <w:r w:rsidRPr="00675CC2">
        <w:rPr>
          <w:i/>
          <w:lang w:val="en-AU"/>
        </w:rPr>
        <w:t>Mishna</w:t>
      </w:r>
      <w:r w:rsidRPr="00675CC2">
        <w:rPr>
          <w:lang w:val="en-AU"/>
        </w:rPr>
        <w:t xml:space="preserve"> balanced this with teachings about the responsible ownership of money. When someone lends money to another, the lent money is not the </w:t>
      </w:r>
      <w:proofErr w:type="gramStart"/>
      <w:r w:rsidRPr="00675CC2">
        <w:rPr>
          <w:lang w:val="en-AU"/>
        </w:rPr>
        <w:t>moneylender</w:t>
      </w:r>
      <w:r w:rsidR="005C71CB" w:rsidRPr="00675CC2">
        <w:rPr>
          <w:lang w:val="en-AU"/>
        </w:rPr>
        <w:t>’</w:t>
      </w:r>
      <w:r w:rsidRPr="00675CC2">
        <w:rPr>
          <w:lang w:val="en-AU"/>
        </w:rPr>
        <w:t>s</w:t>
      </w:r>
      <w:proofErr w:type="gramEnd"/>
      <w:r w:rsidRPr="00675CC2">
        <w:rPr>
          <w:lang w:val="en-AU"/>
        </w:rPr>
        <w:t xml:space="preserve"> in the first place</w:t>
      </w:r>
      <w:r w:rsidR="00561F05" w:rsidRPr="00675CC2">
        <w:rPr>
          <w:lang w:val="en-AU"/>
        </w:rPr>
        <w:t xml:space="preserve">. </w:t>
      </w:r>
      <w:r w:rsidRPr="00675CC2">
        <w:rPr>
          <w:i/>
          <w:lang w:val="en-AU"/>
        </w:rPr>
        <w:t xml:space="preserve">Mishna Avot </w:t>
      </w:r>
      <w:r w:rsidRPr="00675CC2">
        <w:rPr>
          <w:lang w:val="en-AU"/>
        </w:rPr>
        <w:t>2:</w:t>
      </w:r>
      <w:r w:rsidR="00675764" w:rsidRPr="00675CC2">
        <w:rPr>
          <w:lang w:val="en-AU"/>
        </w:rPr>
        <w:t xml:space="preserve">9 </w:t>
      </w:r>
      <w:r w:rsidRPr="00675CC2">
        <w:rPr>
          <w:lang w:val="en-AU"/>
        </w:rPr>
        <w:t xml:space="preserve">quotes Rabbi Shimon, stating, </w:t>
      </w:r>
      <w:r w:rsidR="00863B47" w:rsidRPr="00675CC2">
        <w:rPr>
          <w:lang w:val="en-AU"/>
        </w:rPr>
        <w:t>“</w:t>
      </w:r>
      <w:r w:rsidRPr="00675CC2">
        <w:rPr>
          <w:lang w:val="en-AU"/>
        </w:rPr>
        <w:t xml:space="preserve">Every borrowing is borrowing from God, as it is said, </w:t>
      </w:r>
      <w:r w:rsidR="005C71CB" w:rsidRPr="00675CC2">
        <w:rPr>
          <w:lang w:val="en-AU"/>
        </w:rPr>
        <w:t>‘</w:t>
      </w:r>
      <w:r w:rsidRPr="00675CC2">
        <w:rPr>
          <w:lang w:val="en-AU"/>
        </w:rPr>
        <w:t xml:space="preserve">the wicked one borrows and does not repay, but the righteous one is gracious and </w:t>
      </w:r>
      <w:r w:rsidRPr="00675CC2">
        <w:rPr>
          <w:lang w:val="en-AU"/>
        </w:rPr>
        <w:lastRenderedPageBreak/>
        <w:t>gives.</w:t>
      </w:r>
      <w:r w:rsidR="005C71CB" w:rsidRPr="00675CC2">
        <w:rPr>
          <w:lang w:val="en-AU"/>
        </w:rPr>
        <w:t>’</w:t>
      </w:r>
      <w:r w:rsidR="00863B47" w:rsidRPr="00675CC2">
        <w:rPr>
          <w:lang w:val="en-AU"/>
        </w:rPr>
        <w:t>”</w:t>
      </w:r>
      <w:r w:rsidRPr="00675CC2">
        <w:rPr>
          <w:rStyle w:val="FootnoteReference"/>
          <w:lang w:val="en-AU"/>
        </w:rPr>
        <w:footnoteReference w:id="446"/>
      </w:r>
      <w:r w:rsidRPr="00675CC2">
        <w:rPr>
          <w:lang w:val="en-AU"/>
        </w:rPr>
        <w:t xml:space="preserve"> </w:t>
      </w:r>
      <w:r w:rsidRPr="00675CC2">
        <w:rPr>
          <w:i/>
          <w:lang w:val="en-AU"/>
        </w:rPr>
        <w:t xml:space="preserve">Mishna Avot </w:t>
      </w:r>
      <w:r w:rsidRPr="00675CC2">
        <w:rPr>
          <w:lang w:val="en-AU"/>
        </w:rPr>
        <w:t xml:space="preserve">quotes Psalms 37:21: </w:t>
      </w:r>
      <w:r w:rsidR="00863B47" w:rsidRPr="00675CC2">
        <w:rPr>
          <w:lang w:val="en-AU"/>
        </w:rPr>
        <w:t>“</w:t>
      </w:r>
      <w:r w:rsidRPr="00675CC2">
        <w:rPr>
          <w:lang w:val="en-AU"/>
        </w:rPr>
        <w:t>The wicked man borrows and does not repay; the righteous is generous and keeps giving</w:t>
      </w:r>
      <w:r w:rsidR="003B26F6" w:rsidRPr="00675CC2">
        <w:rPr>
          <w:lang w:val="en-AU"/>
        </w:rPr>
        <w:t>.</w:t>
      </w:r>
      <w:r w:rsidR="00863B47" w:rsidRPr="00675CC2">
        <w:rPr>
          <w:lang w:val="en-AU"/>
        </w:rPr>
        <w:t>”</w:t>
      </w:r>
      <w:r w:rsidRPr="00675CC2">
        <w:rPr>
          <w:lang w:val="en-AU"/>
        </w:rPr>
        <w:t xml:space="preserve"> It was ethical and just to repay debt.</w:t>
      </w:r>
    </w:p>
    <w:p w14:paraId="2A65DEB4" w14:textId="2A92CF1C" w:rsidR="00F70A8C" w:rsidRPr="00675CC2" w:rsidRDefault="00F70A8C" w:rsidP="00D37F31">
      <w:pPr>
        <w:pStyle w:val="Heading2"/>
      </w:pPr>
      <w:bookmarkStart w:id="150" w:name="_Toc118063673"/>
      <w:r w:rsidRPr="00675CC2">
        <w:t>7.5 Chapter Conclusion</w:t>
      </w:r>
      <w:bookmarkEnd w:id="150"/>
    </w:p>
    <w:p w14:paraId="7264236F" w14:textId="5BA6555B" w:rsidR="00C013BC" w:rsidRPr="00675CC2" w:rsidRDefault="00C013BC" w:rsidP="00C013BC">
      <w:pPr>
        <w:autoSpaceDE w:val="0"/>
        <w:autoSpaceDN w:val="0"/>
        <w:adjustRightInd w:val="0"/>
        <w:spacing w:line="480" w:lineRule="auto"/>
        <w:ind w:firstLine="720"/>
        <w:rPr>
          <w:shd w:val="clear" w:color="auto" w:fill="FFFFFF"/>
          <w:lang w:val="en-AU"/>
        </w:rPr>
      </w:pPr>
      <w:r w:rsidRPr="00675CC2">
        <w:rPr>
          <w:lang w:val="en-AU"/>
        </w:rPr>
        <w:t>The concept of justice is foundational to understanding Jesus’</w:t>
      </w:r>
      <w:r w:rsidR="006D41DD">
        <w:rPr>
          <w:lang w:val="en-AU"/>
        </w:rPr>
        <w:t>s</w:t>
      </w:r>
      <w:r w:rsidRPr="00675CC2">
        <w:rPr>
          <w:lang w:val="en-AU"/>
        </w:rPr>
        <w:t xml:space="preserve"> teachings and their relation to </w:t>
      </w:r>
      <w:r w:rsidRPr="00675CC2">
        <w:rPr>
          <w:i/>
          <w:iCs/>
          <w:lang w:val="en-AU"/>
        </w:rPr>
        <w:t>Mishna Avot</w:t>
      </w:r>
      <w:r w:rsidRPr="00675CC2">
        <w:rPr>
          <w:lang w:val="en-AU"/>
        </w:rPr>
        <w:t>. Since</w:t>
      </w:r>
      <w:r w:rsidRPr="009E7B69">
        <w:t xml:space="preserve"> </w:t>
      </w:r>
      <w:r w:rsidRPr="009E7B69">
        <w:rPr>
          <w:shd w:val="clear" w:color="auto" w:fill="FFFFFF"/>
          <w:rtl/>
        </w:rPr>
        <w:t>צדקה</w:t>
      </w:r>
      <w:r w:rsidRPr="009E7B69">
        <w:t> </w:t>
      </w:r>
      <w:r w:rsidRPr="00675CC2">
        <w:rPr>
          <w:lang w:val="en-AU"/>
        </w:rPr>
        <w:t>is one of the</w:t>
      </w:r>
      <w:r w:rsidRPr="009E7B69">
        <w:t xml:space="preserve"> </w:t>
      </w:r>
      <w:r w:rsidRPr="009E7B69">
        <w:rPr>
          <w:rtl/>
        </w:rPr>
        <w:t>מִצְוָה</w:t>
      </w:r>
      <w:r w:rsidRPr="009E7B69">
        <w:t xml:space="preserve"> </w:t>
      </w:r>
      <w:r w:rsidRPr="009E7B69">
        <w:rPr>
          <w:i/>
          <w:iCs/>
        </w:rPr>
        <w:t>mitzvoth</w:t>
      </w:r>
      <w:r w:rsidRPr="009E7B69">
        <w:t xml:space="preserve">, </w:t>
      </w:r>
      <w:r w:rsidRPr="00675CC2">
        <w:rPr>
          <w:lang w:val="en-AU"/>
        </w:rPr>
        <w:t>or commandments, it is an act of justice. The Jewish ethical and political thought at Jesus’</w:t>
      </w:r>
      <w:r w:rsidR="006D41DD">
        <w:rPr>
          <w:lang w:val="en-AU"/>
        </w:rPr>
        <w:t>s</w:t>
      </w:r>
      <w:r w:rsidRPr="00675CC2">
        <w:rPr>
          <w:lang w:val="en-AU"/>
        </w:rPr>
        <w:t xml:space="preserve"> time that is connected to </w:t>
      </w:r>
      <w:r w:rsidRPr="00675CC2">
        <w:rPr>
          <w:i/>
          <w:iCs/>
          <w:lang w:val="en-AU"/>
        </w:rPr>
        <w:t xml:space="preserve">Mishna Avot </w:t>
      </w:r>
      <w:r w:rsidRPr="00675CC2">
        <w:rPr>
          <w:lang w:val="en-AU"/>
        </w:rPr>
        <w:t>which defines justice as charity. The word</w:t>
      </w:r>
      <w:r w:rsidRPr="009E7B69">
        <w:t xml:space="preserve"> </w:t>
      </w:r>
      <w:r w:rsidRPr="009E7B69">
        <w:rPr>
          <w:shd w:val="clear" w:color="auto" w:fill="FFFFFF"/>
          <w:rtl/>
        </w:rPr>
        <w:t>צדקה</w:t>
      </w:r>
      <w:r w:rsidRPr="009E7B69">
        <w:rPr>
          <w:shd w:val="clear" w:color="auto" w:fill="FFFFFF"/>
        </w:rPr>
        <w:t xml:space="preserve"> </w:t>
      </w:r>
      <w:r w:rsidRPr="00675CC2">
        <w:rPr>
          <w:shd w:val="clear" w:color="auto" w:fill="FFFFFF"/>
          <w:lang w:val="en-AU"/>
        </w:rPr>
        <w:t>is better defined as fidelity, which has become</w:t>
      </w:r>
      <w:r w:rsidR="004C1A36">
        <w:rPr>
          <w:shd w:val="clear" w:color="auto" w:fill="FFFFFF"/>
          <w:lang w:val="en-AU"/>
        </w:rPr>
        <w:t xml:space="preserve"> an action of</w:t>
      </w:r>
      <w:r w:rsidRPr="00675CC2">
        <w:rPr>
          <w:shd w:val="clear" w:color="auto" w:fill="FFFFFF"/>
          <w:lang w:val="en-AU"/>
        </w:rPr>
        <w:t xml:space="preserve"> </w:t>
      </w:r>
      <w:r w:rsidR="004C1A36">
        <w:rPr>
          <w:shd w:val="clear" w:color="auto" w:fill="FFFFFF"/>
          <w:lang w:val="en-AU"/>
        </w:rPr>
        <w:t>‘</w:t>
      </w:r>
      <w:r w:rsidRPr="00675CC2">
        <w:rPr>
          <w:shd w:val="clear" w:color="auto" w:fill="FFFFFF"/>
          <w:lang w:val="en-AU"/>
        </w:rPr>
        <w:t>giving to others</w:t>
      </w:r>
      <w:r w:rsidR="004C1A36">
        <w:rPr>
          <w:shd w:val="clear" w:color="auto" w:fill="FFFFFF"/>
          <w:lang w:val="en-AU"/>
        </w:rPr>
        <w:t>’</w:t>
      </w:r>
      <w:r w:rsidRPr="00675CC2">
        <w:rPr>
          <w:shd w:val="clear" w:color="auto" w:fill="FFFFFF"/>
          <w:lang w:val="en-AU"/>
        </w:rPr>
        <w:t xml:space="preserve"> in modern practice.  At the time of Jesus</w:t>
      </w:r>
      <w:r w:rsidRPr="009E7B69">
        <w:rPr>
          <w:shd w:val="clear" w:color="auto" w:fill="FFFFFF"/>
        </w:rPr>
        <w:t xml:space="preserve">, </w:t>
      </w:r>
      <w:r w:rsidRPr="009E7B69">
        <w:rPr>
          <w:shd w:val="clear" w:color="auto" w:fill="FFFFFF"/>
          <w:rtl/>
        </w:rPr>
        <w:t>צדקה</w:t>
      </w:r>
      <w:r w:rsidRPr="009E7B69">
        <w:rPr>
          <w:shd w:val="clear" w:color="auto" w:fill="FFFFFF"/>
        </w:rPr>
        <w:t xml:space="preserve"> </w:t>
      </w:r>
      <w:r w:rsidRPr="00675CC2">
        <w:rPr>
          <w:shd w:val="clear" w:color="auto" w:fill="FFFFFF"/>
          <w:lang w:val="en-AU"/>
        </w:rPr>
        <w:t>was a person’s righteousness or godlin</w:t>
      </w:r>
      <w:r w:rsidR="0065449E" w:rsidRPr="00675CC2">
        <w:rPr>
          <w:shd w:val="clear" w:color="auto" w:fill="FFFFFF"/>
          <w:lang w:val="en-AU"/>
        </w:rPr>
        <w:t xml:space="preserve">ess as witnessed in their actions and later translations from the LXX such as </w:t>
      </w:r>
      <w:r w:rsidR="0065449E" w:rsidRPr="00675CC2">
        <w:rPr>
          <w:i/>
          <w:iCs/>
          <w:shd w:val="clear" w:color="auto" w:fill="FFFFFF"/>
          <w:lang w:val="en-AU"/>
        </w:rPr>
        <w:t>agape and dikaios</w:t>
      </w:r>
      <w:r w:rsidR="0065449E" w:rsidRPr="00675CC2">
        <w:rPr>
          <w:shd w:val="clear" w:color="auto" w:fill="FFFFFF"/>
          <w:lang w:val="en-AU"/>
        </w:rPr>
        <w:t xml:space="preserve"> and Vulgate with </w:t>
      </w:r>
      <w:r w:rsidR="0065449E" w:rsidRPr="00675CC2">
        <w:rPr>
          <w:i/>
          <w:iCs/>
          <w:shd w:val="clear" w:color="auto" w:fill="FFFFFF"/>
          <w:lang w:val="en-AU"/>
        </w:rPr>
        <w:t>caritas.</w:t>
      </w:r>
      <w:r w:rsidR="0065449E" w:rsidRPr="00675CC2">
        <w:rPr>
          <w:shd w:val="clear" w:color="auto" w:fill="FFFFFF"/>
          <w:lang w:val="en-AU"/>
        </w:rPr>
        <w:t xml:space="preserve"> </w:t>
      </w:r>
      <w:r w:rsidR="00AC1FEA" w:rsidRPr="00675CC2">
        <w:rPr>
          <w:shd w:val="clear" w:color="auto" w:fill="FFFFFF"/>
          <w:lang w:val="en-AU"/>
        </w:rPr>
        <w:t>The listeners</w:t>
      </w:r>
      <w:r w:rsidR="0065449E" w:rsidRPr="00675CC2">
        <w:rPr>
          <w:shd w:val="clear" w:color="auto" w:fill="FFFFFF"/>
          <w:lang w:val="en-AU"/>
        </w:rPr>
        <w:t xml:space="preserve"> at the time of the Sermon would understan</w:t>
      </w:r>
      <w:r w:rsidR="00AC1FEA" w:rsidRPr="00675CC2">
        <w:rPr>
          <w:shd w:val="clear" w:color="auto" w:fill="FFFFFF"/>
          <w:lang w:val="en-AU"/>
        </w:rPr>
        <w:t>d</w:t>
      </w:r>
      <w:r w:rsidR="00AC1FEA" w:rsidRPr="009E7B69">
        <w:rPr>
          <w:shd w:val="clear" w:color="auto" w:fill="FFFFFF"/>
        </w:rPr>
        <w:t xml:space="preserve"> </w:t>
      </w:r>
      <w:r w:rsidR="00AC1FEA" w:rsidRPr="009E7B69">
        <w:rPr>
          <w:shd w:val="clear" w:color="auto" w:fill="FFFFFF"/>
          <w:rtl/>
        </w:rPr>
        <w:t>צדקה</w:t>
      </w:r>
      <w:r w:rsidR="00AC1FEA" w:rsidRPr="009E7B69">
        <w:rPr>
          <w:shd w:val="clear" w:color="auto" w:fill="FFFFFF"/>
        </w:rPr>
        <w:t xml:space="preserve"> </w:t>
      </w:r>
      <w:r w:rsidR="00AC1FEA" w:rsidRPr="00675CC2">
        <w:rPr>
          <w:shd w:val="clear" w:color="auto" w:fill="FFFFFF"/>
          <w:lang w:val="en-AU"/>
        </w:rPr>
        <w:t>as meaning mutual respect and charity.  Human dignity would be part of the part of</w:t>
      </w:r>
      <w:r w:rsidR="00AC1FEA" w:rsidRPr="009E7B69">
        <w:rPr>
          <w:shd w:val="clear" w:color="auto" w:fill="FFFFFF"/>
        </w:rPr>
        <w:t xml:space="preserve"> </w:t>
      </w:r>
      <w:r w:rsidR="00AC1FEA" w:rsidRPr="009E7B69">
        <w:rPr>
          <w:shd w:val="clear" w:color="auto" w:fill="FFFFFF"/>
          <w:rtl/>
        </w:rPr>
        <w:t>צדקה</w:t>
      </w:r>
      <w:r w:rsidR="00AC1FEA" w:rsidRPr="009E7B69">
        <w:rPr>
          <w:shd w:val="clear" w:color="auto" w:fill="FFFFFF"/>
        </w:rPr>
        <w:t>. Matthew 5:38</w:t>
      </w:r>
      <w:r w:rsidR="00675CC2">
        <w:rPr>
          <w:shd w:val="clear" w:color="auto" w:fill="FFFFFF"/>
        </w:rPr>
        <w:t>–</w:t>
      </w:r>
      <w:r w:rsidR="00AC1FEA" w:rsidRPr="009E7B69">
        <w:rPr>
          <w:shd w:val="clear" w:color="auto" w:fill="FFFFFF"/>
        </w:rPr>
        <w:t xml:space="preserve">42 </w:t>
      </w:r>
      <w:r w:rsidR="00AC1FEA" w:rsidRPr="00675CC2">
        <w:rPr>
          <w:shd w:val="clear" w:color="auto" w:fill="FFFFFF"/>
          <w:lang w:val="en-AU"/>
        </w:rPr>
        <w:t xml:space="preserve">would explain how human dignity </w:t>
      </w:r>
      <w:proofErr w:type="gramStart"/>
      <w:r w:rsidR="00AC1FEA" w:rsidRPr="00675CC2">
        <w:rPr>
          <w:shd w:val="clear" w:color="auto" w:fill="FFFFFF"/>
          <w:lang w:val="en-AU"/>
        </w:rPr>
        <w:t xml:space="preserve">would be part of a </w:t>
      </w:r>
      <w:r w:rsidR="00945E60" w:rsidRPr="00675CC2">
        <w:rPr>
          <w:shd w:val="clear" w:color="auto" w:fill="FFFFFF"/>
          <w:lang w:val="en-AU"/>
        </w:rPr>
        <w:t>retaliatory</w:t>
      </w:r>
      <w:r w:rsidR="00AC1FEA" w:rsidRPr="00675CC2">
        <w:rPr>
          <w:shd w:val="clear" w:color="auto" w:fill="FFFFFF"/>
          <w:lang w:val="en-AU"/>
        </w:rPr>
        <w:t xml:space="preserve"> response towards</w:t>
      </w:r>
      <w:proofErr w:type="gramEnd"/>
      <w:r w:rsidR="00AC1FEA" w:rsidRPr="00675CC2">
        <w:rPr>
          <w:shd w:val="clear" w:color="auto" w:fill="FFFFFF"/>
          <w:lang w:val="en-AU"/>
        </w:rPr>
        <w:t xml:space="preserve"> wrong doing.  </w:t>
      </w:r>
    </w:p>
    <w:p w14:paraId="38A0924D" w14:textId="6C0D14EC" w:rsidR="00F2711E" w:rsidRPr="009E7B69" w:rsidRDefault="00AC1FEA" w:rsidP="004A7861">
      <w:pPr>
        <w:autoSpaceDE w:val="0"/>
        <w:autoSpaceDN w:val="0"/>
        <w:adjustRightInd w:val="0"/>
        <w:spacing w:line="480" w:lineRule="auto"/>
        <w:ind w:firstLine="720"/>
      </w:pPr>
      <w:r w:rsidRPr="009E7B69">
        <w:rPr>
          <w:shd w:val="clear" w:color="auto" w:fill="FFFFFF"/>
          <w:rtl/>
        </w:rPr>
        <w:t>צדקה</w:t>
      </w:r>
      <w:r w:rsidRPr="009E7B69">
        <w:rPr>
          <w:shd w:val="clear" w:color="auto" w:fill="FFFFFF"/>
        </w:rPr>
        <w:t xml:space="preserve"> </w:t>
      </w:r>
      <w:r w:rsidRPr="00675CC2">
        <w:rPr>
          <w:shd w:val="clear" w:color="auto" w:fill="FFFFFF"/>
          <w:lang w:val="en-AU"/>
        </w:rPr>
        <w:t xml:space="preserve">also includes charity to the </w:t>
      </w:r>
      <w:r w:rsidR="00945E60" w:rsidRPr="00675CC2">
        <w:rPr>
          <w:shd w:val="clear" w:color="auto" w:fill="FFFFFF"/>
          <w:lang w:val="en-AU"/>
        </w:rPr>
        <w:t>poor</w:t>
      </w:r>
      <w:r w:rsidRPr="00675CC2">
        <w:rPr>
          <w:shd w:val="clear" w:color="auto" w:fill="FFFFFF"/>
          <w:lang w:val="en-AU"/>
        </w:rPr>
        <w:t xml:space="preserve">.  </w:t>
      </w:r>
      <w:r w:rsidR="00945E60" w:rsidRPr="00675CC2">
        <w:rPr>
          <w:shd w:val="clear" w:color="auto" w:fill="FFFFFF"/>
          <w:lang w:val="en-AU"/>
        </w:rPr>
        <w:t>Helping</w:t>
      </w:r>
      <w:r w:rsidRPr="00675CC2">
        <w:rPr>
          <w:shd w:val="clear" w:color="auto" w:fill="FFFFFF"/>
          <w:lang w:val="en-AU"/>
        </w:rPr>
        <w:t xml:space="preserve"> those who have less and </w:t>
      </w:r>
      <w:r w:rsidR="00945E60" w:rsidRPr="00675CC2">
        <w:rPr>
          <w:shd w:val="clear" w:color="auto" w:fill="FFFFFF"/>
          <w:lang w:val="en-AU"/>
        </w:rPr>
        <w:t>benefiting</w:t>
      </w:r>
      <w:r w:rsidRPr="00675CC2">
        <w:rPr>
          <w:shd w:val="clear" w:color="auto" w:fill="FFFFFF"/>
          <w:lang w:val="en-AU"/>
        </w:rPr>
        <w:t xml:space="preserve"> the community was very important.  Giving a tithe to the poor would provide a measure of a person’s ethical standards.  Being a</w:t>
      </w:r>
      <w:r w:rsidR="004C1A36">
        <w:rPr>
          <w:shd w:val="clear" w:color="auto" w:fill="FFFFFF"/>
          <w:lang w:val="en-AU"/>
        </w:rPr>
        <w:t xml:space="preserve"> </w:t>
      </w:r>
      <w:r w:rsidRPr="00675CC2">
        <w:rPr>
          <w:shd w:val="clear" w:color="auto" w:fill="FFFFFF"/>
          <w:lang w:val="en-AU"/>
        </w:rPr>
        <w:t>part of the community would provide this ethical understanding.  In he</w:t>
      </w:r>
      <w:r w:rsidR="00945E60" w:rsidRPr="00675CC2">
        <w:rPr>
          <w:shd w:val="clear" w:color="auto" w:fill="FFFFFF"/>
          <w:lang w:val="en-AU"/>
        </w:rPr>
        <w:t>l</w:t>
      </w:r>
      <w:r w:rsidR="004C1A36">
        <w:rPr>
          <w:shd w:val="clear" w:color="auto" w:fill="FFFFFF"/>
          <w:lang w:val="en-AU"/>
        </w:rPr>
        <w:t>p</w:t>
      </w:r>
      <w:r w:rsidRPr="00675CC2">
        <w:rPr>
          <w:shd w:val="clear" w:color="auto" w:fill="FFFFFF"/>
          <w:lang w:val="en-AU"/>
        </w:rPr>
        <w:t>ing the poor, it included</w:t>
      </w:r>
      <w:r w:rsidRPr="009E7B69">
        <w:rPr>
          <w:shd w:val="clear" w:color="auto" w:fill="FFFFFF"/>
        </w:rPr>
        <w:t xml:space="preserve"> </w:t>
      </w:r>
      <w:r w:rsidRPr="009E7B69">
        <w:rPr>
          <w:shd w:val="clear" w:color="auto" w:fill="FFFFFF"/>
          <w:rtl/>
        </w:rPr>
        <w:t>צדקה</w:t>
      </w:r>
      <w:r w:rsidRPr="009E7B69">
        <w:rPr>
          <w:shd w:val="clear" w:color="auto" w:fill="FFFFFF"/>
        </w:rPr>
        <w:t xml:space="preserve"> </w:t>
      </w:r>
      <w:r w:rsidRPr="00675CC2">
        <w:rPr>
          <w:shd w:val="clear" w:color="auto" w:fill="FFFFFF"/>
          <w:lang w:val="en-AU"/>
        </w:rPr>
        <w:t xml:space="preserve">helping the underprivileged.  Not only does equitable justice apply for retribution, </w:t>
      </w:r>
      <w:proofErr w:type="gramStart"/>
      <w:r w:rsidRPr="00675CC2">
        <w:rPr>
          <w:shd w:val="clear" w:color="auto" w:fill="FFFFFF"/>
          <w:lang w:val="en-AU"/>
        </w:rPr>
        <w:t>it</w:t>
      </w:r>
      <w:proofErr w:type="gramEnd"/>
      <w:r w:rsidRPr="00675CC2">
        <w:rPr>
          <w:shd w:val="clear" w:color="auto" w:fill="FFFFFF"/>
          <w:lang w:val="en-AU"/>
        </w:rPr>
        <w:t xml:space="preserve"> applies in how you treat other people who have not do</w:t>
      </w:r>
      <w:r w:rsidR="00971755">
        <w:rPr>
          <w:shd w:val="clear" w:color="auto" w:fill="FFFFFF"/>
          <w:lang w:val="en-AU"/>
        </w:rPr>
        <w:t>ne</w:t>
      </w:r>
      <w:r w:rsidRPr="00675CC2">
        <w:rPr>
          <w:shd w:val="clear" w:color="auto" w:fill="FFFFFF"/>
          <w:lang w:val="en-AU"/>
        </w:rPr>
        <w:t xml:space="preserve"> you wrong.</w:t>
      </w:r>
      <w:r w:rsidRPr="009E7B69">
        <w:rPr>
          <w:shd w:val="clear" w:color="auto" w:fill="FFFFFF"/>
        </w:rPr>
        <w:t xml:space="preserve">  </w:t>
      </w:r>
      <w:r w:rsidRPr="009E7B69">
        <w:rPr>
          <w:shd w:val="clear" w:color="auto" w:fill="FFFFFF"/>
          <w:rtl/>
        </w:rPr>
        <w:t>צדקה</w:t>
      </w:r>
      <w:r w:rsidRPr="009E7B69">
        <w:rPr>
          <w:shd w:val="clear" w:color="auto" w:fill="FFFFFF"/>
        </w:rPr>
        <w:t xml:space="preserve"> </w:t>
      </w:r>
      <w:r w:rsidRPr="00675CC2">
        <w:rPr>
          <w:shd w:val="clear" w:color="auto" w:fill="FFFFFF"/>
          <w:lang w:val="en-AU"/>
        </w:rPr>
        <w:t>is part of being a righteous person to provide tithes and offerings. Finally, the chapter asserts that</w:t>
      </w:r>
      <w:r w:rsidRPr="009E7B69">
        <w:rPr>
          <w:shd w:val="clear" w:color="auto" w:fill="FFFFFF"/>
        </w:rPr>
        <w:t xml:space="preserve"> </w:t>
      </w:r>
      <w:r w:rsidRPr="009E7B69">
        <w:rPr>
          <w:shd w:val="clear" w:color="auto" w:fill="FFFFFF"/>
          <w:rtl/>
        </w:rPr>
        <w:t>צדקה</w:t>
      </w:r>
      <w:r w:rsidRPr="009E7B69">
        <w:rPr>
          <w:shd w:val="clear" w:color="auto" w:fill="FFFFFF"/>
        </w:rPr>
        <w:t xml:space="preserve"> </w:t>
      </w:r>
      <w:r w:rsidRPr="00675CC2">
        <w:rPr>
          <w:shd w:val="clear" w:color="auto" w:fill="FFFFFF"/>
          <w:lang w:val="en-AU"/>
        </w:rPr>
        <w:t>protects moneylending.  Matthew 5:38</w:t>
      </w:r>
      <w:r w:rsidR="00675CC2">
        <w:rPr>
          <w:shd w:val="clear" w:color="auto" w:fill="FFFFFF"/>
          <w:lang w:val="en-AU"/>
        </w:rPr>
        <w:t>–</w:t>
      </w:r>
      <w:r w:rsidRPr="00675CC2">
        <w:rPr>
          <w:shd w:val="clear" w:color="auto" w:fill="FFFFFF"/>
          <w:lang w:val="en-AU"/>
        </w:rPr>
        <w:t xml:space="preserve">42 would be influenced by </w:t>
      </w:r>
      <w:r w:rsidR="00945E60" w:rsidRPr="00675CC2">
        <w:rPr>
          <w:shd w:val="clear" w:color="auto" w:fill="FFFFFF"/>
          <w:lang w:val="en-AU"/>
        </w:rPr>
        <w:t xml:space="preserve">the rules of charitable lending: it is allowed to charge interest to </w:t>
      </w:r>
      <w:proofErr w:type="gramStart"/>
      <w:r w:rsidR="00945E60" w:rsidRPr="00675CC2">
        <w:rPr>
          <w:shd w:val="clear" w:color="auto" w:fill="FFFFFF"/>
          <w:lang w:val="en-AU"/>
        </w:rPr>
        <w:t>foreigners</w:t>
      </w:r>
      <w:proofErr w:type="gramEnd"/>
      <w:r w:rsidR="00945E60" w:rsidRPr="00675CC2">
        <w:rPr>
          <w:shd w:val="clear" w:color="auto" w:fill="FFFFFF"/>
          <w:lang w:val="en-AU"/>
        </w:rPr>
        <w:t xml:space="preserve"> and you are not allowed to charge interest to fellow Jews</w:t>
      </w:r>
      <w:r w:rsidR="00945E60" w:rsidRPr="009E7B69">
        <w:rPr>
          <w:shd w:val="clear" w:color="auto" w:fill="FFFFFF"/>
        </w:rPr>
        <w:t xml:space="preserve">.  </w:t>
      </w:r>
      <w:r w:rsidR="00010BA6" w:rsidRPr="009E7B69">
        <w:rPr>
          <w:rFonts w:eastAsiaTheme="majorEastAsia"/>
          <w:b/>
          <w:lang w:eastAsia="ja-JP" w:bidi="en-US"/>
        </w:rPr>
        <w:br w:type="page"/>
      </w:r>
    </w:p>
    <w:p w14:paraId="2AFDB0A6" w14:textId="702DE6E1" w:rsidR="00656CB1" w:rsidRPr="00BF370B" w:rsidRDefault="00F2711E" w:rsidP="009F5D32">
      <w:pPr>
        <w:pStyle w:val="Heading1"/>
        <w:rPr>
          <w:lang w:val="en-AU"/>
        </w:rPr>
      </w:pPr>
      <w:r w:rsidRPr="009E7B69">
        <w:lastRenderedPageBreak/>
        <w:t xml:space="preserve"> </w:t>
      </w:r>
      <w:bookmarkStart w:id="151" w:name="_Toc81571213"/>
      <w:bookmarkStart w:id="152" w:name="_Toc94537026"/>
      <w:bookmarkStart w:id="153" w:name="_Toc118063674"/>
      <w:r w:rsidR="007B7745" w:rsidRPr="009E7B69">
        <w:t xml:space="preserve">Chapter </w:t>
      </w:r>
      <w:bookmarkEnd w:id="151"/>
      <w:r w:rsidR="007802A2" w:rsidRPr="009E7B69">
        <w:t>8</w:t>
      </w:r>
      <w:r w:rsidR="000C2AA8" w:rsidRPr="009E7B69">
        <w:t xml:space="preserve">  </w:t>
      </w:r>
      <w:r w:rsidR="000C2AA8" w:rsidRPr="009E7B69">
        <w:br/>
      </w:r>
      <w:r w:rsidR="0086114A" w:rsidRPr="00BF370B">
        <w:rPr>
          <w:lang w:val="en-AU"/>
        </w:rPr>
        <w:t>Peace and Non-Violence in t</w:t>
      </w:r>
      <w:r w:rsidR="003A655D" w:rsidRPr="00BF370B">
        <w:rPr>
          <w:lang w:val="en-AU"/>
        </w:rPr>
        <w:t>he Sermon on the Mount</w:t>
      </w:r>
      <w:bookmarkEnd w:id="152"/>
      <w:bookmarkEnd w:id="153"/>
    </w:p>
    <w:p w14:paraId="16402669" w14:textId="431E57F4" w:rsidR="006540C0" w:rsidRPr="00BF370B" w:rsidRDefault="008F459B" w:rsidP="00D77A96">
      <w:pPr>
        <w:spacing w:line="480" w:lineRule="auto"/>
        <w:ind w:firstLine="720"/>
        <w:rPr>
          <w:lang w:val="en-AU"/>
        </w:rPr>
      </w:pPr>
      <w:r w:rsidRPr="00BF370B">
        <w:rPr>
          <w:lang w:val="en-AU"/>
        </w:rPr>
        <w:t xml:space="preserve">This chapter considers several sayings found in the Sermon on the Mount (Matt 5—7) that relate to peace and </w:t>
      </w:r>
      <w:r w:rsidR="00611617" w:rsidRPr="00BF370B">
        <w:rPr>
          <w:lang w:val="en-AU"/>
        </w:rPr>
        <w:t>nonviolent</w:t>
      </w:r>
      <w:r w:rsidRPr="00BF370B">
        <w:rPr>
          <w:lang w:val="en-AU"/>
        </w:rPr>
        <w:t xml:space="preserve"> resistance.</w:t>
      </w:r>
      <w:r w:rsidR="006540C0" w:rsidRPr="00BF370B">
        <w:rPr>
          <w:lang w:val="en-AU"/>
        </w:rPr>
        <w:t xml:space="preserve"> </w:t>
      </w:r>
      <w:r w:rsidR="00E206EC">
        <w:rPr>
          <w:lang w:val="en-AU"/>
        </w:rPr>
        <w:t xml:space="preserve">These sayings of peace and nonviolent resistance are foundational to Matthew 5:38-42. </w:t>
      </w:r>
      <w:r w:rsidR="00F700B5">
        <w:rPr>
          <w:lang w:val="en-AU"/>
        </w:rPr>
        <w:t>An understanding of ‘</w:t>
      </w:r>
      <w:r w:rsidR="00F700B5" w:rsidRPr="00FB551B">
        <w:rPr>
          <w:lang w:val="en-AU"/>
        </w:rPr>
        <w:t>στρέψον αὐτῷ καὶ τὴν ἄλλην, “turning the other cheek,” is widely but wrongly assumed to mean that a person should be passive.</w:t>
      </w:r>
      <w:r w:rsidR="00F700B5">
        <w:rPr>
          <w:lang w:val="en-AU"/>
        </w:rPr>
        <w:t xml:space="preserve"> </w:t>
      </w:r>
      <w:r w:rsidR="00E206EC">
        <w:rPr>
          <w:lang w:val="en-AU"/>
        </w:rPr>
        <w:t xml:space="preserve">A better reading of the text can be done that protects human dignity for those who are being abused without submitting to more abuse. </w:t>
      </w:r>
      <w:r w:rsidR="00F700B5">
        <w:rPr>
          <w:lang w:val="en-AU"/>
        </w:rPr>
        <w:t xml:space="preserve">This chapter looks at various elements of the Sermon which provide a different reading of the text. </w:t>
      </w:r>
      <w:r w:rsidR="00F700B5" w:rsidRPr="00FB551B">
        <w:rPr>
          <w:lang w:val="en-AU"/>
        </w:rPr>
        <w:t xml:space="preserve">The purpose of the phrase στρέψον αὐτῷ καὶ τὴν ἄλλην provides for a remedy against strife and vengeance, which are against Jewish ethics. The understanding of στρέψον αὐτῷ καὶ τὴν ἄλλην to mean a form of peace and pacifism rests on an interpretation of ἀντιστῆναι (resist) and πονηρῷ (evil, evil person).  </w:t>
      </w:r>
    </w:p>
    <w:p w14:paraId="23044F42" w14:textId="12FC5D03" w:rsidR="00201C8F" w:rsidRPr="00BF370B" w:rsidRDefault="00201C8F" w:rsidP="00D37F31">
      <w:pPr>
        <w:pStyle w:val="Heading2"/>
      </w:pPr>
      <w:bookmarkStart w:id="154" w:name="_Toc94537027"/>
      <w:bookmarkStart w:id="155" w:name="_Toc118063675"/>
      <w:r w:rsidRPr="00BF370B">
        <w:t>8.1 The Structure of the Sermon on the Mount</w:t>
      </w:r>
      <w:bookmarkEnd w:id="154"/>
      <w:bookmarkEnd w:id="155"/>
    </w:p>
    <w:p w14:paraId="776156AA" w14:textId="266BF615" w:rsidR="00201C8F" w:rsidRPr="00BF370B" w:rsidRDefault="00201C8F" w:rsidP="00481913">
      <w:pPr>
        <w:spacing w:line="480" w:lineRule="auto"/>
        <w:ind w:firstLine="720"/>
        <w:rPr>
          <w:lang w:val="en-AU"/>
        </w:rPr>
      </w:pPr>
      <w:r w:rsidRPr="00BF370B">
        <w:rPr>
          <w:lang w:val="en-AU"/>
        </w:rPr>
        <w:t>The Sermon on the Mount includes six antitheses that provide an ethical understanding, and divide the Sermon into sections.</w:t>
      </w:r>
      <w:r w:rsidRPr="00BF370B">
        <w:rPr>
          <w:rStyle w:val="FootnoteReference"/>
          <w:lang w:val="en-AU"/>
        </w:rPr>
        <w:footnoteReference w:id="447"/>
      </w:r>
      <w:r w:rsidRPr="00BF370B">
        <w:rPr>
          <w:lang w:val="en-AU"/>
        </w:rPr>
        <w:t xml:space="preserve"> These antitheses </w:t>
      </w:r>
      <w:r w:rsidR="00F70A8C" w:rsidRPr="00BF370B">
        <w:rPr>
          <w:lang w:val="en-AU"/>
        </w:rPr>
        <w:t xml:space="preserve">combine </w:t>
      </w:r>
      <w:r w:rsidRPr="00BF370B">
        <w:rPr>
          <w:lang w:val="en-AU"/>
        </w:rPr>
        <w:t xml:space="preserve">to set a moral and ethical compass for </w:t>
      </w:r>
      <w:r w:rsidR="00F70A8C" w:rsidRPr="00BF370B">
        <w:rPr>
          <w:lang w:val="en-AU"/>
        </w:rPr>
        <w:t xml:space="preserve">understanding </w:t>
      </w:r>
      <w:r w:rsidRPr="00BF370B">
        <w:rPr>
          <w:lang w:val="en-AU"/>
        </w:rPr>
        <w:t>Jesus’</w:t>
      </w:r>
      <w:r w:rsidR="006D41DD">
        <w:rPr>
          <w:lang w:val="en-AU"/>
        </w:rPr>
        <w:t>s</w:t>
      </w:r>
      <w:r w:rsidRPr="00BF370B">
        <w:rPr>
          <w:lang w:val="en-AU"/>
        </w:rPr>
        <w:t xml:space="preserve"> message</w:t>
      </w:r>
      <w:r w:rsidR="00F70A8C" w:rsidRPr="00BF370B">
        <w:rPr>
          <w:lang w:val="en-AU"/>
        </w:rPr>
        <w:t xml:space="preserve"> in the Sermon on the Mount</w:t>
      </w:r>
      <w:r w:rsidRPr="00BF370B">
        <w:rPr>
          <w:lang w:val="en-AU"/>
        </w:rPr>
        <w:t>.</w:t>
      </w:r>
      <w:r w:rsidRPr="00BF370B">
        <w:rPr>
          <w:rStyle w:val="FootnoteReference"/>
          <w:lang w:val="en-AU"/>
        </w:rPr>
        <w:footnoteReference w:id="448"/>
      </w:r>
      <w:r w:rsidRPr="00BF370B">
        <w:rPr>
          <w:lang w:val="en-AU"/>
        </w:rPr>
        <w:t xml:space="preserve"> </w:t>
      </w:r>
      <w:r w:rsidRPr="00BF370B">
        <w:rPr>
          <w:lang w:val="en-AU"/>
        </w:rPr>
        <w:lastRenderedPageBreak/>
        <w:t>The text states that whoever practices and teaches “these commandments” (Matthew 5:19ff) will be inclined to practice chastity, and not reduce one’s neighbour to the status of a sexual object (5:27–30)</w:t>
      </w:r>
      <w:r w:rsidR="00BF370B" w:rsidRPr="00BF370B">
        <w:rPr>
          <w:lang w:val="en-AU"/>
        </w:rPr>
        <w:t>.</w:t>
      </w:r>
      <w:r w:rsidRPr="00BF370B">
        <w:rPr>
          <w:rStyle w:val="FootnoteReference"/>
          <w:lang w:val="en-AU"/>
        </w:rPr>
        <w:footnoteReference w:id="449"/>
      </w:r>
      <w:r w:rsidRPr="00BF370B">
        <w:rPr>
          <w:lang w:val="en-AU"/>
        </w:rPr>
        <w:t xml:space="preserve"> This is extended further in the limitation put on grounds for divorce (5:31–33). Those who follow the law will also be eager for peace, not revenge (5:38–42).</w:t>
      </w:r>
      <w:r w:rsidRPr="00BF370B">
        <w:rPr>
          <w:rStyle w:val="FootnoteReference"/>
          <w:lang w:val="en-AU"/>
        </w:rPr>
        <w:footnoteReference w:id="450"/>
      </w:r>
      <w:r w:rsidRPr="00BF370B">
        <w:rPr>
          <w:lang w:val="en-AU"/>
        </w:rPr>
        <w:t xml:space="preserve"> Righteousness means being ready to love people unequivocally without expecting love in return (5:43–47). </w:t>
      </w:r>
    </w:p>
    <w:p w14:paraId="6C46A0BB" w14:textId="61866D9E" w:rsidR="00201C8F" w:rsidRPr="00BF370B" w:rsidRDefault="00201C8F" w:rsidP="00201C8F">
      <w:pPr>
        <w:spacing w:line="480" w:lineRule="auto"/>
        <w:ind w:firstLine="709"/>
        <w:rPr>
          <w:lang w:val="en-AU"/>
        </w:rPr>
      </w:pPr>
      <w:r w:rsidRPr="00BF370B">
        <w:rPr>
          <w:lang w:val="en-AU"/>
        </w:rPr>
        <w:t>The text states that whoever practices “these commandments” will “fulfill” the Law and the prophets (5:17)</w:t>
      </w:r>
      <w:r w:rsidR="004C1A36">
        <w:rPr>
          <w:lang w:val="en-AU"/>
        </w:rPr>
        <w:t>,</w:t>
      </w:r>
      <w:r w:rsidRPr="00BF370B">
        <w:rPr>
          <w:lang w:val="en-AU"/>
        </w:rPr>
        <w:t xml:space="preserve"> and by fulfilling the law and the prophets</w:t>
      </w:r>
      <w:r w:rsidR="004C1A36">
        <w:rPr>
          <w:lang w:val="en-AU"/>
        </w:rPr>
        <w:t>,</w:t>
      </w:r>
      <w:r w:rsidRPr="00BF370B">
        <w:rPr>
          <w:lang w:val="en-AU"/>
        </w:rPr>
        <w:t xml:space="preserve"> they will have a special status with the Father in Heaven (5:45). Jesus further states </w:t>
      </w:r>
      <w:r w:rsidRPr="00BF370B">
        <w:rPr>
          <w:i/>
          <w:iCs/>
          <w:lang w:val="en-AU"/>
        </w:rPr>
        <w:t>he</w:t>
      </w:r>
      <w:r w:rsidRPr="00BF370B">
        <w:rPr>
          <w:lang w:val="en-AU"/>
        </w:rPr>
        <w:t xml:space="preserve"> would fulfil the law and the prophets. Those who observe and teach the commandments shall be called great in the kingdom of heaven (Matthew 5:19). </w:t>
      </w:r>
    </w:p>
    <w:p w14:paraId="6C911234" w14:textId="77777777" w:rsidR="00201C8F" w:rsidRPr="00BF370B" w:rsidRDefault="00201C8F" w:rsidP="00201C8F">
      <w:pPr>
        <w:spacing w:line="480" w:lineRule="auto"/>
        <w:ind w:firstLine="709"/>
        <w:rPr>
          <w:lang w:val="en-AU"/>
        </w:rPr>
      </w:pPr>
      <w:r w:rsidRPr="00BF370B">
        <w:rPr>
          <w:lang w:val="en-AU"/>
        </w:rPr>
        <w:t>For Przybylski, the sayings in Matthew 5:21–48 are a way to make a hedge or fence around Torah:</w:t>
      </w:r>
    </w:p>
    <w:p w14:paraId="3A9A89FE" w14:textId="0E796F72" w:rsidR="00D25D36" w:rsidRPr="00BF370B" w:rsidRDefault="00201C8F" w:rsidP="00201C8F">
      <w:pPr>
        <w:pStyle w:val="Blockquotation"/>
        <w:rPr>
          <w:sz w:val="24"/>
          <w:lang w:val="en-AU"/>
        </w:rPr>
      </w:pPr>
      <w:r w:rsidRPr="00BF370B">
        <w:rPr>
          <w:sz w:val="24"/>
          <w:lang w:val="en-AU"/>
        </w:rPr>
        <w:t>It becomes evident that Matthew himself viewed them [the antitheses] as being representative of a new interpretation of the old law … One factor which suggests that the antitheses reflect a new interpretation of the old law is that it appears that Matthew is applying the rabbinic principle of making a fence around Torah in 5:21–48. Moore explains that this was a hermeneutical principle used to protect the law ‘by surrounding it with cautionary rules to halt a man like a danger signal before he gets within breaking distance of the divine statute itself.’</w:t>
      </w:r>
      <w:r w:rsidRPr="00BF370B">
        <w:rPr>
          <w:rStyle w:val="FootnoteReference"/>
          <w:sz w:val="24"/>
          <w:lang w:val="en-AU"/>
        </w:rPr>
        <w:footnoteReference w:id="451"/>
      </w:r>
    </w:p>
    <w:p w14:paraId="6EA5461B" w14:textId="591AA059" w:rsidR="00201C8F" w:rsidRPr="00BF370B" w:rsidRDefault="00201C8F" w:rsidP="00EC4DD5">
      <w:pPr>
        <w:spacing w:before="240" w:line="480" w:lineRule="auto"/>
        <w:rPr>
          <w:lang w:val="en-AU"/>
        </w:rPr>
      </w:pPr>
      <w:r w:rsidRPr="00BF370B">
        <w:rPr>
          <w:lang w:val="en-AU"/>
        </w:rPr>
        <w:lastRenderedPageBreak/>
        <w:t xml:space="preserve">Przybylski thus contends that the six-antithesis of the Sermon were intended to create a protection or hedge around the law. By way of contrast, Bornkamm argues that, while the first, second, and fourth antitheses could be understood as intensifying the law, the third, fifth, and sixth substantially modified </w:t>
      </w:r>
      <w:r w:rsidRPr="00BF370B">
        <w:rPr>
          <w:i/>
          <w:lang w:val="en-AU"/>
        </w:rPr>
        <w:t>halakhic</w:t>
      </w:r>
      <w:r w:rsidRPr="00BF370B">
        <w:rPr>
          <w:lang w:val="en-AU"/>
        </w:rPr>
        <w:t xml:space="preserve"> stipulations.</w:t>
      </w:r>
      <w:r w:rsidRPr="00BF370B">
        <w:rPr>
          <w:rStyle w:val="FootnoteReference"/>
          <w:lang w:val="en-AU"/>
        </w:rPr>
        <w:footnoteReference w:id="452"/>
      </w:r>
      <w:r w:rsidRPr="00BF370B">
        <w:rPr>
          <w:lang w:val="en-AU"/>
        </w:rPr>
        <w:t xml:space="preserve"> This interpretation of the Sermon would sit well with a Jewish audience and interpretation because the understanding of Jewish ethics would be preserved in oral and written Tora</w:t>
      </w:r>
      <w:r w:rsidR="004C1A36">
        <w:rPr>
          <w:lang w:val="en-AU"/>
        </w:rPr>
        <w:t xml:space="preserve">h. </w:t>
      </w:r>
    </w:p>
    <w:p w14:paraId="353FCAAA" w14:textId="3C0AC216" w:rsidR="006540C0" w:rsidRPr="00BF370B" w:rsidRDefault="00532284" w:rsidP="00D37F31">
      <w:pPr>
        <w:pStyle w:val="Heading2"/>
        <w:rPr>
          <w:bCs/>
          <w:iCs/>
          <w:caps/>
        </w:rPr>
      </w:pPr>
      <w:bookmarkStart w:id="156" w:name="_Toc94537028"/>
      <w:bookmarkStart w:id="157" w:name="_Toc118063676"/>
      <w:r w:rsidRPr="00BF370B">
        <w:rPr>
          <w:bCs/>
          <w:caps/>
        </w:rPr>
        <w:t>8.</w:t>
      </w:r>
      <w:r w:rsidR="00201C8F" w:rsidRPr="00BF370B">
        <w:rPr>
          <w:bCs/>
          <w:caps/>
        </w:rPr>
        <w:t>2</w:t>
      </w:r>
      <w:r w:rsidR="006540C0" w:rsidRPr="00BF370B">
        <w:rPr>
          <w:bCs/>
          <w:caps/>
        </w:rPr>
        <w:t xml:space="preserve"> </w:t>
      </w:r>
      <w:r w:rsidR="007D6BDC" w:rsidRPr="00BF370B">
        <w:rPr>
          <w:bCs/>
        </w:rPr>
        <w:t xml:space="preserve">Matthew </w:t>
      </w:r>
      <w:r w:rsidR="005236D4" w:rsidRPr="00BF370B">
        <w:rPr>
          <w:bCs/>
          <w:caps/>
        </w:rPr>
        <w:t xml:space="preserve">5:5: </w:t>
      </w:r>
      <w:r w:rsidR="005236D4" w:rsidRPr="00BF370B">
        <w:t>πραεῖς</w:t>
      </w:r>
      <w:r w:rsidR="007A6088" w:rsidRPr="00BF370B">
        <w:t xml:space="preserve"> (mild or humble)</w:t>
      </w:r>
      <w:r w:rsidR="005236D4" w:rsidRPr="00BF370B">
        <w:t xml:space="preserve"> in the Beatitudes</w:t>
      </w:r>
      <w:bookmarkEnd w:id="156"/>
      <w:bookmarkEnd w:id="157"/>
    </w:p>
    <w:p w14:paraId="428E834D" w14:textId="77777777" w:rsidR="006540C0" w:rsidRPr="009E7B69" w:rsidRDefault="006540C0" w:rsidP="006540C0">
      <w:pPr>
        <w:contextualSpacing/>
      </w:pPr>
      <w:r w:rsidRPr="009E7B69">
        <w:rPr>
          <w:bCs/>
          <w:iCs/>
        </w:rPr>
        <w:t>Matthew 5:5</w:t>
      </w:r>
    </w:p>
    <w:p w14:paraId="55ACA8AB" w14:textId="33674742" w:rsidR="00D25D36" w:rsidRPr="009E7B69" w:rsidRDefault="006540C0" w:rsidP="006540C0">
      <w:pPr>
        <w:ind w:left="720"/>
        <w:contextualSpacing/>
      </w:pPr>
      <w:r w:rsidRPr="009E7B69">
        <w:t xml:space="preserve">5 </w:t>
      </w:r>
      <w:r w:rsidRPr="009E7B69">
        <w:rPr>
          <w:lang w:val="el-GR"/>
        </w:rPr>
        <w:t>μακάριοι οἱ πραεῖς, ὅτι αὐτοὶ κληρονομήσουσι τὴν γῆν</w:t>
      </w:r>
      <w:r w:rsidRPr="009E7B69">
        <w:t>.</w:t>
      </w:r>
      <w:r w:rsidRPr="009E7B69" w:rsidDel="00312BD9">
        <w:t xml:space="preserve"> </w:t>
      </w:r>
    </w:p>
    <w:p w14:paraId="5BCF8854" w14:textId="366F41E0" w:rsidR="00D25D36" w:rsidRPr="009E7B69" w:rsidRDefault="006540C0" w:rsidP="006540C0">
      <w:pPr>
        <w:ind w:left="720"/>
        <w:contextualSpacing/>
      </w:pPr>
      <w:r w:rsidRPr="009E7B69">
        <w:t>5</w:t>
      </w:r>
      <w:r w:rsidR="002F21A1" w:rsidRPr="009E7B69">
        <w:t xml:space="preserve"> </w:t>
      </w:r>
      <w:r w:rsidRPr="009E7B69">
        <w:t>Blessed are the meek, for they will inherit the earth. (NRSV)</w:t>
      </w:r>
    </w:p>
    <w:p w14:paraId="3EE5CF3F" w14:textId="77777777" w:rsidR="00A64FDA" w:rsidRDefault="006540C0" w:rsidP="00332B03">
      <w:pPr>
        <w:spacing w:line="480" w:lineRule="auto"/>
        <w:ind w:firstLine="720"/>
      </w:pPr>
      <w:r w:rsidRPr="009E7B69">
        <w:t xml:space="preserve">The </w:t>
      </w:r>
      <w:r w:rsidR="00481913" w:rsidRPr="009E7B69">
        <w:t xml:space="preserve">Beatitudes (Matt 5:3-12) which introduce the </w:t>
      </w:r>
      <w:r w:rsidRPr="009E7B69">
        <w:t>Sermon</w:t>
      </w:r>
      <w:r w:rsidR="00481913" w:rsidRPr="009E7B69">
        <w:t xml:space="preserve"> on the Mount</w:t>
      </w:r>
      <w:r w:rsidR="00332B03" w:rsidRPr="009E7B69">
        <w:t xml:space="preserve"> </w:t>
      </w:r>
    </w:p>
    <w:p w14:paraId="6EA74503" w14:textId="755128D8" w:rsidR="00481913" w:rsidRPr="00BF370B" w:rsidRDefault="00332B03" w:rsidP="00332B03">
      <w:pPr>
        <w:spacing w:line="480" w:lineRule="auto"/>
        <w:ind w:firstLine="720"/>
        <w:rPr>
          <w:lang w:val="en-AU"/>
        </w:rPr>
      </w:pPr>
      <w:r w:rsidRPr="00BF370B">
        <w:rPr>
          <w:lang w:val="en-AU"/>
        </w:rPr>
        <w:t>(Matt 5—7)</w:t>
      </w:r>
      <w:r w:rsidRPr="00BF370B">
        <w:rPr>
          <w:vertAlign w:val="superscript"/>
          <w:lang w:val="en-AU"/>
        </w:rPr>
        <w:footnoteReference w:id="453"/>
      </w:r>
      <w:r w:rsidRPr="00BF370B">
        <w:rPr>
          <w:lang w:val="en-AU"/>
        </w:rPr>
        <w:t xml:space="preserve"> </w:t>
      </w:r>
      <w:r w:rsidR="008058AF" w:rsidRPr="00BF370B">
        <w:rPr>
          <w:lang w:val="en-AU"/>
        </w:rPr>
        <w:t>presents</w:t>
      </w:r>
      <w:r w:rsidR="006540C0" w:rsidRPr="00BF370B">
        <w:rPr>
          <w:lang w:val="en-AU"/>
        </w:rPr>
        <w:t xml:space="preserve"> ethical choices </w:t>
      </w:r>
      <w:r w:rsidR="00875399" w:rsidRPr="00BF370B">
        <w:rPr>
          <w:lang w:val="en-AU"/>
        </w:rPr>
        <w:t>in the sense of being</w:t>
      </w:r>
      <w:r w:rsidR="00481913" w:rsidRPr="00BF370B">
        <w:rPr>
          <w:lang w:val="en-AU"/>
        </w:rPr>
        <w:t>, as</w:t>
      </w:r>
      <w:r w:rsidR="00875399" w:rsidRPr="00BF370B">
        <w:rPr>
          <w:lang w:val="en-AU"/>
        </w:rPr>
        <w:t xml:space="preserve"> for example, merciful as opposed to being unmerciful </w:t>
      </w:r>
      <w:r w:rsidR="006540C0" w:rsidRPr="00BF370B">
        <w:rPr>
          <w:lang w:val="en-AU"/>
        </w:rPr>
        <w:t xml:space="preserve">and the positive results and divine benevolence in response to </w:t>
      </w:r>
      <w:r w:rsidR="006540C0" w:rsidRPr="00BF370B">
        <w:rPr>
          <w:lang w:val="en-AU"/>
        </w:rPr>
        <w:lastRenderedPageBreak/>
        <w:t>these choices</w:t>
      </w:r>
      <w:r w:rsidR="00262712" w:rsidRPr="00BF370B">
        <w:rPr>
          <w:lang w:val="en-AU"/>
        </w:rPr>
        <w:t xml:space="preserve"> with the use of πραεῖς</w:t>
      </w:r>
      <w:r w:rsidR="006540C0" w:rsidRPr="00BF370B">
        <w:rPr>
          <w:lang w:val="en-AU"/>
        </w:rPr>
        <w:t xml:space="preserve">. The Greek word </w:t>
      </w:r>
      <w:r w:rsidR="009B2CDD" w:rsidRPr="00BF370B">
        <w:rPr>
          <w:lang w:val="en-AU"/>
        </w:rPr>
        <w:t>translated</w:t>
      </w:r>
      <w:r w:rsidR="006540C0" w:rsidRPr="00BF370B">
        <w:rPr>
          <w:lang w:val="en-AU"/>
        </w:rPr>
        <w:t xml:space="preserve"> </w:t>
      </w:r>
      <w:r w:rsidR="00863B47" w:rsidRPr="00BF370B">
        <w:rPr>
          <w:lang w:val="en-AU"/>
        </w:rPr>
        <w:t>“</w:t>
      </w:r>
      <w:r w:rsidR="006540C0" w:rsidRPr="00BF370B">
        <w:rPr>
          <w:lang w:val="en-AU"/>
        </w:rPr>
        <w:t>blessed</w:t>
      </w:r>
      <w:r w:rsidR="00863B47" w:rsidRPr="00BF370B">
        <w:rPr>
          <w:lang w:val="en-AU"/>
        </w:rPr>
        <w:t>”</w:t>
      </w:r>
      <w:r w:rsidR="00CC0921" w:rsidRPr="00BF370B">
        <w:rPr>
          <w:lang w:val="en-AU"/>
        </w:rPr>
        <w:t xml:space="preserve">, </w:t>
      </w:r>
      <w:r w:rsidR="006540C0" w:rsidRPr="00BF370B">
        <w:rPr>
          <w:lang w:val="en-AU"/>
        </w:rPr>
        <w:t xml:space="preserve">μακάριοι </w:t>
      </w:r>
      <w:r w:rsidR="009C1AA1" w:rsidRPr="00BF370B">
        <w:rPr>
          <w:lang w:val="en-AU"/>
        </w:rPr>
        <w:t>(</w:t>
      </w:r>
      <w:r w:rsidR="006540C0" w:rsidRPr="00BF370B">
        <w:rPr>
          <w:i/>
          <w:lang w:val="en-AU"/>
        </w:rPr>
        <w:t>makarioi</w:t>
      </w:r>
      <w:r w:rsidR="009C1AA1" w:rsidRPr="00BF370B">
        <w:rPr>
          <w:i/>
          <w:lang w:val="en-AU"/>
        </w:rPr>
        <w:t>)</w:t>
      </w:r>
      <w:r w:rsidR="006540C0" w:rsidRPr="00BF370B">
        <w:rPr>
          <w:lang w:val="en-AU"/>
        </w:rPr>
        <w:t xml:space="preserve">, is best translated as </w:t>
      </w:r>
      <w:r w:rsidR="00863B47" w:rsidRPr="00BF370B">
        <w:rPr>
          <w:lang w:val="en-AU"/>
        </w:rPr>
        <w:t>“</w:t>
      </w:r>
      <w:r w:rsidR="006540C0" w:rsidRPr="00BF370B">
        <w:rPr>
          <w:lang w:val="en-AU"/>
        </w:rPr>
        <w:t>happy</w:t>
      </w:r>
      <w:r w:rsidR="00863B47" w:rsidRPr="00BF370B">
        <w:rPr>
          <w:lang w:val="en-AU"/>
        </w:rPr>
        <w:t>”</w:t>
      </w:r>
      <w:r w:rsidR="006540C0" w:rsidRPr="00BF370B">
        <w:rPr>
          <w:lang w:val="en-AU"/>
        </w:rPr>
        <w:t>.</w:t>
      </w:r>
      <w:r w:rsidR="006540C0" w:rsidRPr="00BF370B">
        <w:rPr>
          <w:rStyle w:val="FootnoteReference"/>
          <w:lang w:val="en-AU"/>
        </w:rPr>
        <w:footnoteReference w:id="454"/>
      </w:r>
      <w:r w:rsidR="006540C0" w:rsidRPr="00BF370B">
        <w:rPr>
          <w:lang w:val="en-AU"/>
        </w:rPr>
        <w:t xml:space="preserve"> </w:t>
      </w:r>
    </w:p>
    <w:p w14:paraId="76C2557A" w14:textId="22CB0121" w:rsidR="006540C0" w:rsidRPr="00BF370B" w:rsidRDefault="006540C0" w:rsidP="006540C0">
      <w:pPr>
        <w:spacing w:before="120" w:line="480" w:lineRule="auto"/>
        <w:ind w:firstLine="720"/>
        <w:rPr>
          <w:lang w:val="en-AU"/>
        </w:rPr>
      </w:pPr>
      <w:r w:rsidRPr="00BF370B">
        <w:rPr>
          <w:lang w:val="en-AU"/>
        </w:rPr>
        <w:t>The Greek word πραεῖς</w:t>
      </w:r>
      <w:r w:rsidR="00481913" w:rsidRPr="00BF370B">
        <w:rPr>
          <w:lang w:val="en-AU"/>
        </w:rPr>
        <w:t xml:space="preserve"> in Matt 5:5</w:t>
      </w:r>
      <w:r w:rsidRPr="00BF370B">
        <w:rPr>
          <w:lang w:val="en-AU"/>
        </w:rPr>
        <w:t xml:space="preserve"> translates as a meek and humble person.</w:t>
      </w:r>
      <w:r w:rsidRPr="00BF370B">
        <w:rPr>
          <w:rStyle w:val="FootnoteReference"/>
          <w:lang w:val="en-AU"/>
        </w:rPr>
        <w:footnoteReference w:id="455"/>
      </w:r>
      <w:r w:rsidRPr="00BF370B">
        <w:rPr>
          <w:lang w:val="en-AU"/>
        </w:rPr>
        <w:t xml:space="preserve"> </w:t>
      </w:r>
      <w:r w:rsidR="00F60ED0" w:rsidRPr="00BF370B">
        <w:rPr>
          <w:lang w:val="en-AU"/>
        </w:rPr>
        <w:t xml:space="preserve"> </w:t>
      </w:r>
      <w:r w:rsidRPr="00BF370B">
        <w:rPr>
          <w:lang w:val="en-AU"/>
        </w:rPr>
        <w:t xml:space="preserve">The translation would be more accurate as </w:t>
      </w:r>
      <w:r w:rsidR="00863B47" w:rsidRPr="00BF370B">
        <w:rPr>
          <w:lang w:val="en-AU"/>
        </w:rPr>
        <w:t>“</w:t>
      </w:r>
      <w:r w:rsidRPr="00BF370B">
        <w:rPr>
          <w:lang w:val="en-AU"/>
        </w:rPr>
        <w:t>happy are the meek and humble.</w:t>
      </w:r>
      <w:r w:rsidR="00863B47" w:rsidRPr="00BF370B">
        <w:rPr>
          <w:lang w:val="en-AU"/>
        </w:rPr>
        <w:t>”</w:t>
      </w:r>
      <w:r w:rsidRPr="00BF370B">
        <w:rPr>
          <w:lang w:val="en-AU"/>
        </w:rPr>
        <w:t xml:space="preserve"> </w:t>
      </w:r>
      <w:r w:rsidR="00D17881" w:rsidRPr="00BF370B">
        <w:rPr>
          <w:lang w:val="en-AU"/>
        </w:rPr>
        <w:t>I</w:t>
      </w:r>
      <w:r w:rsidRPr="00BF370B">
        <w:rPr>
          <w:lang w:val="en-AU"/>
        </w:rPr>
        <w:t xml:space="preserve">n Matt 5:5 </w:t>
      </w:r>
      <w:r w:rsidR="00D17881" w:rsidRPr="00BF370B">
        <w:rPr>
          <w:lang w:val="en-AU"/>
        </w:rPr>
        <w:t xml:space="preserve">a meek person </w:t>
      </w:r>
      <w:r w:rsidR="007C2819" w:rsidRPr="00BF370B">
        <w:rPr>
          <w:lang w:val="en-AU"/>
        </w:rPr>
        <w:t>is</w:t>
      </w:r>
      <w:r w:rsidRPr="00BF370B">
        <w:rPr>
          <w:lang w:val="en-AU"/>
        </w:rPr>
        <w:t xml:space="preserve"> </w:t>
      </w:r>
      <w:r w:rsidR="005C71CB" w:rsidRPr="00BF370B">
        <w:rPr>
          <w:lang w:val="en-AU"/>
        </w:rPr>
        <w:t>‘</w:t>
      </w:r>
      <w:r w:rsidRPr="00BF370B">
        <w:rPr>
          <w:lang w:val="en-AU"/>
        </w:rPr>
        <w:t>happy</w:t>
      </w:r>
      <w:r w:rsidR="005C71CB" w:rsidRPr="00BF370B">
        <w:rPr>
          <w:lang w:val="en-AU"/>
        </w:rPr>
        <w:t>’</w:t>
      </w:r>
      <w:r w:rsidRPr="00BF370B">
        <w:rPr>
          <w:lang w:val="en-AU"/>
        </w:rPr>
        <w:t xml:space="preserve"> because they are fortunate. Raymond Collins explains that </w:t>
      </w:r>
      <w:r w:rsidR="00A9470A">
        <w:rPr>
          <w:lang w:val="en-AU"/>
        </w:rPr>
        <w:t>“</w:t>
      </w:r>
      <w:r w:rsidRPr="00BF370B">
        <w:rPr>
          <w:lang w:val="en-AU"/>
        </w:rPr>
        <w:t xml:space="preserve">the form of the Beatitudes communicates utilizing </w:t>
      </w:r>
      <w:r w:rsidRPr="00BF370B">
        <w:rPr>
          <w:i/>
          <w:iCs/>
          <w:lang w:val="en-AU"/>
        </w:rPr>
        <w:t>macarisms</w:t>
      </w:r>
      <w:r w:rsidRPr="00BF370B">
        <w:rPr>
          <w:lang w:val="en-AU"/>
        </w:rPr>
        <w:t xml:space="preserve"> because it begins with the adjective </w:t>
      </w:r>
      <w:r w:rsidRPr="00BF370B">
        <w:rPr>
          <w:i/>
          <w:lang w:val="en-AU"/>
        </w:rPr>
        <w:t>makarios</w:t>
      </w:r>
      <w:r w:rsidRPr="00BF370B">
        <w:rPr>
          <w:lang w:val="en-AU"/>
        </w:rPr>
        <w:t>, followed by a relative or personal pronoun introducing a clause which describes a particular conduct or quality which prompted the praise of the person who is pronounced blessed.</w:t>
      </w:r>
      <w:r w:rsidR="00A9470A">
        <w:rPr>
          <w:lang w:val="en-AU"/>
        </w:rPr>
        <w:t>”</w:t>
      </w:r>
      <w:r w:rsidRPr="00BF370B">
        <w:rPr>
          <w:rStyle w:val="FootnoteReference"/>
          <w:lang w:val="en-AU"/>
        </w:rPr>
        <w:footnoteReference w:id="456"/>
      </w:r>
      <w:r w:rsidRPr="00BF370B">
        <w:rPr>
          <w:lang w:val="en-AU"/>
        </w:rPr>
        <w:t xml:space="preserve"> </w:t>
      </w:r>
    </w:p>
    <w:p w14:paraId="00F5BA74" w14:textId="77777777" w:rsidR="00043C3F" w:rsidRPr="00BF370B" w:rsidRDefault="00043C3F" w:rsidP="001A6E79">
      <w:pPr>
        <w:spacing w:before="120" w:line="480" w:lineRule="auto"/>
        <w:ind w:firstLine="720"/>
        <w:rPr>
          <w:lang w:val="en-AU"/>
        </w:rPr>
      </w:pPr>
      <w:r w:rsidRPr="00BF370B">
        <w:rPr>
          <w:lang w:val="en-AU"/>
        </w:rPr>
        <w:t>For La</w:t>
      </w:r>
      <w:r w:rsidRPr="009E7B69">
        <w:t xml:space="preserve">chs, </w:t>
      </w:r>
      <w:r w:rsidRPr="00BF370B">
        <w:rPr>
          <w:lang w:val="en-AU"/>
        </w:rPr>
        <w:t>πραεῖς was not in the original text but was added later.</w:t>
      </w:r>
      <w:r w:rsidRPr="00BF370B">
        <w:rPr>
          <w:rStyle w:val="FootnoteReference"/>
          <w:lang w:val="en-AU"/>
        </w:rPr>
        <w:footnoteReference w:id="457"/>
      </w:r>
      <w:r w:rsidRPr="00BF370B">
        <w:rPr>
          <w:lang w:val="en-AU"/>
        </w:rPr>
        <w:t xml:space="preserve"> This author does not agree with Lachs. If the text was added into the Matthew account by later scribes who were trying to insert an interpretation into the Sermon to fit the theology of their day, then there would have been confusion over the meaning of </w:t>
      </w:r>
      <w:r w:rsidRPr="00BF370B">
        <w:rPr>
          <w:i/>
          <w:iCs/>
          <w:lang w:val="en-AU"/>
        </w:rPr>
        <w:t xml:space="preserve">meekness </w:t>
      </w:r>
      <w:r w:rsidRPr="00BF370B">
        <w:rPr>
          <w:lang w:val="en-AU"/>
        </w:rPr>
        <w:t>among those who listened of the Sermon, as I will point out in considering alternative translations of πραεῖς.</w:t>
      </w:r>
    </w:p>
    <w:p w14:paraId="18561F1C" w14:textId="0F32F57C" w:rsidR="006540C0" w:rsidRPr="00BF370B" w:rsidRDefault="006540C0" w:rsidP="001A6E79">
      <w:pPr>
        <w:spacing w:before="120" w:line="480" w:lineRule="auto"/>
        <w:ind w:firstLine="720"/>
        <w:rPr>
          <w:lang w:val="en-AU"/>
        </w:rPr>
      </w:pPr>
      <w:r w:rsidRPr="00BF370B">
        <w:rPr>
          <w:lang w:val="en-AU"/>
        </w:rPr>
        <w:t>The Lukan Sermon on the Plain</w:t>
      </w:r>
      <w:r w:rsidR="00F323DB" w:rsidRPr="00BF370B">
        <w:rPr>
          <w:lang w:val="en-AU"/>
        </w:rPr>
        <w:t xml:space="preserve"> do</w:t>
      </w:r>
      <w:r w:rsidR="00720D87" w:rsidRPr="00BF370B">
        <w:rPr>
          <w:lang w:val="en-AU"/>
        </w:rPr>
        <w:t>es</w:t>
      </w:r>
      <w:r w:rsidR="00F323DB" w:rsidRPr="00BF370B">
        <w:rPr>
          <w:lang w:val="en-AU"/>
        </w:rPr>
        <w:t xml:space="preserve"> not have the same discussion of meekness</w:t>
      </w:r>
      <w:r w:rsidR="00DE417B" w:rsidRPr="00BF370B">
        <w:rPr>
          <w:lang w:val="en-AU"/>
        </w:rPr>
        <w:t xml:space="preserve"> as Matthew, and even has four </w:t>
      </w:r>
      <w:r w:rsidR="005C71CB" w:rsidRPr="00BF370B">
        <w:rPr>
          <w:lang w:val="en-AU"/>
        </w:rPr>
        <w:t>‘</w:t>
      </w:r>
      <w:r w:rsidR="00DE417B" w:rsidRPr="00BF370B">
        <w:rPr>
          <w:lang w:val="en-AU"/>
        </w:rPr>
        <w:t>blessed</w:t>
      </w:r>
      <w:r w:rsidR="005C71CB" w:rsidRPr="00BF370B">
        <w:rPr>
          <w:lang w:val="en-AU"/>
        </w:rPr>
        <w:t>’</w:t>
      </w:r>
      <w:r w:rsidR="00DE417B" w:rsidRPr="00BF370B">
        <w:rPr>
          <w:lang w:val="en-AU"/>
        </w:rPr>
        <w:t xml:space="preserve"> statements followed by statements of </w:t>
      </w:r>
      <w:r w:rsidR="005C71CB" w:rsidRPr="00BF370B">
        <w:rPr>
          <w:lang w:val="en-AU"/>
        </w:rPr>
        <w:t>‘</w:t>
      </w:r>
      <w:r w:rsidR="00DE417B" w:rsidRPr="00BF370B">
        <w:rPr>
          <w:lang w:val="en-AU"/>
        </w:rPr>
        <w:t>woes,</w:t>
      </w:r>
      <w:r w:rsidR="005C71CB" w:rsidRPr="00BF370B">
        <w:rPr>
          <w:lang w:val="en-AU"/>
        </w:rPr>
        <w:t>’</w:t>
      </w:r>
      <w:r w:rsidR="00117774" w:rsidRPr="00BF370B">
        <w:rPr>
          <w:lang w:val="en-AU"/>
        </w:rPr>
        <w:t xml:space="preserve"> which</w:t>
      </w:r>
      <w:r w:rsidR="00F323DB" w:rsidRPr="00BF370B">
        <w:rPr>
          <w:lang w:val="en-AU"/>
        </w:rPr>
        <w:t xml:space="preserve"> lead</w:t>
      </w:r>
      <w:r w:rsidR="00117774" w:rsidRPr="00BF370B">
        <w:rPr>
          <w:lang w:val="en-AU"/>
        </w:rPr>
        <w:t>s</w:t>
      </w:r>
      <w:r w:rsidR="00F323DB" w:rsidRPr="00BF370B">
        <w:rPr>
          <w:lang w:val="en-AU"/>
        </w:rPr>
        <w:t xml:space="preserve"> to the question as to whether it was added in at a separate date in Matthew</w:t>
      </w:r>
      <w:r w:rsidRPr="00BF370B">
        <w:rPr>
          <w:lang w:val="en-AU"/>
        </w:rPr>
        <w:t>.</w:t>
      </w:r>
      <w:r w:rsidRPr="00BF370B">
        <w:rPr>
          <w:rStyle w:val="FootnoteReference"/>
          <w:lang w:val="en-AU"/>
        </w:rPr>
        <w:footnoteReference w:id="458"/>
      </w:r>
      <w:r w:rsidRPr="00BF370B">
        <w:rPr>
          <w:lang w:val="en-AU"/>
        </w:rPr>
        <w:t xml:space="preserve"> </w:t>
      </w:r>
      <w:r w:rsidR="00AA49DC" w:rsidRPr="00BF370B">
        <w:rPr>
          <w:lang w:val="en-AU"/>
        </w:rPr>
        <w:t xml:space="preserve">For the </w:t>
      </w:r>
      <w:r w:rsidR="00AA49DC" w:rsidRPr="00BF370B">
        <w:rPr>
          <w:lang w:val="en-AU"/>
        </w:rPr>
        <w:lastRenderedPageBreak/>
        <w:t xml:space="preserve">Jewish listener to the Beatitudes, </w:t>
      </w:r>
      <w:r w:rsidR="001A6E79" w:rsidRPr="00BF370B">
        <w:rPr>
          <w:lang w:val="en-AU"/>
        </w:rPr>
        <w:t>πραεῖς</w:t>
      </w:r>
      <w:r w:rsidR="001A6E79" w:rsidRPr="00BF370B" w:rsidDel="001A6E79">
        <w:rPr>
          <w:lang w:val="en-AU"/>
        </w:rPr>
        <w:t xml:space="preserve"> </w:t>
      </w:r>
      <w:r w:rsidR="00AA49DC" w:rsidRPr="00BF370B">
        <w:rPr>
          <w:lang w:val="en-AU"/>
        </w:rPr>
        <w:t xml:space="preserve">would not be a timid or shy person. </w:t>
      </w:r>
      <w:r w:rsidRPr="00BF370B">
        <w:rPr>
          <w:lang w:val="en-AU"/>
        </w:rPr>
        <w:t xml:space="preserve">The </w:t>
      </w:r>
      <w:r w:rsidR="005C71CB" w:rsidRPr="00BF370B">
        <w:rPr>
          <w:lang w:val="en-AU"/>
        </w:rPr>
        <w:t>‘</w:t>
      </w:r>
      <w:r w:rsidRPr="00BF370B">
        <w:rPr>
          <w:lang w:val="en-AU"/>
        </w:rPr>
        <w:t>meek</w:t>
      </w:r>
      <w:r w:rsidR="005C71CB" w:rsidRPr="00BF370B">
        <w:rPr>
          <w:lang w:val="en-AU"/>
        </w:rPr>
        <w:t>’</w:t>
      </w:r>
      <w:r w:rsidRPr="00BF370B">
        <w:rPr>
          <w:lang w:val="en-AU"/>
        </w:rPr>
        <w:t xml:space="preserve"> person would be a humble person capable of receiving the Kingdom of Heaven</w:t>
      </w:r>
      <w:r w:rsidR="002D128B" w:rsidRPr="00BF370B">
        <w:rPr>
          <w:lang w:val="en-AU"/>
        </w:rPr>
        <w:t xml:space="preserve"> but not </w:t>
      </w:r>
      <w:r w:rsidR="00F323DB" w:rsidRPr="00BF370B">
        <w:rPr>
          <w:lang w:val="en-AU"/>
        </w:rPr>
        <w:t>a timid person</w:t>
      </w:r>
      <w:r w:rsidR="002D128B" w:rsidRPr="00BF370B">
        <w:rPr>
          <w:lang w:val="en-AU"/>
        </w:rPr>
        <w:t xml:space="preserve">, which </w:t>
      </w:r>
      <w:r w:rsidR="003722BA" w:rsidRPr="00BF370B">
        <w:rPr>
          <w:lang w:val="en-AU"/>
        </w:rPr>
        <w:t>speaks to Matthew</w:t>
      </w:r>
      <w:r w:rsidR="005C71CB" w:rsidRPr="00BF370B">
        <w:rPr>
          <w:lang w:val="en-AU"/>
        </w:rPr>
        <w:t>’</w:t>
      </w:r>
      <w:r w:rsidR="00A96677" w:rsidRPr="00BF370B">
        <w:rPr>
          <w:lang w:val="en-AU"/>
        </w:rPr>
        <w:t>s</w:t>
      </w:r>
      <w:r w:rsidR="003722BA" w:rsidRPr="00BF370B">
        <w:rPr>
          <w:lang w:val="en-AU"/>
        </w:rPr>
        <w:t xml:space="preserve"> being a Jewish document.</w:t>
      </w:r>
    </w:p>
    <w:p w14:paraId="46E19648" w14:textId="09C2708E" w:rsidR="006540C0" w:rsidRPr="00BF370B" w:rsidRDefault="00AA49DC" w:rsidP="006540C0">
      <w:pPr>
        <w:spacing w:before="120" w:line="480" w:lineRule="auto"/>
        <w:ind w:firstLine="720"/>
        <w:rPr>
          <w:lang w:val="en-AU"/>
        </w:rPr>
      </w:pPr>
      <w:r w:rsidRPr="00BF370B">
        <w:rPr>
          <w:lang w:val="en-AU"/>
        </w:rPr>
        <w:t>In the New Testament, πραεῖς would be connected to</w:t>
      </w:r>
      <w:r w:rsidR="00A52D74" w:rsidRPr="00BF370B">
        <w:rPr>
          <w:lang w:val="en-AU"/>
        </w:rPr>
        <w:t xml:space="preserve"> one</w:t>
      </w:r>
      <w:r w:rsidR="005C71CB" w:rsidRPr="00BF370B">
        <w:rPr>
          <w:lang w:val="en-AU"/>
        </w:rPr>
        <w:t>’</w:t>
      </w:r>
      <w:r w:rsidR="00A52D74" w:rsidRPr="00BF370B">
        <w:rPr>
          <w:lang w:val="en-AU"/>
        </w:rPr>
        <w:t>s</w:t>
      </w:r>
      <w:r w:rsidRPr="00BF370B">
        <w:rPr>
          <w:lang w:val="en-AU"/>
        </w:rPr>
        <w:t xml:space="preserve"> actions.  Having </w:t>
      </w:r>
      <w:r w:rsidR="00A52D74" w:rsidRPr="00BF370B">
        <w:rPr>
          <w:lang w:val="en-AU"/>
        </w:rPr>
        <w:t>the attribute of m</w:t>
      </w:r>
      <w:r w:rsidRPr="00BF370B">
        <w:rPr>
          <w:lang w:val="en-AU"/>
        </w:rPr>
        <w:t xml:space="preserve">eekness </w:t>
      </w:r>
      <w:r w:rsidR="0010395D" w:rsidRPr="00BF370B">
        <w:rPr>
          <w:lang w:val="en-AU"/>
        </w:rPr>
        <w:t>is</w:t>
      </w:r>
      <w:r w:rsidRPr="00BF370B">
        <w:rPr>
          <w:lang w:val="en-AU"/>
        </w:rPr>
        <w:t xml:space="preserve"> similar</w:t>
      </w:r>
      <w:r w:rsidR="0010395D" w:rsidRPr="00BF370B">
        <w:rPr>
          <w:lang w:val="en-AU"/>
        </w:rPr>
        <w:t>ly a</w:t>
      </w:r>
      <w:r w:rsidR="00054121" w:rsidRPr="00BF370B">
        <w:rPr>
          <w:lang w:val="en-AU"/>
        </w:rPr>
        <w:t>pp</w:t>
      </w:r>
      <w:r w:rsidR="0010395D" w:rsidRPr="00BF370B">
        <w:rPr>
          <w:lang w:val="en-AU"/>
        </w:rPr>
        <w:t>roved</w:t>
      </w:r>
      <w:r w:rsidRPr="00BF370B">
        <w:rPr>
          <w:lang w:val="en-AU"/>
        </w:rPr>
        <w:t xml:space="preserve"> </w:t>
      </w:r>
      <w:r w:rsidR="00054121" w:rsidRPr="00BF370B">
        <w:rPr>
          <w:lang w:val="en-AU"/>
        </w:rPr>
        <w:t>in</w:t>
      </w:r>
      <w:r w:rsidRPr="00BF370B">
        <w:rPr>
          <w:lang w:val="en-AU"/>
        </w:rPr>
        <w:t xml:space="preserve"> the </w:t>
      </w:r>
      <w:r w:rsidR="006540C0" w:rsidRPr="00BF370B">
        <w:rPr>
          <w:lang w:val="en-AU"/>
        </w:rPr>
        <w:t xml:space="preserve">Hebrew Bible and the </w:t>
      </w:r>
      <w:r w:rsidR="006540C0" w:rsidRPr="00BF370B">
        <w:rPr>
          <w:i/>
          <w:iCs/>
          <w:lang w:val="en-AU"/>
        </w:rPr>
        <w:t>midras</w:t>
      </w:r>
      <w:r w:rsidR="00B14105" w:rsidRPr="00BF370B">
        <w:rPr>
          <w:i/>
          <w:iCs/>
          <w:lang w:val="en-AU"/>
        </w:rPr>
        <w:t xml:space="preserve">h </w:t>
      </w:r>
      <w:r w:rsidR="00B14105" w:rsidRPr="00BF370B">
        <w:rPr>
          <w:iCs/>
          <w:lang w:val="en-AU"/>
        </w:rPr>
        <w:t>(</w:t>
      </w:r>
      <w:r w:rsidR="00B64C0B" w:rsidRPr="00BF370B">
        <w:rPr>
          <w:lang w:val="en-AU"/>
        </w:rPr>
        <w:t>e.g.,</w:t>
      </w:r>
      <w:r w:rsidR="009165AE" w:rsidRPr="00BF370B">
        <w:rPr>
          <w:lang w:val="en-AU"/>
        </w:rPr>
        <w:t xml:space="preserve"> </w:t>
      </w:r>
      <w:r w:rsidR="00981C14" w:rsidRPr="00BF370B">
        <w:rPr>
          <w:lang w:val="en-AU"/>
        </w:rPr>
        <w:t>Psa 37:11, Prov</w:t>
      </w:r>
      <w:r w:rsidR="006540C0" w:rsidRPr="00BF370B">
        <w:rPr>
          <w:lang w:val="en-AU"/>
        </w:rPr>
        <w:t xml:space="preserve"> 16:</w:t>
      </w:r>
      <w:r w:rsidR="00981C14" w:rsidRPr="00BF370B">
        <w:rPr>
          <w:lang w:val="en-AU"/>
        </w:rPr>
        <w:t xml:space="preserve">19, </w:t>
      </w:r>
      <w:r w:rsidR="00981C14" w:rsidRPr="00BF370B">
        <w:rPr>
          <w:i/>
          <w:iCs/>
          <w:lang w:val="en-AU"/>
        </w:rPr>
        <w:t>b</w:t>
      </w:r>
      <w:r w:rsidR="006540C0" w:rsidRPr="00BF370B">
        <w:rPr>
          <w:i/>
          <w:iCs/>
          <w:lang w:val="en-AU"/>
        </w:rPr>
        <w:t xml:space="preserve"> Shabb</w:t>
      </w:r>
      <w:r w:rsidR="006540C0" w:rsidRPr="00BF370B">
        <w:rPr>
          <w:lang w:val="en-AU"/>
        </w:rPr>
        <w:t>. 30b</w:t>
      </w:r>
      <w:r w:rsidR="00981C14" w:rsidRPr="00BF370B">
        <w:rPr>
          <w:lang w:val="en-AU"/>
        </w:rPr>
        <w:t>, and</w:t>
      </w:r>
      <w:r w:rsidR="006540C0" w:rsidRPr="00BF370B">
        <w:rPr>
          <w:lang w:val="en-AU"/>
        </w:rPr>
        <w:t xml:space="preserve"> </w:t>
      </w:r>
      <w:r w:rsidR="006540C0" w:rsidRPr="00BF370B">
        <w:rPr>
          <w:i/>
          <w:iCs/>
          <w:lang w:val="en-AU"/>
        </w:rPr>
        <w:t>b Ned.</w:t>
      </w:r>
      <w:r w:rsidR="006540C0" w:rsidRPr="00BF370B">
        <w:rPr>
          <w:lang w:val="en-AU"/>
        </w:rPr>
        <w:t xml:space="preserve"> 38a</w:t>
      </w:r>
      <w:r w:rsidR="00B14105" w:rsidRPr="00BF370B">
        <w:rPr>
          <w:lang w:val="en-AU"/>
        </w:rPr>
        <w:t>)</w:t>
      </w:r>
      <w:r w:rsidR="006540C0" w:rsidRPr="00BF370B">
        <w:rPr>
          <w:lang w:val="en-AU"/>
        </w:rPr>
        <w:t>.</w:t>
      </w:r>
      <w:r w:rsidR="00981C14" w:rsidRPr="00BF370B">
        <w:rPr>
          <w:lang w:val="en-AU"/>
        </w:rPr>
        <w:t xml:space="preserve"> </w:t>
      </w:r>
      <w:r w:rsidR="00121AA0" w:rsidRPr="00BF370B">
        <w:rPr>
          <w:lang w:val="en-AU"/>
        </w:rPr>
        <w:t xml:space="preserve">In the </w:t>
      </w:r>
      <w:r w:rsidR="00981C14" w:rsidRPr="00BF370B">
        <w:rPr>
          <w:i/>
          <w:iCs/>
          <w:lang w:val="en-AU"/>
        </w:rPr>
        <w:t>Mishna Shabbat 30b</w:t>
      </w:r>
      <w:r w:rsidR="00121AA0" w:rsidRPr="00BF370B">
        <w:rPr>
          <w:i/>
          <w:iCs/>
          <w:lang w:val="en-AU"/>
        </w:rPr>
        <w:t xml:space="preserve">, </w:t>
      </w:r>
      <w:r w:rsidR="00121AA0" w:rsidRPr="00BF370B">
        <w:rPr>
          <w:lang w:val="en-AU"/>
        </w:rPr>
        <w:t xml:space="preserve">the role of a meek person </w:t>
      </w:r>
      <w:r w:rsidR="00B14105" w:rsidRPr="00BF370B">
        <w:rPr>
          <w:lang w:val="en-AU"/>
        </w:rPr>
        <w:t>is</w:t>
      </w:r>
      <w:r w:rsidR="00121AA0" w:rsidRPr="00BF370B">
        <w:rPr>
          <w:lang w:val="en-AU"/>
        </w:rPr>
        <w:t xml:space="preserve"> to study Torah and if they d</w:t>
      </w:r>
      <w:r w:rsidR="00B14105" w:rsidRPr="00BF370B">
        <w:rPr>
          <w:lang w:val="en-AU"/>
        </w:rPr>
        <w:t>o</w:t>
      </w:r>
      <w:r w:rsidR="00121AA0" w:rsidRPr="00BF370B">
        <w:rPr>
          <w:lang w:val="en-AU"/>
        </w:rPr>
        <w:t xml:space="preserve"> not study Torah, they w</w:t>
      </w:r>
      <w:r w:rsidR="00B14105" w:rsidRPr="00BF370B">
        <w:rPr>
          <w:lang w:val="en-AU"/>
        </w:rPr>
        <w:t>ill</w:t>
      </w:r>
      <w:r w:rsidR="00121AA0" w:rsidRPr="00BF370B">
        <w:rPr>
          <w:lang w:val="en-AU"/>
        </w:rPr>
        <w:t xml:space="preserve"> </w:t>
      </w:r>
      <w:r w:rsidR="005C71CB" w:rsidRPr="00BF370B">
        <w:rPr>
          <w:lang w:val="en-AU"/>
        </w:rPr>
        <w:t>‘</w:t>
      </w:r>
      <w:r w:rsidR="00121AA0" w:rsidRPr="00BF370B">
        <w:rPr>
          <w:lang w:val="en-AU"/>
        </w:rPr>
        <w:t>find death.</w:t>
      </w:r>
      <w:r w:rsidR="005C71CB" w:rsidRPr="00BF370B">
        <w:rPr>
          <w:lang w:val="en-AU"/>
        </w:rPr>
        <w:t>’</w:t>
      </w:r>
      <w:r w:rsidR="006540C0" w:rsidRPr="00BF370B">
        <w:rPr>
          <w:rStyle w:val="FootnoteReference"/>
          <w:lang w:val="en-AU"/>
        </w:rPr>
        <w:footnoteReference w:id="459"/>
      </w:r>
      <w:r w:rsidR="006540C0" w:rsidRPr="00BF370B">
        <w:rPr>
          <w:lang w:val="en-AU"/>
        </w:rPr>
        <w:t xml:space="preserve"> </w:t>
      </w:r>
      <w:r w:rsidR="00121AA0" w:rsidRPr="00BF370B">
        <w:rPr>
          <w:lang w:val="en-AU"/>
        </w:rPr>
        <w:t xml:space="preserve">Stassen and Gushee suggest that </w:t>
      </w:r>
      <w:r w:rsidR="00863B47" w:rsidRPr="00BF370B">
        <w:rPr>
          <w:lang w:val="en-AU"/>
        </w:rPr>
        <w:t>“</w:t>
      </w:r>
      <w:r w:rsidR="006540C0" w:rsidRPr="00BF370B">
        <w:rPr>
          <w:lang w:val="en-AU"/>
        </w:rPr>
        <w:t xml:space="preserve">Wherever the Greek word (here translated as </w:t>
      </w:r>
      <w:r w:rsidR="005C71CB" w:rsidRPr="00BF370B">
        <w:rPr>
          <w:lang w:val="en-AU"/>
        </w:rPr>
        <w:t>‘</w:t>
      </w:r>
      <w:r w:rsidR="006540C0" w:rsidRPr="00BF370B">
        <w:rPr>
          <w:lang w:val="en-AU"/>
        </w:rPr>
        <w:t>meek,</w:t>
      </w:r>
      <w:r w:rsidR="005C71CB" w:rsidRPr="00BF370B">
        <w:rPr>
          <w:lang w:val="en-AU"/>
        </w:rPr>
        <w:t>’</w:t>
      </w:r>
      <w:r w:rsidR="006540C0" w:rsidRPr="00BF370B">
        <w:rPr>
          <w:lang w:val="en-AU"/>
        </w:rPr>
        <w:t xml:space="preserve"> or better, </w:t>
      </w:r>
      <w:r w:rsidR="005C71CB" w:rsidRPr="00BF370B">
        <w:rPr>
          <w:lang w:val="en-AU"/>
        </w:rPr>
        <w:t>‘</w:t>
      </w:r>
      <w:r w:rsidR="006540C0" w:rsidRPr="00BF370B">
        <w:rPr>
          <w:lang w:val="en-AU"/>
        </w:rPr>
        <w:t>humble</w:t>
      </w:r>
      <w:r w:rsidR="005C71CB" w:rsidRPr="00BF370B">
        <w:rPr>
          <w:lang w:val="en-AU"/>
        </w:rPr>
        <w:t>’</w:t>
      </w:r>
      <w:r w:rsidR="006540C0" w:rsidRPr="00BF370B">
        <w:rPr>
          <w:lang w:val="en-AU"/>
        </w:rPr>
        <w:t>) occurs in the Bible, it always points to peacefulness or peacemaking.</w:t>
      </w:r>
      <w:r w:rsidR="00863B47" w:rsidRPr="00BF370B">
        <w:rPr>
          <w:lang w:val="en-AU"/>
        </w:rPr>
        <w:t>”</w:t>
      </w:r>
      <w:r w:rsidR="006540C0" w:rsidRPr="00BF370B">
        <w:rPr>
          <w:rStyle w:val="FootnoteReference"/>
          <w:lang w:val="en-AU"/>
        </w:rPr>
        <w:footnoteReference w:id="460"/>
      </w:r>
      <w:r w:rsidR="006540C0" w:rsidRPr="00BF370B">
        <w:rPr>
          <w:lang w:val="en-AU"/>
        </w:rPr>
        <w:t xml:space="preserve"> Stassen and Gushee connect the Greek word πραεῖς to a person</w:t>
      </w:r>
      <w:r w:rsidR="005C71CB" w:rsidRPr="00BF370B">
        <w:rPr>
          <w:lang w:val="en-AU"/>
        </w:rPr>
        <w:t>’</w:t>
      </w:r>
      <w:r w:rsidR="006540C0" w:rsidRPr="00BF370B">
        <w:rPr>
          <w:lang w:val="en-AU"/>
        </w:rPr>
        <w:t>s peacemaking efforts, thus, a person</w:t>
      </w:r>
      <w:r w:rsidR="005C71CB" w:rsidRPr="00BF370B">
        <w:rPr>
          <w:lang w:val="en-AU"/>
        </w:rPr>
        <w:t>’</w:t>
      </w:r>
      <w:r w:rsidR="006540C0" w:rsidRPr="00BF370B">
        <w:rPr>
          <w:lang w:val="en-AU"/>
        </w:rPr>
        <w:t>s inherent ethical action is that which is πραεῖς,</w:t>
      </w:r>
      <w:r w:rsidR="006540C0" w:rsidRPr="00BF370B" w:rsidDel="000650C5">
        <w:rPr>
          <w:lang w:val="en-AU"/>
        </w:rPr>
        <w:t xml:space="preserve"> </w:t>
      </w:r>
      <w:r w:rsidR="006540C0" w:rsidRPr="00BF370B">
        <w:rPr>
          <w:lang w:val="en-AU"/>
        </w:rPr>
        <w:t xml:space="preserve">meaning humble or meek. </w:t>
      </w:r>
      <w:r w:rsidR="00A905C1" w:rsidRPr="00BF370B">
        <w:rPr>
          <w:lang w:val="en-AU"/>
        </w:rPr>
        <w:t>πραεῖς</w:t>
      </w:r>
      <w:r w:rsidR="00121AA0" w:rsidRPr="00BF370B">
        <w:rPr>
          <w:lang w:val="en-AU"/>
        </w:rPr>
        <w:t xml:space="preserve"> indicates the peaceful</w:t>
      </w:r>
      <w:r w:rsidR="00177DA6" w:rsidRPr="00BF370B">
        <w:rPr>
          <w:lang w:val="en-AU"/>
        </w:rPr>
        <w:t xml:space="preserve"> or </w:t>
      </w:r>
      <w:r w:rsidR="00611617" w:rsidRPr="00BF370B">
        <w:rPr>
          <w:lang w:val="en-AU"/>
        </w:rPr>
        <w:t>nonviolent</w:t>
      </w:r>
      <w:r w:rsidR="00177DA6" w:rsidRPr="00BF370B">
        <w:rPr>
          <w:lang w:val="en-AU"/>
        </w:rPr>
        <w:t xml:space="preserve"> nature</w:t>
      </w:r>
      <w:r w:rsidR="00121AA0" w:rsidRPr="00BF370B">
        <w:rPr>
          <w:lang w:val="en-AU"/>
        </w:rPr>
        <w:t xml:space="preserve"> of a person. </w:t>
      </w:r>
      <w:r w:rsidR="00A905C1" w:rsidRPr="00BF370B">
        <w:rPr>
          <w:lang w:val="en-AU"/>
        </w:rPr>
        <w:t>The use of the word πραεῖς is diverse in the Greek New Testament</w:t>
      </w:r>
      <w:r w:rsidR="00140843" w:rsidRPr="00BF370B">
        <w:rPr>
          <w:lang w:val="en-AU"/>
        </w:rPr>
        <w:t xml:space="preserve">. It occurs </w:t>
      </w:r>
      <w:r w:rsidR="00A905C1" w:rsidRPr="00BF370B">
        <w:rPr>
          <w:lang w:val="en-AU"/>
        </w:rPr>
        <w:t xml:space="preserve">in </w:t>
      </w:r>
      <w:r w:rsidR="006540C0" w:rsidRPr="00BF370B">
        <w:rPr>
          <w:lang w:val="en-AU"/>
        </w:rPr>
        <w:t>Matt 5:5</w:t>
      </w:r>
      <w:r w:rsidR="00A905C1" w:rsidRPr="00BF370B">
        <w:rPr>
          <w:lang w:val="en-AU"/>
        </w:rPr>
        <w:t xml:space="preserve">, </w:t>
      </w:r>
      <w:r w:rsidR="006540C0" w:rsidRPr="00BF370B">
        <w:rPr>
          <w:lang w:val="en-AU"/>
        </w:rPr>
        <w:t>11:29</w:t>
      </w:r>
      <w:r w:rsidR="00140843" w:rsidRPr="00BF370B">
        <w:rPr>
          <w:lang w:val="en-AU"/>
        </w:rPr>
        <w:t xml:space="preserve"> and </w:t>
      </w:r>
      <w:r w:rsidR="006540C0" w:rsidRPr="00BF370B">
        <w:rPr>
          <w:lang w:val="en-AU"/>
        </w:rPr>
        <w:t>21:5, and</w:t>
      </w:r>
      <w:r w:rsidR="00140843" w:rsidRPr="00BF370B">
        <w:rPr>
          <w:lang w:val="en-AU"/>
        </w:rPr>
        <w:t xml:space="preserve"> in</w:t>
      </w:r>
      <w:r w:rsidR="006540C0" w:rsidRPr="00BF370B">
        <w:rPr>
          <w:lang w:val="en-AU"/>
        </w:rPr>
        <w:t xml:space="preserve"> 1 Peter 3:4</w:t>
      </w:r>
      <w:r w:rsidR="00A905C1" w:rsidRPr="00BF370B">
        <w:rPr>
          <w:lang w:val="en-AU"/>
        </w:rPr>
        <w:t xml:space="preserve">.  In each of these uses, </w:t>
      </w:r>
      <w:r w:rsidR="00446BF1" w:rsidRPr="00BF370B">
        <w:rPr>
          <w:lang w:val="en-AU"/>
        </w:rPr>
        <w:t>the nuances of t</w:t>
      </w:r>
      <w:r w:rsidR="00036ABE" w:rsidRPr="00BF370B">
        <w:rPr>
          <w:lang w:val="en-AU"/>
        </w:rPr>
        <w:t>h</w:t>
      </w:r>
      <w:r w:rsidR="00446BF1" w:rsidRPr="00BF370B">
        <w:rPr>
          <w:lang w:val="en-AU"/>
        </w:rPr>
        <w:t xml:space="preserve">e language suggest that </w:t>
      </w:r>
      <w:r w:rsidR="006540C0" w:rsidRPr="00BF370B">
        <w:rPr>
          <w:lang w:val="en-AU"/>
        </w:rPr>
        <w:t>πραεῖς means more than meek. It would be a good understanding</w:t>
      </w:r>
      <w:r w:rsidR="00036ABE" w:rsidRPr="00BF370B">
        <w:rPr>
          <w:lang w:val="en-AU"/>
        </w:rPr>
        <w:t xml:space="preserve"> of πραεῖς</w:t>
      </w:r>
      <w:r w:rsidR="006540C0" w:rsidRPr="00BF370B">
        <w:rPr>
          <w:lang w:val="en-AU"/>
        </w:rPr>
        <w:t xml:space="preserve"> to say that biblical meekness is not the same as a physical weakness.  </w:t>
      </w:r>
      <w:r w:rsidR="009360CC" w:rsidRPr="00BF370B">
        <w:rPr>
          <w:lang w:val="en-AU"/>
        </w:rPr>
        <w:t xml:space="preserve">For Danker and Bauer, it represents how God can be in control while </w:t>
      </w:r>
      <w:r w:rsidR="009360CC" w:rsidRPr="00BF370B">
        <w:rPr>
          <w:lang w:val="en-AU"/>
        </w:rPr>
        <w:lastRenderedPageBreak/>
        <w:t>exercising constraint or being harsh</w:t>
      </w:r>
      <w:r w:rsidR="006540C0" w:rsidRPr="00BF370B">
        <w:rPr>
          <w:lang w:val="en-AU"/>
        </w:rPr>
        <w:t>.</w:t>
      </w:r>
      <w:r w:rsidR="006540C0" w:rsidRPr="00BF370B">
        <w:rPr>
          <w:rStyle w:val="FootnoteReference"/>
          <w:lang w:val="en-AU"/>
        </w:rPr>
        <w:footnoteReference w:id="461"/>
      </w:r>
      <w:r w:rsidR="006540C0" w:rsidRPr="00BF370B">
        <w:rPr>
          <w:lang w:val="en-AU"/>
        </w:rPr>
        <w:t xml:space="preserve"> </w:t>
      </w:r>
      <w:r w:rsidR="00821DC0" w:rsidRPr="00BF370B">
        <w:rPr>
          <w:lang w:val="en-AU"/>
        </w:rPr>
        <w:t>πραεῖς</w:t>
      </w:r>
      <w:r w:rsidR="009360CC" w:rsidRPr="00BF370B">
        <w:rPr>
          <w:lang w:val="en-AU"/>
        </w:rPr>
        <w:t xml:space="preserve"> </w:t>
      </w:r>
      <w:r w:rsidR="00B13E62" w:rsidRPr="00BF370B">
        <w:rPr>
          <w:lang w:val="en-AU"/>
        </w:rPr>
        <w:t xml:space="preserve">means more than weakness, it connotates </w:t>
      </w:r>
      <w:r w:rsidR="009360CC" w:rsidRPr="00BF370B">
        <w:rPr>
          <w:lang w:val="en-AU"/>
        </w:rPr>
        <w:t xml:space="preserve">self-control. </w:t>
      </w:r>
    </w:p>
    <w:p w14:paraId="13CC2ECF" w14:textId="749CA21F" w:rsidR="006540C0" w:rsidRPr="00BF370B" w:rsidRDefault="00532284" w:rsidP="00D246C8">
      <w:pPr>
        <w:pStyle w:val="C11st-levelchapterparagraph"/>
        <w:rPr>
          <w:sz w:val="24"/>
          <w:szCs w:val="24"/>
          <w:lang w:val="en-AU"/>
        </w:rPr>
      </w:pPr>
      <w:bookmarkStart w:id="158" w:name="_Toc94537029"/>
      <w:r w:rsidRPr="00BF370B">
        <w:rPr>
          <w:sz w:val="24"/>
          <w:szCs w:val="24"/>
          <w:lang w:val="en-AU"/>
        </w:rPr>
        <w:t>8.</w:t>
      </w:r>
      <w:r w:rsidR="00201C8F" w:rsidRPr="00BF370B">
        <w:rPr>
          <w:sz w:val="24"/>
          <w:szCs w:val="24"/>
          <w:lang w:val="en-AU"/>
        </w:rPr>
        <w:t>3</w:t>
      </w:r>
      <w:r w:rsidR="006540C0" w:rsidRPr="00BF370B">
        <w:rPr>
          <w:sz w:val="24"/>
          <w:szCs w:val="24"/>
          <w:lang w:val="en-AU"/>
        </w:rPr>
        <w:t xml:space="preserve"> </w:t>
      </w:r>
      <w:r w:rsidR="00FC7743" w:rsidRPr="00BF370B">
        <w:rPr>
          <w:sz w:val="24"/>
          <w:szCs w:val="24"/>
          <w:lang w:val="en-AU"/>
        </w:rPr>
        <w:t>The Peacemaker: εἰρηνοποιοί,</w:t>
      </w:r>
      <w:bookmarkEnd w:id="158"/>
    </w:p>
    <w:p w14:paraId="1453A0DD" w14:textId="5855102C" w:rsidR="006540C0" w:rsidRPr="00BF370B" w:rsidRDefault="006540C0" w:rsidP="006540C0">
      <w:pPr>
        <w:contextualSpacing/>
        <w:rPr>
          <w:lang w:val="en-AU"/>
        </w:rPr>
      </w:pPr>
      <w:r w:rsidRPr="00BF370B">
        <w:rPr>
          <w:lang w:val="en-AU"/>
        </w:rPr>
        <w:t>Matthew 5:9</w:t>
      </w:r>
      <w:r w:rsidR="00E2267A" w:rsidRPr="00BF370B">
        <w:rPr>
          <w:lang w:val="en-AU"/>
        </w:rPr>
        <w:t>:</w:t>
      </w:r>
    </w:p>
    <w:p w14:paraId="674F0B16" w14:textId="77777777" w:rsidR="006540C0" w:rsidRPr="00BF370B" w:rsidRDefault="006540C0" w:rsidP="006540C0">
      <w:pPr>
        <w:spacing w:line="480" w:lineRule="auto"/>
        <w:ind w:firstLine="720"/>
        <w:rPr>
          <w:lang w:val="en-AU"/>
        </w:rPr>
      </w:pPr>
      <w:r w:rsidRPr="00BF370B">
        <w:rPr>
          <w:lang w:val="en-AU"/>
        </w:rPr>
        <w:t>9 μακάριοι οἱ εἰρηνοποιοί, ὅτι αὐτοὶ υἱοὶ θεοῦ κληθήσονται</w:t>
      </w:r>
      <w:r w:rsidRPr="00BF370B" w:rsidDel="000650C5">
        <w:rPr>
          <w:lang w:val="en-AU"/>
        </w:rPr>
        <w:t xml:space="preserve"> </w:t>
      </w:r>
    </w:p>
    <w:p w14:paraId="5E692BCC" w14:textId="7D7473D7" w:rsidR="006540C0" w:rsidRPr="00BF370B" w:rsidRDefault="006540C0" w:rsidP="006540C0">
      <w:pPr>
        <w:spacing w:line="480" w:lineRule="auto"/>
        <w:ind w:firstLine="720"/>
        <w:rPr>
          <w:lang w:val="en-AU"/>
        </w:rPr>
      </w:pPr>
      <w:r w:rsidRPr="00BF370B">
        <w:rPr>
          <w:lang w:val="en-AU"/>
        </w:rPr>
        <w:t>9</w:t>
      </w:r>
      <w:r w:rsidR="009255C5" w:rsidRPr="00BF370B">
        <w:rPr>
          <w:lang w:val="en-AU"/>
        </w:rPr>
        <w:t xml:space="preserve"> </w:t>
      </w:r>
      <w:r w:rsidRPr="00BF370B">
        <w:rPr>
          <w:lang w:val="en-AU"/>
        </w:rPr>
        <w:t>Blessed are the peacemakers, for they will be called children of God.</w:t>
      </w:r>
    </w:p>
    <w:p w14:paraId="4A1330F2" w14:textId="16CC40C6" w:rsidR="006540C0" w:rsidRPr="00BF370B" w:rsidRDefault="00963331" w:rsidP="006540C0">
      <w:pPr>
        <w:spacing w:line="480" w:lineRule="auto"/>
        <w:ind w:firstLine="284"/>
        <w:rPr>
          <w:lang w:val="en-AU"/>
        </w:rPr>
      </w:pPr>
      <w:r w:rsidRPr="00BF370B">
        <w:rPr>
          <w:lang w:val="en-AU"/>
        </w:rPr>
        <w:t>W</w:t>
      </w:r>
      <w:r w:rsidR="00247F11" w:rsidRPr="00BF370B">
        <w:rPr>
          <w:lang w:val="en-AU"/>
        </w:rPr>
        <w:t xml:space="preserve">hat </w:t>
      </w:r>
      <w:r w:rsidRPr="00BF370B">
        <w:rPr>
          <w:lang w:val="en-AU"/>
        </w:rPr>
        <w:t>it</w:t>
      </w:r>
      <w:r w:rsidR="00247F11" w:rsidRPr="00BF370B">
        <w:rPr>
          <w:lang w:val="en-AU"/>
        </w:rPr>
        <w:t xml:space="preserve"> means to be a</w:t>
      </w:r>
      <w:r w:rsidRPr="00BF370B">
        <w:rPr>
          <w:lang w:val="en-AU"/>
        </w:rPr>
        <w:t>n</w:t>
      </w:r>
      <w:r w:rsidR="00247F11" w:rsidRPr="00BF370B">
        <w:rPr>
          <w:lang w:val="en-AU"/>
        </w:rPr>
        <w:t xml:space="preserve"> </w:t>
      </w:r>
      <w:r w:rsidRPr="00BF370B">
        <w:rPr>
          <w:lang w:val="en-AU"/>
        </w:rPr>
        <w:t xml:space="preserve">εἰρηνοποιοί and a </w:t>
      </w:r>
      <w:r w:rsidR="00247F11" w:rsidRPr="00BF370B">
        <w:rPr>
          <w:lang w:val="en-AU"/>
        </w:rPr>
        <w:t>child of God influence</w:t>
      </w:r>
      <w:r w:rsidR="007F17A7" w:rsidRPr="00BF370B">
        <w:rPr>
          <w:lang w:val="en-AU"/>
        </w:rPr>
        <w:t>s</w:t>
      </w:r>
      <w:r w:rsidR="00247F11" w:rsidRPr="00BF370B">
        <w:rPr>
          <w:lang w:val="en-AU"/>
        </w:rPr>
        <w:t xml:space="preserve"> how one applies the Sermon</w:t>
      </w:r>
      <w:r w:rsidR="006540C0" w:rsidRPr="00BF370B">
        <w:rPr>
          <w:lang w:val="en-AU"/>
        </w:rPr>
        <w:t>. However, for the early listener, the meaning was not as our modern one commonly implies.</w:t>
      </w:r>
      <w:r w:rsidR="00BA1E54" w:rsidRPr="00BF370B">
        <w:rPr>
          <w:rStyle w:val="FootnoteReference"/>
          <w:lang w:val="en-AU"/>
        </w:rPr>
        <w:footnoteReference w:id="462"/>
      </w:r>
      <w:r w:rsidR="006540C0" w:rsidRPr="00BF370B">
        <w:rPr>
          <w:lang w:val="en-AU"/>
        </w:rPr>
        <w:t xml:space="preserve">  Understanding peace in terms of </w:t>
      </w:r>
      <w:r w:rsidR="005C71CB" w:rsidRPr="00BF370B">
        <w:rPr>
          <w:lang w:val="en-AU"/>
        </w:rPr>
        <w:t>‘</w:t>
      </w:r>
      <w:r w:rsidR="006540C0" w:rsidRPr="00BF370B">
        <w:rPr>
          <w:lang w:val="en-AU"/>
        </w:rPr>
        <w:t>peacemaker</w:t>
      </w:r>
      <w:r w:rsidR="005C71CB" w:rsidRPr="00BF370B">
        <w:rPr>
          <w:lang w:val="en-AU"/>
        </w:rPr>
        <w:t>’</w:t>
      </w:r>
      <w:r w:rsidR="006540C0" w:rsidRPr="00BF370B">
        <w:rPr>
          <w:lang w:val="en-AU"/>
        </w:rPr>
        <w:t xml:space="preserve"> in the Sermon contextuali</w:t>
      </w:r>
      <w:r w:rsidR="006F59A5" w:rsidRPr="00BF370B">
        <w:rPr>
          <w:lang w:val="en-AU"/>
        </w:rPr>
        <w:t>s</w:t>
      </w:r>
      <w:r w:rsidR="006540C0" w:rsidRPr="00BF370B">
        <w:rPr>
          <w:lang w:val="en-AU"/>
        </w:rPr>
        <w:t>es how the ancient listener would interpret Matthew 5:38</w:t>
      </w:r>
      <w:r w:rsidR="00C23314" w:rsidRPr="00BF370B">
        <w:rPr>
          <w:lang w:val="en-AU"/>
        </w:rPr>
        <w:t>–</w:t>
      </w:r>
      <w:r w:rsidR="006540C0" w:rsidRPr="00BF370B">
        <w:rPr>
          <w:lang w:val="en-AU"/>
        </w:rPr>
        <w:t xml:space="preserve">42. Lachs </w:t>
      </w:r>
      <w:r w:rsidR="0063154B" w:rsidRPr="00BF370B">
        <w:rPr>
          <w:lang w:val="en-AU"/>
        </w:rPr>
        <w:t xml:space="preserve">suggests that the </w:t>
      </w:r>
      <w:r w:rsidR="005C71CB" w:rsidRPr="00BF370B">
        <w:rPr>
          <w:lang w:val="en-AU"/>
        </w:rPr>
        <w:t>‘</w:t>
      </w:r>
      <w:r w:rsidR="0063154B" w:rsidRPr="00BF370B">
        <w:rPr>
          <w:lang w:val="en-AU"/>
        </w:rPr>
        <w:t>peacemaker</w:t>
      </w:r>
      <w:r w:rsidR="005C71CB" w:rsidRPr="00BF370B">
        <w:rPr>
          <w:lang w:val="en-AU"/>
        </w:rPr>
        <w:t>’</w:t>
      </w:r>
      <w:r w:rsidR="0063154B" w:rsidRPr="00BF370B">
        <w:rPr>
          <w:lang w:val="en-AU"/>
        </w:rPr>
        <w:t xml:space="preserve"> in verse 9 relates to </w:t>
      </w:r>
      <w:r w:rsidR="006540C0" w:rsidRPr="00BF370B">
        <w:rPr>
          <w:lang w:val="en-AU"/>
        </w:rPr>
        <w:t>the unfortunates of society.</w:t>
      </w:r>
      <w:r w:rsidR="006540C0" w:rsidRPr="00BF370B">
        <w:rPr>
          <w:rStyle w:val="FootnoteReference"/>
          <w:lang w:val="en-AU"/>
        </w:rPr>
        <w:footnoteReference w:id="463"/>
      </w:r>
      <w:r w:rsidR="006540C0" w:rsidRPr="00BF370B">
        <w:rPr>
          <w:lang w:val="en-AU"/>
        </w:rPr>
        <w:t xml:space="preserve"> </w:t>
      </w:r>
      <w:r w:rsidR="00C23314" w:rsidRPr="00BF370B">
        <w:rPr>
          <w:lang w:val="en-AU"/>
        </w:rPr>
        <w:t>T</w:t>
      </w:r>
      <w:r w:rsidR="006540C0" w:rsidRPr="00BF370B">
        <w:rPr>
          <w:lang w:val="en-AU"/>
        </w:rPr>
        <w:t>he Greek</w:t>
      </w:r>
      <w:r w:rsidRPr="00BF370B">
        <w:rPr>
          <w:lang w:val="en-AU"/>
        </w:rPr>
        <w:t xml:space="preserve"> </w:t>
      </w:r>
      <w:r w:rsidR="006540C0" w:rsidRPr="00BF370B">
        <w:rPr>
          <w:lang w:val="en-AU"/>
        </w:rPr>
        <w:t xml:space="preserve">word </w:t>
      </w:r>
      <w:r w:rsidR="00C23314" w:rsidRPr="00BF370B">
        <w:rPr>
          <w:lang w:val="en-AU"/>
        </w:rPr>
        <w:t xml:space="preserve">used here, </w:t>
      </w:r>
      <w:r w:rsidR="006540C0" w:rsidRPr="00BF370B">
        <w:rPr>
          <w:lang w:val="en-AU"/>
        </w:rPr>
        <w:t>εἰρηνοποιοί, mean</w:t>
      </w:r>
      <w:r w:rsidR="00C23314" w:rsidRPr="00BF370B">
        <w:rPr>
          <w:lang w:val="en-AU"/>
        </w:rPr>
        <w:t>s</w:t>
      </w:r>
      <w:r w:rsidR="006540C0" w:rsidRPr="00BF370B">
        <w:rPr>
          <w:lang w:val="en-AU"/>
        </w:rPr>
        <w:t xml:space="preserve"> </w:t>
      </w:r>
      <w:r w:rsidR="00863B47" w:rsidRPr="00BF370B">
        <w:rPr>
          <w:lang w:val="en-AU"/>
        </w:rPr>
        <w:t>“</w:t>
      </w:r>
      <w:r w:rsidR="006540C0" w:rsidRPr="00BF370B">
        <w:rPr>
          <w:lang w:val="en-AU"/>
        </w:rPr>
        <w:t>peacemaker</w:t>
      </w:r>
      <w:r w:rsidR="00C23314" w:rsidRPr="00BF370B">
        <w:rPr>
          <w:lang w:val="en-AU"/>
        </w:rPr>
        <w:t>.</w:t>
      </w:r>
      <w:r w:rsidR="00863B47" w:rsidRPr="00BF370B">
        <w:rPr>
          <w:lang w:val="en-AU"/>
        </w:rPr>
        <w:t>”</w:t>
      </w:r>
      <w:r w:rsidR="0063154B" w:rsidRPr="00BF370B">
        <w:rPr>
          <w:lang w:val="en-AU"/>
        </w:rPr>
        <w:t xml:space="preserve"> According to </w:t>
      </w:r>
      <w:r w:rsidR="006540C0" w:rsidRPr="00BF370B">
        <w:rPr>
          <w:lang w:val="en-AU"/>
        </w:rPr>
        <w:t>Lachs</w:t>
      </w:r>
      <w:r w:rsidR="0063154B" w:rsidRPr="00BF370B">
        <w:rPr>
          <w:lang w:val="en-AU"/>
        </w:rPr>
        <w:t xml:space="preserve">, </w:t>
      </w:r>
      <w:r w:rsidR="00BA1E54" w:rsidRPr="00BF370B">
        <w:rPr>
          <w:lang w:val="en-AU"/>
        </w:rPr>
        <w:t>εἰρηνοποιοί</w:t>
      </w:r>
      <w:r w:rsidR="00BA1E54" w:rsidRPr="00BF370B" w:rsidDel="00E83B24">
        <w:rPr>
          <w:lang w:val="en-AU"/>
        </w:rPr>
        <w:t xml:space="preserve"> </w:t>
      </w:r>
      <w:r w:rsidR="00863B47" w:rsidRPr="00BF370B">
        <w:rPr>
          <w:lang w:val="en-AU"/>
        </w:rPr>
        <w:t>“</w:t>
      </w:r>
      <w:r w:rsidR="006540C0" w:rsidRPr="00BF370B">
        <w:rPr>
          <w:lang w:val="en-AU"/>
        </w:rPr>
        <w:t>is an adjective referring both to those who make peace and those who are peaceful.</w:t>
      </w:r>
      <w:r w:rsidR="00863B47" w:rsidRPr="00BF370B">
        <w:rPr>
          <w:lang w:val="en-AU"/>
        </w:rPr>
        <w:t>”</w:t>
      </w:r>
      <w:r w:rsidR="006540C0" w:rsidRPr="00BF370B">
        <w:rPr>
          <w:rStyle w:val="FootnoteReference"/>
          <w:lang w:val="en-AU"/>
        </w:rPr>
        <w:footnoteReference w:id="464"/>
      </w:r>
      <w:r w:rsidR="006540C0" w:rsidRPr="00BF370B">
        <w:rPr>
          <w:lang w:val="en-AU"/>
        </w:rPr>
        <w:t xml:space="preserve"> </w:t>
      </w:r>
      <w:r w:rsidR="00E83B24" w:rsidRPr="00BF370B">
        <w:rPr>
          <w:lang w:val="en-AU"/>
        </w:rPr>
        <w:t xml:space="preserve">This means εἰρηνοποιοί makes the sentence unclear. </w:t>
      </w:r>
      <w:r w:rsidR="006540C0" w:rsidRPr="00BF370B">
        <w:rPr>
          <w:lang w:val="en-AU"/>
        </w:rPr>
        <w:t>The</w:t>
      </w:r>
      <w:r w:rsidR="005E3926" w:rsidRPr="00BF370B">
        <w:rPr>
          <w:lang w:val="en-AU"/>
        </w:rPr>
        <w:t>re are</w:t>
      </w:r>
      <w:r w:rsidR="006540C0" w:rsidRPr="00BF370B">
        <w:rPr>
          <w:lang w:val="en-AU"/>
        </w:rPr>
        <w:t xml:space="preserve"> </w:t>
      </w:r>
      <w:r w:rsidR="005E3926" w:rsidRPr="00BF370B">
        <w:rPr>
          <w:lang w:val="en-AU"/>
        </w:rPr>
        <w:t xml:space="preserve">two possibilities for the </w:t>
      </w:r>
      <w:r w:rsidR="00162922" w:rsidRPr="00BF370B">
        <w:rPr>
          <w:lang w:val="en-AU"/>
        </w:rPr>
        <w:t>meaning</w:t>
      </w:r>
      <w:r w:rsidR="006540C0" w:rsidRPr="00BF370B">
        <w:rPr>
          <w:lang w:val="en-AU"/>
        </w:rPr>
        <w:t xml:space="preserve"> of εἰρηνοποιοί </w:t>
      </w:r>
      <w:r w:rsidR="00993617" w:rsidRPr="00BF370B">
        <w:rPr>
          <w:lang w:val="en-AU"/>
        </w:rPr>
        <w:t>in Jesus</w:t>
      </w:r>
      <w:r w:rsidR="005C71CB" w:rsidRPr="00BF370B">
        <w:rPr>
          <w:lang w:val="en-AU"/>
        </w:rPr>
        <w:t>’</w:t>
      </w:r>
      <w:r w:rsidR="006D41DD">
        <w:rPr>
          <w:lang w:val="en-AU"/>
        </w:rPr>
        <w:t>s</w:t>
      </w:r>
      <w:r w:rsidR="00993617" w:rsidRPr="00BF370B">
        <w:rPr>
          <w:lang w:val="en-AU"/>
        </w:rPr>
        <w:t xml:space="preserve"> saying</w:t>
      </w:r>
      <w:r w:rsidR="00BA1E54" w:rsidRPr="00BF370B">
        <w:rPr>
          <w:lang w:val="en-AU"/>
        </w:rPr>
        <w:t>: (</w:t>
      </w:r>
      <w:r w:rsidR="006540C0" w:rsidRPr="00BF370B">
        <w:rPr>
          <w:lang w:val="en-AU"/>
        </w:rPr>
        <w:t xml:space="preserve">1) to </w:t>
      </w:r>
      <w:r w:rsidR="00993617" w:rsidRPr="00BF370B">
        <w:rPr>
          <w:lang w:val="en-AU"/>
        </w:rPr>
        <w:t>refer to</w:t>
      </w:r>
      <w:r w:rsidR="006540C0" w:rsidRPr="00BF370B">
        <w:rPr>
          <w:lang w:val="en-AU"/>
        </w:rPr>
        <w:t xml:space="preserve"> people who create peace or (2) </w:t>
      </w:r>
      <w:r w:rsidR="00993617" w:rsidRPr="00BF370B">
        <w:rPr>
          <w:lang w:val="en-AU"/>
        </w:rPr>
        <w:t xml:space="preserve">to refer to </w:t>
      </w:r>
      <w:r w:rsidR="006540C0" w:rsidRPr="00BF370B">
        <w:rPr>
          <w:lang w:val="en-AU"/>
        </w:rPr>
        <w:t xml:space="preserve">people who are peaceful </w:t>
      </w:r>
      <w:r w:rsidR="006540C0" w:rsidRPr="00BF370B">
        <w:rPr>
          <w:lang w:val="en-AU"/>
        </w:rPr>
        <w:lastRenderedPageBreak/>
        <w:t>people themselves. Since μακάριοι</w:t>
      </w:r>
      <w:r w:rsidR="006540C0" w:rsidRPr="00BF370B">
        <w:rPr>
          <w:i/>
          <w:lang w:val="en-AU"/>
        </w:rPr>
        <w:t xml:space="preserve"> </w:t>
      </w:r>
      <w:r w:rsidR="0063154B" w:rsidRPr="00BF370B">
        <w:rPr>
          <w:i/>
          <w:lang w:val="en-AU"/>
        </w:rPr>
        <w:t xml:space="preserve">is </w:t>
      </w:r>
      <w:r w:rsidR="006540C0" w:rsidRPr="00BF370B">
        <w:rPr>
          <w:lang w:val="en-AU"/>
        </w:rPr>
        <w:t xml:space="preserve">commonly </w:t>
      </w:r>
      <w:r w:rsidR="0063154B" w:rsidRPr="00BF370B">
        <w:rPr>
          <w:lang w:val="en-AU"/>
        </w:rPr>
        <w:t xml:space="preserve">translated to </w:t>
      </w:r>
      <w:r w:rsidR="00B547BF" w:rsidRPr="00BF370B">
        <w:rPr>
          <w:lang w:val="en-AU"/>
        </w:rPr>
        <w:t xml:space="preserve">mean </w:t>
      </w:r>
      <w:r w:rsidR="00863B47" w:rsidRPr="00BF370B">
        <w:rPr>
          <w:lang w:val="en-AU"/>
        </w:rPr>
        <w:t>“</w:t>
      </w:r>
      <w:r w:rsidR="006540C0" w:rsidRPr="00BF370B">
        <w:rPr>
          <w:lang w:val="en-AU"/>
        </w:rPr>
        <w:t>blessed,</w:t>
      </w:r>
      <w:r w:rsidR="00863B47" w:rsidRPr="00BF370B">
        <w:rPr>
          <w:lang w:val="en-AU"/>
        </w:rPr>
        <w:t>”</w:t>
      </w:r>
      <w:r w:rsidR="00E83B24" w:rsidRPr="00BF370B">
        <w:rPr>
          <w:lang w:val="en-AU"/>
        </w:rPr>
        <w:t xml:space="preserve"> </w:t>
      </w:r>
      <w:r w:rsidR="0063154B" w:rsidRPr="00BF370B">
        <w:rPr>
          <w:lang w:val="en-AU"/>
        </w:rPr>
        <w:t xml:space="preserve">it would be </w:t>
      </w:r>
      <w:r w:rsidR="00947FB1" w:rsidRPr="00BF370B">
        <w:rPr>
          <w:lang w:val="en-AU"/>
        </w:rPr>
        <w:t xml:space="preserve">more appropriately </w:t>
      </w:r>
      <w:r w:rsidR="0063154B" w:rsidRPr="00BF370B">
        <w:rPr>
          <w:lang w:val="en-AU"/>
        </w:rPr>
        <w:t xml:space="preserve">translated as </w:t>
      </w:r>
      <w:r w:rsidR="006540C0" w:rsidRPr="00BF370B">
        <w:rPr>
          <w:lang w:val="en-AU"/>
        </w:rPr>
        <w:t>happy</w:t>
      </w:r>
      <w:r w:rsidR="00B547BF" w:rsidRPr="00BF370B">
        <w:rPr>
          <w:lang w:val="en-AU"/>
        </w:rPr>
        <w:t xml:space="preserve">.  A more linguistically accurate translation would </w:t>
      </w:r>
      <w:r w:rsidR="00006CE4" w:rsidRPr="00BF370B">
        <w:rPr>
          <w:lang w:val="en-AU"/>
        </w:rPr>
        <w:t xml:space="preserve">be, </w:t>
      </w:r>
      <w:r w:rsidR="006540C0" w:rsidRPr="00BF370B">
        <w:rPr>
          <w:i/>
          <w:iCs/>
          <w:lang w:val="en-AU"/>
        </w:rPr>
        <w:t>happy are the peacemakers</w:t>
      </w:r>
      <w:r w:rsidR="006540C0" w:rsidRPr="00BF370B">
        <w:rPr>
          <w:lang w:val="en-AU"/>
        </w:rPr>
        <w:t xml:space="preserve"> or </w:t>
      </w:r>
      <w:r w:rsidR="006540C0" w:rsidRPr="00BF370B">
        <w:rPr>
          <w:i/>
          <w:iCs/>
          <w:lang w:val="en-AU"/>
        </w:rPr>
        <w:t>happy are the peaceful</w:t>
      </w:r>
      <w:r w:rsidR="006540C0" w:rsidRPr="00BF370B">
        <w:rPr>
          <w:lang w:val="en-AU"/>
        </w:rPr>
        <w:t>.</w:t>
      </w:r>
      <w:r w:rsidR="006540C0" w:rsidRPr="00BF370B">
        <w:rPr>
          <w:rStyle w:val="FootnoteReference"/>
          <w:lang w:val="en-AU"/>
        </w:rPr>
        <w:footnoteReference w:id="465"/>
      </w:r>
      <w:r w:rsidR="006540C0" w:rsidRPr="00BF370B">
        <w:rPr>
          <w:lang w:val="en-AU"/>
        </w:rPr>
        <w:t xml:space="preserve"> </w:t>
      </w:r>
      <w:r w:rsidR="0095389B" w:rsidRPr="00BF370B">
        <w:rPr>
          <w:lang w:val="en-AU"/>
        </w:rPr>
        <w:t xml:space="preserve">There are similarities </w:t>
      </w:r>
      <w:r w:rsidR="00BA1E54" w:rsidRPr="00BF370B">
        <w:rPr>
          <w:lang w:val="en-AU"/>
        </w:rPr>
        <w:t>between Matthew</w:t>
      </w:r>
      <w:r w:rsidR="006540C0" w:rsidRPr="00BF370B">
        <w:rPr>
          <w:lang w:val="en-AU"/>
        </w:rPr>
        <w:t xml:space="preserve"> 5:9</w:t>
      </w:r>
      <w:r w:rsidR="0095389B" w:rsidRPr="00BF370B">
        <w:rPr>
          <w:lang w:val="en-AU"/>
        </w:rPr>
        <w:t xml:space="preserve"> and εἰρηνοποιοί with </w:t>
      </w:r>
      <w:r w:rsidR="006540C0" w:rsidRPr="00BF370B">
        <w:rPr>
          <w:i/>
          <w:lang w:val="en-AU"/>
        </w:rPr>
        <w:t xml:space="preserve">b. Ber. 64a </w:t>
      </w:r>
      <w:r w:rsidR="006540C0" w:rsidRPr="00BF370B">
        <w:rPr>
          <w:lang w:val="en-AU"/>
        </w:rPr>
        <w:t>and</w:t>
      </w:r>
      <w:r w:rsidR="006540C0" w:rsidRPr="00BF370B">
        <w:rPr>
          <w:i/>
          <w:lang w:val="en-AU"/>
        </w:rPr>
        <w:t xml:space="preserve"> Pesiq. Rav Kah 18:6</w:t>
      </w:r>
      <w:r w:rsidR="00006CE4" w:rsidRPr="00BF370B">
        <w:rPr>
          <w:i/>
          <w:lang w:val="en-AU"/>
        </w:rPr>
        <w:t>–</w:t>
      </w:r>
      <w:r w:rsidR="006540C0" w:rsidRPr="00BF370B">
        <w:rPr>
          <w:i/>
          <w:lang w:val="en-AU"/>
        </w:rPr>
        <w:t>9</w:t>
      </w:r>
      <w:r w:rsidR="006540C0" w:rsidRPr="00BF370B">
        <w:rPr>
          <w:lang w:val="en-AU"/>
        </w:rPr>
        <w:t>.</w:t>
      </w:r>
      <w:r w:rsidR="006540C0" w:rsidRPr="00BF370B">
        <w:rPr>
          <w:rStyle w:val="FootnoteReference"/>
          <w:lang w:val="en-AU"/>
        </w:rPr>
        <w:footnoteReference w:id="466"/>
      </w:r>
    </w:p>
    <w:p w14:paraId="5D497E9E" w14:textId="28CE0CDF" w:rsidR="006540C0" w:rsidRPr="00BF370B" w:rsidRDefault="006540C0" w:rsidP="006540C0">
      <w:pPr>
        <w:spacing w:line="480" w:lineRule="auto"/>
        <w:ind w:firstLine="709"/>
        <w:rPr>
          <w:lang w:val="en-AU"/>
        </w:rPr>
      </w:pPr>
      <w:r w:rsidRPr="00BF370B">
        <w:rPr>
          <w:bCs/>
          <w:lang w:val="en-AU"/>
        </w:rPr>
        <w:t xml:space="preserve">μακάριοι </w:t>
      </w:r>
      <w:r w:rsidR="00B547BF" w:rsidRPr="00BF370B">
        <w:rPr>
          <w:bCs/>
          <w:lang w:val="en-AU"/>
        </w:rPr>
        <w:t>translat</w:t>
      </w:r>
      <w:r w:rsidR="00215131" w:rsidRPr="00BF370B">
        <w:rPr>
          <w:bCs/>
          <w:lang w:val="en-AU"/>
        </w:rPr>
        <w:t>ed</w:t>
      </w:r>
      <w:r w:rsidR="00B547BF" w:rsidRPr="00BF370B">
        <w:rPr>
          <w:bCs/>
          <w:lang w:val="en-AU"/>
        </w:rPr>
        <w:t xml:space="preserve"> as happy or blessed changes how the </w:t>
      </w:r>
      <w:r w:rsidR="00BA1E54" w:rsidRPr="00BF370B">
        <w:rPr>
          <w:bCs/>
          <w:lang w:val="en-AU"/>
        </w:rPr>
        <w:t>B</w:t>
      </w:r>
      <w:r w:rsidR="00B547BF" w:rsidRPr="00BF370B">
        <w:rPr>
          <w:bCs/>
          <w:lang w:val="en-AU"/>
        </w:rPr>
        <w:t xml:space="preserve">eatitudes are read. </w:t>
      </w:r>
      <w:r w:rsidR="0095389B" w:rsidRPr="00BF370B">
        <w:rPr>
          <w:bCs/>
          <w:lang w:val="en-AU"/>
        </w:rPr>
        <w:t xml:space="preserve">Lachs contends that </w:t>
      </w:r>
      <w:r w:rsidR="0095389B" w:rsidRPr="00BF370B">
        <w:rPr>
          <w:lang w:val="en-AU"/>
        </w:rPr>
        <w:t xml:space="preserve">εἰρηνοποιοί is best translated as happy and not </w:t>
      </w:r>
      <w:r w:rsidR="00BA1E54" w:rsidRPr="00BF370B">
        <w:rPr>
          <w:lang w:val="en-AU"/>
        </w:rPr>
        <w:t>a</w:t>
      </w:r>
      <w:r w:rsidR="0095389B" w:rsidRPr="00BF370B">
        <w:rPr>
          <w:lang w:val="en-AU"/>
        </w:rPr>
        <w:t xml:space="preserve"> description of divine acceptance.</w:t>
      </w:r>
      <w:r w:rsidRPr="00BF370B">
        <w:rPr>
          <w:rStyle w:val="FootnoteReference"/>
          <w:bCs/>
          <w:lang w:val="en-AU"/>
        </w:rPr>
        <w:footnoteReference w:id="467"/>
      </w:r>
      <w:r w:rsidRPr="00BF370B">
        <w:rPr>
          <w:bCs/>
          <w:lang w:val="en-AU"/>
        </w:rPr>
        <w:t xml:space="preserve"> </w:t>
      </w:r>
      <w:r w:rsidR="009B0825">
        <w:rPr>
          <w:bCs/>
          <w:lang w:val="en-AU"/>
        </w:rPr>
        <w:t>The t</w:t>
      </w:r>
      <w:r w:rsidR="00215131" w:rsidRPr="00BF370B">
        <w:rPr>
          <w:bCs/>
          <w:lang w:val="en-AU"/>
        </w:rPr>
        <w:t>ranslat</w:t>
      </w:r>
      <w:r w:rsidR="009B0825">
        <w:rPr>
          <w:bCs/>
          <w:lang w:val="en-AU"/>
        </w:rPr>
        <w:t xml:space="preserve">ion of </w:t>
      </w:r>
      <w:r w:rsidR="00215131" w:rsidRPr="00BF370B">
        <w:rPr>
          <w:bCs/>
          <w:lang w:val="en-AU"/>
        </w:rPr>
        <w:t xml:space="preserve">μακάριοι as </w:t>
      </w:r>
      <w:r w:rsidR="00863B47" w:rsidRPr="00BF370B">
        <w:rPr>
          <w:bCs/>
          <w:lang w:val="en-AU"/>
        </w:rPr>
        <w:t>“</w:t>
      </w:r>
      <w:r w:rsidR="00215131" w:rsidRPr="00BF370B">
        <w:rPr>
          <w:bCs/>
          <w:lang w:val="en-AU"/>
        </w:rPr>
        <w:t>fortunate</w:t>
      </w:r>
      <w:r w:rsidR="00863B47" w:rsidRPr="00BF370B">
        <w:rPr>
          <w:bCs/>
          <w:lang w:val="en-AU"/>
        </w:rPr>
        <w:t>”</w:t>
      </w:r>
      <w:r w:rsidR="00215131" w:rsidRPr="00BF370B">
        <w:rPr>
          <w:bCs/>
          <w:lang w:val="en-AU"/>
        </w:rPr>
        <w:t xml:space="preserve"> </w:t>
      </w:r>
      <w:r w:rsidR="009616F8" w:rsidRPr="00BF370B">
        <w:rPr>
          <w:bCs/>
          <w:lang w:val="en-AU"/>
        </w:rPr>
        <w:t xml:space="preserve">feeds reward and punishment theology because then an assumption is </w:t>
      </w:r>
      <w:r w:rsidR="002074CB" w:rsidRPr="00BF370B">
        <w:rPr>
          <w:bCs/>
          <w:lang w:val="en-AU"/>
        </w:rPr>
        <w:t xml:space="preserve">made </w:t>
      </w:r>
      <w:r w:rsidR="009616F8" w:rsidRPr="00BF370B">
        <w:rPr>
          <w:bCs/>
          <w:lang w:val="en-AU"/>
        </w:rPr>
        <w:t>that one who is not seeking peace is unfortunate.</w:t>
      </w:r>
      <w:r w:rsidR="0036475E">
        <w:rPr>
          <w:bCs/>
          <w:lang w:val="en-AU"/>
        </w:rPr>
        <w:t xml:space="preserve"> A person would then only be fortunate if they are peaceful in this understanding; however, a divine acceptance and reward should not be conditional.</w:t>
      </w:r>
      <w:r w:rsidRPr="00BF370B">
        <w:rPr>
          <w:lang w:val="en-AU"/>
        </w:rPr>
        <w:t xml:space="preserve"> </w:t>
      </w:r>
      <w:r w:rsidR="002074CB" w:rsidRPr="00BF370B">
        <w:rPr>
          <w:lang w:val="en-AU"/>
        </w:rPr>
        <w:t>In a</w:t>
      </w:r>
      <w:r w:rsidR="00EF042A" w:rsidRPr="00BF370B">
        <w:rPr>
          <w:lang w:val="en-AU"/>
        </w:rPr>
        <w:t xml:space="preserve"> reward and punishment theology the reward </w:t>
      </w:r>
      <w:proofErr w:type="gramStart"/>
      <w:r w:rsidR="00EF042A" w:rsidRPr="00BF370B">
        <w:rPr>
          <w:lang w:val="en-AU"/>
        </w:rPr>
        <w:t>sought after would be</w:t>
      </w:r>
      <w:proofErr w:type="gramEnd"/>
      <w:r w:rsidR="00EF042A" w:rsidRPr="00BF370B">
        <w:rPr>
          <w:lang w:val="en-AU"/>
        </w:rPr>
        <w:t xml:space="preserve"> peace.</w:t>
      </w:r>
      <w:r w:rsidR="00EF042A" w:rsidRPr="00BF370B">
        <w:rPr>
          <w:rStyle w:val="FootnoteReference"/>
          <w:lang w:val="en-AU"/>
        </w:rPr>
        <w:footnoteReference w:id="468"/>
      </w:r>
      <w:r w:rsidR="001A6E79" w:rsidRPr="00BF370B">
        <w:rPr>
          <w:lang w:val="en-AU"/>
        </w:rPr>
        <w:t xml:space="preserve"> </w:t>
      </w:r>
      <w:r w:rsidRPr="00BF370B">
        <w:rPr>
          <w:lang w:val="en-AU"/>
        </w:rPr>
        <w:t xml:space="preserve">Vermes suggests that </w:t>
      </w:r>
      <w:r w:rsidR="009616F8" w:rsidRPr="00BF370B">
        <w:rPr>
          <w:lang w:val="en-AU"/>
        </w:rPr>
        <w:t xml:space="preserve">εἰρηνοποιοί </w:t>
      </w:r>
      <w:r w:rsidR="0021097A" w:rsidRPr="00BF370B">
        <w:rPr>
          <w:lang w:val="en-AU"/>
        </w:rPr>
        <w:t xml:space="preserve">is </w:t>
      </w:r>
      <w:r w:rsidRPr="00BF370B">
        <w:rPr>
          <w:lang w:val="en-AU"/>
        </w:rPr>
        <w:t>synonymous with children of God</w:t>
      </w:r>
      <w:r w:rsidR="0021097A" w:rsidRPr="00BF370B">
        <w:rPr>
          <w:lang w:val="en-AU"/>
        </w:rPr>
        <w:t xml:space="preserve"> and believes that t</w:t>
      </w:r>
      <w:r w:rsidRPr="00BF370B">
        <w:rPr>
          <w:lang w:val="en-AU"/>
        </w:rPr>
        <w:t xml:space="preserve">hose </w:t>
      </w:r>
      <w:r w:rsidR="00863B47" w:rsidRPr="00BF370B">
        <w:rPr>
          <w:lang w:val="en-AU"/>
        </w:rPr>
        <w:t>“</w:t>
      </w:r>
      <w:r w:rsidRPr="00BF370B">
        <w:rPr>
          <w:lang w:val="en-AU"/>
        </w:rPr>
        <w:t xml:space="preserve">who imitate the heavenly source of </w:t>
      </w:r>
      <w:r w:rsidRPr="00BF370B">
        <w:rPr>
          <w:i/>
          <w:lang w:val="en-AU"/>
        </w:rPr>
        <w:t>shalom</w:t>
      </w:r>
      <w:r w:rsidRPr="00BF370B">
        <w:rPr>
          <w:lang w:val="en-AU"/>
        </w:rPr>
        <w:t>, can successfully strive for peace on earth and deserve to be called sons of God.</w:t>
      </w:r>
      <w:r w:rsidR="00863B47" w:rsidRPr="00BF370B">
        <w:rPr>
          <w:lang w:val="en-AU"/>
        </w:rPr>
        <w:t>”</w:t>
      </w:r>
      <w:r w:rsidRPr="00BF370B">
        <w:rPr>
          <w:rStyle w:val="FootnoteReference"/>
          <w:lang w:val="en-AU"/>
        </w:rPr>
        <w:footnoteReference w:id="469"/>
      </w:r>
      <w:r w:rsidR="0021097A" w:rsidRPr="00BF370B">
        <w:rPr>
          <w:lang w:val="en-AU"/>
        </w:rPr>
        <w:t xml:space="preserve"> As a result, those εἰρηνοποιοί are fortunate:</w:t>
      </w:r>
      <w:r w:rsidRPr="00BF370B">
        <w:rPr>
          <w:lang w:val="en-AU"/>
        </w:rPr>
        <w:t xml:space="preserve"> Stassen and Gushee write:</w:t>
      </w:r>
    </w:p>
    <w:p w14:paraId="43ADE10C" w14:textId="524AFF8D" w:rsidR="00D25D36" w:rsidRPr="00BF370B" w:rsidRDefault="006540C0" w:rsidP="006540C0">
      <w:pPr>
        <w:ind w:left="709" w:right="709"/>
        <w:rPr>
          <w:lang w:val="en-AU"/>
        </w:rPr>
      </w:pPr>
      <w:r w:rsidRPr="00BF370B">
        <w:rPr>
          <w:lang w:val="en-AU"/>
        </w:rPr>
        <w:t>Peacemaker … is the right translation… for a positive action, reconciliation, is envisioned:  the peacemakers seek to bring about peace. Since the previous Beatitudes concern social relations, surely the meaning here is social, not simply peace between individuals and God, as is frequently claimed.</w:t>
      </w:r>
      <w:r w:rsidRPr="00BF370B">
        <w:rPr>
          <w:rStyle w:val="FootnoteReference"/>
          <w:lang w:val="en-AU"/>
        </w:rPr>
        <w:footnoteReference w:id="470"/>
      </w:r>
    </w:p>
    <w:p w14:paraId="223AA867" w14:textId="77777777" w:rsidR="00361975" w:rsidRPr="00BF370B" w:rsidRDefault="00361975" w:rsidP="006540C0">
      <w:pPr>
        <w:ind w:left="709" w:right="709"/>
        <w:rPr>
          <w:lang w:val="en-AU"/>
        </w:rPr>
      </w:pPr>
    </w:p>
    <w:p w14:paraId="67377F69" w14:textId="3ACBA8F0" w:rsidR="006540C0" w:rsidRPr="00BF370B" w:rsidRDefault="0021097A" w:rsidP="000C60EE">
      <w:pPr>
        <w:spacing w:line="480" w:lineRule="auto"/>
        <w:contextualSpacing/>
        <w:rPr>
          <w:lang w:val="en-AU"/>
        </w:rPr>
      </w:pPr>
      <w:r w:rsidRPr="00BF370B">
        <w:rPr>
          <w:lang w:val="en-AU"/>
        </w:rPr>
        <w:t>εἰρηνοποιοί</w:t>
      </w:r>
      <w:r w:rsidRPr="00BF370B" w:rsidDel="0021097A">
        <w:rPr>
          <w:lang w:val="en-AU"/>
        </w:rPr>
        <w:t xml:space="preserve"> </w:t>
      </w:r>
      <w:r w:rsidRPr="00BF370B">
        <w:rPr>
          <w:lang w:val="en-AU"/>
        </w:rPr>
        <w:t xml:space="preserve">does not necessarily </w:t>
      </w:r>
      <w:r w:rsidR="00A63E7A" w:rsidRPr="00BF370B">
        <w:rPr>
          <w:lang w:val="en-AU"/>
        </w:rPr>
        <w:t>refer</w:t>
      </w:r>
      <w:r w:rsidRPr="00BF370B">
        <w:rPr>
          <w:lang w:val="en-AU"/>
        </w:rPr>
        <w:t xml:space="preserve"> to seek</w:t>
      </w:r>
      <w:r w:rsidR="00A63E7A" w:rsidRPr="00BF370B">
        <w:rPr>
          <w:lang w:val="en-AU"/>
        </w:rPr>
        <w:t>ing</w:t>
      </w:r>
      <w:r w:rsidRPr="00BF370B">
        <w:rPr>
          <w:lang w:val="en-AU"/>
        </w:rPr>
        <w:t xml:space="preserve"> peace with </w:t>
      </w:r>
      <w:r w:rsidR="006540C0" w:rsidRPr="00BF370B">
        <w:rPr>
          <w:lang w:val="en-AU"/>
        </w:rPr>
        <w:t>God.</w:t>
      </w:r>
      <w:r w:rsidR="0036475E">
        <w:rPr>
          <w:lang w:val="en-AU"/>
        </w:rPr>
        <w:t xml:space="preserve"> Peace is a social and society meaning. </w:t>
      </w:r>
      <w:r w:rsidR="006540C0" w:rsidRPr="00BF370B">
        <w:rPr>
          <w:lang w:val="en-AU"/>
        </w:rPr>
        <w:t xml:space="preserve"> </w:t>
      </w:r>
      <w:r w:rsidR="00D46387" w:rsidRPr="00BF370B">
        <w:rPr>
          <w:lang w:val="en-AU"/>
        </w:rPr>
        <w:t xml:space="preserve">εἰρηνοποιοί relates </w:t>
      </w:r>
      <w:r w:rsidR="00113ADA" w:rsidRPr="00BF370B">
        <w:rPr>
          <w:lang w:val="en-AU"/>
        </w:rPr>
        <w:t xml:space="preserve">to </w:t>
      </w:r>
      <w:r w:rsidR="00D46387" w:rsidRPr="00BF370B">
        <w:rPr>
          <w:lang w:val="en-AU"/>
        </w:rPr>
        <w:t>how someone responds to threats and othe</w:t>
      </w:r>
      <w:r w:rsidR="00113ADA" w:rsidRPr="00BF370B">
        <w:rPr>
          <w:lang w:val="en-AU"/>
        </w:rPr>
        <w:t xml:space="preserve">rs, </w:t>
      </w:r>
      <w:r w:rsidR="00D46387" w:rsidRPr="00BF370B">
        <w:rPr>
          <w:lang w:val="en-AU"/>
        </w:rPr>
        <w:t>be it through nonviolence.</w:t>
      </w:r>
      <w:r w:rsidR="0036475E">
        <w:rPr>
          <w:lang w:val="en-AU"/>
        </w:rPr>
        <w:t xml:space="preserve"> Nonviolence is founded in this understanding that </w:t>
      </w:r>
      <w:r w:rsidR="0036475E" w:rsidRPr="00BF370B">
        <w:rPr>
          <w:lang w:val="en-AU"/>
        </w:rPr>
        <w:t>εἰρηνοποιοί</w:t>
      </w:r>
      <w:r w:rsidR="0036475E">
        <w:rPr>
          <w:lang w:val="en-AU"/>
        </w:rPr>
        <w:t xml:space="preserve"> makes a happy society. </w:t>
      </w:r>
      <w:r w:rsidR="00D46387" w:rsidRPr="00BF370B">
        <w:rPr>
          <w:lang w:val="en-AU"/>
        </w:rPr>
        <w:t xml:space="preserve"> </w:t>
      </w:r>
    </w:p>
    <w:p w14:paraId="723DCF80" w14:textId="304574BB" w:rsidR="00043C3F" w:rsidRPr="00BF370B" w:rsidRDefault="00043C3F" w:rsidP="00043C3F">
      <w:pPr>
        <w:spacing w:before="120" w:line="480" w:lineRule="auto"/>
        <w:ind w:firstLine="720"/>
        <w:rPr>
          <w:lang w:val="en-AU"/>
        </w:rPr>
      </w:pPr>
      <w:r w:rsidRPr="00BF370B">
        <w:rPr>
          <w:lang w:val="en-AU"/>
        </w:rPr>
        <w:t>Matthew 5:5 discusses meekness while Matthew 5:9 discusses ‘peacemaker’ in terms of the Beatitudes; therefore, when the use of the word ‘happy’ occurs, it is comingled with values.</w:t>
      </w:r>
      <w:r w:rsidR="001D3BE5" w:rsidRPr="00BF370B">
        <w:rPr>
          <w:lang w:val="en-AU"/>
        </w:rPr>
        <w:t xml:space="preserve"> </w:t>
      </w:r>
      <w:r w:rsidRPr="00BF370B">
        <w:rPr>
          <w:lang w:val="en-AU"/>
        </w:rPr>
        <w:t xml:space="preserve"> Deciphering the value-ethics of meekness and peacemaker provide a better reading of Matthew 5:38–42 by having pacifistic ideologies. </w:t>
      </w:r>
      <w:proofErr w:type="gramStart"/>
      <w:r w:rsidRPr="00BF370B">
        <w:rPr>
          <w:lang w:val="en-AU"/>
        </w:rPr>
        <w:t>It is clear that Jesus</w:t>
      </w:r>
      <w:proofErr w:type="gramEnd"/>
      <w:r w:rsidRPr="00BF370B">
        <w:rPr>
          <w:lang w:val="en-AU"/>
        </w:rPr>
        <w:t xml:space="preserve"> was not providing a new ethic but was commenting on an ethic already</w:t>
      </w:r>
      <w:r w:rsidRPr="00BF370B" w:rsidDel="00E47F39">
        <w:rPr>
          <w:lang w:val="en-AU"/>
        </w:rPr>
        <w:t xml:space="preserve"> </w:t>
      </w:r>
      <w:r w:rsidRPr="00BF370B">
        <w:rPr>
          <w:lang w:val="en-AU"/>
        </w:rPr>
        <w:t>understood</w:t>
      </w:r>
      <w:r w:rsidRPr="00BF370B" w:rsidDel="00E47F39">
        <w:rPr>
          <w:lang w:val="en-AU"/>
        </w:rPr>
        <w:t xml:space="preserve"> </w:t>
      </w:r>
      <w:r w:rsidRPr="00BF370B">
        <w:rPr>
          <w:lang w:val="en-AU"/>
        </w:rPr>
        <w:t xml:space="preserve">at the time. </w:t>
      </w:r>
    </w:p>
    <w:p w14:paraId="5E1410E4" w14:textId="49B4D977" w:rsidR="006540C0" w:rsidRPr="009E7B69" w:rsidRDefault="00532284" w:rsidP="00F5340B">
      <w:pPr>
        <w:pStyle w:val="Heading2"/>
      </w:pPr>
      <w:bookmarkStart w:id="159" w:name="_Toc94537030"/>
      <w:bookmarkStart w:id="160" w:name="_Toc118063677"/>
      <w:r w:rsidRPr="009E7B69">
        <w:t>8.</w:t>
      </w:r>
      <w:r w:rsidR="00201C8F" w:rsidRPr="009E7B69">
        <w:t>4</w:t>
      </w:r>
      <w:r w:rsidR="006540C0" w:rsidRPr="009E7B69">
        <w:t xml:space="preserve"> </w:t>
      </w:r>
      <w:r w:rsidR="00A92F31" w:rsidRPr="009E7B69">
        <w:t xml:space="preserve">ἀντιστῆναι </w:t>
      </w:r>
      <w:r w:rsidR="003566B0" w:rsidRPr="009E7B69">
        <w:t xml:space="preserve">and </w:t>
      </w:r>
      <w:r w:rsidR="003566B0" w:rsidRPr="009E7B69">
        <w:rPr>
          <w:lang w:val="el-GR"/>
        </w:rPr>
        <w:t>πονηρῷ</w:t>
      </w:r>
      <w:r w:rsidR="003566B0" w:rsidRPr="009E7B69">
        <w:t xml:space="preserve"> </w:t>
      </w:r>
      <w:r w:rsidR="00F1739E" w:rsidRPr="009E7B69">
        <w:t>in Matt 5:39</w:t>
      </w:r>
      <w:bookmarkEnd w:id="159"/>
      <w:bookmarkEnd w:id="160"/>
    </w:p>
    <w:p w14:paraId="16B64F84" w14:textId="53269A5A" w:rsidR="006540C0" w:rsidRPr="009E7B69" w:rsidRDefault="006540C0" w:rsidP="006540C0">
      <w:pPr>
        <w:spacing w:line="480" w:lineRule="auto"/>
        <w:ind w:firstLine="709"/>
        <w:contextualSpacing/>
      </w:pPr>
      <w:r w:rsidRPr="009E7B69">
        <w:t>Matthew 5:39</w:t>
      </w:r>
      <w:r w:rsidR="00A55F4A" w:rsidRPr="009E7B69">
        <w:t>:</w:t>
      </w:r>
    </w:p>
    <w:p w14:paraId="6B1535C5" w14:textId="753555BF" w:rsidR="006540C0" w:rsidRPr="009E7B69" w:rsidRDefault="006540C0" w:rsidP="006540C0">
      <w:pPr>
        <w:ind w:left="709" w:right="709"/>
        <w:contextualSpacing/>
      </w:pPr>
      <w:r w:rsidRPr="009E7B69">
        <w:t>ἐγὼ δὲ λέγω ὑμῖν μὴ ἀντιστῆναι τῷ πονηρῷ· ἀλλ</w:t>
      </w:r>
      <w:r w:rsidR="005C71CB" w:rsidRPr="009E7B69">
        <w:t>’</w:t>
      </w:r>
      <w:r w:rsidRPr="009E7B69">
        <w:t xml:space="preserve"> ὅστις σε ῥαπίζει εἰς τὴν δεξιὰν σιαγόνα, στρέψον αὐτῷ καὶ τὴν ἄλλην.</w:t>
      </w:r>
    </w:p>
    <w:p w14:paraId="27BCB6F6" w14:textId="77777777" w:rsidR="006540C0" w:rsidRPr="009E7B69" w:rsidRDefault="006540C0" w:rsidP="006540C0">
      <w:pPr>
        <w:ind w:left="709" w:right="709"/>
        <w:contextualSpacing/>
      </w:pPr>
      <w:r w:rsidRPr="009E7B69">
        <w:t xml:space="preserve"> </w:t>
      </w:r>
    </w:p>
    <w:p w14:paraId="009F5DBC" w14:textId="30EB500C" w:rsidR="00D25D36" w:rsidRPr="009E7B69" w:rsidRDefault="006540C0" w:rsidP="006540C0">
      <w:pPr>
        <w:ind w:left="709" w:right="709"/>
        <w:contextualSpacing/>
      </w:pPr>
      <w:r w:rsidRPr="009E7B69">
        <w:t xml:space="preserve">But I say to you, </w:t>
      </w:r>
      <w:proofErr w:type="gramStart"/>
      <w:r w:rsidRPr="009E7B69">
        <w:t>Do</w:t>
      </w:r>
      <w:proofErr w:type="gramEnd"/>
      <w:r w:rsidRPr="009E7B69">
        <w:t xml:space="preserve"> not resist one who is evil. But if anyone strikes you on the right cheek, turn to him the other also (NRSV).</w:t>
      </w:r>
    </w:p>
    <w:p w14:paraId="006BDCE3" w14:textId="77777777" w:rsidR="0064457F" w:rsidRDefault="0064457F" w:rsidP="006540C0">
      <w:pPr>
        <w:spacing w:line="480" w:lineRule="auto"/>
        <w:ind w:firstLine="720"/>
        <w:rPr>
          <w:lang w:val="en-AU"/>
        </w:rPr>
      </w:pPr>
    </w:p>
    <w:p w14:paraId="5ED012CD" w14:textId="34DDA7CC" w:rsidR="003566B0" w:rsidRPr="00BF370B" w:rsidRDefault="00EE2C31" w:rsidP="006540C0">
      <w:pPr>
        <w:spacing w:line="480" w:lineRule="auto"/>
        <w:ind w:firstLine="720"/>
        <w:rPr>
          <w:lang w:val="en-AU"/>
        </w:rPr>
      </w:pPr>
      <w:r w:rsidRPr="00BF370B">
        <w:rPr>
          <w:lang w:val="en-AU"/>
        </w:rPr>
        <w:t>In</w:t>
      </w:r>
      <w:r w:rsidR="006540C0" w:rsidRPr="00BF370B">
        <w:rPr>
          <w:lang w:val="en-AU"/>
        </w:rPr>
        <w:t xml:space="preserve"> Matthew 5:39</w:t>
      </w:r>
      <w:r w:rsidRPr="00BF370B">
        <w:rPr>
          <w:lang w:val="en-AU"/>
        </w:rPr>
        <w:t xml:space="preserve">, </w:t>
      </w:r>
      <w:r w:rsidR="006540C0" w:rsidRPr="00BF370B">
        <w:rPr>
          <w:lang w:val="en-AU"/>
        </w:rPr>
        <w:t xml:space="preserve">Jesus explained that </w:t>
      </w:r>
      <w:r w:rsidR="00815F70" w:rsidRPr="00BF370B">
        <w:rPr>
          <w:lang w:val="en-AU"/>
        </w:rPr>
        <w:t>h</w:t>
      </w:r>
      <w:r w:rsidR="006540C0" w:rsidRPr="00BF370B">
        <w:rPr>
          <w:lang w:val="en-AU"/>
        </w:rPr>
        <w:t xml:space="preserve">is followers </w:t>
      </w:r>
      <w:r w:rsidR="00815F70" w:rsidRPr="00BF370B">
        <w:rPr>
          <w:lang w:val="en-AU"/>
        </w:rPr>
        <w:t>a</w:t>
      </w:r>
      <w:r w:rsidR="006540C0" w:rsidRPr="00BF370B">
        <w:rPr>
          <w:lang w:val="en-AU"/>
        </w:rPr>
        <w:t xml:space="preserve">re to go beyond the requirements of the </w:t>
      </w:r>
      <w:r w:rsidR="006540C0" w:rsidRPr="00BF370B">
        <w:rPr>
          <w:i/>
          <w:lang w:val="en-AU"/>
        </w:rPr>
        <w:t>mitzvoth</w:t>
      </w:r>
      <w:r w:rsidR="006540C0" w:rsidRPr="00BF370B">
        <w:rPr>
          <w:lang w:val="en-AU"/>
        </w:rPr>
        <w:t xml:space="preserve"> (not just </w:t>
      </w:r>
      <w:r w:rsidR="00863B47" w:rsidRPr="00BF370B">
        <w:rPr>
          <w:lang w:val="en-AU"/>
        </w:rPr>
        <w:t>“</w:t>
      </w:r>
      <w:r w:rsidR="006540C0" w:rsidRPr="00BF370B">
        <w:rPr>
          <w:lang w:val="en-AU"/>
        </w:rPr>
        <w:t>deeds</w:t>
      </w:r>
      <w:r w:rsidR="00863B47" w:rsidRPr="00BF370B">
        <w:rPr>
          <w:lang w:val="en-AU"/>
        </w:rPr>
        <w:t>”</w:t>
      </w:r>
      <w:r w:rsidR="006540C0" w:rsidRPr="00BF370B">
        <w:rPr>
          <w:lang w:val="en-AU"/>
        </w:rPr>
        <w:t xml:space="preserve"> but here pertaining to the </w:t>
      </w:r>
      <w:r w:rsidR="00863B47" w:rsidRPr="00BF370B">
        <w:rPr>
          <w:lang w:val="en-AU"/>
        </w:rPr>
        <w:t>“</w:t>
      </w:r>
      <w:r w:rsidR="006540C0" w:rsidRPr="00BF370B">
        <w:rPr>
          <w:lang w:val="en-AU"/>
        </w:rPr>
        <w:t>commandments</w:t>
      </w:r>
      <w:r w:rsidR="00863B47" w:rsidRPr="00BF370B">
        <w:rPr>
          <w:lang w:val="en-AU"/>
        </w:rPr>
        <w:t>”</w:t>
      </w:r>
      <w:r w:rsidR="006540C0" w:rsidRPr="00BF370B">
        <w:rPr>
          <w:lang w:val="en-AU"/>
        </w:rPr>
        <w:t>) and to live the Torah to its fullest, as sincerely as possible</w:t>
      </w:r>
      <w:r w:rsidR="00B92C97" w:rsidRPr="00BF370B">
        <w:rPr>
          <w:lang w:val="en-AU"/>
        </w:rPr>
        <w:t xml:space="preserve"> (Matt 5:</w:t>
      </w:r>
      <w:r w:rsidR="00433134" w:rsidRPr="00BF370B">
        <w:rPr>
          <w:lang w:val="en-AU"/>
        </w:rPr>
        <w:t>17</w:t>
      </w:r>
      <w:r w:rsidR="00BF370B" w:rsidRPr="00BF370B">
        <w:rPr>
          <w:lang w:val="en-AU"/>
        </w:rPr>
        <w:t>–</w:t>
      </w:r>
      <w:r w:rsidR="00433134" w:rsidRPr="00BF370B">
        <w:rPr>
          <w:lang w:val="en-AU"/>
        </w:rPr>
        <w:t>20</w:t>
      </w:r>
      <w:r w:rsidR="00B92C97" w:rsidRPr="00BF370B">
        <w:rPr>
          <w:lang w:val="en-AU"/>
        </w:rPr>
        <w:t>)</w:t>
      </w:r>
      <w:r w:rsidR="006540C0" w:rsidRPr="00BF370B">
        <w:rPr>
          <w:lang w:val="en-AU"/>
        </w:rPr>
        <w:t>. The two key words in Matthew 5:39 are ἀντιστῆναι (resist) and πονηρῷ (evil, evil person). The translations and understanding of these words</w:t>
      </w:r>
      <w:r w:rsidR="00F804F2" w:rsidRPr="00BF370B">
        <w:rPr>
          <w:lang w:val="en-AU"/>
        </w:rPr>
        <w:t xml:space="preserve"> at the time of </w:t>
      </w:r>
      <w:r w:rsidR="006540C0" w:rsidRPr="00BF370B">
        <w:rPr>
          <w:lang w:val="en-AU"/>
        </w:rPr>
        <w:t>Jesus</w:t>
      </w:r>
      <w:r w:rsidR="00F804F2" w:rsidRPr="00BF370B">
        <w:rPr>
          <w:lang w:val="en-AU"/>
        </w:rPr>
        <w:t xml:space="preserve"> will</w:t>
      </w:r>
      <w:r w:rsidR="006540C0" w:rsidRPr="00BF370B">
        <w:rPr>
          <w:lang w:val="en-AU"/>
        </w:rPr>
        <w:t xml:space="preserve"> determine how Jesus</w:t>
      </w:r>
      <w:r w:rsidR="005C71CB" w:rsidRPr="00BF370B">
        <w:rPr>
          <w:lang w:val="en-AU"/>
        </w:rPr>
        <w:t>’</w:t>
      </w:r>
      <w:r w:rsidR="006D41DD">
        <w:rPr>
          <w:lang w:val="en-AU"/>
        </w:rPr>
        <w:t>s</w:t>
      </w:r>
      <w:r w:rsidR="006540C0" w:rsidRPr="00BF370B">
        <w:rPr>
          <w:lang w:val="en-AU"/>
        </w:rPr>
        <w:t xml:space="preserve"> teaching is applied </w:t>
      </w:r>
      <w:r w:rsidR="004D0B26" w:rsidRPr="00BF370B">
        <w:rPr>
          <w:lang w:val="en-AU"/>
        </w:rPr>
        <w:t xml:space="preserve">to </w:t>
      </w:r>
      <w:r w:rsidR="006540C0" w:rsidRPr="00BF370B">
        <w:rPr>
          <w:lang w:val="en-AU"/>
        </w:rPr>
        <w:t xml:space="preserve">ethics and peace. </w:t>
      </w:r>
    </w:p>
    <w:p w14:paraId="127DAEE2" w14:textId="367B1BF8" w:rsidR="003566B0" w:rsidRPr="00BF370B" w:rsidRDefault="003566B0" w:rsidP="003566B0">
      <w:pPr>
        <w:spacing w:beforeLines="1" w:before="2" w:afterLines="1" w:after="2" w:line="480" w:lineRule="auto"/>
        <w:ind w:firstLine="709"/>
        <w:rPr>
          <w:lang w:val="en-AU"/>
        </w:rPr>
      </w:pPr>
      <w:bookmarkStart w:id="161" w:name="_Hlk94518281"/>
      <w:r w:rsidRPr="00BF370B">
        <w:rPr>
          <w:lang w:val="en-AU"/>
        </w:rPr>
        <w:lastRenderedPageBreak/>
        <w:t xml:space="preserve">The meaning of the Greek verb </w:t>
      </w:r>
      <w:r w:rsidRPr="00BF370B">
        <w:rPr>
          <w:shd w:val="clear" w:color="auto" w:fill="FDFEFF"/>
          <w:lang w:val="en-AU"/>
        </w:rPr>
        <w:t>ἀντιστῆναι is important to understanding Matt 5:38–42</w:t>
      </w:r>
      <w:bookmarkEnd w:id="161"/>
      <w:r w:rsidRPr="00BF370B">
        <w:rPr>
          <w:shd w:val="clear" w:color="auto" w:fill="FDFEFF"/>
          <w:lang w:val="en-AU"/>
        </w:rPr>
        <w:t xml:space="preserve">. </w:t>
      </w:r>
      <w:r w:rsidRPr="00BF370B">
        <w:rPr>
          <w:lang w:val="en-AU"/>
        </w:rPr>
        <w:t xml:space="preserve"> The word has different meanings in different contexts.  The contexts in the New Testament may differ from those of classical Greek stories. Historically, three general interpretations have developed </w:t>
      </w:r>
      <w:proofErr w:type="gramStart"/>
      <w:r w:rsidRPr="00BF370B">
        <w:rPr>
          <w:lang w:val="en-AU"/>
        </w:rPr>
        <w:t>in regard to</w:t>
      </w:r>
      <w:proofErr w:type="gramEnd"/>
      <w:r w:rsidRPr="00BF370B">
        <w:rPr>
          <w:lang w:val="en-AU"/>
        </w:rPr>
        <w:t xml:space="preserve"> the meaning of </w:t>
      </w:r>
      <w:r w:rsidRPr="00BF370B">
        <w:rPr>
          <w:shd w:val="clear" w:color="auto" w:fill="FDFEFF"/>
          <w:lang w:val="en-AU"/>
        </w:rPr>
        <w:t xml:space="preserve">ἀντιστῆναι </w:t>
      </w:r>
      <w:r w:rsidRPr="00BF370B">
        <w:rPr>
          <w:lang w:val="en-AU"/>
        </w:rPr>
        <w:t xml:space="preserve">in Matthew 5:39, these being resistance, retaliation, and rebellion. The listeners to Jesus </w:t>
      </w:r>
      <w:r w:rsidR="003A5B33" w:rsidRPr="00BF370B">
        <w:rPr>
          <w:lang w:val="en-AU"/>
        </w:rPr>
        <w:t xml:space="preserve">could </w:t>
      </w:r>
      <w:r w:rsidRPr="00BF370B">
        <w:rPr>
          <w:lang w:val="en-AU"/>
        </w:rPr>
        <w:t xml:space="preserve">have understood </w:t>
      </w:r>
      <w:r w:rsidRPr="00BF370B">
        <w:rPr>
          <w:i/>
          <w:lang w:val="en-AU"/>
        </w:rPr>
        <w:t>Koine</w:t>
      </w:r>
      <w:r w:rsidRPr="00BF370B">
        <w:rPr>
          <w:lang w:val="en-AU"/>
        </w:rPr>
        <w:t xml:space="preserve"> Greek, which was a dialect of Greek spoken by many Jews during this the period of the New Testament, covering the time from 330 BCE to CE 330.</w:t>
      </w:r>
      <w:r w:rsidRPr="00BF370B">
        <w:rPr>
          <w:rStyle w:val="FootnoteReference"/>
          <w:lang w:val="en-AU"/>
        </w:rPr>
        <w:footnoteReference w:id="471"/>
      </w:r>
      <w:r w:rsidRPr="00BF370B">
        <w:rPr>
          <w:lang w:val="en-AU"/>
        </w:rPr>
        <w:t xml:space="preserve"> Matthew was a </w:t>
      </w:r>
      <w:r w:rsidRPr="00ED0F6A">
        <w:rPr>
          <w:i/>
          <w:iCs/>
          <w:lang w:val="en-AU"/>
        </w:rPr>
        <w:t>Koine</w:t>
      </w:r>
      <w:r w:rsidRPr="00BF370B">
        <w:rPr>
          <w:lang w:val="en-AU"/>
        </w:rPr>
        <w:t xml:space="preserve"> Greek translation of Jesus’</w:t>
      </w:r>
      <w:r w:rsidR="006D41DD">
        <w:rPr>
          <w:lang w:val="en-AU"/>
        </w:rPr>
        <w:t>s</w:t>
      </w:r>
      <w:r w:rsidRPr="00BF370B">
        <w:rPr>
          <w:lang w:val="en-AU"/>
        </w:rPr>
        <w:t xml:space="preserve"> Galilean dialect of Aramaic. The Sermon was delivered in Galilee. Jesus could probably speak Greek (he grew up near Sepphoris) and might well have used it on some occasions, as in his exchanges with the Syro-Phoenician woman (here Jesus was the foreigner) and with Pontius Pilate. The word ἀντιστῆναι in ancient historical Greek writings has  been employed variously to mean (1) “set against” (e.g., Thucydides 4.115, 5</w:t>
      </w:r>
      <w:r w:rsidRPr="00BF370B">
        <w:rPr>
          <w:vertAlign w:val="superscript"/>
          <w:lang w:val="en-AU"/>
        </w:rPr>
        <w:t>th</w:t>
      </w:r>
      <w:r w:rsidRPr="00BF370B">
        <w:rPr>
          <w:lang w:val="en-AU"/>
        </w:rPr>
        <w:t xml:space="preserve"> century BCE); (2) “match with” (e.g., Plutarchus Theseus 1,1</w:t>
      </w:r>
      <w:r w:rsidRPr="00BF370B">
        <w:rPr>
          <w:vertAlign w:val="superscript"/>
          <w:lang w:val="en-AU"/>
        </w:rPr>
        <w:t>st</w:t>
      </w:r>
      <w:r w:rsidRPr="00BF370B">
        <w:rPr>
          <w:lang w:val="en-AU"/>
        </w:rPr>
        <w:t xml:space="preserve"> /2</w:t>
      </w:r>
      <w:r w:rsidRPr="00BF370B">
        <w:rPr>
          <w:vertAlign w:val="superscript"/>
          <w:lang w:val="en-AU"/>
        </w:rPr>
        <w:t>nd</w:t>
      </w:r>
      <w:r w:rsidRPr="00BF370B">
        <w:rPr>
          <w:lang w:val="en-AU"/>
        </w:rPr>
        <w:t xml:space="preserve"> century CE); (3) “stand against” (e.g., Ilias 20:70, no date given, Herodotus 6.117, 5</w:t>
      </w:r>
      <w:r w:rsidRPr="00BF370B">
        <w:rPr>
          <w:vertAlign w:val="superscript"/>
          <w:lang w:val="en-AU"/>
        </w:rPr>
        <w:t>th</w:t>
      </w:r>
      <w:r w:rsidRPr="00BF370B">
        <w:rPr>
          <w:lang w:val="en-AU"/>
        </w:rPr>
        <w:t xml:space="preserve"> century BCE); (4) of things which turn out unfavourably (e.g., Thucydides 5.4); and (5) “resist or fight on” (e.g., Herodotus 5.72). In cases one and three, it is used in the context of battle.</w:t>
      </w:r>
      <w:r w:rsidRPr="00BF370B">
        <w:rPr>
          <w:rStyle w:val="FootnoteReference"/>
          <w:lang w:val="en-AU"/>
        </w:rPr>
        <w:footnoteReference w:id="472"/>
      </w:r>
      <w:r w:rsidRPr="00BF370B">
        <w:rPr>
          <w:lang w:val="en-AU"/>
        </w:rPr>
        <w:t xml:space="preserve"> In the </w:t>
      </w:r>
      <w:r w:rsidRPr="00BF370B">
        <w:rPr>
          <w:lang w:val="en-AU"/>
        </w:rPr>
        <w:lastRenderedPageBreak/>
        <w:t>Septuagint, ἀντιστῆναι is used to mean “to outweigh,” “to stand against,” “to stand in opposition to,” “to withstand,” or even “to resist.”</w:t>
      </w:r>
      <w:r w:rsidRPr="00BF370B">
        <w:rPr>
          <w:rStyle w:val="FootnoteReference"/>
          <w:lang w:val="en-AU"/>
        </w:rPr>
        <w:footnoteReference w:id="473"/>
      </w:r>
      <w:r w:rsidRPr="00BF370B">
        <w:rPr>
          <w:lang w:val="en-AU"/>
        </w:rPr>
        <w:t xml:space="preserve"> </w:t>
      </w:r>
    </w:p>
    <w:p w14:paraId="7AAAC2DB" w14:textId="6896D1F0" w:rsidR="003566B0" w:rsidRPr="00BF370B" w:rsidRDefault="003566B0" w:rsidP="003566B0">
      <w:pPr>
        <w:spacing w:beforeLines="1" w:before="2" w:afterLines="1" w:after="2" w:line="480" w:lineRule="auto"/>
        <w:ind w:firstLine="709"/>
        <w:rPr>
          <w:lang w:val="en-AU"/>
        </w:rPr>
      </w:pPr>
      <w:r w:rsidRPr="00BF370B">
        <w:rPr>
          <w:lang w:val="en-AU"/>
        </w:rPr>
        <w:t>According to Walter Wink, nonviolent pacifism is a ‘third way’ that advocates nonviolent resistance. The concept of nonviolent resistance grows out of the verb ἀντιστῆναι, used in Matthew 5:39  but “which does not mean do not resist an evildoer,” an impossible though regrettably common translation.</w:t>
      </w:r>
      <w:r w:rsidRPr="00BF370B">
        <w:rPr>
          <w:rStyle w:val="FootnoteReference"/>
          <w:lang w:val="en-AU"/>
        </w:rPr>
        <w:footnoteReference w:id="474"/>
      </w:r>
      <w:r w:rsidRPr="00BF370B">
        <w:rPr>
          <w:lang w:val="en-AU"/>
        </w:rPr>
        <w:t xml:space="preserve"> The use of the verb ἀντιστῆναι in Matthew 5:39 connotes “(with a negative) not using violence to resist evil.”</w:t>
      </w:r>
      <w:r w:rsidRPr="00BF370B">
        <w:rPr>
          <w:rStyle w:val="FootnoteReference"/>
          <w:lang w:val="en-AU"/>
        </w:rPr>
        <w:footnoteReference w:id="475"/>
      </w:r>
      <w:r w:rsidRPr="00BF370B">
        <w:rPr>
          <w:lang w:val="en-AU"/>
        </w:rPr>
        <w:t xml:space="preserve"> An understanding emerges from Matthew 5:38–42 that one should not use violence when resisting an evildoer, especially in response to slapping.  There are four examples in Matthew 5:38–42 that illustrate refusal to submit to an evildoer.  These four examples are: (1) actions that refuse submission; (2) actions that assert human dignity; (3) actions that are designed to humiliate; and (4) actions that destroy.</w:t>
      </w:r>
      <w:r w:rsidRPr="00BF370B">
        <w:rPr>
          <w:rStyle w:val="FootnoteReference"/>
          <w:lang w:val="en-AU"/>
        </w:rPr>
        <w:footnoteReference w:id="476"/>
      </w:r>
      <w:r w:rsidRPr="00BF370B">
        <w:rPr>
          <w:lang w:val="en-AU"/>
        </w:rPr>
        <w:t xml:space="preserve"> Each one of these examples builds upon the years of Torah study done by students before their</w:t>
      </w:r>
      <w:r w:rsidRPr="00BF370B">
        <w:rPr>
          <w:i/>
          <w:iCs/>
          <w:lang w:val="en-AU"/>
        </w:rPr>
        <w:t xml:space="preserve"> Bar Mitzvah</w:t>
      </w:r>
      <w:r w:rsidRPr="00BF370B">
        <w:rPr>
          <w:lang w:val="en-AU"/>
        </w:rPr>
        <w:t>, which provides a universal and common understanding of the Torah for all Jewish people studying with their sages.</w:t>
      </w:r>
      <w:r w:rsidRPr="00BF370B">
        <w:rPr>
          <w:rStyle w:val="FootnoteReference"/>
          <w:lang w:val="en-AU"/>
        </w:rPr>
        <w:footnoteReference w:id="477"/>
      </w:r>
      <w:r w:rsidRPr="00BF370B">
        <w:rPr>
          <w:lang w:val="en-AU"/>
        </w:rPr>
        <w:t xml:space="preserve"> </w:t>
      </w:r>
    </w:p>
    <w:p w14:paraId="04023297" w14:textId="2BECD149" w:rsidR="003566B0" w:rsidRPr="00BF370B" w:rsidRDefault="0011251C" w:rsidP="003566B0">
      <w:pPr>
        <w:spacing w:beforeLines="1" w:before="2" w:afterLines="1" w:after="2" w:line="480" w:lineRule="auto"/>
        <w:ind w:firstLine="709"/>
        <w:rPr>
          <w:lang w:val="en-AU"/>
        </w:rPr>
      </w:pPr>
      <w:r w:rsidRPr="00BF370B">
        <w:rPr>
          <w:lang w:val="en-AU"/>
        </w:rPr>
        <w:lastRenderedPageBreak/>
        <w:t>Jesus</w:t>
      </w:r>
      <w:r w:rsidR="003566B0" w:rsidRPr="00BF370B">
        <w:rPr>
          <w:lang w:val="en-AU"/>
        </w:rPr>
        <w:t xml:space="preserve"> advocates the Jewish </w:t>
      </w:r>
      <w:r w:rsidR="00BF370B">
        <w:rPr>
          <w:lang w:val="en-AU"/>
        </w:rPr>
        <w:t>principle</w:t>
      </w:r>
      <w:r w:rsidR="00BF370B" w:rsidRPr="00BF370B">
        <w:rPr>
          <w:lang w:val="en-AU"/>
        </w:rPr>
        <w:t xml:space="preserve"> </w:t>
      </w:r>
      <w:r w:rsidR="003566B0" w:rsidRPr="00BF370B">
        <w:rPr>
          <w:lang w:val="en-AU"/>
        </w:rPr>
        <w:t>of love.</w:t>
      </w:r>
      <w:r w:rsidR="003566B0" w:rsidRPr="00BF370B">
        <w:rPr>
          <w:rStyle w:val="FootnoteReference"/>
          <w:lang w:val="en-AU"/>
        </w:rPr>
        <w:footnoteReference w:id="478"/>
      </w:r>
      <w:r w:rsidR="003566B0" w:rsidRPr="00BF370B">
        <w:rPr>
          <w:lang w:val="en-AU"/>
        </w:rPr>
        <w:t xml:space="preserve"> </w:t>
      </w:r>
      <w:r w:rsidR="003566B0" w:rsidRPr="00BF370B">
        <w:rPr>
          <w:color w:val="222222"/>
          <w:shd w:val="clear" w:color="auto" w:fill="FFFFFF"/>
          <w:lang w:val="en-AU"/>
        </w:rPr>
        <w:t>This was apparent in Jesus’</w:t>
      </w:r>
      <w:r w:rsidR="006D41DD">
        <w:rPr>
          <w:color w:val="222222"/>
          <w:shd w:val="clear" w:color="auto" w:fill="FFFFFF"/>
          <w:lang w:val="en-AU"/>
        </w:rPr>
        <w:t>s</w:t>
      </w:r>
      <w:r w:rsidR="003566B0" w:rsidRPr="00BF370B">
        <w:rPr>
          <w:color w:val="222222"/>
          <w:shd w:val="clear" w:color="auto" w:fill="FFFFFF"/>
          <w:lang w:val="en-AU"/>
        </w:rPr>
        <w:t xml:space="preserve"> action in the Temple where he overturned the tables but still loves people.  Jesus would not have taught a totally violence-free message (nor a violence-free eschatology). This is evident in the predictions Jesus made about the end of days</w:t>
      </w:r>
      <w:r w:rsidR="00C27AFC" w:rsidRPr="00BF370B">
        <w:rPr>
          <w:color w:val="222222"/>
          <w:shd w:val="clear" w:color="auto" w:fill="FFFFFF"/>
          <w:lang w:val="en-AU"/>
        </w:rPr>
        <w:t xml:space="preserve"> [Matthew 24]</w:t>
      </w:r>
      <w:r w:rsidR="003566B0" w:rsidRPr="00BF370B">
        <w:rPr>
          <w:color w:val="222222"/>
          <w:shd w:val="clear" w:color="auto" w:fill="FFFFFF"/>
          <w:lang w:val="en-AU"/>
        </w:rPr>
        <w:t xml:space="preserve">. Another example that demonstrates that Jesus was not completely passive is found in his views on the sacrifice: Jesus did not try to abolish animal killing (or blood sacrifices) as a statement of peace, since animal ritual slaughter was still active during the time of Jesus. </w:t>
      </w:r>
      <w:r w:rsidR="003566B0" w:rsidRPr="00BF370B">
        <w:rPr>
          <w:lang w:val="en-AU"/>
        </w:rPr>
        <w:t xml:space="preserve"> </w:t>
      </w:r>
    </w:p>
    <w:p w14:paraId="635B750A" w14:textId="10BA6799" w:rsidR="003566B0" w:rsidRPr="00BF370B" w:rsidRDefault="003566B0" w:rsidP="003566B0">
      <w:pPr>
        <w:spacing w:beforeLines="1" w:before="2" w:afterLines="1" w:after="2" w:line="480" w:lineRule="auto"/>
        <w:ind w:firstLine="709"/>
        <w:rPr>
          <w:lang w:val="en-AU"/>
        </w:rPr>
      </w:pPr>
      <w:r w:rsidRPr="00BF370B">
        <w:rPr>
          <w:lang w:val="en-AU"/>
        </w:rPr>
        <w:t>To understand the context of love and the principle of the third way as a response for Jesus to all nations, the apocalyptic ending is foretold in Matthew 24:7, where the text reads “For nation will rise against nation, and kingdom against kingdom, and there will be famines and earthquakes in various places.” In the Greek, Matthew 24:7 reads “ἐγερθήσεται γὰρ ἔθνος ἐπὶ ἔθνος καὶ βασιλεία ἐπὶ βασιλείαν, καὶ ἔσονται λιμοὶ καὶ σεισμοὶ κατὰ τόπους.” The word ἔθνος translates as ‘nation.’</w:t>
      </w:r>
      <w:r w:rsidRPr="00BF370B">
        <w:rPr>
          <w:rStyle w:val="FootnoteReference"/>
          <w:lang w:val="en-AU"/>
        </w:rPr>
        <w:footnoteReference w:id="479"/>
      </w:r>
      <w:r w:rsidRPr="00BF370B">
        <w:rPr>
          <w:lang w:val="en-AU"/>
        </w:rPr>
        <w:t xml:space="preserve"> The call by Matthew to the Jewish leadership embodies Torah living.  The translation of the word ἔθνος connects with Matthew 5:39 in that the Jewish audience in Matthew 5:39 is the nation being described in this apocalyptic foreshadowing. The Jewish culture of non-retaliation forms this nation identity.</w:t>
      </w:r>
      <w:r w:rsidRPr="00BF370B">
        <w:rPr>
          <w:rStyle w:val="FootnoteReference"/>
          <w:lang w:val="en-AU"/>
        </w:rPr>
        <w:footnoteReference w:id="480"/>
      </w:r>
      <w:r w:rsidRPr="00BF370B">
        <w:rPr>
          <w:lang w:val="en-AU"/>
        </w:rPr>
        <w:t xml:space="preserve"> Talbert contends that Jewish literature such as 1QS 10.17–20, </w:t>
      </w:r>
      <w:r w:rsidRPr="00BF370B">
        <w:rPr>
          <w:i/>
          <w:lang w:val="en-AU"/>
        </w:rPr>
        <w:t xml:space="preserve">Joseph and Aseneth </w:t>
      </w:r>
      <w:r w:rsidRPr="00BF370B">
        <w:rPr>
          <w:lang w:val="en-AU"/>
        </w:rPr>
        <w:t xml:space="preserve">23:9, </w:t>
      </w:r>
      <w:r w:rsidRPr="00BF370B">
        <w:rPr>
          <w:i/>
          <w:lang w:val="en-AU"/>
        </w:rPr>
        <w:t>b. Shabbat</w:t>
      </w:r>
      <w:r w:rsidRPr="00BF370B">
        <w:rPr>
          <w:lang w:val="en-AU"/>
        </w:rPr>
        <w:t xml:space="preserve"> 88b, and 2 </w:t>
      </w:r>
      <w:r w:rsidRPr="00BF370B">
        <w:rPr>
          <w:i/>
          <w:lang w:val="en-AU"/>
        </w:rPr>
        <w:t>Enoch</w:t>
      </w:r>
      <w:r w:rsidRPr="00BF370B">
        <w:rPr>
          <w:lang w:val="en-AU"/>
        </w:rPr>
        <w:t xml:space="preserve"> 50:3–4 demonstrate non-retaliation</w:t>
      </w:r>
      <w:r w:rsidR="00BF370B" w:rsidRPr="00BF370B">
        <w:rPr>
          <w:lang w:val="en-AU"/>
        </w:rPr>
        <w:t>.</w:t>
      </w:r>
      <w:r w:rsidRPr="00BF370B">
        <w:rPr>
          <w:rStyle w:val="FootnoteReference"/>
          <w:lang w:val="en-AU"/>
        </w:rPr>
        <w:footnoteReference w:id="481"/>
      </w:r>
      <w:r w:rsidRPr="00BF370B">
        <w:rPr>
          <w:lang w:val="en-AU"/>
        </w:rPr>
        <w:t xml:space="preserve"> </w:t>
      </w:r>
      <w:proofErr w:type="gramStart"/>
      <w:r w:rsidRPr="00BF370B">
        <w:rPr>
          <w:lang w:val="en-AU"/>
        </w:rPr>
        <w:t>Non-retaliation</w:t>
      </w:r>
      <w:proofErr w:type="gramEnd"/>
      <w:r w:rsidRPr="00BF370B">
        <w:rPr>
          <w:lang w:val="en-AU"/>
        </w:rPr>
        <w:t xml:space="preserve"> was neither a new concept nor a novel idea. </w:t>
      </w:r>
    </w:p>
    <w:p w14:paraId="709FEAA9" w14:textId="6F6E3C01" w:rsidR="006540C0" w:rsidRPr="00BF370B" w:rsidRDefault="006540C0" w:rsidP="006540C0">
      <w:pPr>
        <w:spacing w:line="480" w:lineRule="auto"/>
        <w:ind w:firstLine="720"/>
        <w:rPr>
          <w:lang w:val="en-AU"/>
        </w:rPr>
      </w:pPr>
      <w:r w:rsidRPr="00BF370B">
        <w:rPr>
          <w:lang w:val="en-AU"/>
        </w:rPr>
        <w:lastRenderedPageBreak/>
        <w:t xml:space="preserve">David Bivin, as well as other scholars, interpret the Greek word ἀντιστῆναι as meaning </w:t>
      </w:r>
      <w:r w:rsidR="005C71CB" w:rsidRPr="00BF370B">
        <w:rPr>
          <w:lang w:val="en-AU"/>
        </w:rPr>
        <w:t>‘</w:t>
      </w:r>
      <w:r w:rsidRPr="00BF370B">
        <w:rPr>
          <w:lang w:val="en-AU"/>
        </w:rPr>
        <w:t>to compete with.</w:t>
      </w:r>
      <w:r w:rsidR="005C71CB" w:rsidRPr="00BF370B">
        <w:rPr>
          <w:lang w:val="en-AU"/>
        </w:rPr>
        <w:t>’</w:t>
      </w:r>
      <w:r w:rsidRPr="00BF370B">
        <w:rPr>
          <w:rStyle w:val="FootnoteReference"/>
          <w:lang w:val="en-AU"/>
        </w:rPr>
        <w:footnoteReference w:id="482"/>
      </w:r>
      <w:r w:rsidRPr="00BF370B">
        <w:rPr>
          <w:lang w:val="en-AU"/>
        </w:rPr>
        <w:t xml:space="preserve"> Bivin and Roy Blizzard limit this </w:t>
      </w:r>
      <w:r w:rsidR="00FE158E" w:rsidRPr="00BF370B">
        <w:rPr>
          <w:lang w:val="en-AU"/>
        </w:rPr>
        <w:t>application</w:t>
      </w:r>
      <w:r w:rsidRPr="00BF370B">
        <w:rPr>
          <w:lang w:val="en-AU"/>
        </w:rPr>
        <w:t xml:space="preserve"> to personal relationships, not </w:t>
      </w:r>
      <w:r w:rsidR="00FE158E" w:rsidRPr="00BF370B">
        <w:rPr>
          <w:lang w:val="en-AU"/>
        </w:rPr>
        <w:t xml:space="preserve">to </w:t>
      </w:r>
      <w:r w:rsidRPr="00BF370B">
        <w:rPr>
          <w:lang w:val="en-AU"/>
        </w:rPr>
        <w:t>war or violence.</w:t>
      </w:r>
      <w:r w:rsidRPr="00BF370B">
        <w:rPr>
          <w:rStyle w:val="FootnoteReference"/>
          <w:lang w:val="en-AU"/>
        </w:rPr>
        <w:footnoteReference w:id="483"/>
      </w:r>
      <w:r w:rsidRPr="00BF370B">
        <w:rPr>
          <w:lang w:val="en-AU"/>
        </w:rPr>
        <w:t xml:space="preserve"> Bivin</w:t>
      </w:r>
      <w:r w:rsidR="005C71CB" w:rsidRPr="00BF370B">
        <w:rPr>
          <w:lang w:val="en-AU"/>
        </w:rPr>
        <w:t>’</w:t>
      </w:r>
      <w:r w:rsidRPr="00BF370B">
        <w:rPr>
          <w:lang w:val="en-AU"/>
        </w:rPr>
        <w:t xml:space="preserve">s </w:t>
      </w:r>
      <w:r w:rsidR="0020389F" w:rsidRPr="00BF370B">
        <w:rPr>
          <w:lang w:val="en-AU"/>
        </w:rPr>
        <w:t>understanding</w:t>
      </w:r>
      <w:r w:rsidRPr="00BF370B">
        <w:rPr>
          <w:lang w:val="en-AU"/>
        </w:rPr>
        <w:t xml:space="preserve"> of this verse is arguably </w:t>
      </w:r>
      <w:r w:rsidR="0020389F" w:rsidRPr="00BF370B">
        <w:rPr>
          <w:lang w:val="en-AU"/>
        </w:rPr>
        <w:t xml:space="preserve">based on </w:t>
      </w:r>
      <w:r w:rsidRPr="00BF370B">
        <w:rPr>
          <w:lang w:val="en-AU"/>
        </w:rPr>
        <w:t>a proverb from Psalm 37:1, 8</w:t>
      </w:r>
      <w:r w:rsidR="00CE501E" w:rsidRPr="00BF370B">
        <w:rPr>
          <w:lang w:val="en-AU"/>
        </w:rPr>
        <w:t xml:space="preserve"> (NRSV)</w:t>
      </w:r>
      <w:r w:rsidRPr="00BF370B">
        <w:rPr>
          <w:lang w:val="en-AU"/>
        </w:rPr>
        <w:t xml:space="preserve">, </w:t>
      </w:r>
      <w:r w:rsidR="00863B47" w:rsidRPr="00BF370B">
        <w:rPr>
          <w:lang w:val="en-AU"/>
        </w:rPr>
        <w:t>“</w:t>
      </w:r>
      <w:r w:rsidRPr="00BF370B">
        <w:rPr>
          <w:lang w:val="en-AU"/>
        </w:rPr>
        <w:t>Do not fret because of those who are evil...</w:t>
      </w:r>
      <w:r w:rsidR="00863B47" w:rsidRPr="00BF370B">
        <w:rPr>
          <w:lang w:val="en-AU"/>
        </w:rPr>
        <w:t>”</w:t>
      </w:r>
      <w:r w:rsidRPr="00BF370B">
        <w:rPr>
          <w:lang w:val="en-AU"/>
        </w:rPr>
        <w:t xml:space="preserve"> and </w:t>
      </w:r>
      <w:r w:rsidR="00863B47" w:rsidRPr="00BF370B">
        <w:rPr>
          <w:lang w:val="en-AU"/>
        </w:rPr>
        <w:t>“</w:t>
      </w:r>
      <w:r w:rsidRPr="00BF370B">
        <w:rPr>
          <w:lang w:val="en-AU"/>
        </w:rPr>
        <w:t>refrain from anger and turn from wrath; do not fret—it leads only to evil;</w:t>
      </w:r>
      <w:r w:rsidR="00863B47" w:rsidRPr="00BF370B">
        <w:rPr>
          <w:lang w:val="en-AU"/>
        </w:rPr>
        <w:t>”</w:t>
      </w:r>
      <w:r w:rsidRPr="00BF370B">
        <w:rPr>
          <w:lang w:val="en-AU"/>
        </w:rPr>
        <w:t xml:space="preserve"> and </w:t>
      </w:r>
      <w:r w:rsidR="0020389F" w:rsidRPr="00BF370B">
        <w:rPr>
          <w:lang w:val="en-AU"/>
        </w:rPr>
        <w:t xml:space="preserve">from </w:t>
      </w:r>
      <w:r w:rsidRPr="00BF370B">
        <w:rPr>
          <w:lang w:val="en-AU"/>
        </w:rPr>
        <w:t>Proverbs 24:19</w:t>
      </w:r>
      <w:r w:rsidR="00CE501E" w:rsidRPr="00BF370B">
        <w:rPr>
          <w:lang w:val="en-AU"/>
        </w:rPr>
        <w:t xml:space="preserve"> (NRSV)</w:t>
      </w:r>
      <w:r w:rsidR="00EC07BC" w:rsidRPr="00BF370B">
        <w:rPr>
          <w:lang w:val="en-AU"/>
        </w:rPr>
        <w:t>:</w:t>
      </w:r>
      <w:r w:rsidRPr="00BF370B">
        <w:rPr>
          <w:lang w:val="en-AU"/>
        </w:rPr>
        <w:t xml:space="preserve"> </w:t>
      </w:r>
      <w:r w:rsidR="00863B47" w:rsidRPr="00BF370B">
        <w:rPr>
          <w:lang w:val="en-AU"/>
        </w:rPr>
        <w:t>“</w:t>
      </w:r>
      <w:r w:rsidRPr="00BF370B">
        <w:rPr>
          <w:lang w:val="en-AU"/>
        </w:rPr>
        <w:t>do not fret because of evildoers.</w:t>
      </w:r>
      <w:r w:rsidR="00863B47" w:rsidRPr="00BF370B">
        <w:rPr>
          <w:lang w:val="en-AU"/>
        </w:rPr>
        <w:t>”</w:t>
      </w:r>
      <w:r w:rsidRPr="00BF370B">
        <w:rPr>
          <w:lang w:val="en-AU"/>
        </w:rPr>
        <w:t xml:space="preserve"> </w:t>
      </w:r>
      <w:r w:rsidRPr="00BF370B">
        <w:rPr>
          <w:i/>
          <w:iCs/>
          <w:lang w:val="en-AU"/>
        </w:rPr>
        <w:t xml:space="preserve">Midrash </w:t>
      </w:r>
      <w:r w:rsidRPr="00BF370B">
        <w:rPr>
          <w:iCs/>
          <w:lang w:val="en-AU"/>
        </w:rPr>
        <w:t>also uses this language, stating</w:t>
      </w:r>
      <w:r w:rsidRPr="00BF370B">
        <w:rPr>
          <w:lang w:val="en-AU"/>
        </w:rPr>
        <w:t xml:space="preserve"> that if your enemy rises early to kill you, that you should [instead of killing him first] give him food or drink.</w:t>
      </w:r>
      <w:r w:rsidRPr="00BF370B">
        <w:rPr>
          <w:rStyle w:val="FootnoteReference"/>
          <w:lang w:val="en-AU"/>
        </w:rPr>
        <w:footnoteReference w:id="484"/>
      </w:r>
      <w:r w:rsidRPr="00BF370B">
        <w:rPr>
          <w:lang w:val="en-AU"/>
        </w:rPr>
        <w:t xml:space="preserve"> The </w:t>
      </w:r>
      <w:r w:rsidRPr="00BF370B">
        <w:rPr>
          <w:i/>
          <w:iCs/>
          <w:lang w:val="en-AU"/>
        </w:rPr>
        <w:t xml:space="preserve">midrash </w:t>
      </w:r>
      <w:r w:rsidRPr="00BF370B">
        <w:rPr>
          <w:lang w:val="en-AU"/>
        </w:rPr>
        <w:t xml:space="preserve">in </w:t>
      </w:r>
      <w:r w:rsidRPr="00BF370B">
        <w:rPr>
          <w:i/>
          <w:iCs/>
          <w:lang w:val="en-AU"/>
        </w:rPr>
        <w:t>b. Sanhedrin</w:t>
      </w:r>
      <w:r w:rsidRPr="00BF370B">
        <w:rPr>
          <w:lang w:val="en-AU"/>
        </w:rPr>
        <w:t xml:space="preserve"> 72a which is a portion of the Talmud comments on Exodus 22:</w:t>
      </w:r>
      <w:r w:rsidR="000A6D02" w:rsidRPr="00BF370B">
        <w:rPr>
          <w:lang w:val="en-AU"/>
        </w:rPr>
        <w:t>2</w:t>
      </w:r>
      <w:r w:rsidR="00F85713" w:rsidRPr="00BF370B">
        <w:rPr>
          <w:lang w:val="en-AU"/>
        </w:rPr>
        <w:t xml:space="preserve">. </w:t>
      </w:r>
      <w:r w:rsidR="00801FCC" w:rsidRPr="00BF370B">
        <w:rPr>
          <w:lang w:val="en-AU"/>
        </w:rPr>
        <w:t xml:space="preserve">A </w:t>
      </w:r>
      <w:proofErr w:type="gramStart"/>
      <w:r w:rsidR="00801FCC" w:rsidRPr="00BF370B">
        <w:rPr>
          <w:lang w:val="en-AU"/>
        </w:rPr>
        <w:t>house-breaker</w:t>
      </w:r>
      <w:proofErr w:type="gramEnd"/>
      <w:r w:rsidR="00801FCC" w:rsidRPr="00BF370B">
        <w:rPr>
          <w:lang w:val="en-AU"/>
        </w:rPr>
        <w:t xml:space="preserve"> </w:t>
      </w:r>
      <w:r w:rsidR="00F85713" w:rsidRPr="00BF370B">
        <w:rPr>
          <w:lang w:val="en-AU"/>
        </w:rPr>
        <w:t xml:space="preserve">should know they could be harmed </w:t>
      </w:r>
      <w:r w:rsidR="006A7C82" w:rsidRPr="00BF370B">
        <w:rPr>
          <w:lang w:val="en-AU"/>
        </w:rPr>
        <w:t>or killed</w:t>
      </w:r>
      <w:r w:rsidR="00F85713" w:rsidRPr="00BF370B">
        <w:rPr>
          <w:lang w:val="en-AU"/>
        </w:rPr>
        <w:t xml:space="preserve">. </w:t>
      </w:r>
    </w:p>
    <w:p w14:paraId="41FA55AC" w14:textId="0D755B95" w:rsidR="006540C0" w:rsidRPr="00BF370B" w:rsidRDefault="00036F12" w:rsidP="006540C0">
      <w:pPr>
        <w:spacing w:line="480" w:lineRule="auto"/>
        <w:ind w:firstLine="720"/>
        <w:rPr>
          <w:lang w:val="en-AU"/>
        </w:rPr>
      </w:pPr>
      <w:r w:rsidRPr="00BF370B">
        <w:rPr>
          <w:lang w:val="en-AU"/>
        </w:rPr>
        <w:t xml:space="preserve">In Matthew 5:39, </w:t>
      </w:r>
      <w:r w:rsidR="006540C0" w:rsidRPr="00BF370B">
        <w:rPr>
          <w:lang w:val="en-AU"/>
        </w:rPr>
        <w:t xml:space="preserve">πονηρῷ </w:t>
      </w:r>
      <w:r w:rsidRPr="00BF370B">
        <w:rPr>
          <w:lang w:val="en-AU"/>
        </w:rPr>
        <w:t xml:space="preserve">has different meanings in the </w:t>
      </w:r>
      <w:r w:rsidR="00B87DE7" w:rsidRPr="00BF370B">
        <w:rPr>
          <w:lang w:val="en-AU"/>
        </w:rPr>
        <w:t xml:space="preserve">different </w:t>
      </w:r>
      <w:r w:rsidRPr="00BF370B">
        <w:rPr>
          <w:lang w:val="en-AU"/>
        </w:rPr>
        <w:t xml:space="preserve">translations.  It has a meaning of </w:t>
      </w:r>
      <w:r w:rsidR="00863B47" w:rsidRPr="00BF370B">
        <w:rPr>
          <w:lang w:val="en-AU"/>
        </w:rPr>
        <w:t>“</w:t>
      </w:r>
      <w:r w:rsidR="006540C0" w:rsidRPr="00BF370B">
        <w:rPr>
          <w:lang w:val="en-AU"/>
        </w:rPr>
        <w:t>evil person</w:t>
      </w:r>
      <w:r w:rsidR="00863B47" w:rsidRPr="00BF370B">
        <w:rPr>
          <w:lang w:val="en-AU"/>
        </w:rPr>
        <w:t>”</w:t>
      </w:r>
      <w:r w:rsidR="006540C0" w:rsidRPr="00BF370B">
        <w:rPr>
          <w:lang w:val="en-AU"/>
        </w:rPr>
        <w:t xml:space="preserve"> or</w:t>
      </w:r>
      <w:r w:rsidRPr="00BF370B">
        <w:rPr>
          <w:lang w:val="en-AU"/>
        </w:rPr>
        <w:t xml:space="preserve"> even</w:t>
      </w:r>
      <w:r w:rsidR="006540C0" w:rsidRPr="00BF370B">
        <w:rPr>
          <w:lang w:val="en-AU"/>
        </w:rPr>
        <w:t xml:space="preserve"> </w:t>
      </w:r>
      <w:r w:rsidR="00863B47" w:rsidRPr="00BF370B">
        <w:rPr>
          <w:lang w:val="en-AU"/>
        </w:rPr>
        <w:t>“</w:t>
      </w:r>
      <w:r w:rsidR="006540C0" w:rsidRPr="00BF370B">
        <w:rPr>
          <w:lang w:val="en-AU"/>
        </w:rPr>
        <w:t>evil.</w:t>
      </w:r>
      <w:r w:rsidR="00863B47" w:rsidRPr="00BF370B">
        <w:rPr>
          <w:lang w:val="en-AU"/>
        </w:rPr>
        <w:t>”</w:t>
      </w:r>
      <w:r w:rsidR="006540C0" w:rsidRPr="00BF370B">
        <w:rPr>
          <w:lang w:val="en-AU"/>
        </w:rPr>
        <w:t xml:space="preserve"> </w:t>
      </w:r>
      <w:r w:rsidRPr="00BF370B">
        <w:rPr>
          <w:lang w:val="en-AU"/>
        </w:rPr>
        <w:t xml:space="preserve">There is an assumption in English translations that πονηρῷ refers to a person. </w:t>
      </w:r>
      <w:r w:rsidR="006540C0" w:rsidRPr="00BF370B">
        <w:rPr>
          <w:lang w:val="en-AU"/>
        </w:rPr>
        <w:t>Some versions</w:t>
      </w:r>
      <w:r w:rsidRPr="00BF370B">
        <w:rPr>
          <w:lang w:val="en-AU"/>
        </w:rPr>
        <w:t xml:space="preserve"> </w:t>
      </w:r>
      <w:r w:rsidR="005F2F99" w:rsidRPr="00BF370B">
        <w:rPr>
          <w:lang w:val="en-AU"/>
        </w:rPr>
        <w:t>such as</w:t>
      </w:r>
      <w:r w:rsidRPr="00BF370B">
        <w:rPr>
          <w:lang w:val="en-AU"/>
        </w:rPr>
        <w:t xml:space="preserve"> the KJV</w:t>
      </w:r>
      <w:r w:rsidR="006540C0" w:rsidRPr="00BF370B">
        <w:rPr>
          <w:lang w:val="en-AU"/>
        </w:rPr>
        <w:t xml:space="preserve"> </w:t>
      </w:r>
      <w:r w:rsidR="00DF5CB0" w:rsidRPr="00BF370B">
        <w:rPr>
          <w:lang w:val="en-AU"/>
        </w:rPr>
        <w:t xml:space="preserve">translate πονηρῷ as </w:t>
      </w:r>
      <w:r w:rsidR="00863B47" w:rsidRPr="00BF370B">
        <w:rPr>
          <w:lang w:val="en-AU"/>
        </w:rPr>
        <w:t>“</w:t>
      </w:r>
      <w:r w:rsidR="006540C0" w:rsidRPr="00BF370B">
        <w:rPr>
          <w:lang w:val="en-AU"/>
        </w:rPr>
        <w:t>evil</w:t>
      </w:r>
      <w:r w:rsidR="00863B47" w:rsidRPr="00BF370B">
        <w:rPr>
          <w:lang w:val="en-AU"/>
        </w:rPr>
        <w:t>”</w:t>
      </w:r>
      <w:r w:rsidR="006540C0" w:rsidRPr="00BF370B">
        <w:rPr>
          <w:lang w:val="en-AU"/>
        </w:rPr>
        <w:t xml:space="preserve">. The Bauer-Danker Lexicon </w:t>
      </w:r>
      <w:r w:rsidR="00DF5CB0" w:rsidRPr="00BF370B">
        <w:rPr>
          <w:lang w:val="en-AU"/>
        </w:rPr>
        <w:t>translates πονηρῷ</w:t>
      </w:r>
      <w:r w:rsidR="006540C0" w:rsidRPr="00BF370B">
        <w:rPr>
          <w:lang w:val="en-AU"/>
        </w:rPr>
        <w:t xml:space="preserve"> as </w:t>
      </w:r>
      <w:r w:rsidR="00863B47" w:rsidRPr="00BF370B">
        <w:rPr>
          <w:lang w:val="en-AU"/>
        </w:rPr>
        <w:t>“</w:t>
      </w:r>
      <w:r w:rsidR="006540C0" w:rsidRPr="00BF370B">
        <w:rPr>
          <w:lang w:val="en-AU"/>
        </w:rPr>
        <w:t>wicked or evil-intentioned person, evildoer</w:t>
      </w:r>
      <w:r w:rsidR="00863B47" w:rsidRPr="00BF370B">
        <w:rPr>
          <w:lang w:val="en-AU"/>
        </w:rPr>
        <w:t>”</w:t>
      </w:r>
      <w:r w:rsidR="006540C0" w:rsidRPr="00BF370B">
        <w:rPr>
          <w:lang w:val="en-AU"/>
        </w:rPr>
        <w:t>.</w:t>
      </w:r>
      <w:r w:rsidR="006540C0" w:rsidRPr="00BF370B">
        <w:rPr>
          <w:rStyle w:val="FootnoteReference"/>
          <w:lang w:val="en-AU"/>
        </w:rPr>
        <w:footnoteReference w:id="485"/>
      </w:r>
      <w:r w:rsidR="006540C0" w:rsidRPr="00BF370B">
        <w:rPr>
          <w:lang w:val="en-AU"/>
        </w:rPr>
        <w:t xml:space="preserve"> </w:t>
      </w:r>
      <w:r w:rsidR="00DF5CB0" w:rsidRPr="00BF370B">
        <w:rPr>
          <w:lang w:val="en-AU"/>
        </w:rPr>
        <w:t xml:space="preserve">Overall, the evidence indicates that Matthew 5:39 </w:t>
      </w:r>
      <w:r w:rsidR="00883AEF" w:rsidRPr="00BF370B">
        <w:rPr>
          <w:lang w:val="en-AU"/>
        </w:rPr>
        <w:t>u</w:t>
      </w:r>
      <w:r w:rsidR="005F2F99" w:rsidRPr="00BF370B">
        <w:rPr>
          <w:lang w:val="en-AU"/>
        </w:rPr>
        <w:t>s</w:t>
      </w:r>
      <w:r w:rsidR="00883AEF" w:rsidRPr="00BF370B">
        <w:rPr>
          <w:lang w:val="en-AU"/>
        </w:rPr>
        <w:t>es</w:t>
      </w:r>
      <w:r w:rsidR="00DF5CB0" w:rsidRPr="00BF370B">
        <w:rPr>
          <w:lang w:val="en-AU"/>
        </w:rPr>
        <w:t xml:space="preserve"> πονηρῷ to refer to an individual. France does not like using πονηρῷ to </w:t>
      </w:r>
      <w:r w:rsidR="005A42C6" w:rsidRPr="00BF370B">
        <w:rPr>
          <w:lang w:val="en-AU"/>
        </w:rPr>
        <w:t xml:space="preserve">mean </w:t>
      </w:r>
      <w:r w:rsidR="00DF5CB0" w:rsidRPr="00BF370B">
        <w:rPr>
          <w:lang w:val="en-AU"/>
        </w:rPr>
        <w:t xml:space="preserve">intend evil because </w:t>
      </w:r>
      <w:r w:rsidR="006540C0" w:rsidRPr="00BF370B">
        <w:rPr>
          <w:lang w:val="en-AU"/>
        </w:rPr>
        <w:t xml:space="preserve">France contends </w:t>
      </w:r>
      <w:r w:rsidR="00264687" w:rsidRPr="00BF370B">
        <w:rPr>
          <w:lang w:val="en-AU"/>
        </w:rPr>
        <w:t>πονηρῷ</w:t>
      </w:r>
      <w:r w:rsidR="00264687" w:rsidRPr="00BF370B" w:rsidDel="00264687">
        <w:rPr>
          <w:lang w:val="en-AU"/>
        </w:rPr>
        <w:t xml:space="preserve"> </w:t>
      </w:r>
      <w:r w:rsidR="005A42C6" w:rsidRPr="00BF370B">
        <w:rPr>
          <w:lang w:val="en-AU"/>
        </w:rPr>
        <w:t>is used</w:t>
      </w:r>
      <w:r w:rsidR="006540C0" w:rsidRPr="00BF370B">
        <w:rPr>
          <w:lang w:val="en-AU"/>
        </w:rPr>
        <w:t xml:space="preserve"> </w:t>
      </w:r>
      <w:r w:rsidR="00264687" w:rsidRPr="00BF370B">
        <w:rPr>
          <w:lang w:val="en-AU"/>
        </w:rPr>
        <w:t>when a person is under threat</w:t>
      </w:r>
      <w:r w:rsidR="006540C0" w:rsidRPr="00BF370B">
        <w:rPr>
          <w:lang w:val="en-AU"/>
        </w:rPr>
        <w:t xml:space="preserve">. </w:t>
      </w:r>
      <w:r w:rsidR="006540C0" w:rsidRPr="00BF370B">
        <w:rPr>
          <w:rStyle w:val="FootnoteReference"/>
          <w:lang w:val="en-AU"/>
        </w:rPr>
        <w:footnoteReference w:id="486"/>
      </w:r>
      <w:r w:rsidR="006540C0" w:rsidRPr="00BF370B">
        <w:rPr>
          <w:lang w:val="en-AU"/>
        </w:rPr>
        <w:t xml:space="preserve"> Davies and Allison </w:t>
      </w:r>
      <w:r w:rsidR="00264687" w:rsidRPr="00BF370B">
        <w:rPr>
          <w:lang w:val="en-AU"/>
        </w:rPr>
        <w:t>differ and feel that πονηρῷ</w:t>
      </w:r>
      <w:r w:rsidR="00264687" w:rsidRPr="00BF370B">
        <w:rPr>
          <w:rStyle w:val="FootnoteReference"/>
          <w:lang w:val="en-AU"/>
        </w:rPr>
        <w:t xml:space="preserve"> </w:t>
      </w:r>
      <w:r w:rsidR="00264687" w:rsidRPr="00BF370B">
        <w:rPr>
          <w:lang w:val="en-AU"/>
        </w:rPr>
        <w:t xml:space="preserve"> is only </w:t>
      </w:r>
      <w:r w:rsidR="00264687" w:rsidRPr="00BF370B">
        <w:rPr>
          <w:lang w:val="en-AU"/>
        </w:rPr>
        <w:lastRenderedPageBreak/>
        <w:t>an evil person and their response, whether under duress or not, is because the person is evil.</w:t>
      </w:r>
      <w:r w:rsidR="006540C0" w:rsidRPr="00BF370B">
        <w:rPr>
          <w:rStyle w:val="FootnoteReference"/>
          <w:lang w:val="en-AU"/>
        </w:rPr>
        <w:footnoteReference w:id="487"/>
      </w:r>
    </w:p>
    <w:p w14:paraId="3BB58020" w14:textId="1D9A7B18" w:rsidR="006540C0" w:rsidRPr="00BF370B" w:rsidRDefault="00416C46" w:rsidP="006540C0">
      <w:pPr>
        <w:spacing w:line="480" w:lineRule="auto"/>
        <w:ind w:firstLine="720"/>
        <w:contextualSpacing/>
        <w:rPr>
          <w:lang w:val="en-AU"/>
        </w:rPr>
      </w:pPr>
      <w:r>
        <w:rPr>
          <w:lang w:val="en-AU"/>
        </w:rPr>
        <w:t>To conclude this section, g</w:t>
      </w:r>
      <w:r w:rsidR="00264687" w:rsidRPr="00BF370B">
        <w:rPr>
          <w:lang w:val="en-AU"/>
        </w:rPr>
        <w:t xml:space="preserve">iving clarity to πονηρῷ is important because it gives context to ἀντιστῆναι, which means </w:t>
      </w:r>
      <w:r w:rsidR="00863B47" w:rsidRPr="00BF370B">
        <w:rPr>
          <w:lang w:val="en-AU"/>
        </w:rPr>
        <w:t>“</w:t>
      </w:r>
      <w:r w:rsidR="00264687" w:rsidRPr="00BF370B">
        <w:rPr>
          <w:lang w:val="en-AU"/>
        </w:rPr>
        <w:t>resist</w:t>
      </w:r>
      <w:r w:rsidR="00863B47" w:rsidRPr="00BF370B">
        <w:rPr>
          <w:lang w:val="en-AU"/>
        </w:rPr>
        <w:t>”</w:t>
      </w:r>
      <w:r w:rsidR="00264687" w:rsidRPr="00BF370B">
        <w:rPr>
          <w:lang w:val="en-AU"/>
        </w:rPr>
        <w:t xml:space="preserve">. </w:t>
      </w:r>
      <w:r w:rsidR="00165E93" w:rsidRPr="00BF370B">
        <w:rPr>
          <w:lang w:val="en-AU"/>
        </w:rPr>
        <w:t>If</w:t>
      </w:r>
      <w:r w:rsidR="006540C0" w:rsidRPr="00BF370B">
        <w:rPr>
          <w:lang w:val="en-AU"/>
        </w:rPr>
        <w:t xml:space="preserve"> πονηρῷ </w:t>
      </w:r>
      <w:r w:rsidR="00165E93" w:rsidRPr="00BF370B">
        <w:rPr>
          <w:lang w:val="en-AU"/>
        </w:rPr>
        <w:t xml:space="preserve">is an evil person only, then we would not understand why a person must ἀντιστῆναι.  When we read ἀντιστῆναι with πονηρῷ and suggest that a person must feel threatened, then we can decipher Matthew 5:39 </w:t>
      </w:r>
      <w:r w:rsidR="004F7E0A" w:rsidRPr="00BF370B">
        <w:rPr>
          <w:lang w:val="en-AU"/>
        </w:rPr>
        <w:t xml:space="preserve">more </w:t>
      </w:r>
      <w:r w:rsidR="00165E93" w:rsidRPr="00BF370B">
        <w:rPr>
          <w:lang w:val="en-AU"/>
        </w:rPr>
        <w:t>clear</w:t>
      </w:r>
      <w:r w:rsidR="004F7E0A" w:rsidRPr="00BF370B">
        <w:rPr>
          <w:lang w:val="en-AU"/>
        </w:rPr>
        <w:t>ly</w:t>
      </w:r>
      <w:r w:rsidR="00165E93" w:rsidRPr="00BF370B">
        <w:rPr>
          <w:lang w:val="en-AU"/>
        </w:rPr>
        <w:t xml:space="preserve">. </w:t>
      </w:r>
      <w:r w:rsidR="006540C0" w:rsidRPr="00BF370B">
        <w:rPr>
          <w:lang w:val="en-AU"/>
        </w:rPr>
        <w:t xml:space="preserve">Yoder </w:t>
      </w:r>
      <w:r w:rsidR="00165E93" w:rsidRPr="00BF370B">
        <w:rPr>
          <w:lang w:val="en-AU"/>
        </w:rPr>
        <w:t xml:space="preserve">believes that modern </w:t>
      </w:r>
      <w:r w:rsidR="006540C0" w:rsidRPr="00BF370B">
        <w:rPr>
          <w:lang w:val="en-AU"/>
        </w:rPr>
        <w:t xml:space="preserve">Christian attitudes towards </w:t>
      </w:r>
      <w:r w:rsidR="00165E93" w:rsidRPr="00BF370B">
        <w:rPr>
          <w:lang w:val="en-AU"/>
        </w:rPr>
        <w:t>pacifism influence how we define</w:t>
      </w:r>
      <w:r w:rsidR="00883AEF" w:rsidRPr="00BF370B">
        <w:rPr>
          <w:lang w:val="en-AU"/>
        </w:rPr>
        <w:t xml:space="preserve"> ἀντιστῆναι.</w:t>
      </w:r>
      <w:r w:rsidR="006540C0" w:rsidRPr="00BF370B">
        <w:rPr>
          <w:rStyle w:val="FootnoteReference"/>
          <w:lang w:val="en-AU"/>
        </w:rPr>
        <w:footnoteReference w:id="488"/>
      </w:r>
      <w:r w:rsidR="006540C0" w:rsidRPr="00BF370B">
        <w:rPr>
          <w:lang w:val="en-AU"/>
        </w:rPr>
        <w:t xml:space="preserve"> </w:t>
      </w:r>
      <w:r w:rsidR="00883AEF" w:rsidRPr="00BF370B">
        <w:rPr>
          <w:lang w:val="en-AU"/>
        </w:rPr>
        <w:t>Jesus</w:t>
      </w:r>
      <w:r w:rsidR="005C71CB" w:rsidRPr="00BF370B">
        <w:rPr>
          <w:lang w:val="en-AU"/>
        </w:rPr>
        <w:t>’</w:t>
      </w:r>
      <w:r w:rsidR="006D41DD">
        <w:rPr>
          <w:lang w:val="en-AU"/>
        </w:rPr>
        <w:t>s</w:t>
      </w:r>
      <w:r w:rsidR="00883AEF" w:rsidRPr="00BF370B">
        <w:rPr>
          <w:lang w:val="en-AU"/>
        </w:rPr>
        <w:t xml:space="preserve"> statements on resisting and turning the other ch</w:t>
      </w:r>
      <w:r w:rsidR="004F7E0A" w:rsidRPr="00BF370B">
        <w:rPr>
          <w:lang w:val="en-AU"/>
        </w:rPr>
        <w:t>eek</w:t>
      </w:r>
      <w:r w:rsidR="00883AEF" w:rsidRPr="00BF370B">
        <w:rPr>
          <w:lang w:val="en-AU"/>
        </w:rPr>
        <w:t xml:space="preserve"> are better seen from th</w:t>
      </w:r>
      <w:r w:rsidR="004F7E0A" w:rsidRPr="00BF370B">
        <w:rPr>
          <w:lang w:val="en-AU"/>
        </w:rPr>
        <w:t>e</w:t>
      </w:r>
      <w:r w:rsidR="00883AEF" w:rsidRPr="00BF370B">
        <w:rPr>
          <w:lang w:val="en-AU"/>
        </w:rPr>
        <w:t xml:space="preserve"> perspective that ἀντιστῆναι requires someone to aggravate and escalate an argument. </w:t>
      </w:r>
      <w:r w:rsidR="006540C0" w:rsidRPr="00BF370B">
        <w:rPr>
          <w:lang w:val="en-AU"/>
        </w:rPr>
        <w:t>Matthew 5:39 (NRSV) states</w:t>
      </w:r>
      <w:r w:rsidR="00883AEF" w:rsidRPr="00BF370B">
        <w:rPr>
          <w:lang w:val="en-AU"/>
        </w:rPr>
        <w:t xml:space="preserve">, </w:t>
      </w:r>
      <w:r w:rsidR="00863B47" w:rsidRPr="00BF370B">
        <w:rPr>
          <w:bCs/>
          <w:lang w:val="en-AU"/>
        </w:rPr>
        <w:t>“</w:t>
      </w:r>
      <w:r w:rsidR="006540C0" w:rsidRPr="00BF370B">
        <w:rPr>
          <w:bCs/>
          <w:lang w:val="en-AU"/>
        </w:rPr>
        <w:t>but</w:t>
      </w:r>
      <w:r w:rsidR="006540C0" w:rsidRPr="00BF370B">
        <w:rPr>
          <w:lang w:val="en-AU"/>
        </w:rPr>
        <w:t xml:space="preserve"> I say to you, do not resist an evildoer…</w:t>
      </w:r>
      <w:r w:rsidR="004F7E0A" w:rsidRPr="00BF370B">
        <w:rPr>
          <w:lang w:val="en-AU"/>
        </w:rPr>
        <w:t xml:space="preserve"> </w:t>
      </w:r>
      <w:r w:rsidR="006540C0" w:rsidRPr="00BF370B">
        <w:rPr>
          <w:lang w:val="en-AU"/>
        </w:rPr>
        <w:t>if anyone strikes you on the right cheek, turn the other also.</w:t>
      </w:r>
      <w:r w:rsidR="00863B47" w:rsidRPr="00BF370B">
        <w:rPr>
          <w:lang w:val="en-AU"/>
        </w:rPr>
        <w:t>”</w:t>
      </w:r>
      <w:r w:rsidR="006540C0" w:rsidRPr="00BF370B">
        <w:rPr>
          <w:lang w:val="en-AU"/>
        </w:rPr>
        <w:t xml:space="preserve"> ἀντιστῆναι</w:t>
      </w:r>
      <w:r w:rsidR="004F7E0A" w:rsidRPr="00BF370B">
        <w:rPr>
          <w:lang w:val="en-AU"/>
        </w:rPr>
        <w:t>,</w:t>
      </w:r>
      <w:r w:rsidR="007B6AA1" w:rsidRPr="00BF370B">
        <w:rPr>
          <w:lang w:val="en-AU"/>
        </w:rPr>
        <w:t xml:space="preserve"> </w:t>
      </w:r>
      <w:r w:rsidR="005C71CB" w:rsidRPr="00BF370B">
        <w:rPr>
          <w:lang w:val="en-AU"/>
        </w:rPr>
        <w:t>‘</w:t>
      </w:r>
      <w:r w:rsidR="006540C0" w:rsidRPr="00BF370B">
        <w:rPr>
          <w:lang w:val="en-AU"/>
        </w:rPr>
        <w:t>resist</w:t>
      </w:r>
      <w:r w:rsidR="004F7E0A" w:rsidRPr="00BF370B">
        <w:rPr>
          <w:lang w:val="en-AU"/>
        </w:rPr>
        <w:t>,</w:t>
      </w:r>
      <w:r w:rsidR="005C71CB" w:rsidRPr="00BF370B">
        <w:rPr>
          <w:lang w:val="en-AU"/>
        </w:rPr>
        <w:t>’</w:t>
      </w:r>
      <w:r w:rsidR="00883AEF" w:rsidRPr="00BF370B">
        <w:rPr>
          <w:lang w:val="en-AU"/>
        </w:rPr>
        <w:t xml:space="preserve"> </w:t>
      </w:r>
      <w:r w:rsidR="00B160F8" w:rsidRPr="00BF370B">
        <w:rPr>
          <w:lang w:val="en-AU"/>
        </w:rPr>
        <w:t xml:space="preserve">does not </w:t>
      </w:r>
      <w:r w:rsidR="003D518C" w:rsidRPr="00BF370B">
        <w:rPr>
          <w:lang w:val="en-AU"/>
        </w:rPr>
        <w:t>encompass</w:t>
      </w:r>
      <w:r w:rsidR="00B160F8" w:rsidRPr="00BF370B">
        <w:rPr>
          <w:lang w:val="en-AU"/>
        </w:rPr>
        <w:t xml:space="preserve"> revenge. V</w:t>
      </w:r>
      <w:r w:rsidR="006540C0" w:rsidRPr="00BF370B">
        <w:rPr>
          <w:lang w:val="en-AU"/>
        </w:rPr>
        <w:t xml:space="preserve">engeance </w:t>
      </w:r>
      <w:r w:rsidR="00B160F8" w:rsidRPr="00BF370B">
        <w:rPr>
          <w:lang w:val="en-AU"/>
        </w:rPr>
        <w:t xml:space="preserve">is balanced with </w:t>
      </w:r>
      <w:r w:rsidR="006540C0" w:rsidRPr="00BF370B">
        <w:rPr>
          <w:lang w:val="en-AU"/>
        </w:rPr>
        <w:t xml:space="preserve">πονηρῷ. Nicoll asserts that either </w:t>
      </w:r>
      <w:r w:rsidR="00863B47" w:rsidRPr="00BF370B">
        <w:rPr>
          <w:lang w:val="en-AU"/>
        </w:rPr>
        <w:t>“</w:t>
      </w:r>
      <w:r w:rsidR="006540C0" w:rsidRPr="00BF370B">
        <w:rPr>
          <w:lang w:val="en-AU"/>
        </w:rPr>
        <w:t>evil</w:t>
      </w:r>
      <w:r w:rsidR="003D518C" w:rsidRPr="00BF370B">
        <w:rPr>
          <w:lang w:val="en-AU"/>
        </w:rPr>
        <w:t>-</w:t>
      </w:r>
      <w:r w:rsidR="006540C0" w:rsidRPr="00BF370B">
        <w:rPr>
          <w:lang w:val="en-AU"/>
        </w:rPr>
        <w:t>doer</w:t>
      </w:r>
      <w:r w:rsidR="00863B47" w:rsidRPr="00BF370B">
        <w:rPr>
          <w:lang w:val="en-AU"/>
        </w:rPr>
        <w:t>”</w:t>
      </w:r>
      <w:r w:rsidR="006540C0" w:rsidRPr="00BF370B">
        <w:rPr>
          <w:lang w:val="en-AU"/>
        </w:rPr>
        <w:t xml:space="preserve"> or </w:t>
      </w:r>
      <w:r w:rsidR="00863B47" w:rsidRPr="00BF370B">
        <w:rPr>
          <w:lang w:val="en-AU"/>
        </w:rPr>
        <w:t>“</w:t>
      </w:r>
      <w:r w:rsidR="006540C0" w:rsidRPr="00BF370B">
        <w:rPr>
          <w:lang w:val="en-AU"/>
        </w:rPr>
        <w:t>the evil</w:t>
      </w:r>
      <w:r w:rsidR="003D518C" w:rsidRPr="00BF370B">
        <w:rPr>
          <w:lang w:val="en-AU"/>
        </w:rPr>
        <w:t>-</w:t>
      </w:r>
      <w:r w:rsidR="006540C0" w:rsidRPr="00BF370B">
        <w:rPr>
          <w:lang w:val="en-AU"/>
        </w:rPr>
        <w:t>doing or done</w:t>
      </w:r>
      <w:r w:rsidR="00863B47" w:rsidRPr="00BF370B">
        <w:rPr>
          <w:lang w:val="en-AU"/>
        </w:rPr>
        <w:t>”</w:t>
      </w:r>
      <w:r w:rsidR="006540C0" w:rsidRPr="00BF370B">
        <w:rPr>
          <w:lang w:val="en-AU"/>
        </w:rPr>
        <w:t xml:space="preserve"> could be </w:t>
      </w:r>
      <w:r w:rsidR="003D518C" w:rsidRPr="00BF370B">
        <w:rPr>
          <w:lang w:val="en-AU"/>
        </w:rPr>
        <w:t>fea</w:t>
      </w:r>
      <w:r w:rsidR="006540C0" w:rsidRPr="00BF370B">
        <w:rPr>
          <w:lang w:val="en-AU"/>
        </w:rPr>
        <w:t>sible</w:t>
      </w:r>
      <w:r w:rsidR="00B160F8" w:rsidRPr="00BF370B">
        <w:rPr>
          <w:lang w:val="en-AU"/>
        </w:rPr>
        <w:t xml:space="preserve"> as a translation because t</w:t>
      </w:r>
      <w:r w:rsidR="006540C0" w:rsidRPr="00BF370B">
        <w:rPr>
          <w:lang w:val="en-AU"/>
        </w:rPr>
        <w:t xml:space="preserve">his is based on the preference of taking πονηρῷ as neuter </w:t>
      </w:r>
      <w:r w:rsidR="00706348" w:rsidRPr="00BF370B">
        <w:rPr>
          <w:lang w:val="en-AU"/>
        </w:rPr>
        <w:t>rather than</w:t>
      </w:r>
      <w:r w:rsidR="006540C0" w:rsidRPr="00BF370B">
        <w:rPr>
          <w:lang w:val="en-AU"/>
        </w:rPr>
        <w:t xml:space="preserve"> masculine. </w:t>
      </w:r>
      <w:r w:rsidR="00706348" w:rsidRPr="00BF370B">
        <w:rPr>
          <w:lang w:val="en-AU"/>
        </w:rPr>
        <w:t>However i</w:t>
      </w:r>
      <w:r w:rsidR="00404B34" w:rsidRPr="00BF370B">
        <w:rPr>
          <w:lang w:val="en-AU"/>
        </w:rPr>
        <w:t xml:space="preserve">t is acknowledged that </w:t>
      </w:r>
      <w:r w:rsidR="00706348" w:rsidRPr="00BF370B">
        <w:rPr>
          <w:lang w:val="en-AU"/>
        </w:rPr>
        <w:t xml:space="preserve">this </w:t>
      </w:r>
      <w:r w:rsidR="00404B34" w:rsidRPr="00BF370B">
        <w:rPr>
          <w:lang w:val="en-AU"/>
        </w:rPr>
        <w:t>view of πονηρῷ</w:t>
      </w:r>
      <w:r w:rsidR="00706348" w:rsidRPr="00BF370B">
        <w:rPr>
          <w:lang w:val="en-AU"/>
        </w:rPr>
        <w:t xml:space="preserve"> is not accepted universally</w:t>
      </w:r>
      <w:r w:rsidR="006540C0" w:rsidRPr="00BF370B">
        <w:rPr>
          <w:lang w:val="en-AU"/>
        </w:rPr>
        <w:t>.</w:t>
      </w:r>
      <w:r w:rsidR="006540C0" w:rsidRPr="00BF370B">
        <w:rPr>
          <w:rStyle w:val="FootnoteReference"/>
          <w:lang w:val="en-AU"/>
        </w:rPr>
        <w:footnoteReference w:id="489"/>
      </w:r>
      <w:r w:rsidR="006540C0" w:rsidRPr="00BF370B">
        <w:rPr>
          <w:lang w:val="en-AU"/>
        </w:rPr>
        <w:t xml:space="preserve"> </w:t>
      </w:r>
      <w:r w:rsidR="00D66347" w:rsidRPr="00BF370B">
        <w:rPr>
          <w:lang w:val="en-AU"/>
        </w:rPr>
        <w:t xml:space="preserve">A modern interpretation of this text </w:t>
      </w:r>
      <w:r w:rsidR="00FB503A" w:rsidRPr="00BF370B">
        <w:rPr>
          <w:lang w:val="en-AU"/>
        </w:rPr>
        <w:t>renders the sentence as</w:t>
      </w:r>
      <w:r w:rsidR="00D66347" w:rsidRPr="00BF370B">
        <w:rPr>
          <w:lang w:val="en-AU"/>
        </w:rPr>
        <w:t xml:space="preserve">, </w:t>
      </w:r>
      <w:r w:rsidR="00863B47" w:rsidRPr="00BF370B">
        <w:rPr>
          <w:lang w:val="en-AU"/>
        </w:rPr>
        <w:t>“</w:t>
      </w:r>
      <w:r w:rsidR="006540C0" w:rsidRPr="00BF370B">
        <w:rPr>
          <w:lang w:val="en-AU"/>
        </w:rPr>
        <w:t>but I say to you, do not retaliate revengefully by evil means.</w:t>
      </w:r>
      <w:r w:rsidR="00863B47" w:rsidRPr="00BF370B">
        <w:rPr>
          <w:lang w:val="en-AU"/>
        </w:rPr>
        <w:t>”</w:t>
      </w:r>
      <w:r w:rsidR="00852846" w:rsidRPr="00BF370B">
        <w:rPr>
          <w:rStyle w:val="FootnoteReference"/>
          <w:lang w:val="en-AU"/>
        </w:rPr>
        <w:footnoteReference w:id="490"/>
      </w:r>
      <w:r w:rsidR="006540C0" w:rsidRPr="00BF370B">
        <w:rPr>
          <w:lang w:val="en-AU"/>
        </w:rPr>
        <w:t xml:space="preserve"> </w:t>
      </w:r>
      <w:r w:rsidR="00852846" w:rsidRPr="00BF370B">
        <w:rPr>
          <w:lang w:val="en-AU"/>
        </w:rPr>
        <w:t xml:space="preserve">Stansen and Gushee point out that πονηρῷ is </w:t>
      </w:r>
      <w:r w:rsidR="00863B47" w:rsidRPr="00BF370B">
        <w:rPr>
          <w:lang w:val="en-AU"/>
        </w:rPr>
        <w:t>“</w:t>
      </w:r>
      <w:r w:rsidR="006540C0" w:rsidRPr="00BF370B">
        <w:rPr>
          <w:lang w:val="en-AU"/>
        </w:rPr>
        <w:t xml:space="preserve">not an imperative in the Greek, but an infinitive—probably with implied imperatival meaning (in Koine Greek, the imperative may be used when </w:t>
      </w:r>
      <w:r w:rsidR="006540C0" w:rsidRPr="00BF370B">
        <w:rPr>
          <w:lang w:val="en-AU"/>
        </w:rPr>
        <w:lastRenderedPageBreak/>
        <w:t>commanding or requesting).</w:t>
      </w:r>
      <w:r w:rsidR="00863B47" w:rsidRPr="00BF370B">
        <w:rPr>
          <w:lang w:val="en-AU"/>
        </w:rPr>
        <w:t>”</w:t>
      </w:r>
      <w:r w:rsidR="006540C0" w:rsidRPr="00BF370B">
        <w:rPr>
          <w:rStyle w:val="FootnoteReference"/>
          <w:lang w:val="en-AU"/>
        </w:rPr>
        <w:footnoteReference w:id="491"/>
      </w:r>
      <w:r w:rsidR="006540C0" w:rsidRPr="00BF370B">
        <w:rPr>
          <w:lang w:val="en-AU"/>
        </w:rPr>
        <w:t xml:space="preserve"> Stansen </w:t>
      </w:r>
      <w:r w:rsidR="00112AA2" w:rsidRPr="00BF370B">
        <w:rPr>
          <w:lang w:val="en-AU"/>
        </w:rPr>
        <w:t xml:space="preserve">and Gushee also claim </w:t>
      </w:r>
      <w:r w:rsidR="006540C0" w:rsidRPr="00BF370B">
        <w:rPr>
          <w:lang w:val="en-AU"/>
        </w:rPr>
        <w:t>that</w:t>
      </w:r>
      <w:r w:rsidR="00184BBF" w:rsidRPr="00BF370B">
        <w:rPr>
          <w:lang w:val="en-AU"/>
        </w:rPr>
        <w:t xml:space="preserve"> Matthew 5:39 implies </w:t>
      </w:r>
      <w:r w:rsidR="00FB503A" w:rsidRPr="00BF370B">
        <w:rPr>
          <w:lang w:val="en-AU"/>
        </w:rPr>
        <w:t xml:space="preserve">that </w:t>
      </w:r>
      <w:r w:rsidR="00184BBF" w:rsidRPr="00BF370B">
        <w:rPr>
          <w:lang w:val="en-AU"/>
        </w:rPr>
        <w:t>πονηρῷ</w:t>
      </w:r>
      <w:r w:rsidR="006540C0" w:rsidRPr="00BF370B">
        <w:rPr>
          <w:lang w:val="en-AU"/>
        </w:rPr>
        <w:t xml:space="preserve"> </w:t>
      </w:r>
      <w:r w:rsidR="00184BBF" w:rsidRPr="00BF370B">
        <w:rPr>
          <w:lang w:val="en-AU"/>
        </w:rPr>
        <w:t xml:space="preserve">is </w:t>
      </w:r>
      <w:r w:rsidR="00863B47" w:rsidRPr="00BF370B">
        <w:rPr>
          <w:lang w:val="en-AU"/>
        </w:rPr>
        <w:t>“</w:t>
      </w:r>
      <w:r w:rsidR="006540C0" w:rsidRPr="00BF370B">
        <w:rPr>
          <w:lang w:val="en-AU"/>
        </w:rPr>
        <w:t>inclusive of actions that result in insult because there is intent of revenge in the action.</w:t>
      </w:r>
      <w:r w:rsidR="00863B47" w:rsidRPr="00BF370B">
        <w:rPr>
          <w:lang w:val="en-AU"/>
        </w:rPr>
        <w:t>”</w:t>
      </w:r>
      <w:r w:rsidR="006540C0" w:rsidRPr="00BF370B">
        <w:rPr>
          <w:rStyle w:val="FootnoteReference"/>
          <w:lang w:val="en-AU"/>
        </w:rPr>
        <w:footnoteReference w:id="492"/>
      </w:r>
      <w:r w:rsidR="006540C0" w:rsidRPr="00BF370B">
        <w:rPr>
          <w:lang w:val="en-AU"/>
        </w:rPr>
        <w:t xml:space="preserve"> </w:t>
      </w:r>
      <w:r w:rsidR="00112AA2" w:rsidRPr="00BF370B">
        <w:rPr>
          <w:lang w:val="en-AU"/>
        </w:rPr>
        <w:t>From</w:t>
      </w:r>
      <w:r w:rsidR="00941F1E" w:rsidRPr="00BF370B">
        <w:rPr>
          <w:lang w:val="en-AU"/>
        </w:rPr>
        <w:t xml:space="preserve"> the other perspective, </w:t>
      </w:r>
      <w:r w:rsidR="006540C0" w:rsidRPr="00BF370B">
        <w:rPr>
          <w:lang w:val="en-AU"/>
        </w:rPr>
        <w:t>A. H. McNeile</w:t>
      </w:r>
      <w:r w:rsidR="00941F1E" w:rsidRPr="00BF370B">
        <w:rPr>
          <w:lang w:val="en-AU"/>
        </w:rPr>
        <w:t xml:space="preserve"> believes that πονηρῷ is </w:t>
      </w:r>
      <w:r w:rsidR="00D054F8" w:rsidRPr="00BF370B">
        <w:rPr>
          <w:lang w:val="en-AU"/>
        </w:rPr>
        <w:t>neutral</w:t>
      </w:r>
      <w:r w:rsidR="00941F1E" w:rsidRPr="00BF370B">
        <w:rPr>
          <w:lang w:val="en-AU"/>
        </w:rPr>
        <w:t xml:space="preserve"> and </w:t>
      </w:r>
      <w:r w:rsidR="00112AA2" w:rsidRPr="00BF370B">
        <w:rPr>
          <w:lang w:val="en-AU"/>
        </w:rPr>
        <w:t xml:space="preserve">it </w:t>
      </w:r>
      <w:r w:rsidR="00941F1E" w:rsidRPr="00BF370B">
        <w:rPr>
          <w:lang w:val="en-AU"/>
        </w:rPr>
        <w:t xml:space="preserve">is not </w:t>
      </w:r>
      <w:r w:rsidR="00112AA2" w:rsidRPr="00BF370B">
        <w:rPr>
          <w:lang w:val="en-AU"/>
        </w:rPr>
        <w:t xml:space="preserve">possible </w:t>
      </w:r>
      <w:r w:rsidR="00941F1E" w:rsidRPr="00BF370B">
        <w:rPr>
          <w:lang w:val="en-AU"/>
        </w:rPr>
        <w:t xml:space="preserve">to refer to evil as a person, such as </w:t>
      </w:r>
      <w:r w:rsidR="00694E63" w:rsidRPr="00BF370B">
        <w:rPr>
          <w:lang w:val="en-AU"/>
        </w:rPr>
        <w:t xml:space="preserve">a </w:t>
      </w:r>
      <w:r w:rsidR="00941F1E" w:rsidRPr="00BF370B">
        <w:rPr>
          <w:lang w:val="en-AU"/>
        </w:rPr>
        <w:t>human or an evil entity.</w:t>
      </w:r>
      <w:r w:rsidR="006540C0" w:rsidRPr="00BF370B">
        <w:rPr>
          <w:rStyle w:val="FootnoteReference"/>
          <w:lang w:val="en-AU"/>
        </w:rPr>
        <w:footnoteReference w:id="493"/>
      </w:r>
    </w:p>
    <w:p w14:paraId="0FA1F081" w14:textId="19FA3EC6" w:rsidR="00715385" w:rsidRPr="00BF370B" w:rsidRDefault="00715385" w:rsidP="00D37F31">
      <w:pPr>
        <w:pStyle w:val="Heading2"/>
      </w:pPr>
      <w:bookmarkStart w:id="162" w:name="_Toc94537031"/>
      <w:bookmarkStart w:id="163" w:name="_Toc118063678"/>
      <w:r w:rsidRPr="00BF370B">
        <w:t>8.5 Slapping and Turning the Other Cheek in Matt 5:39</w:t>
      </w:r>
      <w:bookmarkEnd w:id="162"/>
      <w:bookmarkEnd w:id="163"/>
    </w:p>
    <w:p w14:paraId="6F57BFCA" w14:textId="4BD39903" w:rsidR="006540C0" w:rsidRPr="00BF370B" w:rsidRDefault="006540C0" w:rsidP="00736D66">
      <w:pPr>
        <w:spacing w:line="480" w:lineRule="auto"/>
        <w:ind w:firstLine="720"/>
        <w:contextualSpacing/>
        <w:rPr>
          <w:lang w:val="en-AU"/>
        </w:rPr>
      </w:pPr>
      <w:r w:rsidRPr="00BF370B">
        <w:rPr>
          <w:lang w:val="en-AU"/>
        </w:rPr>
        <w:t xml:space="preserve">The phrase </w:t>
      </w:r>
      <w:r w:rsidR="003D04E0" w:rsidRPr="00BF370B">
        <w:rPr>
          <w:lang w:val="en-AU"/>
        </w:rPr>
        <w:t>στρέψον αὐτῷ καὶ τὴν ἄλλην</w:t>
      </w:r>
      <w:r w:rsidR="00694E63" w:rsidRPr="00BF370B">
        <w:rPr>
          <w:lang w:val="en-AU"/>
        </w:rPr>
        <w:t>,</w:t>
      </w:r>
      <w:r w:rsidR="003D04E0" w:rsidRPr="00BF370B">
        <w:rPr>
          <w:lang w:val="en-AU"/>
        </w:rPr>
        <w:t xml:space="preserve"> </w:t>
      </w:r>
      <w:r w:rsidR="00863B47" w:rsidRPr="00BF370B">
        <w:rPr>
          <w:lang w:val="en-AU"/>
        </w:rPr>
        <w:t>“</w:t>
      </w:r>
      <w:r w:rsidRPr="00BF370B">
        <w:rPr>
          <w:lang w:val="en-AU"/>
        </w:rPr>
        <w:t>turning the other cheek</w:t>
      </w:r>
      <w:r w:rsidR="00694E63" w:rsidRPr="00BF370B">
        <w:rPr>
          <w:lang w:val="en-AU"/>
        </w:rPr>
        <w:t>,</w:t>
      </w:r>
      <w:r w:rsidR="00863B47" w:rsidRPr="00BF370B">
        <w:rPr>
          <w:lang w:val="en-AU"/>
        </w:rPr>
        <w:t>”</w:t>
      </w:r>
      <w:r w:rsidRPr="00BF370B">
        <w:rPr>
          <w:lang w:val="en-AU"/>
        </w:rPr>
        <w:t xml:space="preserve"> </w:t>
      </w:r>
      <w:r w:rsidR="003D04E0" w:rsidRPr="00BF370B">
        <w:rPr>
          <w:lang w:val="en-AU"/>
        </w:rPr>
        <w:t xml:space="preserve">is </w:t>
      </w:r>
      <w:r w:rsidR="00E90FEC" w:rsidRPr="00BF370B">
        <w:rPr>
          <w:lang w:val="en-AU"/>
        </w:rPr>
        <w:t>widely</w:t>
      </w:r>
      <w:r w:rsidR="003D04E0" w:rsidRPr="00BF370B">
        <w:rPr>
          <w:lang w:val="en-AU"/>
        </w:rPr>
        <w:t xml:space="preserve"> </w:t>
      </w:r>
      <w:r w:rsidR="00694E63" w:rsidRPr="00BF370B">
        <w:rPr>
          <w:lang w:val="en-AU"/>
        </w:rPr>
        <w:t xml:space="preserve">but wrongly </w:t>
      </w:r>
      <w:r w:rsidR="003D04E0" w:rsidRPr="00BF370B">
        <w:rPr>
          <w:lang w:val="en-AU"/>
        </w:rPr>
        <w:t xml:space="preserve">assumed to mean </w:t>
      </w:r>
      <w:r w:rsidR="00694E63" w:rsidRPr="00BF370B">
        <w:rPr>
          <w:lang w:val="en-AU"/>
        </w:rPr>
        <w:t xml:space="preserve">that </w:t>
      </w:r>
      <w:r w:rsidR="003D04E0" w:rsidRPr="00BF370B">
        <w:rPr>
          <w:lang w:val="en-AU"/>
        </w:rPr>
        <w:t xml:space="preserve">a person should be passive. The purpose of the phrase στρέψον αὐτῷ καὶ τὴν ἄλλην, according to Errico, </w:t>
      </w:r>
      <w:r w:rsidR="00694E63" w:rsidRPr="00BF370B">
        <w:rPr>
          <w:lang w:val="en-AU"/>
        </w:rPr>
        <w:t xml:space="preserve">is to </w:t>
      </w:r>
      <w:r w:rsidR="00863B47" w:rsidRPr="00BF370B">
        <w:rPr>
          <w:lang w:val="en-AU"/>
        </w:rPr>
        <w:t>“</w:t>
      </w:r>
      <w:r w:rsidR="003D04E0" w:rsidRPr="00BF370B">
        <w:rPr>
          <w:lang w:val="en-AU"/>
        </w:rPr>
        <w:t xml:space="preserve">provide a </w:t>
      </w:r>
      <w:r w:rsidRPr="00BF370B">
        <w:rPr>
          <w:lang w:val="en-AU"/>
        </w:rPr>
        <w:t>remedy against strife and vengeance when in a conflict.</w:t>
      </w:r>
      <w:r w:rsidR="00863B47" w:rsidRPr="00BF370B">
        <w:rPr>
          <w:lang w:val="en-AU"/>
        </w:rPr>
        <w:t>”</w:t>
      </w:r>
      <w:r w:rsidRPr="00BF370B">
        <w:rPr>
          <w:rStyle w:val="FootnoteReference"/>
          <w:lang w:val="en-AU"/>
        </w:rPr>
        <w:footnoteReference w:id="494"/>
      </w:r>
      <w:r w:rsidRPr="00BF370B">
        <w:rPr>
          <w:lang w:val="en-AU"/>
        </w:rPr>
        <w:t xml:space="preserve"> The understanding </w:t>
      </w:r>
      <w:r w:rsidR="00694E63" w:rsidRPr="00BF370B">
        <w:rPr>
          <w:lang w:val="en-AU"/>
        </w:rPr>
        <w:t xml:space="preserve">of </w:t>
      </w:r>
      <w:r w:rsidR="00022B2D" w:rsidRPr="00BF370B">
        <w:rPr>
          <w:lang w:val="en-AU"/>
        </w:rPr>
        <w:t xml:space="preserve">στρέψον αὐτῷ καὶ τὴν ἄλλην </w:t>
      </w:r>
      <w:r w:rsidR="007224B6" w:rsidRPr="00BF370B">
        <w:rPr>
          <w:lang w:val="en-AU"/>
        </w:rPr>
        <w:t>to mean</w:t>
      </w:r>
      <w:r w:rsidR="00022B2D" w:rsidRPr="00BF370B">
        <w:rPr>
          <w:lang w:val="en-AU"/>
        </w:rPr>
        <w:t xml:space="preserve"> a form of peace and pacifism rests on </w:t>
      </w:r>
      <w:r w:rsidR="00694E63" w:rsidRPr="00BF370B">
        <w:rPr>
          <w:lang w:val="en-AU"/>
        </w:rPr>
        <w:t xml:space="preserve">an </w:t>
      </w:r>
      <w:r w:rsidR="007224B6" w:rsidRPr="00BF370B">
        <w:rPr>
          <w:lang w:val="en-AU"/>
        </w:rPr>
        <w:t>interpretation of</w:t>
      </w:r>
      <w:r w:rsidR="00022B2D" w:rsidRPr="00BF370B">
        <w:rPr>
          <w:lang w:val="en-AU"/>
        </w:rPr>
        <w:t xml:space="preserve"> ἀντιστῆναι (resist) and πονηρῷ (evil, evil person).  </w:t>
      </w:r>
      <w:r w:rsidRPr="00BF370B">
        <w:rPr>
          <w:lang w:val="en-AU"/>
        </w:rPr>
        <w:t>Davis</w:t>
      </w:r>
      <w:r w:rsidR="00022B2D" w:rsidRPr="00BF370B">
        <w:rPr>
          <w:lang w:val="en-AU"/>
        </w:rPr>
        <w:t xml:space="preserve"> points out that </w:t>
      </w:r>
      <w:r w:rsidRPr="00BF370B">
        <w:rPr>
          <w:lang w:val="en-AU"/>
        </w:rPr>
        <w:t>ἀντιστῆναι occurs fourteen</w:t>
      </w:r>
      <w:r w:rsidR="00E9252B" w:rsidRPr="00BF370B">
        <w:rPr>
          <w:lang w:val="en-AU"/>
        </w:rPr>
        <w:t xml:space="preserve"> times</w:t>
      </w:r>
      <w:r w:rsidR="00FF2B4B" w:rsidRPr="00BF370B">
        <w:rPr>
          <w:lang w:val="en-AU"/>
        </w:rPr>
        <w:t xml:space="preserve"> in the Greek New Testament</w:t>
      </w:r>
      <w:r w:rsidRPr="00BF370B">
        <w:rPr>
          <w:lang w:val="en-AU"/>
        </w:rPr>
        <w:t xml:space="preserve"> </w:t>
      </w:r>
      <w:r w:rsidR="00022B2D" w:rsidRPr="00BF370B">
        <w:rPr>
          <w:lang w:val="en-AU"/>
        </w:rPr>
        <w:t xml:space="preserve">and </w:t>
      </w:r>
      <w:r w:rsidR="00333CCF" w:rsidRPr="00BF370B">
        <w:rPr>
          <w:lang w:val="en-AU"/>
        </w:rPr>
        <w:t xml:space="preserve">notes </w:t>
      </w:r>
      <w:r w:rsidR="00022B2D" w:rsidRPr="00BF370B">
        <w:rPr>
          <w:lang w:val="en-AU"/>
        </w:rPr>
        <w:t xml:space="preserve">that the translations focus on three meanings: </w:t>
      </w:r>
      <w:r w:rsidR="00863B47" w:rsidRPr="00BF370B">
        <w:rPr>
          <w:lang w:val="en-AU"/>
        </w:rPr>
        <w:t>“</w:t>
      </w:r>
      <w:r w:rsidRPr="00BF370B">
        <w:rPr>
          <w:lang w:val="en-AU"/>
        </w:rPr>
        <w:t>(1) resistance, (2) retaliation, (3) violent rebellion or even armed revolt.</w:t>
      </w:r>
      <w:r w:rsidR="00863B47" w:rsidRPr="00BF370B">
        <w:rPr>
          <w:lang w:val="en-AU"/>
        </w:rPr>
        <w:t>”</w:t>
      </w:r>
      <w:r w:rsidRPr="00BF370B">
        <w:rPr>
          <w:rStyle w:val="FootnoteReference"/>
          <w:lang w:val="en-AU"/>
        </w:rPr>
        <w:footnoteReference w:id="495"/>
      </w:r>
      <w:r w:rsidRPr="00BF370B">
        <w:rPr>
          <w:lang w:val="en-AU"/>
        </w:rPr>
        <w:t xml:space="preserve"> William F. Arndt and F. W. Gingrich</w:t>
      </w:r>
      <w:r w:rsidRPr="00BF370B" w:rsidDel="00056405">
        <w:rPr>
          <w:lang w:val="en-AU"/>
        </w:rPr>
        <w:t xml:space="preserve"> </w:t>
      </w:r>
      <w:r w:rsidR="003A17D0" w:rsidRPr="00BF370B">
        <w:rPr>
          <w:lang w:val="en-AU"/>
        </w:rPr>
        <w:t xml:space="preserve">suggest that the appropriate interrelation of </w:t>
      </w:r>
      <w:r w:rsidRPr="00BF370B">
        <w:rPr>
          <w:iCs/>
          <w:lang w:val="en-AU"/>
        </w:rPr>
        <w:t>ἀντιστῆναι</w:t>
      </w:r>
      <w:r w:rsidR="003A17D0" w:rsidRPr="00BF370B">
        <w:rPr>
          <w:iCs/>
          <w:lang w:val="en-AU"/>
        </w:rPr>
        <w:t xml:space="preserve"> is </w:t>
      </w:r>
      <w:r w:rsidR="00863B47" w:rsidRPr="00BF370B">
        <w:rPr>
          <w:lang w:val="en-AU"/>
        </w:rPr>
        <w:t>“</w:t>
      </w:r>
      <w:r w:rsidRPr="00BF370B">
        <w:rPr>
          <w:lang w:val="en-AU"/>
        </w:rPr>
        <w:t>to set one</w:t>
      </w:r>
      <w:r w:rsidR="005C71CB" w:rsidRPr="00BF370B">
        <w:rPr>
          <w:lang w:val="en-AU"/>
        </w:rPr>
        <w:t>’</w:t>
      </w:r>
      <w:r w:rsidRPr="00BF370B">
        <w:rPr>
          <w:lang w:val="en-AU"/>
        </w:rPr>
        <w:t xml:space="preserve">s self against, </w:t>
      </w:r>
      <w:r w:rsidRPr="00BF370B">
        <w:rPr>
          <w:lang w:val="en-AU"/>
        </w:rPr>
        <w:lastRenderedPageBreak/>
        <w:t>to withstand, resist, oppose.</w:t>
      </w:r>
      <w:r w:rsidR="00863B47" w:rsidRPr="00BF370B">
        <w:rPr>
          <w:lang w:val="en-AU"/>
        </w:rPr>
        <w:t>”</w:t>
      </w:r>
      <w:r w:rsidRPr="00BF370B">
        <w:rPr>
          <w:rStyle w:val="FootnoteReference"/>
          <w:lang w:val="en-AU"/>
        </w:rPr>
        <w:footnoteReference w:id="496"/>
      </w:r>
      <w:r w:rsidRPr="00BF370B">
        <w:rPr>
          <w:lang w:val="en-AU"/>
        </w:rPr>
        <w:t xml:space="preserve"> </w:t>
      </w:r>
      <w:r w:rsidR="00AB2AF6" w:rsidRPr="00BF370B">
        <w:rPr>
          <w:lang w:val="en-AU"/>
        </w:rPr>
        <w:t xml:space="preserve">This definition is </w:t>
      </w:r>
      <w:r w:rsidR="005E4D53" w:rsidRPr="00BF370B">
        <w:rPr>
          <w:lang w:val="en-AU"/>
        </w:rPr>
        <w:t>also</w:t>
      </w:r>
      <w:r w:rsidR="00AB2AF6" w:rsidRPr="00BF370B">
        <w:rPr>
          <w:lang w:val="en-AU"/>
        </w:rPr>
        <w:t xml:space="preserve"> supported by </w:t>
      </w:r>
      <w:r w:rsidRPr="00BF370B">
        <w:rPr>
          <w:lang w:val="en-AU"/>
        </w:rPr>
        <w:t>Danker and Bauer.</w:t>
      </w:r>
      <w:r w:rsidRPr="00BF370B">
        <w:rPr>
          <w:rStyle w:val="FootnoteReference"/>
          <w:lang w:val="en-AU"/>
        </w:rPr>
        <w:footnoteReference w:id="497"/>
      </w:r>
      <w:r w:rsidRPr="00BF370B">
        <w:rPr>
          <w:lang w:val="en-AU"/>
        </w:rPr>
        <w:t xml:space="preserve">  R</w:t>
      </w:r>
      <w:r w:rsidR="004F3551" w:rsidRPr="00BF370B">
        <w:rPr>
          <w:lang w:val="en-AU"/>
        </w:rPr>
        <w:t>o</w:t>
      </w:r>
      <w:r w:rsidRPr="00BF370B">
        <w:rPr>
          <w:lang w:val="en-AU"/>
        </w:rPr>
        <w:t>bert H. Mounce</w:t>
      </w:r>
      <w:r w:rsidR="004F3551" w:rsidRPr="00BF370B">
        <w:rPr>
          <w:lang w:val="en-AU"/>
        </w:rPr>
        <w:t xml:space="preserve"> believes </w:t>
      </w:r>
      <w:r w:rsidRPr="00BF370B">
        <w:rPr>
          <w:lang w:val="en-AU"/>
        </w:rPr>
        <w:t xml:space="preserve">ἀντιστῆναι </w:t>
      </w:r>
      <w:r w:rsidR="004F3551" w:rsidRPr="00BF370B">
        <w:rPr>
          <w:lang w:val="en-AU"/>
        </w:rPr>
        <w:t xml:space="preserve">focuses on </w:t>
      </w:r>
      <w:r w:rsidRPr="00BF370B">
        <w:rPr>
          <w:lang w:val="en-AU"/>
        </w:rPr>
        <w:t>non-retaliation</w:t>
      </w:r>
      <w:r w:rsidR="004F3551" w:rsidRPr="00BF370B">
        <w:rPr>
          <w:lang w:val="en-AU"/>
        </w:rPr>
        <w:t>, even against an abusive person</w:t>
      </w:r>
      <w:r w:rsidR="005E4D53" w:rsidRPr="00BF370B">
        <w:rPr>
          <w:lang w:val="en-AU"/>
        </w:rPr>
        <w:t>,</w:t>
      </w:r>
      <w:r w:rsidR="00D66347" w:rsidRPr="00BF370B">
        <w:rPr>
          <w:lang w:val="en-AU"/>
        </w:rPr>
        <w:t xml:space="preserve"> and this is supported by W. F. Albright and C. S. Mann</w:t>
      </w:r>
      <w:r w:rsidR="004F3551" w:rsidRPr="00BF370B">
        <w:rPr>
          <w:lang w:val="en-AU"/>
        </w:rPr>
        <w:t>.</w:t>
      </w:r>
      <w:r w:rsidR="000A6D02" w:rsidRPr="00BF370B">
        <w:rPr>
          <w:rStyle w:val="FootnoteReference"/>
          <w:lang w:val="en-AU"/>
        </w:rPr>
        <w:footnoteReference w:id="498"/>
      </w:r>
      <w:r w:rsidRPr="00BF370B">
        <w:rPr>
          <w:lang w:val="en-AU"/>
        </w:rPr>
        <w:t xml:space="preserve"> </w:t>
      </w:r>
      <w:r w:rsidR="00652C85" w:rsidRPr="00BF370B">
        <w:rPr>
          <w:lang w:val="en-AU"/>
        </w:rPr>
        <w:t xml:space="preserve">The corpus of evidence, as </w:t>
      </w:r>
      <w:r w:rsidR="0026328B" w:rsidRPr="00BF370B">
        <w:rPr>
          <w:lang w:val="en-AU"/>
        </w:rPr>
        <w:t>assess</w:t>
      </w:r>
      <w:r w:rsidR="00652C85" w:rsidRPr="00BF370B">
        <w:rPr>
          <w:lang w:val="en-AU"/>
        </w:rPr>
        <w:t xml:space="preserve">ed by </w:t>
      </w:r>
      <w:r w:rsidRPr="00BF370B">
        <w:rPr>
          <w:lang w:val="en-AU"/>
        </w:rPr>
        <w:t>Hans Dieter Betz</w:t>
      </w:r>
      <w:r w:rsidR="00652C85" w:rsidRPr="00BF370B">
        <w:rPr>
          <w:lang w:val="en-AU"/>
        </w:rPr>
        <w:t>, is for justice to prevail over evil.</w:t>
      </w:r>
      <w:r w:rsidRPr="00BF370B">
        <w:rPr>
          <w:rStyle w:val="FootnoteReference"/>
          <w:lang w:val="en-AU"/>
        </w:rPr>
        <w:footnoteReference w:id="499"/>
      </w:r>
      <w:r w:rsidR="00883DD1" w:rsidRPr="00BF370B">
        <w:rPr>
          <w:lang w:val="en-AU"/>
        </w:rPr>
        <w:t xml:space="preserve"> </w:t>
      </w:r>
      <w:r w:rsidRPr="00BF370B">
        <w:rPr>
          <w:lang w:val="en-AU"/>
        </w:rPr>
        <w:t xml:space="preserve"> </w:t>
      </w:r>
      <w:r w:rsidR="00883DD1" w:rsidRPr="00BF370B">
        <w:rPr>
          <w:lang w:val="en-AU"/>
        </w:rPr>
        <w:t>R</w:t>
      </w:r>
      <w:r w:rsidR="009B6722" w:rsidRPr="00BF370B">
        <w:rPr>
          <w:lang w:val="en-AU"/>
        </w:rPr>
        <w:t>esisting</w:t>
      </w:r>
      <w:r w:rsidR="00883DD1" w:rsidRPr="00BF370B">
        <w:rPr>
          <w:lang w:val="en-AU"/>
        </w:rPr>
        <w:t xml:space="preserve"> thus</w:t>
      </w:r>
      <w:r w:rsidR="0026328B" w:rsidRPr="00BF370B">
        <w:rPr>
          <w:lang w:val="en-AU"/>
        </w:rPr>
        <w:t xml:space="preserve"> </w:t>
      </w:r>
      <w:r w:rsidR="009B6722" w:rsidRPr="00BF370B">
        <w:rPr>
          <w:lang w:val="en-AU"/>
        </w:rPr>
        <w:t xml:space="preserve">revolves around </w:t>
      </w:r>
      <w:r w:rsidR="00A87ED4" w:rsidRPr="00BF370B">
        <w:rPr>
          <w:lang w:val="en-AU"/>
        </w:rPr>
        <w:t xml:space="preserve">not </w:t>
      </w:r>
      <w:r w:rsidR="009B6722" w:rsidRPr="00BF370B">
        <w:rPr>
          <w:lang w:val="en-AU"/>
        </w:rPr>
        <w:t>physical injury but an insult.</w:t>
      </w:r>
      <w:r w:rsidRPr="00BF370B">
        <w:rPr>
          <w:rStyle w:val="FootnoteReference"/>
          <w:lang w:val="en-AU"/>
        </w:rPr>
        <w:footnoteReference w:id="500"/>
      </w:r>
      <w:r w:rsidR="009B6722" w:rsidRPr="00BF370B">
        <w:rPr>
          <w:lang w:val="en-AU"/>
        </w:rPr>
        <w:t xml:space="preserve"> στρέψον αὐτῷ καὶ τὴν ἄλλην therefore does not require someone to be a doormat </w:t>
      </w:r>
      <w:r w:rsidR="00A87ED4" w:rsidRPr="00BF370B">
        <w:rPr>
          <w:lang w:val="en-AU"/>
        </w:rPr>
        <w:t>for</w:t>
      </w:r>
      <w:r w:rsidR="009B6722" w:rsidRPr="00BF370B">
        <w:rPr>
          <w:lang w:val="en-AU"/>
        </w:rPr>
        <w:t xml:space="preserve"> people who are repeat</w:t>
      </w:r>
      <w:r w:rsidR="00B64D81" w:rsidRPr="00BF370B">
        <w:rPr>
          <w:lang w:val="en-AU"/>
        </w:rPr>
        <w:t>edly</w:t>
      </w:r>
      <w:r w:rsidR="00E90FEC" w:rsidRPr="00BF370B">
        <w:rPr>
          <w:lang w:val="en-AU"/>
        </w:rPr>
        <w:t xml:space="preserve"> violen</w:t>
      </w:r>
      <w:r w:rsidR="00B64D81" w:rsidRPr="00BF370B">
        <w:rPr>
          <w:lang w:val="en-AU"/>
        </w:rPr>
        <w:t>t</w:t>
      </w:r>
      <w:r w:rsidR="00E90FEC" w:rsidRPr="00BF370B">
        <w:rPr>
          <w:lang w:val="en-AU"/>
        </w:rPr>
        <w:t xml:space="preserve"> and</w:t>
      </w:r>
      <w:r w:rsidR="009B6722" w:rsidRPr="00BF370B">
        <w:rPr>
          <w:lang w:val="en-AU"/>
        </w:rPr>
        <w:t xml:space="preserve"> </w:t>
      </w:r>
      <w:r w:rsidR="00B64D81" w:rsidRPr="00BF370B">
        <w:rPr>
          <w:lang w:val="en-AU"/>
        </w:rPr>
        <w:t>insulting:</w:t>
      </w:r>
      <w:r w:rsidR="009B6722" w:rsidRPr="00BF370B">
        <w:rPr>
          <w:lang w:val="en-AU"/>
        </w:rPr>
        <w:t xml:space="preserve"> they are to </w:t>
      </w:r>
      <w:r w:rsidR="003B62E6" w:rsidRPr="00BF370B">
        <w:rPr>
          <w:lang w:val="en-AU"/>
        </w:rPr>
        <w:t>retain their</w:t>
      </w:r>
      <w:r w:rsidR="009B6722" w:rsidRPr="00BF370B">
        <w:rPr>
          <w:lang w:val="en-AU"/>
        </w:rPr>
        <w:t xml:space="preserve"> dignity. </w:t>
      </w:r>
      <w:r w:rsidR="009672C0" w:rsidRPr="00BF370B">
        <w:rPr>
          <w:lang w:val="en-AU"/>
        </w:rPr>
        <w:t xml:space="preserve">This is opposed to </w:t>
      </w:r>
      <w:r w:rsidR="003B62E6" w:rsidRPr="00BF370B">
        <w:rPr>
          <w:lang w:val="en-AU"/>
        </w:rPr>
        <w:t>an</w:t>
      </w:r>
      <w:r w:rsidR="009672C0" w:rsidRPr="00BF370B">
        <w:rPr>
          <w:lang w:val="en-AU"/>
        </w:rPr>
        <w:t>other account</w:t>
      </w:r>
      <w:r w:rsidR="003B62E6" w:rsidRPr="00BF370B">
        <w:rPr>
          <w:lang w:val="en-AU"/>
        </w:rPr>
        <w:t xml:space="preserve"> </w:t>
      </w:r>
      <w:r w:rsidR="009672C0" w:rsidRPr="00BF370B">
        <w:rPr>
          <w:lang w:val="en-AU"/>
        </w:rPr>
        <w:t xml:space="preserve">of the story in </w:t>
      </w:r>
      <w:r w:rsidR="00F95401" w:rsidRPr="00BF370B">
        <w:rPr>
          <w:lang w:val="en-AU"/>
        </w:rPr>
        <w:t>Luke 6:29 (NRSV)</w:t>
      </w:r>
      <w:r w:rsidR="009672C0" w:rsidRPr="00BF370B">
        <w:rPr>
          <w:lang w:val="en-AU"/>
        </w:rPr>
        <w:t xml:space="preserve"> that </w:t>
      </w:r>
      <w:r w:rsidR="00857250" w:rsidRPr="00BF370B">
        <w:rPr>
          <w:lang w:val="en-AU"/>
        </w:rPr>
        <w:t>focuses</w:t>
      </w:r>
      <w:r w:rsidR="00F95401" w:rsidRPr="00BF370B">
        <w:rPr>
          <w:lang w:val="en-AU"/>
        </w:rPr>
        <w:t xml:space="preserve"> more on </w:t>
      </w:r>
      <w:r w:rsidR="00736D66" w:rsidRPr="00BF370B">
        <w:rPr>
          <w:lang w:val="en-AU"/>
        </w:rPr>
        <w:t>turning</w:t>
      </w:r>
      <w:r w:rsidR="00F95401" w:rsidRPr="00BF370B">
        <w:rPr>
          <w:lang w:val="en-AU"/>
        </w:rPr>
        <w:t xml:space="preserve"> the other cheek</w:t>
      </w:r>
      <w:r w:rsidR="009616BE" w:rsidRPr="00BF370B">
        <w:rPr>
          <w:lang w:val="en-AU"/>
        </w:rPr>
        <w:t>,</w:t>
      </w:r>
      <w:r w:rsidR="00F95401" w:rsidRPr="00BF370B">
        <w:rPr>
          <w:lang w:val="en-AU"/>
        </w:rPr>
        <w:t xml:space="preserve"> while Matthew </w:t>
      </w:r>
      <w:r w:rsidR="00736D66" w:rsidRPr="00BF370B">
        <w:rPr>
          <w:lang w:val="en-AU"/>
        </w:rPr>
        <w:t>focuses</w:t>
      </w:r>
      <w:r w:rsidR="00F95401" w:rsidRPr="00BF370B">
        <w:rPr>
          <w:lang w:val="en-AU"/>
        </w:rPr>
        <w:t xml:space="preserve"> more on </w:t>
      </w:r>
      <w:r w:rsidR="00F95401" w:rsidRPr="00BF370B">
        <w:rPr>
          <w:iCs/>
          <w:lang w:val="en-AU"/>
        </w:rPr>
        <w:t>ἀντιστῆναι.</w:t>
      </w:r>
      <w:r w:rsidR="00F1624D" w:rsidRPr="00BF370B">
        <w:rPr>
          <w:iCs/>
          <w:lang w:val="en-AU"/>
        </w:rPr>
        <w:t xml:space="preserve">  It is worth noting that in the RSV version of the Bible translation, </w:t>
      </w:r>
      <w:r w:rsidR="00F1624D" w:rsidRPr="00BF370B">
        <w:rPr>
          <w:lang w:val="en-AU"/>
        </w:rPr>
        <w:t xml:space="preserve">In RSV Matt 5:39 and Luke 6:29 are virtually identical. </w:t>
      </w:r>
      <w:r w:rsidR="00857250" w:rsidRPr="00BF370B">
        <w:rPr>
          <w:iCs/>
          <w:lang w:val="en-AU"/>
        </w:rPr>
        <w:t xml:space="preserve"> The focus on the slap in both accounts clearly indicates that the slap done on the right check is a back-handed slap.</w:t>
      </w:r>
      <w:r w:rsidR="00A05000" w:rsidRPr="00BF370B">
        <w:rPr>
          <w:rStyle w:val="FootnoteReference"/>
          <w:iCs/>
          <w:lang w:val="en-AU"/>
        </w:rPr>
        <w:footnoteReference w:id="501"/>
      </w:r>
      <w:r w:rsidR="00857250" w:rsidRPr="00BF370B">
        <w:rPr>
          <w:iCs/>
          <w:lang w:val="en-AU"/>
        </w:rPr>
        <w:t xml:space="preserve">  </w:t>
      </w:r>
      <w:r w:rsidR="00857250" w:rsidRPr="00BF370B">
        <w:rPr>
          <w:lang w:val="en-AU"/>
        </w:rPr>
        <w:t xml:space="preserve">Levine and Buttler suggest that the </w:t>
      </w:r>
      <w:r w:rsidR="00857250" w:rsidRPr="00BF370B">
        <w:rPr>
          <w:lang w:val="en-AU"/>
        </w:rPr>
        <w:lastRenderedPageBreak/>
        <w:t>back-handed slap indicates that</w:t>
      </w:r>
      <w:r w:rsidR="007F1671" w:rsidRPr="00BF370B">
        <w:rPr>
          <w:lang w:val="en-AU"/>
        </w:rPr>
        <w:t xml:space="preserve"> </w:t>
      </w:r>
      <w:r w:rsidR="00857250" w:rsidRPr="00BF370B">
        <w:rPr>
          <w:lang w:val="en-AU"/>
        </w:rPr>
        <w:t xml:space="preserve">a cheek has been </w:t>
      </w:r>
      <w:r w:rsidR="005C71CB" w:rsidRPr="00BF370B">
        <w:rPr>
          <w:lang w:val="en-AU"/>
        </w:rPr>
        <w:t>‘</w:t>
      </w:r>
      <w:r w:rsidR="00857250" w:rsidRPr="00BF370B">
        <w:rPr>
          <w:lang w:val="en-AU"/>
        </w:rPr>
        <w:t>turned</w:t>
      </w:r>
      <w:r w:rsidR="005C71CB" w:rsidRPr="00BF370B">
        <w:rPr>
          <w:lang w:val="en-AU"/>
        </w:rPr>
        <w:t>’</w:t>
      </w:r>
      <w:r w:rsidR="00857250" w:rsidRPr="00BF370B">
        <w:rPr>
          <w:lang w:val="en-AU"/>
        </w:rPr>
        <w:t xml:space="preserve">.  The question on the turn </w:t>
      </w:r>
      <w:r w:rsidR="007F1671" w:rsidRPr="00BF370B">
        <w:rPr>
          <w:lang w:val="en-AU"/>
        </w:rPr>
        <w:t xml:space="preserve">of </w:t>
      </w:r>
      <w:r w:rsidR="00857250" w:rsidRPr="00BF370B">
        <w:rPr>
          <w:lang w:val="en-AU"/>
        </w:rPr>
        <w:t xml:space="preserve">the cheek is </w:t>
      </w:r>
      <w:r w:rsidR="00766366" w:rsidRPr="00BF370B">
        <w:rPr>
          <w:lang w:val="en-AU"/>
        </w:rPr>
        <w:t xml:space="preserve">if </w:t>
      </w:r>
      <w:r w:rsidR="00857250" w:rsidRPr="00BF370B">
        <w:rPr>
          <w:lang w:val="en-AU"/>
        </w:rPr>
        <w:t>the slap was violent</w:t>
      </w:r>
      <w:r w:rsidR="00766366" w:rsidRPr="00BF370B">
        <w:rPr>
          <w:lang w:val="en-AU"/>
        </w:rPr>
        <w:t xml:space="preserve"> and if the person turns a cheek, is the response nonviolent</w:t>
      </w:r>
      <w:r w:rsidR="007F1671" w:rsidRPr="00BF370B">
        <w:rPr>
          <w:lang w:val="en-AU"/>
        </w:rPr>
        <w:t>?</w:t>
      </w:r>
      <w:r w:rsidRPr="00BF370B">
        <w:rPr>
          <w:rStyle w:val="FootnoteReference"/>
          <w:lang w:val="en-AU"/>
        </w:rPr>
        <w:footnoteReference w:id="502"/>
      </w:r>
      <w:r w:rsidRPr="00BF370B">
        <w:rPr>
          <w:lang w:val="en-AU"/>
        </w:rPr>
        <w:t xml:space="preserve">  </w:t>
      </w:r>
    </w:p>
    <w:p w14:paraId="146596FB" w14:textId="33CFA697" w:rsidR="006540C0" w:rsidRPr="006A1591" w:rsidRDefault="009D6DE1" w:rsidP="00F80BD3">
      <w:pPr>
        <w:spacing w:before="120" w:line="480" w:lineRule="auto"/>
        <w:ind w:firstLine="720"/>
        <w:rPr>
          <w:lang w:val="en-AU"/>
        </w:rPr>
      </w:pPr>
      <w:r w:rsidRPr="00BF370B">
        <w:rPr>
          <w:lang w:val="en-AU"/>
        </w:rPr>
        <w:t>T</w:t>
      </w:r>
      <w:r w:rsidR="002F5421" w:rsidRPr="00BF370B">
        <w:rPr>
          <w:lang w:val="en-AU"/>
        </w:rPr>
        <w:t xml:space="preserve">here are multiple ways </w:t>
      </w:r>
      <w:r w:rsidRPr="00BF370B">
        <w:rPr>
          <w:lang w:val="en-AU"/>
        </w:rPr>
        <w:t xml:space="preserve">in which </w:t>
      </w:r>
      <w:r w:rsidR="002F5421" w:rsidRPr="00BF370B">
        <w:rPr>
          <w:lang w:val="en-AU"/>
        </w:rPr>
        <w:t xml:space="preserve">a person can slap someone. One type of slap is with the open-hand or front of the hand.  The second type of slap is backhanded.  The </w:t>
      </w:r>
      <w:r w:rsidR="005A2CE0" w:rsidRPr="00BF370B">
        <w:rPr>
          <w:lang w:val="en-AU"/>
        </w:rPr>
        <w:t xml:space="preserve">slap described in </w:t>
      </w:r>
      <w:r w:rsidR="002F5421" w:rsidRPr="00BF370B">
        <w:rPr>
          <w:lang w:val="en-AU"/>
        </w:rPr>
        <w:t xml:space="preserve">Matthew 5:39 is similar in </w:t>
      </w:r>
      <w:r w:rsidR="005A2CE0" w:rsidRPr="00BF370B">
        <w:rPr>
          <w:lang w:val="en-AU"/>
        </w:rPr>
        <w:t>manner</w:t>
      </w:r>
      <w:r w:rsidR="002F5421" w:rsidRPr="00BF370B">
        <w:rPr>
          <w:lang w:val="en-AU"/>
        </w:rPr>
        <w:t xml:space="preserve"> to </w:t>
      </w:r>
      <w:r w:rsidR="006540C0" w:rsidRPr="00BF370B">
        <w:rPr>
          <w:lang w:val="en-AU"/>
        </w:rPr>
        <w:t>1 Esdras 4:30</w:t>
      </w:r>
      <w:r w:rsidR="00990B61" w:rsidRPr="00BF370B">
        <w:rPr>
          <w:lang w:val="en-AU"/>
        </w:rPr>
        <w:t xml:space="preserve"> (NRSV)</w:t>
      </w:r>
      <w:r w:rsidR="006540C0" w:rsidRPr="00BF370B">
        <w:rPr>
          <w:lang w:val="en-AU"/>
        </w:rPr>
        <w:t xml:space="preserve">, </w:t>
      </w:r>
      <w:r w:rsidR="00863B47" w:rsidRPr="00BF370B">
        <w:rPr>
          <w:lang w:val="en-AU"/>
        </w:rPr>
        <w:t>“</w:t>
      </w:r>
      <w:r w:rsidR="006540C0" w:rsidRPr="00BF370B">
        <w:rPr>
          <w:lang w:val="en-AU"/>
        </w:rPr>
        <w:t>and take the crown from the king</w:t>
      </w:r>
      <w:r w:rsidR="005C71CB" w:rsidRPr="00BF370B">
        <w:rPr>
          <w:lang w:val="en-AU"/>
        </w:rPr>
        <w:t>’</w:t>
      </w:r>
      <w:r w:rsidR="006540C0" w:rsidRPr="00BF370B">
        <w:rPr>
          <w:lang w:val="en-AU"/>
        </w:rPr>
        <w:t>s head and put it on her own and slap the king with her left hand</w:t>
      </w:r>
      <w:r w:rsidR="00863B47" w:rsidRPr="00BF370B">
        <w:rPr>
          <w:lang w:val="en-AU"/>
        </w:rPr>
        <w:t>”</w:t>
      </w:r>
      <w:r w:rsidR="006540C0" w:rsidRPr="00BF370B">
        <w:rPr>
          <w:lang w:val="en-AU"/>
        </w:rPr>
        <w:t xml:space="preserve"> (NRSV). </w:t>
      </w:r>
      <w:r w:rsidR="006540C0" w:rsidRPr="00BF370B">
        <w:rPr>
          <w:rStyle w:val="FootnoteReference"/>
          <w:lang w:val="en-AU"/>
        </w:rPr>
        <w:footnoteReference w:id="503"/>
      </w:r>
      <w:r w:rsidR="006540C0" w:rsidRPr="00BF370B">
        <w:rPr>
          <w:lang w:val="en-AU"/>
        </w:rPr>
        <w:t xml:space="preserve"> </w:t>
      </w:r>
      <w:r w:rsidR="002F5421" w:rsidRPr="00BF370B">
        <w:rPr>
          <w:lang w:val="en-AU"/>
        </w:rPr>
        <w:t xml:space="preserve">To evaluate the totality of the textual story, one needs to </w:t>
      </w:r>
      <w:r w:rsidR="007C4C1E" w:rsidRPr="00BF370B">
        <w:rPr>
          <w:lang w:val="en-AU"/>
        </w:rPr>
        <w:t>know whether</w:t>
      </w:r>
      <w:r w:rsidR="002F5421" w:rsidRPr="00BF370B">
        <w:rPr>
          <w:lang w:val="en-AU"/>
        </w:rPr>
        <w:t xml:space="preserve"> the person being slapped is an equal peer or a subordinate. If the slap committed </w:t>
      </w:r>
      <w:r w:rsidR="007C4C1E" w:rsidRPr="00BF370B">
        <w:rPr>
          <w:lang w:val="en-AU"/>
        </w:rPr>
        <w:t>i</w:t>
      </w:r>
      <w:r w:rsidR="002F5421" w:rsidRPr="00BF370B">
        <w:rPr>
          <w:lang w:val="en-AU"/>
        </w:rPr>
        <w:t>s</w:t>
      </w:r>
      <w:r w:rsidR="005149AB" w:rsidRPr="00BF370B">
        <w:rPr>
          <w:lang w:val="en-AU"/>
        </w:rPr>
        <w:t xml:space="preserve"> ope</w:t>
      </w:r>
      <w:r w:rsidR="007C4C1E" w:rsidRPr="00BF370B">
        <w:rPr>
          <w:lang w:val="en-AU"/>
        </w:rPr>
        <w:t>n-</w:t>
      </w:r>
      <w:r w:rsidR="005149AB" w:rsidRPr="00BF370B">
        <w:rPr>
          <w:lang w:val="en-AU"/>
        </w:rPr>
        <w:t xml:space="preserve">handed, it may indicate that the parties are social equals.  On the </w:t>
      </w:r>
      <w:r w:rsidR="007E4FF7" w:rsidRPr="00BF370B">
        <w:rPr>
          <w:lang w:val="en-AU"/>
        </w:rPr>
        <w:t>other hand</w:t>
      </w:r>
      <w:r w:rsidR="005149AB" w:rsidRPr="00BF370B">
        <w:rPr>
          <w:lang w:val="en-AU"/>
        </w:rPr>
        <w:t xml:space="preserve">, if the slap </w:t>
      </w:r>
      <w:r w:rsidR="00433CF9" w:rsidRPr="00BF370B">
        <w:rPr>
          <w:lang w:val="en-AU"/>
        </w:rPr>
        <w:t xml:space="preserve">is </w:t>
      </w:r>
      <w:proofErr w:type="gramStart"/>
      <w:r w:rsidR="005149AB" w:rsidRPr="00BF370B">
        <w:rPr>
          <w:lang w:val="en-AU"/>
        </w:rPr>
        <w:t>back</w:t>
      </w:r>
      <w:r w:rsidR="007C4C1E" w:rsidRPr="00BF370B">
        <w:rPr>
          <w:lang w:val="en-AU"/>
        </w:rPr>
        <w:t>-</w:t>
      </w:r>
      <w:r w:rsidR="005149AB" w:rsidRPr="00BF370B">
        <w:rPr>
          <w:lang w:val="en-AU"/>
        </w:rPr>
        <w:t>hand</w:t>
      </w:r>
      <w:r w:rsidR="007C4C1E" w:rsidRPr="00BF370B">
        <w:rPr>
          <w:lang w:val="en-AU"/>
        </w:rPr>
        <w:t>ed</w:t>
      </w:r>
      <w:proofErr w:type="gramEnd"/>
      <w:r w:rsidR="007C4C1E" w:rsidRPr="00BF370B">
        <w:rPr>
          <w:lang w:val="en-AU"/>
        </w:rPr>
        <w:t xml:space="preserve">, </w:t>
      </w:r>
      <w:r w:rsidR="005149AB" w:rsidRPr="00BF370B">
        <w:rPr>
          <w:lang w:val="en-AU"/>
        </w:rPr>
        <w:t xml:space="preserve">then </w:t>
      </w:r>
      <w:r w:rsidR="007C4C1E" w:rsidRPr="00BF370B">
        <w:rPr>
          <w:lang w:val="en-AU"/>
        </w:rPr>
        <w:t xml:space="preserve">it </w:t>
      </w:r>
      <w:r w:rsidR="005149AB" w:rsidRPr="00BF370B">
        <w:rPr>
          <w:lang w:val="en-AU"/>
        </w:rPr>
        <w:t xml:space="preserve">could </w:t>
      </w:r>
      <w:r w:rsidR="007C4C1E" w:rsidRPr="00BF370B">
        <w:rPr>
          <w:lang w:val="en-AU"/>
        </w:rPr>
        <w:t xml:space="preserve">be </w:t>
      </w:r>
      <w:r w:rsidR="005149AB" w:rsidRPr="00BF370B">
        <w:rPr>
          <w:lang w:val="en-AU"/>
        </w:rPr>
        <w:t>infer</w:t>
      </w:r>
      <w:r w:rsidR="007C4C1E" w:rsidRPr="00BF370B">
        <w:rPr>
          <w:lang w:val="en-AU"/>
        </w:rPr>
        <w:t>red</w:t>
      </w:r>
      <w:r w:rsidR="005149AB" w:rsidRPr="00BF370B">
        <w:rPr>
          <w:lang w:val="en-AU"/>
        </w:rPr>
        <w:t xml:space="preserve"> that the person being </w:t>
      </w:r>
      <w:r w:rsidR="00AA476A" w:rsidRPr="00BF370B">
        <w:rPr>
          <w:lang w:val="en-AU"/>
        </w:rPr>
        <w:t>slapped has</w:t>
      </w:r>
      <w:r w:rsidR="005149AB" w:rsidRPr="00BF370B">
        <w:rPr>
          <w:lang w:val="en-AU"/>
        </w:rPr>
        <w:t xml:space="preserve"> lower social status. Matthew 5:38</w:t>
      </w:r>
      <w:r w:rsidR="00433CF9" w:rsidRPr="00BF370B">
        <w:rPr>
          <w:lang w:val="en-AU"/>
        </w:rPr>
        <w:t>–</w:t>
      </w:r>
      <w:r w:rsidR="005149AB" w:rsidRPr="00BF370B">
        <w:rPr>
          <w:lang w:val="en-AU"/>
        </w:rPr>
        <w:t xml:space="preserve">42 does not explicitly tell us the answer to this </w:t>
      </w:r>
      <w:r w:rsidR="00C47817" w:rsidRPr="00BF370B">
        <w:rPr>
          <w:lang w:val="en-AU"/>
        </w:rPr>
        <w:t>question,</w:t>
      </w:r>
      <w:r w:rsidR="005149AB" w:rsidRPr="00BF370B">
        <w:rPr>
          <w:lang w:val="en-AU"/>
        </w:rPr>
        <w:t xml:space="preserve"> and it must be inferred. </w:t>
      </w:r>
      <w:r w:rsidR="006540C0" w:rsidRPr="00BF370B">
        <w:rPr>
          <w:lang w:val="en-AU"/>
        </w:rPr>
        <w:t xml:space="preserve"> </w:t>
      </w:r>
      <w:r w:rsidR="00FD1084" w:rsidRPr="00BF370B">
        <w:rPr>
          <w:lang w:val="en-AU"/>
        </w:rPr>
        <w:t xml:space="preserve">The assumption is that the </w:t>
      </w:r>
      <w:r w:rsidR="00704512" w:rsidRPr="00BF370B">
        <w:rPr>
          <w:lang w:val="en-AU"/>
        </w:rPr>
        <w:t>protagonists</w:t>
      </w:r>
      <w:r w:rsidR="00FD1084" w:rsidRPr="00BF370B">
        <w:rPr>
          <w:lang w:val="en-AU"/>
        </w:rPr>
        <w:t xml:space="preserve"> in Matthew 5:38</w:t>
      </w:r>
      <w:r w:rsidR="00704512" w:rsidRPr="00BF370B">
        <w:rPr>
          <w:lang w:val="en-AU"/>
        </w:rPr>
        <w:t>–</w:t>
      </w:r>
      <w:r w:rsidR="00FD1084" w:rsidRPr="00BF370B">
        <w:rPr>
          <w:lang w:val="en-AU"/>
        </w:rPr>
        <w:t xml:space="preserve">42 are not on </w:t>
      </w:r>
      <w:r w:rsidR="00704512" w:rsidRPr="00BF370B">
        <w:rPr>
          <w:lang w:val="en-AU"/>
        </w:rPr>
        <w:t xml:space="preserve">an </w:t>
      </w:r>
      <w:r w:rsidR="00FD1084" w:rsidRPr="00BF370B">
        <w:rPr>
          <w:lang w:val="en-AU"/>
        </w:rPr>
        <w:t xml:space="preserve">equal </w:t>
      </w:r>
      <w:r w:rsidR="00704512" w:rsidRPr="00BF370B">
        <w:rPr>
          <w:lang w:val="en-AU"/>
        </w:rPr>
        <w:t xml:space="preserve">social </w:t>
      </w:r>
      <w:r w:rsidR="00FD1084" w:rsidRPr="00BF370B">
        <w:rPr>
          <w:lang w:val="en-AU"/>
        </w:rPr>
        <w:t>footing socially, and</w:t>
      </w:r>
      <w:r w:rsidR="00393675" w:rsidRPr="00BF370B">
        <w:rPr>
          <w:lang w:val="en-AU"/>
        </w:rPr>
        <w:t xml:space="preserve"> </w:t>
      </w:r>
      <w:r w:rsidR="00704512" w:rsidRPr="00BF370B">
        <w:rPr>
          <w:lang w:val="en-AU"/>
        </w:rPr>
        <w:t>perhaps</w:t>
      </w:r>
      <w:r w:rsidR="00FD1084" w:rsidRPr="00BF370B">
        <w:rPr>
          <w:lang w:val="en-AU"/>
        </w:rPr>
        <w:t xml:space="preserve"> legally</w:t>
      </w:r>
      <w:r w:rsidR="00393675" w:rsidRPr="00BF370B">
        <w:rPr>
          <w:lang w:val="en-AU"/>
        </w:rPr>
        <w:t xml:space="preserve"> they are also not equal</w:t>
      </w:r>
      <w:r w:rsidR="00FD1084" w:rsidRPr="00BF370B">
        <w:rPr>
          <w:lang w:val="en-AU"/>
        </w:rPr>
        <w:t xml:space="preserve">. This form of a </w:t>
      </w:r>
      <w:r w:rsidR="005C71CB" w:rsidRPr="00BF370B">
        <w:rPr>
          <w:lang w:val="en-AU"/>
        </w:rPr>
        <w:t>‘</w:t>
      </w:r>
      <w:r w:rsidR="00FD1084" w:rsidRPr="00BF370B">
        <w:rPr>
          <w:lang w:val="en-AU"/>
        </w:rPr>
        <w:t>slap</w:t>
      </w:r>
      <w:r w:rsidR="005C71CB" w:rsidRPr="00BF370B">
        <w:rPr>
          <w:lang w:val="en-AU"/>
        </w:rPr>
        <w:t>’</w:t>
      </w:r>
      <w:r w:rsidR="00FD1084" w:rsidRPr="00BF370B">
        <w:rPr>
          <w:lang w:val="en-AU"/>
        </w:rPr>
        <w:t xml:space="preserve"> is </w:t>
      </w:r>
      <w:r w:rsidR="00451732" w:rsidRPr="00BF370B">
        <w:rPr>
          <w:lang w:val="en-AU"/>
        </w:rPr>
        <w:t xml:space="preserve">performed with the </w:t>
      </w:r>
      <w:r w:rsidR="00FD1084" w:rsidRPr="00BF370B">
        <w:rPr>
          <w:lang w:val="en-AU"/>
        </w:rPr>
        <w:t xml:space="preserve">right hand. </w:t>
      </w:r>
      <w:proofErr w:type="gramStart"/>
      <w:r w:rsidR="00FD1084" w:rsidRPr="00BF370B">
        <w:rPr>
          <w:lang w:val="en-AU"/>
        </w:rPr>
        <w:t>In order to</w:t>
      </w:r>
      <w:proofErr w:type="gramEnd"/>
      <w:r w:rsidR="00FD1084" w:rsidRPr="00BF370B">
        <w:rPr>
          <w:lang w:val="en-AU"/>
        </w:rPr>
        <w:t xml:space="preserve"> slap someone a second time with the left-hand after they </w:t>
      </w:r>
      <w:r w:rsidR="005C71CB" w:rsidRPr="00BF370B">
        <w:rPr>
          <w:lang w:val="en-AU"/>
        </w:rPr>
        <w:t>‘</w:t>
      </w:r>
      <w:r w:rsidR="00FD1084" w:rsidRPr="00BF370B">
        <w:rPr>
          <w:lang w:val="en-AU"/>
        </w:rPr>
        <w:t>turn the cheek</w:t>
      </w:r>
      <w:r w:rsidR="00495179" w:rsidRPr="00BF370B">
        <w:rPr>
          <w:lang w:val="en-AU"/>
        </w:rPr>
        <w:t>,</w:t>
      </w:r>
      <w:r w:rsidR="005C71CB" w:rsidRPr="00BF370B">
        <w:rPr>
          <w:lang w:val="en-AU"/>
        </w:rPr>
        <w:t>’</w:t>
      </w:r>
      <w:r w:rsidR="00495179" w:rsidRPr="00BF370B">
        <w:rPr>
          <w:lang w:val="en-AU"/>
        </w:rPr>
        <w:t xml:space="preserve"> a greater problem</w:t>
      </w:r>
      <w:r w:rsidR="00393675" w:rsidRPr="00BF370B">
        <w:rPr>
          <w:lang w:val="en-AU"/>
        </w:rPr>
        <w:t xml:space="preserve"> is encountered</w:t>
      </w:r>
      <w:r w:rsidR="00495179" w:rsidRPr="009E7B69">
        <w:t>. For the most part, slap</w:t>
      </w:r>
      <w:r w:rsidR="006A1591">
        <w:t>ping</w:t>
      </w:r>
      <w:r w:rsidR="00495179" w:rsidRPr="009E7B69">
        <w:t xml:space="preserve"> </w:t>
      </w:r>
      <w:r w:rsidR="00301A01" w:rsidRPr="009E7B69">
        <w:t xml:space="preserve">with the </w:t>
      </w:r>
      <w:r w:rsidR="006540C0" w:rsidRPr="009E7B69">
        <w:t xml:space="preserve">left hand was </w:t>
      </w:r>
      <w:r w:rsidR="00495179" w:rsidRPr="009E7B69">
        <w:t xml:space="preserve">avoided because the left hand </w:t>
      </w:r>
      <w:r w:rsidR="00301A01" w:rsidRPr="009E7B69">
        <w:t>wa</w:t>
      </w:r>
      <w:r w:rsidR="00495179" w:rsidRPr="009E7B69">
        <w:t xml:space="preserve">s used for toiletry </w:t>
      </w:r>
      <w:r w:rsidR="00301A01" w:rsidRPr="009E7B69">
        <w:t>purpos</w:t>
      </w:r>
      <w:r w:rsidR="00495179" w:rsidRPr="009E7B69">
        <w:t>es</w:t>
      </w:r>
      <w:r w:rsidR="001D1B21">
        <w:t>, and because of this, it was a sign that someone was inferior to you</w:t>
      </w:r>
      <w:r w:rsidR="00495179" w:rsidRPr="006A1591">
        <w:rPr>
          <w:lang w:val="en-AU"/>
        </w:rPr>
        <w:t xml:space="preserve">. Stassen and Gushee state, </w:t>
      </w:r>
      <w:r w:rsidR="00863B47" w:rsidRPr="006A1591">
        <w:rPr>
          <w:lang w:val="en-AU"/>
        </w:rPr>
        <w:t>“</w:t>
      </w:r>
      <w:r w:rsidR="006540C0" w:rsidRPr="006A1591">
        <w:rPr>
          <w:lang w:val="en-AU"/>
        </w:rPr>
        <w:t>Jesus is saying, if you are slapped on the cheek of inferiority [as in being back</w:t>
      </w:r>
      <w:r w:rsidR="00301A01" w:rsidRPr="006A1591">
        <w:rPr>
          <w:lang w:val="en-AU"/>
        </w:rPr>
        <w:t>-</w:t>
      </w:r>
      <w:r w:rsidR="006540C0" w:rsidRPr="006A1591">
        <w:rPr>
          <w:lang w:val="en-AU"/>
        </w:rPr>
        <w:t xml:space="preserve">handed], turn to the </w:t>
      </w:r>
      <w:r w:rsidR="006540C0" w:rsidRPr="006A1591">
        <w:rPr>
          <w:lang w:val="en-AU"/>
        </w:rPr>
        <w:lastRenderedPageBreak/>
        <w:t>offender the cheek of equal dignity.</w:t>
      </w:r>
      <w:r w:rsidR="00863B47" w:rsidRPr="006A1591">
        <w:rPr>
          <w:lang w:val="en-AU"/>
        </w:rPr>
        <w:t>”</w:t>
      </w:r>
      <w:r w:rsidR="006540C0" w:rsidRPr="006A1591">
        <w:rPr>
          <w:rStyle w:val="FootnoteReference"/>
          <w:lang w:val="en-AU"/>
        </w:rPr>
        <w:footnoteReference w:id="504"/>
      </w:r>
      <w:r w:rsidR="006540C0" w:rsidRPr="006A1591">
        <w:rPr>
          <w:lang w:val="en-AU"/>
        </w:rPr>
        <w:t xml:space="preserve"> </w:t>
      </w:r>
      <w:r w:rsidR="00F80BD3" w:rsidRPr="006A1591">
        <w:rPr>
          <w:lang w:val="en-AU"/>
        </w:rPr>
        <w:t xml:space="preserve">Being </w:t>
      </w:r>
      <w:r w:rsidR="00413216" w:rsidRPr="006A1591">
        <w:rPr>
          <w:lang w:val="en-AU"/>
        </w:rPr>
        <w:t xml:space="preserve">slapped </w:t>
      </w:r>
      <w:r w:rsidR="00F80BD3" w:rsidRPr="006A1591">
        <w:rPr>
          <w:lang w:val="en-AU"/>
        </w:rPr>
        <w:t>back</w:t>
      </w:r>
      <w:r w:rsidR="00301A01" w:rsidRPr="006A1591">
        <w:rPr>
          <w:lang w:val="en-AU"/>
        </w:rPr>
        <w:t>-</w:t>
      </w:r>
      <w:r w:rsidR="00F80BD3" w:rsidRPr="006A1591">
        <w:rPr>
          <w:lang w:val="en-AU"/>
        </w:rPr>
        <w:t xml:space="preserve">handed was a </w:t>
      </w:r>
      <w:r w:rsidR="00413216" w:rsidRPr="006A1591">
        <w:rPr>
          <w:lang w:val="en-AU"/>
        </w:rPr>
        <w:t>sign</w:t>
      </w:r>
      <w:r w:rsidR="00F80BD3" w:rsidRPr="006A1591">
        <w:rPr>
          <w:lang w:val="en-AU"/>
        </w:rPr>
        <w:t xml:space="preserve"> of </w:t>
      </w:r>
      <w:r w:rsidR="00413216" w:rsidRPr="006A1591">
        <w:rPr>
          <w:lang w:val="en-AU"/>
        </w:rPr>
        <w:t>the victim</w:t>
      </w:r>
      <w:r w:rsidR="005C71CB" w:rsidRPr="006A1591">
        <w:rPr>
          <w:lang w:val="en-AU"/>
        </w:rPr>
        <w:t>’</w:t>
      </w:r>
      <w:r w:rsidR="00413216" w:rsidRPr="006A1591">
        <w:rPr>
          <w:lang w:val="en-AU"/>
        </w:rPr>
        <w:t xml:space="preserve">s </w:t>
      </w:r>
      <w:r w:rsidR="00F80BD3" w:rsidRPr="006A1591">
        <w:rPr>
          <w:lang w:val="en-AU"/>
        </w:rPr>
        <w:t>inferior</w:t>
      </w:r>
      <w:r w:rsidR="00413216" w:rsidRPr="006A1591">
        <w:rPr>
          <w:lang w:val="en-AU"/>
        </w:rPr>
        <w:t>ity</w:t>
      </w:r>
      <w:r w:rsidR="00F80BD3" w:rsidRPr="006A1591">
        <w:rPr>
          <w:lang w:val="en-AU"/>
        </w:rPr>
        <w:t xml:space="preserve">. </w:t>
      </w:r>
      <w:r w:rsidR="001D1B21">
        <w:rPr>
          <w:lang w:val="en-AU"/>
        </w:rPr>
        <w:t xml:space="preserve">Equal dignity was important to demand from a person who is slapping you. </w:t>
      </w:r>
      <w:r w:rsidR="00D46A37" w:rsidRPr="006A1591">
        <w:rPr>
          <w:lang w:val="en-AU"/>
        </w:rPr>
        <w:t>This view is supported by Richard Burridge</w:t>
      </w:r>
      <w:r w:rsidR="00451732" w:rsidRPr="006A1591">
        <w:rPr>
          <w:lang w:val="en-AU"/>
        </w:rPr>
        <w:t xml:space="preserve">, who </w:t>
      </w:r>
      <w:r w:rsidR="00AA476A" w:rsidRPr="006A1591">
        <w:rPr>
          <w:lang w:val="en-AU"/>
        </w:rPr>
        <w:t xml:space="preserve">states </w:t>
      </w:r>
      <w:r w:rsidR="00863B47" w:rsidRPr="006A1591">
        <w:rPr>
          <w:lang w:val="en-AU"/>
        </w:rPr>
        <w:t>“</w:t>
      </w:r>
      <w:r w:rsidR="005C71CB" w:rsidRPr="006A1591">
        <w:rPr>
          <w:lang w:val="en-AU"/>
        </w:rPr>
        <w:t>‘</w:t>
      </w:r>
      <w:r w:rsidR="00D46A37" w:rsidRPr="006A1591">
        <w:rPr>
          <w:lang w:val="en-AU"/>
        </w:rPr>
        <w:t>the right cheek</w:t>
      </w:r>
      <w:r w:rsidR="005C71CB" w:rsidRPr="006A1591">
        <w:rPr>
          <w:lang w:val="en-AU"/>
        </w:rPr>
        <w:t>’</w:t>
      </w:r>
      <w:r w:rsidR="00D46A37" w:rsidRPr="006A1591">
        <w:rPr>
          <w:lang w:val="en-AU"/>
        </w:rPr>
        <w:t xml:space="preserve"> (Matt. 5:39; cp. Luke 6:29) entailing a more insulting backhanded blow dealt by a superior, like a master to a slave, or </w:t>
      </w:r>
      <w:r w:rsidR="005C71CB" w:rsidRPr="006A1591">
        <w:rPr>
          <w:lang w:val="en-AU"/>
        </w:rPr>
        <w:t>‘</w:t>
      </w:r>
      <w:r w:rsidR="00D46A37" w:rsidRPr="006A1591">
        <w:rPr>
          <w:lang w:val="en-AU"/>
        </w:rPr>
        <w:t>the religious elite with a dangerous preacher.</w:t>
      </w:r>
      <w:r w:rsidR="005C71CB" w:rsidRPr="006A1591">
        <w:rPr>
          <w:lang w:val="en-AU"/>
        </w:rPr>
        <w:t>’</w:t>
      </w:r>
      <w:r w:rsidR="00863B47" w:rsidRPr="006A1591">
        <w:rPr>
          <w:lang w:val="en-AU"/>
        </w:rPr>
        <w:t>”</w:t>
      </w:r>
      <w:r w:rsidR="00D46A37" w:rsidRPr="006A1591">
        <w:rPr>
          <w:rStyle w:val="FootnoteReference"/>
          <w:lang w:val="en-AU"/>
        </w:rPr>
        <w:footnoteReference w:id="505"/>
      </w:r>
      <w:r w:rsidR="00D46A37" w:rsidRPr="006A1591">
        <w:rPr>
          <w:lang w:val="en-AU"/>
        </w:rPr>
        <w:t xml:space="preserve"> </w:t>
      </w:r>
      <w:r w:rsidR="00F80BD3" w:rsidRPr="006A1591">
        <w:rPr>
          <w:lang w:val="en-AU"/>
        </w:rPr>
        <w:t xml:space="preserve"> </w:t>
      </w:r>
    </w:p>
    <w:p w14:paraId="60518D03" w14:textId="5B4968AC" w:rsidR="004E2399" w:rsidRPr="006A1591" w:rsidRDefault="006540C0" w:rsidP="004E2399">
      <w:pPr>
        <w:spacing w:line="480" w:lineRule="auto"/>
        <w:rPr>
          <w:lang w:val="en-AU"/>
        </w:rPr>
      </w:pPr>
      <w:r w:rsidRPr="006A1591">
        <w:rPr>
          <w:lang w:val="en-AU"/>
        </w:rPr>
        <w:tab/>
      </w:r>
      <w:r w:rsidR="00C85375" w:rsidRPr="006A1591">
        <w:rPr>
          <w:lang w:val="en-AU"/>
        </w:rPr>
        <w:t xml:space="preserve">Socially equal people would not </w:t>
      </w:r>
      <w:r w:rsidR="00597551" w:rsidRPr="006A1591">
        <w:rPr>
          <w:lang w:val="en-AU"/>
        </w:rPr>
        <w:t>strike each</w:t>
      </w:r>
      <w:r w:rsidR="00534F3B" w:rsidRPr="006A1591">
        <w:rPr>
          <w:lang w:val="en-AU"/>
        </w:rPr>
        <w:t xml:space="preserve"> other with </w:t>
      </w:r>
      <w:r w:rsidR="00C85375" w:rsidRPr="006A1591">
        <w:rPr>
          <w:lang w:val="en-AU"/>
        </w:rPr>
        <w:t>an openhanded slap. The slap on</w:t>
      </w:r>
      <w:r w:rsidR="00534F3B" w:rsidRPr="006A1591">
        <w:rPr>
          <w:lang w:val="en-AU"/>
        </w:rPr>
        <w:t xml:space="preserve"> the</w:t>
      </w:r>
      <w:r w:rsidR="00C85375" w:rsidRPr="006A1591">
        <w:rPr>
          <w:lang w:val="en-AU"/>
        </w:rPr>
        <w:t xml:space="preserve"> </w:t>
      </w:r>
      <w:r w:rsidRPr="006A1591">
        <w:rPr>
          <w:lang w:val="en-AU"/>
        </w:rPr>
        <w:t xml:space="preserve">right </w:t>
      </w:r>
      <w:r w:rsidR="00C85375" w:rsidRPr="006A1591">
        <w:rPr>
          <w:lang w:val="en-AU"/>
        </w:rPr>
        <w:t xml:space="preserve">cheek was </w:t>
      </w:r>
      <w:r w:rsidR="00534F3B" w:rsidRPr="006A1591">
        <w:rPr>
          <w:lang w:val="en-AU"/>
        </w:rPr>
        <w:t xml:space="preserve">considered </w:t>
      </w:r>
      <w:r w:rsidR="00C85375" w:rsidRPr="006A1591">
        <w:rPr>
          <w:lang w:val="en-AU"/>
        </w:rPr>
        <w:t>an insult and carried a double fine</w:t>
      </w:r>
      <w:r w:rsidR="00534F3B" w:rsidRPr="006A1591">
        <w:rPr>
          <w:lang w:val="en-AU"/>
        </w:rPr>
        <w:t>,</w:t>
      </w:r>
      <w:r w:rsidR="00C85375" w:rsidRPr="006A1591">
        <w:rPr>
          <w:lang w:val="en-AU"/>
        </w:rPr>
        <w:t xml:space="preserve"> according to </w:t>
      </w:r>
      <w:r w:rsidRPr="006A1591">
        <w:rPr>
          <w:i/>
          <w:iCs/>
          <w:lang w:val="en-AU"/>
        </w:rPr>
        <w:t>Baba Qammah</w:t>
      </w:r>
      <w:r w:rsidRPr="006A1591">
        <w:rPr>
          <w:lang w:val="en-AU"/>
        </w:rPr>
        <w:t xml:space="preserve"> 8:6.</w:t>
      </w:r>
      <w:r w:rsidR="008009C6" w:rsidRPr="006A1591">
        <w:rPr>
          <w:lang w:val="en-AU"/>
        </w:rPr>
        <w:t xml:space="preserve"> </w:t>
      </w:r>
      <w:r w:rsidR="004E2399" w:rsidRPr="006A1591">
        <w:rPr>
          <w:lang w:val="en-AU"/>
        </w:rPr>
        <w:t xml:space="preserve">The text of </w:t>
      </w:r>
      <w:r w:rsidR="004E2399" w:rsidRPr="006A1591">
        <w:rPr>
          <w:i/>
          <w:iCs/>
          <w:lang w:val="en-AU"/>
        </w:rPr>
        <w:t>Baba Qammah 8:6</w:t>
      </w:r>
      <w:r w:rsidR="004E2399" w:rsidRPr="006A1591">
        <w:rPr>
          <w:lang w:val="en-AU"/>
        </w:rPr>
        <w:t xml:space="preserve"> quantifies how much a</w:t>
      </w:r>
      <w:r w:rsidR="00F87FCC" w:rsidRPr="006A1591">
        <w:rPr>
          <w:lang w:val="en-AU"/>
        </w:rPr>
        <w:t xml:space="preserve"> hit or slap is worth</w:t>
      </w:r>
      <w:r w:rsidR="004E2399" w:rsidRPr="006A1591">
        <w:rPr>
          <w:lang w:val="en-AU"/>
        </w:rPr>
        <w:t xml:space="preserve">: </w:t>
      </w:r>
    </w:p>
    <w:p w14:paraId="52D0DCE9" w14:textId="555412A3" w:rsidR="00F87FCC" w:rsidRPr="006A1591" w:rsidRDefault="00F87FCC" w:rsidP="0013497E">
      <w:pPr>
        <w:pStyle w:val="Blockquotation"/>
        <w:rPr>
          <w:sz w:val="24"/>
          <w:lang w:val="en-AU"/>
        </w:rPr>
      </w:pPr>
      <w:r w:rsidRPr="006A1591">
        <w:rPr>
          <w:sz w:val="24"/>
          <w:lang w:val="en-AU"/>
        </w:rPr>
        <w:t xml:space="preserve">If a man boxed the ear of his fellow, he must pay him a sela (four). Rabbi Judah says in the name of Rabbi Yose the Galilean: </w:t>
      </w:r>
      <w:r w:rsidR="00863B47" w:rsidRPr="006A1591">
        <w:rPr>
          <w:sz w:val="24"/>
          <w:lang w:val="en-AU"/>
        </w:rPr>
        <w:t>“</w:t>
      </w:r>
      <w:r w:rsidRPr="006A1591">
        <w:rPr>
          <w:sz w:val="24"/>
          <w:lang w:val="en-AU"/>
        </w:rPr>
        <w:t>A maneh (one hundred.</w:t>
      </w:r>
      <w:r w:rsidR="00863B47" w:rsidRPr="006A1591">
        <w:rPr>
          <w:sz w:val="24"/>
          <w:lang w:val="en-AU"/>
        </w:rPr>
        <w:t>”</w:t>
      </w:r>
    </w:p>
    <w:p w14:paraId="31B7BBB9" w14:textId="77777777" w:rsidR="00F87FCC" w:rsidRPr="006A1591" w:rsidRDefault="00F87FCC" w:rsidP="0013497E">
      <w:pPr>
        <w:pStyle w:val="Blockquotation"/>
        <w:rPr>
          <w:sz w:val="24"/>
          <w:lang w:val="en-AU"/>
        </w:rPr>
      </w:pPr>
      <w:r w:rsidRPr="006A1591">
        <w:rPr>
          <w:sz w:val="24"/>
          <w:lang w:val="en-AU"/>
        </w:rPr>
        <w:t xml:space="preserve">If he slapped </w:t>
      </w:r>
      <w:proofErr w:type="gramStart"/>
      <w:r w:rsidRPr="006A1591">
        <w:rPr>
          <w:sz w:val="24"/>
          <w:lang w:val="en-AU"/>
        </w:rPr>
        <w:t>him</w:t>
      </w:r>
      <w:proofErr w:type="gramEnd"/>
      <w:r w:rsidRPr="006A1591">
        <w:rPr>
          <w:sz w:val="24"/>
          <w:lang w:val="en-AU"/>
        </w:rPr>
        <w:t xml:space="preserve"> he must pay 200 zuz.</w:t>
      </w:r>
    </w:p>
    <w:p w14:paraId="70A98351" w14:textId="77777777" w:rsidR="00F87FCC" w:rsidRPr="006A1591" w:rsidRDefault="00F87FCC" w:rsidP="0013497E">
      <w:pPr>
        <w:pStyle w:val="Blockquotation"/>
        <w:rPr>
          <w:sz w:val="24"/>
          <w:lang w:val="en-AU"/>
        </w:rPr>
      </w:pPr>
      <w:r w:rsidRPr="006A1591">
        <w:rPr>
          <w:sz w:val="24"/>
          <w:lang w:val="en-AU"/>
        </w:rPr>
        <w:t>If with the back of his hand, he must pay him 400 zuz.</w:t>
      </w:r>
    </w:p>
    <w:p w14:paraId="7CDB96A3" w14:textId="37A0EB0D" w:rsidR="00D25D36" w:rsidRPr="006A1591" w:rsidRDefault="00F87FCC" w:rsidP="0013497E">
      <w:pPr>
        <w:pStyle w:val="Blockquotation"/>
        <w:rPr>
          <w:sz w:val="24"/>
          <w:lang w:val="en-AU"/>
        </w:rPr>
      </w:pPr>
      <w:r w:rsidRPr="006A1591">
        <w:rPr>
          <w:sz w:val="24"/>
          <w:lang w:val="en-AU"/>
        </w:rPr>
        <w:t>If he tore at his ear, plucked out his hair, spat at him and his spit touched him, or pulled his cloak from off him, or loosed a woman</w:t>
      </w:r>
      <w:r w:rsidR="005C71CB" w:rsidRPr="006A1591">
        <w:rPr>
          <w:sz w:val="24"/>
          <w:lang w:val="en-AU"/>
        </w:rPr>
        <w:t>’</w:t>
      </w:r>
      <w:r w:rsidRPr="006A1591">
        <w:rPr>
          <w:sz w:val="24"/>
          <w:lang w:val="en-AU"/>
        </w:rPr>
        <w:t>s hair in the street, he must pay 400 zuz. This is the general rule: all is in accordance with the person</w:t>
      </w:r>
      <w:r w:rsidR="005C71CB" w:rsidRPr="006A1591">
        <w:rPr>
          <w:sz w:val="24"/>
          <w:lang w:val="en-AU"/>
        </w:rPr>
        <w:t>’</w:t>
      </w:r>
      <w:r w:rsidRPr="006A1591">
        <w:rPr>
          <w:sz w:val="24"/>
          <w:lang w:val="en-AU"/>
        </w:rPr>
        <w:t>s honor.</w:t>
      </w:r>
    </w:p>
    <w:p w14:paraId="185DD28F" w14:textId="44B81BD3" w:rsidR="006540C0" w:rsidRPr="006A1591" w:rsidRDefault="005B68EF" w:rsidP="00361975">
      <w:pPr>
        <w:spacing w:before="240" w:line="480" w:lineRule="auto"/>
        <w:rPr>
          <w:lang w:val="en-AU"/>
        </w:rPr>
      </w:pPr>
      <w:r w:rsidRPr="006A1591">
        <w:rPr>
          <w:lang w:val="en-AU"/>
        </w:rPr>
        <w:t xml:space="preserve">To receive a </w:t>
      </w:r>
      <w:r w:rsidR="008009C6" w:rsidRPr="006A1591">
        <w:rPr>
          <w:lang w:val="en-AU"/>
        </w:rPr>
        <w:t>backhand</w:t>
      </w:r>
      <w:r w:rsidR="00534F3B" w:rsidRPr="006A1591">
        <w:rPr>
          <w:lang w:val="en-AU"/>
        </w:rPr>
        <w:t>ed slap</w:t>
      </w:r>
      <w:r w:rsidRPr="006A1591">
        <w:rPr>
          <w:lang w:val="en-AU"/>
        </w:rPr>
        <w:t xml:space="preserve"> as an insult</w:t>
      </w:r>
      <w:r w:rsidR="00534F3B" w:rsidRPr="006A1591">
        <w:rPr>
          <w:lang w:val="en-AU"/>
        </w:rPr>
        <w:t>,</w:t>
      </w:r>
      <w:r w:rsidR="00C2017F" w:rsidRPr="006A1591">
        <w:rPr>
          <w:lang w:val="en-AU"/>
        </w:rPr>
        <w:t xml:space="preserve"> may cause </w:t>
      </w:r>
      <w:r w:rsidR="00863B47" w:rsidRPr="006A1591">
        <w:rPr>
          <w:lang w:val="en-AU"/>
        </w:rPr>
        <w:t>“</w:t>
      </w:r>
      <w:r w:rsidR="006540C0" w:rsidRPr="006A1591">
        <w:rPr>
          <w:lang w:val="en-AU"/>
        </w:rPr>
        <w:t>one</w:t>
      </w:r>
      <w:r w:rsidR="005C71CB" w:rsidRPr="006A1591">
        <w:rPr>
          <w:lang w:val="en-AU"/>
        </w:rPr>
        <w:t>’</w:t>
      </w:r>
      <w:r w:rsidR="006540C0" w:rsidRPr="006A1591">
        <w:rPr>
          <w:lang w:val="en-AU"/>
        </w:rPr>
        <w:t xml:space="preserve">s first response to such an insult </w:t>
      </w:r>
      <w:r w:rsidR="00177F26" w:rsidRPr="006A1591">
        <w:rPr>
          <w:lang w:val="en-AU"/>
        </w:rPr>
        <w:t>(to)</w:t>
      </w:r>
      <w:r w:rsidR="006540C0" w:rsidRPr="006A1591">
        <w:rPr>
          <w:lang w:val="en-AU"/>
        </w:rPr>
        <w:t xml:space="preserve"> be physical retaliation, a backhanded slap in kind.</w:t>
      </w:r>
      <w:r w:rsidR="00863B47" w:rsidRPr="006A1591">
        <w:rPr>
          <w:lang w:val="en-AU"/>
        </w:rPr>
        <w:t>”</w:t>
      </w:r>
      <w:r w:rsidR="006540C0" w:rsidRPr="006A1591">
        <w:rPr>
          <w:rStyle w:val="FootnoteReference"/>
          <w:lang w:val="en-AU"/>
        </w:rPr>
        <w:footnoteReference w:id="506"/>
      </w:r>
      <w:r w:rsidR="006540C0" w:rsidRPr="006A1591">
        <w:rPr>
          <w:lang w:val="en-AU"/>
        </w:rPr>
        <w:t xml:space="preserve"> The insulting backhanded slap</w:t>
      </w:r>
      <w:r w:rsidR="00177F26" w:rsidRPr="006A1591">
        <w:rPr>
          <w:lang w:val="en-AU"/>
        </w:rPr>
        <w:t>,</w:t>
      </w:r>
      <w:r w:rsidR="00C2017F" w:rsidRPr="006A1591">
        <w:rPr>
          <w:lang w:val="en-AU"/>
        </w:rPr>
        <w:t xml:space="preserve"> when juxtaposed with στρέψον αὐτῷ καὶ τὴν ἄλλην</w:t>
      </w:r>
      <w:r w:rsidR="00177F26" w:rsidRPr="006A1591">
        <w:rPr>
          <w:lang w:val="en-AU"/>
        </w:rPr>
        <w:t>,</w:t>
      </w:r>
      <w:r w:rsidR="00C2017F" w:rsidRPr="006A1591">
        <w:rPr>
          <w:lang w:val="en-AU"/>
        </w:rPr>
        <w:t xml:space="preserve"> demands social justice because one person has power over </w:t>
      </w:r>
      <w:r w:rsidR="00035655">
        <w:rPr>
          <w:lang w:val="en-AU"/>
        </w:rPr>
        <w:t>another</w:t>
      </w:r>
      <w:r w:rsidR="00C2017F" w:rsidRPr="006A1591">
        <w:rPr>
          <w:lang w:val="en-AU"/>
        </w:rPr>
        <w:t>.</w:t>
      </w:r>
      <w:r w:rsidR="006540C0" w:rsidRPr="006A1591">
        <w:rPr>
          <w:rStyle w:val="FootnoteReference"/>
          <w:lang w:val="en-AU"/>
        </w:rPr>
        <w:footnoteReference w:id="507"/>
      </w:r>
      <w:r w:rsidR="006540C0" w:rsidRPr="006A1591">
        <w:rPr>
          <w:lang w:val="en-AU"/>
        </w:rPr>
        <w:t xml:space="preserve"> </w:t>
      </w:r>
      <w:r w:rsidR="00C055A7" w:rsidRPr="006A1591">
        <w:rPr>
          <w:lang w:val="en-AU"/>
        </w:rPr>
        <w:t xml:space="preserve">στρέψον αὐτῷ καὶ τὴν ἄλλην , according to Davis, </w:t>
      </w:r>
      <w:r w:rsidR="00485E2B" w:rsidRPr="006A1591">
        <w:rPr>
          <w:lang w:val="en-AU"/>
        </w:rPr>
        <w:t xml:space="preserve">implies </w:t>
      </w:r>
      <w:r w:rsidR="006540C0" w:rsidRPr="006A1591">
        <w:rPr>
          <w:lang w:val="en-AU"/>
        </w:rPr>
        <w:t xml:space="preserve">that it </w:t>
      </w:r>
      <w:r w:rsidR="00863B47" w:rsidRPr="006A1591">
        <w:rPr>
          <w:lang w:val="en-AU"/>
        </w:rPr>
        <w:t>“</w:t>
      </w:r>
      <w:r w:rsidR="006540C0" w:rsidRPr="006A1591">
        <w:rPr>
          <w:lang w:val="en-AU"/>
        </w:rPr>
        <w:t>was the most offensive, insulting and humiliating kind of slap.</w:t>
      </w:r>
      <w:r w:rsidR="00863B47" w:rsidRPr="006A1591">
        <w:rPr>
          <w:lang w:val="en-AU"/>
        </w:rPr>
        <w:t>”</w:t>
      </w:r>
      <w:r w:rsidR="006540C0" w:rsidRPr="006A1591">
        <w:rPr>
          <w:rStyle w:val="FootnoteReference"/>
          <w:lang w:val="en-AU"/>
        </w:rPr>
        <w:footnoteReference w:id="508"/>
      </w:r>
      <w:r w:rsidR="006540C0" w:rsidRPr="006A1591">
        <w:rPr>
          <w:lang w:val="en-AU"/>
        </w:rPr>
        <w:t xml:space="preserve"> </w:t>
      </w:r>
      <w:r w:rsidR="00C055A7" w:rsidRPr="006A1591">
        <w:rPr>
          <w:lang w:val="en-AU"/>
        </w:rPr>
        <w:t xml:space="preserve">Consequently, </w:t>
      </w:r>
      <w:r w:rsidR="00485E2B" w:rsidRPr="006A1591">
        <w:rPr>
          <w:lang w:val="en-AU"/>
        </w:rPr>
        <w:t>o</w:t>
      </w:r>
      <w:r w:rsidR="006540C0" w:rsidRPr="006A1591">
        <w:rPr>
          <w:lang w:val="en-AU"/>
        </w:rPr>
        <w:t xml:space="preserve">nce </w:t>
      </w:r>
      <w:r w:rsidR="006540C0" w:rsidRPr="006A1591">
        <w:rPr>
          <w:lang w:val="en-AU"/>
        </w:rPr>
        <w:lastRenderedPageBreak/>
        <w:t xml:space="preserve">the cheek was turned, </w:t>
      </w:r>
      <w:r w:rsidR="00C055A7" w:rsidRPr="006A1591">
        <w:rPr>
          <w:lang w:val="en-AU"/>
        </w:rPr>
        <w:t>one would have to punch an offender in the face because there is no possible way to slap them again.  Jesus</w:t>
      </w:r>
      <w:r w:rsidR="005C71CB" w:rsidRPr="006A1591">
        <w:rPr>
          <w:lang w:val="en-AU"/>
        </w:rPr>
        <w:t>’</w:t>
      </w:r>
      <w:r w:rsidR="006D41DD">
        <w:rPr>
          <w:lang w:val="en-AU"/>
        </w:rPr>
        <w:t>s</w:t>
      </w:r>
      <w:r w:rsidR="00C055A7" w:rsidRPr="006A1591">
        <w:rPr>
          <w:lang w:val="en-AU"/>
        </w:rPr>
        <w:t xml:space="preserve"> form of </w:t>
      </w:r>
      <w:r w:rsidR="00611617" w:rsidRPr="006A1591">
        <w:rPr>
          <w:lang w:val="en-AU"/>
        </w:rPr>
        <w:t>nonviolent</w:t>
      </w:r>
      <w:r w:rsidR="00C055A7" w:rsidRPr="006A1591">
        <w:rPr>
          <w:lang w:val="en-AU"/>
        </w:rPr>
        <w:t xml:space="preserve"> </w:t>
      </w:r>
      <w:r w:rsidR="00C8177B" w:rsidRPr="006A1591">
        <w:rPr>
          <w:lang w:val="en-AU"/>
        </w:rPr>
        <w:t>retaliation</w:t>
      </w:r>
      <w:r w:rsidR="00C055A7" w:rsidRPr="006A1591">
        <w:rPr>
          <w:lang w:val="en-AU"/>
        </w:rPr>
        <w:t xml:space="preserve"> would </w:t>
      </w:r>
      <w:r w:rsidR="00771734" w:rsidRPr="006A1591">
        <w:rPr>
          <w:lang w:val="en-AU"/>
        </w:rPr>
        <w:t>e</w:t>
      </w:r>
      <w:r w:rsidR="00C055A7" w:rsidRPr="006A1591">
        <w:rPr>
          <w:lang w:val="en-AU"/>
        </w:rPr>
        <w:t>licit non-violence</w:t>
      </w:r>
      <w:r w:rsidR="00771734" w:rsidRPr="006A1591">
        <w:rPr>
          <w:lang w:val="en-AU"/>
        </w:rPr>
        <w:t>,</w:t>
      </w:r>
      <w:r w:rsidR="00C055A7" w:rsidRPr="006A1591">
        <w:rPr>
          <w:lang w:val="en-AU"/>
        </w:rPr>
        <w:t xml:space="preserve"> and if someone</w:t>
      </w:r>
      <w:r w:rsidR="00771734" w:rsidRPr="006A1591">
        <w:rPr>
          <w:lang w:val="en-AU"/>
        </w:rPr>
        <w:t xml:space="preserve"> punched another </w:t>
      </w:r>
      <w:r w:rsidR="00597551" w:rsidRPr="006A1591">
        <w:rPr>
          <w:lang w:val="en-AU"/>
        </w:rPr>
        <w:t>violently,</w:t>
      </w:r>
      <w:r w:rsidR="00C055A7" w:rsidRPr="006A1591">
        <w:rPr>
          <w:lang w:val="en-AU"/>
        </w:rPr>
        <w:t xml:space="preserve"> they would be liable under Roman tort law. </w:t>
      </w:r>
    </w:p>
    <w:p w14:paraId="4AD876F9" w14:textId="5EC7FDEF" w:rsidR="006540C0" w:rsidRPr="006A1591" w:rsidRDefault="00532284" w:rsidP="00F5340B">
      <w:pPr>
        <w:pStyle w:val="Heading3"/>
      </w:pPr>
      <w:bookmarkStart w:id="164" w:name="_Toc94537032"/>
      <w:bookmarkStart w:id="165" w:name="_Toc118063679"/>
      <w:r w:rsidRPr="006A1591">
        <w:t>8.</w:t>
      </w:r>
      <w:r w:rsidR="002E1250" w:rsidRPr="006A1591">
        <w:t>5</w:t>
      </w:r>
      <w:r w:rsidR="00D246C8" w:rsidRPr="006A1591">
        <w:t>.</w:t>
      </w:r>
      <w:r w:rsidR="002E1250" w:rsidRPr="006A1591">
        <w:t>1</w:t>
      </w:r>
      <w:r w:rsidR="006540C0" w:rsidRPr="006A1591">
        <w:rPr>
          <w:i/>
          <w:iCs/>
        </w:rPr>
        <w:t xml:space="preserve"> </w:t>
      </w:r>
      <w:r w:rsidR="00096D4B" w:rsidRPr="006A1591">
        <w:t xml:space="preserve">Slapping </w:t>
      </w:r>
      <w:r w:rsidR="00503B24">
        <w:t>S</w:t>
      </w:r>
      <w:r w:rsidR="00096D4B" w:rsidRPr="006A1591">
        <w:t>ubmission in the Torah</w:t>
      </w:r>
      <w:bookmarkEnd w:id="164"/>
      <w:bookmarkEnd w:id="165"/>
      <w:r w:rsidR="00856D23" w:rsidRPr="006A1591">
        <w:t xml:space="preserve"> </w:t>
      </w:r>
    </w:p>
    <w:p w14:paraId="0CF90DC4" w14:textId="35030564" w:rsidR="006540C0" w:rsidRPr="006A1591" w:rsidRDefault="00096D4B" w:rsidP="00D77A96">
      <w:pPr>
        <w:spacing w:line="480" w:lineRule="auto"/>
        <w:contextualSpacing/>
        <w:rPr>
          <w:lang w:val="en-AU"/>
        </w:rPr>
      </w:pPr>
      <w:r w:rsidRPr="006A1591">
        <w:rPr>
          <w:lang w:val="en-AU"/>
        </w:rPr>
        <w:tab/>
        <w:t xml:space="preserve">There </w:t>
      </w:r>
      <w:r w:rsidR="00EB1093" w:rsidRPr="006A1591">
        <w:rPr>
          <w:lang w:val="en-AU"/>
        </w:rPr>
        <w:t xml:space="preserve">are </w:t>
      </w:r>
      <w:r w:rsidRPr="006A1591">
        <w:rPr>
          <w:lang w:val="en-AU"/>
        </w:rPr>
        <w:t>examples in Torah found in Job 16:10 and in Lamentations 3:25</w:t>
      </w:r>
      <w:r w:rsidR="00EB1093" w:rsidRPr="006A1591">
        <w:rPr>
          <w:lang w:val="en-AU"/>
        </w:rPr>
        <w:t>–</w:t>
      </w:r>
      <w:r w:rsidRPr="006A1591">
        <w:rPr>
          <w:lang w:val="en-AU"/>
        </w:rPr>
        <w:t xml:space="preserve">30 </w:t>
      </w:r>
      <w:r w:rsidR="00826D2A" w:rsidRPr="006A1591">
        <w:rPr>
          <w:lang w:val="en-AU"/>
        </w:rPr>
        <w:t>demonstrating</w:t>
      </w:r>
      <w:r w:rsidRPr="006A1591">
        <w:rPr>
          <w:lang w:val="en-AU"/>
        </w:rPr>
        <w:t xml:space="preserve"> slapping as a submission to an aggressor.  </w:t>
      </w:r>
      <w:r w:rsidR="00826D2A" w:rsidRPr="006A1591">
        <w:rPr>
          <w:lang w:val="en-AU"/>
        </w:rPr>
        <w:t xml:space="preserve">In Job 16:10 the </w:t>
      </w:r>
      <w:r w:rsidR="004F5028" w:rsidRPr="006A1591">
        <w:rPr>
          <w:lang w:val="en-AU"/>
        </w:rPr>
        <w:t>act</w:t>
      </w:r>
      <w:r w:rsidR="00826D2A" w:rsidRPr="006A1591">
        <w:rPr>
          <w:lang w:val="en-AU"/>
        </w:rPr>
        <w:t xml:space="preserve"> of being </w:t>
      </w:r>
      <w:r w:rsidR="00F54637" w:rsidRPr="006A1591">
        <w:rPr>
          <w:lang w:val="en-AU"/>
        </w:rPr>
        <w:t>slapped</w:t>
      </w:r>
      <w:r w:rsidR="00826D2A" w:rsidRPr="006A1591">
        <w:rPr>
          <w:lang w:val="en-AU"/>
        </w:rPr>
        <w:t xml:space="preserve"> on the cheek creat</w:t>
      </w:r>
      <w:r w:rsidR="004F5028" w:rsidRPr="006A1591">
        <w:rPr>
          <w:lang w:val="en-AU"/>
        </w:rPr>
        <w:t>es</w:t>
      </w:r>
      <w:r w:rsidR="00826D2A" w:rsidRPr="006A1591">
        <w:rPr>
          <w:lang w:val="en-AU"/>
        </w:rPr>
        <w:t xml:space="preserve"> a scene in which the person is violated.  </w:t>
      </w:r>
      <w:r w:rsidR="006540C0" w:rsidRPr="006A1591">
        <w:rPr>
          <w:lang w:val="en-AU"/>
        </w:rPr>
        <w:t>Job 16:10</w:t>
      </w:r>
      <w:r w:rsidR="00653DC5" w:rsidRPr="006A1591">
        <w:rPr>
          <w:lang w:val="en-AU"/>
        </w:rPr>
        <w:t xml:space="preserve"> reads:</w:t>
      </w:r>
    </w:p>
    <w:p w14:paraId="0F2EE4E7" w14:textId="5CEE4EFC" w:rsidR="00D25D36" w:rsidRPr="009E7B69" w:rsidRDefault="006540C0" w:rsidP="006540C0">
      <w:pPr>
        <w:ind w:leftChars="709" w:left="1702" w:right="709" w:firstLine="284"/>
        <w:jc w:val="right"/>
      </w:pPr>
      <w:r w:rsidRPr="009E7B69">
        <w:t> </w:t>
      </w:r>
      <w:r w:rsidRPr="009E7B69">
        <w:rPr>
          <w:rtl/>
        </w:rPr>
        <w:t>פָּעֲרוּ עָלַי בְּפִיהֶם בְּחֶרְפָּה הִכּוּ לְחָיָי יַחַד עָלַי יִתְמַלָּאֽוּן׃</w:t>
      </w:r>
    </w:p>
    <w:p w14:paraId="15103056" w14:textId="394B8865" w:rsidR="00D25D36" w:rsidRPr="006A1591" w:rsidRDefault="006540C0" w:rsidP="006540C0">
      <w:pPr>
        <w:ind w:left="720" w:right="709"/>
        <w:rPr>
          <w:lang w:val="en-AU"/>
        </w:rPr>
      </w:pPr>
      <w:r w:rsidRPr="006A1591">
        <w:rPr>
          <w:lang w:val="en-AU"/>
        </w:rPr>
        <w:t>They have gaped at me with their mouths; they have struck me insolently on the cheek; they mass themselves together against me (NRSV)</w:t>
      </w:r>
      <w:r w:rsidR="00A7112A" w:rsidRPr="006A1591">
        <w:rPr>
          <w:lang w:val="en-AU"/>
        </w:rPr>
        <w:t>.</w:t>
      </w:r>
    </w:p>
    <w:p w14:paraId="4EBD38E3" w14:textId="34D844F9" w:rsidR="006540C0" w:rsidRPr="006A1591" w:rsidRDefault="001B4988" w:rsidP="00361975">
      <w:pPr>
        <w:spacing w:before="240" w:line="480" w:lineRule="auto"/>
        <w:rPr>
          <w:lang w:val="en-AU"/>
        </w:rPr>
      </w:pPr>
      <w:r w:rsidRPr="006A1591">
        <w:rPr>
          <w:bCs/>
          <w:lang w:val="en-AU"/>
        </w:rPr>
        <w:t xml:space="preserve">In Job 16:10, the striking on a cheek is very similar to the action </w:t>
      </w:r>
      <w:r w:rsidR="004F5028" w:rsidRPr="006A1591">
        <w:rPr>
          <w:bCs/>
          <w:lang w:val="en-AU"/>
        </w:rPr>
        <w:t>described in</w:t>
      </w:r>
      <w:r w:rsidRPr="006A1591">
        <w:rPr>
          <w:bCs/>
          <w:lang w:val="en-AU"/>
        </w:rPr>
        <w:t xml:space="preserve"> in Matthew 5:</w:t>
      </w:r>
      <w:r w:rsidR="00A975DB" w:rsidRPr="006A1591">
        <w:rPr>
          <w:bCs/>
          <w:lang w:val="en-AU"/>
        </w:rPr>
        <w:t>39</w:t>
      </w:r>
      <w:r w:rsidRPr="006A1591">
        <w:rPr>
          <w:bCs/>
          <w:lang w:val="en-AU"/>
        </w:rPr>
        <w:t xml:space="preserve"> </w:t>
      </w:r>
      <w:r w:rsidR="00A975DB" w:rsidRPr="006A1591">
        <w:rPr>
          <w:bCs/>
          <w:lang w:val="en-AU"/>
        </w:rPr>
        <w:t>(</w:t>
      </w:r>
      <w:r w:rsidRPr="006A1591">
        <w:rPr>
          <w:lang w:val="en-AU"/>
        </w:rPr>
        <w:t>στρέψον αὐτῷ καὶ τὴν ἄλλην</w:t>
      </w:r>
      <w:r w:rsidR="00A975DB" w:rsidRPr="006A1591">
        <w:rPr>
          <w:lang w:val="en-AU"/>
        </w:rPr>
        <w:t>)</w:t>
      </w:r>
      <w:r w:rsidRPr="006A1591">
        <w:rPr>
          <w:lang w:val="en-AU"/>
        </w:rPr>
        <w:t xml:space="preserve">. </w:t>
      </w:r>
      <w:r w:rsidR="00002F9A" w:rsidRPr="006A1591">
        <w:rPr>
          <w:lang w:val="en-AU"/>
        </w:rPr>
        <w:t xml:space="preserve">Men slapped Job. </w:t>
      </w:r>
      <w:r w:rsidRPr="006A1591">
        <w:rPr>
          <w:lang w:val="en-AU"/>
        </w:rPr>
        <w:t xml:space="preserve">Job does not </w:t>
      </w:r>
      <w:r w:rsidR="00191E1D" w:rsidRPr="006A1591">
        <w:rPr>
          <w:lang w:val="en-AU"/>
        </w:rPr>
        <w:t>strike</w:t>
      </w:r>
      <w:r w:rsidRPr="006A1591">
        <w:rPr>
          <w:lang w:val="en-AU"/>
        </w:rPr>
        <w:t xml:space="preserve"> back</w:t>
      </w:r>
      <w:r w:rsidR="001D22E5" w:rsidRPr="006A1591">
        <w:rPr>
          <w:lang w:val="en-AU"/>
        </w:rPr>
        <w:t>: his response is nonviolent</w:t>
      </w:r>
      <w:r w:rsidRPr="006A1591">
        <w:rPr>
          <w:lang w:val="en-AU"/>
        </w:rPr>
        <w:t xml:space="preserve"> </w:t>
      </w:r>
      <w:r w:rsidR="00571B5E" w:rsidRPr="006A1591">
        <w:rPr>
          <w:bCs/>
          <w:lang w:val="en-AU"/>
        </w:rPr>
        <w:t xml:space="preserve">and this reflects </w:t>
      </w:r>
      <w:r w:rsidR="00E6452C" w:rsidRPr="006A1591">
        <w:rPr>
          <w:bCs/>
          <w:lang w:val="en-AU"/>
        </w:rPr>
        <w:t xml:space="preserve">his </w:t>
      </w:r>
      <w:r w:rsidR="008B193E" w:rsidRPr="006A1591">
        <w:rPr>
          <w:bCs/>
          <w:lang w:val="en-AU"/>
        </w:rPr>
        <w:t>character</w:t>
      </w:r>
      <w:r w:rsidR="006540C0" w:rsidRPr="006A1591">
        <w:rPr>
          <w:lang w:val="en-AU"/>
        </w:rPr>
        <w:t>.</w:t>
      </w:r>
      <w:r w:rsidR="006540C0" w:rsidRPr="006A1591">
        <w:rPr>
          <w:rStyle w:val="FootnoteReference"/>
          <w:lang w:val="en-AU"/>
        </w:rPr>
        <w:footnoteReference w:id="509"/>
      </w:r>
      <w:r w:rsidR="006540C0" w:rsidRPr="006A1591">
        <w:rPr>
          <w:lang w:val="en-AU"/>
        </w:rPr>
        <w:t xml:space="preserve"> </w:t>
      </w:r>
      <w:r w:rsidR="00E6452C" w:rsidRPr="006A1591">
        <w:rPr>
          <w:lang w:val="en-AU"/>
        </w:rPr>
        <w:t>D</w:t>
      </w:r>
      <w:r w:rsidR="006540C0" w:rsidRPr="006A1591">
        <w:rPr>
          <w:lang w:val="en-AU"/>
        </w:rPr>
        <w:t xml:space="preserve">uring his period of torment </w:t>
      </w:r>
      <w:r w:rsidR="00E6452C" w:rsidRPr="006A1591">
        <w:rPr>
          <w:lang w:val="en-AU"/>
        </w:rPr>
        <w:t xml:space="preserve">Job </w:t>
      </w:r>
      <w:r w:rsidR="00126C7A" w:rsidRPr="006A1591">
        <w:rPr>
          <w:lang w:val="en-AU"/>
        </w:rPr>
        <w:t>does not resist</w:t>
      </w:r>
      <w:r w:rsidR="00002F9A" w:rsidRPr="006A1591">
        <w:rPr>
          <w:lang w:val="en-AU"/>
        </w:rPr>
        <w:t xml:space="preserve"> and </w:t>
      </w:r>
      <w:r w:rsidR="006866DF" w:rsidRPr="006A1591">
        <w:rPr>
          <w:lang w:val="en-AU"/>
        </w:rPr>
        <w:t xml:space="preserve">according to Niebuhr, it should be </w:t>
      </w:r>
      <w:r w:rsidR="006540C0" w:rsidRPr="006A1591">
        <w:rPr>
          <w:lang w:val="en-AU"/>
        </w:rPr>
        <w:t>with nonviolence.</w:t>
      </w:r>
      <w:r w:rsidR="006540C0" w:rsidRPr="006A1591">
        <w:rPr>
          <w:rStyle w:val="FootnoteReference"/>
          <w:lang w:val="en-AU"/>
        </w:rPr>
        <w:footnoteReference w:id="510"/>
      </w:r>
      <w:r w:rsidR="006540C0" w:rsidRPr="006A1591">
        <w:rPr>
          <w:lang w:val="en-AU"/>
        </w:rPr>
        <w:t xml:space="preserve"> The distinction is important for Niebuhr</w:t>
      </w:r>
      <w:r w:rsidR="006866DF" w:rsidRPr="006A1591">
        <w:rPr>
          <w:lang w:val="en-AU"/>
        </w:rPr>
        <w:t xml:space="preserve"> who in </w:t>
      </w:r>
      <w:r w:rsidR="006540C0" w:rsidRPr="006A1591">
        <w:rPr>
          <w:i/>
          <w:lang w:val="en-AU"/>
        </w:rPr>
        <w:t>Moral Man and Immoral Society</w:t>
      </w:r>
      <w:r w:rsidR="006866DF" w:rsidRPr="006A1591">
        <w:rPr>
          <w:i/>
          <w:lang w:val="en-AU"/>
        </w:rPr>
        <w:t xml:space="preserve"> </w:t>
      </w:r>
      <w:r w:rsidR="006866DF" w:rsidRPr="006A1591">
        <w:rPr>
          <w:iCs/>
          <w:lang w:val="en-AU"/>
        </w:rPr>
        <w:t>suggest</w:t>
      </w:r>
      <w:r w:rsidR="00752583" w:rsidRPr="006A1591">
        <w:rPr>
          <w:iCs/>
          <w:lang w:val="en-AU"/>
        </w:rPr>
        <w:t>s</w:t>
      </w:r>
      <w:r w:rsidR="006866DF" w:rsidRPr="006A1591">
        <w:rPr>
          <w:iCs/>
          <w:lang w:val="en-AU"/>
        </w:rPr>
        <w:t xml:space="preserve"> that violence is not inherently evil.</w:t>
      </w:r>
      <w:r w:rsidR="006540C0" w:rsidRPr="006A1591">
        <w:rPr>
          <w:rStyle w:val="FootnoteReference"/>
          <w:lang w:val="en-AU"/>
        </w:rPr>
        <w:footnoteReference w:id="511"/>
      </w:r>
      <w:r w:rsidR="006540C0" w:rsidRPr="006A1591">
        <w:rPr>
          <w:lang w:val="en-AU"/>
        </w:rPr>
        <w:t xml:space="preserve"> </w:t>
      </w:r>
      <w:r w:rsidR="006866DF" w:rsidRPr="006A1591">
        <w:rPr>
          <w:lang w:val="en-AU"/>
        </w:rPr>
        <w:t xml:space="preserve">Jesus also would have had many physical and verbal </w:t>
      </w:r>
      <w:r w:rsidR="00843E43" w:rsidRPr="006A1591">
        <w:rPr>
          <w:lang w:val="en-AU"/>
        </w:rPr>
        <w:t>insults thrown</w:t>
      </w:r>
      <w:r w:rsidR="006866DF" w:rsidRPr="006A1591">
        <w:rPr>
          <w:lang w:val="en-AU"/>
        </w:rPr>
        <w:t xml:space="preserve"> at him during the </w:t>
      </w:r>
      <w:r w:rsidR="006866DF" w:rsidRPr="006A1591">
        <w:rPr>
          <w:lang w:val="en-AU"/>
        </w:rPr>
        <w:lastRenderedPageBreak/>
        <w:t xml:space="preserve">last few days </w:t>
      </w:r>
      <w:r w:rsidR="00843E43" w:rsidRPr="006A1591">
        <w:rPr>
          <w:lang w:val="en-AU"/>
        </w:rPr>
        <w:t>of his life.</w:t>
      </w:r>
      <w:r w:rsidR="00D15A87" w:rsidRPr="006A1591">
        <w:rPr>
          <w:lang w:val="en-AU"/>
        </w:rPr>
        <w:t xml:space="preserve"> T</w:t>
      </w:r>
      <w:r w:rsidR="006866DF" w:rsidRPr="006A1591">
        <w:rPr>
          <w:lang w:val="en-AU"/>
        </w:rPr>
        <w:t xml:space="preserve">his is </w:t>
      </w:r>
      <w:r w:rsidR="00D15A87" w:rsidRPr="006A1591">
        <w:rPr>
          <w:lang w:val="en-AU"/>
        </w:rPr>
        <w:t xml:space="preserve">a situation </w:t>
      </w:r>
      <w:r w:rsidR="006866DF" w:rsidRPr="006A1591">
        <w:rPr>
          <w:lang w:val="en-AU"/>
        </w:rPr>
        <w:t>similar to Job</w:t>
      </w:r>
      <w:r w:rsidR="005C71CB" w:rsidRPr="006A1591">
        <w:rPr>
          <w:lang w:val="en-AU"/>
        </w:rPr>
        <w:t>’</w:t>
      </w:r>
      <w:r w:rsidR="006866DF" w:rsidRPr="006A1591">
        <w:rPr>
          <w:lang w:val="en-AU"/>
        </w:rPr>
        <w:t>s trials</w:t>
      </w:r>
      <w:r w:rsidR="00D15A87" w:rsidRPr="006A1591">
        <w:rPr>
          <w:lang w:val="en-AU"/>
        </w:rPr>
        <w:t xml:space="preserve"> and</w:t>
      </w:r>
      <w:r w:rsidR="007E5769" w:rsidRPr="006A1591">
        <w:rPr>
          <w:lang w:val="en-AU"/>
        </w:rPr>
        <w:t xml:space="preserve"> </w:t>
      </w:r>
      <w:r w:rsidR="006866DF" w:rsidRPr="006A1591">
        <w:rPr>
          <w:lang w:val="en-AU"/>
        </w:rPr>
        <w:t>the</w:t>
      </w:r>
      <w:r w:rsidR="00D15A87" w:rsidRPr="006A1591">
        <w:rPr>
          <w:lang w:val="en-AU"/>
        </w:rPr>
        <w:t>re is a</w:t>
      </w:r>
      <w:r w:rsidR="006866DF" w:rsidRPr="006A1591">
        <w:rPr>
          <w:lang w:val="en-AU"/>
        </w:rPr>
        <w:t xml:space="preserve"> connection to striking on the cheek because Jesus did not retaliate.</w:t>
      </w:r>
      <w:r w:rsidR="006540C0" w:rsidRPr="006A1591">
        <w:rPr>
          <w:rStyle w:val="FootnoteReference"/>
          <w:lang w:val="en-AU"/>
        </w:rPr>
        <w:footnoteReference w:id="512"/>
      </w:r>
      <w:r w:rsidR="006540C0" w:rsidRPr="006A1591">
        <w:rPr>
          <w:lang w:val="en-AU"/>
        </w:rPr>
        <w:t xml:space="preserve"> </w:t>
      </w:r>
      <w:r w:rsidR="00D5049A" w:rsidRPr="006A1591">
        <w:rPr>
          <w:lang w:val="en-AU"/>
        </w:rPr>
        <w:t>The actions of slapping in Job and Matthew 5:3</w:t>
      </w:r>
      <w:r w:rsidR="002C4565" w:rsidRPr="006A1591">
        <w:rPr>
          <w:lang w:val="en-AU"/>
        </w:rPr>
        <w:t>9</w:t>
      </w:r>
      <w:r w:rsidR="00D5049A" w:rsidRPr="006A1591">
        <w:rPr>
          <w:lang w:val="en-AU"/>
        </w:rPr>
        <w:t xml:space="preserve"> both demonstrate</w:t>
      </w:r>
      <w:r w:rsidR="006540C0" w:rsidRPr="006A1591">
        <w:rPr>
          <w:lang w:val="en-AU"/>
        </w:rPr>
        <w:t xml:space="preserve"> </w:t>
      </w:r>
      <w:r w:rsidR="00863B47" w:rsidRPr="006A1591">
        <w:rPr>
          <w:lang w:val="en-AU"/>
        </w:rPr>
        <w:t>“</w:t>
      </w:r>
      <w:r w:rsidR="006540C0" w:rsidRPr="006A1591">
        <w:rPr>
          <w:lang w:val="en-AU"/>
        </w:rPr>
        <w:t>an insulting action.</w:t>
      </w:r>
      <w:r w:rsidR="00863B47" w:rsidRPr="006A1591">
        <w:rPr>
          <w:lang w:val="en-AU"/>
        </w:rPr>
        <w:t>”</w:t>
      </w:r>
      <w:r w:rsidR="006540C0" w:rsidRPr="006A1591">
        <w:rPr>
          <w:rStyle w:val="FootnoteReference"/>
          <w:lang w:val="en-AU"/>
        </w:rPr>
        <w:footnoteReference w:id="513"/>
      </w:r>
      <w:r w:rsidR="006540C0" w:rsidRPr="006A1591">
        <w:rPr>
          <w:lang w:val="en-AU"/>
        </w:rPr>
        <w:t xml:space="preserve"> Edgar Gibson</w:t>
      </w:r>
      <w:r w:rsidR="00D5049A" w:rsidRPr="006A1591">
        <w:rPr>
          <w:lang w:val="en-AU"/>
        </w:rPr>
        <w:t xml:space="preserve"> notes that in the time of Jesus and </w:t>
      </w:r>
      <w:r w:rsidR="002C4565" w:rsidRPr="006A1591">
        <w:rPr>
          <w:lang w:val="en-AU"/>
        </w:rPr>
        <w:t xml:space="preserve">of </w:t>
      </w:r>
      <w:r w:rsidR="00D5049A" w:rsidRPr="006A1591">
        <w:rPr>
          <w:lang w:val="en-AU"/>
        </w:rPr>
        <w:t>Job</w:t>
      </w:r>
      <w:r w:rsidR="00B75C71" w:rsidRPr="006A1591">
        <w:rPr>
          <w:lang w:val="en-AU"/>
        </w:rPr>
        <w:t>,</w:t>
      </w:r>
      <w:r w:rsidR="00D5049A" w:rsidRPr="006A1591">
        <w:rPr>
          <w:lang w:val="en-AU"/>
        </w:rPr>
        <w:t xml:space="preserve">  </w:t>
      </w:r>
      <w:r w:rsidR="006540C0" w:rsidRPr="006A1591">
        <w:rPr>
          <w:lang w:val="en-AU"/>
        </w:rPr>
        <w:t>smiting</w:t>
      </w:r>
      <w:r w:rsidR="00D5049A" w:rsidRPr="006A1591">
        <w:rPr>
          <w:lang w:val="en-AU"/>
        </w:rPr>
        <w:t xml:space="preserve"> or striking a person on the cheek was an insult</w:t>
      </w:r>
      <w:r w:rsidR="00073740" w:rsidRPr="006A1591">
        <w:rPr>
          <w:lang w:val="en-AU"/>
        </w:rPr>
        <w:t>, and still is today</w:t>
      </w:r>
      <w:r w:rsidR="006540C0" w:rsidRPr="006A1591">
        <w:rPr>
          <w:lang w:val="en-AU"/>
        </w:rPr>
        <w:t>.</w:t>
      </w:r>
      <w:r w:rsidR="006540C0" w:rsidRPr="006A1591">
        <w:rPr>
          <w:rStyle w:val="FootnoteReference"/>
          <w:lang w:val="en-AU"/>
        </w:rPr>
        <w:footnoteReference w:id="514"/>
      </w:r>
      <w:r w:rsidR="006540C0" w:rsidRPr="006A1591">
        <w:rPr>
          <w:lang w:val="en-AU"/>
        </w:rPr>
        <w:t xml:space="preserve"> </w:t>
      </w:r>
      <w:r w:rsidR="00B75C71" w:rsidRPr="006A1591">
        <w:rPr>
          <w:lang w:val="en-AU"/>
        </w:rPr>
        <w:t>Brown suggests that i</w:t>
      </w:r>
      <w:r w:rsidR="00D5049A" w:rsidRPr="006A1591">
        <w:rPr>
          <w:lang w:val="en-AU"/>
        </w:rPr>
        <w:t xml:space="preserve">n the </w:t>
      </w:r>
      <w:r w:rsidR="00B75C71" w:rsidRPr="006A1591">
        <w:rPr>
          <w:lang w:val="en-AU"/>
        </w:rPr>
        <w:t xml:space="preserve">story of </w:t>
      </w:r>
      <w:r w:rsidR="00D5049A" w:rsidRPr="006A1591">
        <w:rPr>
          <w:lang w:val="en-AU"/>
        </w:rPr>
        <w:t xml:space="preserve">Job the </w:t>
      </w:r>
      <w:r w:rsidR="006540C0" w:rsidRPr="006A1591">
        <w:rPr>
          <w:lang w:val="en-AU"/>
        </w:rPr>
        <w:t xml:space="preserve">Hebrew text describes </w:t>
      </w:r>
      <w:r w:rsidR="00D5049A" w:rsidRPr="006A1591">
        <w:rPr>
          <w:lang w:val="en-AU"/>
        </w:rPr>
        <w:t xml:space="preserve">slapping on the cheek as </w:t>
      </w:r>
      <w:r w:rsidR="00863B47" w:rsidRPr="006A1591">
        <w:rPr>
          <w:lang w:val="en-AU"/>
        </w:rPr>
        <w:t>“</w:t>
      </w:r>
      <w:r w:rsidR="006540C0" w:rsidRPr="006A1591">
        <w:rPr>
          <w:lang w:val="en-AU"/>
        </w:rPr>
        <w:t>an act of contempt, insult or reproach.</w:t>
      </w:r>
      <w:r w:rsidR="00863B47" w:rsidRPr="006A1591">
        <w:rPr>
          <w:lang w:val="en-AU"/>
        </w:rPr>
        <w:t>”</w:t>
      </w:r>
      <w:r w:rsidR="006540C0" w:rsidRPr="006A1591">
        <w:rPr>
          <w:rStyle w:val="FootnoteReference"/>
          <w:lang w:val="en-AU"/>
        </w:rPr>
        <w:footnoteReference w:id="515"/>
      </w:r>
      <w:r w:rsidR="006540C0" w:rsidRPr="006A1591">
        <w:rPr>
          <w:lang w:val="en-AU"/>
        </w:rPr>
        <w:t xml:space="preserve"> </w:t>
      </w:r>
    </w:p>
    <w:p w14:paraId="291B127C" w14:textId="38EAB3C3" w:rsidR="00D25D36" w:rsidRPr="006A1591" w:rsidRDefault="00653DC5" w:rsidP="00D77A96">
      <w:pPr>
        <w:spacing w:before="120" w:line="480" w:lineRule="auto"/>
        <w:rPr>
          <w:rStyle w:val="Strong"/>
          <w:lang w:val="en-AU"/>
        </w:rPr>
      </w:pPr>
      <w:r w:rsidRPr="006A1591">
        <w:rPr>
          <w:lang w:val="en-AU"/>
        </w:rPr>
        <w:tab/>
        <w:t xml:space="preserve">The </w:t>
      </w:r>
      <w:r w:rsidR="001F4AEA" w:rsidRPr="006A1591">
        <w:rPr>
          <w:lang w:val="en-AU"/>
        </w:rPr>
        <w:t>act</w:t>
      </w:r>
      <w:r w:rsidRPr="006A1591">
        <w:rPr>
          <w:lang w:val="en-AU"/>
        </w:rPr>
        <w:t xml:space="preserve"> of being slapped and hit on the cheek is also evident in </w:t>
      </w:r>
      <w:r w:rsidR="006540C0" w:rsidRPr="006A1591">
        <w:rPr>
          <w:bCs/>
          <w:lang w:val="en-AU"/>
        </w:rPr>
        <w:t>Lamentations 3:25</w:t>
      </w:r>
      <w:r w:rsidR="00B3483D" w:rsidRPr="006A1591">
        <w:rPr>
          <w:bCs/>
          <w:lang w:val="en-AU"/>
        </w:rPr>
        <w:t>–</w:t>
      </w:r>
      <w:r w:rsidR="006540C0" w:rsidRPr="006A1591">
        <w:rPr>
          <w:bCs/>
          <w:lang w:val="en-AU"/>
        </w:rPr>
        <w:t>30</w:t>
      </w:r>
      <w:r w:rsidR="00617BEC" w:rsidRPr="006A1591">
        <w:rPr>
          <w:bCs/>
          <w:lang w:val="en-AU"/>
        </w:rPr>
        <w:t xml:space="preserve">, which </w:t>
      </w:r>
      <w:r w:rsidRPr="006A1591">
        <w:rPr>
          <w:bCs/>
          <w:lang w:val="en-AU"/>
        </w:rPr>
        <w:t xml:space="preserve">gives a parallel to </w:t>
      </w:r>
      <w:r w:rsidR="00B103A9" w:rsidRPr="006A1591">
        <w:rPr>
          <w:bCs/>
          <w:lang w:val="en-AU"/>
        </w:rPr>
        <w:t xml:space="preserve">the situation </w:t>
      </w:r>
      <w:r w:rsidR="00D4618F" w:rsidRPr="006A1591">
        <w:rPr>
          <w:bCs/>
          <w:lang w:val="en-AU"/>
        </w:rPr>
        <w:t xml:space="preserve">in </w:t>
      </w:r>
      <w:r w:rsidRPr="006A1591">
        <w:rPr>
          <w:bCs/>
          <w:lang w:val="en-AU"/>
        </w:rPr>
        <w:t>Matthew 5:3</w:t>
      </w:r>
      <w:r w:rsidR="00617BEC" w:rsidRPr="006A1591">
        <w:rPr>
          <w:bCs/>
          <w:lang w:val="en-AU"/>
        </w:rPr>
        <w:t>9</w:t>
      </w:r>
      <w:r w:rsidRPr="006A1591">
        <w:rPr>
          <w:bCs/>
          <w:lang w:val="en-AU"/>
        </w:rPr>
        <w:t xml:space="preserve"> in which a person turns their cheek to a smiter.  The question must be asked </w:t>
      </w:r>
      <w:r w:rsidR="00D4618F" w:rsidRPr="006A1591">
        <w:rPr>
          <w:bCs/>
          <w:lang w:val="en-AU"/>
        </w:rPr>
        <w:t>whether</w:t>
      </w:r>
      <w:r w:rsidRPr="006A1591">
        <w:rPr>
          <w:bCs/>
          <w:lang w:val="en-AU"/>
        </w:rPr>
        <w:t xml:space="preserve"> Jesus was alluding </w:t>
      </w:r>
      <w:r w:rsidR="00D4618F" w:rsidRPr="006A1591">
        <w:rPr>
          <w:bCs/>
          <w:lang w:val="en-AU"/>
        </w:rPr>
        <w:t>to</w:t>
      </w:r>
      <w:r w:rsidRPr="006A1591">
        <w:rPr>
          <w:bCs/>
          <w:lang w:val="en-AU"/>
        </w:rPr>
        <w:t xml:space="preserve"> this verse and</w:t>
      </w:r>
      <w:r w:rsidR="00D4618F" w:rsidRPr="006A1591">
        <w:rPr>
          <w:bCs/>
          <w:lang w:val="en-AU"/>
        </w:rPr>
        <w:t>,</w:t>
      </w:r>
      <w:r w:rsidRPr="006A1591">
        <w:rPr>
          <w:bCs/>
          <w:lang w:val="en-AU"/>
        </w:rPr>
        <w:t xml:space="preserve"> if so, why was this done.  </w:t>
      </w:r>
      <w:r w:rsidR="006540C0" w:rsidRPr="006A1591">
        <w:rPr>
          <w:rStyle w:val="Strong"/>
          <w:b w:val="0"/>
          <w:bCs/>
          <w:lang w:val="en-AU"/>
        </w:rPr>
        <w:t xml:space="preserve"> Lamentations 3:25</w:t>
      </w:r>
      <w:r w:rsidR="00D4618F" w:rsidRPr="006A1591">
        <w:rPr>
          <w:rStyle w:val="Strong"/>
          <w:b w:val="0"/>
          <w:bCs/>
          <w:lang w:val="en-AU"/>
        </w:rPr>
        <w:t>–</w:t>
      </w:r>
      <w:r w:rsidR="006540C0" w:rsidRPr="006A1591">
        <w:rPr>
          <w:rStyle w:val="Strong"/>
          <w:b w:val="0"/>
          <w:bCs/>
          <w:lang w:val="en-AU"/>
        </w:rPr>
        <w:t>30</w:t>
      </w:r>
      <w:r w:rsidRPr="006A1591">
        <w:rPr>
          <w:rStyle w:val="Strong"/>
          <w:b w:val="0"/>
          <w:bCs/>
          <w:lang w:val="en-AU"/>
        </w:rPr>
        <w:t xml:space="preserve"> states: </w:t>
      </w:r>
    </w:p>
    <w:p w14:paraId="59FA749E" w14:textId="77777777" w:rsidR="006540C0" w:rsidRPr="009E7B69" w:rsidRDefault="006540C0" w:rsidP="00A023B9">
      <w:pPr>
        <w:adjustRightInd w:val="0"/>
        <w:ind w:left="706" w:right="720"/>
        <w:contextualSpacing/>
        <w:jc w:val="right"/>
      </w:pPr>
    </w:p>
    <w:p w14:paraId="7858A46A" w14:textId="77777777" w:rsidR="006540C0" w:rsidRPr="009E7B69" w:rsidRDefault="006540C0" w:rsidP="00A023B9">
      <w:pPr>
        <w:adjustRightInd w:val="0"/>
        <w:ind w:left="720" w:right="720"/>
        <w:contextualSpacing/>
        <w:jc w:val="right"/>
        <w:rPr>
          <w:highlight w:val="yellow"/>
        </w:rPr>
      </w:pPr>
      <w:r w:rsidRPr="009E7B69">
        <w:rPr>
          <w:rtl/>
        </w:rPr>
        <w:t>טֹוב יְהוָה לְקֹוָו לְנֶפֶשׁ תִּדְרְשֶֽׁנּוּ׃</w:t>
      </w:r>
    </w:p>
    <w:p w14:paraId="7BA88099" w14:textId="77777777" w:rsidR="006540C0" w:rsidRPr="009E7B69" w:rsidRDefault="006540C0" w:rsidP="00A023B9">
      <w:pPr>
        <w:adjustRightInd w:val="0"/>
        <w:ind w:left="720" w:right="720"/>
        <w:contextualSpacing/>
        <w:jc w:val="right"/>
        <w:rPr>
          <w:highlight w:val="yellow"/>
        </w:rPr>
      </w:pPr>
      <w:r w:rsidRPr="009E7B69">
        <w:t xml:space="preserve">  </w:t>
      </w:r>
      <w:r w:rsidRPr="009E7B69">
        <w:rPr>
          <w:rtl/>
        </w:rPr>
        <w:t>טֹוב וְיָחִיל וְדוּמָם לִתְשׁוּעַת יְהוָֽה׃</w:t>
      </w:r>
    </w:p>
    <w:p w14:paraId="0A5A64CC" w14:textId="77777777" w:rsidR="006540C0" w:rsidRPr="009E7B69" w:rsidRDefault="006540C0" w:rsidP="00A023B9">
      <w:pPr>
        <w:adjustRightInd w:val="0"/>
        <w:ind w:left="720" w:right="720"/>
        <w:contextualSpacing/>
        <w:jc w:val="right"/>
        <w:rPr>
          <w:highlight w:val="yellow"/>
        </w:rPr>
      </w:pPr>
      <w:r w:rsidRPr="009E7B69">
        <w:t xml:space="preserve">  </w:t>
      </w:r>
      <w:r w:rsidRPr="009E7B69">
        <w:rPr>
          <w:rtl/>
        </w:rPr>
        <w:t>טֹוב לַגֶּבֶר כִּֽי־יִשָּׂא עֹל בִּנְעוּרָֽיו׃ ס</w:t>
      </w:r>
    </w:p>
    <w:p w14:paraId="48D99949" w14:textId="77777777" w:rsidR="006540C0" w:rsidRPr="009E7B69" w:rsidRDefault="006540C0" w:rsidP="00A023B9">
      <w:pPr>
        <w:adjustRightInd w:val="0"/>
        <w:ind w:left="720" w:right="720" w:firstLine="284"/>
        <w:contextualSpacing/>
        <w:jc w:val="right"/>
      </w:pPr>
      <w:r w:rsidRPr="009E7B69">
        <w:t xml:space="preserve">  </w:t>
      </w:r>
      <w:r w:rsidRPr="009E7B69">
        <w:rPr>
          <w:rtl/>
        </w:rPr>
        <w:t>יֵשֵׁב בָּדָד וְיִדֹּם כִּי נָטַל עָלָֽיו׃</w:t>
      </w:r>
    </w:p>
    <w:p w14:paraId="5EDA61AE" w14:textId="77777777" w:rsidR="006540C0" w:rsidRPr="009E7B69" w:rsidRDefault="006540C0" w:rsidP="00A023B9">
      <w:pPr>
        <w:adjustRightInd w:val="0"/>
        <w:ind w:left="720" w:right="720" w:firstLine="284"/>
        <w:contextualSpacing/>
        <w:jc w:val="right"/>
      </w:pPr>
      <w:r w:rsidRPr="009E7B69">
        <w:t xml:space="preserve">  </w:t>
      </w:r>
      <w:r w:rsidRPr="009E7B69">
        <w:rPr>
          <w:rtl/>
        </w:rPr>
        <w:t>יִתֵּן בֶּֽעָפָר פִּיהוּ אוּלַי יֵשׁ תִּקְוָֽה׃</w:t>
      </w:r>
    </w:p>
    <w:p w14:paraId="0EA0DE37" w14:textId="2617770A" w:rsidR="00D25D36" w:rsidRPr="009E7B69" w:rsidRDefault="006540C0" w:rsidP="00A023B9">
      <w:pPr>
        <w:adjustRightInd w:val="0"/>
        <w:ind w:left="720" w:right="720" w:firstLine="284"/>
        <w:contextualSpacing/>
        <w:jc w:val="right"/>
      </w:pPr>
      <w:r w:rsidRPr="009E7B69">
        <w:t xml:space="preserve">  </w:t>
      </w:r>
      <w:r w:rsidRPr="009E7B69">
        <w:rPr>
          <w:rtl/>
        </w:rPr>
        <w:t>יִתֵּן לְמַכֵּהוּ לֶחִי יִשְׂבַּע בְּחֶרְפָּֽה׃ ס</w:t>
      </w:r>
    </w:p>
    <w:p w14:paraId="1A02AEAF" w14:textId="77777777" w:rsidR="006540C0" w:rsidRPr="006A1591" w:rsidRDefault="006540C0" w:rsidP="006540C0">
      <w:pPr>
        <w:ind w:left="706" w:right="706"/>
        <w:rPr>
          <w:lang w:val="en-AU"/>
        </w:rPr>
      </w:pPr>
      <w:r w:rsidRPr="006A1591">
        <w:rPr>
          <w:rStyle w:val="verse-25"/>
          <w:lang w:val="en-AU"/>
        </w:rPr>
        <w:t>The Lord is good to those who wait for him, to the soul that seeks him. </w:t>
      </w:r>
    </w:p>
    <w:p w14:paraId="73F4413E" w14:textId="77777777" w:rsidR="006540C0" w:rsidRPr="006A1591" w:rsidRDefault="006540C0" w:rsidP="006540C0">
      <w:pPr>
        <w:ind w:left="706" w:right="706"/>
        <w:rPr>
          <w:lang w:val="en-AU"/>
        </w:rPr>
      </w:pPr>
      <w:r w:rsidRPr="006A1591">
        <w:rPr>
          <w:rStyle w:val="verse-26"/>
          <w:lang w:val="en-AU"/>
        </w:rPr>
        <w:t>It is good that one should wait quietly for the salvation of the Lord. </w:t>
      </w:r>
    </w:p>
    <w:p w14:paraId="7C77E746" w14:textId="77777777" w:rsidR="006540C0" w:rsidRPr="006A1591" w:rsidRDefault="006540C0" w:rsidP="006540C0">
      <w:pPr>
        <w:ind w:left="706" w:right="706"/>
        <w:rPr>
          <w:lang w:val="en-AU"/>
        </w:rPr>
      </w:pPr>
      <w:r w:rsidRPr="006A1591">
        <w:rPr>
          <w:rStyle w:val="verse-27"/>
          <w:lang w:val="en-AU"/>
        </w:rPr>
        <w:t>It is good for one to bear the yoke in youth, </w:t>
      </w:r>
    </w:p>
    <w:p w14:paraId="1EF05D18" w14:textId="77777777" w:rsidR="006540C0" w:rsidRPr="006A1591" w:rsidRDefault="006540C0" w:rsidP="006540C0">
      <w:pPr>
        <w:ind w:left="706" w:right="706"/>
        <w:rPr>
          <w:lang w:val="en-AU"/>
        </w:rPr>
      </w:pPr>
      <w:r w:rsidRPr="006A1591">
        <w:rPr>
          <w:rStyle w:val="verse-28"/>
          <w:lang w:val="en-AU"/>
        </w:rPr>
        <w:t>to sit alone in silence when the Lord has imposed it, </w:t>
      </w:r>
    </w:p>
    <w:p w14:paraId="06303485" w14:textId="634E2226" w:rsidR="006540C0" w:rsidRPr="006A1591" w:rsidRDefault="006540C0" w:rsidP="006540C0">
      <w:pPr>
        <w:ind w:left="706" w:right="706"/>
        <w:rPr>
          <w:lang w:val="en-AU"/>
        </w:rPr>
      </w:pPr>
      <w:r w:rsidRPr="006A1591">
        <w:rPr>
          <w:rStyle w:val="verse-29"/>
          <w:lang w:val="en-AU"/>
        </w:rPr>
        <w:t>to put one</w:t>
      </w:r>
      <w:r w:rsidR="005C71CB" w:rsidRPr="006A1591">
        <w:rPr>
          <w:rStyle w:val="verse-29"/>
          <w:lang w:val="en-AU"/>
        </w:rPr>
        <w:t>’</w:t>
      </w:r>
      <w:r w:rsidRPr="006A1591">
        <w:rPr>
          <w:rStyle w:val="verse-29"/>
          <w:lang w:val="en-AU"/>
        </w:rPr>
        <w:t>s mouth to the dust (there may yet be hope), </w:t>
      </w:r>
    </w:p>
    <w:p w14:paraId="4C799C2D" w14:textId="71CFACDC" w:rsidR="00D25D36" w:rsidRPr="006A1591" w:rsidRDefault="006540C0" w:rsidP="006540C0">
      <w:pPr>
        <w:ind w:left="706" w:right="706"/>
        <w:rPr>
          <w:lang w:val="en-AU"/>
        </w:rPr>
      </w:pPr>
      <w:r w:rsidRPr="006A1591">
        <w:rPr>
          <w:rStyle w:val="verse-30"/>
          <w:lang w:val="en-AU"/>
        </w:rPr>
        <w:t>to give one</w:t>
      </w:r>
      <w:r w:rsidR="005C71CB" w:rsidRPr="006A1591">
        <w:rPr>
          <w:rStyle w:val="verse-30"/>
          <w:lang w:val="en-AU"/>
        </w:rPr>
        <w:t>’</w:t>
      </w:r>
      <w:r w:rsidRPr="006A1591">
        <w:rPr>
          <w:rStyle w:val="verse-30"/>
          <w:lang w:val="en-AU"/>
        </w:rPr>
        <w:t xml:space="preserve">s cheek to the </w:t>
      </w:r>
      <w:proofErr w:type="gramStart"/>
      <w:r w:rsidRPr="006A1591">
        <w:rPr>
          <w:rStyle w:val="verse-30"/>
          <w:lang w:val="en-AU"/>
        </w:rPr>
        <w:t>smiter, and</w:t>
      </w:r>
      <w:proofErr w:type="gramEnd"/>
      <w:r w:rsidRPr="006A1591">
        <w:rPr>
          <w:rStyle w:val="verse-30"/>
          <w:lang w:val="en-AU"/>
        </w:rPr>
        <w:t xml:space="preserve"> be filled with insults.</w:t>
      </w:r>
    </w:p>
    <w:p w14:paraId="387DAA56" w14:textId="1A4D9A2B" w:rsidR="006540C0" w:rsidRPr="006A1591" w:rsidRDefault="00467D4E" w:rsidP="007F5AAE">
      <w:pPr>
        <w:spacing w:before="240" w:line="480" w:lineRule="auto"/>
        <w:ind w:firstLine="706"/>
        <w:rPr>
          <w:lang w:val="en-AU"/>
        </w:rPr>
      </w:pPr>
      <w:r w:rsidRPr="006A1591">
        <w:rPr>
          <w:lang w:val="en-AU"/>
        </w:rPr>
        <w:lastRenderedPageBreak/>
        <w:t xml:space="preserve">Lamentations </w:t>
      </w:r>
      <w:r w:rsidR="006540C0" w:rsidRPr="006A1591">
        <w:rPr>
          <w:lang w:val="en-AU"/>
        </w:rPr>
        <w:t>3:25</w:t>
      </w:r>
      <w:r w:rsidR="00C31CFA" w:rsidRPr="006A1591">
        <w:rPr>
          <w:lang w:val="en-AU"/>
        </w:rPr>
        <w:t>–</w:t>
      </w:r>
      <w:r w:rsidR="006540C0" w:rsidRPr="006A1591">
        <w:rPr>
          <w:lang w:val="en-AU"/>
        </w:rPr>
        <w:t xml:space="preserve">30 </w:t>
      </w:r>
      <w:r w:rsidRPr="006A1591">
        <w:rPr>
          <w:lang w:val="en-AU"/>
        </w:rPr>
        <w:t xml:space="preserve">provides </w:t>
      </w:r>
      <w:r w:rsidR="00C52A6F" w:rsidRPr="006A1591">
        <w:rPr>
          <w:lang w:val="en-AU"/>
        </w:rPr>
        <w:t xml:space="preserve">an </w:t>
      </w:r>
      <w:r w:rsidRPr="006A1591">
        <w:rPr>
          <w:lang w:val="en-AU"/>
        </w:rPr>
        <w:t>insi</w:t>
      </w:r>
      <w:r w:rsidR="00C63B2C" w:rsidRPr="006A1591">
        <w:rPr>
          <w:lang w:val="en-AU"/>
        </w:rPr>
        <w:t xml:space="preserve">ght </w:t>
      </w:r>
      <w:r w:rsidRPr="006A1591">
        <w:rPr>
          <w:lang w:val="en-AU"/>
        </w:rPr>
        <w:t xml:space="preserve">into the way ancient </w:t>
      </w:r>
      <w:r w:rsidR="00C63B2C" w:rsidRPr="006A1591">
        <w:rPr>
          <w:lang w:val="en-AU"/>
        </w:rPr>
        <w:t>Israelites</w:t>
      </w:r>
      <w:r w:rsidRPr="006A1591">
        <w:rPr>
          <w:lang w:val="en-AU"/>
        </w:rPr>
        <w:t xml:space="preserve"> viewed the </w:t>
      </w:r>
      <w:r w:rsidR="00C31CFA" w:rsidRPr="006A1591">
        <w:rPr>
          <w:lang w:val="en-AU"/>
        </w:rPr>
        <w:t>act</w:t>
      </w:r>
      <w:r w:rsidRPr="006A1591">
        <w:rPr>
          <w:lang w:val="en-AU"/>
        </w:rPr>
        <w:t xml:space="preserve"> of </w:t>
      </w:r>
      <w:r w:rsidR="00C63B2C" w:rsidRPr="006A1591">
        <w:rPr>
          <w:lang w:val="en-AU"/>
        </w:rPr>
        <w:t>smiting</w:t>
      </w:r>
      <w:r w:rsidRPr="006A1591">
        <w:rPr>
          <w:lang w:val="en-AU"/>
        </w:rPr>
        <w:t xml:space="preserve">.  </w:t>
      </w:r>
      <w:r w:rsidR="00C52A6F" w:rsidRPr="006A1591">
        <w:rPr>
          <w:lang w:val="en-AU"/>
        </w:rPr>
        <w:t>G</w:t>
      </w:r>
      <w:r w:rsidRPr="006A1591">
        <w:rPr>
          <w:lang w:val="en-AU"/>
        </w:rPr>
        <w:t xml:space="preserve">iving </w:t>
      </w:r>
      <w:r w:rsidR="00C31CFA" w:rsidRPr="006A1591">
        <w:rPr>
          <w:lang w:val="en-AU"/>
        </w:rPr>
        <w:t>one</w:t>
      </w:r>
      <w:r w:rsidR="005C71CB" w:rsidRPr="006A1591">
        <w:rPr>
          <w:lang w:val="en-AU"/>
        </w:rPr>
        <w:t>’</w:t>
      </w:r>
      <w:r w:rsidR="00C31CFA" w:rsidRPr="006A1591">
        <w:rPr>
          <w:lang w:val="en-AU"/>
        </w:rPr>
        <w:t xml:space="preserve">s </w:t>
      </w:r>
      <w:r w:rsidRPr="006A1591">
        <w:rPr>
          <w:lang w:val="en-AU"/>
        </w:rPr>
        <w:t xml:space="preserve">cheek to the smiter and being </w:t>
      </w:r>
      <w:r w:rsidR="00823413" w:rsidRPr="006A1591">
        <w:rPr>
          <w:lang w:val="en-AU"/>
        </w:rPr>
        <w:t>the recipient of</w:t>
      </w:r>
      <w:r w:rsidRPr="006A1591">
        <w:rPr>
          <w:lang w:val="en-AU"/>
        </w:rPr>
        <w:t xml:space="preserve"> insult</w:t>
      </w:r>
      <w:r w:rsidR="00823413" w:rsidRPr="006A1591">
        <w:rPr>
          <w:lang w:val="en-AU"/>
        </w:rPr>
        <w:t>s</w:t>
      </w:r>
      <w:r w:rsidR="00966CA1" w:rsidRPr="006A1591">
        <w:rPr>
          <w:lang w:val="en-AU"/>
        </w:rPr>
        <w:t xml:space="preserve"> are connected</w:t>
      </w:r>
      <w:r w:rsidRPr="006A1591">
        <w:rPr>
          <w:lang w:val="en-AU"/>
        </w:rPr>
        <w:t xml:space="preserve">. Gibson suggests that being hit on the cheek was part of an existing and pre-known </w:t>
      </w:r>
      <w:r w:rsidR="00073740" w:rsidRPr="006A1591">
        <w:rPr>
          <w:lang w:val="en-AU"/>
        </w:rPr>
        <w:t xml:space="preserve">understanding </w:t>
      </w:r>
      <w:r w:rsidR="00C63B2C" w:rsidRPr="006A1591">
        <w:rPr>
          <w:lang w:val="en-AU"/>
        </w:rPr>
        <w:t>of shame</w:t>
      </w:r>
      <w:r w:rsidR="006540C0" w:rsidRPr="006A1591">
        <w:rPr>
          <w:lang w:val="en-AU"/>
        </w:rPr>
        <w:t>.</w:t>
      </w:r>
      <w:r w:rsidR="006540C0" w:rsidRPr="006A1591">
        <w:rPr>
          <w:rStyle w:val="FootnoteReference"/>
          <w:lang w:val="en-AU"/>
        </w:rPr>
        <w:footnoteReference w:id="516"/>
      </w:r>
      <w:r w:rsidR="006540C0" w:rsidRPr="006A1591">
        <w:rPr>
          <w:lang w:val="en-AU"/>
        </w:rPr>
        <w:t xml:space="preserve"> </w:t>
      </w:r>
      <w:r w:rsidR="00DD21AB" w:rsidRPr="006A1591">
        <w:rPr>
          <w:lang w:val="en-AU"/>
        </w:rPr>
        <w:t xml:space="preserve">Other translations </w:t>
      </w:r>
      <w:r w:rsidR="002B7041" w:rsidRPr="006A1591">
        <w:rPr>
          <w:lang w:val="en-AU"/>
        </w:rPr>
        <w:t>of Lamentations 3:25</w:t>
      </w:r>
      <w:r w:rsidR="00504DF1" w:rsidRPr="006A1591">
        <w:rPr>
          <w:lang w:val="en-AU"/>
        </w:rPr>
        <w:t>–</w:t>
      </w:r>
      <w:r w:rsidR="002B7041" w:rsidRPr="006A1591">
        <w:rPr>
          <w:lang w:val="en-AU"/>
        </w:rPr>
        <w:t xml:space="preserve">30 </w:t>
      </w:r>
      <w:r w:rsidR="00DD21AB" w:rsidRPr="006A1591">
        <w:rPr>
          <w:lang w:val="en-AU"/>
        </w:rPr>
        <w:t>suggest patience is a virtue (JPS):</w:t>
      </w:r>
      <w:r w:rsidR="006540C0" w:rsidRPr="006A1591">
        <w:rPr>
          <w:lang w:val="en-AU"/>
        </w:rPr>
        <w:t xml:space="preserve"> </w:t>
      </w:r>
      <w:r w:rsidR="00863B47" w:rsidRPr="006A1591">
        <w:rPr>
          <w:lang w:val="en-AU"/>
        </w:rPr>
        <w:t>“</w:t>
      </w:r>
      <w:r w:rsidR="006540C0" w:rsidRPr="006A1591">
        <w:rPr>
          <w:lang w:val="en-AU"/>
        </w:rPr>
        <w:t>Let him sit alone and be patient, when he has laid it upon him. Let him put his mouth to the dust—there may yet be hope. Let him offer his cheek to the smiter; let him be surfeited with mockery.</w:t>
      </w:r>
      <w:r w:rsidR="00863B47" w:rsidRPr="006A1591">
        <w:rPr>
          <w:lang w:val="en-AU"/>
        </w:rPr>
        <w:t>”</w:t>
      </w:r>
      <w:r w:rsidR="006540C0" w:rsidRPr="006A1591">
        <w:rPr>
          <w:lang w:val="en-AU"/>
        </w:rPr>
        <w:t xml:space="preserve"> </w:t>
      </w:r>
      <w:r w:rsidR="00DD21AB" w:rsidRPr="006A1591">
        <w:rPr>
          <w:lang w:val="en-AU"/>
        </w:rPr>
        <w:t xml:space="preserve">Patience is a virtue for a person who </w:t>
      </w:r>
      <w:r w:rsidR="004B41C6" w:rsidRPr="006A1591">
        <w:rPr>
          <w:lang w:val="en-AU"/>
        </w:rPr>
        <w:t>is</w:t>
      </w:r>
      <w:r w:rsidR="00E7520D" w:rsidRPr="006A1591">
        <w:rPr>
          <w:lang w:val="en-AU"/>
        </w:rPr>
        <w:t xml:space="preserve"> smitte</w:t>
      </w:r>
      <w:r w:rsidR="002B7041" w:rsidRPr="006A1591">
        <w:rPr>
          <w:lang w:val="en-AU"/>
        </w:rPr>
        <w:t>n</w:t>
      </w:r>
      <w:r w:rsidR="00E7520D" w:rsidRPr="006A1591">
        <w:rPr>
          <w:lang w:val="en-AU"/>
        </w:rPr>
        <w:t>.</w:t>
      </w:r>
      <w:r w:rsidR="00C63B2C" w:rsidRPr="006A1591">
        <w:rPr>
          <w:lang w:val="en-AU"/>
        </w:rPr>
        <w:t xml:space="preserve"> </w:t>
      </w:r>
      <w:r w:rsidR="00E7520D" w:rsidRPr="006A1591">
        <w:rPr>
          <w:lang w:val="en-AU"/>
        </w:rPr>
        <w:t>It is noted that</w:t>
      </w:r>
      <w:r w:rsidR="00C63B2C" w:rsidRPr="006A1591">
        <w:rPr>
          <w:lang w:val="en-AU"/>
        </w:rPr>
        <w:t xml:space="preserve"> </w:t>
      </w:r>
      <w:r w:rsidR="002B7041" w:rsidRPr="006A1591">
        <w:rPr>
          <w:lang w:val="en-AU"/>
        </w:rPr>
        <w:t xml:space="preserve">turning the other cheek </w:t>
      </w:r>
      <w:proofErr w:type="gramStart"/>
      <w:r w:rsidR="002B7041" w:rsidRPr="006A1591">
        <w:rPr>
          <w:lang w:val="en-AU"/>
        </w:rPr>
        <w:t>is connected with</w:t>
      </w:r>
      <w:proofErr w:type="gramEnd"/>
      <w:r w:rsidR="002B7041" w:rsidRPr="006A1591">
        <w:rPr>
          <w:lang w:val="en-AU"/>
        </w:rPr>
        <w:t xml:space="preserve"> shame </w:t>
      </w:r>
      <w:r w:rsidR="00C63B2C" w:rsidRPr="006A1591">
        <w:rPr>
          <w:lang w:val="en-AU"/>
        </w:rPr>
        <w:t xml:space="preserve">in </w:t>
      </w:r>
      <w:r w:rsidR="002B7041" w:rsidRPr="006A1591">
        <w:rPr>
          <w:lang w:val="en-AU"/>
        </w:rPr>
        <w:t xml:space="preserve">both </w:t>
      </w:r>
      <w:r w:rsidR="00C63B2C" w:rsidRPr="006A1591">
        <w:rPr>
          <w:lang w:val="en-AU"/>
        </w:rPr>
        <w:t>Matthew 5:3</w:t>
      </w:r>
      <w:r w:rsidR="002B7041" w:rsidRPr="006A1591">
        <w:rPr>
          <w:lang w:val="en-AU"/>
        </w:rPr>
        <w:t>9</w:t>
      </w:r>
      <w:r w:rsidR="00C63B2C" w:rsidRPr="006A1591">
        <w:rPr>
          <w:lang w:val="en-AU"/>
        </w:rPr>
        <w:t xml:space="preserve"> and </w:t>
      </w:r>
      <w:r w:rsidR="00E7520D" w:rsidRPr="006A1591">
        <w:rPr>
          <w:lang w:val="en-AU"/>
        </w:rPr>
        <w:t>Lamentations</w:t>
      </w:r>
      <w:r w:rsidR="002B7041" w:rsidRPr="006A1591">
        <w:rPr>
          <w:lang w:val="en-AU"/>
        </w:rPr>
        <w:t xml:space="preserve"> 3.</w:t>
      </w:r>
      <w:r w:rsidR="00C63B2C" w:rsidRPr="006A1591">
        <w:rPr>
          <w:lang w:val="en-AU"/>
        </w:rPr>
        <w:t xml:space="preserve"> Habel suggests that the verse </w:t>
      </w:r>
      <w:r w:rsidR="002B7041" w:rsidRPr="006A1591">
        <w:rPr>
          <w:lang w:val="en-AU"/>
        </w:rPr>
        <w:t>is not</w:t>
      </w:r>
      <w:r w:rsidR="002B7041" w:rsidRPr="006A1591" w:rsidDel="002B7041">
        <w:rPr>
          <w:lang w:val="en-AU"/>
        </w:rPr>
        <w:t xml:space="preserve"> </w:t>
      </w:r>
      <w:r w:rsidR="006540C0" w:rsidRPr="006A1591">
        <w:rPr>
          <w:lang w:val="en-AU"/>
        </w:rPr>
        <w:t xml:space="preserve">about </w:t>
      </w:r>
      <w:r w:rsidR="00863B47" w:rsidRPr="006A1591">
        <w:rPr>
          <w:lang w:val="en-AU"/>
        </w:rPr>
        <w:t>“</w:t>
      </w:r>
      <w:r w:rsidR="006540C0" w:rsidRPr="006A1591">
        <w:rPr>
          <w:lang w:val="en-AU"/>
        </w:rPr>
        <w:t>swallow[ing] insults without retaliating</w:t>
      </w:r>
      <w:r w:rsidR="00863B47" w:rsidRPr="006A1591">
        <w:rPr>
          <w:lang w:val="en-AU"/>
        </w:rPr>
        <w:t>”</w:t>
      </w:r>
      <w:r w:rsidR="006540C0" w:rsidRPr="006A1591">
        <w:rPr>
          <w:lang w:val="en-AU"/>
        </w:rPr>
        <w:t xml:space="preserve">, but </w:t>
      </w:r>
      <w:r w:rsidR="00C63B2C" w:rsidRPr="006A1591">
        <w:rPr>
          <w:lang w:val="en-AU"/>
        </w:rPr>
        <w:t xml:space="preserve">more about having the patience </w:t>
      </w:r>
      <w:r w:rsidR="002B7041" w:rsidRPr="006A1591">
        <w:rPr>
          <w:lang w:val="en-AU"/>
        </w:rPr>
        <w:t>to refrain from r</w:t>
      </w:r>
      <w:r w:rsidR="008F022D" w:rsidRPr="006A1591">
        <w:rPr>
          <w:lang w:val="en-AU"/>
        </w:rPr>
        <w:t>eacti</w:t>
      </w:r>
      <w:r w:rsidR="002B7041" w:rsidRPr="006A1591">
        <w:rPr>
          <w:lang w:val="en-AU"/>
        </w:rPr>
        <w:t>ng.</w:t>
      </w:r>
      <w:r w:rsidR="006540C0" w:rsidRPr="006A1591">
        <w:rPr>
          <w:rStyle w:val="FootnoteReference"/>
          <w:lang w:val="en-AU"/>
        </w:rPr>
        <w:footnoteReference w:id="517"/>
      </w:r>
      <w:r w:rsidR="008F022D" w:rsidRPr="006A1591">
        <w:rPr>
          <w:lang w:val="en-AU"/>
        </w:rPr>
        <w:t xml:space="preserve"> If applied to the Sermon, this connect</w:t>
      </w:r>
      <w:r w:rsidR="005B7761" w:rsidRPr="006A1591">
        <w:rPr>
          <w:lang w:val="en-AU"/>
        </w:rPr>
        <w:t>s</w:t>
      </w:r>
      <w:r w:rsidR="008F022D" w:rsidRPr="006A1591">
        <w:rPr>
          <w:lang w:val="en-AU"/>
        </w:rPr>
        <w:t xml:space="preserve"> very well with having wisdom in how one </w:t>
      </w:r>
      <w:r w:rsidR="001250BC" w:rsidRPr="006A1591">
        <w:rPr>
          <w:lang w:val="en-AU"/>
        </w:rPr>
        <w:t>responds</w:t>
      </w:r>
      <w:r w:rsidR="008F022D" w:rsidRPr="006A1591">
        <w:rPr>
          <w:lang w:val="en-AU"/>
        </w:rPr>
        <w:t xml:space="preserve">, especially in the context of turning the other cheek. </w:t>
      </w:r>
      <w:r w:rsidR="006540C0" w:rsidRPr="006A1591">
        <w:rPr>
          <w:lang w:val="en-AU"/>
        </w:rPr>
        <w:t xml:space="preserve"> </w:t>
      </w:r>
      <w:r w:rsidR="008F022D" w:rsidRPr="006A1591">
        <w:rPr>
          <w:lang w:val="en-AU"/>
        </w:rPr>
        <w:t xml:space="preserve">It becomes evident that στρέψον αὐτῷ καὶ τὴν ἄλλην is not a new </w:t>
      </w:r>
      <w:r w:rsidR="00F3217F" w:rsidRPr="006A1591">
        <w:rPr>
          <w:lang w:val="en-AU"/>
        </w:rPr>
        <w:t>teaching</w:t>
      </w:r>
      <w:r w:rsidR="008F022D" w:rsidRPr="006A1591">
        <w:rPr>
          <w:lang w:val="en-AU"/>
        </w:rPr>
        <w:t xml:space="preserve"> p</w:t>
      </w:r>
      <w:r w:rsidR="00F3217F" w:rsidRPr="006A1591">
        <w:rPr>
          <w:lang w:val="en-AU"/>
        </w:rPr>
        <w:t>ropo</w:t>
      </w:r>
      <w:r w:rsidR="008F022D" w:rsidRPr="006A1591">
        <w:rPr>
          <w:lang w:val="en-AU"/>
        </w:rPr>
        <w:t xml:space="preserve">sed by Jesus.  Worth contends that </w:t>
      </w:r>
      <w:r w:rsidR="00863B47" w:rsidRPr="006A1591">
        <w:rPr>
          <w:lang w:val="en-AU"/>
        </w:rPr>
        <w:t>“</w:t>
      </w:r>
      <w:r w:rsidR="006540C0" w:rsidRPr="006A1591">
        <w:rPr>
          <w:lang w:val="en-AU"/>
        </w:rPr>
        <w:t xml:space="preserve">Jesus did not originate some new doctrine in his teaching on </w:t>
      </w:r>
      <w:r w:rsidR="00073740" w:rsidRPr="006A1591">
        <w:rPr>
          <w:lang w:val="en-AU"/>
        </w:rPr>
        <w:t>nonretaliation but</w:t>
      </w:r>
      <w:r w:rsidR="006540C0" w:rsidRPr="006A1591">
        <w:rPr>
          <w:lang w:val="en-AU"/>
        </w:rPr>
        <w:t xml:space="preserve"> was faithfully presenting an approach voiced by the sages recorded in the Old Testament.</w:t>
      </w:r>
      <w:r w:rsidR="00863B47" w:rsidRPr="006A1591">
        <w:rPr>
          <w:lang w:val="en-AU"/>
        </w:rPr>
        <w:t>”</w:t>
      </w:r>
      <w:r w:rsidR="006540C0" w:rsidRPr="006A1591">
        <w:rPr>
          <w:lang w:val="en-AU"/>
        </w:rPr>
        <w:t xml:space="preserve"> </w:t>
      </w:r>
      <w:r w:rsidR="006540C0" w:rsidRPr="006A1591">
        <w:rPr>
          <w:rStyle w:val="FootnoteReference"/>
          <w:lang w:val="en-AU"/>
        </w:rPr>
        <w:footnoteReference w:id="518"/>
      </w:r>
      <w:r w:rsidR="006540C0" w:rsidRPr="006A1591">
        <w:rPr>
          <w:lang w:val="en-AU"/>
        </w:rPr>
        <w:t xml:space="preserve"> </w:t>
      </w:r>
      <w:r w:rsidR="008F022D" w:rsidRPr="006A1591">
        <w:rPr>
          <w:lang w:val="en-AU"/>
        </w:rPr>
        <w:t xml:space="preserve">To look at Lamentations in more detail, </w:t>
      </w:r>
      <w:r w:rsidR="006540C0" w:rsidRPr="006A1591">
        <w:rPr>
          <w:lang w:val="en-AU"/>
        </w:rPr>
        <w:t>Lamentations 3:30 uses the word</w:t>
      </w:r>
      <w:r w:rsidR="006540C0" w:rsidRPr="009E7B69">
        <w:t xml:space="preserve"> </w:t>
      </w:r>
      <w:r w:rsidR="006540C0" w:rsidRPr="009E7B69">
        <w:rPr>
          <w:rtl/>
        </w:rPr>
        <w:t>לְחִי</w:t>
      </w:r>
      <w:r w:rsidR="006540C0" w:rsidRPr="009E7B69">
        <w:t xml:space="preserve"> </w:t>
      </w:r>
      <w:r w:rsidR="008F022D" w:rsidRPr="006A1591">
        <w:rPr>
          <w:lang w:val="en-AU"/>
        </w:rPr>
        <w:t xml:space="preserve">which has </w:t>
      </w:r>
      <w:r w:rsidR="006540C0" w:rsidRPr="006A1591">
        <w:rPr>
          <w:lang w:val="en-AU"/>
        </w:rPr>
        <w:t xml:space="preserve">a root meaning </w:t>
      </w:r>
      <w:r w:rsidR="00863B47" w:rsidRPr="006A1591">
        <w:rPr>
          <w:lang w:val="en-AU"/>
        </w:rPr>
        <w:t>“</w:t>
      </w:r>
      <w:r w:rsidR="006540C0" w:rsidRPr="006A1591">
        <w:rPr>
          <w:lang w:val="en-AU"/>
        </w:rPr>
        <w:t>to be soft</w:t>
      </w:r>
      <w:r w:rsidR="008F022D" w:rsidRPr="006A1591">
        <w:rPr>
          <w:lang w:val="en-AU"/>
        </w:rPr>
        <w:t>.</w:t>
      </w:r>
      <w:r w:rsidR="00863B47" w:rsidRPr="006A1591">
        <w:rPr>
          <w:lang w:val="en-AU"/>
        </w:rPr>
        <w:t>”</w:t>
      </w:r>
      <w:r w:rsidR="006540C0" w:rsidRPr="006A1591">
        <w:rPr>
          <w:lang w:val="en-AU"/>
        </w:rPr>
        <w:t xml:space="preserve"> </w:t>
      </w:r>
      <w:r w:rsidR="008F022D" w:rsidRPr="006A1591">
        <w:rPr>
          <w:lang w:val="en-AU"/>
        </w:rPr>
        <w:t>This use of</w:t>
      </w:r>
      <w:r w:rsidR="008F022D" w:rsidRPr="009E7B69">
        <w:t xml:space="preserve"> </w:t>
      </w:r>
      <w:r w:rsidR="008F022D" w:rsidRPr="009E7B69">
        <w:rPr>
          <w:rtl/>
        </w:rPr>
        <w:t>לְחִי</w:t>
      </w:r>
      <w:r w:rsidR="008F022D" w:rsidRPr="009E7B69">
        <w:t xml:space="preserve"> </w:t>
      </w:r>
      <w:r w:rsidR="00E05B7A" w:rsidRPr="006A1591">
        <w:rPr>
          <w:lang w:val="en-AU"/>
        </w:rPr>
        <w:t xml:space="preserve">is </w:t>
      </w:r>
      <w:r w:rsidR="00F3217F" w:rsidRPr="006A1591">
        <w:rPr>
          <w:lang w:val="en-AU"/>
        </w:rPr>
        <w:t>made</w:t>
      </w:r>
      <w:r w:rsidR="00E05B7A" w:rsidRPr="006A1591">
        <w:rPr>
          <w:lang w:val="en-AU"/>
        </w:rPr>
        <w:t xml:space="preserve"> </w:t>
      </w:r>
      <w:r w:rsidR="006540C0" w:rsidRPr="006A1591">
        <w:rPr>
          <w:lang w:val="en-AU"/>
        </w:rPr>
        <w:t>in reference to the jawbone</w:t>
      </w:r>
      <w:r w:rsidR="00E05B7A" w:rsidRPr="006A1591">
        <w:rPr>
          <w:lang w:val="en-AU"/>
        </w:rPr>
        <w:t xml:space="preserve">; </w:t>
      </w:r>
      <w:r w:rsidR="00073740" w:rsidRPr="006A1591">
        <w:rPr>
          <w:lang w:val="en-AU"/>
        </w:rPr>
        <w:t>thus,</w:t>
      </w:r>
      <w:r w:rsidR="00E05B7A" w:rsidRPr="006A1591">
        <w:rPr>
          <w:lang w:val="en-AU"/>
        </w:rPr>
        <w:t xml:space="preserve"> it is evident that </w:t>
      </w:r>
      <w:r w:rsidR="006540C0" w:rsidRPr="006A1591">
        <w:rPr>
          <w:lang w:val="en-AU"/>
        </w:rPr>
        <w:t>when a person strikes or smites</w:t>
      </w:r>
      <w:r w:rsidR="00E05B7A" w:rsidRPr="006A1591">
        <w:rPr>
          <w:lang w:val="en-AU"/>
        </w:rPr>
        <w:t xml:space="preserve"> the</w:t>
      </w:r>
      <w:r w:rsidR="00E05B7A" w:rsidRPr="009E7B69">
        <w:t xml:space="preserve"> </w:t>
      </w:r>
      <w:r w:rsidR="00E05B7A" w:rsidRPr="009E7B69">
        <w:rPr>
          <w:rtl/>
        </w:rPr>
        <w:t>לְחִי</w:t>
      </w:r>
      <w:r w:rsidR="00E05B7A" w:rsidRPr="009E7B69">
        <w:t xml:space="preserve">, </w:t>
      </w:r>
      <w:r w:rsidR="00E05B7A" w:rsidRPr="006A1591">
        <w:rPr>
          <w:lang w:val="en-AU"/>
        </w:rPr>
        <w:t xml:space="preserve">the hitting is done in a way that </w:t>
      </w:r>
      <w:r w:rsidR="006540C0" w:rsidRPr="006A1591">
        <w:rPr>
          <w:lang w:val="en-AU"/>
        </w:rPr>
        <w:t>it</w:t>
      </w:r>
      <w:r w:rsidR="00E05B7A" w:rsidRPr="006A1591">
        <w:rPr>
          <w:lang w:val="en-AU"/>
        </w:rPr>
        <w:t xml:space="preserve"> has a bruising effect</w:t>
      </w:r>
      <w:r w:rsidR="00E05B7A" w:rsidRPr="009E7B69">
        <w:t xml:space="preserve">.  </w:t>
      </w:r>
      <w:r w:rsidR="00E05B7A" w:rsidRPr="006A1591">
        <w:rPr>
          <w:lang w:val="en-AU"/>
        </w:rPr>
        <w:t>The</w:t>
      </w:r>
      <w:r w:rsidR="00E05B7A" w:rsidRPr="009E7B69">
        <w:t xml:space="preserve"> </w:t>
      </w:r>
      <w:r w:rsidR="00E05B7A" w:rsidRPr="009E7B69">
        <w:rPr>
          <w:rtl/>
        </w:rPr>
        <w:t>לְחִי</w:t>
      </w:r>
      <w:r w:rsidR="00E05B7A" w:rsidRPr="009E7B69">
        <w:t xml:space="preserve"> </w:t>
      </w:r>
      <w:r w:rsidR="00E05B7A" w:rsidRPr="006A1591">
        <w:rPr>
          <w:lang w:val="en-AU"/>
        </w:rPr>
        <w:t xml:space="preserve">felt is done by the </w:t>
      </w:r>
      <w:r w:rsidR="006540C0" w:rsidRPr="006A1591">
        <w:rPr>
          <w:lang w:val="en-AU"/>
        </w:rPr>
        <w:t>word</w:t>
      </w:r>
      <w:r w:rsidR="006540C0" w:rsidRPr="009E7B69">
        <w:t xml:space="preserve">, </w:t>
      </w:r>
      <w:r w:rsidR="006540C0" w:rsidRPr="009E7B69">
        <w:rPr>
          <w:rtl/>
        </w:rPr>
        <w:t>נָכָה</w:t>
      </w:r>
      <w:r w:rsidR="006540C0" w:rsidRPr="009E7B69">
        <w:t xml:space="preserve"> </w:t>
      </w:r>
      <w:r w:rsidR="006540C0" w:rsidRPr="006A1591">
        <w:rPr>
          <w:lang w:val="en-AU"/>
        </w:rPr>
        <w:t>(to smite or hit).</w:t>
      </w:r>
      <w:r w:rsidR="00E05B7A" w:rsidRPr="006A1591">
        <w:rPr>
          <w:lang w:val="en-AU"/>
        </w:rPr>
        <w:t xml:space="preserve"> This clearly shows that the hit causes bruising or pain to the jaw. </w:t>
      </w:r>
      <w:r w:rsidR="008B612F" w:rsidRPr="006A1591">
        <w:rPr>
          <w:lang w:val="en-AU"/>
        </w:rPr>
        <w:t>Lamentations</w:t>
      </w:r>
      <w:r w:rsidR="006540C0" w:rsidRPr="006A1591">
        <w:rPr>
          <w:lang w:val="en-AU"/>
        </w:rPr>
        <w:t xml:space="preserve"> </w:t>
      </w:r>
      <w:r w:rsidR="00E05B7A" w:rsidRPr="006A1591">
        <w:rPr>
          <w:lang w:val="en-AU"/>
        </w:rPr>
        <w:t>applaud</w:t>
      </w:r>
      <w:r w:rsidR="00BF24E0" w:rsidRPr="006A1591">
        <w:rPr>
          <w:lang w:val="en-AU"/>
        </w:rPr>
        <w:t>s</w:t>
      </w:r>
      <w:r w:rsidR="00E05B7A" w:rsidRPr="006A1591">
        <w:rPr>
          <w:lang w:val="en-AU"/>
        </w:rPr>
        <w:t xml:space="preserve"> the person who </w:t>
      </w:r>
      <w:r w:rsidR="00BF24E0" w:rsidRPr="006A1591">
        <w:rPr>
          <w:lang w:val="en-AU"/>
        </w:rPr>
        <w:t>smitten. The victim is</w:t>
      </w:r>
      <w:r w:rsidR="00E05B7A" w:rsidRPr="006A1591">
        <w:rPr>
          <w:lang w:val="en-AU"/>
        </w:rPr>
        <w:t xml:space="preserve"> </w:t>
      </w:r>
      <w:r w:rsidR="006540C0" w:rsidRPr="006A1591">
        <w:rPr>
          <w:lang w:val="en-AU"/>
        </w:rPr>
        <w:t xml:space="preserve">a </w:t>
      </w:r>
      <w:r w:rsidR="003F002C" w:rsidRPr="006A1591">
        <w:rPr>
          <w:lang w:val="en-AU"/>
        </w:rPr>
        <w:t xml:space="preserve">not a weaker or subservient person and </w:t>
      </w:r>
      <w:r w:rsidR="00D65030" w:rsidRPr="006A1591">
        <w:rPr>
          <w:lang w:val="en-AU"/>
        </w:rPr>
        <w:t xml:space="preserve">in practicing restraint </w:t>
      </w:r>
      <w:r w:rsidR="003F002C" w:rsidRPr="006A1591">
        <w:rPr>
          <w:lang w:val="en-AU"/>
        </w:rPr>
        <w:t xml:space="preserve">the strong man is making a good choice. </w:t>
      </w:r>
    </w:p>
    <w:p w14:paraId="3BD7A779" w14:textId="6D391D50" w:rsidR="006540C0" w:rsidRPr="006A1591" w:rsidRDefault="00532284" w:rsidP="008E7031">
      <w:pPr>
        <w:pStyle w:val="Heading3"/>
        <w:rPr>
          <w:bCs/>
        </w:rPr>
      </w:pPr>
      <w:bookmarkStart w:id="166" w:name="_Toc94537033"/>
      <w:bookmarkStart w:id="167" w:name="_Toc118063680"/>
      <w:r w:rsidRPr="006A1591">
        <w:lastRenderedPageBreak/>
        <w:t>8.</w:t>
      </w:r>
      <w:r w:rsidR="002E1250" w:rsidRPr="006A1591">
        <w:t>5</w:t>
      </w:r>
      <w:r w:rsidR="008F459B" w:rsidRPr="006A1591">
        <w:t>.</w:t>
      </w:r>
      <w:r w:rsidR="002E1250" w:rsidRPr="006A1591">
        <w:t>2</w:t>
      </w:r>
      <w:r w:rsidR="00D246C8" w:rsidRPr="006A1591">
        <w:t xml:space="preserve"> </w:t>
      </w:r>
      <w:r w:rsidR="001622F2" w:rsidRPr="006A1591">
        <w:t xml:space="preserve">Matthew 5:40 </w:t>
      </w:r>
      <w:r w:rsidR="006E3365" w:rsidRPr="006A1591">
        <w:t>and</w:t>
      </w:r>
      <w:r w:rsidR="001622F2" w:rsidRPr="006A1591">
        <w:t xml:space="preserve"> Isaiah 50:6</w:t>
      </w:r>
      <w:bookmarkEnd w:id="166"/>
      <w:bookmarkEnd w:id="167"/>
    </w:p>
    <w:p w14:paraId="57C4EEE1" w14:textId="77777777" w:rsidR="006540C0" w:rsidRPr="009E7B69" w:rsidRDefault="006540C0" w:rsidP="006540C0">
      <w:pPr>
        <w:spacing w:line="480" w:lineRule="auto"/>
        <w:ind w:firstLine="720"/>
        <w:contextualSpacing/>
      </w:pPr>
      <w:r w:rsidRPr="009E7B69">
        <w:t>Isaiah 50:6 (NRSV)</w:t>
      </w:r>
    </w:p>
    <w:p w14:paraId="390D0DA6" w14:textId="77777777" w:rsidR="006540C0" w:rsidRPr="009E7B69" w:rsidRDefault="006540C0" w:rsidP="00361975">
      <w:pPr>
        <w:ind w:firstLine="720"/>
        <w:contextualSpacing/>
        <w:jc w:val="right"/>
      </w:pPr>
      <w:r w:rsidRPr="009E7B69">
        <w:rPr>
          <w:rtl/>
        </w:rPr>
        <w:t>גוי נתתי למכים ולחיי למרטים פני לא הסתרתי מכלמות ורק׃</w:t>
      </w:r>
    </w:p>
    <w:p w14:paraId="44D15FF6" w14:textId="77777777" w:rsidR="006540C0" w:rsidRPr="006A1591" w:rsidRDefault="006540C0" w:rsidP="00361975">
      <w:pPr>
        <w:ind w:left="720"/>
        <w:contextualSpacing/>
        <w:rPr>
          <w:lang w:val="en-AU"/>
        </w:rPr>
      </w:pPr>
      <w:r w:rsidRPr="006A1591">
        <w:rPr>
          <w:lang w:val="en-AU"/>
        </w:rPr>
        <w:t>I gave my back to those who struck me, and my cheeks to those who pulled out the beard; I did not hide my face from insult and spitting.</w:t>
      </w:r>
    </w:p>
    <w:p w14:paraId="12E9343D" w14:textId="77777777" w:rsidR="00361975" w:rsidRPr="006A1591" w:rsidRDefault="00361975" w:rsidP="001250BC">
      <w:pPr>
        <w:spacing w:line="480" w:lineRule="auto"/>
        <w:contextualSpacing/>
        <w:rPr>
          <w:lang w:val="en-AU"/>
        </w:rPr>
      </w:pPr>
    </w:p>
    <w:p w14:paraId="2F5B4539" w14:textId="406C3991" w:rsidR="006540C0" w:rsidRPr="006A1591" w:rsidRDefault="008D00E7" w:rsidP="001250BC">
      <w:pPr>
        <w:spacing w:line="480" w:lineRule="auto"/>
        <w:contextualSpacing/>
        <w:rPr>
          <w:lang w:val="en-AU"/>
        </w:rPr>
      </w:pPr>
      <w:r w:rsidRPr="006A1591">
        <w:rPr>
          <w:lang w:val="en-AU"/>
        </w:rPr>
        <w:t>The</w:t>
      </w:r>
      <w:r w:rsidR="002E3E5B" w:rsidRPr="006A1591">
        <w:rPr>
          <w:lang w:val="en-AU"/>
        </w:rPr>
        <w:t xml:space="preserve"> messianic foreshadowing </w:t>
      </w:r>
      <w:r w:rsidR="00AD1342" w:rsidRPr="006A1591">
        <w:rPr>
          <w:lang w:val="en-AU"/>
        </w:rPr>
        <w:t>in</w:t>
      </w:r>
      <w:r w:rsidR="002E462A" w:rsidRPr="006A1591">
        <w:rPr>
          <w:lang w:val="en-AU"/>
        </w:rPr>
        <w:t xml:space="preserve"> </w:t>
      </w:r>
      <w:r w:rsidR="006540C0" w:rsidRPr="006A1591">
        <w:rPr>
          <w:lang w:val="en-AU"/>
        </w:rPr>
        <w:t>Isaiah 50:6</w:t>
      </w:r>
      <w:r w:rsidR="002E3E5B" w:rsidRPr="006A1591">
        <w:rPr>
          <w:lang w:val="en-AU"/>
        </w:rPr>
        <w:t xml:space="preserve"> depicts a person who is struck and who d</w:t>
      </w:r>
      <w:r w:rsidR="002E462A" w:rsidRPr="006A1591">
        <w:rPr>
          <w:lang w:val="en-AU"/>
        </w:rPr>
        <w:t>oes</w:t>
      </w:r>
      <w:r w:rsidR="002E3E5B" w:rsidRPr="006A1591">
        <w:rPr>
          <w:lang w:val="en-AU"/>
        </w:rPr>
        <w:t xml:space="preserve"> not hide their face from insult.</w:t>
      </w:r>
      <w:r w:rsidR="006540C0" w:rsidRPr="006A1591">
        <w:rPr>
          <w:vertAlign w:val="superscript"/>
          <w:lang w:val="en-AU"/>
        </w:rPr>
        <w:footnoteReference w:id="519"/>
      </w:r>
      <w:r w:rsidR="006540C0" w:rsidRPr="006A1591">
        <w:rPr>
          <w:lang w:val="en-AU"/>
        </w:rPr>
        <w:t xml:space="preserve"> </w:t>
      </w:r>
      <w:r w:rsidR="002E3E5B" w:rsidRPr="006A1591">
        <w:rPr>
          <w:lang w:val="en-AU"/>
        </w:rPr>
        <w:t xml:space="preserve">The literary functions </w:t>
      </w:r>
      <w:r w:rsidR="002E462A" w:rsidRPr="006A1591">
        <w:rPr>
          <w:lang w:val="en-AU"/>
        </w:rPr>
        <w:t xml:space="preserve">in </w:t>
      </w:r>
      <w:r w:rsidR="002E3E5B" w:rsidRPr="006A1591">
        <w:rPr>
          <w:lang w:val="en-AU"/>
        </w:rPr>
        <w:t>Isaiah and Matthew 5:38</w:t>
      </w:r>
      <w:r w:rsidR="00504DF1" w:rsidRPr="006A1591">
        <w:rPr>
          <w:lang w:val="en-AU"/>
        </w:rPr>
        <w:t>–</w:t>
      </w:r>
      <w:r w:rsidR="002E3E5B" w:rsidRPr="006A1591">
        <w:rPr>
          <w:lang w:val="en-AU"/>
        </w:rPr>
        <w:t>42</w:t>
      </w:r>
      <w:r w:rsidR="00340B69" w:rsidRPr="006A1591">
        <w:rPr>
          <w:lang w:val="en-AU"/>
        </w:rPr>
        <w:t xml:space="preserve"> </w:t>
      </w:r>
      <w:proofErr w:type="gramStart"/>
      <w:r w:rsidR="00340B69" w:rsidRPr="006A1591">
        <w:rPr>
          <w:lang w:val="en-AU"/>
        </w:rPr>
        <w:t>are</w:t>
      </w:r>
      <w:proofErr w:type="gramEnd"/>
      <w:r w:rsidR="00340B69" w:rsidRPr="006A1591">
        <w:rPr>
          <w:lang w:val="en-AU"/>
        </w:rPr>
        <w:t xml:space="preserve"> similar.</w:t>
      </w:r>
      <w:r w:rsidR="002E3E5B" w:rsidRPr="006A1591">
        <w:rPr>
          <w:lang w:val="en-AU"/>
        </w:rPr>
        <w:t xml:space="preserve"> </w:t>
      </w:r>
      <w:r w:rsidR="006540C0" w:rsidRPr="006A1591">
        <w:rPr>
          <w:lang w:val="en-AU"/>
        </w:rPr>
        <w:t xml:space="preserve">M.D. Goulder </w:t>
      </w:r>
      <w:r w:rsidR="002E3E5B" w:rsidRPr="006A1591">
        <w:rPr>
          <w:lang w:val="en-AU"/>
        </w:rPr>
        <w:t>contends that the literary similari</w:t>
      </w:r>
      <w:r w:rsidR="003F7B59" w:rsidRPr="006A1591">
        <w:rPr>
          <w:lang w:val="en-AU"/>
        </w:rPr>
        <w:t>ti</w:t>
      </w:r>
      <w:r w:rsidR="002E3E5B" w:rsidRPr="006A1591">
        <w:rPr>
          <w:lang w:val="en-AU"/>
        </w:rPr>
        <w:t>es are</w:t>
      </w:r>
      <w:r w:rsidR="006540C0" w:rsidRPr="006A1591">
        <w:rPr>
          <w:lang w:val="en-AU"/>
        </w:rPr>
        <w:t xml:space="preserve"> </w:t>
      </w:r>
      <w:r w:rsidR="00863B47" w:rsidRPr="006A1591">
        <w:rPr>
          <w:lang w:val="en-AU"/>
        </w:rPr>
        <w:t>“</w:t>
      </w:r>
      <w:r w:rsidR="006540C0" w:rsidRPr="006A1591">
        <w:rPr>
          <w:lang w:val="en-AU"/>
        </w:rPr>
        <w:t xml:space="preserve">too strong to be accidental: the </w:t>
      </w:r>
      <w:r w:rsidR="005C71CB" w:rsidRPr="006A1591">
        <w:rPr>
          <w:lang w:val="en-AU"/>
        </w:rPr>
        <w:t>‘</w:t>
      </w:r>
      <w:r w:rsidR="006540C0" w:rsidRPr="006A1591">
        <w:rPr>
          <w:i/>
          <w:lang w:val="en-AU"/>
        </w:rPr>
        <w:t>but I say to you</w:t>
      </w:r>
      <w:r w:rsidR="005C71CB" w:rsidRPr="006A1591">
        <w:rPr>
          <w:i/>
          <w:lang w:val="en-AU"/>
        </w:rPr>
        <w:t>’</w:t>
      </w:r>
      <w:r w:rsidR="006540C0" w:rsidRPr="006A1591">
        <w:rPr>
          <w:lang w:val="en-AU"/>
        </w:rPr>
        <w:t xml:space="preserve"> section is a </w:t>
      </w:r>
      <w:r w:rsidR="006540C0" w:rsidRPr="006A1591">
        <w:rPr>
          <w:i/>
          <w:lang w:val="en-AU"/>
        </w:rPr>
        <w:t>midrashic</w:t>
      </w:r>
      <w:r w:rsidR="006540C0" w:rsidRPr="006A1591">
        <w:rPr>
          <w:lang w:val="en-AU"/>
        </w:rPr>
        <w:t xml:space="preserve"> expansion of Isaiah</w:t>
      </w:r>
      <w:r w:rsidR="002E3E5B" w:rsidRPr="006A1591">
        <w:rPr>
          <w:lang w:val="en-AU"/>
        </w:rPr>
        <w:t>.</w:t>
      </w:r>
      <w:r w:rsidR="00863B47" w:rsidRPr="006A1591">
        <w:rPr>
          <w:lang w:val="en-AU"/>
        </w:rPr>
        <w:t>”</w:t>
      </w:r>
      <w:r w:rsidR="006540C0" w:rsidRPr="006A1591">
        <w:rPr>
          <w:vertAlign w:val="superscript"/>
          <w:lang w:val="en-AU"/>
        </w:rPr>
        <w:footnoteReference w:id="520"/>
      </w:r>
      <w:r w:rsidR="006540C0" w:rsidRPr="006A1591">
        <w:rPr>
          <w:lang w:val="en-AU"/>
        </w:rPr>
        <w:t xml:space="preserve"> </w:t>
      </w:r>
      <w:r w:rsidR="003F7B59" w:rsidRPr="006A1591">
        <w:rPr>
          <w:lang w:val="en-AU"/>
        </w:rPr>
        <w:t xml:space="preserve">The literary function of Isaiah and the methods of </w:t>
      </w:r>
      <w:r w:rsidR="00F51A18" w:rsidRPr="006A1591">
        <w:rPr>
          <w:lang w:val="en-AU"/>
        </w:rPr>
        <w:t>writing</w:t>
      </w:r>
      <w:r w:rsidR="003F7B59" w:rsidRPr="006A1591">
        <w:rPr>
          <w:lang w:val="en-AU"/>
        </w:rPr>
        <w:t xml:space="preserve"> are </w:t>
      </w:r>
      <w:r w:rsidR="00F51A18" w:rsidRPr="006A1591">
        <w:rPr>
          <w:lang w:val="en-AU"/>
        </w:rPr>
        <w:t>complementary</w:t>
      </w:r>
      <w:r w:rsidR="00E23D4C" w:rsidRPr="006A1591">
        <w:rPr>
          <w:lang w:val="en-AU"/>
        </w:rPr>
        <w:t>,</w:t>
      </w:r>
      <w:r w:rsidR="003F7B59" w:rsidRPr="006A1591">
        <w:rPr>
          <w:lang w:val="en-AU"/>
        </w:rPr>
        <w:t xml:space="preserve"> allowing the possibility that Jesus is engaging in </w:t>
      </w:r>
      <w:r w:rsidR="006540C0" w:rsidRPr="006A1591">
        <w:rPr>
          <w:i/>
          <w:iCs/>
          <w:lang w:val="en-AU"/>
        </w:rPr>
        <w:t>midrash</w:t>
      </w:r>
      <w:r w:rsidR="006540C0" w:rsidRPr="006A1591">
        <w:rPr>
          <w:lang w:val="en-AU"/>
        </w:rPr>
        <w:t xml:space="preserve"> or Targum</w:t>
      </w:r>
      <w:r w:rsidR="003F7B59" w:rsidRPr="006A1591">
        <w:rPr>
          <w:lang w:val="en-AU"/>
        </w:rPr>
        <w:t xml:space="preserve">. </w:t>
      </w:r>
    </w:p>
    <w:p w14:paraId="5B7B61EA" w14:textId="57BB2E22" w:rsidR="006540C0" w:rsidRPr="006A1591" w:rsidRDefault="006540C0" w:rsidP="00C4660F">
      <w:pPr>
        <w:spacing w:line="480" w:lineRule="auto"/>
        <w:contextualSpacing/>
        <w:rPr>
          <w:lang w:val="en-AU"/>
        </w:rPr>
      </w:pPr>
      <w:r w:rsidRPr="006A1591">
        <w:rPr>
          <w:lang w:val="en-AU"/>
        </w:rPr>
        <w:tab/>
        <w:t>Isaiah 50</w:t>
      </w:r>
      <w:r w:rsidR="002E745B" w:rsidRPr="006A1591">
        <w:rPr>
          <w:lang w:val="en-AU"/>
        </w:rPr>
        <w:t>:</w:t>
      </w:r>
      <w:r w:rsidR="005E59FD" w:rsidRPr="006A1591">
        <w:rPr>
          <w:lang w:val="en-AU"/>
        </w:rPr>
        <w:t>1</w:t>
      </w:r>
      <w:r w:rsidR="001F384E" w:rsidRPr="006A1591">
        <w:rPr>
          <w:lang w:val="en-AU"/>
        </w:rPr>
        <w:t xml:space="preserve"> </w:t>
      </w:r>
      <w:r w:rsidR="00003214" w:rsidRPr="006A1591">
        <w:rPr>
          <w:lang w:val="en-AU"/>
        </w:rPr>
        <w:t>mentions</w:t>
      </w:r>
      <w:r w:rsidR="004A4F8B" w:rsidRPr="006A1591">
        <w:rPr>
          <w:lang w:val="en-AU"/>
        </w:rPr>
        <w:t xml:space="preserve"> finance and marriage, which connects with Matthew</w:t>
      </w:r>
      <w:r w:rsidR="001F384E" w:rsidRPr="006A1591">
        <w:rPr>
          <w:lang w:val="en-AU"/>
        </w:rPr>
        <w:t>.</w:t>
      </w:r>
      <w:r w:rsidRPr="006A1591">
        <w:rPr>
          <w:rStyle w:val="FootnoteReference"/>
          <w:lang w:val="en-AU"/>
        </w:rPr>
        <w:footnoteReference w:id="521"/>
      </w:r>
      <w:r w:rsidRPr="006A1591">
        <w:rPr>
          <w:lang w:val="en-AU"/>
        </w:rPr>
        <w:t xml:space="preserve"> </w:t>
      </w:r>
      <w:r w:rsidR="001D5AE6" w:rsidRPr="006A1591">
        <w:rPr>
          <w:lang w:val="en-AU"/>
        </w:rPr>
        <w:t xml:space="preserve">Interestingly enough, the section of the Torah portion that </w:t>
      </w:r>
      <w:r w:rsidR="00F51A18" w:rsidRPr="006A1591">
        <w:rPr>
          <w:lang w:val="en-AU"/>
        </w:rPr>
        <w:t>correlates</w:t>
      </w:r>
      <w:r w:rsidR="001D5AE6" w:rsidRPr="006A1591">
        <w:rPr>
          <w:lang w:val="en-AU"/>
        </w:rPr>
        <w:t xml:space="preserve"> with this </w:t>
      </w:r>
      <w:r w:rsidR="001D5AE6" w:rsidRPr="006A1591">
        <w:rPr>
          <w:i/>
          <w:iCs/>
          <w:lang w:val="en-AU"/>
        </w:rPr>
        <w:t>Haftorah</w:t>
      </w:r>
      <w:r w:rsidR="001D5AE6" w:rsidRPr="006A1591">
        <w:rPr>
          <w:lang w:val="en-AU"/>
        </w:rPr>
        <w:t xml:space="preserve"> </w:t>
      </w:r>
      <w:r w:rsidR="00F51A18" w:rsidRPr="006A1591">
        <w:rPr>
          <w:lang w:val="en-AU"/>
        </w:rPr>
        <w:t>portion</w:t>
      </w:r>
      <w:r w:rsidR="001D5AE6" w:rsidRPr="006A1591">
        <w:rPr>
          <w:lang w:val="en-AU"/>
        </w:rPr>
        <w:t xml:space="preserve">, is </w:t>
      </w:r>
      <w:r w:rsidR="001D5AE6" w:rsidRPr="006A1591">
        <w:rPr>
          <w:i/>
          <w:iCs/>
          <w:lang w:val="en-AU"/>
        </w:rPr>
        <w:t>Haftarat Eikev</w:t>
      </w:r>
      <w:r w:rsidR="001D5AE6" w:rsidRPr="006A1591">
        <w:rPr>
          <w:lang w:val="en-AU"/>
        </w:rPr>
        <w:t xml:space="preserve">.  </w:t>
      </w:r>
      <w:r w:rsidR="001D5AE6" w:rsidRPr="006A1591">
        <w:rPr>
          <w:i/>
          <w:iCs/>
          <w:lang w:val="en-AU"/>
        </w:rPr>
        <w:t>Eikev</w:t>
      </w:r>
      <w:r w:rsidR="001D5AE6" w:rsidRPr="006A1591">
        <w:rPr>
          <w:lang w:val="en-AU"/>
        </w:rPr>
        <w:t xml:space="preserve"> is Deuteronomy 7:12</w:t>
      </w:r>
      <w:r w:rsidR="00702270" w:rsidRPr="006A1591">
        <w:rPr>
          <w:lang w:val="en-AU"/>
        </w:rPr>
        <w:t>–</w:t>
      </w:r>
      <w:r w:rsidR="001D5AE6" w:rsidRPr="006A1591">
        <w:rPr>
          <w:lang w:val="en-AU"/>
        </w:rPr>
        <w:t xml:space="preserve">11:25 and </w:t>
      </w:r>
      <w:r w:rsidR="00FF7AF2" w:rsidRPr="006A1591">
        <w:rPr>
          <w:lang w:val="en-AU"/>
        </w:rPr>
        <w:t xml:space="preserve">traditionally </w:t>
      </w:r>
      <w:r w:rsidR="00702270" w:rsidRPr="006A1591">
        <w:rPr>
          <w:lang w:val="en-AU"/>
        </w:rPr>
        <w:t>it is</w:t>
      </w:r>
      <w:r w:rsidR="00FF7AF2" w:rsidRPr="006A1591">
        <w:rPr>
          <w:lang w:val="en-AU"/>
        </w:rPr>
        <w:t xml:space="preserve"> read with Isaiah 50 </w:t>
      </w:r>
      <w:r w:rsidR="00F51A18" w:rsidRPr="006A1591">
        <w:rPr>
          <w:lang w:val="en-AU"/>
        </w:rPr>
        <w:t xml:space="preserve">in the synagogue in week 46 of the </w:t>
      </w:r>
      <w:r w:rsidR="001F7170" w:rsidRPr="006A1591">
        <w:rPr>
          <w:lang w:val="en-AU"/>
        </w:rPr>
        <w:t>year,</w:t>
      </w:r>
      <w:r w:rsidR="00F51A18" w:rsidRPr="006A1591">
        <w:rPr>
          <w:lang w:val="en-AU"/>
        </w:rPr>
        <w:t xml:space="preserve"> which is six weeks before Rosh Hashana, the new year. </w:t>
      </w:r>
      <w:r w:rsidR="001D5AE6" w:rsidRPr="006A1591">
        <w:rPr>
          <w:lang w:val="en-AU"/>
        </w:rPr>
        <w:t xml:space="preserve"> </w:t>
      </w:r>
      <w:r w:rsidR="001F7170" w:rsidRPr="006A1591">
        <w:rPr>
          <w:lang w:val="en-AU"/>
        </w:rPr>
        <w:t>There is a strong c</w:t>
      </w:r>
      <w:r w:rsidR="00FF7AF2" w:rsidRPr="006A1591">
        <w:rPr>
          <w:lang w:val="en-AU"/>
        </w:rPr>
        <w:t>orrelation</w:t>
      </w:r>
      <w:r w:rsidR="001F7170" w:rsidRPr="006A1591">
        <w:rPr>
          <w:lang w:val="en-AU"/>
        </w:rPr>
        <w:t xml:space="preserve"> between Jesus</w:t>
      </w:r>
      <w:r w:rsidR="005C71CB" w:rsidRPr="006A1591">
        <w:rPr>
          <w:lang w:val="en-AU"/>
        </w:rPr>
        <w:t>’</w:t>
      </w:r>
      <w:r w:rsidR="006D41DD">
        <w:rPr>
          <w:lang w:val="en-AU"/>
        </w:rPr>
        <w:t>s</w:t>
      </w:r>
      <w:r w:rsidR="001F7170" w:rsidRPr="006A1591">
        <w:rPr>
          <w:lang w:val="en-AU"/>
        </w:rPr>
        <w:t xml:space="preserve"> sermon and the reading from haftorah, as he would have been providing exegesis </w:t>
      </w:r>
      <w:r w:rsidR="00BA74A5" w:rsidRPr="006A1591">
        <w:rPr>
          <w:lang w:val="en-AU"/>
        </w:rPr>
        <w:t>and discussion for that week</w:t>
      </w:r>
      <w:r w:rsidR="005C71CB" w:rsidRPr="006A1591">
        <w:rPr>
          <w:lang w:val="en-AU"/>
        </w:rPr>
        <w:t>’</w:t>
      </w:r>
      <w:r w:rsidR="00BA74A5" w:rsidRPr="006A1591">
        <w:rPr>
          <w:lang w:val="en-AU"/>
        </w:rPr>
        <w:t xml:space="preserve">s </w:t>
      </w:r>
      <w:r w:rsidR="004A4F8B" w:rsidRPr="006A1591">
        <w:rPr>
          <w:lang w:val="en-AU"/>
        </w:rPr>
        <w:t>T</w:t>
      </w:r>
      <w:r w:rsidR="00BA74A5" w:rsidRPr="006A1591">
        <w:rPr>
          <w:lang w:val="en-AU"/>
        </w:rPr>
        <w:t>orah discussion in the synagogues.</w:t>
      </w:r>
      <w:r w:rsidRPr="006A1591">
        <w:rPr>
          <w:vertAlign w:val="superscript"/>
          <w:lang w:val="en-AU"/>
        </w:rPr>
        <w:footnoteReference w:id="522"/>
      </w:r>
      <w:r w:rsidRPr="006A1591">
        <w:rPr>
          <w:lang w:val="en-AU"/>
        </w:rPr>
        <w:t xml:space="preserve"> </w:t>
      </w:r>
      <w:r w:rsidR="004A4F8B" w:rsidRPr="006A1591">
        <w:rPr>
          <w:lang w:val="en-AU"/>
        </w:rPr>
        <w:t xml:space="preserve">Divorce is </w:t>
      </w:r>
      <w:r w:rsidR="00190EDE" w:rsidRPr="006A1591">
        <w:rPr>
          <w:lang w:val="en-AU"/>
        </w:rPr>
        <w:t>rai</w:t>
      </w:r>
      <w:r w:rsidR="004A4F8B" w:rsidRPr="006A1591">
        <w:rPr>
          <w:lang w:val="en-AU"/>
        </w:rPr>
        <w:t xml:space="preserve">sed in </w:t>
      </w:r>
      <w:r w:rsidRPr="006A1591">
        <w:rPr>
          <w:lang w:val="en-AU"/>
        </w:rPr>
        <w:t>Matthew 5:</w:t>
      </w:r>
      <w:r w:rsidR="004A4F8B" w:rsidRPr="006A1591">
        <w:rPr>
          <w:lang w:val="en-AU"/>
        </w:rPr>
        <w:t>31</w:t>
      </w:r>
      <w:r w:rsidR="00190EDE" w:rsidRPr="006A1591">
        <w:rPr>
          <w:lang w:val="en-AU"/>
        </w:rPr>
        <w:t>–</w:t>
      </w:r>
      <w:r w:rsidR="004A4F8B" w:rsidRPr="006A1591">
        <w:rPr>
          <w:lang w:val="en-AU"/>
        </w:rPr>
        <w:t>32</w:t>
      </w:r>
      <w:r w:rsidRPr="006A1591">
        <w:rPr>
          <w:lang w:val="en-AU"/>
        </w:rPr>
        <w:t xml:space="preserve">: </w:t>
      </w:r>
      <w:r w:rsidR="00863B47" w:rsidRPr="006A1591">
        <w:rPr>
          <w:lang w:val="en-AU"/>
        </w:rPr>
        <w:t>“</w:t>
      </w:r>
      <w:r w:rsidRPr="006A1591">
        <w:rPr>
          <w:lang w:val="en-AU"/>
        </w:rPr>
        <w:t xml:space="preserve">It was also said, </w:t>
      </w:r>
      <w:r w:rsidR="005C71CB" w:rsidRPr="006A1591">
        <w:rPr>
          <w:lang w:val="en-AU"/>
        </w:rPr>
        <w:t>‘</w:t>
      </w:r>
      <w:r w:rsidRPr="006A1591">
        <w:rPr>
          <w:lang w:val="en-AU"/>
        </w:rPr>
        <w:t>whoever divorces his wife, let him give her a certificate of divorce,</w:t>
      </w:r>
      <w:r w:rsidR="005C71CB" w:rsidRPr="006A1591">
        <w:rPr>
          <w:lang w:val="en-AU"/>
        </w:rPr>
        <w:t>’</w:t>
      </w:r>
      <w:r w:rsidRPr="006A1591">
        <w:rPr>
          <w:lang w:val="en-AU"/>
        </w:rPr>
        <w:t xml:space="preserve"> but I say to you that anyone who divorces his wife, except on the ground of unchastity, causes her to commit </w:t>
      </w:r>
      <w:r w:rsidRPr="006A1591">
        <w:rPr>
          <w:lang w:val="en-AU"/>
        </w:rPr>
        <w:lastRenderedPageBreak/>
        <w:t>adultery; and whoever marries a divorced woman commits adultery.</w:t>
      </w:r>
      <w:r w:rsidR="00863B47" w:rsidRPr="006A1591">
        <w:rPr>
          <w:lang w:val="en-AU"/>
        </w:rPr>
        <w:t>”</w:t>
      </w:r>
      <w:r w:rsidRPr="006A1591">
        <w:rPr>
          <w:lang w:val="en-AU"/>
        </w:rPr>
        <w:t xml:space="preserve"> </w:t>
      </w:r>
      <w:r w:rsidR="00BA74A5" w:rsidRPr="006A1591">
        <w:rPr>
          <w:lang w:val="en-AU"/>
        </w:rPr>
        <w:t xml:space="preserve">This text, although controversial in modern times, has a </w:t>
      </w:r>
      <w:r w:rsidR="007979D3" w:rsidRPr="006A1591">
        <w:rPr>
          <w:lang w:val="en-AU"/>
        </w:rPr>
        <w:t xml:space="preserve">metaphorical </w:t>
      </w:r>
      <w:r w:rsidR="00BA74A5" w:rsidRPr="006A1591">
        <w:rPr>
          <w:lang w:val="en-AU"/>
        </w:rPr>
        <w:t>connection to Isaiah</w:t>
      </w:r>
      <w:r w:rsidR="001622F2" w:rsidRPr="006A1591">
        <w:rPr>
          <w:lang w:val="en-AU"/>
        </w:rPr>
        <w:t xml:space="preserve"> </w:t>
      </w:r>
      <w:r w:rsidR="00A403BF" w:rsidRPr="006A1591">
        <w:rPr>
          <w:lang w:val="en-AU"/>
        </w:rPr>
        <w:t xml:space="preserve">50:1 </w:t>
      </w:r>
      <w:r w:rsidR="00A21792" w:rsidRPr="006A1591">
        <w:rPr>
          <w:lang w:val="en-AU"/>
        </w:rPr>
        <w:t>through the</w:t>
      </w:r>
      <w:r w:rsidR="00A403BF" w:rsidRPr="006A1591">
        <w:rPr>
          <w:lang w:val="en-AU"/>
        </w:rPr>
        <w:t xml:space="preserve"> </w:t>
      </w:r>
      <w:r w:rsidR="007979D3" w:rsidRPr="006A1591">
        <w:rPr>
          <w:lang w:val="en-AU"/>
        </w:rPr>
        <w:t xml:space="preserve">act </w:t>
      </w:r>
      <w:r w:rsidR="00A403BF" w:rsidRPr="006A1591">
        <w:rPr>
          <w:lang w:val="en-AU"/>
        </w:rPr>
        <w:t>of adultery</w:t>
      </w:r>
      <w:r w:rsidRPr="006A1591">
        <w:rPr>
          <w:lang w:val="en-AU"/>
        </w:rPr>
        <w:t>.</w:t>
      </w:r>
      <w:r w:rsidR="008950F0" w:rsidRPr="006A1591">
        <w:rPr>
          <w:lang w:val="en-AU"/>
        </w:rPr>
        <w:t xml:space="preserve"> Some argue that it is connected to the </w:t>
      </w:r>
      <w:r w:rsidR="00A73B05" w:rsidRPr="006A1591">
        <w:rPr>
          <w:lang w:val="en-AU"/>
        </w:rPr>
        <w:t>Temple Scroll (11Q19) because of the discussions of divorce.</w:t>
      </w:r>
      <w:r w:rsidR="00A73B05" w:rsidRPr="006A1591">
        <w:rPr>
          <w:rStyle w:val="FootnoteReference"/>
          <w:lang w:val="en-AU"/>
        </w:rPr>
        <w:footnoteReference w:id="523"/>
      </w:r>
      <w:r w:rsidR="00A73B05" w:rsidRPr="006A1591">
        <w:rPr>
          <w:lang w:val="en-AU"/>
        </w:rPr>
        <w:t xml:space="preserve"> </w:t>
      </w:r>
      <w:r w:rsidRPr="006A1591">
        <w:rPr>
          <w:lang w:val="en-AU"/>
        </w:rPr>
        <w:t xml:space="preserve"> </w:t>
      </w:r>
      <w:r w:rsidR="00A403BF" w:rsidRPr="006A1591">
        <w:rPr>
          <w:lang w:val="en-AU"/>
        </w:rPr>
        <w:t xml:space="preserve">Furthermore, </w:t>
      </w:r>
      <w:r w:rsidRPr="006A1591">
        <w:rPr>
          <w:lang w:val="en-AU"/>
        </w:rPr>
        <w:t xml:space="preserve">Isaiah 50:1 </w:t>
      </w:r>
      <w:proofErr w:type="gramStart"/>
      <w:r w:rsidRPr="006A1591">
        <w:rPr>
          <w:lang w:val="en-AU"/>
        </w:rPr>
        <w:t>states</w:t>
      </w:r>
      <w:proofErr w:type="gramEnd"/>
      <w:r w:rsidRPr="006A1591">
        <w:rPr>
          <w:lang w:val="en-AU"/>
        </w:rPr>
        <w:t xml:space="preserve">: </w:t>
      </w:r>
      <w:r w:rsidR="00863B47" w:rsidRPr="006A1591">
        <w:rPr>
          <w:lang w:val="en-AU"/>
        </w:rPr>
        <w:t>“</w:t>
      </w:r>
      <w:r w:rsidRPr="006A1591">
        <w:rPr>
          <w:lang w:val="en-AU"/>
        </w:rPr>
        <w:t xml:space="preserve">Thus says the Lord: </w:t>
      </w:r>
      <w:r w:rsidR="005C71CB" w:rsidRPr="006A1591">
        <w:rPr>
          <w:lang w:val="en-AU"/>
        </w:rPr>
        <w:t>‘</w:t>
      </w:r>
      <w:r w:rsidRPr="006A1591">
        <w:rPr>
          <w:lang w:val="en-AU"/>
        </w:rPr>
        <w:t>Where is your mother</w:t>
      </w:r>
      <w:r w:rsidR="005C71CB" w:rsidRPr="006A1591">
        <w:rPr>
          <w:lang w:val="en-AU"/>
        </w:rPr>
        <w:t>’</w:t>
      </w:r>
      <w:r w:rsidRPr="006A1591">
        <w:rPr>
          <w:lang w:val="en-AU"/>
        </w:rPr>
        <w:t>s bill of divorce with which I put her away?</w:t>
      </w:r>
      <w:r w:rsidR="005C71CB" w:rsidRPr="006A1591">
        <w:rPr>
          <w:lang w:val="en-AU"/>
        </w:rPr>
        <w:t>’</w:t>
      </w:r>
      <w:r w:rsidR="00863B47" w:rsidRPr="006A1591">
        <w:rPr>
          <w:lang w:val="en-AU"/>
        </w:rPr>
        <w:t>”</w:t>
      </w:r>
      <w:r w:rsidRPr="006A1591">
        <w:rPr>
          <w:lang w:val="en-AU"/>
        </w:rPr>
        <w:t xml:space="preserve"> </w:t>
      </w:r>
      <w:r w:rsidR="00A403BF" w:rsidRPr="006A1591">
        <w:rPr>
          <w:lang w:val="en-AU"/>
        </w:rPr>
        <w:t xml:space="preserve">The metaphorical connection </w:t>
      </w:r>
      <w:r w:rsidR="00900021" w:rsidRPr="006A1591">
        <w:rPr>
          <w:lang w:val="en-AU"/>
        </w:rPr>
        <w:t xml:space="preserve">between </w:t>
      </w:r>
      <w:r w:rsidR="00A403BF" w:rsidRPr="006A1591">
        <w:rPr>
          <w:lang w:val="en-AU"/>
        </w:rPr>
        <w:t xml:space="preserve">Matthew 5:40 </w:t>
      </w:r>
      <w:r w:rsidR="00900021" w:rsidRPr="006A1591">
        <w:rPr>
          <w:lang w:val="en-AU"/>
        </w:rPr>
        <w:t>and</w:t>
      </w:r>
      <w:r w:rsidR="009B7D16" w:rsidRPr="006A1591">
        <w:rPr>
          <w:lang w:val="en-AU"/>
        </w:rPr>
        <w:t xml:space="preserve"> Isaiah 50:1 </w:t>
      </w:r>
      <w:r w:rsidR="00EB7C7A" w:rsidRPr="006A1591">
        <w:rPr>
          <w:lang w:val="en-AU"/>
        </w:rPr>
        <w:t>parallels</w:t>
      </w:r>
      <w:r w:rsidR="009B7D16" w:rsidRPr="006A1591">
        <w:rPr>
          <w:lang w:val="en-AU"/>
        </w:rPr>
        <w:t xml:space="preserve"> the connection of God</w:t>
      </w:r>
      <w:r w:rsidR="005C71CB" w:rsidRPr="006A1591">
        <w:rPr>
          <w:lang w:val="en-AU"/>
        </w:rPr>
        <w:t>’</w:t>
      </w:r>
      <w:r w:rsidR="009B7D16" w:rsidRPr="006A1591">
        <w:rPr>
          <w:lang w:val="en-AU"/>
        </w:rPr>
        <w:t xml:space="preserve">s relationship with </w:t>
      </w:r>
      <w:r w:rsidR="001250BC" w:rsidRPr="006A1591">
        <w:rPr>
          <w:lang w:val="en-AU"/>
        </w:rPr>
        <w:t>Israel</w:t>
      </w:r>
      <w:r w:rsidR="009B7D16" w:rsidRPr="006A1591">
        <w:rPr>
          <w:lang w:val="en-AU"/>
        </w:rPr>
        <w:t xml:space="preserve"> being broken </w:t>
      </w:r>
      <w:r w:rsidR="0016542B" w:rsidRPr="006A1591">
        <w:rPr>
          <w:lang w:val="en-AU"/>
        </w:rPr>
        <w:t>with</w:t>
      </w:r>
      <w:r w:rsidR="009B7D16" w:rsidRPr="006A1591">
        <w:rPr>
          <w:lang w:val="en-AU"/>
        </w:rPr>
        <w:t xml:space="preserve"> divorce and creditors. </w:t>
      </w:r>
      <w:r w:rsidRPr="006A1591">
        <w:rPr>
          <w:lang w:val="en-AU"/>
        </w:rPr>
        <w:t xml:space="preserve">Isaiah 50:1 </w:t>
      </w:r>
      <w:r w:rsidR="0016542B" w:rsidRPr="006A1591">
        <w:rPr>
          <w:lang w:val="en-AU"/>
        </w:rPr>
        <w:t>asks</w:t>
      </w:r>
      <w:r w:rsidRPr="006A1591">
        <w:rPr>
          <w:lang w:val="en-AU"/>
        </w:rPr>
        <w:t xml:space="preserve">, </w:t>
      </w:r>
      <w:r w:rsidR="00863B47" w:rsidRPr="006A1591">
        <w:rPr>
          <w:lang w:val="en-AU"/>
        </w:rPr>
        <w:t>“</w:t>
      </w:r>
      <w:r w:rsidRPr="006A1591">
        <w:rPr>
          <w:lang w:val="en-AU"/>
        </w:rPr>
        <w:t>Or which of my creditors is it to whom I have sold you? No, because of your sins you were sold, and for your transgressions your mother was put away</w:t>
      </w:r>
      <w:r w:rsidR="0016542B" w:rsidRPr="006A1591">
        <w:rPr>
          <w:lang w:val="en-AU"/>
        </w:rPr>
        <w:t>.</w:t>
      </w:r>
      <w:r w:rsidR="00863B47" w:rsidRPr="006A1591">
        <w:rPr>
          <w:lang w:val="en-AU"/>
        </w:rPr>
        <w:t>”</w:t>
      </w:r>
      <w:r w:rsidRPr="006A1591">
        <w:rPr>
          <w:lang w:val="en-AU"/>
        </w:rPr>
        <w:t xml:space="preserve"> </w:t>
      </w:r>
      <w:r w:rsidR="00DC17BF" w:rsidRPr="006A1591">
        <w:rPr>
          <w:lang w:val="en-AU"/>
        </w:rPr>
        <w:t xml:space="preserve">This is </w:t>
      </w:r>
      <w:proofErr w:type="gramStart"/>
      <w:r w:rsidR="009B7D16" w:rsidRPr="006A1591">
        <w:rPr>
          <w:lang w:val="en-AU"/>
        </w:rPr>
        <w:t xml:space="preserve">similar </w:t>
      </w:r>
      <w:r w:rsidR="00DC17BF" w:rsidRPr="006A1591">
        <w:rPr>
          <w:lang w:val="en-AU"/>
        </w:rPr>
        <w:t>to</w:t>
      </w:r>
      <w:proofErr w:type="gramEnd"/>
      <w:r w:rsidR="00DC17BF" w:rsidRPr="006A1591">
        <w:rPr>
          <w:lang w:val="en-AU"/>
        </w:rPr>
        <w:t xml:space="preserve"> the </w:t>
      </w:r>
      <w:r w:rsidR="009B7D16" w:rsidRPr="006A1591">
        <w:rPr>
          <w:lang w:val="en-AU"/>
        </w:rPr>
        <w:t xml:space="preserve">view in </w:t>
      </w:r>
      <w:r w:rsidRPr="006A1591">
        <w:rPr>
          <w:lang w:val="en-AU"/>
        </w:rPr>
        <w:t xml:space="preserve">Matthew 5:40, </w:t>
      </w:r>
      <w:r w:rsidR="00863B47" w:rsidRPr="006A1591">
        <w:rPr>
          <w:lang w:val="en-AU"/>
        </w:rPr>
        <w:t>“</w:t>
      </w:r>
      <w:r w:rsidRPr="006A1591">
        <w:rPr>
          <w:lang w:val="en-AU"/>
        </w:rPr>
        <w:t>and if anyone wants to sue you and take your coat, give your cloak as well.</w:t>
      </w:r>
      <w:r w:rsidR="00863B47" w:rsidRPr="006A1591">
        <w:rPr>
          <w:lang w:val="en-AU"/>
        </w:rPr>
        <w:t>”</w:t>
      </w:r>
      <w:r w:rsidRPr="006A1591">
        <w:rPr>
          <w:lang w:val="en-AU"/>
        </w:rPr>
        <w:t xml:space="preserve"> </w:t>
      </w:r>
      <w:r w:rsidR="00C4660F" w:rsidRPr="006A1591">
        <w:rPr>
          <w:lang w:val="en-AU"/>
        </w:rPr>
        <w:t xml:space="preserve">In Matthew 5:40, Jesus reiterates Exodus 22:26 which states, </w:t>
      </w:r>
      <w:r w:rsidR="00863B47" w:rsidRPr="006A1591">
        <w:rPr>
          <w:lang w:val="en-AU"/>
        </w:rPr>
        <w:t>“</w:t>
      </w:r>
      <w:r w:rsidR="00C4660F" w:rsidRPr="006A1591">
        <w:rPr>
          <w:lang w:val="en-AU"/>
        </w:rPr>
        <w:t>If you take your neighbour</w:t>
      </w:r>
      <w:r w:rsidR="005C71CB" w:rsidRPr="006A1591">
        <w:rPr>
          <w:lang w:val="en-AU"/>
        </w:rPr>
        <w:t>’</w:t>
      </w:r>
      <w:r w:rsidR="00C4660F" w:rsidRPr="006A1591">
        <w:rPr>
          <w:lang w:val="en-AU"/>
        </w:rPr>
        <w:t>s cloak as a pledge, return it by sunset.</w:t>
      </w:r>
      <w:r w:rsidR="00863B47" w:rsidRPr="006A1591">
        <w:rPr>
          <w:lang w:val="en-AU"/>
        </w:rPr>
        <w:t>”</w:t>
      </w:r>
      <w:r w:rsidR="00C4660F" w:rsidRPr="006A1591">
        <w:rPr>
          <w:lang w:val="en-AU"/>
        </w:rPr>
        <w:t xml:space="preserve">  </w:t>
      </w:r>
      <w:r w:rsidR="009B7D16" w:rsidRPr="006A1591">
        <w:rPr>
          <w:lang w:val="en-AU"/>
        </w:rPr>
        <w:t xml:space="preserve">Worth </w:t>
      </w:r>
      <w:r w:rsidR="008C68BC" w:rsidRPr="006A1591">
        <w:rPr>
          <w:lang w:val="en-AU"/>
        </w:rPr>
        <w:t>suggests</w:t>
      </w:r>
      <w:r w:rsidR="009B7D16" w:rsidRPr="006A1591">
        <w:rPr>
          <w:lang w:val="en-AU"/>
        </w:rPr>
        <w:t xml:space="preserve"> that the Sermon does not have a new ethical paradigm but follows </w:t>
      </w:r>
      <w:r w:rsidR="008C68BC" w:rsidRPr="006A1591">
        <w:rPr>
          <w:lang w:val="en-AU"/>
        </w:rPr>
        <w:t>Isaiah</w:t>
      </w:r>
      <w:r w:rsidR="00900DE2" w:rsidRPr="006A1591">
        <w:rPr>
          <w:lang w:val="en-AU"/>
        </w:rPr>
        <w:t>,</w:t>
      </w:r>
      <w:r w:rsidRPr="006A1591">
        <w:rPr>
          <w:vertAlign w:val="superscript"/>
          <w:lang w:val="en-AU"/>
        </w:rPr>
        <w:footnoteReference w:id="524"/>
      </w:r>
      <w:r w:rsidRPr="006A1591">
        <w:rPr>
          <w:lang w:val="en-AU"/>
        </w:rPr>
        <w:t xml:space="preserve"> </w:t>
      </w:r>
      <w:r w:rsidR="00900DE2" w:rsidRPr="006A1591">
        <w:rPr>
          <w:lang w:val="en-AU"/>
        </w:rPr>
        <w:t xml:space="preserve">while </w:t>
      </w:r>
      <w:r w:rsidR="008C68BC" w:rsidRPr="006A1591">
        <w:rPr>
          <w:lang w:val="en-AU"/>
        </w:rPr>
        <w:t xml:space="preserve">Carter concludes that </w:t>
      </w:r>
      <w:r w:rsidRPr="006A1591">
        <w:rPr>
          <w:lang w:val="en-AU"/>
        </w:rPr>
        <w:t xml:space="preserve">Isaiah and </w:t>
      </w:r>
      <w:r w:rsidR="008C68BC" w:rsidRPr="006A1591">
        <w:rPr>
          <w:lang w:val="en-AU"/>
        </w:rPr>
        <w:t>Matthew 5:40</w:t>
      </w:r>
      <w:r w:rsidR="004A4F8B" w:rsidRPr="006A1591">
        <w:rPr>
          <w:lang w:val="en-AU"/>
        </w:rPr>
        <w:t xml:space="preserve"> do not create new doctrines.</w:t>
      </w:r>
      <w:r w:rsidRPr="006A1591">
        <w:rPr>
          <w:vertAlign w:val="superscript"/>
          <w:lang w:val="en-AU"/>
        </w:rPr>
        <w:footnoteReference w:id="525"/>
      </w:r>
      <w:r w:rsidRPr="006A1591">
        <w:rPr>
          <w:lang w:val="en-AU"/>
        </w:rPr>
        <w:t xml:space="preserve"> The distinctiveness of Jesus</w:t>
      </w:r>
      <w:r w:rsidR="005C71CB" w:rsidRPr="006A1591">
        <w:rPr>
          <w:lang w:val="en-AU"/>
        </w:rPr>
        <w:t>’</w:t>
      </w:r>
      <w:r w:rsidR="006D41DD">
        <w:rPr>
          <w:lang w:val="en-AU"/>
        </w:rPr>
        <w:t>s</w:t>
      </w:r>
      <w:r w:rsidRPr="006A1591">
        <w:rPr>
          <w:lang w:val="en-AU"/>
        </w:rPr>
        <w:t xml:space="preserve"> sayings lies in the connection they provide between Isaiah and the contemporary Jew living under Roman rule.</w:t>
      </w:r>
    </w:p>
    <w:p w14:paraId="6E66F31D" w14:textId="77777777" w:rsidR="002E1250" w:rsidRPr="009E7B69" w:rsidRDefault="002E1250" w:rsidP="00F5340B">
      <w:pPr>
        <w:pStyle w:val="Heading3"/>
      </w:pPr>
      <w:bookmarkStart w:id="168" w:name="_Toc94537034"/>
      <w:bookmarkStart w:id="169" w:name="_Toc118063681"/>
      <w:r w:rsidRPr="009E7B69">
        <w:t>8.5.3 Doctrine on War in Early Christianity</w:t>
      </w:r>
      <w:bookmarkEnd w:id="168"/>
      <w:bookmarkEnd w:id="169"/>
    </w:p>
    <w:p w14:paraId="7E898A28" w14:textId="642A9135" w:rsidR="002E1250" w:rsidRPr="006A1591" w:rsidRDefault="002E1250" w:rsidP="002E1250">
      <w:pPr>
        <w:spacing w:line="480" w:lineRule="auto"/>
        <w:ind w:firstLine="720"/>
        <w:rPr>
          <w:lang w:val="en-AU"/>
        </w:rPr>
      </w:pPr>
      <w:r w:rsidRPr="006A1591">
        <w:rPr>
          <w:lang w:val="en-AU"/>
        </w:rPr>
        <w:t xml:space="preserve">The doctrines of restraint and pacifism are not part of the ideology of military service. DeSilvia believes that the courts acted </w:t>
      </w:r>
      <w:r w:rsidR="007F5AAE">
        <w:rPr>
          <w:lang w:val="en-AU"/>
        </w:rPr>
        <w:t xml:space="preserve">as </w:t>
      </w:r>
      <w:r w:rsidRPr="006A1591">
        <w:rPr>
          <w:lang w:val="en-AU"/>
        </w:rPr>
        <w:t xml:space="preserve">a mechanism to balance the power for the </w:t>
      </w:r>
      <w:r w:rsidRPr="006A1591">
        <w:rPr>
          <w:lang w:val="en-AU"/>
        </w:rPr>
        <w:lastRenderedPageBreak/>
        <w:t>Romans.</w:t>
      </w:r>
      <w:r w:rsidRPr="006A1591">
        <w:rPr>
          <w:rStyle w:val="FootnoteReference"/>
          <w:lang w:val="en-AU"/>
        </w:rPr>
        <w:footnoteReference w:id="526"/>
      </w:r>
      <w:r w:rsidRPr="006A1591">
        <w:rPr>
          <w:lang w:val="en-AU"/>
        </w:rPr>
        <w:t xml:space="preserve"> Matthew 5:39 provides greater limits than </w:t>
      </w:r>
      <w:r w:rsidRPr="006A1591">
        <w:rPr>
          <w:i/>
          <w:lang w:val="en-AU"/>
        </w:rPr>
        <w:t>lex talionis</w:t>
      </w:r>
      <w:r w:rsidRPr="006A1591">
        <w:rPr>
          <w:lang w:val="en-AU"/>
        </w:rPr>
        <w:t>. According to DeSilva, the victim “should not escalate a lawsuit but should not run away from it either.”</w:t>
      </w:r>
      <w:r w:rsidRPr="006A1591">
        <w:rPr>
          <w:rStyle w:val="FootnoteReference"/>
          <w:lang w:val="en-AU"/>
        </w:rPr>
        <w:footnoteReference w:id="527"/>
      </w:r>
      <w:r w:rsidRPr="006A1591">
        <w:rPr>
          <w:lang w:val="en-AU"/>
        </w:rPr>
        <w:t xml:space="preserve"> The question about nonviolence and στρέψον αὐτῷ καὶ τὴν ἄλλην</w:t>
      </w:r>
      <w:r w:rsidRPr="006A1591">
        <w:rPr>
          <w:rFonts w:eastAsiaTheme="minorHAnsi"/>
          <w:lang w:val="en-AU"/>
        </w:rPr>
        <w:t xml:space="preserve"> factor into how violence is a part of the response. Bainton states that “from the end of the New Testament period to the decade 170–180 CE,</w:t>
      </w:r>
      <w:r w:rsidRPr="006A1591">
        <w:rPr>
          <w:lang w:val="en-AU"/>
        </w:rPr>
        <w:t xml:space="preserve"> </w:t>
      </w:r>
      <w:r w:rsidRPr="006A1591">
        <w:rPr>
          <w:rFonts w:eastAsiaTheme="minorHAnsi"/>
          <w:lang w:val="en-AU"/>
        </w:rPr>
        <w:t>there is no evidence whatever of Christians in the army… but by the time of Constantine, there were many Christians in the army.”</w:t>
      </w:r>
      <w:r w:rsidRPr="006A1591">
        <w:rPr>
          <w:rStyle w:val="FootnoteReference"/>
          <w:rFonts w:eastAsiaTheme="minorHAnsi"/>
          <w:lang w:val="en-AU"/>
        </w:rPr>
        <w:footnoteReference w:id="528"/>
      </w:r>
      <w:r w:rsidRPr="006A1591">
        <w:rPr>
          <w:rFonts w:eastAsiaTheme="minorHAnsi"/>
          <w:lang w:val="en-AU"/>
        </w:rPr>
        <w:t xml:space="preserve"> As time progressed, Christianity developed an understanding of </w:t>
      </w:r>
      <w:r w:rsidRPr="006A1591">
        <w:rPr>
          <w:lang w:val="en-AU"/>
        </w:rPr>
        <w:t>στρέψον αὐτῷ καὶ τὴν ἄλλην</w:t>
      </w:r>
      <w:r w:rsidRPr="006A1591">
        <w:rPr>
          <w:rFonts w:eastAsiaTheme="minorHAnsi"/>
          <w:lang w:val="en-AU"/>
        </w:rPr>
        <w:t xml:space="preserve"> from Matthew 5:38–42, and that understanding included more people serving in the army. Lee clarifies the role that people had in the army and states that our understanding was mistaken when he writes, “There seems to</w:t>
      </w:r>
      <w:r w:rsidRPr="006A1591">
        <w:rPr>
          <w:lang w:val="en-AU"/>
        </w:rPr>
        <w:t xml:space="preserve"> </w:t>
      </w:r>
      <w:r w:rsidRPr="006A1591">
        <w:rPr>
          <w:rFonts w:eastAsiaTheme="minorHAnsi"/>
          <w:lang w:val="en-AU"/>
        </w:rPr>
        <w:t>be a rather widespread notion that the Early Church was outspokenly pacifist during the</w:t>
      </w:r>
      <w:r w:rsidRPr="006A1591">
        <w:rPr>
          <w:lang w:val="en-AU"/>
        </w:rPr>
        <w:t xml:space="preserve"> </w:t>
      </w:r>
      <w:r w:rsidRPr="006A1591">
        <w:rPr>
          <w:rFonts w:eastAsiaTheme="minorHAnsi"/>
          <w:lang w:val="en-AU"/>
        </w:rPr>
        <w:t>first two centuries of its existence. Writers</w:t>
      </w:r>
      <w:r w:rsidRPr="006A1591">
        <w:rPr>
          <w:lang w:val="en-AU"/>
        </w:rPr>
        <w:t xml:space="preserve"> </w:t>
      </w:r>
      <w:r w:rsidRPr="006A1591">
        <w:rPr>
          <w:rFonts w:eastAsiaTheme="minorHAnsi"/>
          <w:lang w:val="en-AU"/>
        </w:rPr>
        <w:t>speak of the pacifism of the Early Church without explaining what they mean by the</w:t>
      </w:r>
      <w:r w:rsidRPr="006A1591">
        <w:rPr>
          <w:lang w:val="en-AU"/>
        </w:rPr>
        <w:t xml:space="preserve"> </w:t>
      </w:r>
      <w:r w:rsidRPr="006A1591">
        <w:rPr>
          <w:rFonts w:eastAsiaTheme="minorHAnsi"/>
          <w:lang w:val="en-AU"/>
        </w:rPr>
        <w:t>term; but many assume that they mean a refusal on the part of the Christian to take part in</w:t>
      </w:r>
      <w:r w:rsidRPr="006A1591">
        <w:rPr>
          <w:lang w:val="en-AU"/>
        </w:rPr>
        <w:t xml:space="preserve"> </w:t>
      </w:r>
      <w:r w:rsidRPr="006A1591">
        <w:rPr>
          <w:rFonts w:eastAsiaTheme="minorHAnsi"/>
          <w:lang w:val="en-AU"/>
        </w:rPr>
        <w:t>war.”</w:t>
      </w:r>
      <w:r w:rsidRPr="006A1591">
        <w:rPr>
          <w:rStyle w:val="FootnoteReference"/>
          <w:rFonts w:eastAsiaTheme="minorHAnsi"/>
          <w:lang w:val="en-AU"/>
        </w:rPr>
        <w:footnoteReference w:id="529"/>
      </w:r>
      <w:r w:rsidRPr="006A1591">
        <w:rPr>
          <w:rFonts w:eastAsiaTheme="minorHAnsi"/>
          <w:lang w:val="en-AU"/>
        </w:rPr>
        <w:t xml:space="preserve"> This historical understanding of the requirement of military service and the interpretation of </w:t>
      </w:r>
      <w:r w:rsidRPr="006A1591">
        <w:rPr>
          <w:lang w:val="en-AU"/>
        </w:rPr>
        <w:t xml:space="preserve">στρέψον αὐτῷ καὶ τὴν ἄλλην seems not to have been a problem for the early </w:t>
      </w:r>
      <w:r w:rsidRPr="006A1591">
        <w:rPr>
          <w:rFonts w:eastAsiaTheme="minorHAnsi"/>
          <w:lang w:val="en-AU"/>
        </w:rPr>
        <w:t>Christian community until Marcus Aurelius (161–180 CE).</w:t>
      </w:r>
      <w:r w:rsidRPr="006A1591">
        <w:rPr>
          <w:rStyle w:val="FootnoteReference"/>
          <w:rFonts w:eastAsiaTheme="minorHAnsi"/>
          <w:lang w:val="en-AU"/>
        </w:rPr>
        <w:footnoteReference w:id="530"/>
      </w:r>
      <w:r w:rsidRPr="006A1591">
        <w:rPr>
          <w:rFonts w:eastAsiaTheme="minorHAnsi"/>
          <w:lang w:val="en-AU"/>
        </w:rPr>
        <w:t xml:space="preserve"> Although early adherents to Christianity may not have been active in the military, </w:t>
      </w:r>
      <w:r w:rsidRPr="006A1591">
        <w:rPr>
          <w:rFonts w:eastAsiaTheme="minorHAnsi"/>
          <w:lang w:val="en-AU"/>
        </w:rPr>
        <w:lastRenderedPageBreak/>
        <w:t xml:space="preserve">it cannot be assumed it was from the Christian interpretation of </w:t>
      </w:r>
      <w:r w:rsidRPr="006A1591">
        <w:rPr>
          <w:lang w:val="en-AU"/>
        </w:rPr>
        <w:t>στρέψον αὐτῷ καὶ τὴν ἄλλην</w:t>
      </w:r>
      <w:r w:rsidRPr="006A1591">
        <w:rPr>
          <w:rFonts w:eastAsiaTheme="minorHAnsi"/>
          <w:lang w:val="en-AU"/>
        </w:rPr>
        <w:t xml:space="preserve"> or a Jewish influence such as the pacifism of the Essenes. </w:t>
      </w:r>
    </w:p>
    <w:p w14:paraId="7D860CA6" w14:textId="77777777" w:rsidR="002E1250" w:rsidRPr="006A1591" w:rsidRDefault="002E1250" w:rsidP="002E1250">
      <w:pPr>
        <w:autoSpaceDE w:val="0"/>
        <w:autoSpaceDN w:val="0"/>
        <w:adjustRightInd w:val="0"/>
        <w:spacing w:line="480" w:lineRule="auto"/>
        <w:ind w:firstLine="720"/>
        <w:rPr>
          <w:rFonts w:eastAsiaTheme="minorHAnsi"/>
          <w:lang w:val="en-AU"/>
        </w:rPr>
      </w:pPr>
      <w:r w:rsidRPr="006A1591">
        <w:rPr>
          <w:rFonts w:eastAsiaTheme="minorHAnsi"/>
          <w:lang w:val="en-AU"/>
        </w:rPr>
        <w:t>There are examples however of pacifism in the early church that cannot be ignored, such as evidenced in Origen’s refutation of Celsus. In the writings of Celsus in the second century, it was acknowledged that if everyone was a pacifist, people would be overrun by tyranny of others.</w:t>
      </w:r>
      <w:r w:rsidRPr="006A1591">
        <w:rPr>
          <w:rStyle w:val="FootnoteReference"/>
          <w:rFonts w:eastAsiaTheme="minorHAnsi"/>
          <w:lang w:val="en-AU"/>
        </w:rPr>
        <w:footnoteReference w:id="531"/>
      </w:r>
      <w:r w:rsidRPr="006A1591">
        <w:rPr>
          <w:rFonts w:eastAsiaTheme="minorHAnsi"/>
          <w:lang w:val="en-AU"/>
        </w:rPr>
        <w:t xml:space="preserve">  However, there were Christians in military service in Marcus Aurelius’s Thundering Legion in 173 CE.</w:t>
      </w:r>
      <w:r w:rsidRPr="006A1591">
        <w:rPr>
          <w:rStyle w:val="FootnoteReference"/>
          <w:rFonts w:eastAsiaTheme="minorHAnsi"/>
          <w:lang w:val="en-AU"/>
        </w:rPr>
        <w:footnoteReference w:id="532"/>
      </w:r>
      <w:r w:rsidRPr="006A1591">
        <w:rPr>
          <w:rFonts w:eastAsiaTheme="minorHAnsi"/>
          <w:lang w:val="en-AU"/>
        </w:rPr>
        <w:t xml:space="preserve"> Tertullian believed that </w:t>
      </w:r>
      <w:r w:rsidRPr="006A1591">
        <w:rPr>
          <w:lang w:val="en-AU"/>
        </w:rPr>
        <w:t xml:space="preserve">στρέψον αὐτῷ καὶ τὴν ἄλλην teaches a form of pacifism beyond being a non-combatant.  </w:t>
      </w:r>
      <w:r w:rsidRPr="006A1591">
        <w:rPr>
          <w:rFonts w:eastAsiaTheme="minorHAnsi"/>
          <w:lang w:val="en-AU"/>
        </w:rPr>
        <w:t>Tertullian wrote:</w:t>
      </w:r>
    </w:p>
    <w:p w14:paraId="10DF11BC" w14:textId="0F45066B" w:rsidR="002E1250" w:rsidRPr="006A1591" w:rsidRDefault="002E1250" w:rsidP="00F5340B">
      <w:pPr>
        <w:pStyle w:val="Blockquotation"/>
        <w:rPr>
          <w:rFonts w:eastAsiaTheme="minorHAnsi"/>
          <w:sz w:val="24"/>
          <w:lang w:val="en-AU"/>
        </w:rPr>
      </w:pPr>
      <w:r w:rsidRPr="006A1591">
        <w:rPr>
          <w:rFonts w:eastAsiaTheme="minorHAnsi"/>
          <w:sz w:val="24"/>
          <w:lang w:val="en-AU"/>
        </w:rPr>
        <w:t>Of course, if faith comes later, and finds any preoccupied with military service, their case is different, as in the instance of those whom John used to receive for baptism, and of those most faithful centurions, I mean the centurion whom Christ approves, and the centurion whom Peter instructs; yet, at the same time, when a man has become a believer, and faith has been sealed, there must be either an immediate abandonment of it, which has been the course with many.</w:t>
      </w:r>
      <w:r w:rsidRPr="006A1591">
        <w:rPr>
          <w:rStyle w:val="FootnoteReference"/>
          <w:rFonts w:eastAsiaTheme="minorHAnsi"/>
          <w:sz w:val="24"/>
          <w:lang w:val="en-AU"/>
        </w:rPr>
        <w:footnoteReference w:id="533"/>
      </w:r>
    </w:p>
    <w:p w14:paraId="58B812B1" w14:textId="50117A31" w:rsidR="002E1250" w:rsidRPr="006A1591" w:rsidRDefault="002E1250" w:rsidP="00225D29">
      <w:pPr>
        <w:autoSpaceDE w:val="0"/>
        <w:autoSpaceDN w:val="0"/>
        <w:adjustRightInd w:val="0"/>
        <w:spacing w:before="240" w:line="480" w:lineRule="auto"/>
        <w:rPr>
          <w:rFonts w:eastAsiaTheme="minorHAnsi"/>
          <w:lang w:val="en-AU"/>
        </w:rPr>
      </w:pPr>
      <w:r w:rsidRPr="006A1591">
        <w:rPr>
          <w:rFonts w:eastAsiaTheme="minorHAnsi"/>
          <w:lang w:val="en-AU"/>
        </w:rPr>
        <w:t xml:space="preserve">Tertullian’s belief, from his interpretation of </w:t>
      </w:r>
      <w:r w:rsidRPr="006A1591">
        <w:rPr>
          <w:lang w:val="en-AU"/>
        </w:rPr>
        <w:t>στρέψον αὐτῷ καὶ τὴν ἄλλην</w:t>
      </w:r>
      <w:r w:rsidRPr="006A1591">
        <w:rPr>
          <w:rFonts w:eastAsiaTheme="minorHAnsi"/>
          <w:lang w:val="en-AU"/>
        </w:rPr>
        <w:t xml:space="preserve">, is that a convert to Christianity should cease being a soldier. This sort of interpretation would not allow for a </w:t>
      </w:r>
      <w:r w:rsidR="00611617" w:rsidRPr="006A1591">
        <w:rPr>
          <w:rFonts w:eastAsiaTheme="minorHAnsi"/>
          <w:lang w:val="en-AU"/>
        </w:rPr>
        <w:t>nonviolent</w:t>
      </w:r>
      <w:r w:rsidRPr="006A1591">
        <w:rPr>
          <w:rFonts w:eastAsiaTheme="minorHAnsi"/>
          <w:lang w:val="en-AU"/>
        </w:rPr>
        <w:t xml:space="preserve"> approach to conflict. Knut Willem Ruyter critiques Tertullian, “Does this mean a certain moderation in the position of Tertullian, implying now that some could remain in the army? That seems hardly the case; we know that an enlisted soldier was not released lightly, and that the penalty for desertion was death.”</w:t>
      </w:r>
      <w:r w:rsidRPr="006A1591">
        <w:rPr>
          <w:rStyle w:val="FootnoteReference"/>
          <w:rFonts w:eastAsiaTheme="minorHAnsi"/>
          <w:lang w:val="en-AU"/>
        </w:rPr>
        <w:footnoteReference w:id="534"/>
      </w:r>
      <w:r w:rsidRPr="006A1591">
        <w:rPr>
          <w:rFonts w:eastAsiaTheme="minorHAnsi"/>
          <w:lang w:val="en-AU"/>
        </w:rPr>
        <w:t xml:space="preserve"> For Tertullian to state that a person should </w:t>
      </w:r>
      <w:r w:rsidRPr="006A1591">
        <w:rPr>
          <w:rFonts w:eastAsiaTheme="minorHAnsi"/>
          <w:lang w:val="en-AU"/>
        </w:rPr>
        <w:lastRenderedPageBreak/>
        <w:t xml:space="preserve">stop being a soldier when they became a Christian may be something he believed to be </w:t>
      </w:r>
      <w:proofErr w:type="gramStart"/>
      <w:r w:rsidRPr="006A1591">
        <w:rPr>
          <w:rFonts w:eastAsiaTheme="minorHAnsi"/>
          <w:lang w:val="en-AU"/>
        </w:rPr>
        <w:t>desired</w:t>
      </w:r>
      <w:proofErr w:type="gramEnd"/>
      <w:r w:rsidRPr="006A1591">
        <w:rPr>
          <w:rFonts w:eastAsiaTheme="minorHAnsi"/>
          <w:lang w:val="en-AU"/>
        </w:rPr>
        <w:t xml:space="preserve"> but it was difficult to achieve.  </w:t>
      </w:r>
    </w:p>
    <w:p w14:paraId="6CCC22FB" w14:textId="6837F3D6" w:rsidR="002E1250" w:rsidRPr="006A1591" w:rsidRDefault="002E1250" w:rsidP="00225D29">
      <w:pPr>
        <w:spacing w:line="480" w:lineRule="auto"/>
        <w:ind w:firstLine="720"/>
        <w:contextualSpacing/>
        <w:rPr>
          <w:rFonts w:eastAsiaTheme="minorHAnsi"/>
          <w:lang w:val="en-AU"/>
        </w:rPr>
      </w:pPr>
      <w:r w:rsidRPr="006A1591">
        <w:rPr>
          <w:rFonts w:eastAsiaTheme="minorHAnsi"/>
          <w:lang w:val="en-AU"/>
        </w:rPr>
        <w:t>There are many early Christians who discuss changing from being warriors to messengers of peace. Justin Martyr’s dialogue with Trypho states, “And we who delighted in war, in the slaughter of one another, and in every other kind of iniquity have in every part of the world, converted our weapons of war into implements of peace—our swords into ploughshares, our spears into farmers’ tools.”</w:t>
      </w:r>
      <w:r w:rsidRPr="006A1591">
        <w:rPr>
          <w:rStyle w:val="FootnoteReference"/>
          <w:rFonts w:eastAsiaTheme="minorHAnsi"/>
          <w:lang w:val="en-AU"/>
        </w:rPr>
        <w:footnoteReference w:id="535"/>
      </w:r>
      <w:r w:rsidRPr="006A1591">
        <w:rPr>
          <w:rFonts w:eastAsiaTheme="minorHAnsi"/>
          <w:lang w:val="en-AU"/>
        </w:rPr>
        <w:t xml:space="preserve"> This is seen by Justin Martyr as fulfilment of prophecies of peace in Micah 4:3 and Isaiah 2:4. For Justin Martyr, being a Christian and turning the other cheek </w:t>
      </w:r>
      <w:r w:rsidRPr="006A1591">
        <w:rPr>
          <w:lang w:val="en-AU"/>
        </w:rPr>
        <w:t xml:space="preserve">suggest a person who makes peace rather than warfare. For some such as </w:t>
      </w:r>
      <w:r w:rsidRPr="006A1591">
        <w:rPr>
          <w:rFonts w:eastAsiaTheme="minorHAnsi"/>
          <w:lang w:val="en-AU"/>
        </w:rPr>
        <w:t>Clement of Alexandria (150–215 C.E.), soldiering mimicked Moses and was held in esteem.</w:t>
      </w:r>
      <w:r w:rsidRPr="006A1591">
        <w:rPr>
          <w:rStyle w:val="FootnoteReference"/>
          <w:rFonts w:eastAsiaTheme="minorHAnsi"/>
          <w:lang w:val="en-AU"/>
        </w:rPr>
        <w:footnoteReference w:id="536"/>
      </w:r>
      <w:r w:rsidRPr="006A1591">
        <w:rPr>
          <w:rFonts w:eastAsiaTheme="minorHAnsi"/>
          <w:lang w:val="en-AU"/>
        </w:rPr>
        <w:t xml:space="preserve"> Clement wrote “If you were in the army when you were sei</w:t>
      </w:r>
      <w:r w:rsidR="006A1591">
        <w:rPr>
          <w:rFonts w:eastAsiaTheme="minorHAnsi"/>
          <w:lang w:val="en-AU"/>
        </w:rPr>
        <w:t>z</w:t>
      </w:r>
      <w:r w:rsidRPr="006A1591">
        <w:rPr>
          <w:rFonts w:eastAsiaTheme="minorHAnsi"/>
          <w:lang w:val="en-AU"/>
        </w:rPr>
        <w:t>ed by the knowledge of God, obey the commander who gives just commands.”</w:t>
      </w:r>
      <w:r w:rsidRPr="006A1591">
        <w:rPr>
          <w:rStyle w:val="FootnoteReference"/>
          <w:rFonts w:eastAsiaTheme="minorHAnsi"/>
          <w:lang w:val="en-AU"/>
        </w:rPr>
        <w:footnoteReference w:id="537"/>
      </w:r>
      <w:r w:rsidRPr="006A1591">
        <w:rPr>
          <w:rFonts w:eastAsiaTheme="minorHAnsi"/>
          <w:lang w:val="en-AU"/>
        </w:rPr>
        <w:t xml:space="preserve"> For Clement, you would not just resign the military service on conversion but would fulfill your obligations.</w:t>
      </w:r>
    </w:p>
    <w:p w14:paraId="6C3C8828" w14:textId="18019E6F" w:rsidR="002E1250" w:rsidRPr="009E7B69" w:rsidRDefault="002E1250" w:rsidP="00F5340B">
      <w:pPr>
        <w:pStyle w:val="Heading3"/>
        <w:rPr>
          <w:rFonts w:eastAsiaTheme="minorHAnsi"/>
        </w:rPr>
      </w:pPr>
      <w:bookmarkStart w:id="170" w:name="_Toc94537035"/>
      <w:bookmarkStart w:id="171" w:name="_Toc118063682"/>
      <w:r w:rsidRPr="009E7B69">
        <w:rPr>
          <w:rFonts w:eastAsiaTheme="minorHAnsi"/>
        </w:rPr>
        <w:t>8.5.4 The Example of Jesus</w:t>
      </w:r>
      <w:bookmarkEnd w:id="170"/>
      <w:bookmarkEnd w:id="171"/>
    </w:p>
    <w:p w14:paraId="108704F3" w14:textId="77777777" w:rsidR="002E1250" w:rsidRPr="006A1591" w:rsidRDefault="002E1250" w:rsidP="002E1250">
      <w:pPr>
        <w:spacing w:line="480" w:lineRule="auto"/>
        <w:rPr>
          <w:lang w:val="en-AU"/>
        </w:rPr>
      </w:pPr>
      <w:r w:rsidRPr="009E7B69">
        <w:tab/>
      </w:r>
      <w:r w:rsidRPr="006A1591">
        <w:rPr>
          <w:lang w:val="en-AU"/>
        </w:rPr>
        <w:t>The concept of turning the check is also seen in the account of Jesus on trial in John’s gospel. Swartley says, “Jesus himself did not turn the other cheek when struck at his trial, but rather challenged the smiter, ‘Why do you strike me?’ (Jn 18:23).”</w:t>
      </w:r>
      <w:r w:rsidRPr="006A1591">
        <w:rPr>
          <w:rStyle w:val="FootnoteReference"/>
          <w:lang w:val="en-AU"/>
        </w:rPr>
        <w:footnoteReference w:id="538"/>
      </w:r>
      <w:r w:rsidRPr="006A1591">
        <w:rPr>
          <w:lang w:val="en-AU"/>
        </w:rPr>
        <w:t xml:space="preserve"> When the High Priest questioned Jesus about his disciples and his teachings, “Jesus answered, ‘If I have spoken </w:t>
      </w:r>
      <w:r w:rsidRPr="006A1591">
        <w:rPr>
          <w:lang w:val="en-AU"/>
        </w:rPr>
        <w:lastRenderedPageBreak/>
        <w:t xml:space="preserve">wrongly, testify to the wrong. But if I have spoken rightly, why do you strike me?’” This example demonstrates how a powerless human, such as Jesus, would act when slapped.  He responded in a nonviolent way, questioning why he had been struck. </w:t>
      </w:r>
    </w:p>
    <w:p w14:paraId="26D592F4" w14:textId="42E5A977" w:rsidR="002E1250" w:rsidRPr="006A1591" w:rsidRDefault="002E1250" w:rsidP="002E1250">
      <w:pPr>
        <w:spacing w:line="480" w:lineRule="auto"/>
        <w:ind w:firstLine="720"/>
        <w:rPr>
          <w:lang w:val="en-AU"/>
        </w:rPr>
      </w:pPr>
      <w:r w:rsidRPr="006A1591">
        <w:rPr>
          <w:lang w:val="en-AU"/>
        </w:rPr>
        <w:t>Jesus’</w:t>
      </w:r>
      <w:r w:rsidR="006D41DD">
        <w:rPr>
          <w:lang w:val="en-AU"/>
        </w:rPr>
        <w:t>s</w:t>
      </w:r>
      <w:r w:rsidRPr="006A1591">
        <w:rPr>
          <w:lang w:val="en-AU"/>
        </w:rPr>
        <w:t xml:space="preserve"> actions demonstrate nonviolent action.  Even if those around him do not fully espouse nonviolence, such as Peter carrying a sword for three years following him. The account suggests that Jesus submitted because he was resigned to his fate when he said, “Shall I not drink the cup which the father has given me?” (Jn 18:11), and this was a form of nonviolence. </w:t>
      </w:r>
    </w:p>
    <w:p w14:paraId="6A7368B7" w14:textId="7FA30F45" w:rsidR="002E1250" w:rsidRPr="006A1591" w:rsidRDefault="002E1250" w:rsidP="002E1250">
      <w:pPr>
        <w:spacing w:line="480" w:lineRule="auto"/>
        <w:ind w:firstLine="720"/>
        <w:rPr>
          <w:rtl/>
          <w:lang w:val="en-AU"/>
        </w:rPr>
      </w:pPr>
      <w:r w:rsidRPr="006A1591">
        <w:rPr>
          <w:lang w:val="en-AU"/>
        </w:rPr>
        <w:t xml:space="preserve">  According to Lachs, even forgiving someone without their asking for forgiveness demonstrates nonviolence.</w:t>
      </w:r>
      <w:r w:rsidRPr="006A1591">
        <w:rPr>
          <w:rStyle w:val="FootnoteReference"/>
          <w:lang w:val="en-AU"/>
        </w:rPr>
        <w:footnoteReference w:id="539"/>
      </w:r>
      <w:r w:rsidRPr="006A1591">
        <w:rPr>
          <w:lang w:val="en-AU"/>
        </w:rPr>
        <w:t xml:space="preserve"> There are other examples of Jesus’</w:t>
      </w:r>
      <w:r w:rsidR="006D41DD">
        <w:rPr>
          <w:lang w:val="en-AU"/>
        </w:rPr>
        <w:t>s</w:t>
      </w:r>
      <w:r w:rsidRPr="006A1591">
        <w:rPr>
          <w:lang w:val="en-AU"/>
        </w:rPr>
        <w:t xml:space="preserve"> using nonviolent actions. One such was in the Garden of Gethsemane when Peter cut off the ear of the high priest’s servant with his sword (Jn 18:10). Jesus healed the servant and told Peter to sheath his sword. For some to purport that people must turn the other cheek and allow injustice to occur, it is evident that στρέψον αὐτῷ καὶ τὴν ἄλλην supports a scenario in which one person has power over another who is socially inferior.  Davis further suggests that by στρέψον αὐτῷ καὶ τὴν ἄλλην (turn the other also), the victim can utili</w:t>
      </w:r>
      <w:r w:rsidR="00D86BBD" w:rsidRPr="006A1591">
        <w:rPr>
          <w:lang w:val="en-AU"/>
        </w:rPr>
        <w:t>s</w:t>
      </w:r>
      <w:r w:rsidRPr="006A1591">
        <w:rPr>
          <w:lang w:val="en-AU"/>
        </w:rPr>
        <w:t>e the court system, as alluded to in Matthew 5:38–42.</w:t>
      </w:r>
      <w:r w:rsidRPr="006A1591">
        <w:rPr>
          <w:rStyle w:val="FootnoteReference"/>
          <w:lang w:val="en-AU"/>
        </w:rPr>
        <w:footnoteReference w:id="540"/>
      </w:r>
      <w:r w:rsidRPr="006A1591">
        <w:rPr>
          <w:lang w:val="en-AU"/>
        </w:rPr>
        <w:t xml:space="preserve"> </w:t>
      </w:r>
    </w:p>
    <w:p w14:paraId="62EFD471" w14:textId="4802D306" w:rsidR="006540C0" w:rsidRPr="006A1591" w:rsidRDefault="00532284" w:rsidP="00F5340B">
      <w:pPr>
        <w:pStyle w:val="Heading2"/>
        <w:rPr>
          <w:caps/>
        </w:rPr>
      </w:pPr>
      <w:bookmarkStart w:id="172" w:name="_Toc94537036"/>
      <w:bookmarkStart w:id="173" w:name="_Toc118063683"/>
      <w:r w:rsidRPr="006A1591">
        <w:rPr>
          <w:caps/>
        </w:rPr>
        <w:t>8.</w:t>
      </w:r>
      <w:r w:rsidR="002E1250" w:rsidRPr="006A1591">
        <w:rPr>
          <w:caps/>
        </w:rPr>
        <w:t>6</w:t>
      </w:r>
      <w:r w:rsidR="006540C0" w:rsidRPr="006A1591">
        <w:rPr>
          <w:caps/>
        </w:rPr>
        <w:t xml:space="preserve"> </w:t>
      </w:r>
      <w:r w:rsidR="003173BF" w:rsidRPr="006A1591">
        <w:t xml:space="preserve">ἱμάτιον and χιτῶνά and </w:t>
      </w:r>
      <w:r w:rsidR="00503B24">
        <w:t>P</w:t>
      </w:r>
      <w:r w:rsidR="003173BF" w:rsidRPr="006A1591">
        <w:t>ledges</w:t>
      </w:r>
      <w:bookmarkEnd w:id="172"/>
      <w:bookmarkEnd w:id="173"/>
      <w:r w:rsidR="006540C0" w:rsidRPr="006A1591">
        <w:rPr>
          <w:caps/>
        </w:rPr>
        <w:t xml:space="preserve">  </w:t>
      </w:r>
    </w:p>
    <w:p w14:paraId="117A1E21" w14:textId="4E62E743" w:rsidR="006540C0" w:rsidRPr="006A1591" w:rsidRDefault="006540C0" w:rsidP="006540C0">
      <w:pPr>
        <w:contextualSpacing/>
        <w:rPr>
          <w:lang w:val="en-AU"/>
        </w:rPr>
      </w:pPr>
      <w:r w:rsidRPr="006A1591">
        <w:rPr>
          <w:lang w:val="en-AU"/>
        </w:rPr>
        <w:t>Matthew 5:40</w:t>
      </w:r>
      <w:r w:rsidR="005B7E70" w:rsidRPr="006A1591">
        <w:rPr>
          <w:lang w:val="en-AU"/>
        </w:rPr>
        <w:t xml:space="preserve"> (NRSV)</w:t>
      </w:r>
      <w:r w:rsidR="00DE2CA3" w:rsidRPr="006A1591">
        <w:rPr>
          <w:lang w:val="en-AU"/>
        </w:rPr>
        <w:t>:</w:t>
      </w:r>
    </w:p>
    <w:p w14:paraId="70694D07" w14:textId="16E87359" w:rsidR="00D25D36" w:rsidRPr="006A1591" w:rsidRDefault="006540C0" w:rsidP="006540C0">
      <w:pPr>
        <w:ind w:left="720"/>
        <w:contextualSpacing/>
        <w:rPr>
          <w:lang w:val="en-AU"/>
        </w:rPr>
      </w:pPr>
      <w:r w:rsidRPr="006A1591">
        <w:rPr>
          <w:lang w:val="en-AU"/>
        </w:rPr>
        <w:t>καὶ τῷ θέλοντί σοι κριθῆναι καὶ τὸν χιτῶνά σου λαβεῖν, ἄφες αὐτῷ καὶ τὸ ἱμάτιον</w:t>
      </w:r>
    </w:p>
    <w:p w14:paraId="12BCE7DA" w14:textId="3726E975" w:rsidR="00D25D36" w:rsidRPr="006A1591" w:rsidRDefault="006540C0" w:rsidP="006540C0">
      <w:pPr>
        <w:ind w:left="720"/>
        <w:contextualSpacing/>
        <w:rPr>
          <w:lang w:val="en-AU"/>
        </w:rPr>
      </w:pPr>
      <w:r w:rsidRPr="006A1591">
        <w:rPr>
          <w:lang w:val="en-AU"/>
        </w:rPr>
        <w:t xml:space="preserve">40 and if anyone wants to sue you and take your coat, give your cloak as well </w:t>
      </w:r>
    </w:p>
    <w:p w14:paraId="3FC5B636" w14:textId="77777777" w:rsidR="00361975" w:rsidRPr="006A1591" w:rsidRDefault="00361975" w:rsidP="00877E6C">
      <w:pPr>
        <w:autoSpaceDE w:val="0"/>
        <w:autoSpaceDN w:val="0"/>
        <w:adjustRightInd w:val="0"/>
        <w:spacing w:line="480" w:lineRule="auto"/>
        <w:ind w:firstLine="720"/>
        <w:rPr>
          <w:lang w:val="en-AU"/>
        </w:rPr>
      </w:pPr>
    </w:p>
    <w:p w14:paraId="536D4DA6" w14:textId="45AAAD43" w:rsidR="006540C0" w:rsidRPr="006A1591" w:rsidRDefault="00E13EAF" w:rsidP="00877E6C">
      <w:pPr>
        <w:autoSpaceDE w:val="0"/>
        <w:autoSpaceDN w:val="0"/>
        <w:adjustRightInd w:val="0"/>
        <w:spacing w:line="480" w:lineRule="auto"/>
        <w:ind w:firstLine="720"/>
        <w:rPr>
          <w:lang w:val="en-AU"/>
        </w:rPr>
      </w:pPr>
      <w:r w:rsidRPr="006A1591">
        <w:rPr>
          <w:lang w:val="en-AU"/>
        </w:rPr>
        <w:lastRenderedPageBreak/>
        <w:t>Respect for h</w:t>
      </w:r>
      <w:r w:rsidR="00632578" w:rsidRPr="006A1591">
        <w:rPr>
          <w:lang w:val="en-AU"/>
        </w:rPr>
        <w:t xml:space="preserve">uman dignity and a fundamental right to equality </w:t>
      </w:r>
      <w:r w:rsidRPr="006A1591">
        <w:rPr>
          <w:lang w:val="en-AU"/>
        </w:rPr>
        <w:t>is evident</w:t>
      </w:r>
      <w:r w:rsidR="00632578" w:rsidRPr="006A1591">
        <w:rPr>
          <w:lang w:val="en-AU"/>
        </w:rPr>
        <w:t xml:space="preserve"> in the Torah </w:t>
      </w:r>
      <w:r w:rsidRPr="006A1591">
        <w:rPr>
          <w:lang w:val="en-AU"/>
        </w:rPr>
        <w:t xml:space="preserve">and </w:t>
      </w:r>
      <w:r w:rsidR="00632578" w:rsidRPr="006A1591">
        <w:rPr>
          <w:lang w:val="en-AU"/>
        </w:rPr>
        <w:t xml:space="preserve">is </w:t>
      </w:r>
      <w:r w:rsidR="00FF0189" w:rsidRPr="006A1591">
        <w:rPr>
          <w:lang w:val="en-AU"/>
        </w:rPr>
        <w:t xml:space="preserve">the basis for </w:t>
      </w:r>
      <w:r w:rsidR="00632578" w:rsidRPr="006A1591">
        <w:rPr>
          <w:lang w:val="en-AU"/>
        </w:rPr>
        <w:t>the call for social equality in Matthew 5:40.</w:t>
      </w:r>
      <w:r w:rsidR="00446A8E" w:rsidRPr="006A1591">
        <w:rPr>
          <w:lang w:val="en-AU"/>
        </w:rPr>
        <w:t xml:space="preserve"> </w:t>
      </w:r>
      <w:r w:rsidR="00632578" w:rsidRPr="006A1591">
        <w:rPr>
          <w:lang w:val="en-AU"/>
        </w:rPr>
        <w:t xml:space="preserve">There is a push not only </w:t>
      </w:r>
      <w:r w:rsidR="00FF0189" w:rsidRPr="006A1591">
        <w:rPr>
          <w:lang w:val="en-AU"/>
        </w:rPr>
        <w:t xml:space="preserve">for </w:t>
      </w:r>
      <w:r w:rsidR="00632578" w:rsidRPr="006A1591">
        <w:rPr>
          <w:lang w:val="en-AU"/>
        </w:rPr>
        <w:t xml:space="preserve">legal equality, but </w:t>
      </w:r>
      <w:r w:rsidR="00FF0189" w:rsidRPr="006A1591">
        <w:rPr>
          <w:lang w:val="en-AU"/>
        </w:rPr>
        <w:t xml:space="preserve">for </w:t>
      </w:r>
      <w:r w:rsidR="00632578" w:rsidRPr="006A1591">
        <w:rPr>
          <w:lang w:val="en-AU"/>
        </w:rPr>
        <w:t xml:space="preserve">justice for both rich and poor alike. In </w:t>
      </w:r>
      <w:r w:rsidR="006540C0" w:rsidRPr="006A1591">
        <w:rPr>
          <w:lang w:val="en-AU"/>
        </w:rPr>
        <w:t>Matthew 5:40</w:t>
      </w:r>
      <w:r w:rsidR="00632578" w:rsidRPr="006A1591">
        <w:rPr>
          <w:lang w:val="en-AU"/>
        </w:rPr>
        <w:t xml:space="preserve"> </w:t>
      </w:r>
      <w:r w:rsidR="00B86361" w:rsidRPr="006A1591">
        <w:rPr>
          <w:lang w:val="en-AU"/>
        </w:rPr>
        <w:t>there is</w:t>
      </w:r>
      <w:r w:rsidR="00632578" w:rsidRPr="006A1591">
        <w:rPr>
          <w:lang w:val="en-AU"/>
        </w:rPr>
        <w:t xml:space="preserve"> a deeper understanding </w:t>
      </w:r>
      <w:r w:rsidR="00B86361" w:rsidRPr="006A1591">
        <w:rPr>
          <w:lang w:val="en-AU"/>
        </w:rPr>
        <w:t xml:space="preserve">of justice </w:t>
      </w:r>
      <w:r w:rsidR="00632578" w:rsidRPr="006A1591">
        <w:rPr>
          <w:lang w:val="en-AU"/>
        </w:rPr>
        <w:t xml:space="preserve">than </w:t>
      </w:r>
      <w:r w:rsidR="00940262" w:rsidRPr="006A1591">
        <w:rPr>
          <w:lang w:val="en-AU"/>
        </w:rPr>
        <w:t>merely</w:t>
      </w:r>
      <w:r w:rsidR="00632578" w:rsidRPr="006A1591">
        <w:rPr>
          <w:lang w:val="en-AU"/>
        </w:rPr>
        <w:t xml:space="preserve"> lawsuits and </w:t>
      </w:r>
      <w:r w:rsidR="00940262" w:rsidRPr="006A1591">
        <w:rPr>
          <w:lang w:val="en-AU"/>
        </w:rPr>
        <w:t xml:space="preserve">the </w:t>
      </w:r>
      <w:r w:rsidR="00632578" w:rsidRPr="006A1591">
        <w:rPr>
          <w:lang w:val="en-AU"/>
        </w:rPr>
        <w:t xml:space="preserve">giving </w:t>
      </w:r>
      <w:r w:rsidR="00940262" w:rsidRPr="006A1591">
        <w:rPr>
          <w:lang w:val="en-AU"/>
        </w:rPr>
        <w:t xml:space="preserve">of </w:t>
      </w:r>
      <w:r w:rsidR="00632578" w:rsidRPr="006A1591">
        <w:rPr>
          <w:lang w:val="en-AU"/>
        </w:rPr>
        <w:t xml:space="preserve">a cloak.  The standards for loans and collateral are part of the </w:t>
      </w:r>
      <w:r w:rsidR="0039780E" w:rsidRPr="006A1591">
        <w:rPr>
          <w:lang w:val="en-AU"/>
        </w:rPr>
        <w:t>interpretations</w:t>
      </w:r>
      <w:r w:rsidR="00632578" w:rsidRPr="006A1591">
        <w:rPr>
          <w:lang w:val="en-AU"/>
        </w:rPr>
        <w:t xml:space="preserve"> of Matthew 5:40; </w:t>
      </w:r>
      <w:r w:rsidR="00C4660F" w:rsidRPr="006A1591">
        <w:rPr>
          <w:lang w:val="en-AU"/>
        </w:rPr>
        <w:t>thus,</w:t>
      </w:r>
      <w:r w:rsidR="000F27D2" w:rsidRPr="006A1591">
        <w:rPr>
          <w:lang w:val="en-AU"/>
        </w:rPr>
        <w:t xml:space="preserve"> it is necessary to show </w:t>
      </w:r>
      <w:r w:rsidR="00632578" w:rsidRPr="006A1591">
        <w:rPr>
          <w:lang w:val="en-AU"/>
        </w:rPr>
        <w:t xml:space="preserve">how clothing and social equality are connected. </w:t>
      </w:r>
      <w:r w:rsidR="006540C0" w:rsidRPr="006A1591">
        <w:rPr>
          <w:lang w:val="en-AU"/>
        </w:rPr>
        <w:t xml:space="preserve"> Keener</w:t>
      </w:r>
      <w:r w:rsidR="00632578" w:rsidRPr="006A1591">
        <w:rPr>
          <w:lang w:val="en-AU"/>
        </w:rPr>
        <w:t xml:space="preserve"> </w:t>
      </w:r>
      <w:r w:rsidR="0039780E" w:rsidRPr="006A1591">
        <w:rPr>
          <w:lang w:val="en-AU"/>
        </w:rPr>
        <w:t>explains</w:t>
      </w:r>
      <w:r w:rsidR="00632578" w:rsidRPr="006A1591">
        <w:rPr>
          <w:lang w:val="en-AU"/>
        </w:rPr>
        <w:t xml:space="preserve"> that keeping clothing and giving up clothing causing one to be nude </w:t>
      </w:r>
      <w:r w:rsidR="00AE4ADD" w:rsidRPr="006A1591">
        <w:rPr>
          <w:lang w:val="en-AU"/>
        </w:rPr>
        <w:t>is an aspect of</w:t>
      </w:r>
      <w:r w:rsidR="00632578" w:rsidRPr="006A1591">
        <w:rPr>
          <w:lang w:val="en-AU"/>
        </w:rPr>
        <w:t xml:space="preserve"> social equality</w:t>
      </w:r>
      <w:r w:rsidR="006540C0" w:rsidRPr="006A1591">
        <w:rPr>
          <w:lang w:val="en-AU"/>
        </w:rPr>
        <w:t>.</w:t>
      </w:r>
      <w:r w:rsidR="006540C0" w:rsidRPr="006A1591">
        <w:rPr>
          <w:rStyle w:val="FootnoteReference"/>
          <w:lang w:val="en-AU"/>
        </w:rPr>
        <w:footnoteReference w:id="541"/>
      </w:r>
      <w:r w:rsidR="006540C0" w:rsidRPr="006A1591">
        <w:rPr>
          <w:lang w:val="en-AU"/>
        </w:rPr>
        <w:t xml:space="preserve">  </w:t>
      </w:r>
      <w:r w:rsidR="00531469" w:rsidRPr="006A1591">
        <w:rPr>
          <w:lang w:val="en-AU"/>
        </w:rPr>
        <w:t>There is an overt understanding o</w:t>
      </w:r>
      <w:r w:rsidR="00AE4ADD" w:rsidRPr="006A1591">
        <w:rPr>
          <w:lang w:val="en-AU"/>
        </w:rPr>
        <w:t>f</w:t>
      </w:r>
      <w:r w:rsidR="00531469" w:rsidRPr="006A1591">
        <w:rPr>
          <w:lang w:val="en-AU"/>
        </w:rPr>
        <w:t xml:space="preserve"> providing collateral for loans being addressed by Matthew 5:40.</w:t>
      </w:r>
      <w:r w:rsidR="00C4660F" w:rsidRPr="006A1591">
        <w:rPr>
          <w:lang w:val="en-AU"/>
        </w:rPr>
        <w:t xml:space="preserve"> Lachs refers to a situation in which someone is bringing a lawsuit (</w:t>
      </w:r>
      <w:r w:rsidR="00863B47" w:rsidRPr="006A1591">
        <w:rPr>
          <w:lang w:val="en-AU"/>
        </w:rPr>
        <w:t>“</w:t>
      </w:r>
      <w:r w:rsidR="00C4660F" w:rsidRPr="006A1591">
        <w:rPr>
          <w:lang w:val="en-AU"/>
        </w:rPr>
        <w:t>if anyone would sue you and take your cloak</w:t>
      </w:r>
      <w:r w:rsidR="00863B47" w:rsidRPr="006A1591">
        <w:rPr>
          <w:lang w:val="en-AU"/>
        </w:rPr>
        <w:t>”</w:t>
      </w:r>
      <w:r w:rsidR="00C4660F" w:rsidRPr="006A1591">
        <w:rPr>
          <w:lang w:val="en-AU"/>
        </w:rPr>
        <w:t xml:space="preserve">). Lachs contrasts this with the parallel account in Luke. </w:t>
      </w:r>
      <w:r w:rsidR="006540C0" w:rsidRPr="006A1591">
        <w:rPr>
          <w:lang w:val="en-AU"/>
        </w:rPr>
        <w:t>Lachs</w:t>
      </w:r>
      <w:r w:rsidR="00531469" w:rsidRPr="006A1591">
        <w:rPr>
          <w:lang w:val="en-AU"/>
        </w:rPr>
        <w:t xml:space="preserve"> says that </w:t>
      </w:r>
      <w:r w:rsidR="00863B47" w:rsidRPr="006A1591">
        <w:rPr>
          <w:lang w:val="en-AU"/>
        </w:rPr>
        <w:t>“</w:t>
      </w:r>
      <w:r w:rsidR="006540C0" w:rsidRPr="006A1591">
        <w:rPr>
          <w:lang w:val="en-AU"/>
        </w:rPr>
        <w:t>here it is clearly a legal action in tort or contract which is described</w:t>
      </w:r>
      <w:r w:rsidR="00531469" w:rsidRPr="006A1591">
        <w:rPr>
          <w:lang w:val="en-AU"/>
        </w:rPr>
        <w:t>,</w:t>
      </w:r>
      <w:r w:rsidR="00863B47" w:rsidRPr="006A1591">
        <w:rPr>
          <w:lang w:val="en-AU"/>
        </w:rPr>
        <w:t>”</w:t>
      </w:r>
      <w:r w:rsidR="00531469" w:rsidRPr="006A1591">
        <w:rPr>
          <w:lang w:val="en-AU"/>
        </w:rPr>
        <w:t xml:space="preserve"> and th</w:t>
      </w:r>
      <w:r w:rsidR="006E6347" w:rsidRPr="006A1591">
        <w:rPr>
          <w:lang w:val="en-AU"/>
        </w:rPr>
        <w:t>is</w:t>
      </w:r>
      <w:r w:rsidR="00531469" w:rsidRPr="006A1591">
        <w:rPr>
          <w:lang w:val="en-AU"/>
        </w:rPr>
        <w:t xml:space="preserve"> action being described as a bre</w:t>
      </w:r>
      <w:r w:rsidR="00AE4ADD" w:rsidRPr="006A1591">
        <w:rPr>
          <w:lang w:val="en-AU"/>
        </w:rPr>
        <w:t>a</w:t>
      </w:r>
      <w:r w:rsidR="00531469" w:rsidRPr="006A1591">
        <w:rPr>
          <w:lang w:val="en-AU"/>
        </w:rPr>
        <w:t>ch of contract and the avoidance of a tort is important to the poor amongst us.</w:t>
      </w:r>
      <w:r w:rsidR="006540C0" w:rsidRPr="006A1591">
        <w:rPr>
          <w:rStyle w:val="FootnoteReference"/>
          <w:lang w:val="en-AU"/>
        </w:rPr>
        <w:footnoteReference w:id="542"/>
      </w:r>
      <w:r w:rsidR="006540C0" w:rsidRPr="006A1591">
        <w:rPr>
          <w:lang w:val="en-AU"/>
        </w:rPr>
        <w:t xml:space="preserve">  </w:t>
      </w:r>
      <w:r w:rsidR="00531469" w:rsidRPr="006A1591">
        <w:rPr>
          <w:lang w:val="en-AU"/>
        </w:rPr>
        <w:t xml:space="preserve">There are some that suggest that </w:t>
      </w:r>
      <w:r w:rsidR="006540C0" w:rsidRPr="006A1591">
        <w:rPr>
          <w:lang w:val="en-AU"/>
        </w:rPr>
        <w:t xml:space="preserve">giving up </w:t>
      </w:r>
      <w:r w:rsidR="00531469" w:rsidRPr="006A1591">
        <w:rPr>
          <w:lang w:val="en-AU"/>
        </w:rPr>
        <w:t xml:space="preserve">a </w:t>
      </w:r>
      <w:r w:rsidR="006540C0" w:rsidRPr="006A1591">
        <w:rPr>
          <w:lang w:val="en-AU"/>
        </w:rPr>
        <w:t xml:space="preserve">cloak (ἱμάτιον) </w:t>
      </w:r>
      <w:r w:rsidR="00531469" w:rsidRPr="006A1591">
        <w:rPr>
          <w:lang w:val="en-AU"/>
        </w:rPr>
        <w:t xml:space="preserve">and </w:t>
      </w:r>
      <w:r w:rsidR="006540C0" w:rsidRPr="006A1591">
        <w:rPr>
          <w:lang w:val="en-AU"/>
        </w:rPr>
        <w:t>undergarment (χιτῶνά)</w:t>
      </w:r>
      <w:r w:rsidR="00531469" w:rsidRPr="006A1591">
        <w:rPr>
          <w:lang w:val="en-AU"/>
        </w:rPr>
        <w:t xml:space="preserve"> causes a person to be naked.</w:t>
      </w:r>
      <w:r w:rsidR="006540C0" w:rsidRPr="006A1591">
        <w:rPr>
          <w:rStyle w:val="FootnoteReference"/>
          <w:lang w:val="en-AU"/>
        </w:rPr>
        <w:footnoteReference w:id="543"/>
      </w:r>
      <w:r w:rsidR="006540C0" w:rsidRPr="006A1591">
        <w:rPr>
          <w:lang w:val="en-AU"/>
        </w:rPr>
        <w:t xml:space="preserve"> </w:t>
      </w:r>
      <w:r w:rsidR="00C4660F" w:rsidRPr="006A1591">
        <w:rPr>
          <w:lang w:val="en-AU"/>
        </w:rPr>
        <w:t xml:space="preserve">Following the advice in Matt 5:40 might well leave the debtor naked, but it would not be legal for the creditor to accept and retain the cloak (Deut 24:12). </w:t>
      </w:r>
      <w:r w:rsidR="00531469" w:rsidRPr="006A1591">
        <w:rPr>
          <w:lang w:val="en-AU"/>
        </w:rPr>
        <w:t xml:space="preserve">There are many complications that arise from this scenario and </w:t>
      </w:r>
      <w:r w:rsidR="00C64FFD" w:rsidRPr="006A1591">
        <w:rPr>
          <w:lang w:val="en-AU"/>
        </w:rPr>
        <w:t xml:space="preserve">the </w:t>
      </w:r>
      <w:r w:rsidR="0039780E" w:rsidRPr="006A1591">
        <w:rPr>
          <w:lang w:val="en-AU"/>
        </w:rPr>
        <w:t>prohibitions</w:t>
      </w:r>
      <w:r w:rsidR="00531469" w:rsidRPr="006A1591">
        <w:rPr>
          <w:lang w:val="en-AU"/>
        </w:rPr>
        <w:t xml:space="preserve"> connected to it.  It becomes problematic to lend to people </w:t>
      </w:r>
      <w:r w:rsidR="00C64FFD" w:rsidRPr="006A1591">
        <w:rPr>
          <w:lang w:val="en-AU"/>
        </w:rPr>
        <w:t>who are without</w:t>
      </w:r>
      <w:r w:rsidR="00531469" w:rsidRPr="006A1591">
        <w:rPr>
          <w:lang w:val="en-AU"/>
        </w:rPr>
        <w:t xml:space="preserve"> asse</w:t>
      </w:r>
      <w:r w:rsidR="0039780E" w:rsidRPr="006A1591">
        <w:rPr>
          <w:lang w:val="en-AU"/>
        </w:rPr>
        <w:t>ts</w:t>
      </w:r>
      <w:r w:rsidR="00531469" w:rsidRPr="006A1591">
        <w:rPr>
          <w:lang w:val="en-AU"/>
        </w:rPr>
        <w:t xml:space="preserve"> </w:t>
      </w:r>
      <w:r w:rsidR="00641C14" w:rsidRPr="006A1591">
        <w:rPr>
          <w:lang w:val="en-AU"/>
        </w:rPr>
        <w:t>or</w:t>
      </w:r>
      <w:r w:rsidR="00531469" w:rsidRPr="006A1591">
        <w:rPr>
          <w:lang w:val="en-AU"/>
        </w:rPr>
        <w:t xml:space="preserve"> collateral.  It</w:t>
      </w:r>
      <w:r w:rsidR="00BA4437" w:rsidRPr="006A1591">
        <w:rPr>
          <w:lang w:val="en-AU"/>
        </w:rPr>
        <w:t xml:space="preserve"> also</w:t>
      </w:r>
      <w:r w:rsidR="00531469" w:rsidRPr="006A1591">
        <w:rPr>
          <w:lang w:val="en-AU"/>
        </w:rPr>
        <w:t xml:space="preserve"> highlights the </w:t>
      </w:r>
      <w:r w:rsidR="00641C14" w:rsidRPr="006A1591">
        <w:rPr>
          <w:lang w:val="en-AU"/>
        </w:rPr>
        <w:t>difficulty</w:t>
      </w:r>
      <w:r w:rsidR="00531469" w:rsidRPr="006A1591">
        <w:rPr>
          <w:lang w:val="en-AU"/>
        </w:rPr>
        <w:t xml:space="preserve"> </w:t>
      </w:r>
      <w:r w:rsidR="00641C14" w:rsidRPr="006A1591">
        <w:rPr>
          <w:lang w:val="en-AU"/>
        </w:rPr>
        <w:t>in</w:t>
      </w:r>
      <w:r w:rsidR="00531469" w:rsidRPr="006A1591">
        <w:rPr>
          <w:lang w:val="en-AU"/>
        </w:rPr>
        <w:t xml:space="preserve"> lending </w:t>
      </w:r>
      <w:r w:rsidR="00BA4437" w:rsidRPr="006A1591">
        <w:rPr>
          <w:lang w:val="en-AU"/>
        </w:rPr>
        <w:t xml:space="preserve">clothing </w:t>
      </w:r>
      <w:r w:rsidR="00531469" w:rsidRPr="006A1591">
        <w:rPr>
          <w:lang w:val="en-AU"/>
        </w:rPr>
        <w:t xml:space="preserve">to people for clothing. </w:t>
      </w:r>
      <w:r w:rsidR="006540C0" w:rsidRPr="006A1591">
        <w:rPr>
          <w:lang w:val="en-AU"/>
        </w:rPr>
        <w:t xml:space="preserve">D. A. </w:t>
      </w:r>
      <w:r w:rsidR="006540C0" w:rsidRPr="006A1591">
        <w:rPr>
          <w:lang w:val="en-AU"/>
        </w:rPr>
        <w:lastRenderedPageBreak/>
        <w:t xml:space="preserve">Carson </w:t>
      </w:r>
      <w:r w:rsidR="0039780E" w:rsidRPr="006A1591">
        <w:rPr>
          <w:lang w:val="en-AU"/>
        </w:rPr>
        <w:t>suggests that lending to beggars would not happen because of these constraints.</w:t>
      </w:r>
      <w:r w:rsidR="006540C0" w:rsidRPr="006A1591">
        <w:rPr>
          <w:rStyle w:val="FootnoteReference"/>
          <w:lang w:val="en-AU"/>
        </w:rPr>
        <w:footnoteReference w:id="544"/>
      </w:r>
      <w:r w:rsidR="006540C0" w:rsidRPr="006A1591">
        <w:rPr>
          <w:lang w:val="en-AU"/>
        </w:rPr>
        <w:t xml:space="preserve"> W. D. Davies and Dale Allison </w:t>
      </w:r>
      <w:r w:rsidR="007A6AD1" w:rsidRPr="006A1591">
        <w:rPr>
          <w:lang w:val="en-AU"/>
        </w:rPr>
        <w:t xml:space="preserve">suggest, </w:t>
      </w:r>
      <w:r w:rsidR="00863B47" w:rsidRPr="006A1591">
        <w:rPr>
          <w:lang w:val="en-AU"/>
        </w:rPr>
        <w:t>“</w:t>
      </w:r>
      <w:r w:rsidR="006540C0" w:rsidRPr="006A1591">
        <w:rPr>
          <w:lang w:val="en-AU"/>
        </w:rPr>
        <w:t>The import of the following sentences [vv. 40–42] is lost if one attempts to take them literally.</w:t>
      </w:r>
      <w:r w:rsidR="00863B47" w:rsidRPr="006A1591">
        <w:rPr>
          <w:lang w:val="en-AU"/>
        </w:rPr>
        <w:t>”</w:t>
      </w:r>
      <w:r w:rsidR="006540C0" w:rsidRPr="006A1591">
        <w:rPr>
          <w:lang w:val="en-AU"/>
        </w:rPr>
        <w:t xml:space="preserve"> </w:t>
      </w:r>
      <w:r w:rsidR="0039780E" w:rsidRPr="006A1591">
        <w:rPr>
          <w:lang w:val="en-AU"/>
        </w:rPr>
        <w:t xml:space="preserve">Davies and Allison believe that </w:t>
      </w:r>
      <w:r w:rsidR="00C87B0F" w:rsidRPr="006A1591">
        <w:rPr>
          <w:lang w:val="en-AU"/>
        </w:rPr>
        <w:t>Matthew 5:40</w:t>
      </w:r>
      <w:r w:rsidR="0039780E" w:rsidRPr="006A1591">
        <w:rPr>
          <w:lang w:val="en-AU"/>
        </w:rPr>
        <w:t xml:space="preserve"> is a hyperbolic in nature</w:t>
      </w:r>
      <w:r w:rsidR="00C87B0F" w:rsidRPr="006A1591">
        <w:rPr>
          <w:lang w:val="en-AU"/>
        </w:rPr>
        <w:t>, because Jesus often would use extreme examples</w:t>
      </w:r>
      <w:r w:rsidR="0039780E" w:rsidRPr="006A1591">
        <w:rPr>
          <w:lang w:val="en-AU"/>
        </w:rPr>
        <w:t>.</w:t>
      </w:r>
      <w:r w:rsidR="00C87B0F" w:rsidRPr="006A1591">
        <w:rPr>
          <w:rStyle w:val="FootnoteReference"/>
          <w:lang w:val="en-AU"/>
        </w:rPr>
        <w:t xml:space="preserve"> </w:t>
      </w:r>
      <w:r w:rsidR="00C87B0F" w:rsidRPr="006A1591">
        <w:rPr>
          <w:rStyle w:val="FootnoteReference"/>
          <w:lang w:val="en-AU"/>
        </w:rPr>
        <w:footnoteReference w:id="545"/>
      </w:r>
      <w:r w:rsidR="0039780E" w:rsidRPr="006A1591">
        <w:rPr>
          <w:lang w:val="en-AU"/>
        </w:rPr>
        <w:t xml:space="preserve">  </w:t>
      </w:r>
      <w:r w:rsidR="007A6AD1" w:rsidRPr="006A1591">
        <w:rPr>
          <w:lang w:val="en-AU"/>
        </w:rPr>
        <w:t>Similarly</w:t>
      </w:r>
      <w:r w:rsidR="0039780E" w:rsidRPr="006A1591">
        <w:rPr>
          <w:lang w:val="en-AU"/>
        </w:rPr>
        <w:t xml:space="preserve">, </w:t>
      </w:r>
      <w:r w:rsidR="006540C0" w:rsidRPr="006A1591">
        <w:rPr>
          <w:lang w:val="en-AU"/>
        </w:rPr>
        <w:t xml:space="preserve">Claudia Claridge </w:t>
      </w:r>
      <w:r w:rsidR="0039780E" w:rsidRPr="006A1591">
        <w:rPr>
          <w:lang w:val="en-AU"/>
        </w:rPr>
        <w:t xml:space="preserve">suggests that the </w:t>
      </w:r>
      <w:r w:rsidR="006540C0" w:rsidRPr="006A1591">
        <w:rPr>
          <w:lang w:val="en-AU"/>
        </w:rPr>
        <w:t>hyperbole</w:t>
      </w:r>
      <w:r w:rsidR="0039780E" w:rsidRPr="006A1591">
        <w:rPr>
          <w:lang w:val="en-AU"/>
        </w:rPr>
        <w:t xml:space="preserve"> is </w:t>
      </w:r>
      <w:r w:rsidR="00863B47" w:rsidRPr="006A1591">
        <w:rPr>
          <w:lang w:val="en-AU"/>
        </w:rPr>
        <w:t>“</w:t>
      </w:r>
      <w:r w:rsidR="006540C0" w:rsidRPr="006A1591">
        <w:rPr>
          <w:lang w:val="en-AU"/>
        </w:rPr>
        <w:t>deliberate exaggeration for the sake of effect.</w:t>
      </w:r>
      <w:r w:rsidR="00863B47" w:rsidRPr="006A1591">
        <w:rPr>
          <w:lang w:val="en-AU"/>
        </w:rPr>
        <w:t>”</w:t>
      </w:r>
      <w:r w:rsidR="006540C0" w:rsidRPr="006A1591">
        <w:rPr>
          <w:rStyle w:val="FootnoteReference"/>
          <w:lang w:val="en-AU"/>
        </w:rPr>
        <w:footnoteReference w:id="546"/>
      </w:r>
      <w:r w:rsidR="006540C0" w:rsidRPr="006A1591">
        <w:rPr>
          <w:lang w:val="en-AU"/>
        </w:rPr>
        <w:t xml:space="preserve"> </w:t>
      </w:r>
    </w:p>
    <w:p w14:paraId="2348BB76" w14:textId="49897EC5" w:rsidR="006540C0" w:rsidRPr="006A1591" w:rsidRDefault="00935D4A" w:rsidP="006540C0">
      <w:pPr>
        <w:autoSpaceDE w:val="0"/>
        <w:autoSpaceDN w:val="0"/>
        <w:adjustRightInd w:val="0"/>
        <w:spacing w:line="480" w:lineRule="auto"/>
        <w:ind w:firstLine="720"/>
        <w:rPr>
          <w:lang w:val="en-AU"/>
        </w:rPr>
      </w:pPr>
      <w:r w:rsidRPr="006A1591">
        <w:rPr>
          <w:lang w:val="en-AU"/>
        </w:rPr>
        <w:t xml:space="preserve">The scenario of a lawsuit may be </w:t>
      </w:r>
      <w:r w:rsidR="00FB1E79" w:rsidRPr="006A1591">
        <w:rPr>
          <w:lang w:val="en-AU"/>
        </w:rPr>
        <w:t>modelled</w:t>
      </w:r>
      <w:r w:rsidRPr="006A1591">
        <w:rPr>
          <w:lang w:val="en-AU"/>
        </w:rPr>
        <w:t xml:space="preserve"> </w:t>
      </w:r>
      <w:r w:rsidR="007456DA" w:rsidRPr="006A1591">
        <w:rPr>
          <w:lang w:val="en-AU"/>
        </w:rPr>
        <w:t>on</w:t>
      </w:r>
      <w:r w:rsidRPr="006A1591">
        <w:rPr>
          <w:lang w:val="en-AU"/>
        </w:rPr>
        <w:t xml:space="preserve"> a </w:t>
      </w:r>
      <w:r w:rsidR="009A05D7" w:rsidRPr="006A1591">
        <w:rPr>
          <w:lang w:val="en-AU"/>
        </w:rPr>
        <w:t>real-life</w:t>
      </w:r>
      <w:r w:rsidRPr="006A1591">
        <w:rPr>
          <w:lang w:val="en-AU"/>
        </w:rPr>
        <w:t xml:space="preserve"> event, as Foster suggests it is </w:t>
      </w:r>
      <w:r w:rsidR="00863B47" w:rsidRPr="006A1591">
        <w:rPr>
          <w:lang w:val="en-AU"/>
        </w:rPr>
        <w:t>“</w:t>
      </w:r>
      <w:r w:rsidR="006540C0" w:rsidRPr="006A1591">
        <w:rPr>
          <w:lang w:val="en-AU"/>
        </w:rPr>
        <w:t>a quasi-legal prosecution by opponents.</w:t>
      </w:r>
      <w:r w:rsidR="00863B47" w:rsidRPr="006A1591">
        <w:rPr>
          <w:lang w:val="en-AU"/>
        </w:rPr>
        <w:t>”</w:t>
      </w:r>
      <w:r w:rsidR="006540C0" w:rsidRPr="006A1591">
        <w:rPr>
          <w:rStyle w:val="FootnoteReference"/>
          <w:lang w:val="en-AU"/>
        </w:rPr>
        <w:footnoteReference w:id="547"/>
      </w:r>
      <w:r w:rsidR="006540C0" w:rsidRPr="006A1591">
        <w:rPr>
          <w:lang w:val="en-AU"/>
        </w:rPr>
        <w:t xml:space="preserve"> </w:t>
      </w:r>
      <w:r w:rsidRPr="006A1591">
        <w:rPr>
          <w:lang w:val="en-AU"/>
        </w:rPr>
        <w:t xml:space="preserve">Maybe this </w:t>
      </w:r>
      <w:r w:rsidR="001A6413" w:rsidRPr="006A1591">
        <w:rPr>
          <w:lang w:val="en-AU"/>
        </w:rPr>
        <w:t>is a critique o</w:t>
      </w:r>
      <w:r w:rsidR="00ED7BE2" w:rsidRPr="006A1591">
        <w:rPr>
          <w:lang w:val="en-AU"/>
        </w:rPr>
        <w:t>f</w:t>
      </w:r>
      <w:r w:rsidR="001A6413" w:rsidRPr="006A1591">
        <w:rPr>
          <w:lang w:val="en-AU"/>
        </w:rPr>
        <w:t xml:space="preserve"> the </w:t>
      </w:r>
      <w:r w:rsidR="00ED7BE2" w:rsidRPr="006A1591">
        <w:rPr>
          <w:lang w:val="en-AU"/>
        </w:rPr>
        <w:t xml:space="preserve">people </w:t>
      </w:r>
      <w:r w:rsidR="001A6413" w:rsidRPr="006A1591">
        <w:rPr>
          <w:lang w:val="en-AU"/>
        </w:rPr>
        <w:t>closest to Jesus. It is understood that the text reads different</w:t>
      </w:r>
      <w:r w:rsidR="00ED7BE2" w:rsidRPr="006A1591">
        <w:rPr>
          <w:lang w:val="en-AU"/>
        </w:rPr>
        <w:t>ly</w:t>
      </w:r>
      <w:r w:rsidR="001A6413" w:rsidRPr="006A1591">
        <w:rPr>
          <w:lang w:val="en-AU"/>
        </w:rPr>
        <w:t xml:space="preserve"> </w:t>
      </w:r>
      <w:r w:rsidR="006540C0" w:rsidRPr="006A1591">
        <w:rPr>
          <w:lang w:val="en-AU"/>
        </w:rPr>
        <w:t xml:space="preserve">in Luke 6:29 (NRSV), </w:t>
      </w:r>
      <w:r w:rsidR="00863B47" w:rsidRPr="006A1591">
        <w:rPr>
          <w:lang w:val="en-AU"/>
        </w:rPr>
        <w:t>“</w:t>
      </w:r>
      <w:r w:rsidR="006540C0" w:rsidRPr="006A1591">
        <w:rPr>
          <w:lang w:val="en-AU"/>
        </w:rPr>
        <w:t>If anyone strikes you on the cheek, offer the other also; and from anyone who takes away your coat, do not withhold even your shirt.</w:t>
      </w:r>
      <w:r w:rsidR="00863B47" w:rsidRPr="006A1591">
        <w:rPr>
          <w:lang w:val="en-AU"/>
        </w:rPr>
        <w:t>”</w:t>
      </w:r>
      <w:r w:rsidR="001A6413" w:rsidRPr="006A1591">
        <w:rPr>
          <w:lang w:val="en-AU"/>
        </w:rPr>
        <w:t xml:space="preserve">  </w:t>
      </w:r>
      <w:r w:rsidR="006540C0" w:rsidRPr="006A1591">
        <w:rPr>
          <w:lang w:val="en-AU"/>
        </w:rPr>
        <w:t xml:space="preserve">In </w:t>
      </w:r>
      <w:r w:rsidR="001A6413" w:rsidRPr="006A1591">
        <w:rPr>
          <w:lang w:val="en-AU"/>
        </w:rPr>
        <w:t xml:space="preserve">the </w:t>
      </w:r>
      <w:r w:rsidR="006540C0" w:rsidRPr="006A1591">
        <w:rPr>
          <w:lang w:val="en-AU"/>
        </w:rPr>
        <w:t>Matthe</w:t>
      </w:r>
      <w:r w:rsidR="00ED7BE2" w:rsidRPr="006A1591">
        <w:rPr>
          <w:lang w:val="en-AU"/>
        </w:rPr>
        <w:t>an</w:t>
      </w:r>
      <w:r w:rsidR="001A6413" w:rsidRPr="006A1591">
        <w:rPr>
          <w:lang w:val="en-AU"/>
        </w:rPr>
        <w:t xml:space="preserve"> </w:t>
      </w:r>
      <w:r w:rsidR="00515F65" w:rsidRPr="006A1591">
        <w:rPr>
          <w:lang w:val="en-AU"/>
        </w:rPr>
        <w:t>account, a</w:t>
      </w:r>
      <w:r w:rsidR="006540C0" w:rsidRPr="006A1591">
        <w:rPr>
          <w:lang w:val="en-AU"/>
        </w:rPr>
        <w:t xml:space="preserve"> </w:t>
      </w:r>
      <w:r w:rsidR="001A6413" w:rsidRPr="006A1591">
        <w:rPr>
          <w:lang w:val="en-AU"/>
        </w:rPr>
        <w:t>person can be litigated for their cloak</w:t>
      </w:r>
      <w:r w:rsidR="00ED7BE2" w:rsidRPr="006A1591">
        <w:rPr>
          <w:lang w:val="en-AU"/>
        </w:rPr>
        <w:t>,</w:t>
      </w:r>
      <w:r w:rsidR="00C87B0F" w:rsidRPr="006A1591">
        <w:rPr>
          <w:lang w:val="en-AU"/>
        </w:rPr>
        <w:t xml:space="preserve"> while Luke focuses on a person</w:t>
      </w:r>
      <w:r w:rsidR="005C71CB" w:rsidRPr="006A1591">
        <w:rPr>
          <w:lang w:val="en-AU"/>
        </w:rPr>
        <w:t>’</w:t>
      </w:r>
      <w:r w:rsidR="00C87B0F" w:rsidRPr="006A1591">
        <w:rPr>
          <w:lang w:val="en-AU"/>
        </w:rPr>
        <w:t>s responsibility</w:t>
      </w:r>
      <w:r w:rsidR="001A6413" w:rsidRPr="006A1591">
        <w:rPr>
          <w:lang w:val="en-AU"/>
        </w:rPr>
        <w:t xml:space="preserve">.  In Luke the focus is on the action of taking the </w:t>
      </w:r>
      <w:r w:rsidR="00F90018" w:rsidRPr="006A1591">
        <w:rPr>
          <w:lang w:val="en-AU"/>
        </w:rPr>
        <w:t>g</w:t>
      </w:r>
      <w:r w:rsidR="00F34D4D" w:rsidRPr="006A1591">
        <w:rPr>
          <w:lang w:val="en-AU"/>
        </w:rPr>
        <w:t>arment</w:t>
      </w:r>
      <w:r w:rsidR="001A6413" w:rsidRPr="006A1591">
        <w:rPr>
          <w:lang w:val="en-AU"/>
        </w:rPr>
        <w:t xml:space="preserve">, not seeking a </w:t>
      </w:r>
      <w:r w:rsidR="00F90018" w:rsidRPr="006A1591">
        <w:rPr>
          <w:lang w:val="en-AU"/>
        </w:rPr>
        <w:t>solution</w:t>
      </w:r>
      <w:r w:rsidR="001A6413" w:rsidRPr="006A1591">
        <w:rPr>
          <w:lang w:val="en-AU"/>
        </w:rPr>
        <w:t xml:space="preserve">. </w:t>
      </w:r>
      <w:r w:rsidR="00F90018" w:rsidRPr="006A1591">
        <w:rPr>
          <w:lang w:val="en-AU"/>
        </w:rPr>
        <w:t xml:space="preserve">In </w:t>
      </w:r>
      <w:r w:rsidR="001A6413" w:rsidRPr="006A1591">
        <w:rPr>
          <w:lang w:val="en-AU"/>
        </w:rPr>
        <w:t xml:space="preserve">Matthew </w:t>
      </w:r>
      <w:r w:rsidR="00F90018" w:rsidRPr="006A1591">
        <w:rPr>
          <w:lang w:val="en-AU"/>
        </w:rPr>
        <w:t>the teaching</w:t>
      </w:r>
      <w:r w:rsidR="001A6413" w:rsidRPr="006A1591">
        <w:rPr>
          <w:lang w:val="en-AU"/>
        </w:rPr>
        <w:t xml:space="preserve"> </w:t>
      </w:r>
      <w:r w:rsidR="006540C0" w:rsidRPr="006A1591">
        <w:rPr>
          <w:lang w:val="en-AU"/>
        </w:rPr>
        <w:t>is not a critique o</w:t>
      </w:r>
      <w:r w:rsidR="00F90018" w:rsidRPr="006A1591">
        <w:rPr>
          <w:lang w:val="en-AU"/>
        </w:rPr>
        <w:t>f</w:t>
      </w:r>
      <w:r w:rsidR="006540C0" w:rsidRPr="006A1591">
        <w:rPr>
          <w:lang w:val="en-AU"/>
        </w:rPr>
        <w:t xml:space="preserve"> the legal </w:t>
      </w:r>
      <w:r w:rsidR="00856D23" w:rsidRPr="006A1591">
        <w:rPr>
          <w:lang w:val="en-AU"/>
        </w:rPr>
        <w:t>system</w:t>
      </w:r>
      <w:r w:rsidR="001A6413" w:rsidRPr="006A1591">
        <w:rPr>
          <w:lang w:val="en-AU"/>
        </w:rPr>
        <w:t xml:space="preserve"> but is </w:t>
      </w:r>
      <w:r w:rsidR="00515F65" w:rsidRPr="006A1591">
        <w:rPr>
          <w:lang w:val="en-AU"/>
        </w:rPr>
        <w:t>solely</w:t>
      </w:r>
      <w:r w:rsidR="001A6413" w:rsidRPr="006A1591">
        <w:rPr>
          <w:lang w:val="en-AU"/>
        </w:rPr>
        <w:t xml:space="preserve"> about a debt owed and the </w:t>
      </w:r>
      <w:r w:rsidR="008C759B" w:rsidRPr="006A1591">
        <w:rPr>
          <w:lang w:val="en-AU"/>
        </w:rPr>
        <w:t xml:space="preserve">ethics and justice of </w:t>
      </w:r>
      <w:r w:rsidR="001A6413" w:rsidRPr="006A1591">
        <w:rPr>
          <w:lang w:val="en-AU"/>
        </w:rPr>
        <w:t>collecti</w:t>
      </w:r>
      <w:r w:rsidR="008C759B" w:rsidRPr="006A1591">
        <w:rPr>
          <w:lang w:val="en-AU"/>
        </w:rPr>
        <w:t>ng a</w:t>
      </w:r>
      <w:r w:rsidR="001A6413" w:rsidRPr="006A1591">
        <w:rPr>
          <w:lang w:val="en-AU"/>
        </w:rPr>
        <w:t xml:space="preserve"> debt. </w:t>
      </w:r>
      <w:r w:rsidR="006540C0" w:rsidRPr="006A1591">
        <w:rPr>
          <w:lang w:val="en-AU"/>
        </w:rPr>
        <w:t xml:space="preserve">The </w:t>
      </w:r>
      <w:r w:rsidR="001A6413" w:rsidRPr="006A1591">
        <w:rPr>
          <w:lang w:val="en-AU"/>
        </w:rPr>
        <w:t xml:space="preserve">person suing for </w:t>
      </w:r>
      <w:r w:rsidR="006540C0" w:rsidRPr="006A1591">
        <w:rPr>
          <w:lang w:val="en-AU"/>
        </w:rPr>
        <w:t>χιτῶνά</w:t>
      </w:r>
      <w:r w:rsidR="006540C0" w:rsidRPr="006A1591" w:rsidDel="006E3F2F">
        <w:rPr>
          <w:lang w:val="en-AU"/>
        </w:rPr>
        <w:t xml:space="preserve"> </w:t>
      </w:r>
      <w:r w:rsidR="001A6413" w:rsidRPr="006A1591">
        <w:rPr>
          <w:lang w:val="en-AU"/>
        </w:rPr>
        <w:t xml:space="preserve">has a right to sue if the χιτῶνά is debt collateral. </w:t>
      </w:r>
      <w:r w:rsidR="004C2931" w:rsidRPr="006A1591">
        <w:rPr>
          <w:lang w:val="en-AU"/>
        </w:rPr>
        <w:t>This</w:t>
      </w:r>
      <w:r w:rsidR="002B6A3C" w:rsidRPr="006A1591">
        <w:rPr>
          <w:lang w:val="en-AU"/>
        </w:rPr>
        <w:t xml:space="preserve"> highlights the verse</w:t>
      </w:r>
      <w:r w:rsidR="005C71CB" w:rsidRPr="006A1591">
        <w:rPr>
          <w:lang w:val="en-AU"/>
        </w:rPr>
        <w:t>’</w:t>
      </w:r>
      <w:r w:rsidR="002B6A3C" w:rsidRPr="006A1591">
        <w:rPr>
          <w:lang w:val="en-AU"/>
        </w:rPr>
        <w:t xml:space="preserve">s focus, that the debtor is poor. The rich </w:t>
      </w:r>
      <w:r w:rsidR="006540C0" w:rsidRPr="006A1591">
        <w:rPr>
          <w:lang w:val="en-AU"/>
        </w:rPr>
        <w:t>prosecut</w:t>
      </w:r>
      <w:r w:rsidR="002B6A3C" w:rsidRPr="006A1591">
        <w:rPr>
          <w:lang w:val="en-AU"/>
        </w:rPr>
        <w:t>or can</w:t>
      </w:r>
      <w:r w:rsidR="005C71CB" w:rsidRPr="006A1591">
        <w:rPr>
          <w:lang w:val="en-AU"/>
        </w:rPr>
        <w:t>’</w:t>
      </w:r>
      <w:r w:rsidR="002B6A3C" w:rsidRPr="006A1591">
        <w:rPr>
          <w:lang w:val="en-AU"/>
        </w:rPr>
        <w:t xml:space="preserve">t reprocess the </w:t>
      </w:r>
      <w:r w:rsidR="006540C0" w:rsidRPr="006A1591">
        <w:rPr>
          <w:lang w:val="en-AU"/>
        </w:rPr>
        <w:t xml:space="preserve">garment ἱμάτιον. </w:t>
      </w:r>
      <w:r w:rsidR="002B6A3C" w:rsidRPr="006A1591">
        <w:rPr>
          <w:lang w:val="en-AU"/>
        </w:rPr>
        <w:t xml:space="preserve">The caveat is that </w:t>
      </w:r>
      <w:r w:rsidR="00824FA3" w:rsidRPr="006A1591">
        <w:rPr>
          <w:lang w:val="en-AU"/>
        </w:rPr>
        <w:t>i</w:t>
      </w:r>
      <w:r w:rsidR="006540C0" w:rsidRPr="006A1591">
        <w:rPr>
          <w:lang w:val="en-AU"/>
        </w:rPr>
        <w:t xml:space="preserve">f the outer garment </w:t>
      </w:r>
      <w:r w:rsidR="004C2931" w:rsidRPr="006A1591">
        <w:rPr>
          <w:lang w:val="en-AU"/>
        </w:rPr>
        <w:t>(</w:t>
      </w:r>
      <w:r w:rsidR="006540C0" w:rsidRPr="006A1591">
        <w:rPr>
          <w:lang w:val="en-AU"/>
        </w:rPr>
        <w:t>ἱμάτιον</w:t>
      </w:r>
      <w:r w:rsidR="004C2931" w:rsidRPr="006A1591">
        <w:rPr>
          <w:lang w:val="en-AU"/>
        </w:rPr>
        <w:t>)</w:t>
      </w:r>
      <w:r w:rsidR="006540C0" w:rsidRPr="006A1591">
        <w:rPr>
          <w:lang w:val="en-AU"/>
        </w:rPr>
        <w:t xml:space="preserve"> were </w:t>
      </w:r>
      <w:r w:rsidR="004C2931" w:rsidRPr="006A1591">
        <w:rPr>
          <w:lang w:val="en-AU"/>
        </w:rPr>
        <w:t xml:space="preserve">to be </w:t>
      </w:r>
      <w:r w:rsidR="006540C0" w:rsidRPr="006A1591">
        <w:rPr>
          <w:lang w:val="en-AU"/>
        </w:rPr>
        <w:t xml:space="preserve">taken in pledge, it would have to </w:t>
      </w:r>
      <w:r w:rsidR="006540C0" w:rsidRPr="006A1591">
        <w:rPr>
          <w:lang w:val="en-AU"/>
        </w:rPr>
        <w:lastRenderedPageBreak/>
        <w:t>be returned by sunset as it would double as a poor person</w:t>
      </w:r>
      <w:r w:rsidR="005C71CB" w:rsidRPr="006A1591">
        <w:rPr>
          <w:lang w:val="en-AU"/>
        </w:rPr>
        <w:t>’</w:t>
      </w:r>
      <w:r w:rsidR="006540C0" w:rsidRPr="006A1591">
        <w:rPr>
          <w:lang w:val="en-AU"/>
        </w:rPr>
        <w:t>s only blanket</w:t>
      </w:r>
      <w:r w:rsidR="004C2931" w:rsidRPr="006A1591">
        <w:rPr>
          <w:lang w:val="en-AU"/>
        </w:rPr>
        <w:t>,</w:t>
      </w:r>
      <w:r w:rsidR="006540C0" w:rsidRPr="006A1591">
        <w:rPr>
          <w:lang w:val="en-AU"/>
        </w:rPr>
        <w:t xml:space="preserve"> as stat</w:t>
      </w:r>
      <w:r w:rsidR="004C2931" w:rsidRPr="006A1591">
        <w:rPr>
          <w:lang w:val="en-AU"/>
        </w:rPr>
        <w:t>ed</w:t>
      </w:r>
      <w:r w:rsidR="006540C0" w:rsidRPr="006A1591">
        <w:rPr>
          <w:lang w:val="en-AU"/>
        </w:rPr>
        <w:t xml:space="preserve"> in Torah (cf., Ex 22:26</w:t>
      </w:r>
      <w:r w:rsidR="00AC08EF" w:rsidRPr="006A1591">
        <w:rPr>
          <w:lang w:val="en-AU"/>
        </w:rPr>
        <w:t>–</w:t>
      </w:r>
      <w:r w:rsidR="006540C0" w:rsidRPr="006A1591">
        <w:rPr>
          <w:lang w:val="en-AU"/>
        </w:rPr>
        <w:t>27; Deut 24:12</w:t>
      </w:r>
      <w:r w:rsidR="00504DF1" w:rsidRPr="006A1591">
        <w:rPr>
          <w:lang w:val="en-AU"/>
        </w:rPr>
        <w:t>–</w:t>
      </w:r>
      <w:r w:rsidR="006540C0" w:rsidRPr="006A1591">
        <w:rPr>
          <w:lang w:val="en-AU"/>
        </w:rPr>
        <w:t>13).</w:t>
      </w:r>
      <w:r w:rsidR="006540C0" w:rsidRPr="006A1591">
        <w:rPr>
          <w:rStyle w:val="FootnoteReference"/>
          <w:lang w:val="en-AU"/>
        </w:rPr>
        <w:footnoteReference w:id="548"/>
      </w:r>
      <w:r w:rsidR="006540C0" w:rsidRPr="006A1591">
        <w:rPr>
          <w:lang w:val="en-AU"/>
        </w:rPr>
        <w:t xml:space="preserve"> </w:t>
      </w:r>
    </w:p>
    <w:p w14:paraId="384C75C2" w14:textId="5920F78B" w:rsidR="006540C0" w:rsidRPr="006A1591" w:rsidRDefault="002B6A3C" w:rsidP="0053780B">
      <w:pPr>
        <w:autoSpaceDE w:val="0"/>
        <w:autoSpaceDN w:val="0"/>
        <w:adjustRightInd w:val="0"/>
        <w:spacing w:line="480" w:lineRule="auto"/>
        <w:ind w:firstLine="720"/>
        <w:rPr>
          <w:lang w:val="en-AU"/>
        </w:rPr>
      </w:pPr>
      <w:r w:rsidRPr="006A1591">
        <w:rPr>
          <w:lang w:val="en-AU"/>
        </w:rPr>
        <w:t xml:space="preserve">Jesus did not want people to be doormats to </w:t>
      </w:r>
      <w:r w:rsidR="00515F65" w:rsidRPr="006A1591">
        <w:rPr>
          <w:lang w:val="en-AU"/>
        </w:rPr>
        <w:t>wealthy</w:t>
      </w:r>
      <w:r w:rsidRPr="006A1591">
        <w:rPr>
          <w:lang w:val="en-AU"/>
        </w:rPr>
        <w:t xml:space="preserve"> people or powerful people. Levine rightly suggests that </w:t>
      </w:r>
      <w:r w:rsidR="00863B47" w:rsidRPr="006A1591">
        <w:rPr>
          <w:lang w:val="en-AU"/>
        </w:rPr>
        <w:t>“</w:t>
      </w:r>
      <w:r w:rsidR="006540C0" w:rsidRPr="006A1591">
        <w:rPr>
          <w:lang w:val="en-AU"/>
        </w:rPr>
        <w:t>most people owned only two garments; to strip naked would uncover the judiciary injustice.</w:t>
      </w:r>
      <w:r w:rsidR="00863B47" w:rsidRPr="006A1591">
        <w:rPr>
          <w:lang w:val="en-AU"/>
        </w:rPr>
        <w:t>”</w:t>
      </w:r>
      <w:r w:rsidR="006540C0" w:rsidRPr="006A1591">
        <w:rPr>
          <w:rStyle w:val="FootnoteReference"/>
          <w:lang w:val="en-AU"/>
        </w:rPr>
        <w:footnoteReference w:id="549"/>
      </w:r>
      <w:r w:rsidR="006540C0" w:rsidRPr="006A1591">
        <w:rPr>
          <w:lang w:val="en-AU"/>
        </w:rPr>
        <w:t xml:space="preserve">  </w:t>
      </w:r>
      <w:r w:rsidRPr="006A1591">
        <w:rPr>
          <w:lang w:val="en-AU"/>
        </w:rPr>
        <w:t xml:space="preserve">Jesus was protecting people from injustice. </w:t>
      </w:r>
      <w:r w:rsidR="00D67950" w:rsidRPr="006A1591">
        <w:rPr>
          <w:lang w:val="en-AU"/>
        </w:rPr>
        <w:t>If injustice occur</w:t>
      </w:r>
      <w:r w:rsidR="0004285F" w:rsidRPr="006A1591">
        <w:rPr>
          <w:lang w:val="en-AU"/>
        </w:rPr>
        <w:t>red</w:t>
      </w:r>
      <w:r w:rsidR="00D67950" w:rsidRPr="006A1591">
        <w:rPr>
          <w:lang w:val="en-AU"/>
        </w:rPr>
        <w:t xml:space="preserve">, the public display of nudity </w:t>
      </w:r>
      <w:r w:rsidR="0004285F" w:rsidRPr="006A1591">
        <w:rPr>
          <w:lang w:val="en-AU"/>
        </w:rPr>
        <w:t xml:space="preserve">would </w:t>
      </w:r>
      <w:r w:rsidR="00D67950" w:rsidRPr="006A1591">
        <w:rPr>
          <w:lang w:val="en-AU"/>
        </w:rPr>
        <w:t>force the courts to uphold the law</w:t>
      </w:r>
      <w:r w:rsidR="0053780B" w:rsidRPr="006A1591">
        <w:rPr>
          <w:lang w:val="en-AU"/>
        </w:rPr>
        <w:t xml:space="preserve"> as part of a culture against nudity (Genesis 9:20</w:t>
      </w:r>
      <w:r w:rsidR="00504DF1" w:rsidRPr="006A1591">
        <w:rPr>
          <w:lang w:val="en-AU"/>
        </w:rPr>
        <w:t>–</w:t>
      </w:r>
      <w:r w:rsidR="0053780B" w:rsidRPr="006A1591">
        <w:rPr>
          <w:lang w:val="en-AU"/>
        </w:rPr>
        <w:t>27; Leviticus 18:6</w:t>
      </w:r>
      <w:r w:rsidR="00504DF1" w:rsidRPr="006A1591">
        <w:rPr>
          <w:lang w:val="en-AU"/>
        </w:rPr>
        <w:t>–</w:t>
      </w:r>
      <w:r w:rsidR="0053780B" w:rsidRPr="006A1591">
        <w:rPr>
          <w:lang w:val="en-AU"/>
        </w:rPr>
        <w:t>18).</w:t>
      </w:r>
      <w:r w:rsidR="006540C0" w:rsidRPr="006A1591">
        <w:rPr>
          <w:rStyle w:val="FootnoteReference"/>
          <w:lang w:val="en-AU"/>
        </w:rPr>
        <w:footnoteReference w:id="550"/>
      </w:r>
      <w:r w:rsidR="006540C0" w:rsidRPr="006A1591">
        <w:rPr>
          <w:lang w:val="en-AU"/>
        </w:rPr>
        <w:t xml:space="preserve"> </w:t>
      </w:r>
      <w:r w:rsidR="00D67950" w:rsidRPr="006A1591">
        <w:rPr>
          <w:lang w:val="en-AU"/>
        </w:rPr>
        <w:t xml:space="preserve">Universally, this forces people to treat people with equality and respect, regardless of class or wealth. </w:t>
      </w:r>
    </w:p>
    <w:p w14:paraId="242369D5" w14:textId="2F66678B" w:rsidR="006540C0" w:rsidRPr="006A1591" w:rsidRDefault="00532284" w:rsidP="00F5340B">
      <w:pPr>
        <w:pStyle w:val="Heading2"/>
      </w:pPr>
      <w:bookmarkStart w:id="174" w:name="_Toc94537037"/>
      <w:bookmarkStart w:id="175" w:name="_Toc118063684"/>
      <w:r w:rsidRPr="006A1591">
        <w:t>8.</w:t>
      </w:r>
      <w:r w:rsidR="002E1250" w:rsidRPr="006A1591">
        <w:t>7</w:t>
      </w:r>
      <w:r w:rsidR="006540C0" w:rsidRPr="006A1591">
        <w:t xml:space="preserve"> </w:t>
      </w:r>
      <w:r w:rsidR="003173BF" w:rsidRPr="006A1591">
        <w:t>To Compel: ἀγγαρεύσει</w:t>
      </w:r>
      <w:r w:rsidR="00D2155C" w:rsidRPr="006A1591">
        <w:t xml:space="preserve"> as Nonviolent Resistance</w:t>
      </w:r>
      <w:bookmarkEnd w:id="174"/>
      <w:bookmarkEnd w:id="175"/>
      <w:r w:rsidR="005913FE" w:rsidRPr="006A1591">
        <w:t xml:space="preserve"> </w:t>
      </w:r>
    </w:p>
    <w:p w14:paraId="741755A8" w14:textId="01F12094" w:rsidR="00D25D36" w:rsidRPr="006A1591" w:rsidRDefault="006540C0" w:rsidP="006540C0">
      <w:pPr>
        <w:contextualSpacing/>
        <w:rPr>
          <w:lang w:val="en-AU"/>
        </w:rPr>
      </w:pPr>
      <w:r w:rsidRPr="006A1591">
        <w:rPr>
          <w:lang w:val="en-AU"/>
        </w:rPr>
        <w:t>Matthew 5:41</w:t>
      </w:r>
      <w:r w:rsidR="00232B34" w:rsidRPr="006A1591">
        <w:rPr>
          <w:lang w:val="en-AU"/>
        </w:rPr>
        <w:t>:</w:t>
      </w:r>
    </w:p>
    <w:p w14:paraId="3E3E0877" w14:textId="052FFF2F" w:rsidR="00D25D36" w:rsidRPr="006A1591" w:rsidRDefault="006540C0" w:rsidP="00225D29">
      <w:pPr>
        <w:ind w:firstLine="720"/>
        <w:contextualSpacing/>
        <w:jc w:val="right"/>
        <w:rPr>
          <w:u w:val="single"/>
          <w:lang w:val="en-AU"/>
        </w:rPr>
      </w:pPr>
      <w:r w:rsidRPr="006A1591">
        <w:rPr>
          <w:lang w:val="en-AU"/>
        </w:rPr>
        <w:t> καὶ ὅστις σε ἀγγαρεύσει μίλιον ἕν, ὕπαγε μετ</w:t>
      </w:r>
      <w:r w:rsidR="005C71CB" w:rsidRPr="006A1591">
        <w:rPr>
          <w:lang w:val="en-AU"/>
        </w:rPr>
        <w:t>’</w:t>
      </w:r>
      <w:r w:rsidRPr="006A1591">
        <w:rPr>
          <w:lang w:val="en-AU"/>
        </w:rPr>
        <w:t xml:space="preserve"> αὐτοῦ δύο</w:t>
      </w:r>
    </w:p>
    <w:p w14:paraId="6CD78F93" w14:textId="0D490738" w:rsidR="00D25D36" w:rsidRPr="006A1591" w:rsidRDefault="006540C0" w:rsidP="006540C0">
      <w:pPr>
        <w:ind w:left="720"/>
        <w:contextualSpacing/>
        <w:rPr>
          <w:lang w:val="en-AU"/>
        </w:rPr>
      </w:pPr>
      <w:r w:rsidRPr="006A1591">
        <w:rPr>
          <w:lang w:val="en-AU"/>
        </w:rPr>
        <w:t>41 and if anyone forces you to go one mile, go also the second mile. </w:t>
      </w:r>
    </w:p>
    <w:p w14:paraId="7C96FE76" w14:textId="77777777" w:rsidR="00361975" w:rsidRPr="006A1591" w:rsidRDefault="00361975" w:rsidP="001819B4">
      <w:pPr>
        <w:spacing w:line="480" w:lineRule="auto"/>
        <w:ind w:firstLine="706"/>
        <w:rPr>
          <w:lang w:val="en-AU"/>
        </w:rPr>
      </w:pPr>
    </w:p>
    <w:p w14:paraId="070FFFC8" w14:textId="35B9348D" w:rsidR="006540C0" w:rsidRPr="006A1591" w:rsidRDefault="00C0687A" w:rsidP="001819B4">
      <w:pPr>
        <w:spacing w:line="480" w:lineRule="auto"/>
        <w:ind w:firstLine="706"/>
        <w:rPr>
          <w:lang w:val="en-AU"/>
        </w:rPr>
      </w:pPr>
      <w:r w:rsidRPr="006A1591">
        <w:rPr>
          <w:lang w:val="en-AU"/>
        </w:rPr>
        <w:t xml:space="preserve">The concept of personal dignity is apparent in Matthew 5:41. </w:t>
      </w:r>
      <w:r w:rsidR="00232B34" w:rsidRPr="006A1591">
        <w:rPr>
          <w:lang w:val="en-AU"/>
        </w:rPr>
        <w:t xml:space="preserve">Jesus states that </w:t>
      </w:r>
      <w:r w:rsidR="001819B4" w:rsidRPr="006A1591">
        <w:rPr>
          <w:lang w:val="en-AU"/>
        </w:rPr>
        <w:t xml:space="preserve">if you are forced to go one mile that you are to go another.  There is no </w:t>
      </w:r>
      <w:r w:rsidR="000000CB" w:rsidRPr="006A1591">
        <w:rPr>
          <w:lang w:val="en-AU"/>
        </w:rPr>
        <w:t xml:space="preserve">certainty as to whether </w:t>
      </w:r>
      <w:r w:rsidR="001819B4" w:rsidRPr="006A1591">
        <w:rPr>
          <w:lang w:val="en-AU"/>
        </w:rPr>
        <w:t xml:space="preserve">this is about voluntarily going another mile or being forced to go another mile.  We are left </w:t>
      </w:r>
      <w:r w:rsidR="000000CB" w:rsidRPr="006A1591">
        <w:rPr>
          <w:lang w:val="en-AU"/>
        </w:rPr>
        <w:t xml:space="preserve">with </w:t>
      </w:r>
      <w:r w:rsidR="001819B4" w:rsidRPr="006A1591">
        <w:rPr>
          <w:lang w:val="en-AU"/>
        </w:rPr>
        <w:t xml:space="preserve">the statement, </w:t>
      </w:r>
      <w:r w:rsidR="005C71CB" w:rsidRPr="006A1591">
        <w:rPr>
          <w:lang w:val="en-AU"/>
        </w:rPr>
        <w:t>‘</w:t>
      </w:r>
      <w:r w:rsidR="001819B4" w:rsidRPr="006A1591">
        <w:rPr>
          <w:lang w:val="en-AU"/>
        </w:rPr>
        <w:t>go another mile.</w:t>
      </w:r>
      <w:r w:rsidR="00CB2414" w:rsidRPr="006A1591">
        <w:rPr>
          <w:rStyle w:val="FootnoteReference"/>
          <w:lang w:val="en-AU"/>
        </w:rPr>
        <w:footnoteReference w:id="551"/>
      </w:r>
      <w:r w:rsidR="005C71CB" w:rsidRPr="006A1591">
        <w:rPr>
          <w:lang w:val="en-AU"/>
        </w:rPr>
        <w:t>‘</w:t>
      </w:r>
      <w:r w:rsidR="001819B4" w:rsidRPr="006A1591">
        <w:rPr>
          <w:lang w:val="en-AU"/>
        </w:rPr>
        <w:t xml:space="preserve"> </w:t>
      </w:r>
      <w:r w:rsidR="006540C0" w:rsidRPr="006A1591">
        <w:rPr>
          <w:lang w:val="en-AU"/>
        </w:rPr>
        <w:t>Donald Hagner</w:t>
      </w:r>
      <w:r w:rsidR="001819B4" w:rsidRPr="006A1591">
        <w:rPr>
          <w:lang w:val="en-AU"/>
        </w:rPr>
        <w:t xml:space="preserve"> suggests that the </w:t>
      </w:r>
      <w:r w:rsidR="000000CB" w:rsidRPr="006A1591">
        <w:rPr>
          <w:lang w:val="en-AU"/>
        </w:rPr>
        <w:t>literal meaning</w:t>
      </w:r>
      <w:r w:rsidR="001819B4" w:rsidRPr="006A1591">
        <w:rPr>
          <w:lang w:val="en-AU"/>
        </w:rPr>
        <w:t xml:space="preserve"> is about </w:t>
      </w:r>
      <w:r w:rsidR="001819B4" w:rsidRPr="006A1591">
        <w:rPr>
          <w:lang w:val="en-AU"/>
        </w:rPr>
        <w:lastRenderedPageBreak/>
        <w:t xml:space="preserve">taking </w:t>
      </w:r>
      <w:r w:rsidR="000000CB" w:rsidRPr="006A1591">
        <w:rPr>
          <w:lang w:val="en-AU"/>
        </w:rPr>
        <w:t>a</w:t>
      </w:r>
      <w:r w:rsidR="001819B4" w:rsidRPr="006A1591">
        <w:rPr>
          <w:lang w:val="en-AU"/>
        </w:rPr>
        <w:t xml:space="preserve"> second walk if you are forced to go one mile. </w:t>
      </w:r>
      <w:r w:rsidR="006540C0" w:rsidRPr="006A1591">
        <w:rPr>
          <w:rStyle w:val="FootnoteReference"/>
          <w:lang w:val="en-AU"/>
        </w:rPr>
        <w:footnoteReference w:id="552"/>
      </w:r>
      <w:r w:rsidR="006540C0" w:rsidRPr="006A1591">
        <w:rPr>
          <w:lang w:val="en-AU"/>
        </w:rPr>
        <w:t xml:space="preserve">  </w:t>
      </w:r>
      <w:r w:rsidR="00560DBF" w:rsidRPr="006A1591">
        <w:rPr>
          <w:lang w:val="en-AU"/>
        </w:rPr>
        <w:t xml:space="preserve">Some scholars, such as </w:t>
      </w:r>
      <w:r w:rsidR="006540C0" w:rsidRPr="006A1591">
        <w:rPr>
          <w:lang w:val="en-AU"/>
        </w:rPr>
        <w:t>Gordon Zerbe</w:t>
      </w:r>
      <w:r w:rsidR="00560DBF" w:rsidRPr="006A1591">
        <w:rPr>
          <w:lang w:val="en-AU"/>
        </w:rPr>
        <w:t>, suggest that</w:t>
      </w:r>
      <w:r w:rsidR="0053780B" w:rsidRPr="006A1591">
        <w:rPr>
          <w:lang w:val="en-AU"/>
        </w:rPr>
        <w:t xml:space="preserve"> Roman soldiers were not permitted to make a person walk a second mile</w:t>
      </w:r>
      <w:r w:rsidR="001D1B21">
        <w:rPr>
          <w:lang w:val="en-AU"/>
        </w:rPr>
        <w:t xml:space="preserve"> because of the rules and laws required of them as an officer for Rome</w:t>
      </w:r>
      <w:r w:rsidR="0053780B" w:rsidRPr="006A1591">
        <w:rPr>
          <w:lang w:val="en-AU"/>
        </w:rPr>
        <w:t>; thus, when a person does walk a second mile, the abuser has lost control of the situation</w:t>
      </w:r>
      <w:r w:rsidR="001D1B21">
        <w:rPr>
          <w:lang w:val="en-AU"/>
        </w:rPr>
        <w:t xml:space="preserve"> and is at risk for punishment from their military superiors</w:t>
      </w:r>
      <w:r w:rsidR="00560DBF" w:rsidRPr="006A1591">
        <w:rPr>
          <w:lang w:val="en-AU"/>
        </w:rPr>
        <w:t>.</w:t>
      </w:r>
      <w:r w:rsidR="006540C0" w:rsidRPr="006A1591">
        <w:rPr>
          <w:rStyle w:val="FootnoteReference"/>
          <w:lang w:val="en-AU"/>
        </w:rPr>
        <w:footnoteReference w:id="553"/>
      </w:r>
      <w:r w:rsidR="006540C0" w:rsidRPr="006A1591">
        <w:rPr>
          <w:lang w:val="en-AU"/>
        </w:rPr>
        <w:t xml:space="preserve"> </w:t>
      </w:r>
      <w:r w:rsidR="00560DBF" w:rsidRPr="006A1591">
        <w:rPr>
          <w:lang w:val="en-AU"/>
        </w:rPr>
        <w:t xml:space="preserve">For some scholars such at Betz, when someone has to walk an extra mile without being forced or obligated to walk the extra mile, there is an element of exposing the person who is forcing you to walk and </w:t>
      </w:r>
      <w:r w:rsidR="00451D70" w:rsidRPr="006A1591">
        <w:rPr>
          <w:lang w:val="en-AU"/>
        </w:rPr>
        <w:t xml:space="preserve">this </w:t>
      </w:r>
      <w:r w:rsidR="00560DBF" w:rsidRPr="006A1591">
        <w:rPr>
          <w:lang w:val="en-AU"/>
        </w:rPr>
        <w:t xml:space="preserve">empowers the person walking to have control over their own </w:t>
      </w:r>
      <w:r w:rsidR="0053780B" w:rsidRPr="006A1591">
        <w:rPr>
          <w:lang w:val="en-AU"/>
        </w:rPr>
        <w:t>situation</w:t>
      </w:r>
      <w:r w:rsidR="00560DBF" w:rsidRPr="006A1591">
        <w:rPr>
          <w:lang w:val="en-AU"/>
        </w:rPr>
        <w:t>.</w:t>
      </w:r>
      <w:r w:rsidR="006540C0" w:rsidRPr="006A1591">
        <w:rPr>
          <w:rStyle w:val="FootnoteReference"/>
          <w:lang w:val="en-AU"/>
        </w:rPr>
        <w:footnoteReference w:id="554"/>
      </w:r>
      <w:r w:rsidR="006540C0" w:rsidRPr="006A1591">
        <w:rPr>
          <w:lang w:val="en-AU"/>
        </w:rPr>
        <w:t xml:space="preserve">  Walter Wink</w:t>
      </w:r>
      <w:r w:rsidR="00027D0F" w:rsidRPr="006A1591">
        <w:rPr>
          <w:lang w:val="en-AU"/>
        </w:rPr>
        <w:t xml:space="preserve"> </w:t>
      </w:r>
      <w:r w:rsidR="00E83E8E" w:rsidRPr="006A1591">
        <w:rPr>
          <w:lang w:val="en-AU"/>
        </w:rPr>
        <w:t>posits</w:t>
      </w:r>
      <w:r w:rsidR="00027D0F" w:rsidRPr="006A1591">
        <w:rPr>
          <w:lang w:val="en-AU"/>
        </w:rPr>
        <w:t xml:space="preserve">: </w:t>
      </w:r>
    </w:p>
    <w:p w14:paraId="24ABEC25" w14:textId="7C6580A9" w:rsidR="00D25D36" w:rsidRPr="006A1591" w:rsidRDefault="006540C0" w:rsidP="008A5A2A">
      <w:pPr>
        <w:pStyle w:val="Blockquotation"/>
        <w:rPr>
          <w:sz w:val="24"/>
          <w:lang w:val="en-AU"/>
        </w:rPr>
      </w:pPr>
      <w:r w:rsidRPr="006A1591">
        <w:rPr>
          <w:sz w:val="24"/>
          <w:lang w:val="en-AU"/>
        </w:rPr>
        <w:t xml:space="preserve">Why, then, does </w:t>
      </w:r>
      <w:proofErr w:type="gramStart"/>
      <w:r w:rsidRPr="006A1591">
        <w:rPr>
          <w:sz w:val="24"/>
          <w:lang w:val="en-AU"/>
        </w:rPr>
        <w:t>Jesus</w:t>
      </w:r>
      <w:proofErr w:type="gramEnd"/>
      <w:r w:rsidRPr="006A1591">
        <w:rPr>
          <w:sz w:val="24"/>
          <w:lang w:val="en-AU"/>
        </w:rPr>
        <w:t xml:space="preserve"> counsel these already humiliated people to turn the other cheek? Because this action robs the oppressor of the power to humiliate. The person who turns the other cheek is saying, in effect, </w:t>
      </w:r>
      <w:r w:rsidR="00863B47" w:rsidRPr="006A1591">
        <w:rPr>
          <w:sz w:val="24"/>
          <w:lang w:val="en-AU"/>
        </w:rPr>
        <w:t>“</w:t>
      </w:r>
      <w:r w:rsidRPr="006A1591">
        <w:rPr>
          <w:sz w:val="24"/>
          <w:lang w:val="en-AU"/>
        </w:rPr>
        <w:t>Try again. Your first blow failed to achieve its intended effect. I deny you the power to humiliate me. I am a human being just like you. Your status (gender, race, age, wealth) does not alter that fact. You cannot demean me.</w:t>
      </w:r>
      <w:r w:rsidR="00863B47" w:rsidRPr="006A1591">
        <w:rPr>
          <w:sz w:val="24"/>
          <w:lang w:val="en-AU"/>
        </w:rPr>
        <w:t>”</w:t>
      </w:r>
      <w:r w:rsidRPr="006A1591">
        <w:rPr>
          <w:rStyle w:val="FootnoteReference"/>
          <w:sz w:val="24"/>
          <w:lang w:val="en-AU"/>
        </w:rPr>
        <w:footnoteReference w:id="555"/>
      </w:r>
    </w:p>
    <w:p w14:paraId="47DAE238" w14:textId="0D1D82F9" w:rsidR="006540C0" w:rsidRPr="006A1591" w:rsidRDefault="00027D0F" w:rsidP="00225D29">
      <w:pPr>
        <w:spacing w:before="240" w:line="480" w:lineRule="auto"/>
        <w:rPr>
          <w:lang w:val="en-AU"/>
        </w:rPr>
      </w:pPr>
      <w:r w:rsidRPr="006A1591">
        <w:rPr>
          <w:lang w:val="en-AU"/>
        </w:rPr>
        <w:t xml:space="preserve">Some scholars believe that the victim of a </w:t>
      </w:r>
      <w:r w:rsidR="00FA1DCF" w:rsidRPr="006A1591">
        <w:rPr>
          <w:lang w:val="en-AU"/>
        </w:rPr>
        <w:t xml:space="preserve">cheek slapping or </w:t>
      </w:r>
      <w:r w:rsidR="00720653" w:rsidRPr="006A1591">
        <w:rPr>
          <w:lang w:val="en-AU"/>
        </w:rPr>
        <w:t xml:space="preserve">one who </w:t>
      </w:r>
      <w:r w:rsidR="00092210" w:rsidRPr="006A1591">
        <w:rPr>
          <w:lang w:val="en-AU"/>
        </w:rPr>
        <w:t xml:space="preserve">volunteers to </w:t>
      </w:r>
      <w:r w:rsidR="00FA1DCF" w:rsidRPr="006A1591">
        <w:rPr>
          <w:lang w:val="en-AU"/>
        </w:rPr>
        <w:t>walk an extra mile</w:t>
      </w:r>
      <w:r w:rsidR="00092210" w:rsidRPr="006A1591">
        <w:rPr>
          <w:lang w:val="en-AU"/>
        </w:rPr>
        <w:t xml:space="preserve"> </w:t>
      </w:r>
      <w:r w:rsidR="00FA1DCF" w:rsidRPr="006A1591">
        <w:rPr>
          <w:lang w:val="en-AU"/>
        </w:rPr>
        <w:t>is relinquishing their hono</w:t>
      </w:r>
      <w:r w:rsidR="002D7D54" w:rsidRPr="006A1591">
        <w:rPr>
          <w:lang w:val="en-AU"/>
        </w:rPr>
        <w:t>ur</w:t>
      </w:r>
      <w:r w:rsidR="00FA1DCF" w:rsidRPr="006A1591">
        <w:rPr>
          <w:lang w:val="en-AU"/>
        </w:rPr>
        <w:t xml:space="preserve"> here on earth but gain</w:t>
      </w:r>
      <w:r w:rsidR="00092210" w:rsidRPr="006A1591">
        <w:rPr>
          <w:lang w:val="en-AU"/>
        </w:rPr>
        <w:t>ing</w:t>
      </w:r>
      <w:r w:rsidR="00FA1DCF" w:rsidRPr="006A1591">
        <w:rPr>
          <w:lang w:val="en-AU"/>
        </w:rPr>
        <w:t xml:space="preserve"> hono</w:t>
      </w:r>
      <w:r w:rsidR="00092210" w:rsidRPr="006A1591">
        <w:rPr>
          <w:lang w:val="en-AU"/>
        </w:rPr>
        <w:t>u</w:t>
      </w:r>
      <w:r w:rsidR="00FA1DCF" w:rsidRPr="006A1591">
        <w:rPr>
          <w:lang w:val="en-AU"/>
        </w:rPr>
        <w:t>r in heaven.</w:t>
      </w:r>
      <w:r w:rsidR="006540C0" w:rsidRPr="006A1591">
        <w:rPr>
          <w:rStyle w:val="FootnoteReference"/>
          <w:lang w:val="en-AU"/>
        </w:rPr>
        <w:footnoteReference w:id="556"/>
      </w:r>
      <w:r w:rsidR="00FA1DCF" w:rsidRPr="006A1591">
        <w:rPr>
          <w:lang w:val="en-AU"/>
        </w:rPr>
        <w:t xml:space="preserve">  There is a spiritual blessing achieved at the </w:t>
      </w:r>
      <w:r w:rsidR="00092210" w:rsidRPr="006A1591">
        <w:rPr>
          <w:lang w:val="en-AU"/>
        </w:rPr>
        <w:t>cost</w:t>
      </w:r>
      <w:r w:rsidR="00FA1DCF" w:rsidRPr="006A1591">
        <w:rPr>
          <w:lang w:val="en-AU"/>
        </w:rPr>
        <w:t xml:space="preserve"> of a physical abuse. This </w:t>
      </w:r>
      <w:r w:rsidR="00092210" w:rsidRPr="006A1591">
        <w:rPr>
          <w:lang w:val="en-AU"/>
        </w:rPr>
        <w:t xml:space="preserve">author </w:t>
      </w:r>
      <w:r w:rsidR="00FA1DCF" w:rsidRPr="006A1591">
        <w:rPr>
          <w:lang w:val="en-AU"/>
        </w:rPr>
        <w:t xml:space="preserve">does </w:t>
      </w:r>
      <w:r w:rsidR="00B46F39" w:rsidRPr="006A1591">
        <w:rPr>
          <w:lang w:val="en-AU"/>
        </w:rPr>
        <w:t xml:space="preserve">not take </w:t>
      </w:r>
      <w:r w:rsidR="00FA1DCF" w:rsidRPr="006A1591">
        <w:rPr>
          <w:lang w:val="en-AU"/>
        </w:rPr>
        <w:t>th</w:t>
      </w:r>
      <w:r w:rsidR="00B46F39" w:rsidRPr="006A1591">
        <w:rPr>
          <w:lang w:val="en-AU"/>
        </w:rPr>
        <w:t>e</w:t>
      </w:r>
      <w:r w:rsidR="00FA1DCF" w:rsidRPr="006A1591">
        <w:rPr>
          <w:lang w:val="en-AU"/>
        </w:rPr>
        <w:t xml:space="preserve"> </w:t>
      </w:r>
      <w:r w:rsidR="00753882" w:rsidRPr="006A1591">
        <w:rPr>
          <w:lang w:val="en-AU"/>
        </w:rPr>
        <w:t>view</w:t>
      </w:r>
      <w:r w:rsidR="00FA1DCF" w:rsidRPr="006A1591">
        <w:rPr>
          <w:lang w:val="en-AU"/>
        </w:rPr>
        <w:t xml:space="preserve"> that </w:t>
      </w:r>
      <w:r w:rsidR="00707ADB" w:rsidRPr="006A1591">
        <w:rPr>
          <w:lang w:val="en-AU"/>
        </w:rPr>
        <w:t xml:space="preserve">says </w:t>
      </w:r>
      <w:r w:rsidR="00B46F39" w:rsidRPr="006A1591">
        <w:rPr>
          <w:lang w:val="en-AU"/>
        </w:rPr>
        <w:t xml:space="preserve">it </w:t>
      </w:r>
      <w:r w:rsidR="00FA1DCF" w:rsidRPr="006A1591">
        <w:rPr>
          <w:lang w:val="en-AU"/>
        </w:rPr>
        <w:t>is acceptable to be abused on earth because God will reward you in the afterlife.  This type of th</w:t>
      </w:r>
      <w:r w:rsidR="00C17934" w:rsidRPr="006A1591">
        <w:rPr>
          <w:lang w:val="en-AU"/>
        </w:rPr>
        <w:t xml:space="preserve">inking </w:t>
      </w:r>
      <w:r w:rsidR="00FA1DCF" w:rsidRPr="006A1591">
        <w:rPr>
          <w:lang w:val="en-AU"/>
        </w:rPr>
        <w:t xml:space="preserve">feeds domestic violence. </w:t>
      </w:r>
      <w:r w:rsidR="00753882" w:rsidRPr="006A1591">
        <w:rPr>
          <w:lang w:val="en-AU"/>
        </w:rPr>
        <w:t xml:space="preserve">Marjorie Suchocki </w:t>
      </w:r>
      <w:r w:rsidR="00502B0D" w:rsidRPr="006A1591">
        <w:rPr>
          <w:lang w:val="en-AU"/>
        </w:rPr>
        <w:t>a</w:t>
      </w:r>
      <w:r w:rsidR="00D524A0" w:rsidRPr="006A1591">
        <w:rPr>
          <w:lang w:val="en-AU"/>
        </w:rPr>
        <w:t>rgues</w:t>
      </w:r>
      <w:r w:rsidR="008C4759" w:rsidRPr="006A1591">
        <w:rPr>
          <w:lang w:val="en-AU"/>
        </w:rPr>
        <w:t xml:space="preserve"> </w:t>
      </w:r>
      <w:r w:rsidR="00F87691" w:rsidRPr="006A1591">
        <w:rPr>
          <w:lang w:val="en-AU"/>
        </w:rPr>
        <w:t>that</w:t>
      </w:r>
      <w:r w:rsidR="004F7251" w:rsidRPr="006A1591">
        <w:rPr>
          <w:lang w:val="en-AU"/>
        </w:rPr>
        <w:t xml:space="preserve"> </w:t>
      </w:r>
      <w:r w:rsidR="00753882" w:rsidRPr="006A1591">
        <w:rPr>
          <w:lang w:val="en-AU"/>
        </w:rPr>
        <w:lastRenderedPageBreak/>
        <w:t xml:space="preserve">contrary to the Christian tradition that </w:t>
      </w:r>
      <w:r w:rsidR="008C4759" w:rsidRPr="006A1591">
        <w:rPr>
          <w:lang w:val="en-AU"/>
        </w:rPr>
        <w:t>views o</w:t>
      </w:r>
      <w:r w:rsidR="00753882" w:rsidRPr="006A1591">
        <w:rPr>
          <w:lang w:val="en-AU"/>
        </w:rPr>
        <w:t xml:space="preserve">riginal </w:t>
      </w:r>
      <w:r w:rsidR="008C4759" w:rsidRPr="006A1591">
        <w:rPr>
          <w:lang w:val="en-AU"/>
        </w:rPr>
        <w:t>s</w:t>
      </w:r>
      <w:r w:rsidR="00753882" w:rsidRPr="006A1591">
        <w:rPr>
          <w:lang w:val="en-AU"/>
        </w:rPr>
        <w:t xml:space="preserve">in </w:t>
      </w:r>
      <w:r w:rsidR="008C4759" w:rsidRPr="006A1591">
        <w:rPr>
          <w:lang w:val="en-AU"/>
        </w:rPr>
        <w:t xml:space="preserve">as </w:t>
      </w:r>
      <w:r w:rsidR="004F7251" w:rsidRPr="006A1591">
        <w:rPr>
          <w:lang w:val="en-AU"/>
        </w:rPr>
        <w:t>stem</w:t>
      </w:r>
      <w:r w:rsidR="00D524A0" w:rsidRPr="006A1591">
        <w:rPr>
          <w:lang w:val="en-AU"/>
        </w:rPr>
        <w:t>m</w:t>
      </w:r>
      <w:r w:rsidR="008C4759" w:rsidRPr="006A1591">
        <w:rPr>
          <w:lang w:val="en-AU"/>
        </w:rPr>
        <w:t>ing</w:t>
      </w:r>
      <w:r w:rsidR="004F7251" w:rsidRPr="006A1591">
        <w:rPr>
          <w:lang w:val="en-AU"/>
        </w:rPr>
        <w:t xml:space="preserve"> </w:t>
      </w:r>
      <w:r w:rsidR="00753882" w:rsidRPr="006A1591">
        <w:rPr>
          <w:lang w:val="en-AU"/>
        </w:rPr>
        <w:t>from pride, violence is the origin of all sin.</w:t>
      </w:r>
      <w:r w:rsidR="00753882" w:rsidRPr="006A1591">
        <w:rPr>
          <w:rStyle w:val="FootnoteReference"/>
          <w:lang w:val="en-AU"/>
        </w:rPr>
        <w:footnoteReference w:id="557"/>
      </w:r>
      <w:r w:rsidR="00FA1DCF" w:rsidRPr="006A1591">
        <w:rPr>
          <w:lang w:val="en-AU"/>
        </w:rPr>
        <w:t xml:space="preserve"> </w:t>
      </w:r>
    </w:p>
    <w:p w14:paraId="1DB01EA6" w14:textId="7430DDD4" w:rsidR="00832654" w:rsidRPr="006A1591" w:rsidRDefault="00FA1DCF" w:rsidP="00532332">
      <w:pPr>
        <w:spacing w:line="480" w:lineRule="auto"/>
        <w:ind w:firstLine="720"/>
        <w:rPr>
          <w:lang w:val="en-AU"/>
        </w:rPr>
      </w:pPr>
      <w:r w:rsidRPr="006A1591">
        <w:rPr>
          <w:lang w:val="en-AU"/>
        </w:rPr>
        <w:t xml:space="preserve">It is clear, according to Davis, that </w:t>
      </w:r>
      <w:r w:rsidR="00532332" w:rsidRPr="006A1591">
        <w:rPr>
          <w:lang w:val="en-AU"/>
        </w:rPr>
        <w:t xml:space="preserve">the </w:t>
      </w:r>
      <w:r w:rsidR="00863B47" w:rsidRPr="006A1591">
        <w:rPr>
          <w:lang w:val="en-AU"/>
        </w:rPr>
        <w:t>“</w:t>
      </w:r>
      <w:r w:rsidR="006540C0" w:rsidRPr="006A1591">
        <w:rPr>
          <w:lang w:val="en-AU"/>
        </w:rPr>
        <w:t xml:space="preserve">Old Testament </w:t>
      </w:r>
      <w:r w:rsidR="006540C0" w:rsidRPr="006A1591">
        <w:rPr>
          <w:i/>
          <w:lang w:val="en-AU"/>
        </w:rPr>
        <w:t>lex talionis</w:t>
      </w:r>
      <w:r w:rsidR="006540C0" w:rsidRPr="006A1591">
        <w:rPr>
          <w:lang w:val="en-AU"/>
        </w:rPr>
        <w:t xml:space="preserve"> was to be implemented on a societal and governmental level in a judicial process for the nation of Israel.</w:t>
      </w:r>
      <w:r w:rsidR="00863B47" w:rsidRPr="006A1591">
        <w:rPr>
          <w:lang w:val="en-AU"/>
        </w:rPr>
        <w:t>”</w:t>
      </w:r>
      <w:r w:rsidR="006540C0" w:rsidRPr="006A1591">
        <w:rPr>
          <w:rStyle w:val="FootnoteReference"/>
          <w:lang w:val="en-AU"/>
        </w:rPr>
        <w:footnoteReference w:id="558"/>
      </w:r>
      <w:r w:rsidR="006540C0" w:rsidRPr="006A1591">
        <w:rPr>
          <w:lang w:val="en-AU"/>
        </w:rPr>
        <w:t xml:space="preserve"> </w:t>
      </w:r>
      <w:r w:rsidR="00532332" w:rsidRPr="006A1591">
        <w:rPr>
          <w:lang w:val="en-AU"/>
        </w:rPr>
        <w:t xml:space="preserve">How </w:t>
      </w:r>
      <w:r w:rsidR="00532332" w:rsidRPr="006A1591">
        <w:rPr>
          <w:i/>
          <w:iCs/>
          <w:lang w:val="en-AU"/>
        </w:rPr>
        <w:t>lex ta</w:t>
      </w:r>
      <w:r w:rsidR="00AC0F60" w:rsidRPr="006A1591">
        <w:rPr>
          <w:i/>
          <w:iCs/>
          <w:lang w:val="en-AU"/>
        </w:rPr>
        <w:t>l</w:t>
      </w:r>
      <w:r w:rsidR="00532332" w:rsidRPr="006A1591">
        <w:rPr>
          <w:i/>
          <w:iCs/>
          <w:lang w:val="en-AU"/>
        </w:rPr>
        <w:t xml:space="preserve">ionis </w:t>
      </w:r>
      <w:r w:rsidR="00532332" w:rsidRPr="006A1591">
        <w:rPr>
          <w:lang w:val="en-AU"/>
        </w:rPr>
        <w:t>is applie</w:t>
      </w:r>
      <w:r w:rsidR="00502B0D" w:rsidRPr="006A1591">
        <w:rPr>
          <w:lang w:val="en-AU"/>
        </w:rPr>
        <w:t>d</w:t>
      </w:r>
      <w:r w:rsidR="00532332" w:rsidRPr="006A1591">
        <w:rPr>
          <w:lang w:val="en-AU"/>
        </w:rPr>
        <w:t xml:space="preserve"> depends on the int</w:t>
      </w:r>
      <w:r w:rsidR="00AC0F60" w:rsidRPr="006A1591">
        <w:rPr>
          <w:lang w:val="en-AU"/>
        </w:rPr>
        <w:t>er</w:t>
      </w:r>
      <w:r w:rsidR="00532332" w:rsidRPr="006A1591">
        <w:rPr>
          <w:lang w:val="en-AU"/>
        </w:rPr>
        <w:t xml:space="preserve">pretation; </w:t>
      </w:r>
      <w:r w:rsidR="00F87691" w:rsidRPr="006A1591">
        <w:rPr>
          <w:lang w:val="en-AU"/>
        </w:rPr>
        <w:t>thus,</w:t>
      </w:r>
      <w:r w:rsidR="00532332" w:rsidRPr="006A1591">
        <w:rPr>
          <w:lang w:val="en-AU"/>
        </w:rPr>
        <w:t xml:space="preserve"> the evidence points to a Jesus </w:t>
      </w:r>
      <w:r w:rsidR="00502B0D" w:rsidRPr="006A1591">
        <w:rPr>
          <w:lang w:val="en-AU"/>
        </w:rPr>
        <w:t>who</w:t>
      </w:r>
      <w:r w:rsidR="00532332" w:rsidRPr="006A1591">
        <w:rPr>
          <w:lang w:val="en-AU"/>
        </w:rPr>
        <w:t xml:space="preserve"> is telling people to seek </w:t>
      </w:r>
      <w:r w:rsidR="00AC0F60" w:rsidRPr="006A1591">
        <w:rPr>
          <w:lang w:val="en-AU"/>
        </w:rPr>
        <w:t>equality</w:t>
      </w:r>
      <w:r w:rsidR="00532332" w:rsidRPr="006A1591">
        <w:rPr>
          <w:lang w:val="en-AU"/>
        </w:rPr>
        <w:t xml:space="preserve"> and justice. There are some</w:t>
      </w:r>
      <w:r w:rsidR="005205F8" w:rsidRPr="006A1591">
        <w:rPr>
          <w:lang w:val="en-AU"/>
        </w:rPr>
        <w:t>,</w:t>
      </w:r>
      <w:r w:rsidR="00532332" w:rsidRPr="006A1591">
        <w:rPr>
          <w:lang w:val="en-AU"/>
        </w:rPr>
        <w:t xml:space="preserve"> such as </w:t>
      </w:r>
      <w:r w:rsidR="005205F8" w:rsidRPr="006A1591">
        <w:rPr>
          <w:lang w:val="en-AU"/>
        </w:rPr>
        <w:t>Robert</w:t>
      </w:r>
      <w:r w:rsidR="006023F8" w:rsidRPr="006A1591">
        <w:rPr>
          <w:lang w:val="en-AU"/>
        </w:rPr>
        <w:t xml:space="preserve"> </w:t>
      </w:r>
      <w:r w:rsidR="00532332" w:rsidRPr="006A1591">
        <w:rPr>
          <w:lang w:val="en-AU"/>
        </w:rPr>
        <w:t>T</w:t>
      </w:r>
      <w:r w:rsidR="006540C0" w:rsidRPr="006A1591">
        <w:rPr>
          <w:lang w:val="en-AU"/>
        </w:rPr>
        <w:t>annehill</w:t>
      </w:r>
      <w:r w:rsidR="005205F8" w:rsidRPr="006A1591">
        <w:rPr>
          <w:lang w:val="en-AU"/>
        </w:rPr>
        <w:t>, who</w:t>
      </w:r>
      <w:r w:rsidR="0018603B" w:rsidRPr="006A1591">
        <w:rPr>
          <w:lang w:val="en-AU"/>
        </w:rPr>
        <w:t xml:space="preserve"> </w:t>
      </w:r>
      <w:r w:rsidR="006540C0" w:rsidRPr="006A1591">
        <w:rPr>
          <w:lang w:val="en-AU"/>
        </w:rPr>
        <w:t>contend</w:t>
      </w:r>
      <w:r w:rsidR="00532332" w:rsidRPr="006A1591">
        <w:rPr>
          <w:lang w:val="en-AU"/>
        </w:rPr>
        <w:t xml:space="preserve"> that </w:t>
      </w:r>
      <w:r w:rsidR="006540C0" w:rsidRPr="006A1591">
        <w:rPr>
          <w:lang w:val="en-AU"/>
        </w:rPr>
        <w:t>Matthew 5:41 is hyperbole</w:t>
      </w:r>
      <w:r w:rsidR="006A1591">
        <w:rPr>
          <w:lang w:val="en-AU"/>
        </w:rPr>
        <w:t>:</w:t>
      </w:r>
      <w:r w:rsidR="006540C0" w:rsidRPr="006A1591">
        <w:rPr>
          <w:lang w:val="en-AU"/>
        </w:rPr>
        <w:t xml:space="preserve"> </w:t>
      </w:r>
      <w:r w:rsidR="00863B47" w:rsidRPr="006A1591">
        <w:rPr>
          <w:lang w:val="en-AU"/>
        </w:rPr>
        <w:t>“</w:t>
      </w:r>
      <w:r w:rsidR="006540C0" w:rsidRPr="006A1591">
        <w:rPr>
          <w:lang w:val="en-AU"/>
        </w:rPr>
        <w:t>We feel uneasy about interpreting the command to turn the other cheek literally. However, few interpreters attempt to explain why this is not literal language. Nor do they give a clear account of the nature and qualities of this language, if it is not literal.</w:t>
      </w:r>
      <w:r w:rsidR="00863B47" w:rsidRPr="006A1591">
        <w:rPr>
          <w:lang w:val="en-AU"/>
        </w:rPr>
        <w:t>”</w:t>
      </w:r>
      <w:r w:rsidR="006540C0" w:rsidRPr="006A1591">
        <w:rPr>
          <w:rStyle w:val="FootnoteReference"/>
          <w:lang w:val="en-AU"/>
        </w:rPr>
        <w:footnoteReference w:id="559"/>
      </w:r>
      <w:r w:rsidR="00532332" w:rsidRPr="006A1591">
        <w:rPr>
          <w:lang w:val="en-AU"/>
        </w:rPr>
        <w:t xml:space="preserve"> If this text is </w:t>
      </w:r>
      <w:r w:rsidR="00AC0F60" w:rsidRPr="006A1591">
        <w:rPr>
          <w:lang w:val="en-AU"/>
        </w:rPr>
        <w:t>hyperbole</w:t>
      </w:r>
      <w:r w:rsidR="00532332" w:rsidRPr="006A1591">
        <w:rPr>
          <w:lang w:val="en-AU"/>
        </w:rPr>
        <w:t xml:space="preserve"> and not</w:t>
      </w:r>
      <w:r w:rsidR="00303059" w:rsidRPr="006A1591">
        <w:rPr>
          <w:lang w:val="en-AU"/>
        </w:rPr>
        <w:t xml:space="preserve"> </w:t>
      </w:r>
      <w:r w:rsidR="00532332" w:rsidRPr="006A1591">
        <w:rPr>
          <w:lang w:val="en-AU"/>
        </w:rPr>
        <w:t xml:space="preserve">literal language, there remains less reason to </w:t>
      </w:r>
      <w:r w:rsidR="005C71CB" w:rsidRPr="006A1591">
        <w:rPr>
          <w:lang w:val="en-AU"/>
        </w:rPr>
        <w:t>‘</w:t>
      </w:r>
      <w:r w:rsidR="00532332" w:rsidRPr="006A1591">
        <w:rPr>
          <w:lang w:val="en-AU"/>
        </w:rPr>
        <w:t>spirituali</w:t>
      </w:r>
      <w:r w:rsidR="00D86BBD" w:rsidRPr="006A1591">
        <w:rPr>
          <w:lang w:val="en-AU"/>
        </w:rPr>
        <w:t>s</w:t>
      </w:r>
      <w:r w:rsidR="00532332" w:rsidRPr="006A1591">
        <w:rPr>
          <w:lang w:val="en-AU"/>
        </w:rPr>
        <w:t>e</w:t>
      </w:r>
      <w:r w:rsidR="005C71CB" w:rsidRPr="006A1591">
        <w:rPr>
          <w:lang w:val="en-AU"/>
        </w:rPr>
        <w:t>’</w:t>
      </w:r>
      <w:r w:rsidR="00532332" w:rsidRPr="006A1591">
        <w:rPr>
          <w:lang w:val="en-AU"/>
        </w:rPr>
        <w:t xml:space="preserve"> the reward for abuse </w:t>
      </w:r>
      <w:r w:rsidR="00825379" w:rsidRPr="006A1591">
        <w:rPr>
          <w:lang w:val="en-AU"/>
        </w:rPr>
        <w:t>by</w:t>
      </w:r>
      <w:r w:rsidR="00532332" w:rsidRPr="006A1591">
        <w:rPr>
          <w:lang w:val="en-AU"/>
        </w:rPr>
        <w:t xml:space="preserve"> say</w:t>
      </w:r>
      <w:r w:rsidR="00825379" w:rsidRPr="006A1591">
        <w:rPr>
          <w:lang w:val="en-AU"/>
        </w:rPr>
        <w:t>ing</w:t>
      </w:r>
      <w:r w:rsidR="00532332" w:rsidRPr="006A1591">
        <w:rPr>
          <w:lang w:val="en-AU"/>
        </w:rPr>
        <w:t xml:space="preserve"> that in the afterlife an abused person will be rewarded for </w:t>
      </w:r>
      <w:r w:rsidR="00825379" w:rsidRPr="006A1591">
        <w:rPr>
          <w:lang w:val="en-AU"/>
        </w:rPr>
        <w:t>enduring</w:t>
      </w:r>
      <w:r w:rsidR="00A26A85" w:rsidRPr="006A1591">
        <w:rPr>
          <w:lang w:val="en-AU"/>
        </w:rPr>
        <w:t xml:space="preserve"> </w:t>
      </w:r>
      <w:r w:rsidR="00532332" w:rsidRPr="006A1591">
        <w:rPr>
          <w:lang w:val="en-AU"/>
        </w:rPr>
        <w:t xml:space="preserve">abuse on earth. </w:t>
      </w:r>
      <w:r w:rsidR="00A26A85" w:rsidRPr="006A1591">
        <w:rPr>
          <w:lang w:val="en-AU"/>
        </w:rPr>
        <w:t xml:space="preserve">Rather the text may be interpreted to mean </w:t>
      </w:r>
      <w:r w:rsidR="00532332" w:rsidRPr="006A1591">
        <w:rPr>
          <w:lang w:val="en-AU"/>
        </w:rPr>
        <w:t xml:space="preserve">that </w:t>
      </w:r>
      <w:r w:rsidR="00832654" w:rsidRPr="006A1591">
        <w:rPr>
          <w:lang w:val="en-AU"/>
        </w:rPr>
        <w:t>justice</w:t>
      </w:r>
      <w:r w:rsidR="00BD06D4" w:rsidRPr="006A1591">
        <w:rPr>
          <w:lang w:val="en-AU"/>
        </w:rPr>
        <w:t xml:space="preserve"> and equity are</w:t>
      </w:r>
      <w:r w:rsidR="00832654" w:rsidRPr="006A1591">
        <w:rPr>
          <w:lang w:val="en-AU"/>
        </w:rPr>
        <w:t xml:space="preserve"> </w:t>
      </w:r>
      <w:r w:rsidR="003E5EC3" w:rsidRPr="006A1591">
        <w:rPr>
          <w:lang w:val="en-AU"/>
        </w:rPr>
        <w:t xml:space="preserve">equally </w:t>
      </w:r>
      <w:r w:rsidR="00832654" w:rsidRPr="006A1591">
        <w:rPr>
          <w:lang w:val="en-AU"/>
        </w:rPr>
        <w:t xml:space="preserve">due </w:t>
      </w:r>
      <w:r w:rsidR="00A26A85" w:rsidRPr="006A1591">
        <w:rPr>
          <w:lang w:val="en-AU"/>
        </w:rPr>
        <w:t xml:space="preserve">to </w:t>
      </w:r>
      <w:r w:rsidR="00BD06D4" w:rsidRPr="006A1591">
        <w:rPr>
          <w:lang w:val="en-AU"/>
        </w:rPr>
        <w:t>all</w:t>
      </w:r>
      <w:r w:rsidR="00832654" w:rsidRPr="006A1591">
        <w:rPr>
          <w:lang w:val="en-AU"/>
        </w:rPr>
        <w:t xml:space="preserve"> pe</w:t>
      </w:r>
      <w:r w:rsidR="00BD06D4" w:rsidRPr="006A1591">
        <w:rPr>
          <w:lang w:val="en-AU"/>
        </w:rPr>
        <w:t>ople</w:t>
      </w:r>
      <w:r w:rsidR="00832654" w:rsidRPr="006A1591">
        <w:rPr>
          <w:lang w:val="en-AU"/>
        </w:rPr>
        <w:t xml:space="preserve">.  </w:t>
      </w:r>
    </w:p>
    <w:p w14:paraId="270A7002" w14:textId="5762B984" w:rsidR="006540C0" w:rsidRPr="009E7B69" w:rsidRDefault="00832654" w:rsidP="00D63C25">
      <w:pPr>
        <w:spacing w:line="480" w:lineRule="auto"/>
        <w:ind w:firstLine="720"/>
        <w:rPr>
          <w:lang w:val="en-AU"/>
        </w:rPr>
      </w:pPr>
      <w:r w:rsidRPr="009E7B69">
        <w:rPr>
          <w:lang w:val="en-AU"/>
        </w:rPr>
        <w:t xml:space="preserve">Matthew 5:41 does </w:t>
      </w:r>
      <w:r w:rsidR="00964657" w:rsidRPr="009E7B69">
        <w:rPr>
          <w:lang w:val="en-AU"/>
        </w:rPr>
        <w:t xml:space="preserve">not deal with how </w:t>
      </w:r>
      <w:r w:rsidRPr="009E7B69">
        <w:rPr>
          <w:lang w:val="en-AU"/>
        </w:rPr>
        <w:t>government</w:t>
      </w:r>
      <w:r w:rsidR="00C15279" w:rsidRPr="009E7B69">
        <w:rPr>
          <w:lang w:val="en-AU"/>
        </w:rPr>
        <w:t>s</w:t>
      </w:r>
      <w:r w:rsidRPr="009E7B69">
        <w:rPr>
          <w:lang w:val="en-AU"/>
        </w:rPr>
        <w:t xml:space="preserve"> operate</w:t>
      </w:r>
      <w:r w:rsidR="00C15279" w:rsidRPr="009E7B69">
        <w:rPr>
          <w:lang w:val="en-AU"/>
        </w:rPr>
        <w:t xml:space="preserve"> but addresses </w:t>
      </w:r>
      <w:r w:rsidRPr="009E7B69">
        <w:rPr>
          <w:lang w:val="en-AU"/>
        </w:rPr>
        <w:t>individual</w:t>
      </w:r>
      <w:r w:rsidR="00C15279" w:rsidRPr="009E7B69">
        <w:rPr>
          <w:lang w:val="en-AU"/>
        </w:rPr>
        <w:t xml:space="preserve"> behaviour</w:t>
      </w:r>
      <w:r w:rsidRPr="009E7B69">
        <w:rPr>
          <w:lang w:val="en-AU"/>
        </w:rPr>
        <w:t>. D</w:t>
      </w:r>
      <w:r w:rsidR="006540C0" w:rsidRPr="009E7B69">
        <w:rPr>
          <w:lang w:val="en-AU"/>
        </w:rPr>
        <w:t>avies say</w:t>
      </w:r>
      <w:r w:rsidR="00867FC3" w:rsidRPr="009E7B69">
        <w:rPr>
          <w:lang w:val="en-AU"/>
        </w:rPr>
        <w:t>s,</w:t>
      </w:r>
      <w:r w:rsidR="006540C0" w:rsidRPr="009E7B69">
        <w:rPr>
          <w:lang w:val="en-AU"/>
        </w:rPr>
        <w:t xml:space="preserve"> </w:t>
      </w:r>
      <w:r w:rsidR="00863B47" w:rsidRPr="009E7B69">
        <w:rPr>
          <w:lang w:val="en-AU"/>
        </w:rPr>
        <w:t>“</w:t>
      </w:r>
      <w:r w:rsidR="006540C0" w:rsidRPr="009E7B69">
        <w:rPr>
          <w:lang w:val="en-AU"/>
        </w:rPr>
        <w:t>Certainly it is addressed to the community of disciples but only from the perspective of the victim or person offended…</w:t>
      </w:r>
      <w:r w:rsidR="00D74283" w:rsidRPr="009E7B69">
        <w:rPr>
          <w:lang w:val="en-AU"/>
        </w:rPr>
        <w:t xml:space="preserve"> </w:t>
      </w:r>
      <w:r w:rsidR="006540C0" w:rsidRPr="009E7B69">
        <w:rPr>
          <w:lang w:val="en-AU"/>
        </w:rPr>
        <w:t xml:space="preserve">It is not directed specifically to the government, </w:t>
      </w:r>
      <w:proofErr w:type="gramStart"/>
      <w:r w:rsidR="006540C0" w:rsidRPr="009E7B69">
        <w:rPr>
          <w:lang w:val="en-AU"/>
        </w:rPr>
        <w:t>courts</w:t>
      </w:r>
      <w:proofErr w:type="gramEnd"/>
      <w:r w:rsidR="006540C0" w:rsidRPr="009E7B69">
        <w:rPr>
          <w:lang w:val="en-AU"/>
        </w:rPr>
        <w:t xml:space="preserve"> or judges on how to punish offenders or how to carry out law on a societal level.</w:t>
      </w:r>
      <w:r w:rsidR="00863B47" w:rsidRPr="009E7B69">
        <w:rPr>
          <w:lang w:val="en-AU"/>
        </w:rPr>
        <w:t>”</w:t>
      </w:r>
      <w:r w:rsidR="006540C0" w:rsidRPr="009E7B69">
        <w:rPr>
          <w:rStyle w:val="FootnoteReference"/>
          <w:lang w:val="en-AU"/>
        </w:rPr>
        <w:footnoteReference w:id="560"/>
      </w:r>
      <w:r w:rsidR="006540C0" w:rsidRPr="009E7B69">
        <w:rPr>
          <w:lang w:val="en-AU"/>
        </w:rPr>
        <w:t xml:space="preserve"> </w:t>
      </w:r>
      <w:r w:rsidR="003D10D9" w:rsidRPr="009E7B69">
        <w:rPr>
          <w:lang w:val="en-AU"/>
        </w:rPr>
        <w:t>The local non</w:t>
      </w:r>
      <w:r w:rsidR="006D3E16" w:rsidRPr="009E7B69">
        <w:rPr>
          <w:lang w:val="en-AU"/>
        </w:rPr>
        <w:t>-</w:t>
      </w:r>
      <w:r w:rsidR="003D10D9" w:rsidRPr="009E7B69">
        <w:rPr>
          <w:lang w:val="en-AU"/>
        </w:rPr>
        <w:t>citizens and subjects were often conscripted to do short</w:t>
      </w:r>
      <w:r w:rsidR="00D74283" w:rsidRPr="009E7B69">
        <w:rPr>
          <w:lang w:val="en-AU"/>
        </w:rPr>
        <w:t>-</w:t>
      </w:r>
      <w:r w:rsidR="003D10D9" w:rsidRPr="009E7B69">
        <w:rPr>
          <w:lang w:val="en-AU"/>
        </w:rPr>
        <w:t>term labo</w:t>
      </w:r>
      <w:r w:rsidR="00043313" w:rsidRPr="009E7B69">
        <w:rPr>
          <w:lang w:val="en-AU"/>
        </w:rPr>
        <w:t>u</w:t>
      </w:r>
      <w:r w:rsidR="003D10D9" w:rsidRPr="009E7B69">
        <w:rPr>
          <w:lang w:val="en-AU"/>
        </w:rPr>
        <w:t>r for Roman</w:t>
      </w:r>
      <w:r w:rsidR="00D85280" w:rsidRPr="009E7B69">
        <w:rPr>
          <w:lang w:val="en-AU"/>
        </w:rPr>
        <w:t xml:space="preserve"> soldiers.</w:t>
      </w:r>
      <w:r w:rsidR="003D10D9" w:rsidRPr="009E7B69">
        <w:rPr>
          <w:lang w:val="en-AU"/>
        </w:rPr>
        <w:t xml:space="preserve"> </w:t>
      </w:r>
      <w:r w:rsidR="006540C0" w:rsidRPr="009E7B69">
        <w:rPr>
          <w:lang w:val="en-AU"/>
        </w:rPr>
        <w:t xml:space="preserve">The practice of Roman soldiers using </w:t>
      </w:r>
      <w:r w:rsidR="006D3E16" w:rsidRPr="009E7B69">
        <w:rPr>
          <w:lang w:val="en-AU"/>
        </w:rPr>
        <w:t xml:space="preserve">conscripted </w:t>
      </w:r>
      <w:r w:rsidR="003D10D9" w:rsidRPr="009E7B69">
        <w:rPr>
          <w:lang w:val="en-AU"/>
        </w:rPr>
        <w:t>labo</w:t>
      </w:r>
      <w:r w:rsidR="006D3E16" w:rsidRPr="009E7B69">
        <w:rPr>
          <w:lang w:val="en-AU"/>
        </w:rPr>
        <w:t>u</w:t>
      </w:r>
      <w:r w:rsidR="003D10D9" w:rsidRPr="009E7B69">
        <w:rPr>
          <w:lang w:val="en-AU"/>
        </w:rPr>
        <w:t>r</w:t>
      </w:r>
      <w:r w:rsidR="00D85280" w:rsidRPr="009E7B69">
        <w:rPr>
          <w:lang w:val="en-AU"/>
        </w:rPr>
        <w:t xml:space="preserve"> to carry </w:t>
      </w:r>
      <w:r w:rsidR="00D85280" w:rsidRPr="009E7B69">
        <w:rPr>
          <w:lang w:val="en-AU"/>
        </w:rPr>
        <w:lastRenderedPageBreak/>
        <w:t>their pack</w:t>
      </w:r>
      <w:r w:rsidR="003D10D9" w:rsidRPr="009E7B69">
        <w:rPr>
          <w:lang w:val="en-AU"/>
        </w:rPr>
        <w:t xml:space="preserve"> </w:t>
      </w:r>
      <w:r w:rsidR="006540C0" w:rsidRPr="009E7B69">
        <w:rPr>
          <w:lang w:val="en-AU"/>
        </w:rPr>
        <w:t xml:space="preserve">was common </w:t>
      </w:r>
      <w:r w:rsidR="003D10D9" w:rsidRPr="009E7B69">
        <w:rPr>
          <w:lang w:val="en-AU"/>
        </w:rPr>
        <w:t xml:space="preserve">when the Sermon </w:t>
      </w:r>
      <w:r w:rsidR="00AC0F60" w:rsidRPr="009E7B69">
        <w:rPr>
          <w:lang w:val="en-AU"/>
        </w:rPr>
        <w:t>was</w:t>
      </w:r>
      <w:r w:rsidR="003D10D9" w:rsidRPr="009E7B69">
        <w:rPr>
          <w:lang w:val="en-AU"/>
        </w:rPr>
        <w:t xml:space="preserve"> delivered</w:t>
      </w:r>
      <w:r w:rsidR="006D3E16" w:rsidRPr="009E7B69">
        <w:rPr>
          <w:lang w:val="en-AU"/>
        </w:rPr>
        <w:t>.</w:t>
      </w:r>
      <w:r w:rsidR="00A91171" w:rsidRPr="009E7B69">
        <w:rPr>
          <w:rStyle w:val="FootnoteReference"/>
          <w:lang w:val="en-AU"/>
        </w:rPr>
        <w:footnoteReference w:id="561"/>
      </w:r>
      <w:r w:rsidR="003D10D9" w:rsidRPr="009E7B69">
        <w:rPr>
          <w:lang w:val="en-AU"/>
        </w:rPr>
        <w:t xml:space="preserve"> </w:t>
      </w:r>
      <w:r w:rsidR="006540C0" w:rsidRPr="009E7B69">
        <w:rPr>
          <w:lang w:val="en-AU"/>
        </w:rPr>
        <w:t xml:space="preserve">Roman soldiers were allowed to force </w:t>
      </w:r>
      <w:r w:rsidR="003D10D9" w:rsidRPr="009E7B69">
        <w:rPr>
          <w:lang w:val="en-AU"/>
        </w:rPr>
        <w:t>non-</w:t>
      </w:r>
      <w:r w:rsidR="006540C0" w:rsidRPr="009E7B69">
        <w:rPr>
          <w:lang w:val="en-AU"/>
        </w:rPr>
        <w:t>citizens</w:t>
      </w:r>
      <w:r w:rsidR="003D10D9" w:rsidRPr="009E7B69">
        <w:rPr>
          <w:lang w:val="en-AU"/>
        </w:rPr>
        <w:t xml:space="preserve"> and residents who are subject to Rome</w:t>
      </w:r>
      <w:r w:rsidR="006540C0" w:rsidRPr="009E7B69">
        <w:rPr>
          <w:lang w:val="en-AU"/>
        </w:rPr>
        <w:t xml:space="preserve"> into labo</w:t>
      </w:r>
      <w:r w:rsidR="006D3E16" w:rsidRPr="009E7B69">
        <w:rPr>
          <w:lang w:val="en-AU"/>
        </w:rPr>
        <w:t>u</w:t>
      </w:r>
      <w:r w:rsidR="006540C0" w:rsidRPr="009E7B69">
        <w:rPr>
          <w:lang w:val="en-AU"/>
        </w:rPr>
        <w:t>r when there was a need for it.</w:t>
      </w:r>
      <w:r w:rsidR="006540C0" w:rsidRPr="009E7B69">
        <w:rPr>
          <w:rStyle w:val="FootnoteReference"/>
          <w:lang w:val="en-AU"/>
        </w:rPr>
        <w:footnoteReference w:id="562"/>
      </w:r>
      <w:r w:rsidR="006540C0" w:rsidRPr="009E7B69">
        <w:rPr>
          <w:lang w:val="en-AU"/>
        </w:rPr>
        <w:t xml:space="preserve"> However, there were limitations to the amount of forced work that Roman soldiers could force upon the local populace. </w:t>
      </w:r>
      <w:r w:rsidR="00AB32E8" w:rsidRPr="009E7B69">
        <w:rPr>
          <w:lang w:val="en-AU"/>
        </w:rPr>
        <w:t>For example, a</w:t>
      </w:r>
      <w:r w:rsidR="00D63C25" w:rsidRPr="009E7B69">
        <w:rPr>
          <w:lang w:val="en-AU"/>
        </w:rPr>
        <w:t xml:space="preserve"> </w:t>
      </w:r>
      <w:r w:rsidR="00D85280" w:rsidRPr="009E7B69">
        <w:rPr>
          <w:lang w:val="en-AU"/>
        </w:rPr>
        <w:t>s</w:t>
      </w:r>
      <w:r w:rsidR="00D63C25" w:rsidRPr="009E7B69">
        <w:rPr>
          <w:lang w:val="en-AU"/>
        </w:rPr>
        <w:t xml:space="preserve">oldier </w:t>
      </w:r>
      <w:r w:rsidR="00521081" w:rsidRPr="009E7B69">
        <w:rPr>
          <w:lang w:val="en-AU"/>
        </w:rPr>
        <w:t xml:space="preserve">could only force someone to carry his load for </w:t>
      </w:r>
      <w:r w:rsidR="00D63C25" w:rsidRPr="009E7B69">
        <w:rPr>
          <w:lang w:val="en-AU"/>
        </w:rPr>
        <w:t>one mile</w:t>
      </w:r>
      <w:r w:rsidR="00D67837" w:rsidRPr="009E7B69">
        <w:rPr>
          <w:lang w:val="en-AU"/>
        </w:rPr>
        <w:t>.</w:t>
      </w:r>
      <w:r w:rsidR="00D63C25" w:rsidRPr="009E7B69">
        <w:rPr>
          <w:lang w:val="en-AU"/>
        </w:rPr>
        <w:t xml:space="preserve"> James Davis </w:t>
      </w:r>
      <w:r w:rsidR="00D67837" w:rsidRPr="009E7B69">
        <w:rPr>
          <w:lang w:val="en-AU"/>
        </w:rPr>
        <w:t>notes that at that time a mile</w:t>
      </w:r>
      <w:r w:rsidR="00E95D16" w:rsidRPr="009E7B69">
        <w:rPr>
          <w:lang w:val="en-AU"/>
        </w:rPr>
        <w:t xml:space="preserve"> </w:t>
      </w:r>
      <w:r w:rsidR="00863B47" w:rsidRPr="009E7B69">
        <w:rPr>
          <w:lang w:val="en-AU"/>
        </w:rPr>
        <w:t>“</w:t>
      </w:r>
      <w:r w:rsidR="00D67837" w:rsidRPr="009E7B69">
        <w:rPr>
          <w:lang w:val="en-AU"/>
        </w:rPr>
        <w:t xml:space="preserve">… </w:t>
      </w:r>
      <w:r w:rsidR="006540C0" w:rsidRPr="009E7B69">
        <w:rPr>
          <w:lang w:val="en-AU"/>
        </w:rPr>
        <w:t>literally means one thousand paces but became a fixed length of eight stades</w:t>
      </w:r>
      <w:r w:rsidR="00410CAF" w:rsidRPr="009E7B69">
        <w:rPr>
          <w:lang w:val="en-AU"/>
        </w:rPr>
        <w:t xml:space="preserve">, equal to </w:t>
      </w:r>
      <w:r w:rsidR="006540C0" w:rsidRPr="009E7B69">
        <w:rPr>
          <w:lang w:val="en-AU"/>
        </w:rPr>
        <w:t>4,454 feet</w:t>
      </w:r>
      <w:r w:rsidR="00410CAF" w:rsidRPr="009E7B69">
        <w:rPr>
          <w:lang w:val="en-AU"/>
        </w:rPr>
        <w:t xml:space="preserve"> or </w:t>
      </w:r>
      <w:r w:rsidR="006540C0" w:rsidRPr="009E7B69">
        <w:rPr>
          <w:lang w:val="en-AU"/>
        </w:rPr>
        <w:t>1478 met</w:t>
      </w:r>
      <w:r w:rsidR="00410CAF" w:rsidRPr="009E7B69">
        <w:rPr>
          <w:lang w:val="en-AU"/>
        </w:rPr>
        <w:t>re</w:t>
      </w:r>
      <w:r w:rsidR="006540C0" w:rsidRPr="009E7B69">
        <w:rPr>
          <w:lang w:val="en-AU"/>
        </w:rPr>
        <w:t>s.</w:t>
      </w:r>
      <w:r w:rsidR="00863B47" w:rsidRPr="009E7B69">
        <w:rPr>
          <w:lang w:val="en-AU"/>
        </w:rPr>
        <w:t>”</w:t>
      </w:r>
      <w:r w:rsidR="006540C0" w:rsidRPr="009E7B69">
        <w:rPr>
          <w:rStyle w:val="FootnoteReference"/>
          <w:lang w:val="en-AU"/>
        </w:rPr>
        <w:footnoteReference w:id="563"/>
      </w:r>
    </w:p>
    <w:p w14:paraId="5677C3FB" w14:textId="7539149A" w:rsidR="006540C0" w:rsidRPr="009E7B69" w:rsidRDefault="006540C0" w:rsidP="006540C0">
      <w:pPr>
        <w:autoSpaceDE w:val="0"/>
        <w:autoSpaceDN w:val="0"/>
        <w:adjustRightInd w:val="0"/>
        <w:spacing w:line="480" w:lineRule="auto"/>
        <w:ind w:firstLine="720"/>
        <w:rPr>
          <w:lang w:val="en-AU"/>
        </w:rPr>
      </w:pPr>
      <w:r w:rsidRPr="009E7B69">
        <w:rPr>
          <w:lang w:val="en-AU"/>
        </w:rPr>
        <w:t>Matthew 5:41 uses the word ἀγγαρεύσει</w:t>
      </w:r>
      <w:r w:rsidR="00D67837" w:rsidRPr="009E7B69">
        <w:rPr>
          <w:lang w:val="en-AU"/>
        </w:rPr>
        <w:t>,</w:t>
      </w:r>
      <w:r w:rsidRPr="009E7B69">
        <w:rPr>
          <w:lang w:val="en-AU"/>
        </w:rPr>
        <w:t xml:space="preserve"> defined as </w:t>
      </w:r>
      <w:r w:rsidR="00863B47" w:rsidRPr="009E7B69">
        <w:rPr>
          <w:lang w:val="en-AU"/>
        </w:rPr>
        <w:t>“</w:t>
      </w:r>
      <w:r w:rsidRPr="009E7B69">
        <w:rPr>
          <w:lang w:val="en-AU"/>
        </w:rPr>
        <w:t>shall compel to go</w:t>
      </w:r>
      <w:r w:rsidR="00862674" w:rsidRPr="009E7B69">
        <w:rPr>
          <w:lang w:val="en-AU"/>
        </w:rPr>
        <w:t>,</w:t>
      </w:r>
      <w:r w:rsidR="00863B47" w:rsidRPr="009E7B69">
        <w:rPr>
          <w:lang w:val="en-AU"/>
        </w:rPr>
        <w:t>”</w:t>
      </w:r>
      <w:r w:rsidRPr="009E7B69">
        <w:rPr>
          <w:lang w:val="en-AU"/>
        </w:rPr>
        <w:t xml:space="preserve"> in the context </w:t>
      </w:r>
      <w:r w:rsidR="006023F8" w:rsidRPr="009E7B69">
        <w:rPr>
          <w:lang w:val="en-AU"/>
        </w:rPr>
        <w:t xml:space="preserve">of </w:t>
      </w:r>
      <w:r w:rsidRPr="009E7B69">
        <w:rPr>
          <w:lang w:val="en-AU"/>
        </w:rPr>
        <w:t>forced labo</w:t>
      </w:r>
      <w:r w:rsidR="00862674" w:rsidRPr="009E7B69">
        <w:rPr>
          <w:lang w:val="en-AU"/>
        </w:rPr>
        <w:t>u</w:t>
      </w:r>
      <w:r w:rsidRPr="009E7B69">
        <w:rPr>
          <w:lang w:val="en-AU"/>
        </w:rPr>
        <w:t xml:space="preserve">r </w:t>
      </w:r>
      <w:r w:rsidR="00862674" w:rsidRPr="009E7B69">
        <w:rPr>
          <w:lang w:val="en-AU"/>
        </w:rPr>
        <w:t xml:space="preserve">over </w:t>
      </w:r>
      <w:proofErr w:type="gramStart"/>
      <w:r w:rsidR="00862674" w:rsidRPr="009E7B69">
        <w:rPr>
          <w:lang w:val="en-AU"/>
        </w:rPr>
        <w:t xml:space="preserve">a distance of </w:t>
      </w:r>
      <w:r w:rsidRPr="009E7B69">
        <w:rPr>
          <w:lang w:val="en-AU"/>
        </w:rPr>
        <w:t>one</w:t>
      </w:r>
      <w:proofErr w:type="gramEnd"/>
      <w:r w:rsidRPr="009E7B69">
        <w:rPr>
          <w:lang w:val="en-AU"/>
        </w:rPr>
        <w:t xml:space="preserve"> mile</w:t>
      </w:r>
      <w:r w:rsidR="00BC6527" w:rsidRPr="009E7B69">
        <w:rPr>
          <w:lang w:val="en-AU"/>
        </w:rPr>
        <w:t>.</w:t>
      </w:r>
      <w:r w:rsidRPr="009E7B69">
        <w:rPr>
          <w:lang w:val="en-AU"/>
        </w:rPr>
        <w:t xml:space="preserve"> </w:t>
      </w:r>
      <w:r w:rsidR="00BC6527" w:rsidRPr="009E7B69">
        <w:rPr>
          <w:lang w:val="en-AU"/>
        </w:rPr>
        <w:t xml:space="preserve">Roman </w:t>
      </w:r>
      <w:r w:rsidRPr="009E7B69">
        <w:rPr>
          <w:lang w:val="en-AU"/>
        </w:rPr>
        <w:t>soldiers had authority to commandeer horses, vessels, and men, as needed, into temporary service.</w:t>
      </w:r>
      <w:r w:rsidRPr="009E7B69">
        <w:rPr>
          <w:rStyle w:val="FootnoteReference"/>
          <w:lang w:val="en-AU"/>
        </w:rPr>
        <w:footnoteReference w:id="564"/>
      </w:r>
      <w:r w:rsidRPr="009E7B69">
        <w:rPr>
          <w:lang w:val="en-AU"/>
        </w:rPr>
        <w:t xml:space="preserve"> </w:t>
      </w:r>
      <w:r w:rsidR="00A80F66" w:rsidRPr="009E7B69">
        <w:rPr>
          <w:lang w:val="en-AU"/>
        </w:rPr>
        <w:t xml:space="preserve">The application of ἀγγαρεύσει becomes part of the problem.  For </w:t>
      </w:r>
      <w:r w:rsidRPr="009E7B69">
        <w:rPr>
          <w:lang w:val="en-AU"/>
        </w:rPr>
        <w:t>Levine and Brettler</w:t>
      </w:r>
      <w:r w:rsidR="00A80F66" w:rsidRPr="009E7B69">
        <w:rPr>
          <w:lang w:val="en-AU"/>
        </w:rPr>
        <w:t xml:space="preserve">, the suggestion that a person would voluntarily go forward for another mile after being ἀγγαρεύσει would </w:t>
      </w:r>
      <w:r w:rsidR="00555395" w:rsidRPr="009E7B69">
        <w:rPr>
          <w:lang w:val="en-AU"/>
        </w:rPr>
        <w:t>upset</w:t>
      </w:r>
      <w:r w:rsidR="00A80F66" w:rsidRPr="009E7B69">
        <w:rPr>
          <w:lang w:val="en-AU"/>
        </w:rPr>
        <w:t xml:space="preserve"> the status of power.</w:t>
      </w:r>
      <w:r w:rsidRPr="009E7B69">
        <w:rPr>
          <w:rStyle w:val="FootnoteReference"/>
          <w:lang w:val="en-AU"/>
        </w:rPr>
        <w:footnoteReference w:id="565"/>
      </w:r>
      <w:r w:rsidRPr="009E7B69">
        <w:rPr>
          <w:lang w:val="en-AU"/>
        </w:rPr>
        <w:t xml:space="preserve"> </w:t>
      </w:r>
      <w:r w:rsidR="00F63D90" w:rsidRPr="009E7B69">
        <w:rPr>
          <w:lang w:val="en-AU"/>
        </w:rPr>
        <w:t>Jesus said that if one was forced to go one mile</w:t>
      </w:r>
      <w:r w:rsidR="00086D9C" w:rsidRPr="009E7B69">
        <w:rPr>
          <w:lang w:val="en-AU"/>
        </w:rPr>
        <w:t>,</w:t>
      </w:r>
      <w:r w:rsidR="00F63D90" w:rsidRPr="009E7B69">
        <w:rPr>
          <w:lang w:val="en-AU"/>
        </w:rPr>
        <w:t xml:space="preserve"> </w:t>
      </w:r>
      <w:r w:rsidRPr="009E7B69">
        <w:rPr>
          <w:lang w:val="en-AU"/>
        </w:rPr>
        <w:t>go</w:t>
      </w:r>
      <w:r w:rsidR="001D45A4" w:rsidRPr="009E7B69">
        <w:rPr>
          <w:lang w:val="en-AU"/>
        </w:rPr>
        <w:t xml:space="preserve"> on for a</w:t>
      </w:r>
      <w:r w:rsidRPr="009E7B69">
        <w:rPr>
          <w:lang w:val="en-AU"/>
        </w:rPr>
        <w:t xml:space="preserve"> second mile</w:t>
      </w:r>
      <w:r w:rsidR="00A80F66" w:rsidRPr="009E7B69">
        <w:rPr>
          <w:lang w:val="en-AU"/>
        </w:rPr>
        <w:t xml:space="preserve">. </w:t>
      </w:r>
      <w:r w:rsidR="003A4D96" w:rsidRPr="009E7B69">
        <w:rPr>
          <w:lang w:val="en-AU"/>
        </w:rPr>
        <w:t>Any subject of Rome could be called to service.  This include</w:t>
      </w:r>
      <w:r w:rsidR="00E717BC" w:rsidRPr="009E7B69">
        <w:rPr>
          <w:lang w:val="en-AU"/>
        </w:rPr>
        <w:t>d</w:t>
      </w:r>
      <w:r w:rsidR="003A4D96" w:rsidRPr="009E7B69">
        <w:rPr>
          <w:lang w:val="en-AU"/>
        </w:rPr>
        <w:t xml:space="preserve"> </w:t>
      </w:r>
      <w:r w:rsidR="00293BFA" w:rsidRPr="009E7B69">
        <w:rPr>
          <w:lang w:val="en-AU"/>
        </w:rPr>
        <w:t xml:space="preserve">beasts of burden, properties, and land.  People were conscripted, and it caused agitation </w:t>
      </w:r>
      <w:r w:rsidR="00873F38" w:rsidRPr="009E7B69">
        <w:rPr>
          <w:lang w:val="en-AU"/>
        </w:rPr>
        <w:t>among the Jewish population</w:t>
      </w:r>
      <w:r w:rsidR="00293BFA" w:rsidRPr="009E7B69">
        <w:rPr>
          <w:lang w:val="en-AU"/>
        </w:rPr>
        <w:t xml:space="preserve"> because it was sometimes done upon the Sabbath. </w:t>
      </w:r>
      <w:r w:rsidR="00A80F66" w:rsidRPr="009E7B69">
        <w:rPr>
          <w:lang w:val="en-AU"/>
        </w:rPr>
        <w:t xml:space="preserve">One example </w:t>
      </w:r>
      <w:r w:rsidR="00F76C34" w:rsidRPr="009E7B69">
        <w:rPr>
          <w:lang w:val="en-AU"/>
        </w:rPr>
        <w:t xml:space="preserve">of such forced labour </w:t>
      </w:r>
      <w:r w:rsidR="00A80F66" w:rsidRPr="009E7B69">
        <w:rPr>
          <w:lang w:val="en-AU"/>
        </w:rPr>
        <w:t xml:space="preserve">is </w:t>
      </w:r>
      <w:r w:rsidR="007107DB" w:rsidRPr="009E7B69">
        <w:rPr>
          <w:lang w:val="en-AU"/>
        </w:rPr>
        <w:t xml:space="preserve">the </w:t>
      </w:r>
      <w:r w:rsidR="00C17934" w:rsidRPr="009E7B69">
        <w:rPr>
          <w:lang w:val="en-AU"/>
        </w:rPr>
        <w:t>compulsion</w:t>
      </w:r>
      <w:r w:rsidR="007107DB" w:rsidRPr="009E7B69">
        <w:rPr>
          <w:lang w:val="en-AU"/>
        </w:rPr>
        <w:t xml:space="preserve"> of </w:t>
      </w:r>
      <w:r w:rsidRPr="009E7B69">
        <w:rPr>
          <w:lang w:val="en-AU"/>
        </w:rPr>
        <w:t xml:space="preserve">Simon the Cyrene </w:t>
      </w:r>
      <w:r w:rsidR="00A80F66" w:rsidRPr="009E7B69">
        <w:rPr>
          <w:lang w:val="en-AU"/>
        </w:rPr>
        <w:t xml:space="preserve">who had to </w:t>
      </w:r>
      <w:r w:rsidRPr="009E7B69">
        <w:rPr>
          <w:lang w:val="en-AU"/>
        </w:rPr>
        <w:t>carry</w:t>
      </w:r>
      <w:r w:rsidR="00A80F66" w:rsidRPr="009E7B69">
        <w:rPr>
          <w:lang w:val="en-AU"/>
        </w:rPr>
        <w:t xml:space="preserve"> </w:t>
      </w:r>
      <w:r w:rsidRPr="009E7B69">
        <w:rPr>
          <w:lang w:val="en-AU"/>
        </w:rPr>
        <w:t xml:space="preserve">the cross for Jesus on the way to Golgotha </w:t>
      </w:r>
      <w:r w:rsidRPr="009E7B69">
        <w:rPr>
          <w:lang w:val="en-AU"/>
        </w:rPr>
        <w:lastRenderedPageBreak/>
        <w:t xml:space="preserve">(Matt 27:32; </w:t>
      </w:r>
      <w:r w:rsidR="003A4D96" w:rsidRPr="009E7B69">
        <w:rPr>
          <w:lang w:val="en-AU"/>
        </w:rPr>
        <w:t>Mark 15:21</w:t>
      </w:r>
      <w:r w:rsidRPr="009E7B69">
        <w:rPr>
          <w:lang w:val="en-AU"/>
        </w:rPr>
        <w:t>).</w:t>
      </w:r>
      <w:r w:rsidRPr="009E7B69">
        <w:rPr>
          <w:rStyle w:val="FootnoteReference"/>
          <w:lang w:val="en-AU"/>
        </w:rPr>
        <w:t xml:space="preserve"> </w:t>
      </w:r>
      <w:r w:rsidRPr="009E7B69">
        <w:rPr>
          <w:lang w:val="en-AU"/>
        </w:rPr>
        <w:t xml:space="preserve"> </w:t>
      </w:r>
      <w:r w:rsidR="00E95D16" w:rsidRPr="009E7B69">
        <w:rPr>
          <w:lang w:val="en-AU"/>
        </w:rPr>
        <w:t xml:space="preserve">There are very </w:t>
      </w:r>
      <w:r w:rsidR="0072308F" w:rsidRPr="009E7B69">
        <w:rPr>
          <w:lang w:val="en-AU"/>
        </w:rPr>
        <w:t>few</w:t>
      </w:r>
      <w:r w:rsidR="00E95D16" w:rsidRPr="009E7B69">
        <w:rPr>
          <w:lang w:val="en-AU"/>
        </w:rPr>
        <w:t xml:space="preserve"> examples of ἀγγαρεύσει in the New Testament </w:t>
      </w:r>
      <w:r w:rsidR="00C17934" w:rsidRPr="009E7B69">
        <w:rPr>
          <w:lang w:val="en-AU"/>
        </w:rPr>
        <w:t>in Matthew 27:32 and Mark 15:21, a</w:t>
      </w:r>
      <w:r w:rsidR="003A4D96" w:rsidRPr="009E7B69">
        <w:rPr>
          <w:lang w:val="en-AU"/>
        </w:rPr>
        <w:t xml:space="preserve">re the only instances of </w:t>
      </w:r>
      <w:r w:rsidR="00555395" w:rsidRPr="009E7B69">
        <w:rPr>
          <w:lang w:val="en-AU"/>
        </w:rPr>
        <w:t xml:space="preserve">where </w:t>
      </w:r>
      <w:r w:rsidR="003A4D96" w:rsidRPr="009E7B69">
        <w:rPr>
          <w:lang w:val="en-AU"/>
        </w:rPr>
        <w:t>this word</w:t>
      </w:r>
      <w:r w:rsidR="00555395" w:rsidRPr="009E7B69">
        <w:rPr>
          <w:lang w:val="en-AU"/>
        </w:rPr>
        <w:t xml:space="preserve"> is used</w:t>
      </w:r>
      <w:r w:rsidR="003A4D96" w:rsidRPr="009E7B69">
        <w:rPr>
          <w:lang w:val="en-AU"/>
        </w:rPr>
        <w:t xml:space="preserve">. </w:t>
      </w:r>
      <w:r w:rsidR="00BF3F9D" w:rsidRPr="009E7B69">
        <w:rPr>
          <w:lang w:val="en-AU"/>
        </w:rPr>
        <w:t xml:space="preserve">For a non-soldier </w:t>
      </w:r>
      <w:r w:rsidR="000935C3" w:rsidRPr="009E7B69">
        <w:rPr>
          <w:lang w:val="en-AU"/>
        </w:rPr>
        <w:t xml:space="preserve">to be </w:t>
      </w:r>
      <w:r w:rsidR="00BF3F9D" w:rsidRPr="009E7B69">
        <w:rPr>
          <w:lang w:val="en-AU"/>
        </w:rPr>
        <w:t xml:space="preserve">compelled to carry a pack for </w:t>
      </w:r>
      <w:r w:rsidR="007F5AAE">
        <w:rPr>
          <w:lang w:val="en-AU"/>
        </w:rPr>
        <w:t xml:space="preserve">the </w:t>
      </w:r>
      <w:r w:rsidR="00BF3F9D" w:rsidRPr="009E7B69">
        <w:rPr>
          <w:lang w:val="en-AU"/>
        </w:rPr>
        <w:t>solder for more than a mile</w:t>
      </w:r>
      <w:r w:rsidR="000935C3" w:rsidRPr="009E7B69">
        <w:rPr>
          <w:lang w:val="en-AU"/>
        </w:rPr>
        <w:t xml:space="preserve"> would constitute </w:t>
      </w:r>
      <w:r w:rsidR="00BF3F9D" w:rsidRPr="009E7B69">
        <w:rPr>
          <w:lang w:val="en-AU"/>
        </w:rPr>
        <w:t>a definite bre</w:t>
      </w:r>
      <w:r w:rsidR="00A6032C" w:rsidRPr="009E7B69">
        <w:rPr>
          <w:lang w:val="en-AU"/>
        </w:rPr>
        <w:t>a</w:t>
      </w:r>
      <w:r w:rsidR="00BF3F9D" w:rsidRPr="009E7B69">
        <w:rPr>
          <w:lang w:val="en-AU"/>
        </w:rPr>
        <w:t xml:space="preserve">ch of military </w:t>
      </w:r>
      <w:r w:rsidR="00826156" w:rsidRPr="009E7B69">
        <w:rPr>
          <w:lang w:val="en-AU"/>
        </w:rPr>
        <w:t>protocol</w:t>
      </w:r>
      <w:r w:rsidR="00BF3F9D" w:rsidRPr="009E7B69">
        <w:rPr>
          <w:lang w:val="en-AU"/>
        </w:rPr>
        <w:t xml:space="preserve">. </w:t>
      </w:r>
      <w:r w:rsidRPr="009E7B69">
        <w:rPr>
          <w:rStyle w:val="FootnoteReference"/>
          <w:lang w:val="en-AU"/>
        </w:rPr>
        <w:footnoteReference w:id="566"/>
      </w:r>
      <w:r w:rsidRPr="009E7B69">
        <w:rPr>
          <w:lang w:val="en-AU"/>
        </w:rPr>
        <w:t xml:space="preserve"> </w:t>
      </w:r>
      <w:r w:rsidR="000935C3" w:rsidRPr="009E7B69">
        <w:rPr>
          <w:lang w:val="en-AU"/>
        </w:rPr>
        <w:t xml:space="preserve">The regulation </w:t>
      </w:r>
      <w:r w:rsidR="00BF3F9D" w:rsidRPr="009E7B69">
        <w:rPr>
          <w:lang w:val="en-AU"/>
        </w:rPr>
        <w:t xml:space="preserve">places a boundary and a limit on how much the solder </w:t>
      </w:r>
      <w:r w:rsidR="00962E59" w:rsidRPr="009E7B69">
        <w:rPr>
          <w:lang w:val="en-AU"/>
        </w:rPr>
        <w:t xml:space="preserve">may </w:t>
      </w:r>
      <w:r w:rsidR="00BF3F9D" w:rsidRPr="009E7B69">
        <w:rPr>
          <w:lang w:val="en-AU"/>
        </w:rPr>
        <w:t xml:space="preserve">compel someone into service. </w:t>
      </w:r>
      <w:r w:rsidRPr="009E7B69">
        <w:rPr>
          <w:lang w:val="en-AU"/>
        </w:rPr>
        <w:t xml:space="preserve">David Stern </w:t>
      </w:r>
      <w:r w:rsidR="00C17934" w:rsidRPr="009E7B69">
        <w:rPr>
          <w:lang w:val="en-AU"/>
        </w:rPr>
        <w:t>suggests how a person responds reflects their character.</w:t>
      </w:r>
      <w:r w:rsidRPr="009E7B69">
        <w:rPr>
          <w:rStyle w:val="FootnoteReference"/>
          <w:lang w:val="en-AU"/>
        </w:rPr>
        <w:footnoteReference w:id="567"/>
      </w:r>
      <w:r w:rsidRPr="009E7B69">
        <w:rPr>
          <w:lang w:val="en-AU"/>
        </w:rPr>
        <w:t xml:space="preserve"> Davis</w:t>
      </w:r>
      <w:r w:rsidR="003A0416" w:rsidRPr="009E7B69">
        <w:rPr>
          <w:lang w:val="en-AU"/>
        </w:rPr>
        <w:t xml:space="preserve"> interprets </w:t>
      </w:r>
      <w:r w:rsidR="000D6B83" w:rsidRPr="009E7B69">
        <w:rPr>
          <w:lang w:val="en-AU"/>
        </w:rPr>
        <w:t>literally, saying</w:t>
      </w:r>
      <w:r w:rsidRPr="009E7B69">
        <w:rPr>
          <w:lang w:val="en-AU"/>
        </w:rPr>
        <w:t xml:space="preserve">, </w:t>
      </w:r>
      <w:r w:rsidR="00863B47" w:rsidRPr="009E7B69">
        <w:rPr>
          <w:lang w:val="en-AU"/>
        </w:rPr>
        <w:t>“</w:t>
      </w:r>
      <w:r w:rsidRPr="009E7B69">
        <w:rPr>
          <w:lang w:val="en-AU"/>
        </w:rPr>
        <w:t>Jesus recommends… with the present active imperative to go with him two.</w:t>
      </w:r>
      <w:r w:rsidR="00863B47" w:rsidRPr="009E7B69">
        <w:rPr>
          <w:lang w:val="en-AU"/>
        </w:rPr>
        <w:t>”</w:t>
      </w:r>
      <w:r w:rsidRPr="009E7B69">
        <w:rPr>
          <w:rStyle w:val="FootnoteReference"/>
          <w:lang w:val="en-AU"/>
        </w:rPr>
        <w:footnoteReference w:id="568"/>
      </w:r>
      <w:r w:rsidRPr="009E7B69">
        <w:rPr>
          <w:lang w:val="en-AU"/>
        </w:rPr>
        <w:t xml:space="preserve"> W. D. Davies and Dale Allison</w:t>
      </w:r>
      <w:r w:rsidR="00826156" w:rsidRPr="009E7B69">
        <w:rPr>
          <w:lang w:val="en-AU"/>
        </w:rPr>
        <w:t xml:space="preserve"> do not</w:t>
      </w:r>
      <w:r w:rsidR="001255FC" w:rsidRPr="009E7B69">
        <w:rPr>
          <w:lang w:val="en-AU"/>
        </w:rPr>
        <w:t xml:space="preserve"> take</w:t>
      </w:r>
      <w:r w:rsidR="00826156" w:rsidRPr="009E7B69">
        <w:rPr>
          <w:lang w:val="en-AU"/>
        </w:rPr>
        <w:t xml:space="preserve"> the same </w:t>
      </w:r>
      <w:r w:rsidR="001255FC" w:rsidRPr="009E7B69">
        <w:rPr>
          <w:lang w:val="en-AU"/>
        </w:rPr>
        <w:t xml:space="preserve">literalist </w:t>
      </w:r>
      <w:r w:rsidR="00826156" w:rsidRPr="009E7B69">
        <w:rPr>
          <w:lang w:val="en-AU"/>
        </w:rPr>
        <w:t>approach a</w:t>
      </w:r>
      <w:r w:rsidR="001255FC" w:rsidRPr="009E7B69">
        <w:rPr>
          <w:lang w:val="en-AU"/>
        </w:rPr>
        <w:t xml:space="preserve">nd </w:t>
      </w:r>
      <w:r w:rsidR="002E1E86" w:rsidRPr="009E7B69">
        <w:rPr>
          <w:lang w:val="en-AU"/>
        </w:rPr>
        <w:t>suggest</w:t>
      </w:r>
      <w:r w:rsidR="001255FC" w:rsidRPr="009E7B69">
        <w:rPr>
          <w:lang w:val="en-AU"/>
        </w:rPr>
        <w:t>,</w:t>
      </w:r>
      <w:r w:rsidR="002E1E86" w:rsidRPr="009E7B69">
        <w:rPr>
          <w:lang w:val="en-AU"/>
        </w:rPr>
        <w:t xml:space="preserve"> </w:t>
      </w:r>
      <w:r w:rsidR="00863B47" w:rsidRPr="009E7B69">
        <w:rPr>
          <w:lang w:val="en-AU"/>
        </w:rPr>
        <w:t>“</w:t>
      </w:r>
      <w:r w:rsidRPr="009E7B69">
        <w:rPr>
          <w:lang w:val="en-AU"/>
        </w:rPr>
        <w:t xml:space="preserve">The import of the following sentences [vv. 40–42] is lost if one attempts to take them literally. Jesus often resorted to extreme exaggeration </w:t>
      </w:r>
      <w:proofErr w:type="gramStart"/>
      <w:r w:rsidRPr="009E7B69">
        <w:rPr>
          <w:lang w:val="en-AU"/>
        </w:rPr>
        <w:t>in order to</w:t>
      </w:r>
      <w:proofErr w:type="gramEnd"/>
      <w:r w:rsidRPr="009E7B69">
        <w:rPr>
          <w:lang w:val="en-AU"/>
        </w:rPr>
        <w:t xml:space="preserve"> drive home his points and to get his hearers to ask questions and see their world from a new perspective.</w:t>
      </w:r>
      <w:r w:rsidR="00863B47" w:rsidRPr="009E7B69">
        <w:rPr>
          <w:lang w:val="en-AU"/>
        </w:rPr>
        <w:t>”</w:t>
      </w:r>
      <w:r w:rsidRPr="009E7B69">
        <w:rPr>
          <w:rStyle w:val="FootnoteReference"/>
          <w:lang w:val="en-AU"/>
        </w:rPr>
        <w:footnoteReference w:id="569"/>
      </w:r>
      <w:r w:rsidRPr="009E7B69">
        <w:rPr>
          <w:lang w:val="en-AU"/>
        </w:rPr>
        <w:t xml:space="preserve"> </w:t>
      </w:r>
      <w:r w:rsidR="002E1E86" w:rsidRPr="009E7B69">
        <w:rPr>
          <w:lang w:val="en-AU"/>
        </w:rPr>
        <w:t xml:space="preserve">Jesus is therefore not critiquing Rome but trying to shift the paradigm regarding how people respond to authority. </w:t>
      </w:r>
    </w:p>
    <w:p w14:paraId="364E2E91" w14:textId="2D8DD07D" w:rsidR="006540C0" w:rsidRPr="009E7B69" w:rsidRDefault="002E1E86" w:rsidP="00C17934">
      <w:pPr>
        <w:autoSpaceDE w:val="0"/>
        <w:autoSpaceDN w:val="0"/>
        <w:adjustRightInd w:val="0"/>
        <w:spacing w:line="480" w:lineRule="auto"/>
        <w:ind w:firstLine="709"/>
        <w:rPr>
          <w:lang w:val="en-AU"/>
        </w:rPr>
      </w:pPr>
      <w:r w:rsidRPr="009E7B69">
        <w:rPr>
          <w:lang w:val="en-AU"/>
        </w:rPr>
        <w:t xml:space="preserve">There </w:t>
      </w:r>
      <w:r w:rsidR="00052911" w:rsidRPr="009E7B69">
        <w:rPr>
          <w:lang w:val="en-AU"/>
        </w:rPr>
        <w:t>lie</w:t>
      </w:r>
      <w:r w:rsidRPr="009E7B69">
        <w:rPr>
          <w:lang w:val="en-AU"/>
        </w:rPr>
        <w:t>s a new way for a modern application of Matthew 5:41.</w:t>
      </w:r>
      <w:r w:rsidR="005A56D9" w:rsidRPr="009E7B69">
        <w:rPr>
          <w:lang w:val="en-AU"/>
        </w:rPr>
        <w:t xml:space="preserve"> </w:t>
      </w:r>
      <w:r w:rsidRPr="009E7B69">
        <w:rPr>
          <w:lang w:val="en-AU"/>
        </w:rPr>
        <w:t xml:space="preserve">The person compelled to go a mile is no longer </w:t>
      </w:r>
      <w:r w:rsidR="00052911" w:rsidRPr="009E7B69">
        <w:rPr>
          <w:lang w:val="en-AU"/>
        </w:rPr>
        <w:t>the</w:t>
      </w:r>
      <w:r w:rsidRPr="009E7B69">
        <w:rPr>
          <w:lang w:val="en-AU"/>
        </w:rPr>
        <w:t xml:space="preserve"> victim </w:t>
      </w:r>
      <w:r w:rsidR="00844B5F" w:rsidRPr="009E7B69">
        <w:rPr>
          <w:lang w:val="en-AU"/>
        </w:rPr>
        <w:t>of oppression</w:t>
      </w:r>
      <w:r w:rsidRPr="009E7B69">
        <w:rPr>
          <w:lang w:val="en-AU"/>
        </w:rPr>
        <w:t xml:space="preserve">.  The compelled person retains dignity, </w:t>
      </w:r>
      <w:proofErr w:type="gramStart"/>
      <w:r w:rsidR="005A56D9" w:rsidRPr="009E7B69">
        <w:rPr>
          <w:lang w:val="en-AU"/>
        </w:rPr>
        <w:t>self-respec</w:t>
      </w:r>
      <w:r w:rsidR="00844B5F" w:rsidRPr="009E7B69">
        <w:rPr>
          <w:lang w:val="en-AU"/>
        </w:rPr>
        <w:t>t</w:t>
      </w:r>
      <w:proofErr w:type="gramEnd"/>
      <w:r w:rsidR="00844B5F" w:rsidRPr="009E7B69">
        <w:rPr>
          <w:lang w:val="en-AU"/>
        </w:rPr>
        <w:t xml:space="preserve"> and</w:t>
      </w:r>
      <w:r w:rsidRPr="009E7B69">
        <w:rPr>
          <w:lang w:val="en-AU"/>
        </w:rPr>
        <w:t xml:space="preserve"> some </w:t>
      </w:r>
      <w:r w:rsidR="00844B5F" w:rsidRPr="009E7B69">
        <w:rPr>
          <w:lang w:val="en-AU"/>
        </w:rPr>
        <w:t xml:space="preserve">limited </w:t>
      </w:r>
      <w:r w:rsidRPr="009E7B69">
        <w:rPr>
          <w:lang w:val="en-AU"/>
        </w:rPr>
        <w:t>control over the</w:t>
      </w:r>
      <w:r w:rsidR="00585235" w:rsidRPr="009E7B69">
        <w:rPr>
          <w:lang w:val="en-AU"/>
        </w:rPr>
        <w:t xml:space="preserve"> situation</w:t>
      </w:r>
      <w:r w:rsidRPr="009E7B69">
        <w:rPr>
          <w:lang w:val="en-AU"/>
        </w:rPr>
        <w:t xml:space="preserve">. </w:t>
      </w:r>
      <w:r w:rsidR="006540C0" w:rsidRPr="009E7B69">
        <w:rPr>
          <w:lang w:val="en-AU"/>
        </w:rPr>
        <w:t>Wink describes the humo</w:t>
      </w:r>
      <w:r w:rsidR="00905C9D" w:rsidRPr="009E7B69">
        <w:rPr>
          <w:lang w:val="en-AU"/>
        </w:rPr>
        <w:t>u</w:t>
      </w:r>
      <w:r w:rsidR="006540C0" w:rsidRPr="009E7B69">
        <w:rPr>
          <w:lang w:val="en-AU"/>
        </w:rPr>
        <w:t>r in the setting provided by Jesus</w:t>
      </w:r>
      <w:r w:rsidR="00905C9D" w:rsidRPr="009E7B69">
        <w:rPr>
          <w:lang w:val="en-AU"/>
        </w:rPr>
        <w:t>:</w:t>
      </w:r>
      <w:r w:rsidR="006540C0" w:rsidRPr="009E7B69">
        <w:rPr>
          <w:lang w:val="en-AU"/>
        </w:rPr>
        <w:t xml:space="preserve"> </w:t>
      </w:r>
      <w:r w:rsidR="00863B47" w:rsidRPr="009E7B69">
        <w:rPr>
          <w:lang w:val="en-AU"/>
        </w:rPr>
        <w:t>“</w:t>
      </w:r>
      <w:r w:rsidR="006540C0" w:rsidRPr="009E7B69">
        <w:rPr>
          <w:lang w:val="en-AU"/>
        </w:rPr>
        <w:t>Imagine the situation of a Roman infantryman pleading with a Jew to give back his pack! The humor of this scene . . . could scarcely have been lost on Jesus</w:t>
      </w:r>
      <w:r w:rsidR="005C71CB" w:rsidRPr="009E7B69">
        <w:rPr>
          <w:lang w:val="en-AU"/>
        </w:rPr>
        <w:t>’</w:t>
      </w:r>
      <w:r w:rsidR="006D41DD">
        <w:rPr>
          <w:lang w:val="en-AU"/>
        </w:rPr>
        <w:t>s</w:t>
      </w:r>
      <w:r w:rsidR="006540C0" w:rsidRPr="009E7B69">
        <w:rPr>
          <w:lang w:val="en-AU"/>
        </w:rPr>
        <w:t xml:space="preserve"> hearers, who must have been regaled at the prospect of thus discomfiting their oppressors.</w:t>
      </w:r>
      <w:r w:rsidR="00863B47" w:rsidRPr="009E7B69">
        <w:rPr>
          <w:lang w:val="en-AU"/>
        </w:rPr>
        <w:t>”</w:t>
      </w:r>
      <w:r w:rsidR="006540C0" w:rsidRPr="009E7B69">
        <w:rPr>
          <w:rStyle w:val="FootnoteReference"/>
          <w:lang w:val="en-AU"/>
        </w:rPr>
        <w:footnoteReference w:id="570"/>
      </w:r>
      <w:r w:rsidR="005A56D9" w:rsidRPr="009E7B69">
        <w:rPr>
          <w:lang w:val="en-AU"/>
        </w:rPr>
        <w:t xml:space="preserve"> There is a balance between the ruling and the ruled. </w:t>
      </w:r>
      <w:r w:rsidR="006540C0" w:rsidRPr="009E7B69">
        <w:rPr>
          <w:lang w:val="en-AU"/>
        </w:rPr>
        <w:t>France contends</w:t>
      </w:r>
      <w:r w:rsidR="005A56D9" w:rsidRPr="009E7B69">
        <w:rPr>
          <w:lang w:val="en-AU"/>
        </w:rPr>
        <w:t xml:space="preserve"> that the </w:t>
      </w:r>
      <w:r w:rsidR="005A56D9" w:rsidRPr="009E7B69">
        <w:rPr>
          <w:lang w:val="en-AU"/>
        </w:rPr>
        <w:lastRenderedPageBreak/>
        <w:t xml:space="preserve">followers of Jesus </w:t>
      </w:r>
      <w:r w:rsidR="00230CA5" w:rsidRPr="009E7B69">
        <w:rPr>
          <w:lang w:val="en-AU"/>
        </w:rPr>
        <w:t>sh</w:t>
      </w:r>
      <w:r w:rsidR="005A56D9" w:rsidRPr="009E7B69">
        <w:rPr>
          <w:lang w:val="en-AU"/>
        </w:rPr>
        <w:t>ould not look at their rights but focus on the rights and needs of those around them</w:t>
      </w:r>
      <w:r w:rsidR="006540C0" w:rsidRPr="009E7B69">
        <w:rPr>
          <w:lang w:val="en-AU"/>
        </w:rPr>
        <w:t>.</w:t>
      </w:r>
      <w:r w:rsidR="006540C0" w:rsidRPr="009E7B69">
        <w:rPr>
          <w:rStyle w:val="FootnoteReference"/>
          <w:lang w:val="en-AU"/>
        </w:rPr>
        <w:footnoteReference w:id="571"/>
      </w:r>
      <w:r w:rsidR="006540C0" w:rsidRPr="009E7B69">
        <w:rPr>
          <w:lang w:val="en-AU"/>
        </w:rPr>
        <w:t xml:space="preserve"> </w:t>
      </w:r>
      <w:r w:rsidR="005A56D9" w:rsidRPr="009E7B69">
        <w:rPr>
          <w:lang w:val="en-AU"/>
        </w:rPr>
        <w:t xml:space="preserve">It is not a good </w:t>
      </w:r>
      <w:r w:rsidR="00F115C8" w:rsidRPr="009E7B69">
        <w:rPr>
          <w:lang w:val="en-AU"/>
        </w:rPr>
        <w:t>interpretation</w:t>
      </w:r>
      <w:r w:rsidR="005A56D9" w:rsidRPr="009E7B69">
        <w:rPr>
          <w:lang w:val="en-AU"/>
        </w:rPr>
        <w:t xml:space="preserve"> to say that </w:t>
      </w:r>
      <w:r w:rsidR="005C71CB" w:rsidRPr="009E7B69">
        <w:rPr>
          <w:lang w:val="en-AU"/>
        </w:rPr>
        <w:t>‘</w:t>
      </w:r>
      <w:r w:rsidR="005A56D9" w:rsidRPr="009E7B69">
        <w:rPr>
          <w:lang w:val="en-AU"/>
        </w:rPr>
        <w:t>loving your enemy</w:t>
      </w:r>
      <w:r w:rsidR="005C71CB" w:rsidRPr="009E7B69">
        <w:rPr>
          <w:lang w:val="en-AU"/>
        </w:rPr>
        <w:t>’</w:t>
      </w:r>
      <w:r w:rsidR="005A56D9" w:rsidRPr="009E7B69">
        <w:rPr>
          <w:lang w:val="en-AU"/>
        </w:rPr>
        <w:t xml:space="preserve"> would call for you to carry your enemy</w:t>
      </w:r>
      <w:r w:rsidR="005C71CB" w:rsidRPr="009E7B69">
        <w:rPr>
          <w:lang w:val="en-AU"/>
        </w:rPr>
        <w:t>’</w:t>
      </w:r>
      <w:r w:rsidR="005A56D9" w:rsidRPr="009E7B69">
        <w:rPr>
          <w:lang w:val="en-AU"/>
        </w:rPr>
        <w:t xml:space="preserve">s </w:t>
      </w:r>
      <w:r w:rsidR="008645C6" w:rsidRPr="009E7B69">
        <w:rPr>
          <w:lang w:val="en-AU"/>
        </w:rPr>
        <w:t>burden</w:t>
      </w:r>
      <w:r w:rsidR="005A56D9" w:rsidRPr="009E7B69">
        <w:rPr>
          <w:lang w:val="en-AU"/>
        </w:rPr>
        <w:t xml:space="preserve">.  </w:t>
      </w:r>
      <w:r w:rsidR="00F115C8" w:rsidRPr="009E7B69">
        <w:rPr>
          <w:lang w:val="en-AU"/>
        </w:rPr>
        <w:t>You c</w:t>
      </w:r>
      <w:r w:rsidR="007C1E2D" w:rsidRPr="009E7B69">
        <w:rPr>
          <w:lang w:val="en-AU"/>
        </w:rPr>
        <w:t>ould</w:t>
      </w:r>
      <w:r w:rsidR="00F115C8" w:rsidRPr="009E7B69">
        <w:rPr>
          <w:lang w:val="en-AU"/>
        </w:rPr>
        <w:t xml:space="preserve"> refuse to carry someone</w:t>
      </w:r>
      <w:r w:rsidR="005C71CB" w:rsidRPr="009E7B69">
        <w:rPr>
          <w:lang w:val="en-AU"/>
        </w:rPr>
        <w:t>’</w:t>
      </w:r>
      <w:r w:rsidR="00F115C8" w:rsidRPr="009E7B69">
        <w:rPr>
          <w:lang w:val="en-AU"/>
        </w:rPr>
        <w:t>s pack a second mile but still love them.</w:t>
      </w:r>
      <w:r w:rsidR="00295F01" w:rsidRPr="009E7B69">
        <w:rPr>
          <w:lang w:val="en-AU"/>
        </w:rPr>
        <w:t xml:space="preserve"> The way you respond to carrying the pack a second mile determines your character. </w:t>
      </w:r>
      <w:r w:rsidR="00F115C8" w:rsidRPr="009E7B69">
        <w:rPr>
          <w:lang w:val="en-AU"/>
        </w:rPr>
        <w:t xml:space="preserve"> </w:t>
      </w:r>
    </w:p>
    <w:p w14:paraId="4517A61A" w14:textId="069F1B96" w:rsidR="006540C0" w:rsidRPr="009E7B69" w:rsidRDefault="00532284" w:rsidP="00F5340B">
      <w:pPr>
        <w:pStyle w:val="Heading2"/>
      </w:pPr>
      <w:bookmarkStart w:id="176" w:name="_Toc94537038"/>
      <w:bookmarkStart w:id="177" w:name="_Toc118063685"/>
      <w:r w:rsidRPr="009E7B69">
        <w:t>8.</w:t>
      </w:r>
      <w:r w:rsidR="002E1250" w:rsidRPr="009E7B69">
        <w:t>8</w:t>
      </w:r>
      <w:r w:rsidR="006540C0" w:rsidRPr="009E7B69">
        <w:t xml:space="preserve"> Matthew 5:43</w:t>
      </w:r>
      <w:r w:rsidR="00504DF1" w:rsidRPr="009E7B69">
        <w:t>–</w:t>
      </w:r>
      <w:r w:rsidR="006540C0" w:rsidRPr="009E7B69">
        <w:t xml:space="preserve">48 and </w:t>
      </w:r>
      <w:r w:rsidR="00172B87" w:rsidRPr="009E7B69">
        <w:t>Ἀγαπήσεις</w:t>
      </w:r>
      <w:bookmarkEnd w:id="176"/>
      <w:bookmarkEnd w:id="177"/>
    </w:p>
    <w:p w14:paraId="79E04F9F" w14:textId="77777777" w:rsidR="006540C0" w:rsidRPr="009E7B69" w:rsidRDefault="006540C0" w:rsidP="006540C0">
      <w:pPr>
        <w:widowControl w:val="0"/>
        <w:autoSpaceDE w:val="0"/>
        <w:autoSpaceDN w:val="0"/>
        <w:adjustRightInd w:val="0"/>
        <w:ind w:left="706" w:right="706"/>
        <w:mirrorIndents/>
        <w:rPr>
          <w:bCs/>
        </w:rPr>
      </w:pPr>
      <w:r w:rsidRPr="009E7B69">
        <w:rPr>
          <w:bCs/>
        </w:rPr>
        <w:t>Ἠκούσατε ὅτι ἐρρέθη· Ἀγαπήσεις τὸν πλησίον σου καὶ μισήσεις τὸν ἐχθρόν σου</w:t>
      </w:r>
      <w:r w:rsidRPr="009E7B69" w:rsidDel="0030300F">
        <w:rPr>
          <w:bCs/>
        </w:rPr>
        <w:t xml:space="preserve"> </w:t>
      </w:r>
    </w:p>
    <w:p w14:paraId="2D5B8578" w14:textId="77777777" w:rsidR="006540C0" w:rsidRPr="009E7B69" w:rsidRDefault="006540C0" w:rsidP="006540C0">
      <w:pPr>
        <w:widowControl w:val="0"/>
        <w:autoSpaceDE w:val="0"/>
        <w:autoSpaceDN w:val="0"/>
        <w:adjustRightInd w:val="0"/>
        <w:ind w:left="706" w:right="706"/>
        <w:mirrorIndents/>
        <w:rPr>
          <w:bCs/>
        </w:rPr>
      </w:pPr>
      <w:r w:rsidRPr="009E7B69">
        <w:rPr>
          <w:bCs/>
        </w:rPr>
        <w:t>ἐγὼ δὲ λέγω ὑμῖν, ἀγαπᾶτε τοὺς ἐχθροὺς ⸀ὑμῶν καὶ προσεύχεσθε ὑπὲρ ⸀τῶν διωκόντων ὑμᾶς</w:t>
      </w:r>
      <w:r w:rsidRPr="009E7B69" w:rsidDel="0030300F">
        <w:rPr>
          <w:bCs/>
        </w:rPr>
        <w:t xml:space="preserve"> </w:t>
      </w:r>
    </w:p>
    <w:p w14:paraId="2B1C0611" w14:textId="77777777" w:rsidR="006540C0" w:rsidRPr="009E7B69" w:rsidRDefault="006540C0" w:rsidP="006540C0">
      <w:pPr>
        <w:widowControl w:val="0"/>
        <w:autoSpaceDE w:val="0"/>
        <w:autoSpaceDN w:val="0"/>
        <w:adjustRightInd w:val="0"/>
        <w:ind w:left="706" w:right="706"/>
        <w:mirrorIndents/>
        <w:rPr>
          <w:bCs/>
        </w:rPr>
      </w:pPr>
      <w:r w:rsidRPr="009E7B69">
        <w:rPr>
          <w:bCs/>
        </w:rPr>
        <w:t>ὅπως γένησθε υἱοὶ τοῦ πατρὸς ὑμῶν τοῦ ⸀ἐν οὐρανοῖς, ὅτι τὸν ἥλιον αὐτοῦ ἀνατέλλει ἐπὶ πονηροὺς καὶ ἀγαθοὺς καὶ βρέχει ἐπὶ δικαίους καὶ ἀδίκους</w:t>
      </w:r>
    </w:p>
    <w:p w14:paraId="6D2179DD" w14:textId="77777777" w:rsidR="006540C0" w:rsidRPr="009E7B69" w:rsidRDefault="006540C0" w:rsidP="006540C0">
      <w:pPr>
        <w:widowControl w:val="0"/>
        <w:autoSpaceDE w:val="0"/>
        <w:autoSpaceDN w:val="0"/>
        <w:adjustRightInd w:val="0"/>
        <w:ind w:left="706" w:right="706"/>
        <w:mirrorIndents/>
        <w:rPr>
          <w:bCs/>
        </w:rPr>
      </w:pPr>
      <w:r w:rsidRPr="009E7B69">
        <w:rPr>
          <w:bCs/>
        </w:rPr>
        <w:t>ἐὰν γὰρ ἀγαπήσητε τοὺς ἀγαπῶντας ὑμᾶς, τίνα μισθὸν ἔχετε; οὐχὶ καὶ οἱ τελῶναι ⸂τὸ αὐτὸ⸃ ποιοῦσιν</w:t>
      </w:r>
    </w:p>
    <w:p w14:paraId="384CFC43" w14:textId="77777777" w:rsidR="006540C0" w:rsidRPr="009E7B69" w:rsidRDefault="006540C0" w:rsidP="006540C0">
      <w:pPr>
        <w:widowControl w:val="0"/>
        <w:autoSpaceDE w:val="0"/>
        <w:autoSpaceDN w:val="0"/>
        <w:adjustRightInd w:val="0"/>
        <w:ind w:left="706" w:right="706"/>
        <w:mirrorIndents/>
        <w:rPr>
          <w:bCs/>
        </w:rPr>
      </w:pPr>
      <w:r w:rsidRPr="009E7B69">
        <w:rPr>
          <w:bCs/>
        </w:rPr>
        <w:t>καὶ ἐὰν ἀσπάσησθε τοὺς ⸀ἀδελφοὺς ὑμῶν μόνον, τί περισσὸν ποιεῖτε; οὐχὶ καὶ οἱ ⸀ἐθνικοὶ ⸂τὸ αὐτὸ⸃ ποιοῦσιν</w:t>
      </w:r>
    </w:p>
    <w:p w14:paraId="728F1716" w14:textId="4E8A24F2" w:rsidR="00D25D36" w:rsidRPr="009E7B69" w:rsidRDefault="006540C0" w:rsidP="006540C0">
      <w:pPr>
        <w:widowControl w:val="0"/>
        <w:autoSpaceDE w:val="0"/>
        <w:autoSpaceDN w:val="0"/>
        <w:adjustRightInd w:val="0"/>
        <w:ind w:left="706" w:right="706"/>
        <w:mirrorIndents/>
        <w:rPr>
          <w:bCs/>
        </w:rPr>
      </w:pPr>
      <w:r w:rsidRPr="009E7B69">
        <w:rPr>
          <w:bCs/>
        </w:rPr>
        <w:t>Ἔσεσθε οὖν ὑμεῖς τέλειοι ⸀ὡς ὁ πατὴρ ὑμῶν ὁ ⸀οὐράνιος τέλειός ἐστιν</w:t>
      </w:r>
    </w:p>
    <w:p w14:paraId="02CC9014" w14:textId="404E4364" w:rsidR="006540C0" w:rsidRPr="00FB551B" w:rsidRDefault="006540C0" w:rsidP="006540C0">
      <w:pPr>
        <w:ind w:left="706" w:right="706"/>
        <w:mirrorIndents/>
        <w:rPr>
          <w:lang w:val="en-AU"/>
        </w:rPr>
      </w:pPr>
      <w:r w:rsidRPr="009E7B69">
        <w:t>43 </w:t>
      </w:r>
      <w:r w:rsidR="00FB551B">
        <w:t>“</w:t>
      </w:r>
      <w:r w:rsidRPr="00FB551B">
        <w:rPr>
          <w:lang w:val="en-AU"/>
        </w:rPr>
        <w:t xml:space="preserve">You have heard that it was said, </w:t>
      </w:r>
      <w:r w:rsidR="00863B47" w:rsidRPr="00FB551B">
        <w:rPr>
          <w:lang w:val="en-AU"/>
        </w:rPr>
        <w:t>“</w:t>
      </w:r>
      <w:r w:rsidRPr="00FB551B">
        <w:rPr>
          <w:lang w:val="en-AU"/>
        </w:rPr>
        <w:t xml:space="preserve">You shall love your </w:t>
      </w:r>
      <w:r w:rsidR="002123A9" w:rsidRPr="00FB551B">
        <w:rPr>
          <w:lang w:val="en-AU"/>
        </w:rPr>
        <w:t>neighbour</w:t>
      </w:r>
      <w:r w:rsidRPr="00FB551B">
        <w:rPr>
          <w:lang w:val="en-AU"/>
        </w:rPr>
        <w:t xml:space="preserve"> and hate your enemy.</w:t>
      </w:r>
      <w:r w:rsidR="005C71CB" w:rsidRPr="00FB551B">
        <w:rPr>
          <w:lang w:val="en-AU"/>
        </w:rPr>
        <w:t>’</w:t>
      </w:r>
    </w:p>
    <w:p w14:paraId="7CC0068F" w14:textId="77777777" w:rsidR="006540C0" w:rsidRPr="00FB551B" w:rsidRDefault="006540C0" w:rsidP="006540C0">
      <w:pPr>
        <w:ind w:left="706" w:right="706"/>
        <w:mirrorIndents/>
        <w:rPr>
          <w:lang w:val="en-AU"/>
        </w:rPr>
      </w:pPr>
      <w:r w:rsidRPr="00FB551B">
        <w:rPr>
          <w:lang w:val="en-AU"/>
        </w:rPr>
        <w:t xml:space="preserve">44 But I say to you, </w:t>
      </w:r>
      <w:proofErr w:type="gramStart"/>
      <w:r w:rsidRPr="00FB551B">
        <w:rPr>
          <w:lang w:val="en-AU"/>
        </w:rPr>
        <w:t>Love</w:t>
      </w:r>
      <w:proofErr w:type="gramEnd"/>
      <w:r w:rsidRPr="00FB551B">
        <w:rPr>
          <w:lang w:val="en-AU"/>
        </w:rPr>
        <w:t xml:space="preserve"> your enemies and pray for those who persecute you,</w:t>
      </w:r>
    </w:p>
    <w:p w14:paraId="6DC89E19" w14:textId="77777777" w:rsidR="006540C0" w:rsidRPr="00FB551B" w:rsidRDefault="006540C0" w:rsidP="006540C0">
      <w:pPr>
        <w:ind w:left="706" w:right="706"/>
        <w:mirrorIndents/>
        <w:rPr>
          <w:lang w:val="en-AU"/>
        </w:rPr>
      </w:pPr>
      <w:r w:rsidRPr="00FB551B">
        <w:rPr>
          <w:lang w:val="en-AU"/>
        </w:rPr>
        <w:t xml:space="preserve">45 so that you may be children of your Father in heaven; for he makes his sun rise on the evil and on the </w:t>
      </w:r>
      <w:proofErr w:type="gramStart"/>
      <w:r w:rsidRPr="00FB551B">
        <w:rPr>
          <w:lang w:val="en-AU"/>
        </w:rPr>
        <w:t>good, and</w:t>
      </w:r>
      <w:proofErr w:type="gramEnd"/>
      <w:r w:rsidRPr="00FB551B">
        <w:rPr>
          <w:lang w:val="en-AU"/>
        </w:rPr>
        <w:t xml:space="preserve"> sends rain on the righteous and on the unrighteous.</w:t>
      </w:r>
    </w:p>
    <w:p w14:paraId="4466297B" w14:textId="77777777" w:rsidR="006540C0" w:rsidRPr="00FB551B" w:rsidRDefault="006540C0" w:rsidP="006540C0">
      <w:pPr>
        <w:ind w:left="706" w:right="706"/>
        <w:mirrorIndents/>
        <w:rPr>
          <w:lang w:val="en-AU"/>
        </w:rPr>
      </w:pPr>
      <w:r w:rsidRPr="00FB551B">
        <w:rPr>
          <w:lang w:val="en-AU"/>
        </w:rPr>
        <w:t>46 For if you love those who love you, what reward do you have? Do not even the tax collectors do the same?</w:t>
      </w:r>
    </w:p>
    <w:p w14:paraId="1E522C07" w14:textId="77777777" w:rsidR="006540C0" w:rsidRPr="00FB551B" w:rsidRDefault="006540C0" w:rsidP="006540C0">
      <w:pPr>
        <w:ind w:left="706" w:right="706"/>
        <w:mirrorIndents/>
        <w:rPr>
          <w:lang w:val="en-AU"/>
        </w:rPr>
      </w:pPr>
      <w:r w:rsidRPr="00FB551B">
        <w:rPr>
          <w:lang w:val="en-AU"/>
        </w:rPr>
        <w:t>47 And if you greet only your brothers and sisters, what more are you doing than others? Do not even the Gentiles do the same?</w:t>
      </w:r>
    </w:p>
    <w:p w14:paraId="7675AA6A" w14:textId="5DC5F550" w:rsidR="00D25D36" w:rsidRPr="00FB551B" w:rsidRDefault="006540C0" w:rsidP="006540C0">
      <w:pPr>
        <w:ind w:left="706" w:right="706"/>
        <w:mirrorIndents/>
        <w:rPr>
          <w:lang w:val="en-AU"/>
        </w:rPr>
      </w:pPr>
      <w:r w:rsidRPr="00FB551B">
        <w:rPr>
          <w:lang w:val="en-AU"/>
        </w:rPr>
        <w:t>48 Be perfect, therefore, as your heavenly Father is perfect.</w:t>
      </w:r>
      <w:r w:rsidR="00863B47" w:rsidRPr="00FB551B">
        <w:rPr>
          <w:lang w:val="en-AU"/>
        </w:rPr>
        <w:t>”</w:t>
      </w:r>
    </w:p>
    <w:p w14:paraId="231AE865" w14:textId="77777777" w:rsidR="00225D29" w:rsidRPr="00FB551B" w:rsidRDefault="00225D29" w:rsidP="006540C0">
      <w:pPr>
        <w:widowControl w:val="0"/>
        <w:autoSpaceDE w:val="0"/>
        <w:autoSpaceDN w:val="0"/>
        <w:adjustRightInd w:val="0"/>
        <w:spacing w:line="480" w:lineRule="auto"/>
        <w:ind w:firstLine="720"/>
        <w:rPr>
          <w:lang w:val="en-AU"/>
        </w:rPr>
      </w:pPr>
    </w:p>
    <w:p w14:paraId="2CD48B2A" w14:textId="1D5D65E6" w:rsidR="006540C0" w:rsidRPr="00FB551B" w:rsidRDefault="00F115C8" w:rsidP="006540C0">
      <w:pPr>
        <w:widowControl w:val="0"/>
        <w:autoSpaceDE w:val="0"/>
        <w:autoSpaceDN w:val="0"/>
        <w:adjustRightInd w:val="0"/>
        <w:spacing w:line="480" w:lineRule="auto"/>
        <w:ind w:firstLine="720"/>
        <w:rPr>
          <w:bCs/>
          <w:lang w:val="en-AU"/>
        </w:rPr>
      </w:pPr>
      <w:r w:rsidRPr="00FB551B">
        <w:rPr>
          <w:lang w:val="en-AU"/>
        </w:rPr>
        <w:t xml:space="preserve">The passages </w:t>
      </w:r>
      <w:r w:rsidR="000D7BBB" w:rsidRPr="00FB551B">
        <w:rPr>
          <w:lang w:val="en-AU"/>
        </w:rPr>
        <w:t>about</w:t>
      </w:r>
      <w:r w:rsidRPr="00FB551B">
        <w:rPr>
          <w:lang w:val="en-AU"/>
        </w:rPr>
        <w:t xml:space="preserve"> loving </w:t>
      </w:r>
      <w:r w:rsidR="000D7BBB" w:rsidRPr="00FB551B">
        <w:rPr>
          <w:lang w:val="en-AU"/>
        </w:rPr>
        <w:t>one</w:t>
      </w:r>
      <w:r w:rsidR="005C71CB" w:rsidRPr="00FB551B">
        <w:rPr>
          <w:lang w:val="en-AU"/>
        </w:rPr>
        <w:t>’</w:t>
      </w:r>
      <w:r w:rsidR="000D7BBB" w:rsidRPr="00FB551B">
        <w:rPr>
          <w:lang w:val="en-AU"/>
        </w:rPr>
        <w:t>s</w:t>
      </w:r>
      <w:r w:rsidRPr="00FB551B">
        <w:rPr>
          <w:lang w:val="en-AU"/>
        </w:rPr>
        <w:t xml:space="preserve"> enemy and how you lov</w:t>
      </w:r>
      <w:r w:rsidR="001901D9" w:rsidRPr="00FB551B">
        <w:rPr>
          <w:lang w:val="en-AU"/>
        </w:rPr>
        <w:t>e</w:t>
      </w:r>
      <w:r w:rsidRPr="00FB551B">
        <w:rPr>
          <w:lang w:val="en-AU"/>
        </w:rPr>
        <w:t xml:space="preserve"> your enemy are part of that definition of love</w:t>
      </w:r>
      <w:r w:rsidR="008E0B1D" w:rsidRPr="00FB551B">
        <w:rPr>
          <w:lang w:val="en-AU"/>
        </w:rPr>
        <w:t xml:space="preserve"> found in the Sermon</w:t>
      </w:r>
      <w:r w:rsidR="00CD3823" w:rsidRPr="00FB551B">
        <w:rPr>
          <w:lang w:val="en-AU"/>
        </w:rPr>
        <w:t xml:space="preserve"> on the Mount</w:t>
      </w:r>
      <w:r w:rsidRPr="00FB551B">
        <w:rPr>
          <w:lang w:val="en-AU"/>
        </w:rPr>
        <w:t>.</w:t>
      </w:r>
      <w:r w:rsidR="008E0B1D" w:rsidRPr="00FB551B">
        <w:rPr>
          <w:lang w:val="en-AU"/>
        </w:rPr>
        <w:t xml:space="preserve"> </w:t>
      </w:r>
      <w:r w:rsidR="00A32C31" w:rsidRPr="00FB551B">
        <w:rPr>
          <w:lang w:val="en-AU"/>
        </w:rPr>
        <w:t>It</w:t>
      </w:r>
      <w:r w:rsidR="008E0B1D" w:rsidRPr="00FB551B">
        <w:rPr>
          <w:lang w:val="en-AU"/>
        </w:rPr>
        <w:t xml:space="preserve"> is no </w:t>
      </w:r>
      <w:r w:rsidR="00AC0F60" w:rsidRPr="00FB551B">
        <w:rPr>
          <w:lang w:val="en-AU"/>
        </w:rPr>
        <w:t>coincidence</w:t>
      </w:r>
      <w:r w:rsidR="008E0B1D" w:rsidRPr="00FB551B">
        <w:rPr>
          <w:lang w:val="en-AU"/>
        </w:rPr>
        <w:t xml:space="preserve"> that these verses </w:t>
      </w:r>
      <w:r w:rsidR="00A32C31" w:rsidRPr="00FB551B">
        <w:rPr>
          <w:lang w:val="en-AU"/>
        </w:rPr>
        <w:t>about</w:t>
      </w:r>
      <w:r w:rsidR="008E0B1D" w:rsidRPr="00FB551B">
        <w:rPr>
          <w:lang w:val="en-AU"/>
        </w:rPr>
        <w:t xml:space="preserve"> love are found after </w:t>
      </w:r>
      <w:r w:rsidR="001901D9" w:rsidRPr="00FB551B">
        <w:rPr>
          <w:lang w:val="en-AU"/>
        </w:rPr>
        <w:t xml:space="preserve">Jesus </w:t>
      </w:r>
      <w:r w:rsidR="008E0B1D" w:rsidRPr="00FB551B">
        <w:rPr>
          <w:lang w:val="en-AU"/>
        </w:rPr>
        <w:t xml:space="preserve">explores turning the other cheek and walking the extra mile. </w:t>
      </w:r>
      <w:r w:rsidR="006540C0" w:rsidRPr="00FB551B">
        <w:rPr>
          <w:lang w:val="en-AU"/>
        </w:rPr>
        <w:t>Matthew 5:43</w:t>
      </w:r>
      <w:r w:rsidR="00A330F3" w:rsidRPr="00FB551B">
        <w:rPr>
          <w:lang w:val="en-AU"/>
        </w:rPr>
        <w:t>–</w:t>
      </w:r>
      <w:r w:rsidR="006540C0" w:rsidRPr="00FB551B">
        <w:rPr>
          <w:lang w:val="en-AU"/>
        </w:rPr>
        <w:t>48</w:t>
      </w:r>
      <w:r w:rsidR="008E0B1D" w:rsidRPr="00FB551B">
        <w:rPr>
          <w:lang w:val="en-AU"/>
        </w:rPr>
        <w:t xml:space="preserve"> provides an example of love connected to </w:t>
      </w:r>
      <w:r w:rsidR="001901D9" w:rsidRPr="00FB551B">
        <w:rPr>
          <w:lang w:val="en-AU"/>
        </w:rPr>
        <w:t>reconciliation</w:t>
      </w:r>
      <w:r w:rsidR="008E0B1D" w:rsidRPr="00FB551B">
        <w:rPr>
          <w:lang w:val="en-AU"/>
        </w:rPr>
        <w:t xml:space="preserve">. </w:t>
      </w:r>
      <w:r w:rsidR="006540C0" w:rsidRPr="00FB551B">
        <w:rPr>
          <w:lang w:val="en-AU"/>
        </w:rPr>
        <w:t xml:space="preserve"> </w:t>
      </w:r>
      <w:r w:rsidR="008E0B1D" w:rsidRPr="00FB551B">
        <w:rPr>
          <w:lang w:val="en-AU"/>
        </w:rPr>
        <w:t>As the sixth antithesis in the Sermon, the literary form and structure follow</w:t>
      </w:r>
      <w:r w:rsidR="00A330F3" w:rsidRPr="00FB551B">
        <w:rPr>
          <w:lang w:val="en-AU"/>
        </w:rPr>
        <w:t xml:space="preserve"> </w:t>
      </w:r>
      <w:r w:rsidR="00E97845" w:rsidRPr="00FB551B">
        <w:rPr>
          <w:lang w:val="en-AU"/>
        </w:rPr>
        <w:t xml:space="preserve">the </w:t>
      </w:r>
      <w:r w:rsidR="008E0B1D" w:rsidRPr="00FB551B">
        <w:rPr>
          <w:lang w:val="en-AU"/>
        </w:rPr>
        <w:t>t</w:t>
      </w:r>
      <w:r w:rsidR="006540C0" w:rsidRPr="00FB551B">
        <w:rPr>
          <w:bCs/>
          <w:lang w:val="en-AU"/>
        </w:rPr>
        <w:t xml:space="preserve">raditional antithetical </w:t>
      </w:r>
      <w:r w:rsidR="006540C0" w:rsidRPr="00FB551B">
        <w:rPr>
          <w:bCs/>
          <w:lang w:val="en-AU"/>
        </w:rPr>
        <w:lastRenderedPageBreak/>
        <w:t xml:space="preserve">rhythm </w:t>
      </w:r>
      <w:r w:rsidR="008E0B1D" w:rsidRPr="00FB551B">
        <w:rPr>
          <w:bCs/>
          <w:lang w:val="en-AU"/>
        </w:rPr>
        <w:t xml:space="preserve">seen in the </w:t>
      </w:r>
      <w:r w:rsidR="006540C0" w:rsidRPr="00FB551B">
        <w:rPr>
          <w:bCs/>
          <w:i/>
          <w:iCs/>
          <w:lang w:val="en-AU"/>
        </w:rPr>
        <w:t>midrash</w:t>
      </w:r>
      <w:r w:rsidR="006540C0" w:rsidRPr="00FB551B">
        <w:rPr>
          <w:bCs/>
          <w:lang w:val="en-AU"/>
        </w:rPr>
        <w:t>.</w:t>
      </w:r>
      <w:r w:rsidR="006540C0" w:rsidRPr="00FB551B">
        <w:rPr>
          <w:rStyle w:val="FootnoteReference"/>
          <w:bCs/>
          <w:lang w:val="en-AU"/>
        </w:rPr>
        <w:footnoteReference w:id="572"/>
      </w:r>
      <w:r w:rsidR="006540C0" w:rsidRPr="00FB551B">
        <w:rPr>
          <w:bCs/>
          <w:lang w:val="en-AU"/>
        </w:rPr>
        <w:t xml:space="preserve"> </w:t>
      </w:r>
      <w:r w:rsidR="00AC0F60" w:rsidRPr="00FB551B">
        <w:rPr>
          <w:bCs/>
          <w:lang w:val="en-AU"/>
        </w:rPr>
        <w:t xml:space="preserve">These sayings are the oral traditions of the era of Jesus, according to </w:t>
      </w:r>
      <w:r w:rsidR="006540C0" w:rsidRPr="00FB551B">
        <w:rPr>
          <w:lang w:val="en-AU"/>
        </w:rPr>
        <w:t>Francois P. Viljoen</w:t>
      </w:r>
      <w:r w:rsidR="00AC0F60" w:rsidRPr="00FB551B">
        <w:rPr>
          <w:lang w:val="en-AU"/>
        </w:rPr>
        <w:t xml:space="preserve">, who </w:t>
      </w:r>
      <w:r w:rsidR="006540C0" w:rsidRPr="00FB551B">
        <w:rPr>
          <w:lang w:val="en-AU"/>
        </w:rPr>
        <w:t>contends that Jesus refers only to the Mosaic Law and the oral traditions of the scribes and Pharisees.</w:t>
      </w:r>
      <w:r w:rsidR="006540C0" w:rsidRPr="00FB551B">
        <w:rPr>
          <w:rStyle w:val="FootnoteReference"/>
          <w:lang w:val="en-AU"/>
        </w:rPr>
        <w:footnoteReference w:id="573"/>
      </w:r>
      <w:r w:rsidR="006540C0" w:rsidRPr="00FB551B">
        <w:rPr>
          <w:lang w:val="en-AU"/>
        </w:rPr>
        <w:t xml:space="preserve"> </w:t>
      </w:r>
      <w:r w:rsidR="00AC0F60" w:rsidRPr="00FB551B">
        <w:rPr>
          <w:lang w:val="en-AU"/>
        </w:rPr>
        <w:t xml:space="preserve">The </w:t>
      </w:r>
      <w:r w:rsidR="00E97845" w:rsidRPr="00FB551B">
        <w:rPr>
          <w:lang w:val="en-AU"/>
        </w:rPr>
        <w:t>saying</w:t>
      </w:r>
      <w:r w:rsidR="00AC0F60" w:rsidRPr="00FB551B">
        <w:rPr>
          <w:lang w:val="en-AU"/>
        </w:rPr>
        <w:t xml:space="preserve">s of the Sermon are not a response to the Old Testament and Hebrew Bible.  </w:t>
      </w:r>
      <w:r w:rsidR="006540C0" w:rsidRPr="00FB551B">
        <w:rPr>
          <w:lang w:val="en-AU"/>
        </w:rPr>
        <w:t xml:space="preserve">Günther Bornkamm </w:t>
      </w:r>
      <w:r w:rsidR="00AC0F60" w:rsidRPr="00FB551B">
        <w:rPr>
          <w:lang w:val="en-AU"/>
        </w:rPr>
        <w:t>believes that all the six</w:t>
      </w:r>
      <w:r w:rsidR="006540C0" w:rsidRPr="00FB551B">
        <w:rPr>
          <w:lang w:val="en-AU"/>
        </w:rPr>
        <w:t xml:space="preserve"> antitheses </w:t>
      </w:r>
      <w:r w:rsidR="00AC0F60" w:rsidRPr="00FB551B">
        <w:rPr>
          <w:lang w:val="en-AU"/>
        </w:rPr>
        <w:t xml:space="preserve">are responses to the Rabbinate, as a form of </w:t>
      </w:r>
      <w:r w:rsidR="00AC0F60" w:rsidRPr="00FB551B">
        <w:rPr>
          <w:i/>
          <w:iCs/>
          <w:lang w:val="en-AU"/>
        </w:rPr>
        <w:t>Midrash</w:t>
      </w:r>
      <w:r w:rsidR="006540C0" w:rsidRPr="00FB551B">
        <w:rPr>
          <w:lang w:val="en-AU"/>
        </w:rPr>
        <w:t>.</w:t>
      </w:r>
      <w:r w:rsidR="006540C0" w:rsidRPr="00FB551B">
        <w:rPr>
          <w:rStyle w:val="FootnoteReference"/>
          <w:lang w:val="en-AU"/>
        </w:rPr>
        <w:footnoteReference w:id="574"/>
      </w:r>
      <w:r w:rsidR="006540C0" w:rsidRPr="00FB551B">
        <w:rPr>
          <w:lang w:val="en-AU"/>
        </w:rPr>
        <w:t xml:space="preserve"> </w:t>
      </w:r>
      <w:r w:rsidR="00AC0F60" w:rsidRPr="00FB551B">
        <w:rPr>
          <w:lang w:val="en-AU"/>
        </w:rPr>
        <w:t>Th</w:t>
      </w:r>
      <w:r w:rsidR="00F76587" w:rsidRPr="00FB551B">
        <w:rPr>
          <w:lang w:val="en-AU"/>
        </w:rPr>
        <w:t>e</w:t>
      </w:r>
      <w:r w:rsidR="001901D9" w:rsidRPr="00FB551B">
        <w:rPr>
          <w:lang w:val="en-AU"/>
        </w:rPr>
        <w:t xml:space="preserve"> </w:t>
      </w:r>
      <w:r w:rsidR="00F76587" w:rsidRPr="00FB551B">
        <w:rPr>
          <w:i/>
          <w:iCs/>
          <w:lang w:val="en-AU"/>
        </w:rPr>
        <w:t>Midrash</w:t>
      </w:r>
      <w:r w:rsidR="00F76587" w:rsidRPr="00FB551B">
        <w:rPr>
          <w:lang w:val="en-AU"/>
        </w:rPr>
        <w:t xml:space="preserve"> </w:t>
      </w:r>
      <w:r w:rsidR="001901D9" w:rsidRPr="00FB551B">
        <w:rPr>
          <w:lang w:val="en-AU"/>
        </w:rPr>
        <w:t xml:space="preserve">is </w:t>
      </w:r>
      <w:r w:rsidR="00AC0F60" w:rsidRPr="00FB551B">
        <w:rPr>
          <w:lang w:val="en-AU"/>
        </w:rPr>
        <w:t>not revoking the Torah but embracing it</w:t>
      </w:r>
      <w:r w:rsidR="001363AE" w:rsidRPr="00FB551B">
        <w:rPr>
          <w:lang w:val="en-AU"/>
        </w:rPr>
        <w:t xml:space="preserve"> fully</w:t>
      </w:r>
      <w:r w:rsidR="00AC0F60" w:rsidRPr="00FB551B">
        <w:rPr>
          <w:lang w:val="en-AU"/>
        </w:rPr>
        <w:t xml:space="preserve">, according to </w:t>
      </w:r>
      <w:r w:rsidR="006540C0" w:rsidRPr="00FB551B">
        <w:rPr>
          <w:lang w:val="en-AU"/>
        </w:rPr>
        <w:t>Overman and Ridderbos.</w:t>
      </w:r>
      <w:r w:rsidR="006540C0" w:rsidRPr="00FB551B">
        <w:rPr>
          <w:rStyle w:val="FootnoteReference"/>
          <w:lang w:val="en-AU"/>
        </w:rPr>
        <w:footnoteReference w:id="575"/>
      </w:r>
    </w:p>
    <w:p w14:paraId="67D0C035" w14:textId="34842028" w:rsidR="00E97292" w:rsidRPr="00FB551B" w:rsidRDefault="00E05921" w:rsidP="00407ACF">
      <w:pPr>
        <w:widowControl w:val="0"/>
        <w:autoSpaceDE w:val="0"/>
        <w:autoSpaceDN w:val="0"/>
        <w:adjustRightInd w:val="0"/>
        <w:spacing w:line="480" w:lineRule="auto"/>
        <w:ind w:firstLine="720"/>
        <w:rPr>
          <w:lang w:val="en-AU"/>
        </w:rPr>
      </w:pPr>
      <w:r w:rsidRPr="00FB551B">
        <w:rPr>
          <w:bCs/>
          <w:lang w:val="en-AU"/>
        </w:rPr>
        <w:t>Matthew 5:38</w:t>
      </w:r>
      <w:r w:rsidR="002B72B7" w:rsidRPr="00FB551B">
        <w:rPr>
          <w:bCs/>
          <w:lang w:val="en-AU"/>
        </w:rPr>
        <w:t>–</w:t>
      </w:r>
      <w:r w:rsidRPr="00FB551B">
        <w:rPr>
          <w:bCs/>
          <w:lang w:val="en-AU"/>
        </w:rPr>
        <w:t>42 helps frame the disc</w:t>
      </w:r>
      <w:r w:rsidR="002B72B7" w:rsidRPr="00FB551B">
        <w:rPr>
          <w:bCs/>
          <w:lang w:val="en-AU"/>
        </w:rPr>
        <w:t>ourse</w:t>
      </w:r>
      <w:r w:rsidRPr="00FB551B">
        <w:rPr>
          <w:bCs/>
          <w:lang w:val="en-AU"/>
        </w:rPr>
        <w:t xml:space="preserve"> </w:t>
      </w:r>
      <w:r w:rsidR="002B72B7" w:rsidRPr="00FB551B">
        <w:rPr>
          <w:bCs/>
          <w:lang w:val="en-AU"/>
        </w:rPr>
        <w:t xml:space="preserve">in </w:t>
      </w:r>
      <w:r w:rsidR="006540C0" w:rsidRPr="00FB551B">
        <w:rPr>
          <w:bCs/>
          <w:lang w:val="en-AU"/>
        </w:rPr>
        <w:t>Matthew 5:43</w:t>
      </w:r>
      <w:r w:rsidR="002B72B7" w:rsidRPr="00FB551B">
        <w:rPr>
          <w:bCs/>
          <w:lang w:val="en-AU"/>
        </w:rPr>
        <w:t>–</w:t>
      </w:r>
      <w:r w:rsidR="006540C0" w:rsidRPr="00FB551B">
        <w:rPr>
          <w:bCs/>
          <w:lang w:val="en-AU"/>
        </w:rPr>
        <w:t>48</w:t>
      </w:r>
      <w:r w:rsidR="002A722B" w:rsidRPr="00FB551B">
        <w:rPr>
          <w:bCs/>
          <w:lang w:val="en-AU"/>
        </w:rPr>
        <w:t xml:space="preserve"> about</w:t>
      </w:r>
      <w:r w:rsidR="006540C0" w:rsidRPr="00FB551B">
        <w:rPr>
          <w:bCs/>
          <w:lang w:val="en-AU"/>
        </w:rPr>
        <w:t xml:space="preserve"> </w:t>
      </w:r>
      <w:r w:rsidR="002A722B" w:rsidRPr="00FB551B">
        <w:rPr>
          <w:bCs/>
          <w:lang w:val="en-AU"/>
        </w:rPr>
        <w:t>l</w:t>
      </w:r>
      <w:r w:rsidRPr="00FB551B">
        <w:rPr>
          <w:bCs/>
          <w:lang w:val="en-AU"/>
        </w:rPr>
        <w:t xml:space="preserve">oving your </w:t>
      </w:r>
      <w:r w:rsidR="003C6D0C" w:rsidRPr="00FB551B">
        <w:rPr>
          <w:bCs/>
          <w:lang w:val="en-AU"/>
        </w:rPr>
        <w:t>enemy</w:t>
      </w:r>
      <w:r w:rsidRPr="00FB551B">
        <w:rPr>
          <w:bCs/>
          <w:lang w:val="en-AU"/>
        </w:rPr>
        <w:t xml:space="preserve"> </w:t>
      </w:r>
      <w:r w:rsidR="002A722B" w:rsidRPr="00FB551B">
        <w:rPr>
          <w:bCs/>
          <w:lang w:val="en-AU"/>
        </w:rPr>
        <w:t>as well as</w:t>
      </w:r>
      <w:r w:rsidRPr="00FB551B">
        <w:rPr>
          <w:bCs/>
          <w:lang w:val="en-AU"/>
        </w:rPr>
        <w:t xml:space="preserve"> loving your </w:t>
      </w:r>
      <w:r w:rsidR="002123A9" w:rsidRPr="00FB551B">
        <w:rPr>
          <w:bCs/>
          <w:lang w:val="en-AU"/>
        </w:rPr>
        <w:t>neighbour</w:t>
      </w:r>
      <w:r w:rsidR="002A722B" w:rsidRPr="00FB551B">
        <w:rPr>
          <w:bCs/>
          <w:lang w:val="en-AU"/>
        </w:rPr>
        <w:t>. In</w:t>
      </w:r>
      <w:r w:rsidR="00174246" w:rsidRPr="00FB551B">
        <w:rPr>
          <w:bCs/>
          <w:lang w:val="en-AU"/>
        </w:rPr>
        <w:t xml:space="preserve"> </w:t>
      </w:r>
      <w:r w:rsidR="006540C0" w:rsidRPr="00FB551B">
        <w:rPr>
          <w:bCs/>
          <w:lang w:val="en-AU"/>
        </w:rPr>
        <w:t>Matthew 5:43</w:t>
      </w:r>
      <w:r w:rsidR="00001AEA" w:rsidRPr="00FB551B">
        <w:rPr>
          <w:bCs/>
          <w:lang w:val="en-AU"/>
        </w:rPr>
        <w:t xml:space="preserve">–44, </w:t>
      </w:r>
      <w:r w:rsidR="002A722B" w:rsidRPr="00FB551B">
        <w:rPr>
          <w:bCs/>
          <w:lang w:val="en-AU"/>
        </w:rPr>
        <w:t>Jesus says</w:t>
      </w:r>
      <w:r w:rsidR="006540C0" w:rsidRPr="00FB551B">
        <w:rPr>
          <w:bCs/>
          <w:lang w:val="en-AU"/>
        </w:rPr>
        <w:t xml:space="preserve">, </w:t>
      </w:r>
      <w:r w:rsidR="00863B47" w:rsidRPr="00FB551B">
        <w:rPr>
          <w:bCs/>
          <w:lang w:val="en-AU"/>
        </w:rPr>
        <w:t>“</w:t>
      </w:r>
      <w:r w:rsidR="006540C0" w:rsidRPr="00FB551B">
        <w:rPr>
          <w:lang w:val="en-AU"/>
        </w:rPr>
        <w:t xml:space="preserve">You have heard that it was said, </w:t>
      </w:r>
      <w:r w:rsidR="005C71CB" w:rsidRPr="00FB551B">
        <w:rPr>
          <w:lang w:val="en-AU"/>
        </w:rPr>
        <w:t>‘</w:t>
      </w:r>
      <w:r w:rsidR="009B7C97" w:rsidRPr="00FB551B">
        <w:rPr>
          <w:lang w:val="en-AU"/>
        </w:rPr>
        <w:t>Y</w:t>
      </w:r>
      <w:r w:rsidR="006540C0" w:rsidRPr="00FB551B">
        <w:rPr>
          <w:lang w:val="en-AU"/>
        </w:rPr>
        <w:t xml:space="preserve">ou shall love your </w:t>
      </w:r>
      <w:r w:rsidR="002123A9" w:rsidRPr="00FB551B">
        <w:rPr>
          <w:lang w:val="en-AU"/>
        </w:rPr>
        <w:t>neighbour</w:t>
      </w:r>
      <w:r w:rsidR="006540C0" w:rsidRPr="00FB551B">
        <w:rPr>
          <w:lang w:val="en-AU"/>
        </w:rPr>
        <w:t xml:space="preserve"> and hate your enemy</w:t>
      </w:r>
      <w:r w:rsidR="00001AEA" w:rsidRPr="00FB551B">
        <w:rPr>
          <w:lang w:val="en-AU"/>
        </w:rPr>
        <w:t>.</w:t>
      </w:r>
      <w:r w:rsidR="005C71CB" w:rsidRPr="00FB551B">
        <w:rPr>
          <w:lang w:val="en-AU"/>
        </w:rPr>
        <w:t>’</w:t>
      </w:r>
      <w:r w:rsidR="006540C0" w:rsidRPr="00FB551B">
        <w:rPr>
          <w:lang w:val="en-AU"/>
        </w:rPr>
        <w:t xml:space="preserve"> </w:t>
      </w:r>
      <w:r w:rsidR="00001AEA" w:rsidRPr="00FB551B">
        <w:rPr>
          <w:lang w:val="en-AU"/>
        </w:rPr>
        <w:t>B</w:t>
      </w:r>
      <w:r w:rsidR="006540C0" w:rsidRPr="00FB551B">
        <w:rPr>
          <w:lang w:val="en-AU"/>
        </w:rPr>
        <w:t>ut I say to you, love your enemies and pray for those who persecute you.</w:t>
      </w:r>
      <w:r w:rsidR="00863B47" w:rsidRPr="00FB551B">
        <w:rPr>
          <w:lang w:val="en-AU"/>
        </w:rPr>
        <w:t>”</w:t>
      </w:r>
      <w:r w:rsidR="006540C0" w:rsidRPr="00FB551B">
        <w:rPr>
          <w:lang w:val="en-AU"/>
        </w:rPr>
        <w:t xml:space="preserve"> </w:t>
      </w:r>
      <w:r w:rsidR="00407ACF" w:rsidRPr="00FB551B">
        <w:rPr>
          <w:lang w:val="en-AU"/>
        </w:rPr>
        <w:t>No law command</w:t>
      </w:r>
      <w:r w:rsidR="00C059A0" w:rsidRPr="00FB551B">
        <w:rPr>
          <w:lang w:val="en-AU"/>
        </w:rPr>
        <w:t>s</w:t>
      </w:r>
      <w:r w:rsidR="00407ACF" w:rsidRPr="00FB551B">
        <w:rPr>
          <w:lang w:val="en-AU"/>
        </w:rPr>
        <w:t xml:space="preserve"> the hatred of enemies, </w:t>
      </w:r>
      <w:r w:rsidR="00C059A0" w:rsidRPr="00FB551B">
        <w:rPr>
          <w:lang w:val="en-AU"/>
        </w:rPr>
        <w:t>c</w:t>
      </w:r>
      <w:r w:rsidR="00407ACF" w:rsidRPr="00FB551B">
        <w:rPr>
          <w:lang w:val="en-AU"/>
        </w:rPr>
        <w:t xml:space="preserve">onversely, Proverbs 25:21 </w:t>
      </w:r>
      <w:r w:rsidR="00225D29" w:rsidRPr="00FB551B">
        <w:rPr>
          <w:lang w:val="en-AU"/>
        </w:rPr>
        <w:t xml:space="preserve">suggests </w:t>
      </w:r>
      <w:r w:rsidR="00FB551B">
        <w:rPr>
          <w:lang w:val="en-AU"/>
        </w:rPr>
        <w:t>“</w:t>
      </w:r>
      <w:r w:rsidR="00407ACF" w:rsidRPr="00FB551B">
        <w:rPr>
          <w:lang w:val="en-AU"/>
        </w:rPr>
        <w:t>If your enemies are hungry, give them bread to eat; and if they are thirsty, give them water to drink</w:t>
      </w:r>
      <w:r w:rsidR="00FB551B">
        <w:rPr>
          <w:lang w:val="en-AU"/>
        </w:rPr>
        <w:t>.</w:t>
      </w:r>
      <w:r w:rsidR="00863B47" w:rsidRPr="00FB551B">
        <w:rPr>
          <w:lang w:val="en-AU"/>
        </w:rPr>
        <w:t>”</w:t>
      </w:r>
      <w:r w:rsidR="00407ACF" w:rsidRPr="00FB551B">
        <w:rPr>
          <w:lang w:val="en-AU"/>
        </w:rPr>
        <w:t xml:space="preserve"> </w:t>
      </w:r>
      <w:r w:rsidR="006540C0" w:rsidRPr="00FB551B">
        <w:rPr>
          <w:lang w:val="en-AU"/>
        </w:rPr>
        <w:t>This interpretation</w:t>
      </w:r>
      <w:r w:rsidR="00CE3556" w:rsidRPr="00FB551B">
        <w:rPr>
          <w:lang w:val="en-AU"/>
        </w:rPr>
        <w:t xml:space="preserve"> of the Torah</w:t>
      </w:r>
      <w:r w:rsidR="00A15CBD" w:rsidRPr="00FB551B">
        <w:rPr>
          <w:lang w:val="en-AU"/>
        </w:rPr>
        <w:t xml:space="preserve"> </w:t>
      </w:r>
      <w:r w:rsidR="00B12109" w:rsidRPr="00FB551B">
        <w:rPr>
          <w:lang w:val="en-AU"/>
        </w:rPr>
        <w:t>provides a standard for</w:t>
      </w:r>
      <w:r w:rsidR="00174246" w:rsidRPr="00FB551B">
        <w:rPr>
          <w:lang w:val="en-AU"/>
        </w:rPr>
        <w:t xml:space="preserve"> good behavio</w:t>
      </w:r>
      <w:r w:rsidR="00C736D4" w:rsidRPr="00FB551B">
        <w:rPr>
          <w:lang w:val="en-AU"/>
        </w:rPr>
        <w:t>u</w:t>
      </w:r>
      <w:r w:rsidR="00174246" w:rsidRPr="00FB551B">
        <w:rPr>
          <w:lang w:val="en-AU"/>
        </w:rPr>
        <w:t xml:space="preserve">r and good actions of people and how they treat </w:t>
      </w:r>
      <w:r w:rsidR="00CF6A85" w:rsidRPr="00FB551B">
        <w:rPr>
          <w:lang w:val="en-AU"/>
        </w:rPr>
        <w:t xml:space="preserve">both themselves and others. </w:t>
      </w:r>
      <w:r w:rsidR="00174246" w:rsidRPr="00FB551B">
        <w:rPr>
          <w:lang w:val="en-AU"/>
        </w:rPr>
        <w:t xml:space="preserve"> The Torah </w:t>
      </w:r>
      <w:r w:rsidR="003C6D0C" w:rsidRPr="00FB551B">
        <w:rPr>
          <w:lang w:val="en-AU"/>
        </w:rPr>
        <w:t>passage</w:t>
      </w:r>
      <w:r w:rsidR="0083421F" w:rsidRPr="00FB551B">
        <w:rPr>
          <w:lang w:val="en-AU"/>
        </w:rPr>
        <w:t>,</w:t>
      </w:r>
      <w:r w:rsidR="00174246" w:rsidRPr="00FB551B">
        <w:rPr>
          <w:lang w:val="en-AU"/>
        </w:rPr>
        <w:t xml:space="preserve"> </w:t>
      </w:r>
      <w:r w:rsidR="00863B47" w:rsidRPr="00FB551B">
        <w:rPr>
          <w:bCs/>
          <w:lang w:val="en-AU"/>
        </w:rPr>
        <w:t>“</w:t>
      </w:r>
      <w:r w:rsidR="006540C0" w:rsidRPr="00FB551B">
        <w:rPr>
          <w:lang w:val="en-AU"/>
        </w:rPr>
        <w:t xml:space="preserve">You shall not take vengeance or bear a grudge against any of your people, but you shall love your </w:t>
      </w:r>
      <w:r w:rsidR="002123A9" w:rsidRPr="00FB551B">
        <w:rPr>
          <w:lang w:val="en-AU"/>
        </w:rPr>
        <w:t>neighbour</w:t>
      </w:r>
      <w:r w:rsidR="006540C0" w:rsidRPr="00FB551B">
        <w:rPr>
          <w:lang w:val="en-AU"/>
        </w:rPr>
        <w:t xml:space="preserve"> as yourself: I am the Lord</w:t>
      </w:r>
      <w:r w:rsidR="00863B47" w:rsidRPr="00FB551B">
        <w:rPr>
          <w:lang w:val="en-AU"/>
        </w:rPr>
        <w:t>”</w:t>
      </w:r>
      <w:r w:rsidR="00174246" w:rsidRPr="00FB551B">
        <w:rPr>
          <w:lang w:val="en-AU"/>
        </w:rPr>
        <w:t xml:space="preserve"> </w:t>
      </w:r>
      <w:r w:rsidR="00927D79" w:rsidRPr="00FB551B">
        <w:rPr>
          <w:lang w:val="en-AU"/>
        </w:rPr>
        <w:t>(</w:t>
      </w:r>
      <w:r w:rsidR="00927D79" w:rsidRPr="00FB551B">
        <w:rPr>
          <w:bCs/>
          <w:lang w:val="en-AU"/>
        </w:rPr>
        <w:t xml:space="preserve">Leviticus 19:18) </w:t>
      </w:r>
      <w:r w:rsidR="00174246" w:rsidRPr="00FB551B">
        <w:rPr>
          <w:lang w:val="en-AU"/>
        </w:rPr>
        <w:t xml:space="preserve">provides the foundational understanding of loving your </w:t>
      </w:r>
      <w:r w:rsidR="002123A9" w:rsidRPr="00FB551B">
        <w:rPr>
          <w:lang w:val="en-AU"/>
        </w:rPr>
        <w:t>neighbour</w:t>
      </w:r>
      <w:r w:rsidR="00174246" w:rsidRPr="00FB551B">
        <w:rPr>
          <w:lang w:val="en-AU"/>
        </w:rPr>
        <w:t xml:space="preserve"> as yourself. There is an </w:t>
      </w:r>
      <w:r w:rsidR="0040559A" w:rsidRPr="00FB551B">
        <w:rPr>
          <w:lang w:val="en-AU"/>
        </w:rPr>
        <w:t xml:space="preserve">implicit </w:t>
      </w:r>
      <w:r w:rsidR="00174246" w:rsidRPr="00FB551B">
        <w:rPr>
          <w:lang w:val="en-AU"/>
        </w:rPr>
        <w:t xml:space="preserve">understanding that you would treat another </w:t>
      </w:r>
      <w:r w:rsidR="006540C0" w:rsidRPr="00FB551B">
        <w:rPr>
          <w:lang w:val="en-AU"/>
        </w:rPr>
        <w:t xml:space="preserve">person how you would expect to be treated by others. </w:t>
      </w:r>
      <w:r w:rsidR="00174246" w:rsidRPr="00FB551B">
        <w:rPr>
          <w:lang w:val="en-AU"/>
        </w:rPr>
        <w:t xml:space="preserve">The </w:t>
      </w:r>
      <w:r w:rsidR="00C16034" w:rsidRPr="00FB551B">
        <w:rPr>
          <w:lang w:val="en-AU"/>
        </w:rPr>
        <w:t>preface</w:t>
      </w:r>
      <w:r w:rsidR="00174246" w:rsidRPr="00FB551B">
        <w:rPr>
          <w:lang w:val="en-AU"/>
        </w:rPr>
        <w:t xml:space="preserve">, </w:t>
      </w:r>
      <w:r w:rsidR="00863B47" w:rsidRPr="00FB551B">
        <w:rPr>
          <w:lang w:val="en-AU"/>
        </w:rPr>
        <w:t>“</w:t>
      </w:r>
      <w:r w:rsidR="00174246" w:rsidRPr="00FB551B">
        <w:rPr>
          <w:lang w:val="en-AU"/>
        </w:rPr>
        <w:t>you have heard it said</w:t>
      </w:r>
      <w:r w:rsidR="00863B47" w:rsidRPr="00FB551B">
        <w:rPr>
          <w:lang w:val="en-AU"/>
        </w:rPr>
        <w:t>”</w:t>
      </w:r>
      <w:r w:rsidR="00174246" w:rsidRPr="00FB551B">
        <w:rPr>
          <w:lang w:val="en-AU"/>
        </w:rPr>
        <w:t xml:space="preserve"> impl</w:t>
      </w:r>
      <w:r w:rsidR="0096436B" w:rsidRPr="00FB551B">
        <w:rPr>
          <w:lang w:val="en-AU"/>
        </w:rPr>
        <w:t>ies</w:t>
      </w:r>
      <w:r w:rsidR="00174246" w:rsidRPr="00FB551B">
        <w:rPr>
          <w:lang w:val="en-AU"/>
        </w:rPr>
        <w:t xml:space="preserve"> an oral saying. </w:t>
      </w:r>
      <w:r w:rsidR="006540C0" w:rsidRPr="00FB551B">
        <w:rPr>
          <w:lang w:val="en-AU"/>
        </w:rPr>
        <w:t>David Stern translates Matthew 5:43</w:t>
      </w:r>
      <w:r w:rsidR="00174246" w:rsidRPr="00FB551B">
        <w:rPr>
          <w:lang w:val="en-AU"/>
        </w:rPr>
        <w:t xml:space="preserve"> </w:t>
      </w:r>
      <w:r w:rsidR="006540C0" w:rsidRPr="00FB551B">
        <w:rPr>
          <w:lang w:val="en-AU"/>
        </w:rPr>
        <w:t xml:space="preserve">as, </w:t>
      </w:r>
      <w:r w:rsidR="00863B47" w:rsidRPr="00FB551B">
        <w:rPr>
          <w:lang w:val="en-AU"/>
        </w:rPr>
        <w:t>“</w:t>
      </w:r>
      <w:r w:rsidR="006540C0" w:rsidRPr="00FB551B">
        <w:rPr>
          <w:lang w:val="en-AU"/>
        </w:rPr>
        <w:t xml:space="preserve">You have heard that our fathers were told </w:t>
      </w:r>
      <w:r w:rsidR="005C71CB" w:rsidRPr="00FB551B">
        <w:rPr>
          <w:lang w:val="en-AU"/>
        </w:rPr>
        <w:lastRenderedPageBreak/>
        <w:t>‘</w:t>
      </w:r>
      <w:r w:rsidR="006540C0" w:rsidRPr="00FB551B">
        <w:rPr>
          <w:lang w:val="en-AU"/>
        </w:rPr>
        <w:t xml:space="preserve">love your </w:t>
      </w:r>
      <w:r w:rsidR="002123A9" w:rsidRPr="00FB551B">
        <w:rPr>
          <w:lang w:val="en-AU"/>
        </w:rPr>
        <w:t>neighbour</w:t>
      </w:r>
      <w:r w:rsidR="006540C0" w:rsidRPr="00FB551B">
        <w:rPr>
          <w:lang w:val="en-AU"/>
        </w:rPr>
        <w:t xml:space="preserve"> and hate your enemy.</w:t>
      </w:r>
      <w:r w:rsidR="005C71CB" w:rsidRPr="00FB551B">
        <w:rPr>
          <w:lang w:val="en-AU"/>
        </w:rPr>
        <w:t>’</w:t>
      </w:r>
      <w:r w:rsidR="00863B47" w:rsidRPr="00FB551B">
        <w:rPr>
          <w:lang w:val="en-AU"/>
        </w:rPr>
        <w:t>”</w:t>
      </w:r>
      <w:r w:rsidR="006540C0" w:rsidRPr="00FB551B">
        <w:rPr>
          <w:rStyle w:val="FootnoteReference"/>
          <w:lang w:val="en-AU"/>
        </w:rPr>
        <w:footnoteReference w:id="576"/>
      </w:r>
      <w:r w:rsidR="006540C0" w:rsidRPr="00FB551B">
        <w:rPr>
          <w:lang w:val="en-AU"/>
        </w:rPr>
        <w:t xml:space="preserve"> </w:t>
      </w:r>
      <w:r w:rsidR="00174246" w:rsidRPr="00FB551B">
        <w:rPr>
          <w:lang w:val="en-AU"/>
        </w:rPr>
        <w:t xml:space="preserve">The </w:t>
      </w:r>
      <w:r w:rsidR="006540C0" w:rsidRPr="00FB551B">
        <w:rPr>
          <w:lang w:val="en-AU"/>
        </w:rPr>
        <w:t>Stern</w:t>
      </w:r>
      <w:r w:rsidR="00174246" w:rsidRPr="00FB551B">
        <w:rPr>
          <w:lang w:val="en-AU"/>
        </w:rPr>
        <w:t xml:space="preserve"> translation focuses on the source of </w:t>
      </w:r>
      <w:r w:rsidR="003C6D0C" w:rsidRPr="00FB551B">
        <w:rPr>
          <w:lang w:val="en-AU"/>
        </w:rPr>
        <w:t>Jesus</w:t>
      </w:r>
      <w:r w:rsidR="005C71CB" w:rsidRPr="00FB551B">
        <w:rPr>
          <w:lang w:val="en-AU"/>
        </w:rPr>
        <w:t>’</w:t>
      </w:r>
      <w:r w:rsidR="006D41DD">
        <w:rPr>
          <w:lang w:val="en-AU"/>
        </w:rPr>
        <w:t>s</w:t>
      </w:r>
      <w:r w:rsidR="003C6D0C" w:rsidRPr="00FB551B">
        <w:rPr>
          <w:lang w:val="en-AU"/>
        </w:rPr>
        <w:t xml:space="preserve"> statement as </w:t>
      </w:r>
      <w:r w:rsidR="00D10F7A" w:rsidRPr="00FB551B">
        <w:rPr>
          <w:lang w:val="en-AU"/>
        </w:rPr>
        <w:t xml:space="preserve">being </w:t>
      </w:r>
      <w:r w:rsidR="003C6D0C" w:rsidRPr="00FB551B">
        <w:rPr>
          <w:lang w:val="en-AU"/>
        </w:rPr>
        <w:t xml:space="preserve">the </w:t>
      </w:r>
      <w:r w:rsidR="005C71CB" w:rsidRPr="00FB551B">
        <w:rPr>
          <w:lang w:val="en-AU"/>
        </w:rPr>
        <w:t>‘</w:t>
      </w:r>
      <w:r w:rsidR="003C6D0C" w:rsidRPr="00FB551B">
        <w:rPr>
          <w:lang w:val="en-AU"/>
        </w:rPr>
        <w:t>fathers</w:t>
      </w:r>
      <w:r w:rsidR="00407ACF" w:rsidRPr="00FB551B">
        <w:rPr>
          <w:lang w:val="en-AU"/>
        </w:rPr>
        <w:t>,</w:t>
      </w:r>
      <w:r w:rsidR="005C71CB" w:rsidRPr="00FB551B">
        <w:rPr>
          <w:lang w:val="en-AU"/>
        </w:rPr>
        <w:t>’</w:t>
      </w:r>
      <w:r w:rsidR="009F1555" w:rsidRPr="00FB551B">
        <w:rPr>
          <w:lang w:val="en-AU"/>
        </w:rPr>
        <w:t xml:space="preserve"> which is </w:t>
      </w:r>
      <w:r w:rsidR="00C16034" w:rsidRPr="00FB551B">
        <w:rPr>
          <w:lang w:val="en-AU"/>
        </w:rPr>
        <w:t xml:space="preserve">akin to Oral Traditions. </w:t>
      </w:r>
      <w:r w:rsidR="006540C0" w:rsidRPr="00FB551B">
        <w:rPr>
          <w:lang w:val="en-AU"/>
        </w:rPr>
        <w:t xml:space="preserve"> </w:t>
      </w:r>
      <w:r w:rsidR="00C16034" w:rsidRPr="00FB551B">
        <w:rPr>
          <w:lang w:val="en-AU"/>
        </w:rPr>
        <w:t xml:space="preserve">This saying </w:t>
      </w:r>
      <w:r w:rsidR="009F1555" w:rsidRPr="00FB551B">
        <w:rPr>
          <w:lang w:val="en-AU"/>
        </w:rPr>
        <w:t>about</w:t>
      </w:r>
      <w:r w:rsidR="00C16034" w:rsidRPr="00FB551B">
        <w:rPr>
          <w:lang w:val="en-AU"/>
        </w:rPr>
        <w:t xml:space="preserve"> peace and love notably does not talk about hating an enemy. </w:t>
      </w:r>
      <w:r w:rsidR="00E97292" w:rsidRPr="00FB551B">
        <w:rPr>
          <w:lang w:val="en-AU"/>
        </w:rPr>
        <w:t>In Hebrew, the Leviticus 19:18 reads:</w:t>
      </w:r>
    </w:p>
    <w:p w14:paraId="4E6AA850" w14:textId="4C5FBE23" w:rsidR="00E97292" w:rsidRPr="009E7B69" w:rsidRDefault="00E97292" w:rsidP="00E97292">
      <w:pPr>
        <w:widowControl w:val="0"/>
        <w:autoSpaceDE w:val="0"/>
        <w:autoSpaceDN w:val="0"/>
        <w:adjustRightInd w:val="0"/>
        <w:spacing w:line="480" w:lineRule="auto"/>
        <w:ind w:firstLine="284"/>
        <w:jc w:val="right"/>
      </w:pPr>
      <w:r w:rsidRPr="009E7B69">
        <w:rPr>
          <w:rtl/>
        </w:rPr>
        <w:t>לֹֽא־תִקֹּם וְלֹֽא־תִטֹּר אֶת־בְּנֵי עַמֶּךָ וְאָֽהַבְתָּ לְרֵעֲךָ כָּמֹוךָ אֲנִי יְהוָֽה׃</w:t>
      </w:r>
      <w:r w:rsidR="00863B47" w:rsidRPr="009E7B69">
        <w:t>”</w:t>
      </w:r>
    </w:p>
    <w:p w14:paraId="70EB8FB7" w14:textId="7D8ACE4D" w:rsidR="006540C0" w:rsidRPr="00FB551B" w:rsidRDefault="00E97292" w:rsidP="00E97292">
      <w:pPr>
        <w:widowControl w:val="0"/>
        <w:autoSpaceDE w:val="0"/>
        <w:autoSpaceDN w:val="0"/>
        <w:adjustRightInd w:val="0"/>
        <w:spacing w:line="480" w:lineRule="auto"/>
        <w:ind w:firstLine="720"/>
        <w:rPr>
          <w:lang w:val="en-AU"/>
        </w:rPr>
      </w:pPr>
      <w:r w:rsidRPr="00FB551B">
        <w:rPr>
          <w:lang w:val="en-AU"/>
        </w:rPr>
        <w:t>The use of the word</w:t>
      </w:r>
      <w:r w:rsidRPr="009E7B69">
        <w:t xml:space="preserve"> </w:t>
      </w:r>
      <w:r w:rsidRPr="009E7B69">
        <w:rPr>
          <w:rtl/>
        </w:rPr>
        <w:t>אָהַב</w:t>
      </w:r>
      <w:r w:rsidRPr="009E7B69">
        <w:t xml:space="preserve"> </w:t>
      </w:r>
      <w:r w:rsidR="00E166EF" w:rsidRPr="009E7B69">
        <w:t>(</w:t>
      </w:r>
      <w:r w:rsidR="005C71CB" w:rsidRPr="009E7B69">
        <w:rPr>
          <w:i/>
          <w:iCs/>
        </w:rPr>
        <w:t>‘</w:t>
      </w:r>
      <w:r w:rsidR="002B0AF2" w:rsidRPr="009E7B69">
        <w:t xml:space="preserve">ahab) </w:t>
      </w:r>
      <w:r w:rsidRPr="00FB551B">
        <w:rPr>
          <w:lang w:val="en-AU"/>
        </w:rPr>
        <w:t xml:space="preserve">demonstrates that the </w:t>
      </w:r>
      <w:proofErr w:type="gramStart"/>
      <w:r w:rsidRPr="00FB551B">
        <w:rPr>
          <w:lang w:val="en-AU"/>
        </w:rPr>
        <w:t>love</w:t>
      </w:r>
      <w:proofErr w:type="gramEnd"/>
      <w:r w:rsidRPr="00FB551B">
        <w:rPr>
          <w:lang w:val="en-AU"/>
        </w:rPr>
        <w:t xml:space="preserve"> one has is a strong human </w:t>
      </w:r>
      <w:r w:rsidR="00407ACF" w:rsidRPr="00FB551B">
        <w:rPr>
          <w:lang w:val="en-AU"/>
        </w:rPr>
        <w:t xml:space="preserve">love </w:t>
      </w:r>
      <w:r w:rsidRPr="00FB551B">
        <w:rPr>
          <w:lang w:val="en-AU"/>
        </w:rPr>
        <w:t xml:space="preserve">for another person. It can be noted that </w:t>
      </w:r>
      <w:r w:rsidR="00A16823" w:rsidRPr="00FB551B">
        <w:rPr>
          <w:lang w:val="en-AU"/>
        </w:rPr>
        <w:t xml:space="preserve">in </w:t>
      </w:r>
      <w:r w:rsidR="00A16823" w:rsidRPr="00FB551B">
        <w:rPr>
          <w:i/>
          <w:iCs/>
          <w:lang w:val="en-AU"/>
        </w:rPr>
        <w:t>Mishna</w:t>
      </w:r>
      <w:r w:rsidR="00A16823" w:rsidRPr="00FB551B">
        <w:rPr>
          <w:lang w:val="en-AU"/>
        </w:rPr>
        <w:t xml:space="preserve"> </w:t>
      </w:r>
      <w:r w:rsidRPr="00FB551B">
        <w:rPr>
          <w:lang w:val="en-AU"/>
        </w:rPr>
        <w:t xml:space="preserve">Mekhilta de-Rabbi Shimon bar Yoḥai employs Lev 19:18 twice in relation to striking and killing, as </w:t>
      </w:r>
      <w:r w:rsidR="00863B47" w:rsidRPr="00FB551B">
        <w:rPr>
          <w:lang w:val="en-AU"/>
        </w:rPr>
        <w:t>“</w:t>
      </w:r>
      <w:r w:rsidRPr="00FB551B">
        <w:rPr>
          <w:lang w:val="en-AU"/>
        </w:rPr>
        <w:t>select for him a quick death!</w:t>
      </w:r>
      <w:r w:rsidR="00863B47" w:rsidRPr="00FB551B">
        <w:rPr>
          <w:lang w:val="en-AU"/>
        </w:rPr>
        <w:t>”</w:t>
      </w:r>
      <w:r w:rsidRPr="00FB551B">
        <w:rPr>
          <w:rStyle w:val="FootnoteReference"/>
          <w:i/>
          <w:iCs/>
          <w:lang w:val="en-AU"/>
        </w:rPr>
        <w:footnoteReference w:id="577"/>
      </w:r>
      <w:r w:rsidRPr="00FB551B">
        <w:rPr>
          <w:lang w:val="en-AU"/>
        </w:rPr>
        <w:t xml:space="preserve"> Matthew 5:43 reads</w:t>
      </w:r>
      <w:r w:rsidR="00A16823" w:rsidRPr="00FB551B">
        <w:rPr>
          <w:lang w:val="en-AU"/>
        </w:rPr>
        <w:t xml:space="preserve"> in the Greek</w:t>
      </w:r>
      <w:r w:rsidRPr="00FB551B">
        <w:rPr>
          <w:lang w:val="en-AU"/>
        </w:rPr>
        <w:t xml:space="preserve">, </w:t>
      </w:r>
      <w:r w:rsidR="00863B47" w:rsidRPr="00FB551B">
        <w:rPr>
          <w:lang w:val="en-AU"/>
        </w:rPr>
        <w:t>“</w:t>
      </w:r>
      <w:r w:rsidRPr="00FB551B">
        <w:rPr>
          <w:lang w:val="en-AU"/>
        </w:rPr>
        <w:t>Ἠκούσατε ὅτι ἐρρέθη αγαπήσεις τὸν πλησίον σου καὶ μισήσεις τὸν ἐχθρόν σου.</w:t>
      </w:r>
      <w:r w:rsidR="00863B47" w:rsidRPr="00FB551B">
        <w:rPr>
          <w:lang w:val="en-AU"/>
        </w:rPr>
        <w:t>”</w:t>
      </w:r>
      <w:r w:rsidRPr="00FB551B">
        <w:rPr>
          <w:lang w:val="en-AU"/>
        </w:rPr>
        <w:t xml:space="preserve"> The word αγαπήσεις from the root word αγαπαω </w:t>
      </w:r>
      <w:r w:rsidR="005166FF" w:rsidRPr="00FB551B">
        <w:rPr>
          <w:lang w:val="en-AU"/>
        </w:rPr>
        <w:t>means to have</w:t>
      </w:r>
      <w:r w:rsidRPr="00FB551B">
        <w:rPr>
          <w:lang w:val="en-AU"/>
        </w:rPr>
        <w:t xml:space="preserve"> a fond</w:t>
      </w:r>
      <w:r w:rsidR="00B02ED7" w:rsidRPr="00FB551B">
        <w:rPr>
          <w:lang w:val="en-AU"/>
        </w:rPr>
        <w:t>ness</w:t>
      </w:r>
      <w:r w:rsidR="006D44ED" w:rsidRPr="00FB551B">
        <w:rPr>
          <w:lang w:val="en-AU"/>
        </w:rPr>
        <w:t xml:space="preserve"> or affection</w:t>
      </w:r>
      <w:r w:rsidRPr="00FB551B">
        <w:rPr>
          <w:lang w:val="en-AU"/>
        </w:rPr>
        <w:t xml:space="preserve"> </w:t>
      </w:r>
      <w:r w:rsidR="00B02ED7" w:rsidRPr="00FB551B">
        <w:rPr>
          <w:lang w:val="en-AU"/>
        </w:rPr>
        <w:t>for an</w:t>
      </w:r>
      <w:r w:rsidRPr="00FB551B">
        <w:rPr>
          <w:lang w:val="en-AU"/>
        </w:rPr>
        <w:t>other person.</w:t>
      </w:r>
      <w:r w:rsidR="00B80FDF" w:rsidRPr="00FB551B">
        <w:rPr>
          <w:rStyle w:val="FootnoteReference"/>
          <w:lang w:val="en-AU"/>
        </w:rPr>
        <w:footnoteReference w:id="578"/>
      </w:r>
      <w:r w:rsidRPr="00FB551B">
        <w:rPr>
          <w:lang w:val="en-AU"/>
        </w:rPr>
        <w:t xml:space="preserve"> The Greek word </w:t>
      </w:r>
      <w:r w:rsidR="00130A7F" w:rsidRPr="00FB551B">
        <w:rPr>
          <w:lang w:val="en-AU"/>
        </w:rPr>
        <w:t xml:space="preserve">here </w:t>
      </w:r>
      <w:r w:rsidR="00267D74" w:rsidRPr="00FB551B">
        <w:rPr>
          <w:lang w:val="en-AU"/>
        </w:rPr>
        <w:t>trans</w:t>
      </w:r>
      <w:r w:rsidR="00130A7F" w:rsidRPr="00FB551B">
        <w:rPr>
          <w:lang w:val="en-AU"/>
        </w:rPr>
        <w:t>l</w:t>
      </w:r>
      <w:r w:rsidR="00267D74" w:rsidRPr="00FB551B">
        <w:rPr>
          <w:lang w:val="en-AU"/>
        </w:rPr>
        <w:t xml:space="preserve">ated </w:t>
      </w:r>
      <w:r w:rsidR="00863B47" w:rsidRPr="00FB551B">
        <w:rPr>
          <w:lang w:val="en-AU"/>
        </w:rPr>
        <w:t>“</w:t>
      </w:r>
      <w:r w:rsidRPr="00FB551B">
        <w:rPr>
          <w:lang w:val="en-AU"/>
        </w:rPr>
        <w:t>hate</w:t>
      </w:r>
      <w:r w:rsidR="00863B47" w:rsidRPr="00FB551B">
        <w:rPr>
          <w:lang w:val="en-AU"/>
        </w:rPr>
        <w:t>”</w:t>
      </w:r>
      <w:r w:rsidRPr="00FB551B">
        <w:rPr>
          <w:lang w:val="en-AU"/>
        </w:rPr>
        <w:t xml:space="preserve"> is μισήσεις</w:t>
      </w:r>
      <w:r w:rsidR="00130A7F" w:rsidRPr="00FB551B">
        <w:rPr>
          <w:lang w:val="en-AU"/>
        </w:rPr>
        <w:t>,</w:t>
      </w:r>
      <w:r w:rsidRPr="00FB551B">
        <w:rPr>
          <w:lang w:val="en-AU"/>
        </w:rPr>
        <w:t xml:space="preserve"> from the root word μισεω</w:t>
      </w:r>
      <w:r w:rsidR="00130A7F" w:rsidRPr="00FB551B">
        <w:rPr>
          <w:lang w:val="en-AU"/>
        </w:rPr>
        <w:t>,</w:t>
      </w:r>
      <w:r w:rsidRPr="00FB551B">
        <w:rPr>
          <w:lang w:val="en-AU"/>
        </w:rPr>
        <w:t xml:space="preserve"> which indicates the abhorrence of a person. This is used in conjunction with the word ἐχθρόν which is an enemy</w:t>
      </w:r>
      <w:r w:rsidR="009C2704" w:rsidRPr="00FB551B">
        <w:rPr>
          <w:lang w:val="en-AU"/>
        </w:rPr>
        <w:t xml:space="preserve"> or hated </w:t>
      </w:r>
      <w:r w:rsidR="00A862D9" w:rsidRPr="00FB551B">
        <w:rPr>
          <w:lang w:val="en-AU"/>
        </w:rPr>
        <w:t xml:space="preserve">or hostile </w:t>
      </w:r>
      <w:r w:rsidR="009C2704" w:rsidRPr="00FB551B">
        <w:rPr>
          <w:lang w:val="en-AU"/>
        </w:rPr>
        <w:t>person</w:t>
      </w:r>
      <w:r w:rsidRPr="00FB551B">
        <w:rPr>
          <w:lang w:val="en-AU"/>
        </w:rPr>
        <w:t>.</w:t>
      </w:r>
    </w:p>
    <w:p w14:paraId="17F547EF" w14:textId="55E5A1F6" w:rsidR="006540C0" w:rsidRPr="00FB551B" w:rsidRDefault="006540C0" w:rsidP="00B4415E">
      <w:pPr>
        <w:widowControl w:val="0"/>
        <w:autoSpaceDE w:val="0"/>
        <w:autoSpaceDN w:val="0"/>
        <w:adjustRightInd w:val="0"/>
        <w:spacing w:line="480" w:lineRule="auto"/>
        <w:rPr>
          <w:lang w:val="en-AU"/>
        </w:rPr>
      </w:pPr>
      <w:r w:rsidRPr="00FB551B">
        <w:rPr>
          <w:lang w:val="en-AU"/>
        </w:rPr>
        <w:tab/>
      </w:r>
      <w:r w:rsidR="00C16034" w:rsidRPr="00FB551B">
        <w:rPr>
          <w:lang w:val="en-AU"/>
        </w:rPr>
        <w:t xml:space="preserve">There is </w:t>
      </w:r>
      <w:r w:rsidR="00C71BE0" w:rsidRPr="00FB551B">
        <w:rPr>
          <w:lang w:val="en-AU"/>
        </w:rPr>
        <w:t>similar</w:t>
      </w:r>
      <w:r w:rsidR="00C16034" w:rsidRPr="00FB551B">
        <w:rPr>
          <w:lang w:val="en-AU"/>
        </w:rPr>
        <w:t xml:space="preserve"> </w:t>
      </w:r>
      <w:r w:rsidR="00A57AE2" w:rsidRPr="00FB551B">
        <w:rPr>
          <w:lang w:val="en-AU"/>
        </w:rPr>
        <w:t>discussion</w:t>
      </w:r>
      <w:r w:rsidR="006371D6" w:rsidRPr="00FB551B">
        <w:rPr>
          <w:lang w:val="en-AU"/>
        </w:rPr>
        <w:t xml:space="preserve"> about</w:t>
      </w:r>
      <w:r w:rsidR="00C16034" w:rsidRPr="00FB551B">
        <w:rPr>
          <w:lang w:val="en-AU"/>
        </w:rPr>
        <w:t xml:space="preserve"> loving your enemies in </w:t>
      </w:r>
      <w:r w:rsidRPr="00FB551B">
        <w:rPr>
          <w:lang w:val="en-AU"/>
        </w:rPr>
        <w:t>Qumran 1QS 9</w:t>
      </w:r>
      <w:r w:rsidR="00D41F77" w:rsidRPr="00FB551B">
        <w:rPr>
          <w:lang w:val="en-AU"/>
        </w:rPr>
        <w:t>.</w:t>
      </w:r>
      <w:r w:rsidR="00D432EC" w:rsidRPr="00FB551B">
        <w:rPr>
          <w:lang w:val="en-AU"/>
        </w:rPr>
        <w:t xml:space="preserve"> </w:t>
      </w:r>
      <w:r w:rsidR="00D41F77" w:rsidRPr="00FB551B">
        <w:rPr>
          <w:lang w:val="en-AU"/>
        </w:rPr>
        <w:t>According to</w:t>
      </w:r>
      <w:r w:rsidR="00F76587" w:rsidRPr="00FB551B">
        <w:rPr>
          <w:lang w:val="en-AU"/>
        </w:rPr>
        <w:t xml:space="preserve"> </w:t>
      </w:r>
      <w:r w:rsidR="00D41F77" w:rsidRPr="00FB551B">
        <w:rPr>
          <w:lang w:val="en-AU"/>
        </w:rPr>
        <w:t>t</w:t>
      </w:r>
      <w:r w:rsidR="00C71BE0" w:rsidRPr="00FB551B">
        <w:rPr>
          <w:lang w:val="en-AU"/>
        </w:rPr>
        <w:t>he Manual of Discipline scroll</w:t>
      </w:r>
      <w:r w:rsidR="00FC3B7A" w:rsidRPr="00FB551B">
        <w:rPr>
          <w:lang w:val="en-AU"/>
        </w:rPr>
        <w:t xml:space="preserve"> (also known as </w:t>
      </w:r>
      <w:r w:rsidR="00FC3B7A" w:rsidRPr="00FB551B">
        <w:rPr>
          <w:i/>
          <w:iCs/>
          <w:lang w:val="en-AU"/>
        </w:rPr>
        <w:t>The Community Rule</w:t>
      </w:r>
      <w:r w:rsidR="00FC3B7A" w:rsidRPr="00FB551B">
        <w:rPr>
          <w:lang w:val="en-AU"/>
        </w:rPr>
        <w:t>)</w:t>
      </w:r>
      <w:r w:rsidR="00CD3823" w:rsidRPr="00FB551B">
        <w:rPr>
          <w:lang w:val="en-AU"/>
        </w:rPr>
        <w:t>,</w:t>
      </w:r>
      <w:r w:rsidR="00594E0E" w:rsidRPr="00FB551B">
        <w:rPr>
          <w:lang w:val="en-AU"/>
        </w:rPr>
        <w:t xml:space="preserve"> the </w:t>
      </w:r>
      <w:r w:rsidRPr="00FB551B">
        <w:rPr>
          <w:lang w:val="en-AU"/>
        </w:rPr>
        <w:t xml:space="preserve">members of the community were to be taught </w:t>
      </w:r>
      <w:r w:rsidR="00863B47" w:rsidRPr="00FB551B">
        <w:rPr>
          <w:lang w:val="en-AU"/>
        </w:rPr>
        <w:t>“</w:t>
      </w:r>
      <w:r w:rsidRPr="00FB551B">
        <w:rPr>
          <w:lang w:val="en-AU"/>
        </w:rPr>
        <w:t>that they may love all the sons of light … and hate all the sons of darkness.</w:t>
      </w:r>
      <w:r w:rsidR="00863B47" w:rsidRPr="00FB551B">
        <w:rPr>
          <w:lang w:val="en-AU"/>
        </w:rPr>
        <w:t>”</w:t>
      </w:r>
      <w:r w:rsidRPr="00FB551B">
        <w:rPr>
          <w:lang w:val="en-AU"/>
        </w:rPr>
        <w:t xml:space="preserve"> (1QS 1:9</w:t>
      </w:r>
      <w:r w:rsidR="006D4DAC" w:rsidRPr="00FB551B">
        <w:rPr>
          <w:lang w:val="en-AU"/>
        </w:rPr>
        <w:t>–10</w:t>
      </w:r>
      <w:r w:rsidRPr="00FB551B">
        <w:rPr>
          <w:lang w:val="en-AU"/>
        </w:rPr>
        <w:t>)</w:t>
      </w:r>
      <w:r w:rsidR="00467DF7" w:rsidRPr="00FB551B">
        <w:rPr>
          <w:lang w:val="en-AU"/>
        </w:rPr>
        <w:t>.</w:t>
      </w:r>
      <w:r w:rsidRPr="00FB551B">
        <w:rPr>
          <w:rStyle w:val="FootnoteReference"/>
          <w:lang w:val="en-AU"/>
        </w:rPr>
        <w:footnoteReference w:id="579"/>
      </w:r>
      <w:r w:rsidRPr="00FB551B">
        <w:rPr>
          <w:lang w:val="en-AU"/>
        </w:rPr>
        <w:t xml:space="preserve"> </w:t>
      </w:r>
      <w:r w:rsidR="00107D4A" w:rsidRPr="00FB551B">
        <w:rPr>
          <w:lang w:val="en-AU"/>
        </w:rPr>
        <w:t xml:space="preserve">We cannot </w:t>
      </w:r>
      <w:proofErr w:type="gramStart"/>
      <w:r w:rsidR="00594E0E" w:rsidRPr="00FB551B">
        <w:rPr>
          <w:lang w:val="en-AU"/>
        </w:rPr>
        <w:t>definitely confirm</w:t>
      </w:r>
      <w:proofErr w:type="gramEnd"/>
      <w:r w:rsidR="00594E0E" w:rsidRPr="00FB551B">
        <w:rPr>
          <w:lang w:val="en-AU"/>
        </w:rPr>
        <w:t xml:space="preserve"> </w:t>
      </w:r>
      <w:r w:rsidR="00107D4A" w:rsidRPr="00FB551B">
        <w:rPr>
          <w:lang w:val="en-AU"/>
        </w:rPr>
        <w:t>that</w:t>
      </w:r>
      <w:r w:rsidR="00594E0E" w:rsidRPr="00FB551B">
        <w:rPr>
          <w:lang w:val="en-AU"/>
        </w:rPr>
        <w:t xml:space="preserve"> Jesus was aware of 1QS 9</w:t>
      </w:r>
      <w:r w:rsidR="00504DF1" w:rsidRPr="00FB551B">
        <w:rPr>
          <w:lang w:val="en-AU"/>
        </w:rPr>
        <w:t>–</w:t>
      </w:r>
      <w:r w:rsidR="00594E0E" w:rsidRPr="00FB551B">
        <w:rPr>
          <w:lang w:val="en-AU"/>
        </w:rPr>
        <w:t>10, but the similarity</w:t>
      </w:r>
      <w:r w:rsidR="00CD3823" w:rsidRPr="00FB551B">
        <w:rPr>
          <w:lang w:val="en-AU"/>
        </w:rPr>
        <w:t xml:space="preserve"> may be observed</w:t>
      </w:r>
      <w:r w:rsidR="00594E0E" w:rsidRPr="00FB551B">
        <w:rPr>
          <w:lang w:val="en-AU"/>
        </w:rPr>
        <w:t xml:space="preserve">. </w:t>
      </w:r>
      <w:r w:rsidR="00703F6D" w:rsidRPr="00FB551B">
        <w:rPr>
          <w:lang w:val="en-AU"/>
        </w:rPr>
        <w:t xml:space="preserve">The </w:t>
      </w:r>
      <w:r w:rsidR="004F44B1" w:rsidRPr="00FB551B">
        <w:rPr>
          <w:lang w:val="en-AU"/>
        </w:rPr>
        <w:t>saying about loving one</w:t>
      </w:r>
      <w:r w:rsidR="005C71CB" w:rsidRPr="00FB551B">
        <w:rPr>
          <w:lang w:val="en-AU"/>
        </w:rPr>
        <w:t>’</w:t>
      </w:r>
      <w:r w:rsidR="004F44B1" w:rsidRPr="00FB551B">
        <w:rPr>
          <w:lang w:val="en-AU"/>
        </w:rPr>
        <w:t xml:space="preserve">s enemies to which Jesus </w:t>
      </w:r>
      <w:r w:rsidR="004F44B1" w:rsidRPr="00FB551B">
        <w:rPr>
          <w:lang w:val="en-AU"/>
        </w:rPr>
        <w:lastRenderedPageBreak/>
        <w:t xml:space="preserve">referred </w:t>
      </w:r>
      <w:r w:rsidR="00467DF7" w:rsidRPr="00FB551B">
        <w:rPr>
          <w:lang w:val="en-AU"/>
        </w:rPr>
        <w:t>differs from the written To</w:t>
      </w:r>
      <w:r w:rsidR="001C6798" w:rsidRPr="00FB551B">
        <w:rPr>
          <w:lang w:val="en-AU"/>
        </w:rPr>
        <w:t>ra</w:t>
      </w:r>
      <w:r w:rsidR="00467DF7" w:rsidRPr="00FB551B">
        <w:rPr>
          <w:lang w:val="en-AU"/>
        </w:rPr>
        <w:t>h of</w:t>
      </w:r>
      <w:r w:rsidRPr="00FB551B">
        <w:rPr>
          <w:lang w:val="en-AU"/>
        </w:rPr>
        <w:t xml:space="preserve"> </w:t>
      </w:r>
      <w:r w:rsidR="0062018C" w:rsidRPr="00FB551B">
        <w:rPr>
          <w:lang w:val="en-AU"/>
        </w:rPr>
        <w:t>Leviticus 19:18</w:t>
      </w:r>
      <w:r w:rsidRPr="00FB551B">
        <w:rPr>
          <w:lang w:val="en-AU"/>
        </w:rPr>
        <w:t>.</w:t>
      </w:r>
      <w:r w:rsidRPr="00FB551B">
        <w:rPr>
          <w:rStyle w:val="FootnoteReference"/>
          <w:lang w:val="en-AU"/>
        </w:rPr>
        <w:footnoteReference w:id="580"/>
      </w:r>
    </w:p>
    <w:p w14:paraId="12937108" w14:textId="549FBAB3" w:rsidR="00787C2D" w:rsidRPr="00FB551B" w:rsidRDefault="006540C0" w:rsidP="00205037">
      <w:pPr>
        <w:widowControl w:val="0"/>
        <w:autoSpaceDE w:val="0"/>
        <w:autoSpaceDN w:val="0"/>
        <w:adjustRightInd w:val="0"/>
        <w:spacing w:line="480" w:lineRule="auto"/>
        <w:rPr>
          <w:lang w:val="en-AU"/>
        </w:rPr>
      </w:pPr>
      <w:r w:rsidRPr="00FB551B">
        <w:rPr>
          <w:lang w:val="en-AU"/>
        </w:rPr>
        <w:tab/>
      </w:r>
      <w:r w:rsidR="002C5B66" w:rsidRPr="00FB551B">
        <w:rPr>
          <w:lang w:val="en-AU"/>
        </w:rPr>
        <w:t xml:space="preserve">In </w:t>
      </w:r>
      <w:r w:rsidRPr="00FB551B">
        <w:rPr>
          <w:lang w:val="en-AU"/>
        </w:rPr>
        <w:t>Matthew 5:44</w:t>
      </w:r>
      <w:r w:rsidR="002C5B66" w:rsidRPr="00FB551B">
        <w:rPr>
          <w:lang w:val="en-AU"/>
        </w:rPr>
        <w:t xml:space="preserve"> Jesus teaches that </w:t>
      </w:r>
      <w:r w:rsidR="00C9012D" w:rsidRPr="00FB551B">
        <w:rPr>
          <w:lang w:val="en-AU"/>
        </w:rPr>
        <w:t>we</w:t>
      </w:r>
      <w:r w:rsidR="002C5B66" w:rsidRPr="00FB551B">
        <w:rPr>
          <w:lang w:val="en-AU"/>
        </w:rPr>
        <w:t xml:space="preserve"> </w:t>
      </w:r>
      <w:r w:rsidR="00C9012D" w:rsidRPr="00FB551B">
        <w:rPr>
          <w:lang w:val="en-AU"/>
        </w:rPr>
        <w:t>should love and pray for our enemies</w:t>
      </w:r>
      <w:r w:rsidR="00E948C7" w:rsidRPr="00FB551B">
        <w:rPr>
          <w:lang w:val="en-AU"/>
        </w:rPr>
        <w:t xml:space="preserve"> and </w:t>
      </w:r>
      <w:r w:rsidR="003C2B88" w:rsidRPr="00FB551B">
        <w:rPr>
          <w:lang w:val="en-AU"/>
        </w:rPr>
        <w:t>asks,</w:t>
      </w:r>
      <w:r w:rsidRPr="00FB551B">
        <w:rPr>
          <w:lang w:val="en-AU"/>
        </w:rPr>
        <w:t xml:space="preserve"> </w:t>
      </w:r>
      <w:r w:rsidR="00863B47" w:rsidRPr="00FB551B">
        <w:rPr>
          <w:lang w:val="en-AU"/>
        </w:rPr>
        <w:t>“</w:t>
      </w:r>
      <w:r w:rsidRPr="00FB551B">
        <w:rPr>
          <w:lang w:val="en-AU"/>
        </w:rPr>
        <w:t>if you greet only your brothers and sisters, what more are you doing than others? Do not even the Gentiles do the same?</w:t>
      </w:r>
      <w:r w:rsidR="00863B47" w:rsidRPr="00FB551B">
        <w:rPr>
          <w:lang w:val="en-AU"/>
        </w:rPr>
        <w:t>”</w:t>
      </w:r>
      <w:r w:rsidRPr="00FB551B">
        <w:rPr>
          <w:lang w:val="en-AU"/>
        </w:rPr>
        <w:t xml:space="preserve"> (</w:t>
      </w:r>
      <w:r w:rsidR="00BC0C26" w:rsidRPr="00FB551B">
        <w:rPr>
          <w:lang w:val="en-AU"/>
        </w:rPr>
        <w:t xml:space="preserve">Matt 5:47 </w:t>
      </w:r>
      <w:r w:rsidRPr="00FB551B">
        <w:rPr>
          <w:lang w:val="en-AU"/>
        </w:rPr>
        <w:t xml:space="preserve">NRSV). </w:t>
      </w:r>
      <w:r w:rsidR="004406B0" w:rsidRPr="00FB551B">
        <w:rPr>
          <w:lang w:val="en-AU"/>
        </w:rPr>
        <w:t>The use of</w:t>
      </w:r>
      <w:r w:rsidR="00B4415E" w:rsidRPr="00FB551B">
        <w:rPr>
          <w:lang w:val="en-AU"/>
        </w:rPr>
        <w:t xml:space="preserve"> ἐθνικός is in reference to those who are not Jewish</w:t>
      </w:r>
      <w:r w:rsidRPr="00FB551B">
        <w:rPr>
          <w:lang w:val="en-AU"/>
        </w:rPr>
        <w:t xml:space="preserve">. </w:t>
      </w:r>
      <w:r w:rsidR="00D64E6F" w:rsidRPr="00FB551B">
        <w:rPr>
          <w:lang w:val="en-AU"/>
        </w:rPr>
        <w:t xml:space="preserve">The Jewish listeners </w:t>
      </w:r>
      <w:r w:rsidR="00505BAA" w:rsidRPr="00FB551B">
        <w:rPr>
          <w:lang w:val="en-AU"/>
        </w:rPr>
        <w:t>would k</w:t>
      </w:r>
      <w:r w:rsidR="004406B0" w:rsidRPr="00FB551B">
        <w:rPr>
          <w:lang w:val="en-AU"/>
        </w:rPr>
        <w:t xml:space="preserve">now that ἐθνικός are those who are not Jewish (sometimes </w:t>
      </w:r>
      <w:r w:rsidR="00453A6C" w:rsidRPr="00FB551B">
        <w:rPr>
          <w:lang w:val="en-AU"/>
        </w:rPr>
        <w:t>termed</w:t>
      </w:r>
      <w:r w:rsidR="004406B0" w:rsidRPr="00FB551B">
        <w:rPr>
          <w:lang w:val="en-AU"/>
        </w:rPr>
        <w:t xml:space="preserve"> </w:t>
      </w:r>
      <w:r w:rsidR="00863B47" w:rsidRPr="00FB551B">
        <w:rPr>
          <w:lang w:val="en-AU"/>
        </w:rPr>
        <w:t>“</w:t>
      </w:r>
      <w:r w:rsidR="004406B0" w:rsidRPr="00FB551B">
        <w:rPr>
          <w:lang w:val="en-AU"/>
        </w:rPr>
        <w:t>pagans</w:t>
      </w:r>
      <w:r w:rsidR="00863B47" w:rsidRPr="00FB551B">
        <w:rPr>
          <w:lang w:val="en-AU"/>
        </w:rPr>
        <w:t>”</w:t>
      </w:r>
      <w:r w:rsidR="004406B0" w:rsidRPr="00FB551B">
        <w:rPr>
          <w:lang w:val="en-AU"/>
        </w:rPr>
        <w:t xml:space="preserve"> or </w:t>
      </w:r>
      <w:r w:rsidR="00863B47" w:rsidRPr="00FB551B">
        <w:rPr>
          <w:lang w:val="en-AU"/>
        </w:rPr>
        <w:t>“</w:t>
      </w:r>
      <w:r w:rsidR="004406B0" w:rsidRPr="00FB551B">
        <w:rPr>
          <w:lang w:val="en-AU"/>
        </w:rPr>
        <w:t>heathens</w:t>
      </w:r>
      <w:r w:rsidR="00863B47" w:rsidRPr="00FB551B">
        <w:rPr>
          <w:lang w:val="en-AU"/>
        </w:rPr>
        <w:t>”</w:t>
      </w:r>
      <w:r w:rsidR="004406B0" w:rsidRPr="00FB551B">
        <w:rPr>
          <w:lang w:val="en-AU"/>
        </w:rPr>
        <w:t>)</w:t>
      </w:r>
      <w:r w:rsidR="00FB551B">
        <w:rPr>
          <w:lang w:val="en-AU"/>
        </w:rPr>
        <w:t>.</w:t>
      </w:r>
      <w:r w:rsidR="00F12E0B" w:rsidRPr="00FB551B">
        <w:rPr>
          <w:rStyle w:val="FootnoteReference"/>
          <w:lang w:val="en-AU"/>
        </w:rPr>
        <w:footnoteReference w:id="581"/>
      </w:r>
      <w:r w:rsidR="004406B0" w:rsidRPr="00FB551B">
        <w:rPr>
          <w:lang w:val="en-AU"/>
        </w:rPr>
        <w:t xml:space="preserve"> </w:t>
      </w:r>
      <w:r w:rsidR="003C2B88" w:rsidRPr="00FB551B">
        <w:rPr>
          <w:lang w:val="en-AU"/>
        </w:rPr>
        <w:t>Even with Jesus speaking Aramaic, those writing in Greek utili</w:t>
      </w:r>
      <w:r w:rsidR="006F59A5" w:rsidRPr="00FB551B">
        <w:rPr>
          <w:lang w:val="en-AU"/>
        </w:rPr>
        <w:t>s</w:t>
      </w:r>
      <w:r w:rsidR="003C2B88" w:rsidRPr="00FB551B">
        <w:rPr>
          <w:lang w:val="en-AU"/>
        </w:rPr>
        <w:t xml:space="preserve">ed these nuances. </w:t>
      </w:r>
      <w:r w:rsidRPr="00FB551B">
        <w:rPr>
          <w:lang w:val="en-AU"/>
        </w:rPr>
        <w:t xml:space="preserve">In the Greek Matthew 5:47, the text reads </w:t>
      </w:r>
      <w:r w:rsidR="00863B47" w:rsidRPr="00FB551B">
        <w:rPr>
          <w:lang w:val="en-AU"/>
        </w:rPr>
        <w:t>“</w:t>
      </w:r>
      <w:r w:rsidRPr="00FB551B">
        <w:rPr>
          <w:lang w:val="en-AU"/>
        </w:rPr>
        <w:t>καὶ ἐὰν ἀσπάσησθε τοὺς ἀδελφοὺς ὑμῶν μόνον, τί περισσὸν ποιεῖτε; οὐχὶ καὶ οἱ ἐθνικοὶ τὸ αὐτὸ ποιοῦσιν.</w:t>
      </w:r>
      <w:r w:rsidR="00863B47" w:rsidRPr="00FB551B">
        <w:rPr>
          <w:lang w:val="en-AU"/>
        </w:rPr>
        <w:t>”</w:t>
      </w:r>
      <w:r w:rsidRPr="00FB551B">
        <w:rPr>
          <w:lang w:val="en-AU"/>
        </w:rPr>
        <w:t xml:space="preserve"> </w:t>
      </w:r>
      <w:r w:rsidR="00CD0935" w:rsidRPr="00FB551B">
        <w:rPr>
          <w:lang w:val="en-AU"/>
        </w:rPr>
        <w:t xml:space="preserve">In the </w:t>
      </w:r>
      <w:r w:rsidR="00ED7CD5" w:rsidRPr="00FB551B">
        <w:rPr>
          <w:lang w:val="en-AU"/>
        </w:rPr>
        <w:t xml:space="preserve">Greek </w:t>
      </w:r>
      <w:r w:rsidR="00FD0B54" w:rsidRPr="00FB551B">
        <w:rPr>
          <w:lang w:val="en-AU"/>
        </w:rPr>
        <w:t>manuscript on which the K</w:t>
      </w:r>
      <w:r w:rsidR="00CD0935" w:rsidRPr="00FB551B">
        <w:rPr>
          <w:lang w:val="en-AU"/>
        </w:rPr>
        <w:t>JV</w:t>
      </w:r>
      <w:r w:rsidR="00ED7CD5" w:rsidRPr="00FB551B">
        <w:rPr>
          <w:lang w:val="en-AU"/>
        </w:rPr>
        <w:t xml:space="preserve"> is based</w:t>
      </w:r>
      <w:r w:rsidR="00CD0935" w:rsidRPr="00FB551B">
        <w:rPr>
          <w:lang w:val="en-AU"/>
        </w:rPr>
        <w:t xml:space="preserve"> of Matthew 5:47, the </w:t>
      </w:r>
      <w:r w:rsidR="00ED7CD5" w:rsidRPr="00FB551B">
        <w:rPr>
          <w:lang w:val="en-AU"/>
        </w:rPr>
        <w:t>word</w:t>
      </w:r>
      <w:r w:rsidR="00CD0935" w:rsidRPr="00FB551B">
        <w:rPr>
          <w:lang w:val="en-AU"/>
        </w:rPr>
        <w:t xml:space="preserve"> ἐθνικοὶ meaning heathen or Gentile </w:t>
      </w:r>
      <w:r w:rsidR="003C2B88" w:rsidRPr="00FB551B">
        <w:rPr>
          <w:lang w:val="en-AU"/>
        </w:rPr>
        <w:t>is translated</w:t>
      </w:r>
      <w:r w:rsidR="00CD0935" w:rsidRPr="00FB551B">
        <w:rPr>
          <w:lang w:val="en-AU"/>
        </w:rPr>
        <w:t xml:space="preserve"> with the term τελώνης meaning publicans.</w:t>
      </w:r>
      <w:r w:rsidR="00CD0935" w:rsidRPr="00FB551B">
        <w:rPr>
          <w:rStyle w:val="FootnoteReference"/>
          <w:lang w:val="en-AU"/>
        </w:rPr>
        <w:footnoteReference w:id="582"/>
      </w:r>
      <w:r w:rsidR="00CD0935" w:rsidRPr="00FB551B">
        <w:rPr>
          <w:lang w:val="en-AU"/>
        </w:rPr>
        <w:t xml:space="preserve"> </w:t>
      </w:r>
      <w:r w:rsidRPr="00FB551B">
        <w:rPr>
          <w:lang w:val="en-AU"/>
        </w:rPr>
        <w:t xml:space="preserve"> </w:t>
      </w:r>
      <w:r w:rsidR="00B4415E" w:rsidRPr="00FB551B">
        <w:rPr>
          <w:lang w:val="en-AU"/>
        </w:rPr>
        <w:t>Those who are considered ἐθνικός</w:t>
      </w:r>
      <w:r w:rsidR="00370041" w:rsidRPr="00FB551B">
        <w:rPr>
          <w:lang w:val="en-AU"/>
        </w:rPr>
        <w:t xml:space="preserve"> are different from Jews</w:t>
      </w:r>
      <w:r w:rsidR="00B4415E" w:rsidRPr="00FB551B">
        <w:rPr>
          <w:lang w:val="en-AU"/>
        </w:rPr>
        <w:t xml:space="preserve">. </w:t>
      </w:r>
      <w:r w:rsidR="00370041" w:rsidRPr="00FB551B">
        <w:rPr>
          <w:lang w:val="en-AU"/>
        </w:rPr>
        <w:t xml:space="preserve"> </w:t>
      </w:r>
      <w:r w:rsidR="00B4415E" w:rsidRPr="00FB551B">
        <w:rPr>
          <w:lang w:val="en-AU"/>
        </w:rPr>
        <w:t>J</w:t>
      </w:r>
      <w:r w:rsidRPr="00FB551B">
        <w:rPr>
          <w:lang w:val="en-AU"/>
        </w:rPr>
        <w:t xml:space="preserve">erome </w:t>
      </w:r>
      <w:r w:rsidR="00F843D3" w:rsidRPr="00FB551B">
        <w:rPr>
          <w:lang w:val="en-AU"/>
        </w:rPr>
        <w:t>interp</w:t>
      </w:r>
      <w:r w:rsidR="00E2659D" w:rsidRPr="00FB551B">
        <w:rPr>
          <w:lang w:val="en-AU"/>
        </w:rPr>
        <w:t>re</w:t>
      </w:r>
      <w:r w:rsidR="00F843D3" w:rsidRPr="00FB551B">
        <w:rPr>
          <w:lang w:val="en-AU"/>
        </w:rPr>
        <w:t>ted</w:t>
      </w:r>
      <w:r w:rsidRPr="00FB551B">
        <w:rPr>
          <w:lang w:val="en-AU"/>
        </w:rPr>
        <w:t xml:space="preserve"> ἐθνικοὶ to be Jewish people</w:t>
      </w:r>
      <w:r w:rsidR="00B4415E" w:rsidRPr="00FB551B">
        <w:rPr>
          <w:lang w:val="en-AU"/>
        </w:rPr>
        <w:t xml:space="preserve"> </w:t>
      </w:r>
      <w:r w:rsidR="00BC24AC" w:rsidRPr="00FB551B">
        <w:rPr>
          <w:lang w:val="en-AU"/>
        </w:rPr>
        <w:t xml:space="preserve">who </w:t>
      </w:r>
      <w:r w:rsidR="00B4415E" w:rsidRPr="00FB551B">
        <w:rPr>
          <w:lang w:val="en-AU"/>
        </w:rPr>
        <w:t xml:space="preserve">did not act or live in the expected manner of the community and </w:t>
      </w:r>
      <w:r w:rsidR="00A32514" w:rsidRPr="00FB551B">
        <w:rPr>
          <w:lang w:val="en-AU"/>
        </w:rPr>
        <w:t>include</w:t>
      </w:r>
      <w:r w:rsidR="00F843D3" w:rsidRPr="00FB551B">
        <w:rPr>
          <w:lang w:val="en-AU"/>
        </w:rPr>
        <w:t>d</w:t>
      </w:r>
      <w:r w:rsidR="00A32514" w:rsidRPr="00FB551B">
        <w:rPr>
          <w:lang w:val="en-AU"/>
        </w:rPr>
        <w:t xml:space="preserve"> </w:t>
      </w:r>
      <w:r w:rsidR="00B4415E" w:rsidRPr="00FB551B">
        <w:rPr>
          <w:lang w:val="en-AU"/>
        </w:rPr>
        <w:t xml:space="preserve">people </w:t>
      </w:r>
      <w:r w:rsidR="00A32514" w:rsidRPr="00FB551B">
        <w:rPr>
          <w:lang w:val="en-AU"/>
        </w:rPr>
        <w:t xml:space="preserve">such as </w:t>
      </w:r>
      <w:r w:rsidRPr="00FB551B">
        <w:rPr>
          <w:lang w:val="en-AU"/>
        </w:rPr>
        <w:t>tax</w:t>
      </w:r>
      <w:r w:rsidR="00A32514" w:rsidRPr="00FB551B">
        <w:rPr>
          <w:lang w:val="en-AU"/>
        </w:rPr>
        <w:t>-</w:t>
      </w:r>
      <w:r w:rsidRPr="00FB551B">
        <w:rPr>
          <w:lang w:val="en-AU"/>
        </w:rPr>
        <w:t>collectors and scribes.</w:t>
      </w:r>
      <w:r w:rsidRPr="00FB551B">
        <w:rPr>
          <w:rStyle w:val="FootnoteReference"/>
          <w:lang w:val="en-AU"/>
        </w:rPr>
        <w:footnoteReference w:id="583"/>
      </w:r>
      <w:r w:rsidRPr="00FB551B">
        <w:rPr>
          <w:lang w:val="en-AU"/>
        </w:rPr>
        <w:t xml:space="preserve"> </w:t>
      </w:r>
      <w:r w:rsidR="00B4415E" w:rsidRPr="00FB551B">
        <w:rPr>
          <w:lang w:val="en-AU"/>
        </w:rPr>
        <w:t>If this were the case, ἐθνικός, in the context of</w:t>
      </w:r>
      <w:r w:rsidRPr="00FB551B">
        <w:rPr>
          <w:lang w:val="en-AU"/>
        </w:rPr>
        <w:t xml:space="preserve"> lov</w:t>
      </w:r>
      <w:r w:rsidR="00F843D3" w:rsidRPr="00FB551B">
        <w:rPr>
          <w:lang w:val="en-AU"/>
        </w:rPr>
        <w:t>ing</w:t>
      </w:r>
      <w:r w:rsidRPr="00FB551B">
        <w:rPr>
          <w:lang w:val="en-AU"/>
        </w:rPr>
        <w:t xml:space="preserve"> the </w:t>
      </w:r>
      <w:r w:rsidR="005C71CB" w:rsidRPr="00FB551B">
        <w:rPr>
          <w:lang w:val="en-AU"/>
        </w:rPr>
        <w:t>‘</w:t>
      </w:r>
      <w:r w:rsidRPr="00FB551B">
        <w:rPr>
          <w:lang w:val="en-AU"/>
        </w:rPr>
        <w:t>other,</w:t>
      </w:r>
      <w:r w:rsidR="005C71CB" w:rsidRPr="00FB551B">
        <w:rPr>
          <w:lang w:val="en-AU"/>
        </w:rPr>
        <w:t>’</w:t>
      </w:r>
      <w:r w:rsidR="00205037" w:rsidRPr="00FB551B">
        <w:rPr>
          <w:lang w:val="en-AU"/>
        </w:rPr>
        <w:t xml:space="preserve"> is </w:t>
      </w:r>
      <w:r w:rsidR="0071361B" w:rsidRPr="00FB551B">
        <w:rPr>
          <w:lang w:val="en-AU"/>
        </w:rPr>
        <w:t>significant</w:t>
      </w:r>
      <w:r w:rsidR="00205037" w:rsidRPr="00FB551B">
        <w:rPr>
          <w:lang w:val="en-AU"/>
        </w:rPr>
        <w:t xml:space="preserve"> because ἐθνικός could be perceived as oppres</w:t>
      </w:r>
      <w:r w:rsidR="0079408B" w:rsidRPr="00FB551B">
        <w:rPr>
          <w:lang w:val="en-AU"/>
        </w:rPr>
        <w:t>s</w:t>
      </w:r>
      <w:r w:rsidR="0071361B" w:rsidRPr="00FB551B">
        <w:rPr>
          <w:lang w:val="en-AU"/>
        </w:rPr>
        <w:t>ors</w:t>
      </w:r>
      <w:r w:rsidR="00205037" w:rsidRPr="00FB551B">
        <w:rPr>
          <w:lang w:val="en-AU"/>
        </w:rPr>
        <w:t>.  For example,</w:t>
      </w:r>
      <w:r w:rsidR="008C2E77" w:rsidRPr="00FB551B">
        <w:rPr>
          <w:lang w:val="en-AU"/>
        </w:rPr>
        <w:t xml:space="preserve"> the</w:t>
      </w:r>
      <w:r w:rsidR="00205037" w:rsidRPr="00FB551B">
        <w:rPr>
          <w:lang w:val="en-AU"/>
        </w:rPr>
        <w:t xml:space="preserve"> Greeks </w:t>
      </w:r>
      <w:r w:rsidR="008C2E77" w:rsidRPr="00FB551B">
        <w:rPr>
          <w:lang w:val="en-AU"/>
        </w:rPr>
        <w:t xml:space="preserve">and the </w:t>
      </w:r>
      <w:r w:rsidR="00205037" w:rsidRPr="00FB551B">
        <w:rPr>
          <w:lang w:val="en-AU"/>
        </w:rPr>
        <w:t>Romans</w:t>
      </w:r>
      <w:r w:rsidR="0071361B" w:rsidRPr="00FB551B">
        <w:rPr>
          <w:lang w:val="en-AU"/>
        </w:rPr>
        <w:t xml:space="preserve"> were ἐθνικός</w:t>
      </w:r>
      <w:r w:rsidR="00205037" w:rsidRPr="00FB551B">
        <w:rPr>
          <w:lang w:val="en-AU"/>
        </w:rPr>
        <w:t xml:space="preserve">. </w:t>
      </w:r>
    </w:p>
    <w:p w14:paraId="37D55765" w14:textId="6499729F" w:rsidR="006540C0" w:rsidRPr="00FB551B" w:rsidRDefault="00205037" w:rsidP="00CD3823">
      <w:pPr>
        <w:widowControl w:val="0"/>
        <w:autoSpaceDE w:val="0"/>
        <w:autoSpaceDN w:val="0"/>
        <w:adjustRightInd w:val="0"/>
        <w:spacing w:line="480" w:lineRule="auto"/>
        <w:ind w:firstLine="720"/>
        <w:rPr>
          <w:lang w:val="en-AU"/>
        </w:rPr>
      </w:pPr>
      <w:r w:rsidRPr="00FB551B">
        <w:rPr>
          <w:lang w:val="en-AU"/>
        </w:rPr>
        <w:t>Fagenblat suggest</w:t>
      </w:r>
      <w:r w:rsidR="007D21F3" w:rsidRPr="00FB551B">
        <w:rPr>
          <w:lang w:val="en-AU"/>
        </w:rPr>
        <w:t>s</w:t>
      </w:r>
      <w:r w:rsidRPr="00FB551B">
        <w:rPr>
          <w:lang w:val="en-AU"/>
        </w:rPr>
        <w:t xml:space="preserve"> a Jewish interpretation</w:t>
      </w:r>
      <w:r w:rsidR="00C04D16" w:rsidRPr="00FB551B">
        <w:rPr>
          <w:lang w:val="en-AU"/>
        </w:rPr>
        <w:t xml:space="preserve"> </w:t>
      </w:r>
      <w:r w:rsidR="006017F7" w:rsidRPr="00FB551B">
        <w:rPr>
          <w:lang w:val="en-AU"/>
        </w:rPr>
        <w:t>of</w:t>
      </w:r>
      <w:r w:rsidRPr="00FB551B">
        <w:rPr>
          <w:lang w:val="en-AU"/>
        </w:rPr>
        <w:t xml:space="preserve"> ἐθνικός</w:t>
      </w:r>
      <w:r w:rsidR="00CB6231" w:rsidRPr="00FB551B">
        <w:rPr>
          <w:lang w:val="en-AU"/>
        </w:rPr>
        <w:t xml:space="preserve"> as meaning those</w:t>
      </w:r>
      <w:r w:rsidRPr="00FB551B">
        <w:rPr>
          <w:lang w:val="en-AU"/>
        </w:rPr>
        <w:t xml:space="preserve"> who </w:t>
      </w:r>
      <w:r w:rsidR="00CB6231" w:rsidRPr="00FB551B">
        <w:rPr>
          <w:lang w:val="en-AU"/>
        </w:rPr>
        <w:t>do</w:t>
      </w:r>
      <w:r w:rsidR="00FB551B" w:rsidRPr="00FB551B">
        <w:rPr>
          <w:lang w:val="en-AU"/>
        </w:rPr>
        <w:t xml:space="preserve"> no</w:t>
      </w:r>
      <w:r w:rsidR="00CB6231" w:rsidRPr="00FB551B">
        <w:rPr>
          <w:lang w:val="en-AU"/>
        </w:rPr>
        <w:t xml:space="preserve">t </w:t>
      </w:r>
      <w:r w:rsidRPr="00FB551B">
        <w:rPr>
          <w:lang w:val="en-AU"/>
        </w:rPr>
        <w:t>follow the way</w:t>
      </w:r>
      <w:r w:rsidR="0056204D" w:rsidRPr="00FB551B">
        <w:rPr>
          <w:lang w:val="en-AU"/>
        </w:rPr>
        <w:t>:</w:t>
      </w:r>
      <w:r w:rsidRPr="00FB551B">
        <w:rPr>
          <w:lang w:val="en-AU"/>
        </w:rPr>
        <w:t xml:space="preserve"> </w:t>
      </w:r>
    </w:p>
    <w:p w14:paraId="1B17956D" w14:textId="543770B1" w:rsidR="00D25D36" w:rsidRPr="00FB551B" w:rsidRDefault="006540C0" w:rsidP="00CD3823">
      <w:pPr>
        <w:pStyle w:val="Blockquotation"/>
        <w:rPr>
          <w:sz w:val="24"/>
          <w:lang w:val="en-AU"/>
        </w:rPr>
      </w:pPr>
      <w:r w:rsidRPr="00FB551B">
        <w:rPr>
          <w:sz w:val="24"/>
          <w:lang w:val="en-AU"/>
        </w:rPr>
        <w:t>It is possible to see Jesus</w:t>
      </w:r>
      <w:r w:rsidR="005C71CB" w:rsidRPr="00FB551B">
        <w:rPr>
          <w:sz w:val="24"/>
          <w:lang w:val="en-AU"/>
        </w:rPr>
        <w:t>’</w:t>
      </w:r>
      <w:r w:rsidRPr="00FB551B">
        <w:rPr>
          <w:sz w:val="24"/>
          <w:lang w:val="en-AU"/>
        </w:rPr>
        <w:t xml:space="preserve"> command to </w:t>
      </w:r>
      <w:r w:rsidR="005C71CB" w:rsidRPr="00FB551B">
        <w:rPr>
          <w:sz w:val="24"/>
          <w:lang w:val="en-AU"/>
        </w:rPr>
        <w:t>‘</w:t>
      </w:r>
      <w:r w:rsidRPr="00FB551B">
        <w:rPr>
          <w:sz w:val="24"/>
          <w:lang w:val="en-AU"/>
        </w:rPr>
        <w:t>love your enemies</w:t>
      </w:r>
      <w:r w:rsidR="005C71CB" w:rsidRPr="00FB551B">
        <w:rPr>
          <w:sz w:val="24"/>
          <w:lang w:val="en-AU"/>
        </w:rPr>
        <w:t>’</w:t>
      </w:r>
      <w:r w:rsidRPr="00FB551B">
        <w:rPr>
          <w:sz w:val="24"/>
          <w:lang w:val="en-AU"/>
        </w:rPr>
        <w:t xml:space="preserve"> as belonging to the same tradition as Rabbi Judah</w:t>
      </w:r>
      <w:r w:rsidR="005C71CB" w:rsidRPr="00FB551B">
        <w:rPr>
          <w:sz w:val="24"/>
          <w:lang w:val="en-AU"/>
        </w:rPr>
        <w:t>’</w:t>
      </w:r>
      <w:r w:rsidRPr="00FB551B">
        <w:rPr>
          <w:sz w:val="24"/>
          <w:lang w:val="en-AU"/>
        </w:rPr>
        <w:t xml:space="preserve">s ruling. Therefore, when Jesus states, according to Matthew 5:43, </w:t>
      </w:r>
      <w:r w:rsidR="005C71CB" w:rsidRPr="00FB551B">
        <w:rPr>
          <w:sz w:val="24"/>
          <w:lang w:val="en-AU"/>
        </w:rPr>
        <w:t>‘</w:t>
      </w:r>
      <w:r w:rsidRPr="00FB551B">
        <w:rPr>
          <w:sz w:val="24"/>
          <w:lang w:val="en-AU"/>
        </w:rPr>
        <w:t xml:space="preserve">you have heard that it was said, you shall love your </w:t>
      </w:r>
      <w:r w:rsidR="002123A9" w:rsidRPr="00FB551B">
        <w:rPr>
          <w:sz w:val="24"/>
          <w:lang w:val="en-AU"/>
        </w:rPr>
        <w:t>neighbour</w:t>
      </w:r>
      <w:r w:rsidRPr="00FB551B">
        <w:rPr>
          <w:sz w:val="24"/>
          <w:lang w:val="en-AU"/>
        </w:rPr>
        <w:t xml:space="preserve"> and hate your enemy,</w:t>
      </w:r>
      <w:r w:rsidR="005C71CB" w:rsidRPr="00FB551B">
        <w:rPr>
          <w:sz w:val="24"/>
          <w:lang w:val="en-AU"/>
        </w:rPr>
        <w:t>’</w:t>
      </w:r>
      <w:r w:rsidRPr="00FB551B">
        <w:rPr>
          <w:sz w:val="24"/>
          <w:lang w:val="en-AU"/>
        </w:rPr>
        <w:t xml:space="preserve"> he is not referring to a Pharisaic or proto-rabbinic view. More likely, he is referring to the composers of certain </w:t>
      </w:r>
      <w:r w:rsidRPr="00FB551B">
        <w:rPr>
          <w:sz w:val="24"/>
          <w:lang w:val="en-AU"/>
        </w:rPr>
        <w:lastRenderedPageBreak/>
        <w:t xml:space="preserve">Dead Sea Scrolls, such as the Community Rule, who divide the world into those who follow </w:t>
      </w:r>
      <w:r w:rsidR="005C71CB" w:rsidRPr="00FB551B">
        <w:rPr>
          <w:sz w:val="24"/>
          <w:lang w:val="en-AU"/>
        </w:rPr>
        <w:t>‘</w:t>
      </w:r>
      <w:r w:rsidRPr="00FB551B">
        <w:rPr>
          <w:sz w:val="24"/>
          <w:lang w:val="en-AU"/>
        </w:rPr>
        <w:t>the path for the wise</w:t>
      </w:r>
      <w:r w:rsidR="005C71CB" w:rsidRPr="00FB551B">
        <w:rPr>
          <w:sz w:val="24"/>
          <w:lang w:val="en-AU"/>
        </w:rPr>
        <w:t>’</w:t>
      </w:r>
      <w:r w:rsidRPr="00FB551B">
        <w:rPr>
          <w:sz w:val="24"/>
          <w:lang w:val="en-AU"/>
        </w:rPr>
        <w:t xml:space="preserve"> and therefore merit love and those other </w:t>
      </w:r>
      <w:r w:rsidR="005C71CB" w:rsidRPr="00FB551B">
        <w:rPr>
          <w:sz w:val="24"/>
          <w:lang w:val="en-AU"/>
        </w:rPr>
        <w:t>‘</w:t>
      </w:r>
      <w:r w:rsidRPr="00FB551B">
        <w:rPr>
          <w:sz w:val="24"/>
          <w:lang w:val="en-AU"/>
        </w:rPr>
        <w:t>men of the pit</w:t>
      </w:r>
      <w:r w:rsidR="005C71CB" w:rsidRPr="00FB551B">
        <w:rPr>
          <w:sz w:val="24"/>
          <w:lang w:val="en-AU"/>
        </w:rPr>
        <w:t>’</w:t>
      </w:r>
      <w:r w:rsidRPr="00FB551B">
        <w:rPr>
          <w:sz w:val="24"/>
          <w:lang w:val="en-AU"/>
        </w:rPr>
        <w:t xml:space="preserve"> who deserve eternal hatred (1Qs9.21).</w:t>
      </w:r>
      <w:r w:rsidRPr="00FB551B">
        <w:rPr>
          <w:rStyle w:val="FootnoteReference"/>
          <w:sz w:val="24"/>
          <w:lang w:val="en-AU"/>
        </w:rPr>
        <w:footnoteReference w:id="584"/>
      </w:r>
      <w:r w:rsidRPr="00FB551B">
        <w:rPr>
          <w:sz w:val="24"/>
          <w:lang w:val="en-AU"/>
        </w:rPr>
        <w:t xml:space="preserve">  </w:t>
      </w:r>
    </w:p>
    <w:p w14:paraId="4F5B6C36" w14:textId="4E55598F" w:rsidR="00937504" w:rsidRPr="00FB551B" w:rsidRDefault="008C2E77" w:rsidP="00225D29">
      <w:pPr>
        <w:spacing w:before="240" w:line="480" w:lineRule="auto"/>
        <w:rPr>
          <w:lang w:val="en-AU"/>
        </w:rPr>
      </w:pPr>
      <w:r w:rsidRPr="00FB551B">
        <w:rPr>
          <w:lang w:val="en-AU"/>
        </w:rPr>
        <w:t xml:space="preserve">There </w:t>
      </w:r>
      <w:r w:rsidR="00F74DD6" w:rsidRPr="00FB551B">
        <w:rPr>
          <w:lang w:val="en-AU"/>
        </w:rPr>
        <w:t>are</w:t>
      </w:r>
      <w:r w:rsidRPr="00FB551B">
        <w:rPr>
          <w:lang w:val="en-AU"/>
        </w:rPr>
        <w:t xml:space="preserve"> connection</w:t>
      </w:r>
      <w:r w:rsidR="00F74DD6" w:rsidRPr="00FB551B">
        <w:rPr>
          <w:lang w:val="en-AU"/>
        </w:rPr>
        <w:t>s</w:t>
      </w:r>
      <w:r w:rsidRPr="00FB551B">
        <w:rPr>
          <w:lang w:val="en-AU"/>
        </w:rPr>
        <w:t xml:space="preserve"> </w:t>
      </w:r>
      <w:r w:rsidR="007F5AAE">
        <w:rPr>
          <w:lang w:val="en-AU"/>
        </w:rPr>
        <w:t>of</w:t>
      </w:r>
      <w:r w:rsidRPr="00FB551B">
        <w:rPr>
          <w:lang w:val="en-AU"/>
        </w:rPr>
        <w:t xml:space="preserve"> </w:t>
      </w:r>
      <w:r w:rsidR="005C71CB" w:rsidRPr="00FB551B">
        <w:rPr>
          <w:lang w:val="en-AU"/>
        </w:rPr>
        <w:t>‘</w:t>
      </w:r>
      <w:r w:rsidRPr="00FB551B">
        <w:rPr>
          <w:lang w:val="en-AU"/>
        </w:rPr>
        <w:t>love your enemies</w:t>
      </w:r>
      <w:r w:rsidR="005C71CB" w:rsidRPr="00FB551B">
        <w:rPr>
          <w:lang w:val="en-AU"/>
        </w:rPr>
        <w:t>’</w:t>
      </w:r>
      <w:r w:rsidRPr="00FB551B">
        <w:rPr>
          <w:lang w:val="en-AU"/>
        </w:rPr>
        <w:t xml:space="preserve"> </w:t>
      </w:r>
      <w:r w:rsidR="007F5AAE">
        <w:rPr>
          <w:lang w:val="en-AU"/>
        </w:rPr>
        <w:t>with</w:t>
      </w:r>
      <w:r w:rsidR="00F74DD6" w:rsidRPr="00FB551B">
        <w:rPr>
          <w:lang w:val="en-AU"/>
        </w:rPr>
        <w:t xml:space="preserve"> t</w:t>
      </w:r>
      <w:r w:rsidRPr="00FB551B">
        <w:rPr>
          <w:lang w:val="en-AU"/>
        </w:rPr>
        <w:t xml:space="preserve">he Community Rule and the </w:t>
      </w:r>
      <w:r w:rsidR="00F807CD" w:rsidRPr="00FB551B">
        <w:rPr>
          <w:lang w:val="en-AU"/>
        </w:rPr>
        <w:t>D</w:t>
      </w:r>
      <w:r w:rsidR="00C04D16" w:rsidRPr="00FB551B">
        <w:rPr>
          <w:lang w:val="en-AU"/>
        </w:rPr>
        <w:t xml:space="preserve">ead </w:t>
      </w:r>
      <w:r w:rsidR="00F807CD" w:rsidRPr="00FB551B">
        <w:rPr>
          <w:lang w:val="en-AU"/>
        </w:rPr>
        <w:t>S</w:t>
      </w:r>
      <w:r w:rsidR="00C04D16" w:rsidRPr="00FB551B">
        <w:rPr>
          <w:lang w:val="en-AU"/>
        </w:rPr>
        <w:t xml:space="preserve">ea </w:t>
      </w:r>
      <w:r w:rsidR="00F807CD" w:rsidRPr="00FB551B">
        <w:rPr>
          <w:lang w:val="en-AU"/>
        </w:rPr>
        <w:t>S</w:t>
      </w:r>
      <w:r w:rsidR="00C04D16" w:rsidRPr="00FB551B">
        <w:rPr>
          <w:lang w:val="en-AU"/>
        </w:rPr>
        <w:t>crolls</w:t>
      </w:r>
      <w:r w:rsidRPr="00FB551B">
        <w:rPr>
          <w:lang w:val="en-AU"/>
        </w:rPr>
        <w:t xml:space="preserve">. </w:t>
      </w:r>
      <w:r w:rsidR="0056204D" w:rsidRPr="00FB551B">
        <w:rPr>
          <w:lang w:val="en-AU"/>
        </w:rPr>
        <w:t xml:space="preserve"> </w:t>
      </w:r>
      <w:r w:rsidR="006540C0" w:rsidRPr="00FB551B">
        <w:rPr>
          <w:lang w:val="en-AU"/>
        </w:rPr>
        <w:t xml:space="preserve">David Stern </w:t>
      </w:r>
      <w:r w:rsidR="00F807CD" w:rsidRPr="00FB551B">
        <w:rPr>
          <w:lang w:val="en-AU"/>
        </w:rPr>
        <w:t>suggests that the</w:t>
      </w:r>
      <w:r w:rsidR="00B95436" w:rsidRPr="00FB551B">
        <w:rPr>
          <w:lang w:val="en-AU"/>
        </w:rPr>
        <w:t>re</w:t>
      </w:r>
      <w:r w:rsidR="00F807CD" w:rsidRPr="00FB551B">
        <w:rPr>
          <w:lang w:val="en-AU"/>
        </w:rPr>
        <w:t xml:space="preserve"> </w:t>
      </w:r>
      <w:r w:rsidR="00B95436" w:rsidRPr="00FB551B">
        <w:rPr>
          <w:lang w:val="en-AU"/>
        </w:rPr>
        <w:t xml:space="preserve">are </w:t>
      </w:r>
      <w:r w:rsidR="00F807CD" w:rsidRPr="00FB551B">
        <w:rPr>
          <w:lang w:val="en-AU"/>
        </w:rPr>
        <w:t xml:space="preserve">connections with </w:t>
      </w:r>
      <w:r w:rsidR="006540C0" w:rsidRPr="00FB551B">
        <w:rPr>
          <w:i/>
          <w:lang w:val="en-AU"/>
        </w:rPr>
        <w:t xml:space="preserve">Orchot Tzaddikim </w:t>
      </w:r>
      <w:r w:rsidR="006540C0" w:rsidRPr="00FB551B">
        <w:rPr>
          <w:lang w:val="en-AU"/>
        </w:rPr>
        <w:t>15</w:t>
      </w:r>
      <w:r w:rsidR="00C059A0" w:rsidRPr="00FB551B">
        <w:rPr>
          <w:lang w:val="en-AU"/>
        </w:rPr>
        <w:t>:3</w:t>
      </w:r>
      <w:r w:rsidR="006540C0" w:rsidRPr="00FB551B">
        <w:rPr>
          <w:lang w:val="en-AU"/>
        </w:rPr>
        <w:t>.</w:t>
      </w:r>
      <w:r w:rsidR="006540C0" w:rsidRPr="00FB551B">
        <w:rPr>
          <w:rStyle w:val="FootnoteReference"/>
          <w:lang w:val="en-AU"/>
        </w:rPr>
        <w:footnoteReference w:id="585"/>
      </w:r>
      <w:r w:rsidR="00937504" w:rsidRPr="00FB551B">
        <w:rPr>
          <w:lang w:val="en-AU"/>
        </w:rPr>
        <w:t xml:space="preserve"> The understanding of love, imparted through the example of Abraham, is explained in </w:t>
      </w:r>
      <w:r w:rsidR="00937504" w:rsidRPr="00FB551B">
        <w:rPr>
          <w:i/>
          <w:lang w:val="en-AU"/>
        </w:rPr>
        <w:t xml:space="preserve">Orchot Tzaddikim </w:t>
      </w:r>
      <w:r w:rsidR="00937504" w:rsidRPr="00FB551B">
        <w:rPr>
          <w:lang w:val="en-AU"/>
        </w:rPr>
        <w:t>15:3</w:t>
      </w:r>
    </w:p>
    <w:p w14:paraId="3F4D9125" w14:textId="34995963" w:rsidR="00937504" w:rsidRPr="00FB551B" w:rsidRDefault="00937504" w:rsidP="002E1250">
      <w:pPr>
        <w:pStyle w:val="Blockquotation"/>
        <w:rPr>
          <w:sz w:val="24"/>
          <w:lang w:val="en-AU"/>
        </w:rPr>
      </w:pPr>
      <w:r w:rsidRPr="00FB551B">
        <w:rPr>
          <w:sz w:val="24"/>
          <w:lang w:val="en-AU"/>
        </w:rPr>
        <w:t xml:space="preserve">He who performs his deeds with zeal demonstrates convincingly that he loves his Creator as a servant who loves his master and hastens to do His will. For zeal depends upon the heart of a man, as when a man cleanses his heart of all other thoughts that may be in it and clings to one thought only, then he makes himself alert and will no doubt succeed. Thus did Abraham do when he removed the love for his son from his heart and carried out the will of his Creator, nullifying his love for his son before his love for the Creator. Therefore, he made a point of rising early, for there was in his heart a great love for the Creator. Therefore, the Holy One, Blessed be He, swore to him that He would remember the binding of Isaac. For a man may do a very difficult thing for one he loves, although his heart troubles him in the doing. But Abraham and Isaac both acted out of the desire of their heart, for the degree of love that they felt for God was very great. </w:t>
      </w:r>
      <w:proofErr w:type="gramStart"/>
      <w:r w:rsidRPr="00FB551B">
        <w:rPr>
          <w:sz w:val="24"/>
          <w:lang w:val="en-AU"/>
        </w:rPr>
        <w:t>Both of them</w:t>
      </w:r>
      <w:proofErr w:type="gramEnd"/>
      <w:r w:rsidRPr="00FB551B">
        <w:rPr>
          <w:sz w:val="24"/>
          <w:lang w:val="en-AU"/>
        </w:rPr>
        <w:t xml:space="preserve"> cleaved unto the Lord in their thoughts until they were joined in a great unity. For their sole intent was to spread throughout the world the knowledge of the Unity of the Creator and to train mankind to love Him. As they lovingly performed the service of the Lord, may He be Exalted, and fulfilled His commandments, their physical nature was overcome; their minds cleaved to their love of the Creator of the world. Therefore, </w:t>
      </w:r>
      <w:proofErr w:type="gramStart"/>
      <w:r w:rsidRPr="00FB551B">
        <w:rPr>
          <w:sz w:val="24"/>
          <w:lang w:val="en-AU"/>
        </w:rPr>
        <w:t>both of them</w:t>
      </w:r>
      <w:proofErr w:type="gramEnd"/>
      <w:r w:rsidRPr="00FB551B">
        <w:rPr>
          <w:sz w:val="24"/>
          <w:lang w:val="en-AU"/>
        </w:rPr>
        <w:t xml:space="preserve"> acted with zeal.</w:t>
      </w:r>
    </w:p>
    <w:p w14:paraId="1CE0E2B3" w14:textId="338E4DD6" w:rsidR="00937504" w:rsidRPr="00FB551B" w:rsidRDefault="0056204D" w:rsidP="00937504">
      <w:pPr>
        <w:spacing w:line="480" w:lineRule="auto"/>
        <w:rPr>
          <w:lang w:val="en-AU"/>
        </w:rPr>
      </w:pPr>
      <w:r w:rsidRPr="00FB551B">
        <w:rPr>
          <w:lang w:val="en-AU"/>
        </w:rPr>
        <w:t xml:space="preserve"> </w:t>
      </w:r>
    </w:p>
    <w:p w14:paraId="1C5CE36A" w14:textId="2E2BBE67" w:rsidR="006540C0" w:rsidRPr="00FB551B" w:rsidRDefault="0056204D" w:rsidP="00937504">
      <w:pPr>
        <w:spacing w:line="480" w:lineRule="auto"/>
        <w:rPr>
          <w:lang w:val="en-AU"/>
        </w:rPr>
      </w:pPr>
      <w:r w:rsidRPr="00FB551B">
        <w:rPr>
          <w:lang w:val="en-AU"/>
        </w:rPr>
        <w:t xml:space="preserve">The </w:t>
      </w:r>
      <w:r w:rsidRPr="00FB551B">
        <w:rPr>
          <w:i/>
          <w:iCs/>
          <w:lang w:val="en-AU"/>
        </w:rPr>
        <w:t>midrash</w:t>
      </w:r>
      <w:r w:rsidRPr="00FB551B">
        <w:rPr>
          <w:lang w:val="en-AU"/>
        </w:rPr>
        <w:t xml:space="preserve"> sayings imparted many cultural norms and understandings. </w:t>
      </w:r>
      <w:r w:rsidR="00937504" w:rsidRPr="00FB551B">
        <w:rPr>
          <w:lang w:val="en-AU"/>
        </w:rPr>
        <w:t xml:space="preserve">In </w:t>
      </w:r>
      <w:r w:rsidR="00937504" w:rsidRPr="00FB551B">
        <w:rPr>
          <w:i/>
          <w:lang w:val="en-AU"/>
        </w:rPr>
        <w:t xml:space="preserve">Orchot Tzaddikim </w:t>
      </w:r>
      <w:r w:rsidR="00937504" w:rsidRPr="00FB551B">
        <w:rPr>
          <w:lang w:val="en-AU"/>
        </w:rPr>
        <w:t xml:space="preserve">15:3, the greatest thing a person can do is to act out of love for another person.  It is part of the service to God. </w:t>
      </w:r>
      <w:r w:rsidRPr="00FB551B">
        <w:rPr>
          <w:lang w:val="en-AU"/>
        </w:rPr>
        <w:t xml:space="preserve">Love was such an overbearing mantra </w:t>
      </w:r>
      <w:r w:rsidR="00B95436" w:rsidRPr="00FB551B">
        <w:rPr>
          <w:lang w:val="en-AU"/>
        </w:rPr>
        <w:t>for</w:t>
      </w:r>
      <w:r w:rsidRPr="00FB551B">
        <w:rPr>
          <w:lang w:val="en-AU"/>
        </w:rPr>
        <w:t xml:space="preserve"> Jews</w:t>
      </w:r>
      <w:r w:rsidR="00A347F3" w:rsidRPr="00FB551B">
        <w:rPr>
          <w:lang w:val="en-AU"/>
        </w:rPr>
        <w:t>.</w:t>
      </w:r>
      <w:r w:rsidRPr="00FB551B">
        <w:rPr>
          <w:lang w:val="en-AU"/>
        </w:rPr>
        <w:t xml:space="preserve"> Torah does not want them </w:t>
      </w:r>
      <w:r w:rsidRPr="00FB551B">
        <w:rPr>
          <w:lang w:val="en-AU"/>
        </w:rPr>
        <w:lastRenderedPageBreak/>
        <w:t>to mistreat their enemies</w:t>
      </w:r>
      <w:r w:rsidR="006540C0" w:rsidRPr="00FB551B">
        <w:rPr>
          <w:lang w:val="en-AU"/>
        </w:rPr>
        <w:t>.</w:t>
      </w:r>
      <w:r w:rsidR="006540C0" w:rsidRPr="00FB551B">
        <w:rPr>
          <w:rStyle w:val="FootnoteReference"/>
          <w:lang w:val="en-AU"/>
        </w:rPr>
        <w:footnoteReference w:id="586"/>
      </w:r>
      <w:r w:rsidR="006540C0" w:rsidRPr="00FB551B">
        <w:rPr>
          <w:lang w:val="en-AU"/>
        </w:rPr>
        <w:t xml:space="preserve"> Matthew 22:37</w:t>
      </w:r>
      <w:r w:rsidR="00A347F3" w:rsidRPr="00FB551B">
        <w:rPr>
          <w:lang w:val="en-AU"/>
        </w:rPr>
        <w:t>–</w:t>
      </w:r>
      <w:r w:rsidR="006540C0" w:rsidRPr="00FB551B">
        <w:rPr>
          <w:lang w:val="en-AU"/>
        </w:rPr>
        <w:t>39</w:t>
      </w:r>
      <w:r w:rsidRPr="00FB551B">
        <w:rPr>
          <w:lang w:val="en-AU"/>
        </w:rPr>
        <w:t xml:space="preserve"> </w:t>
      </w:r>
      <w:r w:rsidR="00C04D16" w:rsidRPr="00FB551B">
        <w:rPr>
          <w:lang w:val="en-AU"/>
        </w:rPr>
        <w:t xml:space="preserve">(NRSV) states, </w:t>
      </w:r>
      <w:r w:rsidR="00863B47" w:rsidRPr="00FB551B">
        <w:rPr>
          <w:lang w:val="en-AU"/>
        </w:rPr>
        <w:t>“</w:t>
      </w:r>
      <w:r w:rsidR="005C71CB" w:rsidRPr="00FB551B">
        <w:rPr>
          <w:lang w:val="en-AU"/>
        </w:rPr>
        <w:t>‘</w:t>
      </w:r>
      <w:r w:rsidR="00C04D16" w:rsidRPr="00FB551B">
        <w:rPr>
          <w:lang w:val="en-AU"/>
        </w:rPr>
        <w:t>He said to him,</w:t>
      </w:r>
      <w:r w:rsidR="005C71CB" w:rsidRPr="00FB551B">
        <w:rPr>
          <w:lang w:val="en-AU"/>
        </w:rPr>
        <w:t>’</w:t>
      </w:r>
      <w:r w:rsidR="00C04D16" w:rsidRPr="00FB551B">
        <w:rPr>
          <w:lang w:val="en-AU"/>
        </w:rPr>
        <w:t xml:space="preserve"> </w:t>
      </w:r>
      <w:r w:rsidR="005C71CB" w:rsidRPr="00FB551B">
        <w:rPr>
          <w:lang w:val="en-AU"/>
        </w:rPr>
        <w:t>‘</w:t>
      </w:r>
      <w:r w:rsidR="00C04D16" w:rsidRPr="00FB551B">
        <w:rPr>
          <w:lang w:val="en-AU"/>
        </w:rPr>
        <w:t>You shall love the Lord your God with all your heart, and with all your soul, and with all your mind.</w:t>
      </w:r>
      <w:r w:rsidR="005C71CB" w:rsidRPr="00FB551B">
        <w:rPr>
          <w:lang w:val="en-AU"/>
        </w:rPr>
        <w:t>’</w:t>
      </w:r>
      <w:r w:rsidR="00C04D16" w:rsidRPr="00FB551B">
        <w:rPr>
          <w:lang w:val="en-AU"/>
        </w:rPr>
        <w:t xml:space="preserve"> This is the greatest and first commandment. And a second is like it: </w:t>
      </w:r>
      <w:r w:rsidR="005C71CB" w:rsidRPr="00FB551B">
        <w:rPr>
          <w:lang w:val="en-AU"/>
        </w:rPr>
        <w:t>‘</w:t>
      </w:r>
      <w:r w:rsidR="00C04D16" w:rsidRPr="00FB551B">
        <w:rPr>
          <w:lang w:val="en-AU"/>
        </w:rPr>
        <w:t>You shall love your neighbor as yourself.</w:t>
      </w:r>
      <w:r w:rsidR="005C71CB" w:rsidRPr="00FB551B">
        <w:rPr>
          <w:lang w:val="en-AU"/>
        </w:rPr>
        <w:t>’</w:t>
      </w:r>
      <w:r w:rsidR="00657CB1" w:rsidRPr="00FB551B">
        <w:rPr>
          <w:lang w:val="en-AU"/>
        </w:rPr>
        <w:t>”</w:t>
      </w:r>
      <w:r w:rsidR="00C04D16" w:rsidRPr="00FB551B">
        <w:rPr>
          <w:lang w:val="en-AU"/>
        </w:rPr>
        <w:t xml:space="preserve"> This passage </w:t>
      </w:r>
      <w:r w:rsidRPr="00FB551B">
        <w:rPr>
          <w:lang w:val="en-AU"/>
        </w:rPr>
        <w:t xml:space="preserve">provides </w:t>
      </w:r>
      <w:r w:rsidR="009359C8" w:rsidRPr="00FB551B">
        <w:rPr>
          <w:lang w:val="en-AU"/>
        </w:rPr>
        <w:t>a</w:t>
      </w:r>
      <w:r w:rsidRPr="00FB551B">
        <w:rPr>
          <w:lang w:val="en-AU"/>
        </w:rPr>
        <w:t xml:space="preserve"> guide for </w:t>
      </w:r>
      <w:r w:rsidR="006540C0" w:rsidRPr="00FB551B">
        <w:rPr>
          <w:lang w:val="en-AU"/>
        </w:rPr>
        <w:t>treat</w:t>
      </w:r>
      <w:r w:rsidR="00C75C01" w:rsidRPr="00FB551B">
        <w:rPr>
          <w:lang w:val="en-AU"/>
        </w:rPr>
        <w:t>ing</w:t>
      </w:r>
      <w:r w:rsidR="006540C0" w:rsidRPr="00FB551B">
        <w:rPr>
          <w:lang w:val="en-AU"/>
        </w:rPr>
        <w:t xml:space="preserve"> others with dignity and respect.</w:t>
      </w:r>
      <w:r w:rsidR="006540C0" w:rsidRPr="00FB551B">
        <w:rPr>
          <w:rStyle w:val="FootnoteReference"/>
          <w:lang w:val="en-AU"/>
        </w:rPr>
        <w:footnoteReference w:id="587"/>
      </w:r>
      <w:r w:rsidR="006540C0" w:rsidRPr="00FB551B">
        <w:rPr>
          <w:lang w:val="en-AU"/>
        </w:rPr>
        <w:t xml:space="preserve"> </w:t>
      </w:r>
      <w:r w:rsidR="00C04D16" w:rsidRPr="00FB551B">
        <w:rPr>
          <w:lang w:val="en-AU"/>
        </w:rPr>
        <w:t>This is further reflected in Matthew 5:44</w:t>
      </w:r>
      <w:r w:rsidR="00504DF1" w:rsidRPr="00FB551B">
        <w:rPr>
          <w:lang w:val="en-AU"/>
        </w:rPr>
        <w:t>–</w:t>
      </w:r>
      <w:r w:rsidR="00C04D16" w:rsidRPr="00FB551B">
        <w:rPr>
          <w:lang w:val="en-AU"/>
        </w:rPr>
        <w:t>48 which states</w:t>
      </w:r>
      <w:r w:rsidR="006540C0" w:rsidRPr="00FB551B">
        <w:rPr>
          <w:lang w:val="en-AU"/>
        </w:rPr>
        <w:t>:</w:t>
      </w:r>
    </w:p>
    <w:p w14:paraId="72CC463E" w14:textId="2C2B0C4F" w:rsidR="00D25D36" w:rsidRPr="00FB551B" w:rsidRDefault="006540C0" w:rsidP="002E1250">
      <w:pPr>
        <w:pStyle w:val="Blockquotation"/>
        <w:rPr>
          <w:sz w:val="24"/>
          <w:lang w:val="en-AU"/>
        </w:rPr>
      </w:pPr>
      <w:r w:rsidRPr="00FB551B">
        <w:rPr>
          <w:sz w:val="24"/>
          <w:lang w:val="en-AU"/>
        </w:rPr>
        <w:t xml:space="preserve">Love your enemies and pray for those who persecute you, so that you may be children of your Father in heaven; for he makes his sun rise on the evil and on the </w:t>
      </w:r>
      <w:proofErr w:type="gramStart"/>
      <w:r w:rsidRPr="00FB551B">
        <w:rPr>
          <w:sz w:val="24"/>
          <w:lang w:val="en-AU"/>
        </w:rPr>
        <w:t>good, and</w:t>
      </w:r>
      <w:proofErr w:type="gramEnd"/>
      <w:r w:rsidRPr="00FB551B">
        <w:rPr>
          <w:sz w:val="24"/>
          <w:lang w:val="en-AU"/>
        </w:rPr>
        <w:t xml:space="preserve"> sends rain on the righteous and on the unrighteous. For if you love those who love you, what reward do you have? Do not even the tax collectors do the same? And if you greet only your brothers and sisters, what more are you doing than others? Do not even the Gentiles do the same?  Be perfect, therefore, as your heavenly Father is perfect.</w:t>
      </w:r>
    </w:p>
    <w:p w14:paraId="564BCF4F" w14:textId="4BD262B7" w:rsidR="006540C0" w:rsidRPr="00FB551B" w:rsidRDefault="00AA476A" w:rsidP="00225D29">
      <w:pPr>
        <w:spacing w:before="240" w:line="480" w:lineRule="auto"/>
        <w:rPr>
          <w:lang w:val="en-AU"/>
        </w:rPr>
      </w:pPr>
      <w:r w:rsidRPr="00FB551B">
        <w:rPr>
          <w:lang w:val="en-AU"/>
        </w:rPr>
        <w:t xml:space="preserve">The concept of love </w:t>
      </w:r>
      <w:r w:rsidR="00657840" w:rsidRPr="00FB551B">
        <w:rPr>
          <w:lang w:val="en-AU"/>
        </w:rPr>
        <w:t xml:space="preserve">is in both Jewish and Christian theology. </w:t>
      </w:r>
      <w:r w:rsidR="00CD3823" w:rsidRPr="00FB551B">
        <w:rPr>
          <w:lang w:val="en-AU"/>
        </w:rPr>
        <w:t>Bultmann</w:t>
      </w:r>
      <w:r w:rsidR="00C75C01" w:rsidRPr="00FB551B">
        <w:rPr>
          <w:lang w:val="en-AU"/>
        </w:rPr>
        <w:t xml:space="preserve"> suggests that </w:t>
      </w:r>
      <w:r w:rsidR="00863B47" w:rsidRPr="00FB551B">
        <w:rPr>
          <w:lang w:val="en-AU"/>
        </w:rPr>
        <w:t>“</w:t>
      </w:r>
      <w:r w:rsidR="00C75C01" w:rsidRPr="00FB551B">
        <w:rPr>
          <w:lang w:val="en-AU"/>
        </w:rPr>
        <w:t>n</w:t>
      </w:r>
      <w:r w:rsidR="006540C0" w:rsidRPr="00FB551B">
        <w:rPr>
          <w:lang w:val="en-AU"/>
        </w:rPr>
        <w:t>o sense of scribal or rabbinic changes nor Jewish apocalyptic exaggerations exists in the method of love.</w:t>
      </w:r>
      <w:r w:rsidR="00863B47" w:rsidRPr="00FB551B">
        <w:rPr>
          <w:lang w:val="en-AU"/>
        </w:rPr>
        <w:t>”</w:t>
      </w:r>
      <w:r w:rsidR="006540C0" w:rsidRPr="00FB551B">
        <w:rPr>
          <w:rStyle w:val="FootnoteReference"/>
          <w:lang w:val="en-AU"/>
        </w:rPr>
        <w:footnoteReference w:id="588"/>
      </w:r>
      <w:r w:rsidR="006540C0" w:rsidRPr="00FB551B">
        <w:rPr>
          <w:lang w:val="en-AU"/>
        </w:rPr>
        <w:t xml:space="preserve"> </w:t>
      </w:r>
      <w:r w:rsidR="00797A9C" w:rsidRPr="00FB551B">
        <w:rPr>
          <w:lang w:val="en-AU"/>
        </w:rPr>
        <w:t>Both Hellenistic and Jewish literature at the time of Jesus have a similar approach of respecting an individual with love.</w:t>
      </w:r>
      <w:r w:rsidR="006540C0" w:rsidRPr="00FB551B">
        <w:rPr>
          <w:rStyle w:val="FootnoteReference"/>
          <w:lang w:val="en-AU"/>
        </w:rPr>
        <w:footnoteReference w:id="589"/>
      </w:r>
      <w:r w:rsidR="006540C0" w:rsidRPr="00FB551B">
        <w:rPr>
          <w:lang w:val="en-AU"/>
        </w:rPr>
        <w:t xml:space="preserve"> Matthew 5:44</w:t>
      </w:r>
      <w:r w:rsidR="00556718" w:rsidRPr="00FB551B">
        <w:rPr>
          <w:lang w:val="en-AU"/>
        </w:rPr>
        <w:t>–</w:t>
      </w:r>
      <w:r w:rsidR="006540C0" w:rsidRPr="00FB551B">
        <w:rPr>
          <w:lang w:val="en-AU"/>
        </w:rPr>
        <w:t xml:space="preserve">48 </w:t>
      </w:r>
      <w:r w:rsidR="0033048C" w:rsidRPr="00FB551B">
        <w:rPr>
          <w:lang w:val="en-AU"/>
        </w:rPr>
        <w:t xml:space="preserve">directs the love statement towards Jewish people and Jewish followers of </w:t>
      </w:r>
      <w:r w:rsidR="00556718" w:rsidRPr="00FB551B">
        <w:rPr>
          <w:lang w:val="en-AU"/>
        </w:rPr>
        <w:t>Jesus</w:t>
      </w:r>
      <w:r w:rsidR="00200278" w:rsidRPr="00FB551B">
        <w:rPr>
          <w:lang w:val="en-AU"/>
        </w:rPr>
        <w:t>.</w:t>
      </w:r>
      <w:r w:rsidR="00200278" w:rsidRPr="00FB551B">
        <w:rPr>
          <w:rStyle w:val="FootnoteReference"/>
          <w:lang w:val="en-AU"/>
        </w:rPr>
        <w:footnoteReference w:id="590"/>
      </w:r>
      <w:r w:rsidR="00200278" w:rsidRPr="00FB551B">
        <w:rPr>
          <w:lang w:val="en-AU"/>
        </w:rPr>
        <w:t xml:space="preserve">  </w:t>
      </w:r>
      <w:r w:rsidR="006540C0" w:rsidRPr="00FB551B">
        <w:rPr>
          <w:lang w:val="en-AU"/>
        </w:rPr>
        <w:t>Vermes</w:t>
      </w:r>
      <w:r w:rsidR="0033048C" w:rsidRPr="00FB551B">
        <w:rPr>
          <w:lang w:val="en-AU"/>
        </w:rPr>
        <w:t xml:space="preserve"> </w:t>
      </w:r>
      <w:r w:rsidR="0080477D" w:rsidRPr="00FB551B">
        <w:rPr>
          <w:lang w:val="en-AU"/>
        </w:rPr>
        <w:t xml:space="preserve">states: </w:t>
      </w:r>
      <w:r w:rsidR="00863B47" w:rsidRPr="00FB551B">
        <w:rPr>
          <w:lang w:val="en-AU"/>
        </w:rPr>
        <w:t>“</w:t>
      </w:r>
      <w:r w:rsidR="006540C0" w:rsidRPr="00FB551B">
        <w:rPr>
          <w:lang w:val="en-AU"/>
        </w:rPr>
        <w:t xml:space="preserve">The model is universal. The term </w:t>
      </w:r>
      <w:r w:rsidR="005C71CB" w:rsidRPr="00FB551B">
        <w:rPr>
          <w:lang w:val="en-AU"/>
        </w:rPr>
        <w:t>‘</w:t>
      </w:r>
      <w:r w:rsidR="006540C0" w:rsidRPr="00FB551B">
        <w:rPr>
          <w:lang w:val="en-AU"/>
        </w:rPr>
        <w:t>enemy,</w:t>
      </w:r>
      <w:r w:rsidR="005C71CB" w:rsidRPr="00FB551B">
        <w:rPr>
          <w:lang w:val="en-AU"/>
        </w:rPr>
        <w:t>’</w:t>
      </w:r>
      <w:r w:rsidR="006540C0" w:rsidRPr="00FB551B">
        <w:rPr>
          <w:lang w:val="en-AU"/>
        </w:rPr>
        <w:t xml:space="preserve"> unless otherwise defined, normally suggests an outsider to the community of Israel... generally speaking, Jesus</w:t>
      </w:r>
      <w:r w:rsidR="005C71CB" w:rsidRPr="00FB551B">
        <w:rPr>
          <w:lang w:val="en-AU"/>
        </w:rPr>
        <w:t>’</w:t>
      </w:r>
      <w:r w:rsidR="006D41DD">
        <w:rPr>
          <w:lang w:val="en-AU"/>
        </w:rPr>
        <w:t>s</w:t>
      </w:r>
      <w:r w:rsidR="006540C0" w:rsidRPr="00FB551B">
        <w:rPr>
          <w:lang w:val="en-AU"/>
        </w:rPr>
        <w:t xml:space="preserve"> vision does not stretch </w:t>
      </w:r>
      <w:r w:rsidR="006540C0" w:rsidRPr="00FB551B">
        <w:rPr>
          <w:lang w:val="en-AU"/>
        </w:rPr>
        <w:lastRenderedPageBreak/>
        <w:t>beyond the Jewish world.</w:t>
      </w:r>
      <w:r w:rsidR="00863B47" w:rsidRPr="00FB551B">
        <w:rPr>
          <w:lang w:val="en-AU"/>
        </w:rPr>
        <w:t>”</w:t>
      </w:r>
      <w:r w:rsidR="006540C0" w:rsidRPr="00FB551B">
        <w:rPr>
          <w:rStyle w:val="FootnoteReference"/>
          <w:lang w:val="en-AU"/>
        </w:rPr>
        <w:footnoteReference w:id="591"/>
      </w:r>
      <w:r w:rsidR="006540C0" w:rsidRPr="00FB551B">
        <w:rPr>
          <w:lang w:val="en-AU"/>
        </w:rPr>
        <w:t xml:space="preserve"> </w:t>
      </w:r>
      <w:r w:rsidR="00FD1D09" w:rsidRPr="00FB551B">
        <w:rPr>
          <w:lang w:val="en-AU"/>
        </w:rPr>
        <w:t>In Vermes</w:t>
      </w:r>
      <w:r w:rsidR="005C71CB" w:rsidRPr="00FB551B">
        <w:rPr>
          <w:lang w:val="en-AU"/>
        </w:rPr>
        <w:t>’</w:t>
      </w:r>
      <w:r w:rsidR="00FD1D09" w:rsidRPr="00FB551B">
        <w:rPr>
          <w:lang w:val="en-AU"/>
        </w:rPr>
        <w:t xml:space="preserve"> view, </w:t>
      </w:r>
      <w:r w:rsidR="005F274C" w:rsidRPr="00FB551B">
        <w:rPr>
          <w:lang w:val="en-AU"/>
        </w:rPr>
        <w:t>t</w:t>
      </w:r>
      <w:r w:rsidR="0033048C" w:rsidRPr="00FB551B">
        <w:rPr>
          <w:lang w:val="en-AU"/>
        </w:rPr>
        <w:t>h</w:t>
      </w:r>
      <w:r w:rsidR="005F274C" w:rsidRPr="00FB551B">
        <w:rPr>
          <w:lang w:val="en-AU"/>
        </w:rPr>
        <w:t xml:space="preserve">e </w:t>
      </w:r>
      <w:r w:rsidR="0033048C" w:rsidRPr="00FB551B">
        <w:rPr>
          <w:lang w:val="en-AU"/>
        </w:rPr>
        <w:t xml:space="preserve">idea of love would not </w:t>
      </w:r>
      <w:r w:rsidR="00256D00" w:rsidRPr="00FB551B">
        <w:rPr>
          <w:lang w:val="en-AU"/>
        </w:rPr>
        <w:t>extend</w:t>
      </w:r>
      <w:r w:rsidR="0033048C" w:rsidRPr="00FB551B">
        <w:rPr>
          <w:lang w:val="en-AU"/>
        </w:rPr>
        <w:t xml:space="preserve"> to ἐθνικός. </w:t>
      </w:r>
      <w:r w:rsidR="006540C0" w:rsidRPr="00FB551B">
        <w:rPr>
          <w:lang w:val="en-AU"/>
        </w:rPr>
        <w:t xml:space="preserve">Warren Carter argues that </w:t>
      </w:r>
      <w:r w:rsidR="00863B47" w:rsidRPr="00FB551B">
        <w:rPr>
          <w:lang w:val="en-AU"/>
        </w:rPr>
        <w:t>“</w:t>
      </w:r>
      <w:r w:rsidR="00726DA6" w:rsidRPr="00FB551B">
        <w:rPr>
          <w:lang w:val="en-AU"/>
        </w:rPr>
        <w:t xml:space="preserve">The </w:t>
      </w:r>
      <w:r w:rsidR="00452A48" w:rsidRPr="00FB551B">
        <w:rPr>
          <w:lang w:val="en-AU"/>
        </w:rPr>
        <w:t xml:space="preserve">opening verb </w:t>
      </w:r>
      <w:r w:rsidR="00726DA6" w:rsidRPr="00FB551B">
        <w:rPr>
          <w:lang w:val="en-AU"/>
        </w:rPr>
        <w:t>(in Matt 5:48)</w:t>
      </w:r>
      <w:r w:rsidR="00FD3DC2" w:rsidRPr="00FB551B">
        <w:rPr>
          <w:lang w:val="en-AU"/>
        </w:rPr>
        <w:t xml:space="preserve"> </w:t>
      </w:r>
      <w:r w:rsidR="00452A48" w:rsidRPr="00FB551B">
        <w:rPr>
          <w:lang w:val="en-AU"/>
        </w:rPr>
        <w:t>could be translated</w:t>
      </w:r>
      <w:r w:rsidR="006540C0" w:rsidRPr="00FB551B">
        <w:rPr>
          <w:lang w:val="en-AU"/>
        </w:rPr>
        <w:t xml:space="preserve"> </w:t>
      </w:r>
      <w:r w:rsidR="00726DA6" w:rsidRPr="00FB551B">
        <w:rPr>
          <w:lang w:val="en-AU"/>
        </w:rPr>
        <w:t xml:space="preserve">as </w:t>
      </w:r>
      <w:r w:rsidR="006540C0" w:rsidRPr="00FB551B">
        <w:rPr>
          <w:lang w:val="en-AU"/>
        </w:rPr>
        <w:t>a command</w:t>
      </w:r>
      <w:r w:rsidR="00726DA6" w:rsidRPr="00FB551B">
        <w:rPr>
          <w:lang w:val="en-AU"/>
        </w:rPr>
        <w:t xml:space="preserve"> (</w:t>
      </w:r>
      <w:r w:rsidR="005C71CB" w:rsidRPr="00FB551B">
        <w:rPr>
          <w:lang w:val="en-AU"/>
        </w:rPr>
        <w:t>‘</w:t>
      </w:r>
      <w:r w:rsidR="00726DA6" w:rsidRPr="00FB551B">
        <w:rPr>
          <w:lang w:val="en-AU"/>
        </w:rPr>
        <w:t>be perfect</w:t>
      </w:r>
      <w:r w:rsidR="005C71CB" w:rsidRPr="00FB551B">
        <w:rPr>
          <w:lang w:val="en-AU"/>
        </w:rPr>
        <w:t>’</w:t>
      </w:r>
      <w:r w:rsidR="00726DA6" w:rsidRPr="00FB551B">
        <w:rPr>
          <w:lang w:val="en-AU"/>
        </w:rPr>
        <w:t>)</w:t>
      </w:r>
      <w:r w:rsidR="006540C0" w:rsidRPr="00FB551B">
        <w:rPr>
          <w:lang w:val="en-AU"/>
        </w:rPr>
        <w:t xml:space="preserve">, a social-ethical consequence (in so living </w:t>
      </w:r>
      <w:r w:rsidR="005C71CB" w:rsidRPr="00FB551B">
        <w:rPr>
          <w:lang w:val="en-AU"/>
        </w:rPr>
        <w:t>‘</w:t>
      </w:r>
      <w:r w:rsidR="006540C0" w:rsidRPr="00FB551B">
        <w:rPr>
          <w:lang w:val="en-AU"/>
        </w:rPr>
        <w:t>you will be perfect</w:t>
      </w:r>
      <w:r w:rsidR="005C71CB" w:rsidRPr="00FB551B">
        <w:rPr>
          <w:lang w:val="en-AU"/>
        </w:rPr>
        <w:t>’</w:t>
      </w:r>
      <w:r w:rsidR="006540C0" w:rsidRPr="00FB551B">
        <w:rPr>
          <w:lang w:val="en-AU"/>
        </w:rPr>
        <w:t>), or an eschatological promise (</w:t>
      </w:r>
      <w:r w:rsidR="005C71CB" w:rsidRPr="00FB551B">
        <w:rPr>
          <w:lang w:val="en-AU"/>
        </w:rPr>
        <w:t>‘</w:t>
      </w:r>
      <w:r w:rsidR="006540C0" w:rsidRPr="00FB551B">
        <w:rPr>
          <w:lang w:val="en-AU"/>
        </w:rPr>
        <w:t>you will/may be perfect</w:t>
      </w:r>
      <w:r w:rsidR="005C71CB" w:rsidRPr="00FB551B">
        <w:rPr>
          <w:lang w:val="en-AU"/>
        </w:rPr>
        <w:t>’</w:t>
      </w:r>
      <w:r w:rsidR="006540C0" w:rsidRPr="00FB551B">
        <w:rPr>
          <w:lang w:val="en-AU"/>
        </w:rPr>
        <w:t>).</w:t>
      </w:r>
      <w:r w:rsidR="00863B47" w:rsidRPr="00FB551B">
        <w:rPr>
          <w:lang w:val="en-AU"/>
        </w:rPr>
        <w:t>”</w:t>
      </w:r>
      <w:r w:rsidR="006540C0" w:rsidRPr="00FB551B">
        <w:rPr>
          <w:lang w:val="en-AU"/>
        </w:rPr>
        <w:t xml:space="preserve"> </w:t>
      </w:r>
      <w:r w:rsidR="006540C0" w:rsidRPr="00FB551B">
        <w:rPr>
          <w:rStyle w:val="FootnoteReference"/>
          <w:lang w:val="en-AU"/>
        </w:rPr>
        <w:footnoteReference w:id="592"/>
      </w:r>
      <w:r w:rsidR="006540C0" w:rsidRPr="00FB551B">
        <w:rPr>
          <w:lang w:val="en-AU"/>
        </w:rPr>
        <w:t xml:space="preserve"> </w:t>
      </w:r>
      <w:r w:rsidR="00862EEC" w:rsidRPr="00FB551B">
        <w:rPr>
          <w:lang w:val="en-AU"/>
        </w:rPr>
        <w:t xml:space="preserve">The scope of the </w:t>
      </w:r>
      <w:r w:rsidR="00F75445" w:rsidRPr="00FB551B">
        <w:rPr>
          <w:lang w:val="en-AU"/>
        </w:rPr>
        <w:t xml:space="preserve">intended </w:t>
      </w:r>
      <w:r w:rsidR="00862EEC" w:rsidRPr="00FB551B">
        <w:rPr>
          <w:lang w:val="en-AU"/>
        </w:rPr>
        <w:t xml:space="preserve">audience is </w:t>
      </w:r>
      <w:r w:rsidR="00F75445" w:rsidRPr="00FB551B">
        <w:rPr>
          <w:lang w:val="en-AU"/>
        </w:rPr>
        <w:t xml:space="preserve">still </w:t>
      </w:r>
      <w:r w:rsidR="00862EEC" w:rsidRPr="00FB551B">
        <w:rPr>
          <w:lang w:val="en-AU"/>
        </w:rPr>
        <w:t xml:space="preserve">limited to Jewish people. </w:t>
      </w:r>
    </w:p>
    <w:p w14:paraId="1E7521E2" w14:textId="64E3A304" w:rsidR="006540C0" w:rsidRPr="00FB551B" w:rsidRDefault="00862EEC" w:rsidP="00022A34">
      <w:pPr>
        <w:spacing w:line="480" w:lineRule="auto"/>
        <w:ind w:firstLine="709"/>
        <w:rPr>
          <w:lang w:val="en-AU"/>
        </w:rPr>
      </w:pPr>
      <w:r w:rsidRPr="00FB551B">
        <w:rPr>
          <w:lang w:val="en-AU"/>
        </w:rPr>
        <w:t>There is an argument that th</w:t>
      </w:r>
      <w:r w:rsidR="00BF201A" w:rsidRPr="00FB551B">
        <w:rPr>
          <w:lang w:val="en-AU"/>
        </w:rPr>
        <w:t xml:space="preserve">ose who heard the </w:t>
      </w:r>
      <w:r w:rsidRPr="00FB551B">
        <w:rPr>
          <w:lang w:val="en-AU"/>
        </w:rPr>
        <w:t>Sermon were not ignorant farmers but</w:t>
      </w:r>
      <w:r w:rsidR="00BF201A" w:rsidRPr="00FB551B">
        <w:rPr>
          <w:lang w:val="en-AU"/>
        </w:rPr>
        <w:t xml:space="preserve"> were</w:t>
      </w:r>
      <w:r w:rsidRPr="00FB551B">
        <w:rPr>
          <w:lang w:val="en-AU"/>
        </w:rPr>
        <w:t xml:space="preserve"> spiritually mature in Torah</w:t>
      </w:r>
      <w:r w:rsidR="00E63819" w:rsidRPr="00FB551B">
        <w:rPr>
          <w:lang w:val="en-AU"/>
        </w:rPr>
        <w:t>, even though the original audience to the Sermon would not be Matthew</w:t>
      </w:r>
      <w:r w:rsidR="005C71CB" w:rsidRPr="00FB551B">
        <w:rPr>
          <w:lang w:val="en-AU"/>
        </w:rPr>
        <w:t>’</w:t>
      </w:r>
      <w:r w:rsidR="00E63819" w:rsidRPr="00FB551B">
        <w:rPr>
          <w:lang w:val="en-AU"/>
        </w:rPr>
        <w:t>s readership written down</w:t>
      </w:r>
      <w:r w:rsidRPr="00FB551B">
        <w:rPr>
          <w:lang w:val="en-AU"/>
        </w:rPr>
        <w:t>.</w:t>
      </w:r>
      <w:r w:rsidR="00256D00" w:rsidRPr="00FB551B">
        <w:rPr>
          <w:lang w:val="en-AU"/>
        </w:rPr>
        <w:t xml:space="preserve"> </w:t>
      </w:r>
      <w:r w:rsidR="006540C0" w:rsidRPr="00FB551B">
        <w:rPr>
          <w:lang w:val="en-AU"/>
        </w:rPr>
        <w:t>Maturity is</w:t>
      </w:r>
      <w:r w:rsidR="00256D00" w:rsidRPr="00FB551B">
        <w:rPr>
          <w:lang w:val="en-AU"/>
        </w:rPr>
        <w:t xml:space="preserve"> defined by the </w:t>
      </w:r>
      <w:r w:rsidR="00074B2F" w:rsidRPr="00FB551B">
        <w:rPr>
          <w:lang w:val="en-AU"/>
        </w:rPr>
        <w:t>action</w:t>
      </w:r>
      <w:r w:rsidR="00256D00" w:rsidRPr="00FB551B">
        <w:rPr>
          <w:lang w:val="en-AU"/>
        </w:rPr>
        <w:t xml:space="preserve"> </w:t>
      </w:r>
      <w:r w:rsidR="005C71CB" w:rsidRPr="00FB551B">
        <w:rPr>
          <w:lang w:val="en-AU"/>
        </w:rPr>
        <w:t>‘</w:t>
      </w:r>
      <w:r w:rsidR="00256D00" w:rsidRPr="00FB551B">
        <w:rPr>
          <w:lang w:val="en-AU"/>
        </w:rPr>
        <w:t>be perfect.</w:t>
      </w:r>
      <w:r w:rsidR="005C71CB" w:rsidRPr="00FB551B">
        <w:rPr>
          <w:lang w:val="en-AU"/>
        </w:rPr>
        <w:t>’</w:t>
      </w:r>
      <w:r w:rsidR="00256D00" w:rsidRPr="00FB551B">
        <w:rPr>
          <w:lang w:val="en-AU"/>
        </w:rPr>
        <w:t xml:space="preserve"> </w:t>
      </w:r>
      <w:r w:rsidR="006540C0" w:rsidRPr="00FB551B">
        <w:rPr>
          <w:lang w:val="en-AU"/>
        </w:rPr>
        <w:t>Matthew 5:48 (NRSV) reads</w:t>
      </w:r>
      <w:r w:rsidR="007945DC" w:rsidRPr="00FB551B">
        <w:rPr>
          <w:lang w:val="en-AU"/>
        </w:rPr>
        <w:t>,</w:t>
      </w:r>
      <w:r w:rsidR="006540C0" w:rsidRPr="00FB551B">
        <w:rPr>
          <w:lang w:val="en-AU"/>
        </w:rPr>
        <w:t xml:space="preserve"> </w:t>
      </w:r>
      <w:r w:rsidR="00863B47" w:rsidRPr="00FB551B">
        <w:rPr>
          <w:lang w:val="en-AU"/>
        </w:rPr>
        <w:t>“</w:t>
      </w:r>
      <w:r w:rsidR="006540C0" w:rsidRPr="00FB551B">
        <w:rPr>
          <w:lang w:val="en-AU"/>
        </w:rPr>
        <w:t>Be perfect, therefore, as your heavenly Father is perfect</w:t>
      </w:r>
      <w:r w:rsidR="00863B47" w:rsidRPr="00FB551B">
        <w:rPr>
          <w:lang w:val="en-AU"/>
        </w:rPr>
        <w:t>”</w:t>
      </w:r>
      <w:r w:rsidRPr="00FB551B">
        <w:rPr>
          <w:lang w:val="en-AU"/>
        </w:rPr>
        <w:t xml:space="preserve"> </w:t>
      </w:r>
      <w:r w:rsidR="007C5DDF" w:rsidRPr="00FB551B">
        <w:rPr>
          <w:lang w:val="en-AU"/>
        </w:rPr>
        <w:t>(</w:t>
      </w:r>
      <w:r w:rsidR="00863B47" w:rsidRPr="00FB551B">
        <w:rPr>
          <w:lang w:val="en-AU"/>
        </w:rPr>
        <w:t>“</w:t>
      </w:r>
      <w:r w:rsidR="006540C0" w:rsidRPr="00FB551B">
        <w:rPr>
          <w:lang w:val="en-AU"/>
        </w:rPr>
        <w:t>Ἔσεσθε οὖν ὑμεῖς τέλειοι ⸀ὡς ὁ πατὴρ ὑμῶν ὁ ⸀οὐράνιος τέλειός ἐστιν</w:t>
      </w:r>
      <w:r w:rsidR="00863B47" w:rsidRPr="00FB551B">
        <w:rPr>
          <w:lang w:val="en-AU"/>
        </w:rPr>
        <w:t>”</w:t>
      </w:r>
      <w:r w:rsidR="007C5DDF" w:rsidRPr="00FB551B">
        <w:rPr>
          <w:lang w:val="en-AU"/>
        </w:rPr>
        <w:t>).</w:t>
      </w:r>
      <w:r w:rsidR="006540C0" w:rsidRPr="00FB551B">
        <w:rPr>
          <w:lang w:val="en-AU"/>
        </w:rPr>
        <w:t xml:space="preserve"> The Greek uses the word τέλειοι</w:t>
      </w:r>
      <w:r w:rsidR="007C5DDF" w:rsidRPr="00FB551B">
        <w:rPr>
          <w:lang w:val="en-AU"/>
        </w:rPr>
        <w:t>,</w:t>
      </w:r>
      <w:r w:rsidR="006540C0" w:rsidRPr="00FB551B">
        <w:rPr>
          <w:lang w:val="en-AU"/>
        </w:rPr>
        <w:t xml:space="preserve"> meaning complete or perfect.</w:t>
      </w:r>
      <w:r w:rsidR="006540C0" w:rsidRPr="00FB551B">
        <w:rPr>
          <w:rStyle w:val="FootnoteReference"/>
          <w:lang w:val="en-AU"/>
        </w:rPr>
        <w:footnoteReference w:id="593"/>
      </w:r>
      <w:r w:rsidR="006540C0" w:rsidRPr="00FB551B">
        <w:rPr>
          <w:lang w:val="en-AU"/>
        </w:rPr>
        <w:t xml:space="preserve"> </w:t>
      </w:r>
      <w:r w:rsidR="00B0637C" w:rsidRPr="00FB551B">
        <w:rPr>
          <w:lang w:val="en-AU"/>
        </w:rPr>
        <w:t xml:space="preserve">According to Levine and </w:t>
      </w:r>
      <w:r w:rsidR="0080064D" w:rsidRPr="00FB551B">
        <w:rPr>
          <w:lang w:val="en-AU"/>
        </w:rPr>
        <w:t>Brettler, τέλειοι</w:t>
      </w:r>
      <w:r w:rsidR="006540C0" w:rsidRPr="00FB551B">
        <w:rPr>
          <w:lang w:val="en-AU"/>
        </w:rPr>
        <w:t>,</w:t>
      </w:r>
      <w:r w:rsidR="00B0637C" w:rsidRPr="00FB551B">
        <w:rPr>
          <w:lang w:val="en-AU"/>
        </w:rPr>
        <w:t xml:space="preserve"> is unique to Matthe</w:t>
      </w:r>
      <w:r w:rsidR="00CE5B92" w:rsidRPr="00FB551B">
        <w:rPr>
          <w:lang w:val="en-AU"/>
        </w:rPr>
        <w:t>w</w:t>
      </w:r>
      <w:r w:rsidR="005C71CB" w:rsidRPr="00FB551B">
        <w:rPr>
          <w:lang w:val="en-AU"/>
        </w:rPr>
        <w:t>’</w:t>
      </w:r>
      <w:r w:rsidR="00CE5B92" w:rsidRPr="00FB551B">
        <w:rPr>
          <w:lang w:val="en-AU"/>
        </w:rPr>
        <w:t>s</w:t>
      </w:r>
      <w:r w:rsidR="00B0637C" w:rsidRPr="00FB551B">
        <w:rPr>
          <w:lang w:val="en-AU"/>
        </w:rPr>
        <w:t xml:space="preserve"> account </w:t>
      </w:r>
      <w:r w:rsidR="00CE5B92" w:rsidRPr="00FB551B">
        <w:rPr>
          <w:lang w:val="en-AU"/>
        </w:rPr>
        <w:t>of the Sermon</w:t>
      </w:r>
      <w:r w:rsidR="00E63819" w:rsidRPr="00FB551B">
        <w:rPr>
          <w:lang w:val="en-AU"/>
        </w:rPr>
        <w:t xml:space="preserve"> </w:t>
      </w:r>
      <w:r w:rsidR="007F5AAE">
        <w:rPr>
          <w:lang w:val="en-AU"/>
        </w:rPr>
        <w:t xml:space="preserve">and </w:t>
      </w:r>
      <w:r w:rsidR="0080064D" w:rsidRPr="00FB551B">
        <w:rPr>
          <w:lang w:val="en-AU"/>
        </w:rPr>
        <w:t>suggest</w:t>
      </w:r>
      <w:r w:rsidR="007F5AAE">
        <w:rPr>
          <w:lang w:val="en-AU"/>
        </w:rPr>
        <w:t>s</w:t>
      </w:r>
      <w:r w:rsidR="00B0637C" w:rsidRPr="00FB551B">
        <w:rPr>
          <w:lang w:val="en-AU"/>
        </w:rPr>
        <w:t xml:space="preserve"> that τέλειοι, appears in the Letter of James</w:t>
      </w:r>
      <w:r w:rsidR="007F5AAE">
        <w:rPr>
          <w:lang w:val="en-AU"/>
        </w:rPr>
        <w:t xml:space="preserve"> because it is </w:t>
      </w:r>
      <w:r w:rsidR="00B250F5" w:rsidRPr="00FB551B">
        <w:rPr>
          <w:lang w:val="en-AU"/>
        </w:rPr>
        <w:t>of</w:t>
      </w:r>
      <w:r w:rsidR="00B0637C" w:rsidRPr="00FB551B">
        <w:rPr>
          <w:lang w:val="en-AU"/>
        </w:rPr>
        <w:t xml:space="preserve"> Jewish authorship.</w:t>
      </w:r>
      <w:r w:rsidR="006540C0" w:rsidRPr="00FB551B">
        <w:rPr>
          <w:rStyle w:val="FootnoteReference"/>
          <w:lang w:val="en-AU"/>
        </w:rPr>
        <w:footnoteReference w:id="594"/>
      </w:r>
      <w:r w:rsidR="006540C0" w:rsidRPr="00FB551B">
        <w:rPr>
          <w:lang w:val="en-AU"/>
        </w:rPr>
        <w:t xml:space="preserve"> </w:t>
      </w:r>
      <w:r w:rsidR="00E63819" w:rsidRPr="00FB551B">
        <w:rPr>
          <w:lang w:val="en-AU"/>
        </w:rPr>
        <w:t xml:space="preserve"> τέλειοι  appears in Luke 13:32 and John 17:23 as well. </w:t>
      </w:r>
      <w:r w:rsidR="0006377A" w:rsidRPr="00FB551B">
        <w:rPr>
          <w:lang w:val="en-AU"/>
        </w:rPr>
        <w:t>I</w:t>
      </w:r>
      <w:r w:rsidR="00B42B9C" w:rsidRPr="00FB551B">
        <w:rPr>
          <w:lang w:val="en-AU"/>
        </w:rPr>
        <w:t>n</w:t>
      </w:r>
      <w:r w:rsidR="00B0637C" w:rsidRPr="00FB551B">
        <w:rPr>
          <w:lang w:val="en-AU"/>
        </w:rPr>
        <w:t xml:space="preserve"> the Matthe</w:t>
      </w:r>
      <w:r w:rsidR="00B42B9C" w:rsidRPr="00FB551B">
        <w:rPr>
          <w:lang w:val="en-AU"/>
        </w:rPr>
        <w:t>an</w:t>
      </w:r>
      <w:r w:rsidR="00B0637C" w:rsidRPr="00FB551B">
        <w:rPr>
          <w:lang w:val="en-AU"/>
        </w:rPr>
        <w:t xml:space="preserve"> story, a</w:t>
      </w:r>
      <w:r w:rsidR="00E63819" w:rsidRPr="00FB551B">
        <w:rPr>
          <w:lang w:val="en-AU"/>
        </w:rPr>
        <w:t xml:space="preserve">n enemy </w:t>
      </w:r>
      <w:r w:rsidR="0006377A" w:rsidRPr="00FB551B">
        <w:rPr>
          <w:lang w:val="en-AU"/>
        </w:rPr>
        <w:t>is</w:t>
      </w:r>
      <w:r w:rsidR="00B0637C" w:rsidRPr="00FB551B">
        <w:rPr>
          <w:lang w:val="en-AU"/>
        </w:rPr>
        <w:t xml:space="preserve"> equated with tax</w:t>
      </w:r>
      <w:r w:rsidR="0006377A" w:rsidRPr="00FB551B">
        <w:rPr>
          <w:lang w:val="en-AU"/>
        </w:rPr>
        <w:t>-</w:t>
      </w:r>
      <w:r w:rsidR="00B0637C" w:rsidRPr="00FB551B">
        <w:rPr>
          <w:lang w:val="en-AU"/>
        </w:rPr>
        <w:t>collectors, and</w:t>
      </w:r>
      <w:r w:rsidR="00D6343B" w:rsidRPr="00FB551B">
        <w:rPr>
          <w:lang w:val="en-AU"/>
        </w:rPr>
        <w:t xml:space="preserve"> </w:t>
      </w:r>
      <w:r w:rsidR="00C14516" w:rsidRPr="00FB551B">
        <w:rPr>
          <w:lang w:val="en-AU"/>
        </w:rPr>
        <w:t>Jesus</w:t>
      </w:r>
      <w:r w:rsidR="00B0637C" w:rsidRPr="00FB551B">
        <w:rPr>
          <w:lang w:val="en-AU"/>
        </w:rPr>
        <w:t xml:space="preserve"> used the story of Zacchaeus </w:t>
      </w:r>
      <w:r w:rsidR="00BF2AA4" w:rsidRPr="00FB551B">
        <w:rPr>
          <w:lang w:val="en-AU"/>
        </w:rPr>
        <w:t>as recorded by Luke</w:t>
      </w:r>
      <w:r w:rsidR="00B0637C" w:rsidRPr="00FB551B">
        <w:rPr>
          <w:lang w:val="en-AU"/>
        </w:rPr>
        <w:t xml:space="preserve"> </w:t>
      </w:r>
      <w:r w:rsidR="0080064D" w:rsidRPr="00FB551B">
        <w:rPr>
          <w:lang w:val="en-AU"/>
        </w:rPr>
        <w:t>Zacchaeus</w:t>
      </w:r>
      <w:r w:rsidR="00B0637C" w:rsidRPr="00FB551B">
        <w:rPr>
          <w:lang w:val="en-AU"/>
        </w:rPr>
        <w:t xml:space="preserve"> was sinful and was not </w:t>
      </w:r>
      <w:r w:rsidR="006540C0" w:rsidRPr="00FB551B">
        <w:rPr>
          <w:lang w:val="en-AU"/>
        </w:rPr>
        <w:t>τέλειοι.</w:t>
      </w:r>
      <w:r w:rsidR="0070641D" w:rsidRPr="00FB551B">
        <w:rPr>
          <w:lang w:val="en-AU"/>
        </w:rPr>
        <w:t xml:space="preserve"> </w:t>
      </w:r>
      <w:r w:rsidR="006540C0" w:rsidRPr="00FB551B">
        <w:rPr>
          <w:lang w:val="en-AU"/>
        </w:rPr>
        <w:t>Zacchaeus</w:t>
      </w:r>
      <w:r w:rsidRPr="00FB551B">
        <w:rPr>
          <w:lang w:val="en-AU"/>
        </w:rPr>
        <w:t xml:space="preserve"> </w:t>
      </w:r>
      <w:r w:rsidR="00863B47" w:rsidRPr="00FB551B">
        <w:rPr>
          <w:lang w:val="en-AU"/>
        </w:rPr>
        <w:t>“</w:t>
      </w:r>
      <w:r w:rsidR="006540C0" w:rsidRPr="00FB551B">
        <w:rPr>
          <w:lang w:val="en-AU"/>
        </w:rPr>
        <w:t>is a person rejected and despised.</w:t>
      </w:r>
      <w:r w:rsidR="00863B47" w:rsidRPr="00FB551B">
        <w:rPr>
          <w:lang w:val="en-AU"/>
        </w:rPr>
        <w:t>”</w:t>
      </w:r>
      <w:r w:rsidR="006540C0" w:rsidRPr="00FB551B">
        <w:rPr>
          <w:rStyle w:val="FootnoteReference"/>
          <w:lang w:val="en-AU"/>
        </w:rPr>
        <w:footnoteReference w:id="595"/>
      </w:r>
      <w:r w:rsidR="006540C0" w:rsidRPr="00FB551B">
        <w:rPr>
          <w:lang w:val="en-AU"/>
        </w:rPr>
        <w:t xml:space="preserve"> </w:t>
      </w:r>
      <w:r w:rsidR="007D21F3" w:rsidRPr="00FB551B">
        <w:rPr>
          <w:lang w:val="en-AU"/>
        </w:rPr>
        <w:t>The person Zacchaeus would have been</w:t>
      </w:r>
      <w:r w:rsidR="00331B63" w:rsidRPr="00FB551B">
        <w:rPr>
          <w:lang w:val="en-AU"/>
        </w:rPr>
        <w:t xml:space="preserve"> </w:t>
      </w:r>
      <w:r w:rsidR="007D21F3" w:rsidRPr="00FB551B">
        <w:rPr>
          <w:lang w:val="en-AU"/>
        </w:rPr>
        <w:t xml:space="preserve">working for the state; thus, the perception of the people may </w:t>
      </w:r>
      <w:r w:rsidR="00331B63" w:rsidRPr="00FB551B">
        <w:rPr>
          <w:lang w:val="en-AU"/>
        </w:rPr>
        <w:t xml:space="preserve">be that as a </w:t>
      </w:r>
      <w:r w:rsidR="007D21F3" w:rsidRPr="00FB551B">
        <w:rPr>
          <w:lang w:val="en-AU"/>
        </w:rPr>
        <w:t>tax</w:t>
      </w:r>
      <w:r w:rsidR="00BF2AA4" w:rsidRPr="00FB551B">
        <w:rPr>
          <w:lang w:val="en-AU"/>
        </w:rPr>
        <w:t>-</w:t>
      </w:r>
      <w:r w:rsidR="007D21F3" w:rsidRPr="00FB551B">
        <w:rPr>
          <w:lang w:val="en-AU"/>
        </w:rPr>
        <w:t>collector</w:t>
      </w:r>
      <w:r w:rsidR="00331B63" w:rsidRPr="00FB551B">
        <w:rPr>
          <w:lang w:val="en-AU"/>
        </w:rPr>
        <w:t xml:space="preserve"> Zacchaeus </w:t>
      </w:r>
      <w:r w:rsidR="007D21F3" w:rsidRPr="00FB551B">
        <w:rPr>
          <w:lang w:val="en-AU"/>
        </w:rPr>
        <w:t xml:space="preserve">is not trustworthy. </w:t>
      </w:r>
      <w:r w:rsidR="006540C0" w:rsidRPr="00FB551B">
        <w:rPr>
          <w:lang w:val="en-AU"/>
        </w:rPr>
        <w:t xml:space="preserve">According to Stern, </w:t>
      </w:r>
      <w:r w:rsidR="00863B47" w:rsidRPr="00FB551B">
        <w:rPr>
          <w:lang w:val="en-AU"/>
        </w:rPr>
        <w:t>“</w:t>
      </w:r>
      <w:r w:rsidR="006540C0" w:rsidRPr="00FB551B">
        <w:rPr>
          <w:lang w:val="en-AU"/>
        </w:rPr>
        <w:t xml:space="preserve">a tax collector was a despised person in the Jewish community because they worked for the oppressive state and also lined their own pockets </w:t>
      </w:r>
      <w:r w:rsidR="006540C0" w:rsidRPr="00FB551B">
        <w:rPr>
          <w:lang w:val="en-AU"/>
        </w:rPr>
        <w:lastRenderedPageBreak/>
        <w:t>with the people</w:t>
      </w:r>
      <w:r w:rsidR="005C71CB" w:rsidRPr="00FB551B">
        <w:rPr>
          <w:lang w:val="en-AU"/>
        </w:rPr>
        <w:t>’</w:t>
      </w:r>
      <w:r w:rsidR="006540C0" w:rsidRPr="00FB551B">
        <w:rPr>
          <w:lang w:val="en-AU"/>
        </w:rPr>
        <w:t>s money</w:t>
      </w:r>
      <w:r w:rsidR="0080064D" w:rsidRPr="00FB551B">
        <w:rPr>
          <w:lang w:val="en-AU"/>
        </w:rPr>
        <w:t>.</w:t>
      </w:r>
      <w:r w:rsidR="00863B47" w:rsidRPr="00FB551B">
        <w:rPr>
          <w:lang w:val="en-AU"/>
        </w:rPr>
        <w:t>”</w:t>
      </w:r>
      <w:r w:rsidR="006540C0" w:rsidRPr="00FB551B">
        <w:rPr>
          <w:rStyle w:val="FootnoteReference"/>
          <w:lang w:val="en-AU"/>
        </w:rPr>
        <w:footnoteReference w:id="596"/>
      </w:r>
      <w:r w:rsidR="006540C0" w:rsidRPr="00FB551B">
        <w:rPr>
          <w:lang w:val="en-AU"/>
        </w:rPr>
        <w:t xml:space="preserve"> </w:t>
      </w:r>
      <w:r w:rsidR="00B0637C" w:rsidRPr="00FB551B">
        <w:rPr>
          <w:lang w:val="en-AU"/>
        </w:rPr>
        <w:t>Tax</w:t>
      </w:r>
      <w:r w:rsidR="00B8500B" w:rsidRPr="00FB551B">
        <w:rPr>
          <w:lang w:val="en-AU"/>
        </w:rPr>
        <w:t>-</w:t>
      </w:r>
      <w:r w:rsidR="00B0637C" w:rsidRPr="00FB551B">
        <w:rPr>
          <w:lang w:val="en-AU"/>
        </w:rPr>
        <w:t xml:space="preserve">collectors </w:t>
      </w:r>
      <w:r w:rsidR="0080064D" w:rsidRPr="00FB551B">
        <w:rPr>
          <w:lang w:val="en-AU"/>
        </w:rPr>
        <w:t xml:space="preserve">stole and took unequally from people for personal gain </w:t>
      </w:r>
      <w:r w:rsidR="006540C0" w:rsidRPr="00FB551B">
        <w:rPr>
          <w:lang w:val="en-AU"/>
        </w:rPr>
        <w:t xml:space="preserve">without repercussions. </w:t>
      </w:r>
      <w:r w:rsidR="0080064D" w:rsidRPr="00FB551B">
        <w:rPr>
          <w:lang w:val="en-AU"/>
        </w:rPr>
        <w:t>Hutt explains</w:t>
      </w:r>
      <w:r w:rsidR="00022A34" w:rsidRPr="00FB551B">
        <w:rPr>
          <w:lang w:val="en-AU"/>
        </w:rPr>
        <w:t xml:space="preserve"> that other views of tax collectors exist, </w:t>
      </w:r>
      <w:r w:rsidR="00863B47" w:rsidRPr="00FB551B">
        <w:rPr>
          <w:lang w:val="en-AU"/>
        </w:rPr>
        <w:t>“</w:t>
      </w:r>
      <w:r w:rsidR="00022A34" w:rsidRPr="00FB551B">
        <w:rPr>
          <w:lang w:val="en-AU"/>
        </w:rPr>
        <w:t>For the author of the Gospel of Luke and early Christians after him, Zacchaeus is both a Jewish and a Christian exemplar of an approved money changer. Not all money changers, according to these ancient Christian traditions, were to be critici</w:t>
      </w:r>
      <w:r w:rsidR="00D86BBD" w:rsidRPr="00FB551B">
        <w:rPr>
          <w:lang w:val="en-AU"/>
        </w:rPr>
        <w:t>s</w:t>
      </w:r>
      <w:r w:rsidR="00022A34" w:rsidRPr="00FB551B">
        <w:rPr>
          <w:lang w:val="en-AU"/>
        </w:rPr>
        <w:t>ed. Even if they served as money changers and tax collectors for the temple in Jerusalem.</w:t>
      </w:r>
      <w:r w:rsidR="00863B47" w:rsidRPr="00FB551B">
        <w:rPr>
          <w:lang w:val="en-AU"/>
        </w:rPr>
        <w:t>”</w:t>
      </w:r>
      <w:r w:rsidR="006540C0" w:rsidRPr="00FB551B">
        <w:rPr>
          <w:rStyle w:val="FootnoteReference"/>
          <w:lang w:val="en-AU"/>
        </w:rPr>
        <w:footnoteReference w:id="597"/>
      </w:r>
      <w:r w:rsidR="006540C0" w:rsidRPr="00FB551B">
        <w:rPr>
          <w:lang w:val="en-AU"/>
        </w:rPr>
        <w:t xml:space="preserve"> </w:t>
      </w:r>
    </w:p>
    <w:p w14:paraId="19F09817" w14:textId="49331143" w:rsidR="006540C0" w:rsidRPr="00FB551B" w:rsidRDefault="00532284" w:rsidP="00BC7015">
      <w:pPr>
        <w:pStyle w:val="Heading2"/>
        <w:rPr>
          <w:caps/>
        </w:rPr>
      </w:pPr>
      <w:bookmarkStart w:id="179" w:name="_Toc94537039"/>
      <w:bookmarkStart w:id="180" w:name="_Toc118063686"/>
      <w:r w:rsidRPr="00FB551B">
        <w:rPr>
          <w:caps/>
        </w:rPr>
        <w:t>8</w:t>
      </w:r>
      <w:r w:rsidR="006540C0" w:rsidRPr="00FB551B">
        <w:rPr>
          <w:caps/>
        </w:rPr>
        <w:t>.</w:t>
      </w:r>
      <w:r w:rsidR="006A27B3" w:rsidRPr="00FB551B">
        <w:rPr>
          <w:caps/>
        </w:rPr>
        <w:t>9</w:t>
      </w:r>
      <w:r w:rsidR="007B6AA1" w:rsidRPr="00FB551B">
        <w:rPr>
          <w:caps/>
        </w:rPr>
        <w:t xml:space="preserve"> </w:t>
      </w:r>
      <w:r w:rsidR="00A66249" w:rsidRPr="00FB551B">
        <w:rPr>
          <w:caps/>
        </w:rPr>
        <w:t>C</w:t>
      </w:r>
      <w:r w:rsidR="00A66249" w:rsidRPr="00FB551B">
        <w:t>hapter C</w:t>
      </w:r>
      <w:r w:rsidR="006540C0" w:rsidRPr="00FB551B">
        <w:t>onclusion</w:t>
      </w:r>
      <w:bookmarkEnd w:id="179"/>
      <w:bookmarkEnd w:id="180"/>
    </w:p>
    <w:p w14:paraId="34334129" w14:textId="2B80EE21" w:rsidR="00E667B6" w:rsidRPr="00FB551B" w:rsidRDefault="00B64C0B" w:rsidP="00C149F9">
      <w:pPr>
        <w:spacing w:line="480" w:lineRule="auto"/>
        <w:ind w:firstLine="720"/>
        <w:rPr>
          <w:lang w:val="en-AU"/>
        </w:rPr>
      </w:pPr>
      <w:r w:rsidRPr="00FB551B">
        <w:rPr>
          <w:lang w:val="en-AU"/>
        </w:rPr>
        <w:t xml:space="preserve">The Sermon on the Mount provides ethical and moral understanding which means </w:t>
      </w:r>
      <w:r w:rsidR="00350086" w:rsidRPr="00FB551B">
        <w:rPr>
          <w:lang w:val="en-AU"/>
        </w:rPr>
        <w:t>in the context of Matthew 5:38</w:t>
      </w:r>
      <w:r w:rsidR="00FB551B" w:rsidRPr="00FB551B">
        <w:rPr>
          <w:lang w:val="en-AU"/>
        </w:rPr>
        <w:t>–</w:t>
      </w:r>
      <w:r w:rsidR="00350086" w:rsidRPr="00FB551B">
        <w:rPr>
          <w:lang w:val="en-AU"/>
        </w:rPr>
        <w:t xml:space="preserve">42, </w:t>
      </w:r>
      <w:r w:rsidRPr="00FB551B">
        <w:rPr>
          <w:lang w:val="en-AU"/>
        </w:rPr>
        <w:t xml:space="preserve">a person </w:t>
      </w:r>
      <w:r w:rsidR="00C149F9" w:rsidRPr="00FB551B">
        <w:rPr>
          <w:lang w:val="en-AU"/>
        </w:rPr>
        <w:t>can</w:t>
      </w:r>
      <w:r w:rsidRPr="00FB551B">
        <w:rPr>
          <w:lang w:val="en-AU"/>
        </w:rPr>
        <w:t xml:space="preserve"> act in a capacity of </w:t>
      </w:r>
      <w:r w:rsidR="000F08F1" w:rsidRPr="00FB551B">
        <w:rPr>
          <w:lang w:val="en-AU"/>
        </w:rPr>
        <w:t>unequivocal</w:t>
      </w:r>
      <w:r w:rsidRPr="00FB551B">
        <w:rPr>
          <w:lang w:val="en-AU"/>
        </w:rPr>
        <w:t xml:space="preserve"> love towards other people. In the Sermo</w:t>
      </w:r>
      <w:r w:rsidR="00350086" w:rsidRPr="00FB551B">
        <w:rPr>
          <w:lang w:val="en-AU"/>
        </w:rPr>
        <w:t>n</w:t>
      </w:r>
      <w:r w:rsidRPr="00FB551B">
        <w:rPr>
          <w:lang w:val="en-AU"/>
        </w:rPr>
        <w:t>, there are elements of Jewish ethics preserved in the antithes</w:t>
      </w:r>
      <w:r w:rsidR="007F5AAE">
        <w:rPr>
          <w:lang w:val="en-AU"/>
        </w:rPr>
        <w:t>e</w:t>
      </w:r>
      <w:r w:rsidRPr="00FB551B">
        <w:rPr>
          <w:lang w:val="en-AU"/>
        </w:rPr>
        <w:t xml:space="preserve">s and </w:t>
      </w:r>
      <w:r w:rsidR="000F08F1" w:rsidRPr="00FB551B">
        <w:rPr>
          <w:lang w:val="en-AU"/>
        </w:rPr>
        <w:t>taught</w:t>
      </w:r>
      <w:r w:rsidRPr="00FB551B">
        <w:rPr>
          <w:lang w:val="en-AU"/>
        </w:rPr>
        <w:t xml:space="preserve"> through the teachings of Jesus.</w:t>
      </w:r>
      <w:r w:rsidR="00C149F9">
        <w:rPr>
          <w:lang w:val="en-AU"/>
        </w:rPr>
        <w:t xml:space="preserve"> These elements shed light on the compassion and care that are in contemporary Jewish thought at the time of Jesus.</w:t>
      </w:r>
      <w:r w:rsidRPr="00FB551B">
        <w:rPr>
          <w:lang w:val="en-AU"/>
        </w:rPr>
        <w:t xml:space="preserve"> </w:t>
      </w:r>
      <w:r w:rsidR="00C149F9">
        <w:rPr>
          <w:lang w:val="en-AU"/>
        </w:rPr>
        <w:t xml:space="preserve">This chapter provides a better understanding of </w:t>
      </w:r>
      <w:r w:rsidR="00C149F9" w:rsidRPr="00FB551B">
        <w:rPr>
          <w:lang w:val="en-AU"/>
        </w:rPr>
        <w:t>μακάριοι and πραεῖς</w:t>
      </w:r>
      <w:r w:rsidR="00C149F9">
        <w:rPr>
          <w:lang w:val="en-AU"/>
        </w:rPr>
        <w:t xml:space="preserve">. </w:t>
      </w:r>
      <w:r w:rsidRPr="00FB551B">
        <w:rPr>
          <w:lang w:val="en-AU"/>
        </w:rPr>
        <w:t xml:space="preserve">In Matthew 5:5, </w:t>
      </w:r>
      <w:r w:rsidR="000F08F1" w:rsidRPr="00FB551B">
        <w:rPr>
          <w:lang w:val="en-AU"/>
        </w:rPr>
        <w:t>this chapter details how the Greek word translated “blessed”, μακάριοι</w:t>
      </w:r>
      <w:r w:rsidR="00C149F9">
        <w:rPr>
          <w:lang w:val="en-AU"/>
        </w:rPr>
        <w:t>,</w:t>
      </w:r>
      <w:r w:rsidR="000F08F1" w:rsidRPr="00FB551B">
        <w:rPr>
          <w:lang w:val="en-AU"/>
        </w:rPr>
        <w:t xml:space="preserve"> is best translated as “happy” and πραεῖς </w:t>
      </w:r>
      <w:r w:rsidR="00C149F9">
        <w:rPr>
          <w:lang w:val="en-AU"/>
        </w:rPr>
        <w:t>best</w:t>
      </w:r>
      <w:r w:rsidR="000F08F1" w:rsidRPr="00FB551B">
        <w:rPr>
          <w:lang w:val="en-AU"/>
        </w:rPr>
        <w:t xml:space="preserve"> translates as a meek and humble person. The best understanding </w:t>
      </w:r>
      <w:r w:rsidR="007F5AAE">
        <w:rPr>
          <w:lang w:val="en-AU"/>
        </w:rPr>
        <w:t xml:space="preserve">of Matthew 5:5 is </w:t>
      </w:r>
      <w:r w:rsidR="007F5AAE" w:rsidRPr="00FB551B">
        <w:rPr>
          <w:lang w:val="en-AU"/>
        </w:rPr>
        <w:t>“</w:t>
      </w:r>
      <w:r w:rsidR="000F08F1" w:rsidRPr="00FB551B">
        <w:rPr>
          <w:lang w:val="en-AU"/>
        </w:rPr>
        <w:t>happy are the meek and humble</w:t>
      </w:r>
      <w:r w:rsidR="007F5AAE">
        <w:rPr>
          <w:lang w:val="en-AU"/>
        </w:rPr>
        <w:t>.</w:t>
      </w:r>
      <w:r w:rsidR="000F08F1" w:rsidRPr="00FB551B">
        <w:rPr>
          <w:lang w:val="en-AU"/>
        </w:rPr>
        <w:t xml:space="preserve">” </w:t>
      </w:r>
      <w:r w:rsidR="00C149F9">
        <w:rPr>
          <w:lang w:val="en-AU"/>
        </w:rPr>
        <w:t xml:space="preserve">This further is understood with the teachings of a person’s temperament. </w:t>
      </w:r>
      <w:r w:rsidR="007F5AAE">
        <w:rPr>
          <w:lang w:val="en-AU"/>
        </w:rPr>
        <w:t>I</w:t>
      </w:r>
      <w:r w:rsidR="000F08F1" w:rsidRPr="00FB551B">
        <w:rPr>
          <w:lang w:val="en-AU"/>
        </w:rPr>
        <w:t>n the beatitudes</w:t>
      </w:r>
      <w:r w:rsidR="007F5AAE">
        <w:rPr>
          <w:lang w:val="en-AU"/>
        </w:rPr>
        <w:t xml:space="preserve">, Jesus is </w:t>
      </w:r>
      <w:r w:rsidR="000F08F1" w:rsidRPr="00FB551B">
        <w:rPr>
          <w:lang w:val="en-AU"/>
        </w:rPr>
        <w:t>also meaning that a person has self-control.  In Mathew 5:9 the chapter explains the meaning of being a peacemaker according to εἰρηνοποιοί. Understanding peace in terms of ‘peacemaker’ in the Sermon contextuali</w:t>
      </w:r>
      <w:r w:rsidR="00D86BBD" w:rsidRPr="00FB551B">
        <w:rPr>
          <w:lang w:val="en-AU"/>
        </w:rPr>
        <w:t>s</w:t>
      </w:r>
      <w:r w:rsidR="000F08F1" w:rsidRPr="00FB551B">
        <w:rPr>
          <w:lang w:val="en-AU"/>
        </w:rPr>
        <w:t xml:space="preserve">es </w:t>
      </w:r>
      <w:r w:rsidR="000F08F1" w:rsidRPr="00FB551B">
        <w:rPr>
          <w:lang w:val="en-AU"/>
        </w:rPr>
        <w:lastRenderedPageBreak/>
        <w:t>how the ancient listener would interpret Matthew 5:38–42</w:t>
      </w:r>
      <w:r w:rsidR="006A27B3" w:rsidRPr="00FB551B">
        <w:rPr>
          <w:lang w:val="en-AU"/>
        </w:rPr>
        <w:t>.</w:t>
      </w:r>
      <w:r w:rsidR="00ED1059" w:rsidRPr="00FB551B">
        <w:rPr>
          <w:lang w:val="en-AU"/>
        </w:rPr>
        <w:t xml:space="preserve"> To use the word</w:t>
      </w:r>
      <w:r w:rsidR="006A27B3" w:rsidRPr="00FB551B">
        <w:rPr>
          <w:lang w:val="en-AU"/>
        </w:rPr>
        <w:t xml:space="preserve"> μακάριοι </w:t>
      </w:r>
      <w:r w:rsidR="00ED1059" w:rsidRPr="00FB551B">
        <w:rPr>
          <w:lang w:val="en-AU"/>
        </w:rPr>
        <w:t xml:space="preserve">means a person </w:t>
      </w:r>
      <w:r w:rsidR="006A27B3" w:rsidRPr="00FB551B">
        <w:rPr>
          <w:lang w:val="en-AU"/>
        </w:rPr>
        <w:t xml:space="preserve">is a happy person, </w:t>
      </w:r>
      <w:r w:rsidR="00ED1059" w:rsidRPr="00FB551B">
        <w:rPr>
          <w:lang w:val="en-AU"/>
        </w:rPr>
        <w:t xml:space="preserve">not </w:t>
      </w:r>
      <w:r w:rsidR="006A27B3" w:rsidRPr="00FB551B">
        <w:rPr>
          <w:lang w:val="en-AU"/>
        </w:rPr>
        <w:t>blessed.  A εἰρηνοποιοί should be μακάριοι</w:t>
      </w:r>
      <w:r w:rsidR="006A27B3" w:rsidRPr="00FB551B">
        <w:rPr>
          <w:i/>
          <w:lang w:val="en-AU"/>
        </w:rPr>
        <w:t xml:space="preserve">. </w:t>
      </w:r>
      <w:r w:rsidR="00ED1059" w:rsidRPr="00FB551B">
        <w:rPr>
          <w:iCs/>
          <w:lang w:val="en-AU"/>
        </w:rPr>
        <w:t xml:space="preserve">A peacemaker is a </w:t>
      </w:r>
      <w:r w:rsidR="00F24440" w:rsidRPr="00FB551B">
        <w:rPr>
          <w:iCs/>
          <w:lang w:val="en-AU"/>
        </w:rPr>
        <w:t>happier</w:t>
      </w:r>
      <w:r w:rsidR="00ED1059" w:rsidRPr="00FB551B">
        <w:rPr>
          <w:iCs/>
          <w:lang w:val="en-AU"/>
        </w:rPr>
        <w:t xml:space="preserve"> person—there are values and ethics attributed to the character of this person and the comments of Jesus are not new ideologies but a core tenant of Jewish ethics of his time. This is further explained in the chapter by </w:t>
      </w:r>
      <w:r w:rsidR="00ED1059" w:rsidRPr="00FB551B">
        <w:rPr>
          <w:lang w:val="en-AU"/>
        </w:rPr>
        <w:t xml:space="preserve">two key words in Matthew </w:t>
      </w:r>
      <w:r w:rsidR="00E667B6" w:rsidRPr="00FB551B">
        <w:rPr>
          <w:lang w:val="en-AU"/>
        </w:rPr>
        <w:t>5:39 which</w:t>
      </w:r>
      <w:r w:rsidR="00ED1059" w:rsidRPr="00FB551B">
        <w:rPr>
          <w:lang w:val="en-AU"/>
        </w:rPr>
        <w:t xml:space="preserve"> are ἀντιστῆναι (resist) and πονηρῷ (evil, evil person).</w:t>
      </w:r>
      <w:r w:rsidR="00C149F9">
        <w:rPr>
          <w:lang w:val="en-AU"/>
        </w:rPr>
        <w:t xml:space="preserve"> How a person does </w:t>
      </w:r>
      <w:r w:rsidR="00C149F9" w:rsidRPr="00FB551B">
        <w:rPr>
          <w:lang w:val="en-AU"/>
        </w:rPr>
        <w:t>ἀντιστῆναι</w:t>
      </w:r>
      <w:r w:rsidR="00C149F9">
        <w:rPr>
          <w:lang w:val="en-AU"/>
        </w:rPr>
        <w:t xml:space="preserve"> can make them an evil person.</w:t>
      </w:r>
      <w:r w:rsidR="00E667B6" w:rsidRPr="00FB551B">
        <w:rPr>
          <w:lang w:val="en-AU"/>
        </w:rPr>
        <w:t xml:space="preserve"> </w:t>
      </w:r>
    </w:p>
    <w:p w14:paraId="5EC572ED" w14:textId="0B8DBCFE" w:rsidR="00E667B6" w:rsidRPr="00FB551B" w:rsidRDefault="00E667B6" w:rsidP="00E667B6">
      <w:pPr>
        <w:spacing w:line="480" w:lineRule="auto"/>
        <w:ind w:firstLine="720"/>
        <w:rPr>
          <w:lang w:val="en-AU"/>
        </w:rPr>
      </w:pPr>
      <w:r w:rsidRPr="00FB551B">
        <w:rPr>
          <w:lang w:val="en-AU"/>
        </w:rPr>
        <w:t>This chapter provides a clear understanding that three possible choices have been presented in classical Greek literature and understanding for ἀντιστῆναι. Plutarchus</w:t>
      </w:r>
      <w:r w:rsidR="00F24440" w:rsidRPr="00FB551B">
        <w:rPr>
          <w:lang w:val="en-AU"/>
        </w:rPr>
        <w:t>,</w:t>
      </w:r>
      <w:r w:rsidRPr="00FB551B">
        <w:rPr>
          <w:lang w:val="en-AU"/>
        </w:rPr>
        <w:t xml:space="preserve"> Herod</w:t>
      </w:r>
      <w:r w:rsidR="00FB551B">
        <w:rPr>
          <w:lang w:val="en-AU"/>
        </w:rPr>
        <w:t>o</w:t>
      </w:r>
      <w:r w:rsidRPr="00FB551B">
        <w:rPr>
          <w:lang w:val="en-AU"/>
        </w:rPr>
        <w:t>tus, and Thucydides take an approach that ἀντιστῆναι is for being set against or battle.  In the Septuagint, ἀντιστῆναι is used to mean “to outweigh,” “to stand against,” “to stand in opposition to,” “to withstand,” or even “to resist.”</w:t>
      </w:r>
      <w:r w:rsidR="00E211EF" w:rsidRPr="00FB551B">
        <w:rPr>
          <w:lang w:val="en-AU"/>
        </w:rPr>
        <w:t xml:space="preserve"> The chapter asserts that ἀντιστῆναι in Matthew </w:t>
      </w:r>
      <w:r w:rsidR="00D054F8" w:rsidRPr="00FB551B">
        <w:rPr>
          <w:lang w:val="en-AU"/>
        </w:rPr>
        <w:t>connotes (</w:t>
      </w:r>
      <w:r w:rsidR="00E211EF" w:rsidRPr="00FB551B">
        <w:rPr>
          <w:lang w:val="en-AU"/>
        </w:rPr>
        <w:t>with a negative) not using violence to resist evil. In the instance of Matthew 5:38</w:t>
      </w:r>
      <w:r w:rsidR="00FB551B">
        <w:rPr>
          <w:lang w:val="en-AU"/>
        </w:rPr>
        <w:t>–</w:t>
      </w:r>
      <w:r w:rsidR="00E211EF" w:rsidRPr="00FB551B">
        <w:rPr>
          <w:lang w:val="en-AU"/>
        </w:rPr>
        <w:t>42, resistance will refuse submission, assert human dignity, refuse humiliation, and refuse to destroy, and these are common Jewish values and ethics a</w:t>
      </w:r>
      <w:r w:rsidR="00F24440" w:rsidRPr="00FB551B">
        <w:rPr>
          <w:lang w:val="en-AU"/>
        </w:rPr>
        <w:t>s</w:t>
      </w:r>
      <w:r w:rsidR="00E211EF" w:rsidRPr="00FB551B">
        <w:rPr>
          <w:lang w:val="en-AU"/>
        </w:rPr>
        <w:t xml:space="preserve"> noted in </w:t>
      </w:r>
      <w:r w:rsidR="00E211EF" w:rsidRPr="00FB551B">
        <w:rPr>
          <w:i/>
          <w:iCs/>
          <w:lang w:val="en-AU"/>
        </w:rPr>
        <w:t xml:space="preserve">b. Shabbat </w:t>
      </w:r>
      <w:r w:rsidR="00E211EF" w:rsidRPr="00FB551B">
        <w:rPr>
          <w:lang w:val="en-AU"/>
        </w:rPr>
        <w:t xml:space="preserve">88b, 2 </w:t>
      </w:r>
      <w:r w:rsidR="00E211EF" w:rsidRPr="00FB551B">
        <w:rPr>
          <w:i/>
          <w:iCs/>
          <w:lang w:val="en-AU"/>
        </w:rPr>
        <w:t>Enoch</w:t>
      </w:r>
      <w:r w:rsidR="00E211EF" w:rsidRPr="00FB551B">
        <w:rPr>
          <w:lang w:val="en-AU"/>
        </w:rPr>
        <w:t xml:space="preserve"> 50:3</w:t>
      </w:r>
      <w:r w:rsidR="00FB551B">
        <w:rPr>
          <w:lang w:val="en-AU"/>
        </w:rPr>
        <w:t>–</w:t>
      </w:r>
      <w:r w:rsidR="00E211EF" w:rsidRPr="00FB551B">
        <w:rPr>
          <w:lang w:val="en-AU"/>
        </w:rPr>
        <w:t>4, and</w:t>
      </w:r>
      <w:r w:rsidR="00C149F9">
        <w:rPr>
          <w:lang w:val="en-AU"/>
        </w:rPr>
        <w:t xml:space="preserve"> other </w:t>
      </w:r>
      <w:r w:rsidR="00E211EF" w:rsidRPr="00FB551B">
        <w:rPr>
          <w:lang w:val="en-AU"/>
        </w:rPr>
        <w:t>scroll</w:t>
      </w:r>
      <w:r w:rsidR="00C149F9">
        <w:rPr>
          <w:lang w:val="en-AU"/>
        </w:rPr>
        <w:t>s</w:t>
      </w:r>
      <w:r w:rsidR="00E211EF" w:rsidRPr="00FB551B">
        <w:rPr>
          <w:lang w:val="en-AU"/>
        </w:rPr>
        <w:t xml:space="preserve"> such as 1QS 10.17</w:t>
      </w:r>
      <w:r w:rsidR="00FB551B">
        <w:rPr>
          <w:lang w:val="en-AU"/>
        </w:rPr>
        <w:t>–</w:t>
      </w:r>
      <w:r w:rsidR="00E211EF" w:rsidRPr="00FB551B">
        <w:rPr>
          <w:lang w:val="en-AU"/>
        </w:rPr>
        <w:t xml:space="preserve">20. </w:t>
      </w:r>
      <w:r w:rsidR="00D054F8" w:rsidRPr="00FB551B">
        <w:rPr>
          <w:lang w:val="en-AU"/>
        </w:rPr>
        <w:t xml:space="preserve">When taken in context with an evil person, ἀντιστῆναι with πονηρῷ and suggest that a person must feel threatened, then </w:t>
      </w:r>
      <w:r w:rsidR="00C149F9">
        <w:rPr>
          <w:lang w:val="en-AU"/>
        </w:rPr>
        <w:t xml:space="preserve">the reader of the Sermon </w:t>
      </w:r>
      <w:r w:rsidR="00D054F8" w:rsidRPr="00FB551B">
        <w:rPr>
          <w:lang w:val="en-AU"/>
        </w:rPr>
        <w:t>can decipher Matthew 5:39 more clearly. Ultimately, a moderni</w:t>
      </w:r>
      <w:r w:rsidR="00D86BBD" w:rsidRPr="00FB551B">
        <w:rPr>
          <w:lang w:val="en-AU"/>
        </w:rPr>
        <w:t>s</w:t>
      </w:r>
      <w:r w:rsidR="00D054F8" w:rsidRPr="00FB551B">
        <w:rPr>
          <w:lang w:val="en-AU"/>
        </w:rPr>
        <w:t>ed translation should read ‘but I say to you, do not retaliate revengefully by evil means.’</w:t>
      </w:r>
      <w:r w:rsidR="00C149F9">
        <w:rPr>
          <w:lang w:val="en-AU"/>
        </w:rPr>
        <w:t xml:space="preserve"> This would be the core reading of a peacemaker with non-violent resistance.</w:t>
      </w:r>
    </w:p>
    <w:p w14:paraId="211E754F" w14:textId="5BF4FC1E" w:rsidR="00675BB9" w:rsidRPr="00FB551B" w:rsidRDefault="00C47817" w:rsidP="0048283C">
      <w:pPr>
        <w:spacing w:line="480" w:lineRule="auto"/>
        <w:ind w:firstLine="720"/>
        <w:rPr>
          <w:lang w:val="en-AU"/>
        </w:rPr>
      </w:pPr>
      <w:r w:rsidRPr="00FB551B">
        <w:rPr>
          <w:lang w:val="en-AU"/>
        </w:rPr>
        <w:t xml:space="preserve">The phrase στρέψον αὐτῷ καὶ τὴν ἄλλην, “turning the other cheek,” is widely but wrongly assumed to mean that a person should be passive. </w:t>
      </w:r>
      <w:r w:rsidR="00C149F9">
        <w:rPr>
          <w:lang w:val="en-AU"/>
        </w:rPr>
        <w:t xml:space="preserve">Being passive has created a modern Christian response to the text accepting abuse from people who are abusers. </w:t>
      </w:r>
      <w:r w:rsidRPr="00FB551B">
        <w:rPr>
          <w:lang w:val="en-AU"/>
        </w:rPr>
        <w:t xml:space="preserve">The purpose of the phrase στρέψον αὐτῷ καὶ τὴν ἄλλην provides for a remedy against strife and </w:t>
      </w:r>
      <w:r w:rsidRPr="00FB551B">
        <w:rPr>
          <w:lang w:val="en-AU"/>
        </w:rPr>
        <w:lastRenderedPageBreak/>
        <w:t>vengeance, which are against Jewish ethics. The understanding of στρέψον αὐτῷ καὶ τὴν ἄλλην to mean a form of peace and pacifism rests on an interpretation of ἀντιστῆναι (resist) and πονηρῷ (evil, evil person).</w:t>
      </w:r>
      <w:r w:rsidR="00675BB9" w:rsidRPr="00FB551B">
        <w:rPr>
          <w:lang w:val="en-AU"/>
        </w:rPr>
        <w:t xml:space="preserve">  The chapter asserts that the insulting backhanded slap, when juxtaposed with στρέψον αὐτῷ καὶ τὴν ἄλλην, demands social justice because one person has power over others.</w:t>
      </w:r>
      <w:r w:rsidR="0048283C" w:rsidRPr="00FB551B">
        <w:rPr>
          <w:lang w:val="en-AU"/>
        </w:rPr>
        <w:t xml:space="preserve"> Resisting thus revolves around not physical injury but an insult. στρέψον αὐτῷ καὶ τὴν ἄλλην therefore does not require someone to be a doormat for people who are repeatedly violent and insulting: they are to retain their dignity.</w:t>
      </w:r>
    </w:p>
    <w:p w14:paraId="781448D8" w14:textId="34194C14" w:rsidR="0048283C" w:rsidRPr="00FB551B" w:rsidRDefault="0048283C" w:rsidP="00F24440">
      <w:pPr>
        <w:spacing w:line="480" w:lineRule="auto"/>
        <w:ind w:firstLine="720"/>
        <w:contextualSpacing/>
        <w:rPr>
          <w:lang w:val="en-AU"/>
        </w:rPr>
      </w:pPr>
      <w:r w:rsidRPr="00FB551B">
        <w:rPr>
          <w:lang w:val="en-AU"/>
        </w:rPr>
        <w:t>A back-handed slap indicates that a cheek has been ‘turned</w:t>
      </w:r>
      <w:r w:rsidR="00901435">
        <w:rPr>
          <w:lang w:val="en-AU"/>
        </w:rPr>
        <w:t>.</w:t>
      </w:r>
      <w:r w:rsidRPr="00FB551B">
        <w:rPr>
          <w:lang w:val="en-AU"/>
        </w:rPr>
        <w:t>’</w:t>
      </w:r>
      <w:r w:rsidR="00901435">
        <w:rPr>
          <w:lang w:val="en-AU"/>
        </w:rPr>
        <w:t xml:space="preserve"> When an individual has been hit with the back of a hand, there is an </w:t>
      </w:r>
      <w:r w:rsidRPr="00FB551B">
        <w:rPr>
          <w:lang w:val="en-AU"/>
        </w:rPr>
        <w:t>intent to dehumani</w:t>
      </w:r>
      <w:r w:rsidR="00D86BBD" w:rsidRPr="00FB551B">
        <w:rPr>
          <w:lang w:val="en-AU"/>
        </w:rPr>
        <w:t>s</w:t>
      </w:r>
      <w:r w:rsidRPr="00FB551B">
        <w:rPr>
          <w:lang w:val="en-AU"/>
        </w:rPr>
        <w:t>e and belittle</w:t>
      </w:r>
      <w:r w:rsidR="00901435">
        <w:rPr>
          <w:lang w:val="en-AU"/>
        </w:rPr>
        <w:t xml:space="preserve"> the person being physically hit. In the passage of </w:t>
      </w:r>
      <w:r w:rsidRPr="00FB551B">
        <w:rPr>
          <w:lang w:val="en-AU"/>
        </w:rPr>
        <w:t>Matthew 5:38</w:t>
      </w:r>
      <w:r w:rsidR="00FB551B">
        <w:rPr>
          <w:lang w:val="en-AU"/>
        </w:rPr>
        <w:t>–</w:t>
      </w:r>
      <w:r w:rsidRPr="00FB551B">
        <w:rPr>
          <w:lang w:val="en-AU"/>
        </w:rPr>
        <w:t>42, the response</w:t>
      </w:r>
      <w:r w:rsidR="00901435">
        <w:rPr>
          <w:lang w:val="en-AU"/>
        </w:rPr>
        <w:t xml:space="preserve"> to an aggressor is done through </w:t>
      </w:r>
      <w:r w:rsidRPr="00FB551B">
        <w:rPr>
          <w:lang w:val="en-AU"/>
        </w:rPr>
        <w:t xml:space="preserve">nonviolence. Socially equal people would not strike each other with an openhanded slap. The slap on the right cheek was considered an insult and carried a double fine, according to </w:t>
      </w:r>
      <w:r w:rsidRPr="00FB551B">
        <w:rPr>
          <w:i/>
          <w:iCs/>
          <w:lang w:val="en-AU"/>
        </w:rPr>
        <w:t>Baba Qammah</w:t>
      </w:r>
      <w:r w:rsidRPr="00FB551B">
        <w:rPr>
          <w:lang w:val="en-AU"/>
        </w:rPr>
        <w:t xml:space="preserve"> 8:6; thus, in Jesus’</w:t>
      </w:r>
      <w:r w:rsidR="006D41DD">
        <w:rPr>
          <w:lang w:val="en-AU"/>
        </w:rPr>
        <w:t>s</w:t>
      </w:r>
      <w:r w:rsidRPr="00FB551B">
        <w:rPr>
          <w:lang w:val="en-AU"/>
        </w:rPr>
        <w:t xml:space="preserve"> time</w:t>
      </w:r>
      <w:r w:rsidR="00F24440" w:rsidRPr="00FB551B">
        <w:rPr>
          <w:lang w:val="en-AU"/>
        </w:rPr>
        <w:t xml:space="preserve">, </w:t>
      </w:r>
      <w:r w:rsidRPr="00FB551B">
        <w:rPr>
          <w:lang w:val="en-AU"/>
        </w:rPr>
        <w:t xml:space="preserve">a slap was insulting and required non-retaliatory response. The insulting backhanded slap, when juxtaposed with στρέψον αὐτῷ καὶ τὴν ἄλλην, demands social justice because one person has power over </w:t>
      </w:r>
      <w:r w:rsidR="007F5AAE">
        <w:rPr>
          <w:lang w:val="en-AU"/>
        </w:rPr>
        <w:t>another.</w:t>
      </w:r>
      <w:r w:rsidR="00F24440" w:rsidRPr="00FB551B">
        <w:rPr>
          <w:lang w:val="en-AU"/>
        </w:rPr>
        <w:t xml:space="preserve"> </w:t>
      </w:r>
      <w:r w:rsidRPr="00FB551B">
        <w:rPr>
          <w:bCs/>
          <w:lang w:val="en-AU"/>
        </w:rPr>
        <w:t>In Job 16:10, the striking on a cheek is very similar to the action described in in Matthew 5:39 (</w:t>
      </w:r>
      <w:r w:rsidRPr="00FB551B">
        <w:rPr>
          <w:lang w:val="en-AU"/>
        </w:rPr>
        <w:t>στρέψον αὐτῷ καὶ τὴν ἄλλην)</w:t>
      </w:r>
      <w:r w:rsidR="00F57FBA" w:rsidRPr="00FB551B">
        <w:rPr>
          <w:lang w:val="en-AU"/>
        </w:rPr>
        <w:t xml:space="preserve"> as well as</w:t>
      </w:r>
      <w:r w:rsidRPr="00FB551B">
        <w:rPr>
          <w:lang w:val="en-AU"/>
        </w:rPr>
        <w:t xml:space="preserve"> </w:t>
      </w:r>
      <w:r w:rsidRPr="00FB551B">
        <w:rPr>
          <w:bCs/>
          <w:lang w:val="en-AU"/>
        </w:rPr>
        <w:t>Lamentations 3:25–30</w:t>
      </w:r>
      <w:r w:rsidR="00F57FBA" w:rsidRPr="00FB551B">
        <w:rPr>
          <w:bCs/>
          <w:lang w:val="en-AU"/>
        </w:rPr>
        <w:t xml:space="preserve">.  These accounts suggest being hit on the cheek is shameful. </w:t>
      </w:r>
      <w:r w:rsidRPr="00FB551B">
        <w:rPr>
          <w:lang w:val="en-AU"/>
        </w:rPr>
        <w:t>στρέψον αὐτῷ καὶ τὴν ἄλλην is not a new teaching proposed by Jesus</w:t>
      </w:r>
      <w:r w:rsidR="00F57FBA" w:rsidRPr="00FB551B">
        <w:rPr>
          <w:lang w:val="en-AU"/>
        </w:rPr>
        <w:t xml:space="preserve"> but extending Jewish wisdom into the current political response towards Rome. </w:t>
      </w:r>
    </w:p>
    <w:p w14:paraId="641797B0" w14:textId="037ABB36" w:rsidR="0048283C" w:rsidRPr="00FB551B" w:rsidRDefault="00F57FBA" w:rsidP="00CE40EE">
      <w:pPr>
        <w:spacing w:before="120" w:line="480" w:lineRule="auto"/>
        <w:rPr>
          <w:lang w:val="en-AU"/>
        </w:rPr>
      </w:pPr>
      <w:r w:rsidRPr="00FB551B">
        <w:rPr>
          <w:lang w:val="en-AU"/>
        </w:rPr>
        <w:tab/>
        <w:t xml:space="preserve">The chapter further contends that Matthew 5:40 and Isaiah 50:6 </w:t>
      </w:r>
      <w:proofErr w:type="gramStart"/>
      <w:r w:rsidR="000455B2" w:rsidRPr="00FB551B">
        <w:rPr>
          <w:lang w:val="en-AU"/>
        </w:rPr>
        <w:t>are</w:t>
      </w:r>
      <w:proofErr w:type="gramEnd"/>
      <w:r w:rsidR="000455B2" w:rsidRPr="00FB551B">
        <w:rPr>
          <w:lang w:val="en-AU"/>
        </w:rPr>
        <w:t xml:space="preserve"> </w:t>
      </w:r>
      <w:r w:rsidRPr="00FB551B">
        <w:rPr>
          <w:lang w:val="en-AU"/>
        </w:rPr>
        <w:t xml:space="preserve">related.  </w:t>
      </w:r>
      <w:r w:rsidR="000455B2" w:rsidRPr="00FB551B">
        <w:rPr>
          <w:lang w:val="en-AU"/>
        </w:rPr>
        <w:t xml:space="preserve">Isaiah uses the same literary functions as Matthew 5:40 showing how Jesus engages in </w:t>
      </w:r>
      <w:r w:rsidR="000455B2" w:rsidRPr="00FB551B">
        <w:rPr>
          <w:i/>
          <w:iCs/>
          <w:lang w:val="en-AU"/>
        </w:rPr>
        <w:t>midrash or targum</w:t>
      </w:r>
      <w:r w:rsidR="000455B2" w:rsidRPr="00FB551B">
        <w:rPr>
          <w:lang w:val="en-AU"/>
        </w:rPr>
        <w:t xml:space="preserve"> in the Sermon and engages the imagery of slapping and pulling of a beard juxtaposed to peace and pacifism.  Matthew 5:39 seems to indicate that </w:t>
      </w:r>
      <w:r w:rsidR="0048283C" w:rsidRPr="00FB551B">
        <w:rPr>
          <w:lang w:val="en-AU"/>
        </w:rPr>
        <w:t>nonviolence and στρέψον αὐτῷ καὶ τὴν ἄλλην</w:t>
      </w:r>
      <w:r w:rsidR="0048283C" w:rsidRPr="00FB551B">
        <w:rPr>
          <w:rFonts w:eastAsiaTheme="minorHAnsi"/>
          <w:lang w:val="en-AU"/>
        </w:rPr>
        <w:t xml:space="preserve"> factor into how violence </w:t>
      </w:r>
      <w:r w:rsidR="000455B2" w:rsidRPr="00FB551B">
        <w:rPr>
          <w:rFonts w:eastAsiaTheme="minorHAnsi"/>
          <w:lang w:val="en-AU"/>
        </w:rPr>
        <w:t xml:space="preserve">is used as </w:t>
      </w:r>
      <w:r w:rsidR="008416B6" w:rsidRPr="00FB551B">
        <w:rPr>
          <w:rFonts w:eastAsiaTheme="minorHAnsi"/>
          <w:lang w:val="en-AU"/>
        </w:rPr>
        <w:t>response</w:t>
      </w:r>
      <w:r w:rsidR="000455B2" w:rsidRPr="00FB551B">
        <w:rPr>
          <w:rFonts w:eastAsiaTheme="minorHAnsi"/>
          <w:lang w:val="en-AU"/>
        </w:rPr>
        <w:t xml:space="preserve"> to slapping</w:t>
      </w:r>
      <w:r w:rsidR="0048283C" w:rsidRPr="00FB551B">
        <w:rPr>
          <w:rFonts w:eastAsiaTheme="minorHAnsi"/>
          <w:lang w:val="en-AU"/>
        </w:rPr>
        <w:t xml:space="preserve">. </w:t>
      </w:r>
      <w:r w:rsidR="000129FA" w:rsidRPr="00FB551B">
        <w:rPr>
          <w:rFonts w:eastAsiaTheme="minorHAnsi"/>
          <w:lang w:val="en-AU"/>
        </w:rPr>
        <w:t xml:space="preserve">The chapter continues to explain that </w:t>
      </w:r>
      <w:r w:rsidR="000455B2" w:rsidRPr="00FB551B">
        <w:rPr>
          <w:rFonts w:eastAsiaTheme="minorHAnsi"/>
          <w:lang w:val="en-AU"/>
        </w:rPr>
        <w:t xml:space="preserve">Early Christianity allowed for </w:t>
      </w:r>
      <w:r w:rsidR="000129FA" w:rsidRPr="00FB551B">
        <w:rPr>
          <w:rFonts w:eastAsiaTheme="minorHAnsi"/>
          <w:lang w:val="en-AU"/>
        </w:rPr>
        <w:t>military service and de</w:t>
      </w:r>
      <w:r w:rsidR="0048283C" w:rsidRPr="00FB551B">
        <w:rPr>
          <w:rFonts w:eastAsiaTheme="minorHAnsi"/>
          <w:lang w:val="en-AU"/>
        </w:rPr>
        <w:t>veloped an</w:t>
      </w:r>
      <w:r w:rsidR="007F5AAE">
        <w:rPr>
          <w:rFonts w:eastAsiaTheme="minorHAnsi"/>
          <w:lang w:val="en-AU"/>
        </w:rPr>
        <w:t xml:space="preserve"> </w:t>
      </w:r>
      <w:r w:rsidR="0048283C" w:rsidRPr="00FB551B">
        <w:rPr>
          <w:rFonts w:eastAsiaTheme="minorHAnsi"/>
          <w:lang w:val="en-AU"/>
        </w:rPr>
        <w:lastRenderedPageBreak/>
        <w:t xml:space="preserve">understanding of </w:t>
      </w:r>
      <w:r w:rsidR="0048283C" w:rsidRPr="00FB551B">
        <w:rPr>
          <w:lang w:val="en-AU"/>
        </w:rPr>
        <w:t>στρέψον αὐτῷ καὶ τὴν ἄλλην</w:t>
      </w:r>
      <w:r w:rsidR="0048283C" w:rsidRPr="00FB551B">
        <w:rPr>
          <w:rFonts w:eastAsiaTheme="minorHAnsi"/>
          <w:lang w:val="en-AU"/>
        </w:rPr>
        <w:t xml:space="preserve"> from Matthew 5:38–42</w:t>
      </w:r>
      <w:r w:rsidR="000129FA" w:rsidRPr="00FB551B">
        <w:rPr>
          <w:rFonts w:eastAsiaTheme="minorHAnsi"/>
          <w:lang w:val="en-AU"/>
        </w:rPr>
        <w:t xml:space="preserve"> to allow for warfare up until </w:t>
      </w:r>
      <w:r w:rsidR="00C149F9">
        <w:rPr>
          <w:rFonts w:eastAsiaTheme="minorHAnsi"/>
          <w:lang w:val="en-AU"/>
        </w:rPr>
        <w:t xml:space="preserve">the time of </w:t>
      </w:r>
      <w:r w:rsidR="000129FA" w:rsidRPr="00FB551B">
        <w:rPr>
          <w:rFonts w:eastAsiaTheme="minorHAnsi"/>
          <w:lang w:val="en-AU"/>
        </w:rPr>
        <w:t xml:space="preserve">Tertullian. Jesus himself did not seek violence when he was smitten </w:t>
      </w:r>
      <w:r w:rsidR="007F5AAE">
        <w:rPr>
          <w:rFonts w:eastAsiaTheme="minorHAnsi"/>
          <w:lang w:val="en-AU"/>
        </w:rPr>
        <w:t>and</w:t>
      </w:r>
      <w:r w:rsidR="000129FA" w:rsidRPr="00FB551B">
        <w:rPr>
          <w:rFonts w:eastAsiaTheme="minorHAnsi"/>
          <w:lang w:val="en-AU"/>
        </w:rPr>
        <w:t xml:space="preserve"> did not stop Peter from carrying a sword when following him, as evidence Peter cutting the ear off </w:t>
      </w:r>
      <w:r w:rsidR="00CE40EE" w:rsidRPr="00FB551B">
        <w:rPr>
          <w:rFonts w:eastAsiaTheme="minorHAnsi"/>
          <w:lang w:val="en-AU"/>
        </w:rPr>
        <w:t xml:space="preserve">the High Priest’s servants. </w:t>
      </w:r>
      <w:r w:rsidR="0048283C" w:rsidRPr="00FB551B">
        <w:rPr>
          <w:lang w:val="en-AU"/>
        </w:rPr>
        <w:t xml:space="preserve"> στρέψον αὐτῷ καὶ τὴν ἄλλην supports a scenario in which one person has power over another who is socially inferior</w:t>
      </w:r>
      <w:r w:rsidR="00CE40EE" w:rsidRPr="00FB551B">
        <w:rPr>
          <w:lang w:val="en-AU"/>
        </w:rPr>
        <w:t xml:space="preserve"> to find the best nonviolent solution</w:t>
      </w:r>
      <w:r w:rsidR="00F24440" w:rsidRPr="00FB551B">
        <w:rPr>
          <w:lang w:val="en-AU"/>
        </w:rPr>
        <w:t>, even deterrence</w:t>
      </w:r>
      <w:r w:rsidR="0048283C" w:rsidRPr="00FB551B">
        <w:rPr>
          <w:lang w:val="en-AU"/>
        </w:rPr>
        <w:t xml:space="preserve">.  </w:t>
      </w:r>
    </w:p>
    <w:p w14:paraId="3B85CC18" w14:textId="6D56A80F" w:rsidR="00F74965" w:rsidRPr="00FB551B" w:rsidRDefault="00F74965" w:rsidP="00F74965">
      <w:pPr>
        <w:spacing w:line="480" w:lineRule="auto"/>
        <w:ind w:firstLine="720"/>
        <w:rPr>
          <w:lang w:val="en-AU"/>
        </w:rPr>
      </w:pPr>
      <w:r w:rsidRPr="00FB551B">
        <w:rPr>
          <w:lang w:val="en-AU"/>
        </w:rPr>
        <w:t xml:space="preserve">In Matthew 5:40 the focus is on the legal aspect of suing and the function a tunic has as collateral. This has implications for the equality of a person which the Jewish listeners would have understood. The concept of people’s equality is founded on passages in Job 16:10, Isaiah 50:1, and Lamentations 3:30. </w:t>
      </w:r>
      <w:r w:rsidR="008416B6" w:rsidRPr="00FB551B">
        <w:rPr>
          <w:lang w:val="en-AU"/>
        </w:rPr>
        <w:t>The person suing for χιτῶνά</w:t>
      </w:r>
      <w:r w:rsidR="008416B6" w:rsidRPr="00FB551B" w:rsidDel="006E3F2F">
        <w:rPr>
          <w:lang w:val="en-AU"/>
        </w:rPr>
        <w:t xml:space="preserve"> </w:t>
      </w:r>
      <w:r w:rsidR="008416B6" w:rsidRPr="00FB551B">
        <w:rPr>
          <w:lang w:val="en-AU"/>
        </w:rPr>
        <w:t>has a right to sue if the χιτῶνά is debt collateral. This highlights the verse’s focus, that the debtor is poor. The rich prosecutor can’t reprocess the garment ἱμάτιον. The caveat is that if the outer garment (ἱμάτιον) were to be taken in pledge, it would have to be returned by sunset as it would double as a poor person’s only blanket, as stated in Torah (cf., Ex 22:26–27; Deut 24:12–13).</w:t>
      </w:r>
      <w:r w:rsidRPr="00FB551B">
        <w:rPr>
          <w:lang w:val="en-AU"/>
        </w:rPr>
        <w:t xml:space="preserve"> Matthew’s use of ἀγγαρεύσει gives empowerment to those oppressed.  Similarly, the regulation about use of a cloak (ἱμάτιον) and undergarment (χιτῶνά) for collateral protect the borrower from loansharking. Jesus’</w:t>
      </w:r>
      <w:r w:rsidR="006D41DD">
        <w:rPr>
          <w:lang w:val="en-AU"/>
        </w:rPr>
        <w:t>s</w:t>
      </w:r>
      <w:r w:rsidRPr="00FB551B">
        <w:rPr>
          <w:lang w:val="en-AU"/>
        </w:rPr>
        <w:t xml:space="preserve"> statement, στρέψον αὐτῷ καὶ τὴν ἄλλην,</w:t>
      </w:r>
      <w:r w:rsidRPr="00FB551B" w:rsidDel="00F54637">
        <w:rPr>
          <w:lang w:val="en-AU"/>
        </w:rPr>
        <w:t xml:space="preserve"> </w:t>
      </w:r>
      <w:r w:rsidRPr="00FB551B">
        <w:rPr>
          <w:lang w:val="en-AU"/>
        </w:rPr>
        <w:t xml:space="preserve">was given to arouse a sense of accountability in the lender and to give protection to the nonviolent individual in a society where violence was common.  </w:t>
      </w:r>
    </w:p>
    <w:p w14:paraId="142713FB" w14:textId="7718D7CF" w:rsidR="00506825" w:rsidRPr="00FB551B" w:rsidRDefault="0048283C" w:rsidP="000D4F9F">
      <w:pPr>
        <w:autoSpaceDE w:val="0"/>
        <w:autoSpaceDN w:val="0"/>
        <w:adjustRightInd w:val="0"/>
        <w:spacing w:line="480" w:lineRule="auto"/>
        <w:ind w:firstLine="720"/>
        <w:rPr>
          <w:lang w:val="en-AU"/>
        </w:rPr>
      </w:pPr>
      <w:r w:rsidRPr="00FB551B">
        <w:rPr>
          <w:lang w:val="en-AU"/>
        </w:rPr>
        <w:t>Jesus did not want people to be doormats to wealthy people or powerful people</w:t>
      </w:r>
      <w:r w:rsidR="000D4F9F" w:rsidRPr="00FB551B">
        <w:rPr>
          <w:lang w:val="en-AU"/>
        </w:rPr>
        <w:t xml:space="preserve"> and </w:t>
      </w:r>
      <w:r w:rsidR="00CE40EE" w:rsidRPr="00FB551B">
        <w:rPr>
          <w:lang w:val="en-AU"/>
        </w:rPr>
        <w:t xml:space="preserve">Matthew 5:41 suggests that </w:t>
      </w:r>
      <w:r w:rsidRPr="00FB551B">
        <w:rPr>
          <w:lang w:val="en-AU"/>
        </w:rPr>
        <w:t xml:space="preserve">ἀγγαρεύσει </w:t>
      </w:r>
      <w:r w:rsidR="00CE40EE" w:rsidRPr="00FB551B">
        <w:rPr>
          <w:lang w:val="en-AU"/>
        </w:rPr>
        <w:t>i</w:t>
      </w:r>
      <w:r w:rsidRPr="00FB551B">
        <w:rPr>
          <w:lang w:val="en-AU"/>
        </w:rPr>
        <w:t xml:space="preserve">s </w:t>
      </w:r>
      <w:r w:rsidR="00CE40EE" w:rsidRPr="00FB551B">
        <w:rPr>
          <w:lang w:val="en-AU"/>
        </w:rPr>
        <w:t>n</w:t>
      </w:r>
      <w:r w:rsidRPr="00FB551B">
        <w:rPr>
          <w:lang w:val="en-AU"/>
        </w:rPr>
        <w:t xml:space="preserve">onviolent </w:t>
      </w:r>
      <w:r w:rsidR="00CE40EE" w:rsidRPr="00FB551B">
        <w:rPr>
          <w:lang w:val="en-AU"/>
        </w:rPr>
        <w:t>r</w:t>
      </w:r>
      <w:r w:rsidRPr="00FB551B">
        <w:rPr>
          <w:lang w:val="en-AU"/>
        </w:rPr>
        <w:t xml:space="preserve">esistance. The concept of personal dignity is apparent in Matthew 5:41. Jesus states that if you are forced to go one mile that you are to go another.  There is no certainty as to whether this is about voluntarily going another mile or being forced to go another mile.  ἀγγαρεύσει, defined as “shall compel to go,” in the context of forced labour over </w:t>
      </w:r>
      <w:proofErr w:type="gramStart"/>
      <w:r w:rsidRPr="00FB551B">
        <w:rPr>
          <w:lang w:val="en-AU"/>
        </w:rPr>
        <w:t>a distance of one</w:t>
      </w:r>
      <w:proofErr w:type="gramEnd"/>
      <w:r w:rsidRPr="00FB551B">
        <w:rPr>
          <w:lang w:val="en-AU"/>
        </w:rPr>
        <w:t xml:space="preserve"> mile. Roman soldiers had authority to </w:t>
      </w:r>
      <w:r w:rsidRPr="00FB551B">
        <w:rPr>
          <w:lang w:val="en-AU"/>
        </w:rPr>
        <w:lastRenderedPageBreak/>
        <w:t>commandeer horses, vessels, and men, as needed, into temporary service</w:t>
      </w:r>
      <w:r w:rsidR="00506825" w:rsidRPr="00FB551B">
        <w:rPr>
          <w:lang w:val="en-AU"/>
        </w:rPr>
        <w:t>, and failure to comply placed an imbalance between the aggressor and the subject</w:t>
      </w:r>
      <w:r w:rsidRPr="00FB551B">
        <w:rPr>
          <w:lang w:val="en-AU"/>
        </w:rPr>
        <w:t>.</w:t>
      </w:r>
      <w:r w:rsidR="00506825" w:rsidRPr="00FB551B">
        <w:rPr>
          <w:lang w:val="en-AU"/>
        </w:rPr>
        <w:t xml:space="preserve"> </w:t>
      </w:r>
      <w:r w:rsidRPr="00FB551B">
        <w:rPr>
          <w:lang w:val="en-AU"/>
        </w:rPr>
        <w:t>There lies a new way for a modern application of Matthew 5:41</w:t>
      </w:r>
      <w:r w:rsidR="00506825" w:rsidRPr="00FB551B">
        <w:rPr>
          <w:lang w:val="en-AU"/>
        </w:rPr>
        <w:t xml:space="preserve"> in terms of </w:t>
      </w:r>
      <w:r w:rsidR="00611617" w:rsidRPr="00FB551B">
        <w:rPr>
          <w:lang w:val="en-AU"/>
        </w:rPr>
        <w:t>nonviolent</w:t>
      </w:r>
      <w:r w:rsidR="00506825" w:rsidRPr="00FB551B">
        <w:rPr>
          <w:lang w:val="en-AU"/>
        </w:rPr>
        <w:t xml:space="preserve"> resistance</w:t>
      </w:r>
      <w:r w:rsidRPr="00FB551B">
        <w:rPr>
          <w:lang w:val="en-AU"/>
        </w:rPr>
        <w:t>. The person compelled to go a mile is no longer the victim of oppression.  The compelled person retains dignity, self-respect</w:t>
      </w:r>
      <w:r w:rsidR="00BB5393">
        <w:rPr>
          <w:lang w:val="en-AU"/>
        </w:rPr>
        <w:t>,</w:t>
      </w:r>
      <w:r w:rsidRPr="00FB551B">
        <w:rPr>
          <w:lang w:val="en-AU"/>
        </w:rPr>
        <w:t xml:space="preserve"> and some limited control over the situation. </w:t>
      </w:r>
    </w:p>
    <w:p w14:paraId="6184D601" w14:textId="0F1C20EE" w:rsidR="0048283C" w:rsidRPr="00FB551B" w:rsidRDefault="00506825" w:rsidP="00F74965">
      <w:pPr>
        <w:autoSpaceDE w:val="0"/>
        <w:autoSpaceDN w:val="0"/>
        <w:adjustRightInd w:val="0"/>
        <w:spacing w:line="480" w:lineRule="auto"/>
        <w:ind w:firstLine="720"/>
        <w:rPr>
          <w:lang w:val="en-AU"/>
        </w:rPr>
      </w:pPr>
      <w:r w:rsidRPr="00FB551B">
        <w:rPr>
          <w:lang w:val="en-AU"/>
        </w:rPr>
        <w:t xml:space="preserve">The chapter concludes </w:t>
      </w:r>
      <w:r w:rsidR="00F74965" w:rsidRPr="00FB551B">
        <w:rPr>
          <w:lang w:val="en-AU"/>
        </w:rPr>
        <w:t>with</w:t>
      </w:r>
      <w:r w:rsidRPr="00FB551B">
        <w:rPr>
          <w:lang w:val="en-AU"/>
        </w:rPr>
        <w:t xml:space="preserve"> </w:t>
      </w:r>
      <w:r w:rsidR="0048283C" w:rsidRPr="00FB551B">
        <w:rPr>
          <w:lang w:val="en-AU"/>
        </w:rPr>
        <w:t>Matthew 5:43–48 and Ἀγαπήσεις</w:t>
      </w:r>
      <w:r w:rsidRPr="00FB551B">
        <w:rPr>
          <w:lang w:val="en-AU"/>
        </w:rPr>
        <w:t xml:space="preserve"> saying that </w:t>
      </w:r>
      <w:r w:rsidR="0048283C" w:rsidRPr="00FB551B">
        <w:rPr>
          <w:lang w:val="en-AU"/>
        </w:rPr>
        <w:t>the Sermon on the Mount</w:t>
      </w:r>
      <w:r w:rsidR="00F74965" w:rsidRPr="00FB551B">
        <w:rPr>
          <w:lang w:val="en-AU"/>
        </w:rPr>
        <w:t xml:space="preserve"> </w:t>
      </w:r>
      <w:r w:rsidR="0048283C" w:rsidRPr="00FB551B">
        <w:rPr>
          <w:lang w:val="en-AU"/>
        </w:rPr>
        <w:t>provides an example of love connected to reconciliation.  As the sixth antithesis in the Sermon, the literary form and structure follow the t</w:t>
      </w:r>
      <w:r w:rsidR="0048283C" w:rsidRPr="00FB551B">
        <w:rPr>
          <w:bCs/>
          <w:lang w:val="en-AU"/>
        </w:rPr>
        <w:t xml:space="preserve">raditional antithetical rhythm seen in the </w:t>
      </w:r>
      <w:r w:rsidR="0048283C" w:rsidRPr="00FB551B">
        <w:rPr>
          <w:bCs/>
          <w:i/>
          <w:iCs/>
          <w:lang w:val="en-AU"/>
        </w:rPr>
        <w:t>midrash</w:t>
      </w:r>
      <w:r w:rsidR="0048283C" w:rsidRPr="00FB551B">
        <w:rPr>
          <w:bCs/>
          <w:lang w:val="en-AU"/>
        </w:rPr>
        <w:t>.</w:t>
      </w:r>
      <w:r w:rsidR="00F74965" w:rsidRPr="00FB551B">
        <w:rPr>
          <w:bCs/>
          <w:lang w:val="en-AU"/>
        </w:rPr>
        <w:t xml:space="preserve"> </w:t>
      </w:r>
      <w:r w:rsidR="0048283C" w:rsidRPr="00FB551B">
        <w:rPr>
          <w:bCs/>
          <w:lang w:val="en-AU"/>
        </w:rPr>
        <w:t xml:space="preserve">Matthew 5:38–42 helps frame the discourse in Matthew 5:43–48 about loving your enemy as well as loving your neighbour. </w:t>
      </w:r>
      <w:r w:rsidR="00F74965" w:rsidRPr="00FB551B">
        <w:rPr>
          <w:bCs/>
          <w:lang w:val="en-AU"/>
        </w:rPr>
        <w:t>The neighbo</w:t>
      </w:r>
      <w:r w:rsidR="00BB5393">
        <w:rPr>
          <w:bCs/>
          <w:lang w:val="en-AU"/>
        </w:rPr>
        <w:t>u</w:t>
      </w:r>
      <w:r w:rsidR="00F74965" w:rsidRPr="00FB551B">
        <w:rPr>
          <w:bCs/>
          <w:lang w:val="en-AU"/>
        </w:rPr>
        <w:t xml:space="preserve">r can be </w:t>
      </w:r>
      <w:r w:rsidR="0048283C" w:rsidRPr="00FB551B">
        <w:rPr>
          <w:lang w:val="en-AU"/>
        </w:rPr>
        <w:t>ἐθνικός in reference to those who are not Jewish</w:t>
      </w:r>
      <w:r w:rsidR="00F74965" w:rsidRPr="00FB551B">
        <w:rPr>
          <w:lang w:val="en-AU"/>
        </w:rPr>
        <w:t xml:space="preserve"> or to Jews</w:t>
      </w:r>
      <w:r w:rsidR="0048283C" w:rsidRPr="00FB551B">
        <w:rPr>
          <w:lang w:val="en-AU"/>
        </w:rPr>
        <w:t xml:space="preserve">. </w:t>
      </w:r>
    </w:p>
    <w:p w14:paraId="03196A4B" w14:textId="6A920DE5" w:rsidR="00111BF0" w:rsidRPr="00FB551B" w:rsidRDefault="00111BF0">
      <w:pPr>
        <w:rPr>
          <w:lang w:val="en-AU"/>
        </w:rPr>
      </w:pPr>
      <w:r w:rsidRPr="00FB551B">
        <w:rPr>
          <w:lang w:val="en-AU"/>
        </w:rPr>
        <w:br w:type="page"/>
      </w:r>
    </w:p>
    <w:p w14:paraId="4A20E454" w14:textId="4692F2F2" w:rsidR="00F2711E" w:rsidRPr="009E7B69" w:rsidRDefault="007B7745" w:rsidP="009F5D32">
      <w:pPr>
        <w:pStyle w:val="Heading1"/>
      </w:pPr>
      <w:bookmarkStart w:id="181" w:name="_Toc81571214"/>
      <w:bookmarkStart w:id="182" w:name="_Toc94537040"/>
      <w:bookmarkStart w:id="183" w:name="_Toc118063687"/>
      <w:r w:rsidRPr="009E7B69">
        <w:lastRenderedPageBreak/>
        <w:t xml:space="preserve">Chapter </w:t>
      </w:r>
      <w:bookmarkEnd w:id="181"/>
      <w:r w:rsidRPr="009E7B69">
        <w:t xml:space="preserve">9  </w:t>
      </w:r>
      <w:r w:rsidRPr="009E7B69">
        <w:br/>
        <w:t xml:space="preserve">Oral Law and </w:t>
      </w:r>
      <w:r w:rsidR="00F641C3" w:rsidRPr="009E7B69">
        <w:t>the Sermon on the Mount</w:t>
      </w:r>
      <w:bookmarkEnd w:id="182"/>
      <w:bookmarkEnd w:id="183"/>
    </w:p>
    <w:p w14:paraId="26A68664" w14:textId="3FA4D1D5" w:rsidR="00657CB1" w:rsidRPr="009E7B69" w:rsidRDefault="000E5DED" w:rsidP="00762696">
      <w:pPr>
        <w:spacing w:line="480" w:lineRule="auto"/>
        <w:ind w:firstLine="720"/>
        <w:rPr>
          <w:lang w:val="en-AU"/>
        </w:rPr>
      </w:pPr>
      <w:r w:rsidRPr="009E7B69">
        <w:rPr>
          <w:lang w:val="en-AU"/>
        </w:rPr>
        <w:t>Now that consideration has been given to the various possible sources for the concepts available to those that heard the Sermon on the Mount</w:t>
      </w:r>
      <w:bookmarkStart w:id="184" w:name="_Hlk99201957"/>
      <w:r w:rsidR="0025717D">
        <w:rPr>
          <w:lang w:val="en-AU"/>
        </w:rPr>
        <w:t>—</w:t>
      </w:r>
      <w:bookmarkEnd w:id="184"/>
      <w:r w:rsidRPr="009E7B69">
        <w:rPr>
          <w:lang w:val="en-AU"/>
        </w:rPr>
        <w:t>sources such as the Hebrew Bible, the Oral Law, the writings from Qumran</w:t>
      </w:r>
      <w:r w:rsidR="0025717D">
        <w:rPr>
          <w:lang w:val="en-AU"/>
        </w:rPr>
        <w:t>—</w:t>
      </w:r>
      <w:r w:rsidRPr="009E7B69">
        <w:rPr>
          <w:lang w:val="en-AU"/>
        </w:rPr>
        <w:t>it is possible to address t</w:t>
      </w:r>
      <w:r w:rsidR="00657CB1" w:rsidRPr="009E7B69">
        <w:rPr>
          <w:lang w:val="en-AU"/>
        </w:rPr>
        <w:t>he purpose of this dissertation</w:t>
      </w:r>
      <w:r w:rsidRPr="009E7B69">
        <w:rPr>
          <w:lang w:val="en-AU"/>
        </w:rPr>
        <w:t>, which</w:t>
      </w:r>
      <w:r w:rsidR="00657CB1" w:rsidRPr="009E7B69">
        <w:rPr>
          <w:lang w:val="en-AU"/>
        </w:rPr>
        <w:t xml:space="preserve"> is to understand how the Sermon on the Mount</w:t>
      </w:r>
      <w:r w:rsidR="0025717D">
        <w:rPr>
          <w:lang w:val="en-AU"/>
        </w:rPr>
        <w:t>—</w:t>
      </w:r>
      <w:r w:rsidR="00657CB1" w:rsidRPr="009E7B69">
        <w:rPr>
          <w:lang w:val="en-AU"/>
        </w:rPr>
        <w:t>specifically the interpretation of the law of retaliation in Matthew 5:38–42</w:t>
      </w:r>
      <w:r w:rsidR="0025717D">
        <w:rPr>
          <w:lang w:val="en-AU"/>
        </w:rPr>
        <w:t>—</w:t>
      </w:r>
      <w:r w:rsidR="00657CB1" w:rsidRPr="009E7B69">
        <w:rPr>
          <w:lang w:val="en-AU"/>
        </w:rPr>
        <w:t xml:space="preserve">was influenced by Jewish thinking on non-violence resistance in Oral Traditions </w:t>
      </w:r>
      <w:r w:rsidR="0083473E" w:rsidRPr="009E7B69">
        <w:rPr>
          <w:lang w:val="en-AU"/>
        </w:rPr>
        <w:t>contemporary to Jesus, and which</w:t>
      </w:r>
      <w:r w:rsidR="00657CB1" w:rsidRPr="009E7B69">
        <w:rPr>
          <w:lang w:val="en-AU"/>
        </w:rPr>
        <w:t xml:space="preserve"> eventually found their way into </w:t>
      </w:r>
      <w:r w:rsidR="00657CB1" w:rsidRPr="009E7B69">
        <w:rPr>
          <w:i/>
          <w:iCs/>
          <w:lang w:val="en-AU"/>
        </w:rPr>
        <w:t>Mishna Avot</w:t>
      </w:r>
      <w:r w:rsidR="00657CB1" w:rsidRPr="009E7B69">
        <w:rPr>
          <w:lang w:val="en-AU"/>
        </w:rPr>
        <w:t xml:space="preserve">. </w:t>
      </w:r>
    </w:p>
    <w:p w14:paraId="5D7E703C" w14:textId="64461D63" w:rsidR="00657CB1" w:rsidRPr="009E7B69" w:rsidRDefault="00657CB1" w:rsidP="00657CB1">
      <w:pPr>
        <w:spacing w:line="480" w:lineRule="auto"/>
        <w:rPr>
          <w:lang w:val="en-AU"/>
        </w:rPr>
      </w:pPr>
      <w:r w:rsidRPr="009E7B69">
        <w:rPr>
          <w:lang w:val="en-AU"/>
        </w:rPr>
        <w:tab/>
        <w:t>In this chapter the similarities between the Sermon and Jewish ethical statements current at the time of Jesus</w:t>
      </w:r>
      <w:r w:rsidR="001F1160" w:rsidRPr="009E7B69">
        <w:rPr>
          <w:lang w:val="en-AU"/>
        </w:rPr>
        <w:t xml:space="preserve"> are assessed</w:t>
      </w:r>
      <w:r w:rsidRPr="009E7B69">
        <w:rPr>
          <w:lang w:val="en-AU"/>
        </w:rPr>
        <w:t>.</w:t>
      </w:r>
      <w:r w:rsidRPr="009E7B69">
        <w:rPr>
          <w:rStyle w:val="FootnoteReference"/>
          <w:lang w:val="en-AU"/>
        </w:rPr>
        <w:footnoteReference w:id="598"/>
      </w:r>
      <w:r w:rsidRPr="009E7B69">
        <w:rPr>
          <w:lang w:val="en-AU"/>
        </w:rPr>
        <w:t xml:space="preserve">  </w:t>
      </w:r>
      <w:r w:rsidR="001F1160" w:rsidRPr="009E7B69">
        <w:rPr>
          <w:lang w:val="en-AU"/>
        </w:rPr>
        <w:t>In particular, e</w:t>
      </w:r>
      <w:r w:rsidRPr="009E7B69">
        <w:rPr>
          <w:lang w:val="en-AU"/>
        </w:rPr>
        <w:t>lements of Jesus’s sayings relevant to pacifism and peace are investigated.</w:t>
      </w:r>
      <w:r w:rsidR="00BF6254">
        <w:rPr>
          <w:lang w:val="en-AU"/>
        </w:rPr>
        <w:t xml:space="preserve"> </w:t>
      </w:r>
      <w:r w:rsidR="00BF6254" w:rsidRPr="0072758C">
        <w:rPr>
          <w:lang w:val="en-AU"/>
        </w:rPr>
        <w:t xml:space="preserve">The chapter suggests that Matthew 5:38-42 has wrongfully interpreted ‘slapping’ to be a doormat—that a follower of Jesus must submit instead of demand equality. </w:t>
      </w:r>
      <w:r w:rsidR="00051C70">
        <w:rPr>
          <w:lang w:val="en-AU"/>
        </w:rPr>
        <w:t xml:space="preserve">Demanding equality is retaining one’s integrity. </w:t>
      </w:r>
      <w:r w:rsidR="00BF6254" w:rsidRPr="0072758C">
        <w:rPr>
          <w:lang w:val="en-AU"/>
        </w:rPr>
        <w:t>The dissertation suggests that Jesus teaches that the response to slapping is not to be abused but to demand integrity and respect back from someone with wrongful power and authority over you.</w:t>
      </w:r>
    </w:p>
    <w:p w14:paraId="0A509C64" w14:textId="21DB04E0" w:rsidR="00657CB1" w:rsidRPr="009E7B69" w:rsidRDefault="001A5823" w:rsidP="00BC7015">
      <w:pPr>
        <w:pStyle w:val="Heading2"/>
      </w:pPr>
      <w:bookmarkStart w:id="185" w:name="_Toc94537041"/>
      <w:bookmarkStart w:id="186" w:name="_Toc118063688"/>
      <w:r w:rsidRPr="009E7B69">
        <w:t>9</w:t>
      </w:r>
      <w:r w:rsidR="00657CB1" w:rsidRPr="009E7B69">
        <w:t xml:space="preserve">.1 Jewish </w:t>
      </w:r>
      <w:r w:rsidR="00886213" w:rsidRPr="009E7B69">
        <w:t>A</w:t>
      </w:r>
      <w:r w:rsidR="00657CB1" w:rsidRPr="009E7B69">
        <w:t>udience</w:t>
      </w:r>
      <w:bookmarkEnd w:id="185"/>
      <w:bookmarkEnd w:id="186"/>
    </w:p>
    <w:p w14:paraId="1214EF37" w14:textId="307A42DB" w:rsidR="00657CB1" w:rsidRPr="009E7B69" w:rsidRDefault="00657CB1" w:rsidP="00657CB1">
      <w:pPr>
        <w:spacing w:line="480" w:lineRule="auto"/>
        <w:ind w:firstLine="720"/>
        <w:rPr>
          <w:lang w:val="en-AU"/>
        </w:rPr>
      </w:pPr>
      <w:r w:rsidRPr="009E7B69">
        <w:rPr>
          <w:lang w:val="en-AU"/>
        </w:rPr>
        <w:t xml:space="preserve">The Sermon </w:t>
      </w:r>
      <w:r w:rsidR="001F1160" w:rsidRPr="009E7B69">
        <w:rPr>
          <w:lang w:val="en-AU"/>
        </w:rPr>
        <w:t xml:space="preserve">on the Mount </w:t>
      </w:r>
      <w:r w:rsidRPr="009E7B69">
        <w:rPr>
          <w:lang w:val="en-AU"/>
        </w:rPr>
        <w:t>is directed at people in a Jewish culture who are familiar with Oral Law.  This dissertation holds that Jesus’</w:t>
      </w:r>
      <w:r w:rsidR="006D41DD">
        <w:rPr>
          <w:lang w:val="en-AU"/>
        </w:rPr>
        <w:t>s</w:t>
      </w:r>
      <w:r w:rsidRPr="009E7B69">
        <w:rPr>
          <w:lang w:val="en-AU"/>
        </w:rPr>
        <w:t xml:space="preserve"> religion was authentically Jewish and that </w:t>
      </w:r>
      <w:r w:rsidRPr="009E7B69">
        <w:rPr>
          <w:lang w:val="en-AU"/>
        </w:rPr>
        <w:lastRenderedPageBreak/>
        <w:t xml:space="preserve">the audience did not reject the Jewishness of Jesus. </w:t>
      </w:r>
      <w:r w:rsidRPr="009E7B69">
        <w:rPr>
          <w:rStyle w:val="FootnoteReference"/>
          <w:lang w:val="en-AU"/>
        </w:rPr>
        <w:footnoteReference w:id="599"/>
      </w:r>
      <w:r w:rsidRPr="009E7B69">
        <w:rPr>
          <w:lang w:val="en-AU"/>
        </w:rPr>
        <w:t xml:space="preserve"> The crowds affirmed Jesus as a teacher to them (Matthew 7:28).</w:t>
      </w:r>
      <w:r w:rsidRPr="009E7B69">
        <w:rPr>
          <w:rStyle w:val="FootnoteReference"/>
          <w:lang w:val="en-AU"/>
        </w:rPr>
        <w:footnoteReference w:id="600"/>
      </w:r>
      <w:r w:rsidRPr="009E7B69">
        <w:rPr>
          <w:lang w:val="en-AU"/>
        </w:rPr>
        <w:t xml:space="preserve"> </w:t>
      </w:r>
      <w:r w:rsidR="00EC4276" w:rsidRPr="009E7B69">
        <w:rPr>
          <w:lang w:val="en-AU"/>
        </w:rPr>
        <w:t xml:space="preserve">In other words, </w:t>
      </w:r>
      <w:r w:rsidRPr="009E7B69">
        <w:rPr>
          <w:lang w:val="en-AU"/>
        </w:rPr>
        <w:t xml:space="preserve">Jesus </w:t>
      </w:r>
      <w:r w:rsidR="00EC4276" w:rsidRPr="009E7B69">
        <w:rPr>
          <w:lang w:val="en-AU"/>
        </w:rPr>
        <w:t>was recogni</w:t>
      </w:r>
      <w:r w:rsidR="00D86BBD">
        <w:rPr>
          <w:lang w:val="en-AU"/>
        </w:rPr>
        <w:t>s</w:t>
      </w:r>
      <w:r w:rsidR="00EC4276" w:rsidRPr="009E7B69">
        <w:rPr>
          <w:lang w:val="en-AU"/>
        </w:rPr>
        <w:t xml:space="preserve">ed as a </w:t>
      </w:r>
      <w:r w:rsidRPr="009E7B69">
        <w:rPr>
          <w:lang w:val="en-AU"/>
        </w:rPr>
        <w:t xml:space="preserve">rabbinical figure </w:t>
      </w:r>
      <w:r w:rsidR="00053483" w:rsidRPr="009E7B69">
        <w:rPr>
          <w:lang w:val="en-AU"/>
        </w:rPr>
        <w:t>by</w:t>
      </w:r>
      <w:r w:rsidRPr="009E7B69">
        <w:rPr>
          <w:lang w:val="en-AU"/>
        </w:rPr>
        <w:t xml:space="preserve"> those who listen to </w:t>
      </w:r>
      <w:r w:rsidR="00053483" w:rsidRPr="009E7B69">
        <w:rPr>
          <w:lang w:val="en-AU"/>
        </w:rPr>
        <w:t xml:space="preserve">him </w:t>
      </w:r>
      <w:r w:rsidRPr="009E7B69">
        <w:rPr>
          <w:lang w:val="en-AU"/>
        </w:rPr>
        <w:t xml:space="preserve">speak. </w:t>
      </w:r>
    </w:p>
    <w:p w14:paraId="4829D5D7" w14:textId="77777777" w:rsidR="00657CB1" w:rsidRPr="0025717D" w:rsidRDefault="00657CB1" w:rsidP="00657CB1">
      <w:pPr>
        <w:spacing w:line="480" w:lineRule="auto"/>
        <w:ind w:firstLine="720"/>
        <w:rPr>
          <w:lang w:val="en-AU"/>
        </w:rPr>
      </w:pPr>
      <w:r w:rsidRPr="0025717D">
        <w:rPr>
          <w:lang w:val="en-AU"/>
        </w:rPr>
        <w:t>Kennedy asks, “To whom did Jesus address the teachings of the Sermon? It has been assumed by some commentators, at least since the time of John Chrysostom (c. 347–407), that the Sermon is primarily addressed to the disciples and only secondarily to others.”</w:t>
      </w:r>
      <w:r w:rsidRPr="0025717D">
        <w:rPr>
          <w:rStyle w:val="FootnoteReference"/>
          <w:lang w:val="en-AU"/>
        </w:rPr>
        <w:footnoteReference w:id="601"/>
      </w:r>
      <w:r w:rsidRPr="0025717D">
        <w:rPr>
          <w:lang w:val="en-AU"/>
        </w:rPr>
        <w:t xml:space="preserve"> </w:t>
      </w:r>
    </w:p>
    <w:p w14:paraId="20C52460" w14:textId="77777777" w:rsidR="00657CB1" w:rsidRPr="0025717D" w:rsidRDefault="00657CB1" w:rsidP="00657CB1">
      <w:pPr>
        <w:spacing w:before="120" w:line="480" w:lineRule="auto"/>
        <w:ind w:firstLine="709"/>
        <w:rPr>
          <w:lang w:val="en-AU"/>
        </w:rPr>
      </w:pPr>
      <w:r w:rsidRPr="0025717D">
        <w:rPr>
          <w:lang w:val="en-AU"/>
        </w:rPr>
        <w:t>Whether the Greek text in Matthew 5:2 indicates that Jesus is addressing the disciples, or a larger group of people must be decided. In Matthew 4:25 it states, “And great crowds followed him from Galilee, the Decapolis, Jerusalem, Judea, and from beyond the Jordan.” The question could be asked if Jesus ascended a mountain to get away from the crowds for a break. The parallel passage in Luke has the address given after Jesus comes down from the mountain. The Greek</w:t>
      </w:r>
      <w:r w:rsidRPr="0025717D">
        <w:rPr>
          <w:i/>
          <w:iCs/>
          <w:lang w:val="en-AU"/>
        </w:rPr>
        <w:t xml:space="preserve"> </w:t>
      </w:r>
      <w:r w:rsidRPr="0025717D">
        <w:rPr>
          <w:lang w:val="en-AU"/>
        </w:rPr>
        <w:t>states in Matthew 5:2 καὶ ἀνοίξας τὸ στόμα αὐτοῦ ἐδίδασκεν αὐτοὺς λέγων which translates as “And he began to speak, and taught them, saying” (NRSV). The translation of the phrase ἐδίδασκεν αὐτοὺς, ‘[he] taught them,’</w:t>
      </w:r>
      <w:r w:rsidRPr="0025717D">
        <w:rPr>
          <w:i/>
          <w:lang w:val="en-AU"/>
        </w:rPr>
        <w:t xml:space="preserve"> </w:t>
      </w:r>
      <w:r w:rsidRPr="0025717D">
        <w:rPr>
          <w:lang w:val="en-AU"/>
        </w:rPr>
        <w:t>is commonly accepted to mean that Jesus taught others with authority. However, the text is ambiguous. Kennedy suggests:</w:t>
      </w:r>
    </w:p>
    <w:p w14:paraId="461128ED" w14:textId="77777777" w:rsidR="00657CB1" w:rsidRPr="0025717D" w:rsidRDefault="00657CB1" w:rsidP="00657CB1">
      <w:pPr>
        <w:pStyle w:val="Blockquotation"/>
        <w:rPr>
          <w:sz w:val="24"/>
          <w:lang w:val="en-AU"/>
        </w:rPr>
      </w:pPr>
      <w:r w:rsidRPr="0025717D">
        <w:rPr>
          <w:sz w:val="24"/>
          <w:lang w:val="en-AU"/>
        </w:rPr>
        <w:t>The textual basis for this conclusion is the ‘them’ (</w:t>
      </w:r>
      <w:r w:rsidRPr="0025717D">
        <w:rPr>
          <w:i/>
          <w:iCs/>
          <w:sz w:val="24"/>
          <w:lang w:val="en-AU"/>
        </w:rPr>
        <w:t>autous</w:t>
      </w:r>
      <w:r w:rsidRPr="0025717D">
        <w:rPr>
          <w:sz w:val="24"/>
          <w:lang w:val="en-AU"/>
        </w:rPr>
        <w:t xml:space="preserve">) of 5:2, for which the closest grammatical antecedent is the ‘disciples’ of 5:1. But this interpretation must be set against the ‘them’ of 7:28 in the closure of the speech, ‘for he taught </w:t>
      </w:r>
      <w:r w:rsidRPr="0025717D">
        <w:rPr>
          <w:i/>
          <w:sz w:val="24"/>
          <w:lang w:val="en-AU"/>
        </w:rPr>
        <w:t>them</w:t>
      </w:r>
      <w:r w:rsidRPr="0025717D">
        <w:rPr>
          <w:sz w:val="24"/>
          <w:lang w:val="en-AU"/>
        </w:rPr>
        <w:t xml:space="preserve"> [emphasis added] as one having authority,’ where ‘them’ grammatically can only refer to the </w:t>
      </w:r>
      <w:proofErr w:type="gramStart"/>
      <w:r w:rsidRPr="0025717D">
        <w:rPr>
          <w:sz w:val="24"/>
          <w:lang w:val="en-AU"/>
        </w:rPr>
        <w:t>crowd as a whole</w:t>
      </w:r>
      <w:proofErr w:type="gramEnd"/>
      <w:r w:rsidRPr="0025717D">
        <w:rPr>
          <w:sz w:val="24"/>
          <w:lang w:val="en-AU"/>
        </w:rPr>
        <w:t xml:space="preserve">. ‘Them’ in 5:2 can in fact also refer to the crowd, which is mentioned in 5:1. This interpretation is confirmed by 7:24, ‘everyone then who hears these words.’ </w:t>
      </w:r>
      <w:r w:rsidRPr="0025717D">
        <w:rPr>
          <w:sz w:val="24"/>
          <w:lang w:val="en-AU"/>
        </w:rPr>
        <w:lastRenderedPageBreak/>
        <w:t>That the entire crowd constitutes the audience is further supported by the various categories of people mentioned in the Beatitudes and throughout: the poor, the grief-stricken, the meek, those contemplating divorce, all Jews who will pray.</w:t>
      </w:r>
      <w:r w:rsidRPr="0025717D">
        <w:rPr>
          <w:rStyle w:val="FootnoteReference"/>
          <w:sz w:val="24"/>
          <w:lang w:val="en-AU"/>
        </w:rPr>
        <w:footnoteReference w:id="602"/>
      </w:r>
    </w:p>
    <w:p w14:paraId="244C2C7A" w14:textId="5D63ABB1" w:rsidR="00EC4276" w:rsidRPr="00AF0A33" w:rsidRDefault="00657CB1" w:rsidP="00AB2072">
      <w:pPr>
        <w:spacing w:before="240" w:line="480" w:lineRule="auto"/>
        <w:rPr>
          <w:lang w:val="en-AU"/>
        </w:rPr>
      </w:pPr>
      <w:r w:rsidRPr="00AF0A33">
        <w:rPr>
          <w:lang w:val="en-AU"/>
        </w:rPr>
        <w:t>Kennedy’s view that ‘them’ from the word (</w:t>
      </w:r>
      <w:r w:rsidRPr="00AF0A33">
        <w:rPr>
          <w:i/>
          <w:iCs/>
          <w:lang w:val="en-AU"/>
        </w:rPr>
        <w:t>autous</w:t>
      </w:r>
      <w:r w:rsidRPr="00AF0A33">
        <w:rPr>
          <w:lang w:val="en-AU"/>
        </w:rPr>
        <w:t>) has Jesus’</w:t>
      </w:r>
      <w:r w:rsidR="006D41DD">
        <w:rPr>
          <w:lang w:val="en-AU"/>
        </w:rPr>
        <w:t>s</w:t>
      </w:r>
      <w:r w:rsidRPr="00AF0A33">
        <w:rPr>
          <w:lang w:val="en-AU"/>
        </w:rPr>
        <w:t xml:space="preserve"> addressing the ‘crowd,’ and not only his apostles or disciples. </w:t>
      </w:r>
    </w:p>
    <w:p w14:paraId="7341A689" w14:textId="6FE6BE74" w:rsidR="00EC4276" w:rsidRPr="00AF0A33" w:rsidRDefault="00EC4276" w:rsidP="00EC4276">
      <w:pPr>
        <w:spacing w:before="120" w:line="480" w:lineRule="auto"/>
        <w:ind w:firstLine="720"/>
        <w:rPr>
          <w:lang w:val="en-AU"/>
        </w:rPr>
      </w:pPr>
      <w:r w:rsidRPr="00AF0A33">
        <w:rPr>
          <w:lang w:val="en-AU"/>
        </w:rPr>
        <w:t>This does not nullify the belief that the Jewish nature of the content</w:t>
      </w:r>
      <w:r w:rsidR="00053483" w:rsidRPr="00AF0A33">
        <w:rPr>
          <w:lang w:val="en-AU"/>
        </w:rPr>
        <w:t xml:space="preserve"> of the Sermon on the Mount</w:t>
      </w:r>
      <w:r w:rsidR="007F5AAE">
        <w:rPr>
          <w:lang w:val="en-AU"/>
        </w:rPr>
        <w:t xml:space="preserve"> w</w:t>
      </w:r>
      <w:r w:rsidRPr="00AF0A33">
        <w:rPr>
          <w:lang w:val="en-AU"/>
        </w:rPr>
        <w:t xml:space="preserve">as spoken by an authentically Jewish rabbi to a crowd. </w:t>
      </w:r>
      <w:r w:rsidR="00053483" w:rsidRPr="00AF0A33">
        <w:rPr>
          <w:lang w:val="en-AU"/>
        </w:rPr>
        <w:t>The sermon</w:t>
      </w:r>
      <w:r w:rsidRPr="00AF0A33">
        <w:rPr>
          <w:lang w:val="en-AU"/>
        </w:rPr>
        <w:t xml:space="preserve"> was not directed primarily at the disciples. Davis supports the view that the Sermon was for the Jewish listeners; however, he suggests that the reason Jesus would focus on the disciples would be to avoiding critiquing the Jewish legal system and that through Jesus’</w:t>
      </w:r>
      <w:r w:rsidR="006D41DD">
        <w:rPr>
          <w:lang w:val="en-AU"/>
        </w:rPr>
        <w:t>s</w:t>
      </w:r>
      <w:r w:rsidRPr="00AF0A33">
        <w:rPr>
          <w:lang w:val="en-AU"/>
        </w:rPr>
        <w:t xml:space="preserve"> Sermon, the person being legally offended has a voice.</w:t>
      </w:r>
      <w:r w:rsidRPr="00AF0A33">
        <w:rPr>
          <w:rStyle w:val="FootnoteReference"/>
          <w:lang w:val="en-AU"/>
        </w:rPr>
        <w:footnoteReference w:id="603"/>
      </w:r>
      <w:r w:rsidRPr="00AF0A33">
        <w:rPr>
          <w:lang w:val="en-AU"/>
        </w:rPr>
        <w:t xml:space="preserve"> The Sermon on the Mount does not provide a legal dictum or discourse on how to change a political system at the time of Jesus or even under future governments. The Sermon provides a context for an offended person to respond ethically and with justice. </w:t>
      </w:r>
    </w:p>
    <w:p w14:paraId="1B5BF2D4" w14:textId="1A1C4D47" w:rsidR="00657CB1" w:rsidRPr="00AF0A33" w:rsidRDefault="00657CB1" w:rsidP="00EC4276">
      <w:pPr>
        <w:spacing w:before="120" w:line="480" w:lineRule="auto"/>
        <w:ind w:firstLine="709"/>
        <w:rPr>
          <w:lang w:val="en-AU"/>
        </w:rPr>
      </w:pPr>
      <w:r w:rsidRPr="00AF0A33">
        <w:rPr>
          <w:lang w:val="en-AU"/>
        </w:rPr>
        <w:t xml:space="preserve">The crowd that followed Jesus probably consisted of people from different towns (Matt 4:25). Jesus targets those who are broken and need healing and restitution.  This is seen in verses such as Matthew 5:31, which states, “It was also said, ‘Whoever divorces his wife, let him give her a certificate of divorce’” (NRSV). This admonition to give a certificate of divorce allows for people who need restitution </w:t>
      </w:r>
      <w:r w:rsidR="009B5BB4" w:rsidRPr="00AF0A33">
        <w:rPr>
          <w:lang w:val="en-AU"/>
        </w:rPr>
        <w:t xml:space="preserve">from a marriage disagreement </w:t>
      </w:r>
      <w:r w:rsidRPr="00AF0A33">
        <w:rPr>
          <w:lang w:val="en-AU"/>
        </w:rPr>
        <w:t>to find satisfaction</w:t>
      </w:r>
      <w:r w:rsidR="009B5BB4" w:rsidRPr="00AF0A33">
        <w:rPr>
          <w:lang w:val="en-AU"/>
        </w:rPr>
        <w:t xml:space="preserve"> through the dissolution of the marriage</w:t>
      </w:r>
      <w:r w:rsidRPr="00AF0A33">
        <w:rPr>
          <w:lang w:val="en-AU"/>
        </w:rPr>
        <w:t xml:space="preserve">. The sermon also applies to people who pray: </w:t>
      </w:r>
    </w:p>
    <w:p w14:paraId="317F639E" w14:textId="5B4BDE90" w:rsidR="00657CB1" w:rsidRPr="00AF0A33" w:rsidRDefault="00657CB1" w:rsidP="00657CB1">
      <w:pPr>
        <w:pStyle w:val="Blockquotation"/>
        <w:rPr>
          <w:sz w:val="24"/>
          <w:lang w:val="en-AU"/>
        </w:rPr>
      </w:pPr>
      <w:r w:rsidRPr="00AF0A33">
        <w:rPr>
          <w:sz w:val="24"/>
          <w:lang w:val="en-AU"/>
        </w:rPr>
        <w:lastRenderedPageBreak/>
        <w:t xml:space="preserve">Matthew </w:t>
      </w:r>
      <w:r w:rsidR="00E72224">
        <w:rPr>
          <w:sz w:val="24"/>
          <w:lang w:val="en-AU"/>
        </w:rPr>
        <w:t>6</w:t>
      </w:r>
      <w:r w:rsidRPr="00AF0A33">
        <w:rPr>
          <w:sz w:val="24"/>
          <w:lang w:val="en-AU"/>
        </w:rPr>
        <w:t xml:space="preserve">:5–6, “And whenever you pray, do not be like the hypocrites; for they love to stand and pray in the synagogues and at the street corners, so that they may be seen by others. Truly I tell you, they have received their reward. But whenever you pray, go into your </w:t>
      </w:r>
      <w:proofErr w:type="gramStart"/>
      <w:r w:rsidRPr="00AF0A33">
        <w:rPr>
          <w:sz w:val="24"/>
          <w:lang w:val="en-AU"/>
        </w:rPr>
        <w:t>room</w:t>
      </w:r>
      <w:proofErr w:type="gramEnd"/>
      <w:r w:rsidRPr="00AF0A33">
        <w:rPr>
          <w:sz w:val="24"/>
          <w:lang w:val="en-AU"/>
        </w:rPr>
        <w:t xml:space="preserve"> and shut the door and pray to your Father who is in secret; and your Father who sees in secret will reward you” (NRSV).</w:t>
      </w:r>
    </w:p>
    <w:p w14:paraId="7F1D6B80" w14:textId="77777777" w:rsidR="00657CB1" w:rsidRPr="009E7B69" w:rsidRDefault="00657CB1" w:rsidP="00657CB1">
      <w:pPr>
        <w:spacing w:before="120"/>
      </w:pPr>
      <w:r w:rsidRPr="009E7B69">
        <w:t xml:space="preserve"> </w:t>
      </w:r>
    </w:p>
    <w:p w14:paraId="26B21C2A" w14:textId="4E6276C6" w:rsidR="00657CB1" w:rsidRPr="009E7B69" w:rsidRDefault="00657CB1" w:rsidP="00657CB1">
      <w:pPr>
        <w:spacing w:before="120" w:line="480" w:lineRule="auto"/>
        <w:rPr>
          <w:lang w:val="en-AU"/>
        </w:rPr>
      </w:pPr>
      <w:r w:rsidRPr="009E7B69">
        <w:rPr>
          <w:lang w:val="en-AU"/>
        </w:rPr>
        <w:t>The person who prays is seeking a connection with God; thus, Jesus’</w:t>
      </w:r>
      <w:r w:rsidR="006D41DD">
        <w:rPr>
          <w:lang w:val="en-AU"/>
        </w:rPr>
        <w:t>s</w:t>
      </w:r>
      <w:r w:rsidRPr="009E7B69">
        <w:rPr>
          <w:lang w:val="en-AU"/>
        </w:rPr>
        <w:t xml:space="preserve"> aim is to seek those who are wanting a personal connection with the divine. The sermon applies to those in need. In Matthew 6:8 it states, “Do not be like them, for your </w:t>
      </w:r>
      <w:proofErr w:type="gramStart"/>
      <w:r w:rsidRPr="009E7B69">
        <w:rPr>
          <w:lang w:val="en-AU"/>
        </w:rPr>
        <w:t>Father</w:t>
      </w:r>
      <w:proofErr w:type="gramEnd"/>
      <w:r w:rsidRPr="009E7B69">
        <w:rPr>
          <w:lang w:val="en-AU"/>
        </w:rPr>
        <w:t xml:space="preserve"> knows what you need before you ask him.” The premise is that the </w:t>
      </w:r>
      <w:proofErr w:type="gramStart"/>
      <w:r w:rsidRPr="009E7B69">
        <w:rPr>
          <w:lang w:val="en-AU"/>
        </w:rPr>
        <w:t>Father</w:t>
      </w:r>
      <w:proofErr w:type="gramEnd"/>
      <w:r w:rsidRPr="009E7B69">
        <w:rPr>
          <w:lang w:val="en-AU"/>
        </w:rPr>
        <w:t xml:space="preserve"> knows all needs, including retribution and punishment.</w:t>
      </w:r>
      <w:r w:rsidRPr="009E7B69">
        <w:rPr>
          <w:rStyle w:val="FootnoteReference"/>
          <w:lang w:val="en-AU"/>
        </w:rPr>
        <w:footnoteReference w:id="604"/>
      </w:r>
      <w:r w:rsidRPr="009E7B69">
        <w:rPr>
          <w:lang w:val="en-AU"/>
        </w:rPr>
        <w:t xml:space="preserve">  </w:t>
      </w:r>
    </w:p>
    <w:p w14:paraId="19EF4B1B" w14:textId="4D3810A2" w:rsidR="00657CB1" w:rsidRPr="009E7B69" w:rsidRDefault="00657CB1" w:rsidP="00657CB1">
      <w:pPr>
        <w:spacing w:line="480" w:lineRule="auto"/>
        <w:ind w:firstLine="720"/>
        <w:rPr>
          <w:lang w:val="en-AU"/>
        </w:rPr>
      </w:pPr>
      <w:r w:rsidRPr="009E7B69">
        <w:rPr>
          <w:lang w:val="en-AU"/>
        </w:rPr>
        <w:t>The Sermon’s connections to</w:t>
      </w:r>
      <w:r w:rsidRPr="009E7B69">
        <w:rPr>
          <w:i/>
          <w:iCs/>
          <w:lang w:val="en-AU"/>
        </w:rPr>
        <w:t xml:space="preserve"> Mishna Avot</w:t>
      </w:r>
      <w:r w:rsidRPr="009E7B69">
        <w:rPr>
          <w:lang w:val="en-AU"/>
        </w:rPr>
        <w:t xml:space="preserve"> are strengthened the fact that his original hearers as authentically Jewish.</w:t>
      </w:r>
      <w:r w:rsidRPr="009E7B69">
        <w:rPr>
          <w:rStyle w:val="FootnoteReference"/>
          <w:bCs/>
          <w:iCs/>
          <w:lang w:val="en-AU"/>
        </w:rPr>
        <w:footnoteReference w:id="605"/>
      </w:r>
      <w:r w:rsidRPr="009E7B69">
        <w:rPr>
          <w:lang w:val="en-AU"/>
        </w:rPr>
        <w:t xml:space="preserve"> It reflects writing addressed to Jewish recipients from the point of view of a Jewish author and reveals a uniquely Jewish Jesus and an audience who would have understood the Jewish background of the thoughts expressed by Jesus.</w:t>
      </w:r>
      <w:r w:rsidRPr="009E7B69">
        <w:rPr>
          <w:rStyle w:val="FootnoteReference"/>
          <w:bCs/>
          <w:iCs/>
          <w:lang w:val="en-AU"/>
        </w:rPr>
        <w:t xml:space="preserve"> </w:t>
      </w:r>
      <w:r w:rsidRPr="009E7B69">
        <w:rPr>
          <w:rStyle w:val="FootnoteReference"/>
          <w:bCs/>
          <w:iCs/>
          <w:lang w:val="en-AU"/>
        </w:rPr>
        <w:footnoteReference w:id="606"/>
      </w:r>
      <w:r w:rsidRPr="009E7B69">
        <w:rPr>
          <w:lang w:val="en-AU"/>
        </w:rPr>
        <w:t xml:space="preserve"> This Jewish connection ties him to the people who listened to him.</w:t>
      </w:r>
      <w:r w:rsidRPr="009E7B69">
        <w:rPr>
          <w:rStyle w:val="FootnoteReference"/>
          <w:bCs/>
          <w:iCs/>
          <w:lang w:val="en-AU"/>
        </w:rPr>
        <w:footnoteReference w:id="607"/>
      </w:r>
      <w:r w:rsidRPr="009E7B69">
        <w:rPr>
          <w:lang w:val="en-AU"/>
        </w:rPr>
        <w:t xml:space="preserve"> He was not creating a new or unique theology. The emerging group that follows Jesus remained Jewish, with only a minority of listeners being Gentile.</w:t>
      </w:r>
      <w:r w:rsidRPr="009E7B69">
        <w:rPr>
          <w:rStyle w:val="FootnoteReference"/>
          <w:bCs/>
          <w:iCs/>
          <w:lang w:val="en-AU"/>
        </w:rPr>
        <w:footnoteReference w:id="608"/>
      </w:r>
      <w:r w:rsidRPr="009E7B69">
        <w:rPr>
          <w:lang w:val="en-AU"/>
        </w:rPr>
        <w:t xml:space="preserve"> </w:t>
      </w:r>
    </w:p>
    <w:p w14:paraId="0C21081A" w14:textId="327377A0" w:rsidR="00657CB1" w:rsidRPr="009E7B69" w:rsidRDefault="00657CB1" w:rsidP="00657CB1">
      <w:pPr>
        <w:spacing w:line="480" w:lineRule="auto"/>
        <w:ind w:firstLine="709"/>
        <w:rPr>
          <w:lang w:val="en-AU"/>
        </w:rPr>
      </w:pPr>
      <w:r w:rsidRPr="009E7B69">
        <w:rPr>
          <w:lang w:val="en-AU"/>
        </w:rPr>
        <w:lastRenderedPageBreak/>
        <w:t>The Jewishness of Jesus’</w:t>
      </w:r>
      <w:r w:rsidR="006D41DD">
        <w:rPr>
          <w:lang w:val="en-AU"/>
        </w:rPr>
        <w:t>s</w:t>
      </w:r>
      <w:r w:rsidRPr="009E7B69">
        <w:rPr>
          <w:lang w:val="en-AU"/>
        </w:rPr>
        <w:t xml:space="preserve"> audience was affected by three hundred years of Hellenistic influence.</w:t>
      </w:r>
      <w:r w:rsidRPr="009E7B69">
        <w:rPr>
          <w:rStyle w:val="FootnoteReference"/>
          <w:lang w:val="en-AU"/>
        </w:rPr>
        <w:footnoteReference w:id="609"/>
      </w:r>
      <w:r w:rsidRPr="009E7B69">
        <w:rPr>
          <w:lang w:val="en-AU"/>
        </w:rPr>
        <w:t xml:space="preserve"> Martin Hengel demonstrated that “all of Judaism from about the middle of the 3</w:t>
      </w:r>
      <w:r w:rsidRPr="009E7B69">
        <w:rPr>
          <w:vertAlign w:val="superscript"/>
          <w:lang w:val="en-AU"/>
        </w:rPr>
        <w:t>rd</w:t>
      </w:r>
      <w:r w:rsidRPr="009E7B69">
        <w:rPr>
          <w:lang w:val="en-AU"/>
        </w:rPr>
        <w:t xml:space="preserve"> century BCE must, in the strict sense, be called ‘Hellenistic Judaism.”</w:t>
      </w:r>
      <w:r w:rsidRPr="009E7B69">
        <w:rPr>
          <w:rStyle w:val="FootnoteReference"/>
          <w:lang w:val="en-AU"/>
        </w:rPr>
        <w:footnoteReference w:id="610"/>
      </w:r>
      <w:r w:rsidRPr="009E7B69">
        <w:rPr>
          <w:lang w:val="en-AU"/>
        </w:rPr>
        <w:t xml:space="preserve"> Hengel pointed out a Jewish distinctiveness in the early imperial period (e.g., a focus upon Torah and apocalyptic fervour), and he held that Hellenistic civilization, on almost every level, influenced Judaism—economically, politically, culturally, literarily, philosophically, and theologically. Even after the time of Jesus, there was </w:t>
      </w:r>
      <w:r w:rsidR="00053483" w:rsidRPr="009E7B69">
        <w:rPr>
          <w:lang w:val="en-AU"/>
        </w:rPr>
        <w:t>an</w:t>
      </w:r>
      <w:r w:rsidRPr="009E7B69">
        <w:rPr>
          <w:lang w:val="en-AU"/>
        </w:rPr>
        <w:t xml:space="preserve"> assimilation of Greek Jews</w:t>
      </w:r>
      <w:r w:rsidR="009B5BB4" w:rsidRPr="009E7B69">
        <w:rPr>
          <w:lang w:val="en-AU"/>
        </w:rPr>
        <w:t xml:space="preserve"> into the region of Galilee</w:t>
      </w:r>
      <w:r w:rsidRPr="009E7B69">
        <w:rPr>
          <w:lang w:val="en-AU"/>
        </w:rPr>
        <w:t>.</w:t>
      </w:r>
      <w:r w:rsidRPr="009E7B69">
        <w:rPr>
          <w:rStyle w:val="FootnoteReference"/>
          <w:lang w:val="en-AU"/>
        </w:rPr>
        <w:footnoteReference w:id="611"/>
      </w:r>
      <w:r w:rsidRPr="009E7B69">
        <w:rPr>
          <w:lang w:val="en-AU"/>
        </w:rPr>
        <w:t xml:space="preserve"> The people who heard the Sermon were oppressed by Rome, divergent in their Jewish views, and mainly poor.</w:t>
      </w:r>
      <w:r w:rsidRPr="009E7B69">
        <w:rPr>
          <w:rStyle w:val="FootnoteReference"/>
          <w:lang w:val="en-AU"/>
        </w:rPr>
        <w:footnoteReference w:id="612"/>
      </w:r>
      <w:r w:rsidRPr="009E7B69">
        <w:rPr>
          <w:lang w:val="en-AU"/>
        </w:rPr>
        <w:t xml:space="preserve"> </w:t>
      </w:r>
    </w:p>
    <w:p w14:paraId="0333F45C" w14:textId="634C0CB8" w:rsidR="000A1C26" w:rsidRPr="009E7B69" w:rsidRDefault="000A1C26" w:rsidP="000A1C26">
      <w:pPr>
        <w:spacing w:line="480" w:lineRule="auto"/>
        <w:ind w:firstLine="720"/>
        <w:rPr>
          <w:lang w:val="en-AU"/>
        </w:rPr>
      </w:pPr>
      <w:r w:rsidRPr="009E7B69">
        <w:rPr>
          <w:lang w:val="en-AU"/>
        </w:rPr>
        <w:t xml:space="preserve">The audience of the Sermon on the </w:t>
      </w:r>
      <w:r w:rsidR="007F5AAE">
        <w:rPr>
          <w:lang w:val="en-AU"/>
        </w:rPr>
        <w:t xml:space="preserve">Mount </w:t>
      </w:r>
      <w:r w:rsidRPr="009E7B69">
        <w:rPr>
          <w:lang w:val="en-AU"/>
        </w:rPr>
        <w:t xml:space="preserve">could have included a wider demographic than only Jewish believers (and non-believers) in Jesus, possibly with people who held </w:t>
      </w:r>
      <w:r w:rsidRPr="009E7B69">
        <w:rPr>
          <w:lang w:val="en-AU"/>
        </w:rPr>
        <w:lastRenderedPageBreak/>
        <w:t>polytheistic views among them.</w:t>
      </w:r>
      <w:r w:rsidRPr="009E7B69">
        <w:rPr>
          <w:rStyle w:val="FootnoteReference"/>
          <w:lang w:val="en-AU"/>
        </w:rPr>
        <w:footnoteReference w:id="613"/>
      </w:r>
      <w:r w:rsidRPr="009E7B69">
        <w:rPr>
          <w:lang w:val="en-AU"/>
        </w:rPr>
        <w:t xml:space="preserve">  Jesus, Viljoen contends, quoted the words of Torah as known by his contemporaries but added to or modified them in several instances.</w:t>
      </w:r>
      <w:r w:rsidRPr="009E7B69">
        <w:rPr>
          <w:rStyle w:val="FootnoteReference"/>
          <w:lang w:val="en-AU"/>
        </w:rPr>
        <w:footnoteReference w:id="614"/>
      </w:r>
      <w:r w:rsidRPr="009E7B69">
        <w:rPr>
          <w:lang w:val="en-AU"/>
        </w:rPr>
        <w:t xml:space="preserve">  This does not make Jesus less Jewish or more Jewish than other people, but it helps to understand how his intellectual thoughts were perceived by his listeners. The members of the audience of the Sermon were of eclectic philosophical origin and associated with various rabbinic, apocalyptic, </w:t>
      </w:r>
      <w:proofErr w:type="gramStart"/>
      <w:r w:rsidRPr="009E7B69">
        <w:rPr>
          <w:lang w:val="en-AU"/>
        </w:rPr>
        <w:t>revolutionary</w:t>
      </w:r>
      <w:proofErr w:type="gramEnd"/>
      <w:r w:rsidRPr="009E7B69">
        <w:rPr>
          <w:lang w:val="en-AU"/>
        </w:rPr>
        <w:t xml:space="preserve"> and different Jewish movements, which would later become the Jewish-Christian movement.</w:t>
      </w:r>
      <w:r w:rsidRPr="009E7B69">
        <w:rPr>
          <w:rStyle w:val="FootnoteReference"/>
          <w:lang w:val="en-AU"/>
        </w:rPr>
        <w:footnoteReference w:id="615"/>
      </w:r>
      <w:r w:rsidRPr="009E7B69">
        <w:rPr>
          <w:lang w:val="en-AU"/>
        </w:rPr>
        <w:t xml:space="preserve"> </w:t>
      </w:r>
    </w:p>
    <w:p w14:paraId="0BB34598" w14:textId="0C4C86C3" w:rsidR="00F74543" w:rsidRPr="00E30CA3" w:rsidRDefault="0078033F" w:rsidP="0078033F">
      <w:pPr>
        <w:spacing w:line="480" w:lineRule="auto"/>
        <w:ind w:firstLine="709"/>
        <w:rPr>
          <w:lang w:val="en-AU"/>
        </w:rPr>
      </w:pPr>
      <w:r w:rsidRPr="00E30CA3">
        <w:rPr>
          <w:lang w:val="en-AU"/>
        </w:rPr>
        <w:t>Jesus’</w:t>
      </w:r>
      <w:r w:rsidR="006D41DD">
        <w:rPr>
          <w:lang w:val="en-AU"/>
        </w:rPr>
        <w:t>s</w:t>
      </w:r>
      <w:r w:rsidRPr="00E30CA3">
        <w:rPr>
          <w:lang w:val="en-AU"/>
        </w:rPr>
        <w:t xml:space="preserve"> emphasis on love is in harmony with the Oral Law.  </w:t>
      </w:r>
      <w:r w:rsidR="00657CB1" w:rsidRPr="00E30CA3">
        <w:rPr>
          <w:lang w:val="en-AU"/>
        </w:rPr>
        <w:t xml:space="preserve">Burridge </w:t>
      </w:r>
      <w:r w:rsidRPr="00E30CA3">
        <w:rPr>
          <w:lang w:val="en-AU"/>
        </w:rPr>
        <w:t>states,</w:t>
      </w:r>
      <w:r w:rsidR="00657CB1" w:rsidRPr="00E30CA3">
        <w:rPr>
          <w:lang w:val="en-AU"/>
        </w:rPr>
        <w:t xml:space="preserve"> “The centrality of love in Jesus’</w:t>
      </w:r>
      <w:r w:rsidR="006D41DD">
        <w:rPr>
          <w:lang w:val="en-AU"/>
        </w:rPr>
        <w:t>s</w:t>
      </w:r>
      <w:r w:rsidR="00657CB1" w:rsidRPr="00E30CA3">
        <w:rPr>
          <w:lang w:val="en-AU"/>
        </w:rPr>
        <w:t xml:space="preserve"> ethics even extends to the love of enemies. The Q-saying of Matt. 5:38–48 and Luke 6:27–36 go</w:t>
      </w:r>
      <w:r w:rsidR="007F5AAE">
        <w:rPr>
          <w:lang w:val="en-AU"/>
        </w:rPr>
        <w:t>es</w:t>
      </w:r>
      <w:r w:rsidR="00657CB1" w:rsidRPr="00E30CA3">
        <w:rPr>
          <w:lang w:val="en-AU"/>
        </w:rPr>
        <w:t xml:space="preserve"> beyond mere non-retaliation to require positive love for enemies.”</w:t>
      </w:r>
      <w:r w:rsidR="00657CB1" w:rsidRPr="00E30CA3">
        <w:rPr>
          <w:rStyle w:val="FootnoteReference"/>
          <w:lang w:val="en-AU"/>
        </w:rPr>
        <w:footnoteReference w:id="616"/>
      </w:r>
      <w:r w:rsidR="00657CB1" w:rsidRPr="00E30CA3">
        <w:rPr>
          <w:lang w:val="en-AU"/>
        </w:rPr>
        <w:t xml:space="preserve"> </w:t>
      </w:r>
      <w:r w:rsidR="00891DA2" w:rsidRPr="00E30CA3">
        <w:rPr>
          <w:lang w:val="en-AU"/>
        </w:rPr>
        <w:t xml:space="preserve">Luke 6:34–35 (NRSV) teaches, “If you lend to those from whom you hope to receive, what credit is that to you? Even sinners lend to sinners, to receive as much again. But love your enemies, do good, and lend, expecting nothing in return. Your reward will be great, and you will be children of the </w:t>
      </w:r>
      <w:proofErr w:type="gramStart"/>
      <w:r w:rsidR="00891DA2" w:rsidRPr="00E30CA3">
        <w:rPr>
          <w:lang w:val="en-AU"/>
        </w:rPr>
        <w:t>Most High</w:t>
      </w:r>
      <w:proofErr w:type="gramEnd"/>
      <w:r w:rsidR="00891DA2" w:rsidRPr="00E30CA3">
        <w:rPr>
          <w:lang w:val="en-AU"/>
        </w:rPr>
        <w:t xml:space="preserve">; for he is kind to the ungrateful and the wicked.” </w:t>
      </w:r>
      <w:r w:rsidR="00657CB1" w:rsidRPr="00E30CA3">
        <w:rPr>
          <w:lang w:val="en-AU"/>
        </w:rPr>
        <w:t>This questions the very foundation on why a person should lend. Following non-retaliatory pacifism is a basis for having true love for one another.</w:t>
      </w:r>
    </w:p>
    <w:p w14:paraId="3D973755" w14:textId="16354098" w:rsidR="00657CB1" w:rsidRPr="00E30CA3" w:rsidRDefault="00F74543" w:rsidP="00F74543">
      <w:pPr>
        <w:spacing w:before="120" w:line="480" w:lineRule="auto"/>
        <w:ind w:firstLine="709"/>
        <w:rPr>
          <w:lang w:val="en-AU"/>
        </w:rPr>
      </w:pPr>
      <w:r w:rsidRPr="00E30CA3">
        <w:rPr>
          <w:lang w:val="en-AU"/>
        </w:rPr>
        <w:t>There can be little doubt</w:t>
      </w:r>
      <w:r w:rsidR="00657CB1" w:rsidRPr="00E30CA3">
        <w:rPr>
          <w:lang w:val="en-AU"/>
        </w:rPr>
        <w:t xml:space="preserve"> that Jewish thought was incorporated into Jesus’</w:t>
      </w:r>
      <w:r w:rsidR="006D41DD">
        <w:rPr>
          <w:lang w:val="en-AU"/>
        </w:rPr>
        <w:t>s</w:t>
      </w:r>
      <w:r w:rsidR="0078033F" w:rsidRPr="00E30CA3">
        <w:rPr>
          <w:lang w:val="en-AU"/>
        </w:rPr>
        <w:t xml:space="preserve"> teaching, and this chapter will go on to provide evidence that the</w:t>
      </w:r>
      <w:r w:rsidR="00657CB1" w:rsidRPr="00E30CA3">
        <w:rPr>
          <w:lang w:val="en-AU"/>
        </w:rPr>
        <w:t xml:space="preserve"> peace and pacifist sayings</w:t>
      </w:r>
      <w:r w:rsidR="0078033F" w:rsidRPr="00E30CA3">
        <w:rPr>
          <w:lang w:val="en-AU"/>
        </w:rPr>
        <w:t xml:space="preserve"> of Jesus have precursors in Jewish Oral Law</w:t>
      </w:r>
      <w:r w:rsidR="00657CB1" w:rsidRPr="00E30CA3">
        <w:rPr>
          <w:lang w:val="en-AU"/>
        </w:rPr>
        <w:t xml:space="preserve">. Levine goes further when he states that the authors of the Synoptic Gospels focused on Jewish ideas: </w:t>
      </w:r>
    </w:p>
    <w:p w14:paraId="21AFBBF3" w14:textId="5584B2DA" w:rsidR="00D25D36" w:rsidRPr="00E30CA3" w:rsidRDefault="00657CB1" w:rsidP="00657CB1">
      <w:pPr>
        <w:pStyle w:val="Blockquotation"/>
        <w:rPr>
          <w:sz w:val="24"/>
          <w:lang w:val="en-AU"/>
        </w:rPr>
      </w:pPr>
      <w:r w:rsidRPr="00E30CA3">
        <w:rPr>
          <w:sz w:val="24"/>
          <w:lang w:val="en-AU"/>
        </w:rPr>
        <w:lastRenderedPageBreak/>
        <w:t>According to numerous apologetic volumes, all the New Testament authors are Jews:  Paul is Jewish; Mark and Luke are Jewish; Matthew, John, the author of Hebrews, the author of Revelation, all Jews. The argument also insists that these authors are writing mostly to Jews or at least to communities comprising Jews and Gentiles. Thus, the books of the New Testament cannot be anti-Jewish; on the contrary, they are as Jewish as can be.</w:t>
      </w:r>
      <w:r w:rsidRPr="00E30CA3">
        <w:rPr>
          <w:rStyle w:val="FootnoteReference"/>
          <w:sz w:val="24"/>
          <w:lang w:val="en-AU"/>
        </w:rPr>
        <w:footnoteReference w:id="617"/>
      </w:r>
    </w:p>
    <w:p w14:paraId="098949BF" w14:textId="6EDA9BD0" w:rsidR="00657CB1" w:rsidRPr="00E30CA3" w:rsidRDefault="00657CB1" w:rsidP="007F5AAE">
      <w:pPr>
        <w:spacing w:before="120" w:line="480" w:lineRule="auto"/>
        <w:rPr>
          <w:lang w:val="en-AU"/>
        </w:rPr>
      </w:pPr>
      <w:r w:rsidRPr="00E30CA3">
        <w:rPr>
          <w:lang w:val="en-AU"/>
        </w:rPr>
        <w:t>The Jewish authors would have reflected the views held at the time.</w:t>
      </w:r>
      <w:r w:rsidRPr="00E30CA3">
        <w:rPr>
          <w:rStyle w:val="FootnoteReference"/>
          <w:lang w:val="en-AU"/>
        </w:rPr>
        <w:footnoteReference w:id="618"/>
      </w:r>
      <w:r w:rsidRPr="00E30CA3">
        <w:rPr>
          <w:lang w:val="en-AU"/>
        </w:rPr>
        <w:t xml:space="preserve"> </w:t>
      </w:r>
    </w:p>
    <w:p w14:paraId="72DEC8CD" w14:textId="5F16D12B" w:rsidR="00657CB1" w:rsidRPr="00E30CA3" w:rsidRDefault="00BE697E" w:rsidP="00BC7015">
      <w:pPr>
        <w:pStyle w:val="Heading2"/>
      </w:pPr>
      <w:bookmarkStart w:id="187" w:name="_Toc94537042"/>
      <w:bookmarkStart w:id="188" w:name="_Toc118063689"/>
      <w:r w:rsidRPr="00E30CA3">
        <w:t>9</w:t>
      </w:r>
      <w:r w:rsidR="00657CB1" w:rsidRPr="00E30CA3">
        <w:t>.2 Sapiential Books and the Sermon</w:t>
      </w:r>
      <w:bookmarkEnd w:id="187"/>
      <w:bookmarkEnd w:id="188"/>
    </w:p>
    <w:p w14:paraId="67CA44F3" w14:textId="2C490E46" w:rsidR="00657CB1" w:rsidRPr="00E30CA3" w:rsidRDefault="00657CB1" w:rsidP="00657CB1">
      <w:pPr>
        <w:spacing w:line="480" w:lineRule="auto"/>
        <w:ind w:firstLine="720"/>
        <w:rPr>
          <w:lang w:val="en-AU"/>
        </w:rPr>
      </w:pPr>
      <w:r w:rsidRPr="00E30CA3">
        <w:rPr>
          <w:lang w:val="en-AU"/>
        </w:rPr>
        <w:t>The Book of Matthew, the Sermon, and its connections to</w:t>
      </w:r>
      <w:r w:rsidRPr="00E30CA3">
        <w:rPr>
          <w:i/>
          <w:iCs/>
          <w:lang w:val="en-AU"/>
        </w:rPr>
        <w:t xml:space="preserve"> Mishna Avot</w:t>
      </w:r>
      <w:r w:rsidRPr="00E30CA3">
        <w:rPr>
          <w:lang w:val="en-AU"/>
        </w:rPr>
        <w:t xml:space="preserve"> reflect the influence of Jewish Wisdom surrounding the Jewish community and identity. Wisdom literature did not emerge until the establishment of the court under David, and more importantly, Solomon.</w:t>
      </w:r>
      <w:r w:rsidR="00465B38" w:rsidRPr="00E30CA3">
        <w:rPr>
          <w:rStyle w:val="FootnoteReference"/>
          <w:lang w:val="en-AU"/>
        </w:rPr>
        <w:footnoteReference w:id="619"/>
      </w:r>
      <w:r w:rsidRPr="00E30CA3">
        <w:rPr>
          <w:lang w:val="en-AU"/>
        </w:rPr>
        <w:t xml:space="preserve"> Wisdom literature departs from the suzerainty style of a covenant </w:t>
      </w:r>
      <w:r w:rsidRPr="00E30CA3">
        <w:rPr>
          <w:lang w:val="en-AU"/>
        </w:rPr>
        <w:lastRenderedPageBreak/>
        <w:t>king sitting on a throne telling people what to do through a prophet.</w:t>
      </w:r>
      <w:r w:rsidRPr="00E30CA3">
        <w:rPr>
          <w:rStyle w:val="FootnoteReference"/>
          <w:lang w:val="en-AU"/>
        </w:rPr>
        <w:footnoteReference w:id="620"/>
      </w:r>
      <w:r w:rsidRPr="00E30CA3">
        <w:rPr>
          <w:lang w:val="en-AU"/>
        </w:rPr>
        <w:t xml:space="preserve"> The wisdom literature fosters human emotions and relationships with the Divine.</w:t>
      </w:r>
      <w:r w:rsidRPr="00E30CA3">
        <w:rPr>
          <w:rStyle w:val="FootnoteReference"/>
          <w:lang w:val="en-AU"/>
        </w:rPr>
        <w:footnoteReference w:id="621"/>
      </w:r>
      <w:r w:rsidRPr="00E30CA3">
        <w:rPr>
          <w:lang w:val="en-AU"/>
        </w:rPr>
        <w:t xml:space="preserve"> </w:t>
      </w:r>
    </w:p>
    <w:p w14:paraId="55C40E72" w14:textId="77777777" w:rsidR="00657CB1" w:rsidRPr="00E30CA3" w:rsidRDefault="00657CB1" w:rsidP="00657CB1">
      <w:pPr>
        <w:spacing w:line="480" w:lineRule="auto"/>
        <w:ind w:firstLine="720"/>
        <w:rPr>
          <w:lang w:val="en-AU"/>
        </w:rPr>
      </w:pPr>
      <w:r w:rsidRPr="00E30CA3">
        <w:rPr>
          <w:lang w:val="en-AU"/>
        </w:rPr>
        <w:t xml:space="preserve">The Sermon on the Mount reflects closely the thinking of Jewish wisdom literature. Both foster relationships with the Divine. Betz explains: </w:t>
      </w:r>
    </w:p>
    <w:p w14:paraId="6DCA23D4" w14:textId="7BE539C9" w:rsidR="00D25D36" w:rsidRPr="00E30CA3" w:rsidRDefault="00657CB1" w:rsidP="00657CB1">
      <w:pPr>
        <w:pStyle w:val="Blockquotation"/>
        <w:rPr>
          <w:sz w:val="24"/>
          <w:lang w:val="en-AU"/>
        </w:rPr>
      </w:pPr>
      <w:r w:rsidRPr="00E30CA3">
        <w:rPr>
          <w:sz w:val="24"/>
          <w:lang w:val="en-AU"/>
        </w:rPr>
        <w:t xml:space="preserve">Those comparative texts standing nearest literally to the SM [Sermon on the Mount] are, in the first instance, those which belong to the Jewish Wisdom tradition. </w:t>
      </w:r>
      <w:r w:rsidRPr="00E30CA3">
        <w:rPr>
          <w:i/>
          <w:sz w:val="24"/>
          <w:lang w:val="en-AU"/>
        </w:rPr>
        <w:t>Pirkei Avot</w:t>
      </w:r>
      <w:r w:rsidRPr="00E30CA3">
        <w:rPr>
          <w:sz w:val="24"/>
          <w:lang w:val="en-AU"/>
        </w:rPr>
        <w:t xml:space="preserve">, with its commentary </w:t>
      </w:r>
      <w:r w:rsidRPr="00E30CA3">
        <w:rPr>
          <w:i/>
          <w:sz w:val="24"/>
          <w:lang w:val="en-AU"/>
        </w:rPr>
        <w:t>Avot de Rabbi Natan</w:t>
      </w:r>
      <w:r w:rsidRPr="00E30CA3">
        <w:rPr>
          <w:sz w:val="24"/>
          <w:lang w:val="en-AU"/>
        </w:rPr>
        <w:t xml:space="preserve">, and so-called </w:t>
      </w:r>
      <w:r w:rsidRPr="00E30CA3">
        <w:rPr>
          <w:i/>
          <w:sz w:val="24"/>
          <w:lang w:val="en-AU"/>
        </w:rPr>
        <w:t>Manual of Discipline</w:t>
      </w:r>
      <w:r w:rsidRPr="00E30CA3">
        <w:rPr>
          <w:sz w:val="24"/>
          <w:lang w:val="en-AU"/>
        </w:rPr>
        <w:t xml:space="preserve"> from Qumran are formally related, though they derive from other Jewish movements.</w:t>
      </w:r>
      <w:r w:rsidRPr="00E30CA3">
        <w:rPr>
          <w:rStyle w:val="FootnoteReference"/>
          <w:sz w:val="24"/>
          <w:lang w:val="en-AU"/>
        </w:rPr>
        <w:footnoteReference w:id="622"/>
      </w:r>
    </w:p>
    <w:p w14:paraId="5C67E09C" w14:textId="13FBBF7E" w:rsidR="00657CB1" w:rsidRPr="00E30CA3" w:rsidRDefault="00657CB1" w:rsidP="00AB2072">
      <w:pPr>
        <w:spacing w:before="240" w:line="480" w:lineRule="auto"/>
        <w:rPr>
          <w:lang w:val="en-AU"/>
        </w:rPr>
      </w:pPr>
      <w:r w:rsidRPr="00E30CA3">
        <w:rPr>
          <w:lang w:val="en-AU"/>
        </w:rPr>
        <w:t xml:space="preserve">As Betz contends, </w:t>
      </w:r>
      <w:r w:rsidR="00891DA2" w:rsidRPr="00E30CA3">
        <w:rPr>
          <w:lang w:val="en-AU"/>
        </w:rPr>
        <w:t xml:space="preserve">while </w:t>
      </w:r>
      <w:r w:rsidRPr="00E30CA3">
        <w:rPr>
          <w:lang w:val="en-AU"/>
        </w:rPr>
        <w:t xml:space="preserve">the writings of </w:t>
      </w:r>
      <w:r w:rsidRPr="00E30CA3">
        <w:rPr>
          <w:i/>
          <w:iCs/>
          <w:lang w:val="en-AU"/>
        </w:rPr>
        <w:t>Mishna Avot</w:t>
      </w:r>
      <w:r w:rsidRPr="00E30CA3">
        <w:rPr>
          <w:lang w:val="en-AU"/>
        </w:rPr>
        <w:t xml:space="preserve"> are related but come from different Jewish movements</w:t>
      </w:r>
      <w:r w:rsidR="00891DA2" w:rsidRPr="00E30CA3">
        <w:rPr>
          <w:lang w:val="en-AU"/>
        </w:rPr>
        <w:t xml:space="preserve">, </w:t>
      </w:r>
      <w:r w:rsidRPr="00E30CA3">
        <w:rPr>
          <w:i/>
          <w:iCs/>
          <w:lang w:val="en-AU"/>
        </w:rPr>
        <w:t xml:space="preserve">Mishna Avot </w:t>
      </w:r>
      <w:r w:rsidR="00891DA2" w:rsidRPr="00E30CA3">
        <w:rPr>
          <w:lang w:val="en-AU"/>
        </w:rPr>
        <w:t>does s</w:t>
      </w:r>
      <w:r w:rsidRPr="00E30CA3">
        <w:rPr>
          <w:lang w:val="en-AU"/>
        </w:rPr>
        <w:t xml:space="preserve">how a similarity </w:t>
      </w:r>
      <w:r w:rsidR="00891DA2" w:rsidRPr="00E30CA3">
        <w:rPr>
          <w:lang w:val="en-AU"/>
        </w:rPr>
        <w:t>to the Sermon on the Mount</w:t>
      </w:r>
      <w:r w:rsidRPr="00E30CA3">
        <w:rPr>
          <w:lang w:val="en-AU"/>
        </w:rPr>
        <w:t>.</w:t>
      </w:r>
      <w:r w:rsidRPr="00E30CA3">
        <w:rPr>
          <w:rStyle w:val="FootnoteReference"/>
          <w:lang w:val="en-AU"/>
        </w:rPr>
        <w:footnoteReference w:id="623"/>
      </w:r>
      <w:r w:rsidRPr="00E30CA3">
        <w:rPr>
          <w:lang w:val="en-AU"/>
        </w:rPr>
        <w:t xml:space="preserve"> </w:t>
      </w:r>
      <w:r w:rsidR="00934C8D" w:rsidRPr="00E30CA3">
        <w:rPr>
          <w:lang w:val="en-AU"/>
        </w:rPr>
        <w:t>In other words, t</w:t>
      </w:r>
      <w:r w:rsidRPr="00E30CA3">
        <w:rPr>
          <w:lang w:val="en-AU"/>
        </w:rPr>
        <w:t xml:space="preserve">he Sermon and </w:t>
      </w:r>
      <w:r w:rsidRPr="00E30CA3">
        <w:rPr>
          <w:i/>
          <w:iCs/>
          <w:lang w:val="en-AU"/>
        </w:rPr>
        <w:t xml:space="preserve">Mishna </w:t>
      </w:r>
      <w:r w:rsidRPr="00E30CA3">
        <w:rPr>
          <w:i/>
          <w:lang w:val="en-AU"/>
        </w:rPr>
        <w:t>Avot</w:t>
      </w:r>
      <w:r w:rsidRPr="00E30CA3">
        <w:rPr>
          <w:lang w:val="en-AU"/>
        </w:rPr>
        <w:t xml:space="preserve"> contain similar intellectual thought and influence. Brad Young suggests that “these sayings and teachings of the then-contemporary rabbis </w:t>
      </w:r>
      <w:r w:rsidRPr="00E30CA3">
        <w:rPr>
          <w:lang w:val="en-AU"/>
        </w:rPr>
        <w:lastRenderedPageBreak/>
        <w:t>provide significant parallels to the moral message of Jesus’</w:t>
      </w:r>
      <w:r w:rsidR="006D41DD">
        <w:rPr>
          <w:lang w:val="en-AU"/>
        </w:rPr>
        <w:t>s</w:t>
      </w:r>
      <w:r w:rsidRPr="00E30CA3">
        <w:rPr>
          <w:lang w:val="en-AU"/>
        </w:rPr>
        <w:t xml:space="preserve"> Sermon on the Mount.”</w:t>
      </w:r>
      <w:r w:rsidRPr="00E30CA3">
        <w:rPr>
          <w:rStyle w:val="FootnoteReference"/>
          <w:lang w:val="en-AU"/>
        </w:rPr>
        <w:footnoteReference w:id="624"/>
      </w:r>
      <w:r w:rsidRPr="00E30CA3">
        <w:rPr>
          <w:lang w:val="en-AU"/>
        </w:rPr>
        <w:t xml:space="preserve">  The </w:t>
      </w:r>
      <w:r w:rsidRPr="00E30CA3">
        <w:rPr>
          <w:i/>
          <w:iCs/>
          <w:lang w:val="en-AU"/>
        </w:rPr>
        <w:t>Avot’s</w:t>
      </w:r>
      <w:r w:rsidRPr="00E30CA3">
        <w:rPr>
          <w:lang w:val="en-AU"/>
        </w:rPr>
        <w:t xml:space="preserve"> strong parallels to the New Testament </w:t>
      </w:r>
      <w:r w:rsidR="00934C8D" w:rsidRPr="00E30CA3">
        <w:rPr>
          <w:lang w:val="en-AU"/>
        </w:rPr>
        <w:t xml:space="preserve">provide </w:t>
      </w:r>
      <w:r w:rsidRPr="00E30CA3">
        <w:rPr>
          <w:lang w:val="en-AU"/>
        </w:rPr>
        <w:t>a cultural understanding for the Jewish community.</w:t>
      </w:r>
    </w:p>
    <w:p w14:paraId="2A98893D" w14:textId="493F0FFA" w:rsidR="000A1C26" w:rsidRPr="00E30CA3" w:rsidRDefault="000A1C26" w:rsidP="00BC7015">
      <w:pPr>
        <w:pStyle w:val="Heading2"/>
      </w:pPr>
      <w:bookmarkStart w:id="189" w:name="_Toc94537043"/>
      <w:bookmarkStart w:id="190" w:name="_Toc118063690"/>
      <w:r w:rsidRPr="00E30CA3">
        <w:t>9.</w:t>
      </w:r>
      <w:r w:rsidR="001A5823" w:rsidRPr="00E30CA3">
        <w:t>3</w:t>
      </w:r>
      <w:r w:rsidRPr="00E30CA3">
        <w:t xml:space="preserve"> Viewing the Sermon on the Mount through a Jewish Lens</w:t>
      </w:r>
      <w:bookmarkEnd w:id="189"/>
      <w:bookmarkEnd w:id="190"/>
    </w:p>
    <w:p w14:paraId="38D5C194" w14:textId="00A088FE" w:rsidR="000A1C26" w:rsidRPr="00E30CA3" w:rsidRDefault="000A1C26" w:rsidP="001A5823">
      <w:pPr>
        <w:autoSpaceDE w:val="0"/>
        <w:autoSpaceDN w:val="0"/>
        <w:adjustRightInd w:val="0"/>
        <w:spacing w:before="120" w:line="480" w:lineRule="auto"/>
        <w:ind w:firstLine="720"/>
        <w:rPr>
          <w:lang w:val="en-AU"/>
        </w:rPr>
      </w:pPr>
      <w:r w:rsidRPr="00E30CA3">
        <w:rPr>
          <w:lang w:val="en-AU"/>
        </w:rPr>
        <w:t xml:space="preserve">Viewing the Sermon in connection with </w:t>
      </w:r>
      <w:r w:rsidRPr="00E30CA3">
        <w:rPr>
          <w:i/>
          <w:iCs/>
          <w:lang w:val="en-AU"/>
        </w:rPr>
        <w:t>Mishna Avot</w:t>
      </w:r>
      <w:r w:rsidRPr="00E30CA3">
        <w:rPr>
          <w:lang w:val="en-AU"/>
        </w:rPr>
        <w:t xml:space="preserve"> and through a Jewish len</w:t>
      </w:r>
      <w:r w:rsidR="00934C8D" w:rsidRPr="00E30CA3">
        <w:rPr>
          <w:lang w:val="en-AU"/>
        </w:rPr>
        <w:t xml:space="preserve">s builds on the fact that </w:t>
      </w:r>
      <w:r w:rsidRPr="00E30CA3">
        <w:rPr>
          <w:lang w:val="en-AU"/>
        </w:rPr>
        <w:t>the audience to whom the sermon was delivered saw Jesus as a rabbi or teacher.</w:t>
      </w:r>
      <w:r w:rsidRPr="00E30CA3">
        <w:rPr>
          <w:rStyle w:val="FootnoteReference"/>
          <w:lang w:val="en-AU"/>
        </w:rPr>
        <w:footnoteReference w:id="625"/>
      </w:r>
      <w:r w:rsidRPr="00E30CA3">
        <w:rPr>
          <w:lang w:val="en-AU"/>
        </w:rPr>
        <w:t xml:space="preserve"> Jesus would have kept Torah. The passages of Oral Law found to correspond with the Sermon on the Mount provide a window to the world of Jesus.</w:t>
      </w:r>
      <w:r w:rsidRPr="00E30CA3">
        <w:rPr>
          <w:rStyle w:val="FootnoteReference"/>
          <w:lang w:val="en-AU"/>
        </w:rPr>
        <w:footnoteReference w:id="626"/>
      </w:r>
      <w:r w:rsidRPr="00E30CA3">
        <w:rPr>
          <w:lang w:val="en-AU"/>
        </w:rPr>
        <w:t xml:space="preserve"> As Joslyn-Siemiatkoski suggests, a Christian theology and interpretation of the Torah begins with the premises of Torah observance by </w:t>
      </w:r>
      <w:r w:rsidR="00C40690">
        <w:rPr>
          <w:lang w:val="en-AU"/>
        </w:rPr>
        <w:t xml:space="preserve">Jesus </w:t>
      </w:r>
      <w:r w:rsidR="007F5AAE">
        <w:rPr>
          <w:lang w:val="en-AU"/>
        </w:rPr>
        <w:t xml:space="preserve">and </w:t>
      </w:r>
      <w:r w:rsidR="00C40690">
        <w:rPr>
          <w:lang w:val="en-AU"/>
        </w:rPr>
        <w:t>his earliest f</w:t>
      </w:r>
      <w:r w:rsidRPr="00E30CA3">
        <w:rPr>
          <w:lang w:val="en-AU"/>
        </w:rPr>
        <w:t>ollowers.</w:t>
      </w:r>
      <w:r w:rsidRPr="00E30CA3">
        <w:rPr>
          <w:rStyle w:val="FootnoteReference"/>
          <w:lang w:val="en-AU"/>
        </w:rPr>
        <w:footnoteReference w:id="627"/>
      </w:r>
    </w:p>
    <w:p w14:paraId="7B700B20" w14:textId="35B805A3" w:rsidR="000A1C26" w:rsidRPr="00E30CA3" w:rsidRDefault="000A1C26" w:rsidP="000A1C26">
      <w:pPr>
        <w:widowControl w:val="0"/>
        <w:autoSpaceDE w:val="0"/>
        <w:autoSpaceDN w:val="0"/>
        <w:adjustRightInd w:val="0"/>
        <w:spacing w:before="120" w:line="480" w:lineRule="auto"/>
        <w:ind w:firstLine="720"/>
        <w:rPr>
          <w:lang w:val="en-AU"/>
        </w:rPr>
      </w:pPr>
      <w:r w:rsidRPr="00E30CA3">
        <w:rPr>
          <w:lang w:val="en-AU"/>
        </w:rPr>
        <w:t>It is helpful to examine the concepts of peace and pacifism within the sayings of Jesus outside of a Christian ideology and through a Jewish theology of the Torah; thus, a Jewish paradigm and lens of understanding will allow for Jewish hermeneutics of Jesus’</w:t>
      </w:r>
      <w:r w:rsidR="006D41DD">
        <w:rPr>
          <w:lang w:val="en-AU"/>
        </w:rPr>
        <w:t>s</w:t>
      </w:r>
      <w:r w:rsidRPr="00E30CA3">
        <w:rPr>
          <w:lang w:val="en-AU"/>
        </w:rPr>
        <w:t xml:space="preserve"> peace </w:t>
      </w:r>
      <w:r w:rsidRPr="00E30CA3">
        <w:rPr>
          <w:lang w:val="en-AU"/>
        </w:rPr>
        <w:lastRenderedPageBreak/>
        <w:t xml:space="preserve">sayings.  </w:t>
      </w:r>
      <w:r w:rsidRPr="00E30CA3">
        <w:rPr>
          <w:i/>
          <w:iCs/>
          <w:lang w:val="en-AU"/>
        </w:rPr>
        <w:t xml:space="preserve">Mishna Avot </w:t>
      </w:r>
      <w:r w:rsidRPr="00E30CA3">
        <w:rPr>
          <w:lang w:val="en-AU"/>
        </w:rPr>
        <w:t xml:space="preserve">is integral to understanding the peace sayings of Jesus because the sayings will determine how his followers responded to Roman occupation. This author takes the view that Jesus was a Jewish leader who was followed by Jewish people because the people were looking for a messianic figure to deliver them from Roman occupation. The people wanted a Jewish </w:t>
      </w:r>
      <w:r w:rsidR="00592DC0" w:rsidRPr="00E30CA3">
        <w:rPr>
          <w:rtl/>
          <w:lang w:val="en-AU"/>
        </w:rPr>
        <w:t>משיח</w:t>
      </w:r>
      <w:r w:rsidRPr="00E30CA3">
        <w:rPr>
          <w:lang w:val="en-AU"/>
        </w:rPr>
        <w:t xml:space="preserve"> that led the people spiritually and politically.  Jesus was this </w:t>
      </w:r>
      <w:proofErr w:type="gramStart"/>
      <w:r w:rsidRPr="00E30CA3">
        <w:rPr>
          <w:lang w:val="en-AU"/>
        </w:rPr>
        <w:t>leader</w:t>
      </w:r>
      <w:proofErr w:type="gramEnd"/>
      <w:r w:rsidRPr="00E30CA3">
        <w:rPr>
          <w:lang w:val="en-AU"/>
        </w:rPr>
        <w:t xml:space="preserve"> and he provided an ethical understanding of nonviolence in his leadership. Some people may quote Matthew 5:38–42 to advocate that people should follow governments blindly or to make people accept abuse blindly. This is not the purpose of this verse nor is it the interpretation put forth in this dissertation.  Rather, Matthew 5:38–42 demands justice and equality.  The Torah created categories of legal equality and equity between people </w:t>
      </w:r>
      <w:proofErr w:type="gramStart"/>
      <w:r w:rsidRPr="00E30CA3">
        <w:rPr>
          <w:lang w:val="en-AU"/>
        </w:rPr>
        <w:t>on the basis of</w:t>
      </w:r>
      <w:proofErr w:type="gramEnd"/>
      <w:r w:rsidRPr="00E30CA3">
        <w:rPr>
          <w:lang w:val="en-AU"/>
        </w:rPr>
        <w:t xml:space="preserve"> harm done.  These concepts of equality and equity refine and reject the premise of the Mosaic Law because Jesus’</w:t>
      </w:r>
      <w:r w:rsidR="006D41DD">
        <w:rPr>
          <w:lang w:val="en-AU"/>
        </w:rPr>
        <w:t>s</w:t>
      </w:r>
      <w:r w:rsidRPr="00E30CA3">
        <w:rPr>
          <w:lang w:val="en-AU"/>
        </w:rPr>
        <w:t xml:space="preserve"> decree of </w:t>
      </w:r>
      <w:r w:rsidRPr="00E30CA3">
        <w:rPr>
          <w:i/>
          <w:iCs/>
          <w:lang w:val="en-AU"/>
        </w:rPr>
        <w:t>loving your enemy</w:t>
      </w:r>
      <w:r w:rsidRPr="00E30CA3">
        <w:rPr>
          <w:lang w:val="en-AU"/>
        </w:rPr>
        <w:t xml:space="preserve"> allows for a financial (as in paying a prescribed amount for a given offence rather than eye for an eye) and ethical means of attaining justice. </w:t>
      </w:r>
    </w:p>
    <w:p w14:paraId="1820A54E" w14:textId="329D7ED0" w:rsidR="00657CB1" w:rsidRPr="00E30CA3" w:rsidRDefault="00BE697E" w:rsidP="00F5340B">
      <w:pPr>
        <w:pStyle w:val="Heading2"/>
      </w:pPr>
      <w:bookmarkStart w:id="191" w:name="_Toc94537044"/>
      <w:bookmarkStart w:id="192" w:name="_Toc118063691"/>
      <w:r w:rsidRPr="00E30CA3">
        <w:t>9</w:t>
      </w:r>
      <w:r w:rsidR="00657CB1" w:rsidRPr="00E30CA3">
        <w:t>.</w:t>
      </w:r>
      <w:r w:rsidR="001A5823" w:rsidRPr="00E30CA3">
        <w:t>4</w:t>
      </w:r>
      <w:r w:rsidR="00657CB1" w:rsidRPr="00E30CA3">
        <w:t xml:space="preserve"> Nonviolence and </w:t>
      </w:r>
      <w:r w:rsidR="008E47C9" w:rsidRPr="00E30CA3">
        <w:t>P</w:t>
      </w:r>
      <w:r w:rsidR="00657CB1" w:rsidRPr="00E30CA3">
        <w:t xml:space="preserve">acifism </w:t>
      </w:r>
      <w:r w:rsidR="008E47C9" w:rsidRPr="00E30CA3">
        <w:t>Embedded in the Sermon on the Mount</w:t>
      </w:r>
      <w:bookmarkEnd w:id="191"/>
      <w:bookmarkEnd w:id="192"/>
    </w:p>
    <w:p w14:paraId="377252A4" w14:textId="58F5207A" w:rsidR="00657CB1" w:rsidRPr="00E30CA3" w:rsidRDefault="00657CB1" w:rsidP="00657CB1">
      <w:pPr>
        <w:spacing w:line="480" w:lineRule="auto"/>
        <w:ind w:firstLine="720"/>
        <w:contextualSpacing/>
        <w:rPr>
          <w:lang w:val="en-AU"/>
        </w:rPr>
      </w:pPr>
      <w:r w:rsidRPr="00E30CA3">
        <w:rPr>
          <w:lang w:val="en-AU"/>
        </w:rPr>
        <w:t>The view of nonviolence and pacifism is embedded in the Sermon</w:t>
      </w:r>
      <w:r w:rsidR="00934C8D" w:rsidRPr="00E30CA3">
        <w:rPr>
          <w:lang w:val="en-AU"/>
        </w:rPr>
        <w:t xml:space="preserve"> on the Mount</w:t>
      </w:r>
      <w:r w:rsidRPr="00E30CA3">
        <w:rPr>
          <w:lang w:val="en-AU"/>
        </w:rPr>
        <w:t>. There is a strong connection to the Mosaic history when Jesus speaks.</w:t>
      </w:r>
      <w:r w:rsidRPr="00E30CA3">
        <w:rPr>
          <w:vertAlign w:val="superscript"/>
          <w:lang w:val="en-AU"/>
        </w:rPr>
        <w:footnoteReference w:id="628"/>
      </w:r>
      <w:r w:rsidRPr="00E30CA3">
        <w:rPr>
          <w:lang w:val="en-AU"/>
        </w:rPr>
        <w:t xml:space="preserve"> The Sermon, and specifically Matthew 5:38–42, would not have astounded the Jewish listeners with a new theology but rather by the new application of the familiar Mosaic teachings and their simple application to everyday life. The contents of the Sermon show that Jesus agreed with the ethics of his contemporaries. </w:t>
      </w:r>
    </w:p>
    <w:p w14:paraId="70BA459B" w14:textId="6FBCFE0D" w:rsidR="00F331B3" w:rsidRPr="00E30CA3" w:rsidRDefault="00657CB1" w:rsidP="00657CB1">
      <w:pPr>
        <w:spacing w:line="480" w:lineRule="auto"/>
        <w:ind w:firstLine="720"/>
        <w:rPr>
          <w:lang w:val="en-AU"/>
        </w:rPr>
      </w:pPr>
      <w:r w:rsidRPr="00E30CA3">
        <w:rPr>
          <w:lang w:val="en-AU"/>
        </w:rPr>
        <w:lastRenderedPageBreak/>
        <w:t xml:space="preserve">The connections between the Book of Matthew and </w:t>
      </w:r>
      <w:r w:rsidRPr="00E30CA3">
        <w:rPr>
          <w:i/>
          <w:iCs/>
          <w:lang w:val="en-AU"/>
        </w:rPr>
        <w:t>Mishna Avot</w:t>
      </w:r>
      <w:r w:rsidRPr="00E30CA3">
        <w:rPr>
          <w:lang w:val="en-AU"/>
        </w:rPr>
        <w:t xml:space="preserve"> are evident in</w:t>
      </w:r>
      <w:r w:rsidR="00934C8D" w:rsidRPr="00E30CA3">
        <w:rPr>
          <w:lang w:val="en-AU"/>
        </w:rPr>
        <w:t xml:space="preserve"> several places in the Sermon on the Mount.  For example, t</w:t>
      </w:r>
      <w:r w:rsidRPr="00E30CA3">
        <w:rPr>
          <w:lang w:val="en-AU"/>
        </w:rPr>
        <w:t>he Beatitudes in the Sermon focus on poverty, hunger, persecution, the need of God, nonviolence pacifism.</w:t>
      </w:r>
      <w:r w:rsidRPr="00E30CA3">
        <w:rPr>
          <w:vertAlign w:val="superscript"/>
          <w:lang w:val="en-AU"/>
        </w:rPr>
        <w:footnoteReference w:id="629"/>
      </w:r>
      <w:r w:rsidRPr="00E30CA3">
        <w:rPr>
          <w:lang w:val="en-AU"/>
        </w:rPr>
        <w:t xml:space="preserve"> The structure of the Sermon provides discourse on each of the themes within the context of Jewish ethics as understood by Jesus.  Matthew 5:38–42, known as the fifth antithesis, examines nonviolent resistance.</w:t>
      </w:r>
      <w:r w:rsidR="008C3643">
        <w:rPr>
          <w:rStyle w:val="FootnoteReference"/>
          <w:lang w:val="en-AU"/>
        </w:rPr>
        <w:footnoteReference w:id="630"/>
      </w:r>
      <w:r w:rsidRPr="00E30CA3">
        <w:rPr>
          <w:lang w:val="en-AU"/>
        </w:rPr>
        <w:t xml:space="preserve"> The Jewish audience (which was familiar with the Torah) and even the Gentiles (who may have received it as an introductory primer) would have comprehended Jesus’</w:t>
      </w:r>
      <w:r w:rsidR="006D41DD">
        <w:rPr>
          <w:lang w:val="en-AU"/>
        </w:rPr>
        <w:t>s</w:t>
      </w:r>
      <w:r w:rsidRPr="00E30CA3">
        <w:rPr>
          <w:lang w:val="en-AU"/>
        </w:rPr>
        <w:t xml:space="preserve"> instruction in these antitheses.</w:t>
      </w:r>
      <w:r w:rsidRPr="00E30CA3">
        <w:rPr>
          <w:rStyle w:val="FootnoteReference"/>
          <w:lang w:val="en-AU"/>
        </w:rPr>
        <w:footnoteReference w:id="631"/>
      </w:r>
      <w:r w:rsidRPr="00E30CA3">
        <w:rPr>
          <w:lang w:val="en-AU"/>
        </w:rPr>
        <w:t xml:space="preserve"> The antitheses expound upon the Mosaic Law and illustrate how Jesus </w:t>
      </w:r>
      <w:proofErr w:type="gramStart"/>
      <w:r w:rsidRPr="00E30CA3">
        <w:rPr>
          <w:lang w:val="en-AU"/>
        </w:rPr>
        <w:t>actually confirmed</w:t>
      </w:r>
      <w:proofErr w:type="gramEnd"/>
      <w:r w:rsidRPr="00E30CA3">
        <w:rPr>
          <w:lang w:val="en-AU"/>
        </w:rPr>
        <w:t xml:space="preserve"> the Torah and never diminished it. Hays interprets the antitheses accurately when he writes, “in most of the six antitheses, the teaching of Jesus constitutes an intensification – rather than an abrogation – of the requirements of the Law. The Law prohibits murder, but Jesus forbids even anger; the Law prohibits adultery, but Jesus forbids even lust.”</w:t>
      </w:r>
      <w:r w:rsidRPr="00E30CA3">
        <w:rPr>
          <w:vertAlign w:val="superscript"/>
          <w:lang w:val="en-AU"/>
        </w:rPr>
        <w:footnoteReference w:id="632"/>
      </w:r>
      <w:r w:rsidRPr="00E30CA3">
        <w:rPr>
          <w:lang w:val="en-AU"/>
        </w:rPr>
        <w:t xml:space="preserve"> In the Sermon Jesus was not abolishing the law but expounding upon it.  Those who heard the Sermon would hear him aligning himself with Torah.</w:t>
      </w:r>
    </w:p>
    <w:p w14:paraId="30AF1BFF" w14:textId="09635623" w:rsidR="00F2711E" w:rsidRPr="009E7B69" w:rsidRDefault="00532284" w:rsidP="00F623D4">
      <w:pPr>
        <w:pStyle w:val="Heading2"/>
      </w:pPr>
      <w:bookmarkStart w:id="193" w:name="_Toc94537045"/>
      <w:bookmarkStart w:id="194" w:name="_Toc118063692"/>
      <w:r w:rsidRPr="009E7B69">
        <w:t>9</w:t>
      </w:r>
      <w:r w:rsidR="00F2711E" w:rsidRPr="009E7B69">
        <w:t>.</w:t>
      </w:r>
      <w:r w:rsidR="001A5823" w:rsidRPr="009E7B69">
        <w:t>5</w:t>
      </w:r>
      <w:r w:rsidR="00F2711E" w:rsidRPr="009E7B69">
        <w:t xml:space="preserve"> Nonviolence and Oral Law</w:t>
      </w:r>
      <w:bookmarkEnd w:id="193"/>
      <w:bookmarkEnd w:id="194"/>
    </w:p>
    <w:p w14:paraId="370116C9" w14:textId="1FCA9EA6" w:rsidR="00F2711E" w:rsidRPr="00E30CA3" w:rsidRDefault="00F2711E" w:rsidP="00577A94">
      <w:pPr>
        <w:spacing w:beforeLines="1" w:before="2" w:afterLines="1" w:after="2" w:line="480" w:lineRule="auto"/>
        <w:ind w:firstLine="720"/>
        <w:rPr>
          <w:lang w:val="en-AU"/>
        </w:rPr>
      </w:pPr>
      <w:r w:rsidRPr="00E30CA3">
        <w:rPr>
          <w:lang w:val="en-AU"/>
        </w:rPr>
        <w:t>The</w:t>
      </w:r>
      <w:r w:rsidR="00236F40" w:rsidRPr="00E30CA3">
        <w:rPr>
          <w:lang w:val="en-AU"/>
        </w:rPr>
        <w:t>re is a</w:t>
      </w:r>
      <w:r w:rsidRPr="00E30CA3">
        <w:rPr>
          <w:lang w:val="en-AU"/>
        </w:rPr>
        <w:t xml:space="preserve"> similarit</w:t>
      </w:r>
      <w:r w:rsidR="00236F40" w:rsidRPr="00E30CA3">
        <w:rPr>
          <w:lang w:val="en-AU"/>
        </w:rPr>
        <w:t>y of approach to</w:t>
      </w:r>
      <w:r w:rsidRPr="00E30CA3">
        <w:rPr>
          <w:lang w:val="en-AU"/>
        </w:rPr>
        <w:t xml:space="preserve"> </w:t>
      </w:r>
      <w:r w:rsidR="00236F40" w:rsidRPr="00E30CA3">
        <w:rPr>
          <w:lang w:val="en-AU"/>
        </w:rPr>
        <w:t xml:space="preserve">nonviolence </w:t>
      </w:r>
      <w:r w:rsidRPr="00E30CA3">
        <w:rPr>
          <w:lang w:val="en-AU"/>
        </w:rPr>
        <w:t>between Oral Law and Matthew 5:38</w:t>
      </w:r>
      <w:r w:rsidR="008539DE" w:rsidRPr="00E30CA3">
        <w:rPr>
          <w:lang w:val="en-AU"/>
        </w:rPr>
        <w:t>–</w:t>
      </w:r>
      <w:r w:rsidRPr="00E30CA3">
        <w:rPr>
          <w:lang w:val="en-AU"/>
        </w:rPr>
        <w:t xml:space="preserve">42. </w:t>
      </w:r>
      <w:r w:rsidR="006118AB" w:rsidRPr="00E30CA3">
        <w:rPr>
          <w:lang w:val="en-AU"/>
        </w:rPr>
        <w:t xml:space="preserve">The </w:t>
      </w:r>
      <w:r w:rsidR="004F04E4" w:rsidRPr="00E30CA3">
        <w:rPr>
          <w:lang w:val="en-AU"/>
        </w:rPr>
        <w:t>practice</w:t>
      </w:r>
      <w:r w:rsidR="006118AB" w:rsidRPr="00E30CA3">
        <w:rPr>
          <w:lang w:val="en-AU"/>
        </w:rPr>
        <w:t xml:space="preserve"> of nonviolence was not new </w:t>
      </w:r>
      <w:r w:rsidR="00236F40" w:rsidRPr="00E30CA3">
        <w:rPr>
          <w:lang w:val="en-AU"/>
        </w:rPr>
        <w:t xml:space="preserve">to the Sermon on the </w:t>
      </w:r>
      <w:r w:rsidR="00515215" w:rsidRPr="00E30CA3">
        <w:rPr>
          <w:lang w:val="en-AU"/>
        </w:rPr>
        <w:t>Mount and</w:t>
      </w:r>
      <w:r w:rsidR="006118AB" w:rsidRPr="00E30CA3">
        <w:rPr>
          <w:lang w:val="en-AU"/>
        </w:rPr>
        <w:t xml:space="preserve"> was </w:t>
      </w:r>
      <w:r w:rsidR="002B14F8" w:rsidRPr="00E30CA3">
        <w:rPr>
          <w:lang w:val="en-AU"/>
        </w:rPr>
        <w:t xml:space="preserve">a </w:t>
      </w:r>
      <w:r w:rsidR="006118AB" w:rsidRPr="00E30CA3">
        <w:rPr>
          <w:lang w:val="en-AU"/>
        </w:rPr>
        <w:t xml:space="preserve">common understanding </w:t>
      </w:r>
      <w:r w:rsidR="002B14F8" w:rsidRPr="00E30CA3">
        <w:rPr>
          <w:lang w:val="en-AU"/>
        </w:rPr>
        <w:t>of</w:t>
      </w:r>
      <w:r w:rsidR="006118AB" w:rsidRPr="00E30CA3">
        <w:rPr>
          <w:lang w:val="en-AU"/>
        </w:rPr>
        <w:t xml:space="preserve"> Oral Law</w:t>
      </w:r>
      <w:r w:rsidR="00236F40" w:rsidRPr="00E30CA3">
        <w:rPr>
          <w:lang w:val="en-AU"/>
        </w:rPr>
        <w:t xml:space="preserve"> </w:t>
      </w:r>
      <w:r w:rsidR="00FF7729" w:rsidRPr="00E30CA3">
        <w:rPr>
          <w:lang w:val="en-AU"/>
        </w:rPr>
        <w:t>reflected in</w:t>
      </w:r>
      <w:r w:rsidR="006118AB" w:rsidRPr="00E30CA3">
        <w:rPr>
          <w:lang w:val="en-AU"/>
        </w:rPr>
        <w:t xml:space="preserve"> </w:t>
      </w:r>
      <w:r w:rsidR="006118AB" w:rsidRPr="00E30CA3">
        <w:rPr>
          <w:i/>
          <w:iCs/>
          <w:lang w:val="en-AU"/>
        </w:rPr>
        <w:t xml:space="preserve">Mishna Avot. </w:t>
      </w:r>
      <w:r w:rsidR="00236F40" w:rsidRPr="00E30CA3">
        <w:rPr>
          <w:lang w:val="en-AU"/>
        </w:rPr>
        <w:t>T</w:t>
      </w:r>
      <w:r w:rsidRPr="00E30CA3">
        <w:rPr>
          <w:lang w:val="en-AU"/>
        </w:rPr>
        <w:t>he Romans</w:t>
      </w:r>
      <w:r w:rsidR="005C71CB" w:rsidRPr="00E30CA3">
        <w:rPr>
          <w:lang w:val="en-AU"/>
        </w:rPr>
        <w:t>’</w:t>
      </w:r>
      <w:r w:rsidRPr="00E30CA3">
        <w:rPr>
          <w:lang w:val="en-AU"/>
        </w:rPr>
        <w:t xml:space="preserve"> method of </w:t>
      </w:r>
      <w:r w:rsidR="00A03A4F" w:rsidRPr="00E30CA3">
        <w:rPr>
          <w:lang w:val="en-AU"/>
        </w:rPr>
        <w:t>c</w:t>
      </w:r>
      <w:r w:rsidR="00D666E1" w:rsidRPr="00E30CA3">
        <w:rPr>
          <w:lang w:val="en-AU"/>
        </w:rPr>
        <w:t>ru</w:t>
      </w:r>
      <w:r w:rsidRPr="00E30CA3">
        <w:rPr>
          <w:lang w:val="en-AU"/>
        </w:rPr>
        <w:t xml:space="preserve">shing revolts by </w:t>
      </w:r>
      <w:r w:rsidR="00A03A4F" w:rsidRPr="00E30CA3">
        <w:rPr>
          <w:lang w:val="en-AU"/>
        </w:rPr>
        <w:t>cruel violence</w:t>
      </w:r>
      <w:r w:rsidRPr="00E30CA3">
        <w:rPr>
          <w:lang w:val="en-AU"/>
        </w:rPr>
        <w:t xml:space="preserve"> created fear</w:t>
      </w:r>
      <w:r w:rsidR="00A03A4F" w:rsidRPr="00E30CA3">
        <w:rPr>
          <w:lang w:val="en-AU"/>
        </w:rPr>
        <w:t xml:space="preserve"> </w:t>
      </w:r>
      <w:r w:rsidRPr="00E30CA3">
        <w:rPr>
          <w:lang w:val="en-AU"/>
        </w:rPr>
        <w:t xml:space="preserve">in the Jewish population. Recalling the quote </w:t>
      </w:r>
      <w:r w:rsidRPr="00E30CA3">
        <w:rPr>
          <w:lang w:val="en-AU"/>
        </w:rPr>
        <w:lastRenderedPageBreak/>
        <w:t xml:space="preserve">in </w:t>
      </w:r>
      <w:r w:rsidRPr="00E30CA3">
        <w:rPr>
          <w:i/>
          <w:lang w:val="en-AU"/>
        </w:rPr>
        <w:t xml:space="preserve">Mishna Avot </w:t>
      </w:r>
      <w:r w:rsidRPr="00E30CA3">
        <w:rPr>
          <w:lang w:val="en-AU"/>
        </w:rPr>
        <w:t xml:space="preserve">1:10, </w:t>
      </w:r>
      <w:r w:rsidR="00863B47" w:rsidRPr="00E30CA3">
        <w:rPr>
          <w:lang w:val="en-AU"/>
        </w:rPr>
        <w:t>“</w:t>
      </w:r>
      <w:r w:rsidRPr="00E30CA3">
        <w:rPr>
          <w:lang w:val="en-AU"/>
        </w:rPr>
        <w:t xml:space="preserve">[Shammai] and Avtalyon received from them. [Shammai] says, </w:t>
      </w:r>
      <w:r w:rsidR="005C71CB" w:rsidRPr="00E30CA3">
        <w:rPr>
          <w:lang w:val="en-AU"/>
        </w:rPr>
        <w:t>‘</w:t>
      </w:r>
      <w:r w:rsidRPr="00E30CA3">
        <w:rPr>
          <w:lang w:val="en-AU"/>
        </w:rPr>
        <w:t>Love work, hate lordship and do not become familiar with the government</w:t>
      </w:r>
      <w:r w:rsidR="00677E3D" w:rsidRPr="00E30CA3">
        <w:rPr>
          <w:i/>
          <w:iCs/>
          <w:lang w:val="en-AU"/>
        </w:rPr>
        <w:t>,</w:t>
      </w:r>
      <w:r w:rsidR="00863B47" w:rsidRPr="00E30CA3">
        <w:rPr>
          <w:lang w:val="en-AU"/>
        </w:rPr>
        <w:t>”</w:t>
      </w:r>
      <w:r w:rsidRPr="00E30CA3">
        <w:rPr>
          <w:lang w:val="en-AU"/>
        </w:rPr>
        <w:t xml:space="preserve"> </w:t>
      </w:r>
      <w:r w:rsidR="00A9399D" w:rsidRPr="00E30CA3">
        <w:rPr>
          <w:lang w:val="en-AU"/>
        </w:rPr>
        <w:t xml:space="preserve">it is evident that </w:t>
      </w:r>
      <w:r w:rsidR="00A9399D" w:rsidRPr="00E30CA3">
        <w:rPr>
          <w:i/>
          <w:iCs/>
          <w:lang w:val="en-AU"/>
        </w:rPr>
        <w:t xml:space="preserve">Mishna </w:t>
      </w:r>
      <w:r w:rsidRPr="00E30CA3">
        <w:rPr>
          <w:i/>
          <w:iCs/>
          <w:lang w:val="en-AU"/>
        </w:rPr>
        <w:t>Avot</w:t>
      </w:r>
      <w:r w:rsidRPr="00E30CA3">
        <w:rPr>
          <w:lang w:val="en-AU"/>
        </w:rPr>
        <w:t xml:space="preserve"> </w:t>
      </w:r>
      <w:r w:rsidR="003B0DF6" w:rsidRPr="00E30CA3">
        <w:rPr>
          <w:lang w:val="en-AU"/>
        </w:rPr>
        <w:t>supports th</w:t>
      </w:r>
      <w:r w:rsidR="00D16D24" w:rsidRPr="00E30CA3">
        <w:rPr>
          <w:lang w:val="en-AU"/>
        </w:rPr>
        <w:t>e idea</w:t>
      </w:r>
      <w:r w:rsidR="003B0DF6" w:rsidRPr="00E30CA3">
        <w:rPr>
          <w:lang w:val="en-AU"/>
        </w:rPr>
        <w:t xml:space="preserve"> </w:t>
      </w:r>
      <w:r w:rsidR="00A9399D" w:rsidRPr="00E30CA3">
        <w:rPr>
          <w:lang w:val="en-AU"/>
        </w:rPr>
        <w:t>that p</w:t>
      </w:r>
      <w:r w:rsidR="003B0DF6" w:rsidRPr="00E30CA3">
        <w:rPr>
          <w:lang w:val="en-AU"/>
        </w:rPr>
        <w:t>eople should not be known by the government</w:t>
      </w:r>
      <w:r w:rsidRPr="00E30CA3">
        <w:rPr>
          <w:lang w:val="en-AU"/>
        </w:rPr>
        <w:t>.</w:t>
      </w:r>
      <w:r w:rsidRPr="00E30CA3">
        <w:rPr>
          <w:rStyle w:val="FootnoteReference"/>
          <w:lang w:val="en-AU"/>
        </w:rPr>
        <w:footnoteReference w:id="633"/>
      </w:r>
      <w:r w:rsidRPr="00E30CA3">
        <w:rPr>
          <w:lang w:val="en-AU"/>
        </w:rPr>
        <w:t xml:space="preserve">  </w:t>
      </w:r>
      <w:r w:rsidRPr="00E30CA3">
        <w:rPr>
          <w:i/>
          <w:lang w:val="en-AU"/>
        </w:rPr>
        <w:t xml:space="preserve">Mishna Avot </w:t>
      </w:r>
      <w:r w:rsidRPr="00E30CA3">
        <w:rPr>
          <w:lang w:val="en-AU"/>
        </w:rPr>
        <w:t>1:12 states that</w:t>
      </w:r>
      <w:r w:rsidRPr="00E30CA3">
        <w:rPr>
          <w:i/>
          <w:iCs/>
          <w:lang w:val="en-AU"/>
        </w:rPr>
        <w:t xml:space="preserve"> </w:t>
      </w:r>
      <w:r w:rsidR="00863B47" w:rsidRPr="00E30CA3">
        <w:rPr>
          <w:i/>
          <w:iCs/>
          <w:lang w:val="en-AU"/>
        </w:rPr>
        <w:t>“</w:t>
      </w:r>
      <w:r w:rsidRPr="00E30CA3">
        <w:rPr>
          <w:lang w:val="en-AU"/>
        </w:rPr>
        <w:t xml:space="preserve">Hillel and Shammai received from them. Hillel says, </w:t>
      </w:r>
      <w:r w:rsidR="005C71CB" w:rsidRPr="00E30CA3">
        <w:rPr>
          <w:lang w:val="en-AU"/>
        </w:rPr>
        <w:t>‘</w:t>
      </w:r>
      <w:r w:rsidRPr="00E30CA3">
        <w:rPr>
          <w:lang w:val="en-AU"/>
        </w:rPr>
        <w:t>Be of the disciples of Aharon, loving peace and pursuing peace, loving the creatures</w:t>
      </w:r>
      <w:r w:rsidR="00B75D5E" w:rsidRPr="00E30CA3">
        <w:rPr>
          <w:lang w:val="en-AU"/>
        </w:rPr>
        <w:t xml:space="preserve"> [loving mankind]</w:t>
      </w:r>
      <w:r w:rsidRPr="00E30CA3">
        <w:rPr>
          <w:lang w:val="en-AU"/>
        </w:rPr>
        <w:t xml:space="preserve"> and bringing them closer to Torah.</w:t>
      </w:r>
      <w:r w:rsidR="005C71CB" w:rsidRPr="00E30CA3">
        <w:rPr>
          <w:lang w:val="en-AU"/>
        </w:rPr>
        <w:t>’</w:t>
      </w:r>
      <w:r w:rsidR="00863B47" w:rsidRPr="00E30CA3">
        <w:rPr>
          <w:lang w:val="en-AU"/>
        </w:rPr>
        <w:t>”</w:t>
      </w:r>
      <w:r w:rsidRPr="00E30CA3">
        <w:rPr>
          <w:rStyle w:val="FootnoteReference"/>
          <w:lang w:val="en-AU"/>
        </w:rPr>
        <w:footnoteReference w:id="634"/>
      </w:r>
      <w:r w:rsidRPr="00E30CA3">
        <w:rPr>
          <w:lang w:val="en-AU"/>
        </w:rPr>
        <w:t xml:space="preserve"> Avot 1:12 advocates loving and pursuing peace </w:t>
      </w:r>
      <w:r w:rsidR="00AB3438" w:rsidRPr="00E30CA3">
        <w:rPr>
          <w:lang w:val="en-AU"/>
        </w:rPr>
        <w:t xml:space="preserve">and adopting </w:t>
      </w:r>
      <w:r w:rsidRPr="00E30CA3">
        <w:rPr>
          <w:lang w:val="en-AU"/>
        </w:rPr>
        <w:t>a nonviolen</w:t>
      </w:r>
      <w:r w:rsidR="00AB3438" w:rsidRPr="00E30CA3">
        <w:rPr>
          <w:lang w:val="en-AU"/>
        </w:rPr>
        <w:t>t</w:t>
      </w:r>
      <w:r w:rsidRPr="00E30CA3">
        <w:rPr>
          <w:lang w:val="en-AU"/>
        </w:rPr>
        <w:t xml:space="preserve"> </w:t>
      </w:r>
      <w:r w:rsidR="00AB3438" w:rsidRPr="00E30CA3">
        <w:rPr>
          <w:lang w:val="en-AU"/>
        </w:rPr>
        <w:t>stance in</w:t>
      </w:r>
      <w:r w:rsidRPr="00E30CA3">
        <w:rPr>
          <w:lang w:val="en-AU"/>
        </w:rPr>
        <w:t xml:space="preserve"> the community.</w:t>
      </w:r>
      <w:r w:rsidRPr="00E30CA3">
        <w:rPr>
          <w:rStyle w:val="FootnoteReference"/>
          <w:lang w:val="en-AU"/>
        </w:rPr>
        <w:footnoteReference w:id="635"/>
      </w:r>
      <w:r w:rsidRPr="00E30CA3">
        <w:rPr>
          <w:lang w:val="en-AU"/>
        </w:rPr>
        <w:t xml:space="preserve"> Commenting on Avot 1:12</w:t>
      </w:r>
      <w:r w:rsidR="00515215" w:rsidRPr="00E30CA3">
        <w:rPr>
          <w:lang w:val="en-AU"/>
        </w:rPr>
        <w:t xml:space="preserve"> </w:t>
      </w:r>
      <w:r w:rsidR="00515215" w:rsidRPr="00E30CA3">
        <w:rPr>
          <w:rtl/>
          <w:lang w:val="en-AU"/>
        </w:rPr>
        <w:t>אוֹהֵב אֶת הַבְּרִיּוֹת</w:t>
      </w:r>
      <w:r w:rsidR="00515215" w:rsidRPr="00E30CA3">
        <w:rPr>
          <w:lang w:val="en-AU"/>
        </w:rPr>
        <w:t xml:space="preserve"> </w:t>
      </w:r>
      <w:r w:rsidRPr="00E30CA3">
        <w:rPr>
          <w:lang w:val="en-AU"/>
        </w:rPr>
        <w:t>(</w:t>
      </w:r>
      <w:r w:rsidRPr="00E30CA3">
        <w:rPr>
          <w:i/>
          <w:lang w:val="en-AU"/>
        </w:rPr>
        <w:t>Ohev et ha-beriyot</w:t>
      </w:r>
      <w:r w:rsidRPr="00E30CA3">
        <w:rPr>
          <w:lang w:val="en-AU"/>
        </w:rPr>
        <w:t>), Lehmann assumes that such hono</w:t>
      </w:r>
      <w:r w:rsidR="00820D32" w:rsidRPr="00E30CA3">
        <w:rPr>
          <w:lang w:val="en-AU"/>
        </w:rPr>
        <w:t>u</w:t>
      </w:r>
      <w:r w:rsidRPr="00E30CA3">
        <w:rPr>
          <w:lang w:val="en-AU"/>
        </w:rPr>
        <w:t>r or dignity due to God</w:t>
      </w:r>
      <w:r w:rsidR="005C71CB" w:rsidRPr="00E30CA3">
        <w:rPr>
          <w:lang w:val="en-AU"/>
        </w:rPr>
        <w:t>’</w:t>
      </w:r>
      <w:r w:rsidRPr="00E30CA3">
        <w:rPr>
          <w:lang w:val="en-AU"/>
        </w:rPr>
        <w:t>s creation encompasses all of humanity, and adds that the most noble principle of Judaism is love of one</w:t>
      </w:r>
      <w:r w:rsidR="005C71CB" w:rsidRPr="00E30CA3">
        <w:rPr>
          <w:lang w:val="en-AU"/>
        </w:rPr>
        <w:t>’</w:t>
      </w:r>
      <w:r w:rsidRPr="00E30CA3">
        <w:rPr>
          <w:lang w:val="en-AU"/>
        </w:rPr>
        <w:t>s fellow man.</w:t>
      </w:r>
      <w:r w:rsidRPr="00E30CA3">
        <w:rPr>
          <w:rStyle w:val="FootnoteReference"/>
          <w:lang w:val="en-AU"/>
        </w:rPr>
        <w:footnoteReference w:id="636"/>
      </w:r>
      <w:r w:rsidRPr="00E30CA3">
        <w:rPr>
          <w:lang w:val="en-AU"/>
        </w:rPr>
        <w:t xml:space="preserve"> Hillel </w:t>
      </w:r>
      <w:r w:rsidR="00BF1D67" w:rsidRPr="00E30CA3">
        <w:rPr>
          <w:lang w:val="en-AU"/>
        </w:rPr>
        <w:t>taught</w:t>
      </w:r>
      <w:r w:rsidRPr="00E30CA3">
        <w:rPr>
          <w:lang w:val="en-AU"/>
        </w:rPr>
        <w:t xml:space="preserve"> that through love, people could have better lives.</w:t>
      </w:r>
      <w:r w:rsidRPr="00E30CA3">
        <w:rPr>
          <w:rStyle w:val="FootnoteReference"/>
          <w:lang w:val="en-AU"/>
        </w:rPr>
        <w:footnoteReference w:id="637"/>
      </w:r>
      <w:r w:rsidRPr="00E30CA3">
        <w:rPr>
          <w:lang w:val="en-AU"/>
        </w:rPr>
        <w:t xml:space="preserve"> </w:t>
      </w:r>
      <w:r w:rsidR="00BA4672" w:rsidRPr="00E30CA3">
        <w:rPr>
          <w:lang w:val="en-AU"/>
        </w:rPr>
        <w:t xml:space="preserve">The better lives of the people are founded in nonviolence. </w:t>
      </w:r>
      <w:r w:rsidRPr="00E30CA3">
        <w:rPr>
          <w:lang w:val="en-AU"/>
        </w:rPr>
        <w:t xml:space="preserve">The sayings in </w:t>
      </w:r>
      <w:r w:rsidR="00A14CDD" w:rsidRPr="00E30CA3">
        <w:rPr>
          <w:i/>
          <w:iCs/>
          <w:lang w:val="en-AU"/>
        </w:rPr>
        <w:t>Mishna</w:t>
      </w:r>
      <w:r w:rsidRPr="00E30CA3">
        <w:rPr>
          <w:i/>
          <w:iCs/>
          <w:lang w:val="en-AU"/>
        </w:rPr>
        <w:t xml:space="preserve"> Avot</w:t>
      </w:r>
      <w:r w:rsidRPr="00E30CA3">
        <w:rPr>
          <w:lang w:val="en-AU"/>
        </w:rPr>
        <w:t xml:space="preserve"> and those attributed to Hillel</w:t>
      </w:r>
      <w:r w:rsidR="00483D1F" w:rsidRPr="00E30CA3">
        <w:rPr>
          <w:lang w:val="en-AU"/>
        </w:rPr>
        <w:t xml:space="preserve"> (d. 10 CE)</w:t>
      </w:r>
      <w:r w:rsidRPr="00E30CA3">
        <w:rPr>
          <w:lang w:val="en-AU"/>
        </w:rPr>
        <w:t xml:space="preserve"> </w:t>
      </w:r>
      <w:r w:rsidR="003566E3" w:rsidRPr="00E30CA3">
        <w:rPr>
          <w:lang w:val="en-AU"/>
        </w:rPr>
        <w:t>were current</w:t>
      </w:r>
      <w:r w:rsidRPr="00E30CA3">
        <w:rPr>
          <w:lang w:val="en-AU"/>
        </w:rPr>
        <w:t xml:space="preserve"> at</w:t>
      </w:r>
      <w:r w:rsidR="003566E3" w:rsidRPr="00E30CA3">
        <w:rPr>
          <w:lang w:val="en-AU"/>
        </w:rPr>
        <w:t xml:space="preserve"> the time of </w:t>
      </w:r>
      <w:r w:rsidR="00AA5228" w:rsidRPr="00E30CA3">
        <w:rPr>
          <w:lang w:val="en-AU"/>
        </w:rPr>
        <w:t xml:space="preserve">the Sermon and </w:t>
      </w:r>
      <w:r w:rsidRPr="00E30CA3">
        <w:rPr>
          <w:lang w:val="en-AU"/>
        </w:rPr>
        <w:t>Matthew 5:9</w:t>
      </w:r>
      <w:r w:rsidR="00BA4672" w:rsidRPr="00E30CA3">
        <w:rPr>
          <w:lang w:val="en-AU"/>
        </w:rPr>
        <w:t xml:space="preserve"> and have an impact on the intellectual development of the Sermon</w:t>
      </w:r>
      <w:r w:rsidRPr="00E30CA3">
        <w:rPr>
          <w:lang w:val="en-AU"/>
        </w:rPr>
        <w:t xml:space="preserve">. </w:t>
      </w:r>
      <w:r w:rsidR="001D697C" w:rsidRPr="00E30CA3">
        <w:rPr>
          <w:lang w:val="en-AU"/>
        </w:rPr>
        <w:t xml:space="preserve">The response of non-violence is an application of this intellectual thought by those listening to the Sermon. </w:t>
      </w:r>
      <w:r w:rsidRPr="00E30CA3">
        <w:rPr>
          <w:lang w:val="en-AU"/>
        </w:rPr>
        <w:t xml:space="preserve">The sayings of </w:t>
      </w:r>
      <w:r w:rsidRPr="00E30CA3">
        <w:rPr>
          <w:i/>
          <w:iCs/>
          <w:lang w:val="en-AU"/>
        </w:rPr>
        <w:t xml:space="preserve">Mishna Avot </w:t>
      </w:r>
      <w:r w:rsidRPr="00E30CA3">
        <w:rPr>
          <w:lang w:val="en-AU"/>
        </w:rPr>
        <w:t xml:space="preserve">have a strong correlation </w:t>
      </w:r>
      <w:r w:rsidR="003566E3" w:rsidRPr="00E30CA3">
        <w:rPr>
          <w:lang w:val="en-AU"/>
        </w:rPr>
        <w:t>with</w:t>
      </w:r>
      <w:r w:rsidRPr="00E30CA3">
        <w:rPr>
          <w:lang w:val="en-AU"/>
        </w:rPr>
        <w:t xml:space="preserve"> the response taken to violence as </w:t>
      </w:r>
      <w:r w:rsidR="003566E3" w:rsidRPr="00E30CA3">
        <w:rPr>
          <w:lang w:val="en-AU"/>
        </w:rPr>
        <w:t>advoc</w:t>
      </w:r>
      <w:r w:rsidR="00483D1F" w:rsidRPr="00E30CA3">
        <w:rPr>
          <w:lang w:val="en-AU"/>
        </w:rPr>
        <w:t>a</w:t>
      </w:r>
      <w:r w:rsidR="003566E3" w:rsidRPr="00E30CA3">
        <w:rPr>
          <w:lang w:val="en-AU"/>
        </w:rPr>
        <w:t>te</w:t>
      </w:r>
      <w:r w:rsidRPr="00E30CA3">
        <w:rPr>
          <w:lang w:val="en-AU"/>
        </w:rPr>
        <w:t>d in Matthew 5:39.</w:t>
      </w:r>
    </w:p>
    <w:p w14:paraId="3FD3F06A" w14:textId="66272CCF" w:rsidR="00F2711E" w:rsidRPr="00E30CA3" w:rsidRDefault="00F16526" w:rsidP="00F2711E">
      <w:pPr>
        <w:spacing w:beforeLines="1" w:before="2" w:afterLines="1" w:after="2" w:line="480" w:lineRule="auto"/>
        <w:ind w:firstLine="720"/>
        <w:rPr>
          <w:lang w:val="en-AU"/>
        </w:rPr>
      </w:pPr>
      <w:r w:rsidRPr="00E30CA3">
        <w:rPr>
          <w:lang w:val="en-AU"/>
        </w:rPr>
        <w:lastRenderedPageBreak/>
        <w:t xml:space="preserve">Jews and Romans would have applied </w:t>
      </w:r>
      <w:r w:rsidR="00780092" w:rsidRPr="00E30CA3">
        <w:rPr>
          <w:lang w:val="en-AU"/>
        </w:rPr>
        <w:t xml:space="preserve">the principles in </w:t>
      </w:r>
      <w:r w:rsidRPr="00E30CA3">
        <w:rPr>
          <w:lang w:val="en-AU"/>
        </w:rPr>
        <w:t>Jesus</w:t>
      </w:r>
      <w:r w:rsidR="005C71CB" w:rsidRPr="00E30CA3">
        <w:rPr>
          <w:lang w:val="en-AU"/>
        </w:rPr>
        <w:t>’</w:t>
      </w:r>
      <w:r w:rsidR="006D41DD">
        <w:rPr>
          <w:lang w:val="en-AU"/>
        </w:rPr>
        <w:t>s</w:t>
      </w:r>
      <w:r w:rsidRPr="00E30CA3">
        <w:rPr>
          <w:lang w:val="en-AU"/>
        </w:rPr>
        <w:t xml:space="preserve"> Sermon</w:t>
      </w:r>
      <w:r w:rsidR="001836DE" w:rsidRPr="00E30CA3">
        <w:rPr>
          <w:lang w:val="en-AU"/>
        </w:rPr>
        <w:t xml:space="preserve"> very differently</w:t>
      </w:r>
      <w:r w:rsidRPr="00E30CA3">
        <w:rPr>
          <w:lang w:val="en-AU"/>
        </w:rPr>
        <w:t>.</w:t>
      </w:r>
      <w:r w:rsidR="00F2711E" w:rsidRPr="00E30CA3">
        <w:rPr>
          <w:lang w:val="en-AU"/>
        </w:rPr>
        <w:t xml:space="preserve">  </w:t>
      </w:r>
      <w:r w:rsidR="001C6400" w:rsidRPr="00E30CA3">
        <w:rPr>
          <w:lang w:val="en-AU"/>
        </w:rPr>
        <w:t>Unlike the Jews, a</w:t>
      </w:r>
      <w:r w:rsidR="00F2711E" w:rsidRPr="00E30CA3">
        <w:rPr>
          <w:lang w:val="en-AU"/>
        </w:rPr>
        <w:t xml:space="preserve"> Roman</w:t>
      </w:r>
      <w:r w:rsidR="003C45E4" w:rsidRPr="00E30CA3">
        <w:rPr>
          <w:lang w:val="en-AU"/>
        </w:rPr>
        <w:t xml:space="preserve"> </w:t>
      </w:r>
      <w:r w:rsidR="00780092" w:rsidRPr="00E30CA3">
        <w:rPr>
          <w:lang w:val="en-AU"/>
        </w:rPr>
        <w:t>would not have</w:t>
      </w:r>
      <w:r w:rsidR="00F2711E" w:rsidRPr="00E30CA3">
        <w:rPr>
          <w:lang w:val="en-AU"/>
        </w:rPr>
        <w:t xml:space="preserve"> </w:t>
      </w:r>
      <w:r w:rsidR="00236F40" w:rsidRPr="00E30CA3">
        <w:rPr>
          <w:lang w:val="en-AU"/>
        </w:rPr>
        <w:t xml:space="preserve">as strong </w:t>
      </w:r>
      <w:r w:rsidR="00F2711E" w:rsidRPr="00E30CA3">
        <w:rPr>
          <w:lang w:val="en-AU"/>
        </w:rPr>
        <w:t xml:space="preserve">a feeling of being oppressed by the state. </w:t>
      </w:r>
      <w:r w:rsidR="003C45E4" w:rsidRPr="00E30CA3">
        <w:rPr>
          <w:lang w:val="en-AU"/>
        </w:rPr>
        <w:t>For the Jews under Rome, l</w:t>
      </w:r>
      <w:r w:rsidR="00F2711E" w:rsidRPr="00E30CA3">
        <w:rPr>
          <w:lang w:val="en-AU"/>
        </w:rPr>
        <w:t>iving peacefully mean</w:t>
      </w:r>
      <w:r w:rsidR="003C45E4" w:rsidRPr="00E30CA3">
        <w:rPr>
          <w:lang w:val="en-AU"/>
        </w:rPr>
        <w:t>t</w:t>
      </w:r>
      <w:r w:rsidR="00F2711E" w:rsidRPr="00E30CA3">
        <w:rPr>
          <w:lang w:val="en-AU"/>
        </w:rPr>
        <w:t xml:space="preserve"> staying alive. </w:t>
      </w:r>
      <w:r w:rsidRPr="00E30CA3">
        <w:rPr>
          <w:lang w:val="en-AU"/>
        </w:rPr>
        <w:t>Rom</w:t>
      </w:r>
      <w:r w:rsidR="003B0E04">
        <w:rPr>
          <w:lang w:val="en-AU"/>
        </w:rPr>
        <w:t xml:space="preserve">e </w:t>
      </w:r>
      <w:r w:rsidRPr="00E30CA3">
        <w:rPr>
          <w:lang w:val="en-AU"/>
        </w:rPr>
        <w:t>appointed Romani</w:t>
      </w:r>
      <w:r w:rsidR="00D86BBD" w:rsidRPr="00E30CA3">
        <w:rPr>
          <w:lang w:val="en-AU"/>
        </w:rPr>
        <w:t>s</w:t>
      </w:r>
      <w:r w:rsidRPr="00E30CA3">
        <w:rPr>
          <w:lang w:val="en-AU"/>
        </w:rPr>
        <w:t xml:space="preserve">ed Jewish leaders from the </w:t>
      </w:r>
      <w:r w:rsidR="00F2711E" w:rsidRPr="00E30CA3">
        <w:rPr>
          <w:lang w:val="en-AU"/>
        </w:rPr>
        <w:t>Sadducees</w:t>
      </w:r>
      <w:r w:rsidRPr="00E30CA3">
        <w:rPr>
          <w:lang w:val="en-AU"/>
        </w:rPr>
        <w:t xml:space="preserve">, such as the </w:t>
      </w:r>
      <w:r w:rsidR="00F2711E" w:rsidRPr="00E30CA3">
        <w:rPr>
          <w:lang w:val="en-AU"/>
        </w:rPr>
        <w:t>High Priest.</w:t>
      </w:r>
      <w:r w:rsidR="00F2711E" w:rsidRPr="00E30CA3">
        <w:rPr>
          <w:rStyle w:val="FootnoteReference"/>
          <w:lang w:val="en-AU"/>
        </w:rPr>
        <w:footnoteReference w:id="638"/>
      </w:r>
      <w:r w:rsidR="00F2711E" w:rsidRPr="00E30CA3">
        <w:rPr>
          <w:lang w:val="en-AU"/>
        </w:rPr>
        <w:t xml:space="preserve"> </w:t>
      </w:r>
      <w:r w:rsidRPr="00E30CA3">
        <w:rPr>
          <w:lang w:val="en-AU"/>
        </w:rPr>
        <w:t>Jesus attack</w:t>
      </w:r>
      <w:r w:rsidR="002D2D9B" w:rsidRPr="00E30CA3">
        <w:rPr>
          <w:lang w:val="en-AU"/>
        </w:rPr>
        <w:t>ed</w:t>
      </w:r>
      <w:r w:rsidRPr="00E30CA3">
        <w:rPr>
          <w:lang w:val="en-AU"/>
        </w:rPr>
        <w:t xml:space="preserve"> </w:t>
      </w:r>
      <w:r w:rsidR="0078231C" w:rsidRPr="00E30CA3">
        <w:rPr>
          <w:lang w:val="en-AU"/>
        </w:rPr>
        <w:t xml:space="preserve">both the Sadducees and the </w:t>
      </w:r>
      <w:r w:rsidR="0062407C" w:rsidRPr="00E30CA3">
        <w:rPr>
          <w:lang w:val="en-AU"/>
        </w:rPr>
        <w:t>Pharisees</w:t>
      </w:r>
      <w:r w:rsidR="0078231C" w:rsidRPr="00E30CA3">
        <w:rPr>
          <w:lang w:val="en-AU"/>
        </w:rPr>
        <w:t xml:space="preserve"> equally, as in </w:t>
      </w:r>
      <w:r w:rsidR="00F2711E" w:rsidRPr="00E30CA3">
        <w:rPr>
          <w:lang w:val="en-AU"/>
        </w:rPr>
        <w:t>Matthew 2</w:t>
      </w:r>
      <w:r w:rsidR="007C5646" w:rsidRPr="00E30CA3">
        <w:rPr>
          <w:lang w:val="en-AU"/>
        </w:rPr>
        <w:t>3</w:t>
      </w:r>
      <w:r w:rsidR="005410D4" w:rsidRPr="00E30CA3">
        <w:rPr>
          <w:lang w:val="en-AU"/>
        </w:rPr>
        <w:t xml:space="preserve"> where the condemnation, </w:t>
      </w:r>
      <w:r w:rsidR="00863B47" w:rsidRPr="00E30CA3">
        <w:rPr>
          <w:lang w:val="en-AU"/>
        </w:rPr>
        <w:t>“</w:t>
      </w:r>
      <w:r w:rsidR="00F2711E" w:rsidRPr="00E30CA3">
        <w:rPr>
          <w:lang w:val="en-AU"/>
        </w:rPr>
        <w:t>Woe to you, Pharisees, scribes, and hypocrites</w:t>
      </w:r>
      <w:r w:rsidR="00863B47" w:rsidRPr="00E30CA3">
        <w:rPr>
          <w:lang w:val="en-AU"/>
        </w:rPr>
        <w:t>”</w:t>
      </w:r>
      <w:r w:rsidR="005410D4" w:rsidRPr="00E30CA3">
        <w:rPr>
          <w:lang w:val="en-AU"/>
        </w:rPr>
        <w:t xml:space="preserve"> is repeated</w:t>
      </w:r>
      <w:r w:rsidR="007931EF" w:rsidRPr="00E30CA3">
        <w:rPr>
          <w:lang w:val="en-AU"/>
        </w:rPr>
        <w:t xml:space="preserve"> several times over.</w:t>
      </w:r>
      <w:r w:rsidR="00F2711E" w:rsidRPr="00E30CA3">
        <w:rPr>
          <w:rStyle w:val="FootnoteReference"/>
          <w:lang w:val="en-AU"/>
        </w:rPr>
        <w:footnoteReference w:id="639"/>
      </w:r>
      <w:r w:rsidR="00F2711E" w:rsidRPr="00E30CA3">
        <w:rPr>
          <w:lang w:val="en-AU"/>
        </w:rPr>
        <w:t xml:space="preserve"> </w:t>
      </w:r>
      <w:r w:rsidR="0078231C" w:rsidRPr="00E30CA3">
        <w:rPr>
          <w:lang w:val="en-AU"/>
        </w:rPr>
        <w:t>Jesus demand</w:t>
      </w:r>
      <w:r w:rsidR="00413025" w:rsidRPr="00E30CA3">
        <w:rPr>
          <w:lang w:val="en-AU"/>
        </w:rPr>
        <w:t>ed</w:t>
      </w:r>
      <w:r w:rsidR="0078231C" w:rsidRPr="00E30CA3">
        <w:rPr>
          <w:lang w:val="en-AU"/>
        </w:rPr>
        <w:t xml:space="preserve"> that all Jews in the community </w:t>
      </w:r>
      <w:r w:rsidR="00413025" w:rsidRPr="00E30CA3">
        <w:rPr>
          <w:lang w:val="en-AU"/>
        </w:rPr>
        <w:t xml:space="preserve">should </w:t>
      </w:r>
      <w:r w:rsidR="0078231C" w:rsidRPr="00E30CA3">
        <w:rPr>
          <w:lang w:val="en-AU"/>
        </w:rPr>
        <w:t>follow Torah and the values contained</w:t>
      </w:r>
      <w:r w:rsidR="00413025" w:rsidRPr="00E30CA3">
        <w:rPr>
          <w:lang w:val="en-AU"/>
        </w:rPr>
        <w:t xml:space="preserve"> therein</w:t>
      </w:r>
      <w:r w:rsidR="0078231C" w:rsidRPr="00E30CA3">
        <w:rPr>
          <w:lang w:val="en-AU"/>
        </w:rPr>
        <w:t>.</w:t>
      </w:r>
      <w:r w:rsidR="00F2711E" w:rsidRPr="00E30CA3">
        <w:rPr>
          <w:rStyle w:val="FootnoteReference"/>
          <w:lang w:val="en-AU"/>
        </w:rPr>
        <w:footnoteReference w:id="640"/>
      </w:r>
      <w:r w:rsidR="00F2711E" w:rsidRPr="00E30CA3">
        <w:rPr>
          <w:lang w:val="en-AU"/>
        </w:rPr>
        <w:t xml:space="preserve"> In this passage, the story </w:t>
      </w:r>
      <w:r w:rsidR="00677E3D" w:rsidRPr="00E30CA3">
        <w:rPr>
          <w:lang w:val="en-AU"/>
        </w:rPr>
        <w:t>is told</w:t>
      </w:r>
      <w:r w:rsidR="00F2711E" w:rsidRPr="00E30CA3">
        <w:rPr>
          <w:lang w:val="en-AU"/>
        </w:rPr>
        <w:t xml:space="preserve"> how Jesus attacks</w:t>
      </w:r>
      <w:r w:rsidR="007C5646" w:rsidRPr="00E30CA3">
        <w:rPr>
          <w:lang w:val="en-AU"/>
        </w:rPr>
        <w:t xml:space="preserve"> verbally</w:t>
      </w:r>
      <w:r w:rsidR="00F2711E" w:rsidRPr="00E30CA3">
        <w:rPr>
          <w:lang w:val="en-AU"/>
        </w:rPr>
        <w:t xml:space="preserve"> this community of leaders for not following through o</w:t>
      </w:r>
      <w:r w:rsidR="007C5646" w:rsidRPr="00E30CA3">
        <w:rPr>
          <w:lang w:val="en-AU"/>
        </w:rPr>
        <w:t>r</w:t>
      </w:r>
      <w:r w:rsidR="00F2711E" w:rsidRPr="00E30CA3">
        <w:rPr>
          <w:lang w:val="en-AU"/>
        </w:rPr>
        <w:t xml:space="preserve"> leading all of the Jews and converted Jews in all aspects of the</w:t>
      </w:r>
      <w:r w:rsidR="00F225EB" w:rsidRPr="00E30CA3">
        <w:rPr>
          <w:lang w:val="en-AU"/>
        </w:rPr>
        <w:t xml:space="preserve"> law, calling them </w:t>
      </w:r>
      <w:r w:rsidR="00863B47" w:rsidRPr="00E30CA3">
        <w:rPr>
          <w:lang w:val="en-AU"/>
        </w:rPr>
        <w:t>“</w:t>
      </w:r>
      <w:r w:rsidR="00F225EB" w:rsidRPr="00E30CA3">
        <w:rPr>
          <w:lang w:val="en-AU"/>
        </w:rPr>
        <w:t>blind guides</w:t>
      </w:r>
      <w:r w:rsidR="00F2711E" w:rsidRPr="00E30CA3">
        <w:rPr>
          <w:lang w:val="en-AU"/>
        </w:rPr>
        <w:t>.</w:t>
      </w:r>
      <w:r w:rsidR="00863B47" w:rsidRPr="00E30CA3">
        <w:rPr>
          <w:lang w:val="en-AU"/>
        </w:rPr>
        <w:t>”</w:t>
      </w:r>
      <w:r w:rsidR="00F2711E" w:rsidRPr="00E30CA3">
        <w:rPr>
          <w:lang w:val="en-AU"/>
        </w:rPr>
        <w:t xml:space="preserve"> </w:t>
      </w:r>
      <w:r w:rsidR="00CF78EC" w:rsidRPr="00E30CA3">
        <w:rPr>
          <w:lang w:val="en-AU"/>
        </w:rPr>
        <w:t xml:space="preserve">Saldarini </w:t>
      </w:r>
      <w:r w:rsidR="00CC6F07" w:rsidRPr="00E30CA3">
        <w:rPr>
          <w:lang w:val="en-AU"/>
        </w:rPr>
        <w:t>believes that w</w:t>
      </w:r>
      <w:r w:rsidR="00AA5228" w:rsidRPr="00E30CA3">
        <w:rPr>
          <w:lang w:val="en-AU"/>
        </w:rPr>
        <w:t xml:space="preserve">hen Jesus </w:t>
      </w:r>
      <w:r w:rsidR="00CC6F07" w:rsidRPr="00E30CA3">
        <w:rPr>
          <w:lang w:val="en-AU"/>
        </w:rPr>
        <w:t>was</w:t>
      </w:r>
      <w:r w:rsidR="00AA5228" w:rsidRPr="00E30CA3">
        <w:rPr>
          <w:lang w:val="en-AU"/>
        </w:rPr>
        <w:t xml:space="preserve"> seen attacking the</w:t>
      </w:r>
      <w:r w:rsidR="00F2711E" w:rsidRPr="00E30CA3">
        <w:rPr>
          <w:lang w:val="en-AU"/>
        </w:rPr>
        <w:t xml:space="preserve"> Pharisees</w:t>
      </w:r>
      <w:r w:rsidR="00AA5228" w:rsidRPr="00E30CA3">
        <w:rPr>
          <w:lang w:val="en-AU"/>
        </w:rPr>
        <w:t>,</w:t>
      </w:r>
      <w:r w:rsidR="00CC6F07" w:rsidRPr="00E30CA3">
        <w:rPr>
          <w:lang w:val="en-AU"/>
        </w:rPr>
        <w:t xml:space="preserve"> </w:t>
      </w:r>
      <w:r w:rsidR="00AA5228" w:rsidRPr="00E30CA3">
        <w:rPr>
          <w:lang w:val="en-AU"/>
        </w:rPr>
        <w:t xml:space="preserve">it caused disharmony </w:t>
      </w:r>
      <w:r w:rsidR="00CC6F07" w:rsidRPr="00E30CA3">
        <w:rPr>
          <w:lang w:val="en-AU"/>
        </w:rPr>
        <w:t>among</w:t>
      </w:r>
      <w:r w:rsidR="00AA5228" w:rsidRPr="00E30CA3">
        <w:rPr>
          <w:lang w:val="en-AU"/>
        </w:rPr>
        <w:t xml:space="preserve"> the crowds listening to him</w:t>
      </w:r>
      <w:r w:rsidR="00F2711E" w:rsidRPr="00E30CA3">
        <w:rPr>
          <w:lang w:val="en-AU"/>
        </w:rPr>
        <w:t>.</w:t>
      </w:r>
      <w:r w:rsidR="00F2711E" w:rsidRPr="00E30CA3">
        <w:rPr>
          <w:rStyle w:val="FootnoteReference"/>
          <w:lang w:val="en-AU"/>
        </w:rPr>
        <w:footnoteReference w:id="641"/>
      </w:r>
      <w:r w:rsidR="00F2711E" w:rsidRPr="00E30CA3">
        <w:rPr>
          <w:lang w:val="en-AU"/>
        </w:rPr>
        <w:t xml:space="preserve"> Those whom Jesus addressed </w:t>
      </w:r>
      <w:r w:rsidR="00CC6F07" w:rsidRPr="00E30CA3">
        <w:rPr>
          <w:lang w:val="en-AU"/>
        </w:rPr>
        <w:t>we</w:t>
      </w:r>
      <w:r w:rsidR="00F2711E" w:rsidRPr="00E30CA3">
        <w:rPr>
          <w:lang w:val="en-AU"/>
        </w:rPr>
        <w:t xml:space="preserve">re struggling to integrate </w:t>
      </w:r>
      <w:r w:rsidR="00CC6F07" w:rsidRPr="00E30CA3">
        <w:rPr>
          <w:lang w:val="en-AU"/>
        </w:rPr>
        <w:t xml:space="preserve">fully </w:t>
      </w:r>
      <w:r w:rsidR="00F2711E" w:rsidRPr="00E30CA3">
        <w:rPr>
          <w:lang w:val="en-AU"/>
        </w:rPr>
        <w:t>into Roman society and now Roman leadership could scrutini</w:t>
      </w:r>
      <w:r w:rsidR="00D86BBD" w:rsidRPr="00E30CA3">
        <w:rPr>
          <w:lang w:val="en-AU"/>
        </w:rPr>
        <w:t>s</w:t>
      </w:r>
      <w:r w:rsidR="00F2711E" w:rsidRPr="00E30CA3">
        <w:rPr>
          <w:lang w:val="en-AU"/>
        </w:rPr>
        <w:t>e this minority</w:t>
      </w:r>
      <w:r w:rsidR="00586B59" w:rsidRPr="00E30CA3">
        <w:rPr>
          <w:lang w:val="en-AU"/>
        </w:rPr>
        <w:t xml:space="preserve"> sect</w:t>
      </w:r>
      <w:r w:rsidR="00F2711E" w:rsidRPr="00E30CA3">
        <w:rPr>
          <w:lang w:val="en-AU"/>
        </w:rPr>
        <w:t xml:space="preserve"> of Pharisees.</w:t>
      </w:r>
    </w:p>
    <w:p w14:paraId="40BAF2B7" w14:textId="6D976C47" w:rsidR="00F2711E" w:rsidRPr="00E30CA3" w:rsidRDefault="00F2711E" w:rsidP="00F2711E">
      <w:pPr>
        <w:spacing w:beforeLines="1" w:before="2" w:afterLines="1" w:after="2" w:line="480" w:lineRule="auto"/>
        <w:rPr>
          <w:lang w:val="en-AU"/>
        </w:rPr>
      </w:pPr>
      <w:r w:rsidRPr="00E30CA3">
        <w:rPr>
          <w:lang w:val="en-AU"/>
        </w:rPr>
        <w:tab/>
        <w:t>The Roman imperial mission was embedded into the culture of the ruling factions</w:t>
      </w:r>
      <w:r w:rsidR="00BB4202" w:rsidRPr="00E30CA3">
        <w:rPr>
          <w:lang w:val="en-AU"/>
        </w:rPr>
        <w:t xml:space="preserve"> in Judaism</w:t>
      </w:r>
      <w:r w:rsidR="00036DC8" w:rsidRPr="00E30CA3">
        <w:rPr>
          <w:lang w:val="en-AU"/>
        </w:rPr>
        <w:t>, particularly the Sadducees</w:t>
      </w:r>
      <w:r w:rsidRPr="00E30CA3">
        <w:rPr>
          <w:lang w:val="en-AU"/>
        </w:rPr>
        <w:t>. The Pharisees, by going against the identity of the Roman imperial mission, w</w:t>
      </w:r>
      <w:r w:rsidR="00BB4202" w:rsidRPr="00E30CA3">
        <w:rPr>
          <w:lang w:val="en-AU"/>
        </w:rPr>
        <w:t>ere</w:t>
      </w:r>
      <w:r w:rsidRPr="00E30CA3">
        <w:rPr>
          <w:lang w:val="en-AU"/>
        </w:rPr>
        <w:t xml:space="preserve"> protecting </w:t>
      </w:r>
      <w:r w:rsidR="00BB4202" w:rsidRPr="00E30CA3">
        <w:rPr>
          <w:lang w:val="en-AU"/>
        </w:rPr>
        <w:t>their</w:t>
      </w:r>
      <w:r w:rsidRPr="00E30CA3">
        <w:rPr>
          <w:lang w:val="en-AU"/>
        </w:rPr>
        <w:t xml:space="preserve"> self-identity. The culture of the Jewish Pharisee movement </w:t>
      </w:r>
      <w:r w:rsidR="00ED165B" w:rsidRPr="00E30CA3">
        <w:rPr>
          <w:lang w:val="en-AU"/>
        </w:rPr>
        <w:t>saw</w:t>
      </w:r>
      <w:r w:rsidRPr="00E30CA3">
        <w:rPr>
          <w:lang w:val="en-AU"/>
        </w:rPr>
        <w:t xml:space="preserve"> nonviolen</w:t>
      </w:r>
      <w:r w:rsidR="00ED165B" w:rsidRPr="00E30CA3">
        <w:rPr>
          <w:lang w:val="en-AU"/>
        </w:rPr>
        <w:t>ce as the appropriate</w:t>
      </w:r>
      <w:r w:rsidRPr="00E30CA3">
        <w:rPr>
          <w:lang w:val="en-AU"/>
        </w:rPr>
        <w:t xml:space="preserve"> response to Rome. The Roman philosophy of rule was never well thought out, and such </w:t>
      </w:r>
      <w:r w:rsidR="003640BF" w:rsidRPr="00E30CA3">
        <w:rPr>
          <w:lang w:val="en-AU"/>
        </w:rPr>
        <w:t>short-sightedness</w:t>
      </w:r>
      <w:r w:rsidRPr="00E30CA3">
        <w:rPr>
          <w:lang w:val="en-AU"/>
        </w:rPr>
        <w:t xml:space="preserve"> </w:t>
      </w:r>
      <w:r w:rsidR="00ED165B" w:rsidRPr="00E30CA3">
        <w:rPr>
          <w:lang w:val="en-AU"/>
        </w:rPr>
        <w:t>influenc</w:t>
      </w:r>
      <w:r w:rsidRPr="00E30CA3">
        <w:rPr>
          <w:lang w:val="en-AU"/>
        </w:rPr>
        <w:t xml:space="preserve">ed how </w:t>
      </w:r>
      <w:r w:rsidRPr="00E30CA3">
        <w:rPr>
          <w:lang w:val="en-AU"/>
        </w:rPr>
        <w:lastRenderedPageBreak/>
        <w:t xml:space="preserve">Rome interacted with the Jewish people. Caroll Quigley contends that Rome seriously lacked any long-range plans for </w:t>
      </w:r>
      <w:r w:rsidR="00ED165B" w:rsidRPr="00E30CA3">
        <w:rPr>
          <w:lang w:val="en-AU"/>
        </w:rPr>
        <w:t>empire</w:t>
      </w:r>
      <w:r w:rsidRPr="00E30CA3">
        <w:rPr>
          <w:lang w:val="en-AU"/>
        </w:rPr>
        <w:t xml:space="preserve"> growth:</w:t>
      </w:r>
    </w:p>
    <w:p w14:paraId="7ECD71F3" w14:textId="10492F66" w:rsidR="00D25D36" w:rsidRPr="00E30CA3" w:rsidRDefault="00F2711E" w:rsidP="00F41CA9">
      <w:pPr>
        <w:pStyle w:val="Blockquotation"/>
        <w:rPr>
          <w:sz w:val="24"/>
          <w:lang w:val="en-AU"/>
        </w:rPr>
      </w:pPr>
      <w:r w:rsidRPr="00E30CA3">
        <w:rPr>
          <w:sz w:val="24"/>
          <w:lang w:val="en-AU"/>
        </w:rPr>
        <w:t xml:space="preserve">These Roman ruling groups were not hampered by theories or ideologies, although quick with rationalizations.  They never found logical obstacle to </w:t>
      </w:r>
      <w:proofErr w:type="gramStart"/>
      <w:r w:rsidRPr="00E30CA3">
        <w:rPr>
          <w:sz w:val="24"/>
          <w:lang w:val="en-AU"/>
        </w:rPr>
        <w:t>action, because</w:t>
      </w:r>
      <w:proofErr w:type="gramEnd"/>
      <w:r w:rsidRPr="00E30CA3">
        <w:rPr>
          <w:sz w:val="24"/>
          <w:lang w:val="en-AU"/>
        </w:rPr>
        <w:t xml:space="preserve"> they cared nothing for logic.  In fact, they had no long-range idea of what they were doing – ever.  It has often been said that the Romans had no plans of world conquest and that they became rulers of the world in fits of absent-mindedness, like England acquired its empire.  This may be correct, but it means nothing.  The Romans had no long-range plans for world conquest because they had no long-range ideas on anything.</w:t>
      </w:r>
      <w:r w:rsidRPr="00E30CA3">
        <w:rPr>
          <w:rStyle w:val="FootnoteReference"/>
          <w:sz w:val="24"/>
          <w:lang w:val="en-AU"/>
        </w:rPr>
        <w:footnoteReference w:id="642"/>
      </w:r>
      <w:r w:rsidRPr="00E30CA3">
        <w:rPr>
          <w:sz w:val="24"/>
          <w:lang w:val="en-AU"/>
        </w:rPr>
        <w:t xml:space="preserve">  </w:t>
      </w:r>
    </w:p>
    <w:p w14:paraId="342B0293" w14:textId="26A9E00D" w:rsidR="00F2711E" w:rsidRPr="00E30CA3" w:rsidRDefault="00F2711E" w:rsidP="0062407C">
      <w:pPr>
        <w:spacing w:beforeLines="1" w:before="2" w:afterLines="1" w:after="2" w:line="480" w:lineRule="auto"/>
        <w:ind w:right="706"/>
        <w:rPr>
          <w:lang w:val="en-AU"/>
        </w:rPr>
      </w:pPr>
      <w:r w:rsidRPr="00E30CA3">
        <w:rPr>
          <w:lang w:val="en-AU"/>
        </w:rPr>
        <w:t xml:space="preserve">As much as the Roman mission for long-range plans for conquering the world never matured, they nevertheless held a tight grip on the Jewish community.  The Jewish community, however, responded </w:t>
      </w:r>
      <w:r w:rsidR="00077477" w:rsidRPr="00E30CA3">
        <w:rPr>
          <w:lang w:val="en-AU"/>
        </w:rPr>
        <w:t xml:space="preserve">by </w:t>
      </w:r>
      <w:r w:rsidRPr="00E30CA3">
        <w:rPr>
          <w:lang w:val="en-AU"/>
        </w:rPr>
        <w:t>to refus</w:t>
      </w:r>
      <w:r w:rsidR="00077477" w:rsidRPr="00E30CA3">
        <w:rPr>
          <w:lang w:val="en-AU"/>
        </w:rPr>
        <w:t>ing to</w:t>
      </w:r>
      <w:r w:rsidRPr="00E30CA3">
        <w:rPr>
          <w:lang w:val="en-AU"/>
        </w:rPr>
        <w:t xml:space="preserve"> </w:t>
      </w:r>
      <w:r w:rsidR="00636CBF" w:rsidRPr="00E30CA3">
        <w:rPr>
          <w:lang w:val="en-AU"/>
        </w:rPr>
        <w:t>react</w:t>
      </w:r>
      <w:r w:rsidRPr="00E30CA3">
        <w:rPr>
          <w:lang w:val="en-AU"/>
        </w:rPr>
        <w:t xml:space="preserve"> </w:t>
      </w:r>
      <w:r w:rsidR="00636CBF" w:rsidRPr="00E30CA3">
        <w:rPr>
          <w:lang w:val="en-AU"/>
        </w:rPr>
        <w:t>by</w:t>
      </w:r>
      <w:r w:rsidRPr="00E30CA3">
        <w:rPr>
          <w:lang w:val="en-AU"/>
        </w:rPr>
        <w:t xml:space="preserve"> violence against the Rom</w:t>
      </w:r>
      <w:r w:rsidR="00E46FE3" w:rsidRPr="00E30CA3">
        <w:rPr>
          <w:lang w:val="en-AU"/>
        </w:rPr>
        <w:t>an</w:t>
      </w:r>
      <w:r w:rsidRPr="00E30CA3">
        <w:rPr>
          <w:lang w:val="en-AU"/>
        </w:rPr>
        <w:t xml:space="preserve"> imperial mission</w:t>
      </w:r>
      <w:r w:rsidR="00EF5ECD" w:rsidRPr="00E30CA3">
        <w:rPr>
          <w:lang w:val="en-AU"/>
        </w:rPr>
        <w:t>,</w:t>
      </w:r>
      <w:r w:rsidR="00586B59" w:rsidRPr="00E30CA3">
        <w:rPr>
          <w:lang w:val="en-AU"/>
        </w:rPr>
        <w:t xml:space="preserve"> at least until 66 BCE</w:t>
      </w:r>
      <w:r w:rsidRPr="00E30CA3">
        <w:rPr>
          <w:lang w:val="en-AU"/>
        </w:rPr>
        <w:t xml:space="preserve">.  </w:t>
      </w:r>
      <w:r w:rsidR="0062407C" w:rsidRPr="00E30CA3">
        <w:rPr>
          <w:lang w:val="en-AU"/>
        </w:rPr>
        <w:t xml:space="preserve">The people of Jesus were moving away from </w:t>
      </w:r>
      <w:r w:rsidR="0062407C" w:rsidRPr="00E30CA3">
        <w:rPr>
          <w:i/>
          <w:iCs/>
          <w:lang w:val="en-AU"/>
        </w:rPr>
        <w:t xml:space="preserve">lex talionis </w:t>
      </w:r>
      <w:r w:rsidR="0062407C" w:rsidRPr="00E30CA3">
        <w:rPr>
          <w:lang w:val="en-AU"/>
        </w:rPr>
        <w:t xml:space="preserve">and to nonviolence as a response. </w:t>
      </w:r>
      <w:r w:rsidRPr="00E30CA3">
        <w:rPr>
          <w:lang w:val="en-AU"/>
        </w:rPr>
        <w:t xml:space="preserve">Carter </w:t>
      </w:r>
      <w:r w:rsidR="0062407C" w:rsidRPr="00E30CA3">
        <w:rPr>
          <w:lang w:val="en-AU"/>
        </w:rPr>
        <w:t>suggests:</w:t>
      </w:r>
    </w:p>
    <w:p w14:paraId="2A9973E2" w14:textId="697918F9" w:rsidR="00D25D36" w:rsidRPr="00E30CA3" w:rsidRDefault="00F2711E" w:rsidP="00EF5ECD">
      <w:pPr>
        <w:pStyle w:val="Blockquotation"/>
        <w:rPr>
          <w:sz w:val="24"/>
          <w:lang w:val="en-AU"/>
        </w:rPr>
      </w:pPr>
      <w:r w:rsidRPr="00E30CA3">
        <w:rPr>
          <w:sz w:val="24"/>
          <w:lang w:val="en-AU"/>
        </w:rPr>
        <w:t>This community also rejects violence, a mainstay of Rome</w:t>
      </w:r>
      <w:r w:rsidR="005C71CB" w:rsidRPr="00E30CA3">
        <w:rPr>
          <w:sz w:val="24"/>
          <w:lang w:val="en-AU"/>
        </w:rPr>
        <w:t>’</w:t>
      </w:r>
      <w:r w:rsidRPr="00E30CA3">
        <w:rPr>
          <w:sz w:val="24"/>
          <w:lang w:val="en-AU"/>
        </w:rPr>
        <w:t xml:space="preserve">s imperial mission to </w:t>
      </w:r>
      <w:r w:rsidR="005C71CB" w:rsidRPr="00E30CA3">
        <w:rPr>
          <w:sz w:val="24"/>
          <w:lang w:val="en-AU"/>
        </w:rPr>
        <w:t>‘</w:t>
      </w:r>
      <w:r w:rsidRPr="00E30CA3">
        <w:rPr>
          <w:sz w:val="24"/>
          <w:lang w:val="en-AU"/>
        </w:rPr>
        <w:t>rule the nations with your power</w:t>
      </w:r>
      <w:r w:rsidR="005C71CB" w:rsidRPr="00E30CA3">
        <w:rPr>
          <w:sz w:val="24"/>
          <w:lang w:val="en-AU"/>
        </w:rPr>
        <w:t>’</w:t>
      </w:r>
      <w:r w:rsidRPr="00E30CA3">
        <w:rPr>
          <w:sz w:val="24"/>
          <w:lang w:val="en-AU"/>
        </w:rPr>
        <w:t xml:space="preserve"> (Virgil, </w:t>
      </w:r>
      <w:r w:rsidRPr="00E30CA3">
        <w:rPr>
          <w:i/>
          <w:iCs/>
          <w:sz w:val="24"/>
          <w:lang w:val="en-AU"/>
        </w:rPr>
        <w:t>Aen</w:t>
      </w:r>
      <w:r w:rsidRPr="00E30CA3">
        <w:rPr>
          <w:sz w:val="24"/>
          <w:lang w:val="en-AU"/>
        </w:rPr>
        <w:t>. 6.851</w:t>
      </w:r>
      <w:r w:rsidR="00504DF1" w:rsidRPr="00E30CA3">
        <w:rPr>
          <w:sz w:val="24"/>
          <w:lang w:val="en-AU"/>
        </w:rPr>
        <w:t>–</w:t>
      </w:r>
      <w:r w:rsidRPr="00E30CA3">
        <w:rPr>
          <w:sz w:val="24"/>
          <w:lang w:val="en-AU"/>
        </w:rPr>
        <w:t>53). The cycle of violence is broken not by matching violence with violence, nor by passivity, but by a third option. Instead of fight or flight, Matthew</w:t>
      </w:r>
      <w:r w:rsidR="005C71CB" w:rsidRPr="00E30CA3">
        <w:rPr>
          <w:sz w:val="24"/>
          <w:lang w:val="en-AU"/>
        </w:rPr>
        <w:t>’</w:t>
      </w:r>
      <w:r w:rsidRPr="00E30CA3">
        <w:rPr>
          <w:sz w:val="24"/>
          <w:lang w:val="en-AU"/>
        </w:rPr>
        <w:t>s Jesus advocates nonviolent resistance to evil (5:38</w:t>
      </w:r>
      <w:r w:rsidR="00504DF1" w:rsidRPr="00E30CA3">
        <w:rPr>
          <w:sz w:val="24"/>
          <w:lang w:val="en-AU"/>
        </w:rPr>
        <w:t>–</w:t>
      </w:r>
      <w:r w:rsidRPr="00E30CA3">
        <w:rPr>
          <w:sz w:val="24"/>
          <w:lang w:val="en-AU"/>
        </w:rPr>
        <w:t>42).</w:t>
      </w:r>
      <w:r w:rsidRPr="00E30CA3">
        <w:rPr>
          <w:rStyle w:val="FootnoteReference"/>
          <w:sz w:val="24"/>
          <w:lang w:val="en-AU"/>
        </w:rPr>
        <w:footnoteReference w:id="643"/>
      </w:r>
      <w:r w:rsidRPr="00E30CA3">
        <w:rPr>
          <w:sz w:val="24"/>
          <w:lang w:val="en-AU"/>
        </w:rPr>
        <w:t xml:space="preserve"> </w:t>
      </w:r>
    </w:p>
    <w:p w14:paraId="723D3A23" w14:textId="6B0F3DE1" w:rsidR="00F2711E" w:rsidRPr="00E30CA3" w:rsidRDefault="0028632C" w:rsidP="00AB2072">
      <w:pPr>
        <w:spacing w:beforeLines="100" w:before="240" w:afterLines="1" w:after="2" w:line="480" w:lineRule="auto"/>
        <w:rPr>
          <w:lang w:val="en-AU"/>
        </w:rPr>
      </w:pPr>
      <w:r w:rsidRPr="00E30CA3">
        <w:rPr>
          <w:lang w:val="en-AU"/>
        </w:rPr>
        <w:t>The Sermon on the Mount in the form delivered does not focus on the concept of legal reform, i.e., he w</w:t>
      </w:r>
      <w:r w:rsidR="008B3F21" w:rsidRPr="00E30CA3">
        <w:rPr>
          <w:lang w:val="en-AU"/>
        </w:rPr>
        <w:t>a</w:t>
      </w:r>
      <w:r w:rsidRPr="00E30CA3">
        <w:rPr>
          <w:lang w:val="en-AU"/>
        </w:rPr>
        <w:t xml:space="preserve">s not saying that the government or courts should change how </w:t>
      </w:r>
      <w:r w:rsidRPr="00E30CA3">
        <w:rPr>
          <w:i/>
          <w:iCs/>
          <w:lang w:val="en-AU"/>
        </w:rPr>
        <w:t xml:space="preserve">lex talionis </w:t>
      </w:r>
      <w:r w:rsidRPr="00E30CA3">
        <w:rPr>
          <w:lang w:val="en-AU"/>
        </w:rPr>
        <w:t>was applied.</w:t>
      </w:r>
      <w:r w:rsidRPr="00E30CA3">
        <w:rPr>
          <w:i/>
          <w:iCs/>
          <w:lang w:val="en-AU"/>
        </w:rPr>
        <w:t xml:space="preserve"> </w:t>
      </w:r>
      <w:r w:rsidRPr="00E30CA3">
        <w:rPr>
          <w:lang w:val="en-AU"/>
        </w:rPr>
        <w:t>Rome would not have allowed him to s</w:t>
      </w:r>
      <w:r w:rsidR="008B3F21" w:rsidRPr="00E30CA3">
        <w:rPr>
          <w:lang w:val="en-AU"/>
        </w:rPr>
        <w:t>p</w:t>
      </w:r>
      <w:r w:rsidRPr="00E30CA3">
        <w:rPr>
          <w:lang w:val="en-AU"/>
        </w:rPr>
        <w:t>e</w:t>
      </w:r>
      <w:r w:rsidR="008B3F21" w:rsidRPr="00E30CA3">
        <w:rPr>
          <w:lang w:val="en-AU"/>
        </w:rPr>
        <w:t>a</w:t>
      </w:r>
      <w:r w:rsidRPr="00E30CA3">
        <w:rPr>
          <w:lang w:val="en-AU"/>
        </w:rPr>
        <w:t xml:space="preserve">k openly about </w:t>
      </w:r>
      <w:r w:rsidR="008B3F21" w:rsidRPr="00E30CA3">
        <w:rPr>
          <w:lang w:val="en-AU"/>
        </w:rPr>
        <w:t>fomenting</w:t>
      </w:r>
      <w:r w:rsidRPr="00E30CA3">
        <w:rPr>
          <w:lang w:val="en-AU"/>
        </w:rPr>
        <w:t xml:space="preserve"> governmental change. H</w:t>
      </w:r>
      <w:r w:rsidR="00205D1E" w:rsidRPr="00E30CA3">
        <w:rPr>
          <w:lang w:val="en-AU"/>
        </w:rPr>
        <w:t>e</w:t>
      </w:r>
      <w:r w:rsidRPr="00E30CA3">
        <w:rPr>
          <w:lang w:val="en-AU"/>
        </w:rPr>
        <w:t xml:space="preserve"> </w:t>
      </w:r>
      <w:r w:rsidR="00205D1E" w:rsidRPr="00E30CA3">
        <w:rPr>
          <w:lang w:val="en-AU"/>
        </w:rPr>
        <w:t xml:space="preserve">spoke </w:t>
      </w:r>
      <w:r w:rsidRPr="00E30CA3">
        <w:rPr>
          <w:lang w:val="en-AU"/>
        </w:rPr>
        <w:t xml:space="preserve">about ethical actions </w:t>
      </w:r>
      <w:r w:rsidR="00205D1E" w:rsidRPr="00E30CA3">
        <w:rPr>
          <w:lang w:val="en-AU"/>
        </w:rPr>
        <w:t>toward</w:t>
      </w:r>
      <w:r w:rsidRPr="00E30CA3">
        <w:rPr>
          <w:lang w:val="en-AU"/>
        </w:rPr>
        <w:t xml:space="preserve"> people who had no legal recourse</w:t>
      </w:r>
      <w:r w:rsidR="00205D1E" w:rsidRPr="00E30CA3">
        <w:rPr>
          <w:lang w:val="en-AU"/>
        </w:rPr>
        <w:t>―</w:t>
      </w:r>
      <w:r w:rsidRPr="00E30CA3">
        <w:rPr>
          <w:lang w:val="en-AU"/>
        </w:rPr>
        <w:t xml:space="preserve">they were without legal rights. People needed to know how they could protect </w:t>
      </w:r>
      <w:r w:rsidRPr="00E30CA3">
        <w:rPr>
          <w:lang w:val="en-AU"/>
        </w:rPr>
        <w:lastRenderedPageBreak/>
        <w:t xml:space="preserve">themselves from others without </w:t>
      </w:r>
      <w:r w:rsidR="00074B2F" w:rsidRPr="00E30CA3">
        <w:rPr>
          <w:lang w:val="en-AU"/>
        </w:rPr>
        <w:t>aggravating</w:t>
      </w:r>
      <w:r w:rsidRPr="00E30CA3">
        <w:rPr>
          <w:lang w:val="en-AU"/>
        </w:rPr>
        <w:t xml:space="preserve"> the authorities. </w:t>
      </w:r>
      <w:r w:rsidR="00F2711E" w:rsidRPr="00E30CA3">
        <w:rPr>
          <w:lang w:val="en-AU"/>
        </w:rPr>
        <w:t>The development of a nonviolent resistance to evil builds upon the history and culture of the sages.</w:t>
      </w:r>
      <w:r w:rsidRPr="00E30CA3">
        <w:rPr>
          <w:lang w:val="en-AU"/>
        </w:rPr>
        <w:t xml:space="preserve"> Jesus was speaking to the people about not taking justice into their own hands—force the legal system or those in power over you to act with justice.</w:t>
      </w:r>
      <w:r w:rsidR="00F2711E" w:rsidRPr="00E30CA3">
        <w:rPr>
          <w:lang w:val="en-AU"/>
        </w:rPr>
        <w:t xml:space="preserve"> The sages in </w:t>
      </w:r>
      <w:r w:rsidR="00F2711E" w:rsidRPr="00E30CA3">
        <w:rPr>
          <w:i/>
          <w:iCs/>
          <w:lang w:val="en-AU"/>
        </w:rPr>
        <w:t>Mishna Avot</w:t>
      </w:r>
      <w:r w:rsidR="00F2711E" w:rsidRPr="00E30CA3">
        <w:rPr>
          <w:lang w:val="en-AU"/>
        </w:rPr>
        <w:t xml:space="preserve"> do</w:t>
      </w:r>
      <w:r w:rsidR="00946C24" w:rsidRPr="00E30CA3">
        <w:rPr>
          <w:lang w:val="en-AU"/>
        </w:rPr>
        <w:t xml:space="preserve"> </w:t>
      </w:r>
      <w:r w:rsidR="00F2711E" w:rsidRPr="00E30CA3">
        <w:rPr>
          <w:lang w:val="en-AU"/>
        </w:rPr>
        <w:t>n</w:t>
      </w:r>
      <w:r w:rsidR="00946C24" w:rsidRPr="00E30CA3">
        <w:rPr>
          <w:lang w:val="en-AU"/>
        </w:rPr>
        <w:t>o</w:t>
      </w:r>
      <w:r w:rsidR="00F2711E" w:rsidRPr="00E30CA3">
        <w:rPr>
          <w:lang w:val="en-AU"/>
        </w:rPr>
        <w:t xml:space="preserve">t negate </w:t>
      </w:r>
      <w:r w:rsidR="00B42DB8" w:rsidRPr="00E30CA3">
        <w:rPr>
          <w:lang w:val="en-AU"/>
        </w:rPr>
        <w:t>the sayings of</w:t>
      </w:r>
      <w:r w:rsidR="00F2711E" w:rsidRPr="00E30CA3">
        <w:rPr>
          <w:lang w:val="en-AU"/>
        </w:rPr>
        <w:t xml:space="preserve"> Jesus</w:t>
      </w:r>
      <w:r w:rsidR="0075236C" w:rsidRPr="00E30CA3">
        <w:rPr>
          <w:lang w:val="en-AU"/>
        </w:rPr>
        <w:t>,</w:t>
      </w:r>
      <w:r w:rsidR="00F2711E" w:rsidRPr="00E30CA3">
        <w:rPr>
          <w:lang w:val="en-AU"/>
        </w:rPr>
        <w:t xml:space="preserve"> especially since Jesus</w:t>
      </w:r>
      <w:r w:rsidR="005C71CB" w:rsidRPr="00E30CA3">
        <w:rPr>
          <w:lang w:val="en-AU"/>
        </w:rPr>
        <w:t>’</w:t>
      </w:r>
      <w:r w:rsidR="006D41DD">
        <w:rPr>
          <w:lang w:val="en-AU"/>
        </w:rPr>
        <w:t>s</w:t>
      </w:r>
      <w:r w:rsidR="00F2711E" w:rsidRPr="00E30CA3">
        <w:rPr>
          <w:lang w:val="en-AU"/>
        </w:rPr>
        <w:t xml:space="preserve"> sayings are similar in nature </w:t>
      </w:r>
      <w:r w:rsidR="0075236C" w:rsidRPr="00E30CA3">
        <w:rPr>
          <w:lang w:val="en-AU"/>
        </w:rPr>
        <w:t>to</w:t>
      </w:r>
      <w:r w:rsidR="00F2711E" w:rsidRPr="00E30CA3">
        <w:rPr>
          <w:lang w:val="en-AU"/>
        </w:rPr>
        <w:t xml:space="preserve"> the</w:t>
      </w:r>
      <w:r w:rsidR="0075236C" w:rsidRPr="00E30CA3">
        <w:rPr>
          <w:lang w:val="en-AU"/>
        </w:rPr>
        <w:t>ir</w:t>
      </w:r>
      <w:r w:rsidR="00F2711E" w:rsidRPr="00E30CA3">
        <w:rPr>
          <w:lang w:val="en-AU"/>
        </w:rPr>
        <w:t xml:space="preserve"> ethical and moral precepts.  </w:t>
      </w:r>
    </w:p>
    <w:p w14:paraId="011B165C" w14:textId="3B34F822" w:rsidR="00F331B3" w:rsidRPr="009E7B69" w:rsidRDefault="005C032C" w:rsidP="00BC7015">
      <w:pPr>
        <w:pStyle w:val="Heading2"/>
      </w:pPr>
      <w:bookmarkStart w:id="195" w:name="_Toc94537046"/>
      <w:bookmarkStart w:id="196" w:name="_Toc118063693"/>
      <w:r w:rsidRPr="009E7B69">
        <w:t>9</w:t>
      </w:r>
      <w:r w:rsidR="00F331B3" w:rsidRPr="009E7B69">
        <w:t>.6 ἀντιστῆναι</w:t>
      </w:r>
      <w:r w:rsidR="00036DC8" w:rsidRPr="009E7B69">
        <w:t xml:space="preserve">, </w:t>
      </w:r>
      <w:r w:rsidR="00F331B3" w:rsidRPr="009E7B69">
        <w:rPr>
          <w:i/>
          <w:iCs/>
        </w:rPr>
        <w:t>Lex Talionis</w:t>
      </w:r>
      <w:r w:rsidR="00E30CA3">
        <w:t>,</w:t>
      </w:r>
      <w:r w:rsidR="00036DC8" w:rsidRPr="009E7B69">
        <w:t xml:space="preserve"> and </w:t>
      </w:r>
      <w:r w:rsidR="00036DC8" w:rsidRPr="009E7B69">
        <w:rPr>
          <w:i/>
          <w:iCs/>
        </w:rPr>
        <w:t>Bava Kama</w:t>
      </w:r>
      <w:bookmarkEnd w:id="195"/>
      <w:bookmarkEnd w:id="196"/>
    </w:p>
    <w:p w14:paraId="2A6DB315" w14:textId="286825DE" w:rsidR="00F331B3" w:rsidRPr="00E30CA3" w:rsidRDefault="00F331B3" w:rsidP="00F331B3">
      <w:pPr>
        <w:spacing w:before="120" w:line="480" w:lineRule="auto"/>
        <w:ind w:firstLine="720"/>
        <w:rPr>
          <w:lang w:val="en-AU"/>
        </w:rPr>
      </w:pPr>
      <w:r w:rsidRPr="00E30CA3">
        <w:rPr>
          <w:lang w:val="en-AU"/>
        </w:rPr>
        <w:t>The concept of ἀντιστῆναι,</w:t>
      </w:r>
      <w:r w:rsidRPr="00E30CA3" w:rsidDel="00004622">
        <w:rPr>
          <w:lang w:val="en-AU"/>
        </w:rPr>
        <w:t xml:space="preserve"> </w:t>
      </w:r>
      <w:r w:rsidRPr="00E30CA3">
        <w:rPr>
          <w:lang w:val="en-AU"/>
        </w:rPr>
        <w:t xml:space="preserve">resistance, is in the Oral Law and has a connection to </w:t>
      </w:r>
      <w:r w:rsidRPr="00E30CA3">
        <w:rPr>
          <w:i/>
          <w:iCs/>
          <w:lang w:val="en-AU"/>
        </w:rPr>
        <w:t>lex talionis</w:t>
      </w:r>
      <w:r w:rsidRPr="00E30CA3">
        <w:rPr>
          <w:lang w:val="en-AU"/>
        </w:rPr>
        <w:t xml:space="preserve">. Crossley contends that Matthew 5:38–42 supports both nonviolence and the ideology of </w:t>
      </w:r>
      <w:r w:rsidRPr="00E30CA3">
        <w:rPr>
          <w:i/>
          <w:iCs/>
          <w:lang w:val="en-AU"/>
        </w:rPr>
        <w:t>lex talionis.</w:t>
      </w:r>
      <w:r w:rsidRPr="00E30CA3">
        <w:rPr>
          <w:rStyle w:val="FootnoteReference"/>
          <w:lang w:val="en-AU"/>
        </w:rPr>
        <w:footnoteReference w:id="644"/>
      </w:r>
      <w:r w:rsidRPr="00E30CA3">
        <w:rPr>
          <w:lang w:val="en-AU"/>
        </w:rPr>
        <w:t xml:space="preserve"> David Stern suggests that </w:t>
      </w:r>
      <w:r w:rsidRPr="00E30CA3">
        <w:rPr>
          <w:i/>
          <w:lang w:val="en-AU"/>
        </w:rPr>
        <w:t xml:space="preserve">lex talionis </w:t>
      </w:r>
      <w:r w:rsidRPr="00E30CA3">
        <w:rPr>
          <w:iCs/>
          <w:lang w:val="en-AU"/>
        </w:rPr>
        <w:t>connects the S</w:t>
      </w:r>
      <w:r w:rsidRPr="00E30CA3">
        <w:rPr>
          <w:lang w:val="en-AU"/>
        </w:rPr>
        <w:t xml:space="preserve">ermon’s audience with </w:t>
      </w:r>
      <w:r w:rsidRPr="00E30CA3">
        <w:rPr>
          <w:i/>
          <w:lang w:val="en-AU"/>
        </w:rPr>
        <w:t>midrash.</w:t>
      </w:r>
      <w:r w:rsidRPr="00E30CA3">
        <w:rPr>
          <w:rStyle w:val="FootnoteReference"/>
          <w:lang w:val="en-AU"/>
        </w:rPr>
        <w:footnoteReference w:id="645"/>
      </w:r>
      <w:r w:rsidRPr="00E30CA3">
        <w:rPr>
          <w:lang w:val="en-AU"/>
        </w:rPr>
        <w:t xml:space="preserve"> </w:t>
      </w:r>
      <w:r w:rsidRPr="00E30CA3">
        <w:rPr>
          <w:i/>
          <w:lang w:val="en-AU"/>
        </w:rPr>
        <w:t xml:space="preserve">Bava Kama </w:t>
      </w:r>
      <w:r w:rsidRPr="00E30CA3">
        <w:rPr>
          <w:lang w:val="en-AU"/>
        </w:rPr>
        <w:t>8:1 ideali</w:t>
      </w:r>
      <w:r w:rsidR="00D86BBD" w:rsidRPr="00E30CA3">
        <w:rPr>
          <w:lang w:val="en-AU"/>
        </w:rPr>
        <w:t>s</w:t>
      </w:r>
      <w:r w:rsidRPr="00E30CA3">
        <w:rPr>
          <w:lang w:val="en-AU"/>
        </w:rPr>
        <w:t xml:space="preserve">es a compassionate people-group which corresponds to those to whom the message of the Sermon was directed. </w:t>
      </w:r>
      <w:r w:rsidRPr="00E30CA3">
        <w:rPr>
          <w:i/>
          <w:lang w:val="en-AU"/>
        </w:rPr>
        <w:t>Bava Kama</w:t>
      </w:r>
      <w:r w:rsidRPr="00E30CA3">
        <w:rPr>
          <w:lang w:val="en-AU"/>
        </w:rPr>
        <w:t xml:space="preserve"> 8:1 itemi</w:t>
      </w:r>
      <w:r w:rsidR="00D86BBD" w:rsidRPr="00E30CA3">
        <w:rPr>
          <w:lang w:val="en-AU"/>
        </w:rPr>
        <w:t>s</w:t>
      </w:r>
      <w:r w:rsidRPr="00E30CA3">
        <w:rPr>
          <w:lang w:val="en-AU"/>
        </w:rPr>
        <w:t xml:space="preserve">es compensation for damages. This becomes a quantifiable measurement of harm done; thus </w:t>
      </w:r>
      <w:r w:rsidRPr="00E30CA3">
        <w:rPr>
          <w:i/>
          <w:lang w:val="en-AU"/>
        </w:rPr>
        <w:t xml:space="preserve">Bava Kama </w:t>
      </w:r>
      <w:r w:rsidRPr="00E30CA3">
        <w:rPr>
          <w:lang w:val="en-AU"/>
        </w:rPr>
        <w:t xml:space="preserve">8:1 creates values for damages done to other persons. </w:t>
      </w:r>
      <w:r w:rsidRPr="00E30CA3">
        <w:rPr>
          <w:i/>
          <w:lang w:val="en-AU"/>
        </w:rPr>
        <w:t xml:space="preserve">Bava Kama </w:t>
      </w:r>
      <w:r w:rsidRPr="00E30CA3">
        <w:rPr>
          <w:lang w:val="en-AU"/>
        </w:rPr>
        <w:t xml:space="preserve">8:1 illustrates how a person should act nonviolently to help others who have been hurt.  Jesus explains resistance and </w:t>
      </w:r>
      <w:r w:rsidRPr="00E30CA3">
        <w:rPr>
          <w:i/>
          <w:iCs/>
          <w:lang w:val="en-AU"/>
        </w:rPr>
        <w:t xml:space="preserve">lex talionis </w:t>
      </w:r>
      <w:r w:rsidRPr="00E30CA3">
        <w:rPr>
          <w:lang w:val="en-AU"/>
        </w:rPr>
        <w:t xml:space="preserve">to the audience of the Sermon and does not focus on other methods of justice used for people who have done unintentional harm to others such the availability of cities of refuge. The cities of refuge were a provision to prevent people from </w:t>
      </w:r>
      <w:r w:rsidRPr="00E30CA3">
        <w:rPr>
          <w:lang w:val="en-AU"/>
        </w:rPr>
        <w:lastRenderedPageBreak/>
        <w:t xml:space="preserve">taking violent retribution into their own hands, the equivalent of a lynch mob. The cities of refuge were intended to prevent miscarriage of justice. In Numbers 35:11 (JPS), the Torah states, “You shall provide yourselves with places to serve you as cities of refuge to which a manslayer who has killed a person unintentionally may flee.” This city of refuge was a place that ensured that a person who unintentionally killed someone could avoid the retribution of the person seeking revenge. </w:t>
      </w:r>
    </w:p>
    <w:p w14:paraId="4D7BF413" w14:textId="5CFDE188" w:rsidR="00F331B3" w:rsidRPr="00E30CA3" w:rsidRDefault="00F331B3" w:rsidP="00F331B3">
      <w:pPr>
        <w:spacing w:before="120" w:line="480" w:lineRule="auto"/>
        <w:ind w:firstLine="720"/>
        <w:rPr>
          <w:lang w:val="en-AU"/>
        </w:rPr>
      </w:pPr>
      <w:r w:rsidRPr="00E30CA3">
        <w:rPr>
          <w:lang w:val="en-AU"/>
        </w:rPr>
        <w:t>Vermes describes retaliation by στρέψον αὐτῷ καὶ τὴν ἄλλην in Matthew 5:39 as “hyperbolical” and states that the text is a “disavowal of vindictiveness</w:t>
      </w:r>
      <w:r w:rsidR="00C40690">
        <w:rPr>
          <w:lang w:val="en-AU"/>
        </w:rPr>
        <w:t>”</w:t>
      </w:r>
      <w:r w:rsidR="00C40690">
        <w:rPr>
          <w:rStyle w:val="FootnoteReference"/>
          <w:lang w:val="en-AU"/>
        </w:rPr>
        <w:footnoteReference w:id="646"/>
      </w:r>
      <w:r w:rsidRPr="00E30CA3">
        <w:rPr>
          <w:lang w:val="en-AU"/>
        </w:rPr>
        <w:t>. The intent of στρέψον αὐτῷ καὶ τὴν ἄλλην and ‘walking the extra mile’ in Matthew 5:38–42 is, according to Vermes, a “supererogation of our ethical responsibilities to others.”</w:t>
      </w:r>
      <w:r w:rsidRPr="00E30CA3">
        <w:rPr>
          <w:rStyle w:val="FootnoteReference"/>
          <w:lang w:val="en-AU"/>
        </w:rPr>
        <w:footnoteReference w:id="647"/>
      </w:r>
      <w:r w:rsidRPr="00E30CA3">
        <w:rPr>
          <w:lang w:val="en-AU"/>
        </w:rPr>
        <w:t xml:space="preserve"> </w:t>
      </w:r>
    </w:p>
    <w:p w14:paraId="32B8EF04" w14:textId="73F8010D" w:rsidR="00F2711E" w:rsidRPr="00E30CA3" w:rsidRDefault="00532284" w:rsidP="00BC7015">
      <w:pPr>
        <w:pStyle w:val="Heading2"/>
      </w:pPr>
      <w:bookmarkStart w:id="197" w:name="_Toc94537047"/>
      <w:bookmarkStart w:id="198" w:name="_Toc118063694"/>
      <w:r w:rsidRPr="00E30CA3">
        <w:t>9</w:t>
      </w:r>
      <w:r w:rsidR="00F2711E" w:rsidRPr="00E30CA3">
        <w:t>.</w:t>
      </w:r>
      <w:r w:rsidR="005C032C" w:rsidRPr="00E30CA3">
        <w:t>7</w:t>
      </w:r>
      <w:r w:rsidR="00F2711E" w:rsidRPr="00E30CA3">
        <w:t xml:space="preserve"> </w:t>
      </w:r>
      <w:r w:rsidR="00111BF0" w:rsidRPr="00E30CA3">
        <w:t>Matthew 5:38</w:t>
      </w:r>
      <w:r w:rsidR="00DB7777" w:rsidRPr="00E30CA3">
        <w:t>–</w:t>
      </w:r>
      <w:r w:rsidR="00111BF0" w:rsidRPr="00E30CA3">
        <w:t xml:space="preserve">42 and </w:t>
      </w:r>
      <w:r w:rsidR="00F2711E" w:rsidRPr="00E30CA3">
        <w:t>Slapping</w:t>
      </w:r>
      <w:bookmarkEnd w:id="197"/>
      <w:bookmarkEnd w:id="198"/>
    </w:p>
    <w:p w14:paraId="11071138" w14:textId="4ED264FE" w:rsidR="00F2711E" w:rsidRPr="00E30CA3" w:rsidRDefault="00F2711E" w:rsidP="00AD74AE">
      <w:pPr>
        <w:spacing w:line="480" w:lineRule="auto"/>
        <w:ind w:firstLine="720"/>
        <w:contextualSpacing/>
        <w:rPr>
          <w:lang w:val="en-AU"/>
        </w:rPr>
      </w:pPr>
      <w:r w:rsidRPr="00E30CA3">
        <w:rPr>
          <w:lang w:val="en-AU"/>
        </w:rPr>
        <w:t xml:space="preserve">Similarities between Oral Law and Matthew </w:t>
      </w:r>
      <w:r w:rsidR="00770E5C" w:rsidRPr="00E30CA3">
        <w:rPr>
          <w:lang w:val="en-AU"/>
        </w:rPr>
        <w:t xml:space="preserve">are evident from </w:t>
      </w:r>
      <w:r w:rsidRPr="00E30CA3">
        <w:rPr>
          <w:lang w:val="en-AU"/>
        </w:rPr>
        <w:t>an examination of slapping and social equality found specifically in Matthew 5:38</w:t>
      </w:r>
      <w:r w:rsidR="00770E5C" w:rsidRPr="00E30CA3">
        <w:rPr>
          <w:lang w:val="en-AU"/>
        </w:rPr>
        <w:t>–</w:t>
      </w:r>
      <w:r w:rsidRPr="00E30CA3">
        <w:rPr>
          <w:lang w:val="en-AU"/>
        </w:rPr>
        <w:t xml:space="preserve">42. </w:t>
      </w:r>
      <w:r w:rsidR="00A46D18" w:rsidRPr="00E30CA3">
        <w:rPr>
          <w:lang w:val="en-AU"/>
        </w:rPr>
        <w:t xml:space="preserve">Some wrongly see </w:t>
      </w:r>
      <w:r w:rsidRPr="00E30CA3">
        <w:rPr>
          <w:lang w:val="en-AU"/>
        </w:rPr>
        <w:t>Matthew 5:38</w:t>
      </w:r>
      <w:r w:rsidR="00770E5C" w:rsidRPr="00E30CA3">
        <w:rPr>
          <w:lang w:val="en-AU"/>
        </w:rPr>
        <w:t>–</w:t>
      </w:r>
      <w:r w:rsidRPr="00E30CA3">
        <w:rPr>
          <w:lang w:val="en-AU"/>
        </w:rPr>
        <w:t>42</w:t>
      </w:r>
      <w:r w:rsidR="00A46D18" w:rsidRPr="00E30CA3">
        <w:rPr>
          <w:lang w:val="en-AU"/>
        </w:rPr>
        <w:t xml:space="preserve"> as </w:t>
      </w:r>
      <w:r w:rsidR="008114AA" w:rsidRPr="00E30CA3">
        <w:rPr>
          <w:lang w:val="en-AU"/>
        </w:rPr>
        <w:t xml:space="preserve">advocating complete </w:t>
      </w:r>
      <w:proofErr w:type="gramStart"/>
      <w:r w:rsidR="00A46D18" w:rsidRPr="00E30CA3">
        <w:rPr>
          <w:lang w:val="en-AU"/>
        </w:rPr>
        <w:t>non-violence</w:t>
      </w:r>
      <w:proofErr w:type="gramEnd"/>
      <w:r w:rsidR="00A46D18" w:rsidRPr="00E30CA3">
        <w:rPr>
          <w:lang w:val="en-AU"/>
        </w:rPr>
        <w:t xml:space="preserve"> </w:t>
      </w:r>
      <w:r w:rsidR="008114AA" w:rsidRPr="00E30CA3">
        <w:rPr>
          <w:lang w:val="en-AU"/>
        </w:rPr>
        <w:t>but its purpose</w:t>
      </w:r>
      <w:r w:rsidR="00A46D18" w:rsidRPr="00E30CA3">
        <w:rPr>
          <w:lang w:val="en-AU"/>
        </w:rPr>
        <w:t xml:space="preserve"> should be </w:t>
      </w:r>
      <w:r w:rsidR="008114AA" w:rsidRPr="00E30CA3">
        <w:rPr>
          <w:lang w:val="en-AU"/>
        </w:rPr>
        <w:t xml:space="preserve">seen as </w:t>
      </w:r>
      <w:r w:rsidR="00A46D18" w:rsidRPr="00E30CA3">
        <w:rPr>
          <w:lang w:val="en-AU"/>
        </w:rPr>
        <w:t xml:space="preserve">self-preservation. </w:t>
      </w:r>
      <w:r w:rsidR="005D35D1" w:rsidRPr="00E30CA3">
        <w:rPr>
          <w:lang w:val="en-AU"/>
        </w:rPr>
        <w:t xml:space="preserve">Those listening to Jesus were probably simple people and not </w:t>
      </w:r>
      <w:r w:rsidR="005C6C49" w:rsidRPr="00E30CA3">
        <w:rPr>
          <w:lang w:val="en-AU"/>
        </w:rPr>
        <w:t>highly educated</w:t>
      </w:r>
      <w:r w:rsidR="005D35D1" w:rsidRPr="00E30CA3">
        <w:rPr>
          <w:lang w:val="en-AU"/>
        </w:rPr>
        <w:t xml:space="preserve">. </w:t>
      </w:r>
      <w:r w:rsidR="000E7615" w:rsidRPr="00E30CA3">
        <w:rPr>
          <w:lang w:val="en-AU"/>
        </w:rPr>
        <w:t xml:space="preserve">The people listening may have </w:t>
      </w:r>
      <w:r w:rsidR="005C6C49" w:rsidRPr="00E30CA3">
        <w:rPr>
          <w:lang w:val="en-AU"/>
        </w:rPr>
        <w:t xml:space="preserve">been familiar </w:t>
      </w:r>
      <w:r w:rsidR="000E7615" w:rsidRPr="00E30CA3">
        <w:rPr>
          <w:lang w:val="en-AU"/>
        </w:rPr>
        <w:t xml:space="preserve">with </w:t>
      </w:r>
      <w:r w:rsidRPr="00E30CA3">
        <w:rPr>
          <w:i/>
          <w:lang w:val="en-AU"/>
        </w:rPr>
        <w:t xml:space="preserve">Mishna Avot </w:t>
      </w:r>
      <w:r w:rsidRPr="00E30CA3">
        <w:rPr>
          <w:lang w:val="en-AU"/>
        </w:rPr>
        <w:t>1:10</w:t>
      </w:r>
      <w:r w:rsidR="005C6C49" w:rsidRPr="00E30CA3">
        <w:rPr>
          <w:lang w:val="en-AU"/>
        </w:rPr>
        <w:t>,</w:t>
      </w:r>
      <w:r w:rsidRPr="00E30CA3">
        <w:rPr>
          <w:lang w:val="en-AU"/>
        </w:rPr>
        <w:t xml:space="preserve"> </w:t>
      </w:r>
      <w:r w:rsidR="00863B47" w:rsidRPr="00E30CA3">
        <w:rPr>
          <w:lang w:val="en-AU"/>
        </w:rPr>
        <w:t>“</w:t>
      </w:r>
      <w:r w:rsidRPr="00E30CA3">
        <w:rPr>
          <w:lang w:val="en-AU"/>
        </w:rPr>
        <w:t>to love your brother</w:t>
      </w:r>
      <w:r w:rsidR="00863B47" w:rsidRPr="00E30CA3">
        <w:rPr>
          <w:lang w:val="en-AU"/>
        </w:rPr>
        <w:t>”</w:t>
      </w:r>
      <w:r w:rsidR="00A233BA" w:rsidRPr="00E30CA3">
        <w:rPr>
          <w:lang w:val="en-AU"/>
        </w:rPr>
        <w:t>,</w:t>
      </w:r>
      <w:r w:rsidR="000E7615" w:rsidRPr="00E30CA3">
        <w:rPr>
          <w:lang w:val="en-AU"/>
        </w:rPr>
        <w:t xml:space="preserve"> and </w:t>
      </w:r>
      <w:r w:rsidR="00A233BA" w:rsidRPr="00E30CA3">
        <w:rPr>
          <w:lang w:val="en-AU"/>
        </w:rPr>
        <w:t>might</w:t>
      </w:r>
      <w:r w:rsidR="000E7615" w:rsidRPr="00E30CA3">
        <w:rPr>
          <w:lang w:val="en-AU"/>
        </w:rPr>
        <w:t xml:space="preserve"> also</w:t>
      </w:r>
      <w:r w:rsidR="00A233BA" w:rsidRPr="00E30CA3">
        <w:rPr>
          <w:lang w:val="en-AU"/>
        </w:rPr>
        <w:t xml:space="preserve"> have</w:t>
      </w:r>
      <w:r w:rsidR="000E7615" w:rsidRPr="00E30CA3">
        <w:rPr>
          <w:lang w:val="en-AU"/>
        </w:rPr>
        <w:t xml:space="preserve"> understood the directive </w:t>
      </w:r>
      <w:r w:rsidR="00863B47" w:rsidRPr="00E30CA3">
        <w:rPr>
          <w:lang w:val="en-AU"/>
        </w:rPr>
        <w:t>“</w:t>
      </w:r>
      <w:r w:rsidRPr="00E30CA3">
        <w:rPr>
          <w:lang w:val="en-AU"/>
        </w:rPr>
        <w:t>to have justice</w:t>
      </w:r>
      <w:r w:rsidR="00863B47" w:rsidRPr="00E30CA3">
        <w:rPr>
          <w:lang w:val="en-AU"/>
        </w:rPr>
        <w:t>”</w:t>
      </w:r>
      <w:r w:rsidRPr="00E30CA3">
        <w:rPr>
          <w:lang w:val="en-AU"/>
        </w:rPr>
        <w:t xml:space="preserve"> </w:t>
      </w:r>
      <w:r w:rsidR="000E7615" w:rsidRPr="00E30CA3">
        <w:rPr>
          <w:lang w:val="en-AU"/>
        </w:rPr>
        <w:t xml:space="preserve">found in </w:t>
      </w:r>
      <w:r w:rsidRPr="00E30CA3">
        <w:rPr>
          <w:lang w:val="en-AU"/>
        </w:rPr>
        <w:t xml:space="preserve">the </w:t>
      </w:r>
      <w:r w:rsidRPr="00E30CA3">
        <w:rPr>
          <w:i/>
          <w:lang w:val="en-AU"/>
        </w:rPr>
        <w:t xml:space="preserve">Avot </w:t>
      </w:r>
      <w:r w:rsidRPr="00E30CA3">
        <w:rPr>
          <w:lang w:val="en-AU"/>
        </w:rPr>
        <w:t>2:7</w:t>
      </w:r>
      <w:r w:rsidR="000E7615" w:rsidRPr="00E30CA3">
        <w:rPr>
          <w:lang w:val="en-AU"/>
        </w:rPr>
        <w:t xml:space="preserve">. </w:t>
      </w:r>
    </w:p>
    <w:p w14:paraId="572C480A" w14:textId="42C5CD62" w:rsidR="00F2711E" w:rsidRPr="00E30CA3" w:rsidRDefault="00F2711E" w:rsidP="00AD74AE">
      <w:pPr>
        <w:spacing w:line="480" w:lineRule="auto"/>
        <w:ind w:firstLine="720"/>
        <w:contextualSpacing/>
        <w:rPr>
          <w:lang w:val="en-AU"/>
        </w:rPr>
      </w:pPr>
      <w:r w:rsidRPr="00E30CA3">
        <w:rPr>
          <w:lang w:val="en-AU"/>
        </w:rPr>
        <w:t xml:space="preserve">In </w:t>
      </w:r>
      <w:r w:rsidR="00171F05" w:rsidRPr="00E30CA3">
        <w:rPr>
          <w:lang w:val="en-AU"/>
        </w:rPr>
        <w:t>numerous</w:t>
      </w:r>
      <w:r w:rsidRPr="00E30CA3">
        <w:rPr>
          <w:lang w:val="en-AU"/>
        </w:rPr>
        <w:t xml:space="preserve"> accounts in the Book of Matthew, Jesus</w:t>
      </w:r>
      <w:r w:rsidR="005C71CB" w:rsidRPr="00E30CA3">
        <w:rPr>
          <w:lang w:val="en-AU"/>
        </w:rPr>
        <w:t>’</w:t>
      </w:r>
      <w:r w:rsidR="006D41DD">
        <w:rPr>
          <w:lang w:val="en-AU"/>
        </w:rPr>
        <w:t>s</w:t>
      </w:r>
      <w:r w:rsidRPr="00E30CA3">
        <w:rPr>
          <w:lang w:val="en-AU"/>
        </w:rPr>
        <w:t xml:space="preserve"> actions reveal a picture of his character that is socially just, taking care of his people</w:t>
      </w:r>
      <w:r w:rsidR="005C71CB" w:rsidRPr="00E30CA3">
        <w:rPr>
          <w:lang w:val="en-AU"/>
        </w:rPr>
        <w:t>’</w:t>
      </w:r>
      <w:r w:rsidRPr="00E30CA3">
        <w:rPr>
          <w:lang w:val="en-AU"/>
        </w:rPr>
        <w:t xml:space="preserve">s hunger and aligning them with the </w:t>
      </w:r>
      <w:r w:rsidRPr="00E30CA3">
        <w:rPr>
          <w:lang w:val="en-AU"/>
        </w:rPr>
        <w:lastRenderedPageBreak/>
        <w:t xml:space="preserve">Levite cult.  </w:t>
      </w:r>
      <w:r w:rsidR="00BA1285" w:rsidRPr="00E30CA3">
        <w:rPr>
          <w:lang w:val="en-AU"/>
        </w:rPr>
        <w:t>S</w:t>
      </w:r>
      <w:r w:rsidRPr="00E30CA3">
        <w:rPr>
          <w:lang w:val="en-AU"/>
        </w:rPr>
        <w:t xml:space="preserve">tories </w:t>
      </w:r>
      <w:r w:rsidR="00BA1285" w:rsidRPr="00E30CA3">
        <w:rPr>
          <w:lang w:val="en-AU"/>
        </w:rPr>
        <w:t xml:space="preserve">placed </w:t>
      </w:r>
      <w:r w:rsidRPr="00E30CA3">
        <w:rPr>
          <w:lang w:val="en-AU"/>
        </w:rPr>
        <w:t xml:space="preserve">after the Sermon </w:t>
      </w:r>
      <w:r w:rsidR="00F04A82" w:rsidRPr="00E30CA3">
        <w:rPr>
          <w:lang w:val="en-AU"/>
        </w:rPr>
        <w:t>convey a picture of</w:t>
      </w:r>
      <w:r w:rsidRPr="00E30CA3">
        <w:rPr>
          <w:lang w:val="en-AU"/>
        </w:rPr>
        <w:t xml:space="preserve"> a Jesus</w:t>
      </w:r>
      <w:r w:rsidR="00F04A82" w:rsidRPr="00E30CA3">
        <w:rPr>
          <w:lang w:val="en-AU"/>
        </w:rPr>
        <w:t xml:space="preserve"> that</w:t>
      </w:r>
      <w:r w:rsidRPr="00E30CA3">
        <w:rPr>
          <w:lang w:val="en-AU"/>
        </w:rPr>
        <w:t xml:space="preserve"> increases and intensifies</w:t>
      </w:r>
      <w:r w:rsidR="00F04A82" w:rsidRPr="00E30CA3">
        <w:rPr>
          <w:lang w:val="en-AU"/>
        </w:rPr>
        <w:t xml:space="preserve"> the</w:t>
      </w:r>
      <w:r w:rsidRPr="00E30CA3">
        <w:rPr>
          <w:lang w:val="en-AU"/>
        </w:rPr>
        <w:t xml:space="preserve"> argument for social justice </w:t>
      </w:r>
      <w:r w:rsidR="00F04A82" w:rsidRPr="00E30CA3">
        <w:rPr>
          <w:lang w:val="en-AU"/>
        </w:rPr>
        <w:t>(</w:t>
      </w:r>
      <w:proofErr w:type="gramStart"/>
      <w:r w:rsidR="00F04A82" w:rsidRPr="00E30CA3">
        <w:rPr>
          <w:lang w:val="en-AU"/>
        </w:rPr>
        <w:t>e.g.</w:t>
      </w:r>
      <w:proofErr w:type="gramEnd"/>
      <w:r w:rsidR="00F04A82" w:rsidRPr="00E30CA3">
        <w:rPr>
          <w:lang w:val="en-AU"/>
        </w:rPr>
        <w:t xml:space="preserve"> </w:t>
      </w:r>
      <w:r w:rsidRPr="00E30CA3">
        <w:rPr>
          <w:lang w:val="en-AU"/>
        </w:rPr>
        <w:t>Matt12:10</w:t>
      </w:r>
      <w:r w:rsidR="00F04A82" w:rsidRPr="00E30CA3">
        <w:rPr>
          <w:lang w:val="en-AU"/>
        </w:rPr>
        <w:t>)</w:t>
      </w:r>
      <w:r w:rsidRPr="00E30CA3">
        <w:rPr>
          <w:lang w:val="en-AU"/>
        </w:rPr>
        <w:t>.</w:t>
      </w:r>
      <w:r w:rsidRPr="00E30CA3">
        <w:rPr>
          <w:rStyle w:val="FootnoteReference"/>
          <w:lang w:val="en-AU"/>
        </w:rPr>
        <w:footnoteReference w:id="648"/>
      </w:r>
      <w:r w:rsidRPr="00E30CA3">
        <w:rPr>
          <w:lang w:val="en-AU"/>
        </w:rPr>
        <w:t xml:space="preserve"> </w:t>
      </w:r>
    </w:p>
    <w:p w14:paraId="6EE7690D" w14:textId="07AA6B48" w:rsidR="00F2711E" w:rsidRPr="00E30CA3" w:rsidRDefault="00F2711E" w:rsidP="001D2E25">
      <w:pPr>
        <w:spacing w:line="480" w:lineRule="auto"/>
        <w:ind w:firstLine="720"/>
        <w:contextualSpacing/>
        <w:rPr>
          <w:lang w:val="en-AU"/>
        </w:rPr>
      </w:pPr>
      <w:r w:rsidRPr="00E30CA3">
        <w:rPr>
          <w:lang w:val="en-AU"/>
        </w:rPr>
        <w:t>Those who became Jewish followers of Jesus followed nonviolent resistance.</w:t>
      </w:r>
      <w:r w:rsidR="00196994" w:rsidRPr="00E30CA3">
        <w:rPr>
          <w:vertAlign w:val="superscript"/>
          <w:lang w:val="en-AU"/>
        </w:rPr>
        <w:t>745</w:t>
      </w:r>
      <w:r w:rsidRPr="00E30CA3">
        <w:rPr>
          <w:lang w:val="en-AU"/>
        </w:rPr>
        <w:t xml:space="preserve"> Borg writes, </w:t>
      </w:r>
      <w:r w:rsidR="00863B47" w:rsidRPr="00E30CA3">
        <w:rPr>
          <w:lang w:val="en-AU"/>
        </w:rPr>
        <w:t>“</w:t>
      </w:r>
      <w:r w:rsidRPr="00E30CA3">
        <w:rPr>
          <w:lang w:val="en-AU"/>
        </w:rPr>
        <w:t>As the peace party in Palestine, the Jesus movement thus rejected the path of violent resistance to Rome. The people of God were not to secure their existence through the force of arms or violence; faithfulness pointed to another way.</w:t>
      </w:r>
      <w:r w:rsidR="00863B47" w:rsidRPr="00E30CA3">
        <w:rPr>
          <w:lang w:val="en-AU"/>
        </w:rPr>
        <w:t>”</w:t>
      </w:r>
      <w:r w:rsidRPr="00E30CA3">
        <w:rPr>
          <w:rStyle w:val="FootnoteReference"/>
          <w:lang w:val="en-AU"/>
        </w:rPr>
        <w:footnoteReference w:id="649"/>
      </w:r>
      <w:r w:rsidRPr="00E30CA3">
        <w:rPr>
          <w:lang w:val="en-AU"/>
        </w:rPr>
        <w:t xml:space="preserve"> Those who followed Jesus adopted a </w:t>
      </w:r>
      <w:r w:rsidR="00196994" w:rsidRPr="00E30CA3">
        <w:rPr>
          <w:lang w:val="en-AU"/>
        </w:rPr>
        <w:t xml:space="preserve">philosophy </w:t>
      </w:r>
      <w:r w:rsidRPr="00E30CA3">
        <w:rPr>
          <w:lang w:val="en-AU"/>
        </w:rPr>
        <w:t xml:space="preserve">of peace that was unique. </w:t>
      </w:r>
      <w:r w:rsidR="004D2620" w:rsidRPr="00E30CA3">
        <w:rPr>
          <w:lang w:val="en-AU"/>
        </w:rPr>
        <w:t>A</w:t>
      </w:r>
      <w:r w:rsidR="00910E0E" w:rsidRPr="00E30CA3">
        <w:rPr>
          <w:lang w:val="en-AU"/>
        </w:rPr>
        <w:t>s we have seen</w:t>
      </w:r>
      <w:r w:rsidR="004D2620" w:rsidRPr="00E30CA3">
        <w:rPr>
          <w:lang w:val="en-AU"/>
        </w:rPr>
        <w:t>,</w:t>
      </w:r>
      <w:r w:rsidR="00910E0E" w:rsidRPr="00E30CA3">
        <w:rPr>
          <w:lang w:val="en-AU"/>
        </w:rPr>
        <w:t xml:space="preserve"> </w:t>
      </w:r>
      <w:r w:rsidR="004D2620" w:rsidRPr="00E30CA3">
        <w:rPr>
          <w:lang w:val="en-AU"/>
        </w:rPr>
        <w:t>t</w:t>
      </w:r>
      <w:r w:rsidRPr="00E30CA3">
        <w:rPr>
          <w:lang w:val="en-AU"/>
        </w:rPr>
        <w:t xml:space="preserve">he </w:t>
      </w:r>
      <w:r w:rsidRPr="00E30CA3">
        <w:rPr>
          <w:i/>
          <w:lang w:val="en-AU"/>
        </w:rPr>
        <w:t xml:space="preserve">Mishna Avot </w:t>
      </w:r>
      <w:r w:rsidRPr="00E30CA3">
        <w:rPr>
          <w:lang w:val="en-AU"/>
        </w:rPr>
        <w:t>1:10</w:t>
      </w:r>
      <w:r w:rsidR="00947E0F" w:rsidRPr="00E30CA3">
        <w:rPr>
          <w:lang w:val="en-AU"/>
        </w:rPr>
        <w:t xml:space="preserve"> teaches nonviolen</w:t>
      </w:r>
      <w:r w:rsidR="00910E0E" w:rsidRPr="00E30CA3">
        <w:rPr>
          <w:lang w:val="en-AU"/>
        </w:rPr>
        <w:t>ce</w:t>
      </w:r>
      <w:r w:rsidRPr="00E30CA3">
        <w:rPr>
          <w:lang w:val="en-AU"/>
        </w:rPr>
        <w:t xml:space="preserve">.  </w:t>
      </w:r>
      <w:r w:rsidR="00947E0F" w:rsidRPr="00E30CA3">
        <w:rPr>
          <w:lang w:val="en-AU"/>
        </w:rPr>
        <w:t>Borg suggests,</w:t>
      </w:r>
      <w:r w:rsidRPr="00E30CA3">
        <w:rPr>
          <w:lang w:val="en-AU"/>
        </w:rPr>
        <w:t xml:space="preserve"> </w:t>
      </w:r>
      <w:r w:rsidR="00863B47" w:rsidRPr="00E30CA3">
        <w:rPr>
          <w:lang w:val="en-AU"/>
        </w:rPr>
        <w:t>“</w:t>
      </w:r>
      <w:r w:rsidRPr="00E30CA3">
        <w:rPr>
          <w:lang w:val="en-AU"/>
        </w:rPr>
        <w:t>[t]</w:t>
      </w:r>
      <w:proofErr w:type="gramStart"/>
      <w:r w:rsidRPr="00E30CA3">
        <w:rPr>
          <w:lang w:val="en-AU"/>
        </w:rPr>
        <w:t>he</w:t>
      </w:r>
      <w:proofErr w:type="gramEnd"/>
      <w:r w:rsidRPr="00E30CA3">
        <w:rPr>
          <w:lang w:val="en-AU"/>
        </w:rPr>
        <w:t xml:space="preserve"> spirit of resistance was countered</w:t>
      </w:r>
      <w:r w:rsidR="00863B47" w:rsidRPr="00E30CA3">
        <w:rPr>
          <w:lang w:val="en-AU"/>
        </w:rPr>
        <w:t>”</w:t>
      </w:r>
      <w:r w:rsidR="00947E0F" w:rsidRPr="00E30CA3">
        <w:rPr>
          <w:lang w:val="en-AU"/>
        </w:rPr>
        <w:t xml:space="preserve"> and those who sought conflict and those who sought </w:t>
      </w:r>
      <w:r w:rsidR="00AC22FF" w:rsidRPr="00E30CA3">
        <w:rPr>
          <w:lang w:val="en-AU"/>
        </w:rPr>
        <w:t>resistance</w:t>
      </w:r>
      <w:r w:rsidR="00947E0F" w:rsidRPr="00E30CA3">
        <w:rPr>
          <w:lang w:val="en-AU"/>
        </w:rPr>
        <w:t xml:space="preserve"> </w:t>
      </w:r>
      <w:r w:rsidR="004D2620" w:rsidRPr="00E30CA3">
        <w:rPr>
          <w:lang w:val="en-AU"/>
        </w:rPr>
        <w:t>to</w:t>
      </w:r>
      <w:r w:rsidR="00947E0F" w:rsidRPr="00E30CA3">
        <w:rPr>
          <w:lang w:val="en-AU"/>
        </w:rPr>
        <w:t xml:space="preserve"> the </w:t>
      </w:r>
      <w:r w:rsidR="004D2620" w:rsidRPr="00E30CA3">
        <w:rPr>
          <w:lang w:val="en-AU"/>
        </w:rPr>
        <w:t>g</w:t>
      </w:r>
      <w:r w:rsidR="00947E0F" w:rsidRPr="00E30CA3">
        <w:rPr>
          <w:lang w:val="en-AU"/>
        </w:rPr>
        <w:t xml:space="preserve">overnment came </w:t>
      </w:r>
      <w:r w:rsidR="00AC22FF" w:rsidRPr="00E30CA3">
        <w:rPr>
          <w:lang w:val="en-AU"/>
        </w:rPr>
        <w:t>at odds.</w:t>
      </w:r>
      <w:r w:rsidRPr="00E30CA3">
        <w:rPr>
          <w:rStyle w:val="FootnoteReference"/>
          <w:lang w:val="en-AU"/>
        </w:rPr>
        <w:footnoteReference w:id="650"/>
      </w:r>
      <w:r w:rsidRPr="00E30CA3">
        <w:rPr>
          <w:lang w:val="en-AU"/>
        </w:rPr>
        <w:t xml:space="preserve"> </w:t>
      </w:r>
      <w:r w:rsidR="00AC22FF" w:rsidRPr="00E30CA3">
        <w:rPr>
          <w:lang w:val="en-AU"/>
        </w:rPr>
        <w:t xml:space="preserve">There was a need for </w:t>
      </w:r>
      <w:r w:rsidR="001079C2" w:rsidRPr="00E30CA3">
        <w:rPr>
          <w:lang w:val="en-AU"/>
        </w:rPr>
        <w:t>resistance</w:t>
      </w:r>
      <w:r w:rsidR="00AC22FF" w:rsidRPr="00E30CA3">
        <w:rPr>
          <w:lang w:val="en-AU"/>
        </w:rPr>
        <w:t xml:space="preserve"> </w:t>
      </w:r>
      <w:r w:rsidR="00E31B87" w:rsidRPr="00E30CA3">
        <w:rPr>
          <w:lang w:val="en-AU"/>
        </w:rPr>
        <w:t>but</w:t>
      </w:r>
      <w:r w:rsidR="00AC22FF" w:rsidRPr="00E30CA3">
        <w:rPr>
          <w:lang w:val="en-AU"/>
        </w:rPr>
        <w:t xml:space="preserve"> that need to have resistance d</w:t>
      </w:r>
      <w:r w:rsidR="00E31B87" w:rsidRPr="00E30CA3">
        <w:rPr>
          <w:lang w:val="en-AU"/>
        </w:rPr>
        <w:t>id</w:t>
      </w:r>
      <w:r w:rsidR="00AC22FF" w:rsidRPr="00E30CA3">
        <w:rPr>
          <w:lang w:val="en-AU"/>
        </w:rPr>
        <w:t xml:space="preserve"> not excuse or authori</w:t>
      </w:r>
      <w:r w:rsidR="00D86BBD" w:rsidRPr="00E30CA3">
        <w:rPr>
          <w:lang w:val="en-AU"/>
        </w:rPr>
        <w:t>s</w:t>
      </w:r>
      <w:r w:rsidR="00AC22FF" w:rsidRPr="00E30CA3">
        <w:rPr>
          <w:lang w:val="en-AU"/>
        </w:rPr>
        <w:t xml:space="preserve">e violence. </w:t>
      </w:r>
    </w:p>
    <w:p w14:paraId="3EB61C6C" w14:textId="08595BF5" w:rsidR="00F2711E" w:rsidRPr="00E30CA3" w:rsidRDefault="00F2711E" w:rsidP="00F2711E">
      <w:pPr>
        <w:spacing w:before="120" w:line="480" w:lineRule="auto"/>
        <w:ind w:firstLine="709"/>
        <w:rPr>
          <w:lang w:val="en-AU"/>
        </w:rPr>
      </w:pPr>
      <w:r w:rsidRPr="00E30CA3">
        <w:rPr>
          <w:lang w:val="en-AU"/>
        </w:rPr>
        <w:t xml:space="preserve">The Jewish rabbinic </w:t>
      </w:r>
      <w:r w:rsidRPr="00E30CA3">
        <w:rPr>
          <w:i/>
          <w:lang w:val="en-AU"/>
        </w:rPr>
        <w:t>midrash</w:t>
      </w:r>
      <w:r w:rsidRPr="00E30CA3">
        <w:rPr>
          <w:lang w:val="en-AU"/>
        </w:rPr>
        <w:t xml:space="preserve"> known as </w:t>
      </w:r>
      <w:r w:rsidRPr="00E30CA3">
        <w:rPr>
          <w:i/>
          <w:iCs/>
          <w:lang w:val="en-AU"/>
        </w:rPr>
        <w:t xml:space="preserve">Sifra </w:t>
      </w:r>
      <w:r w:rsidRPr="00E30CA3">
        <w:rPr>
          <w:lang w:val="en-AU"/>
        </w:rPr>
        <w:t xml:space="preserve">examines Jewish intellectual thought </w:t>
      </w:r>
      <w:r w:rsidR="00E31B87" w:rsidRPr="00E30CA3">
        <w:rPr>
          <w:lang w:val="en-AU"/>
        </w:rPr>
        <w:t>about</w:t>
      </w:r>
      <w:r w:rsidRPr="00E30CA3">
        <w:rPr>
          <w:lang w:val="en-AU"/>
        </w:rPr>
        <w:t xml:space="preserve"> slapping</w:t>
      </w:r>
      <w:r w:rsidR="00AF0A33" w:rsidRPr="00E30CA3">
        <w:rPr>
          <w:lang w:val="en-AU"/>
        </w:rPr>
        <w:t>.</w:t>
      </w:r>
      <w:r w:rsidR="005A52AC" w:rsidRPr="00E30CA3">
        <w:rPr>
          <w:rStyle w:val="FootnoteReference"/>
          <w:lang w:val="en-AU"/>
        </w:rPr>
        <w:footnoteReference w:id="651"/>
      </w:r>
      <w:r w:rsidRPr="00E30CA3">
        <w:rPr>
          <w:lang w:val="en-AU"/>
        </w:rPr>
        <w:t xml:space="preserve">  In </w:t>
      </w:r>
      <w:r w:rsidRPr="00E30CA3">
        <w:rPr>
          <w:i/>
          <w:lang w:val="en-AU"/>
        </w:rPr>
        <w:t>Sifra</w:t>
      </w:r>
      <w:r w:rsidRPr="00E30CA3">
        <w:rPr>
          <w:lang w:val="en-AU"/>
        </w:rPr>
        <w:t xml:space="preserve">, we find the following interpretative highlight on Lev 19:17: </w:t>
      </w:r>
    </w:p>
    <w:p w14:paraId="6B6D2915" w14:textId="67559C3A" w:rsidR="00F2711E" w:rsidRPr="00E30CA3" w:rsidRDefault="00F2711E" w:rsidP="00CF3995">
      <w:pPr>
        <w:pStyle w:val="Blockquotation"/>
        <w:rPr>
          <w:sz w:val="24"/>
          <w:highlight w:val="yellow"/>
          <w:lang w:val="en-AU"/>
        </w:rPr>
      </w:pPr>
      <w:r w:rsidRPr="00E30CA3">
        <w:rPr>
          <w:sz w:val="24"/>
          <w:lang w:val="en-AU"/>
        </w:rPr>
        <w:t>Do not hate your brother in your heart [Lev 19:17a]. One might think you should not curse him, hit him, or slap him. The Torah therefore says… I only said hatred, which is in the heart. And from where do we know that if he rebukes him four or five times that he should rebuke again? The Torah therefore says you shall surely rebuke [Lev 19:17b]. One might think even if he rebukes him, and he is embarrassed, the Torah therefore says, and do not bear sin upon him [Lev 19:17c]. (</w:t>
      </w:r>
      <w:r w:rsidRPr="00E30CA3">
        <w:rPr>
          <w:i/>
          <w:sz w:val="24"/>
          <w:lang w:val="en-AU"/>
        </w:rPr>
        <w:t>Sifra Qedoshim</w:t>
      </w:r>
      <w:r w:rsidRPr="00E30CA3">
        <w:rPr>
          <w:sz w:val="24"/>
          <w:lang w:val="en-AU"/>
        </w:rPr>
        <w:t xml:space="preserve"> 4</w:t>
      </w:r>
      <w:r w:rsidR="007E2926" w:rsidRPr="00E30CA3">
        <w:rPr>
          <w:sz w:val="24"/>
          <w:lang w:val="en-AU"/>
        </w:rPr>
        <w:t>:8</w:t>
      </w:r>
      <w:r w:rsidRPr="00E30CA3">
        <w:rPr>
          <w:sz w:val="24"/>
          <w:lang w:val="en-AU"/>
        </w:rPr>
        <w:t>; Ro</w:t>
      </w:r>
      <w:r w:rsidR="00B348D4" w:rsidRPr="00E30CA3">
        <w:rPr>
          <w:sz w:val="24"/>
          <w:lang w:val="en-AU"/>
        </w:rPr>
        <w:t>dgir Cohen’s</w:t>
      </w:r>
      <w:r w:rsidRPr="00E30CA3">
        <w:rPr>
          <w:sz w:val="24"/>
          <w:lang w:val="en-AU"/>
        </w:rPr>
        <w:t xml:space="preserve"> Translation)</w:t>
      </w:r>
    </w:p>
    <w:p w14:paraId="55CE0044" w14:textId="524E1421" w:rsidR="00F2711E" w:rsidRPr="00272EAB" w:rsidRDefault="00F2711E" w:rsidP="00AB2072">
      <w:pPr>
        <w:spacing w:before="240" w:line="480" w:lineRule="auto"/>
        <w:rPr>
          <w:lang w:val="en-AU"/>
        </w:rPr>
      </w:pPr>
      <w:r w:rsidRPr="00E30CA3">
        <w:rPr>
          <w:lang w:val="en-AU"/>
        </w:rPr>
        <w:lastRenderedPageBreak/>
        <w:t>The interpretation follows a school of Rabbi Akiva, which allows for a dating of th</w:t>
      </w:r>
      <w:r w:rsidR="001929B2" w:rsidRPr="00E30CA3">
        <w:rPr>
          <w:lang w:val="en-AU"/>
        </w:rPr>
        <w:t>is passage</w:t>
      </w:r>
      <w:r w:rsidRPr="00E30CA3">
        <w:rPr>
          <w:lang w:val="en-AU"/>
        </w:rPr>
        <w:t xml:space="preserve"> Rabbi Akiva</w:t>
      </w:r>
      <w:r w:rsidR="005C71CB" w:rsidRPr="00E30CA3">
        <w:rPr>
          <w:lang w:val="en-AU"/>
        </w:rPr>
        <w:t>’</w:t>
      </w:r>
      <w:r w:rsidRPr="00E30CA3">
        <w:rPr>
          <w:lang w:val="en-AU"/>
        </w:rPr>
        <w:t xml:space="preserve">s life </w:t>
      </w:r>
      <w:r w:rsidR="000108C1" w:rsidRPr="00E30CA3">
        <w:rPr>
          <w:lang w:val="en-AU"/>
        </w:rPr>
        <w:t>from</w:t>
      </w:r>
      <w:r w:rsidRPr="00E30CA3">
        <w:rPr>
          <w:lang w:val="en-AU"/>
        </w:rPr>
        <w:t xml:space="preserve"> 50 CE </w:t>
      </w:r>
      <w:r w:rsidR="000108C1" w:rsidRPr="00E30CA3">
        <w:rPr>
          <w:lang w:val="en-AU"/>
        </w:rPr>
        <w:t>to</w:t>
      </w:r>
      <w:r w:rsidRPr="00E30CA3">
        <w:rPr>
          <w:lang w:val="en-AU"/>
        </w:rPr>
        <w:t xml:space="preserve"> 135 CE.</w:t>
      </w:r>
      <w:r w:rsidRPr="00E30CA3">
        <w:rPr>
          <w:rStyle w:val="FootnoteReference"/>
          <w:lang w:val="en-AU"/>
        </w:rPr>
        <w:footnoteReference w:id="652"/>
      </w:r>
      <w:r w:rsidRPr="00E30CA3">
        <w:rPr>
          <w:lang w:val="en-AU"/>
        </w:rPr>
        <w:t xml:space="preserve">  The understanding of such at the time of Rabbi Akiva, according to this </w:t>
      </w:r>
      <w:r w:rsidRPr="00E30CA3">
        <w:rPr>
          <w:i/>
          <w:iCs/>
          <w:lang w:val="en-AU"/>
        </w:rPr>
        <w:t>midrash,</w:t>
      </w:r>
      <w:r w:rsidRPr="00E30CA3">
        <w:rPr>
          <w:lang w:val="en-AU"/>
        </w:rPr>
        <w:t xml:space="preserve"> would be to </w:t>
      </w:r>
      <w:r w:rsidR="00382F63" w:rsidRPr="00E30CA3">
        <w:rPr>
          <w:lang w:val="en-AU"/>
        </w:rPr>
        <w:t>bear</w:t>
      </w:r>
      <w:r w:rsidRPr="00E30CA3">
        <w:rPr>
          <w:lang w:val="en-AU"/>
        </w:rPr>
        <w:t xml:space="preserve"> hatred.  </w:t>
      </w:r>
      <w:r w:rsidR="00382F63" w:rsidRPr="00E30CA3">
        <w:rPr>
          <w:lang w:val="en-AU"/>
        </w:rPr>
        <w:t xml:space="preserve">In </w:t>
      </w:r>
      <w:r w:rsidRPr="00E30CA3">
        <w:rPr>
          <w:lang w:val="en-AU"/>
        </w:rPr>
        <w:t xml:space="preserve">Leviticus 19:17a, the admonition prohibits hatred in the heart; however, this is does not </w:t>
      </w:r>
      <w:r w:rsidR="002649FE" w:rsidRPr="00E30CA3">
        <w:rPr>
          <w:lang w:val="en-AU"/>
        </w:rPr>
        <w:t>preclude</w:t>
      </w:r>
      <w:r w:rsidRPr="00E30CA3">
        <w:rPr>
          <w:lang w:val="en-AU"/>
        </w:rPr>
        <w:t xml:space="preserve"> having vari</w:t>
      </w:r>
      <w:r w:rsidR="00382F63" w:rsidRPr="00E30CA3">
        <w:rPr>
          <w:lang w:val="en-AU"/>
        </w:rPr>
        <w:t>ous</w:t>
      </w:r>
      <w:r w:rsidRPr="00E30CA3">
        <w:rPr>
          <w:lang w:val="en-AU"/>
        </w:rPr>
        <w:t xml:space="preserve"> expressions of hatred, or even anger.  To express oneself through slapping, cursing, hitting, or other violent forms, would not be sanctioned in Jewish intellectual thought.</w:t>
      </w:r>
      <w:r w:rsidRPr="00E30CA3">
        <w:rPr>
          <w:rStyle w:val="FootnoteReference"/>
          <w:lang w:val="en-AU"/>
        </w:rPr>
        <w:footnoteReference w:id="653"/>
      </w:r>
      <w:r w:rsidRPr="00E30CA3">
        <w:rPr>
          <w:lang w:val="en-AU"/>
        </w:rPr>
        <w:t xml:space="preserve"> In the Hebrew, Leviticus 19:17 reads</w:t>
      </w:r>
      <w:r w:rsidRPr="00AF0A33">
        <w:rPr>
          <w:lang w:val="en-AU"/>
        </w:rPr>
        <w:t>:</w:t>
      </w:r>
      <w:r w:rsidRPr="009E7B69">
        <w:t xml:space="preserve"> </w:t>
      </w:r>
      <w:r w:rsidRPr="009E7B69">
        <w:rPr>
          <w:rtl/>
        </w:rPr>
        <w:t>לֹֽא־תִשְׂנָא אֶת־אָחִיךָ בִּלְבָבֶךָ הֹוכֵחַ תֹּוכִיחַ אֶת־עֲמִיתֶךָ וְלֹא־תִשָּׂא עָלָיו חֵֽטְא</w:t>
      </w:r>
      <w:r w:rsidRPr="009E7B69">
        <w:t xml:space="preserve">. </w:t>
      </w:r>
      <w:r w:rsidRPr="00AF0A33">
        <w:rPr>
          <w:lang w:val="en-AU"/>
        </w:rPr>
        <w:t xml:space="preserve">In English, Leviticus 19:17 reads: </w:t>
      </w:r>
      <w:r w:rsidR="00863B47" w:rsidRPr="00AF0A33">
        <w:rPr>
          <w:lang w:val="en-AU"/>
        </w:rPr>
        <w:t>“</w:t>
      </w:r>
      <w:r w:rsidRPr="00AF0A33">
        <w:rPr>
          <w:lang w:val="en-AU"/>
        </w:rPr>
        <w:t xml:space="preserve">You shall not hate in your heart anyone of your kin; you shall reprove your </w:t>
      </w:r>
      <w:r w:rsidR="002123A9" w:rsidRPr="00AF0A33">
        <w:rPr>
          <w:lang w:val="en-AU"/>
        </w:rPr>
        <w:t>neighbour</w:t>
      </w:r>
      <w:r w:rsidRPr="00AF0A33">
        <w:rPr>
          <w:lang w:val="en-AU"/>
        </w:rPr>
        <w:t>, or you will incur guilt yourself.</w:t>
      </w:r>
      <w:r w:rsidR="00863B47" w:rsidRPr="00AF0A33">
        <w:rPr>
          <w:lang w:val="en-AU"/>
        </w:rPr>
        <w:t>”</w:t>
      </w:r>
      <w:r w:rsidRPr="00AF0A33">
        <w:rPr>
          <w:lang w:val="en-AU"/>
        </w:rPr>
        <w:t xml:space="preserve"> </w:t>
      </w:r>
      <w:r w:rsidR="000E1492" w:rsidRPr="00AF0A33">
        <w:rPr>
          <w:lang w:val="en-AU"/>
        </w:rPr>
        <w:t xml:space="preserve">There is a directive to not </w:t>
      </w:r>
      <w:r w:rsidR="0068239D" w:rsidRPr="00AF0A33">
        <w:rPr>
          <w:lang w:val="en-AU"/>
        </w:rPr>
        <w:t>have</w:t>
      </w:r>
      <w:r w:rsidR="000E1492" w:rsidRPr="00AF0A33">
        <w:rPr>
          <w:lang w:val="en-AU"/>
        </w:rPr>
        <w:t xml:space="preserve"> hatred</w:t>
      </w:r>
      <w:r w:rsidR="0068239D" w:rsidRPr="00AF0A33">
        <w:rPr>
          <w:lang w:val="en-AU"/>
        </w:rPr>
        <w:t xml:space="preserve"> in one</w:t>
      </w:r>
      <w:r w:rsidR="005C71CB" w:rsidRPr="00AF0A33">
        <w:rPr>
          <w:lang w:val="en-AU"/>
        </w:rPr>
        <w:t>’</w:t>
      </w:r>
      <w:r w:rsidR="0068239D" w:rsidRPr="00AF0A33">
        <w:rPr>
          <w:lang w:val="en-AU"/>
        </w:rPr>
        <w:t>s heart</w:t>
      </w:r>
      <w:r w:rsidR="002649FE" w:rsidRPr="00AF0A33">
        <w:rPr>
          <w:lang w:val="en-AU"/>
        </w:rPr>
        <w:t xml:space="preserve">.  Hatred could easily turn to violence. </w:t>
      </w:r>
      <w:r w:rsidRPr="00AF0A33">
        <w:rPr>
          <w:lang w:val="en-AU"/>
        </w:rPr>
        <w:t xml:space="preserve"> Similarly, the repetition of the root</w:t>
      </w:r>
      <w:r w:rsidRPr="009E7B69">
        <w:t xml:space="preserve"> </w:t>
      </w:r>
      <w:r w:rsidRPr="009E7B69">
        <w:rPr>
          <w:rtl/>
        </w:rPr>
        <w:t>יכח</w:t>
      </w:r>
      <w:r w:rsidRPr="009E7B69">
        <w:t xml:space="preserve"> </w:t>
      </w:r>
      <w:r w:rsidRPr="00272EAB">
        <w:rPr>
          <w:lang w:val="en-AU"/>
        </w:rPr>
        <w:t xml:space="preserve">(hiphil </w:t>
      </w:r>
      <w:r w:rsidR="00863B47" w:rsidRPr="00272EAB">
        <w:rPr>
          <w:lang w:val="en-AU"/>
        </w:rPr>
        <w:t>“</w:t>
      </w:r>
      <w:r w:rsidRPr="00272EAB">
        <w:rPr>
          <w:lang w:val="en-AU"/>
        </w:rPr>
        <w:t>rebuke</w:t>
      </w:r>
      <w:r w:rsidR="00863B47" w:rsidRPr="00272EAB">
        <w:rPr>
          <w:lang w:val="en-AU"/>
        </w:rPr>
        <w:t>”</w:t>
      </w:r>
      <w:r w:rsidRPr="00272EAB">
        <w:rPr>
          <w:lang w:val="en-AU"/>
        </w:rPr>
        <w:t>) in the infinitive absolute plus imperfect structure</w:t>
      </w:r>
      <w:r w:rsidRPr="009E7B69">
        <w:t xml:space="preserve"> </w:t>
      </w:r>
      <w:r w:rsidRPr="009E7B69">
        <w:rPr>
          <w:rtl/>
        </w:rPr>
        <w:t>תוכיח הוכח</w:t>
      </w:r>
      <w:r w:rsidRPr="009E7B69">
        <w:t xml:space="preserve"> </w:t>
      </w:r>
      <w:r w:rsidR="0041726F" w:rsidRPr="00272EAB">
        <w:rPr>
          <w:lang w:val="en-AU"/>
        </w:rPr>
        <w:t>show</w:t>
      </w:r>
      <w:r w:rsidR="0068239D" w:rsidRPr="00272EAB">
        <w:rPr>
          <w:lang w:val="en-AU"/>
        </w:rPr>
        <w:t>s</w:t>
      </w:r>
      <w:r w:rsidR="0041726F" w:rsidRPr="00272EAB">
        <w:rPr>
          <w:lang w:val="en-AU"/>
        </w:rPr>
        <w:t xml:space="preserve"> a constant </w:t>
      </w:r>
      <w:r w:rsidR="005C71CB" w:rsidRPr="00272EAB">
        <w:rPr>
          <w:lang w:val="en-AU"/>
        </w:rPr>
        <w:t>‘</w:t>
      </w:r>
      <w:r w:rsidR="0041726F" w:rsidRPr="00272EAB">
        <w:rPr>
          <w:lang w:val="en-AU"/>
        </w:rPr>
        <w:t>rebuke</w:t>
      </w:r>
      <w:r w:rsidR="005C71CB" w:rsidRPr="00272EAB">
        <w:rPr>
          <w:lang w:val="en-AU"/>
        </w:rPr>
        <w:t>’</w:t>
      </w:r>
      <w:r w:rsidR="0041726F" w:rsidRPr="00272EAB">
        <w:rPr>
          <w:lang w:val="en-AU"/>
        </w:rPr>
        <w:t xml:space="preserve"> of the action</w:t>
      </w:r>
      <w:r w:rsidRPr="00272EAB">
        <w:rPr>
          <w:lang w:val="en-AU"/>
        </w:rPr>
        <w:t>.  The final part of the verse implies that the result</w:t>
      </w:r>
      <w:r w:rsidR="006002A8" w:rsidRPr="00272EAB">
        <w:rPr>
          <w:lang w:val="en-AU"/>
        </w:rPr>
        <w:t xml:space="preserve"> of hatred is that one becomes guilty of sin oneself.</w:t>
      </w:r>
      <w:r w:rsidRPr="00272EAB">
        <w:rPr>
          <w:lang w:val="en-AU"/>
        </w:rPr>
        <w:t xml:space="preserve">  </w:t>
      </w:r>
    </w:p>
    <w:p w14:paraId="53C2BC45" w14:textId="4AB8A567" w:rsidR="00F2711E" w:rsidRPr="00272EAB" w:rsidRDefault="0020660E" w:rsidP="001D2E25">
      <w:pPr>
        <w:spacing w:before="120" w:line="480" w:lineRule="auto"/>
        <w:ind w:firstLine="720"/>
        <w:rPr>
          <w:lang w:val="en-AU"/>
        </w:rPr>
      </w:pPr>
      <w:r w:rsidRPr="00272EAB">
        <w:rPr>
          <w:lang w:val="en-AU"/>
        </w:rPr>
        <w:t>Slapping on the cheek may not have been violent, but just physical.</w:t>
      </w:r>
      <w:r w:rsidR="00F2711E" w:rsidRPr="00272EAB">
        <w:rPr>
          <w:lang w:val="en-AU"/>
        </w:rPr>
        <w:t xml:space="preserve"> Jacob Chinitz states that the phrase is very often misunderstood in the Western mind as harsh when it is not intended to be.</w:t>
      </w:r>
      <w:r w:rsidR="00F2711E" w:rsidRPr="00272EAB">
        <w:rPr>
          <w:rStyle w:val="FootnoteReference"/>
          <w:lang w:val="en-AU"/>
        </w:rPr>
        <w:footnoteReference w:id="654"/>
      </w:r>
      <w:r w:rsidR="00F2711E" w:rsidRPr="00272EAB">
        <w:rPr>
          <w:lang w:val="en-AU"/>
        </w:rPr>
        <w:t xml:space="preserve"> </w:t>
      </w:r>
      <w:r w:rsidR="000A324F" w:rsidRPr="00272EAB">
        <w:rPr>
          <w:lang w:val="en-AU"/>
        </w:rPr>
        <w:t>The</w:t>
      </w:r>
      <w:r w:rsidR="00FA474A" w:rsidRPr="00272EAB">
        <w:rPr>
          <w:lang w:val="en-AU"/>
        </w:rPr>
        <w:t xml:space="preserve"> l</w:t>
      </w:r>
      <w:r w:rsidR="000A324F" w:rsidRPr="00272EAB">
        <w:rPr>
          <w:lang w:val="en-AU"/>
        </w:rPr>
        <w:t xml:space="preserve">iterature of the era </w:t>
      </w:r>
      <w:r w:rsidR="00FA474A" w:rsidRPr="00272EAB">
        <w:rPr>
          <w:lang w:val="en-AU"/>
        </w:rPr>
        <w:t>shows</w:t>
      </w:r>
      <w:r w:rsidR="000A324F" w:rsidRPr="00272EAB">
        <w:rPr>
          <w:lang w:val="en-AU"/>
        </w:rPr>
        <w:t xml:space="preserve"> how retaliation </w:t>
      </w:r>
      <w:r w:rsidR="00FA474A" w:rsidRPr="00272EAB">
        <w:rPr>
          <w:lang w:val="en-AU"/>
        </w:rPr>
        <w:t>was</w:t>
      </w:r>
      <w:r w:rsidR="000A324F" w:rsidRPr="00272EAB">
        <w:rPr>
          <w:lang w:val="en-AU"/>
        </w:rPr>
        <w:t xml:space="preserve"> perceived</w:t>
      </w:r>
      <w:r w:rsidR="00FA474A" w:rsidRPr="00272EAB">
        <w:rPr>
          <w:lang w:val="en-AU"/>
        </w:rPr>
        <w:t xml:space="preserve">. </w:t>
      </w:r>
      <w:r w:rsidR="00F2711E" w:rsidRPr="00272EAB">
        <w:rPr>
          <w:i/>
          <w:lang w:val="en-AU"/>
        </w:rPr>
        <w:t xml:space="preserve">Mishna Avot </w:t>
      </w:r>
      <w:r w:rsidR="00F2711E" w:rsidRPr="00272EAB">
        <w:rPr>
          <w:lang w:val="en-AU"/>
        </w:rPr>
        <w:t>2:15, 1:12, 1:10, 2:17, and 3:16</w:t>
      </w:r>
      <w:r w:rsidR="000A324F" w:rsidRPr="00272EAB">
        <w:rPr>
          <w:lang w:val="en-AU"/>
        </w:rPr>
        <w:t xml:space="preserve"> </w:t>
      </w:r>
      <w:r w:rsidR="00FA474A" w:rsidRPr="00272EAB">
        <w:rPr>
          <w:lang w:val="en-AU"/>
        </w:rPr>
        <w:t>express Jew</w:t>
      </w:r>
      <w:r w:rsidR="00653079" w:rsidRPr="00272EAB">
        <w:rPr>
          <w:lang w:val="en-AU"/>
        </w:rPr>
        <w:t>ish</w:t>
      </w:r>
      <w:r w:rsidR="000A324F" w:rsidRPr="00272EAB">
        <w:rPr>
          <w:lang w:val="en-AU"/>
        </w:rPr>
        <w:t xml:space="preserve"> understanding at the time of Jesus</w:t>
      </w:r>
      <w:r w:rsidR="00F2711E" w:rsidRPr="00272EAB">
        <w:rPr>
          <w:lang w:val="en-AU"/>
        </w:rPr>
        <w:t xml:space="preserve">. Traditional Jewish thought </w:t>
      </w:r>
      <w:r w:rsidR="008C5D73" w:rsidRPr="00272EAB">
        <w:rPr>
          <w:lang w:val="en-AU"/>
        </w:rPr>
        <w:t>embraces</w:t>
      </w:r>
      <w:r w:rsidR="00F2711E" w:rsidRPr="00272EAB">
        <w:rPr>
          <w:lang w:val="en-AU"/>
        </w:rPr>
        <w:t xml:space="preserve"> </w:t>
      </w:r>
      <w:r w:rsidR="008C5D73" w:rsidRPr="00272EAB">
        <w:rPr>
          <w:lang w:val="en-AU"/>
        </w:rPr>
        <w:t xml:space="preserve">passive </w:t>
      </w:r>
      <w:r w:rsidR="00F2711E" w:rsidRPr="00272EAB">
        <w:rPr>
          <w:lang w:val="en-AU"/>
        </w:rPr>
        <w:t>resistance</w:t>
      </w:r>
      <w:r w:rsidR="008C5D73" w:rsidRPr="00272EAB">
        <w:rPr>
          <w:lang w:val="en-AU"/>
        </w:rPr>
        <w:t>.</w:t>
      </w:r>
      <w:r w:rsidR="00F2711E" w:rsidRPr="00272EAB">
        <w:rPr>
          <w:lang w:val="en-AU"/>
        </w:rPr>
        <w:t xml:space="preserve"> </w:t>
      </w:r>
      <w:r w:rsidR="00587979" w:rsidRPr="00272EAB">
        <w:rPr>
          <w:lang w:val="en-AU"/>
        </w:rPr>
        <w:t>A</w:t>
      </w:r>
      <w:r w:rsidR="008C5D73" w:rsidRPr="00272EAB">
        <w:rPr>
          <w:lang w:val="en-AU"/>
        </w:rPr>
        <w:t>n</w:t>
      </w:r>
      <w:r w:rsidR="00587979" w:rsidRPr="00272EAB">
        <w:rPr>
          <w:lang w:val="en-AU"/>
        </w:rPr>
        <w:t xml:space="preserve"> </w:t>
      </w:r>
      <w:r w:rsidR="00F2711E" w:rsidRPr="00272EAB">
        <w:rPr>
          <w:lang w:val="en-AU"/>
        </w:rPr>
        <w:t xml:space="preserve">alternative understanding </w:t>
      </w:r>
      <w:r w:rsidR="008C5D73" w:rsidRPr="00272EAB">
        <w:rPr>
          <w:lang w:val="en-AU"/>
        </w:rPr>
        <w:t xml:space="preserve">proposed </w:t>
      </w:r>
      <w:r w:rsidR="00F2711E" w:rsidRPr="00272EAB">
        <w:rPr>
          <w:lang w:val="en-AU"/>
        </w:rPr>
        <w:t xml:space="preserve">by Dorothy Jean </w:t>
      </w:r>
      <w:r w:rsidR="008C5D73" w:rsidRPr="00272EAB">
        <w:rPr>
          <w:lang w:val="en-AU"/>
        </w:rPr>
        <w:t>is</w:t>
      </w:r>
      <w:r w:rsidR="00587979" w:rsidRPr="00272EAB">
        <w:rPr>
          <w:lang w:val="en-AU"/>
        </w:rPr>
        <w:t xml:space="preserve"> that</w:t>
      </w:r>
      <w:r w:rsidR="00F2711E" w:rsidRPr="00272EAB">
        <w:rPr>
          <w:lang w:val="en-AU"/>
        </w:rPr>
        <w:t xml:space="preserve"> the </w:t>
      </w:r>
      <w:r w:rsidR="00863B47" w:rsidRPr="00272EAB">
        <w:rPr>
          <w:lang w:val="en-AU"/>
        </w:rPr>
        <w:t>“</w:t>
      </w:r>
      <w:r w:rsidR="00F2711E" w:rsidRPr="00272EAB">
        <w:rPr>
          <w:lang w:val="en-AU"/>
        </w:rPr>
        <w:t xml:space="preserve">command not to resist (a negative call to passivity) is turned into the </w:t>
      </w:r>
      <w:r w:rsidR="00F2711E" w:rsidRPr="00272EAB">
        <w:rPr>
          <w:lang w:val="en-AU"/>
        </w:rPr>
        <w:lastRenderedPageBreak/>
        <w:t xml:space="preserve">illustrative positive imperatives </w:t>
      </w:r>
      <w:r w:rsidR="00863B47" w:rsidRPr="00272EAB">
        <w:rPr>
          <w:lang w:val="en-AU"/>
        </w:rPr>
        <w:t>“</w:t>
      </w:r>
      <w:r w:rsidR="00F2711E" w:rsidRPr="00272EAB">
        <w:rPr>
          <w:lang w:val="en-AU"/>
        </w:rPr>
        <w:t>turn,</w:t>
      </w:r>
      <w:r w:rsidR="00863B47" w:rsidRPr="00272EAB">
        <w:rPr>
          <w:lang w:val="en-AU"/>
        </w:rPr>
        <w:t>”</w:t>
      </w:r>
      <w:r w:rsidR="00F2711E" w:rsidRPr="00272EAB">
        <w:rPr>
          <w:lang w:val="en-AU"/>
        </w:rPr>
        <w:t xml:space="preserve"> </w:t>
      </w:r>
      <w:r w:rsidR="00863B47" w:rsidRPr="00272EAB">
        <w:rPr>
          <w:lang w:val="en-AU"/>
        </w:rPr>
        <w:t>“</w:t>
      </w:r>
      <w:r w:rsidR="00F2711E" w:rsidRPr="00272EAB">
        <w:rPr>
          <w:lang w:val="en-AU"/>
        </w:rPr>
        <w:t>let,</w:t>
      </w:r>
      <w:r w:rsidR="00863B47" w:rsidRPr="00272EAB">
        <w:rPr>
          <w:lang w:val="en-AU"/>
        </w:rPr>
        <w:t>”</w:t>
      </w:r>
      <w:r w:rsidR="00F2711E" w:rsidRPr="00272EAB">
        <w:rPr>
          <w:lang w:val="en-AU"/>
        </w:rPr>
        <w:t xml:space="preserve"> </w:t>
      </w:r>
      <w:r w:rsidR="00863B47" w:rsidRPr="00272EAB">
        <w:rPr>
          <w:lang w:val="en-AU"/>
        </w:rPr>
        <w:t>“</w:t>
      </w:r>
      <w:r w:rsidR="00F2711E" w:rsidRPr="00272EAB">
        <w:rPr>
          <w:lang w:val="en-AU"/>
        </w:rPr>
        <w:t>go,</w:t>
      </w:r>
      <w:r w:rsidR="00863B47" w:rsidRPr="00272EAB">
        <w:rPr>
          <w:lang w:val="en-AU"/>
        </w:rPr>
        <w:t>”</w:t>
      </w:r>
      <w:r w:rsidR="00F2711E" w:rsidRPr="00272EAB">
        <w:rPr>
          <w:lang w:val="en-AU"/>
        </w:rPr>
        <w:t xml:space="preserve"> </w:t>
      </w:r>
      <w:r w:rsidR="00863B47" w:rsidRPr="00272EAB">
        <w:rPr>
          <w:lang w:val="en-AU"/>
        </w:rPr>
        <w:t>“</w:t>
      </w:r>
      <w:r w:rsidR="00F2711E" w:rsidRPr="00272EAB">
        <w:rPr>
          <w:lang w:val="en-AU"/>
        </w:rPr>
        <w:t>give,</w:t>
      </w:r>
      <w:r w:rsidR="00863B47" w:rsidRPr="00272EAB">
        <w:rPr>
          <w:lang w:val="en-AU"/>
        </w:rPr>
        <w:t>”</w:t>
      </w:r>
      <w:r w:rsidR="00F2711E" w:rsidRPr="00272EAB">
        <w:rPr>
          <w:lang w:val="en-AU"/>
        </w:rPr>
        <w:t xml:space="preserve"> and </w:t>
      </w:r>
      <w:r w:rsidR="00863B47" w:rsidRPr="00272EAB">
        <w:rPr>
          <w:lang w:val="en-AU"/>
        </w:rPr>
        <w:t>“</w:t>
      </w:r>
      <w:r w:rsidR="00F2711E" w:rsidRPr="00272EAB">
        <w:rPr>
          <w:lang w:val="en-AU"/>
        </w:rPr>
        <w:t>do not reject,</w:t>
      </w:r>
      <w:r w:rsidR="00863B47" w:rsidRPr="00272EAB">
        <w:rPr>
          <w:lang w:val="en-AU"/>
        </w:rPr>
        <w:t>”</w:t>
      </w:r>
      <w:r w:rsidR="00F2711E" w:rsidRPr="00272EAB">
        <w:rPr>
          <w:lang w:val="en-AU"/>
        </w:rPr>
        <w:t xml:space="preserve"> such that the command not to resist is in fact a call to action.</w:t>
      </w:r>
      <w:r w:rsidR="00863B47" w:rsidRPr="00272EAB">
        <w:rPr>
          <w:lang w:val="en-AU"/>
        </w:rPr>
        <w:t>”</w:t>
      </w:r>
      <w:r w:rsidR="00F2711E" w:rsidRPr="00272EAB">
        <w:rPr>
          <w:rStyle w:val="FootnoteReference"/>
          <w:lang w:val="en-AU"/>
        </w:rPr>
        <w:footnoteReference w:id="655"/>
      </w:r>
      <w:r w:rsidR="00F2711E" w:rsidRPr="00272EAB">
        <w:rPr>
          <w:lang w:val="en-AU"/>
        </w:rPr>
        <w:t xml:space="preserve"> Weaver continues </w:t>
      </w:r>
      <w:r w:rsidR="002B7A00" w:rsidRPr="00272EAB">
        <w:rPr>
          <w:lang w:val="en-AU"/>
        </w:rPr>
        <w:t xml:space="preserve">this theme when she says </w:t>
      </w:r>
      <w:r w:rsidR="00F2711E" w:rsidRPr="00272EAB">
        <w:rPr>
          <w:lang w:val="en-AU"/>
        </w:rPr>
        <w:t xml:space="preserve">that she feels the strength of the contrast Jesus makes with his commands </w:t>
      </w:r>
      <w:r w:rsidR="001A7D5E" w:rsidRPr="00272EAB">
        <w:rPr>
          <w:lang w:val="en-AU"/>
        </w:rPr>
        <w:t>compared with</w:t>
      </w:r>
      <w:r w:rsidR="00F2711E" w:rsidRPr="00272EAB">
        <w:rPr>
          <w:lang w:val="en-AU"/>
        </w:rPr>
        <w:t xml:space="preserve"> the </w:t>
      </w:r>
      <w:r w:rsidR="00F2711E" w:rsidRPr="00272EAB">
        <w:rPr>
          <w:i/>
          <w:iCs/>
          <w:lang w:val="en-AU"/>
        </w:rPr>
        <w:t>lex talionis</w:t>
      </w:r>
      <w:r w:rsidR="00F2711E" w:rsidRPr="00272EAB">
        <w:rPr>
          <w:lang w:val="en-AU"/>
        </w:rPr>
        <w:t>:</w:t>
      </w:r>
    </w:p>
    <w:p w14:paraId="70BD80F3" w14:textId="518A9A8E" w:rsidR="00F2711E" w:rsidRPr="00E30CA3" w:rsidRDefault="00F2711E" w:rsidP="00055628">
      <w:pPr>
        <w:pStyle w:val="Blockquotation"/>
        <w:rPr>
          <w:sz w:val="24"/>
          <w:lang w:val="en-AU"/>
        </w:rPr>
      </w:pPr>
      <w:r w:rsidRPr="00E30CA3">
        <w:rPr>
          <w:sz w:val="24"/>
          <w:lang w:val="en-AU"/>
        </w:rPr>
        <w:t>By placing the imperatives of 5:39b</w:t>
      </w:r>
      <w:r w:rsidR="00504DF1" w:rsidRPr="00E30CA3">
        <w:rPr>
          <w:sz w:val="24"/>
          <w:lang w:val="en-AU"/>
        </w:rPr>
        <w:t>–</w:t>
      </w:r>
      <w:r w:rsidRPr="00E30CA3">
        <w:rPr>
          <w:sz w:val="24"/>
          <w:lang w:val="en-AU"/>
        </w:rPr>
        <w:t xml:space="preserve">42 in deliberate juxtaposition to the </w:t>
      </w:r>
      <w:r w:rsidRPr="00E30CA3">
        <w:rPr>
          <w:i/>
          <w:iCs/>
          <w:sz w:val="24"/>
          <w:lang w:val="en-AU"/>
        </w:rPr>
        <w:t>lex talionis</w:t>
      </w:r>
      <w:r w:rsidRPr="00E30CA3">
        <w:rPr>
          <w:sz w:val="24"/>
          <w:lang w:val="en-AU"/>
        </w:rPr>
        <w:t xml:space="preserve"> (</w:t>
      </w:r>
      <w:r w:rsidR="005C71CB" w:rsidRPr="00E30CA3">
        <w:rPr>
          <w:sz w:val="24"/>
          <w:lang w:val="en-AU"/>
        </w:rPr>
        <w:t>‘</w:t>
      </w:r>
      <w:r w:rsidRPr="00E30CA3">
        <w:rPr>
          <w:sz w:val="24"/>
          <w:lang w:val="en-AU"/>
        </w:rPr>
        <w:t>eye in place of eye and tooth in place of tooth</w:t>
      </w:r>
      <w:r w:rsidR="005C71CB" w:rsidRPr="00E30CA3">
        <w:rPr>
          <w:sz w:val="24"/>
          <w:lang w:val="en-AU"/>
        </w:rPr>
        <w:t>’</w:t>
      </w:r>
      <w:r w:rsidRPr="00E30CA3">
        <w:rPr>
          <w:sz w:val="24"/>
          <w:lang w:val="en-AU"/>
        </w:rPr>
        <w:t>), a law that is not merely violent but ultimately death dealing, Jesus repudiates the essential violence of the talionic principle and establishes the character of his own call to action, by contrast, as fundamentally life-affirming.</w:t>
      </w:r>
      <w:r w:rsidRPr="00E30CA3">
        <w:rPr>
          <w:rStyle w:val="FootnoteReference"/>
          <w:sz w:val="24"/>
          <w:lang w:val="en-AU"/>
        </w:rPr>
        <w:footnoteReference w:id="656"/>
      </w:r>
      <w:r w:rsidRPr="00E30CA3">
        <w:rPr>
          <w:sz w:val="24"/>
          <w:lang w:val="en-AU"/>
        </w:rPr>
        <w:t xml:space="preserve"> </w:t>
      </w:r>
    </w:p>
    <w:p w14:paraId="3108DAF9" w14:textId="19450D52" w:rsidR="00F2711E" w:rsidRPr="00E30CA3" w:rsidRDefault="00AC32CA" w:rsidP="00AB2072">
      <w:pPr>
        <w:spacing w:before="240" w:line="480" w:lineRule="auto"/>
        <w:rPr>
          <w:lang w:val="en-AU"/>
        </w:rPr>
      </w:pPr>
      <w:r w:rsidRPr="00E30CA3">
        <w:rPr>
          <w:lang w:val="en-AU"/>
        </w:rPr>
        <w:t xml:space="preserve">Jesus </w:t>
      </w:r>
      <w:r w:rsidR="001A7D5E" w:rsidRPr="00E30CA3">
        <w:rPr>
          <w:lang w:val="en-AU"/>
        </w:rPr>
        <w:t>did</w:t>
      </w:r>
      <w:r w:rsidRPr="00E30CA3">
        <w:rPr>
          <w:lang w:val="en-AU"/>
        </w:rPr>
        <w:t xml:space="preserve"> not to call the talion wrong in essence, </w:t>
      </w:r>
      <w:r w:rsidR="001A7D5E" w:rsidRPr="00E30CA3">
        <w:rPr>
          <w:lang w:val="en-AU"/>
        </w:rPr>
        <w:t xml:space="preserve">but he </w:t>
      </w:r>
      <w:r w:rsidRPr="00E30CA3">
        <w:rPr>
          <w:lang w:val="en-AU"/>
        </w:rPr>
        <w:t>show</w:t>
      </w:r>
      <w:r w:rsidR="001A7D5E" w:rsidRPr="00E30CA3">
        <w:rPr>
          <w:lang w:val="en-AU"/>
        </w:rPr>
        <w:t>ed</w:t>
      </w:r>
      <w:r w:rsidRPr="00E30CA3">
        <w:rPr>
          <w:lang w:val="en-AU"/>
        </w:rPr>
        <w:t xml:space="preserve"> how it should be used to create equality in society. </w:t>
      </w:r>
      <w:r w:rsidR="00F2711E" w:rsidRPr="00E30CA3">
        <w:rPr>
          <w:lang w:val="en-AU"/>
        </w:rPr>
        <w:t>Hans Dieter Betz</w:t>
      </w:r>
      <w:r w:rsidRPr="00E30CA3">
        <w:rPr>
          <w:lang w:val="en-AU"/>
        </w:rPr>
        <w:t xml:space="preserve"> suggests that Jesus wanted equal retribution. </w:t>
      </w:r>
      <w:r w:rsidR="00F2711E" w:rsidRPr="00E30CA3">
        <w:rPr>
          <w:lang w:val="en-AU"/>
        </w:rPr>
        <w:t>As such, he has well summari</w:t>
      </w:r>
      <w:r w:rsidR="00D86BBD" w:rsidRPr="00E30CA3">
        <w:rPr>
          <w:lang w:val="en-AU"/>
        </w:rPr>
        <w:t>s</w:t>
      </w:r>
      <w:r w:rsidR="00F2711E" w:rsidRPr="00E30CA3">
        <w:rPr>
          <w:lang w:val="en-AU"/>
        </w:rPr>
        <w:t xml:space="preserve">ed what he refers to as the </w:t>
      </w:r>
      <w:r w:rsidR="00F2711E" w:rsidRPr="00E30CA3">
        <w:rPr>
          <w:i/>
          <w:iCs/>
          <w:lang w:val="en-AU"/>
        </w:rPr>
        <w:t>ius talionis</w:t>
      </w:r>
      <w:r w:rsidR="00F2711E" w:rsidRPr="00E30CA3">
        <w:rPr>
          <w:lang w:val="en-AU"/>
        </w:rPr>
        <w:t xml:space="preserve"> (</w:t>
      </w:r>
      <w:r w:rsidR="00863B47" w:rsidRPr="00E30CA3">
        <w:rPr>
          <w:lang w:val="en-AU"/>
        </w:rPr>
        <w:t>“</w:t>
      </w:r>
      <w:r w:rsidR="00F2711E" w:rsidRPr="00E30CA3">
        <w:rPr>
          <w:lang w:val="en-AU"/>
        </w:rPr>
        <w:t>law of equal retribution</w:t>
      </w:r>
      <w:r w:rsidR="00863B47" w:rsidRPr="00E30CA3">
        <w:rPr>
          <w:lang w:val="en-AU"/>
        </w:rPr>
        <w:t>”</w:t>
      </w:r>
      <w:r w:rsidR="00F2711E" w:rsidRPr="00E30CA3">
        <w:rPr>
          <w:lang w:val="en-AU"/>
        </w:rPr>
        <w:t>) from a historical perspective of Ancient, Greco-Roman, and Jewish laws.</w:t>
      </w:r>
      <w:r w:rsidR="00F2711E" w:rsidRPr="00E30CA3">
        <w:rPr>
          <w:rStyle w:val="FootnoteReference"/>
          <w:lang w:val="en-AU"/>
        </w:rPr>
        <w:footnoteReference w:id="657"/>
      </w:r>
      <w:r w:rsidR="00F2711E" w:rsidRPr="00E30CA3">
        <w:rPr>
          <w:lang w:val="en-AU"/>
        </w:rPr>
        <w:t xml:space="preserve"> This form of social equity refers to the degree of punishment </w:t>
      </w:r>
      <w:r w:rsidR="007E3644" w:rsidRPr="00E30CA3">
        <w:rPr>
          <w:lang w:val="en-AU"/>
        </w:rPr>
        <w:t>meted out</w:t>
      </w:r>
      <w:r w:rsidR="00F2711E" w:rsidRPr="00E30CA3">
        <w:rPr>
          <w:lang w:val="en-AU"/>
        </w:rPr>
        <w:t xml:space="preserve"> to a perpetrator.  </w:t>
      </w:r>
      <w:r w:rsidRPr="00E30CA3">
        <w:rPr>
          <w:lang w:val="en-AU"/>
        </w:rPr>
        <w:t xml:space="preserve">For </w:t>
      </w:r>
      <w:r w:rsidR="00F2711E" w:rsidRPr="00E30CA3">
        <w:rPr>
          <w:lang w:val="en-AU"/>
        </w:rPr>
        <w:t>Betz</w:t>
      </w:r>
      <w:r w:rsidRPr="00E30CA3">
        <w:rPr>
          <w:lang w:val="en-AU"/>
        </w:rPr>
        <w:t xml:space="preserve">, </w:t>
      </w:r>
      <w:r w:rsidR="00F2711E" w:rsidRPr="00E30CA3">
        <w:rPr>
          <w:i/>
          <w:iCs/>
          <w:lang w:val="en-AU"/>
        </w:rPr>
        <w:t>ius talionis</w:t>
      </w:r>
      <w:r w:rsidR="00F2711E" w:rsidRPr="00E30CA3">
        <w:rPr>
          <w:lang w:val="en-AU"/>
        </w:rPr>
        <w:t xml:space="preserve"> is</w:t>
      </w:r>
      <w:r w:rsidRPr="00E30CA3">
        <w:rPr>
          <w:lang w:val="en-AU"/>
        </w:rPr>
        <w:t xml:space="preserve"> a</w:t>
      </w:r>
      <w:r w:rsidR="00F2711E" w:rsidRPr="00E30CA3">
        <w:rPr>
          <w:lang w:val="en-AU"/>
        </w:rPr>
        <w:t xml:space="preserve"> legal principle.</w:t>
      </w:r>
      <w:r w:rsidR="00F2711E" w:rsidRPr="00E30CA3">
        <w:rPr>
          <w:rStyle w:val="FootnoteReference"/>
          <w:lang w:val="en-AU"/>
        </w:rPr>
        <w:footnoteReference w:id="658"/>
      </w:r>
      <w:r w:rsidR="00F2711E" w:rsidRPr="00E30CA3">
        <w:rPr>
          <w:lang w:val="en-AU"/>
        </w:rPr>
        <w:t xml:space="preserve">  Craig Keener</w:t>
      </w:r>
      <w:r w:rsidR="00201641" w:rsidRPr="00E30CA3">
        <w:rPr>
          <w:lang w:val="en-AU"/>
        </w:rPr>
        <w:t xml:space="preserve"> surmises that</w:t>
      </w:r>
      <w:r w:rsidR="00F2711E" w:rsidRPr="00E30CA3">
        <w:rPr>
          <w:lang w:val="en-AU"/>
        </w:rPr>
        <w:t xml:space="preserve"> the Old Testament</w:t>
      </w:r>
      <w:r w:rsidR="005C71CB" w:rsidRPr="00E30CA3">
        <w:rPr>
          <w:lang w:val="en-AU"/>
        </w:rPr>
        <w:t>’</w:t>
      </w:r>
      <w:r w:rsidR="00F2711E" w:rsidRPr="00E30CA3">
        <w:rPr>
          <w:lang w:val="en-AU"/>
        </w:rPr>
        <w:t xml:space="preserve">s </w:t>
      </w:r>
      <w:r w:rsidR="00F2711E" w:rsidRPr="00E30CA3">
        <w:rPr>
          <w:i/>
          <w:iCs/>
          <w:lang w:val="en-AU"/>
        </w:rPr>
        <w:t>lex talionis</w:t>
      </w:r>
      <w:r w:rsidR="00F2711E" w:rsidRPr="00E30CA3">
        <w:rPr>
          <w:lang w:val="en-AU"/>
        </w:rPr>
        <w:t xml:space="preserve"> was primarily in place to avenge the victim</w:t>
      </w:r>
      <w:r w:rsidR="005C71CB" w:rsidRPr="00E30CA3">
        <w:rPr>
          <w:lang w:val="en-AU"/>
        </w:rPr>
        <w:t>’</w:t>
      </w:r>
      <w:r w:rsidR="00F2711E" w:rsidRPr="00E30CA3">
        <w:rPr>
          <w:lang w:val="en-AU"/>
        </w:rPr>
        <w:t>s hono</w:t>
      </w:r>
      <w:r w:rsidR="00201641" w:rsidRPr="00E30CA3">
        <w:rPr>
          <w:lang w:val="en-AU"/>
        </w:rPr>
        <w:t>u</w:t>
      </w:r>
      <w:r w:rsidR="00F2711E" w:rsidRPr="00E30CA3">
        <w:rPr>
          <w:lang w:val="en-AU"/>
        </w:rPr>
        <w:t xml:space="preserve">r by punishing the perpetrator of the crime, and it was never in place to allow for the direct act of retribution by the victim, </w:t>
      </w:r>
      <w:r w:rsidR="00201641" w:rsidRPr="00E30CA3">
        <w:rPr>
          <w:lang w:val="en-AU"/>
        </w:rPr>
        <w:t xml:space="preserve">but </w:t>
      </w:r>
      <w:r w:rsidR="00F2711E" w:rsidRPr="00E30CA3">
        <w:rPr>
          <w:lang w:val="en-AU"/>
        </w:rPr>
        <w:t>rather it was designed for the court setting by which a legal sentence and execution could be made.</w:t>
      </w:r>
      <w:r w:rsidR="00F2711E" w:rsidRPr="00E30CA3">
        <w:rPr>
          <w:rStyle w:val="FootnoteReference"/>
          <w:lang w:val="en-AU"/>
        </w:rPr>
        <w:footnoteReference w:id="659"/>
      </w:r>
      <w:r w:rsidR="00F2711E" w:rsidRPr="00E30CA3">
        <w:rPr>
          <w:lang w:val="en-AU"/>
        </w:rPr>
        <w:t xml:space="preserve"> </w:t>
      </w:r>
      <w:r w:rsidR="001D2E25" w:rsidRPr="00E30CA3">
        <w:rPr>
          <w:lang w:val="en-AU"/>
        </w:rPr>
        <w:t xml:space="preserve">It </w:t>
      </w:r>
      <w:r w:rsidR="00C26E46" w:rsidRPr="00E30CA3">
        <w:rPr>
          <w:lang w:val="en-AU"/>
        </w:rPr>
        <w:t xml:space="preserve">must be </w:t>
      </w:r>
      <w:r w:rsidR="001D2E25" w:rsidRPr="00E30CA3">
        <w:rPr>
          <w:lang w:val="en-AU"/>
        </w:rPr>
        <w:t>note</w:t>
      </w:r>
      <w:r w:rsidR="00C26E46" w:rsidRPr="00E30CA3">
        <w:rPr>
          <w:lang w:val="en-AU"/>
        </w:rPr>
        <w:t>d</w:t>
      </w:r>
      <w:r w:rsidR="001D2E25" w:rsidRPr="00E30CA3">
        <w:rPr>
          <w:lang w:val="en-AU"/>
        </w:rPr>
        <w:t xml:space="preserve"> that </w:t>
      </w:r>
      <w:r w:rsidR="00F2711E" w:rsidRPr="00E30CA3">
        <w:rPr>
          <w:i/>
          <w:iCs/>
          <w:lang w:val="en-AU"/>
        </w:rPr>
        <w:t>lex talionis</w:t>
      </w:r>
      <w:r w:rsidR="00F2711E" w:rsidRPr="00E30CA3">
        <w:rPr>
          <w:lang w:val="en-AU"/>
        </w:rPr>
        <w:t xml:space="preserve"> in the Old Testament and </w:t>
      </w:r>
      <w:r w:rsidR="00C26E46" w:rsidRPr="00E30CA3">
        <w:rPr>
          <w:lang w:val="en-AU"/>
        </w:rPr>
        <w:t xml:space="preserve">the </w:t>
      </w:r>
      <w:r w:rsidR="00F2711E" w:rsidRPr="00E30CA3">
        <w:rPr>
          <w:lang w:val="en-AU"/>
        </w:rPr>
        <w:t xml:space="preserve">Code of Hammurabi </w:t>
      </w:r>
      <w:r w:rsidR="001D2E25" w:rsidRPr="00E30CA3">
        <w:rPr>
          <w:lang w:val="en-AU"/>
        </w:rPr>
        <w:lastRenderedPageBreak/>
        <w:t>was not barbaric</w:t>
      </w:r>
      <w:r w:rsidR="00F2711E" w:rsidRPr="00E30CA3">
        <w:rPr>
          <w:lang w:val="en-AU"/>
        </w:rPr>
        <w:t>. Rather, it treat</w:t>
      </w:r>
      <w:r w:rsidR="00C26E46" w:rsidRPr="00E30CA3">
        <w:rPr>
          <w:lang w:val="en-AU"/>
        </w:rPr>
        <w:t>ed</w:t>
      </w:r>
      <w:r w:rsidR="00F2711E" w:rsidRPr="00E30CA3">
        <w:rPr>
          <w:lang w:val="en-AU"/>
        </w:rPr>
        <w:t xml:space="preserve"> injuries seriously as criminal </w:t>
      </w:r>
      <w:r w:rsidR="00C26E46" w:rsidRPr="00E30CA3">
        <w:rPr>
          <w:lang w:val="en-AU"/>
        </w:rPr>
        <w:t>offences</w:t>
      </w:r>
      <w:r w:rsidR="00F2711E" w:rsidRPr="00E30CA3">
        <w:rPr>
          <w:lang w:val="en-AU"/>
        </w:rPr>
        <w:t xml:space="preserve"> against individuals. </w:t>
      </w:r>
      <w:r w:rsidR="00C26E46" w:rsidRPr="00E30CA3">
        <w:rPr>
          <w:lang w:val="en-AU"/>
        </w:rPr>
        <w:t>Szlechter</w:t>
      </w:r>
      <w:r w:rsidR="00F2711E" w:rsidRPr="00E30CA3">
        <w:rPr>
          <w:lang w:val="en-AU"/>
        </w:rPr>
        <w:t xml:space="preserve"> cites the laws of </w:t>
      </w:r>
      <w:r w:rsidR="00F2711E" w:rsidRPr="00E30CA3">
        <w:rPr>
          <w:i/>
          <w:iCs/>
          <w:lang w:val="en-AU"/>
        </w:rPr>
        <w:t>Eshnunna</w:t>
      </w:r>
      <w:r w:rsidR="00F2711E" w:rsidRPr="00E30CA3">
        <w:rPr>
          <w:lang w:val="en-AU"/>
        </w:rPr>
        <w:t xml:space="preserve"> and </w:t>
      </w:r>
      <w:r w:rsidR="00F2711E" w:rsidRPr="00E30CA3">
        <w:rPr>
          <w:i/>
          <w:iCs/>
          <w:lang w:val="en-AU"/>
        </w:rPr>
        <w:t>Lipit-Ishtar,</w:t>
      </w:r>
      <w:r w:rsidR="00F2711E" w:rsidRPr="00E30CA3">
        <w:rPr>
          <w:lang w:val="en-AU"/>
        </w:rPr>
        <w:t xml:space="preserve"> which predate the Old Testament and the Code of Hammurabi, </w:t>
      </w:r>
      <w:r w:rsidR="00C26E46" w:rsidRPr="00E30CA3">
        <w:rPr>
          <w:lang w:val="en-AU"/>
        </w:rPr>
        <w:t>which</w:t>
      </w:r>
      <w:r w:rsidR="00F2711E" w:rsidRPr="00E30CA3">
        <w:rPr>
          <w:lang w:val="en-AU"/>
        </w:rPr>
        <w:t xml:space="preserve"> merely set fines, as only injuries against the kings or gods were treated seriously.</w:t>
      </w:r>
      <w:r w:rsidR="003769D1" w:rsidRPr="00E30CA3">
        <w:rPr>
          <w:rStyle w:val="FootnoteReference"/>
          <w:lang w:val="en-AU"/>
        </w:rPr>
        <w:footnoteReference w:id="660"/>
      </w:r>
      <w:r w:rsidR="00F2711E" w:rsidRPr="00E30CA3">
        <w:rPr>
          <w:lang w:val="en-AU"/>
        </w:rPr>
        <w:t xml:space="preserve"> </w:t>
      </w:r>
      <w:r w:rsidR="00CE0665" w:rsidRPr="00E30CA3">
        <w:rPr>
          <w:lang w:val="en-AU"/>
        </w:rPr>
        <w:t>Hartley</w:t>
      </w:r>
      <w:r w:rsidR="00F2711E" w:rsidRPr="00E30CA3">
        <w:rPr>
          <w:lang w:val="en-AU"/>
        </w:rPr>
        <w:t xml:space="preserve"> concludes that in some texts where the principle is stated it cannot be taken literally.</w:t>
      </w:r>
      <w:r w:rsidR="00F2711E" w:rsidRPr="00E30CA3">
        <w:rPr>
          <w:rStyle w:val="FootnoteReference"/>
          <w:lang w:val="en-AU"/>
        </w:rPr>
        <w:footnoteReference w:id="661"/>
      </w:r>
    </w:p>
    <w:p w14:paraId="3BC53D20" w14:textId="625D0EDD" w:rsidR="00F2711E" w:rsidRPr="00E30CA3" w:rsidRDefault="00F2711E" w:rsidP="00211CF3">
      <w:pPr>
        <w:spacing w:before="120" w:line="480" w:lineRule="auto"/>
        <w:ind w:firstLine="720"/>
        <w:rPr>
          <w:highlight w:val="green"/>
          <w:lang w:val="en-AU"/>
        </w:rPr>
      </w:pPr>
      <w:r w:rsidRPr="00E30CA3">
        <w:rPr>
          <w:lang w:val="en-AU"/>
        </w:rPr>
        <w:t xml:space="preserve">Slapping is a form of power and control over another person.  </w:t>
      </w:r>
      <w:r w:rsidR="00857781" w:rsidRPr="00E30CA3">
        <w:rPr>
          <w:lang w:val="en-AU"/>
        </w:rPr>
        <w:t xml:space="preserve">Violence and force can be used </w:t>
      </w:r>
      <w:r w:rsidRPr="00E30CA3">
        <w:rPr>
          <w:lang w:val="en-AU"/>
        </w:rPr>
        <w:t>to create inequality between people Matthew 5:39</w:t>
      </w:r>
      <w:r w:rsidR="0028321B" w:rsidRPr="00E30CA3">
        <w:rPr>
          <w:lang w:val="en-AU"/>
        </w:rPr>
        <w:t xml:space="preserve"> gives </w:t>
      </w:r>
      <w:r w:rsidR="00211CF3" w:rsidRPr="00E30CA3">
        <w:rPr>
          <w:lang w:val="en-AU"/>
        </w:rPr>
        <w:t xml:space="preserve">clarity </w:t>
      </w:r>
      <w:r w:rsidR="00BE72FC" w:rsidRPr="00E30CA3">
        <w:rPr>
          <w:lang w:val="en-AU"/>
        </w:rPr>
        <w:t xml:space="preserve">about what is meant by </w:t>
      </w:r>
      <w:r w:rsidR="005C71CB" w:rsidRPr="00E30CA3">
        <w:rPr>
          <w:lang w:val="en-AU"/>
        </w:rPr>
        <w:t>‘</w:t>
      </w:r>
      <w:r w:rsidR="00211CF3" w:rsidRPr="00E30CA3">
        <w:rPr>
          <w:lang w:val="en-AU"/>
        </w:rPr>
        <w:t>turning the other cheek.</w:t>
      </w:r>
      <w:r w:rsidR="005C71CB" w:rsidRPr="00E30CA3">
        <w:rPr>
          <w:lang w:val="en-AU"/>
        </w:rPr>
        <w:t>’</w:t>
      </w:r>
      <w:r w:rsidRPr="00E30CA3">
        <w:rPr>
          <w:lang w:val="en-AU"/>
        </w:rPr>
        <w:t xml:space="preserve"> </w:t>
      </w:r>
      <w:r w:rsidR="00BE72FC" w:rsidRPr="00E30CA3">
        <w:rPr>
          <w:lang w:val="en-AU"/>
        </w:rPr>
        <w:t>In t</w:t>
      </w:r>
      <w:r w:rsidR="001D2E25" w:rsidRPr="00E30CA3">
        <w:rPr>
          <w:lang w:val="en-AU"/>
        </w:rPr>
        <w:t xml:space="preserve">his dissertation </w:t>
      </w:r>
      <w:r w:rsidR="00BE72FC" w:rsidRPr="00E30CA3">
        <w:rPr>
          <w:lang w:val="en-AU"/>
        </w:rPr>
        <w:t xml:space="preserve">the author has </w:t>
      </w:r>
      <w:r w:rsidR="001D2E25" w:rsidRPr="00E30CA3">
        <w:rPr>
          <w:lang w:val="en-AU"/>
        </w:rPr>
        <w:t xml:space="preserve">explored how </w:t>
      </w:r>
      <w:r w:rsidR="00887BD5" w:rsidRPr="00E30CA3">
        <w:rPr>
          <w:lang w:val="en-AU"/>
        </w:rPr>
        <w:t xml:space="preserve">the purpose of the phrase στρέψον αὐτῷ καὶ τὴν ἄλλην was to provide a remedy </w:t>
      </w:r>
      <w:r w:rsidR="00211CF3" w:rsidRPr="00E30CA3">
        <w:rPr>
          <w:lang w:val="en-AU"/>
        </w:rPr>
        <w:t>against</w:t>
      </w:r>
      <w:r w:rsidR="00887BD5" w:rsidRPr="00E30CA3">
        <w:rPr>
          <w:lang w:val="en-AU"/>
        </w:rPr>
        <w:t xml:space="preserve"> strife and vengeance during a conflict.  The </w:t>
      </w:r>
      <w:r w:rsidR="0054244C" w:rsidRPr="00E30CA3">
        <w:rPr>
          <w:lang w:val="en-AU"/>
        </w:rPr>
        <w:t>u</w:t>
      </w:r>
      <w:r w:rsidR="00887BD5" w:rsidRPr="00E30CA3">
        <w:rPr>
          <w:lang w:val="en-AU"/>
        </w:rPr>
        <w:t>nderstanding</w:t>
      </w:r>
      <w:r w:rsidR="0054244C" w:rsidRPr="00E30CA3">
        <w:rPr>
          <w:lang w:val="en-AU"/>
        </w:rPr>
        <w:t xml:space="preserve"> of </w:t>
      </w:r>
      <w:r w:rsidR="00887BD5" w:rsidRPr="00E30CA3">
        <w:rPr>
          <w:lang w:val="en-AU"/>
        </w:rPr>
        <w:t xml:space="preserve">στρέψον αὐτῷ καὶ τὴν ἄλλην as a form of peace and pacifism rests on </w:t>
      </w:r>
      <w:r w:rsidR="0054244C" w:rsidRPr="00E30CA3">
        <w:rPr>
          <w:lang w:val="en-AU"/>
        </w:rPr>
        <w:t xml:space="preserve">a better </w:t>
      </w:r>
      <w:r w:rsidR="00887BD5" w:rsidRPr="00E30CA3">
        <w:rPr>
          <w:lang w:val="en-AU"/>
        </w:rPr>
        <w:t xml:space="preserve">understanding </w:t>
      </w:r>
      <w:r w:rsidR="0054244C" w:rsidRPr="00E30CA3">
        <w:rPr>
          <w:lang w:val="en-AU"/>
        </w:rPr>
        <w:t>of</w:t>
      </w:r>
      <w:r w:rsidR="00887BD5" w:rsidRPr="00E30CA3">
        <w:rPr>
          <w:lang w:val="en-AU"/>
        </w:rPr>
        <w:t xml:space="preserve"> ἀντιστῆναι (resist) and πονηρῷ (evil, evil person).</w:t>
      </w:r>
      <w:r w:rsidR="00211CF3" w:rsidRPr="009E7B69">
        <w:t xml:space="preserve"> </w:t>
      </w:r>
      <w:r w:rsidR="00211CF3" w:rsidRPr="00E30CA3">
        <w:rPr>
          <w:lang w:val="en-AU"/>
        </w:rPr>
        <w:t xml:space="preserve">The form and function of a slap </w:t>
      </w:r>
      <w:r w:rsidR="00E30CA3" w:rsidRPr="00E30CA3">
        <w:rPr>
          <w:lang w:val="en-AU"/>
        </w:rPr>
        <w:t>were</w:t>
      </w:r>
      <w:r w:rsidR="001B1945" w:rsidRPr="00E30CA3">
        <w:rPr>
          <w:lang w:val="en-AU"/>
        </w:rPr>
        <w:t xml:space="preserve"> </w:t>
      </w:r>
      <w:r w:rsidR="00211CF3" w:rsidRPr="00E30CA3">
        <w:rPr>
          <w:lang w:val="en-AU"/>
        </w:rPr>
        <w:t xml:space="preserve">determined </w:t>
      </w:r>
      <w:r w:rsidR="001B1945" w:rsidRPr="00E30CA3">
        <w:rPr>
          <w:lang w:val="en-AU"/>
        </w:rPr>
        <w:t xml:space="preserve">by </w:t>
      </w:r>
      <w:r w:rsidR="00211CF3" w:rsidRPr="00E30CA3">
        <w:rPr>
          <w:lang w:val="en-AU"/>
        </w:rPr>
        <w:t xml:space="preserve">the social status of a person.  If the backhand was used, it was done by someone in power who was correcting another person.  The response called for in retaliation is one </w:t>
      </w:r>
      <w:r w:rsidR="001B1945" w:rsidRPr="00E30CA3">
        <w:rPr>
          <w:lang w:val="en-AU"/>
        </w:rPr>
        <w:t>of</w:t>
      </w:r>
      <w:r w:rsidR="00211CF3" w:rsidRPr="00E30CA3">
        <w:rPr>
          <w:lang w:val="en-AU"/>
        </w:rPr>
        <w:t xml:space="preserve"> nonviolence. </w:t>
      </w:r>
      <w:r w:rsidR="001B1945" w:rsidRPr="00E30CA3">
        <w:rPr>
          <w:lang w:val="en-AU"/>
        </w:rPr>
        <w:t>Other biblical verses indicate that t</w:t>
      </w:r>
      <w:r w:rsidRPr="00E30CA3">
        <w:rPr>
          <w:lang w:val="en-AU"/>
        </w:rPr>
        <w:t xml:space="preserve">he open-handed slap </w:t>
      </w:r>
      <w:r w:rsidR="001B1945" w:rsidRPr="00E30CA3">
        <w:rPr>
          <w:lang w:val="en-AU"/>
        </w:rPr>
        <w:t xml:space="preserve">could </w:t>
      </w:r>
      <w:r w:rsidR="004D6549" w:rsidRPr="00E30CA3">
        <w:rPr>
          <w:lang w:val="en-AU"/>
        </w:rPr>
        <w:t xml:space="preserve">be used for </w:t>
      </w:r>
      <w:r w:rsidRPr="00E30CA3">
        <w:rPr>
          <w:lang w:val="en-AU"/>
        </w:rPr>
        <w:t>correction of affection.</w:t>
      </w:r>
      <w:r w:rsidRPr="00E30CA3">
        <w:rPr>
          <w:rStyle w:val="FootnoteReference"/>
          <w:lang w:val="en-AU"/>
        </w:rPr>
        <w:footnoteReference w:id="662"/>
      </w:r>
      <w:r w:rsidRPr="00E30CA3">
        <w:rPr>
          <w:lang w:val="en-AU"/>
        </w:rPr>
        <w:t xml:space="preserve"> In the context of Matthew 5:39, the person who is being slapped</w:t>
      </w:r>
      <w:r w:rsidR="002A2EB1" w:rsidRPr="00E30CA3">
        <w:rPr>
          <w:lang w:val="en-AU"/>
        </w:rPr>
        <w:t xml:space="preserve"> with an open hand</w:t>
      </w:r>
      <w:r w:rsidRPr="00E30CA3">
        <w:rPr>
          <w:lang w:val="en-AU"/>
        </w:rPr>
        <w:t xml:space="preserve"> has the social equity to stand </w:t>
      </w:r>
      <w:r w:rsidR="0093474D" w:rsidRPr="00E30CA3">
        <w:rPr>
          <w:lang w:val="en-AU"/>
        </w:rPr>
        <w:t xml:space="preserve">as </w:t>
      </w:r>
      <w:r w:rsidRPr="00E30CA3">
        <w:rPr>
          <w:lang w:val="en-AU"/>
        </w:rPr>
        <w:t xml:space="preserve">a peer </w:t>
      </w:r>
      <w:r w:rsidR="0093474D" w:rsidRPr="00E30CA3">
        <w:rPr>
          <w:lang w:val="en-AU"/>
        </w:rPr>
        <w:t>of</w:t>
      </w:r>
      <w:r w:rsidRPr="00E30CA3">
        <w:rPr>
          <w:lang w:val="en-AU"/>
        </w:rPr>
        <w:t xml:space="preserve"> the person</w:t>
      </w:r>
      <w:r w:rsidR="0093474D" w:rsidRPr="00E30CA3">
        <w:rPr>
          <w:lang w:val="en-AU"/>
        </w:rPr>
        <w:t xml:space="preserve"> </w:t>
      </w:r>
      <w:r w:rsidR="00810C13" w:rsidRPr="00E30CA3">
        <w:rPr>
          <w:lang w:val="en-AU"/>
        </w:rPr>
        <w:t xml:space="preserve">administering the </w:t>
      </w:r>
      <w:r w:rsidRPr="00E30CA3">
        <w:rPr>
          <w:lang w:val="en-AU"/>
        </w:rPr>
        <w:t>slap.</w:t>
      </w:r>
      <w:r w:rsidRPr="00E30CA3">
        <w:rPr>
          <w:vertAlign w:val="superscript"/>
          <w:lang w:val="en-AU"/>
        </w:rPr>
        <w:t xml:space="preserve"> </w:t>
      </w:r>
      <w:r w:rsidRPr="00E30CA3">
        <w:rPr>
          <w:vertAlign w:val="superscript"/>
          <w:lang w:val="en-AU"/>
        </w:rPr>
        <w:footnoteReference w:id="663"/>
      </w:r>
      <w:r w:rsidRPr="00E30CA3">
        <w:rPr>
          <w:lang w:val="en-AU"/>
        </w:rPr>
        <w:t xml:space="preserve">  </w:t>
      </w:r>
      <w:r w:rsidR="000F6901" w:rsidRPr="00E30CA3">
        <w:rPr>
          <w:lang w:val="en-AU"/>
        </w:rPr>
        <w:t>In Matthew 5:39 t</w:t>
      </w:r>
      <w:r w:rsidRPr="00E30CA3">
        <w:rPr>
          <w:lang w:val="en-AU"/>
        </w:rPr>
        <w:t xml:space="preserve">he social status of both </w:t>
      </w:r>
      <w:r w:rsidR="000F6901" w:rsidRPr="00E30CA3">
        <w:rPr>
          <w:lang w:val="en-AU"/>
        </w:rPr>
        <w:t>t</w:t>
      </w:r>
      <w:r w:rsidR="00D03D60" w:rsidRPr="00E30CA3">
        <w:rPr>
          <w:lang w:val="en-AU"/>
        </w:rPr>
        <w:t>h</w:t>
      </w:r>
      <w:r w:rsidR="000F6901" w:rsidRPr="00E30CA3">
        <w:rPr>
          <w:lang w:val="en-AU"/>
        </w:rPr>
        <w:t>e slapper and the slapped</w:t>
      </w:r>
      <w:r w:rsidRPr="00E30CA3">
        <w:rPr>
          <w:lang w:val="en-AU"/>
        </w:rPr>
        <w:t xml:space="preserve"> is not explained; however, an assumption is that the people in dispute are social equals because of the cheek struck and hand used to strike.  A </w:t>
      </w:r>
      <w:r w:rsidRPr="00E30CA3">
        <w:rPr>
          <w:lang w:val="en-AU"/>
        </w:rPr>
        <w:lastRenderedPageBreak/>
        <w:t xml:space="preserve">person could </w:t>
      </w:r>
      <w:proofErr w:type="gramStart"/>
      <w:r w:rsidRPr="00E30CA3">
        <w:rPr>
          <w:lang w:val="en-AU"/>
        </w:rPr>
        <w:t>make the assumption</w:t>
      </w:r>
      <w:proofErr w:type="gramEnd"/>
      <w:r w:rsidRPr="00E30CA3">
        <w:rPr>
          <w:lang w:val="en-AU"/>
        </w:rPr>
        <w:t xml:space="preserve"> that the two people in Matthew 5:39 are not social peers because a person would not randomly hit another social peer without provocation, unless they were using a left-handed slap. The use of the left-handed slap would also make slapping the person on </w:t>
      </w:r>
      <w:r w:rsidR="005C71CB" w:rsidRPr="00E30CA3">
        <w:rPr>
          <w:lang w:val="en-AU"/>
        </w:rPr>
        <w:t>‘</w:t>
      </w:r>
      <w:r w:rsidRPr="00E30CA3">
        <w:rPr>
          <w:lang w:val="en-AU"/>
        </w:rPr>
        <w:t>the other cheek</w:t>
      </w:r>
      <w:r w:rsidR="005C71CB" w:rsidRPr="00E30CA3">
        <w:rPr>
          <w:lang w:val="en-AU"/>
        </w:rPr>
        <w:t>’</w:t>
      </w:r>
      <w:r w:rsidRPr="00E30CA3">
        <w:rPr>
          <w:lang w:val="en-AU"/>
        </w:rPr>
        <w:t xml:space="preserve"> very difficult </w:t>
      </w:r>
      <w:r w:rsidR="00D95586" w:rsidRPr="00E30CA3">
        <w:rPr>
          <w:lang w:val="en-AU"/>
        </w:rPr>
        <w:t>owing</w:t>
      </w:r>
      <w:r w:rsidRPr="00E30CA3">
        <w:rPr>
          <w:lang w:val="en-AU"/>
        </w:rPr>
        <w:t xml:space="preserve"> to the proximity of the person </w:t>
      </w:r>
      <w:r w:rsidR="00D03D60" w:rsidRPr="00E30CA3">
        <w:rPr>
          <w:lang w:val="en-AU"/>
        </w:rPr>
        <w:t xml:space="preserve">doing the </w:t>
      </w:r>
      <w:r w:rsidRPr="00E30CA3">
        <w:rPr>
          <w:lang w:val="en-AU"/>
        </w:rPr>
        <w:t xml:space="preserve">slapping </w:t>
      </w:r>
      <w:proofErr w:type="gramStart"/>
      <w:r w:rsidRPr="00E30CA3">
        <w:rPr>
          <w:lang w:val="en-AU"/>
        </w:rPr>
        <w:t>and also</w:t>
      </w:r>
      <w:proofErr w:type="gramEnd"/>
      <w:r w:rsidRPr="00E30CA3">
        <w:rPr>
          <w:lang w:val="en-AU"/>
        </w:rPr>
        <w:t xml:space="preserve"> </w:t>
      </w:r>
      <w:r w:rsidR="00D03D60" w:rsidRPr="00E30CA3">
        <w:rPr>
          <w:lang w:val="en-AU"/>
        </w:rPr>
        <w:t xml:space="preserve">from </w:t>
      </w:r>
      <w:r w:rsidR="008F6FA1" w:rsidRPr="00E30CA3">
        <w:rPr>
          <w:lang w:val="en-AU"/>
        </w:rPr>
        <w:t>t</w:t>
      </w:r>
      <w:r w:rsidRPr="00E30CA3">
        <w:rPr>
          <w:lang w:val="en-AU"/>
        </w:rPr>
        <w:t xml:space="preserve">he functional use of the left-hand.  It is customary that the left-hand was used for toilet purposes.  It was </w:t>
      </w:r>
      <w:r w:rsidR="005C71CB" w:rsidRPr="00E30CA3">
        <w:rPr>
          <w:lang w:val="en-AU"/>
        </w:rPr>
        <w:t>‘</w:t>
      </w:r>
      <w:r w:rsidRPr="00E30CA3">
        <w:rPr>
          <w:lang w:val="en-AU"/>
        </w:rPr>
        <w:t>dirty</w:t>
      </w:r>
      <w:r w:rsidR="005C71CB" w:rsidRPr="00E30CA3">
        <w:rPr>
          <w:lang w:val="en-AU"/>
        </w:rPr>
        <w:t>’</w:t>
      </w:r>
      <w:r w:rsidRPr="00E30CA3">
        <w:rPr>
          <w:lang w:val="en-AU"/>
        </w:rPr>
        <w:t xml:space="preserve"> and taboo.  Furthermore, the social standing and ethnicity of the person slapping and being slapped are unknown.  Stassen and Gushee contend that being slapped would be a sign of inferiority and thus one would not necessarily know the social standing and ethnicity of th</w:t>
      </w:r>
      <w:r w:rsidR="002169EB" w:rsidRPr="00E30CA3">
        <w:rPr>
          <w:lang w:val="en-AU"/>
        </w:rPr>
        <w:t>at person</w:t>
      </w:r>
      <w:r w:rsidRPr="00E30CA3">
        <w:rPr>
          <w:lang w:val="en-AU"/>
        </w:rPr>
        <w:t>.</w:t>
      </w:r>
      <w:r w:rsidRPr="00E30CA3">
        <w:rPr>
          <w:rStyle w:val="FootnoteReference"/>
          <w:lang w:val="en-AU"/>
        </w:rPr>
        <w:footnoteReference w:id="664"/>
      </w:r>
      <w:r w:rsidRPr="00E30CA3">
        <w:rPr>
          <w:lang w:val="en-AU"/>
        </w:rPr>
        <w:t xml:space="preserve"> </w:t>
      </w:r>
      <w:r w:rsidR="004D732E" w:rsidRPr="00E30CA3">
        <w:rPr>
          <w:lang w:val="en-AU"/>
        </w:rPr>
        <w:t>B</w:t>
      </w:r>
      <w:r w:rsidRPr="00E30CA3">
        <w:rPr>
          <w:lang w:val="en-AU"/>
        </w:rPr>
        <w:t>eing slapped with the back of a hand was demeaning for anyone from a lower social standing such as a slave, no</w:t>
      </w:r>
      <w:r w:rsidR="002169EB" w:rsidRPr="00E30CA3">
        <w:rPr>
          <w:lang w:val="en-AU"/>
        </w:rPr>
        <w:t>n</w:t>
      </w:r>
      <w:r w:rsidRPr="00E30CA3">
        <w:rPr>
          <w:lang w:val="en-AU"/>
        </w:rPr>
        <w:t xml:space="preserve">-citizen, or women.  </w:t>
      </w:r>
      <w:r w:rsidRPr="00E30CA3">
        <w:rPr>
          <w:highlight w:val="green"/>
          <w:lang w:val="en-AU"/>
        </w:rPr>
        <w:t xml:space="preserve"> </w:t>
      </w:r>
    </w:p>
    <w:p w14:paraId="18C6D715" w14:textId="754EE15F" w:rsidR="00F2711E" w:rsidRPr="00E30CA3" w:rsidRDefault="00F2711E" w:rsidP="00F2711E">
      <w:pPr>
        <w:spacing w:before="120" w:line="480" w:lineRule="auto"/>
        <w:ind w:firstLine="720"/>
        <w:rPr>
          <w:lang w:val="en-AU"/>
        </w:rPr>
      </w:pPr>
      <w:r w:rsidRPr="00E30CA3">
        <w:rPr>
          <w:lang w:val="en-AU"/>
        </w:rPr>
        <w:t xml:space="preserve">When given the possibility of being slapped with a backhanded slap or an openhanded slap, the best choice </w:t>
      </w:r>
      <w:r w:rsidR="004D732E" w:rsidRPr="00E30CA3">
        <w:rPr>
          <w:lang w:val="en-AU"/>
        </w:rPr>
        <w:t>would be</w:t>
      </w:r>
      <w:r w:rsidRPr="00E30CA3">
        <w:rPr>
          <w:lang w:val="en-AU"/>
        </w:rPr>
        <w:t xml:space="preserve"> the backhanded slap mainly because the openhanded slap was only done </w:t>
      </w:r>
      <w:r w:rsidR="004D732E" w:rsidRPr="00E30CA3">
        <w:rPr>
          <w:lang w:val="en-AU"/>
        </w:rPr>
        <w:t>between</w:t>
      </w:r>
      <w:r w:rsidRPr="00E30CA3">
        <w:rPr>
          <w:lang w:val="en-AU"/>
        </w:rPr>
        <w:t xml:space="preserve"> peers and equal people</w:t>
      </w:r>
      <w:r w:rsidR="00477405" w:rsidRPr="00E30CA3">
        <w:rPr>
          <w:lang w:val="en-AU"/>
        </w:rPr>
        <w:t>.</w:t>
      </w:r>
      <w:r w:rsidRPr="00E30CA3">
        <w:rPr>
          <w:lang w:val="en-AU"/>
        </w:rPr>
        <w:t xml:space="preserve"> Matthew 5:39</w:t>
      </w:r>
      <w:r w:rsidR="00477405" w:rsidRPr="00E30CA3">
        <w:rPr>
          <w:lang w:val="en-AU"/>
        </w:rPr>
        <w:t xml:space="preserve"> </w:t>
      </w:r>
      <w:r w:rsidR="006F566F" w:rsidRPr="00E30CA3">
        <w:rPr>
          <w:lang w:val="en-AU"/>
        </w:rPr>
        <w:t>implies</w:t>
      </w:r>
      <w:r w:rsidR="00477405" w:rsidRPr="00E30CA3">
        <w:rPr>
          <w:lang w:val="en-AU"/>
        </w:rPr>
        <w:t xml:space="preserve"> </w:t>
      </w:r>
      <w:r w:rsidR="006F566F" w:rsidRPr="00E30CA3">
        <w:rPr>
          <w:lang w:val="en-AU"/>
        </w:rPr>
        <w:t xml:space="preserve">that </w:t>
      </w:r>
      <w:r w:rsidRPr="00E30CA3">
        <w:rPr>
          <w:lang w:val="en-AU"/>
        </w:rPr>
        <w:t xml:space="preserve">having to </w:t>
      </w:r>
      <w:r w:rsidR="005C71CB" w:rsidRPr="00E30CA3">
        <w:rPr>
          <w:lang w:val="en-AU"/>
        </w:rPr>
        <w:t>‘</w:t>
      </w:r>
      <w:r w:rsidRPr="00E30CA3">
        <w:rPr>
          <w:lang w:val="en-AU"/>
        </w:rPr>
        <w:t>turn your cheek</w:t>
      </w:r>
      <w:r w:rsidR="005C71CB" w:rsidRPr="00E30CA3">
        <w:rPr>
          <w:lang w:val="en-AU"/>
        </w:rPr>
        <w:t>’</w:t>
      </w:r>
      <w:r w:rsidRPr="00E30CA3">
        <w:rPr>
          <w:lang w:val="en-AU"/>
        </w:rPr>
        <w:t xml:space="preserve"> </w:t>
      </w:r>
      <w:r w:rsidR="006F566F" w:rsidRPr="00E30CA3">
        <w:rPr>
          <w:lang w:val="en-AU"/>
        </w:rPr>
        <w:t xml:space="preserve">means the slap was </w:t>
      </w:r>
      <w:r w:rsidRPr="00E30CA3">
        <w:rPr>
          <w:lang w:val="en-AU"/>
        </w:rPr>
        <w:t xml:space="preserve">done by a person who assumed they were </w:t>
      </w:r>
      <w:r w:rsidR="006F566F" w:rsidRPr="00E30CA3">
        <w:rPr>
          <w:lang w:val="en-AU"/>
        </w:rPr>
        <w:t xml:space="preserve">of </w:t>
      </w:r>
      <w:r w:rsidRPr="00E30CA3">
        <w:rPr>
          <w:lang w:val="en-AU"/>
        </w:rPr>
        <w:t xml:space="preserve">a higher social caste or class. Davis contends </w:t>
      </w:r>
      <w:r w:rsidR="004539FC" w:rsidRPr="00E30CA3">
        <w:rPr>
          <w:lang w:val="en-AU"/>
        </w:rPr>
        <w:t xml:space="preserve">that </w:t>
      </w:r>
      <w:r w:rsidR="00A6379F" w:rsidRPr="00E30CA3">
        <w:rPr>
          <w:lang w:val="en-AU"/>
        </w:rPr>
        <w:t xml:space="preserve">a </w:t>
      </w:r>
      <w:r w:rsidRPr="00E30CA3">
        <w:rPr>
          <w:lang w:val="en-AU"/>
        </w:rPr>
        <w:t xml:space="preserve">person who is insulted </w:t>
      </w:r>
      <w:r w:rsidR="00A6379F" w:rsidRPr="00E30CA3">
        <w:rPr>
          <w:lang w:val="en-AU"/>
        </w:rPr>
        <w:t xml:space="preserve">by means of a backhanded slap </w:t>
      </w:r>
      <w:r w:rsidRPr="00E30CA3">
        <w:rPr>
          <w:lang w:val="en-AU"/>
        </w:rPr>
        <w:t>w</w:t>
      </w:r>
      <w:r w:rsidR="00A6379F" w:rsidRPr="00E30CA3">
        <w:rPr>
          <w:lang w:val="en-AU"/>
        </w:rPr>
        <w:t>ould</w:t>
      </w:r>
      <w:r w:rsidRPr="00E30CA3">
        <w:rPr>
          <w:lang w:val="en-AU"/>
        </w:rPr>
        <w:t xml:space="preserve"> want to retaliate with the same type of slap; however, this would be an impulsive reaction.</w:t>
      </w:r>
      <w:r w:rsidRPr="00E30CA3">
        <w:rPr>
          <w:rStyle w:val="FootnoteReference"/>
          <w:lang w:val="en-AU"/>
        </w:rPr>
        <w:footnoteReference w:id="665"/>
      </w:r>
      <w:r w:rsidRPr="00E30CA3">
        <w:rPr>
          <w:lang w:val="en-AU"/>
        </w:rPr>
        <w:t xml:space="preserve">  When a person of a different social class or status backhands </w:t>
      </w:r>
      <w:r w:rsidR="00A6379F" w:rsidRPr="00E30CA3">
        <w:rPr>
          <w:lang w:val="en-AU"/>
        </w:rPr>
        <w:t>another</w:t>
      </w:r>
      <w:r w:rsidRPr="00E30CA3">
        <w:rPr>
          <w:lang w:val="en-AU"/>
        </w:rPr>
        <w:t xml:space="preserve"> on the left cheek</w:t>
      </w:r>
      <w:r w:rsidR="004539FC" w:rsidRPr="00E30CA3">
        <w:rPr>
          <w:lang w:val="en-AU"/>
        </w:rPr>
        <w:t xml:space="preserve">, </w:t>
      </w:r>
      <w:r w:rsidRPr="00E30CA3">
        <w:rPr>
          <w:lang w:val="en-AU"/>
        </w:rPr>
        <w:t>the response i</w:t>
      </w:r>
      <w:r w:rsidR="004539FC" w:rsidRPr="00E30CA3">
        <w:rPr>
          <w:lang w:val="en-AU"/>
        </w:rPr>
        <w:t>s</w:t>
      </w:r>
      <w:r w:rsidRPr="00E30CA3">
        <w:rPr>
          <w:lang w:val="en-AU"/>
        </w:rPr>
        <w:t xml:space="preserve"> to turn the right cheek toward them</w:t>
      </w:r>
      <w:r w:rsidR="004539FC" w:rsidRPr="00E30CA3">
        <w:rPr>
          <w:lang w:val="en-AU"/>
        </w:rPr>
        <w:t>. This</w:t>
      </w:r>
      <w:r w:rsidRPr="00E30CA3">
        <w:rPr>
          <w:lang w:val="en-AU"/>
        </w:rPr>
        <w:t xml:space="preserve"> empowers the person being </w:t>
      </w:r>
      <w:r w:rsidR="004539FC" w:rsidRPr="00E30CA3">
        <w:rPr>
          <w:lang w:val="en-AU"/>
        </w:rPr>
        <w:t>insult</w:t>
      </w:r>
      <w:r w:rsidRPr="00E30CA3">
        <w:rPr>
          <w:lang w:val="en-AU"/>
        </w:rPr>
        <w:t>ed through the slap to demand equality and justice.</w:t>
      </w:r>
      <w:r w:rsidRPr="00E30CA3">
        <w:rPr>
          <w:rStyle w:val="FootnoteReference"/>
          <w:lang w:val="en-AU"/>
        </w:rPr>
        <w:footnoteReference w:id="666"/>
      </w:r>
      <w:r w:rsidRPr="00E30CA3">
        <w:rPr>
          <w:lang w:val="en-AU"/>
        </w:rPr>
        <w:t xml:space="preserve">  By Jesus</w:t>
      </w:r>
      <w:r w:rsidR="005C71CB" w:rsidRPr="00E30CA3">
        <w:rPr>
          <w:lang w:val="en-AU"/>
        </w:rPr>
        <w:t>’</w:t>
      </w:r>
      <w:r w:rsidR="006D41DD">
        <w:rPr>
          <w:lang w:val="en-AU"/>
        </w:rPr>
        <w:t>s</w:t>
      </w:r>
      <w:r w:rsidRPr="00E30CA3">
        <w:rPr>
          <w:lang w:val="en-AU"/>
        </w:rPr>
        <w:t xml:space="preserve"> directing people to turn the </w:t>
      </w:r>
      <w:r w:rsidR="005C71CB" w:rsidRPr="00E30CA3">
        <w:rPr>
          <w:lang w:val="en-AU"/>
        </w:rPr>
        <w:t>‘</w:t>
      </w:r>
      <w:r w:rsidRPr="00E30CA3">
        <w:rPr>
          <w:lang w:val="en-AU"/>
        </w:rPr>
        <w:t>other</w:t>
      </w:r>
      <w:r w:rsidR="005C71CB" w:rsidRPr="00E30CA3">
        <w:rPr>
          <w:lang w:val="en-AU"/>
        </w:rPr>
        <w:t>’</w:t>
      </w:r>
      <w:r w:rsidRPr="00E30CA3">
        <w:rPr>
          <w:lang w:val="en-AU"/>
        </w:rPr>
        <w:t xml:space="preserve"> cheek,</w:t>
      </w:r>
      <w:r w:rsidR="00DB1F06" w:rsidRPr="00E30CA3">
        <w:rPr>
          <w:lang w:val="en-AU"/>
        </w:rPr>
        <w:t xml:space="preserve"> it may be assumed </w:t>
      </w:r>
      <w:r w:rsidRPr="00E30CA3">
        <w:rPr>
          <w:lang w:val="en-AU"/>
        </w:rPr>
        <w:t>that the slap was very offensive and humiliating.</w:t>
      </w:r>
      <w:r w:rsidRPr="00E30CA3">
        <w:rPr>
          <w:rStyle w:val="FootnoteReference"/>
          <w:lang w:val="en-AU"/>
        </w:rPr>
        <w:footnoteReference w:id="667"/>
      </w:r>
      <w:r w:rsidRPr="00E30CA3">
        <w:rPr>
          <w:lang w:val="en-AU"/>
        </w:rPr>
        <w:t xml:space="preserve"> The </w:t>
      </w:r>
      <w:r w:rsidRPr="00E30CA3">
        <w:rPr>
          <w:lang w:val="en-AU"/>
        </w:rPr>
        <w:lastRenderedPageBreak/>
        <w:t xml:space="preserve">justice </w:t>
      </w:r>
      <w:r w:rsidR="002F04DB" w:rsidRPr="00E30CA3">
        <w:rPr>
          <w:lang w:val="en-AU"/>
        </w:rPr>
        <w:t xml:space="preserve">accorded to </w:t>
      </w:r>
      <w:r w:rsidRPr="00E30CA3">
        <w:rPr>
          <w:lang w:val="en-AU"/>
        </w:rPr>
        <w:t>the person being slapped is unique to Jesus</w:t>
      </w:r>
      <w:r w:rsidR="005C71CB" w:rsidRPr="00E30CA3">
        <w:rPr>
          <w:lang w:val="en-AU"/>
        </w:rPr>
        <w:t>’</w:t>
      </w:r>
      <w:r w:rsidR="006D41DD">
        <w:rPr>
          <w:lang w:val="en-AU"/>
        </w:rPr>
        <w:t>s</w:t>
      </w:r>
      <w:r w:rsidRPr="00E30CA3">
        <w:rPr>
          <w:lang w:val="en-AU"/>
        </w:rPr>
        <w:t xml:space="preserve"> teachings:  it would be difficult to repeat the same slap again without changing from a backhand slap to a </w:t>
      </w:r>
      <w:r w:rsidR="002F04DB" w:rsidRPr="00E30CA3">
        <w:rPr>
          <w:lang w:val="en-AU"/>
        </w:rPr>
        <w:t>fore</w:t>
      </w:r>
      <w:r w:rsidRPr="00E30CA3">
        <w:rPr>
          <w:lang w:val="en-AU"/>
        </w:rPr>
        <w:t>handed</w:t>
      </w:r>
      <w:r w:rsidR="002F04DB" w:rsidRPr="00E30CA3">
        <w:rPr>
          <w:lang w:val="en-AU"/>
        </w:rPr>
        <w:t xml:space="preserve"> open</w:t>
      </w:r>
      <w:r w:rsidRPr="00E30CA3">
        <w:rPr>
          <w:lang w:val="en-AU"/>
        </w:rPr>
        <w:t xml:space="preserve"> slap. Social justice has been demanded and extracted in an unjust situation.  The only recourse would be for the aggressor either </w:t>
      </w:r>
      <w:r w:rsidR="001846B5" w:rsidRPr="00E30CA3">
        <w:rPr>
          <w:lang w:val="en-AU"/>
        </w:rPr>
        <w:t xml:space="preserve">to </w:t>
      </w:r>
      <w:r w:rsidRPr="00E30CA3">
        <w:rPr>
          <w:lang w:val="en-AU"/>
        </w:rPr>
        <w:t xml:space="preserve">punch to the face or </w:t>
      </w:r>
      <w:r w:rsidR="001846B5" w:rsidRPr="00E30CA3">
        <w:rPr>
          <w:lang w:val="en-AU"/>
        </w:rPr>
        <w:t xml:space="preserve">use </w:t>
      </w:r>
      <w:r w:rsidRPr="00E30CA3">
        <w:rPr>
          <w:lang w:val="en-AU"/>
        </w:rPr>
        <w:t xml:space="preserve">a left-handed slap—both </w:t>
      </w:r>
      <w:r w:rsidR="001846B5" w:rsidRPr="00E30CA3">
        <w:rPr>
          <w:lang w:val="en-AU"/>
        </w:rPr>
        <w:t>we</w:t>
      </w:r>
      <w:r w:rsidRPr="00E30CA3">
        <w:rPr>
          <w:lang w:val="en-AU"/>
        </w:rPr>
        <w:t xml:space="preserve">re regulated by Roman law.  </w:t>
      </w:r>
    </w:p>
    <w:p w14:paraId="1F360E08" w14:textId="307DAE4A" w:rsidR="00F2711E" w:rsidRPr="0072758C" w:rsidRDefault="00F2711E" w:rsidP="00F2711E">
      <w:pPr>
        <w:spacing w:before="120" w:line="480" w:lineRule="auto"/>
        <w:ind w:firstLine="720"/>
        <w:rPr>
          <w:lang w:val="en-AU"/>
        </w:rPr>
      </w:pPr>
      <w:r w:rsidRPr="0072758C">
        <w:rPr>
          <w:lang w:val="en-AU"/>
        </w:rPr>
        <w:t xml:space="preserve">In the New Testament, the book of John tells the story of </w:t>
      </w:r>
      <w:r w:rsidR="005C71CB" w:rsidRPr="0072758C">
        <w:rPr>
          <w:lang w:val="en-AU"/>
        </w:rPr>
        <w:t>‘</w:t>
      </w:r>
      <w:r w:rsidRPr="0072758C">
        <w:rPr>
          <w:lang w:val="en-AU"/>
        </w:rPr>
        <w:t>cheek</w:t>
      </w:r>
      <w:r w:rsidR="00F014FD" w:rsidRPr="0072758C">
        <w:rPr>
          <w:lang w:val="en-AU"/>
        </w:rPr>
        <w:t>-</w:t>
      </w:r>
      <w:r w:rsidRPr="0072758C">
        <w:rPr>
          <w:lang w:val="en-AU"/>
        </w:rPr>
        <w:t>slapping</w:t>
      </w:r>
      <w:r w:rsidR="005C71CB" w:rsidRPr="0072758C">
        <w:rPr>
          <w:lang w:val="en-AU"/>
        </w:rPr>
        <w:t>’</w:t>
      </w:r>
      <w:r w:rsidRPr="0072758C">
        <w:rPr>
          <w:lang w:val="en-AU"/>
        </w:rPr>
        <w:t xml:space="preserve"> at the trial of Jesus.  </w:t>
      </w:r>
      <w:r w:rsidR="00863B47" w:rsidRPr="0072758C">
        <w:rPr>
          <w:lang w:val="en-AU"/>
        </w:rPr>
        <w:t>“</w:t>
      </w:r>
      <w:r w:rsidR="005968FE" w:rsidRPr="0072758C">
        <w:rPr>
          <w:lang w:val="en-AU"/>
        </w:rPr>
        <w:t xml:space="preserve">When he had said this, one of the police standing nearby struck Jesus on the face, saying, </w:t>
      </w:r>
      <w:r w:rsidR="00863B47" w:rsidRPr="0072758C">
        <w:rPr>
          <w:lang w:val="en-AU"/>
        </w:rPr>
        <w:t>“</w:t>
      </w:r>
      <w:r w:rsidR="005968FE" w:rsidRPr="0072758C">
        <w:rPr>
          <w:lang w:val="en-AU"/>
        </w:rPr>
        <w:t>Is that how you answer the high priest?</w:t>
      </w:r>
      <w:r w:rsidR="00863B47" w:rsidRPr="0072758C">
        <w:rPr>
          <w:lang w:val="en-AU"/>
        </w:rPr>
        <w:t>”</w:t>
      </w:r>
      <w:r w:rsidR="005968FE" w:rsidRPr="0072758C">
        <w:rPr>
          <w:lang w:val="en-AU"/>
        </w:rPr>
        <w:t xml:space="preserve"> Jesus answered, </w:t>
      </w:r>
      <w:r w:rsidR="00863B47" w:rsidRPr="0072758C">
        <w:rPr>
          <w:lang w:val="en-AU"/>
        </w:rPr>
        <w:t>“</w:t>
      </w:r>
      <w:r w:rsidR="005968FE" w:rsidRPr="0072758C">
        <w:rPr>
          <w:lang w:val="en-AU"/>
        </w:rPr>
        <w:t>If I have spoken wrongly, testify to the wrong. But if I have spoken rightly, why do you strike me?</w:t>
      </w:r>
      <w:r w:rsidR="00863B47" w:rsidRPr="0072758C">
        <w:rPr>
          <w:lang w:val="en-AU"/>
        </w:rPr>
        <w:t>”</w:t>
      </w:r>
      <w:r w:rsidR="005968FE" w:rsidRPr="0072758C">
        <w:rPr>
          <w:lang w:val="en-AU"/>
        </w:rPr>
        <w:t> </w:t>
      </w:r>
      <w:r w:rsidR="009963CD" w:rsidRPr="0072758C">
        <w:rPr>
          <w:lang w:val="en-AU"/>
        </w:rPr>
        <w:t xml:space="preserve">(John 18:22,23). </w:t>
      </w:r>
      <w:r w:rsidRPr="0072758C">
        <w:rPr>
          <w:lang w:val="en-AU"/>
        </w:rPr>
        <w:t xml:space="preserve">Swartley </w:t>
      </w:r>
      <w:r w:rsidR="009963CD" w:rsidRPr="0072758C">
        <w:rPr>
          <w:lang w:val="en-AU"/>
        </w:rPr>
        <w:t>points out</w:t>
      </w:r>
      <w:r w:rsidR="0019291D" w:rsidRPr="0072758C">
        <w:rPr>
          <w:lang w:val="en-AU"/>
        </w:rPr>
        <w:t xml:space="preserve"> </w:t>
      </w:r>
      <w:r w:rsidRPr="0072758C">
        <w:rPr>
          <w:lang w:val="en-AU"/>
        </w:rPr>
        <w:t xml:space="preserve">that </w:t>
      </w:r>
      <w:r w:rsidR="00863B47" w:rsidRPr="0072758C">
        <w:rPr>
          <w:lang w:val="en-AU"/>
        </w:rPr>
        <w:t>“</w:t>
      </w:r>
      <w:r w:rsidRPr="0072758C">
        <w:rPr>
          <w:lang w:val="en-AU"/>
        </w:rPr>
        <w:t xml:space="preserve">Jesus himself did not turn the other cheek when struck at his trial, but rather challenged the smiter, </w:t>
      </w:r>
      <w:r w:rsidR="005C71CB" w:rsidRPr="0072758C">
        <w:rPr>
          <w:lang w:val="en-AU"/>
        </w:rPr>
        <w:t>‘</w:t>
      </w:r>
      <w:r w:rsidRPr="0072758C">
        <w:rPr>
          <w:lang w:val="en-AU"/>
        </w:rPr>
        <w:t>why do you strike me?</w:t>
      </w:r>
      <w:r w:rsidR="005C71CB" w:rsidRPr="0072758C">
        <w:rPr>
          <w:lang w:val="en-AU"/>
        </w:rPr>
        <w:t>’</w:t>
      </w:r>
      <w:r w:rsidRPr="0072758C">
        <w:rPr>
          <w:lang w:val="en-AU"/>
        </w:rPr>
        <w:t xml:space="preserve"> (Jn. 18:23).</w:t>
      </w:r>
      <w:r w:rsidR="00863B47" w:rsidRPr="0072758C">
        <w:rPr>
          <w:lang w:val="en-AU"/>
        </w:rPr>
        <w:t>”</w:t>
      </w:r>
      <w:r w:rsidRPr="0072758C">
        <w:rPr>
          <w:vertAlign w:val="superscript"/>
          <w:lang w:val="en-AU"/>
        </w:rPr>
        <w:footnoteReference w:id="668"/>
      </w:r>
      <w:r w:rsidRPr="0072758C">
        <w:rPr>
          <w:lang w:val="en-AU"/>
        </w:rPr>
        <w:t xml:space="preserve">  The initial response of Jesus </w:t>
      </w:r>
      <w:r w:rsidR="00B93B5F" w:rsidRPr="0072758C">
        <w:rPr>
          <w:lang w:val="en-AU"/>
        </w:rPr>
        <w:t>constitutes</w:t>
      </w:r>
      <w:r w:rsidRPr="0072758C">
        <w:rPr>
          <w:lang w:val="en-AU"/>
        </w:rPr>
        <w:t xml:space="preserve"> a nonviolent res</w:t>
      </w:r>
      <w:r w:rsidR="00B93B5F" w:rsidRPr="0072758C">
        <w:rPr>
          <w:lang w:val="en-AU"/>
        </w:rPr>
        <w:t>ponse</w:t>
      </w:r>
      <w:r w:rsidRPr="0072758C">
        <w:rPr>
          <w:lang w:val="en-AU"/>
        </w:rPr>
        <w:t xml:space="preserve"> </w:t>
      </w:r>
      <w:r w:rsidR="00B93B5F" w:rsidRPr="0072758C">
        <w:rPr>
          <w:lang w:val="en-AU"/>
        </w:rPr>
        <w:t>to</w:t>
      </w:r>
      <w:r w:rsidRPr="0072758C">
        <w:rPr>
          <w:lang w:val="en-AU"/>
        </w:rPr>
        <w:t xml:space="preserve"> an aggressor.  This typifies Jesus acting in a </w:t>
      </w:r>
      <w:r w:rsidR="00611617" w:rsidRPr="0072758C">
        <w:rPr>
          <w:lang w:val="en-AU"/>
        </w:rPr>
        <w:t>nonviolent</w:t>
      </w:r>
      <w:r w:rsidRPr="0072758C">
        <w:rPr>
          <w:lang w:val="en-AU"/>
        </w:rPr>
        <w:t xml:space="preserve"> </w:t>
      </w:r>
      <w:r w:rsidR="00AD692A" w:rsidRPr="0072758C">
        <w:rPr>
          <w:lang w:val="en-AU"/>
        </w:rPr>
        <w:t>response to</w:t>
      </w:r>
      <w:r w:rsidRPr="0072758C">
        <w:rPr>
          <w:lang w:val="en-AU"/>
        </w:rPr>
        <w:t xml:space="preserve"> those who abus</w:t>
      </w:r>
      <w:r w:rsidR="00AD692A" w:rsidRPr="0072758C">
        <w:rPr>
          <w:lang w:val="en-AU"/>
        </w:rPr>
        <w:t>e him</w:t>
      </w:r>
      <w:r w:rsidRPr="0072758C">
        <w:rPr>
          <w:lang w:val="en-AU"/>
        </w:rPr>
        <w:t xml:space="preserve">.  </w:t>
      </w:r>
      <w:r w:rsidR="00314D3E" w:rsidRPr="0072758C">
        <w:rPr>
          <w:lang w:val="en-AU"/>
        </w:rPr>
        <w:t>P</w:t>
      </w:r>
      <w:r w:rsidRPr="0072758C">
        <w:rPr>
          <w:lang w:val="en-AU"/>
        </w:rPr>
        <w:t>eter</w:t>
      </w:r>
      <w:r w:rsidR="005C71CB" w:rsidRPr="0072758C">
        <w:rPr>
          <w:lang w:val="en-AU"/>
        </w:rPr>
        <w:t>’</w:t>
      </w:r>
      <w:r w:rsidR="00314D3E" w:rsidRPr="0072758C">
        <w:rPr>
          <w:lang w:val="en-AU"/>
        </w:rPr>
        <w:t>s actions</w:t>
      </w:r>
      <w:r w:rsidR="00824456" w:rsidRPr="0072758C">
        <w:rPr>
          <w:lang w:val="en-AU"/>
        </w:rPr>
        <w:t>,</w:t>
      </w:r>
      <w:r w:rsidR="00314D3E" w:rsidRPr="0072758C">
        <w:rPr>
          <w:lang w:val="en-AU"/>
        </w:rPr>
        <w:t xml:space="preserve"> described</w:t>
      </w:r>
      <w:r w:rsidRPr="0072758C">
        <w:rPr>
          <w:lang w:val="en-AU"/>
        </w:rPr>
        <w:t xml:space="preserve"> in John 18:10 (NRSV)</w:t>
      </w:r>
      <w:r w:rsidR="00824456" w:rsidRPr="0072758C">
        <w:rPr>
          <w:lang w:val="en-AU"/>
        </w:rPr>
        <w:t>,</w:t>
      </w:r>
      <w:r w:rsidRPr="0072758C">
        <w:rPr>
          <w:lang w:val="en-AU"/>
        </w:rPr>
        <w:t xml:space="preserve"> w</w:t>
      </w:r>
      <w:r w:rsidR="008F668F" w:rsidRPr="0072758C">
        <w:rPr>
          <w:lang w:val="en-AU"/>
        </w:rPr>
        <w:t xml:space="preserve">ere quite </w:t>
      </w:r>
      <w:r w:rsidRPr="0072758C">
        <w:rPr>
          <w:lang w:val="en-AU"/>
        </w:rPr>
        <w:t xml:space="preserve">different </w:t>
      </w:r>
      <w:r w:rsidR="008F668F" w:rsidRPr="0072758C">
        <w:rPr>
          <w:lang w:val="en-AU"/>
        </w:rPr>
        <w:t>from</w:t>
      </w:r>
      <w:r w:rsidRPr="0072758C">
        <w:rPr>
          <w:lang w:val="en-AU"/>
        </w:rPr>
        <w:t xml:space="preserve"> Jesus</w:t>
      </w:r>
      <w:r w:rsidR="005C71CB" w:rsidRPr="0072758C">
        <w:rPr>
          <w:lang w:val="en-AU"/>
        </w:rPr>
        <w:t>’</w:t>
      </w:r>
      <w:r w:rsidR="006D41DD">
        <w:rPr>
          <w:lang w:val="en-AU"/>
        </w:rPr>
        <w:t>s</w:t>
      </w:r>
      <w:r w:rsidRPr="0072758C">
        <w:rPr>
          <w:lang w:val="en-AU"/>
        </w:rPr>
        <w:t xml:space="preserve"> actions and </w:t>
      </w:r>
      <w:r w:rsidR="008F668F" w:rsidRPr="0072758C">
        <w:rPr>
          <w:lang w:val="en-AU"/>
        </w:rPr>
        <w:t xml:space="preserve">he </w:t>
      </w:r>
      <w:r w:rsidRPr="0072758C">
        <w:rPr>
          <w:lang w:val="en-AU"/>
        </w:rPr>
        <w:t>was admonished</w:t>
      </w:r>
      <w:r w:rsidR="008F668F" w:rsidRPr="0072758C">
        <w:rPr>
          <w:lang w:val="en-AU"/>
        </w:rPr>
        <w:t>:</w:t>
      </w:r>
      <w:r w:rsidRPr="0072758C">
        <w:rPr>
          <w:lang w:val="en-AU"/>
        </w:rPr>
        <w:t xml:space="preserve"> </w:t>
      </w:r>
      <w:r w:rsidR="00863B47" w:rsidRPr="0072758C">
        <w:rPr>
          <w:lang w:val="en-AU"/>
        </w:rPr>
        <w:t>“</w:t>
      </w:r>
      <w:r w:rsidRPr="0072758C">
        <w:rPr>
          <w:lang w:val="en-AU"/>
        </w:rPr>
        <w:t>Then Simon Peter, who had a sword, drew it, struck the high priest</w:t>
      </w:r>
      <w:r w:rsidR="005C71CB" w:rsidRPr="0072758C">
        <w:rPr>
          <w:lang w:val="en-AU"/>
        </w:rPr>
        <w:t>’</w:t>
      </w:r>
      <w:r w:rsidRPr="0072758C">
        <w:rPr>
          <w:lang w:val="en-AU"/>
        </w:rPr>
        <w:t>s slave, and cut off his right ear. The slave</w:t>
      </w:r>
      <w:r w:rsidR="005C71CB" w:rsidRPr="0072758C">
        <w:rPr>
          <w:lang w:val="en-AU"/>
        </w:rPr>
        <w:t>’</w:t>
      </w:r>
      <w:r w:rsidRPr="0072758C">
        <w:rPr>
          <w:lang w:val="en-AU"/>
        </w:rPr>
        <w:t>s name was Malchus. </w:t>
      </w:r>
      <w:r w:rsidRPr="0072758C">
        <w:rPr>
          <w:b/>
          <w:bCs/>
          <w:vertAlign w:val="superscript"/>
          <w:lang w:val="en-AU"/>
        </w:rPr>
        <w:t> </w:t>
      </w:r>
      <w:r w:rsidRPr="0072758C">
        <w:rPr>
          <w:lang w:val="en-AU"/>
        </w:rPr>
        <w:t xml:space="preserve">Jesus said to Peter, </w:t>
      </w:r>
      <w:r w:rsidR="00863B47" w:rsidRPr="0072758C">
        <w:rPr>
          <w:lang w:val="en-AU"/>
        </w:rPr>
        <w:t>“</w:t>
      </w:r>
      <w:r w:rsidRPr="0072758C">
        <w:rPr>
          <w:lang w:val="en-AU"/>
        </w:rPr>
        <w:t xml:space="preserve">Put your sword back into its sheath. Am I not to drink the cup that the </w:t>
      </w:r>
      <w:proofErr w:type="gramStart"/>
      <w:r w:rsidRPr="0072758C">
        <w:rPr>
          <w:lang w:val="en-AU"/>
        </w:rPr>
        <w:t>Father</w:t>
      </w:r>
      <w:proofErr w:type="gramEnd"/>
      <w:r w:rsidRPr="0072758C">
        <w:rPr>
          <w:lang w:val="en-AU"/>
        </w:rPr>
        <w:t xml:space="preserve"> has given me?</w:t>
      </w:r>
      <w:r w:rsidR="00863B47" w:rsidRPr="0072758C">
        <w:rPr>
          <w:lang w:val="en-AU"/>
        </w:rPr>
        <w:t>”</w:t>
      </w:r>
      <w:r w:rsidRPr="0072758C">
        <w:rPr>
          <w:lang w:val="en-AU"/>
        </w:rPr>
        <w:t xml:space="preserve">  There is a time </w:t>
      </w:r>
      <w:r w:rsidR="00824456" w:rsidRPr="0072758C">
        <w:rPr>
          <w:lang w:val="en-AU"/>
        </w:rPr>
        <w:t>at</w:t>
      </w:r>
      <w:r w:rsidRPr="0072758C">
        <w:rPr>
          <w:lang w:val="en-AU"/>
        </w:rPr>
        <w:t xml:space="preserve"> which one should </w:t>
      </w:r>
      <w:r w:rsidR="005C71CB" w:rsidRPr="0072758C">
        <w:rPr>
          <w:lang w:val="en-AU"/>
        </w:rPr>
        <w:t>‘</w:t>
      </w:r>
      <w:r w:rsidRPr="0072758C">
        <w:rPr>
          <w:lang w:val="en-AU"/>
        </w:rPr>
        <w:t>turn the other cheek</w:t>
      </w:r>
      <w:r w:rsidR="005C71CB" w:rsidRPr="0072758C">
        <w:rPr>
          <w:lang w:val="en-AU"/>
        </w:rPr>
        <w:t>’</w:t>
      </w:r>
      <w:r w:rsidRPr="0072758C">
        <w:rPr>
          <w:lang w:val="en-AU"/>
        </w:rPr>
        <w:t xml:space="preserve"> and </w:t>
      </w:r>
      <w:r w:rsidR="004074FA" w:rsidRPr="0072758C">
        <w:rPr>
          <w:lang w:val="en-AU"/>
        </w:rPr>
        <w:t xml:space="preserve">a time when one should </w:t>
      </w:r>
      <w:r w:rsidRPr="0072758C">
        <w:rPr>
          <w:lang w:val="en-AU"/>
        </w:rPr>
        <w:t xml:space="preserve">not turn the cheek. Burridge contends that in the Matthew 5:39 an insult is intended.  Burridge states that </w:t>
      </w:r>
      <w:r w:rsidR="00863B47" w:rsidRPr="0072758C">
        <w:rPr>
          <w:lang w:val="en-AU"/>
        </w:rPr>
        <w:t>“</w:t>
      </w:r>
      <w:r w:rsidRPr="0072758C">
        <w:rPr>
          <w:lang w:val="en-AU"/>
        </w:rPr>
        <w:t>While Luke suggests simply being hit in the face, Matthew</w:t>
      </w:r>
      <w:r w:rsidR="005C71CB" w:rsidRPr="0072758C">
        <w:rPr>
          <w:lang w:val="en-AU"/>
        </w:rPr>
        <w:t>’</w:t>
      </w:r>
      <w:r w:rsidRPr="0072758C">
        <w:rPr>
          <w:lang w:val="en-AU"/>
        </w:rPr>
        <w:t xml:space="preserve">s specification of </w:t>
      </w:r>
      <w:r w:rsidR="005C71CB" w:rsidRPr="0072758C">
        <w:rPr>
          <w:lang w:val="en-AU"/>
        </w:rPr>
        <w:t>‘</w:t>
      </w:r>
      <w:r w:rsidRPr="0072758C">
        <w:rPr>
          <w:lang w:val="en-AU"/>
        </w:rPr>
        <w:t>the right cheek</w:t>
      </w:r>
      <w:r w:rsidR="005C71CB" w:rsidRPr="0072758C">
        <w:rPr>
          <w:lang w:val="en-AU"/>
        </w:rPr>
        <w:t>’</w:t>
      </w:r>
      <w:r w:rsidRPr="0072758C">
        <w:rPr>
          <w:lang w:val="en-AU"/>
        </w:rPr>
        <w:t xml:space="preserve"> (Matt. 5:39; cf. Luke 6:29) entails a more insulting back-handed blow dealt by a superior like a master to a slave or </w:t>
      </w:r>
      <w:r w:rsidR="005C71CB" w:rsidRPr="0072758C">
        <w:rPr>
          <w:lang w:val="en-AU"/>
        </w:rPr>
        <w:t>‘</w:t>
      </w:r>
      <w:r w:rsidRPr="0072758C">
        <w:rPr>
          <w:lang w:val="en-AU"/>
        </w:rPr>
        <w:t xml:space="preserve">the </w:t>
      </w:r>
      <w:r w:rsidRPr="0072758C">
        <w:rPr>
          <w:lang w:val="en-AU"/>
        </w:rPr>
        <w:lastRenderedPageBreak/>
        <w:t>religious elite with dangerous preacher.</w:t>
      </w:r>
      <w:r w:rsidR="005C71CB" w:rsidRPr="0072758C">
        <w:rPr>
          <w:lang w:val="en-AU"/>
        </w:rPr>
        <w:t>’</w:t>
      </w:r>
      <w:r w:rsidR="00863B47" w:rsidRPr="0072758C">
        <w:rPr>
          <w:lang w:val="en-AU"/>
        </w:rPr>
        <w:t>”</w:t>
      </w:r>
      <w:r w:rsidRPr="0072758C">
        <w:rPr>
          <w:rStyle w:val="FootnoteReference"/>
          <w:lang w:val="en-AU"/>
        </w:rPr>
        <w:footnoteReference w:id="669"/>
      </w:r>
      <w:r w:rsidRPr="0072758C">
        <w:rPr>
          <w:lang w:val="en-AU"/>
        </w:rPr>
        <w:t xml:space="preserve"> Turning the cheek is an ethical </w:t>
      </w:r>
      <w:r w:rsidR="00D771EE" w:rsidRPr="0072758C">
        <w:rPr>
          <w:lang w:val="en-AU"/>
        </w:rPr>
        <w:t xml:space="preserve">response to </w:t>
      </w:r>
      <w:r w:rsidR="000C3E35" w:rsidRPr="0072758C">
        <w:rPr>
          <w:lang w:val="en-AU"/>
        </w:rPr>
        <w:t>mistreatment</w:t>
      </w:r>
      <w:r w:rsidRPr="0072758C">
        <w:rPr>
          <w:lang w:val="en-AU"/>
        </w:rPr>
        <w:t xml:space="preserve"> by an abuser.  What is not evident in the Matthew 5:39 account is how</w:t>
      </w:r>
      <w:r w:rsidR="00F22870" w:rsidRPr="0072758C">
        <w:rPr>
          <w:lang w:val="en-AU"/>
        </w:rPr>
        <w:t xml:space="preserve"> justice is served</w:t>
      </w:r>
      <w:r w:rsidR="00D771EE" w:rsidRPr="0072758C">
        <w:rPr>
          <w:lang w:val="en-AU"/>
        </w:rPr>
        <w:t xml:space="preserve"> </w:t>
      </w:r>
      <w:r w:rsidRPr="0072758C">
        <w:rPr>
          <w:lang w:val="en-AU"/>
        </w:rPr>
        <w:t xml:space="preserve">when a person sues another </w:t>
      </w:r>
      <w:r w:rsidR="00F22870" w:rsidRPr="0072758C">
        <w:rPr>
          <w:lang w:val="en-AU"/>
        </w:rPr>
        <w:t>through the legal syste</w:t>
      </w:r>
      <w:r w:rsidR="007E7D78" w:rsidRPr="0072758C">
        <w:rPr>
          <w:lang w:val="en-AU"/>
        </w:rPr>
        <w:t>m</w:t>
      </w:r>
      <w:r w:rsidRPr="0072758C">
        <w:rPr>
          <w:lang w:val="en-AU"/>
        </w:rPr>
        <w:t xml:space="preserve">. Davis contends that the court </w:t>
      </w:r>
      <w:r w:rsidR="007E7D78" w:rsidRPr="0072758C">
        <w:rPr>
          <w:lang w:val="en-AU"/>
        </w:rPr>
        <w:t>provides</w:t>
      </w:r>
      <w:r w:rsidRPr="0072758C">
        <w:rPr>
          <w:lang w:val="en-AU"/>
        </w:rPr>
        <w:t xml:space="preserve"> a </w:t>
      </w:r>
      <w:r w:rsidR="007E7D78" w:rsidRPr="0072758C">
        <w:rPr>
          <w:lang w:val="en-AU"/>
        </w:rPr>
        <w:t>means</w:t>
      </w:r>
      <w:r w:rsidRPr="0072758C">
        <w:rPr>
          <w:lang w:val="en-AU"/>
        </w:rPr>
        <w:t xml:space="preserve"> to seek legal retaliation </w:t>
      </w:r>
      <w:r w:rsidR="007E7D78" w:rsidRPr="0072758C">
        <w:rPr>
          <w:lang w:val="en-AU"/>
        </w:rPr>
        <w:t xml:space="preserve">without resort to </w:t>
      </w:r>
      <w:r w:rsidRPr="0072758C">
        <w:rPr>
          <w:lang w:val="en-AU"/>
        </w:rPr>
        <w:t xml:space="preserve">physical contact. </w:t>
      </w:r>
    </w:p>
    <w:p w14:paraId="77C514BB" w14:textId="160307B2" w:rsidR="00F2711E" w:rsidRPr="009E7B69" w:rsidRDefault="00532284" w:rsidP="00BC7015">
      <w:pPr>
        <w:pStyle w:val="Heading2"/>
        <w:rPr>
          <w:bCs/>
        </w:rPr>
      </w:pPr>
      <w:bookmarkStart w:id="199" w:name="_Toc199523938"/>
      <w:bookmarkStart w:id="200" w:name="_Toc210760494"/>
      <w:bookmarkStart w:id="201" w:name="_Toc213307218"/>
      <w:bookmarkStart w:id="202" w:name="_Toc213482491"/>
      <w:bookmarkStart w:id="203" w:name="_Toc81571215"/>
      <w:bookmarkStart w:id="204" w:name="_Toc94537048"/>
      <w:bookmarkStart w:id="205" w:name="_Toc118063695"/>
      <w:r w:rsidRPr="009E7B69">
        <w:t>9</w:t>
      </w:r>
      <w:r w:rsidR="00F2711E" w:rsidRPr="009E7B69">
        <w:t>.</w:t>
      </w:r>
      <w:r w:rsidR="005C032C" w:rsidRPr="009E7B69">
        <w:t>8</w:t>
      </w:r>
      <w:r w:rsidR="00F2711E" w:rsidRPr="009E7B69">
        <w:t xml:space="preserve"> </w:t>
      </w:r>
      <w:bookmarkStart w:id="206" w:name="_Toc215743057"/>
      <w:bookmarkStart w:id="207" w:name="_Toc223675584"/>
      <w:r w:rsidR="00111BF0" w:rsidRPr="009E7B69">
        <w:t>Matthew 5:40</w:t>
      </w:r>
      <w:r w:rsidR="008E47C9" w:rsidRPr="009E7B69">
        <w:t xml:space="preserve">, </w:t>
      </w:r>
      <w:r w:rsidR="008E47C9" w:rsidRPr="009E7B69">
        <w:rPr>
          <w:i/>
          <w:iCs/>
        </w:rPr>
        <w:t>Mishna Avot,</w:t>
      </w:r>
      <w:r w:rsidR="00111BF0" w:rsidRPr="009E7B69">
        <w:t xml:space="preserve"> </w:t>
      </w:r>
      <w:bookmarkEnd w:id="199"/>
      <w:bookmarkEnd w:id="200"/>
      <w:bookmarkEnd w:id="201"/>
      <w:bookmarkEnd w:id="202"/>
      <w:bookmarkEnd w:id="206"/>
      <w:bookmarkEnd w:id="207"/>
      <w:r w:rsidR="008E47C9" w:rsidRPr="009E7B69">
        <w:t xml:space="preserve">and </w:t>
      </w:r>
      <w:r w:rsidR="00A224F2" w:rsidRPr="009E7B69">
        <w:t>Roman law</w:t>
      </w:r>
      <w:bookmarkEnd w:id="203"/>
      <w:bookmarkEnd w:id="204"/>
      <w:bookmarkEnd w:id="205"/>
    </w:p>
    <w:p w14:paraId="285E6F56" w14:textId="2AFD24EA" w:rsidR="005101E8" w:rsidRPr="0072758C" w:rsidRDefault="00477405" w:rsidP="005101E8">
      <w:pPr>
        <w:spacing w:before="120" w:line="480" w:lineRule="auto"/>
        <w:ind w:firstLine="709"/>
        <w:rPr>
          <w:highlight w:val="green"/>
          <w:lang w:val="en-AU"/>
        </w:rPr>
      </w:pPr>
      <w:r w:rsidRPr="0072758C">
        <w:rPr>
          <w:lang w:val="en-AU"/>
        </w:rPr>
        <w:t xml:space="preserve">The commonalities between Matthew 5:40 and </w:t>
      </w:r>
      <w:r w:rsidRPr="0072758C">
        <w:rPr>
          <w:i/>
          <w:iCs/>
          <w:lang w:val="en-AU"/>
        </w:rPr>
        <w:t>Mishna Avot</w:t>
      </w:r>
      <w:r w:rsidRPr="0072758C">
        <w:rPr>
          <w:lang w:val="en-AU"/>
        </w:rPr>
        <w:t xml:space="preserve"> </w:t>
      </w:r>
      <w:r w:rsidR="00AE09C4" w:rsidRPr="0072758C">
        <w:rPr>
          <w:lang w:val="en-AU"/>
        </w:rPr>
        <w:t>we</w:t>
      </w:r>
      <w:r w:rsidRPr="0072758C">
        <w:rPr>
          <w:lang w:val="en-AU"/>
        </w:rPr>
        <w:t xml:space="preserve">re both influenced </w:t>
      </w:r>
      <w:r w:rsidR="004F77C3" w:rsidRPr="0072758C">
        <w:rPr>
          <w:lang w:val="en-AU"/>
        </w:rPr>
        <w:t>by</w:t>
      </w:r>
      <w:r w:rsidRPr="0072758C">
        <w:rPr>
          <w:lang w:val="en-AU"/>
        </w:rPr>
        <w:t xml:space="preserve"> Roman Law. </w:t>
      </w:r>
      <w:r w:rsidR="00F2711E" w:rsidRPr="0072758C">
        <w:rPr>
          <w:lang w:val="en-AU"/>
        </w:rPr>
        <w:t xml:space="preserve">The Mosaic Law must balance and </w:t>
      </w:r>
      <w:proofErr w:type="gramStart"/>
      <w:r w:rsidR="00F2711E" w:rsidRPr="0072758C">
        <w:rPr>
          <w:lang w:val="en-AU"/>
        </w:rPr>
        <w:t>take into account</w:t>
      </w:r>
      <w:proofErr w:type="gramEnd"/>
      <w:r w:rsidR="00F2711E" w:rsidRPr="0072758C">
        <w:rPr>
          <w:lang w:val="en-AU"/>
        </w:rPr>
        <w:t xml:space="preserve"> the legal customs of the region.</w:t>
      </w:r>
      <w:r w:rsidR="00F2711E" w:rsidRPr="0072758C">
        <w:rPr>
          <w:vertAlign w:val="superscript"/>
          <w:lang w:val="en-AU"/>
        </w:rPr>
        <w:footnoteReference w:id="670"/>
      </w:r>
      <w:r w:rsidR="00F2711E" w:rsidRPr="0072758C">
        <w:rPr>
          <w:lang w:val="en-AU"/>
        </w:rPr>
        <w:t xml:space="preserve">  The people of Judea lived under Roman occupation.  Living under Roman occupation subjected the Jewish people to the Roman Laws of the land.  Only religious matters were left to the </w:t>
      </w:r>
      <w:r w:rsidR="00F2711E" w:rsidRPr="0072758C">
        <w:rPr>
          <w:i/>
          <w:iCs/>
          <w:lang w:val="en-AU"/>
        </w:rPr>
        <w:t>Sanhedrin</w:t>
      </w:r>
      <w:r w:rsidR="00F2711E" w:rsidRPr="0072758C">
        <w:rPr>
          <w:lang w:val="en-AU"/>
        </w:rPr>
        <w:t>.</w:t>
      </w:r>
      <w:r w:rsidR="00F2711E" w:rsidRPr="0072758C">
        <w:rPr>
          <w:vertAlign w:val="superscript"/>
          <w:lang w:val="en-AU"/>
        </w:rPr>
        <w:footnoteReference w:id="671"/>
      </w:r>
      <w:r w:rsidR="00F2711E" w:rsidRPr="0072758C">
        <w:rPr>
          <w:lang w:val="en-AU"/>
        </w:rPr>
        <w:t xml:space="preserve"> Matthew 5:40</w:t>
      </w:r>
      <w:r w:rsidR="004F77C3" w:rsidRPr="0072758C">
        <w:rPr>
          <w:lang w:val="en-AU"/>
        </w:rPr>
        <w:t xml:space="preserve"> </w:t>
      </w:r>
      <w:r w:rsidR="00F2711E" w:rsidRPr="0072758C">
        <w:rPr>
          <w:lang w:val="en-AU"/>
        </w:rPr>
        <w:t xml:space="preserve">states </w:t>
      </w:r>
      <w:r w:rsidR="00863B47" w:rsidRPr="0072758C">
        <w:rPr>
          <w:lang w:val="en-AU"/>
        </w:rPr>
        <w:t>“</w:t>
      </w:r>
      <w:r w:rsidR="00F2711E" w:rsidRPr="0072758C">
        <w:rPr>
          <w:lang w:val="en-AU"/>
        </w:rPr>
        <w:t>καὶ τῷ θέλοντί σοι κριθῆναι καὶ τὸν χιτῶνά σου λαβεῖν, ἄφες αὐτῷ καὶ τὸ ἱμάτιον</w:t>
      </w:r>
      <w:r w:rsidR="008D7AF6" w:rsidRPr="0072758C">
        <w:rPr>
          <w:lang w:val="en-AU"/>
        </w:rPr>
        <w:t>.</w:t>
      </w:r>
      <w:r w:rsidR="00863B47" w:rsidRPr="0072758C">
        <w:rPr>
          <w:lang w:val="en-AU"/>
        </w:rPr>
        <w:t>”</w:t>
      </w:r>
      <w:r w:rsidR="00F2711E" w:rsidRPr="0072758C">
        <w:rPr>
          <w:lang w:val="en-AU"/>
        </w:rPr>
        <w:t xml:space="preserve"> </w:t>
      </w:r>
      <w:r w:rsidR="004F77C3" w:rsidRPr="0072758C">
        <w:rPr>
          <w:lang w:val="en-AU"/>
        </w:rPr>
        <w:t>An</w:t>
      </w:r>
      <w:r w:rsidR="008D7AF6" w:rsidRPr="0072758C">
        <w:rPr>
          <w:lang w:val="en-AU"/>
        </w:rPr>
        <w:t xml:space="preserve"> English </w:t>
      </w:r>
      <w:r w:rsidR="00F9045E" w:rsidRPr="0072758C">
        <w:rPr>
          <w:lang w:val="en-AU"/>
        </w:rPr>
        <w:t xml:space="preserve">translation </w:t>
      </w:r>
      <w:r w:rsidR="008D7AF6" w:rsidRPr="0072758C">
        <w:rPr>
          <w:lang w:val="en-AU"/>
        </w:rPr>
        <w:t>of this r</w:t>
      </w:r>
      <w:r w:rsidR="00F2711E" w:rsidRPr="0072758C">
        <w:rPr>
          <w:lang w:val="en-AU"/>
        </w:rPr>
        <w:t xml:space="preserve">eads, </w:t>
      </w:r>
      <w:r w:rsidR="00863B47" w:rsidRPr="0072758C">
        <w:rPr>
          <w:lang w:val="en-AU"/>
        </w:rPr>
        <w:t>“</w:t>
      </w:r>
      <w:r w:rsidR="00F2711E" w:rsidRPr="0072758C">
        <w:rPr>
          <w:lang w:val="en-AU"/>
        </w:rPr>
        <w:t>and if someone wants to sue you and take your tunic, let him have your cloak as well.</w:t>
      </w:r>
      <w:r w:rsidR="00863B47" w:rsidRPr="0072758C">
        <w:rPr>
          <w:lang w:val="en-AU"/>
        </w:rPr>
        <w:t>”</w:t>
      </w:r>
      <w:r w:rsidR="00F2711E" w:rsidRPr="0072758C">
        <w:rPr>
          <w:lang w:val="en-AU"/>
        </w:rPr>
        <w:t xml:space="preserve"> Giving someone your tunic and your cloak is not about benevolence. Udoh contends that </w:t>
      </w:r>
      <w:r w:rsidR="00863B47" w:rsidRPr="0072758C">
        <w:rPr>
          <w:lang w:val="en-AU"/>
        </w:rPr>
        <w:t>“</w:t>
      </w:r>
      <w:r w:rsidR="00F2711E" w:rsidRPr="0072758C">
        <w:rPr>
          <w:lang w:val="en-AU"/>
        </w:rPr>
        <w:t>because the [Jewish] law did not permit taking away a man</w:t>
      </w:r>
      <w:r w:rsidR="005C71CB" w:rsidRPr="0072758C">
        <w:rPr>
          <w:lang w:val="en-AU"/>
        </w:rPr>
        <w:t>’</w:t>
      </w:r>
      <w:r w:rsidR="00F2711E" w:rsidRPr="0072758C">
        <w:rPr>
          <w:lang w:val="en-AU"/>
        </w:rPr>
        <w:t>s cloak overnight, for fear he might freeze to death while sleeping [Exodus 22.26</w:t>
      </w:r>
      <w:r w:rsidR="00504DF1" w:rsidRPr="0072758C">
        <w:rPr>
          <w:lang w:val="en-AU"/>
        </w:rPr>
        <w:t>–</w:t>
      </w:r>
      <w:r w:rsidR="00F2711E" w:rsidRPr="0072758C">
        <w:rPr>
          <w:lang w:val="en-AU"/>
        </w:rPr>
        <w:t>27; Deut. 24. 12</w:t>
      </w:r>
      <w:r w:rsidR="00504DF1" w:rsidRPr="0072758C">
        <w:rPr>
          <w:lang w:val="en-AU"/>
        </w:rPr>
        <w:t>–</w:t>
      </w:r>
      <w:r w:rsidR="00F2711E" w:rsidRPr="0072758C">
        <w:rPr>
          <w:lang w:val="en-AU"/>
        </w:rPr>
        <w:t>13],</w:t>
      </w:r>
      <w:r w:rsidR="00863B47" w:rsidRPr="0072758C">
        <w:rPr>
          <w:lang w:val="en-AU"/>
        </w:rPr>
        <w:t>”</w:t>
      </w:r>
      <w:r w:rsidR="00F2711E" w:rsidRPr="0072758C">
        <w:rPr>
          <w:lang w:val="en-AU"/>
        </w:rPr>
        <w:t xml:space="preserve"> there is an element of justice, ethics, and mercy in the actions of person.</w:t>
      </w:r>
      <w:r w:rsidR="00F2711E" w:rsidRPr="0072758C">
        <w:rPr>
          <w:rStyle w:val="FootnoteReference"/>
          <w:lang w:val="en-AU"/>
        </w:rPr>
        <w:footnoteReference w:id="672"/>
      </w:r>
      <w:r w:rsidR="00F2711E" w:rsidRPr="0072758C">
        <w:rPr>
          <w:lang w:val="en-AU"/>
        </w:rPr>
        <w:t xml:space="preserve"> Legal protections were in place for money</w:t>
      </w:r>
      <w:r w:rsidR="00580522" w:rsidRPr="0072758C">
        <w:rPr>
          <w:lang w:val="en-AU"/>
        </w:rPr>
        <w:t>-</w:t>
      </w:r>
      <w:r w:rsidR="00F2711E" w:rsidRPr="0072758C">
        <w:rPr>
          <w:lang w:val="en-AU"/>
        </w:rPr>
        <w:t>borrowers.</w:t>
      </w:r>
      <w:r w:rsidR="00F2711E" w:rsidRPr="0072758C">
        <w:rPr>
          <w:rStyle w:val="FootnoteReference"/>
          <w:lang w:val="en-AU"/>
        </w:rPr>
        <w:footnoteReference w:id="673"/>
      </w:r>
      <w:r w:rsidR="00F2711E" w:rsidRPr="0072758C">
        <w:rPr>
          <w:lang w:val="en-AU"/>
        </w:rPr>
        <w:t xml:space="preserve"> The same ethical guidelines existed for both the collection of money and the </w:t>
      </w:r>
      <w:r w:rsidR="00F2711E" w:rsidRPr="0072758C">
        <w:rPr>
          <w:lang w:val="en-AU"/>
        </w:rPr>
        <w:lastRenderedPageBreak/>
        <w:t xml:space="preserve">lending of money. </w:t>
      </w:r>
      <w:r w:rsidR="005101E8" w:rsidRPr="0072758C">
        <w:rPr>
          <w:lang w:val="en-AU"/>
        </w:rPr>
        <w:t>The legal system needs to distribute justice, not arbitrary human action.   Burridge writes:</w:t>
      </w:r>
    </w:p>
    <w:p w14:paraId="5BFF81A3" w14:textId="0E0F6D72" w:rsidR="00D25D36" w:rsidRPr="0072758C" w:rsidRDefault="005101E8" w:rsidP="00532284">
      <w:pPr>
        <w:pStyle w:val="Blockquotation"/>
        <w:rPr>
          <w:sz w:val="24"/>
          <w:lang w:val="en-AU"/>
        </w:rPr>
      </w:pPr>
      <w:r w:rsidRPr="0072758C">
        <w:rPr>
          <w:sz w:val="24"/>
          <w:lang w:val="en-AU"/>
        </w:rPr>
        <w:t>Jesus tells his hearers to hand over their [cloaks] also. While this has traditionally been seen as a call to being meek and submissive, interpreters like Wink and Carter see it more as nonviolent resistance to evil: By standing naked before one</w:t>
      </w:r>
      <w:r w:rsidR="005C71CB" w:rsidRPr="0072758C">
        <w:rPr>
          <w:sz w:val="24"/>
          <w:lang w:val="en-AU"/>
        </w:rPr>
        <w:t>’</w:t>
      </w:r>
      <w:r w:rsidRPr="0072758C">
        <w:rPr>
          <w:sz w:val="24"/>
          <w:lang w:val="en-AU"/>
        </w:rPr>
        <w:t>s creditor who has both garments in his hand, one shames and dishonors the creditor. Nakedness exposes, among other things, the greed and cruel effect of the creditor</w:t>
      </w:r>
      <w:r w:rsidR="005C71CB" w:rsidRPr="0072758C">
        <w:rPr>
          <w:sz w:val="24"/>
          <w:lang w:val="en-AU"/>
        </w:rPr>
        <w:t>’</w:t>
      </w:r>
      <w:r w:rsidRPr="0072758C">
        <w:rPr>
          <w:sz w:val="24"/>
          <w:lang w:val="en-AU"/>
        </w:rPr>
        <w:t>s action and the unjust system the creditor represents.</w:t>
      </w:r>
      <w:r w:rsidRPr="0072758C">
        <w:rPr>
          <w:rStyle w:val="FootnoteReference"/>
          <w:sz w:val="24"/>
          <w:lang w:val="en-AU"/>
        </w:rPr>
        <w:footnoteReference w:id="674"/>
      </w:r>
    </w:p>
    <w:p w14:paraId="04557E5D" w14:textId="4A7C88A6" w:rsidR="00F2711E" w:rsidRPr="0072758C" w:rsidRDefault="005101E8" w:rsidP="00AB2072">
      <w:pPr>
        <w:spacing w:before="240" w:line="480" w:lineRule="auto"/>
        <w:ind w:right="706"/>
        <w:rPr>
          <w:lang w:val="en-AU"/>
        </w:rPr>
      </w:pPr>
      <w:r w:rsidRPr="0072758C">
        <w:rPr>
          <w:lang w:val="en-AU"/>
        </w:rPr>
        <w:t xml:space="preserve">Burridge suggests that </w:t>
      </w:r>
      <w:r w:rsidR="006940C6" w:rsidRPr="0072758C">
        <w:rPr>
          <w:lang w:val="en-AU"/>
        </w:rPr>
        <w:t xml:space="preserve">the use of nudity will shame and dishonor a malicious creditor. </w:t>
      </w:r>
      <w:r w:rsidR="00750D40" w:rsidRPr="0072758C">
        <w:rPr>
          <w:lang w:val="en-AU"/>
        </w:rPr>
        <w:t xml:space="preserve">There is </w:t>
      </w:r>
      <w:r w:rsidR="00F2711E" w:rsidRPr="0072758C">
        <w:rPr>
          <w:lang w:val="en-AU"/>
        </w:rPr>
        <w:t xml:space="preserve">evidence </w:t>
      </w:r>
      <w:r w:rsidR="00AA4917" w:rsidRPr="0072758C">
        <w:rPr>
          <w:lang w:val="en-AU"/>
        </w:rPr>
        <w:t xml:space="preserve">of the </w:t>
      </w:r>
      <w:r w:rsidR="00F2711E" w:rsidRPr="0072758C">
        <w:rPr>
          <w:lang w:val="en-AU"/>
        </w:rPr>
        <w:t>exist</w:t>
      </w:r>
      <w:r w:rsidR="00AA4917" w:rsidRPr="0072758C">
        <w:rPr>
          <w:lang w:val="en-AU"/>
        </w:rPr>
        <w:t>ence</w:t>
      </w:r>
      <w:r w:rsidR="00F2711E" w:rsidRPr="0072758C">
        <w:rPr>
          <w:lang w:val="en-AU"/>
        </w:rPr>
        <w:t xml:space="preserve"> of an internal Jewish system of taxation </w:t>
      </w:r>
      <w:r w:rsidR="00AA4917" w:rsidRPr="0072758C">
        <w:rPr>
          <w:lang w:val="en-AU"/>
        </w:rPr>
        <w:t>d</w:t>
      </w:r>
      <w:r w:rsidR="00750D40" w:rsidRPr="0072758C">
        <w:rPr>
          <w:lang w:val="en-AU"/>
        </w:rPr>
        <w:t xml:space="preserve">uring the Second Temple period </w:t>
      </w:r>
      <w:r w:rsidR="00F2711E" w:rsidRPr="0072758C">
        <w:rPr>
          <w:lang w:val="en-AU"/>
        </w:rPr>
        <w:t>acknowledged by the Roman Empire, most of which was used to sustain the Temple, the priests, and the Levites. Furthermore, a tax exemption granted by Caesar for the Sabbatical Year indicates Jewish observance of this mitzvah. The poor man</w:t>
      </w:r>
      <w:r w:rsidR="005C71CB" w:rsidRPr="0072758C">
        <w:rPr>
          <w:lang w:val="en-AU"/>
        </w:rPr>
        <w:t>’</w:t>
      </w:r>
      <w:r w:rsidR="00F2711E" w:rsidRPr="0072758C">
        <w:rPr>
          <w:lang w:val="en-AU"/>
        </w:rPr>
        <w:t>s tithes and other produce gifts are best understood as components of this Jewish taxation framework.</w:t>
      </w:r>
      <w:r w:rsidR="00F2711E" w:rsidRPr="0072758C">
        <w:rPr>
          <w:rStyle w:val="FootnoteReference"/>
          <w:lang w:val="en-AU"/>
        </w:rPr>
        <w:footnoteReference w:id="675"/>
      </w:r>
    </w:p>
    <w:p w14:paraId="41CCD487" w14:textId="21ED4A66" w:rsidR="00F2711E" w:rsidRPr="0072758C" w:rsidRDefault="00353B86" w:rsidP="005101E8">
      <w:pPr>
        <w:spacing w:before="120" w:line="480" w:lineRule="auto"/>
        <w:ind w:firstLine="709"/>
        <w:rPr>
          <w:highlight w:val="green"/>
          <w:lang w:val="en-AU"/>
        </w:rPr>
      </w:pPr>
      <w:r w:rsidRPr="0072758C">
        <w:rPr>
          <w:lang w:val="en-AU"/>
        </w:rPr>
        <w:t xml:space="preserve">Rome </w:t>
      </w:r>
      <w:r w:rsidR="00E65CCA" w:rsidRPr="0072758C">
        <w:rPr>
          <w:lang w:val="en-AU"/>
        </w:rPr>
        <w:t>imposed</w:t>
      </w:r>
      <w:r w:rsidRPr="0072758C">
        <w:rPr>
          <w:lang w:val="en-AU"/>
        </w:rPr>
        <w:t xml:space="preserve"> heavy taxation. </w:t>
      </w:r>
      <w:r w:rsidR="00F2711E" w:rsidRPr="0072758C">
        <w:rPr>
          <w:lang w:val="en-AU"/>
        </w:rPr>
        <w:t xml:space="preserve"> Initially some </w:t>
      </w:r>
      <w:r w:rsidR="000D5520" w:rsidRPr="0072758C">
        <w:rPr>
          <w:lang w:val="en-AU"/>
        </w:rPr>
        <w:t xml:space="preserve">poor </w:t>
      </w:r>
      <w:r w:rsidR="00F2711E" w:rsidRPr="0072758C">
        <w:rPr>
          <w:lang w:val="en-AU"/>
        </w:rPr>
        <w:t xml:space="preserve">individuals </w:t>
      </w:r>
      <w:r w:rsidR="000D5520" w:rsidRPr="0072758C">
        <w:rPr>
          <w:lang w:val="en-AU"/>
        </w:rPr>
        <w:t xml:space="preserve">worked hard to pay the taxes while </w:t>
      </w:r>
      <w:r w:rsidR="00F2711E" w:rsidRPr="0072758C">
        <w:rPr>
          <w:lang w:val="en-AU"/>
        </w:rPr>
        <w:t xml:space="preserve">wealthier individuals paid their tax burden without difficulty. </w:t>
      </w:r>
      <w:proofErr w:type="gramStart"/>
      <w:r w:rsidR="00F2711E" w:rsidRPr="0072758C">
        <w:rPr>
          <w:lang w:val="en-AU"/>
        </w:rPr>
        <w:t>In regard to</w:t>
      </w:r>
      <w:proofErr w:type="gramEnd"/>
      <w:r w:rsidR="00F2711E" w:rsidRPr="0072758C">
        <w:rPr>
          <w:lang w:val="en-AU"/>
        </w:rPr>
        <w:t xml:space="preserve"> the legal court system, Allison contends that Jesus</w:t>
      </w:r>
      <w:r w:rsidR="005C71CB" w:rsidRPr="0072758C">
        <w:rPr>
          <w:lang w:val="en-AU"/>
        </w:rPr>
        <w:t>’</w:t>
      </w:r>
      <w:r w:rsidR="006D41DD">
        <w:rPr>
          <w:lang w:val="en-AU"/>
        </w:rPr>
        <w:t>s</w:t>
      </w:r>
      <w:r w:rsidR="00F2711E" w:rsidRPr="0072758C">
        <w:rPr>
          <w:lang w:val="en-AU"/>
        </w:rPr>
        <w:t xml:space="preserve"> words extend</w:t>
      </w:r>
      <w:r w:rsidR="00E65CCA" w:rsidRPr="0072758C">
        <w:rPr>
          <w:lang w:val="en-AU"/>
        </w:rPr>
        <w:t>ed</w:t>
      </w:r>
      <w:r w:rsidR="00F2711E" w:rsidRPr="0072758C">
        <w:rPr>
          <w:lang w:val="en-AU"/>
        </w:rPr>
        <w:t xml:space="preserve"> beyond the court and into the lives of people.  Allison states, </w:t>
      </w:r>
      <w:r w:rsidR="00863B47" w:rsidRPr="0072758C">
        <w:rPr>
          <w:lang w:val="en-AU"/>
        </w:rPr>
        <w:t>“</w:t>
      </w:r>
      <w:r w:rsidR="00F2711E" w:rsidRPr="0072758C">
        <w:rPr>
          <w:lang w:val="en-AU"/>
        </w:rPr>
        <w:t>It is true that 5:40 refers to the court; but Jesus is not here delivering laws for the court to follow</w:t>
      </w:r>
      <w:r w:rsidR="005101E8" w:rsidRPr="0072758C">
        <w:rPr>
          <w:lang w:val="en-AU"/>
        </w:rPr>
        <w:t>.</w:t>
      </w:r>
      <w:r w:rsidR="00F2711E" w:rsidRPr="0072758C">
        <w:rPr>
          <w:lang w:val="en-AU"/>
        </w:rPr>
        <w:t xml:space="preserve"> Jesus provides further understanding of </w:t>
      </w:r>
      <w:r w:rsidR="00F2711E" w:rsidRPr="0072758C">
        <w:rPr>
          <w:i/>
          <w:lang w:val="en-AU"/>
        </w:rPr>
        <w:t>lex talionis</w:t>
      </w:r>
      <w:r w:rsidR="00F2711E" w:rsidRPr="0072758C">
        <w:rPr>
          <w:lang w:val="en-AU"/>
        </w:rPr>
        <w:t xml:space="preserve"> by suggesting that it is illegitimate for his followers to apply the </w:t>
      </w:r>
      <w:r w:rsidR="00F2711E" w:rsidRPr="0072758C">
        <w:rPr>
          <w:i/>
          <w:lang w:val="en-AU"/>
        </w:rPr>
        <w:t>lex talionis</w:t>
      </w:r>
      <w:r w:rsidR="00F2711E" w:rsidRPr="0072758C">
        <w:rPr>
          <w:lang w:val="en-AU"/>
        </w:rPr>
        <w:t xml:space="preserve"> to their private problems.</w:t>
      </w:r>
      <w:r w:rsidR="00863B47" w:rsidRPr="0072758C">
        <w:rPr>
          <w:lang w:val="en-AU"/>
        </w:rPr>
        <w:t>”</w:t>
      </w:r>
      <w:r w:rsidR="00F2711E" w:rsidRPr="0072758C">
        <w:rPr>
          <w:rStyle w:val="FootnoteReference"/>
          <w:lang w:val="en-AU"/>
        </w:rPr>
        <w:footnoteReference w:id="676"/>
      </w:r>
      <w:r w:rsidR="00F2711E" w:rsidRPr="0072758C">
        <w:rPr>
          <w:lang w:val="en-AU"/>
        </w:rPr>
        <w:t xml:space="preserve"> </w:t>
      </w:r>
    </w:p>
    <w:p w14:paraId="6A021762" w14:textId="5A57527B" w:rsidR="00F2711E" w:rsidRPr="0072758C" w:rsidRDefault="00F2711E" w:rsidP="00AB2072">
      <w:pPr>
        <w:spacing w:line="480" w:lineRule="auto"/>
        <w:ind w:right="706" w:firstLine="709"/>
        <w:rPr>
          <w:lang w:val="en-AU"/>
        </w:rPr>
      </w:pPr>
      <w:r w:rsidRPr="0072758C">
        <w:rPr>
          <w:lang w:val="en-AU"/>
        </w:rPr>
        <w:lastRenderedPageBreak/>
        <w:t xml:space="preserve">It is evident </w:t>
      </w:r>
      <w:r w:rsidR="00DC5E18" w:rsidRPr="0072758C">
        <w:rPr>
          <w:lang w:val="en-AU"/>
        </w:rPr>
        <w:t>from</w:t>
      </w:r>
      <w:r w:rsidRPr="0072758C">
        <w:rPr>
          <w:lang w:val="en-AU"/>
        </w:rPr>
        <w:t xml:space="preserve"> the work of both Wink and Carter that the ju</w:t>
      </w:r>
      <w:r w:rsidR="008411E3" w:rsidRPr="0072758C">
        <w:rPr>
          <w:lang w:val="en-AU"/>
        </w:rPr>
        <w:t>stice system</w:t>
      </w:r>
      <w:r w:rsidRPr="0072758C">
        <w:rPr>
          <w:lang w:val="en-AU"/>
        </w:rPr>
        <w:t xml:space="preserve"> was intended to be morally and ethically non-retaliatory.  The </w:t>
      </w:r>
      <w:r w:rsidRPr="0072758C">
        <w:rPr>
          <w:i/>
          <w:lang w:val="en-AU"/>
        </w:rPr>
        <w:t>Mishna</w:t>
      </w:r>
      <w:r w:rsidRPr="0072758C">
        <w:rPr>
          <w:lang w:val="en-AU"/>
        </w:rPr>
        <w:t xml:space="preserve"> balances the philosophy of non-aggression in the face of a debt collector</w:t>
      </w:r>
      <w:r w:rsidR="00B96737" w:rsidRPr="0072758C">
        <w:rPr>
          <w:lang w:val="en-AU"/>
        </w:rPr>
        <w:t xml:space="preserve"> </w:t>
      </w:r>
      <w:r w:rsidR="008D7AF6" w:rsidRPr="0072758C">
        <w:rPr>
          <w:lang w:val="en-AU"/>
        </w:rPr>
        <w:t>and causing someone humiliation for their debt</w:t>
      </w:r>
      <w:r w:rsidR="0018554D" w:rsidRPr="0072758C">
        <w:rPr>
          <w:lang w:val="en-AU"/>
        </w:rPr>
        <w:t>,</w:t>
      </w:r>
      <w:r w:rsidR="00B96737" w:rsidRPr="0072758C">
        <w:rPr>
          <w:lang w:val="en-AU"/>
        </w:rPr>
        <w:t xml:space="preserve"> such as in </w:t>
      </w:r>
      <w:r w:rsidR="00B96737" w:rsidRPr="0072758C">
        <w:rPr>
          <w:i/>
          <w:iCs/>
          <w:lang w:val="en-AU"/>
        </w:rPr>
        <w:t xml:space="preserve">M. Bava Kamma </w:t>
      </w:r>
      <w:r w:rsidR="00B96737" w:rsidRPr="0072758C">
        <w:rPr>
          <w:lang w:val="en-AU"/>
        </w:rPr>
        <w:t>8:1</w:t>
      </w:r>
      <w:r w:rsidR="008D7AF6" w:rsidRPr="0072758C">
        <w:rPr>
          <w:lang w:val="en-AU"/>
        </w:rPr>
        <w:t>.</w:t>
      </w:r>
      <w:r w:rsidRPr="0072758C">
        <w:rPr>
          <w:lang w:val="en-AU"/>
        </w:rPr>
        <w:t xml:space="preserve"> The </w:t>
      </w:r>
      <w:r w:rsidRPr="0072758C">
        <w:rPr>
          <w:i/>
          <w:iCs/>
          <w:lang w:val="en-AU"/>
        </w:rPr>
        <w:t>Mishna Avot</w:t>
      </w:r>
      <w:r w:rsidR="0086478A" w:rsidRPr="0072758C">
        <w:rPr>
          <w:lang w:val="en-AU"/>
        </w:rPr>
        <w:t>,</w:t>
      </w:r>
      <w:r w:rsidRPr="0072758C">
        <w:rPr>
          <w:i/>
          <w:iCs/>
          <w:lang w:val="en-AU"/>
        </w:rPr>
        <w:t xml:space="preserve"> </w:t>
      </w:r>
      <w:r w:rsidRPr="0072758C">
        <w:rPr>
          <w:lang w:val="en-AU"/>
        </w:rPr>
        <w:t>with the sayings of the sages Rabbi Joshua, Rabbi Yosi, and Rabbi Shimon</w:t>
      </w:r>
      <w:r w:rsidR="0086478A" w:rsidRPr="0072758C">
        <w:rPr>
          <w:lang w:val="en-AU"/>
        </w:rPr>
        <w:t>,</w:t>
      </w:r>
      <w:r w:rsidRPr="0072758C">
        <w:rPr>
          <w:lang w:val="en-AU"/>
        </w:rPr>
        <w:t xml:space="preserve"> advocat</w:t>
      </w:r>
      <w:r w:rsidR="0086478A" w:rsidRPr="0072758C">
        <w:rPr>
          <w:lang w:val="en-AU"/>
        </w:rPr>
        <w:t>es</w:t>
      </w:r>
      <w:r w:rsidRPr="0072758C">
        <w:rPr>
          <w:lang w:val="en-AU"/>
        </w:rPr>
        <w:t xml:space="preserve"> generosity </w:t>
      </w:r>
      <w:r w:rsidR="0086478A" w:rsidRPr="0072758C">
        <w:rPr>
          <w:lang w:val="en-AU"/>
        </w:rPr>
        <w:t>in</w:t>
      </w:r>
      <w:r w:rsidRPr="0072758C">
        <w:rPr>
          <w:lang w:val="en-AU"/>
        </w:rPr>
        <w:t xml:space="preserve"> giving while avoiding evil</w:t>
      </w:r>
      <w:r w:rsidR="003E0C01" w:rsidRPr="0072758C">
        <w:rPr>
          <w:lang w:val="en-AU"/>
        </w:rPr>
        <w:t>. I</w:t>
      </w:r>
      <w:r w:rsidRPr="0072758C">
        <w:rPr>
          <w:lang w:val="en-AU"/>
        </w:rPr>
        <w:t xml:space="preserve">n </w:t>
      </w:r>
      <w:r w:rsidRPr="0072758C">
        <w:rPr>
          <w:i/>
          <w:lang w:val="en-AU"/>
        </w:rPr>
        <w:t xml:space="preserve">Avot </w:t>
      </w:r>
      <w:r w:rsidRPr="0072758C">
        <w:rPr>
          <w:lang w:val="en-AU"/>
        </w:rPr>
        <w:t>2:</w:t>
      </w:r>
      <w:r w:rsidR="00C53D52" w:rsidRPr="0072758C">
        <w:rPr>
          <w:lang w:val="en-AU"/>
        </w:rPr>
        <w:t>9</w:t>
      </w:r>
      <w:r w:rsidR="003E0C01" w:rsidRPr="0072758C">
        <w:rPr>
          <w:lang w:val="en-AU"/>
        </w:rPr>
        <w:t xml:space="preserve"> it is stated</w:t>
      </w:r>
      <w:r w:rsidR="0086478A" w:rsidRPr="0072758C">
        <w:rPr>
          <w:lang w:val="en-AU"/>
        </w:rPr>
        <w:t>:</w:t>
      </w:r>
      <w:r w:rsidRPr="0072758C">
        <w:rPr>
          <w:lang w:val="en-AU"/>
        </w:rPr>
        <w:t xml:space="preserve">  </w:t>
      </w:r>
    </w:p>
    <w:p w14:paraId="741D3090" w14:textId="1EB3362B" w:rsidR="00D25D36" w:rsidRPr="0072758C" w:rsidRDefault="00F2711E" w:rsidP="00532284">
      <w:pPr>
        <w:pStyle w:val="Blockquotation"/>
        <w:rPr>
          <w:sz w:val="24"/>
          <w:lang w:val="en-AU"/>
        </w:rPr>
      </w:pPr>
      <w:r w:rsidRPr="0072758C">
        <w:rPr>
          <w:sz w:val="24"/>
          <w:lang w:val="en-AU"/>
        </w:rPr>
        <w:t xml:space="preserve">He said to them: Go out and see which is the evil path which a man should avoid. Rabbi Eliezer said, an evil eye. Rabbi Joshua said, an evil companion. Rabbi Yosi said, an evil </w:t>
      </w:r>
      <w:r w:rsidR="002123A9" w:rsidRPr="0072758C">
        <w:rPr>
          <w:sz w:val="24"/>
          <w:lang w:val="en-AU"/>
        </w:rPr>
        <w:t>neighbour</w:t>
      </w:r>
      <w:r w:rsidRPr="0072758C">
        <w:rPr>
          <w:sz w:val="24"/>
          <w:lang w:val="en-AU"/>
        </w:rPr>
        <w:t xml:space="preserve">. Rabbi Shimon said, </w:t>
      </w:r>
      <w:proofErr w:type="gramStart"/>
      <w:r w:rsidRPr="0072758C">
        <w:rPr>
          <w:sz w:val="24"/>
          <w:lang w:val="en-AU"/>
        </w:rPr>
        <w:t>One</w:t>
      </w:r>
      <w:proofErr w:type="gramEnd"/>
      <w:r w:rsidRPr="0072758C">
        <w:rPr>
          <w:sz w:val="24"/>
          <w:lang w:val="en-AU"/>
        </w:rPr>
        <w:t xml:space="preserve"> who borrows and does not repay. One who borrows from another is like one who borrows from God, for it is written (Psalm 37:21) </w:t>
      </w:r>
      <w:r w:rsidR="005C71CB" w:rsidRPr="0072758C">
        <w:rPr>
          <w:sz w:val="24"/>
          <w:lang w:val="en-AU"/>
        </w:rPr>
        <w:t>‘</w:t>
      </w:r>
      <w:r w:rsidRPr="0072758C">
        <w:rPr>
          <w:sz w:val="24"/>
          <w:lang w:val="en-AU"/>
        </w:rPr>
        <w:t>The wicked borrows and does not pay back, but the righteous is generous and gives.</w:t>
      </w:r>
      <w:r w:rsidR="005C71CB" w:rsidRPr="0072758C">
        <w:rPr>
          <w:sz w:val="24"/>
          <w:lang w:val="en-AU"/>
        </w:rPr>
        <w:t>’</w:t>
      </w:r>
      <w:r w:rsidRPr="0072758C">
        <w:rPr>
          <w:sz w:val="24"/>
          <w:lang w:val="en-AU"/>
        </w:rPr>
        <w:t xml:space="preserve"> Rabbi Elazar said, an evil heart. He said to them: I prefer the words of Elazar ben Arakh more than your words, for in his words your words are included.</w:t>
      </w:r>
    </w:p>
    <w:p w14:paraId="63F80408" w14:textId="4800F7F2" w:rsidR="00F2711E" w:rsidRPr="0072758C" w:rsidRDefault="00400035" w:rsidP="00AB2072">
      <w:pPr>
        <w:pStyle w:val="NormalWeb"/>
        <w:spacing w:beforeLines="100" w:before="240" w:after="2" w:line="480" w:lineRule="auto"/>
        <w:ind w:right="706"/>
        <w:rPr>
          <w:rFonts w:ascii="Times New Roman" w:hAnsi="Times New Roman"/>
          <w:sz w:val="24"/>
          <w:szCs w:val="24"/>
          <w:lang w:val="en-AU"/>
        </w:rPr>
      </w:pPr>
      <w:r w:rsidRPr="0072758C">
        <w:rPr>
          <w:rFonts w:ascii="Times New Roman" w:hAnsi="Times New Roman"/>
          <w:sz w:val="24"/>
          <w:szCs w:val="24"/>
          <w:lang w:val="en-AU"/>
        </w:rPr>
        <w:t xml:space="preserve">In Oral Tradition, the wicked defaulted on </w:t>
      </w:r>
      <w:r w:rsidR="00DD2142" w:rsidRPr="0072758C">
        <w:rPr>
          <w:rFonts w:ascii="Times New Roman" w:hAnsi="Times New Roman"/>
          <w:sz w:val="24"/>
          <w:szCs w:val="24"/>
          <w:lang w:val="en-AU"/>
        </w:rPr>
        <w:t xml:space="preserve">their </w:t>
      </w:r>
      <w:r w:rsidRPr="0072758C">
        <w:rPr>
          <w:rFonts w:ascii="Times New Roman" w:hAnsi="Times New Roman"/>
          <w:sz w:val="24"/>
          <w:szCs w:val="24"/>
          <w:lang w:val="en-AU"/>
        </w:rPr>
        <w:t xml:space="preserve">loans while the righteous paid back their obligations. If </w:t>
      </w:r>
      <w:r w:rsidR="00DD2142" w:rsidRPr="0072758C">
        <w:rPr>
          <w:rFonts w:ascii="Times New Roman" w:hAnsi="Times New Roman"/>
          <w:sz w:val="24"/>
          <w:szCs w:val="24"/>
          <w:lang w:val="en-AU"/>
        </w:rPr>
        <w:t xml:space="preserve">people were </w:t>
      </w:r>
      <w:r w:rsidRPr="0072758C">
        <w:rPr>
          <w:rFonts w:ascii="Times New Roman" w:hAnsi="Times New Roman"/>
          <w:sz w:val="24"/>
          <w:szCs w:val="24"/>
          <w:lang w:val="en-AU"/>
        </w:rPr>
        <w:t xml:space="preserve">overtaxed </w:t>
      </w:r>
      <w:r w:rsidR="006D627F">
        <w:rPr>
          <w:rFonts w:ascii="Times New Roman" w:hAnsi="Times New Roman"/>
          <w:sz w:val="24"/>
          <w:szCs w:val="24"/>
          <w:lang w:val="en-AU"/>
        </w:rPr>
        <w:t>to the extent</w:t>
      </w:r>
      <w:r w:rsidR="00DD2142" w:rsidRPr="0072758C">
        <w:rPr>
          <w:rFonts w:ascii="Times New Roman" w:hAnsi="Times New Roman"/>
          <w:sz w:val="24"/>
          <w:szCs w:val="24"/>
          <w:lang w:val="en-AU"/>
        </w:rPr>
        <w:t xml:space="preserve"> that</w:t>
      </w:r>
      <w:r w:rsidRPr="0072758C">
        <w:rPr>
          <w:rFonts w:ascii="Times New Roman" w:hAnsi="Times New Roman"/>
          <w:sz w:val="24"/>
          <w:szCs w:val="24"/>
          <w:lang w:val="en-AU"/>
        </w:rPr>
        <w:t xml:space="preserve"> they could not pay back obligations, </w:t>
      </w:r>
      <w:r w:rsidR="00DD2142" w:rsidRPr="0072758C">
        <w:rPr>
          <w:rFonts w:ascii="Times New Roman" w:hAnsi="Times New Roman"/>
          <w:sz w:val="24"/>
          <w:szCs w:val="24"/>
          <w:lang w:val="en-AU"/>
        </w:rPr>
        <w:t xml:space="preserve">an </w:t>
      </w:r>
      <w:r w:rsidRPr="0072758C">
        <w:rPr>
          <w:rFonts w:ascii="Times New Roman" w:hAnsi="Times New Roman"/>
          <w:sz w:val="24"/>
          <w:szCs w:val="24"/>
          <w:lang w:val="en-AU"/>
        </w:rPr>
        <w:t>imbalance of justice</w:t>
      </w:r>
      <w:r w:rsidR="00DD2142" w:rsidRPr="0072758C">
        <w:rPr>
          <w:rFonts w:ascii="Times New Roman" w:hAnsi="Times New Roman"/>
          <w:sz w:val="24"/>
          <w:szCs w:val="24"/>
          <w:lang w:val="en-AU"/>
        </w:rPr>
        <w:t xml:space="preserve"> was created</w:t>
      </w:r>
      <w:r w:rsidR="00F2711E" w:rsidRPr="0072758C">
        <w:rPr>
          <w:rFonts w:ascii="Times New Roman" w:hAnsi="Times New Roman"/>
          <w:sz w:val="24"/>
          <w:szCs w:val="24"/>
          <w:lang w:val="en-AU"/>
        </w:rPr>
        <w:t>.  To have non-retaliatory measures and to ensure that neither person h</w:t>
      </w:r>
      <w:r w:rsidR="00DD2142" w:rsidRPr="0072758C">
        <w:rPr>
          <w:rFonts w:ascii="Times New Roman" w:hAnsi="Times New Roman"/>
          <w:sz w:val="24"/>
          <w:szCs w:val="24"/>
          <w:lang w:val="en-AU"/>
        </w:rPr>
        <w:t>as</w:t>
      </w:r>
      <w:r w:rsidR="00F2711E" w:rsidRPr="0072758C">
        <w:rPr>
          <w:rFonts w:ascii="Times New Roman" w:hAnsi="Times New Roman"/>
          <w:sz w:val="24"/>
          <w:szCs w:val="24"/>
          <w:lang w:val="en-AU"/>
        </w:rPr>
        <w:t xml:space="preserve"> legal superiority regarding repaying debts was </w:t>
      </w:r>
      <w:r w:rsidR="00DD2142" w:rsidRPr="0072758C">
        <w:rPr>
          <w:rFonts w:ascii="Times New Roman" w:hAnsi="Times New Roman"/>
          <w:sz w:val="24"/>
          <w:szCs w:val="24"/>
          <w:lang w:val="en-AU"/>
        </w:rPr>
        <w:t xml:space="preserve">of the </w:t>
      </w:r>
      <w:r w:rsidR="00F2711E" w:rsidRPr="0072758C">
        <w:rPr>
          <w:rFonts w:ascii="Times New Roman" w:hAnsi="Times New Roman"/>
          <w:sz w:val="24"/>
          <w:szCs w:val="24"/>
          <w:lang w:val="en-AU"/>
        </w:rPr>
        <w:t>utmost importan</w:t>
      </w:r>
      <w:r w:rsidR="00DD2142" w:rsidRPr="0072758C">
        <w:rPr>
          <w:rFonts w:ascii="Times New Roman" w:hAnsi="Times New Roman"/>
          <w:sz w:val="24"/>
          <w:szCs w:val="24"/>
          <w:lang w:val="en-AU"/>
        </w:rPr>
        <w:t>ce</w:t>
      </w:r>
      <w:r w:rsidR="00F2711E" w:rsidRPr="0072758C">
        <w:rPr>
          <w:rFonts w:ascii="Times New Roman" w:hAnsi="Times New Roman"/>
          <w:sz w:val="24"/>
          <w:szCs w:val="24"/>
          <w:lang w:val="en-AU"/>
        </w:rPr>
        <w:t xml:space="preserve">. </w:t>
      </w:r>
    </w:p>
    <w:p w14:paraId="3CBF99C6" w14:textId="0D4B037F" w:rsidR="00F2711E" w:rsidRPr="0072758C" w:rsidRDefault="00532284" w:rsidP="00BC7015">
      <w:pPr>
        <w:pStyle w:val="Heading2"/>
        <w:rPr>
          <w:bCs/>
        </w:rPr>
      </w:pPr>
      <w:bookmarkStart w:id="208" w:name="_Toc199523939"/>
      <w:bookmarkStart w:id="209" w:name="_Toc210760495"/>
      <w:bookmarkStart w:id="210" w:name="_Toc213307219"/>
      <w:bookmarkStart w:id="211" w:name="_Toc213482492"/>
      <w:bookmarkStart w:id="212" w:name="_Toc81571216"/>
      <w:bookmarkStart w:id="213" w:name="_Toc94537049"/>
      <w:bookmarkStart w:id="214" w:name="_Toc118063696"/>
      <w:r w:rsidRPr="0072758C">
        <w:t>9</w:t>
      </w:r>
      <w:r w:rsidR="00F2711E" w:rsidRPr="0072758C">
        <w:t>.</w:t>
      </w:r>
      <w:r w:rsidR="005C032C" w:rsidRPr="0072758C">
        <w:t>9</w:t>
      </w:r>
      <w:r w:rsidR="00F2711E" w:rsidRPr="0072758C">
        <w:t xml:space="preserve"> </w:t>
      </w:r>
      <w:bookmarkStart w:id="215" w:name="_Toc215743058"/>
      <w:bookmarkStart w:id="216" w:name="_Toc223675585"/>
      <w:r w:rsidR="00EF7AFE" w:rsidRPr="0072758C">
        <w:t xml:space="preserve">Matthew 5:39 and </w:t>
      </w:r>
      <w:r w:rsidR="00D74152" w:rsidRPr="0072758C">
        <w:t>L</w:t>
      </w:r>
      <w:r w:rsidR="00EF7AFE" w:rsidRPr="0072758C">
        <w:t>ove</w:t>
      </w:r>
      <w:bookmarkEnd w:id="208"/>
      <w:bookmarkEnd w:id="209"/>
      <w:bookmarkEnd w:id="210"/>
      <w:bookmarkEnd w:id="211"/>
      <w:bookmarkEnd w:id="212"/>
      <w:bookmarkEnd w:id="213"/>
      <w:bookmarkEnd w:id="214"/>
      <w:bookmarkEnd w:id="215"/>
      <w:bookmarkEnd w:id="216"/>
    </w:p>
    <w:p w14:paraId="1D7B05DE" w14:textId="241442BF" w:rsidR="00F2711E" w:rsidRPr="0072758C" w:rsidRDefault="00400035" w:rsidP="00F2711E">
      <w:pPr>
        <w:spacing w:before="120" w:line="480" w:lineRule="auto"/>
        <w:ind w:firstLine="284"/>
        <w:rPr>
          <w:lang w:val="en-AU"/>
        </w:rPr>
      </w:pPr>
      <w:r w:rsidRPr="0072758C">
        <w:rPr>
          <w:lang w:val="en-AU"/>
        </w:rPr>
        <w:t xml:space="preserve">Matthew 5:39 </w:t>
      </w:r>
      <w:r w:rsidR="00DA2AE3" w:rsidRPr="0072758C">
        <w:rPr>
          <w:lang w:val="en-AU"/>
        </w:rPr>
        <w:t>presents</w:t>
      </w:r>
      <w:r w:rsidRPr="0072758C">
        <w:rPr>
          <w:lang w:val="en-AU"/>
        </w:rPr>
        <w:t xml:space="preserve"> the idea that one should love </w:t>
      </w:r>
      <w:r w:rsidR="00DD2142" w:rsidRPr="0072758C">
        <w:rPr>
          <w:lang w:val="en-AU"/>
        </w:rPr>
        <w:t>one</w:t>
      </w:r>
      <w:r w:rsidR="005C71CB" w:rsidRPr="0072758C">
        <w:rPr>
          <w:lang w:val="en-AU"/>
        </w:rPr>
        <w:t>’</w:t>
      </w:r>
      <w:r w:rsidR="00DD2142" w:rsidRPr="0072758C">
        <w:rPr>
          <w:lang w:val="en-AU"/>
        </w:rPr>
        <w:t>s</w:t>
      </w:r>
      <w:r w:rsidRPr="0072758C">
        <w:rPr>
          <w:lang w:val="en-AU"/>
        </w:rPr>
        <w:t xml:space="preserve"> enemy. </w:t>
      </w:r>
      <w:r w:rsidR="00DD2142" w:rsidRPr="0072758C">
        <w:rPr>
          <w:lang w:val="en-AU"/>
        </w:rPr>
        <w:t xml:space="preserve">The </w:t>
      </w:r>
      <w:r w:rsidR="00385EDB" w:rsidRPr="0072758C">
        <w:rPr>
          <w:lang w:val="en-AU"/>
        </w:rPr>
        <w:t>instruction</w:t>
      </w:r>
      <w:r w:rsidR="00F2711E" w:rsidRPr="0072758C">
        <w:rPr>
          <w:lang w:val="en-AU"/>
        </w:rPr>
        <w:t xml:space="preserve"> to </w:t>
      </w:r>
      <w:r w:rsidR="005C71CB" w:rsidRPr="0072758C">
        <w:rPr>
          <w:lang w:val="en-AU"/>
        </w:rPr>
        <w:t>‘</w:t>
      </w:r>
      <w:r w:rsidR="00F2711E" w:rsidRPr="0072758C">
        <w:rPr>
          <w:lang w:val="en-AU"/>
        </w:rPr>
        <w:t>love your enemy</w:t>
      </w:r>
      <w:r w:rsidR="005C71CB" w:rsidRPr="0072758C">
        <w:rPr>
          <w:lang w:val="en-AU"/>
        </w:rPr>
        <w:t>’</w:t>
      </w:r>
      <w:r w:rsidR="00F2711E" w:rsidRPr="0072758C">
        <w:rPr>
          <w:lang w:val="en-AU"/>
        </w:rPr>
        <w:t xml:space="preserve"> embodies the essence of nonviolence towards another. Modern Christian pacifism developed f</w:t>
      </w:r>
      <w:r w:rsidR="00385EDB" w:rsidRPr="0072758C">
        <w:rPr>
          <w:lang w:val="en-AU"/>
        </w:rPr>
        <w:t>ro</w:t>
      </w:r>
      <w:r w:rsidR="00F2711E" w:rsidRPr="0072758C">
        <w:rPr>
          <w:lang w:val="en-AU"/>
        </w:rPr>
        <w:t xml:space="preserve">m the various sources such as the Mennonites, </w:t>
      </w:r>
      <w:proofErr w:type="gramStart"/>
      <w:r w:rsidR="00F2711E" w:rsidRPr="0072758C">
        <w:rPr>
          <w:lang w:val="en-AU"/>
        </w:rPr>
        <w:t>Quakers</w:t>
      </w:r>
      <w:proofErr w:type="gramEnd"/>
      <w:r w:rsidR="00DE4B07" w:rsidRPr="0072758C">
        <w:rPr>
          <w:lang w:val="en-AU"/>
        </w:rPr>
        <w:t xml:space="preserve"> and </w:t>
      </w:r>
      <w:r w:rsidR="00F2711E" w:rsidRPr="0072758C">
        <w:rPr>
          <w:lang w:val="en-AU"/>
        </w:rPr>
        <w:t>Anabaptists, and now is debated by t</w:t>
      </w:r>
      <w:r w:rsidR="007D5442" w:rsidRPr="0072758C">
        <w:rPr>
          <w:lang w:val="en-AU"/>
        </w:rPr>
        <w:t>heolog</w:t>
      </w:r>
      <w:r w:rsidR="00BC0941" w:rsidRPr="0072758C">
        <w:rPr>
          <w:lang w:val="en-AU"/>
        </w:rPr>
        <w:t>ians</w:t>
      </w:r>
      <w:r w:rsidR="00F2711E" w:rsidRPr="0072758C">
        <w:rPr>
          <w:lang w:val="en-AU"/>
        </w:rPr>
        <w:t xml:space="preserve"> such as Yoder, Hauerwas, and Reinhold Niebuhr. Niebuhr</w:t>
      </w:r>
      <w:r w:rsidR="00DE4B07" w:rsidRPr="0072758C">
        <w:rPr>
          <w:lang w:val="en-AU"/>
        </w:rPr>
        <w:t>,</w:t>
      </w:r>
      <w:r w:rsidR="00F2711E" w:rsidRPr="0072758C">
        <w:rPr>
          <w:lang w:val="en-AU"/>
        </w:rPr>
        <w:t xml:space="preserve"> who was a moralist and defender of just war</w:t>
      </w:r>
      <w:r w:rsidR="00DE4B07" w:rsidRPr="0072758C">
        <w:rPr>
          <w:lang w:val="en-AU"/>
        </w:rPr>
        <w:t>,</w:t>
      </w:r>
      <w:r w:rsidR="00F2711E" w:rsidRPr="0072758C">
        <w:rPr>
          <w:lang w:val="en-AU"/>
        </w:rPr>
        <w:t xml:space="preserve"> advocated realism.</w:t>
      </w:r>
      <w:r w:rsidR="00F2711E" w:rsidRPr="0072758C">
        <w:rPr>
          <w:rStyle w:val="FootnoteReference"/>
          <w:lang w:val="en-AU"/>
        </w:rPr>
        <w:footnoteReference w:id="677"/>
      </w:r>
      <w:r w:rsidR="00F2711E" w:rsidRPr="0072758C">
        <w:rPr>
          <w:lang w:val="en-AU"/>
        </w:rPr>
        <w:t xml:space="preserve"> Other </w:t>
      </w:r>
      <w:r w:rsidR="00F2711E" w:rsidRPr="0072758C">
        <w:rPr>
          <w:lang w:val="en-AU"/>
        </w:rPr>
        <w:lastRenderedPageBreak/>
        <w:t xml:space="preserve">Christian pacifists believe that war itself should </w:t>
      </w:r>
      <w:r w:rsidR="00BC0941" w:rsidRPr="0072758C">
        <w:rPr>
          <w:lang w:val="en-AU"/>
        </w:rPr>
        <w:t xml:space="preserve">be </w:t>
      </w:r>
      <w:r w:rsidR="00F2711E" w:rsidRPr="0072758C">
        <w:rPr>
          <w:lang w:val="en-AU"/>
        </w:rPr>
        <w:t>avoided because of the inherent evil of hurting someone.</w:t>
      </w:r>
      <w:r w:rsidR="00F2711E" w:rsidRPr="0072758C">
        <w:rPr>
          <w:rStyle w:val="FootnoteReference"/>
          <w:lang w:val="en-AU"/>
        </w:rPr>
        <w:footnoteReference w:id="678"/>
      </w:r>
      <w:r w:rsidR="00F2711E" w:rsidRPr="0072758C">
        <w:rPr>
          <w:lang w:val="en-AU"/>
        </w:rPr>
        <w:t xml:space="preserve">  According to Swartl</w:t>
      </w:r>
      <w:r w:rsidR="00BC0941" w:rsidRPr="0072758C">
        <w:rPr>
          <w:lang w:val="en-AU"/>
        </w:rPr>
        <w:t>e</w:t>
      </w:r>
      <w:r w:rsidR="00F2711E" w:rsidRPr="0072758C">
        <w:rPr>
          <w:lang w:val="en-AU"/>
        </w:rPr>
        <w:t xml:space="preserve">y </w:t>
      </w:r>
      <w:r w:rsidR="00863B47" w:rsidRPr="0072758C">
        <w:rPr>
          <w:lang w:val="en-AU"/>
        </w:rPr>
        <w:t>“</w:t>
      </w:r>
      <w:r w:rsidR="00F2711E" w:rsidRPr="0072758C">
        <w:rPr>
          <w:lang w:val="en-AU"/>
        </w:rPr>
        <w:t>[Matthew 5:39 is</w:t>
      </w:r>
      <w:r w:rsidR="00BC0941" w:rsidRPr="0072758C">
        <w:rPr>
          <w:lang w:val="en-AU"/>
        </w:rPr>
        <w:t xml:space="preserve"> a</w:t>
      </w:r>
      <w:r w:rsidR="00F2711E" w:rsidRPr="0072758C">
        <w:rPr>
          <w:lang w:val="en-AU"/>
        </w:rPr>
        <w:t xml:space="preserve">] specific political response to centuries of violence and to the contemporary </w:t>
      </w:r>
      <w:r w:rsidR="00F2711E" w:rsidRPr="0072758C">
        <w:rPr>
          <w:iCs/>
          <w:lang w:val="en-AU"/>
        </w:rPr>
        <w:t>Zealots</w:t>
      </w:r>
      <w:r w:rsidR="005C71CB" w:rsidRPr="0072758C">
        <w:rPr>
          <w:lang w:val="en-AU"/>
        </w:rPr>
        <w:t>’</w:t>
      </w:r>
      <w:r w:rsidR="00F2711E" w:rsidRPr="0072758C">
        <w:rPr>
          <w:lang w:val="en-AU"/>
        </w:rPr>
        <w:t xml:space="preserve"> call for violent revolution</w:t>
      </w:r>
      <w:r w:rsidR="00863B47" w:rsidRPr="0072758C">
        <w:rPr>
          <w:lang w:val="en-AU"/>
        </w:rPr>
        <w:t>”</w:t>
      </w:r>
      <w:r w:rsidR="00F2711E" w:rsidRPr="0072758C">
        <w:rPr>
          <w:lang w:val="en-AU"/>
        </w:rPr>
        <w:t>.</w:t>
      </w:r>
      <w:r w:rsidR="00F2711E" w:rsidRPr="0072758C">
        <w:rPr>
          <w:rStyle w:val="FootnoteReference"/>
          <w:lang w:val="en-AU"/>
        </w:rPr>
        <w:footnoteReference w:id="679"/>
      </w:r>
      <w:r w:rsidR="00F2711E" w:rsidRPr="0072758C">
        <w:rPr>
          <w:lang w:val="en-AU"/>
        </w:rPr>
        <w:t xml:space="preserve"> Th</w:t>
      </w:r>
      <w:r w:rsidR="00584A4A" w:rsidRPr="0072758C">
        <w:rPr>
          <w:lang w:val="en-AU"/>
        </w:rPr>
        <w:t>at one should love one</w:t>
      </w:r>
      <w:r w:rsidR="005C71CB" w:rsidRPr="0072758C">
        <w:rPr>
          <w:lang w:val="en-AU"/>
        </w:rPr>
        <w:t>’</w:t>
      </w:r>
      <w:r w:rsidR="00584A4A" w:rsidRPr="0072758C">
        <w:rPr>
          <w:lang w:val="en-AU"/>
        </w:rPr>
        <w:t xml:space="preserve">s enemies, as </w:t>
      </w:r>
      <w:r w:rsidR="00FA44C8" w:rsidRPr="0072758C">
        <w:rPr>
          <w:lang w:val="en-AU"/>
        </w:rPr>
        <w:t xml:space="preserve">recorded in </w:t>
      </w:r>
      <w:r w:rsidR="00F2711E" w:rsidRPr="0072758C">
        <w:rPr>
          <w:lang w:val="en-AU"/>
        </w:rPr>
        <w:t>Matthew 5:39</w:t>
      </w:r>
      <w:r w:rsidR="00FA44C8" w:rsidRPr="0072758C">
        <w:rPr>
          <w:lang w:val="en-AU"/>
        </w:rPr>
        <w:t>,</w:t>
      </w:r>
      <w:r w:rsidR="00F2711E" w:rsidRPr="0072758C">
        <w:rPr>
          <w:lang w:val="en-AU"/>
        </w:rPr>
        <w:t xml:space="preserve"> according to Donahue provides new insights into nonviolent resistance through love.</w:t>
      </w:r>
      <w:r w:rsidR="00F2711E" w:rsidRPr="0072758C">
        <w:rPr>
          <w:rStyle w:val="FootnoteReference"/>
          <w:lang w:val="en-AU"/>
        </w:rPr>
        <w:footnoteReference w:id="680"/>
      </w:r>
      <w:r w:rsidR="00F2711E" w:rsidRPr="0072758C">
        <w:rPr>
          <w:lang w:val="en-AU"/>
        </w:rPr>
        <w:t xml:space="preserve"> </w:t>
      </w:r>
    </w:p>
    <w:p w14:paraId="139CCD53" w14:textId="26908E54" w:rsidR="00F2711E" w:rsidRPr="0072758C" w:rsidRDefault="00F2711E" w:rsidP="00F2711E">
      <w:pPr>
        <w:spacing w:before="120" w:line="480" w:lineRule="auto"/>
        <w:rPr>
          <w:lang w:val="en-AU"/>
        </w:rPr>
      </w:pPr>
      <w:r w:rsidRPr="0072758C">
        <w:rPr>
          <w:lang w:val="en-AU"/>
        </w:rPr>
        <w:tab/>
        <w:t xml:space="preserve">Stassen and Gushee </w:t>
      </w:r>
      <w:proofErr w:type="gramStart"/>
      <w:r w:rsidR="0019291D" w:rsidRPr="0072758C">
        <w:rPr>
          <w:lang w:val="en-AU"/>
        </w:rPr>
        <w:t>are in agreement</w:t>
      </w:r>
      <w:proofErr w:type="gramEnd"/>
      <w:r w:rsidR="0019291D" w:rsidRPr="0072758C">
        <w:rPr>
          <w:lang w:val="en-AU"/>
        </w:rPr>
        <w:t xml:space="preserve"> with the argument </w:t>
      </w:r>
      <w:r w:rsidR="00CD648D" w:rsidRPr="0072758C">
        <w:rPr>
          <w:lang w:val="en-AU"/>
        </w:rPr>
        <w:t xml:space="preserve">advanced </w:t>
      </w:r>
      <w:r w:rsidR="0019291D" w:rsidRPr="0072758C">
        <w:rPr>
          <w:lang w:val="en-AU"/>
        </w:rPr>
        <w:t xml:space="preserve">by </w:t>
      </w:r>
      <w:r w:rsidRPr="0072758C">
        <w:rPr>
          <w:lang w:val="en-AU"/>
        </w:rPr>
        <w:t>Richard Hays</w:t>
      </w:r>
      <w:r w:rsidR="0019291D" w:rsidRPr="0072758C">
        <w:rPr>
          <w:lang w:val="en-AU"/>
        </w:rPr>
        <w:t xml:space="preserve"> that </w:t>
      </w:r>
      <w:r w:rsidRPr="0072758C">
        <w:rPr>
          <w:lang w:val="en-AU"/>
        </w:rPr>
        <w:t xml:space="preserve">nonviolence </w:t>
      </w:r>
      <w:r w:rsidR="0019291D" w:rsidRPr="0072758C">
        <w:rPr>
          <w:lang w:val="en-AU"/>
        </w:rPr>
        <w:t>is a testimony of Jesus</w:t>
      </w:r>
      <w:r w:rsidRPr="0072758C">
        <w:rPr>
          <w:lang w:val="en-AU"/>
        </w:rPr>
        <w:t>.</w:t>
      </w:r>
      <w:r w:rsidRPr="0072758C">
        <w:rPr>
          <w:rStyle w:val="FootnoteReference"/>
          <w:lang w:val="en-AU"/>
        </w:rPr>
        <w:footnoteReference w:id="681"/>
      </w:r>
      <w:r w:rsidRPr="0072758C">
        <w:rPr>
          <w:lang w:val="en-AU"/>
        </w:rPr>
        <w:t xml:space="preserve"> Further</w:t>
      </w:r>
      <w:r w:rsidR="00B57E19" w:rsidRPr="0072758C">
        <w:rPr>
          <w:lang w:val="en-AU"/>
        </w:rPr>
        <w:t>more</w:t>
      </w:r>
      <w:r w:rsidRPr="0072758C">
        <w:rPr>
          <w:lang w:val="en-AU"/>
        </w:rPr>
        <w:t>, they agree with William Swartley</w:t>
      </w:r>
      <w:r w:rsidR="005C71CB" w:rsidRPr="0072758C">
        <w:rPr>
          <w:lang w:val="en-AU"/>
        </w:rPr>
        <w:t>’</w:t>
      </w:r>
      <w:r w:rsidRPr="0072758C">
        <w:rPr>
          <w:lang w:val="en-AU"/>
        </w:rPr>
        <w:t>s argument that this univocal testimony also advocates proactive peacemaking, with positive initiatives, to overcoming evil by employing nonviolent means to make peace.</w:t>
      </w:r>
      <w:r w:rsidRPr="0072758C">
        <w:rPr>
          <w:rStyle w:val="FootnoteReference"/>
          <w:lang w:val="en-AU"/>
        </w:rPr>
        <w:footnoteReference w:id="682"/>
      </w:r>
      <w:r w:rsidR="00047CEE" w:rsidRPr="0072758C">
        <w:rPr>
          <w:lang w:val="en-AU"/>
        </w:rPr>
        <w:t xml:space="preserve"> Love </w:t>
      </w:r>
      <w:r w:rsidR="0007080D" w:rsidRPr="0072758C">
        <w:rPr>
          <w:lang w:val="en-AU"/>
        </w:rPr>
        <w:t>is to be e</w:t>
      </w:r>
      <w:r w:rsidR="00047CEE" w:rsidRPr="0072758C">
        <w:rPr>
          <w:lang w:val="en-AU"/>
        </w:rPr>
        <w:t>xtend</w:t>
      </w:r>
      <w:r w:rsidR="0007080D" w:rsidRPr="0072758C">
        <w:rPr>
          <w:lang w:val="en-AU"/>
        </w:rPr>
        <w:t>ed</w:t>
      </w:r>
      <w:r w:rsidR="00047CEE" w:rsidRPr="0072758C">
        <w:rPr>
          <w:lang w:val="en-AU"/>
        </w:rPr>
        <w:t xml:space="preserve"> to Jews and Gentiles.</w:t>
      </w:r>
      <w:r w:rsidRPr="0072758C">
        <w:rPr>
          <w:lang w:val="en-AU"/>
        </w:rPr>
        <w:t xml:space="preserve"> Borg contends: </w:t>
      </w:r>
    </w:p>
    <w:p w14:paraId="1EDD092A" w14:textId="0EA9888A" w:rsidR="00D25D36" w:rsidRPr="0072758C" w:rsidRDefault="00F2711E" w:rsidP="00F2711E">
      <w:pPr>
        <w:spacing w:beforeLines="1" w:before="2" w:afterLines="1" w:after="2"/>
        <w:ind w:left="709" w:right="709"/>
        <w:rPr>
          <w:lang w:val="en-AU"/>
        </w:rPr>
      </w:pPr>
      <w:r w:rsidRPr="0072758C">
        <w:rPr>
          <w:lang w:val="en-AU"/>
        </w:rPr>
        <w:t xml:space="preserve">In the same context where Jesus spoke of the </w:t>
      </w:r>
      <w:r w:rsidRPr="0072758C">
        <w:rPr>
          <w:i/>
          <w:iCs/>
          <w:lang w:val="en-AU"/>
        </w:rPr>
        <w:t xml:space="preserve">Imitatio Dei </w:t>
      </w:r>
      <w:r w:rsidRPr="0072758C">
        <w:rPr>
          <w:lang w:val="en-AU"/>
        </w:rPr>
        <w:t>as compassion, he also spoke of loving one</w:t>
      </w:r>
      <w:r w:rsidR="005C71CB" w:rsidRPr="0072758C">
        <w:rPr>
          <w:lang w:val="en-AU"/>
        </w:rPr>
        <w:t>’</w:t>
      </w:r>
      <w:r w:rsidRPr="0072758C">
        <w:rPr>
          <w:lang w:val="en-AU"/>
        </w:rPr>
        <w:t xml:space="preserve">s enemies: </w:t>
      </w:r>
      <w:r w:rsidR="005C71CB" w:rsidRPr="0072758C">
        <w:rPr>
          <w:lang w:val="en-AU"/>
        </w:rPr>
        <w:t>‘</w:t>
      </w:r>
      <w:r w:rsidRPr="0072758C">
        <w:rPr>
          <w:lang w:val="en-AU"/>
        </w:rPr>
        <w:t xml:space="preserve">You have heard that it was said, </w:t>
      </w:r>
      <w:r w:rsidR="005C71CB" w:rsidRPr="0072758C">
        <w:rPr>
          <w:lang w:val="en-AU"/>
        </w:rPr>
        <w:t>‘</w:t>
      </w:r>
      <w:r w:rsidRPr="0072758C">
        <w:rPr>
          <w:lang w:val="en-AU"/>
        </w:rPr>
        <w:t>Love your neighbor,</w:t>
      </w:r>
      <w:r w:rsidR="005C71CB" w:rsidRPr="0072758C">
        <w:rPr>
          <w:lang w:val="en-AU"/>
        </w:rPr>
        <w:t>’</w:t>
      </w:r>
      <w:r w:rsidRPr="0072758C">
        <w:rPr>
          <w:lang w:val="en-AU"/>
        </w:rPr>
        <w:t xml:space="preserve"> but I say to you, Love your enemies.</w:t>
      </w:r>
      <w:r w:rsidR="005C71CB" w:rsidRPr="0072758C">
        <w:rPr>
          <w:lang w:val="en-AU"/>
        </w:rPr>
        <w:t>’</w:t>
      </w:r>
      <w:r w:rsidRPr="0072758C">
        <w:rPr>
          <w:lang w:val="en-AU"/>
        </w:rPr>
        <w:t xml:space="preserve"> The quoted words, </w:t>
      </w:r>
      <w:r w:rsidR="005C71CB" w:rsidRPr="0072758C">
        <w:rPr>
          <w:lang w:val="en-AU"/>
        </w:rPr>
        <w:t>‘</w:t>
      </w:r>
      <w:r w:rsidRPr="0072758C">
        <w:rPr>
          <w:lang w:val="en-AU"/>
        </w:rPr>
        <w:t>Love your neighbor,</w:t>
      </w:r>
      <w:r w:rsidR="005C71CB" w:rsidRPr="0072758C">
        <w:rPr>
          <w:lang w:val="en-AU"/>
        </w:rPr>
        <w:t>’</w:t>
      </w:r>
      <w:r w:rsidRPr="0072758C">
        <w:rPr>
          <w:lang w:val="en-AU"/>
        </w:rPr>
        <w:t xml:space="preserve"> come from the holiness code and were understood within contemporary Judaism to mean, </w:t>
      </w:r>
      <w:r w:rsidR="005C71CB" w:rsidRPr="0072758C">
        <w:rPr>
          <w:lang w:val="en-AU"/>
        </w:rPr>
        <w:t>‘</w:t>
      </w:r>
      <w:r w:rsidRPr="0072758C">
        <w:rPr>
          <w:lang w:val="en-AU"/>
        </w:rPr>
        <w:t>Love your fellow member of the covenant,</w:t>
      </w:r>
      <w:r w:rsidR="005C71CB" w:rsidRPr="0072758C">
        <w:rPr>
          <w:lang w:val="en-AU"/>
        </w:rPr>
        <w:t>’</w:t>
      </w:r>
      <w:r w:rsidRPr="0072758C">
        <w:rPr>
          <w:lang w:val="en-AU"/>
        </w:rPr>
        <w:t xml:space="preserve"> that is, your fellow Israelite or compatriot. In this context, the </w:t>
      </w:r>
      <w:r w:rsidRPr="0072758C">
        <w:rPr>
          <w:lang w:val="en-AU"/>
        </w:rPr>
        <w:lastRenderedPageBreak/>
        <w:t xml:space="preserve">opposite of neighbor is clearly </w:t>
      </w:r>
      <w:r w:rsidR="005C71CB" w:rsidRPr="0072758C">
        <w:rPr>
          <w:lang w:val="en-AU"/>
        </w:rPr>
        <w:t>‘</w:t>
      </w:r>
      <w:r w:rsidRPr="0072758C">
        <w:rPr>
          <w:lang w:val="en-AU"/>
        </w:rPr>
        <w:t>non-Israelite,</w:t>
      </w:r>
      <w:r w:rsidR="005C71CB" w:rsidRPr="0072758C">
        <w:rPr>
          <w:lang w:val="en-AU"/>
        </w:rPr>
        <w:t>’</w:t>
      </w:r>
      <w:r w:rsidRPr="0072758C">
        <w:rPr>
          <w:lang w:val="en-AU"/>
        </w:rPr>
        <w:t xml:space="preserve"> and so loving one</w:t>
      </w:r>
      <w:r w:rsidR="005C71CB" w:rsidRPr="0072758C">
        <w:rPr>
          <w:lang w:val="en-AU"/>
        </w:rPr>
        <w:t>’</w:t>
      </w:r>
      <w:r w:rsidRPr="0072758C">
        <w:rPr>
          <w:lang w:val="en-AU"/>
        </w:rPr>
        <w:t xml:space="preserve">s enemy must mean, </w:t>
      </w:r>
      <w:r w:rsidR="005C71CB" w:rsidRPr="0072758C">
        <w:rPr>
          <w:lang w:val="en-AU"/>
        </w:rPr>
        <w:t>‘</w:t>
      </w:r>
      <w:r w:rsidRPr="0072758C">
        <w:rPr>
          <w:lang w:val="en-AU"/>
        </w:rPr>
        <w:t>Love the non-Israelite enemy,</w:t>
      </w:r>
      <w:r w:rsidR="005C71CB" w:rsidRPr="0072758C">
        <w:rPr>
          <w:lang w:val="en-AU"/>
        </w:rPr>
        <w:t>’</w:t>
      </w:r>
      <w:r w:rsidRPr="0072758C">
        <w:rPr>
          <w:lang w:val="en-AU"/>
        </w:rPr>
        <w:t xml:space="preserve"> including the Gentile occupiers.</w:t>
      </w:r>
      <w:r w:rsidRPr="0072758C">
        <w:rPr>
          <w:rStyle w:val="FootnoteReference"/>
          <w:lang w:val="en-AU"/>
        </w:rPr>
        <w:footnoteReference w:id="683"/>
      </w:r>
    </w:p>
    <w:p w14:paraId="336FB495" w14:textId="191A0F5E" w:rsidR="00F2711E" w:rsidRPr="0072758C" w:rsidRDefault="00E03C86" w:rsidP="00AB2072">
      <w:pPr>
        <w:spacing w:beforeLines="100" w:before="240" w:afterLines="1" w:after="2" w:line="480" w:lineRule="auto"/>
        <w:rPr>
          <w:highlight w:val="green"/>
          <w:lang w:val="en-AU"/>
        </w:rPr>
      </w:pPr>
      <w:r w:rsidRPr="0072758C">
        <w:rPr>
          <w:lang w:val="en-AU"/>
        </w:rPr>
        <w:t xml:space="preserve">The </w:t>
      </w:r>
      <w:r w:rsidR="00F2711E" w:rsidRPr="0072758C">
        <w:rPr>
          <w:lang w:val="en-AU"/>
        </w:rPr>
        <w:t xml:space="preserve">Golden Rule </w:t>
      </w:r>
      <w:r w:rsidRPr="0072758C">
        <w:rPr>
          <w:lang w:val="en-AU"/>
        </w:rPr>
        <w:t xml:space="preserve">does not appear in the </w:t>
      </w:r>
      <w:r w:rsidR="00F2711E" w:rsidRPr="0072758C">
        <w:rPr>
          <w:lang w:val="en-AU"/>
        </w:rPr>
        <w:t>Hebrew Scriptures</w:t>
      </w:r>
      <w:r w:rsidR="002B2129" w:rsidRPr="0072758C">
        <w:rPr>
          <w:lang w:val="en-AU"/>
        </w:rPr>
        <w:t xml:space="preserve">, but is </w:t>
      </w:r>
      <w:proofErr w:type="gramStart"/>
      <w:r w:rsidR="002B2129" w:rsidRPr="0072758C">
        <w:rPr>
          <w:lang w:val="en-AU"/>
        </w:rPr>
        <w:t>similar to</w:t>
      </w:r>
      <w:proofErr w:type="gramEnd"/>
      <w:r w:rsidR="002B2129" w:rsidRPr="0072758C">
        <w:rPr>
          <w:lang w:val="en-AU"/>
        </w:rPr>
        <w:t xml:space="preserve"> Leviticus 19:18, </w:t>
      </w:r>
      <w:r w:rsidR="00863B47" w:rsidRPr="0072758C">
        <w:rPr>
          <w:lang w:val="en-AU"/>
        </w:rPr>
        <w:t>“</w:t>
      </w:r>
      <w:r w:rsidR="002B2129" w:rsidRPr="0072758C">
        <w:rPr>
          <w:lang w:val="en-AU"/>
        </w:rPr>
        <w:t>You shall not take vengeance or bear a grudge against any of your people, but you shall love your neighbor as yourself: I am the Lord.</w:t>
      </w:r>
      <w:r w:rsidR="00863B47" w:rsidRPr="0072758C">
        <w:rPr>
          <w:lang w:val="en-AU"/>
        </w:rPr>
        <w:t>”</w:t>
      </w:r>
      <w:r w:rsidR="002B2129" w:rsidRPr="0072758C">
        <w:rPr>
          <w:lang w:val="en-AU"/>
        </w:rPr>
        <w:t xml:space="preserve"> In</w:t>
      </w:r>
      <w:r w:rsidR="00F53ECC" w:rsidRPr="0072758C">
        <w:rPr>
          <w:lang w:val="en-AU"/>
        </w:rPr>
        <w:t xml:space="preserve"> Judaism, the end one seeks must be just</w:t>
      </w:r>
      <w:r w:rsidRPr="0072758C">
        <w:rPr>
          <w:lang w:val="en-AU"/>
        </w:rPr>
        <w:t>.</w:t>
      </w:r>
      <w:r w:rsidR="00F53ECC" w:rsidRPr="0072758C">
        <w:rPr>
          <w:rStyle w:val="FootnoteReference"/>
          <w:lang w:val="en-AU"/>
        </w:rPr>
        <w:footnoteReference w:id="684"/>
      </w:r>
      <w:r w:rsidRPr="0072758C">
        <w:rPr>
          <w:lang w:val="en-AU"/>
        </w:rPr>
        <w:t xml:space="preserve"> </w:t>
      </w:r>
      <w:r w:rsidR="00BD4CF1" w:rsidRPr="0072758C">
        <w:rPr>
          <w:lang w:val="en-AU"/>
        </w:rPr>
        <w:t>I</w:t>
      </w:r>
      <w:r w:rsidRPr="0072758C">
        <w:rPr>
          <w:lang w:val="en-AU"/>
        </w:rPr>
        <w:t>t is worth noting that there are no rankings of commandments within the Torah.</w:t>
      </w:r>
      <w:r w:rsidR="00F2711E" w:rsidRPr="0072758C">
        <w:rPr>
          <w:rStyle w:val="FootnoteReference"/>
          <w:lang w:val="en-AU"/>
        </w:rPr>
        <w:footnoteReference w:id="685"/>
      </w:r>
      <w:r w:rsidR="00F2711E" w:rsidRPr="0072758C">
        <w:rPr>
          <w:lang w:val="en-AU"/>
        </w:rPr>
        <w:t xml:space="preserve">  </w:t>
      </w:r>
      <w:r w:rsidR="00863B47" w:rsidRPr="0072758C">
        <w:rPr>
          <w:lang w:val="en-AU"/>
        </w:rPr>
        <w:t>“</w:t>
      </w:r>
      <w:r w:rsidR="006D627F">
        <w:rPr>
          <w:lang w:val="en-AU"/>
        </w:rPr>
        <w:t>L</w:t>
      </w:r>
      <w:r w:rsidR="00F2711E" w:rsidRPr="0072758C">
        <w:rPr>
          <w:lang w:val="en-AU"/>
        </w:rPr>
        <w:t xml:space="preserve">ove thy </w:t>
      </w:r>
      <w:r w:rsidR="002123A9" w:rsidRPr="0072758C">
        <w:rPr>
          <w:lang w:val="en-AU"/>
        </w:rPr>
        <w:t>neighbour</w:t>
      </w:r>
      <w:r w:rsidR="00863B47" w:rsidRPr="0072758C">
        <w:rPr>
          <w:lang w:val="en-AU"/>
        </w:rPr>
        <w:t>”</w:t>
      </w:r>
      <w:r w:rsidR="00F2711E" w:rsidRPr="0072758C">
        <w:rPr>
          <w:lang w:val="en-AU"/>
        </w:rPr>
        <w:t xml:space="preserve"> </w:t>
      </w:r>
      <w:r w:rsidR="006D627F">
        <w:rPr>
          <w:lang w:val="en-AU"/>
        </w:rPr>
        <w:t xml:space="preserve">is </w:t>
      </w:r>
      <w:r w:rsidR="00F2711E" w:rsidRPr="0072758C">
        <w:rPr>
          <w:lang w:val="en-AU"/>
        </w:rPr>
        <w:t>mandated in Lev 19:18.</w:t>
      </w:r>
      <w:r w:rsidR="00F2711E" w:rsidRPr="0072758C">
        <w:rPr>
          <w:rStyle w:val="FootnoteReference"/>
          <w:lang w:val="en-AU"/>
        </w:rPr>
        <w:footnoteReference w:id="686"/>
      </w:r>
      <w:r w:rsidR="00F2711E" w:rsidRPr="0072758C">
        <w:rPr>
          <w:lang w:val="en-AU"/>
        </w:rPr>
        <w:t xml:space="preserve"> </w:t>
      </w:r>
      <w:r w:rsidR="00047CEE" w:rsidRPr="0072758C">
        <w:rPr>
          <w:lang w:val="en-AU"/>
        </w:rPr>
        <w:t xml:space="preserve">The value of loving someone is so important that </w:t>
      </w:r>
      <w:r w:rsidR="00BD4CF1" w:rsidRPr="0072758C">
        <w:rPr>
          <w:lang w:val="en-AU"/>
        </w:rPr>
        <w:t xml:space="preserve">in </w:t>
      </w:r>
      <w:r w:rsidR="00F2711E" w:rsidRPr="0072758C">
        <w:rPr>
          <w:i/>
          <w:lang w:val="en-AU"/>
        </w:rPr>
        <w:t xml:space="preserve">Avot </w:t>
      </w:r>
      <w:r w:rsidR="00F2711E" w:rsidRPr="0072758C">
        <w:rPr>
          <w:lang w:val="en-AU"/>
        </w:rPr>
        <w:t>2:</w:t>
      </w:r>
      <w:r w:rsidR="00686A0A" w:rsidRPr="0072758C">
        <w:rPr>
          <w:lang w:val="en-AU"/>
        </w:rPr>
        <w:t>2</w:t>
      </w:r>
      <w:r w:rsidR="00F2711E" w:rsidRPr="0072758C">
        <w:rPr>
          <w:lang w:val="en-AU"/>
        </w:rPr>
        <w:t xml:space="preserve"> </w:t>
      </w:r>
      <w:r w:rsidR="009B7C25" w:rsidRPr="0072758C">
        <w:rPr>
          <w:lang w:val="en-AU"/>
        </w:rPr>
        <w:t xml:space="preserve">love </w:t>
      </w:r>
      <w:r w:rsidR="00F2711E" w:rsidRPr="0072758C">
        <w:rPr>
          <w:lang w:val="en-AU"/>
        </w:rPr>
        <w:t>qualifies one</w:t>
      </w:r>
      <w:r w:rsidR="005C71CB" w:rsidRPr="0072758C">
        <w:rPr>
          <w:lang w:val="en-AU"/>
        </w:rPr>
        <w:t>’</w:t>
      </w:r>
      <w:r w:rsidR="00F2711E" w:rsidRPr="0072758C">
        <w:rPr>
          <w:lang w:val="en-AU"/>
        </w:rPr>
        <w:t xml:space="preserve">s deeds, </w:t>
      </w:r>
      <w:r w:rsidR="00863B47" w:rsidRPr="0072758C">
        <w:rPr>
          <w:lang w:val="en-AU"/>
        </w:rPr>
        <w:t>“</w:t>
      </w:r>
      <w:r w:rsidR="00F2711E" w:rsidRPr="0072758C">
        <w:rPr>
          <w:lang w:val="en-AU"/>
        </w:rPr>
        <w:t>Let all your deeds be done for the sake of Heaven</w:t>
      </w:r>
      <w:r w:rsidR="009B7C25" w:rsidRPr="0072758C">
        <w:rPr>
          <w:lang w:val="en-AU"/>
        </w:rPr>
        <w:t>.</w:t>
      </w:r>
      <w:r w:rsidR="00863B47" w:rsidRPr="0072758C">
        <w:rPr>
          <w:lang w:val="en-AU"/>
        </w:rPr>
        <w:t>”</w:t>
      </w:r>
      <w:r w:rsidR="00F2711E" w:rsidRPr="0072758C">
        <w:rPr>
          <w:lang w:val="en-AU"/>
        </w:rPr>
        <w:t xml:space="preserve"> </w:t>
      </w:r>
      <w:r w:rsidR="00F2711E" w:rsidRPr="0072758C">
        <w:rPr>
          <w:i/>
          <w:lang w:val="en-AU"/>
        </w:rPr>
        <w:t xml:space="preserve">Avot </w:t>
      </w:r>
      <w:r w:rsidR="00F2711E" w:rsidRPr="0072758C">
        <w:rPr>
          <w:lang w:val="en-AU"/>
        </w:rPr>
        <w:t>3:1</w:t>
      </w:r>
      <w:r w:rsidR="00686A0A" w:rsidRPr="0072758C">
        <w:rPr>
          <w:lang w:val="en-AU"/>
        </w:rPr>
        <w:t>2</w:t>
      </w:r>
      <w:r w:rsidR="00F2711E" w:rsidRPr="0072758C">
        <w:rPr>
          <w:lang w:val="en-AU"/>
        </w:rPr>
        <w:t xml:space="preserve"> elaborates, </w:t>
      </w:r>
      <w:r w:rsidR="00863B47" w:rsidRPr="0072758C">
        <w:rPr>
          <w:lang w:val="en-AU"/>
        </w:rPr>
        <w:t>“</w:t>
      </w:r>
      <w:r w:rsidR="00F2711E" w:rsidRPr="0072758C">
        <w:rPr>
          <w:lang w:val="en-AU"/>
        </w:rPr>
        <w:t>Rabbi Ishmael says: Be submissive to the ruler and patient with oppression. Receive everyone with cheerfulness.</w:t>
      </w:r>
      <w:r w:rsidR="00863B47" w:rsidRPr="0072758C">
        <w:rPr>
          <w:lang w:val="en-AU"/>
        </w:rPr>
        <w:t>”</w:t>
      </w:r>
      <w:r w:rsidR="00F2711E" w:rsidRPr="0072758C">
        <w:rPr>
          <w:lang w:val="en-AU"/>
        </w:rPr>
        <w:t xml:space="preserve"> </w:t>
      </w:r>
      <w:r w:rsidR="00047CEE" w:rsidRPr="0072758C">
        <w:rPr>
          <w:lang w:val="en-AU"/>
        </w:rPr>
        <w:t xml:space="preserve"> </w:t>
      </w:r>
    </w:p>
    <w:p w14:paraId="5F6F89F3" w14:textId="274BE02E" w:rsidR="00F2711E" w:rsidRPr="0072758C" w:rsidRDefault="00532284" w:rsidP="00BC7015">
      <w:pPr>
        <w:pStyle w:val="Heading2"/>
      </w:pPr>
      <w:bookmarkStart w:id="217" w:name="_Toc199523940"/>
      <w:bookmarkStart w:id="218" w:name="_Toc210760496"/>
      <w:bookmarkStart w:id="219" w:name="_Toc213307220"/>
      <w:bookmarkStart w:id="220" w:name="_Toc213482493"/>
      <w:bookmarkStart w:id="221" w:name="_Toc94537050"/>
      <w:bookmarkStart w:id="222" w:name="_Toc118063697"/>
      <w:r w:rsidRPr="0072758C">
        <w:t>9.</w:t>
      </w:r>
      <w:r w:rsidR="005C032C" w:rsidRPr="0072758C">
        <w:t>10</w:t>
      </w:r>
      <w:r w:rsidR="00F2711E" w:rsidRPr="0072758C">
        <w:t xml:space="preserve"> </w:t>
      </w:r>
      <w:bookmarkEnd w:id="217"/>
      <w:bookmarkEnd w:id="218"/>
      <w:bookmarkEnd w:id="219"/>
      <w:bookmarkEnd w:id="220"/>
      <w:r w:rsidR="00EF7AFE" w:rsidRPr="0072758C">
        <w:t>Matthew 5:21</w:t>
      </w:r>
      <w:r w:rsidR="0076733F" w:rsidRPr="0072758C">
        <w:t>–</w:t>
      </w:r>
      <w:r w:rsidR="00EF7AFE" w:rsidRPr="0072758C">
        <w:t xml:space="preserve">49 and </w:t>
      </w:r>
      <w:r w:rsidR="00AD4625" w:rsidRPr="0072758C">
        <w:t>J</w:t>
      </w:r>
      <w:r w:rsidR="00EF7AFE" w:rsidRPr="0072758C">
        <w:t>esus</w:t>
      </w:r>
      <w:r w:rsidR="005C71CB" w:rsidRPr="0072758C">
        <w:t>’</w:t>
      </w:r>
      <w:r w:rsidR="006D41DD">
        <w:t>s</w:t>
      </w:r>
      <w:r w:rsidR="00EF7AFE" w:rsidRPr="0072758C">
        <w:t xml:space="preserve"> </w:t>
      </w:r>
      <w:r w:rsidR="00AD4625" w:rsidRPr="0072758C">
        <w:t>F</w:t>
      </w:r>
      <w:r w:rsidR="00EF7AFE" w:rsidRPr="0072758C">
        <w:t xml:space="preserve">unction in </w:t>
      </w:r>
      <w:r w:rsidR="00AD4625" w:rsidRPr="0072758C">
        <w:t>M</w:t>
      </w:r>
      <w:r w:rsidR="00EF7AFE" w:rsidRPr="0072758C">
        <w:t xml:space="preserve">osaic </w:t>
      </w:r>
      <w:r w:rsidR="00AD4625" w:rsidRPr="0072758C">
        <w:t>L</w:t>
      </w:r>
      <w:r w:rsidR="00EF7AFE" w:rsidRPr="0072758C">
        <w:t>aw</w:t>
      </w:r>
      <w:bookmarkEnd w:id="221"/>
      <w:bookmarkEnd w:id="222"/>
    </w:p>
    <w:p w14:paraId="550C169A" w14:textId="61C4D89B" w:rsidR="00F2711E" w:rsidRPr="0072758C" w:rsidRDefault="00F2711E" w:rsidP="00F2711E">
      <w:pPr>
        <w:spacing w:before="120" w:line="480" w:lineRule="auto"/>
        <w:ind w:firstLine="720"/>
        <w:rPr>
          <w:lang w:val="en-AU"/>
        </w:rPr>
      </w:pPr>
      <w:r w:rsidRPr="0072758C">
        <w:rPr>
          <w:lang w:val="en-AU"/>
        </w:rPr>
        <w:t xml:space="preserve">Similarities between Oral Law and Matthew may be discerned in the </w:t>
      </w:r>
      <w:proofErr w:type="gramStart"/>
      <w:r w:rsidRPr="0072758C">
        <w:rPr>
          <w:lang w:val="en-AU"/>
        </w:rPr>
        <w:t>manner in which</w:t>
      </w:r>
      <w:proofErr w:type="gramEnd"/>
      <w:r w:rsidRPr="0072758C">
        <w:rPr>
          <w:lang w:val="en-AU"/>
        </w:rPr>
        <w:t xml:space="preserve"> Jesus demonstrate</w:t>
      </w:r>
      <w:r w:rsidR="0076733F" w:rsidRPr="0072758C">
        <w:rPr>
          <w:lang w:val="en-AU"/>
        </w:rPr>
        <w:t>d</w:t>
      </w:r>
      <w:r w:rsidRPr="0072758C">
        <w:rPr>
          <w:lang w:val="en-AU"/>
        </w:rPr>
        <w:t xml:space="preserve"> solidarity with Mosaic Laws. The actions of Jesus upheld the ten</w:t>
      </w:r>
      <w:r w:rsidR="0076733F" w:rsidRPr="0072758C">
        <w:rPr>
          <w:lang w:val="en-AU"/>
        </w:rPr>
        <w:t>e</w:t>
      </w:r>
      <w:r w:rsidRPr="0072758C">
        <w:rPr>
          <w:lang w:val="en-AU"/>
        </w:rPr>
        <w:t xml:space="preserve">ts of the Mosaic law. Davies and Allison contend that an ethic for the entire Christian life </w:t>
      </w:r>
      <w:r w:rsidR="00D90AC6" w:rsidRPr="0072758C">
        <w:rPr>
          <w:lang w:val="en-AU"/>
        </w:rPr>
        <w:t>may be</w:t>
      </w:r>
      <w:r w:rsidRPr="0072758C">
        <w:rPr>
          <w:lang w:val="en-AU"/>
        </w:rPr>
        <w:t xml:space="preserve"> composed from </w:t>
      </w:r>
      <w:r w:rsidR="00D90AC6" w:rsidRPr="0072758C">
        <w:rPr>
          <w:lang w:val="en-AU"/>
        </w:rPr>
        <w:t xml:space="preserve">the way Jesus interpreted the Mosaic Laws in </w:t>
      </w:r>
      <w:r w:rsidRPr="0072758C">
        <w:rPr>
          <w:lang w:val="en-AU"/>
        </w:rPr>
        <w:t>Matthew 5:21</w:t>
      </w:r>
      <w:r w:rsidR="00D90AC6" w:rsidRPr="0072758C">
        <w:rPr>
          <w:lang w:val="en-AU"/>
        </w:rPr>
        <w:t>–</w:t>
      </w:r>
      <w:r w:rsidRPr="0072758C">
        <w:rPr>
          <w:lang w:val="en-AU"/>
        </w:rPr>
        <w:t>49.</w:t>
      </w:r>
      <w:r w:rsidRPr="0072758C">
        <w:rPr>
          <w:rStyle w:val="FootnoteReference"/>
          <w:lang w:val="en-AU"/>
        </w:rPr>
        <w:footnoteReference w:id="687"/>
      </w:r>
      <w:r w:rsidRPr="0072758C">
        <w:rPr>
          <w:lang w:val="en-AU"/>
        </w:rPr>
        <w:t xml:space="preserve"> Powell contends that </w:t>
      </w:r>
      <w:r w:rsidR="00244FC5" w:rsidRPr="0072758C">
        <w:rPr>
          <w:lang w:val="en-AU"/>
        </w:rPr>
        <w:t xml:space="preserve">in Matthew 5 </w:t>
      </w:r>
      <w:r w:rsidRPr="0072758C">
        <w:rPr>
          <w:lang w:val="en-AU"/>
        </w:rPr>
        <w:t xml:space="preserve">Jesus </w:t>
      </w:r>
      <w:r w:rsidR="00244FC5" w:rsidRPr="0072758C">
        <w:rPr>
          <w:lang w:val="en-AU"/>
        </w:rPr>
        <w:t>teach</w:t>
      </w:r>
      <w:r w:rsidR="000D5520" w:rsidRPr="0072758C">
        <w:rPr>
          <w:lang w:val="en-AU"/>
        </w:rPr>
        <w:t xml:space="preserve">es </w:t>
      </w:r>
      <w:r w:rsidR="00B56719" w:rsidRPr="0072758C">
        <w:rPr>
          <w:lang w:val="en-AU"/>
        </w:rPr>
        <w:t>peaceful</w:t>
      </w:r>
      <w:r w:rsidR="000D5520" w:rsidRPr="0072758C">
        <w:rPr>
          <w:lang w:val="en-AU"/>
        </w:rPr>
        <w:t xml:space="preserve"> obedience to </w:t>
      </w:r>
      <w:r w:rsidRPr="0072758C">
        <w:rPr>
          <w:lang w:val="en-AU"/>
        </w:rPr>
        <w:t>Roman laws and observ</w:t>
      </w:r>
      <w:r w:rsidR="00244FC5" w:rsidRPr="0072758C">
        <w:rPr>
          <w:lang w:val="en-AU"/>
        </w:rPr>
        <w:t>ance</w:t>
      </w:r>
      <w:r w:rsidR="00556C53" w:rsidRPr="0072758C">
        <w:rPr>
          <w:lang w:val="en-AU"/>
        </w:rPr>
        <w:t xml:space="preserve"> </w:t>
      </w:r>
      <w:r w:rsidR="00556C53" w:rsidRPr="0072758C">
        <w:rPr>
          <w:lang w:val="en-AU"/>
        </w:rPr>
        <w:lastRenderedPageBreak/>
        <w:t>of</w:t>
      </w:r>
      <w:r w:rsidR="00B56719" w:rsidRPr="0072758C">
        <w:rPr>
          <w:lang w:val="en-AU"/>
        </w:rPr>
        <w:t xml:space="preserve"> Torah</w:t>
      </w:r>
      <w:r w:rsidRPr="0072758C">
        <w:rPr>
          <w:lang w:val="en-AU"/>
        </w:rPr>
        <w:t>.</w:t>
      </w:r>
      <w:r w:rsidRPr="0072758C">
        <w:rPr>
          <w:rStyle w:val="FootnoteReference"/>
          <w:lang w:val="en-AU"/>
        </w:rPr>
        <w:footnoteReference w:id="688"/>
      </w:r>
      <w:r w:rsidRPr="0072758C">
        <w:rPr>
          <w:lang w:val="en-AU"/>
        </w:rPr>
        <w:t xml:space="preserve"> Sanders</w:t>
      </w:r>
      <w:r w:rsidR="00047CEE" w:rsidRPr="0072758C">
        <w:rPr>
          <w:lang w:val="en-AU"/>
        </w:rPr>
        <w:t xml:space="preserve"> is in </w:t>
      </w:r>
      <w:r w:rsidR="001B3B12" w:rsidRPr="0072758C">
        <w:rPr>
          <w:lang w:val="en-AU"/>
        </w:rPr>
        <w:t xml:space="preserve">concert with Powell regarding how Jews </w:t>
      </w:r>
      <w:r w:rsidR="00556C53" w:rsidRPr="0072758C">
        <w:rPr>
          <w:lang w:val="en-AU"/>
        </w:rPr>
        <w:t>understood</w:t>
      </w:r>
      <w:r w:rsidR="001B3B12" w:rsidRPr="0072758C">
        <w:rPr>
          <w:lang w:val="en-AU"/>
        </w:rPr>
        <w:t xml:space="preserve"> Mosaic Law.</w:t>
      </w:r>
      <w:r w:rsidRPr="0072758C">
        <w:rPr>
          <w:rStyle w:val="FootnoteReference"/>
          <w:lang w:val="en-AU"/>
        </w:rPr>
        <w:footnoteReference w:id="689"/>
      </w:r>
      <w:r w:rsidRPr="0072758C">
        <w:rPr>
          <w:lang w:val="en-AU"/>
        </w:rPr>
        <w:t xml:space="preserve"> </w:t>
      </w:r>
    </w:p>
    <w:p w14:paraId="4BCBFE4B" w14:textId="5D35C740" w:rsidR="00F2711E" w:rsidRPr="0072758C" w:rsidRDefault="00F2711E" w:rsidP="00F2711E">
      <w:pPr>
        <w:spacing w:before="120" w:line="480" w:lineRule="auto"/>
        <w:ind w:firstLine="720"/>
        <w:rPr>
          <w:lang w:val="en-AU"/>
        </w:rPr>
      </w:pPr>
      <w:r w:rsidRPr="0072758C">
        <w:rPr>
          <w:lang w:val="en-AU"/>
        </w:rPr>
        <w:t>Jesus</w:t>
      </w:r>
      <w:r w:rsidR="005C71CB" w:rsidRPr="0072758C">
        <w:rPr>
          <w:lang w:val="en-AU"/>
        </w:rPr>
        <w:t>’</w:t>
      </w:r>
      <w:r w:rsidR="006D41DD">
        <w:rPr>
          <w:lang w:val="en-AU"/>
        </w:rPr>
        <w:t>s</w:t>
      </w:r>
      <w:r w:rsidR="00E65E2A" w:rsidRPr="0072758C">
        <w:rPr>
          <w:lang w:val="en-AU"/>
        </w:rPr>
        <w:t xml:space="preserve"> attitude to</w:t>
      </w:r>
      <w:r w:rsidRPr="0072758C">
        <w:rPr>
          <w:lang w:val="en-AU"/>
        </w:rPr>
        <w:t xml:space="preserve"> the Sabbath was influential </w:t>
      </w:r>
      <w:r w:rsidR="00E65E2A" w:rsidRPr="0072758C">
        <w:rPr>
          <w:lang w:val="en-AU"/>
        </w:rPr>
        <w:t>in</w:t>
      </w:r>
      <w:r w:rsidRPr="0072758C">
        <w:rPr>
          <w:lang w:val="en-AU"/>
        </w:rPr>
        <w:t xml:space="preserve"> the world around him. Harry Joshua Leon suggests that outsiders to Judaism were influenced to observe Sabbath </w:t>
      </w:r>
      <w:r w:rsidR="00412AFB" w:rsidRPr="0072758C">
        <w:rPr>
          <w:lang w:val="en-AU"/>
        </w:rPr>
        <w:t>and that</w:t>
      </w:r>
      <w:r w:rsidRPr="0072758C">
        <w:rPr>
          <w:lang w:val="en-AU"/>
        </w:rPr>
        <w:t xml:space="preserve"> Greco-Roman Gentiles beg</w:t>
      </w:r>
      <w:r w:rsidR="00E65E2A" w:rsidRPr="0072758C">
        <w:rPr>
          <w:lang w:val="en-AU"/>
        </w:rPr>
        <w:t>an</w:t>
      </w:r>
      <w:r w:rsidRPr="0072758C">
        <w:rPr>
          <w:lang w:val="en-AU"/>
        </w:rPr>
        <w:t xml:space="preserve"> to observe the Sabbath, taking the day off work.</w:t>
      </w:r>
      <w:r w:rsidRPr="0072758C">
        <w:rPr>
          <w:rStyle w:val="FootnoteReference"/>
          <w:lang w:val="en-AU"/>
        </w:rPr>
        <w:footnoteReference w:id="690"/>
      </w:r>
      <w:r w:rsidRPr="0072758C">
        <w:rPr>
          <w:lang w:val="en-AU"/>
        </w:rPr>
        <w:t xml:space="preserve"> As Borg observes, Sabbath and Festival observance was important to all Jews which would have created a community of people fully aware of the </w:t>
      </w:r>
      <w:r w:rsidR="00E65E2A" w:rsidRPr="0072758C">
        <w:rPr>
          <w:lang w:val="en-AU"/>
        </w:rPr>
        <w:t>M</w:t>
      </w:r>
      <w:r w:rsidRPr="0072758C">
        <w:rPr>
          <w:lang w:val="en-AU"/>
        </w:rPr>
        <w:t>osaic laws and the</w:t>
      </w:r>
      <w:r w:rsidR="00E65E2A" w:rsidRPr="0072758C">
        <w:rPr>
          <w:lang w:val="en-AU"/>
        </w:rPr>
        <w:t>ir</w:t>
      </w:r>
      <w:r w:rsidRPr="0072758C">
        <w:rPr>
          <w:lang w:val="en-AU"/>
        </w:rPr>
        <w:t xml:space="preserve"> implications in the community.</w:t>
      </w:r>
      <w:r w:rsidRPr="0072758C">
        <w:rPr>
          <w:rStyle w:val="FootnoteReference"/>
          <w:lang w:val="en-AU"/>
        </w:rPr>
        <w:footnoteReference w:id="691"/>
      </w:r>
      <w:r w:rsidRPr="0072758C">
        <w:rPr>
          <w:lang w:val="en-AU"/>
        </w:rPr>
        <w:t xml:space="preserve"> Jesus</w:t>
      </w:r>
      <w:r w:rsidR="005C71CB" w:rsidRPr="0072758C">
        <w:rPr>
          <w:lang w:val="en-AU"/>
        </w:rPr>
        <w:t>’</w:t>
      </w:r>
      <w:r w:rsidR="006D41DD">
        <w:rPr>
          <w:lang w:val="en-AU"/>
        </w:rPr>
        <w:t>s</w:t>
      </w:r>
      <w:r w:rsidRPr="0072758C">
        <w:rPr>
          <w:lang w:val="en-AU"/>
        </w:rPr>
        <w:t xml:space="preserve"> sayings in the Sermon address a wide audience who would be aware of the Mosaic laws: however, the Mosaic laws </w:t>
      </w:r>
      <w:r w:rsidR="00E12F23" w:rsidRPr="0072758C">
        <w:rPr>
          <w:lang w:val="en-AU"/>
        </w:rPr>
        <w:t>we</w:t>
      </w:r>
      <w:r w:rsidRPr="0072758C">
        <w:rPr>
          <w:lang w:val="en-AU"/>
        </w:rPr>
        <w:t>re applicable to the Jews only.  Vermes suggests that Jesus was concerned in his ministry with the Jews more than the Gentiles.</w:t>
      </w:r>
      <w:r w:rsidRPr="0072758C">
        <w:rPr>
          <w:rStyle w:val="FootnoteReference"/>
          <w:lang w:val="en-AU"/>
        </w:rPr>
        <w:footnoteReference w:id="692"/>
      </w:r>
      <w:r w:rsidRPr="0072758C">
        <w:rPr>
          <w:lang w:val="en-AU"/>
        </w:rPr>
        <w:t xml:space="preserve"> Being a society of people who studied the Torah daily, the people were very familiar with the text. </w:t>
      </w:r>
      <w:r w:rsidR="005C2A9A" w:rsidRPr="0072758C">
        <w:rPr>
          <w:lang w:val="en-AU"/>
        </w:rPr>
        <w:t xml:space="preserve">It is noted by Jonathan G. Campbell that </w:t>
      </w:r>
      <w:r w:rsidR="00863B47" w:rsidRPr="0072758C">
        <w:rPr>
          <w:lang w:val="en-AU"/>
        </w:rPr>
        <w:t>“</w:t>
      </w:r>
      <w:r w:rsidR="005C2A9A" w:rsidRPr="0072758C">
        <w:rPr>
          <w:lang w:val="en-AU"/>
        </w:rPr>
        <w:t>the scriptures making up the canonical Torah were fixed in early post-exilic times.</w:t>
      </w:r>
      <w:r w:rsidR="00863B47" w:rsidRPr="0072758C">
        <w:rPr>
          <w:lang w:val="en-AU"/>
        </w:rPr>
        <w:t>”</w:t>
      </w:r>
      <w:r w:rsidR="005C2A9A" w:rsidRPr="0072758C">
        <w:rPr>
          <w:rStyle w:val="FootnoteReference"/>
          <w:lang w:val="en-AU"/>
        </w:rPr>
        <w:footnoteReference w:id="693"/>
      </w:r>
      <w:r w:rsidR="005C2A9A" w:rsidRPr="0072758C">
        <w:rPr>
          <w:lang w:val="en-AU"/>
        </w:rPr>
        <w:t xml:space="preserve"> </w:t>
      </w:r>
      <w:r w:rsidRPr="0072758C">
        <w:rPr>
          <w:lang w:val="en-AU"/>
        </w:rPr>
        <w:t xml:space="preserve">Vermes even contends that the early </w:t>
      </w:r>
      <w:r w:rsidR="005C2A9A" w:rsidRPr="0072758C">
        <w:rPr>
          <w:lang w:val="en-AU"/>
        </w:rPr>
        <w:t xml:space="preserve">followers of </w:t>
      </w:r>
      <w:r w:rsidRPr="0072758C">
        <w:rPr>
          <w:lang w:val="en-AU"/>
        </w:rPr>
        <w:t xml:space="preserve">Jesus still </w:t>
      </w:r>
      <w:r w:rsidR="007C5F7B" w:rsidRPr="0072758C">
        <w:rPr>
          <w:lang w:val="en-AU"/>
        </w:rPr>
        <w:t xml:space="preserve">followed </w:t>
      </w:r>
      <w:r w:rsidRPr="0072758C">
        <w:rPr>
          <w:lang w:val="en-AU"/>
        </w:rPr>
        <w:t xml:space="preserve">Jewish </w:t>
      </w:r>
      <w:r w:rsidR="007C5F7B" w:rsidRPr="0072758C">
        <w:rPr>
          <w:lang w:val="en-AU"/>
        </w:rPr>
        <w:t xml:space="preserve">customs of </w:t>
      </w:r>
      <w:r w:rsidRPr="0072758C">
        <w:rPr>
          <w:lang w:val="en-AU"/>
        </w:rPr>
        <w:t>dress and kosher diets</w:t>
      </w:r>
      <w:r w:rsidR="002B2129" w:rsidRPr="0072758C">
        <w:rPr>
          <w:lang w:val="en-AU"/>
        </w:rPr>
        <w:t>, as did Jesus</w:t>
      </w:r>
      <w:r w:rsidRPr="0072758C">
        <w:rPr>
          <w:lang w:val="en-AU"/>
        </w:rPr>
        <w:t>.</w:t>
      </w:r>
      <w:r w:rsidRPr="0072758C">
        <w:rPr>
          <w:rStyle w:val="FootnoteReference"/>
          <w:lang w:val="en-AU"/>
        </w:rPr>
        <w:footnoteReference w:id="694"/>
      </w:r>
      <w:r w:rsidRPr="0072758C">
        <w:rPr>
          <w:lang w:val="en-AU"/>
        </w:rPr>
        <w:t xml:space="preserve">  </w:t>
      </w:r>
    </w:p>
    <w:p w14:paraId="6BE74FBF" w14:textId="4439A85F" w:rsidR="00F2711E" w:rsidRPr="0072758C" w:rsidRDefault="002417F8" w:rsidP="00F2711E">
      <w:pPr>
        <w:spacing w:before="120" w:line="480" w:lineRule="auto"/>
        <w:ind w:firstLine="709"/>
        <w:rPr>
          <w:lang w:val="en-AU"/>
        </w:rPr>
      </w:pPr>
      <w:r w:rsidRPr="0072758C">
        <w:rPr>
          <w:lang w:val="en-AU"/>
        </w:rPr>
        <w:lastRenderedPageBreak/>
        <w:t xml:space="preserve">According to </w:t>
      </w:r>
      <w:r w:rsidR="00F2711E" w:rsidRPr="0072758C">
        <w:rPr>
          <w:lang w:val="en-AU"/>
        </w:rPr>
        <w:t>Saldarini</w:t>
      </w:r>
      <w:r w:rsidRPr="0072758C">
        <w:rPr>
          <w:lang w:val="en-AU"/>
        </w:rPr>
        <w:t>,</w:t>
      </w:r>
      <w:r w:rsidR="00F2711E" w:rsidRPr="0072758C">
        <w:rPr>
          <w:lang w:val="en-AU"/>
        </w:rPr>
        <w:t xml:space="preserve"> </w:t>
      </w:r>
      <w:r w:rsidR="00863B47" w:rsidRPr="0072758C">
        <w:rPr>
          <w:lang w:val="en-AU"/>
        </w:rPr>
        <w:t>“</w:t>
      </w:r>
      <w:r w:rsidR="00F2711E" w:rsidRPr="0072758C">
        <w:rPr>
          <w:lang w:val="en-AU"/>
        </w:rPr>
        <w:t>In 1</w:t>
      </w:r>
      <w:r w:rsidR="00F2711E" w:rsidRPr="0072758C">
        <w:rPr>
          <w:vertAlign w:val="superscript"/>
          <w:lang w:val="en-AU"/>
        </w:rPr>
        <w:t>st</w:t>
      </w:r>
      <w:r w:rsidR="00F2711E" w:rsidRPr="0072758C">
        <w:rPr>
          <w:lang w:val="en-AU"/>
        </w:rPr>
        <w:t xml:space="preserve"> century Judaism, interpretation of the law was a political act in which the control of society was at stake. Disagreements among groups involved substantial conflict over public laws and norms.</w:t>
      </w:r>
      <w:r w:rsidR="00863B47" w:rsidRPr="0072758C">
        <w:rPr>
          <w:lang w:val="en-AU"/>
        </w:rPr>
        <w:t>”</w:t>
      </w:r>
      <w:r w:rsidR="00F2711E" w:rsidRPr="0072758C">
        <w:rPr>
          <w:rStyle w:val="FootnoteReference"/>
          <w:lang w:val="en-AU"/>
        </w:rPr>
        <w:footnoteReference w:id="695"/>
      </w:r>
      <w:r w:rsidR="00F2711E" w:rsidRPr="0072758C">
        <w:rPr>
          <w:lang w:val="en-AU"/>
        </w:rPr>
        <w:t xml:space="preserve">  Some of the Mosaic laws could be seen as extreme and harsh.  </w:t>
      </w:r>
      <w:r w:rsidR="001B3B12" w:rsidRPr="0072758C">
        <w:rPr>
          <w:lang w:val="en-AU"/>
        </w:rPr>
        <w:t xml:space="preserve">There are exclusions from killings such as </w:t>
      </w:r>
      <w:r w:rsidR="00F2711E" w:rsidRPr="0072758C">
        <w:rPr>
          <w:lang w:val="en-AU"/>
        </w:rPr>
        <w:t>Exodus 22:2</w:t>
      </w:r>
      <w:r w:rsidR="001B3B12" w:rsidRPr="0072758C">
        <w:rPr>
          <w:lang w:val="en-AU"/>
        </w:rPr>
        <w:t xml:space="preserve"> which allows a homeowner</w:t>
      </w:r>
      <w:r w:rsidRPr="0072758C">
        <w:rPr>
          <w:lang w:val="en-AU"/>
        </w:rPr>
        <w:t xml:space="preserve"> who kills a burglar</w:t>
      </w:r>
      <w:r w:rsidR="001B3B12" w:rsidRPr="0072758C">
        <w:rPr>
          <w:lang w:val="en-AU"/>
        </w:rPr>
        <w:t xml:space="preserve"> to be </w:t>
      </w:r>
      <w:r w:rsidR="006B5552" w:rsidRPr="0072758C">
        <w:rPr>
          <w:lang w:val="en-AU"/>
        </w:rPr>
        <w:t xml:space="preserve">not </w:t>
      </w:r>
      <w:r w:rsidR="001B3B12" w:rsidRPr="0072758C">
        <w:rPr>
          <w:lang w:val="en-AU"/>
        </w:rPr>
        <w:t xml:space="preserve">guilty </w:t>
      </w:r>
      <w:r w:rsidR="006B5552" w:rsidRPr="0072758C">
        <w:rPr>
          <w:lang w:val="en-AU"/>
        </w:rPr>
        <w:t>of murder</w:t>
      </w:r>
      <w:r w:rsidR="001B3B12" w:rsidRPr="0072758C">
        <w:rPr>
          <w:lang w:val="en-AU"/>
        </w:rPr>
        <w:t xml:space="preserve">. </w:t>
      </w:r>
      <w:r w:rsidR="00F2711E" w:rsidRPr="0072758C">
        <w:rPr>
          <w:lang w:val="en-AU"/>
        </w:rPr>
        <w:t xml:space="preserve">Worth </w:t>
      </w:r>
      <w:r w:rsidR="002B621F" w:rsidRPr="0072758C">
        <w:rPr>
          <w:lang w:val="en-AU"/>
        </w:rPr>
        <w:t>believes</w:t>
      </w:r>
      <w:r w:rsidR="00F2711E" w:rsidRPr="0072758C">
        <w:rPr>
          <w:lang w:val="en-AU"/>
        </w:rPr>
        <w:t xml:space="preserve"> that by </w:t>
      </w:r>
      <w:r w:rsidR="00FE448A" w:rsidRPr="0072758C">
        <w:rPr>
          <w:lang w:val="en-AU"/>
        </w:rPr>
        <w:t xml:space="preserve">his </w:t>
      </w:r>
      <w:r w:rsidR="00F2711E" w:rsidRPr="0072758C">
        <w:rPr>
          <w:lang w:val="en-AU"/>
        </w:rPr>
        <w:t>embracing the rule of law in the courts, Jesus</w:t>
      </w:r>
      <w:r w:rsidR="005C71CB" w:rsidRPr="0072758C">
        <w:rPr>
          <w:lang w:val="en-AU"/>
        </w:rPr>
        <w:t>’</w:t>
      </w:r>
      <w:r w:rsidR="006D41DD">
        <w:rPr>
          <w:lang w:val="en-AU"/>
        </w:rPr>
        <w:t>s</w:t>
      </w:r>
      <w:r w:rsidR="00F2711E" w:rsidRPr="0072758C">
        <w:rPr>
          <w:lang w:val="en-AU"/>
        </w:rPr>
        <w:t xml:space="preserve"> teaching </w:t>
      </w:r>
      <w:r w:rsidR="00FE448A" w:rsidRPr="0072758C">
        <w:rPr>
          <w:lang w:val="en-AU"/>
        </w:rPr>
        <w:t>wa</w:t>
      </w:r>
      <w:r w:rsidR="00F2711E" w:rsidRPr="0072758C">
        <w:rPr>
          <w:lang w:val="en-AU"/>
        </w:rPr>
        <w:t>s in con</w:t>
      </w:r>
      <w:r w:rsidR="00FE448A" w:rsidRPr="0072758C">
        <w:rPr>
          <w:lang w:val="en-AU"/>
        </w:rPr>
        <w:t>tinuity</w:t>
      </w:r>
      <w:r w:rsidR="00F2711E" w:rsidRPr="0072758C">
        <w:rPr>
          <w:lang w:val="en-AU"/>
        </w:rPr>
        <w:t xml:space="preserve"> with the Mosaic Law.</w:t>
      </w:r>
      <w:r w:rsidR="00F2711E" w:rsidRPr="0072758C">
        <w:rPr>
          <w:rStyle w:val="FootnoteReference"/>
          <w:lang w:val="en-AU"/>
        </w:rPr>
        <w:footnoteReference w:id="696"/>
      </w:r>
      <w:r w:rsidR="00F2711E" w:rsidRPr="0072758C">
        <w:rPr>
          <w:lang w:val="en-AU"/>
        </w:rPr>
        <w:t xml:space="preserve">  Jesus</w:t>
      </w:r>
      <w:r w:rsidR="005C71CB" w:rsidRPr="0072758C">
        <w:rPr>
          <w:lang w:val="en-AU"/>
        </w:rPr>
        <w:t>’</w:t>
      </w:r>
      <w:r w:rsidR="006D41DD">
        <w:rPr>
          <w:lang w:val="en-AU"/>
        </w:rPr>
        <w:t>s</w:t>
      </w:r>
      <w:r w:rsidR="00F2711E" w:rsidRPr="0072758C">
        <w:rPr>
          <w:lang w:val="en-AU"/>
        </w:rPr>
        <w:t xml:space="preserve"> teaching expanded existing Jewish law and </w:t>
      </w:r>
      <w:r w:rsidR="00FE448A" w:rsidRPr="0072758C">
        <w:rPr>
          <w:lang w:val="en-AU"/>
        </w:rPr>
        <w:t xml:space="preserve">did </w:t>
      </w:r>
      <w:r w:rsidR="00F2711E" w:rsidRPr="0072758C">
        <w:rPr>
          <w:lang w:val="en-AU"/>
        </w:rPr>
        <w:t>not diminish</w:t>
      </w:r>
      <w:r w:rsidR="00B47627" w:rsidRPr="0072758C">
        <w:rPr>
          <w:lang w:val="en-AU"/>
        </w:rPr>
        <w:t xml:space="preserve"> it</w:t>
      </w:r>
      <w:r w:rsidR="00F2711E" w:rsidRPr="0072758C">
        <w:rPr>
          <w:lang w:val="en-AU"/>
        </w:rPr>
        <w:t>.</w:t>
      </w:r>
      <w:r w:rsidR="00F2711E" w:rsidRPr="0072758C">
        <w:rPr>
          <w:rStyle w:val="FootnoteReference"/>
          <w:lang w:val="en-AU"/>
        </w:rPr>
        <w:footnoteReference w:id="697"/>
      </w:r>
      <w:r w:rsidR="00F2711E" w:rsidRPr="0072758C">
        <w:rPr>
          <w:lang w:val="en-AU"/>
        </w:rPr>
        <w:t xml:space="preserve"> John Oslyn-Siemiatkoski teaches that the</w:t>
      </w:r>
      <w:r w:rsidR="00F2711E" w:rsidRPr="009E7B69">
        <w:t xml:space="preserve"> teaching</w:t>
      </w:r>
      <w:r w:rsidR="0072758C">
        <w:t>s</w:t>
      </w:r>
      <w:r w:rsidR="00F2711E" w:rsidRPr="009E7B69">
        <w:t xml:space="preserve"> </w:t>
      </w:r>
      <w:r w:rsidR="00F2711E" w:rsidRPr="0072758C">
        <w:rPr>
          <w:lang w:val="en-AU"/>
        </w:rPr>
        <w:t xml:space="preserve">in the </w:t>
      </w:r>
      <w:r w:rsidR="00A14CDD" w:rsidRPr="0072758C">
        <w:rPr>
          <w:i/>
          <w:iCs/>
          <w:lang w:val="en-AU"/>
        </w:rPr>
        <w:t>Mishna</w:t>
      </w:r>
      <w:r w:rsidR="00F2711E" w:rsidRPr="0072758C">
        <w:rPr>
          <w:i/>
          <w:iCs/>
          <w:lang w:val="en-AU"/>
        </w:rPr>
        <w:t xml:space="preserve"> Avot </w:t>
      </w:r>
      <w:r w:rsidR="00F2711E" w:rsidRPr="0072758C">
        <w:rPr>
          <w:lang w:val="en-AU"/>
        </w:rPr>
        <w:t>are akin to how Jesus kept the sayings of Torah</w:t>
      </w:r>
      <w:r w:rsidR="00E86EE5" w:rsidRPr="0072758C">
        <w:rPr>
          <w:lang w:val="en-AU"/>
        </w:rPr>
        <w:t xml:space="preserve">: </w:t>
      </w:r>
      <w:r w:rsidR="00F2711E" w:rsidRPr="0072758C">
        <w:rPr>
          <w:lang w:val="en-AU"/>
        </w:rPr>
        <w:t>Jesus</w:t>
      </w:r>
      <w:r w:rsidR="005C71CB" w:rsidRPr="0072758C">
        <w:rPr>
          <w:lang w:val="en-AU"/>
        </w:rPr>
        <w:t>’</w:t>
      </w:r>
      <w:r w:rsidR="006D41DD">
        <w:rPr>
          <w:lang w:val="en-AU"/>
        </w:rPr>
        <w:t>s</w:t>
      </w:r>
      <w:r w:rsidR="00E86EE5" w:rsidRPr="0072758C">
        <w:rPr>
          <w:lang w:val="en-AU"/>
        </w:rPr>
        <w:t xml:space="preserve"> </w:t>
      </w:r>
      <w:r w:rsidR="00F2711E" w:rsidRPr="0072758C">
        <w:rPr>
          <w:lang w:val="en-AU"/>
        </w:rPr>
        <w:t xml:space="preserve">sayings </w:t>
      </w:r>
      <w:r w:rsidR="00E524D8" w:rsidRPr="0072758C">
        <w:rPr>
          <w:lang w:val="en-AU"/>
        </w:rPr>
        <w:t xml:space="preserve">were </w:t>
      </w:r>
      <w:r w:rsidR="00F2711E" w:rsidRPr="0072758C">
        <w:rPr>
          <w:lang w:val="en-AU"/>
        </w:rPr>
        <w:t>like</w:t>
      </w:r>
      <w:r w:rsidR="00E524D8" w:rsidRPr="0072758C">
        <w:rPr>
          <w:lang w:val="en-AU"/>
        </w:rPr>
        <w:t xml:space="preserve"> those of</w:t>
      </w:r>
      <w:r w:rsidR="00F2711E" w:rsidRPr="0072758C">
        <w:rPr>
          <w:lang w:val="en-AU"/>
        </w:rPr>
        <w:t xml:space="preserve"> the sages in </w:t>
      </w:r>
      <w:r w:rsidR="00A14CDD" w:rsidRPr="0072758C">
        <w:rPr>
          <w:i/>
          <w:iCs/>
          <w:lang w:val="en-AU"/>
        </w:rPr>
        <w:t>Mishna</w:t>
      </w:r>
      <w:r w:rsidR="00F2711E" w:rsidRPr="0072758C">
        <w:rPr>
          <w:i/>
          <w:iCs/>
          <w:lang w:val="en-AU"/>
        </w:rPr>
        <w:t>.</w:t>
      </w:r>
      <w:r w:rsidR="00F2711E" w:rsidRPr="0072758C">
        <w:rPr>
          <w:vertAlign w:val="superscript"/>
          <w:lang w:val="en-AU"/>
        </w:rPr>
        <w:t xml:space="preserve"> </w:t>
      </w:r>
      <w:r w:rsidR="00F2711E" w:rsidRPr="0072758C">
        <w:rPr>
          <w:i/>
          <w:iCs/>
          <w:vertAlign w:val="superscript"/>
          <w:lang w:val="en-AU"/>
        </w:rPr>
        <w:footnoteReference w:id="698"/>
      </w:r>
      <w:r w:rsidR="00F2711E" w:rsidRPr="0072758C">
        <w:rPr>
          <w:vertAlign w:val="superscript"/>
          <w:lang w:val="en-AU"/>
        </w:rPr>
        <w:t xml:space="preserve"> </w:t>
      </w:r>
      <w:r w:rsidR="00F2711E" w:rsidRPr="0072758C">
        <w:rPr>
          <w:lang w:val="en-AU"/>
        </w:rPr>
        <w:t xml:space="preserve"> Saldarini </w:t>
      </w:r>
      <w:r w:rsidR="00277656" w:rsidRPr="0072758C">
        <w:rPr>
          <w:lang w:val="en-AU"/>
        </w:rPr>
        <w:t>argues</w:t>
      </w:r>
      <w:r w:rsidR="00F2711E" w:rsidRPr="0072758C">
        <w:rPr>
          <w:lang w:val="en-AU"/>
        </w:rPr>
        <w:t xml:space="preserve"> that not only did Jesus keep the sayings of To</w:t>
      </w:r>
      <w:r w:rsidR="00E03C86" w:rsidRPr="0072758C">
        <w:rPr>
          <w:lang w:val="en-AU"/>
        </w:rPr>
        <w:t>r</w:t>
      </w:r>
      <w:r w:rsidR="00F2711E" w:rsidRPr="0072758C">
        <w:rPr>
          <w:lang w:val="en-AU"/>
        </w:rPr>
        <w:t xml:space="preserve">ah, his teachings were not </w:t>
      </w:r>
      <w:r w:rsidR="005C71CB" w:rsidRPr="0072758C">
        <w:rPr>
          <w:lang w:val="en-AU"/>
        </w:rPr>
        <w:t>‘</w:t>
      </w:r>
      <w:r w:rsidR="00F2711E" w:rsidRPr="0072758C">
        <w:rPr>
          <w:lang w:val="en-AU"/>
        </w:rPr>
        <w:t>new</w:t>
      </w:r>
      <w:r w:rsidR="005C71CB" w:rsidRPr="0072758C">
        <w:rPr>
          <w:lang w:val="en-AU"/>
        </w:rPr>
        <w:t>’</w:t>
      </w:r>
      <w:r w:rsidR="00F2711E" w:rsidRPr="0072758C">
        <w:rPr>
          <w:lang w:val="en-AU"/>
        </w:rPr>
        <w:t xml:space="preserve"> concepts but an embodiment of the old ones.</w:t>
      </w:r>
      <w:r w:rsidR="00F2711E" w:rsidRPr="0072758C">
        <w:rPr>
          <w:rStyle w:val="FootnoteReference"/>
          <w:lang w:val="en-AU"/>
        </w:rPr>
        <w:footnoteReference w:id="699"/>
      </w:r>
      <w:r w:rsidR="006E7E66" w:rsidRPr="0072758C">
        <w:rPr>
          <w:lang w:val="en-AU"/>
        </w:rPr>
        <w:t xml:space="preserve"> </w:t>
      </w:r>
      <w:r w:rsidR="00F2711E" w:rsidRPr="0072758C">
        <w:rPr>
          <w:lang w:val="en-AU"/>
        </w:rPr>
        <w:t>Margaret MacDonald contends that later Christian development can be viewed as sectarian in nature.</w:t>
      </w:r>
      <w:r w:rsidR="00F2711E" w:rsidRPr="0072758C">
        <w:rPr>
          <w:rStyle w:val="FootnoteReference"/>
          <w:lang w:val="en-AU"/>
        </w:rPr>
        <w:footnoteReference w:id="700"/>
      </w:r>
      <w:r w:rsidR="00F2711E" w:rsidRPr="0072758C">
        <w:rPr>
          <w:lang w:val="en-AU"/>
        </w:rPr>
        <w:t xml:space="preserve"> Jesus was much like the people </w:t>
      </w:r>
      <w:r w:rsidR="00277656" w:rsidRPr="0072758C">
        <w:rPr>
          <w:lang w:val="en-AU"/>
        </w:rPr>
        <w:t xml:space="preserve">with </w:t>
      </w:r>
      <w:r w:rsidR="00F2711E" w:rsidRPr="0072758C">
        <w:rPr>
          <w:lang w:val="en-AU"/>
        </w:rPr>
        <w:t xml:space="preserve">whom he surrounded himself and </w:t>
      </w:r>
      <w:r w:rsidR="006D627F">
        <w:rPr>
          <w:lang w:val="en-AU"/>
        </w:rPr>
        <w:t>it was</w:t>
      </w:r>
      <w:r w:rsidR="00464409" w:rsidRPr="0072758C">
        <w:rPr>
          <w:lang w:val="en-AU"/>
        </w:rPr>
        <w:t xml:space="preserve"> </w:t>
      </w:r>
      <w:r w:rsidR="00F2711E" w:rsidRPr="0072758C">
        <w:rPr>
          <w:lang w:val="en-AU"/>
        </w:rPr>
        <w:t xml:space="preserve">future sectarianism </w:t>
      </w:r>
      <w:r w:rsidR="006D627F">
        <w:rPr>
          <w:lang w:val="en-AU"/>
        </w:rPr>
        <w:t xml:space="preserve">that </w:t>
      </w:r>
      <w:r w:rsidR="00464409" w:rsidRPr="0072758C">
        <w:rPr>
          <w:lang w:val="en-AU"/>
        </w:rPr>
        <w:t xml:space="preserve">led to </w:t>
      </w:r>
      <w:r w:rsidR="006D627F">
        <w:rPr>
          <w:lang w:val="en-AU"/>
        </w:rPr>
        <w:t xml:space="preserve">a </w:t>
      </w:r>
      <w:r w:rsidR="00464409" w:rsidRPr="0072758C">
        <w:rPr>
          <w:lang w:val="en-AU"/>
        </w:rPr>
        <w:t xml:space="preserve">departure </w:t>
      </w:r>
      <w:r w:rsidR="00F2711E" w:rsidRPr="0072758C">
        <w:rPr>
          <w:lang w:val="en-AU"/>
        </w:rPr>
        <w:t>from Jesus</w:t>
      </w:r>
      <w:r w:rsidR="005C71CB" w:rsidRPr="0072758C">
        <w:rPr>
          <w:lang w:val="en-AU"/>
        </w:rPr>
        <w:t>’</w:t>
      </w:r>
      <w:r w:rsidR="006D41DD">
        <w:rPr>
          <w:lang w:val="en-AU"/>
        </w:rPr>
        <w:t>s</w:t>
      </w:r>
      <w:r w:rsidR="00F2711E" w:rsidRPr="0072758C">
        <w:rPr>
          <w:lang w:val="en-AU"/>
        </w:rPr>
        <w:t xml:space="preserve"> teachings. </w:t>
      </w:r>
    </w:p>
    <w:p w14:paraId="1835CA1B" w14:textId="20C35A28" w:rsidR="00C7216B" w:rsidRPr="009E7B69" w:rsidRDefault="00C7216B" w:rsidP="00AB7CAD">
      <w:pPr>
        <w:pStyle w:val="Heading2"/>
      </w:pPr>
      <w:bookmarkStart w:id="223" w:name="_Toc118063698"/>
      <w:r w:rsidRPr="009E7B69">
        <w:t>9.11 Chapter Summary</w:t>
      </w:r>
      <w:bookmarkEnd w:id="223"/>
    </w:p>
    <w:p w14:paraId="734B9E91" w14:textId="6733195E" w:rsidR="00DC0BF2" w:rsidRPr="0072758C" w:rsidRDefault="00577A94" w:rsidP="00865EE0">
      <w:pPr>
        <w:spacing w:line="480" w:lineRule="auto"/>
        <w:rPr>
          <w:lang w:val="en-AU"/>
        </w:rPr>
      </w:pPr>
      <w:r w:rsidRPr="009E7B69">
        <w:tab/>
      </w:r>
      <w:r w:rsidRPr="0072758C">
        <w:rPr>
          <w:lang w:val="en-AU"/>
        </w:rPr>
        <w:t>This chapter focuses concluding and drawing the distinction that Matthew 5:38</w:t>
      </w:r>
      <w:r w:rsidR="0072758C" w:rsidRPr="0072758C">
        <w:rPr>
          <w:lang w:val="en-AU"/>
        </w:rPr>
        <w:t>–</w:t>
      </w:r>
      <w:r w:rsidRPr="0072758C">
        <w:rPr>
          <w:lang w:val="en-AU"/>
        </w:rPr>
        <w:t>42 was influenced by Jewish thinking on non-violen</w:t>
      </w:r>
      <w:r w:rsidR="003B0E04">
        <w:rPr>
          <w:lang w:val="en-AU"/>
        </w:rPr>
        <w:t xml:space="preserve">t </w:t>
      </w:r>
      <w:r w:rsidRPr="0072758C">
        <w:rPr>
          <w:lang w:val="en-AU"/>
        </w:rPr>
        <w:t xml:space="preserve">resistance in Oral Traditions contemporary </w:t>
      </w:r>
      <w:r w:rsidRPr="0072758C">
        <w:rPr>
          <w:lang w:val="en-AU"/>
        </w:rPr>
        <w:lastRenderedPageBreak/>
        <w:t xml:space="preserve">to Jesus.  These same traditions found their way into </w:t>
      </w:r>
      <w:r w:rsidRPr="0072758C">
        <w:rPr>
          <w:i/>
          <w:iCs/>
          <w:lang w:val="en-AU"/>
        </w:rPr>
        <w:t>Mishna Avot</w:t>
      </w:r>
      <w:r w:rsidRPr="0072758C">
        <w:rPr>
          <w:lang w:val="en-AU"/>
        </w:rPr>
        <w:t>. The Jewish audience of Jesus heard an authentically Jewish message</w:t>
      </w:r>
      <w:r w:rsidR="003B0E04">
        <w:rPr>
          <w:lang w:val="en-AU"/>
        </w:rPr>
        <w:t>.</w:t>
      </w:r>
      <w:r w:rsidRPr="0072758C">
        <w:rPr>
          <w:lang w:val="en-AU"/>
        </w:rPr>
        <w:t xml:space="preserve"> Jesus was accepted by the people as a leader.  </w:t>
      </w:r>
    </w:p>
    <w:p w14:paraId="394435B0" w14:textId="41489C91" w:rsidR="00DC0BF2" w:rsidRPr="0072758C" w:rsidRDefault="00DC0BF2" w:rsidP="00865EE0">
      <w:pPr>
        <w:spacing w:line="480" w:lineRule="auto"/>
        <w:rPr>
          <w:lang w:val="en-AU"/>
        </w:rPr>
      </w:pPr>
      <w:r w:rsidRPr="0072758C">
        <w:rPr>
          <w:lang w:val="en-AU"/>
        </w:rPr>
        <w:tab/>
        <w:t xml:space="preserve">The chapter asserts that the message of </w:t>
      </w:r>
      <w:r w:rsidR="00611617" w:rsidRPr="0072758C">
        <w:rPr>
          <w:lang w:val="en-AU"/>
        </w:rPr>
        <w:t>nonviolent</w:t>
      </w:r>
      <w:r w:rsidRPr="0072758C">
        <w:rPr>
          <w:lang w:val="en-AU"/>
        </w:rPr>
        <w:t xml:space="preserve"> resistance though was not targeted only at Jewish listeners.  The purpose of the Sermon was to teach all people present about Jewish ethics and justice.  It gives the listener a context to respond to an aggressor with an ethical and just alternative, through an authentically Jewish lens of a Jewish Jesus, and not a new religion.  </w:t>
      </w:r>
    </w:p>
    <w:p w14:paraId="7048DE09" w14:textId="73C92B1D" w:rsidR="00101274" w:rsidRPr="0072758C" w:rsidRDefault="00DC0BF2" w:rsidP="00865EE0">
      <w:pPr>
        <w:spacing w:line="480" w:lineRule="auto"/>
        <w:rPr>
          <w:lang w:val="en-AU"/>
        </w:rPr>
      </w:pPr>
      <w:r w:rsidRPr="0072758C">
        <w:rPr>
          <w:lang w:val="en-AU"/>
        </w:rPr>
        <w:tab/>
        <w:t xml:space="preserve">The book of Matthew, the Sermon, and the portions connected with </w:t>
      </w:r>
      <w:r w:rsidRPr="0072758C">
        <w:rPr>
          <w:i/>
          <w:iCs/>
          <w:lang w:val="en-AU"/>
        </w:rPr>
        <w:t>Mishna Avot</w:t>
      </w:r>
      <w:r w:rsidRPr="0072758C">
        <w:rPr>
          <w:lang w:val="en-AU"/>
        </w:rPr>
        <w:t xml:space="preserve">, reflect the Jewish Wisdom of the surrounding Jewish community.  This moral message of the </w:t>
      </w:r>
      <w:proofErr w:type="gramStart"/>
      <w:r w:rsidRPr="0072758C">
        <w:rPr>
          <w:lang w:val="en-AU"/>
        </w:rPr>
        <w:t>rabbis</w:t>
      </w:r>
      <w:proofErr w:type="gramEnd"/>
      <w:r w:rsidRPr="0072758C">
        <w:rPr>
          <w:lang w:val="en-AU"/>
        </w:rPr>
        <w:t xml:space="preserve"> surrounding Jesus was the heart of the Sermon on the Mount</w:t>
      </w:r>
      <w:r w:rsidR="00BA5686" w:rsidRPr="0072758C">
        <w:rPr>
          <w:lang w:val="en-AU"/>
        </w:rPr>
        <w:t xml:space="preserve">, that the Sermon and pacifism should be seen in a Jewish context and not Hellenism or Roman occupation.  Roman occupation shaped and formed the Jewish response to violence.  Peace and pacifism in the Jewish lens are the calls for nonviolence with justice and equality.  Matthew and </w:t>
      </w:r>
      <w:r w:rsidR="00BA5686" w:rsidRPr="0072758C">
        <w:rPr>
          <w:i/>
          <w:iCs/>
          <w:lang w:val="en-AU"/>
        </w:rPr>
        <w:t xml:space="preserve">Mishna Avot </w:t>
      </w:r>
      <w:r w:rsidR="00BA5686" w:rsidRPr="0072758C">
        <w:rPr>
          <w:lang w:val="en-AU"/>
        </w:rPr>
        <w:t xml:space="preserve">are common in that the ethical response to poverty, hunger, persecution, the need of God, and pacifism are different than other cultures surrounding them.  The Oral Law and Matthew 5:38-42 provided substantially different methods of responding to aggression:  Romans crushed adversaries while Judaism and Jesus sought a third path of non-violence demanding justice and equality.  Judaism was fighting for survival and the Wisdom Literature reflects this.  </w:t>
      </w:r>
      <w:r w:rsidR="00101274" w:rsidRPr="0072758C">
        <w:rPr>
          <w:i/>
          <w:iCs/>
          <w:lang w:val="en-AU"/>
        </w:rPr>
        <w:t>Lex Talionis</w:t>
      </w:r>
      <w:r w:rsidR="00101274" w:rsidRPr="0072758C">
        <w:rPr>
          <w:lang w:val="en-AU"/>
        </w:rPr>
        <w:t xml:space="preserve"> should be interpreted as resistance similarly with </w:t>
      </w:r>
      <w:r w:rsidR="00101274" w:rsidRPr="0072758C">
        <w:rPr>
          <w:i/>
          <w:iCs/>
          <w:lang w:val="en-AU"/>
        </w:rPr>
        <w:t xml:space="preserve">M. Bava Kama </w:t>
      </w:r>
      <w:r w:rsidR="00101274" w:rsidRPr="0072758C">
        <w:rPr>
          <w:lang w:val="en-AU"/>
        </w:rPr>
        <w:t xml:space="preserve">with equitable and measurable consequences and not physical retaliation. </w:t>
      </w:r>
    </w:p>
    <w:p w14:paraId="279F5B5B" w14:textId="1752F658" w:rsidR="00941C37" w:rsidRPr="009E7B69" w:rsidRDefault="00101274" w:rsidP="00865EE0">
      <w:pPr>
        <w:spacing w:line="480" w:lineRule="auto"/>
        <w:ind w:firstLine="720"/>
      </w:pPr>
      <w:r w:rsidRPr="0072758C">
        <w:rPr>
          <w:lang w:val="en-AU"/>
        </w:rPr>
        <w:t>The chapter suggests that Matthew 5:38-42 has wrongfully interpreted ‘slapping’ to be a doormat—that a follower of Jesus must submit instead of demand equality.</w:t>
      </w:r>
      <w:r w:rsidR="00541830" w:rsidRPr="0072758C">
        <w:rPr>
          <w:lang w:val="en-AU"/>
        </w:rPr>
        <w:t xml:space="preserve"> </w:t>
      </w:r>
      <w:r w:rsidRPr="0072758C">
        <w:rPr>
          <w:lang w:val="en-AU"/>
        </w:rPr>
        <w:t xml:space="preserve">The dissertation suggests that Jesus teaches that the response to slapping is not to be abused but to demand integrity and respect back from someone with wrongful power and authority over you.  </w:t>
      </w:r>
      <w:r w:rsidR="005C3DA9" w:rsidRPr="0072758C">
        <w:rPr>
          <w:lang w:val="en-AU"/>
        </w:rPr>
        <w:t xml:space="preserve">This is evident in </w:t>
      </w:r>
      <w:r w:rsidR="005C3DA9" w:rsidRPr="0072758C">
        <w:rPr>
          <w:i/>
          <w:iCs/>
          <w:lang w:val="en-AU"/>
        </w:rPr>
        <w:t>M. Bava Kama</w:t>
      </w:r>
      <w:r w:rsidR="005C3DA9" w:rsidRPr="0072758C">
        <w:rPr>
          <w:lang w:val="en-AU"/>
        </w:rPr>
        <w:t xml:space="preserve"> 8:1—slapping should have an equitable response that </w:t>
      </w:r>
      <w:r w:rsidR="005C3DA9" w:rsidRPr="0072758C">
        <w:rPr>
          <w:lang w:val="en-AU"/>
        </w:rPr>
        <w:lastRenderedPageBreak/>
        <w:t>protects people from an abusive power.</w:t>
      </w:r>
      <w:r w:rsidR="00541830" w:rsidRPr="0072758C">
        <w:rPr>
          <w:lang w:val="en-AU"/>
        </w:rPr>
        <w:t xml:space="preserve"> </w:t>
      </w:r>
      <w:r w:rsidR="005C3DA9" w:rsidRPr="0072758C">
        <w:rPr>
          <w:lang w:val="en-AU"/>
        </w:rPr>
        <w:t xml:space="preserve">Roman Law empowered </w:t>
      </w:r>
      <w:r w:rsidR="00541830" w:rsidRPr="0072758C">
        <w:rPr>
          <w:lang w:val="en-AU"/>
        </w:rPr>
        <w:t>its</w:t>
      </w:r>
      <w:r w:rsidR="005C3DA9" w:rsidRPr="0072758C">
        <w:rPr>
          <w:lang w:val="en-AU"/>
        </w:rPr>
        <w:t xml:space="preserve"> subjects to prevent those in charge from taking advantage of the subjects in which military officers ruled over; thus, Jesus is showing people how to engage in exacting justice by ‘walking another mile’. The chapter concludes with love and nonviolence.</w:t>
      </w:r>
      <w:r w:rsidR="00541830" w:rsidRPr="0072758C">
        <w:rPr>
          <w:lang w:val="en-AU"/>
        </w:rPr>
        <w:t xml:space="preserve"> </w:t>
      </w:r>
      <w:r w:rsidR="005C3DA9" w:rsidRPr="0072758C">
        <w:rPr>
          <w:lang w:val="en-AU"/>
        </w:rPr>
        <w:t xml:space="preserve">Matthew 5:39 teaches to love; </w:t>
      </w:r>
      <w:r w:rsidR="00865EE0" w:rsidRPr="0072758C">
        <w:rPr>
          <w:lang w:val="en-AU"/>
        </w:rPr>
        <w:t>however</w:t>
      </w:r>
      <w:r w:rsidR="005C3DA9" w:rsidRPr="0072758C">
        <w:rPr>
          <w:lang w:val="en-AU"/>
        </w:rPr>
        <w:t>, the dissertation shows how ‘loving your neighbo</w:t>
      </w:r>
      <w:r w:rsidR="00BB5393" w:rsidRPr="0072758C">
        <w:rPr>
          <w:lang w:val="en-AU"/>
        </w:rPr>
        <w:t>u</w:t>
      </w:r>
      <w:r w:rsidR="005C3DA9" w:rsidRPr="0072758C">
        <w:rPr>
          <w:lang w:val="en-AU"/>
        </w:rPr>
        <w:t>r’ is not to take abuse from them.  Love in Matthew 5:21</w:t>
      </w:r>
      <w:r w:rsidR="0072758C">
        <w:rPr>
          <w:lang w:val="en-AU"/>
        </w:rPr>
        <w:t>–</w:t>
      </w:r>
      <w:r w:rsidR="005C3DA9" w:rsidRPr="0072758C">
        <w:rPr>
          <w:lang w:val="en-AU"/>
        </w:rPr>
        <w:t xml:space="preserve">49 </w:t>
      </w:r>
      <w:r w:rsidR="00865EE0" w:rsidRPr="0072758C">
        <w:rPr>
          <w:lang w:val="en-AU"/>
        </w:rPr>
        <w:t>is an extension of the Mosaic laws and how people are to teach people within the community:</w:t>
      </w:r>
      <w:r w:rsidR="006E7E66" w:rsidRPr="0072758C">
        <w:rPr>
          <w:lang w:val="en-AU"/>
        </w:rPr>
        <w:t xml:space="preserve"> </w:t>
      </w:r>
      <w:r w:rsidR="00865EE0" w:rsidRPr="0072758C">
        <w:rPr>
          <w:lang w:val="en-AU"/>
        </w:rPr>
        <w:t xml:space="preserve">love with ethics and justice demanding equality within a </w:t>
      </w:r>
      <w:r w:rsidR="00611617" w:rsidRPr="0072758C">
        <w:rPr>
          <w:lang w:val="en-AU"/>
        </w:rPr>
        <w:t>nonviolent</w:t>
      </w:r>
      <w:r w:rsidR="00865EE0" w:rsidRPr="0072758C">
        <w:rPr>
          <w:lang w:val="en-AU"/>
        </w:rPr>
        <w:t xml:space="preserve"> context. </w:t>
      </w:r>
      <w:r w:rsidR="00941C37" w:rsidRPr="0072758C">
        <w:rPr>
          <w:lang w:val="en-AU"/>
        </w:rPr>
        <w:br w:type="page"/>
      </w:r>
    </w:p>
    <w:p w14:paraId="17463E86" w14:textId="5BDB0309" w:rsidR="006B03B0" w:rsidRPr="009E7B69" w:rsidRDefault="007B7745" w:rsidP="009F5D32">
      <w:pPr>
        <w:pStyle w:val="Heading1"/>
        <w:rPr>
          <w:bCs/>
        </w:rPr>
      </w:pPr>
      <w:bookmarkStart w:id="224" w:name="_Toc94537051"/>
      <w:bookmarkStart w:id="225" w:name="_Toc118063699"/>
      <w:r w:rsidRPr="009E7B69">
        <w:lastRenderedPageBreak/>
        <w:t xml:space="preserve">Chapter </w:t>
      </w:r>
      <w:r w:rsidR="006B03B0" w:rsidRPr="009E7B69">
        <w:t xml:space="preserve">10  </w:t>
      </w:r>
      <w:r w:rsidR="006B03B0" w:rsidRPr="009E7B69">
        <w:br/>
      </w:r>
      <w:r w:rsidRPr="009E7B69">
        <w:rPr>
          <w:bCs/>
        </w:rPr>
        <w:t>Conclusions</w:t>
      </w:r>
      <w:bookmarkEnd w:id="224"/>
      <w:bookmarkEnd w:id="225"/>
    </w:p>
    <w:p w14:paraId="6EBC341F" w14:textId="068EB3D3" w:rsidR="00B47627" w:rsidRPr="0072758C" w:rsidRDefault="00566A3B" w:rsidP="00C3733B">
      <w:pPr>
        <w:spacing w:line="480" w:lineRule="auto"/>
        <w:ind w:firstLine="720"/>
        <w:rPr>
          <w:color w:val="222222"/>
          <w:shd w:val="clear" w:color="auto" w:fill="FFFFFF"/>
          <w:lang w:val="en-AU"/>
        </w:rPr>
      </w:pPr>
      <w:r w:rsidRPr="0072758C">
        <w:rPr>
          <w:color w:val="222222"/>
          <w:shd w:val="clear" w:color="auto" w:fill="FFFFFF"/>
          <w:lang w:val="en-AU"/>
        </w:rPr>
        <w:t xml:space="preserve">This dissertation finds that </w:t>
      </w:r>
      <w:r w:rsidR="00DA2AE3" w:rsidRPr="0072758C">
        <w:rPr>
          <w:color w:val="222222"/>
          <w:shd w:val="clear" w:color="auto" w:fill="FFFFFF"/>
          <w:lang w:val="en-AU"/>
        </w:rPr>
        <w:t xml:space="preserve">the intellectual and ethical principles </w:t>
      </w:r>
      <w:r w:rsidR="0024541A" w:rsidRPr="0072758C">
        <w:rPr>
          <w:color w:val="222222"/>
          <w:shd w:val="clear" w:color="auto" w:fill="FFFFFF"/>
          <w:lang w:val="en-AU"/>
        </w:rPr>
        <w:t>of</w:t>
      </w:r>
      <w:r w:rsidR="00DA2AE3" w:rsidRPr="0072758C">
        <w:rPr>
          <w:color w:val="222222"/>
          <w:shd w:val="clear" w:color="auto" w:fill="FFFFFF"/>
          <w:lang w:val="en-AU"/>
        </w:rPr>
        <w:t xml:space="preserve"> the Oral Law are evident in </w:t>
      </w:r>
      <w:r w:rsidR="00DA2AE3" w:rsidRPr="0072758C">
        <w:rPr>
          <w:i/>
          <w:iCs/>
          <w:color w:val="222222"/>
          <w:shd w:val="clear" w:color="auto" w:fill="FFFFFF"/>
          <w:lang w:val="en-AU"/>
        </w:rPr>
        <w:t xml:space="preserve">Mishna </w:t>
      </w:r>
      <w:proofErr w:type="gramStart"/>
      <w:r w:rsidR="00DA2AE3" w:rsidRPr="0072758C">
        <w:rPr>
          <w:i/>
          <w:iCs/>
          <w:color w:val="222222"/>
          <w:shd w:val="clear" w:color="auto" w:fill="FFFFFF"/>
          <w:lang w:val="en-AU"/>
        </w:rPr>
        <w:t>Avot</w:t>
      </w:r>
      <w:proofErr w:type="gramEnd"/>
      <w:r w:rsidR="00DA2AE3" w:rsidRPr="0072758C">
        <w:rPr>
          <w:i/>
          <w:iCs/>
          <w:color w:val="222222"/>
          <w:shd w:val="clear" w:color="auto" w:fill="FFFFFF"/>
          <w:lang w:val="en-AU"/>
        </w:rPr>
        <w:t xml:space="preserve"> </w:t>
      </w:r>
      <w:r w:rsidR="0024541A" w:rsidRPr="0072758C">
        <w:rPr>
          <w:color w:val="222222"/>
          <w:shd w:val="clear" w:color="auto" w:fill="FFFFFF"/>
          <w:lang w:val="en-AU"/>
        </w:rPr>
        <w:t>and they</w:t>
      </w:r>
      <w:r w:rsidR="0024541A" w:rsidRPr="0072758C">
        <w:rPr>
          <w:i/>
          <w:iCs/>
          <w:color w:val="222222"/>
          <w:shd w:val="clear" w:color="auto" w:fill="FFFFFF"/>
          <w:lang w:val="en-AU"/>
        </w:rPr>
        <w:t xml:space="preserve"> </w:t>
      </w:r>
      <w:r w:rsidR="00DA2AE3" w:rsidRPr="0072758C">
        <w:rPr>
          <w:color w:val="222222"/>
          <w:shd w:val="clear" w:color="auto" w:fill="FFFFFF"/>
          <w:lang w:val="en-AU"/>
        </w:rPr>
        <w:t>provid</w:t>
      </w:r>
      <w:r w:rsidR="0024541A" w:rsidRPr="0072758C">
        <w:rPr>
          <w:color w:val="222222"/>
          <w:shd w:val="clear" w:color="auto" w:fill="FFFFFF"/>
          <w:lang w:val="en-AU"/>
        </w:rPr>
        <w:t>e</w:t>
      </w:r>
      <w:r w:rsidR="00DA2AE3" w:rsidRPr="0072758C">
        <w:rPr>
          <w:color w:val="222222"/>
          <w:shd w:val="clear" w:color="auto" w:fill="FFFFFF"/>
          <w:lang w:val="en-AU"/>
        </w:rPr>
        <w:t xml:space="preserve"> a </w:t>
      </w:r>
      <w:r w:rsidR="00B47627" w:rsidRPr="0072758C">
        <w:rPr>
          <w:color w:val="222222"/>
          <w:shd w:val="clear" w:color="auto" w:fill="FFFFFF"/>
          <w:lang w:val="en-AU"/>
        </w:rPr>
        <w:t>helpful background against which</w:t>
      </w:r>
      <w:r w:rsidR="00DA2AE3" w:rsidRPr="0072758C">
        <w:rPr>
          <w:color w:val="222222"/>
          <w:shd w:val="clear" w:color="auto" w:fill="FFFFFF"/>
          <w:lang w:val="en-AU"/>
        </w:rPr>
        <w:t xml:space="preserve"> to </w:t>
      </w:r>
      <w:r w:rsidR="00B47627" w:rsidRPr="0072758C">
        <w:rPr>
          <w:color w:val="222222"/>
          <w:shd w:val="clear" w:color="auto" w:fill="FFFFFF"/>
          <w:lang w:val="en-AU"/>
        </w:rPr>
        <w:t xml:space="preserve">understand </w:t>
      </w:r>
      <w:r w:rsidR="00DA2AE3" w:rsidRPr="0072758C">
        <w:rPr>
          <w:color w:val="222222"/>
          <w:shd w:val="clear" w:color="auto" w:fill="FFFFFF"/>
          <w:lang w:val="en-AU"/>
        </w:rPr>
        <w:t>Jesus</w:t>
      </w:r>
      <w:r w:rsidR="005C71CB" w:rsidRPr="0072758C">
        <w:rPr>
          <w:color w:val="222222"/>
          <w:shd w:val="clear" w:color="auto" w:fill="FFFFFF"/>
          <w:lang w:val="en-AU"/>
        </w:rPr>
        <w:t>’</w:t>
      </w:r>
      <w:r w:rsidR="007477B7">
        <w:rPr>
          <w:color w:val="222222"/>
          <w:shd w:val="clear" w:color="auto" w:fill="FFFFFF"/>
          <w:lang w:val="en-AU"/>
        </w:rPr>
        <w:t>s</w:t>
      </w:r>
      <w:r w:rsidR="00DA2AE3" w:rsidRPr="0072758C">
        <w:rPr>
          <w:color w:val="222222"/>
          <w:shd w:val="clear" w:color="auto" w:fill="FFFFFF"/>
          <w:lang w:val="en-AU"/>
        </w:rPr>
        <w:t xml:space="preserve"> sayings </w:t>
      </w:r>
      <w:r w:rsidR="0024541A" w:rsidRPr="0072758C">
        <w:rPr>
          <w:color w:val="222222"/>
          <w:shd w:val="clear" w:color="auto" w:fill="FFFFFF"/>
          <w:lang w:val="en-AU"/>
        </w:rPr>
        <w:t>recorded</w:t>
      </w:r>
      <w:r w:rsidR="00DA2AE3" w:rsidRPr="0072758C">
        <w:rPr>
          <w:color w:val="222222"/>
          <w:shd w:val="clear" w:color="auto" w:fill="FFFFFF"/>
          <w:lang w:val="en-AU"/>
        </w:rPr>
        <w:t xml:space="preserve"> in </w:t>
      </w:r>
      <w:r w:rsidRPr="0072758C">
        <w:rPr>
          <w:color w:val="222222"/>
          <w:shd w:val="clear" w:color="auto" w:fill="FFFFFF"/>
          <w:lang w:val="en-AU"/>
        </w:rPr>
        <w:t>Matthew 5:38</w:t>
      </w:r>
      <w:r w:rsidR="0024541A" w:rsidRPr="0072758C">
        <w:rPr>
          <w:color w:val="222222"/>
          <w:shd w:val="clear" w:color="auto" w:fill="FFFFFF"/>
          <w:lang w:val="en-AU"/>
        </w:rPr>
        <w:t>–</w:t>
      </w:r>
      <w:r w:rsidRPr="0072758C">
        <w:rPr>
          <w:color w:val="222222"/>
          <w:shd w:val="clear" w:color="auto" w:fill="FFFFFF"/>
          <w:lang w:val="en-AU"/>
        </w:rPr>
        <w:t>42</w:t>
      </w:r>
      <w:r w:rsidR="00DA2AE3" w:rsidRPr="0072758C">
        <w:rPr>
          <w:color w:val="222222"/>
          <w:shd w:val="clear" w:color="auto" w:fill="FFFFFF"/>
          <w:lang w:val="en-AU"/>
        </w:rPr>
        <w:t xml:space="preserve">. </w:t>
      </w:r>
      <w:r w:rsidR="00B47627" w:rsidRPr="0072758C">
        <w:rPr>
          <w:color w:val="222222"/>
          <w:shd w:val="clear" w:color="auto" w:fill="FFFFFF"/>
          <w:lang w:val="en-AU"/>
        </w:rPr>
        <w:t xml:space="preserve">This dissertation has advanced evidence to support the supposition that </w:t>
      </w:r>
      <w:r w:rsidR="009E350C" w:rsidRPr="0072758C">
        <w:rPr>
          <w:color w:val="222222"/>
          <w:shd w:val="clear" w:color="auto" w:fill="FFFFFF"/>
          <w:lang w:val="en-AU"/>
        </w:rPr>
        <w:t>Jesus</w:t>
      </w:r>
      <w:r w:rsidR="005C71CB" w:rsidRPr="0072758C">
        <w:rPr>
          <w:color w:val="222222"/>
          <w:shd w:val="clear" w:color="auto" w:fill="FFFFFF"/>
          <w:lang w:val="en-AU"/>
        </w:rPr>
        <w:t>’</w:t>
      </w:r>
      <w:r w:rsidR="007477B7">
        <w:rPr>
          <w:color w:val="222222"/>
          <w:shd w:val="clear" w:color="auto" w:fill="FFFFFF"/>
          <w:lang w:val="en-AU"/>
        </w:rPr>
        <w:t>s</w:t>
      </w:r>
      <w:r w:rsidR="009E350C" w:rsidRPr="0072758C">
        <w:rPr>
          <w:color w:val="222222"/>
          <w:shd w:val="clear" w:color="auto" w:fill="FFFFFF"/>
          <w:lang w:val="en-AU"/>
        </w:rPr>
        <w:t xml:space="preserve"> </w:t>
      </w:r>
      <w:r w:rsidR="00BB0ED0" w:rsidRPr="0072758C">
        <w:rPr>
          <w:color w:val="222222"/>
          <w:shd w:val="clear" w:color="auto" w:fill="FFFFFF"/>
          <w:lang w:val="en-AU"/>
        </w:rPr>
        <w:t>Jewish</w:t>
      </w:r>
      <w:r w:rsidR="009E350C" w:rsidRPr="0072758C">
        <w:rPr>
          <w:color w:val="222222"/>
          <w:shd w:val="clear" w:color="auto" w:fill="FFFFFF"/>
          <w:lang w:val="en-AU"/>
        </w:rPr>
        <w:t xml:space="preserve"> audience would have been familiar with</w:t>
      </w:r>
      <w:r w:rsidR="00B47627" w:rsidRPr="0072758C">
        <w:rPr>
          <w:color w:val="222222"/>
          <w:shd w:val="clear" w:color="auto" w:fill="FFFFFF"/>
          <w:lang w:val="en-AU"/>
        </w:rPr>
        <w:t xml:space="preserve"> much of the Oral Law that eventually found its way into</w:t>
      </w:r>
      <w:r w:rsidR="009E350C" w:rsidRPr="0072758C">
        <w:rPr>
          <w:color w:val="222222"/>
          <w:shd w:val="clear" w:color="auto" w:fill="FFFFFF"/>
          <w:lang w:val="en-AU"/>
        </w:rPr>
        <w:t xml:space="preserve"> </w:t>
      </w:r>
      <w:r w:rsidR="009E350C" w:rsidRPr="0072758C">
        <w:rPr>
          <w:i/>
          <w:iCs/>
          <w:color w:val="222222"/>
          <w:shd w:val="clear" w:color="auto" w:fill="FFFFFF"/>
          <w:lang w:val="en-AU"/>
        </w:rPr>
        <w:t>Mishna Avot</w:t>
      </w:r>
      <w:r w:rsidR="00BA0CA7" w:rsidRPr="0072758C">
        <w:rPr>
          <w:color w:val="222222"/>
          <w:shd w:val="clear" w:color="auto" w:fill="FFFFFF"/>
          <w:lang w:val="en-AU"/>
        </w:rPr>
        <w:t>.</w:t>
      </w:r>
      <w:r w:rsidR="00BB0ED0" w:rsidRPr="0072758C">
        <w:rPr>
          <w:color w:val="222222"/>
          <w:shd w:val="clear" w:color="auto" w:fill="FFFFFF"/>
          <w:lang w:val="en-AU"/>
        </w:rPr>
        <w:t xml:space="preserve"> </w:t>
      </w:r>
    </w:p>
    <w:p w14:paraId="00ED5D75" w14:textId="4F9203A3" w:rsidR="00C56C63" w:rsidRPr="0072758C" w:rsidRDefault="00B47627" w:rsidP="00AE3965">
      <w:pPr>
        <w:spacing w:line="480" w:lineRule="auto"/>
        <w:ind w:firstLine="720"/>
        <w:rPr>
          <w:color w:val="222222"/>
          <w:shd w:val="clear" w:color="auto" w:fill="FFFFFF"/>
          <w:lang w:val="en-AU"/>
        </w:rPr>
      </w:pPr>
      <w:r w:rsidRPr="0072758C">
        <w:rPr>
          <w:color w:val="222222"/>
          <w:shd w:val="clear" w:color="auto" w:fill="FFFFFF"/>
          <w:lang w:val="en-AU"/>
        </w:rPr>
        <w:t xml:space="preserve">In his Sermon on the Mount, </w:t>
      </w:r>
      <w:r w:rsidR="00DA2AE3" w:rsidRPr="0072758C">
        <w:rPr>
          <w:color w:val="222222"/>
          <w:shd w:val="clear" w:color="auto" w:fill="FFFFFF"/>
          <w:lang w:val="en-AU"/>
        </w:rPr>
        <w:t xml:space="preserve">Jesus </w:t>
      </w:r>
      <w:r w:rsidR="00BB0ED0" w:rsidRPr="0072758C">
        <w:rPr>
          <w:color w:val="222222"/>
          <w:shd w:val="clear" w:color="auto" w:fill="FFFFFF"/>
          <w:lang w:val="en-AU"/>
        </w:rPr>
        <w:t xml:space="preserve">was </w:t>
      </w:r>
      <w:r w:rsidR="00DA2AE3" w:rsidRPr="0072758C">
        <w:rPr>
          <w:color w:val="222222"/>
          <w:shd w:val="clear" w:color="auto" w:fill="FFFFFF"/>
          <w:lang w:val="en-AU"/>
        </w:rPr>
        <w:t xml:space="preserve">following </w:t>
      </w:r>
      <w:r w:rsidR="00E211AF" w:rsidRPr="0072758C">
        <w:rPr>
          <w:color w:val="222222"/>
          <w:shd w:val="clear" w:color="auto" w:fill="FFFFFF"/>
          <w:lang w:val="en-AU"/>
        </w:rPr>
        <w:t>traditional</w:t>
      </w:r>
      <w:r w:rsidR="00DA2AE3" w:rsidRPr="0072758C">
        <w:rPr>
          <w:color w:val="222222"/>
          <w:shd w:val="clear" w:color="auto" w:fill="FFFFFF"/>
          <w:lang w:val="en-AU"/>
        </w:rPr>
        <w:t xml:space="preserve"> Jewish religious </w:t>
      </w:r>
      <w:r w:rsidR="00E211AF" w:rsidRPr="0072758C">
        <w:rPr>
          <w:color w:val="222222"/>
          <w:shd w:val="clear" w:color="auto" w:fill="FFFFFF"/>
          <w:lang w:val="en-AU"/>
        </w:rPr>
        <w:t>th</w:t>
      </w:r>
      <w:r w:rsidR="00A07833" w:rsidRPr="0072758C">
        <w:rPr>
          <w:color w:val="222222"/>
          <w:shd w:val="clear" w:color="auto" w:fill="FFFFFF"/>
          <w:lang w:val="en-AU"/>
        </w:rPr>
        <w:t xml:space="preserve">inking </w:t>
      </w:r>
      <w:proofErr w:type="gramStart"/>
      <w:r w:rsidR="00A07833" w:rsidRPr="0072758C">
        <w:rPr>
          <w:color w:val="222222"/>
          <w:shd w:val="clear" w:color="auto" w:fill="FFFFFF"/>
          <w:lang w:val="en-AU"/>
        </w:rPr>
        <w:t xml:space="preserve">similar </w:t>
      </w:r>
      <w:r w:rsidR="00DA2AE3" w:rsidRPr="0072758C">
        <w:rPr>
          <w:color w:val="222222"/>
          <w:shd w:val="clear" w:color="auto" w:fill="FFFFFF"/>
          <w:lang w:val="en-AU"/>
        </w:rPr>
        <w:t>to</w:t>
      </w:r>
      <w:proofErr w:type="gramEnd"/>
      <w:r w:rsidR="00DA2AE3" w:rsidRPr="0072758C">
        <w:rPr>
          <w:color w:val="222222"/>
          <w:shd w:val="clear" w:color="auto" w:fill="FFFFFF"/>
          <w:lang w:val="en-AU"/>
        </w:rPr>
        <w:t xml:space="preserve"> the greater religious </w:t>
      </w:r>
      <w:r w:rsidR="00BB0ED0" w:rsidRPr="0072758C">
        <w:rPr>
          <w:color w:val="222222"/>
          <w:shd w:val="clear" w:color="auto" w:fill="FFFFFF"/>
          <w:lang w:val="en-AU"/>
        </w:rPr>
        <w:t xml:space="preserve">corpus of </w:t>
      </w:r>
      <w:r w:rsidR="00DA2AE3" w:rsidRPr="0072758C">
        <w:rPr>
          <w:color w:val="222222"/>
          <w:shd w:val="clear" w:color="auto" w:fill="FFFFFF"/>
          <w:lang w:val="en-AU"/>
        </w:rPr>
        <w:t>thought at his time.</w:t>
      </w:r>
      <w:r w:rsidR="00BB0ED0" w:rsidRPr="0072758C">
        <w:rPr>
          <w:color w:val="222222"/>
          <w:shd w:val="clear" w:color="auto" w:fill="FFFFFF"/>
          <w:lang w:val="en-AU"/>
        </w:rPr>
        <w:t xml:space="preserve"> </w:t>
      </w:r>
      <w:r w:rsidR="00AE3965" w:rsidRPr="0072758C">
        <w:rPr>
          <w:color w:val="222222"/>
          <w:shd w:val="clear" w:color="auto" w:fill="FFFFFF"/>
          <w:lang w:val="en-AU"/>
        </w:rPr>
        <w:t xml:space="preserve"> He is different from contemporary Jewish Sages cited in </w:t>
      </w:r>
      <w:r w:rsidR="00AE3965" w:rsidRPr="0072758C">
        <w:rPr>
          <w:i/>
          <w:iCs/>
          <w:color w:val="222222"/>
          <w:shd w:val="clear" w:color="auto" w:fill="FFFFFF"/>
          <w:lang w:val="en-AU"/>
        </w:rPr>
        <w:t>Mishna Avot</w:t>
      </w:r>
      <w:r w:rsidR="00AE3965" w:rsidRPr="0072758C">
        <w:rPr>
          <w:color w:val="222222"/>
          <w:shd w:val="clear" w:color="auto" w:fill="FFFFFF"/>
          <w:lang w:val="en-AU"/>
        </w:rPr>
        <w:t xml:space="preserve"> in that </w:t>
      </w:r>
      <w:r w:rsidR="00BB0ED0" w:rsidRPr="0072758C">
        <w:rPr>
          <w:color w:val="222222"/>
          <w:shd w:val="clear" w:color="auto" w:fill="FFFFFF"/>
          <w:lang w:val="en-AU"/>
        </w:rPr>
        <w:t xml:space="preserve">he </w:t>
      </w:r>
      <w:r w:rsidR="00E0001B" w:rsidRPr="0072758C">
        <w:rPr>
          <w:color w:val="222222"/>
          <w:shd w:val="clear" w:color="auto" w:fill="FFFFFF"/>
          <w:lang w:val="en-AU"/>
        </w:rPr>
        <w:t>does not</w:t>
      </w:r>
      <w:r w:rsidR="00BB0ED0" w:rsidRPr="0072758C">
        <w:rPr>
          <w:color w:val="222222"/>
          <w:shd w:val="clear" w:color="auto" w:fill="FFFFFF"/>
          <w:lang w:val="en-AU"/>
        </w:rPr>
        <w:t xml:space="preserve"> </w:t>
      </w:r>
      <w:r w:rsidR="003C7243" w:rsidRPr="0072758C">
        <w:rPr>
          <w:color w:val="222222"/>
          <w:shd w:val="clear" w:color="auto" w:fill="FFFFFF"/>
          <w:lang w:val="en-AU"/>
        </w:rPr>
        <w:t>quote</w:t>
      </w:r>
      <w:r w:rsidR="00BB0ED0" w:rsidRPr="0072758C">
        <w:rPr>
          <w:color w:val="222222"/>
          <w:shd w:val="clear" w:color="auto" w:fill="FFFFFF"/>
          <w:lang w:val="en-AU"/>
        </w:rPr>
        <w:t xml:space="preserve"> other Rabbis. </w:t>
      </w:r>
      <w:r w:rsidR="00E0001B" w:rsidRPr="0072758C">
        <w:rPr>
          <w:color w:val="222222"/>
          <w:shd w:val="clear" w:color="auto" w:fill="FFFFFF"/>
          <w:lang w:val="en-AU"/>
        </w:rPr>
        <w:t xml:space="preserve">In </w:t>
      </w:r>
      <w:r w:rsidR="00AE3965" w:rsidRPr="0072758C">
        <w:rPr>
          <w:color w:val="222222"/>
          <w:shd w:val="clear" w:color="auto" w:fill="FFFFFF"/>
          <w:lang w:val="en-AU"/>
        </w:rPr>
        <w:t xml:space="preserve">the </w:t>
      </w:r>
      <w:r w:rsidR="00E0001B" w:rsidRPr="0072758C">
        <w:rPr>
          <w:color w:val="222222"/>
          <w:shd w:val="clear" w:color="auto" w:fill="FFFFFF"/>
          <w:lang w:val="en-AU"/>
        </w:rPr>
        <w:t xml:space="preserve">Sermon </w:t>
      </w:r>
      <w:r w:rsidR="00AE3965" w:rsidRPr="0072758C">
        <w:rPr>
          <w:color w:val="222222"/>
          <w:shd w:val="clear" w:color="auto" w:fill="FFFFFF"/>
          <w:lang w:val="en-AU"/>
        </w:rPr>
        <w:t xml:space="preserve">on the </w:t>
      </w:r>
      <w:proofErr w:type="gramStart"/>
      <w:r w:rsidR="00AE3965" w:rsidRPr="0072758C">
        <w:rPr>
          <w:color w:val="222222"/>
          <w:shd w:val="clear" w:color="auto" w:fill="FFFFFF"/>
          <w:lang w:val="en-AU"/>
        </w:rPr>
        <w:t>Mount</w:t>
      </w:r>
      <w:proofErr w:type="gramEnd"/>
      <w:r w:rsidR="00AE3965" w:rsidRPr="0072758C">
        <w:rPr>
          <w:color w:val="222222"/>
          <w:shd w:val="clear" w:color="auto" w:fill="FFFFFF"/>
          <w:lang w:val="en-AU"/>
        </w:rPr>
        <w:t xml:space="preserve"> </w:t>
      </w:r>
      <w:r w:rsidR="00E0001B" w:rsidRPr="0072758C">
        <w:rPr>
          <w:color w:val="222222"/>
          <w:shd w:val="clear" w:color="auto" w:fill="FFFFFF"/>
          <w:lang w:val="en-AU"/>
        </w:rPr>
        <w:t>h</w:t>
      </w:r>
      <w:r w:rsidR="00BB0ED0" w:rsidRPr="0072758C">
        <w:rPr>
          <w:color w:val="222222"/>
          <w:shd w:val="clear" w:color="auto" w:fill="FFFFFF"/>
          <w:lang w:val="en-AU"/>
        </w:rPr>
        <w:t>e al</w:t>
      </w:r>
      <w:r w:rsidR="00E0001B" w:rsidRPr="0072758C">
        <w:rPr>
          <w:color w:val="222222"/>
          <w:shd w:val="clear" w:color="auto" w:fill="FFFFFF"/>
          <w:lang w:val="en-AU"/>
        </w:rPr>
        <w:t>igns</w:t>
      </w:r>
      <w:r w:rsidR="00BB0ED0" w:rsidRPr="0072758C">
        <w:rPr>
          <w:color w:val="222222"/>
          <w:shd w:val="clear" w:color="auto" w:fill="FFFFFF"/>
          <w:lang w:val="en-AU"/>
        </w:rPr>
        <w:t xml:space="preserve"> himself with the </w:t>
      </w:r>
      <w:r w:rsidR="00E0001B" w:rsidRPr="0072758C">
        <w:rPr>
          <w:i/>
          <w:iCs/>
          <w:color w:val="222222"/>
          <w:shd w:val="clear" w:color="auto" w:fill="FFFFFF"/>
          <w:lang w:val="en-AU"/>
        </w:rPr>
        <w:t>Tanakh</w:t>
      </w:r>
      <w:r w:rsidR="00B73A82" w:rsidRPr="0072758C">
        <w:rPr>
          <w:color w:val="222222"/>
          <w:shd w:val="clear" w:color="auto" w:fill="FFFFFF"/>
          <w:lang w:val="en-AU"/>
        </w:rPr>
        <w:t xml:space="preserve">. Other sayings of Rabbis at </w:t>
      </w:r>
      <w:r w:rsidR="00E0001B" w:rsidRPr="0072758C">
        <w:rPr>
          <w:color w:val="222222"/>
          <w:shd w:val="clear" w:color="auto" w:fill="FFFFFF"/>
          <w:lang w:val="en-AU"/>
        </w:rPr>
        <w:t>t</w:t>
      </w:r>
      <w:r w:rsidR="00B73A82" w:rsidRPr="0072758C">
        <w:rPr>
          <w:color w:val="222222"/>
          <w:shd w:val="clear" w:color="auto" w:fill="FFFFFF"/>
          <w:lang w:val="en-AU"/>
        </w:rPr>
        <w:t xml:space="preserve">his time </w:t>
      </w:r>
      <w:r w:rsidR="00AE3965" w:rsidRPr="0072758C">
        <w:rPr>
          <w:color w:val="222222"/>
          <w:shd w:val="clear" w:color="auto" w:fill="FFFFFF"/>
          <w:lang w:val="en-AU"/>
        </w:rPr>
        <w:t xml:space="preserve">that are found in </w:t>
      </w:r>
      <w:r w:rsidR="00AE3965" w:rsidRPr="0072758C">
        <w:rPr>
          <w:i/>
          <w:iCs/>
          <w:color w:val="222222"/>
          <w:shd w:val="clear" w:color="auto" w:fill="FFFFFF"/>
          <w:lang w:val="en-AU"/>
        </w:rPr>
        <w:t xml:space="preserve">Mishna Avot </w:t>
      </w:r>
      <w:r w:rsidR="00E0001B" w:rsidRPr="0072758C">
        <w:rPr>
          <w:color w:val="222222"/>
          <w:shd w:val="clear" w:color="auto" w:fill="FFFFFF"/>
          <w:lang w:val="en-AU"/>
        </w:rPr>
        <w:t xml:space="preserve">are </w:t>
      </w:r>
      <w:r w:rsidR="00B73A82" w:rsidRPr="0072758C">
        <w:rPr>
          <w:color w:val="222222"/>
          <w:shd w:val="clear" w:color="auto" w:fill="FFFFFF"/>
          <w:lang w:val="en-AU"/>
        </w:rPr>
        <w:t xml:space="preserve">related to what Jesus </w:t>
      </w:r>
      <w:r w:rsidR="00E0001B" w:rsidRPr="0072758C">
        <w:rPr>
          <w:color w:val="222222"/>
          <w:shd w:val="clear" w:color="auto" w:fill="FFFFFF"/>
          <w:lang w:val="en-AU"/>
        </w:rPr>
        <w:t>taught and said</w:t>
      </w:r>
      <w:r w:rsidR="00AE3965" w:rsidRPr="0072758C">
        <w:rPr>
          <w:color w:val="222222"/>
          <w:shd w:val="clear" w:color="auto" w:fill="FFFFFF"/>
          <w:lang w:val="en-AU"/>
        </w:rPr>
        <w:t>, especially in t</w:t>
      </w:r>
      <w:r w:rsidR="00DA2AE3" w:rsidRPr="0072758C">
        <w:rPr>
          <w:color w:val="222222"/>
          <w:shd w:val="clear" w:color="auto" w:fill="FFFFFF"/>
          <w:lang w:val="en-AU"/>
        </w:rPr>
        <w:t xml:space="preserve">he actions </w:t>
      </w:r>
      <w:r w:rsidR="00E0001B" w:rsidRPr="0072758C">
        <w:rPr>
          <w:color w:val="222222"/>
          <w:shd w:val="clear" w:color="auto" w:fill="FFFFFF"/>
          <w:lang w:val="en-AU"/>
        </w:rPr>
        <w:t xml:space="preserve">advocated </w:t>
      </w:r>
      <w:r w:rsidR="00A154F8" w:rsidRPr="0072758C">
        <w:rPr>
          <w:color w:val="222222"/>
          <w:shd w:val="clear" w:color="auto" w:fill="FFFFFF"/>
          <w:lang w:val="en-AU"/>
        </w:rPr>
        <w:t xml:space="preserve">by </w:t>
      </w:r>
      <w:r w:rsidR="00DA2AE3" w:rsidRPr="0072758C">
        <w:rPr>
          <w:color w:val="222222"/>
          <w:shd w:val="clear" w:color="auto" w:fill="FFFFFF"/>
          <w:lang w:val="en-AU"/>
        </w:rPr>
        <w:t xml:space="preserve">Jesus </w:t>
      </w:r>
      <w:r w:rsidR="00A154F8" w:rsidRPr="0072758C">
        <w:rPr>
          <w:color w:val="222222"/>
          <w:shd w:val="clear" w:color="auto" w:fill="FFFFFF"/>
          <w:lang w:val="en-AU"/>
        </w:rPr>
        <w:t>i</w:t>
      </w:r>
      <w:r w:rsidR="00DA2AE3" w:rsidRPr="0072758C">
        <w:rPr>
          <w:color w:val="222222"/>
          <w:shd w:val="clear" w:color="auto" w:fill="FFFFFF"/>
          <w:lang w:val="en-AU"/>
        </w:rPr>
        <w:t xml:space="preserve">n the Sermon </w:t>
      </w:r>
      <w:r w:rsidR="00AE3965" w:rsidRPr="0072758C">
        <w:rPr>
          <w:color w:val="222222"/>
          <w:shd w:val="clear" w:color="auto" w:fill="FFFFFF"/>
          <w:lang w:val="en-AU"/>
        </w:rPr>
        <w:t xml:space="preserve">to </w:t>
      </w:r>
      <w:r w:rsidR="008E109D" w:rsidRPr="0072758C">
        <w:rPr>
          <w:color w:val="222222"/>
          <w:shd w:val="clear" w:color="auto" w:fill="FFFFFF"/>
          <w:lang w:val="en-AU"/>
        </w:rPr>
        <w:t xml:space="preserve">promote </w:t>
      </w:r>
      <w:r w:rsidR="00DA2AE3" w:rsidRPr="0072758C">
        <w:rPr>
          <w:color w:val="222222"/>
          <w:shd w:val="clear" w:color="auto" w:fill="FFFFFF"/>
          <w:lang w:val="en-AU"/>
        </w:rPr>
        <w:t xml:space="preserve">nonviolent </w:t>
      </w:r>
      <w:r w:rsidR="00B73A82" w:rsidRPr="0072758C">
        <w:rPr>
          <w:color w:val="222222"/>
          <w:shd w:val="clear" w:color="auto" w:fill="FFFFFF"/>
          <w:lang w:val="en-AU"/>
        </w:rPr>
        <w:t>res</w:t>
      </w:r>
      <w:r w:rsidR="00A154F8" w:rsidRPr="0072758C">
        <w:rPr>
          <w:color w:val="222222"/>
          <w:shd w:val="clear" w:color="auto" w:fill="FFFFFF"/>
          <w:lang w:val="en-AU"/>
        </w:rPr>
        <w:t xml:space="preserve">istance </w:t>
      </w:r>
      <w:r w:rsidR="008E109D" w:rsidRPr="0072758C">
        <w:rPr>
          <w:color w:val="222222"/>
          <w:shd w:val="clear" w:color="auto" w:fill="FFFFFF"/>
          <w:lang w:val="en-AU"/>
        </w:rPr>
        <w:t>rather</w:t>
      </w:r>
      <w:r w:rsidR="00CE5E98" w:rsidRPr="0072758C">
        <w:rPr>
          <w:color w:val="222222"/>
          <w:shd w:val="clear" w:color="auto" w:fill="FFFFFF"/>
          <w:lang w:val="en-AU"/>
        </w:rPr>
        <w:t xml:space="preserve"> </w:t>
      </w:r>
      <w:r w:rsidR="008E109D" w:rsidRPr="0072758C">
        <w:rPr>
          <w:color w:val="222222"/>
          <w:shd w:val="clear" w:color="auto" w:fill="FFFFFF"/>
          <w:lang w:val="en-AU"/>
        </w:rPr>
        <w:t>tha</w:t>
      </w:r>
      <w:r w:rsidR="00CE5E98" w:rsidRPr="0072758C">
        <w:rPr>
          <w:color w:val="222222"/>
          <w:shd w:val="clear" w:color="auto" w:fill="FFFFFF"/>
          <w:lang w:val="en-AU"/>
        </w:rPr>
        <w:t xml:space="preserve">n </w:t>
      </w:r>
      <w:r w:rsidR="00DA2AE3" w:rsidRPr="0072758C">
        <w:rPr>
          <w:color w:val="222222"/>
          <w:shd w:val="clear" w:color="auto" w:fill="FFFFFF"/>
          <w:lang w:val="en-AU"/>
        </w:rPr>
        <w:t>violent reactions</w:t>
      </w:r>
      <w:r w:rsidR="00AE3965" w:rsidRPr="0072758C">
        <w:rPr>
          <w:color w:val="222222"/>
          <w:shd w:val="clear" w:color="auto" w:fill="FFFFFF"/>
          <w:lang w:val="en-AU"/>
        </w:rPr>
        <w:t xml:space="preserve">. Nor does Jesus or the sages </w:t>
      </w:r>
      <w:r w:rsidR="00D338BD" w:rsidRPr="0072758C">
        <w:rPr>
          <w:color w:val="222222"/>
          <w:shd w:val="clear" w:color="auto" w:fill="FFFFFF"/>
          <w:lang w:val="en-AU"/>
        </w:rPr>
        <w:t>teach that one should</w:t>
      </w:r>
      <w:r w:rsidR="00DA2AE3" w:rsidRPr="0072758C">
        <w:rPr>
          <w:color w:val="222222"/>
          <w:shd w:val="clear" w:color="auto" w:fill="FFFFFF"/>
          <w:lang w:val="en-AU"/>
        </w:rPr>
        <w:t xml:space="preserve"> becom</w:t>
      </w:r>
      <w:r w:rsidR="00D338BD" w:rsidRPr="0072758C">
        <w:rPr>
          <w:color w:val="222222"/>
          <w:shd w:val="clear" w:color="auto" w:fill="FFFFFF"/>
          <w:lang w:val="en-AU"/>
        </w:rPr>
        <w:t>e</w:t>
      </w:r>
      <w:r w:rsidR="00DA2AE3" w:rsidRPr="0072758C">
        <w:rPr>
          <w:color w:val="222222"/>
          <w:shd w:val="clear" w:color="auto" w:fill="FFFFFF"/>
          <w:lang w:val="en-AU"/>
        </w:rPr>
        <w:t xml:space="preserve"> a victim to someone who has power</w:t>
      </w:r>
      <w:r w:rsidR="00E024C8" w:rsidRPr="0072758C">
        <w:rPr>
          <w:color w:val="222222"/>
          <w:shd w:val="clear" w:color="auto" w:fill="FFFFFF"/>
          <w:lang w:val="en-AU"/>
        </w:rPr>
        <w:t xml:space="preserve"> over oneself</w:t>
      </w:r>
      <w:r w:rsidR="00B73A82" w:rsidRPr="0072758C">
        <w:rPr>
          <w:color w:val="222222"/>
          <w:shd w:val="clear" w:color="auto" w:fill="FFFFFF"/>
          <w:lang w:val="en-AU"/>
        </w:rPr>
        <w:t xml:space="preserve">. It is </w:t>
      </w:r>
      <w:r w:rsidR="00E024C8" w:rsidRPr="0072758C">
        <w:rPr>
          <w:color w:val="222222"/>
          <w:shd w:val="clear" w:color="auto" w:fill="FFFFFF"/>
          <w:lang w:val="en-AU"/>
        </w:rPr>
        <w:t>emphasi</w:t>
      </w:r>
      <w:r w:rsidR="00D86BBD" w:rsidRPr="0072758C">
        <w:rPr>
          <w:color w:val="222222"/>
          <w:shd w:val="clear" w:color="auto" w:fill="FFFFFF"/>
          <w:lang w:val="en-AU"/>
        </w:rPr>
        <w:t>s</w:t>
      </w:r>
      <w:r w:rsidR="00E024C8" w:rsidRPr="0072758C">
        <w:rPr>
          <w:color w:val="222222"/>
          <w:shd w:val="clear" w:color="auto" w:fill="FFFFFF"/>
          <w:lang w:val="en-AU"/>
        </w:rPr>
        <w:t>ed</w:t>
      </w:r>
      <w:r w:rsidR="00B73A82" w:rsidRPr="0072758C">
        <w:rPr>
          <w:color w:val="222222"/>
          <w:shd w:val="clear" w:color="auto" w:fill="FFFFFF"/>
          <w:lang w:val="en-AU"/>
        </w:rPr>
        <w:t xml:space="preserve"> that </w:t>
      </w:r>
      <w:r w:rsidR="00E024C8" w:rsidRPr="0072758C">
        <w:rPr>
          <w:color w:val="222222"/>
          <w:shd w:val="clear" w:color="auto" w:fill="FFFFFF"/>
          <w:lang w:val="en-AU"/>
        </w:rPr>
        <w:t xml:space="preserve">in his teachings </w:t>
      </w:r>
      <w:r w:rsidR="00B73A82" w:rsidRPr="0072758C">
        <w:rPr>
          <w:color w:val="222222"/>
          <w:shd w:val="clear" w:color="auto" w:fill="FFFFFF"/>
          <w:lang w:val="en-AU"/>
        </w:rPr>
        <w:t xml:space="preserve">Jesus did not intend for someone to become a doormat or a victim to another person. </w:t>
      </w:r>
      <w:r w:rsidR="00566A3B" w:rsidRPr="0072758C">
        <w:rPr>
          <w:color w:val="222222"/>
          <w:shd w:val="clear" w:color="auto" w:fill="FFFFFF"/>
          <w:lang w:val="en-AU"/>
        </w:rPr>
        <w:t>Jesus follow</w:t>
      </w:r>
      <w:r w:rsidR="00D6594C" w:rsidRPr="0072758C">
        <w:rPr>
          <w:color w:val="222222"/>
          <w:shd w:val="clear" w:color="auto" w:fill="FFFFFF"/>
          <w:lang w:val="en-AU"/>
        </w:rPr>
        <w:t>ed</w:t>
      </w:r>
      <w:r w:rsidR="00566A3B" w:rsidRPr="0072758C">
        <w:rPr>
          <w:color w:val="222222"/>
          <w:shd w:val="clear" w:color="auto" w:fill="FFFFFF"/>
          <w:lang w:val="en-AU"/>
        </w:rPr>
        <w:t xml:space="preserve"> </w:t>
      </w:r>
      <w:r w:rsidR="00C56C63" w:rsidRPr="0072758C">
        <w:rPr>
          <w:color w:val="222222"/>
          <w:shd w:val="clear" w:color="auto" w:fill="FFFFFF"/>
          <w:lang w:val="en-AU"/>
        </w:rPr>
        <w:t>and adher</w:t>
      </w:r>
      <w:r w:rsidR="00D6594C" w:rsidRPr="0072758C">
        <w:rPr>
          <w:color w:val="222222"/>
          <w:shd w:val="clear" w:color="auto" w:fill="FFFFFF"/>
          <w:lang w:val="en-AU"/>
        </w:rPr>
        <w:t>ed</w:t>
      </w:r>
      <w:r w:rsidR="00566A3B" w:rsidRPr="0072758C">
        <w:rPr>
          <w:color w:val="222222"/>
          <w:shd w:val="clear" w:color="auto" w:fill="FFFFFF"/>
          <w:lang w:val="en-AU"/>
        </w:rPr>
        <w:t xml:space="preserve"> to the religious laws</w:t>
      </w:r>
      <w:r w:rsidR="00B73A82" w:rsidRPr="0072758C">
        <w:rPr>
          <w:color w:val="222222"/>
          <w:shd w:val="clear" w:color="auto" w:fill="FFFFFF"/>
          <w:lang w:val="en-AU"/>
        </w:rPr>
        <w:t xml:space="preserve"> of his day.  Jesus similarly also a</w:t>
      </w:r>
      <w:r w:rsidR="00D6594C" w:rsidRPr="0072758C">
        <w:rPr>
          <w:color w:val="222222"/>
          <w:shd w:val="clear" w:color="auto" w:fill="FFFFFF"/>
          <w:lang w:val="en-AU"/>
        </w:rPr>
        <w:t>dhered to</w:t>
      </w:r>
      <w:r w:rsidR="00B73A82" w:rsidRPr="0072758C">
        <w:rPr>
          <w:color w:val="222222"/>
          <w:shd w:val="clear" w:color="auto" w:fill="FFFFFF"/>
          <w:lang w:val="en-AU"/>
        </w:rPr>
        <w:t xml:space="preserve"> the </w:t>
      </w:r>
      <w:r w:rsidR="00566A3B" w:rsidRPr="0072758C">
        <w:rPr>
          <w:color w:val="222222"/>
          <w:shd w:val="clear" w:color="auto" w:fill="FFFFFF"/>
          <w:lang w:val="en-AU"/>
        </w:rPr>
        <w:t xml:space="preserve">Roman laws </w:t>
      </w:r>
      <w:r w:rsidR="00B73A82" w:rsidRPr="0072758C">
        <w:rPr>
          <w:color w:val="222222"/>
          <w:shd w:val="clear" w:color="auto" w:fill="FFFFFF"/>
          <w:lang w:val="en-AU"/>
        </w:rPr>
        <w:t xml:space="preserve">of his era, all while </w:t>
      </w:r>
      <w:r w:rsidR="00566A3B" w:rsidRPr="0072758C">
        <w:rPr>
          <w:color w:val="222222"/>
          <w:shd w:val="clear" w:color="auto" w:fill="FFFFFF"/>
          <w:lang w:val="en-AU"/>
        </w:rPr>
        <w:t xml:space="preserve">applying the intellectual thought </w:t>
      </w:r>
      <w:r w:rsidR="00AE3965" w:rsidRPr="0072758C">
        <w:rPr>
          <w:color w:val="222222"/>
          <w:shd w:val="clear" w:color="auto" w:fill="FFFFFF"/>
          <w:lang w:val="en-AU"/>
        </w:rPr>
        <w:t>embodied in the Oral Law that eventually found its way into</w:t>
      </w:r>
      <w:r w:rsidR="00566A3B" w:rsidRPr="0072758C">
        <w:rPr>
          <w:color w:val="222222"/>
          <w:shd w:val="clear" w:color="auto" w:fill="FFFFFF"/>
          <w:lang w:val="en-AU"/>
        </w:rPr>
        <w:t xml:space="preserve"> </w:t>
      </w:r>
      <w:r w:rsidR="00566A3B" w:rsidRPr="0072758C">
        <w:rPr>
          <w:i/>
          <w:iCs/>
          <w:color w:val="222222"/>
          <w:shd w:val="clear" w:color="auto" w:fill="FFFFFF"/>
          <w:lang w:val="en-AU"/>
        </w:rPr>
        <w:t>Mishna Avot</w:t>
      </w:r>
      <w:r w:rsidR="00566A3B" w:rsidRPr="0072758C">
        <w:rPr>
          <w:color w:val="222222"/>
          <w:shd w:val="clear" w:color="auto" w:fill="FFFFFF"/>
          <w:lang w:val="en-AU"/>
        </w:rPr>
        <w:t>.</w:t>
      </w:r>
      <w:r w:rsidR="00B73A82" w:rsidRPr="0072758C">
        <w:rPr>
          <w:color w:val="222222"/>
          <w:shd w:val="clear" w:color="auto" w:fill="FFFFFF"/>
          <w:lang w:val="en-AU"/>
        </w:rPr>
        <w:t xml:space="preserve"> </w:t>
      </w:r>
      <w:r w:rsidR="00836B37" w:rsidRPr="0072758C">
        <w:rPr>
          <w:color w:val="222222"/>
          <w:shd w:val="clear" w:color="auto" w:fill="FFFFFF"/>
          <w:lang w:val="en-AU"/>
        </w:rPr>
        <w:t>It is apparent that Jesus ha</w:t>
      </w:r>
      <w:r w:rsidR="0056425C" w:rsidRPr="0072758C">
        <w:rPr>
          <w:color w:val="222222"/>
          <w:shd w:val="clear" w:color="auto" w:fill="FFFFFF"/>
          <w:lang w:val="en-AU"/>
        </w:rPr>
        <w:t>d</w:t>
      </w:r>
      <w:r w:rsidR="00836B37" w:rsidRPr="0072758C">
        <w:rPr>
          <w:color w:val="222222"/>
          <w:shd w:val="clear" w:color="auto" w:fill="FFFFFF"/>
          <w:lang w:val="en-AU"/>
        </w:rPr>
        <w:t xml:space="preserve"> similar </w:t>
      </w:r>
      <w:r w:rsidR="0056425C" w:rsidRPr="0072758C">
        <w:rPr>
          <w:color w:val="222222"/>
          <w:shd w:val="clear" w:color="auto" w:fill="FFFFFF"/>
          <w:lang w:val="en-AU"/>
        </w:rPr>
        <w:t xml:space="preserve">ethical </w:t>
      </w:r>
      <w:r w:rsidR="00836B37" w:rsidRPr="0072758C">
        <w:rPr>
          <w:color w:val="222222"/>
          <w:shd w:val="clear" w:color="auto" w:fill="FFFFFF"/>
          <w:lang w:val="en-AU"/>
        </w:rPr>
        <w:t xml:space="preserve">views to those </w:t>
      </w:r>
      <w:r w:rsidR="0056425C" w:rsidRPr="0072758C">
        <w:rPr>
          <w:color w:val="222222"/>
          <w:shd w:val="clear" w:color="auto" w:fill="FFFFFF"/>
          <w:lang w:val="en-AU"/>
        </w:rPr>
        <w:t>expressed by</w:t>
      </w:r>
      <w:r w:rsidR="00836B37" w:rsidRPr="0072758C">
        <w:rPr>
          <w:color w:val="222222"/>
          <w:shd w:val="clear" w:color="auto" w:fill="FFFFFF"/>
          <w:lang w:val="en-AU"/>
        </w:rPr>
        <w:t xml:space="preserve"> the Sages in </w:t>
      </w:r>
      <w:r w:rsidR="00B73A82" w:rsidRPr="0072758C">
        <w:rPr>
          <w:color w:val="222222"/>
          <w:shd w:val="clear" w:color="auto" w:fill="FFFFFF"/>
          <w:lang w:val="en-AU"/>
        </w:rPr>
        <w:t xml:space="preserve">the discourse of the </w:t>
      </w:r>
      <w:r w:rsidR="00B73A82" w:rsidRPr="0072758C">
        <w:rPr>
          <w:i/>
          <w:iCs/>
          <w:color w:val="222222"/>
          <w:shd w:val="clear" w:color="auto" w:fill="FFFFFF"/>
          <w:lang w:val="en-AU"/>
        </w:rPr>
        <w:t>Mishna Avot</w:t>
      </w:r>
      <w:r w:rsidR="0056425C" w:rsidRPr="0072758C">
        <w:rPr>
          <w:i/>
          <w:iCs/>
          <w:color w:val="222222"/>
          <w:shd w:val="clear" w:color="auto" w:fill="FFFFFF"/>
          <w:lang w:val="en-AU"/>
        </w:rPr>
        <w:t>.</w:t>
      </w:r>
      <w:r w:rsidR="00B73A82" w:rsidRPr="0072758C">
        <w:rPr>
          <w:color w:val="222222"/>
          <w:shd w:val="clear" w:color="auto" w:fill="FFFFFF"/>
          <w:lang w:val="en-AU"/>
        </w:rPr>
        <w:t xml:space="preserve"> </w:t>
      </w:r>
    </w:p>
    <w:p w14:paraId="75544820" w14:textId="1C694E93" w:rsidR="00755398" w:rsidRPr="0072758C" w:rsidRDefault="00566A3B" w:rsidP="00C3733B">
      <w:pPr>
        <w:spacing w:line="480" w:lineRule="auto"/>
        <w:ind w:firstLine="720"/>
        <w:rPr>
          <w:color w:val="222222"/>
          <w:shd w:val="clear" w:color="auto" w:fill="FFFFFF"/>
          <w:lang w:val="en-AU"/>
        </w:rPr>
      </w:pPr>
      <w:r w:rsidRPr="0072758C">
        <w:rPr>
          <w:color w:val="222222"/>
          <w:shd w:val="clear" w:color="auto" w:fill="FFFFFF"/>
          <w:lang w:val="en-AU"/>
        </w:rPr>
        <w:t xml:space="preserve">The ethical implications </w:t>
      </w:r>
      <w:r w:rsidR="0056425C" w:rsidRPr="0072758C">
        <w:rPr>
          <w:color w:val="222222"/>
          <w:shd w:val="clear" w:color="auto" w:fill="FFFFFF"/>
          <w:lang w:val="en-AU"/>
        </w:rPr>
        <w:t>for</w:t>
      </w:r>
      <w:r w:rsidR="00496A98" w:rsidRPr="0072758C">
        <w:rPr>
          <w:color w:val="222222"/>
          <w:shd w:val="clear" w:color="auto" w:fill="FFFFFF"/>
          <w:lang w:val="en-AU"/>
        </w:rPr>
        <w:t xml:space="preserve"> peace and pacifism </w:t>
      </w:r>
      <w:r w:rsidR="0034062E" w:rsidRPr="0072758C">
        <w:rPr>
          <w:color w:val="222222"/>
          <w:shd w:val="clear" w:color="auto" w:fill="FFFFFF"/>
          <w:lang w:val="en-AU"/>
        </w:rPr>
        <w:t>in Matthew 5:38</w:t>
      </w:r>
      <w:r w:rsidR="00FE0B52" w:rsidRPr="0072758C">
        <w:rPr>
          <w:color w:val="222222"/>
          <w:shd w:val="clear" w:color="auto" w:fill="FFFFFF"/>
          <w:lang w:val="en-AU"/>
        </w:rPr>
        <w:t>–</w:t>
      </w:r>
      <w:r w:rsidR="0034062E" w:rsidRPr="0072758C">
        <w:rPr>
          <w:color w:val="222222"/>
          <w:shd w:val="clear" w:color="auto" w:fill="FFFFFF"/>
          <w:lang w:val="en-AU"/>
        </w:rPr>
        <w:t xml:space="preserve">42 </w:t>
      </w:r>
      <w:r w:rsidR="00FE0B52" w:rsidRPr="0072758C">
        <w:rPr>
          <w:color w:val="222222"/>
          <w:shd w:val="clear" w:color="auto" w:fill="FFFFFF"/>
          <w:lang w:val="en-AU"/>
        </w:rPr>
        <w:t xml:space="preserve">require </w:t>
      </w:r>
      <w:r w:rsidRPr="0072758C">
        <w:rPr>
          <w:color w:val="222222"/>
          <w:shd w:val="clear" w:color="auto" w:fill="FFFFFF"/>
          <w:lang w:val="en-AU"/>
        </w:rPr>
        <w:t>nonviolent response to oppression.</w:t>
      </w:r>
      <w:r w:rsidR="002A1826" w:rsidRPr="0072758C">
        <w:rPr>
          <w:color w:val="222222"/>
          <w:shd w:val="clear" w:color="auto" w:fill="FFFFFF"/>
          <w:lang w:val="en-AU"/>
        </w:rPr>
        <w:t xml:space="preserve"> Matthew 5:38</w:t>
      </w:r>
      <w:r w:rsidR="00FE0B52" w:rsidRPr="0072758C">
        <w:rPr>
          <w:color w:val="222222"/>
          <w:shd w:val="clear" w:color="auto" w:fill="FFFFFF"/>
          <w:lang w:val="en-AU"/>
        </w:rPr>
        <w:t>–</w:t>
      </w:r>
      <w:r w:rsidR="002A1826" w:rsidRPr="0072758C">
        <w:rPr>
          <w:color w:val="222222"/>
          <w:shd w:val="clear" w:color="auto" w:fill="FFFFFF"/>
          <w:lang w:val="en-AU"/>
        </w:rPr>
        <w:t>42 does not support a full</w:t>
      </w:r>
      <w:r w:rsidR="00FE0B52" w:rsidRPr="0072758C">
        <w:rPr>
          <w:color w:val="222222"/>
          <w:shd w:val="clear" w:color="auto" w:fill="FFFFFF"/>
          <w:lang w:val="en-AU"/>
        </w:rPr>
        <w:t>y</w:t>
      </w:r>
      <w:r w:rsidR="002A1826" w:rsidRPr="0072758C">
        <w:rPr>
          <w:color w:val="222222"/>
          <w:shd w:val="clear" w:color="auto" w:fill="FFFFFF"/>
          <w:lang w:val="en-AU"/>
        </w:rPr>
        <w:t xml:space="preserve"> pacifist ideology</w:t>
      </w:r>
      <w:r w:rsidR="00FE0B52" w:rsidRPr="0072758C">
        <w:rPr>
          <w:color w:val="222222"/>
          <w:shd w:val="clear" w:color="auto" w:fill="FFFFFF"/>
          <w:lang w:val="en-AU"/>
        </w:rPr>
        <w:t>.</w:t>
      </w:r>
      <w:r w:rsidR="002A1826" w:rsidRPr="0072758C">
        <w:rPr>
          <w:color w:val="222222"/>
          <w:shd w:val="clear" w:color="auto" w:fill="FFFFFF"/>
          <w:lang w:val="en-AU"/>
        </w:rPr>
        <w:t xml:space="preserve"> </w:t>
      </w:r>
      <w:r w:rsidR="00FE0B52" w:rsidRPr="0072758C">
        <w:rPr>
          <w:color w:val="222222"/>
          <w:shd w:val="clear" w:color="auto" w:fill="FFFFFF"/>
          <w:lang w:val="en-AU"/>
        </w:rPr>
        <w:t>T</w:t>
      </w:r>
      <w:r w:rsidR="002A1826" w:rsidRPr="0072758C">
        <w:rPr>
          <w:color w:val="222222"/>
          <w:shd w:val="clear" w:color="auto" w:fill="FFFFFF"/>
          <w:lang w:val="en-AU"/>
        </w:rPr>
        <w:t>he Jewish people have always defend</w:t>
      </w:r>
      <w:r w:rsidR="00FE0B52" w:rsidRPr="0072758C">
        <w:rPr>
          <w:color w:val="222222"/>
          <w:shd w:val="clear" w:color="auto" w:fill="FFFFFF"/>
          <w:lang w:val="en-AU"/>
        </w:rPr>
        <w:t>ed</w:t>
      </w:r>
      <w:r w:rsidR="002A1826" w:rsidRPr="0072758C">
        <w:rPr>
          <w:color w:val="222222"/>
          <w:shd w:val="clear" w:color="auto" w:fill="FFFFFF"/>
          <w:lang w:val="en-AU"/>
        </w:rPr>
        <w:t xml:space="preserve"> themselves from outside threats to their survival. </w:t>
      </w:r>
      <w:r w:rsidRPr="0072758C">
        <w:rPr>
          <w:color w:val="222222"/>
          <w:shd w:val="clear" w:color="auto" w:fill="FFFFFF"/>
          <w:lang w:val="en-AU"/>
        </w:rPr>
        <w:t xml:space="preserve"> The similarities </w:t>
      </w:r>
      <w:r w:rsidR="00FE0B52" w:rsidRPr="0072758C">
        <w:rPr>
          <w:color w:val="222222"/>
          <w:shd w:val="clear" w:color="auto" w:fill="FFFFFF"/>
          <w:lang w:val="en-AU"/>
        </w:rPr>
        <w:t xml:space="preserve">between </w:t>
      </w:r>
      <w:r w:rsidRPr="0072758C">
        <w:rPr>
          <w:color w:val="222222"/>
          <w:shd w:val="clear" w:color="auto" w:fill="FFFFFF"/>
          <w:lang w:val="en-AU"/>
        </w:rPr>
        <w:t>the Oral Law and Matthew illuminate how the actions of Jesus</w:t>
      </w:r>
      <w:r w:rsidR="006E28FE" w:rsidRPr="0072758C">
        <w:rPr>
          <w:color w:val="222222"/>
          <w:shd w:val="clear" w:color="auto" w:fill="FFFFFF"/>
          <w:lang w:val="en-AU"/>
        </w:rPr>
        <w:t xml:space="preserve"> </w:t>
      </w:r>
      <w:r w:rsidRPr="0072758C">
        <w:rPr>
          <w:color w:val="222222"/>
          <w:shd w:val="clear" w:color="auto" w:fill="FFFFFF"/>
          <w:lang w:val="en-AU"/>
        </w:rPr>
        <w:t xml:space="preserve">are </w:t>
      </w:r>
      <w:r w:rsidR="006E28FE" w:rsidRPr="0072758C">
        <w:rPr>
          <w:color w:val="222222"/>
          <w:shd w:val="clear" w:color="auto" w:fill="FFFFFF"/>
          <w:lang w:val="en-AU"/>
        </w:rPr>
        <w:t xml:space="preserve">consistent with </w:t>
      </w:r>
      <w:r w:rsidRPr="0072758C">
        <w:rPr>
          <w:color w:val="222222"/>
          <w:shd w:val="clear" w:color="auto" w:fill="FFFFFF"/>
          <w:lang w:val="en-AU"/>
        </w:rPr>
        <w:t xml:space="preserve">various Oral Traditions, Mosaic Laws, and </w:t>
      </w:r>
      <w:r w:rsidR="006E28FE" w:rsidRPr="0072758C">
        <w:rPr>
          <w:color w:val="222222"/>
          <w:shd w:val="clear" w:color="auto" w:fill="FFFFFF"/>
          <w:lang w:val="en-AU"/>
        </w:rPr>
        <w:t xml:space="preserve">instruction given in </w:t>
      </w:r>
      <w:r w:rsidRPr="0072758C">
        <w:rPr>
          <w:color w:val="222222"/>
          <w:shd w:val="clear" w:color="auto" w:fill="FFFFFF"/>
          <w:lang w:val="en-AU"/>
        </w:rPr>
        <w:t xml:space="preserve">the </w:t>
      </w:r>
      <w:r w:rsidRPr="0072758C">
        <w:rPr>
          <w:color w:val="222222"/>
          <w:shd w:val="clear" w:color="auto" w:fill="FFFFFF"/>
          <w:lang w:val="en-AU"/>
        </w:rPr>
        <w:lastRenderedPageBreak/>
        <w:t xml:space="preserve">Dead Sea Scrolls. </w:t>
      </w:r>
      <w:r w:rsidR="004B0C36" w:rsidRPr="0072758C">
        <w:rPr>
          <w:color w:val="222222"/>
          <w:shd w:val="clear" w:color="auto" w:fill="FFFFFF"/>
          <w:lang w:val="en-AU"/>
        </w:rPr>
        <w:t xml:space="preserve">These similarities in the Oral Traditions become apparent when </w:t>
      </w:r>
      <w:r w:rsidR="00111FEE" w:rsidRPr="0072758C">
        <w:rPr>
          <w:color w:val="222222"/>
          <w:shd w:val="clear" w:color="auto" w:fill="FFFFFF"/>
          <w:lang w:val="en-AU"/>
        </w:rPr>
        <w:t>considering</w:t>
      </w:r>
      <w:r w:rsidR="004B0C36" w:rsidRPr="0072758C">
        <w:rPr>
          <w:color w:val="222222"/>
          <w:shd w:val="clear" w:color="auto" w:fill="FFFFFF"/>
          <w:lang w:val="en-AU"/>
        </w:rPr>
        <w:t xml:space="preserve"> Matthew 5:38</w:t>
      </w:r>
      <w:r w:rsidR="00504DF1" w:rsidRPr="0072758C">
        <w:rPr>
          <w:color w:val="222222"/>
          <w:shd w:val="clear" w:color="auto" w:fill="FFFFFF"/>
          <w:lang w:val="en-AU"/>
        </w:rPr>
        <w:t>–</w:t>
      </w:r>
      <w:r w:rsidR="004B0C36" w:rsidRPr="0072758C">
        <w:rPr>
          <w:color w:val="222222"/>
          <w:shd w:val="clear" w:color="auto" w:fill="FFFFFF"/>
          <w:lang w:val="en-AU"/>
        </w:rPr>
        <w:t>42</w:t>
      </w:r>
      <w:r w:rsidR="003E7BD7" w:rsidRPr="0072758C">
        <w:rPr>
          <w:color w:val="222222"/>
          <w:shd w:val="clear" w:color="auto" w:fill="FFFFFF"/>
          <w:lang w:val="en-AU"/>
        </w:rPr>
        <w:t xml:space="preserve"> </w:t>
      </w:r>
      <w:proofErr w:type="gramStart"/>
      <w:r w:rsidR="00B157A6" w:rsidRPr="0072758C">
        <w:rPr>
          <w:color w:val="222222"/>
          <w:shd w:val="clear" w:color="auto" w:fill="FFFFFF"/>
          <w:lang w:val="en-AU"/>
        </w:rPr>
        <w:t>in r</w:t>
      </w:r>
      <w:r w:rsidR="007C113F" w:rsidRPr="0072758C">
        <w:rPr>
          <w:color w:val="222222"/>
          <w:shd w:val="clear" w:color="auto" w:fill="FFFFFF"/>
          <w:lang w:val="en-AU"/>
        </w:rPr>
        <w:t>egard</w:t>
      </w:r>
      <w:r w:rsidR="00B157A6" w:rsidRPr="0072758C">
        <w:rPr>
          <w:color w:val="222222"/>
          <w:shd w:val="clear" w:color="auto" w:fill="FFFFFF"/>
          <w:lang w:val="en-AU"/>
        </w:rPr>
        <w:t xml:space="preserve"> to</w:t>
      </w:r>
      <w:proofErr w:type="gramEnd"/>
      <w:r w:rsidR="00B157A6" w:rsidRPr="0072758C">
        <w:rPr>
          <w:color w:val="222222"/>
          <w:shd w:val="clear" w:color="auto" w:fill="FFFFFF"/>
          <w:lang w:val="en-AU"/>
        </w:rPr>
        <w:t xml:space="preserve"> love, equality, and respect.</w:t>
      </w:r>
      <w:r w:rsidR="004B0C36" w:rsidRPr="0072758C">
        <w:rPr>
          <w:color w:val="222222"/>
          <w:shd w:val="clear" w:color="auto" w:fill="FFFFFF"/>
          <w:lang w:val="en-AU"/>
        </w:rPr>
        <w:t xml:space="preserve"> </w:t>
      </w:r>
      <w:r w:rsidR="0034062E" w:rsidRPr="0072758C">
        <w:rPr>
          <w:color w:val="222222"/>
          <w:shd w:val="clear" w:color="auto" w:fill="FFFFFF"/>
          <w:lang w:val="en-AU"/>
        </w:rPr>
        <w:t xml:space="preserve">This dissertation </w:t>
      </w:r>
      <w:r w:rsidR="006E28FE" w:rsidRPr="0072758C">
        <w:rPr>
          <w:color w:val="222222"/>
          <w:shd w:val="clear" w:color="auto" w:fill="FFFFFF"/>
          <w:lang w:val="en-AU"/>
        </w:rPr>
        <w:t xml:space="preserve">has provided evidence </w:t>
      </w:r>
      <w:r w:rsidR="0034062E" w:rsidRPr="0072758C">
        <w:rPr>
          <w:color w:val="222222"/>
          <w:shd w:val="clear" w:color="auto" w:fill="FFFFFF"/>
          <w:lang w:val="en-AU"/>
        </w:rPr>
        <w:t xml:space="preserve">that when the rules and law of the Roman Empire </w:t>
      </w:r>
      <w:proofErr w:type="gramStart"/>
      <w:r w:rsidR="007C113F" w:rsidRPr="0072758C">
        <w:rPr>
          <w:color w:val="222222"/>
          <w:shd w:val="clear" w:color="auto" w:fill="FFFFFF"/>
          <w:lang w:val="en-AU"/>
        </w:rPr>
        <w:t>we</w:t>
      </w:r>
      <w:r w:rsidR="0034062E" w:rsidRPr="0072758C">
        <w:rPr>
          <w:color w:val="222222"/>
          <w:shd w:val="clear" w:color="auto" w:fill="FFFFFF"/>
          <w:lang w:val="en-AU"/>
        </w:rPr>
        <w:t>re in conflict with</w:t>
      </w:r>
      <w:proofErr w:type="gramEnd"/>
      <w:r w:rsidR="0034062E" w:rsidRPr="0072758C">
        <w:rPr>
          <w:color w:val="222222"/>
          <w:shd w:val="clear" w:color="auto" w:fill="FFFFFF"/>
          <w:lang w:val="en-AU"/>
        </w:rPr>
        <w:t xml:space="preserve"> </w:t>
      </w:r>
      <w:r w:rsidR="0034062E" w:rsidRPr="0072758C">
        <w:rPr>
          <w:i/>
          <w:iCs/>
          <w:color w:val="222222"/>
          <w:shd w:val="clear" w:color="auto" w:fill="FFFFFF"/>
          <w:lang w:val="en-AU"/>
        </w:rPr>
        <w:t>Mishna Avot</w:t>
      </w:r>
      <w:r w:rsidR="007C113F" w:rsidRPr="0072758C">
        <w:rPr>
          <w:i/>
          <w:iCs/>
          <w:color w:val="222222"/>
          <w:shd w:val="clear" w:color="auto" w:fill="FFFFFF"/>
          <w:lang w:val="en-AU"/>
        </w:rPr>
        <w:t>,</w:t>
      </w:r>
      <w:r w:rsidR="0034062E" w:rsidRPr="0072758C">
        <w:rPr>
          <w:color w:val="222222"/>
          <w:shd w:val="clear" w:color="auto" w:fill="FFFFFF"/>
          <w:lang w:val="en-AU"/>
        </w:rPr>
        <w:t xml:space="preserve"> Jesus</w:t>
      </w:r>
      <w:r w:rsidR="0072758C" w:rsidRPr="0072758C">
        <w:rPr>
          <w:color w:val="222222"/>
          <w:shd w:val="clear" w:color="auto" w:fill="FFFFFF"/>
          <w:lang w:val="en-AU"/>
        </w:rPr>
        <w:t>’</w:t>
      </w:r>
      <w:r w:rsidR="007477B7">
        <w:rPr>
          <w:color w:val="222222"/>
          <w:shd w:val="clear" w:color="auto" w:fill="FFFFFF"/>
          <w:lang w:val="en-AU"/>
        </w:rPr>
        <w:t>s</w:t>
      </w:r>
      <w:r w:rsidR="0034062E" w:rsidRPr="0072758C">
        <w:rPr>
          <w:color w:val="222222"/>
          <w:shd w:val="clear" w:color="auto" w:fill="FFFFFF"/>
          <w:lang w:val="en-AU"/>
        </w:rPr>
        <w:t xml:space="preserve"> </w:t>
      </w:r>
      <w:r w:rsidR="00E47620" w:rsidRPr="0072758C">
        <w:rPr>
          <w:color w:val="222222"/>
          <w:shd w:val="clear" w:color="auto" w:fill="FFFFFF"/>
          <w:lang w:val="en-AU"/>
        </w:rPr>
        <w:t>response</w:t>
      </w:r>
      <w:r w:rsidR="0034062E" w:rsidRPr="0072758C">
        <w:rPr>
          <w:color w:val="222222"/>
          <w:shd w:val="clear" w:color="auto" w:fill="FFFFFF"/>
          <w:lang w:val="en-AU"/>
        </w:rPr>
        <w:t xml:space="preserve"> </w:t>
      </w:r>
      <w:r w:rsidR="00E47620" w:rsidRPr="0072758C">
        <w:rPr>
          <w:color w:val="222222"/>
          <w:shd w:val="clear" w:color="auto" w:fill="FFFFFF"/>
          <w:lang w:val="en-AU"/>
        </w:rPr>
        <w:t>was</w:t>
      </w:r>
      <w:r w:rsidR="0034062E" w:rsidRPr="0072758C">
        <w:rPr>
          <w:color w:val="222222"/>
          <w:shd w:val="clear" w:color="auto" w:fill="FFFFFF"/>
          <w:lang w:val="en-AU"/>
        </w:rPr>
        <w:t xml:space="preserve"> nonviolent</w:t>
      </w:r>
      <w:r w:rsidR="00E47620" w:rsidRPr="0072758C">
        <w:rPr>
          <w:color w:val="222222"/>
          <w:shd w:val="clear" w:color="auto" w:fill="FFFFFF"/>
          <w:lang w:val="en-AU"/>
        </w:rPr>
        <w:t xml:space="preserve"> but</w:t>
      </w:r>
      <w:r w:rsidR="0034062E" w:rsidRPr="0072758C">
        <w:rPr>
          <w:color w:val="222222"/>
          <w:shd w:val="clear" w:color="auto" w:fill="FFFFFF"/>
          <w:lang w:val="en-AU"/>
        </w:rPr>
        <w:t xml:space="preserve"> not </w:t>
      </w:r>
      <w:r w:rsidR="00E47620" w:rsidRPr="0072758C">
        <w:rPr>
          <w:color w:val="222222"/>
          <w:shd w:val="clear" w:color="auto" w:fill="FFFFFF"/>
          <w:lang w:val="en-AU"/>
        </w:rPr>
        <w:t>c</w:t>
      </w:r>
      <w:r w:rsidR="006B70BF" w:rsidRPr="0072758C">
        <w:rPr>
          <w:color w:val="222222"/>
          <w:shd w:val="clear" w:color="auto" w:fill="FFFFFF"/>
          <w:lang w:val="en-AU"/>
        </w:rPr>
        <w:t>o</w:t>
      </w:r>
      <w:r w:rsidR="00E47620" w:rsidRPr="0072758C">
        <w:rPr>
          <w:color w:val="222222"/>
          <w:shd w:val="clear" w:color="auto" w:fill="FFFFFF"/>
          <w:lang w:val="en-AU"/>
        </w:rPr>
        <w:t>mp</w:t>
      </w:r>
      <w:r w:rsidR="006B70BF" w:rsidRPr="0072758C">
        <w:rPr>
          <w:color w:val="222222"/>
          <w:shd w:val="clear" w:color="auto" w:fill="FFFFFF"/>
          <w:lang w:val="en-AU"/>
        </w:rPr>
        <w:t>l</w:t>
      </w:r>
      <w:r w:rsidR="00E47620" w:rsidRPr="0072758C">
        <w:rPr>
          <w:color w:val="222222"/>
          <w:shd w:val="clear" w:color="auto" w:fill="FFFFFF"/>
          <w:lang w:val="en-AU"/>
        </w:rPr>
        <w:t>etely</w:t>
      </w:r>
      <w:r w:rsidR="0034062E" w:rsidRPr="0072758C">
        <w:rPr>
          <w:color w:val="222222"/>
          <w:shd w:val="clear" w:color="auto" w:fill="FFFFFF"/>
          <w:lang w:val="en-AU"/>
        </w:rPr>
        <w:t xml:space="preserve"> pacifis</w:t>
      </w:r>
      <w:r w:rsidR="00E47620" w:rsidRPr="0072758C">
        <w:rPr>
          <w:color w:val="222222"/>
          <w:shd w:val="clear" w:color="auto" w:fill="FFFFFF"/>
          <w:lang w:val="en-AU"/>
        </w:rPr>
        <w:t>t</w:t>
      </w:r>
      <w:r w:rsidR="0034062E" w:rsidRPr="0072758C">
        <w:rPr>
          <w:color w:val="222222"/>
          <w:shd w:val="clear" w:color="auto" w:fill="FFFFFF"/>
          <w:lang w:val="en-AU"/>
        </w:rPr>
        <w:t>.</w:t>
      </w:r>
      <w:r w:rsidR="00890694" w:rsidRPr="0072758C">
        <w:rPr>
          <w:color w:val="222222"/>
          <w:shd w:val="clear" w:color="auto" w:fill="FFFFFF"/>
          <w:lang w:val="en-AU"/>
        </w:rPr>
        <w:t xml:space="preserve"> Jesus did not circumvent the Roman rules and </w:t>
      </w:r>
      <w:r w:rsidR="008E53CC" w:rsidRPr="0072758C">
        <w:rPr>
          <w:color w:val="222222"/>
          <w:shd w:val="clear" w:color="auto" w:fill="FFFFFF"/>
          <w:lang w:val="en-AU"/>
        </w:rPr>
        <w:t xml:space="preserve">Roman </w:t>
      </w:r>
      <w:r w:rsidR="00890694" w:rsidRPr="0072758C">
        <w:rPr>
          <w:color w:val="222222"/>
          <w:shd w:val="clear" w:color="auto" w:fill="FFFFFF"/>
          <w:lang w:val="en-AU"/>
        </w:rPr>
        <w:t>law</w:t>
      </w:r>
      <w:r w:rsidR="008E53CC" w:rsidRPr="0072758C">
        <w:rPr>
          <w:color w:val="222222"/>
          <w:shd w:val="clear" w:color="auto" w:fill="FFFFFF"/>
          <w:lang w:val="en-AU"/>
        </w:rPr>
        <w:t xml:space="preserve"> and teach people to go against authority placed above people.  Jesus</w:t>
      </w:r>
      <w:r w:rsidR="005C71CB" w:rsidRPr="0072758C">
        <w:rPr>
          <w:color w:val="222222"/>
          <w:shd w:val="clear" w:color="auto" w:fill="FFFFFF"/>
          <w:lang w:val="en-AU"/>
        </w:rPr>
        <w:t>’</w:t>
      </w:r>
      <w:r w:rsidR="007477B7">
        <w:rPr>
          <w:color w:val="222222"/>
          <w:shd w:val="clear" w:color="auto" w:fill="FFFFFF"/>
          <w:lang w:val="en-AU"/>
        </w:rPr>
        <w:t>s</w:t>
      </w:r>
      <w:r w:rsidR="00755398" w:rsidRPr="0072758C">
        <w:rPr>
          <w:color w:val="222222"/>
          <w:shd w:val="clear" w:color="auto" w:fill="FFFFFF"/>
          <w:lang w:val="en-AU"/>
        </w:rPr>
        <w:t xml:space="preserve"> </w:t>
      </w:r>
      <w:r w:rsidR="00841045" w:rsidRPr="0072758C">
        <w:rPr>
          <w:color w:val="222222"/>
          <w:shd w:val="clear" w:color="auto" w:fill="FFFFFF"/>
          <w:lang w:val="en-AU"/>
        </w:rPr>
        <w:t xml:space="preserve">attitude, as seen in </w:t>
      </w:r>
      <w:r w:rsidR="00755398" w:rsidRPr="0072758C">
        <w:rPr>
          <w:color w:val="222222"/>
          <w:shd w:val="clear" w:color="auto" w:fill="FFFFFF"/>
          <w:lang w:val="en-AU"/>
        </w:rPr>
        <w:t>Matthew 5:38</w:t>
      </w:r>
      <w:r w:rsidR="00504DF1" w:rsidRPr="0072758C">
        <w:rPr>
          <w:color w:val="222222"/>
          <w:shd w:val="clear" w:color="auto" w:fill="FFFFFF"/>
          <w:lang w:val="en-AU"/>
        </w:rPr>
        <w:t>–</w:t>
      </w:r>
      <w:r w:rsidR="00755398" w:rsidRPr="0072758C">
        <w:rPr>
          <w:color w:val="222222"/>
          <w:shd w:val="clear" w:color="auto" w:fill="FFFFFF"/>
          <w:lang w:val="en-AU"/>
        </w:rPr>
        <w:t>42</w:t>
      </w:r>
      <w:r w:rsidR="00841045" w:rsidRPr="0072758C">
        <w:rPr>
          <w:color w:val="222222"/>
          <w:shd w:val="clear" w:color="auto" w:fill="FFFFFF"/>
          <w:lang w:val="en-AU"/>
        </w:rPr>
        <w:t>, was</w:t>
      </w:r>
      <w:r w:rsidR="0072758C" w:rsidRPr="0072758C">
        <w:rPr>
          <w:color w:val="222222"/>
          <w:shd w:val="clear" w:color="auto" w:fill="FFFFFF"/>
          <w:lang w:val="en-AU"/>
        </w:rPr>
        <w:t xml:space="preserve"> to</w:t>
      </w:r>
      <w:r w:rsidR="00841045" w:rsidRPr="0072758C">
        <w:rPr>
          <w:color w:val="222222"/>
          <w:shd w:val="clear" w:color="auto" w:fill="FFFFFF"/>
          <w:lang w:val="en-AU"/>
        </w:rPr>
        <w:t xml:space="preserve"> </w:t>
      </w:r>
      <w:r w:rsidR="00ED2CDF" w:rsidRPr="0072758C">
        <w:rPr>
          <w:color w:val="222222"/>
          <w:shd w:val="clear" w:color="auto" w:fill="FFFFFF"/>
          <w:lang w:val="en-AU"/>
        </w:rPr>
        <w:t xml:space="preserve">resist </w:t>
      </w:r>
      <w:r w:rsidR="006B70BF" w:rsidRPr="0072758C">
        <w:rPr>
          <w:color w:val="222222"/>
          <w:shd w:val="clear" w:color="auto" w:fill="FFFFFF"/>
          <w:lang w:val="en-AU"/>
        </w:rPr>
        <w:t xml:space="preserve">in </w:t>
      </w:r>
      <w:r w:rsidR="00611617" w:rsidRPr="0072758C">
        <w:rPr>
          <w:color w:val="222222"/>
          <w:shd w:val="clear" w:color="auto" w:fill="FFFFFF"/>
          <w:lang w:val="en-AU"/>
        </w:rPr>
        <w:t>nonviolent</w:t>
      </w:r>
      <w:r w:rsidR="00755398" w:rsidRPr="0072758C">
        <w:rPr>
          <w:color w:val="222222"/>
          <w:shd w:val="clear" w:color="auto" w:fill="FFFFFF"/>
          <w:lang w:val="en-AU"/>
        </w:rPr>
        <w:t xml:space="preserve"> </w:t>
      </w:r>
      <w:r w:rsidR="006B70BF" w:rsidRPr="0072758C">
        <w:rPr>
          <w:color w:val="222222"/>
          <w:shd w:val="clear" w:color="auto" w:fill="FFFFFF"/>
          <w:lang w:val="en-AU"/>
        </w:rPr>
        <w:t>ways</w:t>
      </w:r>
      <w:r w:rsidR="00755398" w:rsidRPr="0072758C">
        <w:rPr>
          <w:color w:val="222222"/>
          <w:shd w:val="clear" w:color="auto" w:fill="FFFFFF"/>
          <w:lang w:val="en-AU"/>
        </w:rPr>
        <w:t>.</w:t>
      </w:r>
      <w:r w:rsidR="008E53CC" w:rsidRPr="0072758C">
        <w:rPr>
          <w:color w:val="222222"/>
          <w:shd w:val="clear" w:color="auto" w:fill="FFFFFF"/>
          <w:lang w:val="en-AU"/>
        </w:rPr>
        <w:t xml:space="preserve"> </w:t>
      </w:r>
      <w:r w:rsidR="0034062E" w:rsidRPr="0072758C">
        <w:rPr>
          <w:color w:val="222222"/>
          <w:shd w:val="clear" w:color="auto" w:fill="FFFFFF"/>
          <w:lang w:val="en-AU"/>
        </w:rPr>
        <w:t xml:space="preserve"> </w:t>
      </w:r>
    </w:p>
    <w:p w14:paraId="4CE64E1F" w14:textId="6E6494FC" w:rsidR="005472F2" w:rsidRPr="0072758C" w:rsidRDefault="006A2E20" w:rsidP="00C3733B">
      <w:pPr>
        <w:spacing w:line="480" w:lineRule="auto"/>
        <w:ind w:firstLine="720"/>
        <w:rPr>
          <w:color w:val="222222"/>
          <w:shd w:val="clear" w:color="auto" w:fill="FFFFFF"/>
          <w:lang w:val="en-AU"/>
        </w:rPr>
      </w:pPr>
      <w:r w:rsidRPr="0072758C">
        <w:rPr>
          <w:color w:val="222222"/>
          <w:shd w:val="clear" w:color="auto" w:fill="FFFFFF"/>
          <w:lang w:val="en-AU"/>
        </w:rPr>
        <w:t xml:space="preserve">In his teaching about </w:t>
      </w:r>
      <w:r w:rsidR="005C71CB" w:rsidRPr="0072758C">
        <w:rPr>
          <w:color w:val="222222"/>
          <w:shd w:val="clear" w:color="auto" w:fill="FFFFFF"/>
          <w:lang w:val="en-AU"/>
        </w:rPr>
        <w:t>‘</w:t>
      </w:r>
      <w:r w:rsidR="00EE03A8" w:rsidRPr="0072758C">
        <w:rPr>
          <w:color w:val="222222"/>
          <w:shd w:val="clear" w:color="auto" w:fill="FFFFFF"/>
          <w:lang w:val="en-AU"/>
        </w:rPr>
        <w:t>slapping</w:t>
      </w:r>
      <w:r w:rsidR="005C71CB" w:rsidRPr="0072758C">
        <w:rPr>
          <w:color w:val="222222"/>
          <w:shd w:val="clear" w:color="auto" w:fill="FFFFFF"/>
          <w:lang w:val="en-AU"/>
        </w:rPr>
        <w:t>’</w:t>
      </w:r>
      <w:r w:rsidR="00EE03A8" w:rsidRPr="0072758C">
        <w:rPr>
          <w:color w:val="222222"/>
          <w:shd w:val="clear" w:color="auto" w:fill="FFFFFF"/>
          <w:lang w:val="en-AU"/>
        </w:rPr>
        <w:t xml:space="preserve"> and </w:t>
      </w:r>
      <w:r w:rsidR="005C71CB" w:rsidRPr="0072758C">
        <w:rPr>
          <w:color w:val="222222"/>
          <w:shd w:val="clear" w:color="auto" w:fill="FFFFFF"/>
          <w:lang w:val="en-AU"/>
        </w:rPr>
        <w:t>‘</w:t>
      </w:r>
      <w:r w:rsidR="00EE03A8" w:rsidRPr="0072758C">
        <w:rPr>
          <w:color w:val="222222"/>
          <w:shd w:val="clear" w:color="auto" w:fill="FFFFFF"/>
          <w:lang w:val="en-AU"/>
        </w:rPr>
        <w:t>turning the other cheek</w:t>
      </w:r>
      <w:r w:rsidR="005C71CB" w:rsidRPr="0072758C">
        <w:rPr>
          <w:color w:val="222222"/>
          <w:shd w:val="clear" w:color="auto" w:fill="FFFFFF"/>
          <w:lang w:val="en-AU"/>
        </w:rPr>
        <w:t>’</w:t>
      </w:r>
      <w:r w:rsidR="00EE03A8" w:rsidRPr="0072758C">
        <w:rPr>
          <w:color w:val="222222"/>
          <w:shd w:val="clear" w:color="auto" w:fill="FFFFFF"/>
          <w:lang w:val="en-AU"/>
        </w:rPr>
        <w:t xml:space="preserve"> </w:t>
      </w:r>
      <w:r w:rsidRPr="0072758C">
        <w:rPr>
          <w:color w:val="222222"/>
          <w:shd w:val="clear" w:color="auto" w:fill="FFFFFF"/>
          <w:lang w:val="en-AU"/>
        </w:rPr>
        <w:t>Jesus did not intend to escalate violence</w:t>
      </w:r>
      <w:r w:rsidR="00E1631B" w:rsidRPr="0072758C">
        <w:rPr>
          <w:color w:val="222222"/>
          <w:shd w:val="clear" w:color="auto" w:fill="FFFFFF"/>
          <w:lang w:val="en-AU"/>
        </w:rPr>
        <w:t xml:space="preserve"> but rather to provide </w:t>
      </w:r>
      <w:r w:rsidR="00611617" w:rsidRPr="0072758C">
        <w:rPr>
          <w:color w:val="222222"/>
          <w:shd w:val="clear" w:color="auto" w:fill="FFFFFF"/>
          <w:lang w:val="en-AU"/>
        </w:rPr>
        <w:t>nonviolent</w:t>
      </w:r>
      <w:r w:rsidR="00E1631B" w:rsidRPr="0072758C">
        <w:rPr>
          <w:color w:val="222222"/>
          <w:shd w:val="clear" w:color="auto" w:fill="FFFFFF"/>
          <w:lang w:val="en-AU"/>
        </w:rPr>
        <w:t xml:space="preserve"> solutions to violent situations.</w:t>
      </w:r>
      <w:r w:rsidR="00EE03A8" w:rsidRPr="0072758C">
        <w:rPr>
          <w:color w:val="222222"/>
          <w:shd w:val="clear" w:color="auto" w:fill="FFFFFF"/>
          <w:lang w:val="en-AU"/>
        </w:rPr>
        <w:t xml:space="preserve"> </w:t>
      </w:r>
      <w:r w:rsidR="009912B7" w:rsidRPr="0072758C">
        <w:rPr>
          <w:color w:val="222222"/>
          <w:shd w:val="clear" w:color="auto" w:fill="FFFFFF"/>
          <w:lang w:val="en-AU"/>
        </w:rPr>
        <w:t>H</w:t>
      </w:r>
      <w:r w:rsidR="00EE03A8" w:rsidRPr="0072758C">
        <w:rPr>
          <w:color w:val="222222"/>
          <w:shd w:val="clear" w:color="auto" w:fill="FFFFFF"/>
          <w:lang w:val="en-AU"/>
        </w:rPr>
        <w:t xml:space="preserve">owever, this does not mean that physical contact or actual violence is prohibited. </w:t>
      </w:r>
      <w:r w:rsidR="0034062E" w:rsidRPr="0072758C">
        <w:rPr>
          <w:color w:val="222222"/>
          <w:shd w:val="clear" w:color="auto" w:fill="FFFFFF"/>
          <w:lang w:val="en-AU"/>
        </w:rPr>
        <w:t xml:space="preserve"> </w:t>
      </w:r>
      <w:r w:rsidR="005472F2" w:rsidRPr="0072758C">
        <w:rPr>
          <w:color w:val="222222"/>
          <w:shd w:val="clear" w:color="auto" w:fill="FFFFFF"/>
          <w:lang w:val="en-AU"/>
        </w:rPr>
        <w:t xml:space="preserve">The physical violence associated with ἀντιστῆναι must </w:t>
      </w:r>
      <w:r w:rsidR="001562AF" w:rsidRPr="0072758C">
        <w:rPr>
          <w:color w:val="222222"/>
          <w:shd w:val="clear" w:color="auto" w:fill="FFFFFF"/>
          <w:lang w:val="en-AU"/>
        </w:rPr>
        <w:t>be within</w:t>
      </w:r>
      <w:r w:rsidR="005472F2" w:rsidRPr="0072758C">
        <w:rPr>
          <w:color w:val="222222"/>
          <w:shd w:val="clear" w:color="auto" w:fill="FFFFFF"/>
          <w:lang w:val="en-AU"/>
        </w:rPr>
        <w:t xml:space="preserve"> </w:t>
      </w:r>
      <w:r w:rsidR="001562AF" w:rsidRPr="0072758C">
        <w:rPr>
          <w:color w:val="222222"/>
          <w:shd w:val="clear" w:color="auto" w:fill="FFFFFF"/>
          <w:lang w:val="en-AU"/>
        </w:rPr>
        <w:t>the</w:t>
      </w:r>
      <w:r w:rsidR="005472F2" w:rsidRPr="0072758C">
        <w:rPr>
          <w:color w:val="222222"/>
          <w:shd w:val="clear" w:color="auto" w:fill="FFFFFF"/>
          <w:lang w:val="en-AU"/>
        </w:rPr>
        <w:t xml:space="preserve"> Roman laws. The </w:t>
      </w:r>
      <w:r w:rsidR="0034062E" w:rsidRPr="0072758C">
        <w:rPr>
          <w:color w:val="222222"/>
          <w:shd w:val="clear" w:color="auto" w:fill="FFFFFF"/>
          <w:lang w:val="en-AU"/>
        </w:rPr>
        <w:t xml:space="preserve">Jews who lived </w:t>
      </w:r>
      <w:r w:rsidR="001562AF" w:rsidRPr="0072758C">
        <w:rPr>
          <w:color w:val="222222"/>
          <w:shd w:val="clear" w:color="auto" w:fill="FFFFFF"/>
          <w:lang w:val="en-AU"/>
        </w:rPr>
        <w:t>under</w:t>
      </w:r>
      <w:r w:rsidR="0034062E" w:rsidRPr="0072758C">
        <w:rPr>
          <w:color w:val="222222"/>
          <w:shd w:val="clear" w:color="auto" w:fill="FFFFFF"/>
          <w:lang w:val="en-AU"/>
        </w:rPr>
        <w:t xml:space="preserve"> Rome had to abide by Roman laws</w:t>
      </w:r>
      <w:r w:rsidR="005472F2" w:rsidRPr="0072758C">
        <w:rPr>
          <w:color w:val="222222"/>
          <w:shd w:val="clear" w:color="auto" w:fill="FFFFFF"/>
          <w:lang w:val="en-AU"/>
        </w:rPr>
        <w:t xml:space="preserve">, and they were not exempt from the Roman laws </w:t>
      </w:r>
      <w:r w:rsidR="001562AF" w:rsidRPr="0072758C">
        <w:rPr>
          <w:color w:val="222222"/>
          <w:shd w:val="clear" w:color="auto" w:fill="FFFFFF"/>
          <w:lang w:val="en-AU"/>
        </w:rPr>
        <w:t xml:space="preserve">dealing with </w:t>
      </w:r>
      <w:r w:rsidR="005472F2" w:rsidRPr="0072758C">
        <w:rPr>
          <w:color w:val="222222"/>
          <w:shd w:val="clear" w:color="auto" w:fill="FFFFFF"/>
          <w:lang w:val="en-AU"/>
        </w:rPr>
        <w:t>violence between people</w:t>
      </w:r>
      <w:r w:rsidR="0034062E" w:rsidRPr="0072758C">
        <w:rPr>
          <w:color w:val="222222"/>
          <w:shd w:val="clear" w:color="auto" w:fill="FFFFFF"/>
          <w:lang w:val="en-AU"/>
        </w:rPr>
        <w:t xml:space="preserve">. </w:t>
      </w:r>
    </w:p>
    <w:p w14:paraId="210302D7" w14:textId="650DDC7A" w:rsidR="006E28FE" w:rsidRPr="0072758C" w:rsidRDefault="005472F2" w:rsidP="00C3733B">
      <w:pPr>
        <w:spacing w:line="480" w:lineRule="auto"/>
        <w:ind w:firstLine="720"/>
        <w:rPr>
          <w:color w:val="222222"/>
          <w:shd w:val="clear" w:color="auto" w:fill="FFFFFF"/>
          <w:lang w:val="en-AU"/>
        </w:rPr>
      </w:pPr>
      <w:r w:rsidRPr="0072758C">
        <w:rPr>
          <w:color w:val="222222"/>
          <w:shd w:val="clear" w:color="auto" w:fill="FFFFFF"/>
          <w:lang w:val="en-AU"/>
        </w:rPr>
        <w:t xml:space="preserve">This dissertation also finds that the </w:t>
      </w:r>
      <w:r w:rsidR="006E28FE" w:rsidRPr="0072758C">
        <w:rPr>
          <w:color w:val="222222"/>
          <w:shd w:val="clear" w:color="auto" w:fill="FFFFFF"/>
          <w:lang w:val="en-AU"/>
        </w:rPr>
        <w:t xml:space="preserve">Jewish </w:t>
      </w:r>
      <w:r w:rsidR="0034062E" w:rsidRPr="0072758C">
        <w:rPr>
          <w:color w:val="222222"/>
          <w:shd w:val="clear" w:color="auto" w:fill="FFFFFF"/>
          <w:lang w:val="en-AU"/>
        </w:rPr>
        <w:t xml:space="preserve">courts </w:t>
      </w:r>
      <w:r w:rsidR="006E28FE" w:rsidRPr="0072758C">
        <w:rPr>
          <w:color w:val="222222"/>
          <w:shd w:val="clear" w:color="auto" w:fill="FFFFFF"/>
          <w:lang w:val="en-AU"/>
        </w:rPr>
        <w:t xml:space="preserve">of the first century </w:t>
      </w:r>
      <w:r w:rsidR="0034062E" w:rsidRPr="0072758C">
        <w:rPr>
          <w:color w:val="222222"/>
          <w:shd w:val="clear" w:color="auto" w:fill="FFFFFF"/>
          <w:lang w:val="en-AU"/>
        </w:rPr>
        <w:t xml:space="preserve">could only </w:t>
      </w:r>
      <w:r w:rsidR="001562AF" w:rsidRPr="0072758C">
        <w:rPr>
          <w:color w:val="222222"/>
          <w:shd w:val="clear" w:color="auto" w:fill="FFFFFF"/>
          <w:lang w:val="en-AU"/>
        </w:rPr>
        <w:t xml:space="preserve">deal with </w:t>
      </w:r>
      <w:r w:rsidRPr="0072758C">
        <w:rPr>
          <w:color w:val="222222"/>
          <w:shd w:val="clear" w:color="auto" w:fill="FFFFFF"/>
          <w:lang w:val="en-AU"/>
        </w:rPr>
        <w:t>Jewish matters</w:t>
      </w:r>
      <w:r w:rsidR="001562AF" w:rsidRPr="0072758C">
        <w:rPr>
          <w:color w:val="222222"/>
          <w:shd w:val="clear" w:color="auto" w:fill="FFFFFF"/>
          <w:lang w:val="en-AU"/>
        </w:rPr>
        <w:t>.</w:t>
      </w:r>
      <w:r w:rsidRPr="0072758C">
        <w:rPr>
          <w:color w:val="222222"/>
          <w:shd w:val="clear" w:color="auto" w:fill="FFFFFF"/>
          <w:lang w:val="en-AU"/>
        </w:rPr>
        <w:t xml:space="preserve"> </w:t>
      </w:r>
      <w:r w:rsidR="00D3428D" w:rsidRPr="0072758C">
        <w:rPr>
          <w:color w:val="222222"/>
          <w:shd w:val="clear" w:color="auto" w:fill="FFFFFF"/>
          <w:lang w:val="en-AU"/>
        </w:rPr>
        <w:t>This</w:t>
      </w:r>
      <w:r w:rsidRPr="0072758C">
        <w:rPr>
          <w:color w:val="222222"/>
          <w:shd w:val="clear" w:color="auto" w:fill="FFFFFF"/>
          <w:lang w:val="en-AU"/>
        </w:rPr>
        <w:t xml:space="preserve"> would </w:t>
      </w:r>
      <w:r w:rsidR="008C0D0A" w:rsidRPr="0072758C">
        <w:rPr>
          <w:color w:val="222222"/>
          <w:shd w:val="clear" w:color="auto" w:fill="FFFFFF"/>
          <w:lang w:val="en-AU"/>
        </w:rPr>
        <w:t>limit the impact tha</w:t>
      </w:r>
      <w:r w:rsidR="00D3428D" w:rsidRPr="0072758C">
        <w:rPr>
          <w:color w:val="222222"/>
          <w:shd w:val="clear" w:color="auto" w:fill="FFFFFF"/>
          <w:lang w:val="en-AU"/>
        </w:rPr>
        <w:t xml:space="preserve">t </w:t>
      </w:r>
      <w:r w:rsidR="008C0D0A" w:rsidRPr="0072758C">
        <w:rPr>
          <w:color w:val="222222"/>
          <w:shd w:val="clear" w:color="auto" w:fill="FFFFFF"/>
          <w:lang w:val="en-AU"/>
        </w:rPr>
        <w:t xml:space="preserve">Jewish law would have </w:t>
      </w:r>
      <w:r w:rsidR="00D3428D" w:rsidRPr="0072758C">
        <w:rPr>
          <w:color w:val="222222"/>
          <w:shd w:val="clear" w:color="auto" w:fill="FFFFFF"/>
          <w:lang w:val="en-AU"/>
        </w:rPr>
        <w:t xml:space="preserve">on conflicts </w:t>
      </w:r>
      <w:r w:rsidR="008C0D0A" w:rsidRPr="0072758C">
        <w:rPr>
          <w:color w:val="222222"/>
          <w:shd w:val="clear" w:color="auto" w:fill="FFFFFF"/>
          <w:lang w:val="en-AU"/>
        </w:rPr>
        <w:t xml:space="preserve">between Jewish and non-Jewish people. The </w:t>
      </w:r>
      <w:r w:rsidR="00D3428D" w:rsidRPr="0072758C">
        <w:rPr>
          <w:color w:val="222222"/>
          <w:shd w:val="clear" w:color="auto" w:fill="FFFFFF"/>
          <w:lang w:val="en-AU"/>
        </w:rPr>
        <w:t>effect</w:t>
      </w:r>
      <w:r w:rsidR="008C0D0A" w:rsidRPr="0072758C">
        <w:rPr>
          <w:color w:val="222222"/>
          <w:shd w:val="clear" w:color="auto" w:fill="FFFFFF"/>
          <w:lang w:val="en-AU"/>
        </w:rPr>
        <w:t xml:space="preserve"> of the </w:t>
      </w:r>
      <w:r w:rsidR="008C0D0A" w:rsidRPr="0072758C">
        <w:rPr>
          <w:i/>
          <w:iCs/>
          <w:color w:val="222222"/>
          <w:shd w:val="clear" w:color="auto" w:fill="FFFFFF"/>
          <w:lang w:val="en-AU"/>
        </w:rPr>
        <w:t>lex talionis</w:t>
      </w:r>
      <w:r w:rsidR="008C0D0A" w:rsidRPr="0072758C">
        <w:rPr>
          <w:color w:val="222222"/>
          <w:shd w:val="clear" w:color="auto" w:fill="FFFFFF"/>
          <w:lang w:val="en-AU"/>
        </w:rPr>
        <w:t xml:space="preserve"> in Roman law and in Mosaic law </w:t>
      </w:r>
      <w:r w:rsidR="00D3428D" w:rsidRPr="0072758C">
        <w:rPr>
          <w:color w:val="222222"/>
          <w:shd w:val="clear" w:color="auto" w:fill="FFFFFF"/>
          <w:lang w:val="en-AU"/>
        </w:rPr>
        <w:t>was to l</w:t>
      </w:r>
      <w:r w:rsidR="007050D3" w:rsidRPr="0072758C">
        <w:rPr>
          <w:color w:val="222222"/>
          <w:shd w:val="clear" w:color="auto" w:fill="FFFFFF"/>
          <w:lang w:val="en-AU"/>
        </w:rPr>
        <w:t xml:space="preserve">imit the response of retaliation and </w:t>
      </w:r>
      <w:r w:rsidR="00B662D6" w:rsidRPr="0072758C">
        <w:rPr>
          <w:color w:val="222222"/>
          <w:shd w:val="clear" w:color="auto" w:fill="FFFFFF"/>
          <w:lang w:val="en-AU"/>
        </w:rPr>
        <w:t>bring</w:t>
      </w:r>
      <w:r w:rsidR="007050D3" w:rsidRPr="0072758C">
        <w:rPr>
          <w:color w:val="222222"/>
          <w:shd w:val="clear" w:color="auto" w:fill="FFFFFF"/>
          <w:lang w:val="en-AU"/>
        </w:rPr>
        <w:t xml:space="preserve"> it to the courts.</w:t>
      </w:r>
      <w:r w:rsidR="00EE44E1" w:rsidRPr="0072758C">
        <w:rPr>
          <w:color w:val="222222"/>
          <w:shd w:val="clear" w:color="auto" w:fill="FFFFFF"/>
          <w:lang w:val="en-AU"/>
        </w:rPr>
        <w:t xml:space="preserve"> As a result of a changing view of </w:t>
      </w:r>
      <w:r w:rsidR="00EE44E1" w:rsidRPr="0072758C">
        <w:rPr>
          <w:i/>
          <w:iCs/>
          <w:color w:val="222222"/>
          <w:shd w:val="clear" w:color="auto" w:fill="FFFFFF"/>
          <w:lang w:val="en-AU"/>
        </w:rPr>
        <w:t>lex talionis</w:t>
      </w:r>
      <w:r w:rsidR="00EE44E1" w:rsidRPr="0072758C">
        <w:rPr>
          <w:color w:val="222222"/>
          <w:shd w:val="clear" w:color="auto" w:fill="FFFFFF"/>
          <w:lang w:val="en-AU"/>
        </w:rPr>
        <w:t xml:space="preserve">, nonviolent response </w:t>
      </w:r>
      <w:r w:rsidR="00B662D6" w:rsidRPr="0072758C">
        <w:rPr>
          <w:color w:val="222222"/>
          <w:shd w:val="clear" w:color="auto" w:fill="FFFFFF"/>
          <w:lang w:val="en-AU"/>
        </w:rPr>
        <w:t xml:space="preserve">aimed at </w:t>
      </w:r>
      <w:r w:rsidR="00EE44E1" w:rsidRPr="0072758C">
        <w:rPr>
          <w:color w:val="222222"/>
          <w:shd w:val="clear" w:color="auto" w:fill="FFFFFF"/>
          <w:lang w:val="en-AU"/>
        </w:rPr>
        <w:t>legal equality</w:t>
      </w:r>
      <w:r w:rsidR="00480293" w:rsidRPr="0072758C">
        <w:rPr>
          <w:color w:val="222222"/>
          <w:shd w:val="clear" w:color="auto" w:fill="FFFFFF"/>
          <w:lang w:val="en-AU"/>
        </w:rPr>
        <w:t xml:space="preserve"> </w:t>
      </w:r>
      <w:r w:rsidR="00B662D6" w:rsidRPr="0072758C">
        <w:rPr>
          <w:color w:val="222222"/>
          <w:shd w:val="clear" w:color="auto" w:fill="FFFFFF"/>
          <w:lang w:val="en-AU"/>
        </w:rPr>
        <w:t xml:space="preserve">was </w:t>
      </w:r>
      <w:r w:rsidR="00480293" w:rsidRPr="0072758C">
        <w:rPr>
          <w:color w:val="222222"/>
          <w:shd w:val="clear" w:color="auto" w:fill="FFFFFF"/>
          <w:lang w:val="en-AU"/>
        </w:rPr>
        <w:t>aligned more with Roman jurisprudence</w:t>
      </w:r>
      <w:r w:rsidR="00EE44E1" w:rsidRPr="0072758C">
        <w:rPr>
          <w:color w:val="222222"/>
          <w:shd w:val="clear" w:color="auto" w:fill="FFFFFF"/>
          <w:lang w:val="en-AU"/>
        </w:rPr>
        <w:t xml:space="preserve">. </w:t>
      </w:r>
    </w:p>
    <w:p w14:paraId="7767FB09" w14:textId="70926B45" w:rsidR="00480293" w:rsidRPr="0072758C" w:rsidRDefault="00480293" w:rsidP="00C3733B">
      <w:pPr>
        <w:spacing w:line="480" w:lineRule="auto"/>
        <w:ind w:firstLine="720"/>
        <w:rPr>
          <w:color w:val="222222"/>
          <w:shd w:val="clear" w:color="auto" w:fill="FFFFFF"/>
          <w:lang w:val="en-AU"/>
        </w:rPr>
      </w:pPr>
      <w:r w:rsidRPr="0072758C">
        <w:rPr>
          <w:color w:val="222222"/>
          <w:shd w:val="clear" w:color="auto" w:fill="FFFFFF"/>
          <w:lang w:val="en-AU"/>
        </w:rPr>
        <w:t xml:space="preserve">The peace and pacifist sayings of </w:t>
      </w:r>
      <w:r w:rsidR="00495C4D" w:rsidRPr="0072758C">
        <w:rPr>
          <w:color w:val="222222"/>
          <w:shd w:val="clear" w:color="auto" w:fill="FFFFFF"/>
          <w:lang w:val="en-AU"/>
        </w:rPr>
        <w:t>Matthew 5:38</w:t>
      </w:r>
      <w:r w:rsidR="00B662D6" w:rsidRPr="0072758C">
        <w:rPr>
          <w:color w:val="222222"/>
          <w:shd w:val="clear" w:color="auto" w:fill="FFFFFF"/>
          <w:lang w:val="en-AU"/>
        </w:rPr>
        <w:t>–</w:t>
      </w:r>
      <w:r w:rsidR="00495C4D" w:rsidRPr="0072758C">
        <w:rPr>
          <w:color w:val="222222"/>
          <w:shd w:val="clear" w:color="auto" w:fill="FFFFFF"/>
          <w:lang w:val="en-AU"/>
        </w:rPr>
        <w:t xml:space="preserve">42 </w:t>
      </w:r>
      <w:r w:rsidRPr="0072758C">
        <w:rPr>
          <w:color w:val="222222"/>
          <w:shd w:val="clear" w:color="auto" w:fill="FFFFFF"/>
          <w:lang w:val="en-AU"/>
        </w:rPr>
        <w:t xml:space="preserve">built upon Oral Law and </w:t>
      </w:r>
      <w:r w:rsidR="00011074" w:rsidRPr="0072758C">
        <w:rPr>
          <w:color w:val="222222"/>
          <w:shd w:val="clear" w:color="auto" w:fill="FFFFFF"/>
          <w:lang w:val="en-AU"/>
        </w:rPr>
        <w:t xml:space="preserve">while </w:t>
      </w:r>
      <w:r w:rsidRPr="0072758C">
        <w:rPr>
          <w:color w:val="222222"/>
          <w:shd w:val="clear" w:color="auto" w:fill="FFFFFF"/>
          <w:lang w:val="en-AU"/>
        </w:rPr>
        <w:t>people recogni</w:t>
      </w:r>
      <w:r w:rsidR="00D86BBD" w:rsidRPr="0072758C">
        <w:rPr>
          <w:color w:val="222222"/>
          <w:shd w:val="clear" w:color="auto" w:fill="FFFFFF"/>
          <w:lang w:val="en-AU"/>
        </w:rPr>
        <w:t>s</w:t>
      </w:r>
      <w:r w:rsidRPr="0072758C">
        <w:rPr>
          <w:color w:val="222222"/>
          <w:shd w:val="clear" w:color="auto" w:fill="FFFFFF"/>
          <w:lang w:val="en-AU"/>
        </w:rPr>
        <w:t xml:space="preserve">ed these </w:t>
      </w:r>
      <w:r w:rsidR="00E11732" w:rsidRPr="0072758C">
        <w:rPr>
          <w:color w:val="222222"/>
          <w:shd w:val="clear" w:color="auto" w:fill="FFFFFF"/>
          <w:lang w:val="en-AU"/>
        </w:rPr>
        <w:t>tenets,</w:t>
      </w:r>
      <w:r w:rsidR="00011074" w:rsidRPr="0072758C">
        <w:rPr>
          <w:color w:val="222222"/>
          <w:shd w:val="clear" w:color="auto" w:fill="FFFFFF"/>
          <w:lang w:val="en-AU"/>
        </w:rPr>
        <w:t xml:space="preserve"> they</w:t>
      </w:r>
      <w:r w:rsidRPr="0072758C">
        <w:rPr>
          <w:color w:val="222222"/>
          <w:shd w:val="clear" w:color="auto" w:fill="FFFFFF"/>
          <w:lang w:val="en-AU"/>
        </w:rPr>
        <w:t xml:space="preserve"> understood that nonviolent response brought change. </w:t>
      </w:r>
      <w:r w:rsidR="007477B7" w:rsidRPr="0072758C">
        <w:rPr>
          <w:color w:val="222222"/>
          <w:shd w:val="clear" w:color="auto" w:fill="FFFFFF"/>
          <w:lang w:val="en-AU"/>
        </w:rPr>
        <w:t>Jesus’</w:t>
      </w:r>
      <w:r w:rsidR="007477B7">
        <w:rPr>
          <w:color w:val="222222"/>
          <w:shd w:val="clear" w:color="auto" w:fill="FFFFFF"/>
          <w:lang w:val="en-AU"/>
        </w:rPr>
        <w:t xml:space="preserve">s </w:t>
      </w:r>
      <w:r w:rsidRPr="0072758C">
        <w:rPr>
          <w:i/>
          <w:iCs/>
          <w:color w:val="222222"/>
          <w:shd w:val="clear" w:color="auto" w:fill="FFFFFF"/>
          <w:lang w:val="en-AU"/>
        </w:rPr>
        <w:t>aggadah</w:t>
      </w:r>
      <w:r w:rsidRPr="0072758C">
        <w:rPr>
          <w:color w:val="222222"/>
          <w:shd w:val="clear" w:color="auto" w:fill="FFFFFF"/>
          <w:lang w:val="en-AU"/>
        </w:rPr>
        <w:t xml:space="preserve"> on carrying a pack an extra mile taught people to seek equality </w:t>
      </w:r>
      <w:r w:rsidR="00EB4E43" w:rsidRPr="0072758C">
        <w:rPr>
          <w:color w:val="222222"/>
          <w:shd w:val="clear" w:color="auto" w:fill="FFFFFF"/>
          <w:lang w:val="en-AU"/>
        </w:rPr>
        <w:t>with their</w:t>
      </w:r>
      <w:r w:rsidRPr="0072758C">
        <w:rPr>
          <w:color w:val="222222"/>
          <w:shd w:val="clear" w:color="auto" w:fill="FFFFFF"/>
          <w:lang w:val="en-AU"/>
        </w:rPr>
        <w:t xml:space="preserve"> oppressors.</w:t>
      </w:r>
      <w:r w:rsidR="001C7E4D" w:rsidRPr="0072758C">
        <w:rPr>
          <w:color w:val="222222"/>
          <w:shd w:val="clear" w:color="auto" w:fill="FFFFFF"/>
          <w:lang w:val="en-AU"/>
        </w:rPr>
        <w:t xml:space="preserve"> Carrying the pack an extra mile </w:t>
      </w:r>
      <w:r w:rsidR="00EB4E43" w:rsidRPr="0072758C">
        <w:rPr>
          <w:color w:val="222222"/>
          <w:shd w:val="clear" w:color="auto" w:fill="FFFFFF"/>
          <w:lang w:val="en-AU"/>
        </w:rPr>
        <w:t>prevented</w:t>
      </w:r>
      <w:r w:rsidR="001C7E4D" w:rsidRPr="0072758C">
        <w:rPr>
          <w:color w:val="222222"/>
          <w:shd w:val="clear" w:color="auto" w:fill="FFFFFF"/>
          <w:lang w:val="en-AU"/>
        </w:rPr>
        <w:t xml:space="preserve"> people </w:t>
      </w:r>
      <w:r w:rsidR="00EB4E43" w:rsidRPr="0072758C">
        <w:rPr>
          <w:color w:val="222222"/>
          <w:shd w:val="clear" w:color="auto" w:fill="FFFFFF"/>
          <w:lang w:val="en-AU"/>
        </w:rPr>
        <w:t xml:space="preserve">from </w:t>
      </w:r>
      <w:r w:rsidR="001C7E4D" w:rsidRPr="0072758C">
        <w:rPr>
          <w:color w:val="222222"/>
          <w:shd w:val="clear" w:color="auto" w:fill="FFFFFF"/>
          <w:lang w:val="en-AU"/>
        </w:rPr>
        <w:t>abus</w:t>
      </w:r>
      <w:r w:rsidR="00EB4E43" w:rsidRPr="0072758C">
        <w:rPr>
          <w:color w:val="222222"/>
          <w:shd w:val="clear" w:color="auto" w:fill="FFFFFF"/>
          <w:lang w:val="en-AU"/>
        </w:rPr>
        <w:t>ing</w:t>
      </w:r>
      <w:r w:rsidR="001C7E4D" w:rsidRPr="0072758C">
        <w:rPr>
          <w:color w:val="222222"/>
          <w:shd w:val="clear" w:color="auto" w:fill="FFFFFF"/>
          <w:lang w:val="en-AU"/>
        </w:rPr>
        <w:t xml:space="preserve"> those </w:t>
      </w:r>
      <w:r w:rsidR="00B40E6B" w:rsidRPr="0072758C">
        <w:rPr>
          <w:color w:val="222222"/>
          <w:shd w:val="clear" w:color="auto" w:fill="FFFFFF"/>
          <w:lang w:val="en-AU"/>
        </w:rPr>
        <w:t xml:space="preserve">over whom </w:t>
      </w:r>
      <w:r w:rsidR="001C7E4D" w:rsidRPr="0072758C">
        <w:rPr>
          <w:color w:val="222222"/>
          <w:shd w:val="clear" w:color="auto" w:fill="FFFFFF"/>
          <w:lang w:val="en-AU"/>
        </w:rPr>
        <w:t>they ha</w:t>
      </w:r>
      <w:r w:rsidR="00B40E6B" w:rsidRPr="0072758C">
        <w:rPr>
          <w:color w:val="222222"/>
          <w:shd w:val="clear" w:color="auto" w:fill="FFFFFF"/>
          <w:lang w:val="en-AU"/>
        </w:rPr>
        <w:t>d</w:t>
      </w:r>
      <w:r w:rsidR="001C7E4D" w:rsidRPr="0072758C">
        <w:rPr>
          <w:color w:val="222222"/>
          <w:shd w:val="clear" w:color="auto" w:fill="FFFFFF"/>
          <w:lang w:val="en-AU"/>
        </w:rPr>
        <w:t xml:space="preserve"> authority</w:t>
      </w:r>
      <w:r w:rsidR="00B40E6B" w:rsidRPr="0072758C">
        <w:rPr>
          <w:color w:val="222222"/>
          <w:shd w:val="clear" w:color="auto" w:fill="FFFFFF"/>
          <w:lang w:val="en-AU"/>
        </w:rPr>
        <w:t>.</w:t>
      </w:r>
      <w:r w:rsidR="001C7E4D" w:rsidRPr="0072758C">
        <w:rPr>
          <w:color w:val="222222"/>
          <w:shd w:val="clear" w:color="auto" w:fill="FFFFFF"/>
          <w:lang w:val="en-AU"/>
        </w:rPr>
        <w:t xml:space="preserve"> </w:t>
      </w:r>
      <w:r w:rsidRPr="0072758C">
        <w:rPr>
          <w:color w:val="222222"/>
          <w:shd w:val="clear" w:color="auto" w:fill="FFFFFF"/>
          <w:lang w:val="en-AU"/>
        </w:rPr>
        <w:t xml:space="preserve">It was </w:t>
      </w:r>
      <w:r w:rsidR="007477B7">
        <w:rPr>
          <w:color w:val="222222"/>
          <w:shd w:val="clear" w:color="auto" w:fill="FFFFFF"/>
          <w:lang w:val="en-AU"/>
        </w:rPr>
        <w:t xml:space="preserve">a </w:t>
      </w:r>
      <w:r w:rsidRPr="0072758C">
        <w:rPr>
          <w:color w:val="222222"/>
          <w:shd w:val="clear" w:color="auto" w:fill="FFFFFF"/>
          <w:lang w:val="en-AU"/>
        </w:rPr>
        <w:t>radical and nonviolent</w:t>
      </w:r>
      <w:r w:rsidR="00B40E6B" w:rsidRPr="0072758C">
        <w:rPr>
          <w:color w:val="222222"/>
          <w:shd w:val="clear" w:color="auto" w:fill="FFFFFF"/>
          <w:lang w:val="en-AU"/>
        </w:rPr>
        <w:t xml:space="preserve"> approach</w:t>
      </w:r>
      <w:r w:rsidRPr="0072758C">
        <w:rPr>
          <w:color w:val="222222"/>
          <w:shd w:val="clear" w:color="auto" w:fill="FFFFFF"/>
          <w:lang w:val="en-AU"/>
        </w:rPr>
        <w:t xml:space="preserve">. </w:t>
      </w:r>
    </w:p>
    <w:p w14:paraId="741C9223" w14:textId="3C2A2483" w:rsidR="00993CAA" w:rsidRPr="0072758C" w:rsidRDefault="001C7E4D" w:rsidP="00C3733B">
      <w:pPr>
        <w:spacing w:line="480" w:lineRule="auto"/>
        <w:ind w:firstLine="720"/>
        <w:rPr>
          <w:color w:val="222222"/>
          <w:shd w:val="clear" w:color="auto" w:fill="FFFFFF"/>
          <w:lang w:val="en-AU"/>
        </w:rPr>
      </w:pPr>
      <w:r w:rsidRPr="0072758C">
        <w:rPr>
          <w:color w:val="222222"/>
          <w:shd w:val="clear" w:color="auto" w:fill="FFFFFF"/>
          <w:lang w:val="en-AU"/>
        </w:rPr>
        <w:t>The Jews and Gentiles who lived in Israel at this time did not have full equality</w:t>
      </w:r>
      <w:r w:rsidR="003C7243" w:rsidRPr="0072758C">
        <w:rPr>
          <w:color w:val="222222"/>
          <w:shd w:val="clear" w:color="auto" w:fill="FFFFFF"/>
          <w:lang w:val="en-AU"/>
        </w:rPr>
        <w:t xml:space="preserve"> with one another</w:t>
      </w:r>
      <w:r w:rsidRPr="0072758C">
        <w:rPr>
          <w:color w:val="222222"/>
          <w:shd w:val="clear" w:color="auto" w:fill="FFFFFF"/>
          <w:lang w:val="en-AU"/>
        </w:rPr>
        <w:t xml:space="preserve">. </w:t>
      </w:r>
      <w:r w:rsidR="00566A3B" w:rsidRPr="0072758C">
        <w:rPr>
          <w:color w:val="222222"/>
          <w:shd w:val="clear" w:color="auto" w:fill="FFFFFF"/>
          <w:lang w:val="en-AU"/>
        </w:rPr>
        <w:t xml:space="preserve">These people were oppressed economically, socially, and politically. </w:t>
      </w:r>
      <w:r w:rsidR="00B40E6B" w:rsidRPr="0072758C">
        <w:rPr>
          <w:color w:val="222222"/>
          <w:shd w:val="clear" w:color="auto" w:fill="FFFFFF"/>
          <w:lang w:val="en-AU"/>
        </w:rPr>
        <w:t>L</w:t>
      </w:r>
      <w:r w:rsidR="00566A3B" w:rsidRPr="0072758C">
        <w:rPr>
          <w:color w:val="222222"/>
          <w:shd w:val="clear" w:color="auto" w:fill="FFFFFF"/>
          <w:lang w:val="en-AU"/>
        </w:rPr>
        <w:t xml:space="preserve">oving </w:t>
      </w:r>
      <w:r w:rsidR="00566A3B" w:rsidRPr="0072758C">
        <w:rPr>
          <w:color w:val="222222"/>
          <w:shd w:val="clear" w:color="auto" w:fill="FFFFFF"/>
          <w:lang w:val="en-AU"/>
        </w:rPr>
        <w:lastRenderedPageBreak/>
        <w:t>one</w:t>
      </w:r>
      <w:r w:rsidR="005C71CB" w:rsidRPr="0072758C">
        <w:rPr>
          <w:color w:val="222222"/>
          <w:shd w:val="clear" w:color="auto" w:fill="FFFFFF"/>
          <w:lang w:val="en-AU"/>
        </w:rPr>
        <w:t>’</w:t>
      </w:r>
      <w:r w:rsidR="00566A3B" w:rsidRPr="0072758C">
        <w:rPr>
          <w:color w:val="222222"/>
          <w:shd w:val="clear" w:color="auto" w:fill="FFFFFF"/>
          <w:lang w:val="en-AU"/>
        </w:rPr>
        <w:t xml:space="preserve">s enemy and responding to foes with nonviolence </w:t>
      </w:r>
      <w:r w:rsidR="00495C4D" w:rsidRPr="0072758C">
        <w:rPr>
          <w:color w:val="222222"/>
          <w:shd w:val="clear" w:color="auto" w:fill="FFFFFF"/>
          <w:lang w:val="en-AU"/>
        </w:rPr>
        <w:t xml:space="preserve">was </w:t>
      </w:r>
      <w:r w:rsidR="00566A3B" w:rsidRPr="0072758C">
        <w:rPr>
          <w:color w:val="222222"/>
          <w:shd w:val="clear" w:color="auto" w:fill="FFFFFF"/>
          <w:lang w:val="en-AU"/>
        </w:rPr>
        <w:t xml:space="preserve">part of the ethos and intellectual thought of </w:t>
      </w:r>
      <w:r w:rsidR="00F168F8" w:rsidRPr="0072758C">
        <w:rPr>
          <w:color w:val="222222"/>
          <w:shd w:val="clear" w:color="auto" w:fill="FFFFFF"/>
          <w:lang w:val="en-AU"/>
        </w:rPr>
        <w:t xml:space="preserve">the oral tradition </w:t>
      </w:r>
      <w:r w:rsidR="00F06C75" w:rsidRPr="0072758C">
        <w:rPr>
          <w:color w:val="222222"/>
          <w:shd w:val="clear" w:color="auto" w:fill="FFFFFF"/>
          <w:lang w:val="en-AU"/>
        </w:rPr>
        <w:t xml:space="preserve">known to </w:t>
      </w:r>
      <w:r w:rsidR="00566A3B" w:rsidRPr="0072758C">
        <w:rPr>
          <w:color w:val="222222"/>
          <w:shd w:val="clear" w:color="auto" w:fill="FFFFFF"/>
          <w:lang w:val="en-AU"/>
        </w:rPr>
        <w:t xml:space="preserve">those listening to the Sermon. The ethical </w:t>
      </w:r>
      <w:r w:rsidR="00F06C75" w:rsidRPr="0072758C">
        <w:rPr>
          <w:color w:val="222222"/>
          <w:shd w:val="clear" w:color="auto" w:fill="FFFFFF"/>
          <w:lang w:val="en-AU"/>
        </w:rPr>
        <w:t>principl</w:t>
      </w:r>
      <w:r w:rsidR="00566A3B" w:rsidRPr="0072758C">
        <w:rPr>
          <w:color w:val="222222"/>
          <w:shd w:val="clear" w:color="auto" w:fill="FFFFFF"/>
          <w:lang w:val="en-AU"/>
        </w:rPr>
        <w:t xml:space="preserve">es of Jewish ideology and theology are prevalent in the </w:t>
      </w:r>
      <w:r w:rsidR="00566A3B" w:rsidRPr="0072758C">
        <w:rPr>
          <w:i/>
          <w:iCs/>
          <w:color w:val="222222"/>
          <w:shd w:val="clear" w:color="auto" w:fill="FFFFFF"/>
          <w:lang w:val="en-AU"/>
        </w:rPr>
        <w:t>Mishna Avot</w:t>
      </w:r>
      <w:r w:rsidR="005D1929" w:rsidRPr="0072758C">
        <w:rPr>
          <w:color w:val="222222"/>
          <w:shd w:val="clear" w:color="auto" w:fill="FFFFFF"/>
          <w:lang w:val="en-AU"/>
        </w:rPr>
        <w:t xml:space="preserve"> and evident in the Sermon</w:t>
      </w:r>
      <w:r w:rsidR="00ED2151" w:rsidRPr="0072758C">
        <w:rPr>
          <w:color w:val="222222"/>
          <w:shd w:val="clear" w:color="auto" w:fill="FFFFFF"/>
          <w:lang w:val="en-AU"/>
        </w:rPr>
        <w:t>, not necessarily in word</w:t>
      </w:r>
      <w:r w:rsidR="00F06C75" w:rsidRPr="0072758C">
        <w:rPr>
          <w:color w:val="222222"/>
          <w:shd w:val="clear" w:color="auto" w:fill="FFFFFF"/>
          <w:lang w:val="en-AU"/>
        </w:rPr>
        <w:t>-</w:t>
      </w:r>
      <w:r w:rsidR="00ED2151" w:rsidRPr="0072758C">
        <w:rPr>
          <w:color w:val="222222"/>
          <w:shd w:val="clear" w:color="auto" w:fill="FFFFFF"/>
          <w:lang w:val="en-AU"/>
        </w:rPr>
        <w:t>for</w:t>
      </w:r>
      <w:r w:rsidR="00BC42D5" w:rsidRPr="0072758C">
        <w:rPr>
          <w:color w:val="222222"/>
          <w:shd w:val="clear" w:color="auto" w:fill="FFFFFF"/>
          <w:lang w:val="en-AU"/>
        </w:rPr>
        <w:t>-</w:t>
      </w:r>
      <w:r w:rsidR="00ED2151" w:rsidRPr="0072758C">
        <w:rPr>
          <w:color w:val="222222"/>
          <w:shd w:val="clear" w:color="auto" w:fill="FFFFFF"/>
          <w:lang w:val="en-AU"/>
        </w:rPr>
        <w:t>word form but in concept and theme</w:t>
      </w:r>
      <w:r w:rsidR="00566A3B" w:rsidRPr="0072758C">
        <w:rPr>
          <w:color w:val="222222"/>
          <w:shd w:val="clear" w:color="auto" w:fill="FFFFFF"/>
          <w:lang w:val="en-AU"/>
        </w:rPr>
        <w:t xml:space="preserve">. The ethical ideology found in </w:t>
      </w:r>
      <w:r w:rsidR="00566A3B" w:rsidRPr="0072758C">
        <w:rPr>
          <w:i/>
          <w:iCs/>
          <w:color w:val="222222"/>
          <w:shd w:val="clear" w:color="auto" w:fill="FFFFFF"/>
          <w:lang w:val="en-AU"/>
        </w:rPr>
        <w:t>Mishna Avot</w:t>
      </w:r>
      <w:r w:rsidR="00566A3B" w:rsidRPr="0072758C">
        <w:rPr>
          <w:color w:val="222222"/>
          <w:shd w:val="clear" w:color="auto" w:fill="FFFFFF"/>
          <w:lang w:val="en-AU"/>
        </w:rPr>
        <w:t xml:space="preserve"> </w:t>
      </w:r>
      <w:r w:rsidR="00BC42D5" w:rsidRPr="0072758C">
        <w:rPr>
          <w:color w:val="222222"/>
          <w:shd w:val="clear" w:color="auto" w:fill="FFFFFF"/>
          <w:lang w:val="en-AU"/>
        </w:rPr>
        <w:t xml:space="preserve">forms a </w:t>
      </w:r>
      <w:r w:rsidR="00566A3B" w:rsidRPr="0072758C">
        <w:rPr>
          <w:color w:val="222222"/>
          <w:shd w:val="clear" w:color="auto" w:fill="FFFFFF"/>
          <w:lang w:val="en-AU"/>
        </w:rPr>
        <w:t>bridge between Judaism and Matthew 5:38</w:t>
      </w:r>
      <w:r w:rsidR="00BC42D5" w:rsidRPr="0072758C">
        <w:rPr>
          <w:color w:val="222222"/>
          <w:shd w:val="clear" w:color="auto" w:fill="FFFFFF"/>
          <w:lang w:val="en-AU"/>
        </w:rPr>
        <w:t>–</w:t>
      </w:r>
      <w:r w:rsidR="00566A3B" w:rsidRPr="0072758C">
        <w:rPr>
          <w:color w:val="222222"/>
          <w:shd w:val="clear" w:color="auto" w:fill="FFFFFF"/>
          <w:lang w:val="en-AU"/>
        </w:rPr>
        <w:t>42</w:t>
      </w:r>
      <w:r w:rsidR="00ED2151" w:rsidRPr="0072758C">
        <w:rPr>
          <w:color w:val="222222"/>
          <w:shd w:val="clear" w:color="auto" w:fill="FFFFFF"/>
          <w:lang w:val="en-AU"/>
        </w:rPr>
        <w:t>, showing</w:t>
      </w:r>
      <w:r w:rsidR="00FD25A9" w:rsidRPr="0072758C">
        <w:rPr>
          <w:color w:val="222222"/>
          <w:shd w:val="clear" w:color="auto" w:fill="FFFFFF"/>
          <w:lang w:val="en-AU"/>
        </w:rPr>
        <w:t xml:space="preserve"> </w:t>
      </w:r>
      <w:r w:rsidR="00ED2151" w:rsidRPr="0072758C">
        <w:rPr>
          <w:color w:val="222222"/>
          <w:shd w:val="clear" w:color="auto" w:fill="FFFFFF"/>
          <w:lang w:val="en-AU"/>
        </w:rPr>
        <w:t xml:space="preserve">a common ethos </w:t>
      </w:r>
      <w:r w:rsidR="000553D2" w:rsidRPr="0072758C">
        <w:rPr>
          <w:color w:val="222222"/>
          <w:shd w:val="clear" w:color="auto" w:fill="FFFFFF"/>
          <w:lang w:val="en-AU"/>
        </w:rPr>
        <w:t xml:space="preserve">of nonviolent resistance </w:t>
      </w:r>
      <w:r w:rsidR="00FD25A9" w:rsidRPr="0072758C">
        <w:rPr>
          <w:color w:val="222222"/>
          <w:shd w:val="clear" w:color="auto" w:fill="FFFFFF"/>
          <w:lang w:val="en-AU"/>
        </w:rPr>
        <w:t xml:space="preserve">shared </w:t>
      </w:r>
      <w:r w:rsidR="00ED2151" w:rsidRPr="0072758C">
        <w:rPr>
          <w:color w:val="222222"/>
          <w:shd w:val="clear" w:color="auto" w:fill="FFFFFF"/>
          <w:lang w:val="en-AU"/>
        </w:rPr>
        <w:t>between them</w:t>
      </w:r>
      <w:r w:rsidR="00566A3B" w:rsidRPr="0072758C">
        <w:rPr>
          <w:color w:val="222222"/>
          <w:shd w:val="clear" w:color="auto" w:fill="FFFFFF"/>
          <w:lang w:val="en-AU"/>
        </w:rPr>
        <w:t xml:space="preserve">. </w:t>
      </w:r>
      <w:r w:rsidR="00993CAA" w:rsidRPr="0072758C">
        <w:rPr>
          <w:color w:val="222222"/>
          <w:shd w:val="clear" w:color="auto" w:fill="FFFFFF"/>
          <w:lang w:val="en-AU"/>
        </w:rPr>
        <w:t>Jesus did not spark a revolution. Jesus</w:t>
      </w:r>
      <w:r w:rsidR="005C71CB" w:rsidRPr="0072758C">
        <w:rPr>
          <w:color w:val="222222"/>
          <w:shd w:val="clear" w:color="auto" w:fill="FFFFFF"/>
          <w:lang w:val="en-AU"/>
        </w:rPr>
        <w:t>’</w:t>
      </w:r>
      <w:r w:rsidR="007477B7">
        <w:rPr>
          <w:color w:val="222222"/>
          <w:shd w:val="clear" w:color="auto" w:fill="FFFFFF"/>
          <w:lang w:val="en-AU"/>
        </w:rPr>
        <w:t>s</w:t>
      </w:r>
      <w:r w:rsidR="00993CAA" w:rsidRPr="0072758C">
        <w:rPr>
          <w:color w:val="222222"/>
          <w:shd w:val="clear" w:color="auto" w:fill="FFFFFF"/>
          <w:lang w:val="en-AU"/>
        </w:rPr>
        <w:t xml:space="preserve"> counterparts explored ethics and philosophy in the text as part of their response to violence to</w:t>
      </w:r>
      <w:r w:rsidR="004171EB" w:rsidRPr="0072758C">
        <w:rPr>
          <w:color w:val="222222"/>
          <w:shd w:val="clear" w:color="auto" w:fill="FFFFFF"/>
          <w:lang w:val="en-AU"/>
        </w:rPr>
        <w:t>wards</w:t>
      </w:r>
      <w:r w:rsidR="00993CAA" w:rsidRPr="0072758C">
        <w:rPr>
          <w:color w:val="222222"/>
          <w:shd w:val="clear" w:color="auto" w:fill="FFFFFF"/>
          <w:lang w:val="en-AU"/>
        </w:rPr>
        <w:t xml:space="preserve"> people and</w:t>
      </w:r>
      <w:r w:rsidR="004171EB" w:rsidRPr="0072758C">
        <w:rPr>
          <w:color w:val="222222"/>
          <w:shd w:val="clear" w:color="auto" w:fill="FFFFFF"/>
          <w:lang w:val="en-AU"/>
        </w:rPr>
        <w:t xml:space="preserve"> to</w:t>
      </w:r>
      <w:r w:rsidR="00993CAA" w:rsidRPr="0072758C">
        <w:rPr>
          <w:color w:val="222222"/>
          <w:shd w:val="clear" w:color="auto" w:fill="FFFFFF"/>
          <w:lang w:val="en-AU"/>
        </w:rPr>
        <w:t xml:space="preserve"> government. </w:t>
      </w:r>
      <w:r w:rsidR="00566A3B" w:rsidRPr="0072758C">
        <w:rPr>
          <w:color w:val="222222"/>
          <w:shd w:val="clear" w:color="auto" w:fill="FFFFFF"/>
          <w:lang w:val="en-AU"/>
        </w:rPr>
        <w:t xml:space="preserve"> </w:t>
      </w:r>
    </w:p>
    <w:p w14:paraId="688BF5B1" w14:textId="094C65BE" w:rsidR="00382E91" w:rsidRPr="0072758C" w:rsidRDefault="00566A3B" w:rsidP="00C3733B">
      <w:pPr>
        <w:spacing w:line="480" w:lineRule="auto"/>
        <w:ind w:firstLine="720"/>
        <w:rPr>
          <w:color w:val="222222"/>
          <w:shd w:val="clear" w:color="auto" w:fill="FFFFFF"/>
          <w:lang w:val="en-AU"/>
        </w:rPr>
      </w:pPr>
      <w:r w:rsidRPr="0072758C">
        <w:rPr>
          <w:color w:val="222222"/>
          <w:shd w:val="clear" w:color="auto" w:fill="FFFFFF"/>
          <w:lang w:val="en-AU"/>
        </w:rPr>
        <w:t xml:space="preserve">This dissertation finds that although </w:t>
      </w:r>
      <w:r w:rsidR="004171EB" w:rsidRPr="0072758C">
        <w:rPr>
          <w:color w:val="222222"/>
          <w:shd w:val="clear" w:color="auto" w:fill="FFFFFF"/>
          <w:lang w:val="en-AU"/>
        </w:rPr>
        <w:t>Jesu</w:t>
      </w:r>
      <w:r w:rsidR="007477B7">
        <w:rPr>
          <w:color w:val="222222"/>
          <w:shd w:val="clear" w:color="auto" w:fill="FFFFFF"/>
          <w:lang w:val="en-AU"/>
        </w:rPr>
        <w:t>s</w:t>
      </w:r>
      <w:r w:rsidR="005C71CB" w:rsidRPr="0072758C">
        <w:rPr>
          <w:color w:val="222222"/>
          <w:shd w:val="clear" w:color="auto" w:fill="FFFFFF"/>
          <w:lang w:val="en-AU"/>
        </w:rPr>
        <w:t>’</w:t>
      </w:r>
      <w:r w:rsidR="004171EB" w:rsidRPr="0072758C">
        <w:rPr>
          <w:color w:val="222222"/>
          <w:shd w:val="clear" w:color="auto" w:fill="FFFFFF"/>
          <w:lang w:val="en-AU"/>
        </w:rPr>
        <w:t xml:space="preserve">s sayings in </w:t>
      </w:r>
      <w:r w:rsidRPr="0072758C">
        <w:rPr>
          <w:color w:val="222222"/>
          <w:shd w:val="clear" w:color="auto" w:fill="FFFFFF"/>
          <w:lang w:val="en-AU"/>
        </w:rPr>
        <w:t>Matthew 5:38</w:t>
      </w:r>
      <w:r w:rsidR="004171EB" w:rsidRPr="0072758C">
        <w:rPr>
          <w:color w:val="222222"/>
          <w:shd w:val="clear" w:color="auto" w:fill="FFFFFF"/>
          <w:lang w:val="en-AU"/>
        </w:rPr>
        <w:t>–</w:t>
      </w:r>
      <w:r w:rsidRPr="0072758C">
        <w:rPr>
          <w:color w:val="222222"/>
          <w:shd w:val="clear" w:color="auto" w:fill="FFFFFF"/>
          <w:lang w:val="en-AU"/>
        </w:rPr>
        <w:t>42 ha</w:t>
      </w:r>
      <w:r w:rsidR="004171EB" w:rsidRPr="0072758C">
        <w:rPr>
          <w:color w:val="222222"/>
          <w:shd w:val="clear" w:color="auto" w:fill="FFFFFF"/>
          <w:lang w:val="en-AU"/>
        </w:rPr>
        <w:t>ve</w:t>
      </w:r>
      <w:r w:rsidRPr="0072758C">
        <w:rPr>
          <w:color w:val="222222"/>
          <w:shd w:val="clear" w:color="auto" w:fill="FFFFFF"/>
          <w:lang w:val="en-AU"/>
        </w:rPr>
        <w:t xml:space="preserve"> been interpreted by some as a pacifist text supporting a theology of accepting (and even encouraging) abuse by </w:t>
      </w:r>
      <w:r w:rsidR="005C71CB" w:rsidRPr="0072758C">
        <w:rPr>
          <w:color w:val="222222"/>
          <w:shd w:val="clear" w:color="auto" w:fill="FFFFFF"/>
          <w:lang w:val="en-AU"/>
        </w:rPr>
        <w:t>‘</w:t>
      </w:r>
      <w:r w:rsidRPr="0072758C">
        <w:rPr>
          <w:color w:val="222222"/>
          <w:shd w:val="clear" w:color="auto" w:fill="FFFFFF"/>
          <w:lang w:val="en-AU"/>
        </w:rPr>
        <w:t>turning the other cheek,</w:t>
      </w:r>
      <w:r w:rsidR="005C71CB" w:rsidRPr="0072758C">
        <w:rPr>
          <w:color w:val="222222"/>
          <w:shd w:val="clear" w:color="auto" w:fill="FFFFFF"/>
          <w:lang w:val="en-AU"/>
        </w:rPr>
        <w:t>’</w:t>
      </w:r>
      <w:r w:rsidRPr="0072758C">
        <w:rPr>
          <w:color w:val="222222"/>
          <w:shd w:val="clear" w:color="auto" w:fill="FFFFFF"/>
          <w:lang w:val="en-AU"/>
        </w:rPr>
        <w:t xml:space="preserve"> it is apparent that Jesus was not leading people to become proverbial doormats to stronger political regimes. Jesus called for an ethical and moral response to authority that gave justice to the oppressed. The Gospel of Matthew itself provides the best insight </w:t>
      </w:r>
      <w:r w:rsidR="00C31811" w:rsidRPr="0072758C">
        <w:rPr>
          <w:color w:val="222222"/>
          <w:shd w:val="clear" w:color="auto" w:fill="FFFFFF"/>
          <w:lang w:val="en-AU"/>
        </w:rPr>
        <w:t>for</w:t>
      </w:r>
      <w:r w:rsidRPr="0072758C">
        <w:rPr>
          <w:color w:val="222222"/>
          <w:shd w:val="clear" w:color="auto" w:fill="FFFFFF"/>
          <w:lang w:val="en-AU"/>
        </w:rPr>
        <w:t xml:space="preserve"> understanding the first listeners to Jesus who may have been Galilean Jews.</w:t>
      </w:r>
      <w:r w:rsidR="00993CAA" w:rsidRPr="0072758C">
        <w:rPr>
          <w:color w:val="222222"/>
          <w:shd w:val="clear" w:color="auto" w:fill="FFFFFF"/>
          <w:lang w:val="en-AU"/>
        </w:rPr>
        <w:t xml:space="preserve"> The Jews of the Galilean region </w:t>
      </w:r>
      <w:r w:rsidR="00170671" w:rsidRPr="0072758C">
        <w:rPr>
          <w:color w:val="222222"/>
          <w:shd w:val="clear" w:color="auto" w:fill="FFFFFF"/>
          <w:lang w:val="en-AU"/>
        </w:rPr>
        <w:t>suffered</w:t>
      </w:r>
      <w:r w:rsidR="00993CAA" w:rsidRPr="0072758C">
        <w:rPr>
          <w:color w:val="222222"/>
          <w:shd w:val="clear" w:color="auto" w:fill="FFFFFF"/>
          <w:lang w:val="en-AU"/>
        </w:rPr>
        <w:t xml:space="preserve"> </w:t>
      </w:r>
      <w:r w:rsidR="00170671" w:rsidRPr="0072758C">
        <w:rPr>
          <w:color w:val="222222"/>
          <w:shd w:val="clear" w:color="auto" w:fill="FFFFFF"/>
          <w:lang w:val="en-AU"/>
        </w:rPr>
        <w:t>poverty</w:t>
      </w:r>
      <w:r w:rsidR="00993CAA" w:rsidRPr="0072758C">
        <w:rPr>
          <w:color w:val="222222"/>
          <w:shd w:val="clear" w:color="auto" w:fill="FFFFFF"/>
          <w:lang w:val="en-AU"/>
        </w:rPr>
        <w:t xml:space="preserve">.  The Galilean region was impacted by Gentiles and the rise of Gentile Christianity. </w:t>
      </w:r>
      <w:r w:rsidRPr="0072758C">
        <w:rPr>
          <w:color w:val="222222"/>
          <w:shd w:val="clear" w:color="auto" w:fill="FFFFFF"/>
          <w:lang w:val="en-AU"/>
        </w:rPr>
        <w:t xml:space="preserve"> Th</w:t>
      </w:r>
      <w:r w:rsidR="00181A4E" w:rsidRPr="0072758C">
        <w:rPr>
          <w:color w:val="222222"/>
          <w:shd w:val="clear" w:color="auto" w:fill="FFFFFF"/>
          <w:lang w:val="en-AU"/>
        </w:rPr>
        <w:t>ose in Jesus</w:t>
      </w:r>
      <w:r w:rsidR="005C71CB" w:rsidRPr="0072758C">
        <w:rPr>
          <w:color w:val="222222"/>
          <w:shd w:val="clear" w:color="auto" w:fill="FFFFFF"/>
          <w:lang w:val="en-AU"/>
        </w:rPr>
        <w:t>’</w:t>
      </w:r>
      <w:r w:rsidR="00181A4E" w:rsidRPr="0072758C">
        <w:rPr>
          <w:color w:val="222222"/>
          <w:shd w:val="clear" w:color="auto" w:fill="FFFFFF"/>
          <w:lang w:val="en-AU"/>
        </w:rPr>
        <w:t xml:space="preserve">s audience </w:t>
      </w:r>
      <w:r w:rsidR="00095F5D" w:rsidRPr="0072758C">
        <w:rPr>
          <w:color w:val="222222"/>
          <w:shd w:val="clear" w:color="auto" w:fill="FFFFFF"/>
          <w:lang w:val="en-AU"/>
        </w:rPr>
        <w:t>had</w:t>
      </w:r>
      <w:r w:rsidRPr="0072758C">
        <w:rPr>
          <w:color w:val="222222"/>
          <w:shd w:val="clear" w:color="auto" w:fill="FFFFFF"/>
          <w:lang w:val="en-AU"/>
        </w:rPr>
        <w:t xml:space="preserve"> a Jewish ethical understanding</w:t>
      </w:r>
      <w:r w:rsidR="00A87FCE" w:rsidRPr="0072758C">
        <w:rPr>
          <w:color w:val="222222"/>
          <w:shd w:val="clear" w:color="auto" w:fill="FFFFFF"/>
          <w:lang w:val="en-AU"/>
        </w:rPr>
        <w:t>.</w:t>
      </w:r>
      <w:r w:rsidRPr="0072758C">
        <w:rPr>
          <w:color w:val="222222"/>
          <w:shd w:val="clear" w:color="auto" w:fill="FFFFFF"/>
          <w:lang w:val="en-AU"/>
        </w:rPr>
        <w:t xml:space="preserve"> </w:t>
      </w:r>
      <w:r w:rsidR="00A87FCE" w:rsidRPr="0072758C">
        <w:rPr>
          <w:color w:val="222222"/>
          <w:shd w:val="clear" w:color="auto" w:fill="FFFFFF"/>
          <w:lang w:val="en-AU"/>
        </w:rPr>
        <w:t>T</w:t>
      </w:r>
      <w:r w:rsidRPr="0072758C">
        <w:rPr>
          <w:color w:val="222222"/>
          <w:shd w:val="clear" w:color="auto" w:fill="FFFFFF"/>
          <w:lang w:val="en-AU"/>
        </w:rPr>
        <w:t>h</w:t>
      </w:r>
      <w:r w:rsidR="00A87FCE" w:rsidRPr="0072758C">
        <w:rPr>
          <w:color w:val="222222"/>
          <w:shd w:val="clear" w:color="auto" w:fill="FFFFFF"/>
          <w:lang w:val="en-AU"/>
        </w:rPr>
        <w:t>ey</w:t>
      </w:r>
      <w:r w:rsidRPr="0072758C">
        <w:rPr>
          <w:color w:val="222222"/>
          <w:shd w:val="clear" w:color="auto" w:fill="FFFFFF"/>
          <w:lang w:val="en-AU"/>
        </w:rPr>
        <w:t xml:space="preserve"> sought freedom from oppression, demanded equality under the law, and did not escalate violence into a rebellion. The Jewish ethical writings, such as </w:t>
      </w:r>
      <w:r w:rsidRPr="0072758C">
        <w:rPr>
          <w:i/>
          <w:iCs/>
          <w:color w:val="222222"/>
          <w:shd w:val="clear" w:color="auto" w:fill="FFFFFF"/>
          <w:lang w:val="en-AU"/>
        </w:rPr>
        <w:t>Mishna Avot</w:t>
      </w:r>
      <w:r w:rsidRPr="0072758C">
        <w:rPr>
          <w:color w:val="222222"/>
          <w:shd w:val="clear" w:color="auto" w:fill="FFFFFF"/>
          <w:lang w:val="en-AU"/>
        </w:rPr>
        <w:t xml:space="preserve">, provide an intellectual corpus </w:t>
      </w:r>
      <w:r w:rsidR="00E109FE" w:rsidRPr="0072758C">
        <w:rPr>
          <w:color w:val="222222"/>
          <w:shd w:val="clear" w:color="auto" w:fill="FFFFFF"/>
          <w:lang w:val="en-AU"/>
        </w:rPr>
        <w:t>in</w:t>
      </w:r>
      <w:r w:rsidRPr="0072758C">
        <w:rPr>
          <w:color w:val="222222"/>
          <w:shd w:val="clear" w:color="auto" w:fill="FFFFFF"/>
          <w:lang w:val="en-AU"/>
        </w:rPr>
        <w:t xml:space="preserve"> Judaism (and </w:t>
      </w:r>
      <w:r w:rsidR="00E109FE" w:rsidRPr="0072758C">
        <w:rPr>
          <w:color w:val="222222"/>
          <w:shd w:val="clear" w:color="auto" w:fill="FFFFFF"/>
          <w:lang w:val="en-AU"/>
        </w:rPr>
        <w:t xml:space="preserve">for </w:t>
      </w:r>
      <w:r w:rsidRPr="0072758C">
        <w:rPr>
          <w:color w:val="222222"/>
          <w:shd w:val="clear" w:color="auto" w:fill="FFFFFF"/>
          <w:lang w:val="en-AU"/>
        </w:rPr>
        <w:t xml:space="preserve">a Jewish Jesus) </w:t>
      </w:r>
      <w:r w:rsidR="00E109FE" w:rsidRPr="0072758C">
        <w:rPr>
          <w:color w:val="222222"/>
          <w:shd w:val="clear" w:color="auto" w:fill="FFFFFF"/>
          <w:lang w:val="en-AU"/>
        </w:rPr>
        <w:t>that is</w:t>
      </w:r>
      <w:r w:rsidRPr="0072758C">
        <w:rPr>
          <w:color w:val="222222"/>
          <w:shd w:val="clear" w:color="auto" w:fill="FFFFFF"/>
          <w:lang w:val="en-AU"/>
        </w:rPr>
        <w:t xml:space="preserve"> not</w:t>
      </w:r>
      <w:r w:rsidR="006D41DD">
        <w:rPr>
          <w:color w:val="222222"/>
          <w:shd w:val="clear" w:color="auto" w:fill="FFFFFF"/>
          <w:lang w:val="en-AU"/>
        </w:rPr>
        <w:t xml:space="preserve"> </w:t>
      </w:r>
      <w:r w:rsidRPr="0072758C">
        <w:rPr>
          <w:color w:val="222222"/>
          <w:shd w:val="clear" w:color="auto" w:fill="FFFFFF"/>
          <w:lang w:val="en-AU"/>
        </w:rPr>
        <w:t>pacifist in nature but seek</w:t>
      </w:r>
      <w:r w:rsidR="00E109FE" w:rsidRPr="0072758C">
        <w:rPr>
          <w:color w:val="222222"/>
          <w:shd w:val="clear" w:color="auto" w:fill="FFFFFF"/>
          <w:lang w:val="en-AU"/>
        </w:rPr>
        <w:t>s</w:t>
      </w:r>
      <w:r w:rsidRPr="0072758C">
        <w:rPr>
          <w:color w:val="222222"/>
          <w:shd w:val="clear" w:color="auto" w:fill="FFFFFF"/>
          <w:lang w:val="en-AU"/>
        </w:rPr>
        <w:t xml:space="preserve"> an ethical response to oppression—</w:t>
      </w:r>
      <w:r w:rsidR="0022419D" w:rsidRPr="0072758C">
        <w:rPr>
          <w:color w:val="222222"/>
          <w:shd w:val="clear" w:color="auto" w:fill="FFFFFF"/>
          <w:lang w:val="en-AU"/>
        </w:rPr>
        <w:t xml:space="preserve">no matter if the action committed was </w:t>
      </w:r>
      <w:r w:rsidRPr="0072758C">
        <w:rPr>
          <w:color w:val="222222"/>
          <w:shd w:val="clear" w:color="auto" w:fill="FFFFFF"/>
          <w:lang w:val="en-AU"/>
        </w:rPr>
        <w:t>violent in nature. How people lived and responded were the primary ways in which they were judged; thus, the Jewish Galilean listeners to the Sermon in Matthew would have had a biblical knowledge</w:t>
      </w:r>
      <w:r w:rsidR="0022419D" w:rsidRPr="0072758C">
        <w:rPr>
          <w:color w:val="222222"/>
          <w:shd w:val="clear" w:color="auto" w:fill="FFFFFF"/>
          <w:lang w:val="en-AU"/>
        </w:rPr>
        <w:t xml:space="preserve"> grounded in and fashioned </w:t>
      </w:r>
      <w:r w:rsidR="008130CC" w:rsidRPr="0072758C">
        <w:rPr>
          <w:color w:val="222222"/>
          <w:shd w:val="clear" w:color="auto" w:fill="FFFFFF"/>
          <w:lang w:val="en-AU"/>
        </w:rPr>
        <w:t>by</w:t>
      </w:r>
      <w:r w:rsidR="0022419D" w:rsidRPr="0072758C">
        <w:rPr>
          <w:color w:val="222222"/>
          <w:shd w:val="clear" w:color="auto" w:fill="FFFFFF"/>
          <w:lang w:val="en-AU"/>
        </w:rPr>
        <w:t xml:space="preserve"> the ideas of the era</w:t>
      </w:r>
      <w:r w:rsidRPr="0072758C">
        <w:rPr>
          <w:color w:val="222222"/>
          <w:shd w:val="clear" w:color="auto" w:fill="FFFFFF"/>
          <w:lang w:val="en-AU"/>
        </w:rPr>
        <w:t xml:space="preserve"> and an Oral Tradition </w:t>
      </w:r>
      <w:r w:rsidR="008130CC" w:rsidRPr="0072758C">
        <w:rPr>
          <w:color w:val="222222"/>
          <w:shd w:val="clear" w:color="auto" w:fill="FFFFFF"/>
          <w:lang w:val="en-AU"/>
        </w:rPr>
        <w:t xml:space="preserve">that </w:t>
      </w:r>
      <w:r w:rsidRPr="0072758C">
        <w:rPr>
          <w:color w:val="222222"/>
          <w:shd w:val="clear" w:color="auto" w:fill="FFFFFF"/>
          <w:lang w:val="en-AU"/>
        </w:rPr>
        <w:t>influenc</w:t>
      </w:r>
      <w:r w:rsidR="00280BBA" w:rsidRPr="0072758C">
        <w:rPr>
          <w:color w:val="222222"/>
          <w:shd w:val="clear" w:color="auto" w:fill="FFFFFF"/>
          <w:lang w:val="en-AU"/>
        </w:rPr>
        <w:t>ed</w:t>
      </w:r>
      <w:r w:rsidRPr="0072758C">
        <w:rPr>
          <w:color w:val="222222"/>
          <w:shd w:val="clear" w:color="auto" w:fill="FFFFFF"/>
          <w:lang w:val="en-AU"/>
        </w:rPr>
        <w:t xml:space="preserve"> how they </w:t>
      </w:r>
      <w:r w:rsidR="00280BBA" w:rsidRPr="0072758C">
        <w:rPr>
          <w:color w:val="222222"/>
          <w:shd w:val="clear" w:color="auto" w:fill="FFFFFF"/>
          <w:lang w:val="en-AU"/>
        </w:rPr>
        <w:t xml:space="preserve">received and </w:t>
      </w:r>
      <w:r w:rsidRPr="0072758C">
        <w:rPr>
          <w:color w:val="222222"/>
          <w:shd w:val="clear" w:color="auto" w:fill="FFFFFF"/>
          <w:lang w:val="en-AU"/>
        </w:rPr>
        <w:t>responded</w:t>
      </w:r>
      <w:r w:rsidR="00280BBA" w:rsidRPr="0072758C">
        <w:rPr>
          <w:color w:val="222222"/>
          <w:shd w:val="clear" w:color="auto" w:fill="FFFFFF"/>
          <w:lang w:val="en-AU"/>
        </w:rPr>
        <w:t xml:space="preserve"> to</w:t>
      </w:r>
      <w:r w:rsidRPr="0072758C">
        <w:rPr>
          <w:color w:val="222222"/>
          <w:shd w:val="clear" w:color="auto" w:fill="FFFFFF"/>
          <w:lang w:val="en-AU"/>
        </w:rPr>
        <w:t xml:space="preserve"> Jesus</w:t>
      </w:r>
      <w:r w:rsidR="005C71CB" w:rsidRPr="0072758C">
        <w:rPr>
          <w:color w:val="222222"/>
          <w:shd w:val="clear" w:color="auto" w:fill="FFFFFF"/>
          <w:lang w:val="en-AU"/>
        </w:rPr>
        <w:t>’</w:t>
      </w:r>
      <w:r w:rsidR="007477B7">
        <w:rPr>
          <w:color w:val="222222"/>
          <w:shd w:val="clear" w:color="auto" w:fill="FFFFFF"/>
          <w:lang w:val="en-AU"/>
        </w:rPr>
        <w:t>s</w:t>
      </w:r>
      <w:r w:rsidRPr="0072758C">
        <w:rPr>
          <w:color w:val="222222"/>
          <w:shd w:val="clear" w:color="auto" w:fill="FFFFFF"/>
          <w:lang w:val="en-AU"/>
        </w:rPr>
        <w:t xml:space="preserve"> words. The evidence </w:t>
      </w:r>
      <w:r w:rsidR="003C7243" w:rsidRPr="0072758C">
        <w:rPr>
          <w:color w:val="222222"/>
          <w:shd w:val="clear" w:color="auto" w:fill="FFFFFF"/>
          <w:lang w:val="en-AU"/>
        </w:rPr>
        <w:t>suggests</w:t>
      </w:r>
      <w:r w:rsidRPr="0072758C">
        <w:rPr>
          <w:color w:val="222222"/>
          <w:shd w:val="clear" w:color="auto" w:fill="FFFFFF"/>
          <w:lang w:val="en-AU"/>
        </w:rPr>
        <w:t xml:space="preserve"> that the audience of the Sermon understood the </w:t>
      </w:r>
      <w:r w:rsidRPr="0072758C">
        <w:rPr>
          <w:color w:val="222222"/>
          <w:shd w:val="clear" w:color="auto" w:fill="FFFFFF"/>
          <w:lang w:val="en-AU"/>
        </w:rPr>
        <w:lastRenderedPageBreak/>
        <w:t xml:space="preserve">teachings of Jesus regarding nonviolence interpreted </w:t>
      </w:r>
      <w:r w:rsidR="00341866" w:rsidRPr="0072758C">
        <w:rPr>
          <w:color w:val="222222"/>
          <w:shd w:val="clear" w:color="auto" w:fill="FFFFFF"/>
          <w:lang w:val="en-AU"/>
        </w:rPr>
        <w:t xml:space="preserve">as </w:t>
      </w:r>
      <w:r w:rsidRPr="0072758C">
        <w:rPr>
          <w:color w:val="222222"/>
          <w:shd w:val="clear" w:color="auto" w:fill="FFFFFF"/>
          <w:lang w:val="en-AU"/>
        </w:rPr>
        <w:t xml:space="preserve">resistance to authority. </w:t>
      </w:r>
      <w:r w:rsidR="0022419D" w:rsidRPr="0072758C">
        <w:rPr>
          <w:color w:val="222222"/>
          <w:shd w:val="clear" w:color="auto" w:fill="FFFFFF"/>
          <w:lang w:val="en-AU"/>
        </w:rPr>
        <w:t>Th</w:t>
      </w:r>
      <w:r w:rsidR="00341866" w:rsidRPr="0072758C">
        <w:rPr>
          <w:color w:val="222222"/>
          <w:shd w:val="clear" w:color="auto" w:fill="FFFFFF"/>
          <w:lang w:val="en-AU"/>
        </w:rPr>
        <w:t>is form of</w:t>
      </w:r>
      <w:r w:rsidR="0022419D" w:rsidRPr="0072758C">
        <w:rPr>
          <w:color w:val="222222"/>
          <w:shd w:val="clear" w:color="auto" w:fill="FFFFFF"/>
          <w:lang w:val="en-AU"/>
        </w:rPr>
        <w:t xml:space="preserve"> resistance forced equality </w:t>
      </w:r>
      <w:r w:rsidR="00341866" w:rsidRPr="0072758C">
        <w:rPr>
          <w:color w:val="222222"/>
          <w:shd w:val="clear" w:color="auto" w:fill="FFFFFF"/>
          <w:lang w:val="en-AU"/>
        </w:rPr>
        <w:t xml:space="preserve">before </w:t>
      </w:r>
      <w:r w:rsidR="0022419D" w:rsidRPr="0072758C">
        <w:rPr>
          <w:color w:val="222222"/>
          <w:shd w:val="clear" w:color="auto" w:fill="FFFFFF"/>
          <w:lang w:val="en-AU"/>
        </w:rPr>
        <w:t xml:space="preserve">the law </w:t>
      </w:r>
      <w:r w:rsidR="00341866" w:rsidRPr="0072758C">
        <w:rPr>
          <w:color w:val="222222"/>
          <w:shd w:val="clear" w:color="auto" w:fill="FFFFFF"/>
          <w:lang w:val="en-AU"/>
        </w:rPr>
        <w:t xml:space="preserve">to be </w:t>
      </w:r>
      <w:r w:rsidR="0022419D" w:rsidRPr="0072758C">
        <w:rPr>
          <w:color w:val="222222"/>
          <w:shd w:val="clear" w:color="auto" w:fill="FFFFFF"/>
          <w:lang w:val="en-AU"/>
        </w:rPr>
        <w:t>imposed on people in conflicts as well as the people not aggravating the authorit</w:t>
      </w:r>
      <w:r w:rsidR="00341866" w:rsidRPr="0072758C">
        <w:rPr>
          <w:color w:val="222222"/>
          <w:shd w:val="clear" w:color="auto" w:fill="FFFFFF"/>
          <w:lang w:val="en-AU"/>
        </w:rPr>
        <w:t>ies</w:t>
      </w:r>
      <w:r w:rsidR="0022419D" w:rsidRPr="0072758C">
        <w:rPr>
          <w:color w:val="222222"/>
          <w:shd w:val="clear" w:color="auto" w:fill="FFFFFF"/>
          <w:lang w:val="en-AU"/>
        </w:rPr>
        <w:t xml:space="preserve"> </w:t>
      </w:r>
      <w:r w:rsidR="00341866" w:rsidRPr="0072758C">
        <w:rPr>
          <w:color w:val="222222"/>
          <w:shd w:val="clear" w:color="auto" w:fill="FFFFFF"/>
          <w:lang w:val="en-AU"/>
        </w:rPr>
        <w:t xml:space="preserve">in power </w:t>
      </w:r>
      <w:r w:rsidR="0022419D" w:rsidRPr="0072758C">
        <w:rPr>
          <w:color w:val="222222"/>
          <w:shd w:val="clear" w:color="auto" w:fill="FFFFFF"/>
          <w:lang w:val="en-AU"/>
        </w:rPr>
        <w:t xml:space="preserve">over them. </w:t>
      </w:r>
      <w:r w:rsidR="00341866" w:rsidRPr="0072758C">
        <w:rPr>
          <w:color w:val="222222"/>
          <w:shd w:val="clear" w:color="auto" w:fill="FFFFFF"/>
          <w:lang w:val="en-AU"/>
        </w:rPr>
        <w:t>Jesus</w:t>
      </w:r>
      <w:r w:rsidR="005C71CB" w:rsidRPr="0072758C">
        <w:rPr>
          <w:color w:val="222222"/>
          <w:shd w:val="clear" w:color="auto" w:fill="FFFFFF"/>
          <w:lang w:val="en-AU"/>
        </w:rPr>
        <w:t>’</w:t>
      </w:r>
      <w:r w:rsidR="007477B7">
        <w:rPr>
          <w:color w:val="222222"/>
          <w:shd w:val="clear" w:color="auto" w:fill="FFFFFF"/>
          <w:lang w:val="en-AU"/>
        </w:rPr>
        <w:t>s</w:t>
      </w:r>
      <w:r w:rsidR="00341866" w:rsidRPr="0072758C">
        <w:rPr>
          <w:color w:val="222222"/>
          <w:shd w:val="clear" w:color="auto" w:fill="FFFFFF"/>
          <w:lang w:val="en-AU"/>
        </w:rPr>
        <w:t xml:space="preserve"> audience </w:t>
      </w:r>
      <w:r w:rsidR="005D1929" w:rsidRPr="0072758C">
        <w:rPr>
          <w:color w:val="222222"/>
          <w:shd w:val="clear" w:color="auto" w:fill="FFFFFF"/>
          <w:lang w:val="en-AU"/>
        </w:rPr>
        <w:t xml:space="preserve">would not </w:t>
      </w:r>
      <w:r w:rsidR="00341866" w:rsidRPr="0072758C">
        <w:rPr>
          <w:color w:val="222222"/>
          <w:shd w:val="clear" w:color="auto" w:fill="FFFFFF"/>
          <w:lang w:val="en-AU"/>
        </w:rPr>
        <w:t xml:space="preserve">have </w:t>
      </w:r>
      <w:r w:rsidR="005D1929" w:rsidRPr="0072758C">
        <w:rPr>
          <w:color w:val="222222"/>
          <w:shd w:val="clear" w:color="auto" w:fill="FFFFFF"/>
          <w:lang w:val="en-AU"/>
        </w:rPr>
        <w:t>perceive</w:t>
      </w:r>
      <w:r w:rsidR="00341866" w:rsidRPr="0072758C">
        <w:rPr>
          <w:color w:val="222222"/>
          <w:shd w:val="clear" w:color="auto" w:fill="FFFFFF"/>
          <w:lang w:val="en-AU"/>
        </w:rPr>
        <w:t>d</w:t>
      </w:r>
      <w:r w:rsidR="005D1929" w:rsidRPr="0072758C">
        <w:rPr>
          <w:color w:val="222222"/>
          <w:shd w:val="clear" w:color="auto" w:fill="FFFFFF"/>
          <w:lang w:val="en-AU"/>
        </w:rPr>
        <w:t xml:space="preserve"> </w:t>
      </w:r>
      <w:r w:rsidR="00341866" w:rsidRPr="0072758C">
        <w:rPr>
          <w:color w:val="222222"/>
          <w:shd w:val="clear" w:color="auto" w:fill="FFFFFF"/>
          <w:lang w:val="en-AU"/>
        </w:rPr>
        <w:t>him</w:t>
      </w:r>
      <w:r w:rsidR="005D1929" w:rsidRPr="0072758C">
        <w:rPr>
          <w:color w:val="222222"/>
          <w:shd w:val="clear" w:color="auto" w:fill="FFFFFF"/>
          <w:lang w:val="en-AU"/>
        </w:rPr>
        <w:t xml:space="preserve"> to be </w:t>
      </w:r>
      <w:r w:rsidRPr="0072758C">
        <w:rPr>
          <w:color w:val="222222"/>
          <w:shd w:val="clear" w:color="auto" w:fill="FFFFFF"/>
          <w:lang w:val="en-AU"/>
        </w:rPr>
        <w:t>completely passive.</w:t>
      </w:r>
      <w:r w:rsidR="00C20190" w:rsidRPr="0072758C">
        <w:rPr>
          <w:color w:val="222222"/>
          <w:shd w:val="clear" w:color="auto" w:fill="FFFFFF"/>
          <w:lang w:val="en-AU"/>
        </w:rPr>
        <w:t xml:space="preserve"> </w:t>
      </w:r>
    </w:p>
    <w:p w14:paraId="6F20C290" w14:textId="574D661E" w:rsidR="00651C8F" w:rsidRPr="0072758C" w:rsidRDefault="00566A3B" w:rsidP="00C3733B">
      <w:pPr>
        <w:spacing w:line="480" w:lineRule="auto"/>
        <w:ind w:firstLine="720"/>
        <w:rPr>
          <w:color w:val="222222"/>
          <w:shd w:val="clear" w:color="auto" w:fill="FFFFFF"/>
          <w:lang w:val="en-AU"/>
        </w:rPr>
      </w:pPr>
      <w:r w:rsidRPr="0072758C">
        <w:rPr>
          <w:color w:val="222222"/>
          <w:shd w:val="clear" w:color="auto" w:fill="FFFFFF"/>
          <w:lang w:val="en-AU"/>
        </w:rPr>
        <w:t xml:space="preserve">The evidence provided by </w:t>
      </w:r>
      <w:r w:rsidR="009A6CFD" w:rsidRPr="0072758C">
        <w:rPr>
          <w:color w:val="222222"/>
          <w:shd w:val="clear" w:color="auto" w:fill="FFFFFF"/>
          <w:lang w:val="en-AU"/>
        </w:rPr>
        <w:t xml:space="preserve">both </w:t>
      </w:r>
      <w:r w:rsidRPr="0072758C">
        <w:rPr>
          <w:color w:val="222222"/>
          <w:shd w:val="clear" w:color="auto" w:fill="FFFFFF"/>
          <w:lang w:val="en-AU"/>
        </w:rPr>
        <w:t xml:space="preserve">the </w:t>
      </w:r>
      <w:r w:rsidR="009A6CFD" w:rsidRPr="0072758C">
        <w:rPr>
          <w:color w:val="222222"/>
          <w:shd w:val="clear" w:color="auto" w:fill="FFFFFF"/>
          <w:lang w:val="en-AU"/>
        </w:rPr>
        <w:t>Matthean</w:t>
      </w:r>
      <w:r w:rsidRPr="0072758C">
        <w:rPr>
          <w:color w:val="222222"/>
          <w:shd w:val="clear" w:color="auto" w:fill="FFFFFF"/>
          <w:lang w:val="en-AU"/>
        </w:rPr>
        <w:t xml:space="preserve"> account </w:t>
      </w:r>
      <w:r w:rsidR="006E28FE" w:rsidRPr="0072758C">
        <w:rPr>
          <w:color w:val="222222"/>
          <w:shd w:val="clear" w:color="auto" w:fill="FFFFFF"/>
          <w:lang w:val="en-AU"/>
        </w:rPr>
        <w:t xml:space="preserve">of the Sermon on the </w:t>
      </w:r>
      <w:proofErr w:type="gramStart"/>
      <w:r w:rsidR="006E28FE" w:rsidRPr="0072758C">
        <w:rPr>
          <w:color w:val="222222"/>
          <w:shd w:val="clear" w:color="auto" w:fill="FFFFFF"/>
          <w:lang w:val="en-AU"/>
        </w:rPr>
        <w:t>Mount</w:t>
      </w:r>
      <w:proofErr w:type="gramEnd"/>
      <w:r w:rsidR="006E28FE" w:rsidRPr="0072758C">
        <w:rPr>
          <w:color w:val="222222"/>
          <w:shd w:val="clear" w:color="auto" w:fill="FFFFFF"/>
          <w:lang w:val="en-AU"/>
        </w:rPr>
        <w:t xml:space="preserve"> </w:t>
      </w:r>
      <w:r w:rsidRPr="0072758C">
        <w:rPr>
          <w:color w:val="222222"/>
          <w:shd w:val="clear" w:color="auto" w:fill="FFFFFF"/>
          <w:lang w:val="en-AU"/>
        </w:rPr>
        <w:t>and the Oral Law gives an indication of Jesus</w:t>
      </w:r>
      <w:r w:rsidR="005C71CB" w:rsidRPr="0072758C">
        <w:rPr>
          <w:color w:val="222222"/>
          <w:shd w:val="clear" w:color="auto" w:fill="FFFFFF"/>
          <w:lang w:val="en-AU"/>
        </w:rPr>
        <w:t>’</w:t>
      </w:r>
      <w:r w:rsidR="007477B7">
        <w:rPr>
          <w:color w:val="222222"/>
          <w:shd w:val="clear" w:color="auto" w:fill="FFFFFF"/>
          <w:lang w:val="en-AU"/>
        </w:rPr>
        <w:t>s</w:t>
      </w:r>
      <w:r w:rsidRPr="0072758C">
        <w:rPr>
          <w:color w:val="222222"/>
          <w:shd w:val="clear" w:color="auto" w:fill="FFFFFF"/>
          <w:lang w:val="en-AU"/>
        </w:rPr>
        <w:t xml:space="preserve"> teaching of resistance to authority. The evidence</w:t>
      </w:r>
      <w:r w:rsidR="00F96F0C" w:rsidRPr="0072758C">
        <w:rPr>
          <w:color w:val="222222"/>
          <w:shd w:val="clear" w:color="auto" w:fill="FFFFFF"/>
          <w:lang w:val="en-AU"/>
        </w:rPr>
        <w:t xml:space="preserve"> suggests a tense religious climate as Rome was </w:t>
      </w:r>
      <w:r w:rsidR="00B348D4" w:rsidRPr="0072758C">
        <w:rPr>
          <w:color w:val="222222"/>
          <w:shd w:val="clear" w:color="auto" w:fill="FFFFFF"/>
          <w:lang w:val="en-AU"/>
        </w:rPr>
        <w:t>diminish</w:t>
      </w:r>
      <w:r w:rsidR="006D41DD">
        <w:rPr>
          <w:color w:val="222222"/>
          <w:shd w:val="clear" w:color="auto" w:fill="FFFFFF"/>
          <w:lang w:val="en-AU"/>
        </w:rPr>
        <w:t>ing</w:t>
      </w:r>
      <w:r w:rsidR="00B348D4" w:rsidRPr="0072758C">
        <w:rPr>
          <w:color w:val="222222"/>
          <w:shd w:val="clear" w:color="auto" w:fill="FFFFFF"/>
          <w:lang w:val="en-AU"/>
        </w:rPr>
        <w:t xml:space="preserve"> </w:t>
      </w:r>
      <w:r w:rsidR="00F96F0C" w:rsidRPr="0072758C">
        <w:rPr>
          <w:color w:val="222222"/>
          <w:shd w:val="clear" w:color="auto" w:fill="FFFFFF"/>
          <w:lang w:val="en-AU"/>
        </w:rPr>
        <w:t>religious freedoms.</w:t>
      </w:r>
      <w:r w:rsidR="00382E91" w:rsidRPr="0072758C">
        <w:rPr>
          <w:color w:val="222222"/>
          <w:shd w:val="clear" w:color="auto" w:fill="FFFFFF"/>
          <w:lang w:val="en-AU"/>
        </w:rPr>
        <w:t xml:space="preserve"> There was conflict between different Jewish sects</w:t>
      </w:r>
      <w:r w:rsidR="00FE2F7B" w:rsidRPr="0072758C">
        <w:rPr>
          <w:color w:val="222222"/>
          <w:shd w:val="clear" w:color="auto" w:fill="FFFFFF"/>
          <w:lang w:val="en-AU"/>
        </w:rPr>
        <w:t xml:space="preserve"> </w:t>
      </w:r>
      <w:r w:rsidR="00382E91" w:rsidRPr="0072758C">
        <w:rPr>
          <w:color w:val="222222"/>
          <w:shd w:val="clear" w:color="auto" w:fill="FFFFFF"/>
          <w:lang w:val="en-AU"/>
        </w:rPr>
        <w:t xml:space="preserve">such as the </w:t>
      </w:r>
      <w:r w:rsidR="00651C8F" w:rsidRPr="0072758C">
        <w:rPr>
          <w:color w:val="222222"/>
          <w:shd w:val="clear" w:color="auto" w:fill="FFFFFF"/>
          <w:lang w:val="en-AU"/>
        </w:rPr>
        <w:t>Pharisees</w:t>
      </w:r>
      <w:r w:rsidR="00382E91" w:rsidRPr="0072758C">
        <w:rPr>
          <w:color w:val="222222"/>
          <w:shd w:val="clear" w:color="auto" w:fill="FFFFFF"/>
          <w:lang w:val="en-AU"/>
        </w:rPr>
        <w:t xml:space="preserve">, </w:t>
      </w:r>
      <w:proofErr w:type="gramStart"/>
      <w:r w:rsidR="00382E91" w:rsidRPr="0072758C">
        <w:rPr>
          <w:color w:val="222222"/>
          <w:shd w:val="clear" w:color="auto" w:fill="FFFFFF"/>
          <w:lang w:val="en-AU"/>
        </w:rPr>
        <w:t>Sadducees</w:t>
      </w:r>
      <w:proofErr w:type="gramEnd"/>
      <w:r w:rsidR="00382E91" w:rsidRPr="0072758C">
        <w:rPr>
          <w:color w:val="222222"/>
          <w:shd w:val="clear" w:color="auto" w:fill="FFFFFF"/>
          <w:lang w:val="en-AU"/>
        </w:rPr>
        <w:t xml:space="preserve"> and Essenes. </w:t>
      </w:r>
      <w:r w:rsidRPr="0072758C">
        <w:rPr>
          <w:color w:val="222222"/>
          <w:shd w:val="clear" w:color="auto" w:fill="FFFFFF"/>
          <w:lang w:val="en-AU"/>
        </w:rPr>
        <w:t xml:space="preserve"> The people lived in </w:t>
      </w:r>
      <w:r w:rsidR="00FE2F7B" w:rsidRPr="0072758C">
        <w:rPr>
          <w:color w:val="222222"/>
          <w:shd w:val="clear" w:color="auto" w:fill="FFFFFF"/>
          <w:lang w:val="en-AU"/>
        </w:rPr>
        <w:t xml:space="preserve">poverty under </w:t>
      </w:r>
      <w:r w:rsidRPr="0072758C">
        <w:rPr>
          <w:color w:val="222222"/>
          <w:shd w:val="clear" w:color="auto" w:fill="FFFFFF"/>
          <w:lang w:val="en-AU"/>
        </w:rPr>
        <w:t>a reg</w:t>
      </w:r>
      <w:r w:rsidR="00FE2F7B" w:rsidRPr="0072758C">
        <w:rPr>
          <w:color w:val="222222"/>
          <w:shd w:val="clear" w:color="auto" w:fill="FFFFFF"/>
          <w:lang w:val="en-AU"/>
        </w:rPr>
        <w:t>ime</w:t>
      </w:r>
      <w:r w:rsidRPr="0072758C">
        <w:rPr>
          <w:color w:val="222222"/>
          <w:shd w:val="clear" w:color="auto" w:fill="FFFFFF"/>
          <w:lang w:val="en-AU"/>
        </w:rPr>
        <w:t xml:space="preserve"> of oppression</w:t>
      </w:r>
      <w:r w:rsidR="003C17AB" w:rsidRPr="0072758C">
        <w:rPr>
          <w:color w:val="222222"/>
          <w:shd w:val="clear" w:color="auto" w:fill="FFFFFF"/>
          <w:lang w:val="en-AU"/>
        </w:rPr>
        <w:t>.</w:t>
      </w:r>
      <w:r w:rsidR="008A2037" w:rsidRPr="0072758C">
        <w:rPr>
          <w:color w:val="222222"/>
          <w:shd w:val="clear" w:color="auto" w:fill="FFFFFF"/>
          <w:lang w:val="en-AU"/>
        </w:rPr>
        <w:t xml:space="preserve"> </w:t>
      </w:r>
      <w:r w:rsidR="00FE2F7B" w:rsidRPr="0072758C">
        <w:rPr>
          <w:color w:val="222222"/>
          <w:shd w:val="clear" w:color="auto" w:fill="FFFFFF"/>
          <w:lang w:val="en-AU"/>
        </w:rPr>
        <w:t>Th</w:t>
      </w:r>
      <w:r w:rsidR="00382E91" w:rsidRPr="0072758C">
        <w:rPr>
          <w:color w:val="222222"/>
          <w:shd w:val="clear" w:color="auto" w:fill="FFFFFF"/>
          <w:lang w:val="en-AU"/>
        </w:rPr>
        <w:t xml:space="preserve">ey were highly taxed, and people like </w:t>
      </w:r>
      <w:r w:rsidR="00651C8F" w:rsidRPr="0072758C">
        <w:rPr>
          <w:color w:val="222222"/>
          <w:shd w:val="clear" w:color="auto" w:fill="FFFFFF"/>
          <w:lang w:val="en-AU"/>
        </w:rPr>
        <w:t>Zacchaeus</w:t>
      </w:r>
      <w:r w:rsidR="00382E91" w:rsidRPr="0072758C">
        <w:rPr>
          <w:color w:val="222222"/>
          <w:shd w:val="clear" w:color="auto" w:fill="FFFFFF"/>
          <w:lang w:val="en-AU"/>
        </w:rPr>
        <w:t xml:space="preserve"> were not </w:t>
      </w:r>
      <w:r w:rsidR="00651C8F" w:rsidRPr="0072758C">
        <w:rPr>
          <w:color w:val="222222"/>
          <w:shd w:val="clear" w:color="auto" w:fill="FFFFFF"/>
          <w:lang w:val="en-AU"/>
        </w:rPr>
        <w:t xml:space="preserve">esteemed </w:t>
      </w:r>
      <w:r w:rsidR="003C17AB" w:rsidRPr="0072758C">
        <w:rPr>
          <w:color w:val="222222"/>
          <w:shd w:val="clear" w:color="auto" w:fill="FFFFFF"/>
          <w:lang w:val="en-AU"/>
        </w:rPr>
        <w:t xml:space="preserve">in </w:t>
      </w:r>
      <w:r w:rsidR="00651C8F" w:rsidRPr="0072758C">
        <w:rPr>
          <w:color w:val="222222"/>
          <w:shd w:val="clear" w:color="auto" w:fill="FFFFFF"/>
          <w:lang w:val="en-AU"/>
        </w:rPr>
        <w:t>society</w:t>
      </w:r>
      <w:r w:rsidRPr="0072758C">
        <w:rPr>
          <w:color w:val="222222"/>
          <w:shd w:val="clear" w:color="auto" w:fill="FFFFFF"/>
          <w:lang w:val="en-AU"/>
        </w:rPr>
        <w:t>.</w:t>
      </w:r>
      <w:r w:rsidR="00651C8F" w:rsidRPr="0072758C">
        <w:rPr>
          <w:color w:val="222222"/>
          <w:shd w:val="clear" w:color="auto" w:fill="FFFFFF"/>
          <w:lang w:val="en-AU"/>
        </w:rPr>
        <w:t xml:space="preserve">  </w:t>
      </w:r>
    </w:p>
    <w:p w14:paraId="6B207E95" w14:textId="13F0D96C" w:rsidR="00094AF1" w:rsidRPr="0072758C" w:rsidRDefault="00566A3B" w:rsidP="00C3733B">
      <w:pPr>
        <w:spacing w:line="480" w:lineRule="auto"/>
        <w:ind w:firstLine="720"/>
        <w:rPr>
          <w:color w:val="222222"/>
          <w:shd w:val="clear" w:color="auto" w:fill="FFFFFF"/>
          <w:lang w:val="en-AU"/>
        </w:rPr>
      </w:pPr>
      <w:r w:rsidRPr="0072758C">
        <w:rPr>
          <w:color w:val="222222"/>
          <w:shd w:val="clear" w:color="auto" w:fill="FFFFFF"/>
          <w:lang w:val="en-AU"/>
        </w:rPr>
        <w:t xml:space="preserve">The Temple cult was </w:t>
      </w:r>
      <w:r w:rsidR="0070257A" w:rsidRPr="0072758C">
        <w:rPr>
          <w:color w:val="222222"/>
          <w:shd w:val="clear" w:color="auto" w:fill="FFFFFF"/>
          <w:lang w:val="en-AU"/>
        </w:rPr>
        <w:t xml:space="preserve">dominated by the </w:t>
      </w:r>
      <w:r w:rsidRPr="0072758C">
        <w:rPr>
          <w:color w:val="222222"/>
          <w:shd w:val="clear" w:color="auto" w:fill="FFFFFF"/>
          <w:lang w:val="en-AU"/>
        </w:rPr>
        <w:t>Sadducean</w:t>
      </w:r>
      <w:r w:rsidR="0070257A" w:rsidRPr="0072758C">
        <w:rPr>
          <w:color w:val="222222"/>
          <w:shd w:val="clear" w:color="auto" w:fill="FFFFFF"/>
          <w:lang w:val="en-AU"/>
        </w:rPr>
        <w:t xml:space="preserve"> faction</w:t>
      </w:r>
      <w:r w:rsidRPr="0072758C">
        <w:rPr>
          <w:color w:val="222222"/>
          <w:shd w:val="clear" w:color="auto" w:fill="FFFFFF"/>
          <w:lang w:val="en-AU"/>
        </w:rPr>
        <w:t xml:space="preserve">, and both the Pharisees and Essenes believed the Temple to have been corrupted by those same Sadducees. </w:t>
      </w:r>
      <w:r w:rsidR="00651C8F" w:rsidRPr="0072758C">
        <w:rPr>
          <w:color w:val="222222"/>
          <w:shd w:val="clear" w:color="auto" w:fill="FFFFFF"/>
          <w:lang w:val="en-AU"/>
        </w:rPr>
        <w:t xml:space="preserve">The views of each Jewish group became part of the ethical response </w:t>
      </w:r>
      <w:r w:rsidR="00EC3B1D" w:rsidRPr="0072758C">
        <w:rPr>
          <w:color w:val="222222"/>
          <w:shd w:val="clear" w:color="auto" w:fill="FFFFFF"/>
          <w:lang w:val="en-AU"/>
        </w:rPr>
        <w:t>to violence</w:t>
      </w:r>
      <w:r w:rsidR="00651C8F" w:rsidRPr="0072758C">
        <w:rPr>
          <w:color w:val="222222"/>
          <w:shd w:val="clear" w:color="auto" w:fill="FFFFFF"/>
          <w:lang w:val="en-AU"/>
        </w:rPr>
        <w:t>. The Sadducees did not believe in an afterlife</w:t>
      </w:r>
      <w:r w:rsidR="00094AF1" w:rsidRPr="0072758C">
        <w:rPr>
          <w:color w:val="222222"/>
          <w:shd w:val="clear" w:color="auto" w:fill="FFFFFF"/>
          <w:lang w:val="en-AU"/>
        </w:rPr>
        <w:t xml:space="preserve">. The belief that the Sadducees and the Pharisees each had regarding peace, violence, and government authority was influenced by their Sages; thus, there was not a universal theme to the views.  The commonality </w:t>
      </w:r>
      <w:r w:rsidR="006D41DD">
        <w:rPr>
          <w:color w:val="222222"/>
          <w:shd w:val="clear" w:color="auto" w:fill="FFFFFF"/>
          <w:lang w:val="en-AU"/>
        </w:rPr>
        <w:t xml:space="preserve">of </w:t>
      </w:r>
      <w:r w:rsidR="00094AF1" w:rsidRPr="0072758C">
        <w:rPr>
          <w:color w:val="222222"/>
          <w:shd w:val="clear" w:color="auto" w:fill="FFFFFF"/>
          <w:lang w:val="en-AU"/>
        </w:rPr>
        <w:t>Jesus</w:t>
      </w:r>
      <w:r w:rsidR="006D41DD">
        <w:rPr>
          <w:color w:val="222222"/>
          <w:shd w:val="clear" w:color="auto" w:fill="FFFFFF"/>
          <w:lang w:val="en-AU"/>
        </w:rPr>
        <w:t xml:space="preserve">’s </w:t>
      </w:r>
      <w:r w:rsidR="00094AF1" w:rsidRPr="0072758C">
        <w:rPr>
          <w:color w:val="222222"/>
          <w:shd w:val="clear" w:color="auto" w:fill="FFFFFF"/>
          <w:lang w:val="en-AU"/>
        </w:rPr>
        <w:t xml:space="preserve">ideology of peace between the Sages of the Pharisees and the Sadducees was the Biblical principles found in the </w:t>
      </w:r>
      <w:r w:rsidR="00EC3B1D" w:rsidRPr="0072758C">
        <w:rPr>
          <w:color w:val="222222"/>
          <w:shd w:val="clear" w:color="auto" w:fill="FFFFFF"/>
          <w:lang w:val="en-AU"/>
        </w:rPr>
        <w:t>Torah</w:t>
      </w:r>
      <w:r w:rsidR="00094AF1" w:rsidRPr="0072758C">
        <w:rPr>
          <w:color w:val="222222"/>
          <w:shd w:val="clear" w:color="auto" w:fill="FFFFFF"/>
          <w:lang w:val="en-AU"/>
        </w:rPr>
        <w:t>; thus, Jesus</w:t>
      </w:r>
      <w:r w:rsidR="005C71CB" w:rsidRPr="0072758C">
        <w:rPr>
          <w:color w:val="222222"/>
          <w:shd w:val="clear" w:color="auto" w:fill="FFFFFF"/>
          <w:lang w:val="en-AU"/>
        </w:rPr>
        <w:t>’</w:t>
      </w:r>
      <w:r w:rsidR="007477B7">
        <w:rPr>
          <w:color w:val="222222"/>
          <w:shd w:val="clear" w:color="auto" w:fill="FFFFFF"/>
          <w:lang w:val="en-AU"/>
        </w:rPr>
        <w:t>s</w:t>
      </w:r>
      <w:r w:rsidR="00094AF1" w:rsidRPr="0072758C">
        <w:rPr>
          <w:color w:val="222222"/>
          <w:shd w:val="clear" w:color="auto" w:fill="FFFFFF"/>
          <w:lang w:val="en-AU"/>
        </w:rPr>
        <w:t xml:space="preserve"> </w:t>
      </w:r>
      <w:r w:rsidR="00094AF1" w:rsidRPr="0072758C">
        <w:rPr>
          <w:i/>
          <w:iCs/>
          <w:color w:val="222222"/>
          <w:shd w:val="clear" w:color="auto" w:fill="FFFFFF"/>
          <w:lang w:val="en-AU"/>
        </w:rPr>
        <w:t>Aggadah</w:t>
      </w:r>
      <w:r w:rsidR="00094AF1" w:rsidRPr="0072758C">
        <w:rPr>
          <w:color w:val="222222"/>
          <w:shd w:val="clear" w:color="auto" w:fill="FFFFFF"/>
          <w:lang w:val="en-AU"/>
        </w:rPr>
        <w:t xml:space="preserve"> bec</w:t>
      </w:r>
      <w:r w:rsidR="00EC3B1D" w:rsidRPr="0072758C">
        <w:rPr>
          <w:color w:val="222222"/>
          <w:shd w:val="clear" w:color="auto" w:fill="FFFFFF"/>
          <w:lang w:val="en-AU"/>
        </w:rPr>
        <w:t>a</w:t>
      </w:r>
      <w:r w:rsidR="00094AF1" w:rsidRPr="0072758C">
        <w:rPr>
          <w:color w:val="222222"/>
          <w:shd w:val="clear" w:color="auto" w:fill="FFFFFF"/>
          <w:lang w:val="en-AU"/>
        </w:rPr>
        <w:t xml:space="preserve">me his own interpretation </w:t>
      </w:r>
      <w:r w:rsidR="00EC3B1D" w:rsidRPr="0072758C">
        <w:rPr>
          <w:color w:val="222222"/>
          <w:shd w:val="clear" w:color="auto" w:fill="FFFFFF"/>
          <w:lang w:val="en-AU"/>
        </w:rPr>
        <w:t xml:space="preserve">as expressed in </w:t>
      </w:r>
      <w:r w:rsidR="00094AF1" w:rsidRPr="0072758C">
        <w:rPr>
          <w:color w:val="222222"/>
          <w:shd w:val="clear" w:color="auto" w:fill="FFFFFF"/>
          <w:lang w:val="en-AU"/>
        </w:rPr>
        <w:t>Matthew 5:38</w:t>
      </w:r>
      <w:r w:rsidR="00EC3B1D" w:rsidRPr="0072758C">
        <w:rPr>
          <w:color w:val="222222"/>
          <w:shd w:val="clear" w:color="auto" w:fill="FFFFFF"/>
          <w:lang w:val="en-AU"/>
        </w:rPr>
        <w:t>–</w:t>
      </w:r>
      <w:r w:rsidR="00094AF1" w:rsidRPr="0072758C">
        <w:rPr>
          <w:color w:val="222222"/>
          <w:shd w:val="clear" w:color="auto" w:fill="FFFFFF"/>
          <w:lang w:val="en-AU"/>
        </w:rPr>
        <w:t>42</w:t>
      </w:r>
      <w:r w:rsidR="00EC3B1D" w:rsidRPr="0072758C">
        <w:rPr>
          <w:color w:val="222222"/>
          <w:shd w:val="clear" w:color="auto" w:fill="FFFFFF"/>
          <w:lang w:val="en-AU"/>
        </w:rPr>
        <w:t>,</w:t>
      </w:r>
      <w:r w:rsidR="00094AF1" w:rsidRPr="0072758C">
        <w:rPr>
          <w:color w:val="222222"/>
          <w:shd w:val="clear" w:color="auto" w:fill="FFFFFF"/>
          <w:lang w:val="en-AU"/>
        </w:rPr>
        <w:t xml:space="preserve"> based on the common themes. </w:t>
      </w:r>
    </w:p>
    <w:p w14:paraId="10CD0DB7" w14:textId="19D1B384" w:rsidR="00234D61" w:rsidRPr="0072758C" w:rsidRDefault="002B3FE6" w:rsidP="00234D61">
      <w:pPr>
        <w:spacing w:line="480" w:lineRule="auto"/>
        <w:ind w:firstLine="720"/>
        <w:rPr>
          <w:color w:val="222222"/>
          <w:shd w:val="clear" w:color="auto" w:fill="FFFFFF"/>
          <w:lang w:val="en-AU"/>
        </w:rPr>
      </w:pPr>
      <w:r w:rsidRPr="0072758C">
        <w:rPr>
          <w:color w:val="222222"/>
          <w:shd w:val="clear" w:color="auto" w:fill="FFFFFF"/>
          <w:lang w:val="en-AU"/>
        </w:rPr>
        <w:t xml:space="preserve">The concept of repentance connects Jesus with </w:t>
      </w:r>
      <w:r w:rsidRPr="0072758C">
        <w:rPr>
          <w:i/>
          <w:iCs/>
          <w:color w:val="222222"/>
          <w:shd w:val="clear" w:color="auto" w:fill="FFFFFF"/>
          <w:lang w:val="en-AU"/>
        </w:rPr>
        <w:t xml:space="preserve">Mishna Avot. </w:t>
      </w:r>
      <w:r w:rsidR="00566A3B" w:rsidRPr="0072758C">
        <w:rPr>
          <w:color w:val="222222"/>
          <w:shd w:val="clear" w:color="auto" w:fill="FFFFFF"/>
          <w:lang w:val="en-AU"/>
        </w:rPr>
        <w:t xml:space="preserve">The people perceived that the concept of repentance, as evidenced in the stories of </w:t>
      </w:r>
      <w:r w:rsidR="00EC3B1D" w:rsidRPr="0072758C">
        <w:rPr>
          <w:color w:val="222222"/>
          <w:shd w:val="clear" w:color="auto" w:fill="FFFFFF"/>
          <w:lang w:val="en-AU"/>
        </w:rPr>
        <w:t xml:space="preserve">both </w:t>
      </w:r>
      <w:r w:rsidR="00566A3B" w:rsidRPr="0072758C">
        <w:rPr>
          <w:color w:val="222222"/>
          <w:shd w:val="clear" w:color="auto" w:fill="FFFFFF"/>
          <w:lang w:val="en-AU"/>
        </w:rPr>
        <w:t xml:space="preserve">Jesus and John the Baptist being involved in a repentance ministry, are </w:t>
      </w:r>
      <w:proofErr w:type="gramStart"/>
      <w:r w:rsidR="00566A3B" w:rsidRPr="0072758C">
        <w:rPr>
          <w:color w:val="222222"/>
          <w:shd w:val="clear" w:color="auto" w:fill="FFFFFF"/>
          <w:lang w:val="en-AU"/>
        </w:rPr>
        <w:t>similar to</w:t>
      </w:r>
      <w:proofErr w:type="gramEnd"/>
      <w:r w:rsidR="00566A3B" w:rsidRPr="0072758C">
        <w:rPr>
          <w:color w:val="222222"/>
          <w:shd w:val="clear" w:color="auto" w:fill="FFFFFF"/>
          <w:lang w:val="en-AU"/>
        </w:rPr>
        <w:t xml:space="preserve"> </w:t>
      </w:r>
      <w:r w:rsidR="00566A3B" w:rsidRPr="0072758C">
        <w:rPr>
          <w:i/>
          <w:iCs/>
          <w:color w:val="222222"/>
          <w:shd w:val="clear" w:color="auto" w:fill="FFFFFF"/>
          <w:lang w:val="en-AU"/>
        </w:rPr>
        <w:t>Mishna Avot</w:t>
      </w:r>
      <w:r w:rsidRPr="0072758C">
        <w:rPr>
          <w:i/>
          <w:iCs/>
          <w:color w:val="222222"/>
          <w:shd w:val="clear" w:color="auto" w:fill="FFFFFF"/>
          <w:lang w:val="en-AU"/>
        </w:rPr>
        <w:t xml:space="preserve">, </w:t>
      </w:r>
      <w:r w:rsidRPr="0072758C">
        <w:rPr>
          <w:color w:val="222222"/>
          <w:shd w:val="clear" w:color="auto" w:fill="FFFFFF"/>
          <w:lang w:val="en-AU"/>
        </w:rPr>
        <w:t xml:space="preserve">and this connects his intellectual teachings with prominent Jewish scholarship of </w:t>
      </w:r>
      <w:r w:rsidR="00EC3B1D" w:rsidRPr="0072758C">
        <w:rPr>
          <w:color w:val="222222"/>
          <w:shd w:val="clear" w:color="auto" w:fill="FFFFFF"/>
          <w:lang w:val="en-AU"/>
        </w:rPr>
        <w:t xml:space="preserve">his </w:t>
      </w:r>
      <w:r w:rsidRPr="0072758C">
        <w:rPr>
          <w:color w:val="222222"/>
          <w:shd w:val="clear" w:color="auto" w:fill="FFFFFF"/>
          <w:lang w:val="en-AU"/>
        </w:rPr>
        <w:t>time</w:t>
      </w:r>
      <w:r w:rsidR="00566A3B" w:rsidRPr="0072758C">
        <w:rPr>
          <w:color w:val="222222"/>
          <w:shd w:val="clear" w:color="auto" w:fill="FFFFFF"/>
          <w:lang w:val="en-AU"/>
        </w:rPr>
        <w:t>. Th</w:t>
      </w:r>
      <w:r w:rsidR="00EC3B1D" w:rsidRPr="0072758C">
        <w:rPr>
          <w:color w:val="222222"/>
          <w:shd w:val="clear" w:color="auto" w:fill="FFFFFF"/>
          <w:lang w:val="en-AU"/>
        </w:rPr>
        <w:t>e</w:t>
      </w:r>
      <w:r w:rsidR="00566A3B" w:rsidRPr="0072758C">
        <w:rPr>
          <w:color w:val="222222"/>
          <w:shd w:val="clear" w:color="auto" w:fill="FFFFFF"/>
          <w:lang w:val="en-AU"/>
        </w:rPr>
        <w:t xml:space="preserve"> discontentment of the people</w:t>
      </w:r>
      <w:r w:rsidRPr="0072758C">
        <w:rPr>
          <w:color w:val="222222"/>
          <w:shd w:val="clear" w:color="auto" w:fill="FFFFFF"/>
          <w:lang w:val="en-AU"/>
        </w:rPr>
        <w:t xml:space="preserve"> with poverty, authority, and oppression</w:t>
      </w:r>
      <w:r w:rsidR="00566A3B" w:rsidRPr="0072758C">
        <w:rPr>
          <w:color w:val="222222"/>
          <w:shd w:val="clear" w:color="auto" w:fill="FFFFFF"/>
          <w:lang w:val="en-AU"/>
        </w:rPr>
        <w:t xml:space="preserve"> became the driving force for Jewish people to oppose unethical authority over them. The Jewish people could choose a multitude </w:t>
      </w:r>
      <w:r w:rsidR="00566A3B" w:rsidRPr="0072758C">
        <w:rPr>
          <w:color w:val="222222"/>
          <w:shd w:val="clear" w:color="auto" w:fill="FFFFFF"/>
          <w:lang w:val="en-AU"/>
        </w:rPr>
        <w:lastRenderedPageBreak/>
        <w:t xml:space="preserve">of responses </w:t>
      </w:r>
      <w:r w:rsidR="00D44B98" w:rsidRPr="0072758C">
        <w:rPr>
          <w:color w:val="222222"/>
          <w:shd w:val="clear" w:color="auto" w:fill="FFFFFF"/>
          <w:lang w:val="en-AU"/>
        </w:rPr>
        <w:t>to</w:t>
      </w:r>
      <w:r w:rsidR="00566A3B" w:rsidRPr="0072758C">
        <w:rPr>
          <w:color w:val="222222"/>
          <w:shd w:val="clear" w:color="auto" w:fill="FFFFFF"/>
          <w:lang w:val="en-AU"/>
        </w:rPr>
        <w:t xml:space="preserve"> Jesus</w:t>
      </w:r>
      <w:r w:rsidR="005C71CB" w:rsidRPr="0072758C">
        <w:rPr>
          <w:color w:val="222222"/>
          <w:shd w:val="clear" w:color="auto" w:fill="FFFFFF"/>
          <w:lang w:val="en-AU"/>
        </w:rPr>
        <w:t>’</w:t>
      </w:r>
      <w:r w:rsidR="007477B7">
        <w:rPr>
          <w:color w:val="222222"/>
          <w:shd w:val="clear" w:color="auto" w:fill="FFFFFF"/>
          <w:lang w:val="en-AU"/>
        </w:rPr>
        <w:t>s</w:t>
      </w:r>
      <w:r w:rsidR="00566A3B" w:rsidRPr="0072758C">
        <w:rPr>
          <w:color w:val="222222"/>
          <w:shd w:val="clear" w:color="auto" w:fill="FFFFFF"/>
          <w:lang w:val="en-AU"/>
        </w:rPr>
        <w:t xml:space="preserve"> Sermon and teaching; however, the people responded with overwhelming acceptance of Jesus, even </w:t>
      </w:r>
      <w:r w:rsidR="00985696" w:rsidRPr="0072758C">
        <w:rPr>
          <w:color w:val="222222"/>
          <w:shd w:val="clear" w:color="auto" w:fill="FFFFFF"/>
          <w:lang w:val="en-AU"/>
        </w:rPr>
        <w:t>at</w:t>
      </w:r>
      <w:r w:rsidR="00566A3B" w:rsidRPr="0072758C">
        <w:rPr>
          <w:color w:val="222222"/>
          <w:shd w:val="clear" w:color="auto" w:fill="FFFFFF"/>
          <w:lang w:val="en-AU"/>
        </w:rPr>
        <w:t xml:space="preserve"> events such as </w:t>
      </w:r>
      <w:r w:rsidR="00F71120" w:rsidRPr="0072758C">
        <w:rPr>
          <w:color w:val="222222"/>
          <w:shd w:val="clear" w:color="auto" w:fill="FFFFFF"/>
          <w:lang w:val="en-AU"/>
        </w:rPr>
        <w:t>his triumphal entry into Jerusalem</w:t>
      </w:r>
      <w:r w:rsidR="0070257A" w:rsidRPr="0072758C">
        <w:rPr>
          <w:color w:val="222222"/>
          <w:shd w:val="clear" w:color="auto" w:fill="FFFFFF"/>
          <w:lang w:val="en-AU"/>
        </w:rPr>
        <w:t xml:space="preserve"> (Matt 21:1-11)</w:t>
      </w:r>
      <w:r w:rsidR="00566A3B" w:rsidRPr="0072758C">
        <w:rPr>
          <w:color w:val="222222"/>
          <w:shd w:val="clear" w:color="auto" w:fill="FFFFFF"/>
          <w:lang w:val="en-AU"/>
        </w:rPr>
        <w:t xml:space="preserve">. </w:t>
      </w:r>
      <w:r w:rsidRPr="0072758C">
        <w:rPr>
          <w:color w:val="222222"/>
          <w:shd w:val="clear" w:color="auto" w:fill="FFFFFF"/>
          <w:lang w:val="en-AU"/>
        </w:rPr>
        <w:t xml:space="preserve">The people could have chosen to become </w:t>
      </w:r>
      <w:r w:rsidR="00E11732" w:rsidRPr="0072758C">
        <w:rPr>
          <w:color w:val="222222"/>
          <w:shd w:val="clear" w:color="auto" w:fill="FFFFFF"/>
          <w:lang w:val="en-AU"/>
        </w:rPr>
        <w:t>militant,</w:t>
      </w:r>
      <w:r w:rsidR="007A6BE4" w:rsidRPr="0072758C">
        <w:rPr>
          <w:color w:val="222222"/>
          <w:shd w:val="clear" w:color="auto" w:fill="FFFFFF"/>
          <w:lang w:val="en-AU"/>
        </w:rPr>
        <w:t xml:space="preserve"> but </w:t>
      </w:r>
      <w:r w:rsidRPr="0072758C">
        <w:rPr>
          <w:color w:val="222222"/>
          <w:shd w:val="clear" w:color="auto" w:fill="FFFFFF"/>
          <w:lang w:val="en-AU"/>
        </w:rPr>
        <w:t xml:space="preserve">they did not.  The people could have chosen not to follow Jesus, but they did not. This era of peace and </w:t>
      </w:r>
      <w:r w:rsidR="00611617" w:rsidRPr="0072758C">
        <w:rPr>
          <w:color w:val="222222"/>
          <w:shd w:val="clear" w:color="auto" w:fill="FFFFFF"/>
          <w:lang w:val="en-AU"/>
        </w:rPr>
        <w:t>nonviolent</w:t>
      </w:r>
      <w:r w:rsidRPr="0072758C">
        <w:rPr>
          <w:color w:val="222222"/>
          <w:shd w:val="clear" w:color="auto" w:fill="FFFFFF"/>
          <w:lang w:val="en-AU"/>
        </w:rPr>
        <w:t xml:space="preserve"> resistance did not last long after Jesus died. A</w:t>
      </w:r>
      <w:r w:rsidR="00566A3B" w:rsidRPr="0072758C">
        <w:rPr>
          <w:color w:val="222222"/>
          <w:shd w:val="clear" w:color="auto" w:fill="FFFFFF"/>
          <w:lang w:val="en-AU"/>
        </w:rPr>
        <w:t>fter Jesus, as people became militant in their demand for justice and freedom, Rome was very aggressive in their response</w:t>
      </w:r>
      <w:r w:rsidR="00234D61" w:rsidRPr="0072758C">
        <w:rPr>
          <w:color w:val="222222"/>
          <w:shd w:val="clear" w:color="auto" w:fill="FFFFFF"/>
          <w:lang w:val="en-AU"/>
        </w:rPr>
        <w:t xml:space="preserve"> to the Jewish people. </w:t>
      </w:r>
      <w:r w:rsidR="00566A3B" w:rsidRPr="0072758C">
        <w:rPr>
          <w:color w:val="222222"/>
          <w:shd w:val="clear" w:color="auto" w:fill="FFFFFF"/>
          <w:lang w:val="en-AU"/>
        </w:rPr>
        <w:t xml:space="preserve"> </w:t>
      </w:r>
      <w:r w:rsidR="007A6BE4" w:rsidRPr="0072758C">
        <w:rPr>
          <w:color w:val="222222"/>
          <w:shd w:val="clear" w:color="auto" w:fill="FFFFFF"/>
          <w:lang w:val="en-AU"/>
        </w:rPr>
        <w:t xml:space="preserve">The </w:t>
      </w:r>
      <w:r w:rsidR="00566A3B" w:rsidRPr="0072758C">
        <w:rPr>
          <w:color w:val="222222"/>
          <w:shd w:val="clear" w:color="auto" w:fill="FFFFFF"/>
          <w:lang w:val="en-AU"/>
        </w:rPr>
        <w:t xml:space="preserve">Jewish nation fought back violently, </w:t>
      </w:r>
      <w:r w:rsidR="007A6BE4" w:rsidRPr="0072758C">
        <w:rPr>
          <w:color w:val="222222"/>
          <w:shd w:val="clear" w:color="auto" w:fill="FFFFFF"/>
          <w:lang w:val="en-AU"/>
        </w:rPr>
        <w:t xml:space="preserve">as did </w:t>
      </w:r>
      <w:r w:rsidR="00566A3B" w:rsidRPr="0072758C">
        <w:rPr>
          <w:color w:val="222222"/>
          <w:shd w:val="clear" w:color="auto" w:fill="FFFFFF"/>
          <w:lang w:val="en-AU"/>
        </w:rPr>
        <w:t>Rome</w:t>
      </w:r>
      <w:r w:rsidR="006D41DD">
        <w:rPr>
          <w:color w:val="222222"/>
          <w:shd w:val="clear" w:color="auto" w:fill="FFFFFF"/>
          <w:lang w:val="en-AU"/>
        </w:rPr>
        <w:t>,</w:t>
      </w:r>
      <w:r w:rsidR="00566A3B" w:rsidRPr="0072758C">
        <w:rPr>
          <w:color w:val="222222"/>
          <w:shd w:val="clear" w:color="auto" w:fill="FFFFFF"/>
          <w:lang w:val="en-AU"/>
        </w:rPr>
        <w:t xml:space="preserve"> and the Jewish people suffered bitterly. Bar </w:t>
      </w:r>
      <w:r w:rsidR="004A40E3" w:rsidRPr="0072758C">
        <w:rPr>
          <w:color w:val="222222"/>
          <w:shd w:val="clear" w:color="auto" w:fill="FFFFFF"/>
          <w:lang w:val="en-AU"/>
        </w:rPr>
        <w:t>Kokhba</w:t>
      </w:r>
      <w:r w:rsidR="00566A3B" w:rsidRPr="0072758C">
        <w:rPr>
          <w:color w:val="222222"/>
          <w:shd w:val="clear" w:color="auto" w:fill="FFFFFF"/>
          <w:lang w:val="en-AU"/>
        </w:rPr>
        <w:t xml:space="preserve">, the false messiah and warrior who came after Jesus fought and died opposing Roman Rule. </w:t>
      </w:r>
      <w:r w:rsidR="00234D61" w:rsidRPr="0072758C">
        <w:rPr>
          <w:color w:val="222222"/>
          <w:shd w:val="clear" w:color="auto" w:fill="FFFFFF"/>
          <w:lang w:val="en-AU"/>
        </w:rPr>
        <w:t>The First Jewish-Roman War of 66</w:t>
      </w:r>
      <w:r w:rsidR="009E620C" w:rsidRPr="0072758C">
        <w:rPr>
          <w:color w:val="222222"/>
          <w:shd w:val="clear" w:color="auto" w:fill="FFFFFF"/>
          <w:lang w:val="en-AU"/>
        </w:rPr>
        <w:t>‒</w:t>
      </w:r>
      <w:r w:rsidR="00234D61" w:rsidRPr="0072758C">
        <w:rPr>
          <w:color w:val="222222"/>
          <w:shd w:val="clear" w:color="auto" w:fill="FFFFFF"/>
          <w:lang w:val="en-AU"/>
        </w:rPr>
        <w:t>73 CE was a violent response by the Jewish people and ended badly for the Jewish people. Jesus</w:t>
      </w:r>
      <w:r w:rsidR="005C71CB" w:rsidRPr="0072758C">
        <w:rPr>
          <w:color w:val="222222"/>
          <w:shd w:val="clear" w:color="auto" w:fill="FFFFFF"/>
          <w:lang w:val="en-AU"/>
        </w:rPr>
        <w:t>’</w:t>
      </w:r>
      <w:r w:rsidR="007477B7">
        <w:rPr>
          <w:color w:val="222222"/>
          <w:shd w:val="clear" w:color="auto" w:fill="FFFFFF"/>
          <w:lang w:val="en-AU"/>
        </w:rPr>
        <w:t>s</w:t>
      </w:r>
      <w:r w:rsidR="00234D61" w:rsidRPr="0072758C">
        <w:rPr>
          <w:color w:val="222222"/>
          <w:shd w:val="clear" w:color="auto" w:fill="FFFFFF"/>
          <w:lang w:val="en-AU"/>
        </w:rPr>
        <w:t xml:space="preserve"> </w:t>
      </w:r>
      <w:r w:rsidR="006E7AC9" w:rsidRPr="0072758C">
        <w:rPr>
          <w:color w:val="222222"/>
          <w:shd w:val="clear" w:color="auto" w:fill="FFFFFF"/>
          <w:lang w:val="en-AU"/>
        </w:rPr>
        <w:t xml:space="preserve">approach </w:t>
      </w:r>
      <w:r w:rsidR="00234D61" w:rsidRPr="0072758C">
        <w:rPr>
          <w:color w:val="222222"/>
          <w:shd w:val="clear" w:color="auto" w:fill="FFFFFF"/>
          <w:lang w:val="en-AU"/>
        </w:rPr>
        <w:t xml:space="preserve">would have </w:t>
      </w:r>
      <w:r w:rsidR="00FD1CC3" w:rsidRPr="0072758C">
        <w:rPr>
          <w:color w:val="222222"/>
          <w:shd w:val="clear" w:color="auto" w:fill="FFFFFF"/>
          <w:lang w:val="en-AU"/>
        </w:rPr>
        <w:t xml:space="preserve">been to </w:t>
      </w:r>
      <w:r w:rsidR="00234D61" w:rsidRPr="0072758C">
        <w:rPr>
          <w:color w:val="222222"/>
          <w:shd w:val="clear" w:color="auto" w:fill="FFFFFF"/>
          <w:lang w:val="en-AU"/>
        </w:rPr>
        <w:t>utili</w:t>
      </w:r>
      <w:r w:rsidR="00D86BBD" w:rsidRPr="0072758C">
        <w:rPr>
          <w:color w:val="222222"/>
          <w:shd w:val="clear" w:color="auto" w:fill="FFFFFF"/>
          <w:lang w:val="en-AU"/>
        </w:rPr>
        <w:t>s</w:t>
      </w:r>
      <w:r w:rsidR="00234D61" w:rsidRPr="0072758C">
        <w:rPr>
          <w:color w:val="222222"/>
          <w:shd w:val="clear" w:color="auto" w:fill="FFFFFF"/>
          <w:lang w:val="en-AU"/>
        </w:rPr>
        <w:t xml:space="preserve">e Roman governmental systems and laws—this is </w:t>
      </w:r>
      <w:r w:rsidR="00611617" w:rsidRPr="0072758C">
        <w:rPr>
          <w:color w:val="222222"/>
          <w:shd w:val="clear" w:color="auto" w:fill="FFFFFF"/>
          <w:lang w:val="en-AU"/>
        </w:rPr>
        <w:t>nonviolent</w:t>
      </w:r>
      <w:r w:rsidR="00234D61" w:rsidRPr="0072758C">
        <w:rPr>
          <w:color w:val="222222"/>
          <w:shd w:val="clear" w:color="auto" w:fill="FFFFFF"/>
          <w:lang w:val="en-AU"/>
        </w:rPr>
        <w:t xml:space="preserve"> resistance. The methods of violence that caused the revolutions caused death and suffering. </w:t>
      </w:r>
    </w:p>
    <w:p w14:paraId="4B1994DD" w14:textId="0FF0AB41" w:rsidR="00566A3B" w:rsidRPr="0072758C" w:rsidRDefault="00234D61" w:rsidP="00234D61">
      <w:pPr>
        <w:spacing w:line="480" w:lineRule="auto"/>
        <w:ind w:firstLine="720"/>
        <w:rPr>
          <w:color w:val="222222"/>
          <w:shd w:val="clear" w:color="auto" w:fill="FFFFFF"/>
          <w:lang w:val="en-AU"/>
        </w:rPr>
      </w:pPr>
      <w:r w:rsidRPr="0072758C">
        <w:rPr>
          <w:color w:val="222222"/>
          <w:shd w:val="clear" w:color="auto" w:fill="FFFFFF"/>
          <w:lang w:val="en-AU"/>
        </w:rPr>
        <w:t xml:space="preserve">This dissertation also </w:t>
      </w:r>
      <w:r w:rsidR="00F96F0C" w:rsidRPr="0072758C">
        <w:rPr>
          <w:color w:val="222222"/>
          <w:shd w:val="clear" w:color="auto" w:fill="FFFFFF"/>
          <w:lang w:val="en-AU"/>
        </w:rPr>
        <w:t>discovered</w:t>
      </w:r>
      <w:r w:rsidR="00CE7495" w:rsidRPr="0072758C">
        <w:rPr>
          <w:color w:val="222222"/>
          <w:shd w:val="clear" w:color="auto" w:fill="FFFFFF"/>
          <w:lang w:val="en-AU"/>
        </w:rPr>
        <w:t xml:space="preserve"> that</w:t>
      </w:r>
      <w:r w:rsidR="00F96F0C" w:rsidRPr="0072758C">
        <w:rPr>
          <w:color w:val="222222"/>
          <w:shd w:val="clear" w:color="auto" w:fill="FFFFFF"/>
          <w:lang w:val="en-AU"/>
        </w:rPr>
        <w:t xml:space="preserve"> there were two messianic expectations from various </w:t>
      </w:r>
      <w:r w:rsidR="004A40E3" w:rsidRPr="0072758C">
        <w:rPr>
          <w:color w:val="222222"/>
          <w:shd w:val="clear" w:color="auto" w:fill="FFFFFF"/>
          <w:lang w:val="en-AU"/>
        </w:rPr>
        <w:t>lineages,</w:t>
      </w:r>
      <w:r w:rsidR="00F96F0C" w:rsidRPr="0072758C">
        <w:rPr>
          <w:color w:val="222222"/>
          <w:shd w:val="clear" w:color="auto" w:fill="FFFFFF"/>
          <w:lang w:val="en-AU"/>
        </w:rPr>
        <w:t xml:space="preserve"> and this d</w:t>
      </w:r>
      <w:r w:rsidR="00F17882" w:rsidRPr="0072758C">
        <w:rPr>
          <w:color w:val="222222"/>
          <w:shd w:val="clear" w:color="auto" w:fill="FFFFFF"/>
          <w:lang w:val="en-AU"/>
        </w:rPr>
        <w:t>etermined</w:t>
      </w:r>
      <w:r w:rsidR="00F96F0C" w:rsidRPr="0072758C">
        <w:rPr>
          <w:color w:val="222222"/>
          <w:shd w:val="clear" w:color="auto" w:fill="FFFFFF"/>
          <w:lang w:val="en-AU"/>
        </w:rPr>
        <w:t xml:space="preserve"> how Jesus taught people and </w:t>
      </w:r>
      <w:r w:rsidR="00F17882" w:rsidRPr="0072758C">
        <w:rPr>
          <w:color w:val="222222"/>
          <w:shd w:val="clear" w:color="auto" w:fill="FFFFFF"/>
          <w:lang w:val="en-AU"/>
        </w:rPr>
        <w:t xml:space="preserve">how </w:t>
      </w:r>
      <w:r w:rsidR="00F96F0C" w:rsidRPr="0072758C">
        <w:rPr>
          <w:color w:val="222222"/>
          <w:shd w:val="clear" w:color="auto" w:fill="FFFFFF"/>
          <w:lang w:val="en-AU"/>
        </w:rPr>
        <w:t xml:space="preserve">people heard him. </w:t>
      </w:r>
      <w:r w:rsidRPr="0072758C">
        <w:rPr>
          <w:color w:val="222222"/>
          <w:shd w:val="clear" w:color="auto" w:fill="FFFFFF"/>
          <w:lang w:val="en-AU"/>
        </w:rPr>
        <w:t>The</w:t>
      </w:r>
      <w:r w:rsidR="00F17882" w:rsidRPr="0072758C">
        <w:rPr>
          <w:color w:val="222222"/>
          <w:shd w:val="clear" w:color="auto" w:fill="FFFFFF"/>
          <w:lang w:val="en-AU"/>
        </w:rPr>
        <w:t>re were different</w:t>
      </w:r>
      <w:r w:rsidRPr="0072758C">
        <w:rPr>
          <w:color w:val="222222"/>
          <w:shd w:val="clear" w:color="auto" w:fill="FFFFFF"/>
          <w:lang w:val="en-AU"/>
        </w:rPr>
        <w:t xml:space="preserve"> views </w:t>
      </w:r>
      <w:r w:rsidR="00F17882" w:rsidRPr="0072758C">
        <w:rPr>
          <w:color w:val="222222"/>
          <w:shd w:val="clear" w:color="auto" w:fill="FFFFFF"/>
          <w:lang w:val="en-AU"/>
        </w:rPr>
        <w:t>about</w:t>
      </w:r>
      <w:r w:rsidRPr="0072758C">
        <w:rPr>
          <w:color w:val="222222"/>
          <w:shd w:val="clear" w:color="auto" w:fill="FFFFFF"/>
          <w:lang w:val="en-AU"/>
        </w:rPr>
        <w:t xml:space="preserve"> a messianic lineage, as seen in the Dead Sea Scrolls and other Jewish </w:t>
      </w:r>
      <w:r w:rsidR="00455CE1" w:rsidRPr="0072758C">
        <w:rPr>
          <w:color w:val="222222"/>
          <w:shd w:val="clear" w:color="auto" w:fill="FFFFFF"/>
          <w:lang w:val="en-AU"/>
        </w:rPr>
        <w:t>apocryphal</w:t>
      </w:r>
      <w:r w:rsidRPr="0072758C">
        <w:rPr>
          <w:color w:val="222222"/>
          <w:shd w:val="clear" w:color="auto" w:fill="FFFFFF"/>
          <w:lang w:val="en-AU"/>
        </w:rPr>
        <w:t xml:space="preserve"> writings. The messia</w:t>
      </w:r>
      <w:r w:rsidR="00F17882" w:rsidRPr="0072758C">
        <w:rPr>
          <w:color w:val="222222"/>
          <w:shd w:val="clear" w:color="auto" w:fill="FFFFFF"/>
          <w:lang w:val="en-AU"/>
        </w:rPr>
        <w:t>h</w:t>
      </w:r>
      <w:r w:rsidRPr="0072758C">
        <w:rPr>
          <w:color w:val="222222"/>
          <w:shd w:val="clear" w:color="auto" w:fill="FFFFFF"/>
          <w:lang w:val="en-AU"/>
        </w:rPr>
        <w:t xml:space="preserve"> lineage from </w:t>
      </w:r>
      <w:r w:rsidR="00F17882" w:rsidRPr="0072758C">
        <w:rPr>
          <w:color w:val="222222"/>
          <w:shd w:val="clear" w:color="auto" w:fill="FFFFFF"/>
          <w:lang w:val="en-AU"/>
        </w:rPr>
        <w:t xml:space="preserve">the </w:t>
      </w:r>
      <w:r w:rsidRPr="0072758C">
        <w:rPr>
          <w:color w:val="222222"/>
          <w:shd w:val="clear" w:color="auto" w:fill="FFFFFF"/>
          <w:lang w:val="en-AU"/>
        </w:rPr>
        <w:t>Aaron</w:t>
      </w:r>
      <w:r w:rsidR="00F17882" w:rsidRPr="0072758C">
        <w:rPr>
          <w:color w:val="222222"/>
          <w:shd w:val="clear" w:color="auto" w:fill="FFFFFF"/>
          <w:lang w:val="en-AU"/>
        </w:rPr>
        <w:t>ic lineage</w:t>
      </w:r>
      <w:r w:rsidRPr="0072758C">
        <w:rPr>
          <w:color w:val="222222"/>
          <w:shd w:val="clear" w:color="auto" w:fill="FFFFFF"/>
          <w:lang w:val="en-AU"/>
        </w:rPr>
        <w:t xml:space="preserve"> </w:t>
      </w:r>
      <w:r w:rsidR="00F17882" w:rsidRPr="0072758C">
        <w:rPr>
          <w:color w:val="222222"/>
          <w:shd w:val="clear" w:color="auto" w:fill="FFFFFF"/>
          <w:lang w:val="en-AU"/>
        </w:rPr>
        <w:t>would bring</w:t>
      </w:r>
      <w:r w:rsidRPr="0072758C">
        <w:rPr>
          <w:color w:val="222222"/>
          <w:shd w:val="clear" w:color="auto" w:fill="FFFFFF"/>
          <w:lang w:val="en-AU"/>
        </w:rPr>
        <w:t xml:space="preserve"> spiritual renewal within the Temple. The messia</w:t>
      </w:r>
      <w:r w:rsidR="00B66CAF" w:rsidRPr="0072758C">
        <w:rPr>
          <w:color w:val="222222"/>
          <w:shd w:val="clear" w:color="auto" w:fill="FFFFFF"/>
          <w:lang w:val="en-AU"/>
        </w:rPr>
        <w:t xml:space="preserve">h </w:t>
      </w:r>
      <w:r w:rsidRPr="0072758C">
        <w:rPr>
          <w:color w:val="222222"/>
          <w:shd w:val="clear" w:color="auto" w:fill="FFFFFF"/>
          <w:lang w:val="en-AU"/>
        </w:rPr>
        <w:t xml:space="preserve">from </w:t>
      </w:r>
      <w:r w:rsidR="00B66CAF" w:rsidRPr="0072758C">
        <w:rPr>
          <w:color w:val="222222"/>
          <w:shd w:val="clear" w:color="auto" w:fill="FFFFFF"/>
          <w:lang w:val="en-AU"/>
        </w:rPr>
        <w:t xml:space="preserve">the </w:t>
      </w:r>
      <w:r w:rsidRPr="0072758C">
        <w:rPr>
          <w:color w:val="222222"/>
          <w:shd w:val="clear" w:color="auto" w:fill="FFFFFF"/>
          <w:lang w:val="en-AU"/>
        </w:rPr>
        <w:t>David</w:t>
      </w:r>
      <w:r w:rsidR="004B188C" w:rsidRPr="0072758C">
        <w:rPr>
          <w:color w:val="222222"/>
          <w:shd w:val="clear" w:color="auto" w:fill="FFFFFF"/>
          <w:lang w:val="en-AU"/>
        </w:rPr>
        <w:t>ic</w:t>
      </w:r>
      <w:r w:rsidR="00B66CAF" w:rsidRPr="0072758C">
        <w:rPr>
          <w:color w:val="222222"/>
          <w:shd w:val="clear" w:color="auto" w:fill="FFFFFF"/>
          <w:lang w:val="en-AU"/>
        </w:rPr>
        <w:t xml:space="preserve"> lineage would be a</w:t>
      </w:r>
      <w:r w:rsidRPr="0072758C">
        <w:rPr>
          <w:color w:val="222222"/>
          <w:shd w:val="clear" w:color="auto" w:fill="FFFFFF"/>
          <w:lang w:val="en-AU"/>
        </w:rPr>
        <w:t xml:space="preserve"> militant king who would bring </w:t>
      </w:r>
      <w:r w:rsidR="00B66CAF" w:rsidRPr="0072758C">
        <w:rPr>
          <w:color w:val="222222"/>
          <w:shd w:val="clear" w:color="auto" w:fill="FFFFFF"/>
          <w:lang w:val="en-AU"/>
        </w:rPr>
        <w:t>an end</w:t>
      </w:r>
      <w:r w:rsidRPr="0072758C">
        <w:rPr>
          <w:color w:val="222222"/>
          <w:shd w:val="clear" w:color="auto" w:fill="FFFFFF"/>
          <w:lang w:val="en-AU"/>
        </w:rPr>
        <w:t xml:space="preserve"> to the oppression. </w:t>
      </w:r>
      <w:r w:rsidR="00455CE1" w:rsidRPr="0072758C">
        <w:rPr>
          <w:color w:val="222222"/>
          <w:shd w:val="clear" w:color="auto" w:fill="FFFFFF"/>
          <w:lang w:val="en-AU"/>
        </w:rPr>
        <w:t>Jesus</w:t>
      </w:r>
      <w:r w:rsidR="005C71CB" w:rsidRPr="0072758C">
        <w:rPr>
          <w:color w:val="222222"/>
          <w:shd w:val="clear" w:color="auto" w:fill="FFFFFF"/>
          <w:lang w:val="en-AU"/>
        </w:rPr>
        <w:t>’</w:t>
      </w:r>
      <w:r w:rsidR="007477B7">
        <w:rPr>
          <w:color w:val="222222"/>
          <w:shd w:val="clear" w:color="auto" w:fill="FFFFFF"/>
          <w:lang w:val="en-AU"/>
        </w:rPr>
        <w:t>s</w:t>
      </w:r>
      <w:r w:rsidR="00455CE1" w:rsidRPr="0072758C">
        <w:rPr>
          <w:color w:val="222222"/>
          <w:shd w:val="clear" w:color="auto" w:fill="FFFFFF"/>
          <w:lang w:val="en-AU"/>
        </w:rPr>
        <w:t xml:space="preserve"> teachings, as unique as they are, reflect the dual lineage of Jesus being from Aaron and David. </w:t>
      </w:r>
      <w:r w:rsidR="004B188C" w:rsidRPr="0072758C">
        <w:rPr>
          <w:color w:val="222222"/>
          <w:shd w:val="clear" w:color="auto" w:fill="FFFFFF"/>
          <w:lang w:val="en-AU"/>
        </w:rPr>
        <w:t>In h</w:t>
      </w:r>
      <w:r w:rsidR="00455CE1" w:rsidRPr="0072758C">
        <w:rPr>
          <w:color w:val="222222"/>
          <w:shd w:val="clear" w:color="auto" w:fill="FFFFFF"/>
          <w:lang w:val="en-AU"/>
        </w:rPr>
        <w:t>is ministry</w:t>
      </w:r>
      <w:r w:rsidR="00E11732" w:rsidRPr="0072758C">
        <w:rPr>
          <w:color w:val="222222"/>
          <w:shd w:val="clear" w:color="auto" w:fill="FFFFFF"/>
          <w:lang w:val="en-AU"/>
        </w:rPr>
        <w:t>, he</w:t>
      </w:r>
      <w:r w:rsidR="00455CE1" w:rsidRPr="0072758C">
        <w:rPr>
          <w:color w:val="222222"/>
          <w:shd w:val="clear" w:color="auto" w:fill="FFFFFF"/>
          <w:lang w:val="en-AU"/>
        </w:rPr>
        <w:t xml:space="preserve"> sought to restore the priestly line and the Davidic line; however, it may be </w:t>
      </w:r>
      <w:r w:rsidR="00A52740" w:rsidRPr="0072758C">
        <w:rPr>
          <w:color w:val="222222"/>
          <w:shd w:val="clear" w:color="auto" w:fill="FFFFFF"/>
          <w:lang w:val="en-AU"/>
        </w:rPr>
        <w:t xml:space="preserve">some </w:t>
      </w:r>
      <w:r w:rsidR="00455CE1" w:rsidRPr="0072758C">
        <w:rPr>
          <w:color w:val="222222"/>
          <w:shd w:val="clear" w:color="auto" w:fill="FFFFFF"/>
          <w:lang w:val="en-AU"/>
        </w:rPr>
        <w:t xml:space="preserve">time before that is fulfilled in Christian eschatology. </w:t>
      </w:r>
      <w:r w:rsidR="00F96F0C" w:rsidRPr="0072758C">
        <w:rPr>
          <w:color w:val="222222"/>
          <w:shd w:val="clear" w:color="auto" w:fill="FFFFFF"/>
          <w:lang w:val="en-AU"/>
        </w:rPr>
        <w:t>C</w:t>
      </w:r>
      <w:r w:rsidR="00566A3B" w:rsidRPr="0072758C">
        <w:rPr>
          <w:color w:val="222222"/>
          <w:shd w:val="clear" w:color="auto" w:fill="FFFFFF"/>
          <w:lang w:val="en-AU"/>
        </w:rPr>
        <w:t xml:space="preserve">onsequently, the political and ethical thought of the people during the time of Jesus is reflected similarly in </w:t>
      </w:r>
      <w:r w:rsidR="009E620C" w:rsidRPr="0072758C">
        <w:rPr>
          <w:color w:val="222222"/>
          <w:shd w:val="clear" w:color="auto" w:fill="FFFFFF"/>
          <w:lang w:val="en-AU"/>
        </w:rPr>
        <w:t xml:space="preserve">both </w:t>
      </w:r>
      <w:r w:rsidR="00566A3B" w:rsidRPr="0072758C">
        <w:rPr>
          <w:color w:val="222222"/>
          <w:shd w:val="clear" w:color="auto" w:fill="FFFFFF"/>
          <w:lang w:val="en-AU"/>
        </w:rPr>
        <w:t>Matthew</w:t>
      </w:r>
      <w:r w:rsidR="00455CE1" w:rsidRPr="0072758C">
        <w:rPr>
          <w:color w:val="222222"/>
          <w:shd w:val="clear" w:color="auto" w:fill="FFFFFF"/>
          <w:lang w:val="en-AU"/>
        </w:rPr>
        <w:t xml:space="preserve"> 5:38</w:t>
      </w:r>
      <w:r w:rsidR="009E620C" w:rsidRPr="0072758C">
        <w:rPr>
          <w:color w:val="222222"/>
          <w:shd w:val="clear" w:color="auto" w:fill="FFFFFF"/>
          <w:lang w:val="en-AU"/>
        </w:rPr>
        <w:t>‒</w:t>
      </w:r>
      <w:r w:rsidR="00455CE1" w:rsidRPr="0072758C">
        <w:rPr>
          <w:color w:val="222222"/>
          <w:shd w:val="clear" w:color="auto" w:fill="FFFFFF"/>
          <w:lang w:val="en-AU"/>
        </w:rPr>
        <w:t>42</w:t>
      </w:r>
      <w:r w:rsidR="00566A3B" w:rsidRPr="0072758C">
        <w:rPr>
          <w:color w:val="222222"/>
          <w:shd w:val="clear" w:color="auto" w:fill="FFFFFF"/>
          <w:lang w:val="en-AU"/>
        </w:rPr>
        <w:t xml:space="preserve"> and the </w:t>
      </w:r>
      <w:r w:rsidR="00566A3B" w:rsidRPr="0072758C">
        <w:rPr>
          <w:i/>
          <w:iCs/>
          <w:color w:val="222222"/>
          <w:shd w:val="clear" w:color="auto" w:fill="FFFFFF"/>
          <w:lang w:val="en-AU"/>
        </w:rPr>
        <w:t>Mishna Avot</w:t>
      </w:r>
      <w:r w:rsidR="009E620C" w:rsidRPr="0072758C">
        <w:rPr>
          <w:color w:val="222222"/>
          <w:shd w:val="clear" w:color="auto" w:fill="FFFFFF"/>
          <w:lang w:val="en-AU"/>
        </w:rPr>
        <w:t>,</w:t>
      </w:r>
      <w:r w:rsidR="00455CE1" w:rsidRPr="0072758C">
        <w:rPr>
          <w:color w:val="222222"/>
          <w:shd w:val="clear" w:color="auto" w:fill="FFFFFF"/>
          <w:lang w:val="en-AU"/>
        </w:rPr>
        <w:t xml:space="preserve"> demonstrating that Jesus was </w:t>
      </w:r>
      <w:r w:rsidR="00E11732" w:rsidRPr="0072758C">
        <w:rPr>
          <w:color w:val="222222"/>
          <w:shd w:val="clear" w:color="auto" w:fill="FFFFFF"/>
          <w:lang w:val="en-AU"/>
        </w:rPr>
        <w:t>practicing</w:t>
      </w:r>
      <w:r w:rsidR="00455CE1" w:rsidRPr="0072758C">
        <w:rPr>
          <w:color w:val="222222"/>
          <w:shd w:val="clear" w:color="auto" w:fill="FFFFFF"/>
          <w:lang w:val="en-AU"/>
        </w:rPr>
        <w:t xml:space="preserve"> </w:t>
      </w:r>
      <w:r w:rsidR="00611617" w:rsidRPr="0072758C">
        <w:rPr>
          <w:color w:val="222222"/>
          <w:shd w:val="clear" w:color="auto" w:fill="FFFFFF"/>
          <w:lang w:val="en-AU"/>
        </w:rPr>
        <w:t>nonviolent</w:t>
      </w:r>
      <w:r w:rsidR="00455CE1" w:rsidRPr="0072758C">
        <w:rPr>
          <w:color w:val="222222"/>
          <w:shd w:val="clear" w:color="auto" w:fill="FFFFFF"/>
          <w:lang w:val="en-AU"/>
        </w:rPr>
        <w:t xml:space="preserve"> resistance. </w:t>
      </w:r>
    </w:p>
    <w:p w14:paraId="7D1756C5" w14:textId="77777777" w:rsidR="0020742E" w:rsidRPr="009E7B69" w:rsidRDefault="0020742E" w:rsidP="00234D61">
      <w:pPr>
        <w:spacing w:line="480" w:lineRule="auto"/>
        <w:ind w:firstLine="720"/>
        <w:rPr>
          <w:color w:val="222222"/>
          <w:shd w:val="clear" w:color="auto" w:fill="FFFFFF"/>
        </w:rPr>
      </w:pPr>
    </w:p>
    <w:p w14:paraId="03BBF612" w14:textId="443EFF3B" w:rsidR="00566A3B" w:rsidRPr="009E7B69" w:rsidRDefault="00566A3B">
      <w:r w:rsidRPr="009E7B69">
        <w:br w:type="page"/>
      </w:r>
    </w:p>
    <w:p w14:paraId="0764EDDA" w14:textId="12C4E73E" w:rsidR="00534633" w:rsidRPr="00FB2D03" w:rsidRDefault="00BE6BA3" w:rsidP="009F5D32">
      <w:pPr>
        <w:pStyle w:val="Heading1"/>
        <w:rPr>
          <w:lang w:val="en-AU"/>
        </w:rPr>
      </w:pPr>
      <w:bookmarkStart w:id="226" w:name="_Toc94537052"/>
      <w:bookmarkStart w:id="227" w:name="_Toc118063700"/>
      <w:r w:rsidRPr="00FB2D03">
        <w:rPr>
          <w:lang w:val="en-AU"/>
        </w:rPr>
        <w:lastRenderedPageBreak/>
        <w:t>References</w:t>
      </w:r>
      <w:bookmarkEnd w:id="226"/>
      <w:bookmarkEnd w:id="227"/>
    </w:p>
    <w:p w14:paraId="55327C68" w14:textId="34F9AF1D" w:rsidR="008973CD" w:rsidRPr="00FB2D03" w:rsidRDefault="008973CD" w:rsidP="00412D77">
      <w:pPr>
        <w:tabs>
          <w:tab w:val="left" w:pos="5616"/>
        </w:tabs>
        <w:rPr>
          <w:color w:val="000000" w:themeColor="text1"/>
          <w:lang w:val="en-AU"/>
        </w:rPr>
      </w:pPr>
    </w:p>
    <w:p w14:paraId="308BD5A8"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Adams, Sean A. “Paul the Roman Citizen: Roman Citizenship in the Ancient World and Its </w:t>
      </w:r>
    </w:p>
    <w:p w14:paraId="7F9056DC" w14:textId="222A9DED" w:rsidR="00412D77" w:rsidRPr="00FB2D03" w:rsidRDefault="00412D77" w:rsidP="00412D77">
      <w:pPr>
        <w:tabs>
          <w:tab w:val="left" w:pos="5616"/>
        </w:tabs>
        <w:ind w:left="720"/>
        <w:rPr>
          <w:color w:val="000000" w:themeColor="text1"/>
          <w:lang w:val="en-AU"/>
        </w:rPr>
      </w:pPr>
      <w:r w:rsidRPr="00FB2D03">
        <w:rPr>
          <w:color w:val="000000" w:themeColor="text1"/>
          <w:lang w:val="en-AU"/>
        </w:rPr>
        <w:t>Importance for Understanding Acts 22:22-29.” In </w:t>
      </w:r>
      <w:r w:rsidRPr="00FB2D03">
        <w:rPr>
          <w:i/>
          <w:color w:val="000000" w:themeColor="text1"/>
          <w:lang w:val="en-AU"/>
        </w:rPr>
        <w:t>Paul: Jew, Greek, and Roman</w:t>
      </w:r>
      <w:r w:rsidRPr="00FB2D03">
        <w:rPr>
          <w:color w:val="000000" w:themeColor="text1"/>
          <w:lang w:val="en-AU"/>
        </w:rPr>
        <w:t>, 309–26. Leiden: Brill, 2008.</w:t>
      </w:r>
    </w:p>
    <w:p w14:paraId="5F61250A" w14:textId="77777777" w:rsidR="00412D77" w:rsidRPr="00FB2D03" w:rsidRDefault="00412D77" w:rsidP="00412D77">
      <w:pPr>
        <w:tabs>
          <w:tab w:val="left" w:pos="5616"/>
        </w:tabs>
        <w:rPr>
          <w:color w:val="000000" w:themeColor="text1"/>
          <w:lang w:val="en-AU"/>
        </w:rPr>
      </w:pPr>
    </w:p>
    <w:p w14:paraId="2CD6D8DC"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Abegg Jr., Martin G. “The Messiah at Qumran: Are We Still Seeing Double?” </w:t>
      </w:r>
      <w:r w:rsidRPr="00FB2D03">
        <w:rPr>
          <w:i/>
          <w:color w:val="000000" w:themeColor="text1"/>
          <w:lang w:val="en-AU"/>
        </w:rPr>
        <w:t xml:space="preserve">Dead Sea </w:t>
      </w:r>
    </w:p>
    <w:p w14:paraId="494A3CCC" w14:textId="77777777" w:rsidR="00412D77" w:rsidRPr="00FB2D03" w:rsidRDefault="00412D77" w:rsidP="00412D77">
      <w:pPr>
        <w:tabs>
          <w:tab w:val="left" w:pos="5616"/>
        </w:tabs>
        <w:ind w:left="720"/>
        <w:rPr>
          <w:color w:val="000000" w:themeColor="text1"/>
          <w:lang w:val="en-AU"/>
        </w:rPr>
      </w:pPr>
      <w:r w:rsidRPr="00FB2D03">
        <w:rPr>
          <w:i/>
          <w:color w:val="000000" w:themeColor="text1"/>
          <w:lang w:val="en-AU"/>
        </w:rPr>
        <w:t xml:space="preserve">Discoveries </w:t>
      </w:r>
      <w:r w:rsidRPr="00FB2D03">
        <w:rPr>
          <w:color w:val="000000" w:themeColor="text1"/>
          <w:lang w:val="en-AU"/>
        </w:rPr>
        <w:t>2 (1995): 125–44.</w:t>
      </w:r>
    </w:p>
    <w:p w14:paraId="400B45E3" w14:textId="77777777" w:rsidR="00412D77" w:rsidRPr="00FB2D03" w:rsidRDefault="00412D77" w:rsidP="00412D77">
      <w:pPr>
        <w:tabs>
          <w:tab w:val="left" w:pos="5616"/>
        </w:tabs>
        <w:rPr>
          <w:color w:val="000000" w:themeColor="text1"/>
          <w:lang w:val="en-AU"/>
        </w:rPr>
      </w:pPr>
    </w:p>
    <w:p w14:paraId="0B84DEE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Abegg, Jr., M. G., J.E. Bowley &amp; E.M. Cook, </w:t>
      </w:r>
      <w:r w:rsidRPr="00FB2D03">
        <w:rPr>
          <w:i/>
          <w:color w:val="000000" w:themeColor="text1"/>
          <w:lang w:val="en-AU"/>
        </w:rPr>
        <w:t>The Dead Sea Scrolls Concordance</w:t>
      </w:r>
      <w:r w:rsidRPr="00FB2D03">
        <w:rPr>
          <w:color w:val="000000" w:themeColor="text1"/>
          <w:lang w:val="en-AU"/>
        </w:rPr>
        <w:t xml:space="preserve">, Vol.1: </w:t>
      </w:r>
    </w:p>
    <w:p w14:paraId="0367D156"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The Non–Biblical Texts from Qumran</w:t>
      </w:r>
      <w:r w:rsidRPr="00FB2D03">
        <w:rPr>
          <w:color w:val="000000" w:themeColor="text1"/>
          <w:lang w:val="en-AU"/>
        </w:rPr>
        <w:t xml:space="preserve">. Leiden: Brill, 2003. </w:t>
      </w:r>
    </w:p>
    <w:p w14:paraId="40D67110" w14:textId="77777777" w:rsidR="00412D77" w:rsidRPr="00FB2D03" w:rsidRDefault="00412D77" w:rsidP="00412D77">
      <w:pPr>
        <w:tabs>
          <w:tab w:val="left" w:pos="5616"/>
        </w:tabs>
        <w:rPr>
          <w:color w:val="000000" w:themeColor="text1"/>
          <w:lang w:val="en-AU"/>
        </w:rPr>
      </w:pPr>
    </w:p>
    <w:p w14:paraId="7DBC3BB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Abernethy, Andrew T. </w:t>
      </w:r>
      <w:r w:rsidRPr="00FB2D03">
        <w:rPr>
          <w:i/>
          <w:color w:val="000000" w:themeColor="text1"/>
          <w:lang w:val="en-AU"/>
        </w:rPr>
        <w:t>God's Messiah in the Old Testament: Expectations of a Coming King</w:t>
      </w:r>
      <w:r w:rsidRPr="00FB2D03">
        <w:rPr>
          <w:color w:val="000000" w:themeColor="text1"/>
          <w:lang w:val="en-AU"/>
        </w:rPr>
        <w:t xml:space="preserve">. </w:t>
      </w:r>
    </w:p>
    <w:p w14:paraId="394BD191"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Grand Rapids: Baker Academic, 2020.</w:t>
      </w:r>
    </w:p>
    <w:p w14:paraId="2CB38BB5" w14:textId="77777777" w:rsidR="00412D77" w:rsidRPr="00FB2D03" w:rsidRDefault="00412D77" w:rsidP="00412D77">
      <w:pPr>
        <w:tabs>
          <w:tab w:val="left" w:pos="5616"/>
        </w:tabs>
        <w:rPr>
          <w:color w:val="000000" w:themeColor="text1"/>
          <w:lang w:val="en-AU"/>
        </w:rPr>
      </w:pPr>
    </w:p>
    <w:p w14:paraId="7F036508" w14:textId="77777777" w:rsidR="00412D77" w:rsidRPr="00FB2D03" w:rsidRDefault="00412D77" w:rsidP="00412D77">
      <w:pPr>
        <w:tabs>
          <w:tab w:val="left" w:pos="5616"/>
        </w:tabs>
        <w:rPr>
          <w:color w:val="000000" w:themeColor="text1"/>
          <w:lang w:val="en-AU"/>
        </w:rPr>
      </w:pPr>
      <w:r w:rsidRPr="00FB2D03">
        <w:rPr>
          <w:color w:val="000000" w:themeColor="text1"/>
          <w:lang w:val="en-AU"/>
        </w:rPr>
        <w:t>Adkins, Lesley, and Roy Adkins. </w:t>
      </w:r>
      <w:r w:rsidRPr="00FB2D03">
        <w:rPr>
          <w:i/>
          <w:color w:val="000000" w:themeColor="text1"/>
          <w:lang w:val="en-AU"/>
        </w:rPr>
        <w:t>Handbook to Life in Ancient Rome</w:t>
      </w:r>
      <w:r w:rsidRPr="00FB2D03">
        <w:rPr>
          <w:color w:val="000000" w:themeColor="text1"/>
          <w:lang w:val="en-AU"/>
        </w:rPr>
        <w:t xml:space="preserve">. New York: Facts on </w:t>
      </w:r>
    </w:p>
    <w:p w14:paraId="4047F2A5"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File, 2009.</w:t>
      </w:r>
    </w:p>
    <w:p w14:paraId="23347ED5" w14:textId="77777777" w:rsidR="00412D77" w:rsidRPr="00FB2D03" w:rsidRDefault="00412D77" w:rsidP="00412D77">
      <w:pPr>
        <w:tabs>
          <w:tab w:val="left" w:pos="5616"/>
        </w:tabs>
        <w:rPr>
          <w:color w:val="000000" w:themeColor="text1"/>
          <w:lang w:val="en-AU"/>
        </w:rPr>
      </w:pPr>
    </w:p>
    <w:p w14:paraId="2FF27185" w14:textId="77777777" w:rsidR="00412D77" w:rsidRPr="00FB2D03" w:rsidRDefault="00412D77" w:rsidP="00412D77">
      <w:pPr>
        <w:tabs>
          <w:tab w:val="left" w:pos="5616"/>
        </w:tabs>
        <w:rPr>
          <w:i/>
          <w:color w:val="000000" w:themeColor="text1"/>
          <w:lang w:val="en-AU"/>
        </w:rPr>
      </w:pPr>
      <w:r w:rsidRPr="00FB2D03">
        <w:rPr>
          <w:color w:val="000000" w:themeColor="text1"/>
          <w:lang w:val="en-AU"/>
        </w:rPr>
        <w:t>Adler, Yonattan. “The Hellenistic Origins of Jewish Ritual Immersion.” </w:t>
      </w:r>
      <w:r w:rsidRPr="00FB2D03">
        <w:rPr>
          <w:i/>
          <w:color w:val="000000" w:themeColor="text1"/>
          <w:lang w:val="en-AU"/>
        </w:rPr>
        <w:t xml:space="preserve">Journal of Jewish </w:t>
      </w:r>
    </w:p>
    <w:p w14:paraId="02F9C161"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Studies</w:t>
      </w:r>
      <w:r w:rsidRPr="00FB2D03">
        <w:rPr>
          <w:color w:val="000000" w:themeColor="text1"/>
          <w:lang w:val="en-AU"/>
        </w:rPr>
        <w:t> 69 (2018): 1–21.</w:t>
      </w:r>
    </w:p>
    <w:p w14:paraId="427C5358" w14:textId="77777777" w:rsidR="00412D77" w:rsidRPr="00FB2D03" w:rsidRDefault="00412D77" w:rsidP="00412D77">
      <w:pPr>
        <w:tabs>
          <w:tab w:val="left" w:pos="5616"/>
        </w:tabs>
        <w:rPr>
          <w:color w:val="000000" w:themeColor="text1"/>
          <w:lang w:val="en-AU"/>
        </w:rPr>
      </w:pPr>
    </w:p>
    <w:p w14:paraId="36963E2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“Second Temple Period Ritual Baths Adjacent to Agricultural Installations: The </w:t>
      </w:r>
    </w:p>
    <w:p w14:paraId="3CDB06DB" w14:textId="77777777" w:rsidR="00412D77" w:rsidRPr="00FB2D03" w:rsidRDefault="00412D77" w:rsidP="00AD1181">
      <w:pPr>
        <w:tabs>
          <w:tab w:val="left" w:pos="5616"/>
        </w:tabs>
        <w:ind w:left="720"/>
        <w:rPr>
          <w:i/>
          <w:color w:val="000000" w:themeColor="text1"/>
          <w:lang w:val="en-AU"/>
        </w:rPr>
      </w:pPr>
      <w:r w:rsidRPr="00FB2D03">
        <w:rPr>
          <w:color w:val="000000" w:themeColor="text1"/>
          <w:lang w:val="en-AU"/>
        </w:rPr>
        <w:t xml:space="preserve">Archaeological Evidence </w:t>
      </w:r>
      <w:proofErr w:type="gramStart"/>
      <w:r w:rsidRPr="00FB2D03">
        <w:rPr>
          <w:color w:val="000000" w:themeColor="text1"/>
          <w:lang w:val="en-AU"/>
        </w:rPr>
        <w:t>in Light of</w:t>
      </w:r>
      <w:proofErr w:type="gramEnd"/>
      <w:r w:rsidRPr="00FB2D03">
        <w:rPr>
          <w:color w:val="000000" w:themeColor="text1"/>
          <w:lang w:val="en-AU"/>
        </w:rPr>
        <w:t xml:space="preserve"> the Halakhic Sources.” </w:t>
      </w:r>
      <w:r w:rsidRPr="00FB2D03">
        <w:rPr>
          <w:i/>
          <w:color w:val="000000" w:themeColor="text1"/>
          <w:lang w:val="en-AU"/>
        </w:rPr>
        <w:t xml:space="preserve">Journal of Jewish </w:t>
      </w:r>
    </w:p>
    <w:p w14:paraId="39A2CB3D"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Studies</w:t>
      </w:r>
      <w:r w:rsidRPr="00FB2D03">
        <w:rPr>
          <w:color w:val="000000" w:themeColor="text1"/>
          <w:lang w:val="en-AU"/>
        </w:rPr>
        <w:t> 59 (2008): 62–72.</w:t>
      </w:r>
    </w:p>
    <w:p w14:paraId="355BA82C" w14:textId="77777777" w:rsidR="00412D77" w:rsidRPr="00FB2D03" w:rsidRDefault="00412D77" w:rsidP="00412D77">
      <w:pPr>
        <w:tabs>
          <w:tab w:val="left" w:pos="5616"/>
        </w:tabs>
        <w:rPr>
          <w:color w:val="000000" w:themeColor="text1"/>
          <w:lang w:val="en-AU"/>
        </w:rPr>
      </w:pPr>
    </w:p>
    <w:p w14:paraId="184F5EA1"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Albertz, Rainer and John Bowden. “From the Beginnings to the End of the Monarchy.” </w:t>
      </w:r>
    </w:p>
    <w:p w14:paraId="37EDF445" w14:textId="59C6707A" w:rsidR="00412D77" w:rsidRPr="00FB2D03" w:rsidRDefault="00412D77" w:rsidP="00AD1181">
      <w:pPr>
        <w:tabs>
          <w:tab w:val="left" w:pos="5616"/>
        </w:tabs>
        <w:ind w:left="720"/>
        <w:rPr>
          <w:color w:val="000000" w:themeColor="text1"/>
          <w:lang w:val="en-AU"/>
        </w:rPr>
      </w:pPr>
      <w:r w:rsidRPr="00FB2D03">
        <w:rPr>
          <w:i/>
          <w:color w:val="000000" w:themeColor="text1"/>
          <w:lang w:val="en-AU"/>
        </w:rPr>
        <w:t>Journal of Near Eastern Studies</w:t>
      </w:r>
      <w:r w:rsidRPr="00FB2D03">
        <w:rPr>
          <w:color w:val="000000" w:themeColor="text1"/>
          <w:lang w:val="en-AU"/>
        </w:rPr>
        <w:t xml:space="preserve"> 57 (1998): 224–27.</w:t>
      </w:r>
    </w:p>
    <w:p w14:paraId="3EC0D43B" w14:textId="77777777" w:rsidR="00412D77" w:rsidRPr="00FB2D03" w:rsidRDefault="00412D77" w:rsidP="00412D77">
      <w:pPr>
        <w:tabs>
          <w:tab w:val="left" w:pos="5616"/>
        </w:tabs>
        <w:rPr>
          <w:color w:val="000000" w:themeColor="text1"/>
          <w:lang w:val="en-AU"/>
        </w:rPr>
      </w:pPr>
    </w:p>
    <w:p w14:paraId="069ABB1F" w14:textId="77777777" w:rsidR="00412D77" w:rsidRPr="00FB2D03" w:rsidRDefault="00412D77" w:rsidP="00412D77">
      <w:pPr>
        <w:tabs>
          <w:tab w:val="left" w:pos="5616"/>
        </w:tabs>
        <w:rPr>
          <w:color w:val="000000" w:themeColor="text1"/>
          <w:lang w:val="en-AU"/>
        </w:rPr>
      </w:pPr>
      <w:r w:rsidRPr="00FB2D03">
        <w:rPr>
          <w:color w:val="000000" w:themeColor="text1"/>
          <w:lang w:val="en-AU"/>
        </w:rPr>
        <w:t>Albrektson, B. </w:t>
      </w:r>
      <w:r w:rsidRPr="00FB2D03">
        <w:rPr>
          <w:i/>
          <w:color w:val="000000" w:themeColor="text1"/>
          <w:lang w:val="en-AU"/>
        </w:rPr>
        <w:t>History and The Gods</w:t>
      </w:r>
      <w:r w:rsidRPr="00FB2D03">
        <w:rPr>
          <w:color w:val="000000" w:themeColor="text1"/>
          <w:lang w:val="en-AU"/>
        </w:rPr>
        <w:t>. Winona Lake: Eisenbrauns, 2011.</w:t>
      </w:r>
    </w:p>
    <w:p w14:paraId="79094603" w14:textId="77777777" w:rsidR="00412D77" w:rsidRPr="00FB2D03" w:rsidRDefault="00412D77" w:rsidP="00412D77">
      <w:pPr>
        <w:tabs>
          <w:tab w:val="left" w:pos="5616"/>
        </w:tabs>
        <w:rPr>
          <w:color w:val="000000" w:themeColor="text1"/>
          <w:lang w:val="en-AU"/>
        </w:rPr>
      </w:pPr>
    </w:p>
    <w:p w14:paraId="73CFD24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Albright, W. </w:t>
      </w:r>
      <w:proofErr w:type="gramStart"/>
      <w:r w:rsidRPr="00FB2D03">
        <w:rPr>
          <w:color w:val="000000" w:themeColor="text1"/>
          <w:lang w:val="en-AU"/>
        </w:rPr>
        <w:t>F.</w:t>
      </w:r>
      <w:proofErr w:type="gramEnd"/>
      <w:r w:rsidRPr="00FB2D03">
        <w:rPr>
          <w:color w:val="000000" w:themeColor="text1"/>
          <w:lang w:val="en-AU"/>
        </w:rPr>
        <w:t xml:space="preserve"> and C.S. Mann. </w:t>
      </w:r>
      <w:r w:rsidRPr="00FB2D03">
        <w:rPr>
          <w:i/>
          <w:color w:val="000000" w:themeColor="text1"/>
          <w:lang w:val="en-AU"/>
        </w:rPr>
        <w:t>The Anchor Bible: Matthew</w:t>
      </w:r>
      <w:r w:rsidRPr="00FB2D03">
        <w:rPr>
          <w:color w:val="000000" w:themeColor="text1"/>
          <w:lang w:val="en-AU"/>
        </w:rPr>
        <w:t xml:space="preserve">. Garden City, NJ: Doubleday, </w:t>
      </w:r>
    </w:p>
    <w:p w14:paraId="06C3E5DD" w14:textId="7AE2E4DA" w:rsidR="00412D77" w:rsidRPr="00FB2D03" w:rsidRDefault="00412D77" w:rsidP="00AD1181">
      <w:pPr>
        <w:tabs>
          <w:tab w:val="left" w:pos="5616"/>
        </w:tabs>
        <w:ind w:left="720"/>
        <w:rPr>
          <w:color w:val="000000" w:themeColor="text1"/>
          <w:lang w:val="en-AU"/>
        </w:rPr>
      </w:pPr>
      <w:r w:rsidRPr="00FB2D03">
        <w:rPr>
          <w:color w:val="000000" w:themeColor="text1"/>
          <w:lang w:val="en-AU"/>
        </w:rPr>
        <w:t>1971.</w:t>
      </w:r>
    </w:p>
    <w:p w14:paraId="2455F593" w14:textId="77777777" w:rsidR="00412D77" w:rsidRPr="00FB2D03" w:rsidRDefault="00412D77" w:rsidP="00412D77">
      <w:pPr>
        <w:tabs>
          <w:tab w:val="left" w:pos="5616"/>
        </w:tabs>
        <w:rPr>
          <w:color w:val="000000" w:themeColor="text1"/>
          <w:lang w:val="en-AU"/>
        </w:rPr>
      </w:pPr>
    </w:p>
    <w:p w14:paraId="10BADB4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Alexander, Philip S. “‘The Parting of the Ways’ from the Perspective of Rabbinic Judaism.” </w:t>
      </w:r>
    </w:p>
    <w:p w14:paraId="6B7AE238" w14:textId="77777777" w:rsidR="00412D77" w:rsidRPr="00FB2D03" w:rsidRDefault="00412D77" w:rsidP="00AD1181">
      <w:pPr>
        <w:tabs>
          <w:tab w:val="left" w:pos="5616"/>
        </w:tabs>
        <w:ind w:left="720"/>
        <w:rPr>
          <w:i/>
          <w:color w:val="000000" w:themeColor="text1"/>
          <w:lang w:val="en-AU"/>
        </w:rPr>
      </w:pPr>
      <w:r w:rsidRPr="00FB2D03">
        <w:rPr>
          <w:color w:val="000000" w:themeColor="text1"/>
          <w:lang w:val="en-AU"/>
        </w:rPr>
        <w:t xml:space="preserve">in </w:t>
      </w:r>
      <w:r w:rsidRPr="00FB2D03">
        <w:rPr>
          <w:i/>
          <w:color w:val="000000" w:themeColor="text1"/>
          <w:lang w:val="en-AU"/>
        </w:rPr>
        <w:t>Jews and Christians: the parting of the ways, A.D. 70 to 135: The Second Durham-</w:t>
      </w:r>
    </w:p>
    <w:p w14:paraId="64457DB8" w14:textId="66A3416F" w:rsidR="00412D77" w:rsidRPr="00FB2D03" w:rsidRDefault="00412D77" w:rsidP="00AD1181">
      <w:pPr>
        <w:tabs>
          <w:tab w:val="left" w:pos="5616"/>
        </w:tabs>
        <w:ind w:left="720"/>
        <w:rPr>
          <w:color w:val="000000" w:themeColor="text1"/>
          <w:lang w:val="en-AU"/>
        </w:rPr>
      </w:pPr>
      <w:r w:rsidRPr="00FB2D03">
        <w:rPr>
          <w:i/>
          <w:color w:val="000000" w:themeColor="text1"/>
          <w:lang w:val="en-AU"/>
        </w:rPr>
        <w:t>Tübingen Research Symposium on Earliest Christianity and Judaism</w:t>
      </w:r>
      <w:r w:rsidRPr="00FB2D03">
        <w:rPr>
          <w:color w:val="000000" w:themeColor="text1"/>
          <w:lang w:val="en-AU"/>
        </w:rPr>
        <w:t>. ed. James D. G. Dunn. Tübingen: Paul Siebeck,</w:t>
      </w:r>
      <w:r w:rsidR="005E1B2F" w:rsidRPr="00FB2D03">
        <w:rPr>
          <w:color w:val="000000" w:themeColor="text1"/>
          <w:lang w:val="en-AU"/>
        </w:rPr>
        <w:t xml:space="preserve"> </w:t>
      </w:r>
      <w:r w:rsidRPr="00FB2D03">
        <w:rPr>
          <w:color w:val="000000" w:themeColor="text1"/>
          <w:lang w:val="en-AU"/>
        </w:rPr>
        <w:t>1992.</w:t>
      </w:r>
    </w:p>
    <w:p w14:paraId="58F4F3F4" w14:textId="77777777" w:rsidR="00412D77" w:rsidRPr="00FB2D03" w:rsidRDefault="00412D77" w:rsidP="00412D77">
      <w:pPr>
        <w:tabs>
          <w:tab w:val="left" w:pos="5616"/>
        </w:tabs>
        <w:rPr>
          <w:color w:val="000000" w:themeColor="text1"/>
          <w:lang w:val="en-AU"/>
        </w:rPr>
      </w:pPr>
    </w:p>
    <w:p w14:paraId="483FB800" w14:textId="25F621FA" w:rsidR="00412D77" w:rsidRPr="00FB2D03" w:rsidRDefault="00412D77" w:rsidP="00412D77">
      <w:pPr>
        <w:tabs>
          <w:tab w:val="left" w:pos="5616"/>
        </w:tabs>
        <w:rPr>
          <w:color w:val="000000" w:themeColor="text1"/>
          <w:lang w:val="en-AU"/>
        </w:rPr>
      </w:pPr>
      <w:r w:rsidRPr="00FB2D03">
        <w:rPr>
          <w:color w:val="000000" w:themeColor="text1"/>
          <w:lang w:val="en-AU"/>
        </w:rPr>
        <w:t xml:space="preserve">Allis, Oswald T. “The Unity of Isaiah: A Study in Prophecy.” Philadelphia: Presbyterian and </w:t>
      </w:r>
    </w:p>
    <w:p w14:paraId="4F82A21A" w14:textId="6E823348" w:rsidR="00412D77" w:rsidRPr="00FB2D03" w:rsidRDefault="00412D77" w:rsidP="00AD1181">
      <w:pPr>
        <w:tabs>
          <w:tab w:val="left" w:pos="5616"/>
        </w:tabs>
        <w:ind w:left="720"/>
        <w:rPr>
          <w:color w:val="000000" w:themeColor="text1"/>
          <w:lang w:val="en-AU"/>
        </w:rPr>
      </w:pPr>
      <w:r w:rsidRPr="00FB2D03">
        <w:rPr>
          <w:color w:val="000000" w:themeColor="text1"/>
          <w:lang w:val="en-AU"/>
        </w:rPr>
        <w:t>Reformed, 1950.</w:t>
      </w:r>
    </w:p>
    <w:p w14:paraId="6191B1EF" w14:textId="77777777" w:rsidR="00412D77" w:rsidRPr="00FB2D03" w:rsidRDefault="00412D77" w:rsidP="00412D77">
      <w:pPr>
        <w:tabs>
          <w:tab w:val="left" w:pos="5616"/>
        </w:tabs>
        <w:rPr>
          <w:color w:val="000000" w:themeColor="text1"/>
          <w:lang w:val="en-AU"/>
        </w:rPr>
      </w:pPr>
    </w:p>
    <w:p w14:paraId="2D640CA5" w14:textId="13F64B98" w:rsidR="00412D77" w:rsidRPr="00FB2D03" w:rsidRDefault="00412D77" w:rsidP="00412D77">
      <w:pPr>
        <w:tabs>
          <w:tab w:val="left" w:pos="5616"/>
        </w:tabs>
        <w:rPr>
          <w:color w:val="000000" w:themeColor="text1"/>
          <w:lang w:val="en-AU"/>
        </w:rPr>
      </w:pPr>
      <w:r w:rsidRPr="00FB2D03">
        <w:rPr>
          <w:color w:val="000000" w:themeColor="text1"/>
          <w:lang w:val="en-AU"/>
        </w:rPr>
        <w:t>Allister, John. “The Amalekite Genocide.” </w:t>
      </w:r>
      <w:r w:rsidRPr="00FB2D03">
        <w:rPr>
          <w:i/>
          <w:color w:val="000000" w:themeColor="text1"/>
          <w:lang w:val="en-AU"/>
        </w:rPr>
        <w:t>Churchman</w:t>
      </w:r>
      <w:r w:rsidRPr="00FB2D03">
        <w:rPr>
          <w:color w:val="000000" w:themeColor="text1"/>
          <w:lang w:val="en-AU"/>
        </w:rPr>
        <w:t> 124 (2010): 217–26.</w:t>
      </w:r>
    </w:p>
    <w:p w14:paraId="7245E237" w14:textId="77777777" w:rsidR="00412D77" w:rsidRPr="00FB2D03" w:rsidRDefault="00412D77" w:rsidP="00412D77">
      <w:pPr>
        <w:tabs>
          <w:tab w:val="left" w:pos="5616"/>
        </w:tabs>
        <w:rPr>
          <w:color w:val="000000" w:themeColor="text1"/>
          <w:lang w:val="en-AU"/>
        </w:rPr>
      </w:pPr>
    </w:p>
    <w:p w14:paraId="7E0454BC"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Allegro, John M. “Further Messianic References in Qumran Literature.” </w:t>
      </w:r>
      <w:r w:rsidRPr="00FB2D03">
        <w:rPr>
          <w:i/>
          <w:color w:val="000000" w:themeColor="text1"/>
          <w:lang w:val="en-AU"/>
        </w:rPr>
        <w:t xml:space="preserve">Journal of Biblical </w:t>
      </w:r>
    </w:p>
    <w:p w14:paraId="07339AC6"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Literature </w:t>
      </w:r>
      <w:r w:rsidRPr="00FB2D03">
        <w:rPr>
          <w:color w:val="000000" w:themeColor="text1"/>
          <w:lang w:val="en-AU"/>
        </w:rPr>
        <w:t xml:space="preserve">75 (1956): 177–82. </w:t>
      </w:r>
    </w:p>
    <w:p w14:paraId="61C555C0" w14:textId="77777777" w:rsidR="00412D77" w:rsidRPr="00FB2D03" w:rsidRDefault="00412D77" w:rsidP="00412D77">
      <w:pPr>
        <w:tabs>
          <w:tab w:val="left" w:pos="5616"/>
        </w:tabs>
        <w:rPr>
          <w:color w:val="000000" w:themeColor="text1"/>
          <w:lang w:val="en-AU"/>
        </w:rPr>
      </w:pPr>
    </w:p>
    <w:p w14:paraId="6A778CF3"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Allen, Jonathan. “Balancing Justice and Social Unity: Political Theory and the Idea of a </w:t>
      </w:r>
    </w:p>
    <w:p w14:paraId="07673D31"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Truth and Reconciliation Commission.” </w:t>
      </w:r>
      <w:r w:rsidRPr="00FB2D03">
        <w:rPr>
          <w:i/>
          <w:color w:val="000000" w:themeColor="text1"/>
          <w:lang w:val="en-AU"/>
        </w:rPr>
        <w:t>The University of Toronto Law Journal</w:t>
      </w:r>
      <w:r w:rsidRPr="00FB2D03">
        <w:rPr>
          <w:color w:val="000000" w:themeColor="text1"/>
          <w:lang w:val="en-AU"/>
        </w:rPr>
        <w:t> 49 (1999): 315–53.</w:t>
      </w:r>
    </w:p>
    <w:p w14:paraId="1EA33E65" w14:textId="77777777" w:rsidR="00412D77" w:rsidRPr="00FB2D03" w:rsidRDefault="00412D77" w:rsidP="00412D77">
      <w:pPr>
        <w:tabs>
          <w:tab w:val="left" w:pos="5616"/>
        </w:tabs>
        <w:rPr>
          <w:color w:val="000000" w:themeColor="text1"/>
          <w:lang w:val="en-AU"/>
        </w:rPr>
      </w:pPr>
    </w:p>
    <w:p w14:paraId="779D6801" w14:textId="77777777" w:rsidR="00412D77" w:rsidRPr="00FB2D03" w:rsidRDefault="00412D77" w:rsidP="00412D77">
      <w:pPr>
        <w:tabs>
          <w:tab w:val="left" w:pos="5616"/>
        </w:tabs>
        <w:rPr>
          <w:color w:val="000000" w:themeColor="text1"/>
          <w:lang w:val="en-AU"/>
        </w:rPr>
      </w:pPr>
      <w:r w:rsidRPr="00FB2D03">
        <w:rPr>
          <w:color w:val="000000" w:themeColor="text1"/>
          <w:lang w:val="en-AU"/>
        </w:rPr>
        <w:t>Allison, Dale C. </w:t>
      </w:r>
      <w:r w:rsidRPr="00FB2D03">
        <w:rPr>
          <w:i/>
          <w:color w:val="000000" w:themeColor="text1"/>
          <w:lang w:val="en-AU"/>
        </w:rPr>
        <w:t>Resurrecting Jesus: The Earliest Christian Tradition and its Interpreters</w:t>
      </w:r>
      <w:r w:rsidRPr="00FB2D03">
        <w:rPr>
          <w:color w:val="000000" w:themeColor="text1"/>
          <w:lang w:val="en-AU"/>
        </w:rPr>
        <w:t xml:space="preserve">. </w:t>
      </w:r>
    </w:p>
    <w:p w14:paraId="6CABDADB"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New York: T &amp; T Clark, 2006.</w:t>
      </w:r>
    </w:p>
    <w:p w14:paraId="17F8045D" w14:textId="77777777" w:rsidR="00412D77" w:rsidRPr="00FB2D03" w:rsidRDefault="00412D77" w:rsidP="00412D77">
      <w:pPr>
        <w:tabs>
          <w:tab w:val="left" w:pos="5616"/>
        </w:tabs>
        <w:rPr>
          <w:color w:val="000000" w:themeColor="text1"/>
          <w:lang w:val="en-AU"/>
        </w:rPr>
      </w:pPr>
    </w:p>
    <w:p w14:paraId="20CC208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Sermon on the Mount.</w:t>
      </w:r>
      <w:r w:rsidRPr="00FB2D03">
        <w:rPr>
          <w:color w:val="000000" w:themeColor="text1"/>
          <w:lang w:val="en-AU"/>
        </w:rPr>
        <w:t xml:space="preserve"> New York: Crossroad, 1999.</w:t>
      </w:r>
    </w:p>
    <w:p w14:paraId="5209A6F9" w14:textId="77777777" w:rsidR="00412D77" w:rsidRPr="00FB2D03" w:rsidRDefault="00412D77" w:rsidP="00412D77">
      <w:pPr>
        <w:tabs>
          <w:tab w:val="left" w:pos="5616"/>
        </w:tabs>
        <w:rPr>
          <w:color w:val="000000" w:themeColor="text1"/>
          <w:lang w:val="en-AU"/>
        </w:rPr>
      </w:pPr>
    </w:p>
    <w:p w14:paraId="575791EC" w14:textId="77777777" w:rsidR="00412D77" w:rsidRPr="00FB2D03" w:rsidRDefault="00412D77" w:rsidP="00412D77">
      <w:pPr>
        <w:tabs>
          <w:tab w:val="left" w:pos="5616"/>
        </w:tabs>
        <w:rPr>
          <w:color w:val="000000" w:themeColor="text1"/>
          <w:lang w:val="en-AU"/>
        </w:rPr>
      </w:pPr>
      <w:r w:rsidRPr="00FB2D03">
        <w:rPr>
          <w:color w:val="000000" w:themeColor="text1"/>
          <w:lang w:val="en-AU"/>
        </w:rPr>
        <w:t>Allison, Dale C, and W. D. Davies. </w:t>
      </w:r>
      <w:r w:rsidRPr="00FB2D03">
        <w:rPr>
          <w:i/>
          <w:color w:val="000000" w:themeColor="text1"/>
          <w:lang w:val="en-AU"/>
        </w:rPr>
        <w:t>Matthew</w:t>
      </w:r>
      <w:r w:rsidRPr="00FB2D03">
        <w:rPr>
          <w:color w:val="000000" w:themeColor="text1"/>
          <w:lang w:val="en-AU"/>
        </w:rPr>
        <w:t>. London: T &amp; T Clark International, 2004.</w:t>
      </w:r>
    </w:p>
    <w:p w14:paraId="5585E10D" w14:textId="77777777" w:rsidR="00412D77" w:rsidRPr="00FB2D03" w:rsidRDefault="00412D77" w:rsidP="00412D77">
      <w:pPr>
        <w:tabs>
          <w:tab w:val="left" w:pos="5616"/>
        </w:tabs>
        <w:rPr>
          <w:color w:val="000000" w:themeColor="text1"/>
          <w:lang w:val="en-AU"/>
        </w:rPr>
      </w:pPr>
    </w:p>
    <w:p w14:paraId="0C179328"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Alon, Gerdaliah. </w:t>
      </w:r>
      <w:r w:rsidRPr="00FB2D03">
        <w:rPr>
          <w:i/>
          <w:color w:val="000000" w:themeColor="text1"/>
          <w:lang w:val="en-AU"/>
        </w:rPr>
        <w:t xml:space="preserve">The Jews in their Land in the Talmudic Age. </w:t>
      </w:r>
      <w:r w:rsidRPr="00FB2D03">
        <w:rPr>
          <w:color w:val="000000" w:themeColor="text1"/>
          <w:lang w:val="en-AU"/>
        </w:rPr>
        <w:t xml:space="preserve">Edited and translated </w:t>
      </w:r>
    </w:p>
    <w:p w14:paraId="7F751A6D"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by Gershon Levi. Cambridge: Harvard University Press, 2022. </w:t>
      </w:r>
    </w:p>
    <w:p w14:paraId="4A83D0F1" w14:textId="45A8D971" w:rsidR="00412D77" w:rsidRDefault="00412D77" w:rsidP="00412D77">
      <w:pPr>
        <w:tabs>
          <w:tab w:val="left" w:pos="5616"/>
        </w:tabs>
        <w:rPr>
          <w:color w:val="000000" w:themeColor="text1"/>
          <w:lang w:val="en-AU"/>
        </w:rPr>
      </w:pPr>
    </w:p>
    <w:p w14:paraId="70C48DA2" w14:textId="77777777" w:rsidR="009F2A39" w:rsidRDefault="009F2A39" w:rsidP="009F2A39">
      <w:pPr>
        <w:tabs>
          <w:tab w:val="left" w:pos="5616"/>
        </w:tabs>
        <w:rPr>
          <w:color w:val="000000" w:themeColor="text1"/>
        </w:rPr>
      </w:pPr>
      <w:r w:rsidRPr="009F2A39">
        <w:rPr>
          <w:color w:val="000000" w:themeColor="text1"/>
        </w:rPr>
        <w:t xml:space="preserve">Alouf, Hilla Nava. "'Halokh ve-daber': Elijah the Prophet as a bearer of wisdom in rabbinic </w:t>
      </w:r>
    </w:p>
    <w:p w14:paraId="16CF0DB3" w14:textId="55B85710" w:rsidR="009F2A39" w:rsidRPr="009F2A39" w:rsidRDefault="009F2A39" w:rsidP="009F2A39">
      <w:pPr>
        <w:tabs>
          <w:tab w:val="left" w:pos="5616"/>
        </w:tabs>
        <w:ind w:left="720"/>
        <w:rPr>
          <w:color w:val="000000" w:themeColor="text1"/>
        </w:rPr>
      </w:pPr>
      <w:r w:rsidRPr="009F2A39">
        <w:rPr>
          <w:color w:val="000000" w:themeColor="text1"/>
        </w:rPr>
        <w:t xml:space="preserve">literature." </w:t>
      </w:r>
      <w:r>
        <w:rPr>
          <w:color w:val="000000" w:themeColor="text1"/>
        </w:rPr>
        <w:t>PhD Diss</w:t>
      </w:r>
      <w:r w:rsidRPr="009F2A39">
        <w:rPr>
          <w:color w:val="000000" w:themeColor="text1"/>
        </w:rPr>
        <w:t>, New York University,</w:t>
      </w:r>
      <w:r>
        <w:rPr>
          <w:color w:val="000000" w:themeColor="text1"/>
        </w:rPr>
        <w:t xml:space="preserve"> 2017.</w:t>
      </w:r>
      <w:r w:rsidRPr="009F2A39">
        <w:rPr>
          <w:color w:val="000000" w:themeColor="text1"/>
        </w:rPr>
        <w:t xml:space="preserve"> </w:t>
      </w:r>
    </w:p>
    <w:p w14:paraId="7CEA797A" w14:textId="77777777" w:rsidR="009F2A39" w:rsidRPr="00FB2D03" w:rsidRDefault="009F2A39" w:rsidP="00412D77">
      <w:pPr>
        <w:tabs>
          <w:tab w:val="left" w:pos="5616"/>
        </w:tabs>
        <w:rPr>
          <w:color w:val="000000" w:themeColor="text1"/>
          <w:lang w:val="en-AU"/>
        </w:rPr>
      </w:pPr>
    </w:p>
    <w:p w14:paraId="3DF38571"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Alston, R. “Roman Military Pay from Caesar to Diocletian.” </w:t>
      </w:r>
      <w:r w:rsidRPr="00FB2D03">
        <w:rPr>
          <w:i/>
          <w:color w:val="000000" w:themeColor="text1"/>
          <w:lang w:val="en-AU"/>
        </w:rPr>
        <w:t>Journal of Roman Studies</w:t>
      </w:r>
      <w:r w:rsidRPr="00FB2D03">
        <w:rPr>
          <w:color w:val="000000" w:themeColor="text1"/>
          <w:lang w:val="en-AU"/>
        </w:rPr>
        <w:t xml:space="preserve"> 84 </w:t>
      </w:r>
    </w:p>
    <w:p w14:paraId="42531C5D"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(1994): 113–23.</w:t>
      </w:r>
    </w:p>
    <w:p w14:paraId="6627B401" w14:textId="77777777" w:rsidR="00C40D3C" w:rsidRDefault="00C40D3C" w:rsidP="00412D77">
      <w:pPr>
        <w:tabs>
          <w:tab w:val="left" w:pos="5616"/>
        </w:tabs>
        <w:rPr>
          <w:color w:val="000000" w:themeColor="text1"/>
          <w:lang w:val="en-AU"/>
        </w:rPr>
      </w:pPr>
    </w:p>
    <w:p w14:paraId="4A25DBC6" w14:textId="77777777" w:rsidR="00C40D3C" w:rsidRDefault="00C40D3C" w:rsidP="00412D77">
      <w:pPr>
        <w:tabs>
          <w:tab w:val="left" w:pos="5616"/>
        </w:tabs>
      </w:pPr>
      <w:r>
        <w:rPr>
          <w:color w:val="000000" w:themeColor="text1"/>
          <w:lang w:val="en-AU"/>
        </w:rPr>
        <w:t xml:space="preserve">Alter, Robert. </w:t>
      </w:r>
      <w:r w:rsidRPr="00ED0F6A">
        <w:rPr>
          <w:i/>
          <w:iCs/>
        </w:rPr>
        <w:t>The Wisdom Books:  Job, Proverbs, and Ecclesiastes</w:t>
      </w:r>
      <w:r>
        <w:t xml:space="preserve"> New York:  W. W. </w:t>
      </w:r>
    </w:p>
    <w:p w14:paraId="0973ED3C" w14:textId="5C8DE20C" w:rsidR="00412D77" w:rsidRDefault="00C40D3C" w:rsidP="00ED0F6A">
      <w:pPr>
        <w:tabs>
          <w:tab w:val="left" w:pos="5616"/>
        </w:tabs>
        <w:ind w:left="720"/>
        <w:rPr>
          <w:color w:val="000000" w:themeColor="text1"/>
          <w:lang w:val="en-AU"/>
        </w:rPr>
      </w:pPr>
      <w:r>
        <w:t>Norton, 2010.</w:t>
      </w:r>
    </w:p>
    <w:p w14:paraId="73E36B67" w14:textId="77777777" w:rsidR="00C40D3C" w:rsidRPr="00FB2D03" w:rsidRDefault="00C40D3C" w:rsidP="00412D77">
      <w:pPr>
        <w:tabs>
          <w:tab w:val="left" w:pos="5616"/>
        </w:tabs>
        <w:rPr>
          <w:color w:val="000000" w:themeColor="text1"/>
          <w:lang w:val="en-AU"/>
        </w:rPr>
      </w:pPr>
    </w:p>
    <w:p w14:paraId="3F60DB48"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Ameling, Walter, ed., </w:t>
      </w:r>
      <w:r w:rsidRPr="00FB2D03">
        <w:rPr>
          <w:i/>
          <w:color w:val="000000" w:themeColor="text1"/>
          <w:lang w:val="en-AU"/>
        </w:rPr>
        <w:t>Inscriptiones Judaicae Orientis: II Kleinasien</w:t>
      </w:r>
      <w:r w:rsidRPr="00FB2D03">
        <w:rPr>
          <w:color w:val="000000" w:themeColor="text1"/>
          <w:lang w:val="en-AU"/>
        </w:rPr>
        <w:t xml:space="preserve">. Tübingen: Mohr </w:t>
      </w:r>
    </w:p>
    <w:p w14:paraId="01C933C0"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Siebeck, 2004. </w:t>
      </w:r>
    </w:p>
    <w:p w14:paraId="1ED2F105" w14:textId="77777777" w:rsidR="00412D77" w:rsidRPr="00FB2D03" w:rsidRDefault="00412D77" w:rsidP="00412D77">
      <w:pPr>
        <w:tabs>
          <w:tab w:val="left" w:pos="5616"/>
        </w:tabs>
        <w:rPr>
          <w:color w:val="000000" w:themeColor="text1"/>
          <w:lang w:val="en-AU"/>
        </w:rPr>
      </w:pPr>
    </w:p>
    <w:p w14:paraId="1D74FD00" w14:textId="77777777" w:rsidR="00412D77" w:rsidRPr="00FB2D03" w:rsidRDefault="00412D77" w:rsidP="00412D77">
      <w:pPr>
        <w:tabs>
          <w:tab w:val="left" w:pos="5616"/>
        </w:tabs>
        <w:rPr>
          <w:color w:val="000000" w:themeColor="text1"/>
          <w:lang w:val="en-AU"/>
        </w:rPr>
      </w:pPr>
      <w:r w:rsidRPr="00FB2D03">
        <w:rPr>
          <w:color w:val="000000" w:themeColor="text1"/>
          <w:lang w:val="en-AU"/>
        </w:rPr>
        <w:t>Anava, Sarit, et al. “Illuminating Genetic Mysteries of the Dead Sea Scrolls.” </w:t>
      </w:r>
      <w:r w:rsidRPr="00FB2D03">
        <w:rPr>
          <w:i/>
          <w:color w:val="000000" w:themeColor="text1"/>
          <w:lang w:val="en-AU"/>
        </w:rPr>
        <w:t>Cell</w:t>
      </w:r>
      <w:r w:rsidRPr="00FB2D03">
        <w:rPr>
          <w:color w:val="000000" w:themeColor="text1"/>
          <w:lang w:val="en-AU"/>
        </w:rPr>
        <w:t xml:space="preserve"> 181 </w:t>
      </w:r>
    </w:p>
    <w:p w14:paraId="2C1AAB9D"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(2020): 1218. </w:t>
      </w:r>
    </w:p>
    <w:p w14:paraId="16366BDF" w14:textId="77777777" w:rsidR="00412D77" w:rsidRPr="00FB2D03" w:rsidRDefault="00412D77" w:rsidP="00412D77">
      <w:pPr>
        <w:tabs>
          <w:tab w:val="left" w:pos="5616"/>
        </w:tabs>
        <w:rPr>
          <w:color w:val="000000" w:themeColor="text1"/>
          <w:lang w:val="en-AU"/>
        </w:rPr>
      </w:pPr>
    </w:p>
    <w:p w14:paraId="40D50894"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Appelbaum, Alan. “Rabbi’s Successors: The Later Jewish Patriarchs of the Third </w:t>
      </w:r>
    </w:p>
    <w:p w14:paraId="47B6E2F1"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Century.” </w:t>
      </w:r>
      <w:r w:rsidRPr="00FB2D03">
        <w:rPr>
          <w:i/>
          <w:color w:val="000000" w:themeColor="text1"/>
          <w:lang w:val="en-AU"/>
        </w:rPr>
        <w:t>Journal of Jewish Studies</w:t>
      </w:r>
      <w:r w:rsidRPr="00FB2D03">
        <w:rPr>
          <w:color w:val="000000" w:themeColor="text1"/>
          <w:lang w:val="en-AU"/>
        </w:rPr>
        <w:t> 63 (2012): 1–21.</w:t>
      </w:r>
    </w:p>
    <w:p w14:paraId="4E2D14D6" w14:textId="77777777" w:rsidR="00412D77" w:rsidRPr="00FB2D03" w:rsidRDefault="00412D77" w:rsidP="00412D77">
      <w:pPr>
        <w:tabs>
          <w:tab w:val="left" w:pos="5616"/>
        </w:tabs>
        <w:rPr>
          <w:color w:val="000000" w:themeColor="text1"/>
          <w:lang w:val="en-AU"/>
        </w:rPr>
      </w:pPr>
    </w:p>
    <w:p w14:paraId="3285350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Appleby, R. Scott. </w:t>
      </w:r>
      <w:r w:rsidRPr="00FB2D03">
        <w:rPr>
          <w:i/>
          <w:color w:val="000000" w:themeColor="text1"/>
          <w:lang w:val="en-AU"/>
        </w:rPr>
        <w:t xml:space="preserve">The Ambivalence of the Sacred. </w:t>
      </w:r>
      <w:r w:rsidRPr="00FB2D03">
        <w:rPr>
          <w:color w:val="000000" w:themeColor="text1"/>
          <w:lang w:val="en-AU"/>
        </w:rPr>
        <w:t>Lanham: Rowman and Littlefield, 2000.</w:t>
      </w:r>
    </w:p>
    <w:p w14:paraId="3B510F5C" w14:textId="77777777" w:rsidR="00412D77" w:rsidRPr="00FB2D03" w:rsidRDefault="00412D77" w:rsidP="00412D77">
      <w:pPr>
        <w:tabs>
          <w:tab w:val="left" w:pos="5616"/>
        </w:tabs>
        <w:rPr>
          <w:color w:val="000000" w:themeColor="text1"/>
          <w:lang w:val="en-AU"/>
        </w:rPr>
      </w:pPr>
    </w:p>
    <w:p w14:paraId="2FC71BE2"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Arieli, Shmaryahu. </w:t>
      </w:r>
      <w:r w:rsidRPr="00FB2D03">
        <w:rPr>
          <w:i/>
          <w:color w:val="000000" w:themeColor="text1"/>
          <w:lang w:val="en-AU"/>
        </w:rPr>
        <w:t xml:space="preserve">Mishpat HaMilhama: Beayot, Beirurim VeHidushim BeDinei Tzava </w:t>
      </w:r>
    </w:p>
    <w:p w14:paraId="04857051"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UMilhama Be’Israel</w:t>
      </w:r>
      <w:r w:rsidRPr="00FB2D03">
        <w:rPr>
          <w:color w:val="000000" w:themeColor="text1"/>
          <w:lang w:val="en-AU"/>
        </w:rPr>
        <w:t>. Jerusalem: Revuen Mass, 1971.</w:t>
      </w:r>
    </w:p>
    <w:p w14:paraId="0E328448" w14:textId="77777777" w:rsidR="00412D77" w:rsidRPr="00FB2D03" w:rsidRDefault="00412D77" w:rsidP="00412D77">
      <w:pPr>
        <w:tabs>
          <w:tab w:val="left" w:pos="5616"/>
        </w:tabs>
        <w:rPr>
          <w:color w:val="000000" w:themeColor="text1"/>
          <w:lang w:val="en-AU"/>
        </w:rPr>
      </w:pPr>
    </w:p>
    <w:p w14:paraId="4309821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Armgardt, Matthias. “Why a Paradigm Change in Pentateuch Research Is Necessary. The </w:t>
      </w:r>
    </w:p>
    <w:p w14:paraId="5ED18912"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Perspective of Legal History.” </w:t>
      </w:r>
      <w:r w:rsidRPr="00FB2D03">
        <w:rPr>
          <w:i/>
          <w:color w:val="000000" w:themeColor="text1"/>
          <w:lang w:val="en-AU"/>
        </w:rPr>
        <w:t xml:space="preserve">Supplement to the Akkadian Dictionaries </w:t>
      </w:r>
      <w:r w:rsidRPr="00FB2D03">
        <w:rPr>
          <w:color w:val="000000" w:themeColor="text1"/>
          <w:lang w:val="en-AU"/>
        </w:rPr>
        <w:t>2 (2019): 79–91.</w:t>
      </w:r>
    </w:p>
    <w:p w14:paraId="27845F04" w14:textId="77777777" w:rsidR="00412D77" w:rsidRPr="00FB2D03" w:rsidRDefault="00412D77" w:rsidP="00412D77">
      <w:pPr>
        <w:tabs>
          <w:tab w:val="left" w:pos="5616"/>
        </w:tabs>
        <w:rPr>
          <w:color w:val="000000" w:themeColor="text1"/>
          <w:lang w:val="en-AU"/>
        </w:rPr>
      </w:pPr>
    </w:p>
    <w:p w14:paraId="1C3DF060"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Armstrong, Donald. “Caesar’s Art of War.” </w:t>
      </w:r>
      <w:r w:rsidRPr="00FB2D03">
        <w:rPr>
          <w:i/>
          <w:color w:val="000000" w:themeColor="text1"/>
          <w:lang w:val="en-AU"/>
        </w:rPr>
        <w:t>The Classical Weekly</w:t>
      </w:r>
      <w:r w:rsidRPr="00FB2D03">
        <w:rPr>
          <w:color w:val="000000" w:themeColor="text1"/>
          <w:lang w:val="en-AU"/>
        </w:rPr>
        <w:t xml:space="preserve"> 32 (1939): </w:t>
      </w:r>
    </w:p>
    <w:p w14:paraId="0F3B5723"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291–93. </w:t>
      </w:r>
    </w:p>
    <w:p w14:paraId="728A9F65" w14:textId="77777777" w:rsidR="00412D77" w:rsidRPr="00FB2D03" w:rsidRDefault="00412D77" w:rsidP="00412D77">
      <w:pPr>
        <w:tabs>
          <w:tab w:val="left" w:pos="5616"/>
        </w:tabs>
        <w:rPr>
          <w:color w:val="000000" w:themeColor="text1"/>
          <w:lang w:val="en-AU"/>
        </w:rPr>
      </w:pPr>
    </w:p>
    <w:p w14:paraId="4B11E30C"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Arndt, William </w:t>
      </w:r>
      <w:proofErr w:type="gramStart"/>
      <w:r w:rsidRPr="00FB2D03">
        <w:rPr>
          <w:color w:val="000000" w:themeColor="text1"/>
          <w:lang w:val="en-AU"/>
        </w:rPr>
        <w:t>F.</w:t>
      </w:r>
      <w:proofErr w:type="gramEnd"/>
      <w:r w:rsidRPr="00FB2D03">
        <w:rPr>
          <w:color w:val="000000" w:themeColor="text1"/>
          <w:lang w:val="en-AU"/>
        </w:rPr>
        <w:t xml:space="preserve"> and F. W. Gingrich. </w:t>
      </w:r>
      <w:r w:rsidRPr="00FB2D03">
        <w:rPr>
          <w:i/>
          <w:color w:val="000000" w:themeColor="text1"/>
          <w:lang w:val="en-AU"/>
        </w:rPr>
        <w:t xml:space="preserve">A Greek–English Lexicon of the New Testament and </w:t>
      </w:r>
    </w:p>
    <w:p w14:paraId="084018DB"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Other Early Christian Literature</w:t>
      </w:r>
      <w:r w:rsidRPr="00FB2D03">
        <w:rPr>
          <w:color w:val="000000" w:themeColor="text1"/>
          <w:lang w:val="en-AU"/>
        </w:rPr>
        <w:t xml:space="preserve"> 3</w:t>
      </w:r>
      <w:r w:rsidRPr="00FB2D03">
        <w:rPr>
          <w:color w:val="000000" w:themeColor="text1"/>
          <w:vertAlign w:val="superscript"/>
          <w:lang w:val="en-AU"/>
        </w:rPr>
        <w:t>rd</w:t>
      </w:r>
      <w:r w:rsidRPr="00FB2D03">
        <w:rPr>
          <w:color w:val="000000" w:themeColor="text1"/>
          <w:lang w:val="en-AU"/>
        </w:rPr>
        <w:t xml:space="preserve"> ed. ed. Frederick William Danker. </w:t>
      </w:r>
    </w:p>
    <w:p w14:paraId="1E0646B4" w14:textId="77777777" w:rsidR="00412D77" w:rsidRPr="00FB2D03" w:rsidRDefault="00412D77" w:rsidP="00A068F9">
      <w:pPr>
        <w:tabs>
          <w:tab w:val="left" w:pos="5616"/>
        </w:tabs>
        <w:ind w:left="720"/>
        <w:rPr>
          <w:color w:val="000000" w:themeColor="text1"/>
          <w:lang w:val="en-AU"/>
        </w:rPr>
      </w:pPr>
      <w:r w:rsidRPr="00FB2D03">
        <w:rPr>
          <w:color w:val="000000" w:themeColor="text1"/>
          <w:lang w:val="en-AU"/>
        </w:rPr>
        <w:t>Chicago: University of Chicago Press, 2000.</w:t>
      </w:r>
    </w:p>
    <w:p w14:paraId="71D32341" w14:textId="77777777" w:rsidR="00412D77" w:rsidRPr="00FB2D03" w:rsidRDefault="00412D77" w:rsidP="00412D77">
      <w:pPr>
        <w:tabs>
          <w:tab w:val="left" w:pos="5616"/>
        </w:tabs>
        <w:rPr>
          <w:color w:val="000000" w:themeColor="text1"/>
          <w:lang w:val="en-AU"/>
        </w:rPr>
      </w:pPr>
    </w:p>
    <w:p w14:paraId="4BFC79D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Assmann, Jan. </w:t>
      </w:r>
      <w:r w:rsidRPr="00FB2D03">
        <w:rPr>
          <w:i/>
          <w:color w:val="000000" w:themeColor="text1"/>
          <w:lang w:val="en-AU"/>
        </w:rPr>
        <w:t>Of God and Gods: Egypt, Israel, and the Rise of Monotheism</w:t>
      </w:r>
      <w:r w:rsidRPr="00FB2D03">
        <w:rPr>
          <w:color w:val="000000" w:themeColor="text1"/>
          <w:lang w:val="en-AU"/>
        </w:rPr>
        <w:t xml:space="preserve">. Madison: </w:t>
      </w:r>
    </w:p>
    <w:p w14:paraId="2FDADF15"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University of Wisconsin Press, 2008.</w:t>
      </w:r>
    </w:p>
    <w:p w14:paraId="7AAD0862" w14:textId="77777777" w:rsidR="00412D77" w:rsidRPr="00FB2D03" w:rsidRDefault="00412D77" w:rsidP="00412D77">
      <w:pPr>
        <w:tabs>
          <w:tab w:val="left" w:pos="5616"/>
        </w:tabs>
        <w:rPr>
          <w:color w:val="000000" w:themeColor="text1"/>
          <w:lang w:val="en-AU"/>
        </w:rPr>
      </w:pPr>
    </w:p>
    <w:p w14:paraId="5B279D0C"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Atkinson, Kenneth. </w:t>
      </w:r>
      <w:r w:rsidRPr="00FB2D03">
        <w:rPr>
          <w:i/>
          <w:color w:val="000000" w:themeColor="text1"/>
          <w:lang w:val="en-AU"/>
        </w:rPr>
        <w:t>An Intertextual Study of the Psalms of Solomon: Pseudepigrapha</w:t>
      </w:r>
      <w:r w:rsidRPr="00FB2D03">
        <w:rPr>
          <w:color w:val="000000" w:themeColor="text1"/>
          <w:lang w:val="en-AU"/>
        </w:rPr>
        <w:t xml:space="preserve">. </w:t>
      </w:r>
      <w:r w:rsidRPr="00FB2D03">
        <w:rPr>
          <w:i/>
          <w:color w:val="000000" w:themeColor="text1"/>
          <w:lang w:val="en-AU"/>
        </w:rPr>
        <w:t xml:space="preserve">Studies </w:t>
      </w:r>
    </w:p>
    <w:p w14:paraId="19C0C288"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in the Bible and Early Christianity</w:t>
      </w:r>
      <w:r w:rsidRPr="00FB2D03">
        <w:rPr>
          <w:color w:val="000000" w:themeColor="text1"/>
          <w:lang w:val="en-AU"/>
        </w:rPr>
        <w:t xml:space="preserve">. Lewiston: The Edwin Mellen Press, 2000. </w:t>
      </w:r>
    </w:p>
    <w:p w14:paraId="12F3A7D6" w14:textId="77777777" w:rsidR="00412D77" w:rsidRPr="00FB2D03" w:rsidRDefault="00412D77" w:rsidP="00412D77">
      <w:pPr>
        <w:tabs>
          <w:tab w:val="left" w:pos="5616"/>
        </w:tabs>
        <w:rPr>
          <w:color w:val="000000" w:themeColor="text1"/>
          <w:lang w:val="en-AU"/>
        </w:rPr>
      </w:pPr>
    </w:p>
    <w:p w14:paraId="287A7AB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“Josephus the Essene at </w:t>
      </w:r>
      <w:proofErr w:type="gramStart"/>
      <w:r w:rsidRPr="00FB2D03">
        <w:rPr>
          <w:color w:val="000000" w:themeColor="text1"/>
          <w:lang w:val="en-AU"/>
        </w:rPr>
        <w:t>Qumran?:</w:t>
      </w:r>
      <w:proofErr w:type="gramEnd"/>
      <w:r w:rsidRPr="00FB2D03">
        <w:rPr>
          <w:color w:val="000000" w:themeColor="text1"/>
          <w:lang w:val="en-AU"/>
        </w:rPr>
        <w:t xml:space="preserve"> An Example of the Intersection of the Dead </w:t>
      </w:r>
    </w:p>
    <w:p w14:paraId="7DC253E8"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Sea Scrolls and the Archaeological Evidence </w:t>
      </w:r>
      <w:proofErr w:type="gramStart"/>
      <w:r w:rsidRPr="00FB2D03">
        <w:rPr>
          <w:color w:val="000000" w:themeColor="text1"/>
          <w:lang w:val="en-AU"/>
        </w:rPr>
        <w:t>in Light of</w:t>
      </w:r>
      <w:proofErr w:type="gramEnd"/>
      <w:r w:rsidRPr="00FB2D03">
        <w:rPr>
          <w:color w:val="000000" w:themeColor="text1"/>
          <w:lang w:val="en-AU"/>
        </w:rPr>
        <w:t xml:space="preserve"> Josephus’s Writings.” </w:t>
      </w:r>
      <w:r w:rsidRPr="00FB2D03">
        <w:rPr>
          <w:i/>
          <w:color w:val="000000" w:themeColor="text1"/>
          <w:lang w:val="en-AU"/>
        </w:rPr>
        <w:t>Scripta Judaica Cracoviensia </w:t>
      </w:r>
      <w:r w:rsidRPr="00FB2D03">
        <w:rPr>
          <w:color w:val="000000" w:themeColor="text1"/>
          <w:lang w:val="en-AU"/>
        </w:rPr>
        <w:t>10 (2012): 7–35.</w:t>
      </w:r>
    </w:p>
    <w:p w14:paraId="2319E98A" w14:textId="77777777" w:rsidR="00412D77" w:rsidRPr="00FB2D03" w:rsidRDefault="00412D77" w:rsidP="00412D77">
      <w:pPr>
        <w:tabs>
          <w:tab w:val="left" w:pos="5616"/>
        </w:tabs>
        <w:rPr>
          <w:color w:val="000000" w:themeColor="text1"/>
          <w:lang w:val="en-AU"/>
        </w:rPr>
      </w:pPr>
    </w:p>
    <w:p w14:paraId="34210928"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“On the Herodian Origin of Militant Davidic Messianism at Qumran: New Light </w:t>
      </w:r>
    </w:p>
    <w:p w14:paraId="72691BF2" w14:textId="33C85C7F" w:rsidR="00412D77" w:rsidRPr="00FB2D03" w:rsidRDefault="00412D77" w:rsidP="00A068F9">
      <w:pPr>
        <w:tabs>
          <w:tab w:val="left" w:pos="5616"/>
        </w:tabs>
        <w:ind w:left="720"/>
        <w:rPr>
          <w:color w:val="000000" w:themeColor="text1"/>
          <w:lang w:val="en-AU"/>
        </w:rPr>
      </w:pPr>
      <w:r w:rsidRPr="00FB2D03">
        <w:rPr>
          <w:color w:val="000000" w:themeColor="text1"/>
          <w:lang w:val="en-AU"/>
        </w:rPr>
        <w:t>from Psalm of Solomon 17.” </w:t>
      </w:r>
      <w:r w:rsidRPr="00FB2D03">
        <w:rPr>
          <w:i/>
          <w:color w:val="000000" w:themeColor="text1"/>
          <w:lang w:val="en-AU"/>
        </w:rPr>
        <w:t>Journal of Biblical Literature</w:t>
      </w:r>
      <w:r w:rsidRPr="00FB2D03">
        <w:rPr>
          <w:color w:val="000000" w:themeColor="text1"/>
          <w:lang w:val="en-AU"/>
        </w:rPr>
        <w:t xml:space="preserve"> 118 (1999): 435–60. </w:t>
      </w:r>
    </w:p>
    <w:p w14:paraId="4561F9A4" w14:textId="77777777" w:rsidR="00412D77" w:rsidRPr="00FB2D03" w:rsidRDefault="00412D77" w:rsidP="00412D77">
      <w:pPr>
        <w:tabs>
          <w:tab w:val="left" w:pos="5616"/>
        </w:tabs>
        <w:rPr>
          <w:color w:val="000000" w:themeColor="text1"/>
          <w:lang w:val="en-AU"/>
        </w:rPr>
      </w:pPr>
    </w:p>
    <w:p w14:paraId="5AB2E39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“Responses.” In </w:t>
      </w:r>
      <w:r w:rsidRPr="00FB2D03">
        <w:rPr>
          <w:i/>
          <w:color w:val="000000" w:themeColor="text1"/>
          <w:lang w:val="en-AU"/>
        </w:rPr>
        <w:t>The Psalms of Solomon: Language History, Theology</w:t>
      </w:r>
      <w:r w:rsidRPr="00FB2D03">
        <w:rPr>
          <w:color w:val="000000" w:themeColor="text1"/>
          <w:lang w:val="en-AU"/>
        </w:rPr>
        <w:t xml:space="preserve">, ed. </w:t>
      </w:r>
    </w:p>
    <w:p w14:paraId="1BD2F27A"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Eberhard Bons and Patrick Pouchelle. Atlanta: SBL Press, 2015. </w:t>
      </w:r>
    </w:p>
    <w:p w14:paraId="06ACF024" w14:textId="77777777" w:rsidR="00412D77" w:rsidRPr="00FB2D03" w:rsidRDefault="00412D77" w:rsidP="00412D77">
      <w:pPr>
        <w:tabs>
          <w:tab w:val="left" w:pos="5616"/>
        </w:tabs>
        <w:rPr>
          <w:color w:val="000000" w:themeColor="text1"/>
          <w:lang w:val="en-AU"/>
        </w:rPr>
      </w:pPr>
    </w:p>
    <w:p w14:paraId="338542E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“The Militant Davidic Messiah and Violence against Rome: The Influence of </w:t>
      </w:r>
    </w:p>
    <w:p w14:paraId="1A65AAF6"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Pompey on the Development of Jewish and Christian Messianism.” </w:t>
      </w:r>
      <w:r w:rsidRPr="009B2F19">
        <w:rPr>
          <w:i/>
          <w:iCs/>
          <w:color w:val="000000" w:themeColor="text1"/>
          <w:lang w:val="en-AU"/>
        </w:rPr>
        <w:t>Scripta Judaica Cracoviensia</w:t>
      </w:r>
      <w:r w:rsidRPr="00FB2D03">
        <w:rPr>
          <w:color w:val="000000" w:themeColor="text1"/>
          <w:lang w:val="en-AU"/>
        </w:rPr>
        <w:t> 9 (2011): 7–19.</w:t>
      </w:r>
    </w:p>
    <w:p w14:paraId="495C5491" w14:textId="77777777" w:rsidR="00412D77" w:rsidRPr="00FB2D03" w:rsidRDefault="00412D77" w:rsidP="00412D77">
      <w:pPr>
        <w:tabs>
          <w:tab w:val="left" w:pos="5616"/>
        </w:tabs>
        <w:rPr>
          <w:color w:val="000000" w:themeColor="text1"/>
          <w:lang w:val="en-AU"/>
        </w:rPr>
      </w:pPr>
    </w:p>
    <w:p w14:paraId="7625172A"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Aune, David E. </w:t>
      </w:r>
      <w:r w:rsidRPr="00FB2D03">
        <w:rPr>
          <w:i/>
          <w:color w:val="000000" w:themeColor="text1"/>
          <w:lang w:val="en-AU"/>
        </w:rPr>
        <w:t>Prophecy in Early Christianity and the Ancient Mediterranean World</w:t>
      </w:r>
      <w:r w:rsidRPr="00FB2D03">
        <w:rPr>
          <w:color w:val="000000" w:themeColor="text1"/>
          <w:lang w:val="en-AU"/>
        </w:rPr>
        <w:t xml:space="preserve">. </w:t>
      </w:r>
    </w:p>
    <w:p w14:paraId="07F693F5"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Grand Rapids: Eerdmans, 1991.</w:t>
      </w:r>
    </w:p>
    <w:p w14:paraId="1996CE7C" w14:textId="77777777" w:rsidR="00412D77" w:rsidRPr="00FB2D03" w:rsidRDefault="00412D77" w:rsidP="00412D77">
      <w:pPr>
        <w:tabs>
          <w:tab w:val="left" w:pos="5616"/>
        </w:tabs>
        <w:rPr>
          <w:color w:val="000000" w:themeColor="text1"/>
          <w:lang w:val="en-AU"/>
        </w:rPr>
      </w:pPr>
    </w:p>
    <w:p w14:paraId="497C3287" w14:textId="77777777" w:rsidR="00412D77" w:rsidRPr="00FB2D03" w:rsidRDefault="00412D77" w:rsidP="00412D77">
      <w:pPr>
        <w:tabs>
          <w:tab w:val="left" w:pos="5616"/>
        </w:tabs>
        <w:rPr>
          <w:i/>
          <w:color w:val="000000" w:themeColor="text1"/>
          <w:lang w:val="en-AU"/>
        </w:rPr>
      </w:pPr>
      <w:r w:rsidRPr="00FB2D03">
        <w:rPr>
          <w:color w:val="000000" w:themeColor="text1"/>
          <w:lang w:val="en-AU"/>
        </w:rPr>
        <w:t>Auwers, Jean-Marie. “Jesus in the Talmud and Ancient Rabbinical Literature.” </w:t>
      </w:r>
      <w:r w:rsidRPr="00FB2D03">
        <w:rPr>
          <w:i/>
          <w:color w:val="000000" w:themeColor="text1"/>
          <w:lang w:val="en-AU"/>
        </w:rPr>
        <w:t xml:space="preserve">Revue </w:t>
      </w:r>
    </w:p>
    <w:p w14:paraId="3CAB49D2"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Theologique de Louvain</w:t>
      </w:r>
      <w:r w:rsidRPr="00FB2D03">
        <w:rPr>
          <w:color w:val="000000" w:themeColor="text1"/>
          <w:lang w:val="en-AU"/>
        </w:rPr>
        <w:t xml:space="preserve"> 47 (2016): 594–96.</w:t>
      </w:r>
    </w:p>
    <w:p w14:paraId="123BE2E5" w14:textId="77777777" w:rsidR="00412D77" w:rsidRPr="00FB2D03" w:rsidRDefault="00412D77" w:rsidP="00412D77">
      <w:pPr>
        <w:tabs>
          <w:tab w:val="left" w:pos="5616"/>
        </w:tabs>
        <w:rPr>
          <w:color w:val="000000" w:themeColor="text1"/>
          <w:lang w:val="en-AU"/>
        </w:rPr>
      </w:pPr>
    </w:p>
    <w:p w14:paraId="1E7C2A5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Bader–Saye, Scott. </w:t>
      </w:r>
      <w:r w:rsidRPr="00FB2D03">
        <w:rPr>
          <w:i/>
          <w:color w:val="000000" w:themeColor="text1"/>
          <w:lang w:val="en-AU"/>
        </w:rPr>
        <w:t>Church and Israel after Christendom: The Politics of Election</w:t>
      </w:r>
      <w:r w:rsidRPr="00FB2D03">
        <w:rPr>
          <w:color w:val="000000" w:themeColor="text1"/>
          <w:lang w:val="en-AU"/>
        </w:rPr>
        <w:t xml:space="preserve">. Boulder: </w:t>
      </w:r>
    </w:p>
    <w:p w14:paraId="1C71C39F"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Westview Press, 1999.</w:t>
      </w:r>
    </w:p>
    <w:p w14:paraId="536A6714" w14:textId="77777777" w:rsidR="00412D77" w:rsidRPr="00FB2D03" w:rsidRDefault="00412D77" w:rsidP="00412D77">
      <w:pPr>
        <w:tabs>
          <w:tab w:val="left" w:pos="5616"/>
        </w:tabs>
        <w:rPr>
          <w:color w:val="000000" w:themeColor="text1"/>
          <w:lang w:val="en-AU"/>
        </w:rPr>
      </w:pPr>
    </w:p>
    <w:p w14:paraId="34014C93"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Bainton, Roland H. </w:t>
      </w:r>
      <w:r w:rsidRPr="00FB2D03">
        <w:rPr>
          <w:i/>
          <w:color w:val="000000" w:themeColor="text1"/>
          <w:lang w:val="en-AU"/>
        </w:rPr>
        <w:t xml:space="preserve">Christian Attitudes Toward War and Peace: A Historical Survey and </w:t>
      </w:r>
    </w:p>
    <w:p w14:paraId="30E362DE"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Critical Re–Evaluation. </w:t>
      </w:r>
      <w:r w:rsidRPr="00FB2D03">
        <w:rPr>
          <w:color w:val="000000" w:themeColor="text1"/>
          <w:lang w:val="en-AU"/>
        </w:rPr>
        <w:t>New York: Abingdon, 1960.</w:t>
      </w:r>
    </w:p>
    <w:p w14:paraId="1E54B2B8" w14:textId="77777777" w:rsidR="00412D77" w:rsidRPr="00FB2D03" w:rsidRDefault="00412D77" w:rsidP="00412D77">
      <w:pPr>
        <w:tabs>
          <w:tab w:val="left" w:pos="5616"/>
        </w:tabs>
        <w:rPr>
          <w:color w:val="000000" w:themeColor="text1"/>
          <w:lang w:val="en-AU"/>
        </w:rPr>
      </w:pPr>
    </w:p>
    <w:p w14:paraId="32590F0B"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Baker, Mark D. and Joel B. Green, </w:t>
      </w:r>
      <w:r w:rsidRPr="00FB2D03">
        <w:rPr>
          <w:i/>
          <w:color w:val="000000" w:themeColor="text1"/>
          <w:lang w:val="en-AU"/>
        </w:rPr>
        <w:t xml:space="preserve">Recovering the Scandal of the Cross: Atonement in New </w:t>
      </w:r>
    </w:p>
    <w:p w14:paraId="1DA2D671"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Testament and Contemporary Contexts. </w:t>
      </w:r>
      <w:r w:rsidRPr="00FB2D03">
        <w:rPr>
          <w:color w:val="000000" w:themeColor="text1"/>
          <w:lang w:val="en-AU"/>
        </w:rPr>
        <w:t>Downers Grove: IVP Academic, 2011.</w:t>
      </w:r>
    </w:p>
    <w:p w14:paraId="0B095E6F" w14:textId="77777777" w:rsidR="00412D77" w:rsidRPr="00FB2D03" w:rsidRDefault="00412D77" w:rsidP="00412D77">
      <w:pPr>
        <w:tabs>
          <w:tab w:val="left" w:pos="5616"/>
        </w:tabs>
        <w:rPr>
          <w:color w:val="000000" w:themeColor="text1"/>
          <w:lang w:val="en-AU"/>
        </w:rPr>
      </w:pPr>
    </w:p>
    <w:p w14:paraId="0178705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Ballentine, Debra Scoggins. </w:t>
      </w:r>
      <w:r w:rsidRPr="00FB2D03">
        <w:rPr>
          <w:i/>
          <w:color w:val="000000" w:themeColor="text1"/>
          <w:lang w:val="en-AU"/>
        </w:rPr>
        <w:t>The Conflict Myth and the Biblical Tradition</w:t>
      </w:r>
      <w:r w:rsidRPr="00FB2D03">
        <w:rPr>
          <w:color w:val="000000" w:themeColor="text1"/>
          <w:lang w:val="en-AU"/>
        </w:rPr>
        <w:t xml:space="preserve">. Oxford: Oxford </w:t>
      </w:r>
    </w:p>
    <w:p w14:paraId="047A6CEF"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University Press, 2015. </w:t>
      </w:r>
    </w:p>
    <w:p w14:paraId="67B1D08F" w14:textId="77777777" w:rsidR="00412D77" w:rsidRPr="00FB2D03" w:rsidRDefault="00412D77" w:rsidP="00412D77">
      <w:pPr>
        <w:tabs>
          <w:tab w:val="left" w:pos="5616"/>
        </w:tabs>
        <w:rPr>
          <w:color w:val="000000" w:themeColor="text1"/>
          <w:lang w:val="en-AU"/>
        </w:rPr>
      </w:pPr>
    </w:p>
    <w:p w14:paraId="2B9AEB14"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Baltzer, Klaus. </w:t>
      </w:r>
      <w:r w:rsidRPr="00FB2D03">
        <w:rPr>
          <w:i/>
          <w:color w:val="000000" w:themeColor="text1"/>
          <w:lang w:val="en-AU"/>
        </w:rPr>
        <w:t>Deutero–Isaiah: A Commentary on Isaiah 40–55</w:t>
      </w:r>
      <w:r w:rsidRPr="00FB2D03">
        <w:rPr>
          <w:color w:val="000000" w:themeColor="text1"/>
          <w:lang w:val="en-AU"/>
        </w:rPr>
        <w:t xml:space="preserve">. ed. Peter Machinist. </w:t>
      </w:r>
    </w:p>
    <w:p w14:paraId="713932C8"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Minneapolis: Fortress, 2001.</w:t>
      </w:r>
    </w:p>
    <w:p w14:paraId="3A5E1EAA" w14:textId="77777777" w:rsidR="00412D77" w:rsidRPr="00FB2D03" w:rsidRDefault="00412D77" w:rsidP="00412D77">
      <w:pPr>
        <w:tabs>
          <w:tab w:val="left" w:pos="5616"/>
        </w:tabs>
        <w:rPr>
          <w:color w:val="000000" w:themeColor="text1"/>
          <w:lang w:val="en-AU"/>
        </w:rPr>
      </w:pPr>
    </w:p>
    <w:p w14:paraId="47CB2AE9"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Bamberger, Bernard J. “A Messianic Document of the Seventh Century.” </w:t>
      </w:r>
      <w:r w:rsidRPr="00FB2D03">
        <w:rPr>
          <w:i/>
          <w:color w:val="000000" w:themeColor="text1"/>
          <w:lang w:val="en-AU"/>
        </w:rPr>
        <w:t xml:space="preserve">Hebrew Union </w:t>
      </w:r>
    </w:p>
    <w:p w14:paraId="583A0D9A"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College Annual </w:t>
      </w:r>
      <w:r w:rsidRPr="00FB2D03">
        <w:rPr>
          <w:color w:val="000000" w:themeColor="text1"/>
          <w:lang w:val="en-AU"/>
        </w:rPr>
        <w:t>15 (1940): 425–31.</w:t>
      </w:r>
    </w:p>
    <w:p w14:paraId="4628A86F" w14:textId="77777777" w:rsidR="00412D77" w:rsidRPr="00FB2D03" w:rsidRDefault="00412D77" w:rsidP="00412D77">
      <w:pPr>
        <w:tabs>
          <w:tab w:val="left" w:pos="5616"/>
        </w:tabs>
        <w:rPr>
          <w:color w:val="000000" w:themeColor="text1"/>
          <w:lang w:val="en-AU"/>
        </w:rPr>
      </w:pPr>
    </w:p>
    <w:p w14:paraId="20D27BD9" w14:textId="77777777" w:rsidR="00412D77" w:rsidRPr="00FB2D03" w:rsidRDefault="00412D77" w:rsidP="00412D77">
      <w:pPr>
        <w:tabs>
          <w:tab w:val="left" w:pos="5616"/>
        </w:tabs>
        <w:rPr>
          <w:i/>
          <w:color w:val="000000" w:themeColor="text1"/>
          <w:lang w:val="en-AU"/>
        </w:rPr>
      </w:pPr>
      <w:r w:rsidRPr="00FB2D03">
        <w:rPr>
          <w:color w:val="000000" w:themeColor="text1"/>
          <w:lang w:val="en-AU"/>
        </w:rPr>
        <w:t>Barth, Gerhard. “Matthew’s Understanding of the Law.” In</w:t>
      </w:r>
      <w:r w:rsidRPr="00FB2D03">
        <w:rPr>
          <w:i/>
          <w:color w:val="000000" w:themeColor="text1"/>
          <w:lang w:val="en-AU"/>
        </w:rPr>
        <w:t xml:space="preserve"> Tradition and Interpretation in </w:t>
      </w:r>
    </w:p>
    <w:p w14:paraId="45E5FF49"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Matthew.</w:t>
      </w:r>
      <w:r w:rsidRPr="00FB2D03">
        <w:rPr>
          <w:color w:val="000000" w:themeColor="text1"/>
          <w:lang w:val="en-AU"/>
        </w:rPr>
        <w:t xml:space="preserve"> Translated by Percy Scott, 58–164. Philadelphia: The Westminster Press, </w:t>
      </w:r>
    </w:p>
    <w:p w14:paraId="237F69FD"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1963.</w:t>
      </w:r>
    </w:p>
    <w:p w14:paraId="6A11D9E9" w14:textId="77777777" w:rsidR="00412D77" w:rsidRPr="00FB2D03" w:rsidRDefault="00412D77" w:rsidP="00412D77">
      <w:pPr>
        <w:tabs>
          <w:tab w:val="left" w:pos="5616"/>
        </w:tabs>
        <w:rPr>
          <w:color w:val="000000" w:themeColor="text1"/>
          <w:lang w:val="en-AU"/>
        </w:rPr>
      </w:pPr>
    </w:p>
    <w:p w14:paraId="49E1B907"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Barton, John. “The Hebrew Bible: Formation and Character.” In </w:t>
      </w:r>
      <w:r w:rsidRPr="00FB2D03">
        <w:rPr>
          <w:i/>
          <w:color w:val="000000" w:themeColor="text1"/>
          <w:lang w:val="en-AU"/>
        </w:rPr>
        <w:t xml:space="preserve">Companion Encyclopedia of </w:t>
      </w:r>
    </w:p>
    <w:p w14:paraId="73842545" w14:textId="5683ED76" w:rsidR="00412D77" w:rsidRPr="00FB2D03" w:rsidRDefault="00412D77" w:rsidP="00AD1181">
      <w:pPr>
        <w:tabs>
          <w:tab w:val="left" w:pos="5616"/>
        </w:tabs>
        <w:ind w:left="720"/>
        <w:rPr>
          <w:color w:val="000000" w:themeColor="text1"/>
          <w:lang w:val="en-AU"/>
        </w:rPr>
      </w:pPr>
      <w:r w:rsidRPr="00FB2D03">
        <w:rPr>
          <w:i/>
          <w:color w:val="000000" w:themeColor="text1"/>
          <w:lang w:val="en-AU"/>
        </w:rPr>
        <w:t>Theology</w:t>
      </w:r>
      <w:r w:rsidRPr="00FB2D03">
        <w:rPr>
          <w:color w:val="000000" w:themeColor="text1"/>
          <w:lang w:val="en-AU"/>
        </w:rPr>
        <w:t>, 7–27. London</w:t>
      </w:r>
      <w:r w:rsidR="00C93C1C" w:rsidRPr="00FB2D03">
        <w:rPr>
          <w:color w:val="000000" w:themeColor="text1"/>
          <w:lang w:val="en-AU"/>
        </w:rPr>
        <w:t>: Routledge</w:t>
      </w:r>
      <w:r w:rsidRPr="00FB2D03">
        <w:rPr>
          <w:color w:val="000000" w:themeColor="text1"/>
          <w:lang w:val="en-AU"/>
        </w:rPr>
        <w:t>, 1995. </w:t>
      </w:r>
    </w:p>
    <w:p w14:paraId="2F96BF34" w14:textId="77777777" w:rsidR="00412D77" w:rsidRPr="00FB2D03" w:rsidRDefault="00412D77" w:rsidP="00412D77">
      <w:pPr>
        <w:tabs>
          <w:tab w:val="left" w:pos="5616"/>
        </w:tabs>
        <w:rPr>
          <w:color w:val="000000" w:themeColor="text1"/>
          <w:lang w:val="en-AU"/>
        </w:rPr>
      </w:pPr>
    </w:p>
    <w:p w14:paraId="4532008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Barber, Patrick G. “Christian Views of Military Participation Prior to the Reign of </w:t>
      </w:r>
    </w:p>
    <w:p w14:paraId="2A4B6F06"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Constantine.” </w:t>
      </w:r>
      <w:r w:rsidRPr="00FB2D03">
        <w:rPr>
          <w:i/>
          <w:color w:val="000000" w:themeColor="text1"/>
          <w:lang w:val="en-AU"/>
        </w:rPr>
        <w:t>Restoration Quarterly</w:t>
      </w:r>
      <w:r w:rsidRPr="00FB2D03">
        <w:rPr>
          <w:color w:val="000000" w:themeColor="text1"/>
          <w:lang w:val="en-AU"/>
        </w:rPr>
        <w:t> 53 (2011): 101–12. </w:t>
      </w:r>
    </w:p>
    <w:p w14:paraId="15F9D4E8" w14:textId="2C698EF1" w:rsidR="009B2F19" w:rsidRDefault="009B2F19">
      <w:pPr>
        <w:rPr>
          <w:color w:val="000000" w:themeColor="text1"/>
          <w:lang w:val="en-AU"/>
        </w:rPr>
      </w:pPr>
      <w:r>
        <w:rPr>
          <w:color w:val="000000" w:themeColor="text1"/>
          <w:lang w:val="en-AU"/>
        </w:rPr>
        <w:br w:type="page"/>
      </w:r>
    </w:p>
    <w:p w14:paraId="0A5D774C" w14:textId="77777777" w:rsidR="0046142D" w:rsidRPr="00FB2D03" w:rsidRDefault="00412D77" w:rsidP="009B2F19">
      <w:pPr>
        <w:keepLines/>
        <w:tabs>
          <w:tab w:val="left" w:pos="5616"/>
        </w:tabs>
        <w:rPr>
          <w:i/>
          <w:color w:val="000000" w:themeColor="text1"/>
          <w:lang w:val="en-AU"/>
        </w:rPr>
      </w:pPr>
      <w:r w:rsidRPr="00FB2D03">
        <w:rPr>
          <w:color w:val="000000" w:themeColor="text1"/>
          <w:lang w:val="en-AU"/>
        </w:rPr>
        <w:lastRenderedPageBreak/>
        <w:t>Barram, Michael. “Jesus’s Manifesto: The Sermon on the Plain.” </w:t>
      </w:r>
      <w:r w:rsidRPr="00FB2D03">
        <w:rPr>
          <w:i/>
          <w:color w:val="000000" w:themeColor="text1"/>
          <w:lang w:val="en-AU"/>
        </w:rPr>
        <w:t xml:space="preserve">Interpretation—A Journal </w:t>
      </w:r>
    </w:p>
    <w:p w14:paraId="2CB466CA" w14:textId="19270E54" w:rsidR="00412D77" w:rsidRPr="00FB2D03" w:rsidRDefault="00412D77" w:rsidP="009B2F19">
      <w:pPr>
        <w:keepNext/>
        <w:keepLines/>
        <w:tabs>
          <w:tab w:val="left" w:pos="5616"/>
        </w:tabs>
        <w:ind w:left="720"/>
        <w:rPr>
          <w:color w:val="000000" w:themeColor="text1"/>
          <w:lang w:val="en-AU"/>
        </w:rPr>
      </w:pPr>
      <w:r w:rsidRPr="00FB2D03">
        <w:rPr>
          <w:i/>
          <w:color w:val="000000" w:themeColor="text1"/>
          <w:lang w:val="en-AU"/>
        </w:rPr>
        <w:t>of Bible and Theology</w:t>
      </w:r>
      <w:r w:rsidRPr="00FB2D03">
        <w:rPr>
          <w:color w:val="000000" w:themeColor="text1"/>
          <w:lang w:val="en-AU"/>
        </w:rPr>
        <w:t xml:space="preserve"> 75 (2021): 352–53.</w:t>
      </w:r>
    </w:p>
    <w:p w14:paraId="1FD817F2" w14:textId="77777777" w:rsidR="00412D77" w:rsidRPr="00FB2D03" w:rsidRDefault="00412D77" w:rsidP="00412D77">
      <w:pPr>
        <w:tabs>
          <w:tab w:val="left" w:pos="5616"/>
        </w:tabs>
        <w:rPr>
          <w:color w:val="000000" w:themeColor="text1"/>
          <w:lang w:val="en-AU"/>
        </w:rPr>
      </w:pPr>
    </w:p>
    <w:p w14:paraId="401B5A1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Bartelt, Andrew H. “The Centrality of Isaiah 6 (–8) within Isaiah 2–12.” </w:t>
      </w:r>
      <w:r w:rsidRPr="00FB2D03">
        <w:rPr>
          <w:i/>
          <w:color w:val="000000" w:themeColor="text1"/>
          <w:lang w:val="en-AU"/>
        </w:rPr>
        <w:t>Concordia Journal</w:t>
      </w:r>
      <w:r w:rsidRPr="00FB2D03">
        <w:rPr>
          <w:color w:val="000000" w:themeColor="text1"/>
          <w:lang w:val="en-AU"/>
        </w:rPr>
        <w:t xml:space="preserve"> </w:t>
      </w:r>
    </w:p>
    <w:p w14:paraId="745CAAAD" w14:textId="644B31F4" w:rsidR="00412D77" w:rsidRPr="00FB2D03" w:rsidRDefault="00412D77" w:rsidP="00AD1181">
      <w:pPr>
        <w:tabs>
          <w:tab w:val="left" w:pos="5616"/>
        </w:tabs>
        <w:ind w:left="720"/>
        <w:rPr>
          <w:color w:val="000000" w:themeColor="text1"/>
          <w:lang w:val="en-AU"/>
        </w:rPr>
      </w:pPr>
      <w:r w:rsidRPr="00FB2D03">
        <w:rPr>
          <w:color w:val="000000" w:themeColor="text1"/>
          <w:lang w:val="en-AU"/>
        </w:rPr>
        <w:t>30 (2004): 316-35.</w:t>
      </w:r>
    </w:p>
    <w:p w14:paraId="038ACCB3" w14:textId="5D7E1DAA" w:rsidR="0046142D" w:rsidRPr="00FB2D03" w:rsidRDefault="0046142D" w:rsidP="00412D77">
      <w:pPr>
        <w:tabs>
          <w:tab w:val="left" w:pos="5616"/>
        </w:tabs>
        <w:rPr>
          <w:color w:val="000000" w:themeColor="text1"/>
          <w:lang w:val="en-AU"/>
        </w:rPr>
      </w:pPr>
    </w:p>
    <w:p w14:paraId="5B343C70"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Basser, Herbert W. “B. Yoma 35b: Some Observations Concerning Divine Mediators and </w:t>
      </w:r>
    </w:p>
    <w:p w14:paraId="7DFF7557"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Rabbis.” </w:t>
      </w:r>
      <w:r w:rsidRPr="00FB2D03">
        <w:rPr>
          <w:i/>
          <w:color w:val="000000" w:themeColor="text1"/>
          <w:lang w:val="en-AU"/>
        </w:rPr>
        <w:t>The Review of Rabbinic Judaism</w:t>
      </w:r>
      <w:r w:rsidRPr="00FB2D03">
        <w:rPr>
          <w:color w:val="000000" w:themeColor="text1"/>
          <w:lang w:val="en-AU"/>
        </w:rPr>
        <w:t xml:space="preserve"> 22 (2019): 133–51.  </w:t>
      </w:r>
    </w:p>
    <w:p w14:paraId="4C4596F2" w14:textId="77777777" w:rsidR="00412D77" w:rsidRPr="00FB2D03" w:rsidRDefault="00412D77" w:rsidP="00412D77">
      <w:pPr>
        <w:tabs>
          <w:tab w:val="left" w:pos="5616"/>
        </w:tabs>
        <w:rPr>
          <w:color w:val="000000" w:themeColor="text1"/>
          <w:lang w:val="en-AU"/>
        </w:rPr>
      </w:pPr>
    </w:p>
    <w:p w14:paraId="24BCA3FF"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Batsch, Christophe. </w:t>
      </w:r>
      <w:r w:rsidRPr="00FB2D03">
        <w:rPr>
          <w:i/>
          <w:color w:val="000000" w:themeColor="text1"/>
          <w:lang w:val="en-AU"/>
        </w:rPr>
        <w:t xml:space="preserve">La guerre et les rites de guerre dans le judaïsme du deuxième Temple. </w:t>
      </w:r>
    </w:p>
    <w:p w14:paraId="73EC3E8E"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Leiden: Brill, 2005.</w:t>
      </w:r>
    </w:p>
    <w:p w14:paraId="4928D462" w14:textId="77777777" w:rsidR="00412D77" w:rsidRPr="00FB2D03" w:rsidRDefault="00412D77" w:rsidP="00412D77">
      <w:pPr>
        <w:tabs>
          <w:tab w:val="left" w:pos="5616"/>
        </w:tabs>
        <w:rPr>
          <w:color w:val="000000" w:themeColor="text1"/>
          <w:lang w:val="en-AU"/>
        </w:rPr>
      </w:pPr>
    </w:p>
    <w:p w14:paraId="3E6884C0" w14:textId="73D8EEB9" w:rsidR="00412D77" w:rsidRPr="00FB2D03" w:rsidRDefault="00412D77" w:rsidP="00412D77">
      <w:pPr>
        <w:tabs>
          <w:tab w:val="left" w:pos="5616"/>
        </w:tabs>
        <w:rPr>
          <w:i/>
          <w:color w:val="000000" w:themeColor="text1"/>
          <w:lang w:val="en-AU"/>
        </w:rPr>
      </w:pPr>
      <w:r w:rsidRPr="00FB2D03">
        <w:rPr>
          <w:color w:val="000000" w:themeColor="text1"/>
          <w:lang w:val="en-AU"/>
        </w:rPr>
        <w:t>________. “Le `pacifisme Des Esséniens’: Un Mythe Historiographique.” </w:t>
      </w:r>
      <w:r w:rsidRPr="00FB2D03">
        <w:rPr>
          <w:i/>
          <w:color w:val="000000" w:themeColor="text1"/>
          <w:lang w:val="en-AU"/>
        </w:rPr>
        <w:t xml:space="preserve">Revue de </w:t>
      </w:r>
    </w:p>
    <w:p w14:paraId="4AB988B9"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Qumran</w:t>
      </w:r>
      <w:r w:rsidRPr="00FB2D03">
        <w:rPr>
          <w:color w:val="000000" w:themeColor="text1"/>
          <w:lang w:val="en-AU"/>
        </w:rPr>
        <w:t> 21 (2004): 457–468.</w:t>
      </w:r>
    </w:p>
    <w:p w14:paraId="4ABF0C47" w14:textId="77777777" w:rsidR="00412D77" w:rsidRPr="00FB2D03" w:rsidRDefault="00412D77" w:rsidP="00412D77">
      <w:pPr>
        <w:tabs>
          <w:tab w:val="left" w:pos="5616"/>
        </w:tabs>
        <w:rPr>
          <w:color w:val="000000" w:themeColor="text1"/>
          <w:lang w:val="en-AU"/>
        </w:rPr>
      </w:pPr>
    </w:p>
    <w:p w14:paraId="1E46EF4A" w14:textId="77777777" w:rsidR="00412D77" w:rsidRPr="00FB2D03" w:rsidRDefault="00412D77" w:rsidP="00412D77">
      <w:pPr>
        <w:tabs>
          <w:tab w:val="left" w:pos="5616"/>
        </w:tabs>
        <w:rPr>
          <w:i/>
          <w:color w:val="000000" w:themeColor="text1"/>
          <w:lang w:val="en-AU"/>
        </w:rPr>
      </w:pPr>
      <w:r w:rsidRPr="00FB2D03">
        <w:rPr>
          <w:color w:val="000000" w:themeColor="text1"/>
          <w:lang w:val="en-AU"/>
        </w:rPr>
        <w:t>Battaglia, Federica. “An Aulus Gellius Commentary on Masurius Sabinus.” </w:t>
      </w:r>
      <w:r w:rsidRPr="00FB2D03">
        <w:rPr>
          <w:i/>
          <w:color w:val="000000" w:themeColor="text1"/>
          <w:lang w:val="en-AU"/>
        </w:rPr>
        <w:t xml:space="preserve">Tijdschrift Voor </w:t>
      </w:r>
    </w:p>
    <w:p w14:paraId="2256A826"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Rechtsgeschiedenis/Legal History Review</w:t>
      </w:r>
      <w:r w:rsidRPr="00FB2D03">
        <w:rPr>
          <w:color w:val="000000" w:themeColor="text1"/>
          <w:lang w:val="en-AU"/>
        </w:rPr>
        <w:t> 84 (2016): 97–148.</w:t>
      </w:r>
    </w:p>
    <w:p w14:paraId="717D9178" w14:textId="77777777" w:rsidR="00412D77" w:rsidRPr="00FB2D03" w:rsidRDefault="00412D77" w:rsidP="00412D77">
      <w:pPr>
        <w:tabs>
          <w:tab w:val="left" w:pos="5616"/>
        </w:tabs>
        <w:rPr>
          <w:color w:val="000000" w:themeColor="text1"/>
          <w:lang w:val="en-AU"/>
        </w:rPr>
      </w:pPr>
    </w:p>
    <w:p w14:paraId="7942965C" w14:textId="77777777" w:rsidR="00412D77" w:rsidRPr="00FB2D03" w:rsidRDefault="00412D77" w:rsidP="00412D77">
      <w:pPr>
        <w:tabs>
          <w:tab w:val="left" w:pos="5616"/>
        </w:tabs>
        <w:rPr>
          <w:i/>
          <w:color w:val="000000" w:themeColor="text1"/>
          <w:lang w:val="en-AU"/>
        </w:rPr>
      </w:pPr>
      <w:r w:rsidRPr="00FB2D03">
        <w:rPr>
          <w:color w:val="000000" w:themeColor="text1"/>
          <w:lang w:val="en-AU"/>
        </w:rPr>
        <w:t>Batten, Alicia J. “The Jesus Tradition and the Letter of James.” </w:t>
      </w:r>
      <w:r w:rsidRPr="00FB2D03">
        <w:rPr>
          <w:i/>
          <w:color w:val="000000" w:themeColor="text1"/>
          <w:lang w:val="en-AU"/>
        </w:rPr>
        <w:t xml:space="preserve">Review and Expositor: An </w:t>
      </w:r>
    </w:p>
    <w:p w14:paraId="0A8F4BAD"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International Baptist Journal</w:t>
      </w:r>
      <w:r w:rsidRPr="00FB2D03">
        <w:rPr>
          <w:color w:val="000000" w:themeColor="text1"/>
          <w:lang w:val="en-AU"/>
        </w:rPr>
        <w:t> 108 (2011): 381–90.</w:t>
      </w:r>
    </w:p>
    <w:p w14:paraId="3656CFE4" w14:textId="77777777" w:rsidR="00412D77" w:rsidRPr="00FB2D03" w:rsidRDefault="00412D77" w:rsidP="00412D77">
      <w:pPr>
        <w:tabs>
          <w:tab w:val="left" w:pos="5616"/>
        </w:tabs>
        <w:rPr>
          <w:color w:val="000000" w:themeColor="text1"/>
          <w:lang w:val="en-AU"/>
        </w:rPr>
      </w:pPr>
    </w:p>
    <w:p w14:paraId="3B721F7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Bauckham, Richard J. “The Messianic Interpretation of Isaiah 10:34 in the Dead Sea Scrolls, </w:t>
      </w:r>
    </w:p>
    <w:p w14:paraId="242DF691"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2 Baruch and the Preaching of John the Baptist.” </w:t>
      </w:r>
      <w:r w:rsidRPr="00FB2D03">
        <w:rPr>
          <w:i/>
          <w:color w:val="000000" w:themeColor="text1"/>
          <w:lang w:val="en-AU"/>
        </w:rPr>
        <w:t>Dead Sea Discoveries</w:t>
      </w:r>
      <w:r w:rsidRPr="00FB2D03">
        <w:rPr>
          <w:color w:val="000000" w:themeColor="text1"/>
          <w:lang w:val="en-AU"/>
        </w:rPr>
        <w:t xml:space="preserve"> 2 (1995): 202–16.</w:t>
      </w:r>
    </w:p>
    <w:p w14:paraId="1258E674" w14:textId="77777777" w:rsidR="00412D77" w:rsidRPr="00FB2D03" w:rsidRDefault="00412D77" w:rsidP="00412D77">
      <w:pPr>
        <w:tabs>
          <w:tab w:val="left" w:pos="5616"/>
        </w:tabs>
        <w:rPr>
          <w:color w:val="000000" w:themeColor="text1"/>
          <w:lang w:val="en-AU"/>
        </w:rPr>
      </w:pPr>
    </w:p>
    <w:p w14:paraId="778DB87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The Delay of the Parousia.” </w:t>
      </w:r>
      <w:r w:rsidRPr="00FB2D03">
        <w:rPr>
          <w:i/>
          <w:color w:val="000000" w:themeColor="text1"/>
          <w:lang w:val="en-AU"/>
        </w:rPr>
        <w:t xml:space="preserve">Tyndale Bulletin </w:t>
      </w:r>
      <w:r w:rsidRPr="00FB2D03">
        <w:rPr>
          <w:color w:val="000000" w:themeColor="text1"/>
          <w:lang w:val="en-AU"/>
        </w:rPr>
        <w:t xml:space="preserve">31 (1980): 4. </w:t>
      </w:r>
    </w:p>
    <w:p w14:paraId="12E9D21F" w14:textId="77777777" w:rsidR="00412D77" w:rsidRPr="00FB2D03" w:rsidRDefault="00412D77" w:rsidP="00412D77">
      <w:pPr>
        <w:tabs>
          <w:tab w:val="left" w:pos="5616"/>
        </w:tabs>
        <w:rPr>
          <w:color w:val="000000" w:themeColor="text1"/>
          <w:lang w:val="en-AU"/>
        </w:rPr>
      </w:pPr>
    </w:p>
    <w:p w14:paraId="2F2EA78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 xml:space="preserve">The Jewish World around the New Testament. </w:t>
      </w:r>
      <w:r w:rsidRPr="00FB2D03">
        <w:rPr>
          <w:color w:val="000000" w:themeColor="text1"/>
          <w:lang w:val="en-AU"/>
        </w:rPr>
        <w:t xml:space="preserve">Grand Rapids: Baker, 2010. </w:t>
      </w:r>
    </w:p>
    <w:p w14:paraId="2BDDF60F" w14:textId="77777777" w:rsidR="00412D77" w:rsidRPr="00FB2D03" w:rsidRDefault="00412D77" w:rsidP="00412D77">
      <w:pPr>
        <w:tabs>
          <w:tab w:val="left" w:pos="5616"/>
        </w:tabs>
        <w:rPr>
          <w:color w:val="000000" w:themeColor="text1"/>
          <w:lang w:val="en-AU"/>
        </w:rPr>
      </w:pPr>
    </w:p>
    <w:p w14:paraId="7D355544"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________. “For Whom Were the Gospels Written?” In </w:t>
      </w:r>
      <w:r w:rsidRPr="00FB2D03">
        <w:rPr>
          <w:i/>
          <w:color w:val="000000" w:themeColor="text1"/>
          <w:lang w:val="en-AU"/>
        </w:rPr>
        <w:t xml:space="preserve">The Gospels for All Christians: </w:t>
      </w:r>
    </w:p>
    <w:p w14:paraId="02151E46"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Rethinking the Gospel Audiences</w:t>
      </w:r>
      <w:r w:rsidRPr="00FB2D03">
        <w:rPr>
          <w:color w:val="000000" w:themeColor="text1"/>
          <w:lang w:val="en-AU"/>
        </w:rPr>
        <w:t>. Grand Rapids: Eerdmans, 1998.</w:t>
      </w:r>
    </w:p>
    <w:p w14:paraId="18FB9DAB" w14:textId="77777777" w:rsidR="00412D77" w:rsidRPr="00FB2D03" w:rsidRDefault="00412D77" w:rsidP="00412D77">
      <w:pPr>
        <w:tabs>
          <w:tab w:val="left" w:pos="5616"/>
        </w:tabs>
        <w:rPr>
          <w:color w:val="000000" w:themeColor="text1"/>
          <w:lang w:val="en-AU"/>
        </w:rPr>
      </w:pPr>
    </w:p>
    <w:p w14:paraId="07DC6D3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Baumgarten, A.I. “Who were the Sadducees? The Sadducees of Jerusalem and Qumran.” </w:t>
      </w:r>
    </w:p>
    <w:p w14:paraId="2E574E8C"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The Jews in the Hellenistic Roman World: Studies in Memory of Menahem Stern</w:t>
      </w:r>
      <w:r w:rsidRPr="00FB2D03">
        <w:rPr>
          <w:color w:val="000000" w:themeColor="text1"/>
          <w:lang w:val="en-AU"/>
        </w:rPr>
        <w:t xml:space="preserve">. Jerusalem: Historical Society of Israel, 1996. </w:t>
      </w:r>
    </w:p>
    <w:p w14:paraId="666D09BA" w14:textId="77777777" w:rsidR="00412D77" w:rsidRPr="00FB2D03" w:rsidRDefault="00412D77" w:rsidP="00412D77">
      <w:pPr>
        <w:tabs>
          <w:tab w:val="left" w:pos="5616"/>
        </w:tabs>
        <w:rPr>
          <w:color w:val="000000" w:themeColor="text1"/>
          <w:lang w:val="en-AU"/>
        </w:rPr>
      </w:pPr>
    </w:p>
    <w:p w14:paraId="001B1F9B"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Baumgarten, Elisheva. “Appropriation and Differentiation: Jewish Identity in Medieval </w:t>
      </w:r>
    </w:p>
    <w:p w14:paraId="2B983A87"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Ashkenaz.” </w:t>
      </w:r>
      <w:r w:rsidRPr="00FB2D03">
        <w:rPr>
          <w:i/>
          <w:color w:val="000000" w:themeColor="text1"/>
          <w:lang w:val="en-AU"/>
        </w:rPr>
        <w:t>Association of Jewish Studies Review</w:t>
      </w:r>
      <w:r w:rsidRPr="00FB2D03">
        <w:rPr>
          <w:color w:val="000000" w:themeColor="text1"/>
          <w:lang w:val="en-AU"/>
        </w:rPr>
        <w:t> 42 (2018): 39–63.</w:t>
      </w:r>
    </w:p>
    <w:p w14:paraId="0A0A0FE2" w14:textId="77777777" w:rsidR="00412D77" w:rsidRPr="00FB2D03" w:rsidRDefault="00412D77" w:rsidP="00412D77">
      <w:pPr>
        <w:tabs>
          <w:tab w:val="left" w:pos="5616"/>
        </w:tabs>
        <w:rPr>
          <w:color w:val="000000" w:themeColor="text1"/>
          <w:lang w:val="en-AU"/>
        </w:rPr>
      </w:pPr>
    </w:p>
    <w:p w14:paraId="3F1013D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Baxter, Wayne. “From Good News </w:t>
      </w:r>
      <w:proofErr w:type="gramStart"/>
      <w:r w:rsidRPr="00FB2D03">
        <w:rPr>
          <w:color w:val="000000" w:themeColor="text1"/>
          <w:lang w:val="en-AU"/>
        </w:rPr>
        <w:t>To</w:t>
      </w:r>
      <w:proofErr w:type="gramEnd"/>
      <w:r w:rsidRPr="00FB2D03">
        <w:rPr>
          <w:color w:val="000000" w:themeColor="text1"/>
          <w:lang w:val="en-AU"/>
        </w:rPr>
        <w:t xml:space="preserve"> Gospels: What Did the First Christians Say About </w:t>
      </w:r>
    </w:p>
    <w:p w14:paraId="66D6D90E"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Jesus?” </w:t>
      </w:r>
      <w:r w:rsidRPr="00FB2D03">
        <w:rPr>
          <w:i/>
          <w:color w:val="000000" w:themeColor="text1"/>
          <w:lang w:val="en-AU"/>
        </w:rPr>
        <w:t>Journal of the Evangelical Theological Society</w:t>
      </w:r>
      <w:r w:rsidRPr="00FB2D03">
        <w:rPr>
          <w:color w:val="000000" w:themeColor="text1"/>
          <w:lang w:val="en-AU"/>
        </w:rPr>
        <w:t> 62 (2019): 400–4.</w:t>
      </w:r>
    </w:p>
    <w:p w14:paraId="5B51CAC5" w14:textId="77777777" w:rsidR="00412D77" w:rsidRPr="00FB2D03" w:rsidRDefault="00412D77" w:rsidP="00412D77">
      <w:pPr>
        <w:tabs>
          <w:tab w:val="left" w:pos="5616"/>
        </w:tabs>
        <w:rPr>
          <w:color w:val="000000" w:themeColor="text1"/>
          <w:lang w:val="en-AU"/>
        </w:rPr>
      </w:pPr>
    </w:p>
    <w:p w14:paraId="6BDCDBDA"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Becker, Joachim. </w:t>
      </w:r>
      <w:r w:rsidRPr="00FB2D03">
        <w:rPr>
          <w:i/>
          <w:color w:val="000000" w:themeColor="text1"/>
          <w:lang w:val="en-AU"/>
        </w:rPr>
        <w:t>Messianic Expectation in the Old Testament</w:t>
      </w:r>
      <w:r w:rsidRPr="00FB2D03">
        <w:rPr>
          <w:color w:val="000000" w:themeColor="text1"/>
          <w:lang w:val="en-AU"/>
        </w:rPr>
        <w:t xml:space="preserve">. Philadelphia: Fortress, 1980. </w:t>
      </w:r>
    </w:p>
    <w:p w14:paraId="12EB36CE" w14:textId="77777777" w:rsidR="00412D77" w:rsidRPr="00FB2D03" w:rsidRDefault="00412D77" w:rsidP="00412D77">
      <w:pPr>
        <w:tabs>
          <w:tab w:val="left" w:pos="5616"/>
        </w:tabs>
        <w:rPr>
          <w:color w:val="000000" w:themeColor="text1"/>
          <w:lang w:val="en-AU"/>
        </w:rPr>
      </w:pPr>
    </w:p>
    <w:p w14:paraId="64A2330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Ben–Shalom, I. </w:t>
      </w:r>
      <w:r w:rsidRPr="00FB2D03">
        <w:rPr>
          <w:i/>
          <w:color w:val="000000" w:themeColor="text1"/>
          <w:lang w:val="en-AU"/>
        </w:rPr>
        <w:t xml:space="preserve">The School of Shammai and the Zealots’ Struggle against Rome. </w:t>
      </w:r>
      <w:r w:rsidRPr="00FB2D03">
        <w:rPr>
          <w:color w:val="000000" w:themeColor="text1"/>
          <w:lang w:val="en-AU"/>
        </w:rPr>
        <w:t xml:space="preserve">Jerusalem: </w:t>
      </w:r>
    </w:p>
    <w:p w14:paraId="3D8BBA14"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Yad Izhak Ben–Zvi, 1993.</w:t>
      </w:r>
    </w:p>
    <w:p w14:paraId="346E6FC0" w14:textId="77777777" w:rsidR="00412D77" w:rsidRPr="00FB2D03" w:rsidRDefault="00412D77" w:rsidP="00412D77">
      <w:pPr>
        <w:tabs>
          <w:tab w:val="left" w:pos="5616"/>
        </w:tabs>
        <w:rPr>
          <w:color w:val="000000" w:themeColor="text1"/>
          <w:lang w:val="en-AU"/>
        </w:rPr>
      </w:pPr>
    </w:p>
    <w:p w14:paraId="0BC1F477" w14:textId="77777777" w:rsidR="00412D77" w:rsidRPr="00FB2D03" w:rsidRDefault="00412D77" w:rsidP="00412D77">
      <w:pPr>
        <w:tabs>
          <w:tab w:val="left" w:pos="5616"/>
        </w:tabs>
        <w:rPr>
          <w:i/>
          <w:color w:val="000000" w:themeColor="text1"/>
          <w:lang w:val="en-AU"/>
        </w:rPr>
      </w:pPr>
      <w:r w:rsidRPr="00FB2D03">
        <w:rPr>
          <w:color w:val="000000" w:themeColor="text1"/>
          <w:lang w:val="en-AU"/>
        </w:rPr>
        <w:t>Berger, Klaus.</w:t>
      </w:r>
      <w:r w:rsidRPr="00FB2D03">
        <w:rPr>
          <w:i/>
          <w:color w:val="000000" w:themeColor="text1"/>
          <w:lang w:val="en-AU"/>
        </w:rPr>
        <w:t xml:space="preserve"> Die Gesetzesauslegung Jesu: Ihr historischer Hintergrund im Judentum und </w:t>
      </w:r>
    </w:p>
    <w:p w14:paraId="2ACC394C" w14:textId="220F3E40" w:rsidR="00412D77" w:rsidRPr="00FB2D03" w:rsidRDefault="00412D77" w:rsidP="00A068F9">
      <w:pPr>
        <w:ind w:left="720"/>
        <w:rPr>
          <w:lang w:val="en-AU"/>
        </w:rPr>
      </w:pPr>
      <w:r w:rsidRPr="00FB2D03">
        <w:rPr>
          <w:i/>
          <w:color w:val="000000" w:themeColor="text1"/>
          <w:lang w:val="en-AU"/>
        </w:rPr>
        <w:t>im Alten Testament 1: Markus und Parallelen.</w:t>
      </w:r>
      <w:r w:rsidRPr="00FB2D03">
        <w:rPr>
          <w:color w:val="000000" w:themeColor="text1"/>
          <w:lang w:val="en-AU"/>
        </w:rPr>
        <w:t xml:space="preserve"> </w:t>
      </w:r>
      <w:r w:rsidR="00B46309" w:rsidRPr="00FB2D03">
        <w:rPr>
          <w:lang w:val="en-AU"/>
        </w:rPr>
        <w:t>Wissenschaftliche Monographien zum Alten und Neuen Testament</w:t>
      </w:r>
      <w:r w:rsidRPr="00FB2D03">
        <w:rPr>
          <w:color w:val="000000" w:themeColor="text1"/>
          <w:lang w:val="en-AU"/>
        </w:rPr>
        <w:t xml:space="preserve"> 40. Neukirchen–Vluyn: Neukirchener, 1972. </w:t>
      </w:r>
    </w:p>
    <w:p w14:paraId="77BED7B2" w14:textId="77777777" w:rsidR="00412D77" w:rsidRPr="00FB2D03" w:rsidRDefault="00412D77" w:rsidP="00412D77">
      <w:pPr>
        <w:tabs>
          <w:tab w:val="left" w:pos="5616"/>
        </w:tabs>
        <w:rPr>
          <w:color w:val="000000" w:themeColor="text1"/>
          <w:lang w:val="en-AU"/>
        </w:rPr>
      </w:pPr>
    </w:p>
    <w:p w14:paraId="6F65C59E" w14:textId="77777777" w:rsidR="00412D77" w:rsidRPr="00FB2D03" w:rsidRDefault="00412D77" w:rsidP="00412D77">
      <w:pPr>
        <w:tabs>
          <w:tab w:val="left" w:pos="5616"/>
        </w:tabs>
        <w:rPr>
          <w:i/>
          <w:color w:val="000000" w:themeColor="text1"/>
          <w:lang w:val="en-AU"/>
        </w:rPr>
      </w:pPr>
      <w:r w:rsidRPr="00FB2D03">
        <w:rPr>
          <w:color w:val="000000" w:themeColor="text1"/>
          <w:lang w:val="en-AU"/>
        </w:rPr>
        <w:t>Bergsma, John Sietze. </w:t>
      </w:r>
      <w:r w:rsidRPr="00FB2D03">
        <w:rPr>
          <w:i/>
          <w:color w:val="000000" w:themeColor="text1"/>
          <w:lang w:val="en-AU"/>
        </w:rPr>
        <w:t xml:space="preserve">Jesus and the Dead Sea Scrolls: Revealing the Jewish Roots of </w:t>
      </w:r>
    </w:p>
    <w:p w14:paraId="2E5B2547"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Christianity</w:t>
      </w:r>
      <w:r w:rsidRPr="00FB2D03">
        <w:rPr>
          <w:color w:val="000000" w:themeColor="text1"/>
          <w:lang w:val="en-AU"/>
        </w:rPr>
        <w:t>. New York: Image, 2019.</w:t>
      </w:r>
    </w:p>
    <w:p w14:paraId="79B1D767" w14:textId="77777777" w:rsidR="00412D77" w:rsidRPr="00FB2D03" w:rsidRDefault="00412D77" w:rsidP="00412D77">
      <w:pPr>
        <w:tabs>
          <w:tab w:val="left" w:pos="5616"/>
        </w:tabs>
        <w:rPr>
          <w:color w:val="000000" w:themeColor="text1"/>
          <w:lang w:val="en-AU"/>
        </w:rPr>
      </w:pPr>
    </w:p>
    <w:p w14:paraId="36A1769E" w14:textId="77777777" w:rsidR="00412D77" w:rsidRPr="00FB2D03" w:rsidRDefault="00412D77" w:rsidP="00412D77">
      <w:pPr>
        <w:tabs>
          <w:tab w:val="left" w:pos="5616"/>
        </w:tabs>
        <w:rPr>
          <w:color w:val="000000" w:themeColor="text1"/>
          <w:lang w:val="en-AU"/>
        </w:rPr>
      </w:pPr>
      <w:r w:rsidRPr="00FB2D03">
        <w:rPr>
          <w:color w:val="000000" w:themeColor="text1"/>
          <w:lang w:val="en-AU"/>
        </w:rPr>
        <w:t>Berlin, Adele, Marc Zvi Brettler and Michael Fishbane. </w:t>
      </w:r>
      <w:r w:rsidRPr="00FB2D03">
        <w:rPr>
          <w:i/>
          <w:color w:val="000000" w:themeColor="text1"/>
          <w:lang w:val="en-AU"/>
        </w:rPr>
        <w:t>The Jewish Study Bible</w:t>
      </w:r>
      <w:r w:rsidRPr="00FB2D03">
        <w:rPr>
          <w:color w:val="000000" w:themeColor="text1"/>
          <w:lang w:val="en-AU"/>
        </w:rPr>
        <w:t>. Oxford:</w:t>
      </w:r>
      <w:r w:rsidRPr="00FB2D03">
        <w:rPr>
          <w:color w:val="000000" w:themeColor="text1"/>
          <w:lang w:val="en-AU"/>
        </w:rPr>
        <w:tab/>
      </w:r>
    </w:p>
    <w:p w14:paraId="6B5049F6"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Oxford University Press, 2004.</w:t>
      </w:r>
    </w:p>
    <w:p w14:paraId="023255E9" w14:textId="77777777" w:rsidR="00412D77" w:rsidRPr="00FB2D03" w:rsidRDefault="00412D77" w:rsidP="00412D77">
      <w:pPr>
        <w:tabs>
          <w:tab w:val="left" w:pos="5616"/>
        </w:tabs>
        <w:rPr>
          <w:color w:val="000000" w:themeColor="text1"/>
          <w:lang w:val="en-AU"/>
        </w:rPr>
      </w:pPr>
    </w:p>
    <w:p w14:paraId="601682B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Betz, Hanz Dieter. </w:t>
      </w:r>
      <w:r w:rsidRPr="00FB2D03">
        <w:rPr>
          <w:i/>
          <w:color w:val="000000" w:themeColor="text1"/>
          <w:lang w:val="en-AU"/>
        </w:rPr>
        <w:t>Essays on the Sermon on the Mount</w:t>
      </w:r>
      <w:r w:rsidRPr="00FB2D03">
        <w:rPr>
          <w:color w:val="000000" w:themeColor="text1"/>
          <w:lang w:val="en-AU"/>
        </w:rPr>
        <w:t>. Philadelphia: Fortress, 2009.</w:t>
      </w:r>
    </w:p>
    <w:p w14:paraId="5AA193BA" w14:textId="77777777" w:rsidR="00412D77" w:rsidRPr="00FB2D03" w:rsidRDefault="00412D77" w:rsidP="00412D77">
      <w:pPr>
        <w:tabs>
          <w:tab w:val="left" w:pos="5616"/>
        </w:tabs>
        <w:rPr>
          <w:color w:val="000000" w:themeColor="text1"/>
          <w:lang w:val="en-AU"/>
        </w:rPr>
      </w:pPr>
    </w:p>
    <w:p w14:paraId="03AD30F9"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________. </w:t>
      </w:r>
      <w:r w:rsidRPr="00FB2D03">
        <w:rPr>
          <w:i/>
          <w:color w:val="000000" w:themeColor="text1"/>
          <w:lang w:val="en-AU"/>
        </w:rPr>
        <w:t xml:space="preserve">The Sermon on the Mount: A Commentary on the Sermon on the Mount including </w:t>
      </w:r>
    </w:p>
    <w:p w14:paraId="263C713D"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the Sermon on the Plain (Matthew 5:3–7:27 and Luke 6:20–49)</w:t>
      </w:r>
      <w:r w:rsidRPr="00FB2D03">
        <w:rPr>
          <w:color w:val="000000" w:themeColor="text1"/>
          <w:lang w:val="en-AU"/>
        </w:rPr>
        <w:t>. Minneapolis: Fortress, 1995.</w:t>
      </w:r>
    </w:p>
    <w:p w14:paraId="77D0EE26" w14:textId="77777777" w:rsidR="00412D77" w:rsidRPr="00FB2D03" w:rsidRDefault="00412D77" w:rsidP="00412D77">
      <w:pPr>
        <w:tabs>
          <w:tab w:val="left" w:pos="5616"/>
        </w:tabs>
        <w:rPr>
          <w:color w:val="000000" w:themeColor="text1"/>
          <w:lang w:val="en-AU"/>
        </w:rPr>
      </w:pPr>
    </w:p>
    <w:p w14:paraId="254D227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Bickerman, E. J. </w:t>
      </w:r>
      <w:r w:rsidRPr="00FB2D03">
        <w:rPr>
          <w:i/>
          <w:color w:val="000000" w:themeColor="text1"/>
          <w:lang w:val="en-AU"/>
        </w:rPr>
        <w:t>The God of the Maccabees</w:t>
      </w:r>
      <w:r w:rsidRPr="00FB2D03">
        <w:rPr>
          <w:color w:val="000000" w:themeColor="text1"/>
          <w:lang w:val="en-AU"/>
        </w:rPr>
        <w:t>. Leiden: Brill, 1979.</w:t>
      </w:r>
    </w:p>
    <w:p w14:paraId="1B2FF00C" w14:textId="77777777" w:rsidR="00412D77" w:rsidRPr="00FB2D03" w:rsidRDefault="00412D77" w:rsidP="00412D77">
      <w:pPr>
        <w:tabs>
          <w:tab w:val="left" w:pos="5616"/>
        </w:tabs>
        <w:rPr>
          <w:b/>
          <w:color w:val="000000" w:themeColor="text1"/>
          <w:lang w:val="en-AU"/>
        </w:rPr>
      </w:pPr>
    </w:p>
    <w:p w14:paraId="1918B46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Bilhah Nitzan. “The ‘Repentance’ in the Dead Sea Scrolls / </w:t>
      </w:r>
      <w:r w:rsidRPr="00FB2D03">
        <w:rPr>
          <w:color w:val="000000" w:themeColor="text1"/>
          <w:rtl/>
          <w:lang w:val="en-AU"/>
        </w:rPr>
        <w:t>התשובה</w:t>
      </w:r>
      <w:r w:rsidRPr="00FB2D03">
        <w:rPr>
          <w:color w:val="000000" w:themeColor="text1"/>
          <w:lang w:val="en-AU"/>
        </w:rPr>
        <w:t xml:space="preserve"> </w:t>
      </w:r>
      <w:r w:rsidRPr="00FB2D03">
        <w:rPr>
          <w:color w:val="000000" w:themeColor="text1"/>
          <w:rtl/>
          <w:lang w:val="en-AU"/>
        </w:rPr>
        <w:t>במגילות מדבר יהודה</w:t>
      </w:r>
      <w:r w:rsidRPr="00FB2D03">
        <w:rPr>
          <w:color w:val="000000" w:themeColor="text1"/>
          <w:lang w:val="en-AU"/>
        </w:rPr>
        <w:t>.”</w:t>
      </w:r>
    </w:p>
    <w:p w14:paraId="63CDCE86"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Proceedings of the World Congress of Jewish Studies / </w:t>
      </w:r>
      <w:r w:rsidRPr="00FB2D03">
        <w:rPr>
          <w:i/>
          <w:color w:val="000000" w:themeColor="text1"/>
          <w:rtl/>
          <w:lang w:val="en-AU"/>
        </w:rPr>
        <w:t>דברי הקונגרס העולמי למדעי</w:t>
      </w:r>
      <w:r w:rsidRPr="00FB2D03">
        <w:rPr>
          <w:i/>
          <w:color w:val="000000" w:themeColor="text1"/>
          <w:lang w:val="en-AU"/>
        </w:rPr>
        <w:t xml:space="preserve"> </w:t>
      </w:r>
      <w:r w:rsidRPr="00FB2D03">
        <w:rPr>
          <w:i/>
          <w:color w:val="000000" w:themeColor="text1"/>
          <w:rtl/>
          <w:lang w:val="en-AU"/>
        </w:rPr>
        <w:t>היהדות</w:t>
      </w:r>
      <w:r w:rsidRPr="00FB2D03">
        <w:rPr>
          <w:color w:val="000000" w:themeColor="text1"/>
          <w:lang w:val="en-AU"/>
        </w:rPr>
        <w:t> </w:t>
      </w:r>
      <w:r w:rsidRPr="00FB2D03">
        <w:rPr>
          <w:color w:val="000000" w:themeColor="text1"/>
          <w:rtl/>
          <w:lang w:val="en-AU"/>
        </w:rPr>
        <w:t>יב</w:t>
      </w:r>
      <w:r w:rsidRPr="00FB2D03">
        <w:rPr>
          <w:color w:val="000000" w:themeColor="text1"/>
          <w:lang w:val="en-AU"/>
        </w:rPr>
        <w:t xml:space="preserve"> (1997): 175–83.</w:t>
      </w:r>
    </w:p>
    <w:p w14:paraId="6978D53A" w14:textId="77777777" w:rsidR="00412D77" w:rsidRPr="00FB2D03" w:rsidRDefault="00412D77" w:rsidP="00412D77">
      <w:pPr>
        <w:tabs>
          <w:tab w:val="left" w:pos="5616"/>
        </w:tabs>
        <w:rPr>
          <w:color w:val="000000" w:themeColor="text1"/>
          <w:lang w:val="en-AU"/>
        </w:rPr>
      </w:pPr>
    </w:p>
    <w:p w14:paraId="5B98F72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Bischofberger, Aurélie. “Stranger in a Land: Late-Antique and Medieval Narratives on </w:t>
      </w:r>
    </w:p>
    <w:p w14:paraId="164E47EC"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Foreigners and Exile.” </w:t>
      </w:r>
      <w:r w:rsidRPr="00FB2D03">
        <w:rPr>
          <w:i/>
          <w:color w:val="000000" w:themeColor="text1"/>
          <w:lang w:val="en-AU"/>
        </w:rPr>
        <w:t>Collectanea Christiana Orientalia</w:t>
      </w:r>
      <w:r w:rsidRPr="00FB2D03">
        <w:rPr>
          <w:color w:val="000000" w:themeColor="text1"/>
          <w:lang w:val="en-AU"/>
        </w:rPr>
        <w:t> 17 (2020): 299–310. </w:t>
      </w:r>
    </w:p>
    <w:p w14:paraId="5429D76A" w14:textId="77777777" w:rsidR="00412D77" w:rsidRPr="00FB2D03" w:rsidRDefault="00412D77" w:rsidP="00412D77">
      <w:pPr>
        <w:tabs>
          <w:tab w:val="left" w:pos="5616"/>
        </w:tabs>
        <w:rPr>
          <w:color w:val="000000" w:themeColor="text1"/>
          <w:lang w:val="en-AU"/>
        </w:rPr>
      </w:pPr>
    </w:p>
    <w:p w14:paraId="6439DD90" w14:textId="77777777" w:rsidR="00412D77" w:rsidRPr="00FB2D03" w:rsidRDefault="00412D77" w:rsidP="00412D77">
      <w:pPr>
        <w:tabs>
          <w:tab w:val="left" w:pos="5616"/>
        </w:tabs>
        <w:rPr>
          <w:color w:val="000000" w:themeColor="text1"/>
          <w:lang w:val="en-AU"/>
        </w:rPr>
      </w:pPr>
      <w:r w:rsidRPr="00FB2D03">
        <w:rPr>
          <w:color w:val="000000" w:themeColor="text1"/>
          <w:lang w:val="en-AU"/>
        </w:rPr>
        <w:t>Bivin, David, Lois Tverberg and Bruce Okkema, </w:t>
      </w:r>
      <w:r w:rsidRPr="00FB2D03">
        <w:rPr>
          <w:i/>
          <w:color w:val="000000" w:themeColor="text1"/>
          <w:lang w:val="en-AU"/>
        </w:rPr>
        <w:t>New Light on The Difficult Words of Jesus</w:t>
      </w:r>
      <w:r w:rsidRPr="00FB2D03">
        <w:rPr>
          <w:color w:val="000000" w:themeColor="text1"/>
          <w:lang w:val="en-AU"/>
        </w:rPr>
        <w:t xml:space="preserve">. </w:t>
      </w:r>
    </w:p>
    <w:p w14:paraId="1AF5D846"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ed. Lois Tverberg and Bruce Okkema. Holland, MI: En–Gedi Resource Center, 2007.</w:t>
      </w:r>
    </w:p>
    <w:p w14:paraId="6476ABAD" w14:textId="77777777" w:rsidR="00412D77" w:rsidRPr="00FB2D03" w:rsidRDefault="00412D77" w:rsidP="00412D77">
      <w:pPr>
        <w:tabs>
          <w:tab w:val="left" w:pos="5616"/>
        </w:tabs>
        <w:rPr>
          <w:color w:val="000000" w:themeColor="text1"/>
          <w:lang w:val="en-AU"/>
        </w:rPr>
      </w:pPr>
    </w:p>
    <w:p w14:paraId="37A4F92B"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Bivin, David and Roy Blizzard, </w:t>
      </w:r>
      <w:r w:rsidRPr="00FB2D03">
        <w:rPr>
          <w:i/>
          <w:color w:val="000000" w:themeColor="text1"/>
          <w:lang w:val="en-AU"/>
        </w:rPr>
        <w:t xml:space="preserve">Understanding the Difficult Words of Jesus: New Insights </w:t>
      </w:r>
    </w:p>
    <w:p w14:paraId="4EF7C0FC"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from a Hebraic Perspective</w:t>
      </w:r>
      <w:r w:rsidRPr="00FB2D03">
        <w:rPr>
          <w:color w:val="000000" w:themeColor="text1"/>
          <w:lang w:val="en-AU"/>
        </w:rPr>
        <w:t>. Shippensburg: Destiny Image, 1994.</w:t>
      </w:r>
    </w:p>
    <w:p w14:paraId="11B35FA3" w14:textId="77777777" w:rsidR="00412D77" w:rsidRPr="00FB2D03" w:rsidRDefault="00412D77" w:rsidP="00412D77">
      <w:pPr>
        <w:tabs>
          <w:tab w:val="left" w:pos="5616"/>
        </w:tabs>
        <w:rPr>
          <w:color w:val="000000" w:themeColor="text1"/>
          <w:lang w:val="en-AU"/>
        </w:rPr>
      </w:pPr>
    </w:p>
    <w:p w14:paraId="2968ACC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Blackman, Philip. </w:t>
      </w:r>
      <w:r w:rsidRPr="00FB2D03">
        <w:rPr>
          <w:i/>
          <w:color w:val="000000" w:themeColor="text1"/>
          <w:lang w:val="en-AU"/>
        </w:rPr>
        <w:t>Ethics of the Fathers</w:t>
      </w:r>
      <w:r w:rsidRPr="00FB2D03">
        <w:rPr>
          <w:color w:val="000000" w:themeColor="text1"/>
          <w:lang w:val="en-AU"/>
        </w:rPr>
        <w:t>. Gateshead UK: Judaica Press, 1979.</w:t>
      </w:r>
    </w:p>
    <w:p w14:paraId="2FB85F53" w14:textId="77777777" w:rsidR="00412D77" w:rsidRPr="00FB2D03" w:rsidRDefault="00412D77" w:rsidP="00412D77">
      <w:pPr>
        <w:tabs>
          <w:tab w:val="left" w:pos="5616"/>
        </w:tabs>
        <w:rPr>
          <w:color w:val="000000" w:themeColor="text1"/>
          <w:lang w:val="en-AU"/>
        </w:rPr>
      </w:pPr>
    </w:p>
    <w:p w14:paraId="4F2DCC9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Blanco Cortina, David. “Proporcionalidad y Sanciones Transicionales Análisis Del </w:t>
      </w:r>
    </w:p>
    <w:p w14:paraId="2B0F9E98"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Modelo de Castigo de La Jurisdicción Especial Para La Paz (JEP).” </w:t>
      </w:r>
      <w:r w:rsidRPr="00FB2D03">
        <w:rPr>
          <w:i/>
          <w:color w:val="000000" w:themeColor="text1"/>
          <w:lang w:val="en-AU"/>
        </w:rPr>
        <w:t>Revista de Derecho</w:t>
      </w:r>
      <w:r w:rsidRPr="00FB2D03">
        <w:rPr>
          <w:color w:val="000000" w:themeColor="text1"/>
          <w:lang w:val="en-AU"/>
        </w:rPr>
        <w:t xml:space="preserve"> 52 (2019): 164–92.</w:t>
      </w:r>
    </w:p>
    <w:p w14:paraId="1143F4DA" w14:textId="77777777" w:rsidR="00412D77" w:rsidRPr="00FB2D03" w:rsidRDefault="00412D77" w:rsidP="00412D77">
      <w:pPr>
        <w:tabs>
          <w:tab w:val="left" w:pos="5616"/>
        </w:tabs>
        <w:rPr>
          <w:color w:val="000000" w:themeColor="text1"/>
          <w:lang w:val="en-AU"/>
        </w:rPr>
      </w:pPr>
    </w:p>
    <w:p w14:paraId="77151B8B"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Blenkinsopp, Joseph. </w:t>
      </w:r>
      <w:r w:rsidRPr="00FB2D03">
        <w:rPr>
          <w:i/>
          <w:color w:val="000000" w:themeColor="text1"/>
          <w:lang w:val="en-AU"/>
        </w:rPr>
        <w:t>Isaiah 1–39</w:t>
      </w:r>
      <w:r w:rsidRPr="00FB2D03">
        <w:rPr>
          <w:color w:val="000000" w:themeColor="text1"/>
          <w:lang w:val="en-AU"/>
        </w:rPr>
        <w:t xml:space="preserve">: </w:t>
      </w:r>
      <w:r w:rsidRPr="00FB2D03">
        <w:rPr>
          <w:i/>
          <w:color w:val="000000" w:themeColor="text1"/>
          <w:lang w:val="en-AU"/>
        </w:rPr>
        <w:t>A New Translation with Introduction and Commentary</w:t>
      </w:r>
      <w:r w:rsidRPr="00FB2D03">
        <w:rPr>
          <w:color w:val="000000" w:themeColor="text1"/>
          <w:lang w:val="en-AU"/>
        </w:rPr>
        <w:t xml:space="preserve">, </w:t>
      </w:r>
    </w:p>
    <w:p w14:paraId="7FCEA737"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Anchor Bible. New York: Doubleday, 2000.</w:t>
      </w:r>
    </w:p>
    <w:p w14:paraId="35F1F5C6" w14:textId="77777777" w:rsidR="00412D77" w:rsidRPr="00FB2D03" w:rsidRDefault="00412D77" w:rsidP="00412D77">
      <w:pPr>
        <w:tabs>
          <w:tab w:val="left" w:pos="5616"/>
        </w:tabs>
        <w:rPr>
          <w:color w:val="000000" w:themeColor="text1"/>
          <w:lang w:val="en-AU"/>
        </w:rPr>
      </w:pPr>
    </w:p>
    <w:p w14:paraId="1E6E6C1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Bloch–Smith, Elizabeth. “The Impact of Siege Warfare on Biblical Conceptualizations of </w:t>
      </w:r>
    </w:p>
    <w:p w14:paraId="0D35B348"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YHWH.” </w:t>
      </w:r>
      <w:r w:rsidRPr="00FB2D03">
        <w:rPr>
          <w:i/>
          <w:color w:val="000000" w:themeColor="text1"/>
          <w:lang w:val="en-AU"/>
        </w:rPr>
        <w:t>Journal of Biblical Literature</w:t>
      </w:r>
      <w:r w:rsidRPr="00FB2D03">
        <w:rPr>
          <w:color w:val="000000" w:themeColor="text1"/>
          <w:lang w:val="en-AU"/>
        </w:rPr>
        <w:t xml:space="preserve"> 137 (2018): 19–28. </w:t>
      </w:r>
    </w:p>
    <w:p w14:paraId="602B8D79" w14:textId="77777777" w:rsidR="00412D77" w:rsidRPr="00FB2D03" w:rsidRDefault="00412D77" w:rsidP="00412D77">
      <w:pPr>
        <w:tabs>
          <w:tab w:val="left" w:pos="5616"/>
        </w:tabs>
        <w:rPr>
          <w:color w:val="000000" w:themeColor="text1"/>
          <w:lang w:val="en-AU"/>
        </w:rPr>
      </w:pPr>
    </w:p>
    <w:p w14:paraId="01DF3D44"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Bo, Federico Dal. “Jesus’ Punishment in Hell in the Latin Translation of the Babylonian </w:t>
      </w:r>
    </w:p>
    <w:p w14:paraId="6C3E192A"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Talmud: A Passage from Tractate Gittin in the Extractores de Talmud.” </w:t>
      </w:r>
      <w:r w:rsidRPr="00FB2D03">
        <w:rPr>
          <w:i/>
          <w:color w:val="000000" w:themeColor="text1"/>
          <w:lang w:val="en-AU"/>
        </w:rPr>
        <w:t>Henoch</w:t>
      </w:r>
      <w:r w:rsidRPr="00FB2D03">
        <w:rPr>
          <w:color w:val="000000" w:themeColor="text1"/>
          <w:lang w:val="en-AU"/>
        </w:rPr>
        <w:t xml:space="preserve"> 40 </w:t>
      </w:r>
    </w:p>
    <w:p w14:paraId="25585AB2"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(2018): 165–95.</w:t>
      </w:r>
    </w:p>
    <w:p w14:paraId="499C2193" w14:textId="77777777" w:rsidR="00412D77" w:rsidRPr="00FB2D03" w:rsidRDefault="00412D77" w:rsidP="00412D77">
      <w:pPr>
        <w:tabs>
          <w:tab w:val="left" w:pos="5616"/>
        </w:tabs>
        <w:rPr>
          <w:color w:val="000000" w:themeColor="text1"/>
          <w:lang w:val="en-AU"/>
        </w:rPr>
      </w:pPr>
    </w:p>
    <w:p w14:paraId="05C0E61D"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Bockmuehl, Markus. “IQ S and Salvation at Qumran.” In </w:t>
      </w:r>
      <w:r w:rsidRPr="00FB2D03">
        <w:rPr>
          <w:i/>
          <w:color w:val="000000" w:themeColor="text1"/>
          <w:lang w:val="en-AU"/>
        </w:rPr>
        <w:t xml:space="preserve">Justification and Variegated </w:t>
      </w:r>
    </w:p>
    <w:p w14:paraId="5448949D"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Nomism: </w:t>
      </w:r>
      <w:r w:rsidRPr="00FB2D03">
        <w:rPr>
          <w:color w:val="000000" w:themeColor="text1"/>
          <w:lang w:val="en-AU"/>
        </w:rPr>
        <w:t>Vol. 1</w:t>
      </w:r>
      <w:r w:rsidRPr="00FB2D03">
        <w:rPr>
          <w:i/>
          <w:color w:val="000000" w:themeColor="text1"/>
          <w:lang w:val="en-AU"/>
        </w:rPr>
        <w:t xml:space="preserve">, The Complexities of Second Temple Judaism, </w:t>
      </w:r>
      <w:r w:rsidRPr="00FB2D03">
        <w:rPr>
          <w:color w:val="000000" w:themeColor="text1"/>
          <w:lang w:val="en-AU"/>
        </w:rPr>
        <w:t>ed.</w:t>
      </w:r>
      <w:r w:rsidRPr="00FB2D03">
        <w:rPr>
          <w:i/>
          <w:color w:val="000000" w:themeColor="text1"/>
          <w:lang w:val="en-AU"/>
        </w:rPr>
        <w:t xml:space="preserve"> </w:t>
      </w:r>
      <w:r w:rsidRPr="00FB2D03">
        <w:rPr>
          <w:color w:val="000000" w:themeColor="text1"/>
          <w:lang w:val="en-AU"/>
        </w:rPr>
        <w:t xml:space="preserve">D. A. Carson, Peter </w:t>
      </w:r>
    </w:p>
    <w:p w14:paraId="7F7A4012"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T. O’Brien, and Mark A. Seifrid, 388-89. Grand Rapids: Baker, 2001.</w:t>
      </w:r>
    </w:p>
    <w:p w14:paraId="0FF8E81B" w14:textId="77777777" w:rsidR="00412D77" w:rsidRPr="00FB2D03" w:rsidRDefault="00412D77" w:rsidP="00412D77">
      <w:pPr>
        <w:tabs>
          <w:tab w:val="left" w:pos="5616"/>
        </w:tabs>
        <w:rPr>
          <w:color w:val="000000" w:themeColor="text1"/>
          <w:lang w:val="en-AU"/>
        </w:rPr>
      </w:pPr>
    </w:p>
    <w:p w14:paraId="5AED072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Borgen, P. Philo, </w:t>
      </w:r>
      <w:proofErr w:type="gramStart"/>
      <w:r w:rsidRPr="00FB2D03">
        <w:rPr>
          <w:i/>
          <w:color w:val="000000" w:themeColor="text1"/>
          <w:lang w:val="en-AU"/>
        </w:rPr>
        <w:t>John</w:t>
      </w:r>
      <w:proofErr w:type="gramEnd"/>
      <w:r w:rsidRPr="00FB2D03">
        <w:rPr>
          <w:i/>
          <w:color w:val="000000" w:themeColor="text1"/>
          <w:lang w:val="en-AU"/>
        </w:rPr>
        <w:t xml:space="preserve"> and Paul: New Perspectives on Judaism and Early Christianity.</w:t>
      </w:r>
      <w:r w:rsidRPr="00FB2D03">
        <w:rPr>
          <w:color w:val="000000" w:themeColor="text1"/>
          <w:lang w:val="en-AU"/>
        </w:rPr>
        <w:t xml:space="preserve"> </w:t>
      </w:r>
    </w:p>
    <w:p w14:paraId="52378D73" w14:textId="5DC7080B" w:rsidR="00412D77" w:rsidRPr="00FB2D03" w:rsidRDefault="00412D77" w:rsidP="00AD1181">
      <w:pPr>
        <w:tabs>
          <w:tab w:val="left" w:pos="5616"/>
        </w:tabs>
        <w:ind w:left="720"/>
        <w:rPr>
          <w:color w:val="000000" w:themeColor="text1"/>
          <w:lang w:val="en-AU"/>
        </w:rPr>
      </w:pPr>
      <w:r w:rsidRPr="00FB2D03">
        <w:rPr>
          <w:color w:val="000000" w:themeColor="text1"/>
          <w:lang w:val="en-AU"/>
        </w:rPr>
        <w:t>Atlanta: Scholars</w:t>
      </w:r>
      <w:r w:rsidR="00C858E5">
        <w:rPr>
          <w:color w:val="000000" w:themeColor="text1"/>
          <w:lang w:val="en-AU"/>
        </w:rPr>
        <w:t xml:space="preserve"> Press</w:t>
      </w:r>
      <w:r w:rsidRPr="00FB2D03">
        <w:rPr>
          <w:color w:val="000000" w:themeColor="text1"/>
          <w:lang w:val="en-AU"/>
        </w:rPr>
        <w:t xml:space="preserve">, 1987. </w:t>
      </w:r>
    </w:p>
    <w:p w14:paraId="383A5669" w14:textId="77777777" w:rsidR="00412D77" w:rsidRPr="00FB2D03" w:rsidRDefault="00412D77" w:rsidP="00412D77">
      <w:pPr>
        <w:tabs>
          <w:tab w:val="left" w:pos="5616"/>
        </w:tabs>
        <w:rPr>
          <w:color w:val="000000" w:themeColor="text1"/>
          <w:lang w:val="en-AU"/>
        </w:rPr>
      </w:pPr>
    </w:p>
    <w:p w14:paraId="3111C79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Birnbaum, Ellen. </w:t>
      </w:r>
      <w:r w:rsidRPr="00FB2D03">
        <w:rPr>
          <w:i/>
          <w:color w:val="000000" w:themeColor="text1"/>
          <w:lang w:val="en-AU"/>
        </w:rPr>
        <w:t>The Place of Judaism in Philo’s Thought: Israel, Jews, and Proselytes</w:t>
      </w:r>
      <w:r w:rsidRPr="00FB2D03">
        <w:rPr>
          <w:color w:val="000000" w:themeColor="text1"/>
          <w:lang w:val="en-AU"/>
        </w:rPr>
        <w:t xml:space="preserve">. </w:t>
      </w:r>
    </w:p>
    <w:p w14:paraId="1223F190"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SPM 2. Atlanta: Scholars Press, 1996. </w:t>
      </w:r>
    </w:p>
    <w:p w14:paraId="07F6C9C7" w14:textId="77777777" w:rsidR="00412D77" w:rsidRPr="00FB2D03" w:rsidRDefault="00412D77" w:rsidP="00412D77">
      <w:pPr>
        <w:tabs>
          <w:tab w:val="left" w:pos="5616"/>
        </w:tabs>
        <w:rPr>
          <w:color w:val="000000" w:themeColor="text1"/>
          <w:lang w:val="en-AU"/>
        </w:rPr>
      </w:pPr>
    </w:p>
    <w:p w14:paraId="21A78E11"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Borg, Marcus J. </w:t>
      </w:r>
      <w:r w:rsidRPr="00FB2D03">
        <w:rPr>
          <w:i/>
          <w:color w:val="000000" w:themeColor="text1"/>
          <w:lang w:val="en-AU"/>
        </w:rPr>
        <w:t>Jesus: A New Vision</w:t>
      </w:r>
      <w:r w:rsidRPr="00FB2D03">
        <w:rPr>
          <w:color w:val="000000" w:themeColor="text1"/>
          <w:lang w:val="en-AU"/>
        </w:rPr>
        <w:t>. London: SPCK, 1994.</w:t>
      </w:r>
    </w:p>
    <w:p w14:paraId="3401F38D" w14:textId="77777777" w:rsidR="00412D77" w:rsidRPr="00FB2D03" w:rsidRDefault="00412D77" w:rsidP="00412D77">
      <w:pPr>
        <w:tabs>
          <w:tab w:val="left" w:pos="5616"/>
        </w:tabs>
        <w:rPr>
          <w:color w:val="000000" w:themeColor="text1"/>
          <w:lang w:val="en-AU"/>
        </w:rPr>
      </w:pPr>
    </w:p>
    <w:p w14:paraId="49E925B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Borkowski, Andrew. </w:t>
      </w:r>
      <w:r w:rsidRPr="00FB2D03">
        <w:rPr>
          <w:i/>
          <w:color w:val="000000" w:themeColor="text1"/>
          <w:lang w:val="en-AU"/>
        </w:rPr>
        <w:t>Roman Law.</w:t>
      </w:r>
      <w:r w:rsidRPr="00FB2D03">
        <w:rPr>
          <w:color w:val="000000" w:themeColor="text1"/>
          <w:lang w:val="en-AU"/>
        </w:rPr>
        <w:t xml:space="preserve"> London: Blackstone, 1994.</w:t>
      </w:r>
    </w:p>
    <w:p w14:paraId="1059A25F" w14:textId="77777777" w:rsidR="00412D77" w:rsidRPr="00FB2D03" w:rsidRDefault="00412D77" w:rsidP="00412D77">
      <w:pPr>
        <w:tabs>
          <w:tab w:val="left" w:pos="5616"/>
        </w:tabs>
        <w:rPr>
          <w:color w:val="000000" w:themeColor="text1"/>
          <w:lang w:val="en-AU"/>
        </w:rPr>
      </w:pPr>
    </w:p>
    <w:p w14:paraId="59B6E0C4"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Boring, M. E. “The Historical–Critical Method’s ‘Criteria of Authenticity’: The Beatitudes </w:t>
      </w:r>
    </w:p>
    <w:p w14:paraId="57D99944"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in Q and Thomas as a Test Case.” </w:t>
      </w:r>
      <w:r w:rsidRPr="00FB2D03">
        <w:rPr>
          <w:i/>
          <w:color w:val="000000" w:themeColor="text1"/>
          <w:lang w:val="en-AU"/>
        </w:rPr>
        <w:t>Semeia</w:t>
      </w:r>
      <w:sdt>
        <w:sdtPr>
          <w:rPr>
            <w:color w:val="000000" w:themeColor="text1"/>
            <w:lang w:val="en-AU"/>
          </w:rPr>
          <w:tag w:val="goog_rdk_0"/>
          <w:id w:val="-1331751370"/>
        </w:sdtPr>
        <w:sdtContent>
          <w:r w:rsidRPr="00FB2D03">
            <w:rPr>
              <w:color w:val="000000" w:themeColor="text1"/>
              <w:lang w:val="en-AU"/>
            </w:rPr>
            <w:t xml:space="preserve"> 44 (1988): 9−44.</w:t>
          </w:r>
        </w:sdtContent>
      </w:sdt>
    </w:p>
    <w:p w14:paraId="51D9AC47" w14:textId="77777777" w:rsidR="00412D77" w:rsidRPr="00FB2D03" w:rsidRDefault="00412D77" w:rsidP="00412D77">
      <w:pPr>
        <w:tabs>
          <w:tab w:val="left" w:pos="5616"/>
        </w:tabs>
        <w:rPr>
          <w:color w:val="000000" w:themeColor="text1"/>
          <w:lang w:val="en-AU"/>
        </w:rPr>
      </w:pPr>
    </w:p>
    <w:p w14:paraId="26B3132F" w14:textId="77777777" w:rsidR="00412D77" w:rsidRPr="00FB2D03" w:rsidRDefault="00412D77" w:rsidP="00412D77">
      <w:pPr>
        <w:tabs>
          <w:tab w:val="left" w:pos="5616"/>
        </w:tabs>
        <w:rPr>
          <w:i/>
          <w:color w:val="000000" w:themeColor="text1"/>
          <w:lang w:val="en-AU"/>
        </w:rPr>
      </w:pPr>
      <w:r w:rsidRPr="00FB2D03">
        <w:rPr>
          <w:color w:val="000000" w:themeColor="text1"/>
          <w:lang w:val="en-AU"/>
        </w:rPr>
        <w:t>Bornkamm, Günther, Gerhard Barth, and Heinz Joachim Held. </w:t>
      </w:r>
      <w:r w:rsidRPr="00FB2D03">
        <w:rPr>
          <w:i/>
          <w:color w:val="000000" w:themeColor="text1"/>
          <w:lang w:val="en-AU"/>
        </w:rPr>
        <w:t xml:space="preserve">Tradition and Interpretation </w:t>
      </w:r>
    </w:p>
    <w:p w14:paraId="3EF3C16C"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in Matthew</w:t>
      </w:r>
      <w:r w:rsidRPr="00FB2D03">
        <w:rPr>
          <w:color w:val="000000" w:themeColor="text1"/>
          <w:lang w:val="en-AU"/>
        </w:rPr>
        <w:t xml:space="preserve">. London: SCM, 1982. </w:t>
      </w:r>
    </w:p>
    <w:p w14:paraId="285033C9" w14:textId="77777777" w:rsidR="00412D77" w:rsidRPr="00FB2D03" w:rsidRDefault="00412D77" w:rsidP="00412D77">
      <w:pPr>
        <w:tabs>
          <w:tab w:val="left" w:pos="5616"/>
        </w:tabs>
        <w:rPr>
          <w:color w:val="000000" w:themeColor="text1"/>
          <w:lang w:val="en-AU"/>
        </w:rPr>
      </w:pPr>
    </w:p>
    <w:p w14:paraId="27DF80E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Tradition and Interpretation in Matthew</w:t>
      </w:r>
      <w:r w:rsidRPr="00FB2D03">
        <w:rPr>
          <w:color w:val="000000" w:themeColor="text1"/>
          <w:lang w:val="en-AU"/>
        </w:rPr>
        <w:t>. London: SCM, 1963.</w:t>
      </w:r>
    </w:p>
    <w:p w14:paraId="44612AC9" w14:textId="77777777" w:rsidR="00412D77" w:rsidRPr="00FB2D03" w:rsidRDefault="00412D77" w:rsidP="00412D77">
      <w:pPr>
        <w:tabs>
          <w:tab w:val="left" w:pos="5616"/>
        </w:tabs>
        <w:rPr>
          <w:color w:val="000000" w:themeColor="text1"/>
          <w:lang w:val="en-AU"/>
        </w:rPr>
      </w:pPr>
    </w:p>
    <w:p w14:paraId="5EB32713"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Bornkamm, Karin. “Umstrittener ‘Spiegel Eines Christlichen Lebens’ Luthers Auslegung Der </w:t>
      </w:r>
    </w:p>
    <w:p w14:paraId="19EEFDBD"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Bergpredigt in Seinen Wochenpredigten von 1530 Bis 1532.” </w:t>
      </w:r>
      <w:r w:rsidRPr="00FB2D03">
        <w:rPr>
          <w:i/>
          <w:color w:val="000000" w:themeColor="text1"/>
          <w:lang w:val="en-AU"/>
        </w:rPr>
        <w:t>Zeitschrift Für Theologie Und Kirche</w:t>
      </w:r>
      <w:r w:rsidRPr="00FB2D03">
        <w:rPr>
          <w:color w:val="000000" w:themeColor="text1"/>
          <w:lang w:val="en-AU"/>
        </w:rPr>
        <w:t> 85 (1988): 409–54.</w:t>
      </w:r>
    </w:p>
    <w:p w14:paraId="0088FC7A" w14:textId="77777777" w:rsidR="00412D77" w:rsidRPr="00FB2D03" w:rsidRDefault="00412D77" w:rsidP="00412D77">
      <w:pPr>
        <w:tabs>
          <w:tab w:val="left" w:pos="5616"/>
        </w:tabs>
        <w:rPr>
          <w:color w:val="000000" w:themeColor="text1"/>
          <w:lang w:val="en-AU"/>
        </w:rPr>
      </w:pPr>
    </w:p>
    <w:p w14:paraId="224A8C5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Boyarin, Daniel. </w:t>
      </w:r>
      <w:r w:rsidRPr="00FB2D03">
        <w:rPr>
          <w:i/>
          <w:color w:val="000000" w:themeColor="text1"/>
          <w:lang w:val="en-AU"/>
        </w:rPr>
        <w:t>The Jewish Gospels</w:t>
      </w:r>
      <w:r w:rsidRPr="00FB2D03">
        <w:rPr>
          <w:color w:val="000000" w:themeColor="text1"/>
          <w:lang w:val="en-AU"/>
        </w:rPr>
        <w:t xml:space="preserve">. New York: The New Press, 2012. </w:t>
      </w:r>
    </w:p>
    <w:p w14:paraId="20F7C6E5" w14:textId="77777777" w:rsidR="00412D77" w:rsidRPr="00FB2D03" w:rsidRDefault="00412D77" w:rsidP="00412D77">
      <w:pPr>
        <w:tabs>
          <w:tab w:val="left" w:pos="5616"/>
        </w:tabs>
        <w:rPr>
          <w:color w:val="000000" w:themeColor="text1"/>
          <w:lang w:val="en-AU"/>
        </w:rPr>
      </w:pPr>
    </w:p>
    <w:p w14:paraId="5C960EE0"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________. </w:t>
      </w:r>
      <w:r w:rsidRPr="00FB2D03">
        <w:rPr>
          <w:i/>
          <w:color w:val="000000" w:themeColor="text1"/>
          <w:lang w:val="en-AU"/>
        </w:rPr>
        <w:t xml:space="preserve">The Ways That Never Parted: Jews and Christians in Late Antiquity and the </w:t>
      </w:r>
    </w:p>
    <w:p w14:paraId="03C59B1B"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Early Middle Ages</w:t>
      </w:r>
      <w:r w:rsidRPr="00FB2D03">
        <w:rPr>
          <w:color w:val="000000" w:themeColor="text1"/>
          <w:lang w:val="en-AU"/>
        </w:rPr>
        <w:t>. Minneapolis: Fortress Press, 2007.</w:t>
      </w:r>
    </w:p>
    <w:p w14:paraId="4EDC1002" w14:textId="77777777" w:rsidR="00412D77" w:rsidRPr="00FB2D03" w:rsidRDefault="00412D77" w:rsidP="00412D77">
      <w:pPr>
        <w:tabs>
          <w:tab w:val="left" w:pos="5616"/>
        </w:tabs>
        <w:rPr>
          <w:color w:val="000000" w:themeColor="text1"/>
          <w:lang w:val="en-AU"/>
        </w:rPr>
      </w:pPr>
    </w:p>
    <w:p w14:paraId="6B5EF53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Bowden, James. “‘Send the Archers’: Archery’s Primary Role in Canaanite-Levantine </w:t>
      </w:r>
    </w:p>
    <w:p w14:paraId="34F22CAD"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Military Thought.” </w:t>
      </w:r>
      <w:r w:rsidRPr="00FB2D03">
        <w:rPr>
          <w:i/>
          <w:color w:val="000000" w:themeColor="text1"/>
          <w:lang w:val="en-AU"/>
        </w:rPr>
        <w:t>Revista Universitaria de Historia Militar</w:t>
      </w:r>
      <w:r w:rsidRPr="00FB2D03">
        <w:rPr>
          <w:color w:val="000000" w:themeColor="text1"/>
          <w:lang w:val="en-AU"/>
        </w:rPr>
        <w:t> 9, (2020): 122–45.</w:t>
      </w:r>
    </w:p>
    <w:p w14:paraId="49A8BFB0" w14:textId="77777777" w:rsidR="00412D77" w:rsidRPr="00FB2D03" w:rsidRDefault="00412D77" w:rsidP="00412D77">
      <w:pPr>
        <w:tabs>
          <w:tab w:val="left" w:pos="5616"/>
        </w:tabs>
        <w:rPr>
          <w:color w:val="000000" w:themeColor="text1"/>
          <w:lang w:val="en-AU"/>
        </w:rPr>
      </w:pPr>
    </w:p>
    <w:p w14:paraId="69CEB0C8" w14:textId="77777777" w:rsidR="00412D77" w:rsidRPr="00FB2D03" w:rsidRDefault="00412D77" w:rsidP="00412D77">
      <w:pPr>
        <w:tabs>
          <w:tab w:val="left" w:pos="5616"/>
        </w:tabs>
        <w:rPr>
          <w:color w:val="000000" w:themeColor="text1"/>
          <w:lang w:val="en-AU"/>
        </w:rPr>
      </w:pPr>
      <w:r w:rsidRPr="00FB2D03">
        <w:rPr>
          <w:color w:val="000000" w:themeColor="text1"/>
          <w:lang w:val="en-AU"/>
        </w:rPr>
        <w:t>Boyd, Gregory A. “A Cruciform Response to Terrorism.”</w:t>
      </w:r>
      <w:r w:rsidRPr="00FB2D03">
        <w:rPr>
          <w:i/>
          <w:color w:val="000000" w:themeColor="text1"/>
          <w:lang w:val="en-AU"/>
        </w:rPr>
        <w:t> Philosophia Christi </w:t>
      </w:r>
      <w:r w:rsidRPr="00FB2D03">
        <w:rPr>
          <w:color w:val="000000" w:themeColor="text1"/>
          <w:lang w:val="en-AU"/>
        </w:rPr>
        <w:t xml:space="preserve">18 (2016): </w:t>
      </w:r>
    </w:p>
    <w:p w14:paraId="3960CD6F"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119–27.</w:t>
      </w:r>
    </w:p>
    <w:p w14:paraId="51B600ED" w14:textId="77777777" w:rsidR="00412D77" w:rsidRPr="00FB2D03" w:rsidRDefault="00412D77" w:rsidP="00412D77">
      <w:pPr>
        <w:tabs>
          <w:tab w:val="left" w:pos="5616"/>
        </w:tabs>
        <w:rPr>
          <w:color w:val="000000" w:themeColor="text1"/>
          <w:lang w:val="en-AU"/>
        </w:rPr>
      </w:pPr>
    </w:p>
    <w:p w14:paraId="4E4E69A0"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Boyd, Steven W. “The Biblical Case Against Counter-Social Justice: YHWH’s Demand for </w:t>
      </w:r>
    </w:p>
    <w:p w14:paraId="3136FDB0"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Justice and Righteousness.” </w:t>
      </w:r>
      <w:r w:rsidRPr="00FB2D03">
        <w:rPr>
          <w:i/>
          <w:color w:val="000000" w:themeColor="text1"/>
          <w:lang w:val="en-AU"/>
        </w:rPr>
        <w:t>The Journal of Ministry &amp; Theology</w:t>
      </w:r>
      <w:r w:rsidRPr="00FB2D03">
        <w:rPr>
          <w:color w:val="000000" w:themeColor="text1"/>
          <w:lang w:val="en-AU"/>
        </w:rPr>
        <w:t> 24 (2020): 29–59. </w:t>
      </w:r>
    </w:p>
    <w:p w14:paraId="25AF0542" w14:textId="77777777" w:rsidR="00412D77" w:rsidRPr="00FB2D03" w:rsidRDefault="00412D77" w:rsidP="00412D77">
      <w:pPr>
        <w:tabs>
          <w:tab w:val="left" w:pos="5616"/>
        </w:tabs>
        <w:rPr>
          <w:color w:val="000000" w:themeColor="text1"/>
          <w:lang w:val="en-AU"/>
        </w:rPr>
      </w:pPr>
    </w:p>
    <w:p w14:paraId="466970EB" w14:textId="77777777" w:rsidR="00412D77" w:rsidRPr="00FB2D03" w:rsidRDefault="00412D77" w:rsidP="00412D77">
      <w:pPr>
        <w:tabs>
          <w:tab w:val="left" w:pos="5616"/>
        </w:tabs>
        <w:rPr>
          <w:color w:val="000000" w:themeColor="text1"/>
          <w:lang w:val="en-AU"/>
        </w:rPr>
      </w:pPr>
      <w:r w:rsidRPr="00FB2D03">
        <w:rPr>
          <w:color w:val="000000" w:themeColor="text1"/>
          <w:lang w:val="en-AU"/>
        </w:rPr>
        <w:t>Brandes, Yehuda. “The Canonization of the Mishnah.” </w:t>
      </w:r>
      <w:r w:rsidRPr="00FB2D03">
        <w:rPr>
          <w:i/>
          <w:color w:val="000000" w:themeColor="text1"/>
          <w:lang w:val="en-AU"/>
        </w:rPr>
        <w:t>Journal of Ancient Judaism</w:t>
      </w:r>
      <w:r w:rsidRPr="00FB2D03">
        <w:rPr>
          <w:color w:val="000000" w:themeColor="text1"/>
          <w:lang w:val="en-AU"/>
        </w:rPr>
        <w:t xml:space="preserve"> 10 </w:t>
      </w:r>
    </w:p>
    <w:p w14:paraId="561DCD33"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(2019): 145–80. </w:t>
      </w:r>
    </w:p>
    <w:p w14:paraId="5055F199" w14:textId="77777777" w:rsidR="00412D77" w:rsidRPr="00FB2D03" w:rsidRDefault="00412D77" w:rsidP="00412D77">
      <w:pPr>
        <w:tabs>
          <w:tab w:val="left" w:pos="5616"/>
        </w:tabs>
        <w:rPr>
          <w:color w:val="000000" w:themeColor="text1"/>
          <w:lang w:val="en-AU"/>
        </w:rPr>
      </w:pPr>
    </w:p>
    <w:p w14:paraId="0C224CC8" w14:textId="77777777" w:rsidR="00412D77" w:rsidRPr="00FB2D03" w:rsidRDefault="00412D77" w:rsidP="00412D77">
      <w:pPr>
        <w:tabs>
          <w:tab w:val="left" w:pos="5616"/>
        </w:tabs>
        <w:rPr>
          <w:color w:val="000000" w:themeColor="text1"/>
          <w:lang w:val="en-AU"/>
        </w:rPr>
      </w:pPr>
      <w:r w:rsidRPr="00FB2D03">
        <w:rPr>
          <w:color w:val="000000" w:themeColor="text1"/>
          <w:lang w:val="en-AU"/>
        </w:rPr>
        <w:t>Brandon, S. G. F. “Jesus and the Zealots:’ A Correction.” </w:t>
      </w:r>
      <w:r w:rsidRPr="00FB2D03">
        <w:rPr>
          <w:i/>
          <w:color w:val="000000" w:themeColor="text1"/>
          <w:lang w:val="en-AU"/>
        </w:rPr>
        <w:t xml:space="preserve">New Testament Studies </w:t>
      </w:r>
      <w:r w:rsidRPr="00FB2D03">
        <w:rPr>
          <w:color w:val="000000" w:themeColor="text1"/>
          <w:lang w:val="en-AU"/>
        </w:rPr>
        <w:t xml:space="preserve">17 (1971): </w:t>
      </w:r>
    </w:p>
    <w:p w14:paraId="1AE8521A"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453.</w:t>
      </w:r>
    </w:p>
    <w:p w14:paraId="5DA260D2" w14:textId="77777777" w:rsidR="00412D77" w:rsidRPr="00FB2D03" w:rsidRDefault="00412D77" w:rsidP="00412D77">
      <w:pPr>
        <w:tabs>
          <w:tab w:val="left" w:pos="5616"/>
        </w:tabs>
        <w:rPr>
          <w:color w:val="000000" w:themeColor="text1"/>
          <w:lang w:val="en-AU"/>
        </w:rPr>
      </w:pPr>
    </w:p>
    <w:p w14:paraId="39694D07" w14:textId="77777777" w:rsidR="00412D77" w:rsidRPr="00FB2D03" w:rsidRDefault="00412D77" w:rsidP="00412D77">
      <w:pPr>
        <w:tabs>
          <w:tab w:val="left" w:pos="5616"/>
        </w:tabs>
        <w:rPr>
          <w:i/>
          <w:color w:val="000000" w:themeColor="text1"/>
          <w:lang w:val="en-AU"/>
        </w:rPr>
      </w:pPr>
      <w:r w:rsidRPr="00FB2D03">
        <w:rPr>
          <w:color w:val="000000" w:themeColor="text1"/>
          <w:lang w:val="en-AU"/>
        </w:rPr>
        <w:t>Branson, Mark Lau. “Matthew and Learning Communities.” </w:t>
      </w:r>
      <w:r w:rsidRPr="00FB2D03">
        <w:rPr>
          <w:i/>
          <w:color w:val="000000" w:themeColor="text1"/>
          <w:lang w:val="en-AU"/>
        </w:rPr>
        <w:t xml:space="preserve">Journal of Religious </w:t>
      </w:r>
    </w:p>
    <w:p w14:paraId="17BCDF3C"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Leadership</w:t>
      </w:r>
      <w:r w:rsidRPr="00FB2D03">
        <w:rPr>
          <w:color w:val="000000" w:themeColor="text1"/>
          <w:lang w:val="en-AU"/>
        </w:rPr>
        <w:t> 15 (2016): 37–68.</w:t>
      </w:r>
    </w:p>
    <w:p w14:paraId="43CCC488" w14:textId="77777777" w:rsidR="00412D77" w:rsidRPr="00FB2D03" w:rsidRDefault="00412D77" w:rsidP="00412D77">
      <w:pPr>
        <w:tabs>
          <w:tab w:val="left" w:pos="5616"/>
        </w:tabs>
        <w:rPr>
          <w:color w:val="000000" w:themeColor="text1"/>
          <w:lang w:val="en-AU"/>
        </w:rPr>
      </w:pPr>
    </w:p>
    <w:p w14:paraId="1B674003" w14:textId="77777777" w:rsidR="00BF41AE" w:rsidRPr="00FB2D03" w:rsidRDefault="00412D77" w:rsidP="00412D77">
      <w:pPr>
        <w:tabs>
          <w:tab w:val="left" w:pos="5616"/>
        </w:tabs>
        <w:rPr>
          <w:color w:val="000000" w:themeColor="text1"/>
          <w:lang w:val="en-AU"/>
        </w:rPr>
      </w:pPr>
      <w:r w:rsidRPr="00FB2D03">
        <w:rPr>
          <w:color w:val="000000" w:themeColor="text1"/>
          <w:lang w:val="en-AU"/>
        </w:rPr>
        <w:t xml:space="preserve">Brettler, Marc Zvi. </w:t>
      </w:r>
      <w:r w:rsidRPr="00FB2D03">
        <w:rPr>
          <w:i/>
          <w:color w:val="000000" w:themeColor="text1"/>
          <w:lang w:val="en-AU"/>
        </w:rPr>
        <w:t>God Is King: Understanding an Israelite Metaphor</w:t>
      </w:r>
      <w:r w:rsidRPr="00FB2D03">
        <w:rPr>
          <w:color w:val="000000" w:themeColor="text1"/>
          <w:lang w:val="en-AU"/>
        </w:rPr>
        <w:t xml:space="preserve">. Sheffield: JSOT Pr, </w:t>
      </w:r>
    </w:p>
    <w:p w14:paraId="219C770A" w14:textId="37E65C14" w:rsidR="00412D77" w:rsidRPr="00FB2D03" w:rsidRDefault="00412D77" w:rsidP="00AD1181">
      <w:pPr>
        <w:tabs>
          <w:tab w:val="left" w:pos="5616"/>
        </w:tabs>
        <w:ind w:left="720"/>
        <w:rPr>
          <w:color w:val="000000" w:themeColor="text1"/>
          <w:lang w:val="en-AU"/>
        </w:rPr>
      </w:pPr>
      <w:r w:rsidRPr="00FB2D03">
        <w:rPr>
          <w:color w:val="000000" w:themeColor="text1"/>
          <w:lang w:val="en-AU"/>
        </w:rPr>
        <w:t>1989.</w:t>
      </w:r>
    </w:p>
    <w:p w14:paraId="0A8F881D" w14:textId="77777777" w:rsidR="00412D77" w:rsidRPr="00FB2D03" w:rsidRDefault="00412D77" w:rsidP="00412D77">
      <w:pPr>
        <w:tabs>
          <w:tab w:val="left" w:pos="5616"/>
        </w:tabs>
        <w:rPr>
          <w:color w:val="000000" w:themeColor="text1"/>
          <w:lang w:val="en-AU"/>
        </w:rPr>
      </w:pPr>
    </w:p>
    <w:p w14:paraId="6330AB2A" w14:textId="424889BD" w:rsidR="00BF41AE" w:rsidRPr="00FB2D03" w:rsidRDefault="00412D77" w:rsidP="00412D77">
      <w:pPr>
        <w:tabs>
          <w:tab w:val="left" w:pos="5616"/>
        </w:tabs>
        <w:rPr>
          <w:color w:val="000000" w:themeColor="text1"/>
          <w:lang w:val="en-AU"/>
        </w:rPr>
      </w:pPr>
      <w:r w:rsidRPr="00FB2D03">
        <w:rPr>
          <w:color w:val="000000" w:themeColor="text1"/>
          <w:lang w:val="en-AU"/>
        </w:rPr>
        <w:t xml:space="preserve">Brindle, Wayne A. </w:t>
      </w:r>
      <w:r w:rsidR="005E1B2F" w:rsidRPr="00FB2D03">
        <w:rPr>
          <w:color w:val="000000" w:themeColor="text1"/>
          <w:lang w:val="en-AU"/>
        </w:rPr>
        <w:t>“</w:t>
      </w:r>
      <w:r w:rsidRPr="00FB2D03">
        <w:rPr>
          <w:iCs/>
          <w:color w:val="000000" w:themeColor="text1"/>
          <w:lang w:val="en-AU"/>
        </w:rPr>
        <w:t>The Gospel of Luke</w:t>
      </w:r>
      <w:r w:rsidRPr="00FB2D03">
        <w:rPr>
          <w:color w:val="000000" w:themeColor="text1"/>
          <w:lang w:val="en-AU"/>
        </w:rPr>
        <w:t>.</w:t>
      </w:r>
      <w:r w:rsidR="005E1B2F" w:rsidRPr="00FB2D03">
        <w:rPr>
          <w:color w:val="000000" w:themeColor="text1"/>
          <w:lang w:val="en-AU"/>
        </w:rPr>
        <w:t>”</w:t>
      </w:r>
      <w:r w:rsidRPr="00FB2D03">
        <w:rPr>
          <w:i/>
          <w:color w:val="000000" w:themeColor="text1"/>
          <w:lang w:val="en-AU"/>
        </w:rPr>
        <w:t> Journal of the Evangelical Theological Society</w:t>
      </w:r>
      <w:r w:rsidRPr="00FB2D03">
        <w:rPr>
          <w:color w:val="000000" w:themeColor="text1"/>
          <w:lang w:val="en-AU"/>
        </w:rPr>
        <w:t xml:space="preserve"> 43 </w:t>
      </w:r>
    </w:p>
    <w:p w14:paraId="3F656CF8" w14:textId="48EDBB21" w:rsidR="00412D77" w:rsidRPr="00FB2D03" w:rsidRDefault="00412D77" w:rsidP="00AD1181">
      <w:pPr>
        <w:tabs>
          <w:tab w:val="left" w:pos="5616"/>
        </w:tabs>
        <w:ind w:left="720"/>
        <w:rPr>
          <w:color w:val="000000" w:themeColor="text1"/>
          <w:lang w:val="en-AU"/>
        </w:rPr>
      </w:pPr>
      <w:r w:rsidRPr="00FB2D03">
        <w:rPr>
          <w:color w:val="000000" w:themeColor="text1"/>
          <w:lang w:val="en-AU"/>
        </w:rPr>
        <w:t>(2000): 140.</w:t>
      </w:r>
    </w:p>
    <w:p w14:paraId="311234EB" w14:textId="77777777" w:rsidR="00412D77" w:rsidRPr="00FB2D03" w:rsidRDefault="00412D77" w:rsidP="00412D77">
      <w:pPr>
        <w:tabs>
          <w:tab w:val="left" w:pos="5616"/>
        </w:tabs>
        <w:rPr>
          <w:color w:val="000000" w:themeColor="text1"/>
          <w:lang w:val="en-AU"/>
        </w:rPr>
      </w:pPr>
    </w:p>
    <w:p w14:paraId="68498063" w14:textId="77777777" w:rsidR="00BF41AE" w:rsidRPr="00FB2D03" w:rsidRDefault="00412D77" w:rsidP="00412D77">
      <w:pPr>
        <w:tabs>
          <w:tab w:val="left" w:pos="5616"/>
        </w:tabs>
        <w:rPr>
          <w:i/>
          <w:color w:val="000000" w:themeColor="text1"/>
          <w:lang w:val="en-AU"/>
        </w:rPr>
      </w:pPr>
      <w:r w:rsidRPr="00FB2D03">
        <w:rPr>
          <w:color w:val="000000" w:themeColor="text1"/>
          <w:lang w:val="en-AU"/>
        </w:rPr>
        <w:t>Brooke, George J. “Dead Sea Scrolls Scholarship in Oxford: Past, Present and Future.” </w:t>
      </w:r>
      <w:r w:rsidRPr="00FB2D03">
        <w:rPr>
          <w:i/>
          <w:color w:val="000000" w:themeColor="text1"/>
          <w:lang w:val="en-AU"/>
        </w:rPr>
        <w:t xml:space="preserve">Revue </w:t>
      </w:r>
    </w:p>
    <w:p w14:paraId="2284F882" w14:textId="2231B716" w:rsidR="00412D77" w:rsidRPr="00FB2D03" w:rsidRDefault="00412D77" w:rsidP="00AD1181">
      <w:pPr>
        <w:tabs>
          <w:tab w:val="left" w:pos="5616"/>
        </w:tabs>
        <w:ind w:left="720"/>
        <w:rPr>
          <w:color w:val="000000" w:themeColor="text1"/>
          <w:lang w:val="en-AU"/>
        </w:rPr>
      </w:pPr>
      <w:r w:rsidRPr="00FB2D03">
        <w:rPr>
          <w:i/>
          <w:color w:val="000000" w:themeColor="text1"/>
          <w:lang w:val="en-AU"/>
        </w:rPr>
        <w:lastRenderedPageBreak/>
        <w:t>de Qumran</w:t>
      </w:r>
      <w:r w:rsidRPr="00FB2D03">
        <w:rPr>
          <w:color w:val="000000" w:themeColor="text1"/>
          <w:lang w:val="en-AU"/>
        </w:rPr>
        <w:t xml:space="preserve"> 32 (2020): 177–93. </w:t>
      </w:r>
    </w:p>
    <w:p w14:paraId="623E6499" w14:textId="77777777" w:rsidR="00412D77" w:rsidRPr="00FB2D03" w:rsidRDefault="00412D77" w:rsidP="00412D77">
      <w:pPr>
        <w:tabs>
          <w:tab w:val="left" w:pos="5616"/>
        </w:tabs>
        <w:rPr>
          <w:color w:val="000000" w:themeColor="text1"/>
          <w:lang w:val="en-AU"/>
        </w:rPr>
      </w:pPr>
    </w:p>
    <w:p w14:paraId="10D23614" w14:textId="77777777" w:rsidR="00BF41AE"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Exegesis at Qumran: 4QFlorilegium in its Jewish Context</w:t>
      </w:r>
      <w:r w:rsidRPr="00FB2D03">
        <w:rPr>
          <w:color w:val="000000" w:themeColor="text1"/>
          <w:lang w:val="en-AU"/>
        </w:rPr>
        <w:t xml:space="preserve">. Atlanta: SBL Press, </w:t>
      </w:r>
    </w:p>
    <w:p w14:paraId="0EA62577" w14:textId="0302786A"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2013: 85–98. </w:t>
      </w:r>
    </w:p>
    <w:p w14:paraId="16F7FE94" w14:textId="77777777" w:rsidR="00412D77" w:rsidRPr="00FB2D03" w:rsidRDefault="00412D77" w:rsidP="00412D77">
      <w:pPr>
        <w:tabs>
          <w:tab w:val="left" w:pos="5616"/>
        </w:tabs>
        <w:rPr>
          <w:color w:val="000000" w:themeColor="text1"/>
          <w:lang w:val="en-AU"/>
        </w:rPr>
      </w:pPr>
    </w:p>
    <w:p w14:paraId="242617A8" w14:textId="77777777" w:rsidR="00C858E5" w:rsidRDefault="00412D77" w:rsidP="00C858E5">
      <w:pPr>
        <w:tabs>
          <w:tab w:val="left" w:pos="5616"/>
        </w:tabs>
        <w:rPr>
          <w:i/>
          <w:color w:val="000000" w:themeColor="text1"/>
          <w:lang w:val="en-AU"/>
        </w:rPr>
      </w:pPr>
      <w:r w:rsidRPr="00FB2D03">
        <w:rPr>
          <w:color w:val="000000" w:themeColor="text1"/>
          <w:lang w:val="en-AU"/>
        </w:rPr>
        <w:t xml:space="preserve">________. “Miqdash Adam, Eden and the Qumran Community.” In </w:t>
      </w:r>
      <w:r w:rsidRPr="00FB2D03">
        <w:rPr>
          <w:i/>
          <w:color w:val="000000" w:themeColor="text1"/>
          <w:lang w:val="en-AU"/>
        </w:rPr>
        <w:t xml:space="preserve">Gemeinde Ohne Tempel: </w:t>
      </w:r>
    </w:p>
    <w:p w14:paraId="42EE3E05" w14:textId="78A9C637" w:rsidR="00412D77" w:rsidRPr="00C858E5" w:rsidRDefault="00412D77" w:rsidP="00C858E5">
      <w:pPr>
        <w:tabs>
          <w:tab w:val="left" w:pos="5616"/>
        </w:tabs>
        <w:ind w:left="720"/>
        <w:rPr>
          <w:i/>
          <w:color w:val="000000" w:themeColor="text1"/>
          <w:lang w:val="en-AU"/>
        </w:rPr>
      </w:pPr>
      <w:r w:rsidRPr="00FB2D03">
        <w:rPr>
          <w:i/>
          <w:color w:val="000000" w:themeColor="text1"/>
          <w:lang w:val="en-AU"/>
        </w:rPr>
        <w:t xml:space="preserve">Zur Substituierung Und Transformation </w:t>
      </w:r>
      <w:proofErr w:type="gramStart"/>
      <w:r w:rsidRPr="00FB2D03">
        <w:rPr>
          <w:i/>
          <w:color w:val="000000" w:themeColor="text1"/>
          <w:lang w:val="en-AU"/>
        </w:rPr>
        <w:t>Des</w:t>
      </w:r>
      <w:proofErr w:type="gramEnd"/>
      <w:r w:rsidRPr="00FB2D03">
        <w:rPr>
          <w:i/>
          <w:color w:val="000000" w:themeColor="text1"/>
          <w:lang w:val="en-AU"/>
        </w:rPr>
        <w:t xml:space="preserve"> Jerusalemer Tempels Und Seines Kults Im Alten Testament, Antiken Judentum Und Frühen Christentum</w:t>
      </w:r>
      <w:r w:rsidRPr="00FB2D03">
        <w:rPr>
          <w:color w:val="000000" w:themeColor="text1"/>
          <w:lang w:val="en-AU"/>
        </w:rPr>
        <w:t xml:space="preserve">, 285–301. Tübingen: Mohr Siebeck, 1999. </w:t>
      </w:r>
    </w:p>
    <w:p w14:paraId="48CE1FE1" w14:textId="77777777" w:rsidR="00412D77" w:rsidRPr="00FB2D03" w:rsidRDefault="00412D77" w:rsidP="00412D77">
      <w:pPr>
        <w:tabs>
          <w:tab w:val="left" w:pos="5616"/>
        </w:tabs>
        <w:rPr>
          <w:color w:val="000000" w:themeColor="text1"/>
          <w:lang w:val="en-AU"/>
        </w:rPr>
      </w:pPr>
    </w:p>
    <w:p w14:paraId="1C178FF1" w14:textId="77777777" w:rsidR="00BF41AE" w:rsidRPr="00FB2D03" w:rsidRDefault="00412D77" w:rsidP="00412D77">
      <w:pPr>
        <w:tabs>
          <w:tab w:val="left" w:pos="5616"/>
        </w:tabs>
        <w:rPr>
          <w:color w:val="000000" w:themeColor="text1"/>
          <w:lang w:val="en-AU"/>
        </w:rPr>
      </w:pPr>
      <w:r w:rsidRPr="00FB2D03">
        <w:rPr>
          <w:color w:val="000000" w:themeColor="text1"/>
          <w:lang w:val="en-AU"/>
        </w:rPr>
        <w:t xml:space="preserve">________ “The Allegro Qumran Photograph Collection: Old Photos and New Information.” </w:t>
      </w:r>
    </w:p>
    <w:p w14:paraId="26A9E151" w14:textId="3851257A"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In </w:t>
      </w:r>
      <w:r w:rsidRPr="00FB2D03">
        <w:rPr>
          <w:i/>
          <w:color w:val="000000" w:themeColor="text1"/>
          <w:lang w:val="en-AU"/>
        </w:rPr>
        <w:t>The Provo International Conference on the Dead Sea Scrolls: Technological Innovations, New Texts, and Reformulated Issues</w:t>
      </w:r>
      <w:r w:rsidRPr="00FB2D03">
        <w:rPr>
          <w:color w:val="000000" w:themeColor="text1"/>
          <w:lang w:val="en-AU"/>
        </w:rPr>
        <w:t xml:space="preserve">, 13–29. Leiden, 1999. </w:t>
      </w:r>
    </w:p>
    <w:p w14:paraId="5E35AD73" w14:textId="77777777" w:rsidR="00412D77" w:rsidRPr="00FB2D03" w:rsidRDefault="00412D77" w:rsidP="00412D77">
      <w:pPr>
        <w:tabs>
          <w:tab w:val="left" w:pos="5616"/>
        </w:tabs>
        <w:rPr>
          <w:color w:val="000000" w:themeColor="text1"/>
          <w:lang w:val="en-AU"/>
        </w:rPr>
      </w:pPr>
    </w:p>
    <w:p w14:paraId="4C4C0A7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Dead Sea Scrolls and the New Testament</w:t>
      </w:r>
      <w:r w:rsidRPr="00FB2D03">
        <w:rPr>
          <w:color w:val="000000" w:themeColor="text1"/>
          <w:lang w:val="en-AU"/>
        </w:rPr>
        <w:t xml:space="preserve">. London: SPCK, 2005. </w:t>
      </w:r>
    </w:p>
    <w:p w14:paraId="1C3B44F7" w14:textId="77777777" w:rsidR="00412D77" w:rsidRPr="00FB2D03" w:rsidRDefault="00412D77" w:rsidP="00412D77">
      <w:pPr>
        <w:tabs>
          <w:tab w:val="left" w:pos="5616"/>
        </w:tabs>
        <w:rPr>
          <w:color w:val="000000" w:themeColor="text1"/>
          <w:lang w:val="en-AU"/>
        </w:rPr>
      </w:pPr>
    </w:p>
    <w:p w14:paraId="72A0BED1" w14:textId="77777777" w:rsidR="00BF41AE" w:rsidRPr="00FB2D03" w:rsidRDefault="00412D77" w:rsidP="00412D77">
      <w:pPr>
        <w:tabs>
          <w:tab w:val="left" w:pos="5616"/>
        </w:tabs>
        <w:rPr>
          <w:color w:val="000000" w:themeColor="text1"/>
          <w:lang w:val="en-AU"/>
        </w:rPr>
      </w:pPr>
      <w:r w:rsidRPr="00FB2D03">
        <w:rPr>
          <w:color w:val="000000" w:themeColor="text1"/>
          <w:lang w:val="en-AU"/>
        </w:rPr>
        <w:t xml:space="preserve">________. “The Dead Sea Scrolls: A Review of the Last Decade’s Publications and </w:t>
      </w:r>
    </w:p>
    <w:p w14:paraId="28D16C42" w14:textId="7A35879E"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Activities.” </w:t>
      </w:r>
      <w:r w:rsidRPr="00FB2D03">
        <w:rPr>
          <w:i/>
          <w:color w:val="000000" w:themeColor="text1"/>
          <w:lang w:val="en-AU"/>
        </w:rPr>
        <w:t>Epworth Review</w:t>
      </w:r>
      <w:r w:rsidRPr="00FB2D03">
        <w:rPr>
          <w:color w:val="000000" w:themeColor="text1"/>
          <w:lang w:val="en-AU"/>
        </w:rPr>
        <w:t xml:space="preserve"> 26 (1999): 87–97. </w:t>
      </w:r>
    </w:p>
    <w:p w14:paraId="0532E01E" w14:textId="77777777" w:rsidR="00412D77" w:rsidRPr="00FB2D03" w:rsidRDefault="00412D77" w:rsidP="00412D77">
      <w:pPr>
        <w:tabs>
          <w:tab w:val="left" w:pos="5616"/>
        </w:tabs>
        <w:rPr>
          <w:color w:val="000000" w:themeColor="text1"/>
          <w:lang w:val="en-AU"/>
        </w:rPr>
      </w:pPr>
    </w:p>
    <w:p w14:paraId="534B4818" w14:textId="77777777" w:rsidR="00BF41AE" w:rsidRPr="00FB2D03" w:rsidRDefault="00412D77" w:rsidP="00412D77">
      <w:pPr>
        <w:tabs>
          <w:tab w:val="left" w:pos="5616"/>
        </w:tabs>
        <w:rPr>
          <w:color w:val="000000" w:themeColor="text1"/>
          <w:lang w:val="en-AU"/>
        </w:rPr>
      </w:pPr>
      <w:r w:rsidRPr="00FB2D03">
        <w:rPr>
          <w:color w:val="000000" w:themeColor="text1"/>
          <w:lang w:val="en-AU"/>
        </w:rPr>
        <w:t xml:space="preserve">________. “Patterns of Priesthood, Priestliness and Priestly Functions in Some Second </w:t>
      </w:r>
    </w:p>
    <w:p w14:paraId="0BCCA4F6" w14:textId="3B76B003" w:rsidR="00412D77" w:rsidRPr="00FB2D03" w:rsidRDefault="00412D77" w:rsidP="00AD1181">
      <w:pPr>
        <w:tabs>
          <w:tab w:val="left" w:pos="5616"/>
        </w:tabs>
        <w:ind w:left="720"/>
        <w:rPr>
          <w:color w:val="000000" w:themeColor="text1"/>
          <w:lang w:val="en-AU"/>
        </w:rPr>
      </w:pPr>
      <w:r w:rsidRPr="00FB2D03">
        <w:rPr>
          <w:color w:val="000000" w:themeColor="text1"/>
          <w:lang w:val="en-AU"/>
        </w:rPr>
        <w:t>Temple Period Texts.” </w:t>
      </w:r>
      <w:r w:rsidRPr="00FB2D03">
        <w:rPr>
          <w:i/>
          <w:color w:val="000000" w:themeColor="text1"/>
          <w:lang w:val="en-AU"/>
        </w:rPr>
        <w:t>Judaïsme Ancien</w:t>
      </w:r>
      <w:r w:rsidRPr="00FB2D03">
        <w:rPr>
          <w:color w:val="000000" w:themeColor="text1"/>
          <w:lang w:val="en-AU"/>
        </w:rPr>
        <w:t> 4 (2016): 1–21.</w:t>
      </w:r>
    </w:p>
    <w:p w14:paraId="44E11E79" w14:textId="77777777" w:rsidR="00412D77" w:rsidRPr="00FB2D03" w:rsidRDefault="00412D77" w:rsidP="00412D77">
      <w:pPr>
        <w:tabs>
          <w:tab w:val="left" w:pos="5616"/>
        </w:tabs>
        <w:rPr>
          <w:color w:val="000000" w:themeColor="text1"/>
          <w:lang w:val="en-AU"/>
        </w:rPr>
      </w:pPr>
    </w:p>
    <w:p w14:paraId="0B5AEF23"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Brower, Kent E. “The Secret of the Kingdom of God: The Literary and Theological </w:t>
      </w:r>
    </w:p>
    <w:p w14:paraId="3A94C9C3" w14:textId="4AD892D9" w:rsidR="00412D77" w:rsidRPr="00FB2D03" w:rsidRDefault="00412D77" w:rsidP="00AD1181">
      <w:pPr>
        <w:tabs>
          <w:tab w:val="left" w:pos="5616"/>
        </w:tabs>
        <w:ind w:left="720"/>
        <w:rPr>
          <w:color w:val="000000" w:themeColor="text1"/>
          <w:lang w:val="en-AU"/>
        </w:rPr>
      </w:pPr>
      <w:r w:rsidRPr="00FB2D03">
        <w:rPr>
          <w:color w:val="000000" w:themeColor="text1"/>
          <w:lang w:val="en-AU"/>
        </w:rPr>
        <w:t>Achievement of the Evangelist Mark.” </w:t>
      </w:r>
      <w:r w:rsidRPr="00FB2D03">
        <w:rPr>
          <w:i/>
          <w:color w:val="000000" w:themeColor="text1"/>
          <w:lang w:val="en-AU"/>
        </w:rPr>
        <w:t xml:space="preserve">Journal for the Study of the New </w:t>
      </w:r>
      <w:r w:rsidR="005E1B2F" w:rsidRPr="00FB2D03">
        <w:rPr>
          <w:i/>
          <w:color w:val="000000" w:themeColor="text1"/>
          <w:lang w:val="en-AU"/>
        </w:rPr>
        <w:t>Testament</w:t>
      </w:r>
      <w:r w:rsidR="005E1B2F" w:rsidRPr="00FB2D03">
        <w:rPr>
          <w:color w:val="000000" w:themeColor="text1"/>
          <w:lang w:val="en-AU"/>
        </w:rPr>
        <w:t xml:space="preserve"> 42</w:t>
      </w:r>
      <w:r w:rsidRPr="00FB2D03">
        <w:rPr>
          <w:color w:val="000000" w:themeColor="text1"/>
          <w:lang w:val="en-AU"/>
        </w:rPr>
        <w:t xml:space="preserve"> (2020): 47. </w:t>
      </w:r>
    </w:p>
    <w:p w14:paraId="790D1295" w14:textId="77777777" w:rsidR="00412D77" w:rsidRPr="00FB2D03" w:rsidRDefault="00412D77" w:rsidP="00412D77">
      <w:pPr>
        <w:tabs>
          <w:tab w:val="left" w:pos="5616"/>
        </w:tabs>
        <w:rPr>
          <w:color w:val="000000" w:themeColor="text1"/>
          <w:lang w:val="en-AU"/>
        </w:rPr>
      </w:pPr>
    </w:p>
    <w:p w14:paraId="058EC8AE"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Brown, David, A. R. Fausset, and Robert Jamieson, </w:t>
      </w:r>
      <w:r w:rsidRPr="00FB2D03">
        <w:rPr>
          <w:i/>
          <w:color w:val="000000" w:themeColor="text1"/>
          <w:lang w:val="en-AU"/>
        </w:rPr>
        <w:t xml:space="preserve">A Commentary, Critical, Experimental, </w:t>
      </w:r>
    </w:p>
    <w:p w14:paraId="51B57A13"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and Practical, on the Old and New Testaments, </w:t>
      </w:r>
      <w:r w:rsidRPr="00FB2D03">
        <w:rPr>
          <w:color w:val="000000" w:themeColor="text1"/>
          <w:lang w:val="en-AU"/>
        </w:rPr>
        <w:t xml:space="preserve">Vol. 1. London: William Collins, </w:t>
      </w:r>
    </w:p>
    <w:p w14:paraId="3A1913F4"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Sons, &amp; Company, Limited, 1984.</w:t>
      </w:r>
    </w:p>
    <w:p w14:paraId="6F1F4471" w14:textId="77777777" w:rsidR="00412D77" w:rsidRPr="00FB2D03" w:rsidRDefault="00412D77" w:rsidP="00412D77">
      <w:pPr>
        <w:tabs>
          <w:tab w:val="left" w:pos="5616"/>
        </w:tabs>
        <w:rPr>
          <w:color w:val="000000" w:themeColor="text1"/>
          <w:lang w:val="en-AU"/>
        </w:rPr>
      </w:pPr>
    </w:p>
    <w:p w14:paraId="1D9183D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Brown, Francis, S. R Driver, Charles A Briggs, Edward Robinson, James Strong, and </w:t>
      </w:r>
    </w:p>
    <w:p w14:paraId="727C5C78"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Wilhelm Gesenius. </w:t>
      </w:r>
      <w:r w:rsidRPr="00FB2D03">
        <w:rPr>
          <w:i/>
          <w:color w:val="000000" w:themeColor="text1"/>
          <w:lang w:val="en-AU"/>
        </w:rPr>
        <w:t>The Brown–Driver–Briggs Hebrew and English Lexicon</w:t>
      </w:r>
      <w:r w:rsidRPr="00FB2D03">
        <w:rPr>
          <w:color w:val="000000" w:themeColor="text1"/>
          <w:lang w:val="en-AU"/>
        </w:rPr>
        <w:t>. Peabody: Hendrickson Publishers, 2015.</w:t>
      </w:r>
    </w:p>
    <w:p w14:paraId="27F467B9" w14:textId="77777777" w:rsidR="00412D77" w:rsidRPr="00FB2D03" w:rsidRDefault="00412D77" w:rsidP="00412D77">
      <w:pPr>
        <w:tabs>
          <w:tab w:val="left" w:pos="5616"/>
        </w:tabs>
        <w:rPr>
          <w:color w:val="000000" w:themeColor="text1"/>
          <w:lang w:val="en-AU"/>
        </w:rPr>
      </w:pPr>
    </w:p>
    <w:p w14:paraId="663BEF0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Brown, Ken. “How to Charge God with Murder: The Role of the ‘Witness in Heaven’ in Job </w:t>
      </w:r>
    </w:p>
    <w:p w14:paraId="244EFDE6"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16.” </w:t>
      </w:r>
      <w:r w:rsidRPr="00FB2D03">
        <w:rPr>
          <w:i/>
          <w:color w:val="000000" w:themeColor="text1"/>
          <w:lang w:val="en-AU"/>
        </w:rPr>
        <w:t>The Catholic Biblical Quarterly</w:t>
      </w:r>
      <w:r w:rsidRPr="00FB2D03">
        <w:rPr>
          <w:color w:val="000000" w:themeColor="text1"/>
          <w:lang w:val="en-AU"/>
        </w:rPr>
        <w:t> 81 (2019): 16–32.</w:t>
      </w:r>
    </w:p>
    <w:p w14:paraId="056F262B" w14:textId="77777777" w:rsidR="00412D77" w:rsidRPr="00FB2D03" w:rsidRDefault="00412D77" w:rsidP="00412D77">
      <w:pPr>
        <w:tabs>
          <w:tab w:val="left" w:pos="5616"/>
        </w:tabs>
        <w:rPr>
          <w:color w:val="000000" w:themeColor="text1"/>
          <w:lang w:val="en-AU"/>
        </w:rPr>
      </w:pPr>
    </w:p>
    <w:p w14:paraId="1417E949"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Broyde, Michael J. </w:t>
      </w:r>
      <w:r w:rsidRPr="00FB2D03">
        <w:rPr>
          <w:i/>
          <w:color w:val="000000" w:themeColor="text1"/>
          <w:lang w:val="en-AU"/>
        </w:rPr>
        <w:t xml:space="preserve">The Bounds of Wartime Military Conduct in Jewish Law: </w:t>
      </w:r>
      <w:proofErr w:type="gramStart"/>
      <w:r w:rsidRPr="00FB2D03">
        <w:rPr>
          <w:i/>
          <w:color w:val="000000" w:themeColor="text1"/>
          <w:lang w:val="en-AU"/>
        </w:rPr>
        <w:t>an Expansive</w:t>
      </w:r>
      <w:proofErr w:type="gramEnd"/>
      <w:r w:rsidRPr="00FB2D03">
        <w:rPr>
          <w:i/>
          <w:color w:val="000000" w:themeColor="text1"/>
          <w:lang w:val="en-AU"/>
        </w:rPr>
        <w:t xml:space="preserve"> </w:t>
      </w:r>
    </w:p>
    <w:p w14:paraId="745D48B1"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Conception</w:t>
      </w:r>
      <w:r w:rsidRPr="00FB2D03">
        <w:rPr>
          <w:color w:val="000000" w:themeColor="text1"/>
          <w:lang w:val="en-AU"/>
        </w:rPr>
        <w:t xml:space="preserve">. Flushing: CUNY, 2006. </w:t>
      </w:r>
    </w:p>
    <w:p w14:paraId="39BAB0D4" w14:textId="77777777" w:rsidR="00412D77" w:rsidRPr="00FB2D03" w:rsidRDefault="00412D77" w:rsidP="00412D77">
      <w:pPr>
        <w:tabs>
          <w:tab w:val="left" w:pos="5616"/>
        </w:tabs>
        <w:rPr>
          <w:color w:val="000000" w:themeColor="text1"/>
          <w:lang w:val="en-AU"/>
        </w:rPr>
      </w:pPr>
    </w:p>
    <w:p w14:paraId="4A1E78A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Bruce, Frederick </w:t>
      </w:r>
      <w:proofErr w:type="gramStart"/>
      <w:r w:rsidRPr="00FB2D03">
        <w:rPr>
          <w:color w:val="000000" w:themeColor="text1"/>
          <w:lang w:val="en-AU"/>
        </w:rPr>
        <w:t>F.</w:t>
      </w:r>
      <w:proofErr w:type="gramEnd"/>
      <w:r w:rsidRPr="00FB2D03">
        <w:rPr>
          <w:color w:val="000000" w:themeColor="text1"/>
          <w:lang w:val="en-AU"/>
        </w:rPr>
        <w:t xml:space="preserve"> and Stephen Pfann, “Qumran.” In </w:t>
      </w:r>
      <w:r w:rsidRPr="00FB2D03">
        <w:rPr>
          <w:i/>
          <w:color w:val="000000" w:themeColor="text1"/>
          <w:lang w:val="en-AU"/>
        </w:rPr>
        <w:t>Encyclopedia Judaica</w:t>
      </w:r>
      <w:r w:rsidRPr="00FB2D03">
        <w:rPr>
          <w:color w:val="000000" w:themeColor="text1"/>
          <w:lang w:val="en-AU"/>
        </w:rPr>
        <w:t xml:space="preserve">, Vol. 16, 2nd </w:t>
      </w:r>
    </w:p>
    <w:p w14:paraId="0E085F84"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edition. ed. Fred Skolnik and Michael Berenbaum. Jerusalem: Keter, 2007.</w:t>
      </w:r>
    </w:p>
    <w:p w14:paraId="60E4B8D1" w14:textId="77777777" w:rsidR="00BF41AE" w:rsidRPr="00FB2D03" w:rsidRDefault="00BF41AE" w:rsidP="00412D77">
      <w:pPr>
        <w:tabs>
          <w:tab w:val="left" w:pos="5616"/>
        </w:tabs>
        <w:rPr>
          <w:color w:val="000000" w:themeColor="text1"/>
          <w:lang w:val="en-AU"/>
        </w:rPr>
      </w:pPr>
    </w:p>
    <w:p w14:paraId="5AA561DB" w14:textId="66F96690" w:rsidR="00412D77" w:rsidRPr="00FB2D03" w:rsidRDefault="00412D77" w:rsidP="00412D77">
      <w:pPr>
        <w:tabs>
          <w:tab w:val="left" w:pos="5616"/>
        </w:tabs>
        <w:rPr>
          <w:color w:val="000000" w:themeColor="text1"/>
          <w:lang w:val="en-AU"/>
        </w:rPr>
      </w:pPr>
      <w:r w:rsidRPr="00FB2D03">
        <w:rPr>
          <w:color w:val="000000" w:themeColor="text1"/>
          <w:lang w:val="en-AU"/>
        </w:rPr>
        <w:t>Bultmann</w:t>
      </w:r>
      <w:r w:rsidRPr="00FB2D03">
        <w:rPr>
          <w:i/>
          <w:color w:val="000000" w:themeColor="text1"/>
          <w:lang w:val="en-AU"/>
        </w:rPr>
        <w:t xml:space="preserve">, </w:t>
      </w:r>
      <w:r w:rsidRPr="00FB2D03">
        <w:rPr>
          <w:color w:val="000000" w:themeColor="text1"/>
          <w:lang w:val="en-AU"/>
        </w:rPr>
        <w:t>Rudolf.</w:t>
      </w:r>
      <w:r w:rsidRPr="00FB2D03">
        <w:rPr>
          <w:i/>
          <w:color w:val="000000" w:themeColor="text1"/>
          <w:lang w:val="en-AU"/>
        </w:rPr>
        <w:t xml:space="preserve"> The History of the Synoptic Tradition</w:t>
      </w:r>
      <w:r w:rsidRPr="00FB2D03">
        <w:rPr>
          <w:color w:val="000000" w:themeColor="text1"/>
          <w:lang w:val="en-AU"/>
        </w:rPr>
        <w:t xml:space="preserve">. Translated by John Marsh. New </w:t>
      </w:r>
    </w:p>
    <w:p w14:paraId="15A80745" w14:textId="08E097CE" w:rsidR="00412D77" w:rsidRPr="00FB2D03" w:rsidRDefault="00412D77" w:rsidP="00AD1181">
      <w:pPr>
        <w:tabs>
          <w:tab w:val="left" w:pos="5616"/>
        </w:tabs>
        <w:ind w:left="720"/>
        <w:rPr>
          <w:color w:val="000000" w:themeColor="text1"/>
          <w:lang w:val="en-AU"/>
        </w:rPr>
      </w:pPr>
      <w:r w:rsidRPr="00FB2D03">
        <w:rPr>
          <w:color w:val="000000" w:themeColor="text1"/>
          <w:lang w:val="en-AU"/>
        </w:rPr>
        <w:t>York: Harper &amp; Row, 1963.</w:t>
      </w:r>
    </w:p>
    <w:p w14:paraId="6A2BAD71" w14:textId="77777777" w:rsidR="00412D77" w:rsidRPr="00FB2D03" w:rsidRDefault="00412D77" w:rsidP="00412D77">
      <w:pPr>
        <w:tabs>
          <w:tab w:val="left" w:pos="5616"/>
        </w:tabs>
        <w:rPr>
          <w:color w:val="000000" w:themeColor="text1"/>
          <w:lang w:val="en-AU"/>
        </w:rPr>
      </w:pPr>
    </w:p>
    <w:p w14:paraId="28A9BDEA" w14:textId="77777777" w:rsidR="00412D77" w:rsidRPr="00FB2D03" w:rsidRDefault="00412D77" w:rsidP="00412D77">
      <w:pPr>
        <w:tabs>
          <w:tab w:val="left" w:pos="5616"/>
        </w:tabs>
        <w:rPr>
          <w:color w:val="000000" w:themeColor="text1"/>
          <w:lang w:val="en-AU"/>
        </w:rPr>
      </w:pPr>
      <w:r w:rsidRPr="00FB2D03">
        <w:rPr>
          <w:color w:val="000000" w:themeColor="text1"/>
          <w:lang w:val="en-AU"/>
        </w:rPr>
        <w:t>Bunine, Alexis. “When Was Felix Appointed as Governor of Judea?” </w:t>
      </w:r>
      <w:r w:rsidRPr="00FB2D03">
        <w:rPr>
          <w:i/>
          <w:color w:val="000000" w:themeColor="text1"/>
          <w:lang w:val="en-AU"/>
        </w:rPr>
        <w:t>Biblica</w:t>
      </w:r>
      <w:r w:rsidRPr="00FB2D03">
        <w:rPr>
          <w:color w:val="000000" w:themeColor="text1"/>
          <w:lang w:val="en-AU"/>
        </w:rPr>
        <w:t xml:space="preserve"> 101 (2020):</w:t>
      </w:r>
    </w:p>
    <w:p w14:paraId="12E78923" w14:textId="41227A9B" w:rsidR="00412D77" w:rsidRPr="00FB2D03" w:rsidRDefault="00412D77" w:rsidP="00C858E5">
      <w:pPr>
        <w:tabs>
          <w:tab w:val="left" w:pos="5616"/>
        </w:tabs>
        <w:ind w:left="720"/>
        <w:rPr>
          <w:color w:val="000000" w:themeColor="text1"/>
          <w:lang w:val="en-AU"/>
        </w:rPr>
      </w:pPr>
      <w:r w:rsidRPr="00FB2D03">
        <w:rPr>
          <w:color w:val="000000" w:themeColor="text1"/>
          <w:lang w:val="en-AU"/>
        </w:rPr>
        <w:t>411–30.</w:t>
      </w:r>
    </w:p>
    <w:p w14:paraId="5784AFFF" w14:textId="77777777" w:rsidR="00412D77" w:rsidRPr="00FB2D03" w:rsidRDefault="00412D77" w:rsidP="00412D77">
      <w:pPr>
        <w:tabs>
          <w:tab w:val="left" w:pos="5616"/>
        </w:tabs>
        <w:rPr>
          <w:color w:val="000000" w:themeColor="text1"/>
          <w:lang w:val="en-AU"/>
        </w:rPr>
      </w:pPr>
    </w:p>
    <w:p w14:paraId="5A0D99C5" w14:textId="77777777" w:rsidR="00BF41AE" w:rsidRPr="00FB2D03" w:rsidRDefault="00412D77" w:rsidP="00412D77">
      <w:pPr>
        <w:tabs>
          <w:tab w:val="left" w:pos="5616"/>
        </w:tabs>
        <w:rPr>
          <w:color w:val="000000" w:themeColor="text1"/>
          <w:lang w:val="en-AU"/>
        </w:rPr>
      </w:pPr>
      <w:r w:rsidRPr="00FB2D03">
        <w:rPr>
          <w:color w:val="000000" w:themeColor="text1"/>
          <w:lang w:val="en-AU"/>
        </w:rPr>
        <w:t xml:space="preserve">Burchard, Christoph. “Das Doppelte Liebesgebot in der frühen christlichen Überlieferung.” </w:t>
      </w:r>
    </w:p>
    <w:p w14:paraId="1860B0E4" w14:textId="095341BD" w:rsidR="00412D77" w:rsidRPr="00FB2D03" w:rsidRDefault="00412D77" w:rsidP="00AD1181">
      <w:pPr>
        <w:tabs>
          <w:tab w:val="left" w:pos="5616"/>
        </w:tabs>
        <w:ind w:left="720"/>
        <w:rPr>
          <w:color w:val="000000" w:themeColor="text1"/>
          <w:lang w:val="en-AU"/>
        </w:rPr>
      </w:pPr>
      <w:r w:rsidRPr="00FB2D03">
        <w:rPr>
          <w:color w:val="000000" w:themeColor="text1"/>
          <w:lang w:val="en-AU"/>
        </w:rPr>
        <w:lastRenderedPageBreak/>
        <w:t xml:space="preserve">In </w:t>
      </w:r>
      <w:r w:rsidRPr="00FB2D03">
        <w:rPr>
          <w:i/>
          <w:color w:val="000000" w:themeColor="text1"/>
          <w:lang w:val="en-AU"/>
        </w:rPr>
        <w:t>Der Ruf Jesu und die Antwort der Gemeinde: Exegetische Untersuchungen Joachim Jeremias zum 70</w:t>
      </w:r>
      <w:r w:rsidRPr="00FB2D03">
        <w:rPr>
          <w:color w:val="000000" w:themeColor="text1"/>
          <w:lang w:val="en-AU"/>
        </w:rPr>
        <w:t xml:space="preserve">. </w:t>
      </w:r>
      <w:r w:rsidRPr="00FB2D03">
        <w:rPr>
          <w:i/>
          <w:color w:val="000000" w:themeColor="text1"/>
          <w:lang w:val="en-AU"/>
        </w:rPr>
        <w:t>Geburtstag</w:t>
      </w:r>
      <w:r w:rsidRPr="00FB2D03">
        <w:rPr>
          <w:color w:val="000000" w:themeColor="text1"/>
          <w:lang w:val="en-AU"/>
        </w:rPr>
        <w:t xml:space="preserve">. Göttingen: Vandenhoeck &amp; Ruprecht, 1970, 39–62, esp. 54, repr. in Burchard, </w:t>
      </w:r>
      <w:r w:rsidRPr="00FB2D03">
        <w:rPr>
          <w:i/>
          <w:color w:val="000000" w:themeColor="text1"/>
          <w:lang w:val="en-AU"/>
        </w:rPr>
        <w:t>Studien zur Theologie, Sprache und Umwelt des neuen Testaments</w:t>
      </w:r>
      <w:r w:rsidRPr="00FB2D03">
        <w:rPr>
          <w:color w:val="000000" w:themeColor="text1"/>
          <w:lang w:val="en-AU"/>
        </w:rPr>
        <w:t xml:space="preserve">. Tübingen: Mohr Siebeck, 1998, 3–26. </w:t>
      </w:r>
    </w:p>
    <w:p w14:paraId="506ED9D8" w14:textId="77777777" w:rsidR="00412D77" w:rsidRPr="00FB2D03" w:rsidRDefault="00412D77" w:rsidP="00412D77">
      <w:pPr>
        <w:tabs>
          <w:tab w:val="left" w:pos="5616"/>
        </w:tabs>
        <w:rPr>
          <w:color w:val="000000" w:themeColor="text1"/>
          <w:lang w:val="en-AU"/>
        </w:rPr>
      </w:pPr>
    </w:p>
    <w:p w14:paraId="47A80417" w14:textId="77777777" w:rsidR="00412D77" w:rsidRPr="00FB2D03" w:rsidRDefault="00412D77" w:rsidP="00412D77">
      <w:pPr>
        <w:tabs>
          <w:tab w:val="left" w:pos="5616"/>
        </w:tabs>
        <w:rPr>
          <w:color w:val="000000" w:themeColor="text1"/>
          <w:lang w:val="en-AU"/>
        </w:rPr>
      </w:pPr>
      <w:r w:rsidRPr="00FB2D03">
        <w:rPr>
          <w:color w:val="000000" w:themeColor="text1"/>
          <w:lang w:val="en-AU"/>
        </w:rPr>
        <w:t>Burgmann, Hans. “Who Was the `Wicked Priest’?” </w:t>
      </w:r>
      <w:r w:rsidRPr="00FB2D03">
        <w:rPr>
          <w:i/>
          <w:color w:val="000000" w:themeColor="text1"/>
          <w:lang w:val="en-AU"/>
        </w:rPr>
        <w:t>Folia Orientalia</w:t>
      </w:r>
      <w:r w:rsidRPr="00FB2D03">
        <w:rPr>
          <w:color w:val="000000" w:themeColor="text1"/>
          <w:lang w:val="en-AU"/>
        </w:rPr>
        <w:t xml:space="preserve"> 25 (1988): 41–44. </w:t>
      </w:r>
    </w:p>
    <w:p w14:paraId="13B1D148" w14:textId="77777777" w:rsidR="00412D77" w:rsidRPr="00FB2D03" w:rsidRDefault="00412D77" w:rsidP="00412D77">
      <w:pPr>
        <w:tabs>
          <w:tab w:val="left" w:pos="5616"/>
        </w:tabs>
        <w:rPr>
          <w:color w:val="000000" w:themeColor="text1"/>
          <w:lang w:val="en-AU"/>
        </w:rPr>
      </w:pPr>
    </w:p>
    <w:p w14:paraId="27B6725A" w14:textId="77777777" w:rsidR="00412D77" w:rsidRPr="00FB2D03" w:rsidRDefault="00412D77" w:rsidP="00412D77">
      <w:pPr>
        <w:tabs>
          <w:tab w:val="left" w:pos="5616"/>
        </w:tabs>
        <w:rPr>
          <w:color w:val="000000" w:themeColor="text1"/>
          <w:lang w:val="en-AU"/>
        </w:rPr>
      </w:pPr>
      <w:r w:rsidRPr="00FB2D03">
        <w:rPr>
          <w:color w:val="000000" w:themeColor="text1"/>
          <w:lang w:val="en-AU"/>
        </w:rPr>
        <w:t>Burridge, Richard A. </w:t>
      </w:r>
      <w:r w:rsidRPr="00FB2D03">
        <w:rPr>
          <w:i/>
          <w:color w:val="000000" w:themeColor="text1"/>
          <w:lang w:val="en-AU"/>
        </w:rPr>
        <w:t>Imitating Jesus</w:t>
      </w:r>
      <w:r w:rsidRPr="00FB2D03">
        <w:rPr>
          <w:color w:val="000000" w:themeColor="text1"/>
          <w:lang w:val="en-AU"/>
        </w:rPr>
        <w:t>. Grand Rapids: Eerdmans, 2007.</w:t>
      </w:r>
    </w:p>
    <w:p w14:paraId="1D4DAD35" w14:textId="77777777" w:rsidR="00412D77" w:rsidRPr="00FB2D03" w:rsidRDefault="00412D77" w:rsidP="00412D77">
      <w:pPr>
        <w:tabs>
          <w:tab w:val="left" w:pos="5616"/>
        </w:tabs>
        <w:rPr>
          <w:color w:val="000000" w:themeColor="text1"/>
          <w:lang w:val="en-AU"/>
        </w:rPr>
      </w:pPr>
    </w:p>
    <w:p w14:paraId="47FA7ACF"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Byun, Seulgi L. </w:t>
      </w:r>
      <w:r w:rsidRPr="00FB2D03">
        <w:rPr>
          <w:i/>
          <w:color w:val="000000" w:themeColor="text1"/>
          <w:lang w:val="en-AU"/>
        </w:rPr>
        <w:t xml:space="preserve">The Influence of Post–Biblical Hebrew and Aramaic on the Translator of </w:t>
      </w:r>
    </w:p>
    <w:p w14:paraId="6F4625A6"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Septuagint Isaiah</w:t>
      </w:r>
      <w:r w:rsidRPr="00FB2D03">
        <w:rPr>
          <w:color w:val="000000" w:themeColor="text1"/>
          <w:lang w:val="en-AU"/>
        </w:rPr>
        <w:t>. London: Continuum, 2017.</w:t>
      </w:r>
    </w:p>
    <w:p w14:paraId="711F31F6" w14:textId="77777777" w:rsidR="00412D77" w:rsidRPr="00FB2D03" w:rsidRDefault="00412D77" w:rsidP="00412D77">
      <w:pPr>
        <w:tabs>
          <w:tab w:val="left" w:pos="5616"/>
        </w:tabs>
        <w:rPr>
          <w:color w:val="000000" w:themeColor="text1"/>
          <w:lang w:val="en-AU"/>
        </w:rPr>
      </w:pPr>
    </w:p>
    <w:p w14:paraId="54CC907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Campbell, Jonathan G. “4QMMT and the Tripartite Canon.” </w:t>
      </w:r>
      <w:r w:rsidRPr="00FB2D03">
        <w:rPr>
          <w:i/>
          <w:color w:val="000000" w:themeColor="text1"/>
          <w:lang w:val="en-AU"/>
        </w:rPr>
        <w:t xml:space="preserve">Journal of Jewish Studies, </w:t>
      </w:r>
    </w:p>
    <w:p w14:paraId="46D021CB"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51</w:t>
      </w:r>
      <w:r w:rsidRPr="00FB2D03">
        <w:rPr>
          <w:i/>
          <w:color w:val="000000" w:themeColor="text1"/>
          <w:lang w:val="en-AU"/>
        </w:rPr>
        <w:t xml:space="preserve"> </w:t>
      </w:r>
      <w:r w:rsidRPr="00FB2D03">
        <w:rPr>
          <w:color w:val="000000" w:themeColor="text1"/>
          <w:lang w:val="en-AU"/>
        </w:rPr>
        <w:t>(2000): 181-190.</w:t>
      </w:r>
    </w:p>
    <w:p w14:paraId="39AD316D" w14:textId="77777777" w:rsidR="00412D77" w:rsidRPr="00FB2D03" w:rsidRDefault="00412D77" w:rsidP="00412D77">
      <w:pPr>
        <w:tabs>
          <w:tab w:val="left" w:pos="5616"/>
        </w:tabs>
        <w:rPr>
          <w:color w:val="000000" w:themeColor="text1"/>
          <w:lang w:val="en-AU"/>
        </w:rPr>
      </w:pPr>
    </w:p>
    <w:p w14:paraId="444E03C8" w14:textId="77777777" w:rsidR="00412D77" w:rsidRPr="00FB2D03" w:rsidRDefault="00412D77" w:rsidP="00412D77">
      <w:pPr>
        <w:tabs>
          <w:tab w:val="left" w:pos="5616"/>
        </w:tabs>
        <w:rPr>
          <w:i/>
          <w:color w:val="000000" w:themeColor="text1"/>
          <w:lang w:val="en-AU"/>
        </w:rPr>
      </w:pPr>
      <w:r w:rsidRPr="00FB2D03">
        <w:rPr>
          <w:color w:val="000000" w:themeColor="text1"/>
          <w:lang w:val="en-AU"/>
        </w:rPr>
        <w:t>Caquot, André. “Deux Textes Messianiques de Qumrân.” </w:t>
      </w:r>
      <w:r w:rsidRPr="00FB2D03">
        <w:rPr>
          <w:i/>
          <w:color w:val="000000" w:themeColor="text1"/>
          <w:lang w:val="en-AU"/>
        </w:rPr>
        <w:t xml:space="preserve">Revue d’histoire et de Philosophie </w:t>
      </w:r>
    </w:p>
    <w:p w14:paraId="7FF3D9AF"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Religieuses</w:t>
      </w:r>
      <w:r w:rsidRPr="00FB2D03">
        <w:rPr>
          <w:color w:val="000000" w:themeColor="text1"/>
          <w:lang w:val="en-AU"/>
        </w:rPr>
        <w:t> 79 (1999): 155–71.</w:t>
      </w:r>
    </w:p>
    <w:p w14:paraId="48F2FA19" w14:textId="77777777" w:rsidR="00412D77" w:rsidRPr="00FB2D03" w:rsidRDefault="00412D77" w:rsidP="00412D77">
      <w:pPr>
        <w:tabs>
          <w:tab w:val="left" w:pos="5616"/>
        </w:tabs>
        <w:rPr>
          <w:color w:val="000000" w:themeColor="text1"/>
          <w:lang w:val="en-AU"/>
        </w:rPr>
      </w:pPr>
    </w:p>
    <w:p w14:paraId="2C715DBC" w14:textId="77777777" w:rsidR="00412D77" w:rsidRPr="00FB2D03" w:rsidRDefault="00412D77" w:rsidP="00412D77">
      <w:pPr>
        <w:tabs>
          <w:tab w:val="left" w:pos="5616"/>
        </w:tabs>
        <w:rPr>
          <w:color w:val="000000" w:themeColor="text1"/>
          <w:lang w:val="en-AU"/>
        </w:rPr>
      </w:pPr>
      <w:r w:rsidRPr="00FB2D03">
        <w:rPr>
          <w:color w:val="000000" w:themeColor="text1"/>
          <w:lang w:val="en-AU"/>
        </w:rPr>
        <w:t>Carney, Thomas F. </w:t>
      </w:r>
      <w:r w:rsidRPr="00FB2D03">
        <w:rPr>
          <w:i/>
          <w:color w:val="000000" w:themeColor="text1"/>
          <w:lang w:val="en-AU"/>
        </w:rPr>
        <w:t>The Shape of the Past</w:t>
      </w:r>
      <w:r w:rsidRPr="00FB2D03">
        <w:rPr>
          <w:color w:val="000000" w:themeColor="text1"/>
          <w:lang w:val="en-AU"/>
        </w:rPr>
        <w:t>. Lawrence: Coronado Press, 1975.</w:t>
      </w:r>
    </w:p>
    <w:p w14:paraId="1425C82C" w14:textId="77777777" w:rsidR="00412D77" w:rsidRPr="00FB2D03" w:rsidRDefault="00412D77" w:rsidP="00412D77">
      <w:pPr>
        <w:tabs>
          <w:tab w:val="left" w:pos="5616"/>
        </w:tabs>
        <w:rPr>
          <w:color w:val="000000" w:themeColor="text1"/>
          <w:lang w:val="en-AU"/>
        </w:rPr>
      </w:pPr>
    </w:p>
    <w:p w14:paraId="087CEF6B"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Carson, D. A. “Matthew.” </w:t>
      </w:r>
      <w:r w:rsidRPr="00FB2D03">
        <w:rPr>
          <w:i/>
          <w:color w:val="000000" w:themeColor="text1"/>
          <w:lang w:val="en-AU"/>
        </w:rPr>
        <w:t>The Expositor’s Bible Commentary.</w:t>
      </w:r>
      <w:r w:rsidRPr="00FB2D03">
        <w:rPr>
          <w:color w:val="000000" w:themeColor="text1"/>
          <w:lang w:val="en-AU"/>
        </w:rPr>
        <w:t xml:space="preserve"> Grand Rapids: Zondervan, </w:t>
      </w:r>
    </w:p>
    <w:p w14:paraId="3BF98E86"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1995.</w:t>
      </w:r>
    </w:p>
    <w:p w14:paraId="6FDD7C6D" w14:textId="77777777" w:rsidR="00412D77" w:rsidRPr="00FB2D03" w:rsidRDefault="00412D77" w:rsidP="00412D77">
      <w:pPr>
        <w:tabs>
          <w:tab w:val="left" w:pos="5616"/>
        </w:tabs>
        <w:rPr>
          <w:color w:val="000000" w:themeColor="text1"/>
          <w:lang w:val="en-AU"/>
        </w:rPr>
      </w:pPr>
    </w:p>
    <w:p w14:paraId="1EFB41F5"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Carson, D. A., and Douglas J. Moo. </w:t>
      </w:r>
      <w:r w:rsidRPr="00FB2D03">
        <w:rPr>
          <w:i/>
          <w:color w:val="000000" w:themeColor="text1"/>
          <w:lang w:val="en-AU"/>
        </w:rPr>
        <w:t>An Introduction to the New Testament</w:t>
      </w:r>
      <w:r w:rsidRPr="00FB2D03">
        <w:rPr>
          <w:color w:val="000000" w:themeColor="text1"/>
          <w:lang w:val="en-AU"/>
        </w:rPr>
        <w:t xml:space="preserve">. Grand Rapids: </w:t>
      </w:r>
    </w:p>
    <w:p w14:paraId="281E1E42"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Zondervan, 2005.</w:t>
      </w:r>
    </w:p>
    <w:p w14:paraId="267BA40B" w14:textId="77777777" w:rsidR="00412D77" w:rsidRPr="00FB2D03" w:rsidRDefault="00412D77" w:rsidP="00412D77">
      <w:pPr>
        <w:tabs>
          <w:tab w:val="left" w:pos="5616"/>
        </w:tabs>
        <w:rPr>
          <w:color w:val="000000" w:themeColor="text1"/>
          <w:lang w:val="en-AU"/>
        </w:rPr>
      </w:pPr>
    </w:p>
    <w:p w14:paraId="7050FA35" w14:textId="77777777" w:rsidR="00412D77" w:rsidRPr="00FB2D03" w:rsidRDefault="00412D77" w:rsidP="00412D77">
      <w:pPr>
        <w:tabs>
          <w:tab w:val="left" w:pos="5616"/>
        </w:tabs>
        <w:rPr>
          <w:color w:val="000000" w:themeColor="text1"/>
          <w:lang w:val="en-AU"/>
        </w:rPr>
      </w:pPr>
      <w:r w:rsidRPr="00FB2D03">
        <w:rPr>
          <w:color w:val="000000" w:themeColor="text1"/>
          <w:lang w:val="en-AU"/>
        </w:rPr>
        <w:t>Carter, Warren. </w:t>
      </w:r>
      <w:r w:rsidRPr="00FB2D03">
        <w:rPr>
          <w:i/>
          <w:color w:val="000000" w:themeColor="text1"/>
          <w:lang w:val="en-AU"/>
        </w:rPr>
        <w:t>Matthew and Empire</w:t>
      </w:r>
      <w:r w:rsidRPr="00FB2D03">
        <w:rPr>
          <w:color w:val="000000" w:themeColor="text1"/>
          <w:lang w:val="en-AU"/>
        </w:rPr>
        <w:t>. Harrisburg: Trinity Press International, 2001.</w:t>
      </w:r>
    </w:p>
    <w:p w14:paraId="6D9BB6A4" w14:textId="77777777" w:rsidR="00412D77" w:rsidRPr="00FB2D03" w:rsidRDefault="00412D77" w:rsidP="00412D77">
      <w:pPr>
        <w:tabs>
          <w:tab w:val="left" w:pos="5616"/>
        </w:tabs>
        <w:rPr>
          <w:color w:val="000000" w:themeColor="text1"/>
          <w:lang w:val="en-AU"/>
        </w:rPr>
      </w:pPr>
    </w:p>
    <w:p w14:paraId="09BAA74B" w14:textId="6FD7359D" w:rsidR="00412D77" w:rsidRPr="00FB2D03" w:rsidRDefault="00F91100" w:rsidP="00412D77">
      <w:pPr>
        <w:tabs>
          <w:tab w:val="left" w:pos="5616"/>
        </w:tabs>
        <w:rPr>
          <w:color w:val="000000" w:themeColor="text1"/>
          <w:lang w:val="en-AU"/>
        </w:rPr>
      </w:pPr>
      <w:r w:rsidRPr="00FB2D03">
        <w:rPr>
          <w:color w:val="000000" w:themeColor="text1"/>
          <w:lang w:val="en-AU"/>
        </w:rPr>
        <w:t>________.</w:t>
      </w:r>
      <w:r w:rsidR="00412D77" w:rsidRPr="00FB2D03">
        <w:rPr>
          <w:color w:val="000000" w:themeColor="text1"/>
          <w:lang w:val="en-AU"/>
        </w:rPr>
        <w:t xml:space="preserve"> “Love Your Enemies.” </w:t>
      </w:r>
      <w:r w:rsidR="00412D77" w:rsidRPr="00FB2D03">
        <w:rPr>
          <w:i/>
          <w:color w:val="000000" w:themeColor="text1"/>
          <w:lang w:val="en-AU"/>
        </w:rPr>
        <w:t>Word &amp; World</w:t>
      </w:r>
      <w:r w:rsidR="00412D77" w:rsidRPr="00FB2D03">
        <w:rPr>
          <w:color w:val="000000" w:themeColor="text1"/>
          <w:lang w:val="en-AU"/>
        </w:rPr>
        <w:t xml:space="preserve"> 28 (2008): 21.</w:t>
      </w:r>
    </w:p>
    <w:p w14:paraId="58B0A982" w14:textId="77777777" w:rsidR="00412D77" w:rsidRPr="00FB2D03" w:rsidRDefault="00412D77" w:rsidP="00412D77">
      <w:pPr>
        <w:tabs>
          <w:tab w:val="left" w:pos="5616"/>
        </w:tabs>
        <w:rPr>
          <w:color w:val="000000" w:themeColor="text1"/>
          <w:lang w:val="en-AU"/>
        </w:rPr>
      </w:pPr>
    </w:p>
    <w:p w14:paraId="0C63C21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Chalmers, Matthew. “Samaritans, Biblical Studies, and Ancient Judaism: Recent </w:t>
      </w:r>
    </w:p>
    <w:p w14:paraId="6A198202"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Trends.” </w:t>
      </w:r>
      <w:r w:rsidRPr="00FB2D03">
        <w:rPr>
          <w:i/>
          <w:color w:val="000000" w:themeColor="text1"/>
          <w:lang w:val="en-AU"/>
        </w:rPr>
        <w:t>Currents in Biblical Research</w:t>
      </w:r>
      <w:r w:rsidRPr="00FB2D03">
        <w:rPr>
          <w:color w:val="000000" w:themeColor="text1"/>
          <w:lang w:val="en-AU"/>
        </w:rPr>
        <w:t> 20 (2021): 28–64.</w:t>
      </w:r>
    </w:p>
    <w:p w14:paraId="6F9D7385" w14:textId="77777777" w:rsidR="00412D77" w:rsidRPr="00FB2D03" w:rsidRDefault="00412D77" w:rsidP="00412D77">
      <w:pPr>
        <w:tabs>
          <w:tab w:val="left" w:pos="5616"/>
        </w:tabs>
        <w:rPr>
          <w:color w:val="000000" w:themeColor="text1"/>
          <w:lang w:val="en-AU"/>
        </w:rPr>
      </w:pPr>
    </w:p>
    <w:p w14:paraId="0665ABA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Charlesworth, J. H. </w:t>
      </w:r>
      <w:r w:rsidRPr="00FB2D03">
        <w:rPr>
          <w:i/>
          <w:color w:val="000000" w:themeColor="text1"/>
          <w:lang w:val="en-AU"/>
        </w:rPr>
        <w:t>The Pesharim and Qumran History</w:t>
      </w:r>
      <w:r w:rsidRPr="00FB2D03">
        <w:rPr>
          <w:color w:val="000000" w:themeColor="text1"/>
          <w:lang w:val="en-AU"/>
        </w:rPr>
        <w:t xml:space="preserve">. Grand Rapids: Eerdmans, 2002. </w:t>
      </w:r>
    </w:p>
    <w:p w14:paraId="05761223" w14:textId="77777777" w:rsidR="00412D77" w:rsidRPr="00FB2D03" w:rsidRDefault="00412D77" w:rsidP="00412D77">
      <w:pPr>
        <w:tabs>
          <w:tab w:val="left" w:pos="5616"/>
        </w:tabs>
        <w:rPr>
          <w:color w:val="000000" w:themeColor="text1"/>
          <w:lang w:val="en-AU"/>
        </w:rPr>
      </w:pPr>
    </w:p>
    <w:p w14:paraId="1DA2899B"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Chia, Philip Suciadi. “The Word Ekklēsia in Matthew and Its Implication for Social </w:t>
      </w:r>
    </w:p>
    <w:p w14:paraId="7F85BE52"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Justice.” </w:t>
      </w:r>
      <w:r w:rsidRPr="00FB2D03">
        <w:rPr>
          <w:i/>
          <w:color w:val="000000" w:themeColor="text1"/>
          <w:lang w:val="en-AU"/>
        </w:rPr>
        <w:t>Biblical Theology Bulletin</w:t>
      </w:r>
      <w:r w:rsidRPr="00FB2D03">
        <w:rPr>
          <w:color w:val="000000" w:themeColor="text1"/>
          <w:lang w:val="en-AU"/>
        </w:rPr>
        <w:t> 51 (2021): 24–32.</w:t>
      </w:r>
    </w:p>
    <w:p w14:paraId="48E346C6" w14:textId="77777777" w:rsidR="00412D77" w:rsidRPr="00FB2D03" w:rsidRDefault="00412D77" w:rsidP="00412D77">
      <w:pPr>
        <w:tabs>
          <w:tab w:val="left" w:pos="5616"/>
        </w:tabs>
        <w:rPr>
          <w:color w:val="000000" w:themeColor="text1"/>
          <w:lang w:val="en-AU"/>
        </w:rPr>
      </w:pPr>
    </w:p>
    <w:p w14:paraId="521F04DA"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Chinitz, Jacob. “An Eye for an Eye–An Old Canard.” </w:t>
      </w:r>
      <w:r w:rsidRPr="00FB2D03">
        <w:rPr>
          <w:i/>
          <w:color w:val="000000" w:themeColor="text1"/>
          <w:lang w:val="en-AU"/>
        </w:rPr>
        <w:t>Jewish Biblical Quarterly</w:t>
      </w:r>
      <w:r w:rsidRPr="00FB2D03">
        <w:rPr>
          <w:color w:val="000000" w:themeColor="text1"/>
          <w:lang w:val="en-AU"/>
        </w:rPr>
        <w:t xml:space="preserve"> 23 </w:t>
      </w:r>
    </w:p>
    <w:p w14:paraId="0B0A00C1"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(1995): 79.</w:t>
      </w:r>
    </w:p>
    <w:p w14:paraId="19CBB2A0" w14:textId="77777777" w:rsidR="00412D77" w:rsidRPr="00FB2D03" w:rsidRDefault="00412D77" w:rsidP="00412D77">
      <w:pPr>
        <w:tabs>
          <w:tab w:val="left" w:pos="5616"/>
        </w:tabs>
        <w:rPr>
          <w:color w:val="000000" w:themeColor="text1"/>
          <w:lang w:val="en-AU"/>
        </w:rPr>
      </w:pPr>
    </w:p>
    <w:p w14:paraId="369054AE" w14:textId="74A0F9DC" w:rsidR="00412D77" w:rsidRPr="00FB2D03" w:rsidRDefault="00412D77" w:rsidP="00412D77">
      <w:pPr>
        <w:tabs>
          <w:tab w:val="left" w:pos="5616"/>
        </w:tabs>
        <w:rPr>
          <w:color w:val="000000" w:themeColor="text1"/>
          <w:lang w:val="en-AU"/>
        </w:rPr>
      </w:pPr>
      <w:r w:rsidRPr="00FB2D03">
        <w:rPr>
          <w:color w:val="000000" w:themeColor="text1"/>
          <w:lang w:val="en-AU"/>
        </w:rPr>
        <w:t>Chilton, Bruce, Anthony Le Donne, and Jacob Neusner. </w:t>
      </w:r>
      <w:r w:rsidRPr="00FB2D03">
        <w:rPr>
          <w:i/>
          <w:color w:val="000000" w:themeColor="text1"/>
          <w:lang w:val="en-AU"/>
        </w:rPr>
        <w:t xml:space="preserve">Soundings </w:t>
      </w:r>
      <w:r w:rsidR="00DF2BEE">
        <w:rPr>
          <w:i/>
          <w:color w:val="000000" w:themeColor="text1"/>
          <w:lang w:val="en-AU"/>
        </w:rPr>
        <w:t>i</w:t>
      </w:r>
      <w:r w:rsidRPr="00FB2D03">
        <w:rPr>
          <w:i/>
          <w:color w:val="000000" w:themeColor="text1"/>
          <w:lang w:val="en-AU"/>
        </w:rPr>
        <w:t xml:space="preserve">n </w:t>
      </w:r>
      <w:r w:rsidR="00DF2BEE">
        <w:rPr>
          <w:i/>
          <w:color w:val="000000" w:themeColor="text1"/>
          <w:lang w:val="en-AU"/>
        </w:rPr>
        <w:t>t</w:t>
      </w:r>
      <w:r w:rsidRPr="00FB2D03">
        <w:rPr>
          <w:i/>
          <w:color w:val="000000" w:themeColor="text1"/>
          <w:lang w:val="en-AU"/>
        </w:rPr>
        <w:t xml:space="preserve">he Judaism </w:t>
      </w:r>
      <w:r w:rsidR="00DF2BEE">
        <w:rPr>
          <w:i/>
          <w:color w:val="000000" w:themeColor="text1"/>
          <w:lang w:val="en-AU"/>
        </w:rPr>
        <w:t>o</w:t>
      </w:r>
      <w:r w:rsidRPr="00FB2D03">
        <w:rPr>
          <w:i/>
          <w:color w:val="000000" w:themeColor="text1"/>
          <w:lang w:val="en-AU"/>
        </w:rPr>
        <w:t>f Jesus</w:t>
      </w:r>
      <w:r w:rsidRPr="00FB2D03">
        <w:rPr>
          <w:color w:val="000000" w:themeColor="text1"/>
          <w:lang w:val="en-AU"/>
        </w:rPr>
        <w:t xml:space="preserve">. </w:t>
      </w:r>
    </w:p>
    <w:p w14:paraId="5A0D65A9"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Philadelphia: Fortress, 2012.</w:t>
      </w:r>
    </w:p>
    <w:p w14:paraId="4F01E50D" w14:textId="77777777" w:rsidR="00412D77" w:rsidRPr="00FB2D03" w:rsidRDefault="00412D77" w:rsidP="00412D77">
      <w:pPr>
        <w:tabs>
          <w:tab w:val="left" w:pos="5616"/>
        </w:tabs>
        <w:rPr>
          <w:color w:val="000000" w:themeColor="text1"/>
          <w:lang w:val="en-AU"/>
        </w:rPr>
      </w:pPr>
    </w:p>
    <w:p w14:paraId="16BD09B4" w14:textId="77777777" w:rsidR="00412D77" w:rsidRPr="00FB2D03" w:rsidRDefault="00412D77" w:rsidP="00412D77">
      <w:pPr>
        <w:tabs>
          <w:tab w:val="left" w:pos="5616"/>
        </w:tabs>
        <w:rPr>
          <w:color w:val="000000" w:themeColor="text1"/>
          <w:lang w:val="en-AU"/>
        </w:rPr>
      </w:pPr>
      <w:r w:rsidRPr="00FB2D03">
        <w:rPr>
          <w:color w:val="000000" w:themeColor="text1"/>
          <w:lang w:val="en-AU"/>
        </w:rPr>
        <w:t>Chouraqui, Jean-Marc. “Réflexions d’un Juif Sur Jésus.” </w:t>
      </w:r>
      <w:r w:rsidRPr="00FB2D03">
        <w:rPr>
          <w:i/>
          <w:color w:val="000000" w:themeColor="text1"/>
          <w:lang w:val="en-AU"/>
        </w:rPr>
        <w:t>Théophilyon</w:t>
      </w:r>
      <w:r w:rsidRPr="00FB2D03">
        <w:rPr>
          <w:color w:val="000000" w:themeColor="text1"/>
          <w:lang w:val="en-AU"/>
        </w:rPr>
        <w:t xml:space="preserve"> 6 (2001): </w:t>
      </w:r>
    </w:p>
    <w:p w14:paraId="6D29FA08"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125–62.</w:t>
      </w:r>
    </w:p>
    <w:p w14:paraId="7E69F538" w14:textId="77777777" w:rsidR="00412D77" w:rsidRPr="00FB2D03" w:rsidRDefault="00412D77" w:rsidP="00412D77">
      <w:pPr>
        <w:tabs>
          <w:tab w:val="left" w:pos="5616"/>
        </w:tabs>
        <w:rPr>
          <w:color w:val="000000" w:themeColor="text1"/>
          <w:lang w:val="en-AU"/>
        </w:rPr>
      </w:pPr>
    </w:p>
    <w:p w14:paraId="41F17056" w14:textId="77777777" w:rsidR="00412D77" w:rsidRPr="00FB2D03" w:rsidRDefault="00412D77" w:rsidP="00412D77">
      <w:pPr>
        <w:tabs>
          <w:tab w:val="left" w:pos="5616"/>
        </w:tabs>
        <w:rPr>
          <w:color w:val="000000" w:themeColor="text1"/>
          <w:lang w:val="en-AU"/>
        </w:rPr>
      </w:pPr>
      <w:r w:rsidRPr="00FB2D03">
        <w:rPr>
          <w:color w:val="000000" w:themeColor="text1"/>
          <w:lang w:val="en-AU"/>
        </w:rPr>
        <w:t>Christensen, Duane L. </w:t>
      </w:r>
      <w:r w:rsidRPr="00FB2D03">
        <w:rPr>
          <w:i/>
          <w:color w:val="000000" w:themeColor="text1"/>
          <w:lang w:val="en-AU"/>
        </w:rPr>
        <w:t>Word Biblical Commentary Deuteronomy 1–21:9</w:t>
      </w:r>
      <w:r w:rsidRPr="00FB2D03">
        <w:rPr>
          <w:color w:val="000000" w:themeColor="text1"/>
          <w:lang w:val="en-AU"/>
        </w:rPr>
        <w:t xml:space="preserve">, Vol 6. ed. </w:t>
      </w:r>
    </w:p>
    <w:p w14:paraId="666F6AFB"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Bruce Metzger. Nashville: Thomas Nelson, 2001.</w:t>
      </w:r>
    </w:p>
    <w:p w14:paraId="5B6813EC" w14:textId="77777777" w:rsidR="00412D77" w:rsidRPr="00FB2D03" w:rsidRDefault="00412D77" w:rsidP="00412D77">
      <w:pPr>
        <w:tabs>
          <w:tab w:val="left" w:pos="5616"/>
        </w:tabs>
        <w:rPr>
          <w:color w:val="000000" w:themeColor="text1"/>
          <w:lang w:val="en-AU"/>
        </w:rPr>
      </w:pPr>
    </w:p>
    <w:p w14:paraId="42D11E6C" w14:textId="77777777" w:rsidR="00412D77" w:rsidRPr="00FB2D03" w:rsidRDefault="00412D77" w:rsidP="00412D77">
      <w:pPr>
        <w:tabs>
          <w:tab w:val="left" w:pos="5616"/>
        </w:tabs>
        <w:rPr>
          <w:color w:val="000000" w:themeColor="text1"/>
          <w:lang w:val="en-AU"/>
        </w:rPr>
      </w:pPr>
      <w:r w:rsidRPr="00FB2D03">
        <w:rPr>
          <w:color w:val="000000" w:themeColor="text1"/>
          <w:lang w:val="en-AU"/>
        </w:rPr>
        <w:lastRenderedPageBreak/>
        <w:t xml:space="preserve">Chrupcala, Leslaw D. </w:t>
      </w:r>
      <w:r w:rsidRPr="00FB2D03">
        <w:rPr>
          <w:i/>
          <w:color w:val="000000" w:themeColor="text1"/>
          <w:lang w:val="en-AU"/>
        </w:rPr>
        <w:t xml:space="preserve">The Kingdom of God. </w:t>
      </w:r>
      <w:r w:rsidRPr="00FB2D03">
        <w:rPr>
          <w:color w:val="000000" w:themeColor="text1"/>
          <w:lang w:val="en-AU"/>
        </w:rPr>
        <w:t>Jerusalem: Franciscan Printing Press, 2007.</w:t>
      </w:r>
    </w:p>
    <w:p w14:paraId="6B88FF55" w14:textId="77777777" w:rsidR="00412D77" w:rsidRPr="00FB2D03" w:rsidRDefault="00412D77" w:rsidP="00412D77">
      <w:pPr>
        <w:tabs>
          <w:tab w:val="left" w:pos="5616"/>
        </w:tabs>
        <w:rPr>
          <w:color w:val="000000" w:themeColor="text1"/>
          <w:lang w:val="en-AU"/>
        </w:rPr>
      </w:pPr>
    </w:p>
    <w:p w14:paraId="01B84184"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Clarke, K. W. “The Gentile Bias in Matthew.” </w:t>
      </w:r>
      <w:r w:rsidRPr="00FB2D03">
        <w:rPr>
          <w:i/>
          <w:color w:val="000000" w:themeColor="text1"/>
          <w:lang w:val="en-AU"/>
        </w:rPr>
        <w:t xml:space="preserve">Journal of Biblical Literature </w:t>
      </w:r>
      <w:r w:rsidRPr="00FB2D03">
        <w:rPr>
          <w:color w:val="000000" w:themeColor="text1"/>
          <w:lang w:val="en-AU"/>
        </w:rPr>
        <w:t xml:space="preserve">66 (1947): </w:t>
      </w:r>
    </w:p>
    <w:p w14:paraId="14B60C25"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165–72.</w:t>
      </w:r>
    </w:p>
    <w:p w14:paraId="26FC9AD9" w14:textId="77777777" w:rsidR="00412D77" w:rsidRPr="00FB2D03" w:rsidRDefault="00412D77" w:rsidP="00412D77">
      <w:pPr>
        <w:tabs>
          <w:tab w:val="left" w:pos="5616"/>
        </w:tabs>
        <w:rPr>
          <w:color w:val="000000" w:themeColor="text1"/>
          <w:lang w:val="en-AU"/>
        </w:rPr>
      </w:pPr>
    </w:p>
    <w:p w14:paraId="43CD322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Claridge, Claudia. </w:t>
      </w:r>
      <w:r w:rsidRPr="00FB2D03">
        <w:rPr>
          <w:i/>
          <w:color w:val="000000" w:themeColor="text1"/>
          <w:lang w:val="en-AU"/>
        </w:rPr>
        <w:t>Hyperbole in English: A Corpus–based Study of Exaggeration</w:t>
      </w:r>
      <w:r w:rsidRPr="00FB2D03">
        <w:rPr>
          <w:color w:val="000000" w:themeColor="text1"/>
          <w:lang w:val="en-AU"/>
        </w:rPr>
        <w:t xml:space="preserve">. New York: </w:t>
      </w:r>
    </w:p>
    <w:p w14:paraId="320ABCCB"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Cambridge University Press, 2011.</w:t>
      </w:r>
    </w:p>
    <w:p w14:paraId="60F9866B" w14:textId="77777777" w:rsidR="00412D77" w:rsidRPr="00FB2D03" w:rsidRDefault="00412D77" w:rsidP="00412D77">
      <w:pPr>
        <w:tabs>
          <w:tab w:val="left" w:pos="5616"/>
        </w:tabs>
        <w:rPr>
          <w:color w:val="000000" w:themeColor="text1"/>
          <w:lang w:val="en-AU"/>
        </w:rPr>
      </w:pPr>
    </w:p>
    <w:p w14:paraId="5FA6AC6F"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Codex Bezae Cantabrigiensis: </w:t>
      </w:r>
      <w:r w:rsidRPr="00FB2D03">
        <w:rPr>
          <w:i/>
          <w:color w:val="000000" w:themeColor="text1"/>
          <w:lang w:val="en-AU"/>
        </w:rPr>
        <w:t xml:space="preserve">Quattuor evangelia et Actus apostolorum complectens Graece </w:t>
      </w:r>
    </w:p>
    <w:p w14:paraId="1831F7F1"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et Latine.</w:t>
      </w:r>
      <w:r w:rsidRPr="00FB2D03">
        <w:rPr>
          <w:color w:val="000000" w:themeColor="text1"/>
          <w:lang w:val="en-AU"/>
        </w:rPr>
        <w:t xml:space="preserve"> 2 vols. Cambridge: Cambridge University Press, 1899.</w:t>
      </w:r>
    </w:p>
    <w:p w14:paraId="50019551" w14:textId="77777777" w:rsidR="00412D77" w:rsidRPr="00FB2D03" w:rsidRDefault="00412D77" w:rsidP="00412D77">
      <w:pPr>
        <w:tabs>
          <w:tab w:val="left" w:pos="5616"/>
        </w:tabs>
        <w:rPr>
          <w:color w:val="000000" w:themeColor="text1"/>
          <w:lang w:val="en-AU"/>
        </w:rPr>
      </w:pPr>
    </w:p>
    <w:p w14:paraId="67CA2A2D"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Cohen, Beryl D. </w:t>
      </w:r>
      <w:r w:rsidRPr="00FB2D03">
        <w:rPr>
          <w:i/>
          <w:color w:val="000000" w:themeColor="text1"/>
          <w:lang w:val="en-AU"/>
        </w:rPr>
        <w:t xml:space="preserve">Jacob’s Well: Some Jewish Sources and Parallels to the Sermon on the </w:t>
      </w:r>
    </w:p>
    <w:p w14:paraId="51C0F3D0"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Mount</w:t>
      </w:r>
      <w:r w:rsidRPr="00FB2D03">
        <w:rPr>
          <w:color w:val="000000" w:themeColor="text1"/>
          <w:lang w:val="en-AU"/>
        </w:rPr>
        <w:t>. New York: Bookman Associates, 1956.</w:t>
      </w:r>
    </w:p>
    <w:p w14:paraId="725648E1" w14:textId="77777777" w:rsidR="00412D77" w:rsidRPr="00FB2D03" w:rsidRDefault="00412D77" w:rsidP="00412D77">
      <w:pPr>
        <w:tabs>
          <w:tab w:val="left" w:pos="5616"/>
        </w:tabs>
        <w:rPr>
          <w:color w:val="000000" w:themeColor="text1"/>
          <w:lang w:val="en-AU"/>
        </w:rPr>
      </w:pPr>
    </w:p>
    <w:p w14:paraId="7336C32A"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Cohen, Boaz. </w:t>
      </w:r>
      <w:r w:rsidRPr="00FB2D03">
        <w:rPr>
          <w:i/>
          <w:color w:val="000000" w:themeColor="text1"/>
          <w:lang w:val="en-AU"/>
        </w:rPr>
        <w:t>Jewish and Roman Law: A Comparative Study</w:t>
      </w:r>
      <w:r w:rsidRPr="00FB2D03">
        <w:rPr>
          <w:color w:val="000000" w:themeColor="text1"/>
          <w:lang w:val="en-AU"/>
        </w:rPr>
        <w:t xml:space="preserve">. New York: Jewish Theological </w:t>
      </w:r>
    </w:p>
    <w:p w14:paraId="16EA23F6"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Seminary of America Press, 1966.</w:t>
      </w:r>
    </w:p>
    <w:p w14:paraId="2F725807" w14:textId="77777777" w:rsidR="00412D77" w:rsidRPr="00FB2D03" w:rsidRDefault="00412D77" w:rsidP="00412D77">
      <w:pPr>
        <w:tabs>
          <w:tab w:val="left" w:pos="5616"/>
        </w:tabs>
        <w:rPr>
          <w:color w:val="000000" w:themeColor="text1"/>
          <w:lang w:val="en-AU"/>
        </w:rPr>
      </w:pPr>
    </w:p>
    <w:p w14:paraId="50A7DF35"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Law and Tradition in Judaism</w:t>
      </w:r>
      <w:r w:rsidRPr="00FB2D03">
        <w:rPr>
          <w:color w:val="000000" w:themeColor="text1"/>
          <w:lang w:val="en-AU"/>
        </w:rPr>
        <w:t xml:space="preserve">. New York: Jewish Theological Seminary of </w:t>
      </w:r>
    </w:p>
    <w:p w14:paraId="532AC5DA"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America, 1959. </w:t>
      </w:r>
    </w:p>
    <w:p w14:paraId="2AF50E9E" w14:textId="77777777" w:rsidR="00412D77" w:rsidRPr="00FB2D03" w:rsidRDefault="00412D77" w:rsidP="00412D77">
      <w:pPr>
        <w:tabs>
          <w:tab w:val="left" w:pos="5616"/>
        </w:tabs>
        <w:rPr>
          <w:color w:val="000000" w:themeColor="text1"/>
          <w:lang w:val="en-AU"/>
        </w:rPr>
      </w:pPr>
    </w:p>
    <w:p w14:paraId="163E95B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Cohen, Jeffrey M. “Shmuel HaKatan and the Political Background to Avot 4:19.” </w:t>
      </w:r>
      <w:r w:rsidRPr="00FB2D03">
        <w:rPr>
          <w:i/>
          <w:color w:val="000000" w:themeColor="text1"/>
          <w:lang w:val="en-AU"/>
        </w:rPr>
        <w:t>Judaism</w:t>
      </w:r>
      <w:r w:rsidRPr="00FB2D03">
        <w:rPr>
          <w:color w:val="000000" w:themeColor="text1"/>
          <w:lang w:val="en-AU"/>
        </w:rPr>
        <w:t xml:space="preserve">, </w:t>
      </w:r>
    </w:p>
    <w:p w14:paraId="7A038BC3"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44 (1995): 171–180.</w:t>
      </w:r>
    </w:p>
    <w:p w14:paraId="7515ADB3" w14:textId="77777777" w:rsidR="00412D77" w:rsidRPr="00FB2D03" w:rsidRDefault="00412D77" w:rsidP="00412D77">
      <w:pPr>
        <w:tabs>
          <w:tab w:val="left" w:pos="5616"/>
        </w:tabs>
        <w:rPr>
          <w:color w:val="000000" w:themeColor="text1"/>
          <w:lang w:val="en-AU"/>
        </w:rPr>
      </w:pPr>
    </w:p>
    <w:p w14:paraId="5BB5A19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Cohen, Shaye J. D. </w:t>
      </w:r>
      <w:r w:rsidRPr="00FB2D03">
        <w:rPr>
          <w:i/>
          <w:color w:val="000000" w:themeColor="text1"/>
          <w:lang w:val="en-AU"/>
        </w:rPr>
        <w:t>From the Maccabees to the Mishna</w:t>
      </w:r>
      <w:r w:rsidRPr="00FB2D03">
        <w:rPr>
          <w:color w:val="000000" w:themeColor="text1"/>
          <w:lang w:val="en-AU"/>
        </w:rPr>
        <w:t xml:space="preserve">. Louisville: Westminster John Knox, </w:t>
      </w:r>
    </w:p>
    <w:p w14:paraId="6204F78B"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2014.</w:t>
      </w:r>
    </w:p>
    <w:p w14:paraId="73997997" w14:textId="77777777" w:rsidR="00412D77" w:rsidRPr="00FB2D03" w:rsidRDefault="00412D77" w:rsidP="00412D77">
      <w:pPr>
        <w:tabs>
          <w:tab w:val="left" w:pos="5616"/>
        </w:tabs>
        <w:rPr>
          <w:color w:val="000000" w:themeColor="text1"/>
          <w:lang w:val="en-AU"/>
        </w:rPr>
      </w:pPr>
    </w:p>
    <w:p w14:paraId="61DA9DD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Beginnings of Jewishness: Boundaries, Varieties, Uncertainties</w:t>
      </w:r>
      <w:r w:rsidRPr="00FB2D03">
        <w:rPr>
          <w:color w:val="000000" w:themeColor="text1"/>
          <w:lang w:val="en-AU"/>
        </w:rPr>
        <w:t xml:space="preserve">. Berkeley: </w:t>
      </w:r>
    </w:p>
    <w:p w14:paraId="1AE681C0"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University of California Press, 1999. </w:t>
      </w:r>
    </w:p>
    <w:p w14:paraId="180C5627" w14:textId="77777777" w:rsidR="00412D77" w:rsidRPr="00FB2D03" w:rsidRDefault="00412D77" w:rsidP="00412D77">
      <w:pPr>
        <w:tabs>
          <w:tab w:val="left" w:pos="5616"/>
        </w:tabs>
        <w:rPr>
          <w:color w:val="000000" w:themeColor="text1"/>
          <w:lang w:val="en-AU"/>
        </w:rPr>
      </w:pPr>
    </w:p>
    <w:p w14:paraId="2C51E0DF"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________. </w:t>
      </w:r>
      <w:r w:rsidRPr="00FB2D03">
        <w:rPr>
          <w:i/>
          <w:color w:val="000000" w:themeColor="text1"/>
          <w:lang w:val="en-AU"/>
        </w:rPr>
        <w:t xml:space="preserve">The Rabbi in Second–Century Jewish Society, in The Cambridge History of </w:t>
      </w:r>
    </w:p>
    <w:p w14:paraId="5C2CA885"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Judaism. </w:t>
      </w:r>
      <w:r w:rsidRPr="00FB2D03">
        <w:rPr>
          <w:color w:val="000000" w:themeColor="text1"/>
          <w:lang w:val="en-AU"/>
        </w:rPr>
        <w:t xml:space="preserve">Cambridge: Cambridge University Press, 2008. </w:t>
      </w:r>
    </w:p>
    <w:p w14:paraId="3849EA88" w14:textId="77777777" w:rsidR="00412D77" w:rsidRPr="00FB2D03" w:rsidRDefault="00412D77" w:rsidP="00412D77">
      <w:pPr>
        <w:tabs>
          <w:tab w:val="left" w:pos="5616"/>
        </w:tabs>
        <w:rPr>
          <w:color w:val="000000" w:themeColor="text1"/>
          <w:lang w:val="en-AU"/>
        </w:rPr>
      </w:pPr>
    </w:p>
    <w:p w14:paraId="06B732AF"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________. “The Place of the Rabbi in Jewish Society of the Second Century.” In </w:t>
      </w:r>
      <w:r w:rsidRPr="00FB2D03">
        <w:rPr>
          <w:i/>
          <w:color w:val="000000" w:themeColor="text1"/>
          <w:lang w:val="en-AU"/>
        </w:rPr>
        <w:t xml:space="preserve">The Galilee </w:t>
      </w:r>
    </w:p>
    <w:p w14:paraId="3D201DCB"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in Late Antiquity</w:t>
      </w:r>
      <w:r w:rsidRPr="00FB2D03">
        <w:rPr>
          <w:color w:val="000000" w:themeColor="text1"/>
          <w:lang w:val="en-AU"/>
        </w:rPr>
        <w:t>. ed. Lee I Levine. New York: Jewish Theological Seminary Press, 1992: 157–73.</w:t>
      </w:r>
    </w:p>
    <w:p w14:paraId="1423D3C2" w14:textId="77777777" w:rsidR="00412D77" w:rsidRPr="00FB2D03" w:rsidRDefault="00412D77" w:rsidP="00412D77">
      <w:pPr>
        <w:tabs>
          <w:tab w:val="left" w:pos="5616"/>
        </w:tabs>
        <w:rPr>
          <w:color w:val="000000" w:themeColor="text1"/>
          <w:lang w:val="en-AU"/>
        </w:rPr>
      </w:pPr>
    </w:p>
    <w:p w14:paraId="3D7F793E" w14:textId="77777777" w:rsidR="00412D77" w:rsidRPr="00FB2D03" w:rsidRDefault="00412D77" w:rsidP="00412D77">
      <w:pPr>
        <w:tabs>
          <w:tab w:val="left" w:pos="5616"/>
        </w:tabs>
        <w:rPr>
          <w:color w:val="000000" w:themeColor="text1"/>
          <w:lang w:val="en-AU"/>
        </w:rPr>
      </w:pPr>
      <w:r w:rsidRPr="00FB2D03">
        <w:rPr>
          <w:color w:val="000000" w:themeColor="text1"/>
          <w:lang w:val="en-AU"/>
        </w:rPr>
        <w:t>Cole, Darrell. </w:t>
      </w:r>
      <w:r w:rsidRPr="00FB2D03">
        <w:rPr>
          <w:i/>
          <w:color w:val="000000" w:themeColor="text1"/>
          <w:lang w:val="en-AU"/>
        </w:rPr>
        <w:t>When God Says War is Right</w:t>
      </w:r>
      <w:r w:rsidRPr="00FB2D03">
        <w:rPr>
          <w:color w:val="000000" w:themeColor="text1"/>
          <w:lang w:val="en-AU"/>
        </w:rPr>
        <w:t>. Colorado Springs: Waterbrook Press, 2003.</w:t>
      </w:r>
    </w:p>
    <w:p w14:paraId="5E5B091A" w14:textId="77777777" w:rsidR="00412D77" w:rsidRPr="00FB2D03" w:rsidRDefault="00412D77" w:rsidP="00412D77">
      <w:pPr>
        <w:tabs>
          <w:tab w:val="left" w:pos="5616"/>
        </w:tabs>
        <w:rPr>
          <w:color w:val="000000" w:themeColor="text1"/>
          <w:lang w:val="en-AU"/>
        </w:rPr>
      </w:pPr>
    </w:p>
    <w:p w14:paraId="65791285" w14:textId="77777777" w:rsidR="00412D77" w:rsidRPr="00FB2D03" w:rsidRDefault="00412D77" w:rsidP="00412D77">
      <w:pPr>
        <w:tabs>
          <w:tab w:val="left" w:pos="5616"/>
        </w:tabs>
        <w:rPr>
          <w:color w:val="000000" w:themeColor="text1"/>
          <w:lang w:val="en-AU"/>
        </w:rPr>
      </w:pPr>
      <w:r w:rsidRPr="00FB2D03">
        <w:rPr>
          <w:color w:val="000000" w:themeColor="text1"/>
          <w:lang w:val="en-AU"/>
        </w:rPr>
        <w:t>Collins, Adela Yarbro, and John Joseph Collins. </w:t>
      </w:r>
      <w:r w:rsidRPr="00FB2D03">
        <w:rPr>
          <w:i/>
          <w:color w:val="000000" w:themeColor="text1"/>
          <w:lang w:val="en-AU"/>
        </w:rPr>
        <w:t>King and Messiah as Son of God</w:t>
      </w:r>
      <w:r w:rsidRPr="00FB2D03">
        <w:rPr>
          <w:color w:val="000000" w:themeColor="text1"/>
          <w:lang w:val="en-AU"/>
        </w:rPr>
        <w:t xml:space="preserve">. Grand </w:t>
      </w:r>
    </w:p>
    <w:p w14:paraId="70C85D9E"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Rapids: Eerdmans, 2008.</w:t>
      </w:r>
    </w:p>
    <w:p w14:paraId="51BC666A" w14:textId="77777777" w:rsidR="00412D77" w:rsidRPr="00FB2D03" w:rsidRDefault="00412D77" w:rsidP="00412D77">
      <w:pPr>
        <w:tabs>
          <w:tab w:val="left" w:pos="5616"/>
        </w:tabs>
        <w:rPr>
          <w:color w:val="000000" w:themeColor="text1"/>
          <w:lang w:val="en-AU"/>
        </w:rPr>
      </w:pPr>
    </w:p>
    <w:p w14:paraId="43B1DFA0"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Collins, John J. “The Expectation of the End in the Dead Sea Scrolls.” In </w:t>
      </w:r>
      <w:r w:rsidRPr="00FB2D03">
        <w:rPr>
          <w:i/>
          <w:color w:val="000000" w:themeColor="text1"/>
          <w:lang w:val="en-AU"/>
        </w:rPr>
        <w:t xml:space="preserve">Eschatology, </w:t>
      </w:r>
    </w:p>
    <w:p w14:paraId="19DCE547"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Messianism, and the Dead Sea Scrolls</w:t>
      </w:r>
      <w:r w:rsidRPr="00FB2D03">
        <w:rPr>
          <w:color w:val="000000" w:themeColor="text1"/>
          <w:lang w:val="en-AU"/>
        </w:rPr>
        <w:t>. ed. Craig A. Evans and Peter W. Flint. Grand Rapids: Eerdmans, 1997.</w:t>
      </w:r>
    </w:p>
    <w:p w14:paraId="4A549AB3" w14:textId="77777777" w:rsidR="00412D77" w:rsidRPr="00FB2D03" w:rsidRDefault="00412D77" w:rsidP="00412D77">
      <w:pPr>
        <w:tabs>
          <w:tab w:val="left" w:pos="5616"/>
        </w:tabs>
        <w:rPr>
          <w:color w:val="000000" w:themeColor="text1"/>
          <w:lang w:val="en-AU"/>
        </w:rPr>
      </w:pPr>
    </w:p>
    <w:p w14:paraId="2ABFB0ED"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________. “Cult and Culture. The Limits of Hellenization in Judea.” In </w:t>
      </w:r>
      <w:r w:rsidRPr="00FB2D03">
        <w:rPr>
          <w:i/>
          <w:color w:val="000000" w:themeColor="text1"/>
          <w:lang w:val="en-AU"/>
        </w:rPr>
        <w:t xml:space="preserve">Jewish Cult and </w:t>
      </w:r>
    </w:p>
    <w:p w14:paraId="16F33D28"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Hellenistic Culture. </w:t>
      </w:r>
      <w:r w:rsidRPr="00FB2D03">
        <w:rPr>
          <w:color w:val="000000" w:themeColor="text1"/>
          <w:lang w:val="en-AU"/>
        </w:rPr>
        <w:t xml:space="preserve">Leiden: Brill, 2005. </w:t>
      </w:r>
    </w:p>
    <w:p w14:paraId="0C7DDED5" w14:textId="77777777" w:rsidR="00412D77" w:rsidRPr="00FB2D03" w:rsidRDefault="00412D77" w:rsidP="00412D77">
      <w:pPr>
        <w:tabs>
          <w:tab w:val="left" w:pos="5616"/>
        </w:tabs>
        <w:rPr>
          <w:color w:val="000000" w:themeColor="text1"/>
          <w:lang w:val="en-AU"/>
        </w:rPr>
      </w:pPr>
    </w:p>
    <w:p w14:paraId="53DA46C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Between Athens and Jerusalem: Jewish Identity in the Hellenistic Diaspora</w:t>
      </w:r>
      <w:r w:rsidRPr="00FB2D03">
        <w:rPr>
          <w:color w:val="000000" w:themeColor="text1"/>
          <w:lang w:val="en-AU"/>
        </w:rPr>
        <w:t xml:space="preserve">. </w:t>
      </w:r>
    </w:p>
    <w:p w14:paraId="77DB13DD" w14:textId="77777777" w:rsidR="00412D77" w:rsidRPr="00FB2D03" w:rsidRDefault="00412D77" w:rsidP="00412D77">
      <w:pPr>
        <w:tabs>
          <w:tab w:val="left" w:pos="5616"/>
        </w:tabs>
        <w:rPr>
          <w:color w:val="000000" w:themeColor="text1"/>
          <w:lang w:val="en-AU"/>
        </w:rPr>
      </w:pPr>
      <w:r w:rsidRPr="00FB2D03">
        <w:rPr>
          <w:color w:val="000000" w:themeColor="text1"/>
          <w:lang w:val="en-AU"/>
        </w:rPr>
        <w:t>Grand Rapids: Eerdmans, 1999.</w:t>
      </w:r>
    </w:p>
    <w:p w14:paraId="2A960CFB" w14:textId="77777777" w:rsidR="00412D77" w:rsidRPr="00FB2D03" w:rsidRDefault="00412D77" w:rsidP="00412D77">
      <w:pPr>
        <w:tabs>
          <w:tab w:val="left" w:pos="5616"/>
        </w:tabs>
        <w:rPr>
          <w:color w:val="000000" w:themeColor="text1"/>
          <w:lang w:val="en-AU"/>
        </w:rPr>
      </w:pPr>
    </w:p>
    <w:p w14:paraId="597CD13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Does the Bible Justify Violence?</w:t>
      </w:r>
      <w:r w:rsidRPr="00FB2D03">
        <w:rPr>
          <w:color w:val="000000" w:themeColor="text1"/>
          <w:lang w:val="en-AU"/>
        </w:rPr>
        <w:t xml:space="preserve"> Minneapolis: Fortress Press, 2004. </w:t>
      </w:r>
    </w:p>
    <w:p w14:paraId="247361F5" w14:textId="77777777" w:rsidR="00412D77" w:rsidRPr="00FB2D03" w:rsidRDefault="00412D77" w:rsidP="00412D77">
      <w:pPr>
        <w:tabs>
          <w:tab w:val="left" w:pos="5616"/>
        </w:tabs>
        <w:rPr>
          <w:color w:val="000000" w:themeColor="text1"/>
          <w:lang w:val="en-AU"/>
        </w:rPr>
      </w:pPr>
    </w:p>
    <w:p w14:paraId="7981BD35"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“The Mythology of Holy War in Daniel and the Qumran War Scroll: A Point of </w:t>
      </w:r>
    </w:p>
    <w:p w14:paraId="014485DB"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Transition in Jewish Apocalyptic.” </w:t>
      </w:r>
      <w:r w:rsidRPr="00FB2D03">
        <w:rPr>
          <w:i/>
          <w:color w:val="000000" w:themeColor="text1"/>
          <w:lang w:val="en-AU"/>
        </w:rPr>
        <w:t xml:space="preserve">Vestus Testamentum, </w:t>
      </w:r>
      <w:r w:rsidRPr="00FB2D03">
        <w:rPr>
          <w:color w:val="000000" w:themeColor="text1"/>
          <w:lang w:val="en-AU"/>
        </w:rPr>
        <w:t>Vol. 25 (1975): 596–612.</w:t>
      </w:r>
    </w:p>
    <w:p w14:paraId="3CCFCFBE" w14:textId="77777777" w:rsidR="00412D77" w:rsidRPr="00FB2D03" w:rsidRDefault="00412D77" w:rsidP="00412D77">
      <w:pPr>
        <w:tabs>
          <w:tab w:val="left" w:pos="5616"/>
        </w:tabs>
        <w:rPr>
          <w:color w:val="000000" w:themeColor="text1"/>
          <w:lang w:val="en-AU"/>
        </w:rPr>
      </w:pPr>
    </w:p>
    <w:p w14:paraId="0B6173C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Scepter and the Star: Messianism </w:t>
      </w:r>
      <w:proofErr w:type="gramStart"/>
      <w:r w:rsidRPr="00FB2D03">
        <w:rPr>
          <w:i/>
          <w:color w:val="000000" w:themeColor="text1"/>
          <w:lang w:val="en-AU"/>
        </w:rPr>
        <w:t>in Light of</w:t>
      </w:r>
      <w:proofErr w:type="gramEnd"/>
      <w:r w:rsidRPr="00FB2D03">
        <w:rPr>
          <w:i/>
          <w:color w:val="000000" w:themeColor="text1"/>
          <w:lang w:val="en-AU"/>
        </w:rPr>
        <w:t xml:space="preserve"> the Dead Sea Scrolls</w:t>
      </w:r>
      <w:r w:rsidRPr="00FB2D03">
        <w:rPr>
          <w:color w:val="000000" w:themeColor="text1"/>
          <w:lang w:val="en-AU"/>
        </w:rPr>
        <w:t xml:space="preserve">. Grand </w:t>
      </w:r>
    </w:p>
    <w:p w14:paraId="34A48B97"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Rapids: Eerdmans, 2010.</w:t>
      </w:r>
    </w:p>
    <w:p w14:paraId="278BECF5" w14:textId="77777777" w:rsidR="00412D77" w:rsidRPr="00FB2D03" w:rsidRDefault="00412D77" w:rsidP="00412D77">
      <w:pPr>
        <w:tabs>
          <w:tab w:val="left" w:pos="5616"/>
        </w:tabs>
        <w:rPr>
          <w:color w:val="000000" w:themeColor="text1"/>
          <w:lang w:val="en-AU"/>
        </w:rPr>
      </w:pPr>
    </w:p>
    <w:p w14:paraId="3E0E495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Collins, Raymond F. “Beatitudes.” In </w:t>
      </w:r>
      <w:r w:rsidRPr="00FB2D03">
        <w:rPr>
          <w:i/>
          <w:color w:val="000000" w:themeColor="text1"/>
          <w:lang w:val="en-AU"/>
        </w:rPr>
        <w:t>The Anchor Bible Dictionary</w:t>
      </w:r>
      <w:r w:rsidRPr="00FB2D03">
        <w:rPr>
          <w:color w:val="000000" w:themeColor="text1"/>
          <w:lang w:val="en-AU"/>
        </w:rPr>
        <w:t xml:space="preserve">. New Haven: Yale </w:t>
      </w:r>
    </w:p>
    <w:p w14:paraId="451FB238"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University Press, 1992.</w:t>
      </w:r>
    </w:p>
    <w:p w14:paraId="6C04E99B" w14:textId="77777777" w:rsidR="00412D77" w:rsidRPr="00FB2D03" w:rsidRDefault="00412D77" w:rsidP="00412D77">
      <w:pPr>
        <w:tabs>
          <w:tab w:val="left" w:pos="5616"/>
        </w:tabs>
        <w:rPr>
          <w:color w:val="000000" w:themeColor="text1"/>
          <w:lang w:val="en-AU"/>
        </w:rPr>
      </w:pPr>
    </w:p>
    <w:p w14:paraId="1382C24B" w14:textId="2B2C661F" w:rsidR="00412D77" w:rsidRPr="00FB2D03" w:rsidRDefault="00412D77" w:rsidP="00412D77">
      <w:pPr>
        <w:tabs>
          <w:tab w:val="left" w:pos="5616"/>
        </w:tabs>
        <w:rPr>
          <w:i/>
          <w:color w:val="000000" w:themeColor="text1"/>
          <w:lang w:val="en-AU"/>
        </w:rPr>
      </w:pPr>
      <w:r w:rsidRPr="00FB2D03">
        <w:rPr>
          <w:color w:val="000000" w:themeColor="text1"/>
          <w:lang w:val="en-AU"/>
        </w:rPr>
        <w:t xml:space="preserve">Conrad, Edgar W. “The Royal Narratives and the Structure of the Book of Isaiah.” </w:t>
      </w:r>
      <w:r w:rsidRPr="00FB2D03">
        <w:rPr>
          <w:i/>
          <w:color w:val="000000" w:themeColor="text1"/>
          <w:lang w:val="en-AU"/>
        </w:rPr>
        <w:t xml:space="preserve">Journal </w:t>
      </w:r>
    </w:p>
    <w:p w14:paraId="1A6468C7" w14:textId="7BCE763B" w:rsidR="00412D77" w:rsidRPr="00FB2D03" w:rsidRDefault="00C858E5" w:rsidP="00AD1181">
      <w:pPr>
        <w:tabs>
          <w:tab w:val="left" w:pos="5616"/>
        </w:tabs>
        <w:ind w:left="720"/>
        <w:rPr>
          <w:color w:val="000000" w:themeColor="text1"/>
          <w:lang w:val="en-AU"/>
        </w:rPr>
      </w:pPr>
      <w:r>
        <w:rPr>
          <w:i/>
          <w:color w:val="000000" w:themeColor="text1"/>
          <w:lang w:val="en-AU"/>
        </w:rPr>
        <w:t xml:space="preserve">of the </w:t>
      </w:r>
      <w:r w:rsidR="00412D77" w:rsidRPr="00FB2D03">
        <w:rPr>
          <w:i/>
          <w:color w:val="000000" w:themeColor="text1"/>
          <w:lang w:val="en-AU"/>
        </w:rPr>
        <w:t>Study Old Testament</w:t>
      </w:r>
      <w:r w:rsidR="00412D77" w:rsidRPr="00FB2D03">
        <w:rPr>
          <w:color w:val="000000" w:themeColor="text1"/>
          <w:lang w:val="en-AU"/>
        </w:rPr>
        <w:t xml:space="preserve"> 41 (1988)</w:t>
      </w:r>
      <w:r w:rsidR="00013BF9" w:rsidRPr="00FB2D03">
        <w:rPr>
          <w:color w:val="000000" w:themeColor="text1"/>
          <w:lang w:val="en-AU"/>
        </w:rPr>
        <w:t>:</w:t>
      </w:r>
      <w:r w:rsidR="00412D77" w:rsidRPr="00FB2D03">
        <w:rPr>
          <w:color w:val="000000" w:themeColor="text1"/>
          <w:lang w:val="en-AU"/>
        </w:rPr>
        <w:t xml:space="preserve"> 67–81.</w:t>
      </w:r>
    </w:p>
    <w:p w14:paraId="1914503E" w14:textId="77777777" w:rsidR="00412D77" w:rsidRPr="00FB2D03" w:rsidRDefault="00412D77" w:rsidP="00412D77">
      <w:pPr>
        <w:tabs>
          <w:tab w:val="left" w:pos="5616"/>
        </w:tabs>
        <w:rPr>
          <w:color w:val="000000" w:themeColor="text1"/>
          <w:lang w:val="en-AU"/>
        </w:rPr>
      </w:pPr>
    </w:p>
    <w:p w14:paraId="3B572BF9" w14:textId="4CB2BB2F" w:rsidR="00412D77" w:rsidRPr="00FB2D03" w:rsidRDefault="00412D77" w:rsidP="00412D77">
      <w:pPr>
        <w:tabs>
          <w:tab w:val="left" w:pos="5616"/>
        </w:tabs>
        <w:rPr>
          <w:color w:val="000000" w:themeColor="text1"/>
          <w:lang w:val="en-AU"/>
        </w:rPr>
      </w:pPr>
      <w:r w:rsidRPr="00FB2D03">
        <w:rPr>
          <w:color w:val="000000" w:themeColor="text1"/>
          <w:lang w:val="en-AU"/>
        </w:rPr>
        <w:t>Conway-Jones, Ann. “The New Testament: Jewish or Gentile?” </w:t>
      </w:r>
      <w:r w:rsidRPr="00FB2D03">
        <w:rPr>
          <w:i/>
          <w:color w:val="000000" w:themeColor="text1"/>
          <w:lang w:val="en-AU"/>
        </w:rPr>
        <w:t>Expository Times</w:t>
      </w:r>
      <w:r w:rsidRPr="00FB2D03">
        <w:rPr>
          <w:color w:val="000000" w:themeColor="text1"/>
          <w:lang w:val="en-AU"/>
        </w:rPr>
        <w:t xml:space="preserve"> 130 </w:t>
      </w:r>
    </w:p>
    <w:p w14:paraId="1A3EB3F2" w14:textId="7FC3CAB2" w:rsidR="00412D77" w:rsidRPr="00FB2D03" w:rsidRDefault="00412D77" w:rsidP="00AD1181">
      <w:pPr>
        <w:tabs>
          <w:tab w:val="left" w:pos="5616"/>
        </w:tabs>
        <w:ind w:left="720"/>
        <w:rPr>
          <w:color w:val="000000" w:themeColor="text1"/>
          <w:lang w:val="en-AU"/>
        </w:rPr>
      </w:pPr>
      <w:r w:rsidRPr="00FB2D03">
        <w:rPr>
          <w:color w:val="000000" w:themeColor="text1"/>
          <w:lang w:val="en-AU"/>
        </w:rPr>
        <w:t>(2019): 237–42.</w:t>
      </w:r>
    </w:p>
    <w:p w14:paraId="7289FF23" w14:textId="77777777" w:rsidR="00412D77" w:rsidRPr="00FB2D03" w:rsidRDefault="00412D77" w:rsidP="00412D77">
      <w:pPr>
        <w:tabs>
          <w:tab w:val="left" w:pos="5616"/>
        </w:tabs>
        <w:rPr>
          <w:color w:val="000000" w:themeColor="text1"/>
          <w:lang w:val="en-AU"/>
        </w:rPr>
      </w:pPr>
    </w:p>
    <w:p w14:paraId="330DD2B5"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Copan, Paul. “Yahweh Wars and the Canaanites: Divinely Mandates Genocide or Corporate </w:t>
      </w:r>
    </w:p>
    <w:p w14:paraId="3459404C"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Capital Punishment? Responses to Critics.” </w:t>
      </w:r>
      <w:r w:rsidRPr="00FB2D03">
        <w:rPr>
          <w:i/>
          <w:color w:val="000000" w:themeColor="text1"/>
          <w:lang w:val="en-AU"/>
        </w:rPr>
        <w:t>Philosophia Christi</w:t>
      </w:r>
      <w:r w:rsidRPr="00FB2D03">
        <w:rPr>
          <w:color w:val="000000" w:themeColor="text1"/>
          <w:lang w:val="en-AU"/>
        </w:rPr>
        <w:t xml:space="preserve"> (2009): 73</w:t>
      </w:r>
      <w:r w:rsidRPr="00FB2D03">
        <w:rPr>
          <w:color w:val="000000" w:themeColor="text1"/>
          <w:lang w:val="en-AU"/>
        </w:rPr>
        <w:tab/>
        <w:t>–90.</w:t>
      </w:r>
    </w:p>
    <w:p w14:paraId="5F047594" w14:textId="77777777" w:rsidR="00412D77" w:rsidRPr="00FB2D03" w:rsidRDefault="00412D77" w:rsidP="00412D77">
      <w:pPr>
        <w:tabs>
          <w:tab w:val="left" w:pos="5616"/>
        </w:tabs>
        <w:rPr>
          <w:color w:val="000000" w:themeColor="text1"/>
          <w:lang w:val="en-AU"/>
        </w:rPr>
      </w:pPr>
    </w:p>
    <w:p w14:paraId="491FA40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Corré, Alan. </w:t>
      </w:r>
      <w:r w:rsidRPr="00FB2D03">
        <w:rPr>
          <w:i/>
          <w:color w:val="000000" w:themeColor="text1"/>
          <w:lang w:val="en-AU"/>
        </w:rPr>
        <w:t xml:space="preserve">Understanding the Talmud. </w:t>
      </w:r>
      <w:r w:rsidRPr="00FB2D03">
        <w:rPr>
          <w:color w:val="000000" w:themeColor="text1"/>
          <w:lang w:val="en-AU"/>
        </w:rPr>
        <w:t>New York: KTAV, 1975.</w:t>
      </w:r>
    </w:p>
    <w:p w14:paraId="5DE484A5" w14:textId="77777777" w:rsidR="00412D77" w:rsidRPr="00FB2D03" w:rsidRDefault="00412D77" w:rsidP="00412D77">
      <w:pPr>
        <w:tabs>
          <w:tab w:val="left" w:pos="5616"/>
        </w:tabs>
        <w:rPr>
          <w:color w:val="000000" w:themeColor="text1"/>
          <w:lang w:val="en-AU"/>
        </w:rPr>
      </w:pPr>
    </w:p>
    <w:p w14:paraId="22C1A18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Costa, Jose. “The Jewish Followers of Jesus of the 1st Century to Muhammad. Research on </w:t>
      </w:r>
    </w:p>
    <w:p w14:paraId="795FA8D6"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Ebionite Movement.” </w:t>
      </w:r>
      <w:r w:rsidRPr="00FB2D03">
        <w:rPr>
          <w:i/>
          <w:color w:val="000000" w:themeColor="text1"/>
          <w:lang w:val="en-AU"/>
        </w:rPr>
        <w:t>Revue des Études Juives</w:t>
      </w:r>
      <w:r w:rsidRPr="00FB2D03">
        <w:rPr>
          <w:color w:val="000000" w:themeColor="text1"/>
          <w:lang w:val="en-AU"/>
        </w:rPr>
        <w:t xml:space="preserve"> 177 (2018): 437–40. </w:t>
      </w:r>
    </w:p>
    <w:p w14:paraId="65DD1B4B" w14:textId="77777777" w:rsidR="00412D77" w:rsidRPr="00FB2D03" w:rsidRDefault="00412D77" w:rsidP="00412D77">
      <w:pPr>
        <w:tabs>
          <w:tab w:val="left" w:pos="5616"/>
        </w:tabs>
        <w:rPr>
          <w:color w:val="000000" w:themeColor="text1"/>
          <w:lang w:val="en-AU"/>
        </w:rPr>
      </w:pPr>
    </w:p>
    <w:p w14:paraId="6E6CE855" w14:textId="64945352" w:rsidR="00412D77" w:rsidRPr="00FB2D03" w:rsidRDefault="00412D77" w:rsidP="00412D77">
      <w:pPr>
        <w:tabs>
          <w:tab w:val="left" w:pos="5616"/>
        </w:tabs>
        <w:rPr>
          <w:color w:val="000000" w:themeColor="text1"/>
          <w:lang w:val="en-AU"/>
        </w:rPr>
      </w:pPr>
      <w:r w:rsidRPr="00FB2D03">
        <w:rPr>
          <w:color w:val="000000" w:themeColor="text1"/>
          <w:lang w:val="en-AU"/>
        </w:rPr>
        <w:t xml:space="preserve">Cox, R. “Expanding the history of the just war: the ethics of war in ancient Egypt.” </w:t>
      </w:r>
    </w:p>
    <w:p w14:paraId="6319E7C8"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International Studies Quarterly</w:t>
      </w:r>
      <w:r w:rsidRPr="00FB2D03">
        <w:rPr>
          <w:color w:val="000000" w:themeColor="text1"/>
          <w:lang w:val="en-AU"/>
        </w:rPr>
        <w:t xml:space="preserve"> 61 (2017): 371-384.</w:t>
      </w:r>
    </w:p>
    <w:p w14:paraId="73DDDADD" w14:textId="77777777" w:rsidR="00412D77" w:rsidRPr="00FB2D03" w:rsidRDefault="00412D77" w:rsidP="00412D77">
      <w:pPr>
        <w:tabs>
          <w:tab w:val="left" w:pos="5616"/>
        </w:tabs>
        <w:rPr>
          <w:color w:val="000000" w:themeColor="text1"/>
          <w:lang w:val="en-AU"/>
        </w:rPr>
      </w:pPr>
    </w:p>
    <w:p w14:paraId="2122501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Craigie, Peter C. </w:t>
      </w:r>
      <w:r w:rsidRPr="00FB2D03">
        <w:rPr>
          <w:i/>
          <w:color w:val="000000" w:themeColor="text1"/>
          <w:lang w:val="en-AU"/>
        </w:rPr>
        <w:t>The Problem of War in the Old Testament</w:t>
      </w:r>
      <w:r w:rsidRPr="00FB2D03">
        <w:rPr>
          <w:color w:val="000000" w:themeColor="text1"/>
          <w:lang w:val="en-AU"/>
        </w:rPr>
        <w:t xml:space="preserve">. Grand Rapids: William B. </w:t>
      </w:r>
    </w:p>
    <w:p w14:paraId="3C683DE1"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Eerdmans, 1978.</w:t>
      </w:r>
    </w:p>
    <w:p w14:paraId="061AB64F" w14:textId="77777777" w:rsidR="00412D77" w:rsidRPr="00FB2D03" w:rsidRDefault="00412D77" w:rsidP="00412D77">
      <w:pPr>
        <w:tabs>
          <w:tab w:val="left" w:pos="5616"/>
        </w:tabs>
        <w:rPr>
          <w:color w:val="000000" w:themeColor="text1"/>
          <w:lang w:val="en-AU"/>
        </w:rPr>
      </w:pPr>
    </w:p>
    <w:p w14:paraId="49D0B8C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Crawford, Sidnie White. “Khirbet Qumran and Ain Feshkha Iva: Qumran Cave </w:t>
      </w:r>
      <w:proofErr w:type="gramStart"/>
      <w:r w:rsidRPr="00FB2D03">
        <w:rPr>
          <w:color w:val="000000" w:themeColor="text1"/>
          <w:lang w:val="en-AU"/>
        </w:rPr>
        <w:t>11Q;</w:t>
      </w:r>
      <w:proofErr w:type="gramEnd"/>
      <w:r w:rsidRPr="00FB2D03">
        <w:rPr>
          <w:color w:val="000000" w:themeColor="text1"/>
          <w:lang w:val="en-AU"/>
        </w:rPr>
        <w:t xml:space="preserve"> </w:t>
      </w:r>
    </w:p>
    <w:p w14:paraId="674EBB4F"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Archaeology and New Scroll Fragments.” </w:t>
      </w:r>
      <w:r w:rsidRPr="00FB2D03">
        <w:rPr>
          <w:i/>
          <w:color w:val="000000" w:themeColor="text1"/>
          <w:lang w:val="en-AU"/>
        </w:rPr>
        <w:t xml:space="preserve">Dead Sea Discoveries </w:t>
      </w:r>
      <w:r w:rsidRPr="00FB2D03">
        <w:rPr>
          <w:color w:val="000000" w:themeColor="text1"/>
          <w:lang w:val="en-AU"/>
        </w:rPr>
        <w:t>28 (2021): 122–24.</w:t>
      </w:r>
    </w:p>
    <w:p w14:paraId="5274A4EF" w14:textId="77777777" w:rsidR="00412D77" w:rsidRPr="00FB2D03" w:rsidRDefault="00412D77" w:rsidP="00412D77">
      <w:pPr>
        <w:tabs>
          <w:tab w:val="left" w:pos="5616"/>
        </w:tabs>
        <w:rPr>
          <w:color w:val="000000" w:themeColor="text1"/>
          <w:lang w:val="en-AU"/>
        </w:rPr>
      </w:pPr>
    </w:p>
    <w:p w14:paraId="5FE8397E"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Crook, John. A. </w:t>
      </w:r>
      <w:r w:rsidRPr="00FB2D03">
        <w:rPr>
          <w:i/>
          <w:color w:val="000000" w:themeColor="text1"/>
          <w:lang w:val="en-AU"/>
        </w:rPr>
        <w:t xml:space="preserve">Law and Life of Rome, 90 B.C. – A.D. 212, Aspects of Greek and Roman </w:t>
      </w:r>
    </w:p>
    <w:p w14:paraId="6AF27A5A"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Life. </w:t>
      </w:r>
      <w:r w:rsidRPr="00FB2D03">
        <w:rPr>
          <w:color w:val="000000" w:themeColor="text1"/>
          <w:lang w:val="en-AU"/>
        </w:rPr>
        <w:t xml:space="preserve">London: Thames &amp; Hudson, 1967. </w:t>
      </w:r>
    </w:p>
    <w:p w14:paraId="734CB7E4" w14:textId="77777777" w:rsidR="00412D77" w:rsidRPr="00FB2D03" w:rsidRDefault="00412D77" w:rsidP="00412D77">
      <w:pPr>
        <w:tabs>
          <w:tab w:val="left" w:pos="5616"/>
        </w:tabs>
        <w:rPr>
          <w:color w:val="000000" w:themeColor="text1"/>
          <w:lang w:val="en-AU"/>
        </w:rPr>
      </w:pPr>
    </w:p>
    <w:p w14:paraId="6137A6EE"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Cross, Jr., Frank M. “The Early History of the Qumran Community.” </w:t>
      </w:r>
      <w:r w:rsidRPr="00FB2D03">
        <w:rPr>
          <w:i/>
          <w:color w:val="000000" w:themeColor="text1"/>
          <w:lang w:val="en-AU"/>
        </w:rPr>
        <w:t xml:space="preserve">New Directions in </w:t>
      </w:r>
    </w:p>
    <w:p w14:paraId="2F0BD11A" w14:textId="2003B6DE"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Biblical </w:t>
      </w:r>
      <w:r w:rsidR="00A9215A" w:rsidRPr="00FB2D03">
        <w:rPr>
          <w:i/>
          <w:color w:val="000000" w:themeColor="text1"/>
          <w:lang w:val="en-AU"/>
        </w:rPr>
        <w:t>Archaeology</w:t>
      </w:r>
      <w:r w:rsidRPr="00FB2D03">
        <w:rPr>
          <w:color w:val="000000" w:themeColor="text1"/>
          <w:lang w:val="en-AU"/>
        </w:rPr>
        <w:t xml:space="preserve">. </w:t>
      </w:r>
      <w:r w:rsidR="00A937EA">
        <w:rPr>
          <w:color w:val="000000" w:themeColor="text1"/>
          <w:lang w:val="en-AU"/>
        </w:rPr>
        <w:t>E</w:t>
      </w:r>
      <w:r w:rsidRPr="00FB2D03">
        <w:rPr>
          <w:color w:val="000000" w:themeColor="text1"/>
          <w:lang w:val="en-AU"/>
        </w:rPr>
        <w:t>d. D. Freedman and J. Greenfield. Garden City, NJ: Doubleday, 1971.</w:t>
      </w:r>
    </w:p>
    <w:p w14:paraId="7361A7B6" w14:textId="77777777" w:rsidR="00412D77" w:rsidRPr="00FB2D03" w:rsidRDefault="00412D77" w:rsidP="00412D77">
      <w:pPr>
        <w:tabs>
          <w:tab w:val="left" w:pos="5616"/>
        </w:tabs>
        <w:rPr>
          <w:color w:val="000000" w:themeColor="text1"/>
          <w:lang w:val="en-AU"/>
        </w:rPr>
      </w:pPr>
    </w:p>
    <w:p w14:paraId="046BE616" w14:textId="77777777" w:rsidR="00412D77" w:rsidRPr="00FB2D03" w:rsidRDefault="00412D77" w:rsidP="00412D77">
      <w:pPr>
        <w:tabs>
          <w:tab w:val="left" w:pos="5616"/>
        </w:tabs>
        <w:rPr>
          <w:color w:val="000000" w:themeColor="text1"/>
          <w:lang w:val="en-AU"/>
        </w:rPr>
      </w:pPr>
      <w:r w:rsidRPr="00FB2D03">
        <w:rPr>
          <w:color w:val="000000" w:themeColor="text1"/>
          <w:lang w:val="en-AU"/>
        </w:rPr>
        <w:t>________.</w:t>
      </w:r>
      <w:r w:rsidRPr="00FB2D03">
        <w:rPr>
          <w:i/>
          <w:color w:val="000000" w:themeColor="text1"/>
          <w:lang w:val="en-AU"/>
        </w:rPr>
        <w:t xml:space="preserve"> Canaanite Myth and Hebrew Epic</w:t>
      </w:r>
      <w:r w:rsidRPr="00FB2D03">
        <w:rPr>
          <w:color w:val="000000" w:themeColor="text1"/>
          <w:lang w:val="en-AU"/>
        </w:rPr>
        <w:t>. Cambridge: Harvard University Press, 1973.</w:t>
      </w:r>
    </w:p>
    <w:p w14:paraId="3A667BEF" w14:textId="77777777" w:rsidR="00412D77" w:rsidRPr="00FB2D03" w:rsidRDefault="00412D77" w:rsidP="00412D77">
      <w:pPr>
        <w:tabs>
          <w:tab w:val="left" w:pos="5616"/>
        </w:tabs>
        <w:rPr>
          <w:color w:val="000000" w:themeColor="text1"/>
          <w:lang w:val="en-AU"/>
        </w:rPr>
      </w:pPr>
    </w:p>
    <w:p w14:paraId="7EF66DAD" w14:textId="35DC003B" w:rsidR="00412D77" w:rsidRPr="00FB2D03" w:rsidRDefault="00412D77" w:rsidP="00ED0F6A">
      <w:pPr>
        <w:keepNext/>
        <w:tabs>
          <w:tab w:val="left" w:pos="720"/>
        </w:tabs>
        <w:rPr>
          <w:color w:val="000000" w:themeColor="text1"/>
          <w:lang w:val="en-AU"/>
        </w:rPr>
      </w:pPr>
      <w:r w:rsidRPr="00FB2D03">
        <w:rPr>
          <w:color w:val="000000" w:themeColor="text1"/>
          <w:lang w:val="en-AU"/>
        </w:rPr>
        <w:t>Crossan, John Dominic. </w:t>
      </w:r>
      <w:r w:rsidRPr="00FB2D03">
        <w:rPr>
          <w:i/>
          <w:color w:val="000000" w:themeColor="text1"/>
          <w:lang w:val="en-AU"/>
        </w:rPr>
        <w:t>The Historical Jesus: The Life of a Mediterranean Jewish Peasant</w:t>
      </w:r>
      <w:r w:rsidRPr="00FB2D03">
        <w:rPr>
          <w:color w:val="000000" w:themeColor="text1"/>
          <w:lang w:val="en-AU"/>
        </w:rPr>
        <w:t xml:space="preserve">. </w:t>
      </w:r>
      <w:r w:rsidR="00ED0F6A">
        <w:rPr>
          <w:color w:val="000000" w:themeColor="text1"/>
          <w:lang w:val="en-AU"/>
        </w:rPr>
        <w:tab/>
      </w:r>
      <w:r w:rsidRPr="00FB2D03">
        <w:rPr>
          <w:color w:val="000000" w:themeColor="text1"/>
          <w:lang w:val="en-AU"/>
        </w:rPr>
        <w:t>San Francisco: HarperCollins, 1991.</w:t>
      </w:r>
    </w:p>
    <w:p w14:paraId="4EDA6F7F" w14:textId="77777777" w:rsidR="00412D77" w:rsidRPr="00FB2D03" w:rsidRDefault="00412D77" w:rsidP="00412D77">
      <w:pPr>
        <w:tabs>
          <w:tab w:val="left" w:pos="5616"/>
        </w:tabs>
        <w:rPr>
          <w:color w:val="000000" w:themeColor="text1"/>
          <w:lang w:val="en-AU"/>
        </w:rPr>
      </w:pPr>
    </w:p>
    <w:p w14:paraId="2CF4397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Crossley, James G. “The Semitic Background to Repentance in the Teaching of John the </w:t>
      </w:r>
    </w:p>
    <w:p w14:paraId="304DA4BC"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Baptist and Jesus.” </w:t>
      </w:r>
      <w:r w:rsidRPr="00FB2D03">
        <w:rPr>
          <w:i/>
          <w:color w:val="000000" w:themeColor="text1"/>
          <w:lang w:val="en-AU"/>
        </w:rPr>
        <w:t>Journey for the Study of the Historical Jesus</w:t>
      </w:r>
      <w:r w:rsidRPr="00FB2D03">
        <w:rPr>
          <w:color w:val="000000" w:themeColor="text1"/>
          <w:lang w:val="en-AU"/>
        </w:rPr>
        <w:t xml:space="preserve"> 2 (2004): 138–57.</w:t>
      </w:r>
    </w:p>
    <w:p w14:paraId="2DB5889B" w14:textId="77777777" w:rsidR="00412D77" w:rsidRPr="00FB2D03" w:rsidRDefault="00412D77" w:rsidP="00412D77">
      <w:pPr>
        <w:tabs>
          <w:tab w:val="left" w:pos="5616"/>
        </w:tabs>
        <w:rPr>
          <w:color w:val="000000" w:themeColor="text1"/>
          <w:lang w:val="en-AU"/>
        </w:rPr>
      </w:pPr>
    </w:p>
    <w:p w14:paraId="0B2ADD86" w14:textId="77777777" w:rsidR="00BF41AE" w:rsidRPr="00FB2D03" w:rsidRDefault="00412D77" w:rsidP="00412D77">
      <w:pPr>
        <w:tabs>
          <w:tab w:val="left" w:pos="5616"/>
        </w:tabs>
        <w:rPr>
          <w:color w:val="000000" w:themeColor="text1"/>
          <w:lang w:val="en-AU"/>
        </w:rPr>
      </w:pPr>
      <w:r w:rsidRPr="00FB2D03">
        <w:rPr>
          <w:color w:val="000000" w:themeColor="text1"/>
          <w:lang w:val="en-AU"/>
        </w:rPr>
        <w:lastRenderedPageBreak/>
        <w:t xml:space="preserve">________. “Lex Talionis in Early Judaism and the Exhortation of Jesus in Matthew 5.38-42.” </w:t>
      </w:r>
    </w:p>
    <w:p w14:paraId="284660A7" w14:textId="27949BD4" w:rsidR="00412D77" w:rsidRPr="00FB2D03" w:rsidRDefault="00412D77" w:rsidP="00AD1181">
      <w:pPr>
        <w:tabs>
          <w:tab w:val="left" w:pos="5616"/>
        </w:tabs>
        <w:ind w:left="720"/>
        <w:rPr>
          <w:color w:val="000000" w:themeColor="text1"/>
          <w:lang w:val="en-AU"/>
        </w:rPr>
      </w:pPr>
      <w:r w:rsidRPr="00A937EA">
        <w:rPr>
          <w:i/>
          <w:iCs/>
          <w:color w:val="000000" w:themeColor="text1"/>
          <w:lang w:val="en-AU"/>
        </w:rPr>
        <w:t>Journal for the Study of the New Testament</w:t>
      </w:r>
      <w:r w:rsidRPr="00FB2D03">
        <w:rPr>
          <w:color w:val="000000" w:themeColor="text1"/>
          <w:lang w:val="en-AU"/>
        </w:rPr>
        <w:t xml:space="preserve"> 28 (July 2006): 50. </w:t>
      </w:r>
    </w:p>
    <w:p w14:paraId="2EF69EF1" w14:textId="77777777" w:rsidR="00412D77" w:rsidRPr="00FB2D03" w:rsidRDefault="00412D77" w:rsidP="00412D77">
      <w:pPr>
        <w:tabs>
          <w:tab w:val="left" w:pos="5616"/>
        </w:tabs>
        <w:rPr>
          <w:color w:val="000000" w:themeColor="text1"/>
          <w:lang w:val="en-AU"/>
        </w:rPr>
      </w:pPr>
    </w:p>
    <w:p w14:paraId="463C46D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Cruise, Charles E. “A Methodology for Detecting and Mitigating Hyperbole in Matthew </w:t>
      </w:r>
    </w:p>
    <w:p w14:paraId="11765DEE"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5:38-42.” </w:t>
      </w:r>
      <w:r w:rsidRPr="00FB2D03">
        <w:rPr>
          <w:i/>
          <w:color w:val="000000" w:themeColor="text1"/>
          <w:lang w:val="en-AU"/>
        </w:rPr>
        <w:t>Journal of the Evangelical Theological Society</w:t>
      </w:r>
      <w:r w:rsidRPr="00FB2D03">
        <w:rPr>
          <w:color w:val="000000" w:themeColor="text1"/>
          <w:lang w:val="en-AU"/>
        </w:rPr>
        <w:t> 61(2018): 83–103. </w:t>
      </w:r>
    </w:p>
    <w:p w14:paraId="04FE334E" w14:textId="77777777" w:rsidR="00412D77" w:rsidRPr="00FB2D03" w:rsidRDefault="00412D77" w:rsidP="00412D77">
      <w:pPr>
        <w:tabs>
          <w:tab w:val="left" w:pos="5616"/>
        </w:tabs>
        <w:rPr>
          <w:color w:val="000000" w:themeColor="text1"/>
          <w:lang w:val="en-AU"/>
        </w:rPr>
      </w:pPr>
    </w:p>
    <w:p w14:paraId="2702E186" w14:textId="631AF2C0" w:rsidR="00412D77" w:rsidRDefault="00412D77" w:rsidP="00412D77">
      <w:pPr>
        <w:tabs>
          <w:tab w:val="left" w:pos="5616"/>
        </w:tabs>
        <w:rPr>
          <w:color w:val="000000" w:themeColor="text1"/>
          <w:lang w:val="en-AU"/>
        </w:rPr>
      </w:pPr>
      <w:r w:rsidRPr="00FB2D03">
        <w:rPr>
          <w:color w:val="000000" w:themeColor="text1"/>
          <w:lang w:val="en-AU"/>
        </w:rPr>
        <w:t>Cuff, P. J. “Caesar the Soldier.”</w:t>
      </w:r>
      <w:r w:rsidRPr="00FB2D03">
        <w:rPr>
          <w:i/>
          <w:color w:val="000000" w:themeColor="text1"/>
          <w:lang w:val="en-AU"/>
        </w:rPr>
        <w:t xml:space="preserve"> Greece and Rome</w:t>
      </w:r>
      <w:r w:rsidRPr="00FB2D03">
        <w:rPr>
          <w:color w:val="000000" w:themeColor="text1"/>
          <w:lang w:val="en-AU"/>
        </w:rPr>
        <w:t xml:space="preserve"> 4 (1957): 29–35.</w:t>
      </w:r>
    </w:p>
    <w:p w14:paraId="1BDF955B" w14:textId="6B718339" w:rsidR="00FD3635" w:rsidRDefault="00FD3635" w:rsidP="00412D77">
      <w:pPr>
        <w:tabs>
          <w:tab w:val="left" w:pos="5616"/>
        </w:tabs>
        <w:rPr>
          <w:color w:val="000000" w:themeColor="text1"/>
          <w:lang w:val="en-AU"/>
        </w:rPr>
      </w:pPr>
    </w:p>
    <w:p w14:paraId="447E0A8A" w14:textId="16F7FE8C" w:rsidR="00FD3635" w:rsidRPr="00FD3635" w:rsidRDefault="00FD3635" w:rsidP="00FD3635">
      <w:pPr>
        <w:tabs>
          <w:tab w:val="left" w:pos="5616"/>
        </w:tabs>
        <w:rPr>
          <w:color w:val="000000" w:themeColor="text1"/>
        </w:rPr>
      </w:pPr>
      <w:r w:rsidRPr="00FD3635">
        <w:rPr>
          <w:color w:val="000000" w:themeColor="text1"/>
          <w:lang w:val="en-NZ"/>
        </w:rPr>
        <w:t>Culpepper, R. Alan</w:t>
      </w:r>
      <w:r>
        <w:rPr>
          <w:color w:val="000000" w:themeColor="text1"/>
          <w:lang w:val="en-NZ"/>
        </w:rPr>
        <w:t xml:space="preserve">. </w:t>
      </w:r>
      <w:r w:rsidRPr="00FD3635">
        <w:rPr>
          <w:i/>
          <w:iCs/>
          <w:color w:val="000000" w:themeColor="text1"/>
          <w:lang w:val="en-NZ"/>
        </w:rPr>
        <w:t>Matthew</w:t>
      </w:r>
      <w:r>
        <w:rPr>
          <w:i/>
          <w:iCs/>
          <w:color w:val="000000" w:themeColor="text1"/>
          <w:lang w:val="en-NZ"/>
        </w:rPr>
        <w:t>.</w:t>
      </w:r>
      <w:r w:rsidRPr="00FD3635">
        <w:rPr>
          <w:i/>
          <w:iCs/>
          <w:color w:val="000000" w:themeColor="text1"/>
          <w:lang w:val="en-NZ"/>
        </w:rPr>
        <w:t xml:space="preserve"> </w:t>
      </w:r>
      <w:r w:rsidRPr="00FD3635">
        <w:rPr>
          <w:color w:val="000000" w:themeColor="text1"/>
          <w:lang w:val="en-NZ"/>
        </w:rPr>
        <w:t xml:space="preserve">Louisville: Westminster John Knox Press, </w:t>
      </w:r>
      <w:r>
        <w:rPr>
          <w:color w:val="000000" w:themeColor="text1"/>
          <w:lang w:val="en-NZ"/>
        </w:rPr>
        <w:t>2021</w:t>
      </w:r>
      <w:r w:rsidRPr="00FD3635">
        <w:rPr>
          <w:color w:val="000000" w:themeColor="text1"/>
          <w:lang w:val="en-NZ"/>
        </w:rPr>
        <w:t xml:space="preserve">. </w:t>
      </w:r>
    </w:p>
    <w:p w14:paraId="34928F46" w14:textId="77777777" w:rsidR="00412D77" w:rsidRPr="00FB2D03" w:rsidRDefault="00412D77" w:rsidP="00412D77">
      <w:pPr>
        <w:tabs>
          <w:tab w:val="left" w:pos="5616"/>
        </w:tabs>
        <w:rPr>
          <w:color w:val="000000" w:themeColor="text1"/>
          <w:lang w:val="en-AU"/>
        </w:rPr>
      </w:pPr>
    </w:p>
    <w:p w14:paraId="758F2FBE" w14:textId="77777777" w:rsidR="00412D77" w:rsidRPr="00FB2D03" w:rsidRDefault="00412D77" w:rsidP="00412D77">
      <w:pPr>
        <w:tabs>
          <w:tab w:val="left" w:pos="5616"/>
        </w:tabs>
        <w:rPr>
          <w:i/>
          <w:color w:val="000000" w:themeColor="text1"/>
          <w:lang w:val="en-AU"/>
        </w:rPr>
      </w:pPr>
      <w:r w:rsidRPr="00FB2D03">
        <w:rPr>
          <w:color w:val="000000" w:themeColor="text1"/>
          <w:lang w:val="en-AU"/>
        </w:rPr>
        <w:t>Cushman, Beverly W. “The Politics of the Royal Harem and the Case of Bat-Sheba.” </w:t>
      </w:r>
      <w:r w:rsidRPr="00FB2D03">
        <w:rPr>
          <w:i/>
          <w:color w:val="000000" w:themeColor="text1"/>
          <w:lang w:val="en-AU"/>
        </w:rPr>
        <w:t xml:space="preserve">Journal </w:t>
      </w:r>
    </w:p>
    <w:p w14:paraId="11277886"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for the Study of the Old Testament</w:t>
      </w:r>
      <w:r w:rsidRPr="00FB2D03">
        <w:rPr>
          <w:color w:val="000000" w:themeColor="text1"/>
          <w:lang w:val="en-AU"/>
        </w:rPr>
        <w:t> 30 (2006): 327–43.</w:t>
      </w:r>
    </w:p>
    <w:p w14:paraId="324760C2" w14:textId="77777777" w:rsidR="00412D77" w:rsidRPr="00FB2D03" w:rsidRDefault="00412D77" w:rsidP="00412D77">
      <w:pPr>
        <w:tabs>
          <w:tab w:val="left" w:pos="5616"/>
        </w:tabs>
        <w:rPr>
          <w:color w:val="000000" w:themeColor="text1"/>
          <w:lang w:val="en-AU"/>
        </w:rPr>
      </w:pPr>
    </w:p>
    <w:p w14:paraId="7757AF2A"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Cuvillier, Élian. “Torah Observance and Radicalization in the First Gospel. Matthew and </w:t>
      </w:r>
    </w:p>
    <w:p w14:paraId="79E7E367"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First-Century Judaism: A Contribution to the Debate.” </w:t>
      </w:r>
      <w:r w:rsidRPr="00FB2D03">
        <w:rPr>
          <w:i/>
          <w:color w:val="000000" w:themeColor="text1"/>
          <w:lang w:val="en-AU"/>
        </w:rPr>
        <w:t>New Testament Studies</w:t>
      </w:r>
      <w:r w:rsidRPr="00FB2D03">
        <w:rPr>
          <w:color w:val="000000" w:themeColor="text1"/>
          <w:lang w:val="en-AU"/>
        </w:rPr>
        <w:t> 55 (2009): 144–59.</w:t>
      </w:r>
    </w:p>
    <w:p w14:paraId="500BDE14" w14:textId="77777777" w:rsidR="00412D77" w:rsidRPr="00FB2D03" w:rsidRDefault="00412D77" w:rsidP="00412D77">
      <w:pPr>
        <w:tabs>
          <w:tab w:val="left" w:pos="5616"/>
        </w:tabs>
        <w:rPr>
          <w:color w:val="000000" w:themeColor="text1"/>
          <w:lang w:val="en-AU"/>
        </w:rPr>
      </w:pPr>
    </w:p>
    <w:p w14:paraId="72538240" w14:textId="77777777" w:rsidR="00412D77" w:rsidRPr="00FB2D03" w:rsidRDefault="00412D77" w:rsidP="00412D77">
      <w:pPr>
        <w:tabs>
          <w:tab w:val="left" w:pos="5616"/>
        </w:tabs>
        <w:rPr>
          <w:i/>
          <w:color w:val="000000" w:themeColor="text1"/>
          <w:lang w:val="en-AU"/>
        </w:rPr>
      </w:pPr>
      <w:r w:rsidRPr="00FB2D03">
        <w:rPr>
          <w:color w:val="000000" w:themeColor="text1"/>
          <w:lang w:val="en-AU"/>
        </w:rPr>
        <w:t>Danaher, James P. “Out of Context: The Gospel According to Jesus.” </w:t>
      </w:r>
      <w:r w:rsidRPr="00FB2D03">
        <w:rPr>
          <w:i/>
          <w:color w:val="000000" w:themeColor="text1"/>
          <w:lang w:val="en-AU"/>
        </w:rPr>
        <w:t xml:space="preserve">Evangelical Review of </w:t>
      </w:r>
    </w:p>
    <w:p w14:paraId="08B8BB0D"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Theology </w:t>
      </w:r>
      <w:r w:rsidRPr="00FB2D03">
        <w:rPr>
          <w:color w:val="000000" w:themeColor="text1"/>
          <w:lang w:val="en-AU"/>
        </w:rPr>
        <w:t>35 (2011): 265–75.</w:t>
      </w:r>
    </w:p>
    <w:p w14:paraId="31ECA77B" w14:textId="77777777" w:rsidR="00412D77" w:rsidRPr="00FB2D03" w:rsidRDefault="00412D77" w:rsidP="00412D77">
      <w:pPr>
        <w:tabs>
          <w:tab w:val="left" w:pos="5616"/>
        </w:tabs>
        <w:rPr>
          <w:color w:val="000000" w:themeColor="text1"/>
          <w:lang w:val="en-AU"/>
        </w:rPr>
      </w:pPr>
    </w:p>
    <w:p w14:paraId="5EE1F7A4" w14:textId="77777777" w:rsidR="00412D77" w:rsidRPr="00FB2D03" w:rsidRDefault="00412D77" w:rsidP="00412D77">
      <w:pPr>
        <w:tabs>
          <w:tab w:val="left" w:pos="5616"/>
        </w:tabs>
        <w:rPr>
          <w:color w:val="000000" w:themeColor="text1"/>
          <w:lang w:val="en-AU"/>
        </w:rPr>
      </w:pPr>
      <w:r w:rsidRPr="00FB2D03">
        <w:rPr>
          <w:color w:val="000000" w:themeColor="text1"/>
          <w:lang w:val="en-AU"/>
        </w:rPr>
        <w:t>Danker, F. “Luke 16:16: An Opposition Logion.” </w:t>
      </w:r>
      <w:r w:rsidRPr="00FB2D03">
        <w:rPr>
          <w:i/>
          <w:color w:val="000000" w:themeColor="text1"/>
          <w:lang w:val="en-AU"/>
        </w:rPr>
        <w:t>Journal of Biblical Literature</w:t>
      </w:r>
      <w:r w:rsidRPr="00FB2D03">
        <w:rPr>
          <w:color w:val="000000" w:themeColor="text1"/>
          <w:lang w:val="en-AU"/>
        </w:rPr>
        <w:t> </w:t>
      </w:r>
      <w:r w:rsidRPr="00FB2D03">
        <w:rPr>
          <w:iCs/>
          <w:color w:val="000000" w:themeColor="text1"/>
          <w:lang w:val="en-AU"/>
        </w:rPr>
        <w:t>77</w:t>
      </w:r>
      <w:r w:rsidRPr="00FB2D03">
        <w:rPr>
          <w:color w:val="000000" w:themeColor="text1"/>
          <w:lang w:val="en-AU"/>
        </w:rPr>
        <w:t xml:space="preserve"> (1958): </w:t>
      </w:r>
    </w:p>
    <w:p w14:paraId="1DE6463E"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231. </w:t>
      </w:r>
    </w:p>
    <w:p w14:paraId="26216F13" w14:textId="77777777" w:rsidR="00412D77" w:rsidRPr="00FB2D03" w:rsidRDefault="00412D77" w:rsidP="00412D77">
      <w:pPr>
        <w:tabs>
          <w:tab w:val="left" w:pos="5616"/>
        </w:tabs>
        <w:rPr>
          <w:color w:val="000000" w:themeColor="text1"/>
          <w:lang w:val="en-AU"/>
        </w:rPr>
      </w:pPr>
    </w:p>
    <w:p w14:paraId="6BAEE85E" w14:textId="77777777" w:rsidR="00412D77" w:rsidRPr="00FB2D03" w:rsidRDefault="00412D77" w:rsidP="00412D77">
      <w:pPr>
        <w:tabs>
          <w:tab w:val="left" w:pos="5616"/>
        </w:tabs>
        <w:rPr>
          <w:i/>
          <w:color w:val="000000" w:themeColor="text1"/>
          <w:lang w:val="en-AU"/>
        </w:rPr>
      </w:pPr>
      <w:r w:rsidRPr="00FB2D03">
        <w:rPr>
          <w:color w:val="000000" w:themeColor="text1"/>
          <w:lang w:val="en-AU"/>
        </w:rPr>
        <w:t>Danker, Frederick W., and Walter Bauer. </w:t>
      </w:r>
      <w:r w:rsidRPr="00FB2D03">
        <w:rPr>
          <w:i/>
          <w:color w:val="000000" w:themeColor="text1"/>
          <w:lang w:val="en-AU"/>
        </w:rPr>
        <w:t xml:space="preserve">A Greek–English Lexicon of The New Testament </w:t>
      </w:r>
    </w:p>
    <w:p w14:paraId="30154E64"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and Other Early Christian Literature</w:t>
      </w:r>
      <w:r w:rsidRPr="00FB2D03">
        <w:rPr>
          <w:color w:val="000000" w:themeColor="text1"/>
          <w:lang w:val="en-AU"/>
        </w:rPr>
        <w:t>. Chicago: The University of Chicago Press, 2014.</w:t>
      </w:r>
    </w:p>
    <w:p w14:paraId="3C6D3010" w14:textId="77777777" w:rsidR="00412D77" w:rsidRPr="00FB2D03" w:rsidRDefault="00412D77" w:rsidP="00412D77">
      <w:pPr>
        <w:tabs>
          <w:tab w:val="left" w:pos="5616"/>
        </w:tabs>
        <w:rPr>
          <w:color w:val="000000" w:themeColor="text1"/>
          <w:lang w:val="en-AU"/>
        </w:rPr>
      </w:pPr>
    </w:p>
    <w:p w14:paraId="43D9B891"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Daube, David. </w:t>
      </w:r>
      <w:r w:rsidRPr="00FB2D03">
        <w:rPr>
          <w:i/>
          <w:color w:val="000000" w:themeColor="text1"/>
          <w:lang w:val="en-AU"/>
        </w:rPr>
        <w:t>Studies in Biblical Law</w:t>
      </w:r>
      <w:r w:rsidRPr="00FB2D03">
        <w:rPr>
          <w:color w:val="000000" w:themeColor="text1"/>
          <w:lang w:val="en-AU"/>
        </w:rPr>
        <w:t>. New York: Ktav, 1969.</w:t>
      </w:r>
    </w:p>
    <w:p w14:paraId="128A7BF4" w14:textId="77777777" w:rsidR="00412D77" w:rsidRPr="00FB2D03" w:rsidRDefault="00412D77" w:rsidP="00412D77">
      <w:pPr>
        <w:tabs>
          <w:tab w:val="left" w:pos="5616"/>
        </w:tabs>
        <w:rPr>
          <w:color w:val="000000" w:themeColor="text1"/>
          <w:lang w:val="en-AU"/>
        </w:rPr>
      </w:pPr>
    </w:p>
    <w:p w14:paraId="65C1FAFB"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Davies, W. D. </w:t>
      </w:r>
      <w:r w:rsidRPr="00FB2D03">
        <w:rPr>
          <w:i/>
          <w:color w:val="000000" w:themeColor="text1"/>
          <w:lang w:val="en-AU"/>
        </w:rPr>
        <w:t>The Setting of the Sermon on the Mount</w:t>
      </w:r>
      <w:r w:rsidRPr="00FB2D03">
        <w:rPr>
          <w:color w:val="000000" w:themeColor="text1"/>
          <w:lang w:val="en-AU"/>
        </w:rPr>
        <w:t xml:space="preserve">. Cambridge: Cambridge University </w:t>
      </w:r>
    </w:p>
    <w:p w14:paraId="5DC669FD"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Press, 1963. </w:t>
      </w:r>
    </w:p>
    <w:p w14:paraId="1FDD03F3" w14:textId="77777777" w:rsidR="00412D77" w:rsidRPr="00FB2D03" w:rsidRDefault="00412D77" w:rsidP="00412D77">
      <w:pPr>
        <w:tabs>
          <w:tab w:val="left" w:pos="5616"/>
        </w:tabs>
        <w:rPr>
          <w:color w:val="000000" w:themeColor="text1"/>
          <w:lang w:val="en-AU"/>
        </w:rPr>
      </w:pPr>
    </w:p>
    <w:p w14:paraId="7CED507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Davies, W. </w:t>
      </w:r>
      <w:proofErr w:type="gramStart"/>
      <w:r w:rsidRPr="00FB2D03">
        <w:rPr>
          <w:color w:val="000000" w:themeColor="text1"/>
          <w:lang w:val="en-AU"/>
        </w:rPr>
        <w:t>D.</w:t>
      </w:r>
      <w:proofErr w:type="gramEnd"/>
      <w:r w:rsidRPr="00FB2D03">
        <w:rPr>
          <w:color w:val="000000" w:themeColor="text1"/>
          <w:lang w:val="en-AU"/>
        </w:rPr>
        <w:t xml:space="preserve"> and Dale C. Allison. “Matthew 1–7.” </w:t>
      </w:r>
      <w:r w:rsidRPr="00FB2D03">
        <w:rPr>
          <w:i/>
          <w:color w:val="000000" w:themeColor="text1"/>
          <w:lang w:val="en-AU"/>
        </w:rPr>
        <w:t>International Critical Commentary</w:t>
      </w:r>
      <w:r w:rsidRPr="00FB2D03">
        <w:rPr>
          <w:color w:val="000000" w:themeColor="text1"/>
          <w:lang w:val="en-AU"/>
        </w:rPr>
        <w:t xml:space="preserve">. </w:t>
      </w:r>
    </w:p>
    <w:p w14:paraId="373531EF"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Edinburgh: T &amp; T Clark, 1988.</w:t>
      </w:r>
    </w:p>
    <w:p w14:paraId="0EC980F5" w14:textId="77777777" w:rsidR="00412D77" w:rsidRPr="00FB2D03" w:rsidRDefault="00412D77" w:rsidP="00412D77">
      <w:pPr>
        <w:tabs>
          <w:tab w:val="left" w:pos="5616"/>
        </w:tabs>
        <w:rPr>
          <w:color w:val="000000" w:themeColor="text1"/>
          <w:lang w:val="en-AU"/>
        </w:rPr>
      </w:pPr>
    </w:p>
    <w:p w14:paraId="6364F664"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________. </w:t>
      </w:r>
      <w:r w:rsidRPr="00FB2D03">
        <w:rPr>
          <w:i/>
          <w:color w:val="000000" w:themeColor="text1"/>
          <w:lang w:val="en-AU"/>
        </w:rPr>
        <w:t xml:space="preserve">A Critical and Exegetical Commentary on the Gospel According to Saint </w:t>
      </w:r>
    </w:p>
    <w:p w14:paraId="334D4DCB"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Matthew</w:t>
      </w:r>
      <w:r w:rsidRPr="00FB2D03">
        <w:rPr>
          <w:color w:val="000000" w:themeColor="text1"/>
          <w:lang w:val="en-AU"/>
        </w:rPr>
        <w:t>. London: T &amp; T Clark International, 2004.</w:t>
      </w:r>
    </w:p>
    <w:p w14:paraId="37AE3B10" w14:textId="77777777" w:rsidR="00412D77" w:rsidRPr="00FB2D03" w:rsidRDefault="00412D77" w:rsidP="00412D77">
      <w:pPr>
        <w:tabs>
          <w:tab w:val="left" w:pos="5616"/>
        </w:tabs>
        <w:rPr>
          <w:color w:val="000000" w:themeColor="text1"/>
          <w:lang w:val="en-AU"/>
        </w:rPr>
      </w:pPr>
    </w:p>
    <w:p w14:paraId="321CB83E"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Davis, James F. </w:t>
      </w:r>
      <w:r w:rsidRPr="00FB2D03">
        <w:rPr>
          <w:i/>
          <w:color w:val="000000" w:themeColor="text1"/>
          <w:lang w:val="en-AU"/>
        </w:rPr>
        <w:t xml:space="preserve">Lex Talionis in Early </w:t>
      </w:r>
      <w:proofErr w:type="gramStart"/>
      <w:r w:rsidRPr="00FB2D03">
        <w:rPr>
          <w:i/>
          <w:color w:val="000000" w:themeColor="text1"/>
          <w:lang w:val="en-AU"/>
        </w:rPr>
        <w:t>Judaism</w:t>
      </w:r>
      <w:proofErr w:type="gramEnd"/>
      <w:r w:rsidRPr="00FB2D03">
        <w:rPr>
          <w:i/>
          <w:color w:val="000000" w:themeColor="text1"/>
          <w:lang w:val="en-AU"/>
        </w:rPr>
        <w:t xml:space="preserve"> and the Exhortation of Jesus in Matthew </w:t>
      </w:r>
    </w:p>
    <w:p w14:paraId="12D4FDCA"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5:38–42</w:t>
      </w:r>
      <w:r w:rsidRPr="00FB2D03">
        <w:rPr>
          <w:color w:val="000000" w:themeColor="text1"/>
          <w:lang w:val="en-AU"/>
        </w:rPr>
        <w:t>. New York:  T &amp; T Clark, 2005.</w:t>
      </w:r>
    </w:p>
    <w:p w14:paraId="1018EB01" w14:textId="77777777" w:rsidR="00412D77" w:rsidRPr="00FB2D03" w:rsidRDefault="00412D77" w:rsidP="00412D77">
      <w:pPr>
        <w:tabs>
          <w:tab w:val="left" w:pos="5616"/>
        </w:tabs>
        <w:rPr>
          <w:color w:val="000000" w:themeColor="text1"/>
          <w:lang w:val="en-AU"/>
        </w:rPr>
      </w:pPr>
    </w:p>
    <w:p w14:paraId="26FC36D1"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Davies, Philip R. “Sadducees in the Dead Sea Scrolls.” In </w:t>
      </w:r>
      <w:r w:rsidRPr="00FB2D03">
        <w:rPr>
          <w:i/>
          <w:color w:val="000000" w:themeColor="text1"/>
          <w:lang w:val="en-AU"/>
        </w:rPr>
        <w:t xml:space="preserve">Sects and Scrolls: Essays on </w:t>
      </w:r>
    </w:p>
    <w:p w14:paraId="34CFC545"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Qumran and Related Topics</w:t>
      </w:r>
      <w:r w:rsidRPr="00FB2D03">
        <w:rPr>
          <w:color w:val="000000" w:themeColor="text1"/>
          <w:lang w:val="en-AU"/>
        </w:rPr>
        <w:t>. Atlanta: Scholars, 1996.</w:t>
      </w:r>
    </w:p>
    <w:p w14:paraId="21CFBDA3" w14:textId="77777777" w:rsidR="00412D77" w:rsidRPr="00FB2D03" w:rsidRDefault="00412D77" w:rsidP="00412D77">
      <w:pPr>
        <w:tabs>
          <w:tab w:val="left" w:pos="5616"/>
        </w:tabs>
        <w:rPr>
          <w:color w:val="000000" w:themeColor="text1"/>
          <w:lang w:val="en-AU"/>
        </w:rPr>
      </w:pPr>
    </w:p>
    <w:p w14:paraId="39AADA53"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Dell, Katharine J. “How Much Wisdom Literature Has Its Roots in the Pre-Exilic Period?” </w:t>
      </w:r>
    </w:p>
    <w:p w14:paraId="6A868043"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In </w:t>
      </w:r>
      <w:r w:rsidRPr="00FB2D03">
        <w:rPr>
          <w:i/>
          <w:color w:val="000000" w:themeColor="text1"/>
          <w:lang w:val="en-AU"/>
        </w:rPr>
        <w:t>In Search of Pre-Exilic Israel: Proceedings of the Oxford Old Testament Seminar</w:t>
      </w:r>
      <w:r w:rsidRPr="00FB2D03">
        <w:rPr>
          <w:color w:val="000000" w:themeColor="text1"/>
          <w:lang w:val="en-AU"/>
        </w:rPr>
        <w:t>, 251–71. London: T &amp; T Clark, Intl, 2004.</w:t>
      </w:r>
    </w:p>
    <w:p w14:paraId="44F36993" w14:textId="77777777" w:rsidR="00412D77" w:rsidRPr="00FB2D03" w:rsidRDefault="00412D77" w:rsidP="00412D77">
      <w:pPr>
        <w:tabs>
          <w:tab w:val="left" w:pos="5616"/>
        </w:tabs>
        <w:rPr>
          <w:color w:val="000000" w:themeColor="text1"/>
          <w:lang w:val="en-AU"/>
        </w:rPr>
      </w:pPr>
    </w:p>
    <w:p w14:paraId="49260112" w14:textId="1543F997" w:rsidR="00412D77" w:rsidRPr="00FB2D03" w:rsidRDefault="00412D77" w:rsidP="00412D77">
      <w:pPr>
        <w:tabs>
          <w:tab w:val="left" w:pos="5616"/>
        </w:tabs>
        <w:rPr>
          <w:color w:val="000000" w:themeColor="text1"/>
          <w:lang w:val="en-AU"/>
        </w:rPr>
      </w:pPr>
      <w:r w:rsidRPr="00FB2D03">
        <w:rPr>
          <w:color w:val="000000" w:themeColor="text1"/>
          <w:lang w:val="en-AU"/>
        </w:rPr>
        <w:t xml:space="preserve">de Silva, David A. </w:t>
      </w:r>
      <w:r w:rsidRPr="00FB2D03">
        <w:rPr>
          <w:i/>
          <w:color w:val="000000" w:themeColor="text1"/>
          <w:lang w:val="en-AU"/>
        </w:rPr>
        <w:t>The Jewish Teachers of Jesus, James, and Jude</w:t>
      </w:r>
      <w:r w:rsidRPr="00FB2D03">
        <w:rPr>
          <w:color w:val="000000" w:themeColor="text1"/>
          <w:lang w:val="en-AU"/>
        </w:rPr>
        <w:t xml:space="preserve">. Oxford: Oxford </w:t>
      </w:r>
    </w:p>
    <w:p w14:paraId="5203F31E" w14:textId="6BCAD11F"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University Press, 2012. </w:t>
      </w:r>
    </w:p>
    <w:p w14:paraId="7C92AF18" w14:textId="77777777" w:rsidR="00412D77" w:rsidRPr="00FB2D03" w:rsidRDefault="00412D77" w:rsidP="00412D77">
      <w:pPr>
        <w:tabs>
          <w:tab w:val="left" w:pos="5616"/>
        </w:tabs>
        <w:rPr>
          <w:color w:val="000000" w:themeColor="text1"/>
          <w:lang w:val="en-AU"/>
        </w:rPr>
      </w:pPr>
    </w:p>
    <w:p w14:paraId="22542CD3"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Desroches, L. </w:t>
      </w:r>
      <w:r w:rsidRPr="00FB2D03">
        <w:rPr>
          <w:i/>
          <w:color w:val="000000" w:themeColor="text1"/>
          <w:lang w:val="en-AU"/>
        </w:rPr>
        <w:t xml:space="preserve">Allow the Waters: Anger, Fear, Power, Work, Sexuality, Community—and the </w:t>
      </w:r>
    </w:p>
    <w:p w14:paraId="12484CEF"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Spirituality and Practice of Nonviolence</w:t>
      </w:r>
      <w:r w:rsidRPr="00FB2D03">
        <w:rPr>
          <w:color w:val="000000" w:themeColor="text1"/>
          <w:lang w:val="en-AU"/>
        </w:rPr>
        <w:t xml:space="preserve">. Ottawa: Dunamis, 1996. </w:t>
      </w:r>
    </w:p>
    <w:p w14:paraId="7ABC1BBA" w14:textId="77777777" w:rsidR="00412D77" w:rsidRPr="00FB2D03" w:rsidRDefault="00412D77" w:rsidP="00412D77">
      <w:pPr>
        <w:tabs>
          <w:tab w:val="left" w:pos="5616"/>
        </w:tabs>
        <w:rPr>
          <w:color w:val="000000" w:themeColor="text1"/>
          <w:lang w:val="en-AU"/>
        </w:rPr>
      </w:pPr>
    </w:p>
    <w:p w14:paraId="1D80A389" w14:textId="77777777" w:rsidR="00412D77" w:rsidRPr="00FB2D03" w:rsidRDefault="00412D77" w:rsidP="00412D77">
      <w:pPr>
        <w:tabs>
          <w:tab w:val="left" w:pos="5616"/>
        </w:tabs>
        <w:rPr>
          <w:i/>
          <w:color w:val="000000" w:themeColor="text1"/>
          <w:lang w:val="en-AU"/>
        </w:rPr>
      </w:pPr>
      <w:r w:rsidRPr="00FB2D03">
        <w:rPr>
          <w:color w:val="000000" w:themeColor="text1"/>
          <w:lang w:val="en-AU"/>
        </w:rPr>
        <w:t>de Villiers, Gerda. “The ‘Foreigner in Our Midst’ and the Hebrew Bible.” </w:t>
      </w:r>
      <w:r w:rsidRPr="00FB2D03">
        <w:rPr>
          <w:i/>
          <w:color w:val="000000" w:themeColor="text1"/>
          <w:lang w:val="en-AU"/>
        </w:rPr>
        <w:t xml:space="preserve">HTS Teologiese </w:t>
      </w:r>
    </w:p>
    <w:p w14:paraId="6B0E8713"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Studies / Theological Studies</w:t>
      </w:r>
      <w:r w:rsidRPr="00FB2D03">
        <w:rPr>
          <w:color w:val="000000" w:themeColor="text1"/>
          <w:lang w:val="en-AU"/>
        </w:rPr>
        <w:t> 75 (2019).</w:t>
      </w:r>
    </w:p>
    <w:p w14:paraId="2760C89C" w14:textId="77777777" w:rsidR="00412D77" w:rsidRPr="00FB2D03" w:rsidRDefault="00412D77" w:rsidP="00412D77">
      <w:pPr>
        <w:tabs>
          <w:tab w:val="left" w:pos="5616"/>
        </w:tabs>
        <w:rPr>
          <w:color w:val="000000" w:themeColor="text1"/>
          <w:lang w:val="en-AU"/>
        </w:rPr>
      </w:pPr>
    </w:p>
    <w:p w14:paraId="46FCC0F1"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Dimant, Devorah. “The Qumran Manuscripts: Contents and Significance.” In </w:t>
      </w:r>
      <w:r w:rsidRPr="00FB2D03">
        <w:rPr>
          <w:i/>
          <w:color w:val="000000" w:themeColor="text1"/>
          <w:lang w:val="en-AU"/>
        </w:rPr>
        <w:t xml:space="preserve">Time to </w:t>
      </w:r>
    </w:p>
    <w:p w14:paraId="6982C733"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Prepare the Way in the Wilderness: Papers on the Qumran Scrolls by Fellows of the Institute of Advanced Studies in the Hebrew University</w:t>
      </w:r>
      <w:r w:rsidRPr="00FB2D03">
        <w:rPr>
          <w:color w:val="000000" w:themeColor="text1"/>
          <w:lang w:val="en-AU"/>
        </w:rPr>
        <w:t xml:space="preserve">, </w:t>
      </w:r>
      <w:r w:rsidRPr="00FB2D03">
        <w:rPr>
          <w:i/>
          <w:color w:val="000000" w:themeColor="text1"/>
          <w:lang w:val="en-AU"/>
        </w:rPr>
        <w:t>Jerusalem, 1989–1990</w:t>
      </w:r>
      <w:r w:rsidRPr="00FB2D03">
        <w:rPr>
          <w:color w:val="000000" w:themeColor="text1"/>
          <w:lang w:val="en-AU"/>
        </w:rPr>
        <w:t>. Leiden: Brill, 1995.</w:t>
      </w:r>
    </w:p>
    <w:p w14:paraId="5920CDB6" w14:textId="77777777" w:rsidR="00412D77" w:rsidRPr="00FB2D03" w:rsidRDefault="00412D77" w:rsidP="00412D77">
      <w:pPr>
        <w:tabs>
          <w:tab w:val="left" w:pos="5616"/>
        </w:tabs>
        <w:rPr>
          <w:color w:val="000000" w:themeColor="text1"/>
          <w:lang w:val="en-AU"/>
        </w:rPr>
      </w:pPr>
    </w:p>
    <w:p w14:paraId="5A80A551" w14:textId="77777777" w:rsidR="00412D77" w:rsidRPr="00FB2D03" w:rsidRDefault="00412D77" w:rsidP="00412D77">
      <w:pPr>
        <w:tabs>
          <w:tab w:val="left" w:pos="5616"/>
        </w:tabs>
        <w:rPr>
          <w:color w:val="000000" w:themeColor="text1"/>
          <w:lang w:val="en-AU"/>
        </w:rPr>
      </w:pPr>
      <w:r w:rsidRPr="00FB2D03">
        <w:rPr>
          <w:color w:val="000000" w:themeColor="text1"/>
          <w:lang w:val="en-AU"/>
        </w:rPr>
        <w:t>Dombrowski, Daniel. </w:t>
      </w:r>
      <w:r w:rsidRPr="00FB2D03">
        <w:rPr>
          <w:i/>
          <w:color w:val="000000" w:themeColor="text1"/>
          <w:lang w:val="en-AU"/>
        </w:rPr>
        <w:t>Christian Pacifism</w:t>
      </w:r>
      <w:r w:rsidRPr="00FB2D03">
        <w:rPr>
          <w:color w:val="000000" w:themeColor="text1"/>
          <w:lang w:val="en-AU"/>
        </w:rPr>
        <w:t>. Philadelphia: Temple University Press, 1991.</w:t>
      </w:r>
    </w:p>
    <w:p w14:paraId="14530B57" w14:textId="77777777" w:rsidR="00412D77" w:rsidRPr="00FB2D03" w:rsidRDefault="00412D77" w:rsidP="00412D77">
      <w:pPr>
        <w:tabs>
          <w:tab w:val="left" w:pos="5616"/>
        </w:tabs>
        <w:rPr>
          <w:color w:val="000000" w:themeColor="text1"/>
          <w:lang w:val="en-AU"/>
        </w:rPr>
      </w:pPr>
    </w:p>
    <w:p w14:paraId="50E6C63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Domeris, William. “Justice or </w:t>
      </w:r>
      <w:proofErr w:type="gramStart"/>
      <w:r w:rsidRPr="00FB2D03">
        <w:rPr>
          <w:color w:val="000000" w:themeColor="text1"/>
          <w:lang w:val="en-AU"/>
        </w:rPr>
        <w:t>Righteousness?:</w:t>
      </w:r>
      <w:proofErr w:type="gramEnd"/>
      <w:r w:rsidRPr="00FB2D03">
        <w:rPr>
          <w:color w:val="000000" w:themeColor="text1"/>
          <w:lang w:val="en-AU"/>
        </w:rPr>
        <w:t xml:space="preserve"> Reading Matthew 5:6 in </w:t>
      </w:r>
    </w:p>
    <w:p w14:paraId="404E51D8"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Context.” </w:t>
      </w:r>
      <w:r w:rsidRPr="00FB2D03">
        <w:rPr>
          <w:i/>
          <w:color w:val="000000" w:themeColor="text1"/>
          <w:lang w:val="en-AU"/>
        </w:rPr>
        <w:t>Conspectus</w:t>
      </w:r>
      <w:r w:rsidRPr="00FB2D03">
        <w:rPr>
          <w:color w:val="000000" w:themeColor="text1"/>
          <w:lang w:val="en-AU"/>
        </w:rPr>
        <w:t xml:space="preserve"> (2018): 83–100.</w:t>
      </w:r>
    </w:p>
    <w:p w14:paraId="17A6919B" w14:textId="77777777" w:rsidR="00412D77" w:rsidRPr="00FB2D03" w:rsidRDefault="00412D77" w:rsidP="00412D77">
      <w:pPr>
        <w:tabs>
          <w:tab w:val="left" w:pos="5616"/>
        </w:tabs>
        <w:rPr>
          <w:color w:val="000000" w:themeColor="text1"/>
          <w:lang w:val="en-AU"/>
        </w:rPr>
      </w:pPr>
    </w:p>
    <w:p w14:paraId="6C2C9B6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“Meek or </w:t>
      </w:r>
      <w:proofErr w:type="gramStart"/>
      <w:r w:rsidRPr="00FB2D03">
        <w:rPr>
          <w:color w:val="000000" w:themeColor="text1"/>
          <w:lang w:val="en-AU"/>
        </w:rPr>
        <w:t>Oppressed?:</w:t>
      </w:r>
      <w:proofErr w:type="gramEnd"/>
      <w:r w:rsidRPr="00FB2D03">
        <w:rPr>
          <w:color w:val="000000" w:themeColor="text1"/>
          <w:lang w:val="en-AU"/>
        </w:rPr>
        <w:t xml:space="preserve"> Reading Matthew 5:5 in Context.” </w:t>
      </w:r>
      <w:r w:rsidRPr="00FB2D03">
        <w:rPr>
          <w:i/>
          <w:color w:val="000000" w:themeColor="text1"/>
          <w:lang w:val="en-AU"/>
        </w:rPr>
        <w:t>Acta Theologica</w:t>
      </w:r>
      <w:r w:rsidRPr="00FB2D03">
        <w:rPr>
          <w:color w:val="000000" w:themeColor="text1"/>
          <w:lang w:val="en-AU"/>
        </w:rPr>
        <w:t xml:space="preserve"> 23 </w:t>
      </w:r>
    </w:p>
    <w:p w14:paraId="0651E1A9"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(2016): 131–49 </w:t>
      </w:r>
    </w:p>
    <w:p w14:paraId="0E4AC8F8" w14:textId="77777777" w:rsidR="00412D77" w:rsidRPr="00FB2D03" w:rsidRDefault="00412D77" w:rsidP="00412D77">
      <w:pPr>
        <w:tabs>
          <w:tab w:val="left" w:pos="5616"/>
        </w:tabs>
        <w:rPr>
          <w:color w:val="000000" w:themeColor="text1"/>
          <w:lang w:val="en-AU"/>
        </w:rPr>
      </w:pPr>
    </w:p>
    <w:p w14:paraId="660C8AE3"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Donahue, John. “The Good News of Peace.” </w:t>
      </w:r>
      <w:r w:rsidRPr="00FB2D03">
        <w:rPr>
          <w:i/>
          <w:color w:val="000000" w:themeColor="text1"/>
          <w:lang w:val="en-AU"/>
        </w:rPr>
        <w:t>The Way: Contemporary Christian Spirituality</w:t>
      </w:r>
      <w:r w:rsidRPr="00FB2D03">
        <w:rPr>
          <w:color w:val="000000" w:themeColor="text1"/>
          <w:lang w:val="en-AU"/>
        </w:rPr>
        <w:t xml:space="preserve"> </w:t>
      </w:r>
    </w:p>
    <w:p w14:paraId="0A391A88"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22 (1982): 88–99. </w:t>
      </w:r>
    </w:p>
    <w:p w14:paraId="4BBB94BE" w14:textId="77777777" w:rsidR="00412D77" w:rsidRPr="00FB2D03" w:rsidRDefault="00412D77" w:rsidP="00412D77">
      <w:pPr>
        <w:tabs>
          <w:tab w:val="left" w:pos="5616"/>
        </w:tabs>
        <w:rPr>
          <w:color w:val="000000" w:themeColor="text1"/>
          <w:lang w:val="en-AU"/>
        </w:rPr>
      </w:pPr>
    </w:p>
    <w:p w14:paraId="764625D8"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Dorff, Elliot N. </w:t>
      </w:r>
      <w:r w:rsidRPr="00FB2D03">
        <w:rPr>
          <w:i/>
          <w:color w:val="000000" w:themeColor="text1"/>
          <w:lang w:val="en-AU"/>
        </w:rPr>
        <w:t>To Do the Right and the Good: A Jewish Approach to Modern Social Ethics</w:t>
      </w:r>
      <w:r w:rsidRPr="00FB2D03">
        <w:rPr>
          <w:color w:val="000000" w:themeColor="text1"/>
          <w:lang w:val="en-AU"/>
        </w:rPr>
        <w:t>.</w:t>
      </w:r>
      <w:r w:rsidRPr="00FB2D03">
        <w:rPr>
          <w:i/>
          <w:color w:val="000000" w:themeColor="text1"/>
          <w:lang w:val="en-AU"/>
        </w:rPr>
        <w:t xml:space="preserve"> </w:t>
      </w:r>
    </w:p>
    <w:p w14:paraId="7C26D417"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Philadelphia: Jewish Publication Society, 2002.</w:t>
      </w:r>
    </w:p>
    <w:p w14:paraId="78A363AC" w14:textId="77777777" w:rsidR="00412D77" w:rsidRPr="00FB2D03" w:rsidRDefault="00412D77" w:rsidP="00412D77">
      <w:pPr>
        <w:tabs>
          <w:tab w:val="left" w:pos="5616"/>
        </w:tabs>
        <w:rPr>
          <w:color w:val="000000" w:themeColor="text1"/>
          <w:lang w:val="en-AU"/>
        </w:rPr>
      </w:pPr>
    </w:p>
    <w:p w14:paraId="2F33BE4A" w14:textId="498B1680" w:rsidR="00412D77" w:rsidRPr="00FB2D03" w:rsidRDefault="00412D77" w:rsidP="00412D77">
      <w:pPr>
        <w:tabs>
          <w:tab w:val="left" w:pos="5616"/>
        </w:tabs>
        <w:rPr>
          <w:color w:val="000000" w:themeColor="text1"/>
          <w:lang w:val="en-AU"/>
        </w:rPr>
      </w:pPr>
      <w:r w:rsidRPr="00FB2D03">
        <w:rPr>
          <w:color w:val="000000" w:themeColor="text1"/>
          <w:lang w:val="en-AU"/>
        </w:rPr>
        <w:t xml:space="preserve">Doriani, Daniel M. </w:t>
      </w:r>
      <w:r w:rsidRPr="00FB2D03">
        <w:rPr>
          <w:i/>
          <w:color w:val="000000" w:themeColor="text1"/>
          <w:lang w:val="en-AU"/>
        </w:rPr>
        <w:t xml:space="preserve">The Sermon on the Mount: The Character of a Disciple. </w:t>
      </w:r>
      <w:r w:rsidRPr="00FB2D03">
        <w:rPr>
          <w:color w:val="000000" w:themeColor="text1"/>
          <w:lang w:val="en-AU"/>
        </w:rPr>
        <w:t>Phillipsburg:</w:t>
      </w:r>
      <w:r w:rsidR="00A937EA">
        <w:rPr>
          <w:color w:val="000000" w:themeColor="text1"/>
          <w:lang w:val="en-AU"/>
        </w:rPr>
        <w:t xml:space="preserve"> </w:t>
      </w:r>
      <w:r w:rsidRPr="00FB2D03">
        <w:rPr>
          <w:color w:val="000000" w:themeColor="text1"/>
          <w:lang w:val="en-AU"/>
        </w:rPr>
        <w:t xml:space="preserve">P </w:t>
      </w:r>
    </w:p>
    <w:p w14:paraId="6F17D9A6"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&amp; R Publishing, 2006.</w:t>
      </w:r>
    </w:p>
    <w:p w14:paraId="01059B10" w14:textId="77777777" w:rsidR="00412D77" w:rsidRPr="00FB2D03" w:rsidRDefault="00412D77" w:rsidP="00412D77">
      <w:pPr>
        <w:tabs>
          <w:tab w:val="left" w:pos="5616"/>
        </w:tabs>
        <w:rPr>
          <w:color w:val="000000" w:themeColor="text1"/>
          <w:lang w:val="en-AU"/>
        </w:rPr>
      </w:pPr>
    </w:p>
    <w:p w14:paraId="4F1A5BB3" w14:textId="77777777" w:rsidR="00412D77" w:rsidRPr="00FB2D03" w:rsidRDefault="00412D77" w:rsidP="00412D77">
      <w:pPr>
        <w:tabs>
          <w:tab w:val="left" w:pos="5616"/>
        </w:tabs>
        <w:rPr>
          <w:color w:val="000000" w:themeColor="text1"/>
          <w:lang w:val="en-AU"/>
        </w:rPr>
      </w:pPr>
      <w:r w:rsidRPr="00FB2D03">
        <w:rPr>
          <w:color w:val="000000" w:themeColor="text1"/>
          <w:lang w:val="en-AU"/>
        </w:rPr>
        <w:t>Dorrien, Gary J. “Social Ethics and the Politics of Jesus.” </w:t>
      </w:r>
      <w:r w:rsidRPr="00FB2D03">
        <w:rPr>
          <w:i/>
          <w:color w:val="000000" w:themeColor="text1"/>
          <w:lang w:val="en-AU"/>
        </w:rPr>
        <w:t>Modern Believing</w:t>
      </w:r>
      <w:r w:rsidRPr="00FB2D03">
        <w:rPr>
          <w:color w:val="000000" w:themeColor="text1"/>
          <w:lang w:val="en-AU"/>
        </w:rPr>
        <w:t xml:space="preserve"> 62 (2021): </w:t>
      </w:r>
    </w:p>
    <w:p w14:paraId="413CC648"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242–51.</w:t>
      </w:r>
    </w:p>
    <w:p w14:paraId="538F9ECF" w14:textId="77777777" w:rsidR="00412D77" w:rsidRPr="00FB2D03" w:rsidRDefault="00412D77" w:rsidP="00412D77">
      <w:pPr>
        <w:tabs>
          <w:tab w:val="left" w:pos="5616"/>
        </w:tabs>
        <w:rPr>
          <w:color w:val="000000" w:themeColor="text1"/>
          <w:lang w:val="en-AU"/>
        </w:rPr>
      </w:pPr>
    </w:p>
    <w:p w14:paraId="01A12C65" w14:textId="5EC58619" w:rsidR="00412D77" w:rsidRPr="00FB2D03" w:rsidRDefault="00412D77" w:rsidP="00BF41AE">
      <w:pPr>
        <w:tabs>
          <w:tab w:val="left" w:pos="5616"/>
        </w:tabs>
        <w:rPr>
          <w:color w:val="000000" w:themeColor="text1"/>
          <w:lang w:val="en-AU"/>
        </w:rPr>
      </w:pPr>
      <w:r w:rsidRPr="00FB2D03">
        <w:rPr>
          <w:color w:val="000000" w:themeColor="text1"/>
          <w:lang w:val="en-AU"/>
        </w:rPr>
        <w:t>Douglas, James and Grant Dunn, </w:t>
      </w:r>
      <w:proofErr w:type="gramStart"/>
      <w:r w:rsidRPr="00FB2D03">
        <w:rPr>
          <w:i/>
          <w:color w:val="000000" w:themeColor="text1"/>
          <w:lang w:val="en-AU"/>
        </w:rPr>
        <w:t>Jews</w:t>
      </w:r>
      <w:proofErr w:type="gramEnd"/>
      <w:r w:rsidRPr="00FB2D03">
        <w:rPr>
          <w:i/>
          <w:color w:val="000000" w:themeColor="text1"/>
          <w:lang w:val="en-AU"/>
        </w:rPr>
        <w:t xml:space="preserve"> and Christians</w:t>
      </w:r>
      <w:r w:rsidRPr="00FB2D03">
        <w:rPr>
          <w:color w:val="000000" w:themeColor="text1"/>
          <w:lang w:val="en-AU"/>
        </w:rPr>
        <w:t>. Grand Rapids: Eerdmans, 2009.</w:t>
      </w:r>
    </w:p>
    <w:p w14:paraId="1F30E042" w14:textId="77777777" w:rsidR="00412D77" w:rsidRPr="00FB2D03" w:rsidRDefault="00412D77" w:rsidP="00412D77">
      <w:pPr>
        <w:tabs>
          <w:tab w:val="left" w:pos="5616"/>
        </w:tabs>
        <w:rPr>
          <w:color w:val="000000" w:themeColor="text1"/>
          <w:lang w:val="en-AU"/>
        </w:rPr>
      </w:pPr>
    </w:p>
    <w:p w14:paraId="3117F4FB" w14:textId="77777777" w:rsidR="00412D77" w:rsidRPr="00FB2D03" w:rsidRDefault="00412D77" w:rsidP="00412D77">
      <w:pPr>
        <w:tabs>
          <w:tab w:val="left" w:pos="5616"/>
        </w:tabs>
        <w:rPr>
          <w:color w:val="000000" w:themeColor="text1"/>
          <w:lang w:val="en-AU"/>
        </w:rPr>
      </w:pPr>
      <w:r w:rsidRPr="00FB2D03">
        <w:rPr>
          <w:color w:val="000000" w:themeColor="text1"/>
          <w:lang w:val="en-AU"/>
        </w:rPr>
        <w:t>du Toit, Philip La. G. “Reconsidering ‘Law’ in Hebrews.” </w:t>
      </w:r>
      <w:r w:rsidRPr="00FB2D03">
        <w:rPr>
          <w:i/>
          <w:color w:val="000000" w:themeColor="text1"/>
          <w:lang w:val="en-AU"/>
        </w:rPr>
        <w:t>Verbum et Ecclesia</w:t>
      </w:r>
      <w:r w:rsidRPr="00FB2D03">
        <w:rPr>
          <w:color w:val="000000" w:themeColor="text1"/>
          <w:lang w:val="en-AU"/>
        </w:rPr>
        <w:t> 42</w:t>
      </w:r>
    </w:p>
    <w:p w14:paraId="7F1E1E94"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(2021): 1–7. </w:t>
      </w:r>
    </w:p>
    <w:p w14:paraId="418810B5" w14:textId="77777777" w:rsidR="00412D77" w:rsidRPr="00FB2D03" w:rsidRDefault="00412D77" w:rsidP="00412D77">
      <w:pPr>
        <w:tabs>
          <w:tab w:val="left" w:pos="5616"/>
        </w:tabs>
        <w:rPr>
          <w:color w:val="000000" w:themeColor="text1"/>
          <w:lang w:val="en-AU"/>
        </w:rPr>
      </w:pPr>
    </w:p>
    <w:p w14:paraId="1BF5D86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Dubnow, Simon. </w:t>
      </w:r>
      <w:r w:rsidRPr="00FB2D03">
        <w:rPr>
          <w:i/>
          <w:color w:val="000000" w:themeColor="text1"/>
          <w:lang w:val="en-AU"/>
        </w:rPr>
        <w:t>History of the Jews</w:t>
      </w:r>
      <w:r w:rsidRPr="00FB2D03">
        <w:rPr>
          <w:color w:val="000000" w:themeColor="text1"/>
          <w:lang w:val="en-AU"/>
        </w:rPr>
        <w:t>. South Brunswick: T. Yoseloft, 1967–73.</w:t>
      </w:r>
    </w:p>
    <w:p w14:paraId="417CC449" w14:textId="77777777" w:rsidR="00412D77" w:rsidRPr="00FB2D03" w:rsidRDefault="00412D77" w:rsidP="00412D77">
      <w:pPr>
        <w:tabs>
          <w:tab w:val="left" w:pos="5616"/>
        </w:tabs>
        <w:rPr>
          <w:color w:val="000000" w:themeColor="text1"/>
          <w:lang w:val="en-AU"/>
        </w:rPr>
      </w:pPr>
    </w:p>
    <w:p w14:paraId="6A82F391"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Duff, </w:t>
      </w:r>
      <w:proofErr w:type="gramStart"/>
      <w:r w:rsidRPr="00FB2D03">
        <w:rPr>
          <w:color w:val="000000" w:themeColor="text1"/>
          <w:lang w:val="en-AU"/>
        </w:rPr>
        <w:t>Antony</w:t>
      </w:r>
      <w:proofErr w:type="gramEnd"/>
      <w:r w:rsidRPr="00FB2D03">
        <w:rPr>
          <w:color w:val="000000" w:themeColor="text1"/>
          <w:lang w:val="en-AU"/>
        </w:rPr>
        <w:t xml:space="preserve"> and David Garland, “Introduction: Thinking about Punishment.” In </w:t>
      </w:r>
      <w:r w:rsidRPr="00FB2D03">
        <w:rPr>
          <w:i/>
          <w:color w:val="000000" w:themeColor="text1"/>
          <w:lang w:val="en-AU"/>
        </w:rPr>
        <w:t xml:space="preserve">A </w:t>
      </w:r>
    </w:p>
    <w:p w14:paraId="3CC6F3B8"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Reader on Punishment</w:t>
      </w:r>
      <w:r w:rsidRPr="00FB2D03">
        <w:rPr>
          <w:color w:val="000000" w:themeColor="text1"/>
          <w:lang w:val="en-AU"/>
        </w:rPr>
        <w:t>, 1-35. Oxford: Oxford University Press, 1994.</w:t>
      </w:r>
    </w:p>
    <w:p w14:paraId="37809EDB" w14:textId="77777777" w:rsidR="00412D77" w:rsidRPr="00FB2D03" w:rsidRDefault="00412D77" w:rsidP="00412D77">
      <w:pPr>
        <w:tabs>
          <w:tab w:val="left" w:pos="5616"/>
        </w:tabs>
        <w:rPr>
          <w:color w:val="000000" w:themeColor="text1"/>
          <w:lang w:val="en-AU"/>
        </w:rPr>
      </w:pPr>
    </w:p>
    <w:p w14:paraId="5C5AF63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Duhaime, Jean. “The War Scroll from Qumran and the Greco-Roman Tactical Treatises.” </w:t>
      </w:r>
    </w:p>
    <w:p w14:paraId="28A3D6AC" w14:textId="1480A68C"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Review de Qumran </w:t>
      </w:r>
      <w:r w:rsidRPr="00FB2D03">
        <w:rPr>
          <w:color w:val="000000" w:themeColor="text1"/>
          <w:lang w:val="en-AU"/>
        </w:rPr>
        <w:t>13 (1988): 133–51.</w:t>
      </w:r>
    </w:p>
    <w:p w14:paraId="306F5DA6" w14:textId="77777777" w:rsidR="00412D77" w:rsidRPr="00FB2D03" w:rsidRDefault="00412D77" w:rsidP="00412D77">
      <w:pPr>
        <w:tabs>
          <w:tab w:val="left" w:pos="5616"/>
        </w:tabs>
        <w:rPr>
          <w:color w:val="000000" w:themeColor="text1"/>
          <w:lang w:val="en-AU"/>
        </w:rPr>
      </w:pPr>
    </w:p>
    <w:p w14:paraId="3B6888FD" w14:textId="77777777" w:rsidR="00412D77" w:rsidRPr="00FB2D03" w:rsidRDefault="00412D77" w:rsidP="00412D77">
      <w:pPr>
        <w:tabs>
          <w:tab w:val="left" w:pos="5616"/>
        </w:tabs>
        <w:rPr>
          <w:color w:val="000000" w:themeColor="text1"/>
          <w:lang w:val="en-AU"/>
        </w:rPr>
      </w:pPr>
      <w:r w:rsidRPr="00FB2D03">
        <w:rPr>
          <w:color w:val="000000" w:themeColor="text1"/>
          <w:lang w:val="en-AU"/>
        </w:rPr>
        <w:t>Dunn, James Douglas Grant. </w:t>
      </w:r>
      <w:r w:rsidRPr="00FB2D03">
        <w:rPr>
          <w:i/>
          <w:color w:val="000000" w:themeColor="text1"/>
          <w:lang w:val="en-AU"/>
        </w:rPr>
        <w:t>Jews and Christians</w:t>
      </w:r>
      <w:r w:rsidRPr="00FB2D03">
        <w:rPr>
          <w:color w:val="000000" w:themeColor="text1"/>
          <w:lang w:val="en-AU"/>
        </w:rPr>
        <w:t>. Grand Rapids: Eerdmans, 2009.</w:t>
      </w:r>
    </w:p>
    <w:p w14:paraId="345C2A07" w14:textId="77777777" w:rsidR="00412D77" w:rsidRPr="00FB2D03" w:rsidRDefault="00412D77" w:rsidP="00412D77">
      <w:pPr>
        <w:tabs>
          <w:tab w:val="left" w:pos="5616"/>
        </w:tabs>
        <w:rPr>
          <w:color w:val="000000" w:themeColor="text1"/>
          <w:lang w:val="en-AU"/>
        </w:rPr>
      </w:pPr>
    </w:p>
    <w:p w14:paraId="4EC51965" w14:textId="77777777" w:rsidR="00412D77" w:rsidRPr="00FB2D03" w:rsidRDefault="00412D77" w:rsidP="00412D77">
      <w:pPr>
        <w:tabs>
          <w:tab w:val="left" w:pos="5616"/>
        </w:tabs>
        <w:rPr>
          <w:i/>
          <w:color w:val="000000" w:themeColor="text1"/>
          <w:lang w:val="en-AU"/>
        </w:rPr>
      </w:pPr>
      <w:r w:rsidRPr="00FB2D03">
        <w:rPr>
          <w:color w:val="000000" w:themeColor="text1"/>
          <w:lang w:val="en-AU"/>
        </w:rPr>
        <w:t>Eckhard J Schnabel,</w:t>
      </w:r>
      <w:r w:rsidRPr="00FB2D03">
        <w:rPr>
          <w:i/>
          <w:color w:val="000000" w:themeColor="text1"/>
          <w:lang w:val="en-AU"/>
        </w:rPr>
        <w:t xml:space="preserve"> </w:t>
      </w:r>
      <w:r w:rsidRPr="00FB2D03">
        <w:rPr>
          <w:color w:val="000000" w:themeColor="text1"/>
          <w:lang w:val="en-AU"/>
        </w:rPr>
        <w:t>“Biblical Theology from A New Testament Perspective.”</w:t>
      </w:r>
      <w:r w:rsidRPr="00FB2D03">
        <w:rPr>
          <w:i/>
          <w:color w:val="000000" w:themeColor="text1"/>
          <w:lang w:val="en-AU"/>
        </w:rPr>
        <w:t xml:space="preserve"> Journal of The </w:t>
      </w:r>
    </w:p>
    <w:p w14:paraId="7A6C2323" w14:textId="26820BB3" w:rsidR="00412D77" w:rsidRPr="00FB2D03" w:rsidRDefault="00412D77" w:rsidP="00AD1181">
      <w:pPr>
        <w:tabs>
          <w:tab w:val="left" w:pos="5616"/>
        </w:tabs>
        <w:ind w:left="720"/>
        <w:rPr>
          <w:color w:val="000000" w:themeColor="text1"/>
          <w:lang w:val="en-AU"/>
        </w:rPr>
      </w:pPr>
      <w:r w:rsidRPr="00FB2D03">
        <w:rPr>
          <w:i/>
          <w:color w:val="000000" w:themeColor="text1"/>
          <w:lang w:val="en-AU"/>
        </w:rPr>
        <w:t>Evangelical Theological Society 6</w:t>
      </w:r>
      <w:r w:rsidRPr="00FB2D03">
        <w:rPr>
          <w:color w:val="000000" w:themeColor="text1"/>
          <w:lang w:val="en-AU"/>
        </w:rPr>
        <w:t xml:space="preserve">2 (2019): 225–49. </w:t>
      </w:r>
    </w:p>
    <w:p w14:paraId="4FF9D46B" w14:textId="77777777" w:rsidR="00C56068" w:rsidRPr="00FB2D03" w:rsidRDefault="00C56068" w:rsidP="00412D77">
      <w:pPr>
        <w:tabs>
          <w:tab w:val="left" w:pos="5616"/>
        </w:tabs>
        <w:rPr>
          <w:i/>
          <w:color w:val="000000" w:themeColor="text1"/>
          <w:lang w:val="en-AU"/>
        </w:rPr>
      </w:pPr>
    </w:p>
    <w:p w14:paraId="34BAED09" w14:textId="77777777" w:rsidR="00412D77" w:rsidRPr="00FB2D03" w:rsidRDefault="00412D77" w:rsidP="00412D77">
      <w:pPr>
        <w:tabs>
          <w:tab w:val="left" w:pos="5616"/>
        </w:tabs>
        <w:rPr>
          <w:color w:val="000000" w:themeColor="text1"/>
          <w:lang w:val="en-AU"/>
        </w:rPr>
      </w:pPr>
      <w:r w:rsidRPr="00FB2D03">
        <w:rPr>
          <w:color w:val="000000" w:themeColor="text1"/>
          <w:lang w:val="en-AU"/>
        </w:rPr>
        <w:lastRenderedPageBreak/>
        <w:t>Edwards, Douglas. </w:t>
      </w:r>
      <w:r w:rsidRPr="00FB2D03">
        <w:rPr>
          <w:i/>
          <w:color w:val="000000" w:themeColor="text1"/>
          <w:lang w:val="en-AU"/>
        </w:rPr>
        <w:t>The Socio–Economic and Cultural Ethos in the First Century</w:t>
      </w:r>
      <w:r w:rsidRPr="00FB2D03">
        <w:rPr>
          <w:color w:val="000000" w:themeColor="text1"/>
          <w:lang w:val="en-AU"/>
        </w:rPr>
        <w:t xml:space="preserve">. New York: </w:t>
      </w:r>
    </w:p>
    <w:p w14:paraId="022452C8"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Jewish Theological Seminary of America, 1992.</w:t>
      </w:r>
    </w:p>
    <w:p w14:paraId="46887455" w14:textId="77777777" w:rsidR="00412D77" w:rsidRPr="00FB2D03" w:rsidRDefault="00412D77" w:rsidP="00412D77">
      <w:pPr>
        <w:tabs>
          <w:tab w:val="left" w:pos="5616"/>
        </w:tabs>
        <w:rPr>
          <w:color w:val="000000" w:themeColor="text1"/>
          <w:lang w:val="en-AU"/>
        </w:rPr>
      </w:pPr>
    </w:p>
    <w:p w14:paraId="7BE3CB20" w14:textId="77777777" w:rsidR="00412D77" w:rsidRPr="00FB2D03" w:rsidRDefault="00412D77" w:rsidP="00412D77">
      <w:pPr>
        <w:tabs>
          <w:tab w:val="left" w:pos="5616"/>
        </w:tabs>
        <w:rPr>
          <w:color w:val="000000" w:themeColor="text1"/>
          <w:lang w:val="en-AU"/>
        </w:rPr>
      </w:pPr>
      <w:r w:rsidRPr="00FB2D03">
        <w:rPr>
          <w:color w:val="000000" w:themeColor="text1"/>
          <w:lang w:val="en-AU"/>
        </w:rPr>
        <w:t>Edwards, Richard Alan. </w:t>
      </w:r>
      <w:r w:rsidRPr="00FB2D03">
        <w:rPr>
          <w:i/>
          <w:color w:val="000000" w:themeColor="text1"/>
          <w:lang w:val="en-AU"/>
        </w:rPr>
        <w:t>Matthew’s Story of Jesus</w:t>
      </w:r>
      <w:r w:rsidRPr="00FB2D03">
        <w:rPr>
          <w:color w:val="000000" w:themeColor="text1"/>
          <w:lang w:val="en-AU"/>
        </w:rPr>
        <w:t>. Philadelphia: Fortress Press, 1985.</w:t>
      </w:r>
    </w:p>
    <w:p w14:paraId="6CF49132" w14:textId="77777777" w:rsidR="00412D77" w:rsidRPr="00FB2D03" w:rsidRDefault="00412D77" w:rsidP="00412D77">
      <w:pPr>
        <w:tabs>
          <w:tab w:val="left" w:pos="5616"/>
        </w:tabs>
        <w:rPr>
          <w:color w:val="000000" w:themeColor="text1"/>
          <w:lang w:val="en-AU"/>
        </w:rPr>
      </w:pPr>
    </w:p>
    <w:p w14:paraId="7D730DB1"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Edwards, Robert G T. “Proverbs 8, Christological Controversies, and the Pre-Existence of the </w:t>
      </w:r>
    </w:p>
    <w:p w14:paraId="41E13A1C"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Son and Torah in the Third and Fourth Centuries.” </w:t>
      </w:r>
      <w:r w:rsidRPr="00FB2D03">
        <w:rPr>
          <w:i/>
          <w:color w:val="000000" w:themeColor="text1"/>
          <w:lang w:val="en-AU"/>
        </w:rPr>
        <w:t xml:space="preserve">Journal for the Study of Judaism in the Persian, </w:t>
      </w:r>
      <w:proofErr w:type="gramStart"/>
      <w:r w:rsidRPr="00FB2D03">
        <w:rPr>
          <w:i/>
          <w:color w:val="000000" w:themeColor="text1"/>
          <w:lang w:val="en-AU"/>
        </w:rPr>
        <w:t>Hellenistic</w:t>
      </w:r>
      <w:proofErr w:type="gramEnd"/>
      <w:r w:rsidRPr="00FB2D03">
        <w:rPr>
          <w:i/>
          <w:color w:val="000000" w:themeColor="text1"/>
          <w:lang w:val="en-AU"/>
        </w:rPr>
        <w:t xml:space="preserve"> and Roman Period</w:t>
      </w:r>
      <w:r w:rsidRPr="00FB2D03">
        <w:rPr>
          <w:color w:val="000000" w:themeColor="text1"/>
          <w:lang w:val="en-AU"/>
        </w:rPr>
        <w:t> 51 (2020): 67–96.</w:t>
      </w:r>
    </w:p>
    <w:p w14:paraId="787F12EB" w14:textId="77777777" w:rsidR="00412D77" w:rsidRPr="00FB2D03" w:rsidRDefault="00412D77" w:rsidP="00412D77">
      <w:pPr>
        <w:tabs>
          <w:tab w:val="left" w:pos="5616"/>
        </w:tabs>
        <w:rPr>
          <w:color w:val="000000" w:themeColor="text1"/>
          <w:lang w:val="en-AU"/>
        </w:rPr>
      </w:pPr>
    </w:p>
    <w:p w14:paraId="3E05BDE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Ehrensperger, Kathy. “Jesus Der Jude: Beobachtungen Zu Den Jüdisch-Christlichen </w:t>
      </w:r>
    </w:p>
    <w:p w14:paraId="7D531C8F"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Beziehungen in Der Gegenwärtigen Forschung.” </w:t>
      </w:r>
      <w:r w:rsidRPr="00FB2D03">
        <w:rPr>
          <w:i/>
          <w:color w:val="000000" w:themeColor="text1"/>
          <w:lang w:val="en-AU"/>
        </w:rPr>
        <w:t>Theologische Literaturzeitung</w:t>
      </w:r>
      <w:r w:rsidRPr="00FB2D03">
        <w:rPr>
          <w:color w:val="000000" w:themeColor="text1"/>
          <w:lang w:val="en-AU"/>
        </w:rPr>
        <w:t> 146 (2021): 21-36.</w:t>
      </w:r>
    </w:p>
    <w:p w14:paraId="787B8B63" w14:textId="77777777" w:rsidR="00412D77" w:rsidRPr="00FB2D03" w:rsidRDefault="00412D77" w:rsidP="00412D77">
      <w:pPr>
        <w:tabs>
          <w:tab w:val="left" w:pos="5616"/>
        </w:tabs>
        <w:rPr>
          <w:color w:val="000000" w:themeColor="text1"/>
          <w:lang w:val="en-AU"/>
        </w:rPr>
      </w:pPr>
    </w:p>
    <w:p w14:paraId="369F5578" w14:textId="190FDCC8" w:rsidR="00412D77" w:rsidRPr="00FB2D03" w:rsidRDefault="00412D77" w:rsidP="00412D77">
      <w:pPr>
        <w:tabs>
          <w:tab w:val="left" w:pos="5616"/>
        </w:tabs>
        <w:rPr>
          <w:color w:val="000000" w:themeColor="text1"/>
          <w:lang w:val="en-AU"/>
        </w:rPr>
      </w:pPr>
      <w:r w:rsidRPr="00FB2D03">
        <w:rPr>
          <w:color w:val="000000" w:themeColor="text1"/>
          <w:lang w:val="en-AU"/>
        </w:rPr>
        <w:t>Ehrman, Arnost Zvi. “Mikva’ot</w:t>
      </w:r>
      <w:r w:rsidRPr="00FB2D03">
        <w:rPr>
          <w:i/>
          <w:color w:val="000000" w:themeColor="text1"/>
          <w:lang w:val="en-AU"/>
        </w:rPr>
        <w:t>”</w:t>
      </w:r>
      <w:r w:rsidRPr="00FB2D03">
        <w:rPr>
          <w:color w:val="000000" w:themeColor="text1"/>
          <w:lang w:val="en-AU"/>
        </w:rPr>
        <w:t xml:space="preserve"> In </w:t>
      </w:r>
      <w:r w:rsidRPr="00FB2D03">
        <w:rPr>
          <w:i/>
          <w:color w:val="000000" w:themeColor="text1"/>
          <w:lang w:val="en-AU"/>
        </w:rPr>
        <w:t>Encyclopedia Judaica</w:t>
      </w:r>
      <w:r w:rsidRPr="00FB2D03">
        <w:rPr>
          <w:color w:val="000000" w:themeColor="text1"/>
          <w:lang w:val="en-AU"/>
        </w:rPr>
        <w:t xml:space="preserve">, Vol.14, 2nd ed. ed. Fred </w:t>
      </w:r>
    </w:p>
    <w:p w14:paraId="199EA3DA"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Skolnik and Michael Berenbaum. Jerusalem: Keter Publishing House, 2007.</w:t>
      </w:r>
    </w:p>
    <w:p w14:paraId="7600B211" w14:textId="77777777" w:rsidR="00412D77" w:rsidRPr="00FB2D03" w:rsidRDefault="00412D77" w:rsidP="00412D77">
      <w:pPr>
        <w:tabs>
          <w:tab w:val="left" w:pos="5616"/>
        </w:tabs>
        <w:rPr>
          <w:color w:val="000000" w:themeColor="text1"/>
          <w:lang w:val="en-AU"/>
        </w:rPr>
      </w:pPr>
    </w:p>
    <w:p w14:paraId="13BC2825"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Eisenman, Robert. “The Dead Sea Scrolls and the Epistle to the Hebrews.” In </w:t>
      </w:r>
      <w:r w:rsidRPr="00FB2D03">
        <w:rPr>
          <w:i/>
          <w:color w:val="000000" w:themeColor="text1"/>
          <w:lang w:val="en-AU"/>
        </w:rPr>
        <w:t xml:space="preserve">Aspects of the </w:t>
      </w:r>
    </w:p>
    <w:p w14:paraId="345CD18F"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Dead Sea Scrolls. </w:t>
      </w:r>
      <w:r w:rsidRPr="00FB2D03">
        <w:rPr>
          <w:color w:val="000000" w:themeColor="text1"/>
          <w:lang w:val="en-AU"/>
        </w:rPr>
        <w:t>Jerusalem: Magnes Press, 1965: 36–55.</w:t>
      </w:r>
    </w:p>
    <w:p w14:paraId="67E024AD" w14:textId="77777777" w:rsidR="00412D77" w:rsidRPr="00FB2D03" w:rsidRDefault="00412D77" w:rsidP="00412D77">
      <w:pPr>
        <w:tabs>
          <w:tab w:val="left" w:pos="5616"/>
        </w:tabs>
        <w:rPr>
          <w:color w:val="000000" w:themeColor="text1"/>
          <w:lang w:val="en-AU"/>
        </w:rPr>
      </w:pPr>
    </w:p>
    <w:p w14:paraId="1CEBF6D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Eisenman, Robert </w:t>
      </w:r>
      <w:proofErr w:type="gramStart"/>
      <w:r w:rsidRPr="00FB2D03">
        <w:rPr>
          <w:color w:val="000000" w:themeColor="text1"/>
          <w:lang w:val="en-AU"/>
        </w:rPr>
        <w:t>H.</w:t>
      </w:r>
      <w:proofErr w:type="gramEnd"/>
      <w:r w:rsidRPr="00FB2D03">
        <w:rPr>
          <w:color w:val="000000" w:themeColor="text1"/>
          <w:lang w:val="en-AU"/>
        </w:rPr>
        <w:t xml:space="preserve"> and Michael Wise, </w:t>
      </w:r>
      <w:r w:rsidRPr="00FB2D03">
        <w:rPr>
          <w:i/>
          <w:color w:val="000000" w:themeColor="text1"/>
          <w:lang w:val="en-AU"/>
        </w:rPr>
        <w:t>The Dead Sea Scrolls Uncovered</w:t>
      </w:r>
      <w:r w:rsidRPr="00FB2D03">
        <w:rPr>
          <w:color w:val="000000" w:themeColor="text1"/>
          <w:lang w:val="en-AU"/>
        </w:rPr>
        <w:t xml:space="preserve">. New York: </w:t>
      </w:r>
    </w:p>
    <w:p w14:paraId="236A32FC"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Barnes and Noble Books, 1992.</w:t>
      </w:r>
    </w:p>
    <w:p w14:paraId="3C32B7F4" w14:textId="77777777" w:rsidR="00412D77" w:rsidRPr="00FB2D03" w:rsidRDefault="00412D77" w:rsidP="00412D77">
      <w:pPr>
        <w:tabs>
          <w:tab w:val="left" w:pos="5616"/>
        </w:tabs>
        <w:rPr>
          <w:color w:val="000000" w:themeColor="text1"/>
          <w:lang w:val="en-AU"/>
        </w:rPr>
      </w:pPr>
    </w:p>
    <w:p w14:paraId="00C7CD48" w14:textId="77777777" w:rsidR="00412D77" w:rsidRPr="00FB2D03" w:rsidRDefault="00412D77" w:rsidP="00412D77">
      <w:pPr>
        <w:tabs>
          <w:tab w:val="left" w:pos="5616"/>
        </w:tabs>
        <w:rPr>
          <w:i/>
          <w:color w:val="000000" w:themeColor="text1"/>
          <w:lang w:val="en-AU"/>
        </w:rPr>
      </w:pPr>
      <w:r w:rsidRPr="00FB2D03">
        <w:rPr>
          <w:color w:val="000000" w:themeColor="text1"/>
          <w:lang w:val="en-AU"/>
        </w:rPr>
        <w:t>Ekman, Katja. “Enemy Love and the Reinvention of Identity.” </w:t>
      </w:r>
      <w:r w:rsidRPr="00FB2D03">
        <w:rPr>
          <w:i/>
          <w:color w:val="000000" w:themeColor="text1"/>
          <w:lang w:val="en-AU"/>
        </w:rPr>
        <w:t xml:space="preserve">HTS Teologiese </w:t>
      </w:r>
    </w:p>
    <w:p w14:paraId="0C1AFB22"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Studies-Theological Studies </w:t>
      </w:r>
      <w:r w:rsidRPr="00FB2D03">
        <w:rPr>
          <w:color w:val="000000" w:themeColor="text1"/>
          <w:lang w:val="en-AU"/>
        </w:rPr>
        <w:t>77 (2021): 1-7.</w:t>
      </w:r>
    </w:p>
    <w:p w14:paraId="0220EEC5" w14:textId="77777777" w:rsidR="00412D77" w:rsidRPr="00FB2D03" w:rsidRDefault="00412D77" w:rsidP="00412D77">
      <w:pPr>
        <w:tabs>
          <w:tab w:val="left" w:pos="5616"/>
        </w:tabs>
        <w:rPr>
          <w:color w:val="000000" w:themeColor="text1"/>
          <w:lang w:val="en-AU"/>
        </w:rPr>
      </w:pPr>
    </w:p>
    <w:p w14:paraId="4474A903"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Elledge, C D. (Casey Deryl). “‘From the Beginning It Was Not so...’: Jesus, Divorce, and </w:t>
      </w:r>
    </w:p>
    <w:p w14:paraId="4A84A515"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Remarriage </w:t>
      </w:r>
      <w:proofErr w:type="gramStart"/>
      <w:r w:rsidRPr="00FB2D03">
        <w:rPr>
          <w:color w:val="000000" w:themeColor="text1"/>
          <w:lang w:val="en-AU"/>
        </w:rPr>
        <w:t>in Light of</w:t>
      </w:r>
      <w:proofErr w:type="gramEnd"/>
      <w:r w:rsidRPr="00FB2D03">
        <w:rPr>
          <w:color w:val="000000" w:themeColor="text1"/>
          <w:lang w:val="en-AU"/>
        </w:rPr>
        <w:t xml:space="preserve"> the Dead Sea Scrolls.” </w:t>
      </w:r>
      <w:r w:rsidRPr="00FB2D03">
        <w:rPr>
          <w:i/>
          <w:color w:val="000000" w:themeColor="text1"/>
          <w:lang w:val="en-AU"/>
        </w:rPr>
        <w:t>Perspectives in Religious Studies</w:t>
      </w:r>
      <w:r w:rsidRPr="00FB2D03">
        <w:rPr>
          <w:color w:val="000000" w:themeColor="text1"/>
          <w:lang w:val="en-AU"/>
        </w:rPr>
        <w:t> 37 (2010): 371–89. </w:t>
      </w:r>
    </w:p>
    <w:p w14:paraId="5DBDE647" w14:textId="77777777" w:rsidR="00412D77" w:rsidRPr="00FB2D03" w:rsidRDefault="00412D77" w:rsidP="00412D77">
      <w:pPr>
        <w:tabs>
          <w:tab w:val="left" w:pos="5616"/>
        </w:tabs>
        <w:rPr>
          <w:color w:val="000000" w:themeColor="text1"/>
          <w:lang w:val="en-AU"/>
        </w:rPr>
      </w:pPr>
    </w:p>
    <w:p w14:paraId="59380EDA"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Eliashiv, Nethanel. </w:t>
      </w:r>
      <w:r w:rsidRPr="00FB2D03">
        <w:rPr>
          <w:i/>
          <w:color w:val="000000" w:themeColor="text1"/>
          <w:lang w:val="en-AU"/>
        </w:rPr>
        <w:t xml:space="preserve">LeEzrat Hashem BaGiborim: Pirkey Hadrakha VeLivuy LeSheirut </w:t>
      </w:r>
    </w:p>
    <w:p w14:paraId="569EB1F6"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Tzvai’I MeMushach.</w:t>
      </w:r>
      <w:r w:rsidRPr="00FB2D03">
        <w:rPr>
          <w:color w:val="000000" w:themeColor="text1"/>
          <w:lang w:val="en-AU"/>
        </w:rPr>
        <w:t xml:space="preserve"> Jerusalem: Binyan Hatora, 2010.</w:t>
      </w:r>
    </w:p>
    <w:p w14:paraId="211E125F" w14:textId="77777777" w:rsidR="00412D77" w:rsidRPr="00FB2D03" w:rsidRDefault="00412D77" w:rsidP="00412D77">
      <w:pPr>
        <w:tabs>
          <w:tab w:val="left" w:pos="5616"/>
        </w:tabs>
        <w:rPr>
          <w:color w:val="000000" w:themeColor="text1"/>
          <w:lang w:val="en-AU"/>
        </w:rPr>
      </w:pPr>
    </w:p>
    <w:p w14:paraId="19B37E7C"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Elukin, Jonathan M. “A New Essenism: Heinrich Graetz and Mysticism.” </w:t>
      </w:r>
      <w:r w:rsidRPr="00FB2D03">
        <w:rPr>
          <w:i/>
          <w:color w:val="000000" w:themeColor="text1"/>
          <w:lang w:val="en-AU"/>
        </w:rPr>
        <w:t xml:space="preserve">Journal of the </w:t>
      </w:r>
    </w:p>
    <w:p w14:paraId="160828D3"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History of Ideas</w:t>
      </w:r>
      <w:r w:rsidRPr="00FB2D03">
        <w:rPr>
          <w:color w:val="000000" w:themeColor="text1"/>
          <w:lang w:val="en-AU"/>
        </w:rPr>
        <w:t xml:space="preserve"> 59 (1998): 135–48.</w:t>
      </w:r>
    </w:p>
    <w:p w14:paraId="5212EEF5" w14:textId="77777777" w:rsidR="00412D77" w:rsidRPr="00FB2D03" w:rsidRDefault="00412D77" w:rsidP="00412D77">
      <w:pPr>
        <w:tabs>
          <w:tab w:val="left" w:pos="5616"/>
        </w:tabs>
        <w:rPr>
          <w:color w:val="000000" w:themeColor="text1"/>
          <w:lang w:val="en-AU"/>
        </w:rPr>
      </w:pPr>
    </w:p>
    <w:p w14:paraId="3B6611B5" w14:textId="77777777" w:rsidR="00412D77" w:rsidRPr="00FB2D03" w:rsidRDefault="00412D77" w:rsidP="00412D77">
      <w:pPr>
        <w:tabs>
          <w:tab w:val="left" w:pos="5616"/>
        </w:tabs>
        <w:rPr>
          <w:color w:val="000000" w:themeColor="text1"/>
          <w:lang w:val="en-AU"/>
        </w:rPr>
      </w:pPr>
      <w:r w:rsidRPr="00FB2D03">
        <w:rPr>
          <w:color w:val="000000" w:themeColor="text1"/>
          <w:lang w:val="en-AU"/>
        </w:rPr>
        <w:t>Emanuele Lelli. “Folklorica Ii.” </w:t>
      </w:r>
      <w:r w:rsidRPr="00FB2D03">
        <w:rPr>
          <w:i/>
          <w:color w:val="000000" w:themeColor="text1"/>
          <w:lang w:val="en-AU"/>
        </w:rPr>
        <w:t>Quaderni Urbinati Di Cultura Classica</w:t>
      </w:r>
      <w:r w:rsidRPr="00FB2D03">
        <w:rPr>
          <w:color w:val="000000" w:themeColor="text1"/>
          <w:lang w:val="en-AU"/>
        </w:rPr>
        <w:t xml:space="preserve"> 101 (2012): 217–24. </w:t>
      </w:r>
    </w:p>
    <w:p w14:paraId="55C22B63" w14:textId="77777777" w:rsidR="00412D77" w:rsidRPr="00FB2D03" w:rsidRDefault="00412D77" w:rsidP="00412D77">
      <w:pPr>
        <w:tabs>
          <w:tab w:val="left" w:pos="5616"/>
        </w:tabs>
        <w:rPr>
          <w:color w:val="000000" w:themeColor="text1"/>
          <w:lang w:val="en-AU"/>
        </w:rPr>
      </w:pPr>
    </w:p>
    <w:p w14:paraId="15075E9E" w14:textId="77777777" w:rsidR="00412D77" w:rsidRPr="00FB2D03" w:rsidRDefault="00412D77" w:rsidP="00412D77">
      <w:pPr>
        <w:tabs>
          <w:tab w:val="left" w:pos="5616"/>
        </w:tabs>
        <w:rPr>
          <w:color w:val="000000" w:themeColor="text1"/>
          <w:lang w:val="en-AU"/>
        </w:rPr>
      </w:pPr>
      <w:r w:rsidRPr="00FB2D03">
        <w:rPr>
          <w:color w:val="000000" w:themeColor="text1"/>
          <w:lang w:val="en-AU"/>
        </w:rPr>
        <w:t>Emelianov, V.V. “Babylonian ‘Sermon on the Mount.’” </w:t>
      </w:r>
      <w:r w:rsidRPr="00FB2D03">
        <w:rPr>
          <w:i/>
          <w:color w:val="000000" w:themeColor="text1"/>
          <w:lang w:val="en-AU"/>
        </w:rPr>
        <w:t>Voprosy Filosofii</w:t>
      </w:r>
      <w:r w:rsidRPr="00FB2D03">
        <w:rPr>
          <w:color w:val="000000" w:themeColor="text1"/>
          <w:lang w:val="en-AU"/>
        </w:rPr>
        <w:t xml:space="preserve"> 7 (2016): </w:t>
      </w:r>
    </w:p>
    <w:p w14:paraId="56C58B38"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148–61. </w:t>
      </w:r>
    </w:p>
    <w:p w14:paraId="737AC98B" w14:textId="77777777" w:rsidR="00412D77" w:rsidRPr="00FB2D03" w:rsidRDefault="00412D77" w:rsidP="00412D77">
      <w:pPr>
        <w:tabs>
          <w:tab w:val="left" w:pos="5616"/>
        </w:tabs>
        <w:rPr>
          <w:color w:val="000000" w:themeColor="text1"/>
          <w:lang w:val="en-AU"/>
        </w:rPr>
      </w:pPr>
    </w:p>
    <w:p w14:paraId="4892D068" w14:textId="77777777" w:rsidR="00412D77" w:rsidRPr="00FB2D03" w:rsidRDefault="00412D77" w:rsidP="00412D77">
      <w:pPr>
        <w:tabs>
          <w:tab w:val="left" w:pos="5616"/>
        </w:tabs>
        <w:rPr>
          <w:color w:val="000000" w:themeColor="text1"/>
          <w:lang w:val="en-AU"/>
        </w:rPr>
      </w:pPr>
      <w:r w:rsidRPr="00FB2D03">
        <w:rPr>
          <w:color w:val="000000" w:themeColor="text1"/>
          <w:lang w:val="en-AU"/>
        </w:rPr>
        <w:t>Enslin, Morton Scott. </w:t>
      </w:r>
      <w:r w:rsidRPr="00FB2D03">
        <w:rPr>
          <w:i/>
          <w:color w:val="000000" w:themeColor="text1"/>
          <w:lang w:val="en-AU"/>
        </w:rPr>
        <w:t>Christian Beginnings</w:t>
      </w:r>
      <w:r w:rsidRPr="00FB2D03">
        <w:rPr>
          <w:color w:val="000000" w:themeColor="text1"/>
          <w:lang w:val="en-AU"/>
        </w:rPr>
        <w:t>. New York: Harper, 1958.</w:t>
      </w:r>
    </w:p>
    <w:p w14:paraId="435209D0" w14:textId="77777777" w:rsidR="00412D77" w:rsidRPr="00FB2D03" w:rsidRDefault="00412D77" w:rsidP="00412D77">
      <w:pPr>
        <w:tabs>
          <w:tab w:val="left" w:pos="5616"/>
        </w:tabs>
        <w:rPr>
          <w:color w:val="000000" w:themeColor="text1"/>
          <w:lang w:val="en-AU"/>
        </w:rPr>
      </w:pPr>
    </w:p>
    <w:p w14:paraId="3D4F36D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Ensminger, John J. “The Sadducean Persecution of the Christians in Rome and Jerusalem, </w:t>
      </w:r>
    </w:p>
    <w:p w14:paraId="22F7E4D9"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AD 58 to 65.” </w:t>
      </w:r>
      <w:r w:rsidRPr="00FB2D03">
        <w:rPr>
          <w:i/>
          <w:color w:val="000000" w:themeColor="text1"/>
          <w:lang w:val="en-AU"/>
        </w:rPr>
        <w:t>Southwestern Journal of Theology</w:t>
      </w:r>
      <w:r w:rsidRPr="00FB2D03">
        <w:rPr>
          <w:color w:val="000000" w:themeColor="text1"/>
          <w:lang w:val="en-AU"/>
        </w:rPr>
        <w:t> 30 (1988): 9–13. </w:t>
      </w:r>
    </w:p>
    <w:p w14:paraId="1B130D49" w14:textId="77777777" w:rsidR="00412D77" w:rsidRPr="00FB2D03" w:rsidRDefault="00412D77" w:rsidP="00412D77">
      <w:pPr>
        <w:tabs>
          <w:tab w:val="left" w:pos="5616"/>
        </w:tabs>
        <w:rPr>
          <w:color w:val="000000" w:themeColor="text1"/>
          <w:lang w:val="en-AU"/>
        </w:rPr>
      </w:pPr>
    </w:p>
    <w:p w14:paraId="44F162B1"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Epstein, Jacob N. </w:t>
      </w:r>
      <w:r w:rsidRPr="00FB2D03">
        <w:rPr>
          <w:i/>
          <w:color w:val="000000" w:themeColor="text1"/>
          <w:lang w:val="en-AU"/>
        </w:rPr>
        <w:t>Introduction to the Mishnaic Text</w:t>
      </w:r>
      <w:r w:rsidRPr="00FB2D03">
        <w:rPr>
          <w:color w:val="000000" w:themeColor="text1"/>
          <w:lang w:val="en-AU"/>
        </w:rPr>
        <w:t xml:space="preserve">. Jerusalem: Magnes, 1948. </w:t>
      </w:r>
    </w:p>
    <w:p w14:paraId="7B63EA7A" w14:textId="77777777" w:rsidR="00412D77" w:rsidRPr="00FB2D03" w:rsidRDefault="00412D77" w:rsidP="00412D77">
      <w:pPr>
        <w:tabs>
          <w:tab w:val="left" w:pos="5616"/>
        </w:tabs>
        <w:rPr>
          <w:color w:val="000000" w:themeColor="text1"/>
          <w:lang w:val="en-AU"/>
        </w:rPr>
      </w:pPr>
    </w:p>
    <w:p w14:paraId="432743C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Introduction to Tannaitic Literature: Mishna, Tosephta and Halakhic Midrashim</w:t>
      </w:r>
      <w:r w:rsidRPr="00FB2D03">
        <w:rPr>
          <w:color w:val="000000" w:themeColor="text1"/>
          <w:lang w:val="en-AU"/>
        </w:rPr>
        <w:t xml:space="preserve">. </w:t>
      </w:r>
    </w:p>
    <w:p w14:paraId="54601411"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Jerusalem: Hebrew University, 1957. </w:t>
      </w:r>
    </w:p>
    <w:p w14:paraId="04EEA3CD" w14:textId="77777777" w:rsidR="00412D77" w:rsidRPr="00FB2D03" w:rsidRDefault="00412D77" w:rsidP="00412D77">
      <w:pPr>
        <w:tabs>
          <w:tab w:val="left" w:pos="5616"/>
        </w:tabs>
        <w:rPr>
          <w:color w:val="000000" w:themeColor="text1"/>
          <w:lang w:val="en-AU"/>
        </w:rPr>
      </w:pPr>
    </w:p>
    <w:p w14:paraId="520E97DC" w14:textId="77777777" w:rsidR="00412D77" w:rsidRPr="00FB2D03" w:rsidRDefault="00412D77" w:rsidP="00412D77">
      <w:pPr>
        <w:tabs>
          <w:tab w:val="left" w:pos="5616"/>
        </w:tabs>
        <w:rPr>
          <w:color w:val="000000" w:themeColor="text1"/>
          <w:lang w:val="en-AU"/>
        </w:rPr>
      </w:pPr>
      <w:r w:rsidRPr="00FB2D03">
        <w:rPr>
          <w:color w:val="000000" w:themeColor="text1"/>
          <w:lang w:val="en-AU"/>
        </w:rPr>
        <w:lastRenderedPageBreak/>
        <w:t xml:space="preserve">Epstein, J. </w:t>
      </w:r>
      <w:proofErr w:type="gramStart"/>
      <w:r w:rsidRPr="00FB2D03">
        <w:rPr>
          <w:color w:val="000000" w:themeColor="text1"/>
          <w:lang w:val="en-AU"/>
        </w:rPr>
        <w:t>N.</w:t>
      </w:r>
      <w:proofErr w:type="gramEnd"/>
      <w:r w:rsidRPr="00FB2D03">
        <w:rPr>
          <w:color w:val="000000" w:themeColor="text1"/>
          <w:lang w:val="en-AU"/>
        </w:rPr>
        <w:t xml:space="preserve"> and E. Z. Melamed, </w:t>
      </w:r>
      <w:r w:rsidRPr="00FB2D03">
        <w:rPr>
          <w:i/>
          <w:color w:val="000000" w:themeColor="text1"/>
          <w:lang w:val="en-AU"/>
        </w:rPr>
        <w:t>Mekhilta de–Rabbi Shimon bar Yochai</w:t>
      </w:r>
      <w:r w:rsidRPr="00FB2D03">
        <w:rPr>
          <w:color w:val="000000" w:themeColor="text1"/>
          <w:lang w:val="en-AU"/>
        </w:rPr>
        <w:t xml:space="preserve">. Jerusalem: </w:t>
      </w:r>
    </w:p>
    <w:p w14:paraId="14E4A918" w14:textId="074BC432" w:rsidR="00412D77" w:rsidRPr="00FB2D03" w:rsidRDefault="00412D77" w:rsidP="00AD1181">
      <w:pPr>
        <w:tabs>
          <w:tab w:val="left" w:pos="5616"/>
        </w:tabs>
        <w:ind w:left="720"/>
        <w:rPr>
          <w:color w:val="000000" w:themeColor="text1"/>
          <w:lang w:val="en-AU"/>
        </w:rPr>
      </w:pPr>
      <w:r w:rsidRPr="00FB2D03">
        <w:rPr>
          <w:color w:val="000000" w:themeColor="text1"/>
          <w:lang w:val="en-AU"/>
        </w:rPr>
        <w:t>Mekize Nirdamim, 1979.</w:t>
      </w:r>
    </w:p>
    <w:p w14:paraId="2337ACDA" w14:textId="77777777" w:rsidR="00412D77" w:rsidRPr="00FB2D03" w:rsidRDefault="00412D77" w:rsidP="00412D77">
      <w:pPr>
        <w:tabs>
          <w:tab w:val="left" w:pos="5616"/>
        </w:tabs>
        <w:rPr>
          <w:color w:val="000000" w:themeColor="text1"/>
          <w:lang w:val="en-AU"/>
        </w:rPr>
      </w:pPr>
    </w:p>
    <w:p w14:paraId="29EEE457" w14:textId="77777777" w:rsidR="00412D77" w:rsidRPr="00FB2D03" w:rsidRDefault="00412D77" w:rsidP="00412D77">
      <w:pPr>
        <w:tabs>
          <w:tab w:val="left" w:pos="5616"/>
        </w:tabs>
        <w:rPr>
          <w:i/>
          <w:color w:val="000000" w:themeColor="text1"/>
          <w:lang w:val="en-AU"/>
        </w:rPr>
      </w:pPr>
      <w:r w:rsidRPr="00FB2D03">
        <w:rPr>
          <w:color w:val="000000" w:themeColor="text1"/>
          <w:lang w:val="en-AU"/>
        </w:rPr>
        <w:t>Errico, Rocco A., George M Lamsa and George M Lamsa, </w:t>
      </w:r>
      <w:r w:rsidRPr="00FB2D03">
        <w:rPr>
          <w:i/>
          <w:color w:val="000000" w:themeColor="text1"/>
          <w:lang w:val="en-AU"/>
        </w:rPr>
        <w:t xml:space="preserve">Aramaic Light </w:t>
      </w:r>
      <w:proofErr w:type="gramStart"/>
      <w:r w:rsidRPr="00FB2D03">
        <w:rPr>
          <w:i/>
          <w:color w:val="000000" w:themeColor="text1"/>
          <w:lang w:val="en-AU"/>
        </w:rPr>
        <w:t>On</w:t>
      </w:r>
      <w:proofErr w:type="gramEnd"/>
      <w:r w:rsidRPr="00FB2D03">
        <w:rPr>
          <w:i/>
          <w:color w:val="000000" w:themeColor="text1"/>
          <w:lang w:val="en-AU"/>
        </w:rPr>
        <w:t xml:space="preserve"> Exodus </w:t>
      </w:r>
    </w:p>
    <w:p w14:paraId="4CBA9979"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Through Deuteronomy</w:t>
      </w:r>
      <w:r w:rsidRPr="00FB2D03">
        <w:rPr>
          <w:color w:val="000000" w:themeColor="text1"/>
          <w:lang w:val="en-AU"/>
        </w:rPr>
        <w:t>. Smyrna: Noohra, 2008.</w:t>
      </w:r>
    </w:p>
    <w:p w14:paraId="2D9E95D1" w14:textId="77777777" w:rsidR="00412D77" w:rsidRPr="00FB2D03" w:rsidRDefault="00412D77" w:rsidP="00412D77">
      <w:pPr>
        <w:tabs>
          <w:tab w:val="left" w:pos="5616"/>
        </w:tabs>
        <w:rPr>
          <w:color w:val="000000" w:themeColor="text1"/>
          <w:lang w:val="en-AU"/>
        </w:rPr>
      </w:pPr>
    </w:p>
    <w:p w14:paraId="37E64B1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Eshel, Hanan. </w:t>
      </w:r>
      <w:r w:rsidRPr="00FB2D03">
        <w:rPr>
          <w:i/>
          <w:color w:val="000000" w:themeColor="text1"/>
          <w:lang w:val="en-AU"/>
        </w:rPr>
        <w:t>The Dead Sea Scrolls and the Hasmonean State</w:t>
      </w:r>
      <w:r w:rsidRPr="00FB2D03">
        <w:rPr>
          <w:color w:val="000000" w:themeColor="text1"/>
          <w:lang w:val="en-AU"/>
        </w:rPr>
        <w:t xml:space="preserve">. Grand Rapids: Eerdmans, </w:t>
      </w:r>
    </w:p>
    <w:p w14:paraId="18DC8FB9"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2008. </w:t>
      </w:r>
    </w:p>
    <w:p w14:paraId="60826D2B" w14:textId="77777777" w:rsidR="00412D77" w:rsidRPr="00FB2D03" w:rsidRDefault="00412D77" w:rsidP="00412D77">
      <w:pPr>
        <w:tabs>
          <w:tab w:val="left" w:pos="5616"/>
        </w:tabs>
        <w:rPr>
          <w:color w:val="000000" w:themeColor="text1"/>
          <w:lang w:val="en-AU"/>
        </w:rPr>
      </w:pPr>
    </w:p>
    <w:p w14:paraId="06A2F6F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Esterson, Rebecca. “Allegory and Religious Pluralism: Biblical Interpretation in the </w:t>
      </w:r>
    </w:p>
    <w:p w14:paraId="34E95499" w14:textId="7D576AB0" w:rsidR="00412D77" w:rsidRPr="00FB2D03" w:rsidRDefault="00412D77" w:rsidP="00AD1181">
      <w:pPr>
        <w:tabs>
          <w:tab w:val="left" w:pos="5616"/>
        </w:tabs>
        <w:ind w:left="720"/>
        <w:rPr>
          <w:color w:val="000000" w:themeColor="text1"/>
          <w:lang w:val="en-AU"/>
        </w:rPr>
      </w:pPr>
      <w:r w:rsidRPr="00FB2D03">
        <w:rPr>
          <w:color w:val="000000" w:themeColor="text1"/>
          <w:lang w:val="en-AU"/>
        </w:rPr>
        <w:t>Eighteenth Century.” </w:t>
      </w:r>
      <w:r w:rsidRPr="00FB2D03">
        <w:rPr>
          <w:i/>
          <w:color w:val="000000" w:themeColor="text1"/>
          <w:lang w:val="en-AU"/>
        </w:rPr>
        <w:t xml:space="preserve">Journal </w:t>
      </w:r>
      <w:r w:rsidR="00DF2BEE" w:rsidRPr="00FB2D03">
        <w:rPr>
          <w:i/>
          <w:color w:val="000000" w:themeColor="text1"/>
          <w:lang w:val="en-AU"/>
        </w:rPr>
        <w:t xml:space="preserve">of the </w:t>
      </w:r>
      <w:r w:rsidRPr="00FB2D03">
        <w:rPr>
          <w:i/>
          <w:color w:val="000000" w:themeColor="text1"/>
          <w:lang w:val="en-AU"/>
        </w:rPr>
        <w:t xml:space="preserve">Bible and </w:t>
      </w:r>
      <w:r w:rsidR="00DF2BEE">
        <w:rPr>
          <w:i/>
          <w:color w:val="000000" w:themeColor="text1"/>
          <w:lang w:val="en-AU"/>
        </w:rPr>
        <w:t>i</w:t>
      </w:r>
      <w:r w:rsidRPr="00FB2D03">
        <w:rPr>
          <w:i/>
          <w:color w:val="000000" w:themeColor="text1"/>
          <w:lang w:val="en-AU"/>
        </w:rPr>
        <w:t>ts Reception</w:t>
      </w:r>
      <w:r w:rsidRPr="00FB2D03">
        <w:rPr>
          <w:color w:val="000000" w:themeColor="text1"/>
          <w:lang w:val="en-AU"/>
        </w:rPr>
        <w:t> 5 (2018): 111–39.</w:t>
      </w:r>
    </w:p>
    <w:p w14:paraId="7B66155E" w14:textId="164EC092" w:rsidR="00E3688F" w:rsidRPr="00FB2D03" w:rsidRDefault="00E3688F" w:rsidP="00E3688F">
      <w:pPr>
        <w:tabs>
          <w:tab w:val="left" w:pos="5616"/>
        </w:tabs>
        <w:rPr>
          <w:color w:val="000000" w:themeColor="text1"/>
          <w:lang w:val="en-AU"/>
        </w:rPr>
      </w:pPr>
    </w:p>
    <w:p w14:paraId="60724131" w14:textId="0BA0AC58" w:rsidR="00E3688F" w:rsidRPr="00FB2D03" w:rsidRDefault="00E3688F" w:rsidP="00E3688F">
      <w:pPr>
        <w:tabs>
          <w:tab w:val="left" w:pos="5616"/>
        </w:tabs>
        <w:rPr>
          <w:color w:val="000000" w:themeColor="text1"/>
          <w:lang w:val="en-AU"/>
        </w:rPr>
      </w:pPr>
      <w:r w:rsidRPr="00FB2D03">
        <w:rPr>
          <w:color w:val="000000" w:themeColor="text1"/>
          <w:lang w:val="en-AU"/>
        </w:rPr>
        <w:t xml:space="preserve">Eli, Eduardo Folster. “The Presence of the Covenant Motif in Hosea: </w:t>
      </w:r>
      <w:proofErr w:type="gramStart"/>
      <w:r w:rsidRPr="00FB2D03">
        <w:rPr>
          <w:color w:val="000000" w:themeColor="text1"/>
          <w:lang w:val="en-AU"/>
        </w:rPr>
        <w:t>An Intertextual</w:t>
      </w:r>
      <w:proofErr w:type="gramEnd"/>
      <w:r w:rsidRPr="00FB2D03">
        <w:rPr>
          <w:color w:val="000000" w:themeColor="text1"/>
          <w:lang w:val="en-AU"/>
        </w:rPr>
        <w:t xml:space="preserve"> </w:t>
      </w:r>
    </w:p>
    <w:p w14:paraId="663E599C" w14:textId="2E00751A" w:rsidR="00E3688F" w:rsidRPr="00FB2D03" w:rsidRDefault="00E3688F" w:rsidP="00E3688F">
      <w:pPr>
        <w:tabs>
          <w:tab w:val="left" w:pos="5616"/>
        </w:tabs>
        <w:ind w:left="720"/>
        <w:rPr>
          <w:color w:val="000000" w:themeColor="text1"/>
          <w:lang w:val="en-AU"/>
        </w:rPr>
      </w:pPr>
      <w:r w:rsidRPr="00FB2D03">
        <w:rPr>
          <w:color w:val="000000" w:themeColor="text1"/>
          <w:lang w:val="en-AU"/>
        </w:rPr>
        <w:t>Approach for the Last Oracle in the Book.” </w:t>
      </w:r>
      <w:r w:rsidRPr="00FB2D03">
        <w:rPr>
          <w:i/>
          <w:iCs/>
          <w:color w:val="000000" w:themeColor="text1"/>
          <w:lang w:val="en-AU"/>
        </w:rPr>
        <w:t>Jewish Bible Quarterly</w:t>
      </w:r>
      <w:r w:rsidRPr="00FB2D03">
        <w:rPr>
          <w:color w:val="000000" w:themeColor="text1"/>
          <w:lang w:val="en-AU"/>
        </w:rPr>
        <w:t> 45 (2017): 34–42.</w:t>
      </w:r>
    </w:p>
    <w:p w14:paraId="765F3683" w14:textId="77777777" w:rsidR="00412D77" w:rsidRPr="00FB2D03" w:rsidRDefault="00412D77" w:rsidP="00412D77">
      <w:pPr>
        <w:tabs>
          <w:tab w:val="left" w:pos="5616"/>
        </w:tabs>
        <w:rPr>
          <w:color w:val="000000" w:themeColor="text1"/>
          <w:lang w:val="en-AU"/>
        </w:rPr>
      </w:pPr>
    </w:p>
    <w:p w14:paraId="0DF0D6CB" w14:textId="77777777" w:rsidR="00C56068" w:rsidRPr="00FB2D03" w:rsidRDefault="00412D77" w:rsidP="00412D77">
      <w:pPr>
        <w:tabs>
          <w:tab w:val="left" w:pos="5616"/>
        </w:tabs>
        <w:rPr>
          <w:i/>
          <w:color w:val="000000" w:themeColor="text1"/>
          <w:lang w:val="en-AU"/>
        </w:rPr>
      </w:pPr>
      <w:r w:rsidRPr="00FB2D03">
        <w:rPr>
          <w:color w:val="000000" w:themeColor="text1"/>
          <w:lang w:val="en-AU"/>
        </w:rPr>
        <w:t xml:space="preserve">Evans, Craig A. “Jesus and the Dead Sea Scrolls.” In </w:t>
      </w:r>
      <w:r w:rsidRPr="00FB2D03">
        <w:rPr>
          <w:i/>
          <w:color w:val="000000" w:themeColor="text1"/>
          <w:lang w:val="en-AU"/>
        </w:rPr>
        <w:t xml:space="preserve">The Dead Sea Scrolls after Fifty Years: </w:t>
      </w:r>
    </w:p>
    <w:p w14:paraId="3DBB43FD" w14:textId="34326F9E" w:rsidR="00412D77" w:rsidRPr="00FB2D03" w:rsidRDefault="00412D77" w:rsidP="00AD1181">
      <w:pPr>
        <w:tabs>
          <w:tab w:val="left" w:pos="5616"/>
        </w:tabs>
        <w:ind w:left="720"/>
        <w:rPr>
          <w:color w:val="000000" w:themeColor="text1"/>
          <w:lang w:val="en-AU"/>
        </w:rPr>
      </w:pPr>
      <w:r w:rsidRPr="00FB2D03">
        <w:rPr>
          <w:i/>
          <w:color w:val="000000" w:themeColor="text1"/>
          <w:lang w:val="en-AU"/>
        </w:rPr>
        <w:t>A Comprehensive Assessment</w:t>
      </w:r>
      <w:r w:rsidRPr="00FB2D03">
        <w:rPr>
          <w:color w:val="000000" w:themeColor="text1"/>
          <w:lang w:val="en-AU"/>
        </w:rPr>
        <w:t>, ed. Peter W. Flint and James C. VanderKam, 2:573–598. Leiden: Brill, 1998–1999.</w:t>
      </w:r>
    </w:p>
    <w:p w14:paraId="542C1940" w14:textId="77777777" w:rsidR="00412D77" w:rsidRPr="00FB2D03" w:rsidRDefault="00412D77" w:rsidP="00412D77">
      <w:pPr>
        <w:tabs>
          <w:tab w:val="left" w:pos="5616"/>
        </w:tabs>
        <w:rPr>
          <w:color w:val="000000" w:themeColor="text1"/>
          <w:lang w:val="en-AU"/>
        </w:rPr>
      </w:pPr>
    </w:p>
    <w:p w14:paraId="3AD18C0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Fiala, Andrew. </w:t>
      </w:r>
      <w:r w:rsidRPr="00FB2D03">
        <w:rPr>
          <w:i/>
          <w:color w:val="000000" w:themeColor="text1"/>
          <w:lang w:val="en-AU"/>
        </w:rPr>
        <w:t>The Just War Myth: The Moral Illusions of War</w:t>
      </w:r>
      <w:r w:rsidRPr="00FB2D03">
        <w:rPr>
          <w:color w:val="000000" w:themeColor="text1"/>
          <w:lang w:val="en-AU"/>
        </w:rPr>
        <w:t xml:space="preserve">. Lanham: Rowman and </w:t>
      </w:r>
    </w:p>
    <w:p w14:paraId="13F507D0"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Littlefield, 2008.</w:t>
      </w:r>
    </w:p>
    <w:p w14:paraId="3A397D4C" w14:textId="77777777" w:rsidR="00412D77" w:rsidRPr="00FB2D03" w:rsidRDefault="00412D77" w:rsidP="00412D77">
      <w:pPr>
        <w:tabs>
          <w:tab w:val="left" w:pos="5616"/>
        </w:tabs>
        <w:rPr>
          <w:color w:val="000000" w:themeColor="text1"/>
          <w:lang w:val="en-AU"/>
        </w:rPr>
      </w:pPr>
    </w:p>
    <w:p w14:paraId="1B2338A4" w14:textId="77777777" w:rsidR="00C56068" w:rsidRPr="00FB2D03" w:rsidRDefault="00412D77" w:rsidP="00412D77">
      <w:pPr>
        <w:tabs>
          <w:tab w:val="left" w:pos="5616"/>
        </w:tabs>
        <w:rPr>
          <w:i/>
          <w:color w:val="000000" w:themeColor="text1"/>
          <w:lang w:val="en-AU"/>
        </w:rPr>
      </w:pPr>
      <w:r w:rsidRPr="00FB2D03">
        <w:rPr>
          <w:color w:val="000000" w:themeColor="text1"/>
          <w:lang w:val="en-AU"/>
        </w:rPr>
        <w:t xml:space="preserve">Fagenblat, Michael. “The Concept of Neighbour in Jewish and Christian Ethics.” In </w:t>
      </w:r>
      <w:r w:rsidRPr="00FB2D03">
        <w:rPr>
          <w:i/>
          <w:color w:val="000000" w:themeColor="text1"/>
          <w:lang w:val="en-AU"/>
        </w:rPr>
        <w:t xml:space="preserve">The </w:t>
      </w:r>
    </w:p>
    <w:p w14:paraId="4A889211" w14:textId="2604A463" w:rsidR="00412D77" w:rsidRPr="00FB2D03" w:rsidRDefault="00412D77" w:rsidP="00AD1181">
      <w:pPr>
        <w:tabs>
          <w:tab w:val="left" w:pos="5616"/>
        </w:tabs>
        <w:ind w:left="720"/>
        <w:rPr>
          <w:color w:val="000000" w:themeColor="text1"/>
          <w:lang w:val="en-AU"/>
        </w:rPr>
      </w:pPr>
      <w:r w:rsidRPr="00FB2D03">
        <w:rPr>
          <w:i/>
          <w:color w:val="000000" w:themeColor="text1"/>
          <w:lang w:val="en-AU"/>
        </w:rPr>
        <w:t>Jewish Annotated New Testament</w:t>
      </w:r>
      <w:r w:rsidRPr="00FB2D03">
        <w:rPr>
          <w:color w:val="000000" w:themeColor="text1"/>
          <w:lang w:val="en-AU"/>
        </w:rPr>
        <w:t>, ed. Amy-Jill Levine and Marc Zvi Brettler, 540–543. Oxford: Oxford University Press, 2011.</w:t>
      </w:r>
    </w:p>
    <w:p w14:paraId="74587E9F" w14:textId="77777777" w:rsidR="00412D77" w:rsidRPr="00FB2D03" w:rsidRDefault="00412D77" w:rsidP="00412D77">
      <w:pPr>
        <w:tabs>
          <w:tab w:val="left" w:pos="5616"/>
        </w:tabs>
        <w:rPr>
          <w:color w:val="000000" w:themeColor="text1"/>
          <w:lang w:val="en-AU"/>
        </w:rPr>
      </w:pPr>
    </w:p>
    <w:p w14:paraId="01FEA1E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Fahey, Joseph J. </w:t>
      </w:r>
      <w:proofErr w:type="gramStart"/>
      <w:r w:rsidRPr="00FB2D03">
        <w:rPr>
          <w:i/>
          <w:color w:val="000000" w:themeColor="text1"/>
          <w:lang w:val="en-AU"/>
        </w:rPr>
        <w:t>War</w:t>
      </w:r>
      <w:proofErr w:type="gramEnd"/>
      <w:r w:rsidRPr="00FB2D03">
        <w:rPr>
          <w:i/>
          <w:color w:val="000000" w:themeColor="text1"/>
          <w:lang w:val="en-AU"/>
        </w:rPr>
        <w:t xml:space="preserve"> and the Christian Conscience</w:t>
      </w:r>
      <w:r w:rsidRPr="00FB2D03">
        <w:rPr>
          <w:color w:val="000000" w:themeColor="text1"/>
          <w:lang w:val="en-AU"/>
        </w:rPr>
        <w:t>. Maryknoll: Orbis, 2008.</w:t>
      </w:r>
    </w:p>
    <w:p w14:paraId="20961CC5" w14:textId="77777777" w:rsidR="00412D77" w:rsidRPr="00FB2D03" w:rsidRDefault="00412D77" w:rsidP="00412D77">
      <w:pPr>
        <w:tabs>
          <w:tab w:val="left" w:pos="5616"/>
        </w:tabs>
        <w:rPr>
          <w:color w:val="000000" w:themeColor="text1"/>
          <w:lang w:val="en-AU"/>
        </w:rPr>
      </w:pPr>
    </w:p>
    <w:p w14:paraId="7281684F" w14:textId="77777777" w:rsidR="00C56068" w:rsidRPr="00FB2D03" w:rsidRDefault="00412D77" w:rsidP="00412D77">
      <w:pPr>
        <w:tabs>
          <w:tab w:val="left" w:pos="5616"/>
        </w:tabs>
        <w:rPr>
          <w:i/>
          <w:color w:val="000000" w:themeColor="text1"/>
          <w:lang w:val="en-AU"/>
        </w:rPr>
      </w:pPr>
      <w:r w:rsidRPr="00FB2D03">
        <w:rPr>
          <w:color w:val="000000" w:themeColor="text1"/>
          <w:lang w:val="en-AU"/>
        </w:rPr>
        <w:t>Feldman, L. H. “The identity of Pollio, the Pharisee, in Josephus.”</w:t>
      </w:r>
      <w:r w:rsidRPr="00FB2D03">
        <w:rPr>
          <w:i/>
          <w:color w:val="000000" w:themeColor="text1"/>
          <w:lang w:val="en-AU"/>
        </w:rPr>
        <w:t xml:space="preserve"> Jewish Quarterly </w:t>
      </w:r>
    </w:p>
    <w:p w14:paraId="39DA8317" w14:textId="171EDFCB"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Review </w:t>
      </w:r>
      <w:r w:rsidRPr="00FB2D03">
        <w:rPr>
          <w:color w:val="000000" w:themeColor="text1"/>
          <w:lang w:val="en-AU"/>
        </w:rPr>
        <w:t>49 (1958)</w:t>
      </w:r>
      <w:r w:rsidR="002A581C" w:rsidRPr="00FB2D03">
        <w:rPr>
          <w:color w:val="000000" w:themeColor="text1"/>
          <w:lang w:val="en-AU"/>
        </w:rPr>
        <w:t>:</w:t>
      </w:r>
      <w:r w:rsidRPr="00FB2D03">
        <w:rPr>
          <w:color w:val="000000" w:themeColor="text1"/>
          <w:lang w:val="en-AU"/>
        </w:rPr>
        <w:t xml:space="preserve"> 53–62.</w:t>
      </w:r>
    </w:p>
    <w:p w14:paraId="0EE3EBD1" w14:textId="77777777" w:rsidR="00412D77" w:rsidRPr="00FB2D03" w:rsidRDefault="00412D77" w:rsidP="00412D77">
      <w:pPr>
        <w:tabs>
          <w:tab w:val="left" w:pos="5616"/>
        </w:tabs>
        <w:rPr>
          <w:color w:val="000000" w:themeColor="text1"/>
          <w:lang w:val="en-AU"/>
        </w:rPr>
      </w:pPr>
    </w:p>
    <w:p w14:paraId="5CFAA9D6" w14:textId="77777777" w:rsidR="00C56068" w:rsidRPr="00FB2D03" w:rsidRDefault="00412D77" w:rsidP="00412D77">
      <w:pPr>
        <w:tabs>
          <w:tab w:val="left" w:pos="5616"/>
        </w:tabs>
        <w:rPr>
          <w:color w:val="000000" w:themeColor="text1"/>
          <w:lang w:val="en-AU"/>
        </w:rPr>
      </w:pPr>
      <w:r w:rsidRPr="00FB2D03">
        <w:rPr>
          <w:color w:val="000000" w:themeColor="text1"/>
          <w:lang w:val="en-AU"/>
        </w:rPr>
        <w:t xml:space="preserve">Ferda, Tucker S. “The Historical Jesus and the Law: The Form of His Activity and the </w:t>
      </w:r>
    </w:p>
    <w:p w14:paraId="58DA57F6" w14:textId="60BA0FBD" w:rsidR="00412D77" w:rsidRPr="00FB2D03" w:rsidRDefault="00412D77" w:rsidP="00AD1181">
      <w:pPr>
        <w:tabs>
          <w:tab w:val="left" w:pos="5616"/>
        </w:tabs>
        <w:ind w:left="720"/>
        <w:rPr>
          <w:color w:val="000000" w:themeColor="text1"/>
          <w:lang w:val="en-AU"/>
        </w:rPr>
      </w:pPr>
      <w:r w:rsidRPr="00FB2D03">
        <w:rPr>
          <w:color w:val="000000" w:themeColor="text1"/>
          <w:lang w:val="en-AU"/>
        </w:rPr>
        <w:t>Impact of Social Reputation.” </w:t>
      </w:r>
      <w:r w:rsidRPr="00FB2D03">
        <w:rPr>
          <w:i/>
          <w:color w:val="000000" w:themeColor="text1"/>
          <w:lang w:val="en-AU"/>
        </w:rPr>
        <w:t>The Catholic Biblical Quarterly</w:t>
      </w:r>
      <w:r w:rsidRPr="00FB2D03">
        <w:rPr>
          <w:color w:val="000000" w:themeColor="text1"/>
          <w:lang w:val="en-AU"/>
        </w:rPr>
        <w:t> 80 (2018): 62–80. </w:t>
      </w:r>
    </w:p>
    <w:p w14:paraId="4B6D6A8F" w14:textId="77777777" w:rsidR="00412D77" w:rsidRPr="00FB2D03" w:rsidRDefault="00412D77" w:rsidP="00412D77">
      <w:pPr>
        <w:tabs>
          <w:tab w:val="left" w:pos="5616"/>
        </w:tabs>
        <w:rPr>
          <w:color w:val="000000" w:themeColor="text1"/>
          <w:lang w:val="en-AU"/>
        </w:rPr>
      </w:pPr>
    </w:p>
    <w:p w14:paraId="3F9DC2E5" w14:textId="77777777" w:rsidR="00412D77" w:rsidRPr="00FB2D03" w:rsidRDefault="00412D77" w:rsidP="00412D77">
      <w:pPr>
        <w:tabs>
          <w:tab w:val="left" w:pos="5616"/>
        </w:tabs>
        <w:rPr>
          <w:color w:val="000000" w:themeColor="text1"/>
          <w:lang w:val="en-AU"/>
        </w:rPr>
      </w:pPr>
      <w:r w:rsidRPr="00FB2D03">
        <w:rPr>
          <w:color w:val="000000" w:themeColor="text1"/>
          <w:lang w:val="en-AU"/>
        </w:rPr>
        <w:t>Finkelstein, Louis. </w:t>
      </w:r>
      <w:r w:rsidRPr="00FB2D03">
        <w:rPr>
          <w:i/>
          <w:color w:val="000000" w:themeColor="text1"/>
          <w:lang w:val="en-AU"/>
        </w:rPr>
        <w:t>“An Eye for an Eye.”</w:t>
      </w:r>
      <w:r w:rsidRPr="00FB2D03">
        <w:rPr>
          <w:color w:val="000000" w:themeColor="text1"/>
          <w:lang w:val="en-AU"/>
        </w:rPr>
        <w:t xml:space="preserve"> </w:t>
      </w:r>
      <w:r w:rsidRPr="00FB2D03">
        <w:rPr>
          <w:i/>
          <w:color w:val="000000" w:themeColor="text1"/>
          <w:lang w:val="en-AU"/>
        </w:rPr>
        <w:t xml:space="preserve">The Menorah Journal </w:t>
      </w:r>
      <w:r w:rsidRPr="00FB2D03">
        <w:rPr>
          <w:iCs/>
          <w:color w:val="000000" w:themeColor="text1"/>
          <w:lang w:val="en-AU"/>
        </w:rPr>
        <w:t>24</w:t>
      </w:r>
      <w:r w:rsidRPr="00FB2D03">
        <w:rPr>
          <w:i/>
          <w:color w:val="000000" w:themeColor="text1"/>
          <w:lang w:val="en-AU"/>
        </w:rPr>
        <w:t xml:space="preserve"> </w:t>
      </w:r>
      <w:r w:rsidRPr="00FB2D03">
        <w:rPr>
          <w:color w:val="000000" w:themeColor="text1"/>
          <w:lang w:val="en-AU"/>
        </w:rPr>
        <w:t>(1936): 207–18.</w:t>
      </w:r>
    </w:p>
    <w:p w14:paraId="224AA7F4" w14:textId="77777777" w:rsidR="00412D77" w:rsidRPr="00FB2D03" w:rsidRDefault="00412D77" w:rsidP="00412D77">
      <w:pPr>
        <w:tabs>
          <w:tab w:val="left" w:pos="5616"/>
        </w:tabs>
        <w:rPr>
          <w:color w:val="000000" w:themeColor="text1"/>
          <w:lang w:val="en-AU"/>
        </w:rPr>
      </w:pPr>
    </w:p>
    <w:p w14:paraId="251A108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Pharisees</w:t>
      </w:r>
      <w:r w:rsidRPr="00FB2D03">
        <w:rPr>
          <w:color w:val="000000" w:themeColor="text1"/>
          <w:lang w:val="en-AU"/>
        </w:rPr>
        <w:t>. Cambridge: Harvard University Press, 1929.</w:t>
      </w:r>
    </w:p>
    <w:p w14:paraId="73F929E3" w14:textId="77777777" w:rsidR="00412D77" w:rsidRPr="00FB2D03" w:rsidRDefault="00412D77" w:rsidP="00412D77">
      <w:pPr>
        <w:tabs>
          <w:tab w:val="left" w:pos="5616"/>
        </w:tabs>
        <w:rPr>
          <w:color w:val="000000" w:themeColor="text1"/>
          <w:lang w:val="en-AU"/>
        </w:rPr>
      </w:pPr>
    </w:p>
    <w:p w14:paraId="00033BF8" w14:textId="77777777" w:rsidR="00C56068" w:rsidRPr="00FB2D03" w:rsidRDefault="00412D77" w:rsidP="00412D77">
      <w:pPr>
        <w:tabs>
          <w:tab w:val="left" w:pos="5616"/>
        </w:tabs>
        <w:rPr>
          <w:color w:val="000000" w:themeColor="text1"/>
          <w:lang w:val="en-AU"/>
        </w:rPr>
      </w:pPr>
      <w:r w:rsidRPr="00FB2D03">
        <w:rPr>
          <w:color w:val="000000" w:themeColor="text1"/>
          <w:lang w:val="en-AU"/>
        </w:rPr>
        <w:t xml:space="preserve">Firestone, Reuven. </w:t>
      </w:r>
      <w:r w:rsidRPr="00FB2D03">
        <w:rPr>
          <w:i/>
          <w:color w:val="000000" w:themeColor="text1"/>
          <w:lang w:val="en-AU"/>
        </w:rPr>
        <w:t xml:space="preserve">Holy War in Judaism: The Fall and Rise of a Controversial Idea. </w:t>
      </w:r>
      <w:r w:rsidRPr="00FB2D03">
        <w:rPr>
          <w:color w:val="000000" w:themeColor="text1"/>
          <w:lang w:val="en-AU"/>
        </w:rPr>
        <w:t xml:space="preserve">Oxford: </w:t>
      </w:r>
    </w:p>
    <w:p w14:paraId="38C8ECAA" w14:textId="73402CCA" w:rsidR="00412D77" w:rsidRPr="00FB2D03" w:rsidRDefault="00412D77" w:rsidP="00AD1181">
      <w:pPr>
        <w:tabs>
          <w:tab w:val="left" w:pos="5616"/>
        </w:tabs>
        <w:ind w:left="720"/>
        <w:rPr>
          <w:color w:val="000000" w:themeColor="text1"/>
          <w:lang w:val="en-AU"/>
        </w:rPr>
      </w:pPr>
      <w:r w:rsidRPr="00FB2D03">
        <w:rPr>
          <w:color w:val="000000" w:themeColor="text1"/>
          <w:lang w:val="en-AU"/>
        </w:rPr>
        <w:t>Oxford University Press, 2012.</w:t>
      </w:r>
    </w:p>
    <w:p w14:paraId="0F2C11B3" w14:textId="77777777" w:rsidR="00412D77" w:rsidRPr="00FB2D03" w:rsidRDefault="00412D77" w:rsidP="00412D77">
      <w:pPr>
        <w:tabs>
          <w:tab w:val="left" w:pos="5616"/>
        </w:tabs>
        <w:rPr>
          <w:color w:val="000000" w:themeColor="text1"/>
          <w:lang w:val="en-AU"/>
        </w:rPr>
      </w:pPr>
    </w:p>
    <w:p w14:paraId="5236DB2D" w14:textId="77777777" w:rsidR="00C56068" w:rsidRPr="00FB2D03" w:rsidRDefault="00412D77" w:rsidP="00412D77">
      <w:pPr>
        <w:tabs>
          <w:tab w:val="left" w:pos="5616"/>
        </w:tabs>
        <w:rPr>
          <w:i/>
          <w:color w:val="000000" w:themeColor="text1"/>
          <w:lang w:val="en-AU"/>
        </w:rPr>
      </w:pPr>
      <w:r w:rsidRPr="00FB2D03">
        <w:rPr>
          <w:color w:val="000000" w:themeColor="text1"/>
          <w:lang w:val="en-AU"/>
        </w:rPr>
        <w:t>Fisch, Yael. “The Origins of Oral Torah: A New Pauline Perspective.” </w:t>
      </w:r>
      <w:r w:rsidRPr="00FB2D03">
        <w:rPr>
          <w:i/>
          <w:color w:val="000000" w:themeColor="text1"/>
          <w:lang w:val="en-AU"/>
        </w:rPr>
        <w:t xml:space="preserve">Journal for the Study </w:t>
      </w:r>
    </w:p>
    <w:p w14:paraId="28AFAEA2" w14:textId="482518D7" w:rsidR="00412D77" w:rsidRPr="00FB2D03" w:rsidRDefault="00412D77" w:rsidP="00AD1181">
      <w:pPr>
        <w:tabs>
          <w:tab w:val="left" w:pos="5616"/>
        </w:tabs>
        <w:ind w:left="720"/>
        <w:rPr>
          <w:color w:val="000000" w:themeColor="text1"/>
          <w:lang w:val="en-AU"/>
        </w:rPr>
      </w:pPr>
      <w:r w:rsidRPr="00FB2D03">
        <w:rPr>
          <w:i/>
          <w:color w:val="000000" w:themeColor="text1"/>
          <w:lang w:val="en-AU"/>
        </w:rPr>
        <w:t>of Judaism: In the Persian Hellenistic &amp; Roman Period</w:t>
      </w:r>
      <w:r w:rsidRPr="00FB2D03">
        <w:rPr>
          <w:color w:val="000000" w:themeColor="text1"/>
          <w:lang w:val="en-AU"/>
        </w:rPr>
        <w:t xml:space="preserve"> 51 (2020): 43–66. </w:t>
      </w:r>
    </w:p>
    <w:p w14:paraId="76CB55F0" w14:textId="77777777" w:rsidR="00412D77" w:rsidRPr="00FB2D03" w:rsidRDefault="00412D77" w:rsidP="00412D77">
      <w:pPr>
        <w:tabs>
          <w:tab w:val="left" w:pos="5616"/>
        </w:tabs>
        <w:rPr>
          <w:color w:val="000000" w:themeColor="text1"/>
          <w:lang w:val="en-AU"/>
        </w:rPr>
      </w:pPr>
    </w:p>
    <w:p w14:paraId="363E8084" w14:textId="77777777" w:rsidR="00C56068" w:rsidRPr="00FB2D03" w:rsidRDefault="00412D77" w:rsidP="00412D77">
      <w:pPr>
        <w:tabs>
          <w:tab w:val="left" w:pos="5616"/>
        </w:tabs>
        <w:rPr>
          <w:color w:val="000000" w:themeColor="text1"/>
          <w:lang w:val="en-AU"/>
        </w:rPr>
      </w:pPr>
      <w:r w:rsidRPr="00FB2D03">
        <w:rPr>
          <w:color w:val="000000" w:themeColor="text1"/>
          <w:lang w:val="en-AU"/>
        </w:rPr>
        <w:t xml:space="preserve">Fischer, Irmtraud. “World Peace and ‘Holy War’ -- Two Sides of the Same Theological </w:t>
      </w:r>
    </w:p>
    <w:p w14:paraId="71ACD743" w14:textId="7F6A90B6" w:rsidR="00412D77" w:rsidRPr="00FB2D03" w:rsidRDefault="00412D77" w:rsidP="00AD1181">
      <w:pPr>
        <w:tabs>
          <w:tab w:val="left" w:pos="5616"/>
        </w:tabs>
        <w:ind w:left="720"/>
        <w:rPr>
          <w:color w:val="000000" w:themeColor="text1"/>
          <w:lang w:val="en-AU"/>
        </w:rPr>
      </w:pPr>
      <w:r w:rsidRPr="00FB2D03">
        <w:rPr>
          <w:color w:val="000000" w:themeColor="text1"/>
          <w:lang w:val="en-AU"/>
        </w:rPr>
        <w:t>Concept: ‘YHWH as Sole Divine Power’ (A Canonical-Intertextual Reading of Isaiah 2:1-5, Joel 4:9-21, and Micah 4:1-5).” In </w:t>
      </w:r>
      <w:r w:rsidRPr="00FB2D03">
        <w:rPr>
          <w:i/>
          <w:color w:val="000000" w:themeColor="text1"/>
          <w:lang w:val="en-AU"/>
        </w:rPr>
        <w:t>Isaiah’s Vision of Peace in Biblical and Modern International Relations: Swords into Plowshares</w:t>
      </w:r>
      <w:r w:rsidRPr="00FB2D03">
        <w:rPr>
          <w:color w:val="000000" w:themeColor="text1"/>
          <w:lang w:val="en-AU"/>
        </w:rPr>
        <w:t>, 151–65. New York, 2008.</w:t>
      </w:r>
    </w:p>
    <w:p w14:paraId="0ECB27F1" w14:textId="77777777" w:rsidR="00412D77" w:rsidRPr="00FB2D03" w:rsidRDefault="00412D77" w:rsidP="00412D77">
      <w:pPr>
        <w:tabs>
          <w:tab w:val="left" w:pos="5616"/>
        </w:tabs>
        <w:rPr>
          <w:color w:val="000000" w:themeColor="text1"/>
          <w:lang w:val="en-AU"/>
        </w:rPr>
      </w:pPr>
    </w:p>
    <w:p w14:paraId="1173BF22" w14:textId="77777777" w:rsidR="00C56068" w:rsidRPr="00FB2D03" w:rsidRDefault="00412D77" w:rsidP="00412D77">
      <w:pPr>
        <w:tabs>
          <w:tab w:val="left" w:pos="5616"/>
        </w:tabs>
        <w:rPr>
          <w:color w:val="000000" w:themeColor="text1"/>
          <w:lang w:val="en-AU"/>
        </w:rPr>
      </w:pPr>
      <w:r w:rsidRPr="00FB2D03">
        <w:rPr>
          <w:color w:val="000000" w:themeColor="text1"/>
          <w:lang w:val="en-AU"/>
        </w:rPr>
        <w:t xml:space="preserve">Fisher, Eugene. “Forgotten Origins: The Lost Jewish History of Jesus and Early </w:t>
      </w:r>
    </w:p>
    <w:p w14:paraId="22C8131B" w14:textId="36310403" w:rsidR="00412D77" w:rsidRPr="00FB2D03" w:rsidRDefault="00412D77" w:rsidP="00AD1181">
      <w:pPr>
        <w:tabs>
          <w:tab w:val="left" w:pos="5616"/>
        </w:tabs>
        <w:ind w:left="720"/>
        <w:rPr>
          <w:color w:val="000000" w:themeColor="text1"/>
          <w:lang w:val="en-AU"/>
        </w:rPr>
      </w:pPr>
      <w:r w:rsidRPr="00FB2D03">
        <w:rPr>
          <w:color w:val="000000" w:themeColor="text1"/>
          <w:lang w:val="en-AU"/>
        </w:rPr>
        <w:lastRenderedPageBreak/>
        <w:t>Christianity.” </w:t>
      </w:r>
      <w:r w:rsidRPr="00FB2D03">
        <w:rPr>
          <w:i/>
          <w:color w:val="000000" w:themeColor="text1"/>
          <w:lang w:val="en-AU"/>
        </w:rPr>
        <w:t>Journal of Ecumenical Studies</w:t>
      </w:r>
      <w:r w:rsidRPr="00FB2D03">
        <w:rPr>
          <w:color w:val="000000" w:themeColor="text1"/>
          <w:lang w:val="en-AU"/>
        </w:rPr>
        <w:t> 56 (2021): 152–53.</w:t>
      </w:r>
    </w:p>
    <w:p w14:paraId="7091C261" w14:textId="77777777" w:rsidR="00412D77" w:rsidRPr="00FB2D03" w:rsidRDefault="00412D77" w:rsidP="00412D77">
      <w:pPr>
        <w:tabs>
          <w:tab w:val="left" w:pos="5616"/>
        </w:tabs>
        <w:rPr>
          <w:color w:val="000000" w:themeColor="text1"/>
          <w:lang w:val="en-AU"/>
        </w:rPr>
      </w:pPr>
    </w:p>
    <w:p w14:paraId="6F3F08EA" w14:textId="77777777" w:rsidR="00A9215A" w:rsidRDefault="00412D77" w:rsidP="00A9215A">
      <w:pPr>
        <w:tabs>
          <w:tab w:val="left" w:pos="5616"/>
        </w:tabs>
        <w:rPr>
          <w:i/>
          <w:iCs/>
          <w:lang w:val="en-AU"/>
        </w:rPr>
      </w:pPr>
      <w:r w:rsidRPr="00FB2D03">
        <w:rPr>
          <w:color w:val="000000" w:themeColor="text1"/>
          <w:lang w:val="en-AU"/>
        </w:rPr>
        <w:t>Fishbane, Michael A. “Midrash and Messianism: Some Theologies of Suffering</w:t>
      </w:r>
      <w:r w:rsidR="00A9215A">
        <w:rPr>
          <w:color w:val="000000" w:themeColor="text1"/>
          <w:lang w:val="en-AU"/>
        </w:rPr>
        <w:t xml:space="preserve">” </w:t>
      </w:r>
      <w:r w:rsidR="00A9215A" w:rsidRPr="0072758C">
        <w:rPr>
          <w:lang w:val="en-AU"/>
        </w:rPr>
        <w:t xml:space="preserve">in </w:t>
      </w:r>
      <w:r w:rsidR="00A9215A" w:rsidRPr="0072758C">
        <w:rPr>
          <w:i/>
          <w:iCs/>
          <w:lang w:val="en-AU"/>
        </w:rPr>
        <w:t xml:space="preserve">Toward </w:t>
      </w:r>
    </w:p>
    <w:p w14:paraId="66B92A7F" w14:textId="55DF369D" w:rsidR="00A9215A" w:rsidRPr="00FB2D03" w:rsidRDefault="00A9215A" w:rsidP="00A9215A">
      <w:pPr>
        <w:tabs>
          <w:tab w:val="left" w:pos="5616"/>
        </w:tabs>
        <w:ind w:left="720"/>
        <w:rPr>
          <w:color w:val="000000" w:themeColor="text1"/>
          <w:lang w:val="en-AU"/>
        </w:rPr>
      </w:pPr>
      <w:r w:rsidRPr="0072758C">
        <w:rPr>
          <w:i/>
          <w:iCs/>
          <w:lang w:val="en-AU"/>
        </w:rPr>
        <w:t>the Millennium: Messianic Expectations from the Bible to Waco</w:t>
      </w:r>
      <w:r>
        <w:rPr>
          <w:i/>
          <w:iCs/>
          <w:lang w:val="en-AU"/>
        </w:rPr>
        <w:t>.</w:t>
      </w:r>
      <w:r w:rsidRPr="0072758C">
        <w:rPr>
          <w:i/>
          <w:iCs/>
          <w:lang w:val="en-AU"/>
        </w:rPr>
        <w:t xml:space="preserve"> </w:t>
      </w:r>
      <w:r w:rsidRPr="0072758C">
        <w:rPr>
          <w:lang w:val="en-AU"/>
        </w:rPr>
        <w:t>Leiden: Brill, 1998</w:t>
      </w:r>
      <w:r>
        <w:rPr>
          <w:lang w:val="en-AU"/>
        </w:rPr>
        <w:t>.</w:t>
      </w:r>
    </w:p>
    <w:p w14:paraId="671668DA" w14:textId="77777777" w:rsidR="00C56068" w:rsidRPr="00FB2D03" w:rsidRDefault="00C56068" w:rsidP="00412D77">
      <w:pPr>
        <w:tabs>
          <w:tab w:val="left" w:pos="5616"/>
        </w:tabs>
        <w:rPr>
          <w:color w:val="000000" w:themeColor="text1"/>
          <w:lang w:val="en-AU"/>
        </w:rPr>
      </w:pPr>
    </w:p>
    <w:p w14:paraId="5AC3B3F1" w14:textId="5AB66664" w:rsidR="00C56068" w:rsidRPr="00FB2D03" w:rsidRDefault="00412D77" w:rsidP="00412D77">
      <w:pPr>
        <w:tabs>
          <w:tab w:val="left" w:pos="5616"/>
        </w:tabs>
        <w:rPr>
          <w:color w:val="000000" w:themeColor="text1"/>
          <w:lang w:val="en-AU"/>
        </w:rPr>
      </w:pPr>
      <w:r w:rsidRPr="00FB2D03">
        <w:rPr>
          <w:color w:val="000000" w:themeColor="text1"/>
          <w:lang w:val="en-AU"/>
        </w:rPr>
        <w:t xml:space="preserve">Salvation.” In </w:t>
      </w:r>
      <w:r w:rsidRPr="00FB2D03">
        <w:rPr>
          <w:i/>
          <w:color w:val="000000" w:themeColor="text1"/>
          <w:lang w:val="en-AU"/>
        </w:rPr>
        <w:t xml:space="preserve">Toward the Millennium: Messianic Expectations from the Bible to Waco. </w:t>
      </w:r>
      <w:r w:rsidRPr="00FB2D03">
        <w:rPr>
          <w:color w:val="000000" w:themeColor="text1"/>
          <w:lang w:val="en-AU"/>
        </w:rPr>
        <w:t xml:space="preserve">ed. P. </w:t>
      </w:r>
    </w:p>
    <w:p w14:paraId="22DAFFB2" w14:textId="7464D170" w:rsidR="00412D77" w:rsidRPr="00FB2D03" w:rsidRDefault="00412D77" w:rsidP="00AD1181">
      <w:pPr>
        <w:tabs>
          <w:tab w:val="left" w:pos="5616"/>
        </w:tabs>
        <w:ind w:left="720"/>
        <w:rPr>
          <w:color w:val="000000" w:themeColor="text1"/>
          <w:lang w:val="en-AU"/>
        </w:rPr>
      </w:pPr>
      <w:r w:rsidRPr="00FB2D03">
        <w:rPr>
          <w:color w:val="000000" w:themeColor="text1"/>
          <w:lang w:val="en-AU"/>
        </w:rPr>
        <w:t>Schafer and M. R. Cohen. Leiden: Brill, 1998: 57–71.</w:t>
      </w:r>
    </w:p>
    <w:p w14:paraId="46901E44" w14:textId="77777777" w:rsidR="00412D77" w:rsidRPr="00FB2D03" w:rsidRDefault="00412D77" w:rsidP="00412D77">
      <w:pPr>
        <w:tabs>
          <w:tab w:val="left" w:pos="5616"/>
        </w:tabs>
        <w:rPr>
          <w:color w:val="000000" w:themeColor="text1"/>
          <w:lang w:val="en-AU"/>
        </w:rPr>
      </w:pPr>
    </w:p>
    <w:p w14:paraId="7E70BB43" w14:textId="77777777" w:rsidR="00C56068" w:rsidRPr="00FB2D03" w:rsidRDefault="00412D77" w:rsidP="00412D77">
      <w:pPr>
        <w:tabs>
          <w:tab w:val="left" w:pos="5616"/>
        </w:tabs>
        <w:rPr>
          <w:color w:val="000000" w:themeColor="text1"/>
          <w:lang w:val="en-AU"/>
        </w:rPr>
      </w:pPr>
      <w:r w:rsidRPr="00FB2D03">
        <w:rPr>
          <w:color w:val="000000" w:themeColor="text1"/>
          <w:lang w:val="en-AU"/>
        </w:rPr>
        <w:t xml:space="preserve">Fitzmyer, J. A. “Divorce among First–Century Palestinian Jews.” </w:t>
      </w:r>
      <w:r w:rsidRPr="00FB2D03">
        <w:rPr>
          <w:i/>
          <w:color w:val="000000" w:themeColor="text1"/>
          <w:lang w:val="en-AU"/>
        </w:rPr>
        <w:t>Eretz Yisrael</w:t>
      </w:r>
      <w:r w:rsidRPr="00FB2D03">
        <w:rPr>
          <w:color w:val="000000" w:themeColor="text1"/>
          <w:lang w:val="en-AU"/>
        </w:rPr>
        <w:t xml:space="preserve"> 14 (1978): </w:t>
      </w:r>
    </w:p>
    <w:p w14:paraId="21E5DEF0" w14:textId="7A4D317E" w:rsidR="00412D77" w:rsidRPr="00FB2D03" w:rsidRDefault="00412D77" w:rsidP="00AD1181">
      <w:pPr>
        <w:tabs>
          <w:tab w:val="left" w:pos="5616"/>
        </w:tabs>
        <w:ind w:left="720"/>
        <w:rPr>
          <w:color w:val="000000" w:themeColor="text1"/>
          <w:lang w:val="en-AU"/>
        </w:rPr>
      </w:pPr>
      <w:r w:rsidRPr="00FB2D03">
        <w:rPr>
          <w:color w:val="000000" w:themeColor="text1"/>
          <w:lang w:val="en-AU"/>
        </w:rPr>
        <w:t>103–10.</w:t>
      </w:r>
    </w:p>
    <w:p w14:paraId="0AA65490" w14:textId="77777777" w:rsidR="00412D77" w:rsidRPr="00FB2D03" w:rsidRDefault="00412D77" w:rsidP="00412D77">
      <w:pPr>
        <w:tabs>
          <w:tab w:val="left" w:pos="5616"/>
        </w:tabs>
        <w:rPr>
          <w:color w:val="000000" w:themeColor="text1"/>
          <w:lang w:val="en-AU"/>
        </w:rPr>
      </w:pPr>
    </w:p>
    <w:p w14:paraId="2A06D4B5"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Dead Sea Scrolls and Christian Origins</w:t>
      </w:r>
      <w:r w:rsidRPr="00FB2D03">
        <w:rPr>
          <w:color w:val="000000" w:themeColor="text1"/>
          <w:lang w:val="en-AU"/>
        </w:rPr>
        <w:t>. Grand Rapids: Eerdmans, 2000.</w:t>
      </w:r>
    </w:p>
    <w:p w14:paraId="631AE6AA" w14:textId="77777777" w:rsidR="00412D77" w:rsidRPr="00FB2D03" w:rsidRDefault="00412D77" w:rsidP="00412D77">
      <w:pPr>
        <w:tabs>
          <w:tab w:val="left" w:pos="5616"/>
        </w:tabs>
        <w:rPr>
          <w:color w:val="000000" w:themeColor="text1"/>
          <w:lang w:val="en-AU"/>
        </w:rPr>
      </w:pPr>
    </w:p>
    <w:p w14:paraId="1A0FE978"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One Who is to Come</w:t>
      </w:r>
      <w:r w:rsidRPr="00FB2D03">
        <w:rPr>
          <w:color w:val="000000" w:themeColor="text1"/>
          <w:lang w:val="en-AU"/>
        </w:rPr>
        <w:t>. Grand Rapids: Eerdmans, 2007.</w:t>
      </w:r>
    </w:p>
    <w:p w14:paraId="6F7C4EAC" w14:textId="77777777" w:rsidR="00412D77" w:rsidRPr="00FB2D03" w:rsidRDefault="00412D77" w:rsidP="00412D77">
      <w:pPr>
        <w:tabs>
          <w:tab w:val="left" w:pos="5616"/>
        </w:tabs>
        <w:rPr>
          <w:color w:val="000000" w:themeColor="text1"/>
          <w:lang w:val="en-AU"/>
        </w:rPr>
      </w:pPr>
    </w:p>
    <w:p w14:paraId="0DD8C915" w14:textId="77777777" w:rsidR="00C56068" w:rsidRPr="00FB2D03" w:rsidRDefault="00412D77" w:rsidP="00412D77">
      <w:pPr>
        <w:tabs>
          <w:tab w:val="left" w:pos="5616"/>
        </w:tabs>
        <w:rPr>
          <w:color w:val="000000" w:themeColor="text1"/>
          <w:lang w:val="en-AU"/>
        </w:rPr>
      </w:pPr>
      <w:r w:rsidRPr="00FB2D03">
        <w:rPr>
          <w:color w:val="000000" w:themeColor="text1"/>
          <w:lang w:val="en-AU"/>
        </w:rPr>
        <w:t xml:space="preserve">Flannery, Edwin H. </w:t>
      </w:r>
      <w:r w:rsidRPr="00FB2D03">
        <w:rPr>
          <w:i/>
          <w:color w:val="000000" w:themeColor="text1"/>
          <w:lang w:val="en-AU"/>
        </w:rPr>
        <w:t xml:space="preserve">The Anguish of the Jews: Twenty–three Centuries of </w:t>
      </w:r>
      <w:proofErr w:type="gramStart"/>
      <w:r w:rsidRPr="00FB2D03">
        <w:rPr>
          <w:i/>
          <w:color w:val="000000" w:themeColor="text1"/>
          <w:lang w:val="en-AU"/>
        </w:rPr>
        <w:t>Anti–Semitism</w:t>
      </w:r>
      <w:proofErr w:type="gramEnd"/>
      <w:r w:rsidRPr="00FB2D03">
        <w:rPr>
          <w:color w:val="000000" w:themeColor="text1"/>
          <w:lang w:val="en-AU"/>
        </w:rPr>
        <w:t xml:space="preserve">. New </w:t>
      </w:r>
    </w:p>
    <w:p w14:paraId="0EE31187" w14:textId="5156E695" w:rsidR="00412D77" w:rsidRPr="00FB2D03" w:rsidRDefault="00412D77" w:rsidP="00AD1181">
      <w:pPr>
        <w:tabs>
          <w:tab w:val="left" w:pos="5616"/>
        </w:tabs>
        <w:ind w:left="720"/>
        <w:rPr>
          <w:color w:val="000000" w:themeColor="text1"/>
          <w:lang w:val="en-AU"/>
        </w:rPr>
      </w:pPr>
      <w:r w:rsidRPr="00FB2D03">
        <w:rPr>
          <w:color w:val="000000" w:themeColor="text1"/>
          <w:lang w:val="en-AU"/>
        </w:rPr>
        <w:t>York: Macmillan, 1965.</w:t>
      </w:r>
    </w:p>
    <w:p w14:paraId="38241108" w14:textId="77777777" w:rsidR="00412D77" w:rsidRPr="00FB2D03" w:rsidRDefault="00412D77" w:rsidP="00412D77">
      <w:pPr>
        <w:tabs>
          <w:tab w:val="left" w:pos="5616"/>
        </w:tabs>
        <w:rPr>
          <w:color w:val="000000" w:themeColor="text1"/>
          <w:lang w:val="en-AU"/>
        </w:rPr>
      </w:pPr>
    </w:p>
    <w:p w14:paraId="5AAE2118"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Flatto, David C. “Constructing Justice: The Selective Use of Scripture in Formulating Early </w:t>
      </w:r>
    </w:p>
    <w:p w14:paraId="6538709B"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Jewish Accounts of the Courts.” </w:t>
      </w:r>
      <w:r w:rsidRPr="00FB2D03">
        <w:rPr>
          <w:i/>
          <w:color w:val="000000" w:themeColor="text1"/>
          <w:lang w:val="en-AU"/>
        </w:rPr>
        <w:t>Harvard Theological Review</w:t>
      </w:r>
      <w:r w:rsidRPr="00FB2D03">
        <w:rPr>
          <w:color w:val="000000" w:themeColor="text1"/>
          <w:lang w:val="en-AU"/>
        </w:rPr>
        <w:t> 111 (2018): 488–515.</w:t>
      </w:r>
    </w:p>
    <w:p w14:paraId="4144D0D0" w14:textId="77777777" w:rsidR="00412D77" w:rsidRPr="00FB2D03" w:rsidRDefault="00412D77" w:rsidP="00412D77">
      <w:pPr>
        <w:tabs>
          <w:tab w:val="left" w:pos="5616"/>
        </w:tabs>
        <w:rPr>
          <w:color w:val="000000" w:themeColor="text1"/>
          <w:lang w:val="en-AU"/>
        </w:rPr>
      </w:pPr>
    </w:p>
    <w:p w14:paraId="080B81A0" w14:textId="77777777" w:rsidR="00412D77" w:rsidRPr="00FB2D03" w:rsidRDefault="00412D77" w:rsidP="00412D77">
      <w:pPr>
        <w:tabs>
          <w:tab w:val="left" w:pos="5616"/>
        </w:tabs>
        <w:rPr>
          <w:i/>
          <w:color w:val="000000" w:themeColor="text1"/>
          <w:lang w:val="en-AU"/>
        </w:rPr>
      </w:pPr>
      <w:r w:rsidRPr="00FB2D03">
        <w:rPr>
          <w:color w:val="000000" w:themeColor="text1"/>
          <w:lang w:val="en-AU"/>
        </w:rPr>
        <w:t>Flowers, Michael. “The Two Messiahs and Melchiedek in 11QMelchizedek.” </w:t>
      </w:r>
      <w:r w:rsidRPr="00FB2D03">
        <w:rPr>
          <w:i/>
          <w:color w:val="000000" w:themeColor="text1"/>
          <w:lang w:val="en-AU"/>
        </w:rPr>
        <w:t xml:space="preserve">Journal of </w:t>
      </w:r>
    </w:p>
    <w:p w14:paraId="3C78843B" w14:textId="77777777" w:rsidR="00412D77" w:rsidRPr="00FB2D03" w:rsidRDefault="00412D77" w:rsidP="00AD1181">
      <w:pPr>
        <w:tabs>
          <w:tab w:val="left" w:pos="5616"/>
        </w:tabs>
        <w:ind w:left="720"/>
        <w:rPr>
          <w:color w:val="000000" w:themeColor="text1"/>
          <w:lang w:val="en-AU"/>
        </w:rPr>
      </w:pPr>
      <w:r w:rsidRPr="00FB2D03">
        <w:rPr>
          <w:i/>
          <w:color w:val="000000" w:themeColor="text1"/>
          <w:lang w:val="en-AU"/>
        </w:rPr>
        <w:t>Ancient Judaism</w:t>
      </w:r>
      <w:r w:rsidRPr="00FB2D03">
        <w:rPr>
          <w:color w:val="000000" w:themeColor="text1"/>
          <w:lang w:val="en-AU"/>
        </w:rPr>
        <w:t> 7 (2016): 194–227.</w:t>
      </w:r>
    </w:p>
    <w:p w14:paraId="7675B29B" w14:textId="77777777" w:rsidR="00412D77" w:rsidRPr="00FB2D03" w:rsidRDefault="00412D77" w:rsidP="00412D77">
      <w:pPr>
        <w:tabs>
          <w:tab w:val="left" w:pos="5616"/>
        </w:tabs>
        <w:rPr>
          <w:color w:val="000000" w:themeColor="text1"/>
          <w:lang w:val="en-AU"/>
        </w:rPr>
      </w:pPr>
    </w:p>
    <w:p w14:paraId="5CA37DCF" w14:textId="77777777" w:rsidR="00C56068" w:rsidRPr="00FB2D03" w:rsidRDefault="00412D77" w:rsidP="00412D77">
      <w:pPr>
        <w:tabs>
          <w:tab w:val="left" w:pos="5616"/>
        </w:tabs>
        <w:rPr>
          <w:i/>
          <w:color w:val="000000" w:themeColor="text1"/>
          <w:lang w:val="en-AU"/>
        </w:rPr>
      </w:pPr>
      <w:r w:rsidRPr="00FB2D03">
        <w:rPr>
          <w:color w:val="000000" w:themeColor="text1"/>
          <w:lang w:val="en-AU"/>
        </w:rPr>
        <w:t xml:space="preserve">Floyd, Michael H. </w:t>
      </w:r>
      <w:r w:rsidRPr="00FB2D03">
        <w:rPr>
          <w:i/>
          <w:color w:val="000000" w:themeColor="text1"/>
          <w:lang w:val="en-AU"/>
        </w:rPr>
        <w:t xml:space="preserve">Introduction to Prophets, Prophecy, and Prophetic Texts in Second </w:t>
      </w:r>
    </w:p>
    <w:p w14:paraId="1C51E916" w14:textId="67C3C683" w:rsidR="00412D77" w:rsidRPr="00FB2D03" w:rsidRDefault="00412D77" w:rsidP="00AD1181">
      <w:pPr>
        <w:tabs>
          <w:tab w:val="left" w:pos="5616"/>
        </w:tabs>
        <w:ind w:left="720"/>
        <w:rPr>
          <w:color w:val="000000" w:themeColor="text1"/>
          <w:lang w:val="en-AU"/>
        </w:rPr>
      </w:pPr>
      <w:r w:rsidRPr="00FB2D03">
        <w:rPr>
          <w:i/>
          <w:color w:val="000000" w:themeColor="text1"/>
          <w:lang w:val="en-AU"/>
        </w:rPr>
        <w:t>Temple Judaism</w:t>
      </w:r>
      <w:r w:rsidRPr="00FB2D03">
        <w:rPr>
          <w:color w:val="000000" w:themeColor="text1"/>
          <w:lang w:val="en-AU"/>
        </w:rPr>
        <w:t xml:space="preserve">. ed. Michael Floyd and Robert Haak. York: T. &amp; T. Clark, 2006. </w:t>
      </w:r>
    </w:p>
    <w:p w14:paraId="0D679F60" w14:textId="77777777" w:rsidR="00412D77" w:rsidRPr="00FB2D03" w:rsidRDefault="00412D77" w:rsidP="00412D77">
      <w:pPr>
        <w:tabs>
          <w:tab w:val="left" w:pos="5616"/>
        </w:tabs>
        <w:rPr>
          <w:color w:val="000000" w:themeColor="text1"/>
          <w:lang w:val="en-AU"/>
        </w:rPr>
      </w:pPr>
    </w:p>
    <w:p w14:paraId="68C9E772" w14:textId="77777777" w:rsidR="00C56068" w:rsidRPr="00FB2D03" w:rsidRDefault="00412D77" w:rsidP="00412D77">
      <w:pPr>
        <w:tabs>
          <w:tab w:val="left" w:pos="5616"/>
        </w:tabs>
        <w:rPr>
          <w:color w:val="000000" w:themeColor="text1"/>
          <w:lang w:val="en-AU"/>
        </w:rPr>
      </w:pPr>
      <w:r w:rsidRPr="00FB2D03">
        <w:rPr>
          <w:color w:val="000000" w:themeColor="text1"/>
          <w:lang w:val="en-AU"/>
        </w:rPr>
        <w:t>Flusser, David., Azzan. Yadin, and David. Bivin. </w:t>
      </w:r>
      <w:r w:rsidRPr="00FB2D03">
        <w:rPr>
          <w:i/>
          <w:color w:val="000000" w:themeColor="text1"/>
          <w:lang w:val="en-AU"/>
        </w:rPr>
        <w:t xml:space="preserve">Judaism of the Second Temple Period, </w:t>
      </w:r>
      <w:r w:rsidRPr="00FB2D03">
        <w:rPr>
          <w:color w:val="000000" w:themeColor="text1"/>
          <w:lang w:val="en-AU"/>
        </w:rPr>
        <w:t xml:space="preserve">Vol. </w:t>
      </w:r>
    </w:p>
    <w:p w14:paraId="5B59EA0F" w14:textId="66C6842F" w:rsidR="00412D77" w:rsidRPr="00FB2D03" w:rsidRDefault="00412D77" w:rsidP="00AD1181">
      <w:pPr>
        <w:tabs>
          <w:tab w:val="left" w:pos="5616"/>
        </w:tabs>
        <w:ind w:left="720"/>
        <w:rPr>
          <w:color w:val="000000" w:themeColor="text1"/>
          <w:lang w:val="en-AU"/>
        </w:rPr>
      </w:pPr>
      <w:r w:rsidRPr="00FB2D03">
        <w:rPr>
          <w:color w:val="000000" w:themeColor="text1"/>
          <w:lang w:val="en-AU"/>
        </w:rPr>
        <w:t>1</w:t>
      </w:r>
      <w:r w:rsidRPr="00FB2D03">
        <w:rPr>
          <w:i/>
          <w:color w:val="000000" w:themeColor="text1"/>
          <w:lang w:val="en-AU"/>
        </w:rPr>
        <w:t>, Qumran and Apocalypticism</w:t>
      </w:r>
      <w:r w:rsidRPr="00FB2D03">
        <w:rPr>
          <w:color w:val="000000" w:themeColor="text1"/>
          <w:lang w:val="en-AU"/>
        </w:rPr>
        <w:t>. Grand Rapids: Eerdmans, 2007.</w:t>
      </w:r>
    </w:p>
    <w:p w14:paraId="23752688" w14:textId="77777777" w:rsidR="00412D77" w:rsidRPr="00FB2D03" w:rsidRDefault="00412D77" w:rsidP="00412D77">
      <w:pPr>
        <w:tabs>
          <w:tab w:val="left" w:pos="5616"/>
        </w:tabs>
        <w:rPr>
          <w:color w:val="000000" w:themeColor="text1"/>
          <w:lang w:val="en-AU"/>
        </w:rPr>
      </w:pPr>
    </w:p>
    <w:p w14:paraId="6053E427" w14:textId="534FEB48" w:rsidR="00412D77" w:rsidRPr="00FB2D03" w:rsidRDefault="00412D77" w:rsidP="00412D77">
      <w:pPr>
        <w:tabs>
          <w:tab w:val="left" w:pos="5616"/>
        </w:tabs>
        <w:rPr>
          <w:color w:val="000000" w:themeColor="text1"/>
          <w:lang w:val="en-AU"/>
        </w:rPr>
      </w:pPr>
      <w:r w:rsidRPr="00FB2D03">
        <w:rPr>
          <w:color w:val="000000" w:themeColor="text1"/>
          <w:lang w:val="en-AU"/>
        </w:rPr>
        <w:t>Foster, Paul. “Matthew and the Mishnah.” </w:t>
      </w:r>
      <w:r w:rsidRPr="00FB2D03">
        <w:rPr>
          <w:i/>
          <w:color w:val="000000" w:themeColor="text1"/>
          <w:lang w:val="en-AU"/>
        </w:rPr>
        <w:t>Expository Times</w:t>
      </w:r>
      <w:r w:rsidRPr="00FB2D03">
        <w:rPr>
          <w:color w:val="000000" w:themeColor="text1"/>
          <w:lang w:val="en-AU"/>
        </w:rPr>
        <w:t> 128 (2017): 305–6.</w:t>
      </w:r>
    </w:p>
    <w:p w14:paraId="0D64A794" w14:textId="77777777" w:rsidR="00412D77" w:rsidRPr="00FB2D03" w:rsidRDefault="00412D77" w:rsidP="00412D77">
      <w:pPr>
        <w:tabs>
          <w:tab w:val="left" w:pos="5616"/>
        </w:tabs>
        <w:rPr>
          <w:color w:val="000000" w:themeColor="text1"/>
          <w:lang w:val="en-AU"/>
        </w:rPr>
      </w:pPr>
    </w:p>
    <w:p w14:paraId="195C6BC4" w14:textId="77777777" w:rsidR="00C56068" w:rsidRPr="00FB2D03" w:rsidRDefault="00412D77" w:rsidP="00412D77">
      <w:pPr>
        <w:tabs>
          <w:tab w:val="left" w:pos="5616"/>
        </w:tabs>
        <w:rPr>
          <w:color w:val="000000" w:themeColor="text1"/>
          <w:lang w:val="en-AU"/>
        </w:rPr>
      </w:pPr>
      <w:r w:rsidRPr="00FB2D03">
        <w:rPr>
          <w:color w:val="000000" w:themeColor="text1"/>
          <w:lang w:val="en-AU"/>
        </w:rPr>
        <w:t>Foster, Paul. </w:t>
      </w:r>
      <w:r w:rsidRPr="00FB2D03">
        <w:rPr>
          <w:i/>
          <w:color w:val="000000" w:themeColor="text1"/>
          <w:lang w:val="en-AU"/>
        </w:rPr>
        <w:t xml:space="preserve">Community, </w:t>
      </w:r>
      <w:proofErr w:type="gramStart"/>
      <w:r w:rsidRPr="00FB2D03">
        <w:rPr>
          <w:i/>
          <w:color w:val="000000" w:themeColor="text1"/>
          <w:lang w:val="en-AU"/>
        </w:rPr>
        <w:t>Law</w:t>
      </w:r>
      <w:proofErr w:type="gramEnd"/>
      <w:r w:rsidRPr="00FB2D03">
        <w:rPr>
          <w:i/>
          <w:color w:val="000000" w:themeColor="text1"/>
          <w:lang w:val="en-AU"/>
        </w:rPr>
        <w:t xml:space="preserve"> and Mission in Matthew’s Gospel</w:t>
      </w:r>
      <w:r w:rsidRPr="00FB2D03">
        <w:rPr>
          <w:color w:val="000000" w:themeColor="text1"/>
          <w:lang w:val="en-AU"/>
        </w:rPr>
        <w:t xml:space="preserve">. Tübingen: Mohr Siebeck, </w:t>
      </w:r>
    </w:p>
    <w:p w14:paraId="697D9275" w14:textId="2EAF6257" w:rsidR="00412D77" w:rsidRPr="00FB2D03" w:rsidRDefault="00412D77" w:rsidP="00AD1181">
      <w:pPr>
        <w:tabs>
          <w:tab w:val="left" w:pos="5616"/>
        </w:tabs>
        <w:ind w:left="720"/>
        <w:rPr>
          <w:color w:val="000000" w:themeColor="text1"/>
          <w:lang w:val="en-AU"/>
        </w:rPr>
      </w:pPr>
      <w:r w:rsidRPr="00FB2D03">
        <w:rPr>
          <w:color w:val="000000" w:themeColor="text1"/>
          <w:lang w:val="en-AU"/>
        </w:rPr>
        <w:t>2004.</w:t>
      </w:r>
    </w:p>
    <w:p w14:paraId="11688D77" w14:textId="77777777" w:rsidR="00412D77" w:rsidRPr="00FB2D03" w:rsidRDefault="00412D77" w:rsidP="00412D77">
      <w:pPr>
        <w:tabs>
          <w:tab w:val="left" w:pos="5616"/>
        </w:tabs>
        <w:rPr>
          <w:color w:val="000000" w:themeColor="text1"/>
          <w:lang w:val="en-AU"/>
        </w:rPr>
      </w:pPr>
    </w:p>
    <w:p w14:paraId="3B968BE3" w14:textId="77777777" w:rsidR="00C56068" w:rsidRPr="00FB2D03" w:rsidRDefault="00412D77" w:rsidP="00412D77">
      <w:pPr>
        <w:tabs>
          <w:tab w:val="left" w:pos="5616"/>
        </w:tabs>
        <w:rPr>
          <w:i/>
          <w:color w:val="000000" w:themeColor="text1"/>
          <w:lang w:val="en-AU"/>
        </w:rPr>
      </w:pPr>
      <w:r w:rsidRPr="00FB2D03">
        <w:rPr>
          <w:color w:val="000000" w:themeColor="text1"/>
          <w:lang w:val="en-AU"/>
        </w:rPr>
        <w:t xml:space="preserve">France, Richard T. </w:t>
      </w:r>
      <w:r w:rsidRPr="00FB2D03">
        <w:rPr>
          <w:i/>
          <w:color w:val="000000" w:themeColor="text1"/>
          <w:lang w:val="en-AU"/>
        </w:rPr>
        <w:t>The Gospel of Matthew</w:t>
      </w:r>
      <w:r w:rsidRPr="00FB2D03">
        <w:rPr>
          <w:color w:val="000000" w:themeColor="text1"/>
          <w:lang w:val="en-AU"/>
        </w:rPr>
        <w:t xml:space="preserve">, </w:t>
      </w:r>
      <w:r w:rsidRPr="00FB2D03">
        <w:rPr>
          <w:i/>
          <w:color w:val="000000" w:themeColor="text1"/>
          <w:lang w:val="en-AU"/>
        </w:rPr>
        <w:t xml:space="preserve">The New International Commentary on the New </w:t>
      </w:r>
    </w:p>
    <w:p w14:paraId="7307C47A" w14:textId="20AD8365" w:rsidR="00412D77" w:rsidRPr="00FB2D03" w:rsidRDefault="00412D77" w:rsidP="00AD1181">
      <w:pPr>
        <w:tabs>
          <w:tab w:val="left" w:pos="5616"/>
        </w:tabs>
        <w:ind w:left="720"/>
        <w:rPr>
          <w:color w:val="000000" w:themeColor="text1"/>
          <w:lang w:val="en-AU"/>
        </w:rPr>
      </w:pPr>
      <w:r w:rsidRPr="00FB2D03">
        <w:rPr>
          <w:i/>
          <w:color w:val="000000" w:themeColor="text1"/>
          <w:lang w:val="en-AU"/>
        </w:rPr>
        <w:t>Testament</w:t>
      </w:r>
      <w:r w:rsidRPr="00FB2D03">
        <w:rPr>
          <w:color w:val="000000" w:themeColor="text1"/>
          <w:lang w:val="en-AU"/>
        </w:rPr>
        <w:t>. Grand Rapids: Eerdmans, 2007.</w:t>
      </w:r>
    </w:p>
    <w:p w14:paraId="0C0969A5" w14:textId="77777777" w:rsidR="00412D77" w:rsidRPr="00FB2D03" w:rsidRDefault="00412D77" w:rsidP="00412D77">
      <w:pPr>
        <w:tabs>
          <w:tab w:val="left" w:pos="5616"/>
        </w:tabs>
        <w:rPr>
          <w:color w:val="000000" w:themeColor="text1"/>
          <w:lang w:val="en-AU"/>
        </w:rPr>
      </w:pPr>
    </w:p>
    <w:p w14:paraId="402B0D28" w14:textId="77777777" w:rsidR="00C56068" w:rsidRPr="00FB2D03" w:rsidRDefault="00412D77" w:rsidP="00412D77">
      <w:pPr>
        <w:tabs>
          <w:tab w:val="left" w:pos="5616"/>
        </w:tabs>
        <w:rPr>
          <w:i/>
          <w:color w:val="000000" w:themeColor="text1"/>
          <w:lang w:val="en-AU"/>
        </w:rPr>
      </w:pPr>
      <w:r w:rsidRPr="00FB2D03">
        <w:rPr>
          <w:color w:val="000000" w:themeColor="text1"/>
          <w:lang w:val="en-AU"/>
        </w:rPr>
        <w:t>French, Blaire A. “Chronicles and Intertextuality in Early Rabbinic Literature.” </w:t>
      </w:r>
      <w:r w:rsidRPr="00FB2D03">
        <w:rPr>
          <w:i/>
          <w:color w:val="000000" w:themeColor="text1"/>
          <w:lang w:val="en-AU"/>
        </w:rPr>
        <w:t xml:space="preserve">Journal for </w:t>
      </w:r>
    </w:p>
    <w:p w14:paraId="60269304" w14:textId="10FB7489" w:rsidR="00412D77" w:rsidRPr="00FB2D03" w:rsidRDefault="00412D77" w:rsidP="00AD1181">
      <w:pPr>
        <w:tabs>
          <w:tab w:val="left" w:pos="5616"/>
        </w:tabs>
        <w:ind w:left="720"/>
        <w:rPr>
          <w:color w:val="000000" w:themeColor="text1"/>
          <w:lang w:val="en-AU"/>
        </w:rPr>
      </w:pPr>
      <w:r w:rsidRPr="00FB2D03">
        <w:rPr>
          <w:i/>
          <w:color w:val="000000" w:themeColor="text1"/>
          <w:lang w:val="en-AU"/>
        </w:rPr>
        <w:t>the Study of the Old Testament</w:t>
      </w:r>
      <w:r w:rsidRPr="00FB2D03">
        <w:rPr>
          <w:color w:val="000000" w:themeColor="text1"/>
          <w:lang w:val="en-AU"/>
        </w:rPr>
        <w:t> 43 (</w:t>
      </w:r>
      <w:r w:rsidR="002A581C" w:rsidRPr="00FB2D03">
        <w:rPr>
          <w:color w:val="000000" w:themeColor="text1"/>
          <w:lang w:val="en-AU"/>
        </w:rPr>
        <w:t>2</w:t>
      </w:r>
      <w:r w:rsidRPr="00FB2D03">
        <w:rPr>
          <w:color w:val="000000" w:themeColor="text1"/>
          <w:lang w:val="en-AU"/>
        </w:rPr>
        <w:t>019): 712–25.</w:t>
      </w:r>
    </w:p>
    <w:p w14:paraId="42E2E382" w14:textId="77777777" w:rsidR="00412D77" w:rsidRPr="00FB2D03" w:rsidRDefault="00412D77" w:rsidP="00412D77">
      <w:pPr>
        <w:tabs>
          <w:tab w:val="left" w:pos="5616"/>
        </w:tabs>
        <w:rPr>
          <w:color w:val="000000" w:themeColor="text1"/>
          <w:lang w:val="en-AU"/>
        </w:rPr>
      </w:pPr>
    </w:p>
    <w:p w14:paraId="5C7B930F" w14:textId="77777777" w:rsidR="00C56068" w:rsidRPr="00FB2D03" w:rsidRDefault="00412D77" w:rsidP="00412D77">
      <w:pPr>
        <w:tabs>
          <w:tab w:val="left" w:pos="5616"/>
        </w:tabs>
        <w:rPr>
          <w:color w:val="000000" w:themeColor="text1"/>
          <w:lang w:val="en-AU"/>
        </w:rPr>
      </w:pPr>
      <w:r w:rsidRPr="00FB2D03">
        <w:rPr>
          <w:color w:val="000000" w:themeColor="text1"/>
          <w:lang w:val="en-AU"/>
        </w:rPr>
        <w:t xml:space="preserve">Furstenberg, Yair. Purity and Community in Antiquity: Traditions of the Law from Second </w:t>
      </w:r>
    </w:p>
    <w:p w14:paraId="153ED104" w14:textId="0A9A4CA9"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Temple Judaism to the Mishnah [Hebrew] (Jerusalem: Magnes, 2016), 305–12. </w:t>
      </w:r>
    </w:p>
    <w:p w14:paraId="25E53150" w14:textId="77777777" w:rsidR="00412D77" w:rsidRPr="00FB2D03" w:rsidRDefault="00412D77" w:rsidP="00412D77">
      <w:pPr>
        <w:tabs>
          <w:tab w:val="left" w:pos="5616"/>
        </w:tabs>
        <w:rPr>
          <w:color w:val="000000" w:themeColor="text1"/>
          <w:lang w:val="en-AU"/>
        </w:rPr>
      </w:pPr>
    </w:p>
    <w:p w14:paraId="1B78CF21" w14:textId="77777777" w:rsidR="00C56068" w:rsidRPr="00FB2D03" w:rsidRDefault="00412D77" w:rsidP="00412D77">
      <w:pPr>
        <w:tabs>
          <w:tab w:val="left" w:pos="5616"/>
        </w:tabs>
        <w:rPr>
          <w:i/>
          <w:color w:val="000000" w:themeColor="text1"/>
          <w:lang w:val="en-AU"/>
        </w:rPr>
      </w:pPr>
      <w:r w:rsidRPr="00FB2D03">
        <w:rPr>
          <w:color w:val="000000" w:themeColor="text1"/>
          <w:lang w:val="en-AU"/>
        </w:rPr>
        <w:t xml:space="preserve">Gager, John G. </w:t>
      </w:r>
      <w:r w:rsidRPr="00FB2D03">
        <w:rPr>
          <w:i/>
          <w:color w:val="000000" w:themeColor="text1"/>
          <w:lang w:val="en-AU"/>
        </w:rPr>
        <w:t xml:space="preserve">The Origins of </w:t>
      </w:r>
      <w:proofErr w:type="gramStart"/>
      <w:r w:rsidRPr="00FB2D03">
        <w:rPr>
          <w:i/>
          <w:color w:val="000000" w:themeColor="text1"/>
          <w:lang w:val="en-AU"/>
        </w:rPr>
        <w:t>Anti–Semitism</w:t>
      </w:r>
      <w:proofErr w:type="gramEnd"/>
      <w:r w:rsidRPr="00FB2D03">
        <w:rPr>
          <w:i/>
          <w:color w:val="000000" w:themeColor="text1"/>
          <w:lang w:val="en-AU"/>
        </w:rPr>
        <w:t xml:space="preserve">: Attitudes toward Judaism in Pagan and </w:t>
      </w:r>
    </w:p>
    <w:p w14:paraId="64A1A001" w14:textId="3F46677A" w:rsidR="00412D77" w:rsidRPr="00FB2D03" w:rsidRDefault="00412D77" w:rsidP="00AD1181">
      <w:pPr>
        <w:tabs>
          <w:tab w:val="left" w:pos="5616"/>
        </w:tabs>
        <w:ind w:left="720"/>
        <w:rPr>
          <w:color w:val="000000" w:themeColor="text1"/>
          <w:lang w:val="en-AU"/>
        </w:rPr>
      </w:pPr>
      <w:r w:rsidRPr="00FB2D03">
        <w:rPr>
          <w:i/>
          <w:color w:val="000000" w:themeColor="text1"/>
          <w:lang w:val="en-AU"/>
        </w:rPr>
        <w:t>Christian Antiquity</w:t>
      </w:r>
      <w:r w:rsidRPr="00FB2D03">
        <w:rPr>
          <w:color w:val="000000" w:themeColor="text1"/>
          <w:lang w:val="en-AU"/>
        </w:rPr>
        <w:t xml:space="preserve">. New York: Oxford University Press, </w:t>
      </w:r>
      <w:r w:rsidR="002A581C" w:rsidRPr="00FB2D03">
        <w:rPr>
          <w:color w:val="000000" w:themeColor="text1"/>
          <w:lang w:val="en-AU"/>
        </w:rPr>
        <w:t>1</w:t>
      </w:r>
      <w:r w:rsidRPr="00FB2D03">
        <w:rPr>
          <w:color w:val="000000" w:themeColor="text1"/>
          <w:lang w:val="en-AU"/>
        </w:rPr>
        <w:t>985.</w:t>
      </w:r>
    </w:p>
    <w:p w14:paraId="27842D51" w14:textId="77777777" w:rsidR="00412D77" w:rsidRPr="00FB2D03" w:rsidRDefault="00412D77" w:rsidP="00412D77">
      <w:pPr>
        <w:tabs>
          <w:tab w:val="left" w:pos="5616"/>
        </w:tabs>
        <w:rPr>
          <w:color w:val="000000" w:themeColor="text1"/>
          <w:lang w:val="en-AU"/>
        </w:rPr>
      </w:pPr>
    </w:p>
    <w:p w14:paraId="42FF204D" w14:textId="77777777" w:rsidR="00C56068" w:rsidRPr="00FB2D03" w:rsidRDefault="00412D77" w:rsidP="00412D77">
      <w:pPr>
        <w:tabs>
          <w:tab w:val="left" w:pos="5616"/>
        </w:tabs>
        <w:rPr>
          <w:color w:val="000000" w:themeColor="text1"/>
          <w:lang w:val="en-AU"/>
        </w:rPr>
      </w:pPr>
      <w:r w:rsidRPr="00FB2D03">
        <w:rPr>
          <w:color w:val="000000" w:themeColor="text1"/>
          <w:lang w:val="en-AU"/>
        </w:rPr>
        <w:t>Gardner, G. and K.L. Osterloh</w:t>
      </w:r>
      <w:r w:rsidRPr="00FB2D03">
        <w:rPr>
          <w:i/>
          <w:color w:val="000000" w:themeColor="text1"/>
          <w:lang w:val="en-AU"/>
        </w:rPr>
        <w:t>,</w:t>
      </w:r>
      <w:r w:rsidRPr="00FB2D03">
        <w:rPr>
          <w:color w:val="000000" w:themeColor="text1"/>
          <w:lang w:val="en-AU"/>
        </w:rPr>
        <w:t xml:space="preserve"> eds.</w:t>
      </w:r>
      <w:r w:rsidRPr="00FB2D03">
        <w:rPr>
          <w:i/>
          <w:color w:val="000000" w:themeColor="text1"/>
          <w:lang w:val="en-AU"/>
        </w:rPr>
        <w:t xml:space="preserve"> </w:t>
      </w:r>
      <w:r w:rsidRPr="00FB2D03">
        <w:rPr>
          <w:color w:val="000000" w:themeColor="text1"/>
          <w:lang w:val="en-AU"/>
        </w:rPr>
        <w:t xml:space="preserve">“Antiquity in Antiquity: Jewish and Christian Pasts in </w:t>
      </w:r>
    </w:p>
    <w:p w14:paraId="14CB45EF" w14:textId="6F985B9A" w:rsidR="00412D77" w:rsidRPr="00FB2D03" w:rsidRDefault="00412D77" w:rsidP="00AD1181">
      <w:pPr>
        <w:tabs>
          <w:tab w:val="left" w:pos="5616"/>
        </w:tabs>
        <w:ind w:left="720"/>
        <w:rPr>
          <w:color w:val="000000" w:themeColor="text1"/>
          <w:lang w:val="en-AU"/>
        </w:rPr>
      </w:pPr>
      <w:r w:rsidRPr="00FB2D03">
        <w:rPr>
          <w:color w:val="000000" w:themeColor="text1"/>
          <w:lang w:val="en-AU"/>
        </w:rPr>
        <w:t>the Greco-Roman World”</w:t>
      </w:r>
      <w:r w:rsidRPr="00FB2D03">
        <w:rPr>
          <w:i/>
          <w:color w:val="000000" w:themeColor="text1"/>
          <w:lang w:val="en-AU"/>
        </w:rPr>
        <w:t xml:space="preserve"> Journal for the Study of Judaism </w:t>
      </w:r>
      <w:r w:rsidRPr="00FB2D03">
        <w:rPr>
          <w:color w:val="000000" w:themeColor="text1"/>
          <w:lang w:val="en-AU"/>
        </w:rPr>
        <w:t>51 (2010): 106–107.</w:t>
      </w:r>
    </w:p>
    <w:p w14:paraId="55469C91" w14:textId="77777777" w:rsidR="00412D77" w:rsidRPr="00FB2D03" w:rsidRDefault="00412D77" w:rsidP="00412D77">
      <w:pPr>
        <w:tabs>
          <w:tab w:val="left" w:pos="5616"/>
        </w:tabs>
        <w:rPr>
          <w:color w:val="000000" w:themeColor="text1"/>
          <w:lang w:val="en-AU"/>
        </w:rPr>
      </w:pPr>
    </w:p>
    <w:p w14:paraId="56F858B0" w14:textId="77777777" w:rsidR="00C56068" w:rsidRPr="00FB2D03" w:rsidRDefault="00412D77" w:rsidP="00412D77">
      <w:pPr>
        <w:tabs>
          <w:tab w:val="left" w:pos="5616"/>
        </w:tabs>
        <w:rPr>
          <w:color w:val="000000" w:themeColor="text1"/>
          <w:lang w:val="en-AU"/>
        </w:rPr>
      </w:pPr>
      <w:r w:rsidRPr="00FB2D03">
        <w:rPr>
          <w:color w:val="000000" w:themeColor="text1"/>
          <w:lang w:val="en-AU"/>
        </w:rPr>
        <w:lastRenderedPageBreak/>
        <w:t xml:space="preserve">Gerber, Daniel. “Stanley E. Porter (Éd.), Paul: Jew, Greek, and Roman, (Pauline Studies, 5) </w:t>
      </w:r>
    </w:p>
    <w:p w14:paraId="10F1501A" w14:textId="5C0F6DE9" w:rsidR="00412D77" w:rsidRPr="00FB2D03" w:rsidRDefault="00412D77" w:rsidP="00AD1181">
      <w:pPr>
        <w:tabs>
          <w:tab w:val="left" w:pos="5616"/>
        </w:tabs>
        <w:ind w:left="720"/>
        <w:rPr>
          <w:color w:val="000000" w:themeColor="text1"/>
          <w:lang w:val="en-AU"/>
        </w:rPr>
      </w:pPr>
      <w:r w:rsidRPr="00FB2D03">
        <w:rPr>
          <w:color w:val="000000" w:themeColor="text1"/>
          <w:lang w:val="en-AU"/>
        </w:rPr>
        <w:t>Leiden – Boston, Brill, 2008.” </w:t>
      </w:r>
      <w:r w:rsidRPr="00FB2D03">
        <w:rPr>
          <w:i/>
          <w:color w:val="000000" w:themeColor="text1"/>
          <w:lang w:val="en-AU"/>
        </w:rPr>
        <w:t>Revue d’histoire et de Philosophie Religieuses</w:t>
      </w:r>
      <w:r w:rsidRPr="00FB2D03">
        <w:rPr>
          <w:color w:val="000000" w:themeColor="text1"/>
          <w:lang w:val="en-AU"/>
        </w:rPr>
        <w:t> 90 (2010): 428–29. </w:t>
      </w:r>
    </w:p>
    <w:p w14:paraId="149ABEBA" w14:textId="77777777" w:rsidR="00412D77" w:rsidRPr="00FB2D03" w:rsidRDefault="00412D77" w:rsidP="00412D77">
      <w:pPr>
        <w:tabs>
          <w:tab w:val="left" w:pos="5616"/>
        </w:tabs>
        <w:rPr>
          <w:color w:val="000000" w:themeColor="text1"/>
          <w:lang w:val="en-AU"/>
        </w:rPr>
      </w:pPr>
    </w:p>
    <w:p w14:paraId="6ABC1758" w14:textId="77777777" w:rsidR="00C56068" w:rsidRPr="00FB2D03" w:rsidRDefault="00412D77" w:rsidP="00412D77">
      <w:pPr>
        <w:tabs>
          <w:tab w:val="left" w:pos="5616"/>
        </w:tabs>
        <w:rPr>
          <w:i/>
          <w:color w:val="000000" w:themeColor="text1"/>
          <w:lang w:val="en-AU"/>
        </w:rPr>
      </w:pPr>
      <w:r w:rsidRPr="00FB2D03">
        <w:rPr>
          <w:color w:val="000000" w:themeColor="text1"/>
          <w:lang w:val="en-AU"/>
        </w:rPr>
        <w:t>Giambrone, Anthony. “When Christians Were Jews: The First Generation.” </w:t>
      </w:r>
      <w:r w:rsidRPr="00FB2D03">
        <w:rPr>
          <w:i/>
          <w:color w:val="000000" w:themeColor="text1"/>
          <w:lang w:val="en-AU"/>
        </w:rPr>
        <w:t xml:space="preserve">Nova et Vetera </w:t>
      </w:r>
    </w:p>
    <w:p w14:paraId="0F93B1C7" w14:textId="2E5BAD92" w:rsidR="00412D77" w:rsidRPr="00FB2D03" w:rsidRDefault="00412D77" w:rsidP="00AD1181">
      <w:pPr>
        <w:tabs>
          <w:tab w:val="left" w:pos="5616"/>
        </w:tabs>
        <w:ind w:left="720"/>
        <w:rPr>
          <w:color w:val="000000" w:themeColor="text1"/>
          <w:lang w:val="en-AU"/>
        </w:rPr>
      </w:pPr>
      <w:r w:rsidRPr="00FB2D03">
        <w:rPr>
          <w:i/>
          <w:color w:val="000000" w:themeColor="text1"/>
          <w:lang w:val="en-AU"/>
        </w:rPr>
        <w:t>(English Edition)</w:t>
      </w:r>
      <w:r w:rsidRPr="00FB2D03">
        <w:rPr>
          <w:color w:val="000000" w:themeColor="text1"/>
          <w:lang w:val="en-AU"/>
        </w:rPr>
        <w:t xml:space="preserve"> 19 (2021): 303–9. </w:t>
      </w:r>
    </w:p>
    <w:p w14:paraId="3017C85B" w14:textId="77777777" w:rsidR="00412D77" w:rsidRPr="00FB2D03" w:rsidRDefault="00412D77" w:rsidP="00412D77">
      <w:pPr>
        <w:tabs>
          <w:tab w:val="left" w:pos="5616"/>
        </w:tabs>
        <w:rPr>
          <w:color w:val="000000" w:themeColor="text1"/>
          <w:lang w:val="en-AU"/>
        </w:rPr>
      </w:pPr>
    </w:p>
    <w:p w14:paraId="6B687066" w14:textId="77777777" w:rsidR="00C56068" w:rsidRPr="00FB2D03" w:rsidRDefault="00412D77" w:rsidP="00412D77">
      <w:pPr>
        <w:tabs>
          <w:tab w:val="left" w:pos="5616"/>
        </w:tabs>
        <w:rPr>
          <w:color w:val="000000" w:themeColor="text1"/>
          <w:lang w:val="en-AU"/>
        </w:rPr>
      </w:pPr>
      <w:r w:rsidRPr="00FB2D03">
        <w:rPr>
          <w:color w:val="000000" w:themeColor="text1"/>
          <w:lang w:val="en-AU"/>
        </w:rPr>
        <w:t xml:space="preserve">Gibson, Edgar C.S. </w:t>
      </w:r>
      <w:r w:rsidRPr="00FB2D03">
        <w:rPr>
          <w:i/>
          <w:color w:val="000000" w:themeColor="text1"/>
          <w:lang w:val="en-AU"/>
        </w:rPr>
        <w:t xml:space="preserve">Book of Job Westminster Commentary Series. </w:t>
      </w:r>
      <w:r w:rsidRPr="00FB2D03">
        <w:rPr>
          <w:color w:val="000000" w:themeColor="text1"/>
          <w:lang w:val="en-AU"/>
        </w:rPr>
        <w:t xml:space="preserve">Greenwood, SC: Attic, </w:t>
      </w:r>
    </w:p>
    <w:p w14:paraId="1B6E1338" w14:textId="44C8EE3D"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1976. </w:t>
      </w:r>
    </w:p>
    <w:p w14:paraId="68E3FBBF" w14:textId="77777777" w:rsidR="00412D77" w:rsidRPr="00FB2D03" w:rsidRDefault="00412D77" w:rsidP="00412D77">
      <w:pPr>
        <w:tabs>
          <w:tab w:val="left" w:pos="5616"/>
        </w:tabs>
        <w:rPr>
          <w:color w:val="000000" w:themeColor="text1"/>
          <w:lang w:val="en-AU"/>
        </w:rPr>
      </w:pPr>
    </w:p>
    <w:p w14:paraId="0B2162CC" w14:textId="77777777" w:rsidR="00C56068" w:rsidRPr="00FB2D03" w:rsidRDefault="00412D77" w:rsidP="00412D77">
      <w:pPr>
        <w:tabs>
          <w:tab w:val="left" w:pos="5616"/>
        </w:tabs>
        <w:rPr>
          <w:i/>
          <w:color w:val="000000" w:themeColor="text1"/>
          <w:lang w:val="en-AU"/>
        </w:rPr>
      </w:pPr>
      <w:r w:rsidRPr="00FB2D03">
        <w:rPr>
          <w:color w:val="000000" w:themeColor="text1"/>
          <w:lang w:val="en-AU"/>
        </w:rPr>
        <w:t xml:space="preserve">Gibson, John C. L. </w:t>
      </w:r>
      <w:r w:rsidRPr="00FB2D03">
        <w:rPr>
          <w:i/>
          <w:color w:val="000000" w:themeColor="text1"/>
          <w:lang w:val="en-AU"/>
        </w:rPr>
        <w:t xml:space="preserve">Aramaic Inscriptions, Including Inscriptions in the Dialect of Zenjirli, </w:t>
      </w:r>
    </w:p>
    <w:p w14:paraId="0D3DB544" w14:textId="2DC21EB9" w:rsidR="00412D77" w:rsidRPr="00FB2D03" w:rsidRDefault="01B55689" w:rsidP="00AD1181">
      <w:pPr>
        <w:tabs>
          <w:tab w:val="left" w:pos="5616"/>
        </w:tabs>
        <w:ind w:left="720"/>
        <w:rPr>
          <w:color w:val="000000" w:themeColor="text1"/>
          <w:lang w:val="en-AU"/>
        </w:rPr>
      </w:pPr>
      <w:r w:rsidRPr="00FB2D03">
        <w:rPr>
          <w:color w:val="000000" w:themeColor="text1"/>
          <w:lang w:val="en-AU"/>
        </w:rPr>
        <w:t>Vol. 2</w:t>
      </w:r>
      <w:r w:rsidRPr="00FB2D03">
        <w:rPr>
          <w:i/>
          <w:iCs/>
          <w:color w:val="000000" w:themeColor="text1"/>
          <w:lang w:val="en-AU"/>
        </w:rPr>
        <w:t xml:space="preserve"> </w:t>
      </w:r>
      <w:r w:rsidRPr="00FB2D03">
        <w:rPr>
          <w:color w:val="000000" w:themeColor="text1"/>
          <w:lang w:val="en-AU"/>
        </w:rPr>
        <w:t>of Textbook of Syrian Semitic Inscriptions. Oxford: Clarendon, 1975.</w:t>
      </w:r>
    </w:p>
    <w:p w14:paraId="135FB43E" w14:textId="77777777" w:rsidR="00412D77" w:rsidRPr="00FB2D03" w:rsidRDefault="00412D77" w:rsidP="00412D77">
      <w:pPr>
        <w:tabs>
          <w:tab w:val="left" w:pos="5616"/>
        </w:tabs>
        <w:rPr>
          <w:color w:val="000000" w:themeColor="text1"/>
          <w:lang w:val="en-AU"/>
        </w:rPr>
      </w:pPr>
    </w:p>
    <w:p w14:paraId="2092D2F0" w14:textId="77777777" w:rsidR="00C56068" w:rsidRPr="00FB2D03" w:rsidRDefault="00412D77" w:rsidP="00412D77">
      <w:pPr>
        <w:tabs>
          <w:tab w:val="left" w:pos="5616"/>
        </w:tabs>
        <w:rPr>
          <w:color w:val="000000" w:themeColor="text1"/>
          <w:lang w:val="en-AU"/>
        </w:rPr>
      </w:pPr>
      <w:r w:rsidRPr="00FB2D03">
        <w:rPr>
          <w:color w:val="000000" w:themeColor="text1"/>
          <w:lang w:val="en-AU"/>
        </w:rPr>
        <w:t xml:space="preserve">Gignoux, Philippe. “Hexaéméron et millénarisme: quelques motifs de comparaison entre </w:t>
      </w:r>
    </w:p>
    <w:p w14:paraId="59926D63" w14:textId="1E7C45EA" w:rsidR="00412D77" w:rsidRPr="00FB2D03" w:rsidRDefault="00412D77" w:rsidP="00AD1181">
      <w:pPr>
        <w:tabs>
          <w:tab w:val="left" w:pos="5616"/>
        </w:tabs>
        <w:ind w:left="720"/>
        <w:rPr>
          <w:color w:val="000000" w:themeColor="text1"/>
          <w:lang w:val="en-AU"/>
        </w:rPr>
      </w:pPr>
      <w:r w:rsidRPr="00FB2D03">
        <w:rPr>
          <w:color w:val="000000" w:themeColor="text1"/>
          <w:lang w:val="en-AU"/>
        </w:rPr>
        <w:t>Mazdéisme et Judaïsme</w:t>
      </w:r>
      <w:r w:rsidRPr="00FB2D03">
        <w:rPr>
          <w:i/>
          <w:color w:val="000000" w:themeColor="text1"/>
          <w:lang w:val="en-AU"/>
        </w:rPr>
        <w:t>.” Irano–Judaica</w:t>
      </w:r>
      <w:r w:rsidRPr="00FB2D03">
        <w:rPr>
          <w:color w:val="000000" w:themeColor="text1"/>
          <w:lang w:val="en-AU"/>
        </w:rPr>
        <w:t xml:space="preserve"> 2 (1990): 72–84.</w:t>
      </w:r>
    </w:p>
    <w:p w14:paraId="617B5803" w14:textId="77777777" w:rsidR="00412D77" w:rsidRPr="00FB2D03" w:rsidRDefault="00412D77" w:rsidP="00412D77">
      <w:pPr>
        <w:tabs>
          <w:tab w:val="left" w:pos="5616"/>
        </w:tabs>
        <w:rPr>
          <w:color w:val="000000" w:themeColor="text1"/>
          <w:lang w:val="en-AU"/>
        </w:rPr>
      </w:pPr>
    </w:p>
    <w:p w14:paraId="3E000B24" w14:textId="1930C615" w:rsidR="00412D77" w:rsidRPr="00FB2D03" w:rsidRDefault="01B55689" w:rsidP="01B55689">
      <w:pPr>
        <w:tabs>
          <w:tab w:val="left" w:pos="5616"/>
        </w:tabs>
        <w:rPr>
          <w:color w:val="000000" w:themeColor="text1"/>
          <w:lang w:val="en-AU"/>
        </w:rPr>
      </w:pPr>
      <w:r w:rsidRPr="00FB2D03">
        <w:rPr>
          <w:color w:val="000000" w:themeColor="text1"/>
          <w:lang w:val="en-AU"/>
        </w:rPr>
        <w:t>Gladstone, John W. “Three Bible Studies: Jesus, the Crowds and the Kingdom.” </w:t>
      </w:r>
      <w:r w:rsidRPr="00FB2D03">
        <w:rPr>
          <w:i/>
          <w:iCs/>
          <w:color w:val="000000" w:themeColor="text1"/>
          <w:lang w:val="en-AU"/>
        </w:rPr>
        <w:t xml:space="preserve">Religion </w:t>
      </w:r>
    </w:p>
    <w:p w14:paraId="53EC5E41" w14:textId="108B72C7" w:rsidR="00412D77" w:rsidRPr="00FB2D03" w:rsidRDefault="01B55689" w:rsidP="01B55689">
      <w:pPr>
        <w:tabs>
          <w:tab w:val="left" w:pos="5616"/>
        </w:tabs>
        <w:ind w:firstLine="720"/>
        <w:rPr>
          <w:color w:val="000000" w:themeColor="text1"/>
          <w:lang w:val="en-AU"/>
        </w:rPr>
      </w:pPr>
      <w:r w:rsidRPr="00FB2D03">
        <w:rPr>
          <w:i/>
          <w:iCs/>
          <w:color w:val="000000" w:themeColor="text1"/>
          <w:lang w:val="en-AU"/>
        </w:rPr>
        <w:t>and Society</w:t>
      </w:r>
      <w:r w:rsidRPr="00FB2D03">
        <w:rPr>
          <w:color w:val="000000" w:themeColor="text1"/>
          <w:lang w:val="en-AU"/>
        </w:rPr>
        <w:t> 36 (1989): 44–51.</w:t>
      </w:r>
    </w:p>
    <w:p w14:paraId="2DE8C46C" w14:textId="77777777" w:rsidR="00412D77" w:rsidRPr="00FB2D03" w:rsidRDefault="00412D77" w:rsidP="00412D77">
      <w:pPr>
        <w:tabs>
          <w:tab w:val="left" w:pos="5616"/>
        </w:tabs>
        <w:rPr>
          <w:color w:val="000000" w:themeColor="text1"/>
          <w:lang w:val="en-AU"/>
        </w:rPr>
      </w:pPr>
    </w:p>
    <w:p w14:paraId="52BD922E" w14:textId="77777777" w:rsidR="00C56068" w:rsidRPr="00FB2D03" w:rsidRDefault="00412D77" w:rsidP="00412D77">
      <w:pPr>
        <w:tabs>
          <w:tab w:val="left" w:pos="5616"/>
        </w:tabs>
        <w:rPr>
          <w:i/>
          <w:color w:val="000000" w:themeColor="text1"/>
          <w:lang w:val="en-AU"/>
        </w:rPr>
      </w:pPr>
      <w:r w:rsidRPr="00FB2D03">
        <w:rPr>
          <w:color w:val="000000" w:themeColor="text1"/>
          <w:lang w:val="en-AU"/>
        </w:rPr>
        <w:t>Glatt-Gilad, David A. “Yahweh’s Honor at Stake: A Divine Conundrum.” </w:t>
      </w:r>
      <w:r w:rsidRPr="00FB2D03">
        <w:rPr>
          <w:i/>
          <w:color w:val="000000" w:themeColor="text1"/>
          <w:lang w:val="en-AU"/>
        </w:rPr>
        <w:t xml:space="preserve">Journal for the </w:t>
      </w:r>
    </w:p>
    <w:p w14:paraId="55C430C9" w14:textId="45E73A8A" w:rsidR="00412D77" w:rsidRPr="00FB2D03" w:rsidRDefault="00412D77" w:rsidP="00AD1181">
      <w:pPr>
        <w:tabs>
          <w:tab w:val="left" w:pos="5616"/>
        </w:tabs>
        <w:ind w:left="720"/>
        <w:rPr>
          <w:color w:val="000000" w:themeColor="text1"/>
          <w:lang w:val="en-AU"/>
        </w:rPr>
      </w:pPr>
      <w:r w:rsidRPr="00FB2D03">
        <w:rPr>
          <w:i/>
          <w:color w:val="000000" w:themeColor="text1"/>
          <w:lang w:val="en-AU"/>
        </w:rPr>
        <w:t>Study of the Old Testament</w:t>
      </w:r>
      <w:r w:rsidRPr="00FB2D03">
        <w:rPr>
          <w:color w:val="000000" w:themeColor="text1"/>
          <w:lang w:val="en-AU"/>
        </w:rPr>
        <w:t> 26 (2002): 63.</w:t>
      </w:r>
    </w:p>
    <w:p w14:paraId="629068C8" w14:textId="77777777" w:rsidR="00412D77" w:rsidRPr="00FB2D03" w:rsidRDefault="00412D77" w:rsidP="00412D77">
      <w:pPr>
        <w:tabs>
          <w:tab w:val="left" w:pos="5616"/>
        </w:tabs>
        <w:rPr>
          <w:color w:val="000000" w:themeColor="text1"/>
          <w:lang w:val="en-AU"/>
        </w:rPr>
      </w:pPr>
    </w:p>
    <w:p w14:paraId="2C53E98F" w14:textId="77777777" w:rsidR="00C56068" w:rsidRPr="00FB2D03" w:rsidRDefault="00412D77" w:rsidP="00412D77">
      <w:pPr>
        <w:tabs>
          <w:tab w:val="left" w:pos="5616"/>
        </w:tabs>
        <w:rPr>
          <w:i/>
          <w:color w:val="000000" w:themeColor="text1"/>
          <w:lang w:val="en-AU"/>
        </w:rPr>
      </w:pPr>
      <w:r w:rsidRPr="00FB2D03">
        <w:rPr>
          <w:color w:val="000000" w:themeColor="text1"/>
          <w:lang w:val="en-AU"/>
        </w:rPr>
        <w:t xml:space="preserve">Gmirkin, Russell. “The War Scroll and Roman Weaponry Reconsidered.” </w:t>
      </w:r>
      <w:r w:rsidRPr="00FB2D03">
        <w:rPr>
          <w:i/>
          <w:color w:val="000000" w:themeColor="text1"/>
          <w:lang w:val="en-AU"/>
        </w:rPr>
        <w:t xml:space="preserve">Dead Sea </w:t>
      </w:r>
    </w:p>
    <w:p w14:paraId="5910B1B9" w14:textId="08C29828" w:rsidR="00412D77" w:rsidRPr="00FB2D03" w:rsidRDefault="00412D77" w:rsidP="00AD1181">
      <w:pPr>
        <w:tabs>
          <w:tab w:val="left" w:pos="5616"/>
        </w:tabs>
        <w:ind w:left="720"/>
        <w:rPr>
          <w:color w:val="000000" w:themeColor="text1"/>
          <w:lang w:val="en-AU"/>
        </w:rPr>
      </w:pPr>
      <w:r w:rsidRPr="00FB2D03">
        <w:rPr>
          <w:i/>
          <w:color w:val="000000" w:themeColor="text1"/>
          <w:lang w:val="en-AU"/>
        </w:rPr>
        <w:t>Discoveries</w:t>
      </w:r>
      <w:r w:rsidRPr="00FB2D03">
        <w:rPr>
          <w:color w:val="000000" w:themeColor="text1"/>
          <w:lang w:val="en-AU"/>
        </w:rPr>
        <w:t xml:space="preserve"> 3 (1996): 89–129.</w:t>
      </w:r>
    </w:p>
    <w:p w14:paraId="707EE3B7" w14:textId="77777777" w:rsidR="00412D77" w:rsidRPr="00FB2D03" w:rsidRDefault="00412D77" w:rsidP="00412D77">
      <w:pPr>
        <w:tabs>
          <w:tab w:val="left" w:pos="5616"/>
        </w:tabs>
        <w:rPr>
          <w:color w:val="000000" w:themeColor="text1"/>
          <w:lang w:val="en-AU"/>
        </w:rPr>
      </w:pPr>
    </w:p>
    <w:p w14:paraId="4EF2D7B2" w14:textId="3ACCEE48" w:rsidR="00412D77" w:rsidRDefault="00412D77" w:rsidP="00412D77">
      <w:pPr>
        <w:tabs>
          <w:tab w:val="left" w:pos="5616"/>
        </w:tabs>
        <w:rPr>
          <w:color w:val="000000" w:themeColor="text1"/>
          <w:lang w:val="en-AU"/>
        </w:rPr>
      </w:pPr>
      <w:r w:rsidRPr="00FB2D03">
        <w:rPr>
          <w:color w:val="000000" w:themeColor="text1"/>
          <w:lang w:val="en-AU"/>
        </w:rPr>
        <w:t>Goldin, Judah. </w:t>
      </w:r>
      <w:r w:rsidR="007A5BE0" w:rsidRPr="00FB2D03">
        <w:rPr>
          <w:color w:val="000000" w:themeColor="text1"/>
          <w:lang w:val="en-AU"/>
        </w:rPr>
        <w:t>“</w:t>
      </w:r>
      <w:r w:rsidRPr="00FB2D03">
        <w:rPr>
          <w:color w:val="000000" w:themeColor="text1"/>
          <w:lang w:val="en-AU"/>
        </w:rPr>
        <w:t xml:space="preserve">Hillel the Elder.” </w:t>
      </w:r>
      <w:r w:rsidRPr="00FB2D03">
        <w:rPr>
          <w:i/>
          <w:color w:val="000000" w:themeColor="text1"/>
          <w:lang w:val="en-AU"/>
        </w:rPr>
        <w:t xml:space="preserve">Journal of Religion </w:t>
      </w:r>
      <w:r w:rsidRPr="00FB2D03">
        <w:rPr>
          <w:color w:val="000000" w:themeColor="text1"/>
          <w:lang w:val="en-AU"/>
        </w:rPr>
        <w:t>26 (1946): 263–77.</w:t>
      </w:r>
    </w:p>
    <w:p w14:paraId="62DE0FA7" w14:textId="77777777" w:rsidR="00CA495B" w:rsidRDefault="00CA495B" w:rsidP="00412D77">
      <w:pPr>
        <w:tabs>
          <w:tab w:val="left" w:pos="5616"/>
        </w:tabs>
        <w:rPr>
          <w:color w:val="000000" w:themeColor="text1"/>
          <w:lang w:val="en-AU"/>
        </w:rPr>
      </w:pPr>
    </w:p>
    <w:p w14:paraId="296B781B" w14:textId="5309D212" w:rsidR="00CA495B" w:rsidRPr="00FB2D03" w:rsidRDefault="00CA495B" w:rsidP="00CA495B">
      <w:pPr>
        <w:tabs>
          <w:tab w:val="left" w:pos="5616"/>
        </w:tabs>
        <w:rPr>
          <w:color w:val="000000" w:themeColor="text1"/>
          <w:lang w:val="en-AU"/>
        </w:rPr>
      </w:pPr>
      <w:r w:rsidRPr="00FB2D03">
        <w:rPr>
          <w:color w:val="000000" w:themeColor="text1"/>
          <w:lang w:val="en-AU"/>
        </w:rPr>
        <w:t xml:space="preserve">________. “The First Pair (Yose Ben Yoezer and Yose Ben Yohanan) or the Home of a </w:t>
      </w:r>
    </w:p>
    <w:p w14:paraId="109B1B1A" w14:textId="7C0B6F27" w:rsidR="00CA495B" w:rsidRPr="00FB2D03" w:rsidRDefault="00CA495B" w:rsidP="00CA495B">
      <w:pPr>
        <w:tabs>
          <w:tab w:val="left" w:pos="5616"/>
        </w:tabs>
        <w:ind w:left="720"/>
        <w:rPr>
          <w:color w:val="000000" w:themeColor="text1"/>
          <w:lang w:val="en-AU"/>
        </w:rPr>
      </w:pPr>
      <w:r w:rsidRPr="00FB2D03">
        <w:rPr>
          <w:color w:val="000000" w:themeColor="text1"/>
          <w:lang w:val="en-AU"/>
        </w:rPr>
        <w:t xml:space="preserve">Pharisee.” AJS Review 5 (1980): 41–62. </w:t>
      </w:r>
    </w:p>
    <w:p w14:paraId="55499703" w14:textId="77777777" w:rsidR="00412D77" w:rsidRPr="00FB2D03" w:rsidRDefault="00412D77" w:rsidP="00412D77">
      <w:pPr>
        <w:tabs>
          <w:tab w:val="left" w:pos="5616"/>
        </w:tabs>
        <w:rPr>
          <w:color w:val="000000" w:themeColor="text1"/>
          <w:lang w:val="en-AU"/>
        </w:rPr>
      </w:pPr>
    </w:p>
    <w:p w14:paraId="16E97683" w14:textId="5315B22A" w:rsidR="00C56068" w:rsidRPr="00FB2D03" w:rsidRDefault="01B55689" w:rsidP="00412D77">
      <w:pPr>
        <w:tabs>
          <w:tab w:val="left" w:pos="5616"/>
        </w:tabs>
        <w:rPr>
          <w:color w:val="000000" w:themeColor="text1"/>
          <w:lang w:val="en-AU"/>
        </w:rPr>
      </w:pPr>
      <w:r w:rsidRPr="00FB2D03">
        <w:rPr>
          <w:color w:val="000000" w:themeColor="text1"/>
          <w:lang w:val="en-AU"/>
        </w:rPr>
        <w:t xml:space="preserve">Goldberg, Arnold. </w:t>
      </w:r>
      <w:r w:rsidRPr="00FB2D03">
        <w:rPr>
          <w:i/>
          <w:iCs/>
          <w:color w:val="000000" w:themeColor="text1"/>
          <w:lang w:val="en-AU"/>
        </w:rPr>
        <w:t xml:space="preserve">Erlösung durch Leiden. Drei rabbinische Homilien über die Trauernden </w:t>
      </w:r>
      <w:r w:rsidRPr="00FB2D03">
        <w:rPr>
          <w:color w:val="000000" w:themeColor="text1"/>
          <w:lang w:val="en-AU"/>
        </w:rPr>
        <w:t>¨</w:t>
      </w:r>
    </w:p>
    <w:p w14:paraId="033335A5" w14:textId="5E52508F" w:rsidR="00412D77" w:rsidRPr="00FB2D03" w:rsidRDefault="00412D77" w:rsidP="00AD1181">
      <w:pPr>
        <w:tabs>
          <w:tab w:val="left" w:pos="5616"/>
        </w:tabs>
        <w:ind w:left="720"/>
        <w:rPr>
          <w:color w:val="000000" w:themeColor="text1"/>
          <w:lang w:val="en-AU"/>
        </w:rPr>
      </w:pPr>
      <w:r w:rsidRPr="00FB2D03">
        <w:rPr>
          <w:i/>
          <w:color w:val="000000" w:themeColor="text1"/>
          <w:lang w:val="en-AU"/>
        </w:rPr>
        <w:t>Zions und den leidenden Messias Efraim</w:t>
      </w:r>
      <w:r w:rsidRPr="00FB2D03">
        <w:rPr>
          <w:color w:val="000000" w:themeColor="text1"/>
          <w:lang w:val="en-AU"/>
        </w:rPr>
        <w:t xml:space="preserve"> (</w:t>
      </w:r>
      <w:r w:rsidRPr="00FB2D03">
        <w:rPr>
          <w:i/>
          <w:color w:val="000000" w:themeColor="text1"/>
          <w:lang w:val="en-AU"/>
        </w:rPr>
        <w:t>Pesiqta Rabbati</w:t>
      </w:r>
      <w:r w:rsidRPr="00FB2D03">
        <w:rPr>
          <w:color w:val="000000" w:themeColor="text1"/>
          <w:lang w:val="en-AU"/>
        </w:rPr>
        <w:t xml:space="preserve"> 34.36.37). FJSt 4;</w:t>
      </w:r>
      <w:r w:rsidRPr="00FB2D03">
        <w:rPr>
          <w:i/>
          <w:color w:val="000000" w:themeColor="text1"/>
          <w:lang w:val="en-AU"/>
        </w:rPr>
        <w:t xml:space="preserve"> Frankfurt am Main: Gesellschaft zur Förderung judaistischer Studien,</w:t>
      </w:r>
      <w:r w:rsidRPr="00FB2D03">
        <w:rPr>
          <w:color w:val="000000" w:themeColor="text1"/>
          <w:lang w:val="en-AU"/>
        </w:rPr>
        <w:t xml:space="preserve"> 1978.</w:t>
      </w:r>
    </w:p>
    <w:p w14:paraId="5E9DAF77" w14:textId="77777777" w:rsidR="00412D77" w:rsidRPr="00FB2D03" w:rsidRDefault="00412D77" w:rsidP="00412D77">
      <w:pPr>
        <w:tabs>
          <w:tab w:val="left" w:pos="5616"/>
        </w:tabs>
        <w:rPr>
          <w:color w:val="000000" w:themeColor="text1"/>
          <w:lang w:val="en-AU"/>
        </w:rPr>
      </w:pPr>
    </w:p>
    <w:p w14:paraId="79C699DF" w14:textId="77777777" w:rsidR="00C56068" w:rsidRPr="00FB2D03" w:rsidRDefault="00412D77" w:rsidP="00412D77">
      <w:pPr>
        <w:tabs>
          <w:tab w:val="left" w:pos="5616"/>
        </w:tabs>
        <w:rPr>
          <w:color w:val="000000" w:themeColor="text1"/>
          <w:lang w:val="en-AU"/>
        </w:rPr>
      </w:pPr>
      <w:r w:rsidRPr="00FB2D03">
        <w:rPr>
          <w:color w:val="000000" w:themeColor="text1"/>
          <w:lang w:val="en-AU"/>
        </w:rPr>
        <w:t xml:space="preserve">Goldberger, Moshe. </w:t>
      </w:r>
      <w:r w:rsidRPr="00FB2D03">
        <w:rPr>
          <w:i/>
          <w:color w:val="000000" w:themeColor="text1"/>
          <w:lang w:val="en-AU"/>
        </w:rPr>
        <w:t>Priorities in Tzedaka—Higher Forms of Giving</w:t>
      </w:r>
      <w:r w:rsidRPr="00FB2D03">
        <w:rPr>
          <w:color w:val="000000" w:themeColor="text1"/>
          <w:lang w:val="en-AU"/>
        </w:rPr>
        <w:t xml:space="preserve">. Brooklyn: Judaica, </w:t>
      </w:r>
    </w:p>
    <w:p w14:paraId="62614EBC" w14:textId="6F5061D8" w:rsidR="00412D77" w:rsidRPr="00FB2D03" w:rsidRDefault="00412D77" w:rsidP="00AD1181">
      <w:pPr>
        <w:tabs>
          <w:tab w:val="left" w:pos="5616"/>
        </w:tabs>
        <w:ind w:left="720"/>
        <w:rPr>
          <w:color w:val="000000" w:themeColor="text1"/>
          <w:lang w:val="en-AU"/>
        </w:rPr>
      </w:pPr>
      <w:r w:rsidRPr="00FB2D03">
        <w:rPr>
          <w:color w:val="000000" w:themeColor="text1"/>
          <w:lang w:val="en-AU"/>
        </w:rPr>
        <w:t>2007.</w:t>
      </w:r>
    </w:p>
    <w:p w14:paraId="6342D900" w14:textId="77777777" w:rsidR="00412D77" w:rsidRPr="00FB2D03" w:rsidRDefault="00412D77" w:rsidP="00412D77">
      <w:pPr>
        <w:tabs>
          <w:tab w:val="left" w:pos="5616"/>
        </w:tabs>
        <w:rPr>
          <w:color w:val="000000" w:themeColor="text1"/>
          <w:lang w:val="en-AU"/>
        </w:rPr>
      </w:pPr>
    </w:p>
    <w:p w14:paraId="168BC93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Goldingay, John. </w:t>
      </w:r>
      <w:r w:rsidRPr="00FB2D03">
        <w:rPr>
          <w:i/>
          <w:color w:val="000000" w:themeColor="text1"/>
          <w:lang w:val="en-AU"/>
        </w:rPr>
        <w:t>Psalms</w:t>
      </w:r>
      <w:r w:rsidRPr="00FB2D03">
        <w:rPr>
          <w:color w:val="000000" w:themeColor="text1"/>
          <w:lang w:val="en-AU"/>
        </w:rPr>
        <w:t>. ed. Tremper Longman. Grand Rapids: Baker, 2008.</w:t>
      </w:r>
    </w:p>
    <w:p w14:paraId="0BB31242" w14:textId="77777777" w:rsidR="00412D77" w:rsidRPr="00FB2D03" w:rsidRDefault="00412D77" w:rsidP="00412D77">
      <w:pPr>
        <w:tabs>
          <w:tab w:val="left" w:pos="5616"/>
        </w:tabs>
        <w:rPr>
          <w:color w:val="000000" w:themeColor="text1"/>
          <w:lang w:val="en-AU"/>
        </w:rPr>
      </w:pPr>
    </w:p>
    <w:p w14:paraId="641C28BE"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________. “Your Iniquities Have Made a Separation between You and Your God.” In </w:t>
      </w:r>
    </w:p>
    <w:p w14:paraId="6FD02831" w14:textId="5AD2CD55" w:rsidR="00412D77" w:rsidRPr="00FB2D03" w:rsidRDefault="00412D77" w:rsidP="00AD1181">
      <w:pPr>
        <w:tabs>
          <w:tab w:val="left" w:pos="5616"/>
        </w:tabs>
        <w:ind w:left="720"/>
        <w:rPr>
          <w:color w:val="000000" w:themeColor="text1"/>
          <w:lang w:val="en-AU"/>
        </w:rPr>
      </w:pPr>
      <w:r w:rsidRPr="00FB2D03">
        <w:rPr>
          <w:i/>
          <w:color w:val="000000" w:themeColor="text1"/>
          <w:lang w:val="en-AU"/>
        </w:rPr>
        <w:t>Atonement Today: A Symposium at St John’s College, Nottingham</w:t>
      </w:r>
      <w:r w:rsidRPr="00FB2D03">
        <w:rPr>
          <w:color w:val="000000" w:themeColor="text1"/>
          <w:lang w:val="en-AU"/>
        </w:rPr>
        <w:t>. London: SPCK, 1995.</w:t>
      </w:r>
    </w:p>
    <w:p w14:paraId="1FA2E52D" w14:textId="77777777" w:rsidR="00412D77" w:rsidRPr="00FB2D03" w:rsidRDefault="00412D77" w:rsidP="00412D77">
      <w:pPr>
        <w:tabs>
          <w:tab w:val="left" w:pos="5616"/>
        </w:tabs>
        <w:rPr>
          <w:color w:val="000000" w:themeColor="text1"/>
          <w:lang w:val="en-AU"/>
        </w:rPr>
      </w:pPr>
    </w:p>
    <w:p w14:paraId="54D10B28"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Goldstone, Matthew. “The Love of Neighbour in Ancient Judaism: The Reception of </w:t>
      </w:r>
    </w:p>
    <w:p w14:paraId="473EAF1D" w14:textId="01592AF1"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Leviticus 19:18 in the Hebrew Bible, the Septuagint, the Book of Jubilees, the Dead Sea Scrolls, and the New Testament.” </w:t>
      </w:r>
      <w:r w:rsidRPr="00FB2D03">
        <w:rPr>
          <w:i/>
          <w:color w:val="000000" w:themeColor="text1"/>
          <w:lang w:val="en-AU"/>
        </w:rPr>
        <w:t>Journal of Theological Studies</w:t>
      </w:r>
      <w:r w:rsidRPr="00FB2D03">
        <w:rPr>
          <w:color w:val="000000" w:themeColor="text1"/>
          <w:lang w:val="en-AU"/>
        </w:rPr>
        <w:t xml:space="preserve"> 70 (2019): 354–56.</w:t>
      </w:r>
    </w:p>
    <w:p w14:paraId="4AD0B51D" w14:textId="77777777" w:rsidR="00412D77" w:rsidRPr="00FB2D03" w:rsidRDefault="00412D77" w:rsidP="00412D77">
      <w:pPr>
        <w:tabs>
          <w:tab w:val="left" w:pos="5616"/>
        </w:tabs>
        <w:rPr>
          <w:color w:val="000000" w:themeColor="text1"/>
          <w:lang w:val="en-AU"/>
        </w:rPr>
      </w:pPr>
    </w:p>
    <w:p w14:paraId="773E8102"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________. “Murder, Anger, and Altars </w:t>
      </w:r>
      <w:proofErr w:type="gramStart"/>
      <w:r w:rsidRPr="00FB2D03">
        <w:rPr>
          <w:color w:val="000000" w:themeColor="text1"/>
          <w:lang w:val="en-AU"/>
        </w:rPr>
        <w:t>The</w:t>
      </w:r>
      <w:proofErr w:type="gramEnd"/>
      <w:r w:rsidRPr="00FB2D03">
        <w:rPr>
          <w:color w:val="000000" w:themeColor="text1"/>
          <w:lang w:val="en-AU"/>
        </w:rPr>
        <w:t xml:space="preserve"> First Matthean Antithesis in Light of Exodus 21: </w:t>
      </w:r>
    </w:p>
    <w:p w14:paraId="43C1019C" w14:textId="0D66AB05" w:rsidR="00412D77" w:rsidRPr="00FB2D03" w:rsidRDefault="00412D77" w:rsidP="00AD1181">
      <w:pPr>
        <w:tabs>
          <w:tab w:val="left" w:pos="5616"/>
        </w:tabs>
        <w:ind w:left="720"/>
        <w:rPr>
          <w:color w:val="000000" w:themeColor="text1"/>
          <w:lang w:val="en-AU"/>
        </w:rPr>
      </w:pPr>
      <w:r w:rsidRPr="00FB2D03">
        <w:rPr>
          <w:color w:val="000000" w:themeColor="text1"/>
          <w:lang w:val="en-AU"/>
        </w:rPr>
        <w:t>14 and Its Early Rabbinic Interpretation.” </w:t>
      </w:r>
      <w:r w:rsidRPr="00FB2D03">
        <w:rPr>
          <w:i/>
          <w:color w:val="000000" w:themeColor="text1"/>
          <w:lang w:val="en-AU"/>
        </w:rPr>
        <w:t>Novum Testamentum</w:t>
      </w:r>
      <w:r w:rsidRPr="00FB2D03">
        <w:rPr>
          <w:color w:val="000000" w:themeColor="text1"/>
          <w:lang w:val="en-AU"/>
        </w:rPr>
        <w:t> 59 (2017): 339–54.</w:t>
      </w:r>
    </w:p>
    <w:p w14:paraId="5E67A2F9" w14:textId="77777777" w:rsidR="00412D77" w:rsidRPr="00FB2D03" w:rsidRDefault="00412D77" w:rsidP="00412D77">
      <w:pPr>
        <w:tabs>
          <w:tab w:val="left" w:pos="5616"/>
        </w:tabs>
        <w:rPr>
          <w:color w:val="000000" w:themeColor="text1"/>
          <w:lang w:val="en-AU"/>
        </w:rPr>
      </w:pPr>
    </w:p>
    <w:p w14:paraId="08C65A60"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________. “The Structure of Matthew’s Antitheses </w:t>
      </w:r>
      <w:proofErr w:type="gramStart"/>
      <w:r w:rsidRPr="00FB2D03">
        <w:rPr>
          <w:color w:val="000000" w:themeColor="text1"/>
          <w:lang w:val="en-AU"/>
        </w:rPr>
        <w:t>in Light of</w:t>
      </w:r>
      <w:proofErr w:type="gramEnd"/>
      <w:r w:rsidRPr="00FB2D03">
        <w:rPr>
          <w:color w:val="000000" w:themeColor="text1"/>
          <w:lang w:val="en-AU"/>
        </w:rPr>
        <w:t xml:space="preserve"> Early Jewish, Christian and </w:t>
      </w:r>
    </w:p>
    <w:p w14:paraId="48E41A79" w14:textId="727EE28E" w:rsidR="00412D77" w:rsidRPr="00FB2D03" w:rsidRDefault="00412D77" w:rsidP="00AD1181">
      <w:pPr>
        <w:tabs>
          <w:tab w:val="left" w:pos="5616"/>
        </w:tabs>
        <w:ind w:left="720"/>
        <w:rPr>
          <w:color w:val="000000" w:themeColor="text1"/>
          <w:lang w:val="en-AU"/>
        </w:rPr>
      </w:pPr>
      <w:r w:rsidRPr="00FB2D03">
        <w:rPr>
          <w:color w:val="000000" w:themeColor="text1"/>
          <w:lang w:val="en-AU"/>
        </w:rPr>
        <w:t>Rabbinic Sources.” </w:t>
      </w:r>
      <w:r w:rsidRPr="00FB2D03">
        <w:rPr>
          <w:i/>
          <w:color w:val="000000" w:themeColor="text1"/>
          <w:lang w:val="en-AU"/>
        </w:rPr>
        <w:t>Journal for the Study of the New Testament</w:t>
      </w:r>
      <w:r w:rsidRPr="00FB2D03">
        <w:rPr>
          <w:color w:val="000000" w:themeColor="text1"/>
          <w:lang w:val="en-AU"/>
        </w:rPr>
        <w:t> 40 (2017): 214–35.</w:t>
      </w:r>
    </w:p>
    <w:p w14:paraId="71D882FF" w14:textId="77777777" w:rsidR="00412D77" w:rsidRPr="00FB2D03" w:rsidRDefault="00412D77" w:rsidP="00412D77">
      <w:pPr>
        <w:tabs>
          <w:tab w:val="left" w:pos="5616"/>
        </w:tabs>
        <w:rPr>
          <w:color w:val="000000" w:themeColor="text1"/>
          <w:lang w:val="en-AU"/>
        </w:rPr>
      </w:pPr>
    </w:p>
    <w:p w14:paraId="7F42A5DA" w14:textId="77777777" w:rsidR="00E42DAB" w:rsidRPr="00FB2D03" w:rsidRDefault="00412D77" w:rsidP="00412D77">
      <w:pPr>
        <w:tabs>
          <w:tab w:val="left" w:pos="5616"/>
        </w:tabs>
        <w:rPr>
          <w:i/>
          <w:color w:val="000000" w:themeColor="text1"/>
          <w:lang w:val="en-AU"/>
        </w:rPr>
      </w:pPr>
      <w:r w:rsidRPr="00FB2D03">
        <w:rPr>
          <w:color w:val="000000" w:themeColor="text1"/>
          <w:lang w:val="en-AU"/>
        </w:rPr>
        <w:t>________.</w:t>
      </w:r>
      <w:r w:rsidRPr="00FB2D03">
        <w:rPr>
          <w:i/>
          <w:color w:val="000000" w:themeColor="text1"/>
          <w:lang w:val="en-AU"/>
        </w:rPr>
        <w:t xml:space="preserve"> The Dangerous Duty of Rebuke: Leviticus 19:17 in Early Jewish and Christian </w:t>
      </w:r>
    </w:p>
    <w:p w14:paraId="1A26782F" w14:textId="06337601" w:rsidR="00412D77" w:rsidRPr="00FB2D03" w:rsidRDefault="00412D77" w:rsidP="00AD1181">
      <w:pPr>
        <w:tabs>
          <w:tab w:val="left" w:pos="5616"/>
        </w:tabs>
        <w:ind w:left="720"/>
        <w:rPr>
          <w:color w:val="000000" w:themeColor="text1"/>
          <w:lang w:val="en-AU"/>
        </w:rPr>
      </w:pPr>
      <w:r w:rsidRPr="00FB2D03">
        <w:rPr>
          <w:i/>
          <w:color w:val="000000" w:themeColor="text1"/>
          <w:lang w:val="en-AU"/>
        </w:rPr>
        <w:t>Interpretation</w:t>
      </w:r>
      <w:r w:rsidRPr="00FB2D03">
        <w:rPr>
          <w:color w:val="000000" w:themeColor="text1"/>
          <w:lang w:val="en-AU"/>
        </w:rPr>
        <w:t>. Leiden: Brill, 2018.</w:t>
      </w:r>
    </w:p>
    <w:p w14:paraId="50DD6D2D" w14:textId="77777777" w:rsidR="00412D77" w:rsidRPr="00FB2D03" w:rsidRDefault="00412D77" w:rsidP="00412D77">
      <w:pPr>
        <w:tabs>
          <w:tab w:val="left" w:pos="5616"/>
        </w:tabs>
        <w:rPr>
          <w:color w:val="000000" w:themeColor="text1"/>
          <w:lang w:val="en-AU"/>
        </w:rPr>
      </w:pPr>
    </w:p>
    <w:p w14:paraId="6121F289" w14:textId="77777777" w:rsidR="00E42DAB" w:rsidRPr="00FB2D03" w:rsidRDefault="00412D77" w:rsidP="00412D77">
      <w:pPr>
        <w:tabs>
          <w:tab w:val="left" w:pos="5616"/>
        </w:tabs>
        <w:rPr>
          <w:color w:val="000000" w:themeColor="text1"/>
          <w:lang w:val="en-AU"/>
        </w:rPr>
      </w:pPr>
      <w:r w:rsidRPr="00FB2D03">
        <w:rPr>
          <w:color w:val="000000" w:themeColor="text1"/>
          <w:lang w:val="en-AU"/>
        </w:rPr>
        <w:t>________. “Rebuke, Lending, and Love: An Early Exegetical Tradition on Leviticus 19:17-</w:t>
      </w:r>
    </w:p>
    <w:p w14:paraId="59B249D6" w14:textId="7ECB87B4" w:rsidR="00412D77" w:rsidRPr="00FB2D03" w:rsidRDefault="00412D77" w:rsidP="00AD1181">
      <w:pPr>
        <w:tabs>
          <w:tab w:val="left" w:pos="5616"/>
        </w:tabs>
        <w:ind w:left="720"/>
        <w:rPr>
          <w:color w:val="000000" w:themeColor="text1"/>
          <w:lang w:val="en-AU"/>
        </w:rPr>
      </w:pPr>
      <w:r w:rsidRPr="00FB2D03">
        <w:rPr>
          <w:color w:val="000000" w:themeColor="text1"/>
          <w:lang w:val="en-AU"/>
        </w:rPr>
        <w:t>18.” </w:t>
      </w:r>
      <w:r w:rsidRPr="00FB2D03">
        <w:rPr>
          <w:i/>
          <w:color w:val="000000" w:themeColor="text1"/>
          <w:lang w:val="en-AU"/>
        </w:rPr>
        <w:t>Journal of Biblical Literature</w:t>
      </w:r>
      <w:r w:rsidRPr="00FB2D03">
        <w:rPr>
          <w:color w:val="000000" w:themeColor="text1"/>
          <w:lang w:val="en-AU"/>
        </w:rPr>
        <w:t xml:space="preserve"> 136 (2017): 307–21. </w:t>
      </w:r>
    </w:p>
    <w:p w14:paraId="27C78590" w14:textId="77777777" w:rsidR="00412D77" w:rsidRPr="00FB2D03" w:rsidRDefault="00412D77" w:rsidP="00412D77">
      <w:pPr>
        <w:tabs>
          <w:tab w:val="left" w:pos="5616"/>
        </w:tabs>
        <w:rPr>
          <w:color w:val="000000" w:themeColor="text1"/>
          <w:lang w:val="en-AU"/>
        </w:rPr>
      </w:pPr>
    </w:p>
    <w:p w14:paraId="0FA164E6"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________. “The Structure of Matthew’s Antitheses </w:t>
      </w:r>
      <w:proofErr w:type="gramStart"/>
      <w:r w:rsidRPr="00FB2D03">
        <w:rPr>
          <w:color w:val="000000" w:themeColor="text1"/>
          <w:lang w:val="en-AU"/>
        </w:rPr>
        <w:t>in Light of</w:t>
      </w:r>
      <w:proofErr w:type="gramEnd"/>
      <w:r w:rsidRPr="00FB2D03">
        <w:rPr>
          <w:color w:val="000000" w:themeColor="text1"/>
          <w:lang w:val="en-AU"/>
        </w:rPr>
        <w:t xml:space="preserve"> Early Jewish, Christian and </w:t>
      </w:r>
    </w:p>
    <w:p w14:paraId="2C5BB197" w14:textId="75EC91C7" w:rsidR="00412D77" w:rsidRPr="00FB2D03" w:rsidRDefault="00412D77" w:rsidP="00AD1181">
      <w:pPr>
        <w:tabs>
          <w:tab w:val="left" w:pos="5616"/>
        </w:tabs>
        <w:ind w:left="720"/>
        <w:rPr>
          <w:color w:val="000000" w:themeColor="text1"/>
          <w:lang w:val="en-AU"/>
        </w:rPr>
      </w:pPr>
      <w:r w:rsidRPr="00FB2D03">
        <w:rPr>
          <w:color w:val="000000" w:themeColor="text1"/>
          <w:lang w:val="en-AU"/>
        </w:rPr>
        <w:t>Rabbinic Sources.” </w:t>
      </w:r>
      <w:r w:rsidRPr="00FB2D03">
        <w:rPr>
          <w:i/>
          <w:color w:val="000000" w:themeColor="text1"/>
          <w:lang w:val="en-AU"/>
        </w:rPr>
        <w:t>Journal for the Study of the New Testament</w:t>
      </w:r>
      <w:r w:rsidRPr="00FB2D03">
        <w:rPr>
          <w:color w:val="000000" w:themeColor="text1"/>
          <w:lang w:val="en-AU"/>
        </w:rPr>
        <w:t xml:space="preserve"> 40 (2017): 214–35. </w:t>
      </w:r>
    </w:p>
    <w:p w14:paraId="54B8C43F" w14:textId="77777777" w:rsidR="00412D77" w:rsidRPr="00FB2D03" w:rsidRDefault="00412D77" w:rsidP="00412D77">
      <w:pPr>
        <w:tabs>
          <w:tab w:val="left" w:pos="5616"/>
        </w:tabs>
        <w:rPr>
          <w:color w:val="000000" w:themeColor="text1"/>
          <w:lang w:val="en-AU"/>
        </w:rPr>
      </w:pPr>
    </w:p>
    <w:p w14:paraId="14236848"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Goldsworthy, Adrian. </w:t>
      </w:r>
      <w:r w:rsidRPr="00FB2D03">
        <w:rPr>
          <w:i/>
          <w:color w:val="000000" w:themeColor="text1"/>
          <w:lang w:val="en-AU"/>
        </w:rPr>
        <w:t>The Roman Army at War 100 BC – AD 200</w:t>
      </w:r>
      <w:r w:rsidRPr="00FB2D03">
        <w:rPr>
          <w:color w:val="000000" w:themeColor="text1"/>
          <w:lang w:val="en-AU"/>
        </w:rPr>
        <w:t xml:space="preserve">. Oxford: Clarendon Press, </w:t>
      </w:r>
    </w:p>
    <w:p w14:paraId="4F4D8F49" w14:textId="12DBC50E" w:rsidR="00412D77" w:rsidRPr="00FB2D03" w:rsidRDefault="00412D77" w:rsidP="00AD1181">
      <w:pPr>
        <w:tabs>
          <w:tab w:val="left" w:pos="5616"/>
        </w:tabs>
        <w:ind w:left="720"/>
        <w:rPr>
          <w:color w:val="000000" w:themeColor="text1"/>
          <w:lang w:val="en-AU"/>
        </w:rPr>
      </w:pPr>
      <w:r w:rsidRPr="00FB2D03">
        <w:rPr>
          <w:color w:val="000000" w:themeColor="text1"/>
          <w:lang w:val="en-AU"/>
        </w:rPr>
        <w:t>1996.</w:t>
      </w:r>
    </w:p>
    <w:p w14:paraId="6D7EBAA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 </w:t>
      </w:r>
    </w:p>
    <w:p w14:paraId="436A17CB"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Goodman, Lenn Evan. </w:t>
      </w:r>
      <w:r w:rsidRPr="00FB2D03">
        <w:rPr>
          <w:i/>
          <w:color w:val="000000" w:themeColor="text1"/>
          <w:lang w:val="en-AU"/>
        </w:rPr>
        <w:t>Love Thy Neighbour as Thyself</w:t>
      </w:r>
      <w:r w:rsidRPr="00FB2D03">
        <w:rPr>
          <w:color w:val="000000" w:themeColor="text1"/>
          <w:lang w:val="en-AU"/>
        </w:rPr>
        <w:t xml:space="preserve">. Oxford: Oxford University Press, </w:t>
      </w:r>
    </w:p>
    <w:p w14:paraId="31CBC8C0" w14:textId="633D581C" w:rsidR="00412D77" w:rsidRPr="00FB2D03" w:rsidRDefault="00412D77" w:rsidP="00AD1181">
      <w:pPr>
        <w:tabs>
          <w:tab w:val="left" w:pos="5616"/>
        </w:tabs>
        <w:ind w:left="720"/>
        <w:rPr>
          <w:color w:val="000000" w:themeColor="text1"/>
          <w:lang w:val="en-AU"/>
        </w:rPr>
      </w:pPr>
      <w:r w:rsidRPr="00FB2D03">
        <w:rPr>
          <w:color w:val="000000" w:themeColor="text1"/>
          <w:lang w:val="en-AU"/>
        </w:rPr>
        <w:t>2008.</w:t>
      </w:r>
    </w:p>
    <w:p w14:paraId="71E14231" w14:textId="77777777" w:rsidR="00412D77" w:rsidRPr="00FB2D03" w:rsidRDefault="00412D77" w:rsidP="00412D77">
      <w:pPr>
        <w:tabs>
          <w:tab w:val="left" w:pos="5616"/>
        </w:tabs>
        <w:rPr>
          <w:color w:val="000000" w:themeColor="text1"/>
          <w:lang w:val="en-AU"/>
        </w:rPr>
      </w:pPr>
    </w:p>
    <w:p w14:paraId="618BDEE4" w14:textId="77777777" w:rsidR="00E42DAB" w:rsidRPr="00FB2D03" w:rsidRDefault="00412D77" w:rsidP="00412D77">
      <w:pPr>
        <w:tabs>
          <w:tab w:val="left" w:pos="5616"/>
        </w:tabs>
        <w:rPr>
          <w:i/>
          <w:color w:val="000000" w:themeColor="text1"/>
          <w:lang w:val="en-AU"/>
        </w:rPr>
      </w:pPr>
      <w:r w:rsidRPr="00FB2D03">
        <w:rPr>
          <w:color w:val="000000" w:themeColor="text1"/>
          <w:lang w:val="en-AU"/>
        </w:rPr>
        <w:t xml:space="preserve">Goodman, Martin. </w:t>
      </w:r>
      <w:r w:rsidRPr="00FB2D03">
        <w:rPr>
          <w:i/>
          <w:color w:val="000000" w:themeColor="text1"/>
          <w:lang w:val="en-AU"/>
        </w:rPr>
        <w:t xml:space="preserve">The Ruling Class of Judaea: The Origins of the Jewish Revolt against </w:t>
      </w:r>
    </w:p>
    <w:p w14:paraId="69B546D6" w14:textId="6A6937BB" w:rsidR="00412D77" w:rsidRPr="00FB2D03" w:rsidRDefault="00412D77" w:rsidP="00AD1181">
      <w:pPr>
        <w:tabs>
          <w:tab w:val="left" w:pos="5616"/>
        </w:tabs>
        <w:ind w:left="720"/>
        <w:rPr>
          <w:color w:val="000000" w:themeColor="text1"/>
          <w:lang w:val="en-AU"/>
        </w:rPr>
      </w:pPr>
      <w:r w:rsidRPr="00FB2D03">
        <w:rPr>
          <w:i/>
          <w:color w:val="000000" w:themeColor="text1"/>
          <w:lang w:val="en-AU"/>
        </w:rPr>
        <w:t>Rome AD 66–70</w:t>
      </w:r>
      <w:r w:rsidRPr="00FB2D03">
        <w:rPr>
          <w:color w:val="000000" w:themeColor="text1"/>
          <w:lang w:val="en-AU"/>
        </w:rPr>
        <w:t>. Cambridge: Cambridge University Press, 1987.</w:t>
      </w:r>
    </w:p>
    <w:p w14:paraId="6A6B7574" w14:textId="77777777" w:rsidR="00412D77" w:rsidRPr="00FB2D03" w:rsidRDefault="00412D77" w:rsidP="00412D77">
      <w:pPr>
        <w:tabs>
          <w:tab w:val="left" w:pos="5616"/>
        </w:tabs>
        <w:rPr>
          <w:color w:val="000000" w:themeColor="text1"/>
          <w:lang w:val="en-AU"/>
        </w:rPr>
      </w:pPr>
    </w:p>
    <w:p w14:paraId="103D4222" w14:textId="77777777" w:rsidR="00E42DAB" w:rsidRPr="00FB2D03" w:rsidRDefault="00412D77" w:rsidP="00412D77">
      <w:pPr>
        <w:tabs>
          <w:tab w:val="left" w:pos="5616"/>
        </w:tabs>
        <w:rPr>
          <w:i/>
          <w:color w:val="000000" w:themeColor="text1"/>
          <w:lang w:val="en-AU"/>
        </w:rPr>
      </w:pPr>
      <w:r w:rsidRPr="00FB2D03">
        <w:rPr>
          <w:color w:val="000000" w:themeColor="text1"/>
          <w:lang w:val="en-AU"/>
        </w:rPr>
        <w:t xml:space="preserve">Gordon, Cyrus. “Jewish Reaction to Christian Borrowings.” In </w:t>
      </w:r>
      <w:r w:rsidRPr="00FB2D03">
        <w:rPr>
          <w:i/>
          <w:color w:val="000000" w:themeColor="text1"/>
          <w:lang w:val="en-AU"/>
        </w:rPr>
        <w:t xml:space="preserve">The Word of the Lord Shall </w:t>
      </w:r>
    </w:p>
    <w:p w14:paraId="3785CAB1" w14:textId="684DEB00" w:rsidR="00412D77" w:rsidRPr="00FB2D03" w:rsidRDefault="00412D77" w:rsidP="00AD1181">
      <w:pPr>
        <w:tabs>
          <w:tab w:val="left" w:pos="5616"/>
        </w:tabs>
        <w:ind w:left="720"/>
        <w:rPr>
          <w:color w:val="000000" w:themeColor="text1"/>
          <w:lang w:val="en-AU"/>
        </w:rPr>
      </w:pPr>
      <w:r w:rsidRPr="00FB2D03">
        <w:rPr>
          <w:i/>
          <w:color w:val="000000" w:themeColor="text1"/>
          <w:lang w:val="en-AU"/>
        </w:rPr>
        <w:t>Go Forth. Essays in Honor of David Noel Freedman in Celebration of his Sixtieth Birthday</w:t>
      </w:r>
      <w:r w:rsidRPr="00FB2D03">
        <w:rPr>
          <w:color w:val="000000" w:themeColor="text1"/>
          <w:lang w:val="en-AU"/>
        </w:rPr>
        <w:t>. Winona Lake: Eisenbrauns, 1983.</w:t>
      </w:r>
    </w:p>
    <w:p w14:paraId="22BDC331" w14:textId="77777777" w:rsidR="00412D77" w:rsidRPr="00FB2D03" w:rsidRDefault="00412D77" w:rsidP="00412D77">
      <w:pPr>
        <w:tabs>
          <w:tab w:val="left" w:pos="5616"/>
        </w:tabs>
        <w:rPr>
          <w:color w:val="000000" w:themeColor="text1"/>
          <w:lang w:val="en-AU"/>
        </w:rPr>
      </w:pPr>
    </w:p>
    <w:p w14:paraId="37E0DC58" w14:textId="77777777" w:rsidR="00E42DAB" w:rsidRPr="00FB2D03" w:rsidRDefault="00412D77" w:rsidP="00412D77">
      <w:pPr>
        <w:tabs>
          <w:tab w:val="left" w:pos="5616"/>
        </w:tabs>
        <w:rPr>
          <w:i/>
          <w:color w:val="000000" w:themeColor="text1"/>
          <w:lang w:val="en-AU"/>
        </w:rPr>
      </w:pPr>
      <w:r w:rsidRPr="00FB2D03">
        <w:rPr>
          <w:color w:val="000000" w:themeColor="text1"/>
          <w:lang w:val="en-AU"/>
        </w:rPr>
        <w:t>Goswell, Greg (Gregory Ross). “The Shape of Messianism in Isaiah 9.” </w:t>
      </w:r>
      <w:r w:rsidRPr="00FB2D03">
        <w:rPr>
          <w:i/>
          <w:color w:val="000000" w:themeColor="text1"/>
          <w:lang w:val="en-AU"/>
        </w:rPr>
        <w:t xml:space="preserve">The Westminster </w:t>
      </w:r>
    </w:p>
    <w:p w14:paraId="64F5EEF0" w14:textId="40B9EDB4" w:rsidR="00412D77" w:rsidRPr="00FB2D03" w:rsidRDefault="00412D77" w:rsidP="00AD1181">
      <w:pPr>
        <w:tabs>
          <w:tab w:val="left" w:pos="5616"/>
        </w:tabs>
        <w:ind w:left="720"/>
        <w:rPr>
          <w:color w:val="000000" w:themeColor="text1"/>
          <w:lang w:val="en-AU"/>
        </w:rPr>
      </w:pPr>
      <w:r w:rsidRPr="00FB2D03">
        <w:rPr>
          <w:i/>
          <w:color w:val="000000" w:themeColor="text1"/>
          <w:lang w:val="en-AU"/>
        </w:rPr>
        <w:t>Theological Journal</w:t>
      </w:r>
      <w:r w:rsidRPr="00FB2D03">
        <w:rPr>
          <w:color w:val="000000" w:themeColor="text1"/>
          <w:lang w:val="en-AU"/>
        </w:rPr>
        <w:t> 77 (2015): 101–10.</w:t>
      </w:r>
    </w:p>
    <w:p w14:paraId="49DC599C" w14:textId="77777777" w:rsidR="00412D77" w:rsidRPr="00FB2D03" w:rsidRDefault="00412D77" w:rsidP="00412D77">
      <w:pPr>
        <w:tabs>
          <w:tab w:val="left" w:pos="5616"/>
        </w:tabs>
        <w:rPr>
          <w:color w:val="000000" w:themeColor="text1"/>
          <w:lang w:val="en-AU"/>
        </w:rPr>
      </w:pPr>
    </w:p>
    <w:p w14:paraId="48A0F848" w14:textId="77777777" w:rsidR="00E42DAB" w:rsidRPr="00FB2D03" w:rsidRDefault="00412D77" w:rsidP="00412D77">
      <w:pPr>
        <w:tabs>
          <w:tab w:val="left" w:pos="5616"/>
        </w:tabs>
        <w:rPr>
          <w:i/>
          <w:color w:val="000000" w:themeColor="text1"/>
          <w:lang w:val="en-AU"/>
        </w:rPr>
      </w:pPr>
      <w:r w:rsidRPr="00FB2D03">
        <w:rPr>
          <w:color w:val="000000" w:themeColor="text1"/>
          <w:lang w:val="en-AU"/>
        </w:rPr>
        <w:t>Gosling, Anne. “Sending up the Founder: Ovid and the Apotheosis of Romulus.” </w:t>
      </w:r>
      <w:r w:rsidRPr="00FB2D03">
        <w:rPr>
          <w:i/>
          <w:color w:val="000000" w:themeColor="text1"/>
          <w:lang w:val="en-AU"/>
        </w:rPr>
        <w:t xml:space="preserve">Acta </w:t>
      </w:r>
    </w:p>
    <w:p w14:paraId="25668925" w14:textId="233F25FC" w:rsidR="00412D77" w:rsidRPr="00FB2D03" w:rsidRDefault="00412D77" w:rsidP="00AD1181">
      <w:pPr>
        <w:tabs>
          <w:tab w:val="left" w:pos="5616"/>
        </w:tabs>
        <w:ind w:left="720"/>
        <w:rPr>
          <w:color w:val="000000" w:themeColor="text1"/>
          <w:lang w:val="en-AU"/>
        </w:rPr>
      </w:pPr>
      <w:r w:rsidRPr="00FB2D03">
        <w:rPr>
          <w:i/>
          <w:color w:val="000000" w:themeColor="text1"/>
          <w:lang w:val="en-AU"/>
        </w:rPr>
        <w:t>Classica</w:t>
      </w:r>
      <w:r w:rsidRPr="00FB2D03">
        <w:rPr>
          <w:color w:val="000000" w:themeColor="text1"/>
          <w:lang w:val="en-AU"/>
        </w:rPr>
        <w:t> 45 (2002): 51–69.</w:t>
      </w:r>
    </w:p>
    <w:p w14:paraId="69A81141" w14:textId="77777777" w:rsidR="00412D77" w:rsidRPr="00FB2D03" w:rsidRDefault="00412D77" w:rsidP="00412D77">
      <w:pPr>
        <w:tabs>
          <w:tab w:val="left" w:pos="5616"/>
        </w:tabs>
        <w:rPr>
          <w:color w:val="000000" w:themeColor="text1"/>
          <w:lang w:val="en-AU"/>
        </w:rPr>
      </w:pPr>
    </w:p>
    <w:p w14:paraId="6FAAC905" w14:textId="77777777" w:rsidR="00412D77" w:rsidRPr="00FB2D03" w:rsidRDefault="00412D77" w:rsidP="00412D77">
      <w:pPr>
        <w:tabs>
          <w:tab w:val="left" w:pos="5616"/>
        </w:tabs>
        <w:rPr>
          <w:color w:val="000000" w:themeColor="text1"/>
          <w:lang w:val="en-AU"/>
        </w:rPr>
      </w:pPr>
      <w:r w:rsidRPr="00FB2D03">
        <w:rPr>
          <w:color w:val="000000" w:themeColor="text1"/>
          <w:lang w:val="en-AU"/>
        </w:rPr>
        <w:t>Goulder, M. D. </w:t>
      </w:r>
      <w:r w:rsidRPr="00FB2D03">
        <w:rPr>
          <w:i/>
          <w:color w:val="000000" w:themeColor="text1"/>
          <w:lang w:val="en-AU"/>
        </w:rPr>
        <w:t>Luke, A New Paradigm</w:t>
      </w:r>
      <w:r w:rsidRPr="00FB2D03">
        <w:rPr>
          <w:color w:val="000000" w:themeColor="text1"/>
          <w:lang w:val="en-AU"/>
        </w:rPr>
        <w:t>. Sheffield: Sheffield Academic Press, 1994.</w:t>
      </w:r>
    </w:p>
    <w:p w14:paraId="05EEBFED" w14:textId="77777777" w:rsidR="00412D77" w:rsidRPr="00FB2D03" w:rsidRDefault="00412D77" w:rsidP="00412D77">
      <w:pPr>
        <w:tabs>
          <w:tab w:val="left" w:pos="5616"/>
        </w:tabs>
        <w:rPr>
          <w:color w:val="000000" w:themeColor="text1"/>
          <w:lang w:val="en-AU"/>
        </w:rPr>
      </w:pPr>
    </w:p>
    <w:p w14:paraId="3345AB5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Midrash and Lection in Matthew</w:t>
      </w:r>
      <w:r w:rsidRPr="00FB2D03">
        <w:rPr>
          <w:color w:val="000000" w:themeColor="text1"/>
          <w:lang w:val="en-AU"/>
        </w:rPr>
        <w:t>. London: SPCK, 1977.</w:t>
      </w:r>
    </w:p>
    <w:p w14:paraId="12CBAE1C" w14:textId="77777777" w:rsidR="00412D77" w:rsidRPr="00FB2D03" w:rsidRDefault="00412D77" w:rsidP="00412D77">
      <w:pPr>
        <w:tabs>
          <w:tab w:val="left" w:pos="5616"/>
        </w:tabs>
        <w:rPr>
          <w:color w:val="000000" w:themeColor="text1"/>
          <w:lang w:val="en-AU"/>
        </w:rPr>
      </w:pPr>
    </w:p>
    <w:p w14:paraId="2D7F29D9" w14:textId="4EF0FA07" w:rsidR="00412D77" w:rsidRPr="00FB2D03" w:rsidRDefault="01B55689" w:rsidP="01B55689">
      <w:pPr>
        <w:tabs>
          <w:tab w:val="left" w:pos="5616"/>
        </w:tabs>
        <w:rPr>
          <w:i/>
          <w:iCs/>
          <w:color w:val="000000" w:themeColor="text1"/>
          <w:lang w:val="en-AU"/>
        </w:rPr>
      </w:pPr>
      <w:r w:rsidRPr="00FB2D03">
        <w:rPr>
          <w:color w:val="000000" w:themeColor="text1"/>
          <w:lang w:val="en-AU"/>
        </w:rPr>
        <w:t xml:space="preserve">Grabbe, Lester L. </w:t>
      </w:r>
      <w:r w:rsidRPr="00FB2D03">
        <w:rPr>
          <w:i/>
          <w:iCs/>
          <w:color w:val="000000" w:themeColor="text1"/>
          <w:lang w:val="en-AU"/>
        </w:rPr>
        <w:t xml:space="preserve">A History of the </w:t>
      </w:r>
      <w:proofErr w:type="gramStart"/>
      <w:r w:rsidRPr="00FB2D03">
        <w:rPr>
          <w:i/>
          <w:iCs/>
          <w:color w:val="000000" w:themeColor="text1"/>
          <w:lang w:val="en-AU"/>
        </w:rPr>
        <w:t>Jews</w:t>
      </w:r>
      <w:proofErr w:type="gramEnd"/>
      <w:r w:rsidRPr="00FB2D03">
        <w:rPr>
          <w:i/>
          <w:iCs/>
          <w:color w:val="000000" w:themeColor="text1"/>
          <w:lang w:val="en-AU"/>
        </w:rPr>
        <w:t xml:space="preserve"> and Judaism in the Second Temple Period: The </w:t>
      </w:r>
    </w:p>
    <w:p w14:paraId="59DDE6A1" w14:textId="77FE1D97" w:rsidR="00412D77" w:rsidRPr="00FB2D03" w:rsidRDefault="01B55689" w:rsidP="01B55689">
      <w:pPr>
        <w:tabs>
          <w:tab w:val="left" w:pos="5616"/>
        </w:tabs>
        <w:ind w:firstLine="720"/>
        <w:rPr>
          <w:color w:val="000000" w:themeColor="text1"/>
          <w:lang w:val="en-AU"/>
        </w:rPr>
      </w:pPr>
      <w:r w:rsidRPr="00FB2D03">
        <w:rPr>
          <w:i/>
          <w:iCs/>
          <w:color w:val="000000" w:themeColor="text1"/>
          <w:lang w:val="en-AU"/>
        </w:rPr>
        <w:t>Early Hellenistic Period (335-175 BCE) II The Coming of the Greeks</w:t>
      </w:r>
      <w:r w:rsidRPr="00FB2D03">
        <w:rPr>
          <w:color w:val="000000" w:themeColor="text1"/>
          <w:lang w:val="en-AU"/>
        </w:rPr>
        <w:t xml:space="preserve">. Library of </w:t>
      </w:r>
      <w:r w:rsidR="00412D77" w:rsidRPr="00FB2D03">
        <w:rPr>
          <w:lang w:val="en-AU"/>
        </w:rPr>
        <w:tab/>
      </w:r>
    </w:p>
    <w:p w14:paraId="2AE318CD" w14:textId="0901EE2F" w:rsidR="00412D77" w:rsidRPr="00FB2D03" w:rsidRDefault="01B55689" w:rsidP="01B55689">
      <w:pPr>
        <w:tabs>
          <w:tab w:val="left" w:pos="5616"/>
        </w:tabs>
        <w:ind w:firstLine="720"/>
        <w:rPr>
          <w:color w:val="000000" w:themeColor="text1"/>
          <w:lang w:val="en-AU"/>
        </w:rPr>
      </w:pPr>
      <w:r w:rsidRPr="00FB2D03">
        <w:rPr>
          <w:color w:val="000000" w:themeColor="text1"/>
          <w:lang w:val="en-AU"/>
        </w:rPr>
        <w:t>Second Temple Studies 48. London: T &amp; T Clark, 2008.</w:t>
      </w:r>
    </w:p>
    <w:p w14:paraId="653B45E4" w14:textId="77777777" w:rsidR="00412D77" w:rsidRPr="00FB2D03" w:rsidRDefault="00412D77" w:rsidP="00412D77">
      <w:pPr>
        <w:tabs>
          <w:tab w:val="left" w:pos="5616"/>
        </w:tabs>
        <w:rPr>
          <w:color w:val="000000" w:themeColor="text1"/>
          <w:lang w:val="en-AU"/>
        </w:rPr>
      </w:pPr>
    </w:p>
    <w:p w14:paraId="2DF5185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“A History of the Jews and Judaism in the Second Temple Period, Vol. 1, Yehud: </w:t>
      </w:r>
    </w:p>
    <w:p w14:paraId="2EB48E23" w14:textId="3BD1429D" w:rsidR="00412D77" w:rsidRPr="00FB2D03" w:rsidRDefault="00412D77" w:rsidP="00AD1181">
      <w:pPr>
        <w:tabs>
          <w:tab w:val="left" w:pos="5616"/>
        </w:tabs>
        <w:ind w:left="720"/>
        <w:rPr>
          <w:color w:val="000000" w:themeColor="text1"/>
          <w:lang w:val="en-AU"/>
        </w:rPr>
      </w:pPr>
      <w:r w:rsidRPr="00FB2D03">
        <w:rPr>
          <w:color w:val="000000" w:themeColor="text1"/>
          <w:lang w:val="en-AU"/>
        </w:rPr>
        <w:t>A History of the Persian Province of Judah.” </w:t>
      </w:r>
      <w:r w:rsidRPr="00FB2D03">
        <w:rPr>
          <w:i/>
          <w:color w:val="000000" w:themeColor="text1"/>
          <w:lang w:val="en-AU"/>
        </w:rPr>
        <w:t>Journal of Semitic Studies</w:t>
      </w:r>
      <w:r w:rsidRPr="00FB2D03">
        <w:rPr>
          <w:color w:val="000000" w:themeColor="text1"/>
          <w:lang w:val="en-AU"/>
        </w:rPr>
        <w:t xml:space="preserve"> 54 (2009): 590–92.</w:t>
      </w:r>
    </w:p>
    <w:p w14:paraId="5FBDB333" w14:textId="77777777" w:rsidR="00412D77" w:rsidRPr="00FB2D03" w:rsidRDefault="00412D77" w:rsidP="00412D77">
      <w:pPr>
        <w:tabs>
          <w:tab w:val="left" w:pos="5616"/>
        </w:tabs>
        <w:rPr>
          <w:color w:val="000000" w:themeColor="text1"/>
          <w:lang w:val="en-AU"/>
        </w:rPr>
      </w:pPr>
    </w:p>
    <w:p w14:paraId="42E866DD" w14:textId="77777777" w:rsidR="00E42DAB" w:rsidRPr="00FB2D03" w:rsidRDefault="00412D77" w:rsidP="00412D77">
      <w:pPr>
        <w:tabs>
          <w:tab w:val="left" w:pos="5616"/>
        </w:tabs>
        <w:rPr>
          <w:i/>
          <w:color w:val="000000" w:themeColor="text1"/>
          <w:lang w:val="en-AU"/>
        </w:rPr>
      </w:pPr>
      <w:r w:rsidRPr="00FB2D03">
        <w:rPr>
          <w:color w:val="000000" w:themeColor="text1"/>
          <w:lang w:val="en-AU"/>
        </w:rPr>
        <w:t>Graetz, Heinrich</w:t>
      </w:r>
      <w:r w:rsidRPr="00FB2D03">
        <w:rPr>
          <w:i/>
          <w:color w:val="000000" w:themeColor="text1"/>
          <w:lang w:val="en-AU"/>
        </w:rPr>
        <w:t>. History of the Je</w:t>
      </w:r>
      <w:r w:rsidRPr="00FB2D03">
        <w:rPr>
          <w:color w:val="000000" w:themeColor="text1"/>
          <w:lang w:val="en-AU"/>
        </w:rPr>
        <w:t xml:space="preserve">ws (Vol. 2: </w:t>
      </w:r>
      <w:r w:rsidRPr="00FB2D03">
        <w:rPr>
          <w:i/>
          <w:color w:val="000000" w:themeColor="text1"/>
          <w:lang w:val="en-AU"/>
        </w:rPr>
        <w:t xml:space="preserve">From the Reign of Hyrcanus (135 B.C.E.) to </w:t>
      </w:r>
    </w:p>
    <w:p w14:paraId="0B90873E" w14:textId="59B9AB2B" w:rsidR="00412D77" w:rsidRPr="00FB2D03" w:rsidRDefault="01B55689" w:rsidP="00AD1181">
      <w:pPr>
        <w:tabs>
          <w:tab w:val="left" w:pos="5616"/>
        </w:tabs>
        <w:ind w:left="720"/>
        <w:rPr>
          <w:color w:val="000000" w:themeColor="text1"/>
          <w:lang w:val="en-AU"/>
        </w:rPr>
      </w:pPr>
      <w:r w:rsidRPr="00FB2D03">
        <w:rPr>
          <w:i/>
          <w:iCs/>
          <w:color w:val="000000" w:themeColor="text1"/>
          <w:lang w:val="en-AU"/>
        </w:rPr>
        <w:t>the Completion of the Babylonian Talmud (500 C.E.)</w:t>
      </w:r>
      <w:r w:rsidRPr="00FB2D03">
        <w:rPr>
          <w:color w:val="000000" w:themeColor="text1"/>
          <w:lang w:val="en-AU"/>
        </w:rPr>
        <w:t>. Philadelphia: The Jewish Publication Society of America, 1893.</w:t>
      </w:r>
    </w:p>
    <w:p w14:paraId="52DABA6A" w14:textId="38AE4027" w:rsidR="01B55689" w:rsidRPr="00FB2D03" w:rsidRDefault="01B55689" w:rsidP="01B55689">
      <w:pPr>
        <w:tabs>
          <w:tab w:val="left" w:pos="5616"/>
        </w:tabs>
        <w:rPr>
          <w:color w:val="000000" w:themeColor="text1"/>
          <w:lang w:val="en-AU"/>
        </w:rPr>
      </w:pPr>
    </w:p>
    <w:p w14:paraId="1C1BAFA5" w14:textId="77777777" w:rsidR="00F91100" w:rsidRPr="00FB2D03" w:rsidRDefault="01B55689" w:rsidP="01B55689">
      <w:pPr>
        <w:tabs>
          <w:tab w:val="left" w:pos="5616"/>
        </w:tabs>
        <w:rPr>
          <w:i/>
          <w:iCs/>
          <w:color w:val="000000" w:themeColor="text1"/>
          <w:lang w:val="en-AU"/>
        </w:rPr>
      </w:pPr>
      <w:r w:rsidRPr="00FB2D03">
        <w:rPr>
          <w:color w:val="000000" w:themeColor="text1"/>
          <w:lang w:val="en-AU"/>
        </w:rPr>
        <w:t xml:space="preserve">Gray, Alyssa M. “Redemptive Almsgivings and the Rabbis of Late Antiquity.” </w:t>
      </w:r>
      <w:r w:rsidRPr="00FB2D03">
        <w:rPr>
          <w:i/>
          <w:iCs/>
          <w:color w:val="000000" w:themeColor="text1"/>
          <w:lang w:val="en-AU"/>
        </w:rPr>
        <w:t xml:space="preserve">Jewish </w:t>
      </w:r>
    </w:p>
    <w:p w14:paraId="38C600F2" w14:textId="3F7F9248" w:rsidR="00412D77" w:rsidRPr="00FB2D03" w:rsidRDefault="01B55689" w:rsidP="00F91100">
      <w:pPr>
        <w:tabs>
          <w:tab w:val="left" w:pos="5616"/>
        </w:tabs>
        <w:ind w:left="720"/>
        <w:rPr>
          <w:color w:val="000000" w:themeColor="text1"/>
          <w:lang w:val="en-AU"/>
        </w:rPr>
      </w:pPr>
      <w:r w:rsidRPr="00FB2D03">
        <w:rPr>
          <w:i/>
          <w:iCs/>
          <w:color w:val="000000" w:themeColor="text1"/>
          <w:lang w:val="en-AU"/>
        </w:rPr>
        <w:t>Studies</w:t>
      </w:r>
      <w:r w:rsidR="00F91100" w:rsidRPr="00FB2D03">
        <w:rPr>
          <w:i/>
          <w:iCs/>
          <w:color w:val="000000" w:themeColor="text1"/>
          <w:lang w:val="en-AU"/>
        </w:rPr>
        <w:t xml:space="preserve"> </w:t>
      </w:r>
      <w:r w:rsidRPr="00FB2D03">
        <w:rPr>
          <w:i/>
          <w:iCs/>
          <w:color w:val="000000" w:themeColor="text1"/>
          <w:lang w:val="en-AU"/>
        </w:rPr>
        <w:t>Quarterly</w:t>
      </w:r>
      <w:r w:rsidRPr="00FB2D03">
        <w:rPr>
          <w:color w:val="000000" w:themeColor="text1"/>
          <w:lang w:val="en-AU"/>
        </w:rPr>
        <w:t xml:space="preserve"> 18 (2011): 144–84. </w:t>
      </w:r>
    </w:p>
    <w:p w14:paraId="1F1F1B82" w14:textId="77777777" w:rsidR="00412D77" w:rsidRPr="00FB2D03" w:rsidRDefault="00412D77" w:rsidP="00412D77">
      <w:pPr>
        <w:tabs>
          <w:tab w:val="left" w:pos="5616"/>
        </w:tabs>
        <w:rPr>
          <w:color w:val="000000" w:themeColor="text1"/>
          <w:lang w:val="en-AU"/>
        </w:rPr>
      </w:pPr>
    </w:p>
    <w:p w14:paraId="602577E9" w14:textId="77777777" w:rsidR="00F91100" w:rsidRPr="00FB2D03" w:rsidRDefault="01B55689" w:rsidP="00412D77">
      <w:pPr>
        <w:tabs>
          <w:tab w:val="left" w:pos="5616"/>
        </w:tabs>
        <w:rPr>
          <w:i/>
          <w:iCs/>
          <w:color w:val="000000" w:themeColor="text1"/>
          <w:lang w:val="en-AU"/>
        </w:rPr>
      </w:pPr>
      <w:r w:rsidRPr="00FB2D03">
        <w:rPr>
          <w:color w:val="000000" w:themeColor="text1"/>
          <w:lang w:val="en-AU"/>
        </w:rPr>
        <w:t xml:space="preserve">Greenspahn, Frederick E. </w:t>
      </w:r>
      <w:r w:rsidRPr="00FB2D03">
        <w:rPr>
          <w:i/>
          <w:iCs/>
          <w:color w:val="000000" w:themeColor="text1"/>
          <w:lang w:val="en-AU"/>
        </w:rPr>
        <w:t xml:space="preserve">When Brothers Dwell Together: The </w:t>
      </w:r>
      <w:proofErr w:type="gramStart"/>
      <w:r w:rsidRPr="00FB2D03">
        <w:rPr>
          <w:i/>
          <w:iCs/>
          <w:color w:val="000000" w:themeColor="text1"/>
          <w:lang w:val="en-AU"/>
        </w:rPr>
        <w:t>Pre–eminence</w:t>
      </w:r>
      <w:proofErr w:type="gramEnd"/>
      <w:r w:rsidRPr="00FB2D03">
        <w:rPr>
          <w:i/>
          <w:iCs/>
          <w:color w:val="000000" w:themeColor="text1"/>
          <w:lang w:val="en-AU"/>
        </w:rPr>
        <w:t xml:space="preserve"> of Younger </w:t>
      </w:r>
      <w:r w:rsidR="00412D77" w:rsidRPr="00FB2D03">
        <w:rPr>
          <w:lang w:val="en-AU"/>
        </w:rPr>
        <w:tab/>
      </w:r>
      <w:r w:rsidRPr="00FB2D03">
        <w:rPr>
          <w:i/>
          <w:iCs/>
          <w:color w:val="000000" w:themeColor="text1"/>
          <w:lang w:val="en-AU"/>
        </w:rPr>
        <w:t xml:space="preserve">  </w:t>
      </w:r>
    </w:p>
    <w:p w14:paraId="076F0AAB" w14:textId="29CBC4C6" w:rsidR="00412D77" w:rsidRPr="00FB2D03" w:rsidRDefault="01B55689" w:rsidP="001A5D67">
      <w:pPr>
        <w:tabs>
          <w:tab w:val="left" w:pos="5616"/>
        </w:tabs>
        <w:ind w:left="720"/>
        <w:rPr>
          <w:color w:val="000000" w:themeColor="text1"/>
          <w:lang w:val="en-AU"/>
        </w:rPr>
      </w:pPr>
      <w:r w:rsidRPr="00FB2D03">
        <w:rPr>
          <w:i/>
          <w:iCs/>
          <w:color w:val="000000" w:themeColor="text1"/>
          <w:lang w:val="en-AU"/>
        </w:rPr>
        <w:t>Siblings in the Hebrew Bible</w:t>
      </w:r>
      <w:r w:rsidRPr="00FB2D03">
        <w:rPr>
          <w:color w:val="000000" w:themeColor="text1"/>
          <w:lang w:val="en-AU"/>
        </w:rPr>
        <w:t>.</w:t>
      </w:r>
      <w:r w:rsidRPr="00FB2D03">
        <w:rPr>
          <w:i/>
          <w:iCs/>
          <w:color w:val="000000" w:themeColor="text1"/>
          <w:lang w:val="en-AU"/>
        </w:rPr>
        <w:t xml:space="preserve"> </w:t>
      </w:r>
      <w:r w:rsidRPr="00FB2D03">
        <w:rPr>
          <w:color w:val="000000" w:themeColor="text1"/>
          <w:lang w:val="en-AU"/>
        </w:rPr>
        <w:t>New York: Oxford University Press, 1994.</w:t>
      </w:r>
    </w:p>
    <w:p w14:paraId="49F8FDB0" w14:textId="5DB4242D" w:rsidR="00412D77" w:rsidRPr="00FB2D03" w:rsidRDefault="00412D77" w:rsidP="00412D77">
      <w:pPr>
        <w:tabs>
          <w:tab w:val="left" w:pos="5616"/>
        </w:tabs>
        <w:rPr>
          <w:color w:val="000000" w:themeColor="text1"/>
          <w:lang w:val="en-AU"/>
        </w:rPr>
      </w:pPr>
    </w:p>
    <w:p w14:paraId="7029324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“Why Prophecy Ceased.” </w:t>
      </w:r>
      <w:r w:rsidRPr="00FB2D03">
        <w:rPr>
          <w:i/>
          <w:color w:val="000000" w:themeColor="text1"/>
          <w:lang w:val="en-AU"/>
        </w:rPr>
        <w:t>Journal of Biblical Literature</w:t>
      </w:r>
      <w:r w:rsidRPr="00FB2D03">
        <w:rPr>
          <w:color w:val="000000" w:themeColor="text1"/>
          <w:lang w:val="en-AU"/>
        </w:rPr>
        <w:t xml:space="preserve"> 108 (1989): 37–49.</w:t>
      </w:r>
    </w:p>
    <w:p w14:paraId="777B0331" w14:textId="77777777" w:rsidR="00412D77" w:rsidRPr="00FB2D03" w:rsidRDefault="00412D77" w:rsidP="00412D77">
      <w:pPr>
        <w:tabs>
          <w:tab w:val="left" w:pos="5616"/>
        </w:tabs>
        <w:rPr>
          <w:color w:val="000000" w:themeColor="text1"/>
          <w:lang w:val="en-AU"/>
        </w:rPr>
      </w:pPr>
    </w:p>
    <w:p w14:paraId="7D6059F7"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Grossman, Maxine L. “Community Rule or Community Rules: Examining a Supplementary </w:t>
      </w:r>
    </w:p>
    <w:p w14:paraId="45366590" w14:textId="408F9E05"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Approach </w:t>
      </w:r>
      <w:proofErr w:type="gramStart"/>
      <w:r w:rsidRPr="00FB2D03">
        <w:rPr>
          <w:color w:val="000000" w:themeColor="text1"/>
          <w:lang w:val="en-AU"/>
        </w:rPr>
        <w:t>in Light of</w:t>
      </w:r>
      <w:proofErr w:type="gramEnd"/>
      <w:r w:rsidRPr="00FB2D03">
        <w:rPr>
          <w:color w:val="000000" w:themeColor="text1"/>
          <w:lang w:val="en-AU"/>
        </w:rPr>
        <w:t xml:space="preserve"> the Sectarian Dead Sea Scrolls.” </w:t>
      </w:r>
      <w:r w:rsidR="002A581C" w:rsidRPr="00FB2D03">
        <w:rPr>
          <w:color w:val="000000" w:themeColor="text1"/>
          <w:lang w:val="en-AU"/>
        </w:rPr>
        <w:t>(</w:t>
      </w:r>
      <w:r w:rsidRPr="00FB2D03">
        <w:rPr>
          <w:color w:val="000000" w:themeColor="text1"/>
          <w:lang w:val="en-AU"/>
        </w:rPr>
        <w:t>2016</w:t>
      </w:r>
      <w:r w:rsidR="002A581C" w:rsidRPr="00FB2D03">
        <w:rPr>
          <w:color w:val="000000" w:themeColor="text1"/>
          <w:lang w:val="en-AU"/>
        </w:rPr>
        <w:t>):</w:t>
      </w:r>
      <w:r w:rsidRPr="00FB2D03">
        <w:rPr>
          <w:color w:val="000000" w:themeColor="text1"/>
          <w:lang w:val="en-AU"/>
        </w:rPr>
        <w:t xml:space="preserve"> 303–30.</w:t>
      </w:r>
    </w:p>
    <w:p w14:paraId="52E31B67" w14:textId="77777777" w:rsidR="00412D77" w:rsidRPr="00FB2D03" w:rsidRDefault="00412D77" w:rsidP="00412D77">
      <w:pPr>
        <w:tabs>
          <w:tab w:val="left" w:pos="5616"/>
        </w:tabs>
        <w:rPr>
          <w:color w:val="000000" w:themeColor="text1"/>
          <w:lang w:val="en-AU"/>
        </w:rPr>
      </w:pPr>
    </w:p>
    <w:p w14:paraId="7BF2B3EB"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Guelich, Robert A. </w:t>
      </w:r>
      <w:r w:rsidRPr="00FB2D03">
        <w:rPr>
          <w:i/>
          <w:color w:val="000000" w:themeColor="text1"/>
          <w:lang w:val="en-AU"/>
        </w:rPr>
        <w:t>The Sermon on the Mount: A Foundation for Understanding</w:t>
      </w:r>
      <w:r w:rsidRPr="00FB2D03">
        <w:rPr>
          <w:color w:val="000000" w:themeColor="text1"/>
          <w:lang w:val="en-AU"/>
        </w:rPr>
        <w:t xml:space="preserve">. Waco: </w:t>
      </w:r>
    </w:p>
    <w:p w14:paraId="6D9F334E" w14:textId="436E5D00"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Word Books, 1982. </w:t>
      </w:r>
    </w:p>
    <w:p w14:paraId="0F801EF7" w14:textId="77777777" w:rsidR="00412D77" w:rsidRPr="00FB2D03" w:rsidRDefault="00412D77" w:rsidP="00412D77">
      <w:pPr>
        <w:tabs>
          <w:tab w:val="left" w:pos="5616"/>
        </w:tabs>
        <w:rPr>
          <w:color w:val="000000" w:themeColor="text1"/>
          <w:lang w:val="en-AU"/>
        </w:rPr>
      </w:pPr>
    </w:p>
    <w:p w14:paraId="4130A54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Guthrie, Donald. </w:t>
      </w:r>
      <w:r w:rsidRPr="00FB2D03">
        <w:rPr>
          <w:i/>
          <w:color w:val="000000" w:themeColor="text1"/>
          <w:lang w:val="en-AU"/>
        </w:rPr>
        <w:t>New Testament Introduction.</w:t>
      </w:r>
      <w:r w:rsidRPr="00FB2D03">
        <w:rPr>
          <w:color w:val="000000" w:themeColor="text1"/>
          <w:lang w:val="en-AU"/>
        </w:rPr>
        <w:t xml:space="preserve"> Leicester, England: Apollos, 1990.</w:t>
      </w:r>
    </w:p>
    <w:p w14:paraId="02423DF6" w14:textId="77777777" w:rsidR="00412D77" w:rsidRPr="00FB2D03" w:rsidRDefault="00412D77" w:rsidP="00412D77">
      <w:pPr>
        <w:tabs>
          <w:tab w:val="left" w:pos="5616"/>
        </w:tabs>
        <w:rPr>
          <w:color w:val="000000" w:themeColor="text1"/>
          <w:lang w:val="en-AU"/>
        </w:rPr>
      </w:pPr>
    </w:p>
    <w:p w14:paraId="2AA5CBDB" w14:textId="77777777" w:rsidR="00E42DAB" w:rsidRPr="00FB2D03" w:rsidRDefault="00412D77" w:rsidP="00412D77">
      <w:pPr>
        <w:tabs>
          <w:tab w:val="left" w:pos="5616"/>
        </w:tabs>
        <w:rPr>
          <w:i/>
          <w:color w:val="000000" w:themeColor="text1"/>
          <w:lang w:val="en-AU"/>
        </w:rPr>
      </w:pPr>
      <w:r w:rsidRPr="00FB2D03">
        <w:rPr>
          <w:color w:val="000000" w:themeColor="text1"/>
          <w:lang w:val="en-AU"/>
        </w:rPr>
        <w:t xml:space="preserve">Gutierrez, Juan Marcos Bejarano. </w:t>
      </w:r>
      <w:r w:rsidRPr="00FB2D03">
        <w:rPr>
          <w:i/>
          <w:color w:val="000000" w:themeColor="text1"/>
          <w:lang w:val="en-AU"/>
        </w:rPr>
        <w:t xml:space="preserve">Forgotten Origins: The Lost Jewish History of Jesus and </w:t>
      </w:r>
    </w:p>
    <w:p w14:paraId="424FC8AE" w14:textId="4C6DC831" w:rsidR="00412D77" w:rsidRPr="00FB2D03" w:rsidRDefault="00412D77" w:rsidP="00AD1181">
      <w:pPr>
        <w:tabs>
          <w:tab w:val="left" w:pos="5616"/>
        </w:tabs>
        <w:ind w:left="720"/>
        <w:rPr>
          <w:color w:val="000000" w:themeColor="text1"/>
          <w:lang w:val="en-AU"/>
        </w:rPr>
      </w:pPr>
      <w:r w:rsidRPr="00FB2D03">
        <w:rPr>
          <w:i/>
          <w:color w:val="000000" w:themeColor="text1"/>
          <w:lang w:val="en-AU"/>
        </w:rPr>
        <w:t>Early Christianity</w:t>
      </w:r>
      <w:r w:rsidRPr="00FB2D03">
        <w:rPr>
          <w:color w:val="000000" w:themeColor="text1"/>
          <w:lang w:val="en-AU"/>
        </w:rPr>
        <w:t xml:space="preserve">. Grand Prairie, TX: Yaron Publishing, 2017. </w:t>
      </w:r>
    </w:p>
    <w:p w14:paraId="09D28B8A" w14:textId="77777777" w:rsidR="00412D77" w:rsidRPr="00FB2D03" w:rsidRDefault="00412D77" w:rsidP="00412D77">
      <w:pPr>
        <w:tabs>
          <w:tab w:val="left" w:pos="5616"/>
        </w:tabs>
        <w:rPr>
          <w:color w:val="000000" w:themeColor="text1"/>
          <w:lang w:val="en-AU"/>
        </w:rPr>
      </w:pPr>
    </w:p>
    <w:p w14:paraId="366B2A59" w14:textId="5ACE7D3D" w:rsidR="00412D77" w:rsidRPr="00FB2D03" w:rsidRDefault="01B55689" w:rsidP="01B55689">
      <w:pPr>
        <w:tabs>
          <w:tab w:val="left" w:pos="5616"/>
        </w:tabs>
        <w:rPr>
          <w:i/>
          <w:iCs/>
          <w:color w:val="000000" w:themeColor="text1"/>
          <w:lang w:val="en-AU"/>
        </w:rPr>
      </w:pPr>
      <w:r w:rsidRPr="00FB2D03">
        <w:rPr>
          <w:color w:val="000000" w:themeColor="text1"/>
          <w:lang w:val="en-AU"/>
        </w:rPr>
        <w:t xml:space="preserve">Guttman, Alexander. “Abot: Its Place in Rabbinic Literature.” </w:t>
      </w:r>
      <w:r w:rsidRPr="00FB2D03">
        <w:rPr>
          <w:i/>
          <w:iCs/>
          <w:color w:val="000000" w:themeColor="text1"/>
          <w:lang w:val="en-AU"/>
        </w:rPr>
        <w:t xml:space="preserve">The Jewish Quarterly </w:t>
      </w:r>
      <w:r w:rsidR="00412D77" w:rsidRPr="00FB2D03">
        <w:rPr>
          <w:lang w:val="en-AU"/>
        </w:rPr>
        <w:tab/>
      </w:r>
    </w:p>
    <w:p w14:paraId="6D3FECD2" w14:textId="3E71EA2F" w:rsidR="00412D77" w:rsidRPr="00FB2D03" w:rsidRDefault="01B55689" w:rsidP="00AD1181">
      <w:pPr>
        <w:tabs>
          <w:tab w:val="left" w:pos="5616"/>
        </w:tabs>
        <w:ind w:left="720"/>
        <w:rPr>
          <w:color w:val="000000" w:themeColor="text1"/>
          <w:lang w:val="en-AU"/>
        </w:rPr>
      </w:pPr>
      <w:r w:rsidRPr="00FB2D03">
        <w:rPr>
          <w:i/>
          <w:iCs/>
          <w:color w:val="000000" w:themeColor="text1"/>
          <w:lang w:val="en-AU"/>
        </w:rPr>
        <w:t>Review</w:t>
      </w:r>
      <w:r w:rsidRPr="00FB2D03">
        <w:rPr>
          <w:color w:val="000000" w:themeColor="text1"/>
          <w:lang w:val="en-AU"/>
        </w:rPr>
        <w:t>, 41 (1950): 188–89.</w:t>
      </w:r>
    </w:p>
    <w:p w14:paraId="486D1D43" w14:textId="77777777" w:rsidR="00412D77" w:rsidRPr="00FB2D03" w:rsidRDefault="00412D77" w:rsidP="00412D77">
      <w:pPr>
        <w:tabs>
          <w:tab w:val="left" w:pos="5616"/>
        </w:tabs>
        <w:rPr>
          <w:color w:val="000000" w:themeColor="text1"/>
          <w:lang w:val="en-AU"/>
        </w:rPr>
      </w:pPr>
    </w:p>
    <w:p w14:paraId="488A9C93" w14:textId="77777777" w:rsidR="00E42DAB" w:rsidRPr="00FB2D03" w:rsidRDefault="00412D77" w:rsidP="00412D77">
      <w:pPr>
        <w:tabs>
          <w:tab w:val="left" w:pos="5616"/>
        </w:tabs>
        <w:rPr>
          <w:i/>
          <w:color w:val="000000" w:themeColor="text1"/>
          <w:lang w:val="en-AU"/>
        </w:rPr>
      </w:pPr>
      <w:r w:rsidRPr="00FB2D03">
        <w:rPr>
          <w:color w:val="000000" w:themeColor="text1"/>
          <w:lang w:val="en-AU"/>
        </w:rPr>
        <w:t>Gvaryahu, Amit. “Roman Coinage and Its Early Rabbinic Users.” </w:t>
      </w:r>
      <w:r w:rsidRPr="00FB2D03">
        <w:rPr>
          <w:i/>
          <w:color w:val="000000" w:themeColor="text1"/>
          <w:lang w:val="en-AU"/>
        </w:rPr>
        <w:t xml:space="preserve">Jewish Quarterly </w:t>
      </w:r>
    </w:p>
    <w:p w14:paraId="1D087F9D" w14:textId="793A3184" w:rsidR="00412D77" w:rsidRPr="00FB2D03" w:rsidRDefault="00412D77" w:rsidP="00AD1181">
      <w:pPr>
        <w:tabs>
          <w:tab w:val="left" w:pos="5616"/>
        </w:tabs>
        <w:ind w:left="720"/>
        <w:rPr>
          <w:color w:val="000000" w:themeColor="text1"/>
          <w:lang w:val="en-AU"/>
        </w:rPr>
      </w:pPr>
      <w:r w:rsidRPr="00FB2D03">
        <w:rPr>
          <w:i/>
          <w:color w:val="000000" w:themeColor="text1"/>
          <w:lang w:val="en-AU"/>
        </w:rPr>
        <w:t>Review</w:t>
      </w:r>
      <w:r w:rsidRPr="00FB2D03">
        <w:rPr>
          <w:color w:val="000000" w:themeColor="text1"/>
          <w:lang w:val="en-AU"/>
        </w:rPr>
        <w:t> 111 (2021): 1–27.</w:t>
      </w:r>
    </w:p>
    <w:p w14:paraId="6A146F91" w14:textId="77777777" w:rsidR="00412D77" w:rsidRPr="00FB2D03" w:rsidRDefault="00412D77" w:rsidP="00412D77">
      <w:pPr>
        <w:tabs>
          <w:tab w:val="left" w:pos="5616"/>
        </w:tabs>
        <w:rPr>
          <w:color w:val="000000" w:themeColor="text1"/>
          <w:lang w:val="en-AU"/>
        </w:rPr>
      </w:pPr>
    </w:p>
    <w:p w14:paraId="45363279"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Habel, Norman C. </w:t>
      </w:r>
      <w:r w:rsidRPr="00FB2D03">
        <w:rPr>
          <w:i/>
          <w:color w:val="000000" w:themeColor="text1"/>
          <w:lang w:val="en-AU"/>
        </w:rPr>
        <w:t xml:space="preserve">Jeremiah/ Lamentations, </w:t>
      </w:r>
      <w:r w:rsidRPr="00FB2D03">
        <w:rPr>
          <w:color w:val="000000" w:themeColor="text1"/>
          <w:lang w:val="en-AU"/>
        </w:rPr>
        <w:t xml:space="preserve">Concordia Commentary. St. Louis: Concordia, </w:t>
      </w:r>
    </w:p>
    <w:p w14:paraId="2D08FD18" w14:textId="17A58D9B" w:rsidR="00412D77" w:rsidRPr="00FB2D03" w:rsidRDefault="00412D77" w:rsidP="00AD1181">
      <w:pPr>
        <w:tabs>
          <w:tab w:val="left" w:pos="5616"/>
        </w:tabs>
        <w:ind w:left="720"/>
        <w:rPr>
          <w:color w:val="000000" w:themeColor="text1"/>
          <w:lang w:val="en-AU"/>
        </w:rPr>
      </w:pPr>
      <w:r w:rsidRPr="00FB2D03">
        <w:rPr>
          <w:color w:val="000000" w:themeColor="text1"/>
          <w:lang w:val="en-AU"/>
        </w:rPr>
        <w:t>1968.</w:t>
      </w:r>
    </w:p>
    <w:p w14:paraId="4CE25F61"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 </w:t>
      </w:r>
    </w:p>
    <w:p w14:paraId="5E58DBFC"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Hagner, Donald A. </w:t>
      </w:r>
      <w:r w:rsidRPr="00FB2D03">
        <w:rPr>
          <w:i/>
          <w:color w:val="000000" w:themeColor="text1"/>
          <w:lang w:val="en-AU"/>
        </w:rPr>
        <w:t>Matthew 1–13</w:t>
      </w:r>
      <w:r w:rsidRPr="00FB2D03">
        <w:rPr>
          <w:color w:val="000000" w:themeColor="text1"/>
          <w:lang w:val="en-AU"/>
        </w:rPr>
        <w:t xml:space="preserve">, Word Biblical Commentary 33a. ed. Bruce Metzger. </w:t>
      </w:r>
    </w:p>
    <w:p w14:paraId="2371E807" w14:textId="2D2ACF20" w:rsidR="00412D77" w:rsidRPr="00FB2D03" w:rsidRDefault="00412D77" w:rsidP="00AD1181">
      <w:pPr>
        <w:tabs>
          <w:tab w:val="left" w:pos="5616"/>
        </w:tabs>
        <w:ind w:left="720"/>
        <w:rPr>
          <w:color w:val="000000" w:themeColor="text1"/>
          <w:lang w:val="en-AU"/>
        </w:rPr>
      </w:pPr>
      <w:r w:rsidRPr="00FB2D03">
        <w:rPr>
          <w:color w:val="000000" w:themeColor="text1"/>
          <w:lang w:val="en-AU"/>
        </w:rPr>
        <w:t>Nashville: Thomas Nelson, 1993.</w:t>
      </w:r>
    </w:p>
    <w:p w14:paraId="63DF1B93" w14:textId="77777777" w:rsidR="00412D77" w:rsidRPr="00FB2D03" w:rsidRDefault="00412D77" w:rsidP="00412D77">
      <w:pPr>
        <w:tabs>
          <w:tab w:val="left" w:pos="5616"/>
        </w:tabs>
        <w:rPr>
          <w:color w:val="000000" w:themeColor="text1"/>
          <w:lang w:val="en-AU"/>
        </w:rPr>
      </w:pPr>
    </w:p>
    <w:p w14:paraId="0131B7B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Matthew 14–28</w:t>
      </w:r>
      <w:r w:rsidRPr="00FB2D03">
        <w:rPr>
          <w:color w:val="000000" w:themeColor="text1"/>
          <w:lang w:val="en-AU"/>
        </w:rPr>
        <w:t>. Dallas: Word Books, 1993.</w:t>
      </w:r>
    </w:p>
    <w:p w14:paraId="6B627F43" w14:textId="77777777" w:rsidR="00412D77" w:rsidRPr="00FB2D03" w:rsidRDefault="00412D77" w:rsidP="00412D77">
      <w:pPr>
        <w:tabs>
          <w:tab w:val="left" w:pos="5616"/>
        </w:tabs>
        <w:rPr>
          <w:color w:val="000000" w:themeColor="text1"/>
          <w:lang w:val="en-AU"/>
        </w:rPr>
      </w:pPr>
    </w:p>
    <w:p w14:paraId="3CB9109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Matthew</w:t>
      </w:r>
      <w:r w:rsidRPr="00FB2D03">
        <w:rPr>
          <w:color w:val="000000" w:themeColor="text1"/>
          <w:lang w:val="en-AU"/>
        </w:rPr>
        <w:t>. Nashville: Thomas Nelson Publishers, 2003.</w:t>
      </w:r>
    </w:p>
    <w:p w14:paraId="22BF7CB4" w14:textId="77777777" w:rsidR="00412D77" w:rsidRPr="00FB2D03" w:rsidRDefault="00412D77" w:rsidP="00412D77">
      <w:pPr>
        <w:tabs>
          <w:tab w:val="left" w:pos="5616"/>
        </w:tabs>
        <w:rPr>
          <w:color w:val="000000" w:themeColor="text1"/>
          <w:lang w:val="en-AU"/>
        </w:rPr>
      </w:pPr>
    </w:p>
    <w:p w14:paraId="59E049D2" w14:textId="77777777" w:rsidR="00E42DAB" w:rsidRPr="00FB2D03" w:rsidRDefault="00412D77" w:rsidP="00412D77">
      <w:pPr>
        <w:tabs>
          <w:tab w:val="left" w:pos="5616"/>
        </w:tabs>
        <w:rPr>
          <w:i/>
          <w:color w:val="000000" w:themeColor="text1"/>
          <w:lang w:val="en-AU"/>
        </w:rPr>
      </w:pPr>
      <w:r w:rsidRPr="00FB2D03">
        <w:rPr>
          <w:color w:val="000000" w:themeColor="text1"/>
          <w:lang w:val="en-AU"/>
        </w:rPr>
        <w:t xml:space="preserve">________. </w:t>
      </w:r>
      <w:r w:rsidRPr="00FB2D03">
        <w:rPr>
          <w:i/>
          <w:color w:val="000000" w:themeColor="text1"/>
          <w:lang w:val="en-AU"/>
        </w:rPr>
        <w:t xml:space="preserve">The Jewish Reclamation of Jesus: An Analysis and Critique of Modern Jewish </w:t>
      </w:r>
    </w:p>
    <w:p w14:paraId="271FD02C" w14:textId="2B398CEE"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Study of Jesus. </w:t>
      </w:r>
      <w:r w:rsidRPr="00FB2D03">
        <w:rPr>
          <w:color w:val="000000" w:themeColor="text1"/>
          <w:lang w:val="en-AU"/>
        </w:rPr>
        <w:t xml:space="preserve">Grand Rapids: Académie Books, 1984. </w:t>
      </w:r>
    </w:p>
    <w:p w14:paraId="0A81E61B" w14:textId="77777777" w:rsidR="00412D77" w:rsidRPr="00FB2D03" w:rsidRDefault="00412D77" w:rsidP="00412D77">
      <w:pPr>
        <w:tabs>
          <w:tab w:val="left" w:pos="5616"/>
        </w:tabs>
        <w:rPr>
          <w:i/>
          <w:color w:val="000000" w:themeColor="text1"/>
          <w:lang w:val="en-AU"/>
        </w:rPr>
      </w:pPr>
    </w:p>
    <w:p w14:paraId="355E65FB"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Hah, Seung M. “Intercultural Missional Leadership: Theological Foundation </w:t>
      </w:r>
      <w:proofErr w:type="gramStart"/>
      <w:r w:rsidRPr="00FB2D03">
        <w:rPr>
          <w:color w:val="000000" w:themeColor="text1"/>
          <w:lang w:val="en-AU"/>
        </w:rPr>
        <w:t>And</w:t>
      </w:r>
      <w:proofErr w:type="gramEnd"/>
      <w:r w:rsidRPr="00FB2D03">
        <w:rPr>
          <w:color w:val="000000" w:themeColor="text1"/>
          <w:lang w:val="en-AU"/>
        </w:rPr>
        <w:t xml:space="preserve"> Biblical </w:t>
      </w:r>
    </w:p>
    <w:p w14:paraId="34653D2D" w14:textId="55CD05A5" w:rsidR="00412D77" w:rsidRPr="00FB2D03" w:rsidRDefault="00412D77" w:rsidP="00AD1181">
      <w:pPr>
        <w:tabs>
          <w:tab w:val="left" w:pos="5616"/>
        </w:tabs>
        <w:ind w:left="720"/>
        <w:rPr>
          <w:color w:val="000000" w:themeColor="text1"/>
          <w:lang w:val="en-AU"/>
        </w:rPr>
      </w:pPr>
      <w:r w:rsidRPr="00FB2D03">
        <w:rPr>
          <w:color w:val="000000" w:themeColor="text1"/>
          <w:lang w:val="en-AU"/>
        </w:rPr>
        <w:t>Narratives.” </w:t>
      </w:r>
      <w:r w:rsidRPr="00FB2D03">
        <w:rPr>
          <w:i/>
          <w:color w:val="000000" w:themeColor="text1"/>
          <w:lang w:val="en-AU"/>
        </w:rPr>
        <w:t>HTS Teologiese Studies / Theological Studies</w:t>
      </w:r>
      <w:r w:rsidRPr="00FB2D03">
        <w:rPr>
          <w:color w:val="000000" w:themeColor="text1"/>
          <w:lang w:val="en-AU"/>
        </w:rPr>
        <w:t> 7 (2019).</w:t>
      </w:r>
    </w:p>
    <w:p w14:paraId="2AE8B6FF" w14:textId="77777777" w:rsidR="00412D77" w:rsidRPr="00FB2D03" w:rsidRDefault="00412D77" w:rsidP="00412D77">
      <w:pPr>
        <w:tabs>
          <w:tab w:val="left" w:pos="5616"/>
        </w:tabs>
        <w:rPr>
          <w:color w:val="000000" w:themeColor="text1"/>
          <w:lang w:val="en-AU"/>
        </w:rPr>
      </w:pPr>
    </w:p>
    <w:p w14:paraId="312ACC31"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Halpin, Andrew. “The Usage of Iniuria in the Twelve Tables.” </w:t>
      </w:r>
      <w:r w:rsidRPr="00FB2D03">
        <w:rPr>
          <w:i/>
          <w:color w:val="000000" w:themeColor="text1"/>
          <w:lang w:val="en-AU"/>
        </w:rPr>
        <w:t>The Irish Jurist</w:t>
      </w:r>
      <w:r w:rsidRPr="00FB2D03">
        <w:rPr>
          <w:color w:val="000000" w:themeColor="text1"/>
          <w:lang w:val="en-AU"/>
        </w:rPr>
        <w:t xml:space="preserve"> 11 (1976): </w:t>
      </w:r>
    </w:p>
    <w:p w14:paraId="3CC131B3" w14:textId="0B1EA19D" w:rsidR="00412D77" w:rsidRPr="00FB2D03" w:rsidRDefault="00412D77" w:rsidP="00AD1181">
      <w:pPr>
        <w:tabs>
          <w:tab w:val="left" w:pos="5616"/>
        </w:tabs>
        <w:ind w:left="720"/>
        <w:rPr>
          <w:color w:val="000000" w:themeColor="text1"/>
          <w:lang w:val="en-AU"/>
        </w:rPr>
      </w:pPr>
      <w:r w:rsidRPr="00FB2D03">
        <w:rPr>
          <w:color w:val="000000" w:themeColor="text1"/>
          <w:lang w:val="en-AU"/>
        </w:rPr>
        <w:t>344–54.</w:t>
      </w:r>
    </w:p>
    <w:p w14:paraId="5A9C6A6E" w14:textId="77777777" w:rsidR="00412D77" w:rsidRPr="00FB2D03" w:rsidRDefault="00412D77" w:rsidP="00412D77">
      <w:pPr>
        <w:tabs>
          <w:tab w:val="left" w:pos="5616"/>
        </w:tabs>
        <w:rPr>
          <w:color w:val="000000" w:themeColor="text1"/>
          <w:lang w:val="en-AU"/>
        </w:rPr>
      </w:pPr>
    </w:p>
    <w:p w14:paraId="2A2E84AB"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Halivni, David Weiss. </w:t>
      </w:r>
      <w:r w:rsidRPr="00FB2D03">
        <w:rPr>
          <w:i/>
          <w:color w:val="000000" w:themeColor="text1"/>
          <w:lang w:val="en-AU"/>
        </w:rPr>
        <w:t>Revelation Restored – Divine Writ and Critical Responses</w:t>
      </w:r>
      <w:r w:rsidRPr="00FB2D03">
        <w:rPr>
          <w:color w:val="000000" w:themeColor="text1"/>
          <w:lang w:val="en-AU"/>
        </w:rPr>
        <w:t xml:space="preserve">. Oxford: </w:t>
      </w:r>
    </w:p>
    <w:p w14:paraId="3DABE5F6" w14:textId="515AF9D0" w:rsidR="00412D77" w:rsidRPr="00FB2D03" w:rsidRDefault="00412D77" w:rsidP="00AD1181">
      <w:pPr>
        <w:tabs>
          <w:tab w:val="left" w:pos="5616"/>
        </w:tabs>
        <w:ind w:left="720"/>
        <w:rPr>
          <w:color w:val="000000" w:themeColor="text1"/>
          <w:lang w:val="en-AU"/>
        </w:rPr>
      </w:pPr>
      <w:r w:rsidRPr="00FB2D03">
        <w:rPr>
          <w:color w:val="000000" w:themeColor="text1"/>
          <w:lang w:val="en-AU"/>
        </w:rPr>
        <w:t>Oxford University Press, 1997.</w:t>
      </w:r>
    </w:p>
    <w:p w14:paraId="06A1ECB5" w14:textId="77777777" w:rsidR="00412D77" w:rsidRPr="00FB2D03" w:rsidRDefault="00412D77" w:rsidP="00412D77">
      <w:pPr>
        <w:tabs>
          <w:tab w:val="left" w:pos="5616"/>
        </w:tabs>
        <w:rPr>
          <w:color w:val="000000" w:themeColor="text1"/>
          <w:lang w:val="en-AU"/>
        </w:rPr>
      </w:pPr>
    </w:p>
    <w:p w14:paraId="5EAA8038" w14:textId="5BF55F4D" w:rsidR="00412D77" w:rsidRPr="00FB2D03" w:rsidRDefault="01B55689" w:rsidP="01B55689">
      <w:pPr>
        <w:tabs>
          <w:tab w:val="left" w:pos="5616"/>
        </w:tabs>
        <w:rPr>
          <w:color w:val="000000" w:themeColor="text1"/>
          <w:lang w:val="en-AU"/>
        </w:rPr>
      </w:pPr>
      <w:r w:rsidRPr="00FB2D03">
        <w:rPr>
          <w:color w:val="000000" w:themeColor="text1"/>
          <w:lang w:val="en-AU"/>
        </w:rPr>
        <w:t xml:space="preserve">Hamidović, David. “L’eschatologie essénienne dans la littérature apocalyptique: </w:t>
      </w:r>
    </w:p>
    <w:p w14:paraId="0D02832B" w14:textId="06E6E22C" w:rsidR="00412D77" w:rsidRPr="00FB2D03" w:rsidRDefault="01B55689" w:rsidP="01B55689">
      <w:pPr>
        <w:tabs>
          <w:tab w:val="left" w:pos="5616"/>
        </w:tabs>
        <w:ind w:left="720"/>
        <w:rPr>
          <w:color w:val="000000" w:themeColor="text1"/>
          <w:lang w:val="en-AU"/>
        </w:rPr>
      </w:pPr>
      <w:r w:rsidRPr="00FB2D03">
        <w:rPr>
          <w:color w:val="000000" w:themeColor="text1"/>
          <w:lang w:val="en-AU"/>
        </w:rPr>
        <w:t xml:space="preserve">temporalités et limites chronologiques.” </w:t>
      </w:r>
      <w:r w:rsidRPr="00FB2D03">
        <w:rPr>
          <w:i/>
          <w:iCs/>
          <w:color w:val="000000" w:themeColor="text1"/>
          <w:lang w:val="en-AU"/>
        </w:rPr>
        <w:t>Revue des Etudes Juives</w:t>
      </w:r>
      <w:r w:rsidRPr="00FB2D03">
        <w:rPr>
          <w:color w:val="000000" w:themeColor="text1"/>
          <w:lang w:val="en-AU"/>
        </w:rPr>
        <w:t xml:space="preserve"> 169 (2010): 37–55.</w:t>
      </w:r>
    </w:p>
    <w:p w14:paraId="346ED0EE" w14:textId="77777777" w:rsidR="00412D77" w:rsidRPr="00FB2D03" w:rsidRDefault="00412D77" w:rsidP="01B55689">
      <w:pPr>
        <w:tabs>
          <w:tab w:val="left" w:pos="5616"/>
        </w:tabs>
        <w:ind w:left="720"/>
        <w:rPr>
          <w:color w:val="000000" w:themeColor="text1"/>
          <w:lang w:val="en-AU"/>
        </w:rPr>
      </w:pPr>
    </w:p>
    <w:p w14:paraId="45255025"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Hanan, Eshel. </w:t>
      </w:r>
      <w:r w:rsidRPr="00FB2D03">
        <w:rPr>
          <w:i/>
          <w:color w:val="000000" w:themeColor="text1"/>
          <w:lang w:val="en-AU"/>
        </w:rPr>
        <w:t>The Dead Sea Scrolls and the Hasmonean State</w:t>
      </w:r>
      <w:r w:rsidRPr="00FB2D03">
        <w:rPr>
          <w:color w:val="000000" w:themeColor="text1"/>
          <w:lang w:val="en-AU"/>
        </w:rPr>
        <w:t xml:space="preserve">. Grand Rapids: Eerdmans, </w:t>
      </w:r>
    </w:p>
    <w:p w14:paraId="519683FA" w14:textId="09F9DC44" w:rsidR="00E42DAB" w:rsidRPr="00FB2D03" w:rsidRDefault="01B55689" w:rsidP="01B55689">
      <w:pPr>
        <w:tabs>
          <w:tab w:val="left" w:pos="5616"/>
        </w:tabs>
        <w:ind w:left="720"/>
        <w:rPr>
          <w:color w:val="000000" w:themeColor="text1"/>
          <w:lang w:val="en-AU"/>
        </w:rPr>
      </w:pPr>
      <w:r w:rsidRPr="00FB2D03">
        <w:rPr>
          <w:color w:val="000000" w:themeColor="text1"/>
          <w:lang w:val="en-AU"/>
        </w:rPr>
        <w:t>2008.</w:t>
      </w:r>
    </w:p>
    <w:p w14:paraId="27DAED66" w14:textId="77777777" w:rsidR="00E42DAB" w:rsidRPr="00FB2D03" w:rsidRDefault="00E42DAB" w:rsidP="00412D77">
      <w:pPr>
        <w:tabs>
          <w:tab w:val="left" w:pos="5616"/>
        </w:tabs>
        <w:rPr>
          <w:color w:val="000000" w:themeColor="text1"/>
          <w:lang w:val="en-AU"/>
        </w:rPr>
      </w:pPr>
    </w:p>
    <w:p w14:paraId="52509256" w14:textId="3CAD1DB0" w:rsidR="00412D77" w:rsidRPr="00FB2D03" w:rsidRDefault="01B55689" w:rsidP="01B55689">
      <w:pPr>
        <w:tabs>
          <w:tab w:val="left" w:pos="5616"/>
        </w:tabs>
        <w:rPr>
          <w:lang w:val="en-AU"/>
        </w:rPr>
      </w:pPr>
      <w:r w:rsidRPr="00FB2D03">
        <w:rPr>
          <w:color w:val="000000" w:themeColor="text1"/>
          <w:lang w:val="en-AU"/>
        </w:rPr>
        <w:t xml:space="preserve">Handelman, Susan A. </w:t>
      </w:r>
      <w:r w:rsidRPr="00FB2D03">
        <w:rPr>
          <w:i/>
          <w:iCs/>
          <w:lang w:val="en-AU"/>
        </w:rPr>
        <w:t xml:space="preserve">Slayers of Moses: The Emergence of Rabbinic Interpretation in </w:t>
      </w:r>
    </w:p>
    <w:p w14:paraId="28C48876" w14:textId="7AC44105" w:rsidR="00412D77" w:rsidRPr="00FB2D03" w:rsidRDefault="01B55689" w:rsidP="01B55689">
      <w:pPr>
        <w:tabs>
          <w:tab w:val="left" w:pos="5616"/>
        </w:tabs>
        <w:ind w:firstLine="720"/>
        <w:rPr>
          <w:color w:val="000000" w:themeColor="text1"/>
          <w:lang w:val="en-AU"/>
        </w:rPr>
      </w:pPr>
      <w:r w:rsidRPr="00FB2D03">
        <w:rPr>
          <w:i/>
          <w:iCs/>
          <w:lang w:val="en-AU"/>
        </w:rPr>
        <w:t>Modern Literary Theory.</w:t>
      </w:r>
      <w:r w:rsidRPr="00FB2D03">
        <w:rPr>
          <w:lang w:val="en-AU"/>
        </w:rPr>
        <w:t xml:space="preserve"> Albany: State University of New York Press, 1982.</w:t>
      </w:r>
    </w:p>
    <w:p w14:paraId="16B3CEB1" w14:textId="77777777" w:rsidR="00412D77" w:rsidRPr="00FB2D03" w:rsidRDefault="00412D77" w:rsidP="00412D77">
      <w:pPr>
        <w:tabs>
          <w:tab w:val="left" w:pos="5616"/>
        </w:tabs>
        <w:rPr>
          <w:color w:val="000000" w:themeColor="text1"/>
          <w:lang w:val="en-AU"/>
        </w:rPr>
      </w:pPr>
    </w:p>
    <w:p w14:paraId="0B0D1C25"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Hanson, Paul D. </w:t>
      </w:r>
      <w:r w:rsidRPr="00FB2D03">
        <w:rPr>
          <w:i/>
          <w:color w:val="000000" w:themeColor="text1"/>
          <w:lang w:val="en-AU"/>
        </w:rPr>
        <w:t>The Dawn of the Apocalyptic</w:t>
      </w:r>
      <w:r w:rsidRPr="00FB2D03">
        <w:rPr>
          <w:color w:val="000000" w:themeColor="text1"/>
          <w:lang w:val="en-AU"/>
        </w:rPr>
        <w:t xml:space="preserve">. Philadelphia: Fortress, 1975. </w:t>
      </w:r>
    </w:p>
    <w:p w14:paraId="10FD61A1" w14:textId="77777777" w:rsidR="00412D77" w:rsidRPr="00FB2D03" w:rsidRDefault="00412D77" w:rsidP="00412D77">
      <w:pPr>
        <w:tabs>
          <w:tab w:val="left" w:pos="5616"/>
        </w:tabs>
        <w:rPr>
          <w:color w:val="000000" w:themeColor="text1"/>
          <w:lang w:val="en-AU"/>
        </w:rPr>
      </w:pPr>
    </w:p>
    <w:p w14:paraId="5F5AA35A"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Hanson, V. D. </w:t>
      </w:r>
      <w:r w:rsidRPr="00FB2D03">
        <w:rPr>
          <w:i/>
          <w:color w:val="000000" w:themeColor="text1"/>
          <w:lang w:val="en-AU"/>
        </w:rPr>
        <w:t>Makers of Ancient Strategy: From the Persian Wars to the Fall of Rome</w:t>
      </w:r>
      <w:r w:rsidRPr="00FB2D03">
        <w:rPr>
          <w:color w:val="000000" w:themeColor="text1"/>
          <w:lang w:val="en-AU"/>
        </w:rPr>
        <w:t xml:space="preserve">. </w:t>
      </w:r>
    </w:p>
    <w:p w14:paraId="63971B14" w14:textId="4A454AFD" w:rsidR="00412D77" w:rsidRPr="00FB2D03" w:rsidRDefault="00412D77" w:rsidP="00AD1181">
      <w:pPr>
        <w:tabs>
          <w:tab w:val="left" w:pos="5616"/>
        </w:tabs>
        <w:ind w:left="720"/>
        <w:rPr>
          <w:color w:val="000000" w:themeColor="text1"/>
          <w:lang w:val="en-AU"/>
        </w:rPr>
      </w:pPr>
      <w:r w:rsidRPr="00FB2D03">
        <w:rPr>
          <w:color w:val="000000" w:themeColor="text1"/>
          <w:lang w:val="en-AU"/>
        </w:rPr>
        <w:t>Princeton: Princeton University Press, 2010.</w:t>
      </w:r>
    </w:p>
    <w:p w14:paraId="36F6B3F2" w14:textId="77777777" w:rsidR="00412D77" w:rsidRPr="00FB2D03" w:rsidRDefault="00412D77" w:rsidP="00412D77">
      <w:pPr>
        <w:tabs>
          <w:tab w:val="left" w:pos="5616"/>
        </w:tabs>
        <w:rPr>
          <w:color w:val="000000" w:themeColor="text1"/>
          <w:lang w:val="en-AU"/>
        </w:rPr>
      </w:pPr>
    </w:p>
    <w:p w14:paraId="7867BA4A"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Hartog, Pieter B. “The Qumran Pesharim and Targum Jonathan to the Prophets: Rethinking </w:t>
      </w:r>
    </w:p>
    <w:p w14:paraId="3162110C" w14:textId="784489CF" w:rsidR="00412D77" w:rsidRPr="00FB2D03" w:rsidRDefault="00412D77" w:rsidP="00AD1181">
      <w:pPr>
        <w:tabs>
          <w:tab w:val="left" w:pos="5616"/>
        </w:tabs>
        <w:ind w:left="720"/>
        <w:rPr>
          <w:color w:val="000000" w:themeColor="text1"/>
          <w:lang w:val="en-AU"/>
        </w:rPr>
      </w:pPr>
      <w:r w:rsidRPr="00FB2D03">
        <w:rPr>
          <w:color w:val="000000" w:themeColor="text1"/>
          <w:lang w:val="en-AU"/>
        </w:rPr>
        <w:t>Their Relationship.” </w:t>
      </w:r>
      <w:r w:rsidRPr="00FB2D03">
        <w:rPr>
          <w:i/>
          <w:color w:val="000000" w:themeColor="text1"/>
          <w:lang w:val="en-AU"/>
        </w:rPr>
        <w:t>Aramaic Studies</w:t>
      </w:r>
      <w:r w:rsidRPr="00FB2D03">
        <w:rPr>
          <w:color w:val="000000" w:themeColor="text1"/>
          <w:lang w:val="en-AU"/>
        </w:rPr>
        <w:t> 19 (2021): 25–40.</w:t>
      </w:r>
    </w:p>
    <w:p w14:paraId="1A34D3CD" w14:textId="77777777" w:rsidR="00412D77" w:rsidRPr="00FB2D03" w:rsidRDefault="00412D77" w:rsidP="00412D77">
      <w:pPr>
        <w:tabs>
          <w:tab w:val="left" w:pos="5616"/>
        </w:tabs>
        <w:rPr>
          <w:color w:val="000000" w:themeColor="text1"/>
          <w:lang w:val="en-AU"/>
        </w:rPr>
      </w:pPr>
    </w:p>
    <w:p w14:paraId="77AE1C2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Hartley, John E. </w:t>
      </w:r>
      <w:r w:rsidRPr="00FB2D03">
        <w:rPr>
          <w:i/>
          <w:color w:val="000000" w:themeColor="text1"/>
          <w:lang w:val="en-AU"/>
        </w:rPr>
        <w:t>Leviticus, Word Biblical Commentary</w:t>
      </w:r>
      <w:r w:rsidRPr="00FB2D03">
        <w:rPr>
          <w:color w:val="000000" w:themeColor="text1"/>
          <w:lang w:val="en-AU"/>
        </w:rPr>
        <w:t>. Dallas: Word Books, 1992.</w:t>
      </w:r>
    </w:p>
    <w:p w14:paraId="6D7B560A" w14:textId="77777777" w:rsidR="00412D77" w:rsidRPr="00FB2D03" w:rsidRDefault="00412D77" w:rsidP="00412D77">
      <w:pPr>
        <w:tabs>
          <w:tab w:val="left" w:pos="5616"/>
        </w:tabs>
        <w:rPr>
          <w:color w:val="000000" w:themeColor="text1"/>
          <w:lang w:val="en-AU"/>
        </w:rPr>
      </w:pPr>
    </w:p>
    <w:p w14:paraId="2FA0B54B" w14:textId="77777777" w:rsidR="00412D77" w:rsidRPr="00FB2D03" w:rsidRDefault="00412D77" w:rsidP="00412D77">
      <w:pPr>
        <w:tabs>
          <w:tab w:val="left" w:pos="5616"/>
        </w:tabs>
        <w:rPr>
          <w:color w:val="000000" w:themeColor="text1"/>
          <w:lang w:val="en-AU"/>
        </w:rPr>
      </w:pPr>
      <w:r w:rsidRPr="00FB2D03">
        <w:rPr>
          <w:color w:val="000000" w:themeColor="text1"/>
          <w:lang w:val="en-AU"/>
        </w:rPr>
        <w:t>Harrington, Spencer P M. “Vegetarian Essenes?” </w:t>
      </w:r>
      <w:r w:rsidRPr="00FB2D03">
        <w:rPr>
          <w:i/>
          <w:color w:val="000000" w:themeColor="text1"/>
          <w:lang w:val="en-AU"/>
        </w:rPr>
        <w:t>Archaeology </w:t>
      </w:r>
      <w:r w:rsidRPr="00FB2D03">
        <w:rPr>
          <w:color w:val="000000" w:themeColor="text1"/>
          <w:lang w:val="en-AU"/>
        </w:rPr>
        <w:t>52 (1999): 30.</w:t>
      </w:r>
    </w:p>
    <w:p w14:paraId="4357DB3B" w14:textId="77777777" w:rsidR="00412D77" w:rsidRPr="00FB2D03" w:rsidRDefault="00412D77" w:rsidP="00412D77">
      <w:pPr>
        <w:tabs>
          <w:tab w:val="left" w:pos="5616"/>
        </w:tabs>
        <w:rPr>
          <w:color w:val="000000" w:themeColor="text1"/>
          <w:lang w:val="en-AU"/>
        </w:rPr>
      </w:pPr>
    </w:p>
    <w:p w14:paraId="1C82503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Hauerwas, Stanley. </w:t>
      </w:r>
      <w:r w:rsidRPr="00FB2D03">
        <w:rPr>
          <w:i/>
          <w:color w:val="000000" w:themeColor="text1"/>
          <w:lang w:val="en-AU"/>
        </w:rPr>
        <w:t>Matthew</w:t>
      </w:r>
      <w:r w:rsidRPr="00FB2D03">
        <w:rPr>
          <w:color w:val="000000" w:themeColor="text1"/>
          <w:lang w:val="en-AU"/>
        </w:rPr>
        <w:t>. Grand Rapids: Brazos, 2006.</w:t>
      </w:r>
    </w:p>
    <w:p w14:paraId="4E4CD38E" w14:textId="77777777" w:rsidR="00412D77" w:rsidRPr="00FB2D03" w:rsidRDefault="00412D77" w:rsidP="00412D77">
      <w:pPr>
        <w:tabs>
          <w:tab w:val="left" w:pos="5616"/>
        </w:tabs>
        <w:rPr>
          <w:color w:val="000000" w:themeColor="text1"/>
          <w:lang w:val="en-AU"/>
        </w:rPr>
      </w:pPr>
    </w:p>
    <w:p w14:paraId="6C744FDE"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Against the Nations: War and Survival in a Liberal Society</w:t>
      </w:r>
      <w:r w:rsidRPr="00FB2D03">
        <w:rPr>
          <w:color w:val="000000" w:themeColor="text1"/>
          <w:lang w:val="en-AU"/>
        </w:rPr>
        <w:t xml:space="preserve">. New York: </w:t>
      </w:r>
    </w:p>
    <w:p w14:paraId="745CCC8B" w14:textId="3F34ECFC" w:rsidR="00412D77" w:rsidRPr="00FB2D03" w:rsidRDefault="00412D77" w:rsidP="00AD1181">
      <w:pPr>
        <w:tabs>
          <w:tab w:val="left" w:pos="5616"/>
        </w:tabs>
        <w:ind w:left="720"/>
        <w:rPr>
          <w:color w:val="000000" w:themeColor="text1"/>
          <w:lang w:val="en-AU"/>
        </w:rPr>
      </w:pPr>
      <w:r w:rsidRPr="00FB2D03">
        <w:rPr>
          <w:color w:val="000000" w:themeColor="text1"/>
          <w:lang w:val="en-AU"/>
        </w:rPr>
        <w:t>HarperCollins, 1988.</w:t>
      </w:r>
    </w:p>
    <w:p w14:paraId="271FE829" w14:textId="77777777" w:rsidR="00412D77" w:rsidRPr="00FB2D03" w:rsidRDefault="00412D77" w:rsidP="00412D77">
      <w:pPr>
        <w:tabs>
          <w:tab w:val="left" w:pos="5616"/>
        </w:tabs>
        <w:rPr>
          <w:i/>
          <w:color w:val="000000" w:themeColor="text1"/>
          <w:lang w:val="en-AU"/>
        </w:rPr>
      </w:pPr>
    </w:p>
    <w:p w14:paraId="6B5293C1"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________. “Blessed Are the Peacemakers: Pacifism, Just War, and Peacebuilding.” </w:t>
      </w:r>
    </w:p>
    <w:p w14:paraId="0E1A2385" w14:textId="39401AD8" w:rsidR="00412D77" w:rsidRPr="00FB2D03" w:rsidRDefault="00412D77" w:rsidP="00AD1181">
      <w:pPr>
        <w:tabs>
          <w:tab w:val="left" w:pos="5616"/>
        </w:tabs>
        <w:ind w:left="720"/>
        <w:rPr>
          <w:color w:val="000000" w:themeColor="text1"/>
          <w:lang w:val="en-AU"/>
        </w:rPr>
      </w:pPr>
      <w:r w:rsidRPr="00FB2D03">
        <w:rPr>
          <w:i/>
          <w:color w:val="000000" w:themeColor="text1"/>
          <w:lang w:val="en-AU"/>
        </w:rPr>
        <w:t>Interpretation-A Journal of Bible and Theology</w:t>
      </w:r>
      <w:r w:rsidRPr="00FB2D03">
        <w:rPr>
          <w:color w:val="000000" w:themeColor="text1"/>
          <w:lang w:val="en-AU"/>
        </w:rPr>
        <w:t xml:space="preserve"> 75 (2021): 177–78.</w:t>
      </w:r>
    </w:p>
    <w:p w14:paraId="1BD168C1" w14:textId="77777777" w:rsidR="00412D77" w:rsidRPr="00FB2D03" w:rsidRDefault="00412D77" w:rsidP="00412D77">
      <w:pPr>
        <w:tabs>
          <w:tab w:val="left" w:pos="5616"/>
        </w:tabs>
        <w:rPr>
          <w:color w:val="000000" w:themeColor="text1"/>
          <w:lang w:val="en-AU"/>
        </w:rPr>
      </w:pPr>
    </w:p>
    <w:p w14:paraId="4BAC79D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Peaceable Kingdom</w:t>
      </w:r>
      <w:r w:rsidRPr="00FB2D03">
        <w:rPr>
          <w:color w:val="000000" w:themeColor="text1"/>
          <w:lang w:val="en-AU"/>
        </w:rPr>
        <w:t>. Notre Dame: University of Notre Dame Press, 1983.</w:t>
      </w:r>
    </w:p>
    <w:p w14:paraId="60724AC1" w14:textId="77777777" w:rsidR="00412D77" w:rsidRPr="00FB2D03" w:rsidRDefault="00412D77" w:rsidP="00412D77">
      <w:pPr>
        <w:tabs>
          <w:tab w:val="left" w:pos="5616"/>
        </w:tabs>
        <w:rPr>
          <w:color w:val="000000" w:themeColor="text1"/>
          <w:lang w:val="en-AU"/>
        </w:rPr>
      </w:pPr>
    </w:p>
    <w:p w14:paraId="2A02AB5C" w14:textId="77777777" w:rsidR="00BA4B64" w:rsidRPr="00FB2D03" w:rsidRDefault="00412D77" w:rsidP="00E42DAB">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Should War Be Eliminated? Philosophical and Theological Investigations</w:t>
      </w:r>
      <w:r w:rsidRPr="00FB2D03">
        <w:rPr>
          <w:color w:val="000000" w:themeColor="text1"/>
          <w:lang w:val="en-AU"/>
        </w:rPr>
        <w:t xml:space="preserve">. </w:t>
      </w:r>
    </w:p>
    <w:p w14:paraId="7D6FE802" w14:textId="6CC9CA00" w:rsidR="00412D77" w:rsidRPr="00FB2D03" w:rsidRDefault="00412D77" w:rsidP="00BA4B64">
      <w:pPr>
        <w:tabs>
          <w:tab w:val="left" w:pos="5616"/>
        </w:tabs>
        <w:ind w:left="720"/>
        <w:rPr>
          <w:color w:val="000000" w:themeColor="text1"/>
          <w:lang w:val="en-AU"/>
        </w:rPr>
      </w:pPr>
      <w:r w:rsidRPr="00FB2D03">
        <w:rPr>
          <w:color w:val="000000" w:themeColor="text1"/>
          <w:lang w:val="en-AU"/>
        </w:rPr>
        <w:t>Milwaukee: Marquette University Press, 1984.</w:t>
      </w:r>
    </w:p>
    <w:p w14:paraId="492484F8" w14:textId="77777777" w:rsidR="00412D77" w:rsidRPr="00FB2D03" w:rsidRDefault="00412D77" w:rsidP="00412D77">
      <w:pPr>
        <w:tabs>
          <w:tab w:val="left" w:pos="5616"/>
        </w:tabs>
        <w:rPr>
          <w:color w:val="000000" w:themeColor="text1"/>
          <w:lang w:val="en-AU"/>
        </w:rPr>
      </w:pPr>
    </w:p>
    <w:p w14:paraId="6F0EAB52" w14:textId="77777777" w:rsidR="00E42DAB" w:rsidRPr="00FB2D03" w:rsidRDefault="00412D77" w:rsidP="00412D77">
      <w:pPr>
        <w:tabs>
          <w:tab w:val="left" w:pos="5616"/>
        </w:tabs>
        <w:rPr>
          <w:i/>
          <w:color w:val="000000" w:themeColor="text1"/>
          <w:lang w:val="en-AU"/>
        </w:rPr>
      </w:pPr>
      <w:r w:rsidRPr="00FB2D03">
        <w:rPr>
          <w:color w:val="000000" w:themeColor="text1"/>
          <w:lang w:val="en-AU"/>
        </w:rPr>
        <w:t xml:space="preserve">________. </w:t>
      </w:r>
      <w:r w:rsidRPr="00FB2D03">
        <w:rPr>
          <w:i/>
          <w:color w:val="000000" w:themeColor="text1"/>
          <w:lang w:val="en-AU"/>
        </w:rPr>
        <w:t xml:space="preserve">War and the American Difference: Theological Reflections on Violence and </w:t>
      </w:r>
    </w:p>
    <w:p w14:paraId="190DFBD5" w14:textId="76AD3D1E" w:rsidR="00412D77" w:rsidRPr="00FB2D03" w:rsidRDefault="00412D77" w:rsidP="00AD1181">
      <w:pPr>
        <w:tabs>
          <w:tab w:val="left" w:pos="5616"/>
        </w:tabs>
        <w:ind w:left="720"/>
        <w:rPr>
          <w:color w:val="000000" w:themeColor="text1"/>
          <w:lang w:val="en-AU"/>
        </w:rPr>
      </w:pPr>
      <w:r w:rsidRPr="00FB2D03">
        <w:rPr>
          <w:i/>
          <w:color w:val="000000" w:themeColor="text1"/>
          <w:lang w:val="en-AU"/>
        </w:rPr>
        <w:t>National Identity</w:t>
      </w:r>
      <w:r w:rsidRPr="00FB2D03">
        <w:rPr>
          <w:color w:val="000000" w:themeColor="text1"/>
          <w:lang w:val="en-AU"/>
        </w:rPr>
        <w:t>. Grand Rapids: Baker Publishing Group, 2011.</w:t>
      </w:r>
    </w:p>
    <w:p w14:paraId="4882D6C5" w14:textId="77777777" w:rsidR="00412D77" w:rsidRPr="00FB2D03" w:rsidRDefault="00412D77" w:rsidP="00412D77">
      <w:pPr>
        <w:tabs>
          <w:tab w:val="left" w:pos="5616"/>
        </w:tabs>
        <w:rPr>
          <w:color w:val="000000" w:themeColor="text1"/>
          <w:lang w:val="en-AU"/>
        </w:rPr>
      </w:pPr>
    </w:p>
    <w:p w14:paraId="5E762CD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Hays, Richard B. </w:t>
      </w:r>
      <w:r w:rsidRPr="00FB2D03">
        <w:rPr>
          <w:i/>
          <w:color w:val="000000" w:themeColor="text1"/>
          <w:lang w:val="en-AU"/>
        </w:rPr>
        <w:t>The Moral Vision of the New Testament</w:t>
      </w:r>
      <w:r w:rsidRPr="00FB2D03">
        <w:rPr>
          <w:color w:val="000000" w:themeColor="text1"/>
          <w:lang w:val="en-AU"/>
        </w:rPr>
        <w:t>. New York: Harper Collins, 1996.</w:t>
      </w:r>
    </w:p>
    <w:p w14:paraId="76A315CF" w14:textId="77777777" w:rsidR="00412D77" w:rsidRPr="00FB2D03" w:rsidRDefault="00412D77" w:rsidP="00412D77">
      <w:pPr>
        <w:tabs>
          <w:tab w:val="left" w:pos="5616"/>
        </w:tabs>
        <w:rPr>
          <w:color w:val="000000" w:themeColor="text1"/>
          <w:lang w:val="en-AU"/>
        </w:rPr>
      </w:pPr>
    </w:p>
    <w:p w14:paraId="22B264E9"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Hasel, Gerhard F. “Israel in Bible Prophecy.” </w:t>
      </w:r>
      <w:r w:rsidRPr="00FB2D03">
        <w:rPr>
          <w:i/>
          <w:color w:val="000000" w:themeColor="text1"/>
          <w:lang w:val="en-AU"/>
        </w:rPr>
        <w:t>Journal of the Adventist Theological Society</w:t>
      </w:r>
      <w:r w:rsidRPr="00FB2D03">
        <w:rPr>
          <w:color w:val="000000" w:themeColor="text1"/>
          <w:lang w:val="en-AU"/>
        </w:rPr>
        <w:t xml:space="preserve"> 3 </w:t>
      </w:r>
    </w:p>
    <w:p w14:paraId="6988A101" w14:textId="33CEE19F" w:rsidR="00412D77" w:rsidRPr="00FB2D03" w:rsidRDefault="00412D77" w:rsidP="00AD1181">
      <w:pPr>
        <w:tabs>
          <w:tab w:val="left" w:pos="5616"/>
        </w:tabs>
        <w:ind w:left="720"/>
        <w:rPr>
          <w:color w:val="000000" w:themeColor="text1"/>
          <w:lang w:val="en-AU"/>
        </w:rPr>
      </w:pPr>
      <w:r w:rsidRPr="00FB2D03">
        <w:rPr>
          <w:color w:val="000000" w:themeColor="text1"/>
          <w:lang w:val="en-AU"/>
        </w:rPr>
        <w:t>(1992): 120–55.</w:t>
      </w:r>
    </w:p>
    <w:p w14:paraId="3995987A" w14:textId="77777777" w:rsidR="00412D77" w:rsidRPr="00FB2D03" w:rsidRDefault="00412D77" w:rsidP="00412D77">
      <w:pPr>
        <w:tabs>
          <w:tab w:val="left" w:pos="5616"/>
        </w:tabs>
        <w:rPr>
          <w:color w:val="000000" w:themeColor="text1"/>
          <w:lang w:val="en-AU"/>
        </w:rPr>
      </w:pPr>
    </w:p>
    <w:p w14:paraId="382F527B" w14:textId="77777777" w:rsidR="00E42DAB" w:rsidRPr="00FB2D03" w:rsidRDefault="00412D77" w:rsidP="00412D77">
      <w:pPr>
        <w:tabs>
          <w:tab w:val="left" w:pos="5616"/>
        </w:tabs>
        <w:rPr>
          <w:i/>
          <w:color w:val="000000" w:themeColor="text1"/>
          <w:lang w:val="en-AU"/>
        </w:rPr>
      </w:pPr>
      <w:r w:rsidRPr="00FB2D03">
        <w:rPr>
          <w:color w:val="000000" w:themeColor="text1"/>
          <w:lang w:val="en-AU"/>
        </w:rPr>
        <w:t xml:space="preserve">Hasel, Michael G. </w:t>
      </w:r>
      <w:r w:rsidRPr="00FB2D03">
        <w:rPr>
          <w:i/>
          <w:color w:val="000000" w:themeColor="text1"/>
          <w:lang w:val="en-AU"/>
        </w:rPr>
        <w:t xml:space="preserve">Military Practice and Polemic: Israel’s Laws of Warfare in Near Eastern </w:t>
      </w:r>
    </w:p>
    <w:p w14:paraId="3B07567D" w14:textId="7B8854EF" w:rsidR="00412D77" w:rsidRPr="00FB2D03" w:rsidRDefault="00412D77" w:rsidP="00AD1181">
      <w:pPr>
        <w:tabs>
          <w:tab w:val="left" w:pos="5616"/>
        </w:tabs>
        <w:ind w:left="720"/>
        <w:rPr>
          <w:color w:val="000000" w:themeColor="text1"/>
          <w:lang w:val="en-AU"/>
        </w:rPr>
      </w:pPr>
      <w:r w:rsidRPr="00FB2D03">
        <w:rPr>
          <w:i/>
          <w:color w:val="000000" w:themeColor="text1"/>
          <w:lang w:val="en-AU"/>
        </w:rPr>
        <w:t>Perspective</w:t>
      </w:r>
      <w:r w:rsidRPr="00FB2D03">
        <w:rPr>
          <w:color w:val="000000" w:themeColor="text1"/>
          <w:lang w:val="en-AU"/>
        </w:rPr>
        <w:t xml:space="preserve">. Berrien Springs: Andrews University Press, 2005. </w:t>
      </w:r>
    </w:p>
    <w:p w14:paraId="238DCEE8" w14:textId="77777777" w:rsidR="00412D77" w:rsidRPr="00FB2D03" w:rsidRDefault="00412D77" w:rsidP="00412D77">
      <w:pPr>
        <w:tabs>
          <w:tab w:val="left" w:pos="5616"/>
        </w:tabs>
        <w:rPr>
          <w:color w:val="000000" w:themeColor="text1"/>
          <w:lang w:val="en-AU"/>
        </w:rPr>
      </w:pPr>
    </w:p>
    <w:p w14:paraId="05B1E3CB"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Harland, Peter A. “Acculturation and Identity in the Diaspora: A Jewish Family and ‘Pagan’ </w:t>
      </w:r>
    </w:p>
    <w:p w14:paraId="1247576D" w14:textId="60ADFA42"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Guilds at Hierapolis.” </w:t>
      </w:r>
      <w:r w:rsidRPr="00FB2D03">
        <w:rPr>
          <w:i/>
          <w:color w:val="000000" w:themeColor="text1"/>
          <w:lang w:val="en-AU"/>
        </w:rPr>
        <w:t>Journal of Jewish Studies</w:t>
      </w:r>
      <w:r w:rsidRPr="00FB2D03">
        <w:rPr>
          <w:color w:val="000000" w:themeColor="text1"/>
          <w:lang w:val="en-AU"/>
        </w:rPr>
        <w:t xml:space="preserve"> 57 (2006): 222–44. </w:t>
      </w:r>
    </w:p>
    <w:p w14:paraId="55F1AC77" w14:textId="77777777" w:rsidR="00412D77" w:rsidRPr="00FB2D03" w:rsidRDefault="00412D77" w:rsidP="00412D77">
      <w:pPr>
        <w:tabs>
          <w:tab w:val="left" w:pos="5616"/>
        </w:tabs>
        <w:rPr>
          <w:color w:val="000000" w:themeColor="text1"/>
          <w:lang w:val="en-AU"/>
        </w:rPr>
      </w:pPr>
    </w:p>
    <w:p w14:paraId="1E9B42C1"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Hayes, Christine. The Emergence of Judaism: Classical Traditions in Contemporary </w:t>
      </w:r>
    </w:p>
    <w:p w14:paraId="33723017" w14:textId="524E3D87" w:rsidR="00412D77" w:rsidRPr="00FB2D03" w:rsidRDefault="00412D77" w:rsidP="00AD1181">
      <w:pPr>
        <w:tabs>
          <w:tab w:val="left" w:pos="5616"/>
        </w:tabs>
        <w:ind w:left="720"/>
        <w:rPr>
          <w:color w:val="000000" w:themeColor="text1"/>
          <w:lang w:val="en-AU"/>
        </w:rPr>
      </w:pPr>
      <w:r w:rsidRPr="00FB2D03">
        <w:rPr>
          <w:color w:val="000000" w:themeColor="text1"/>
          <w:lang w:val="en-AU"/>
        </w:rPr>
        <w:t>Perspective, Minneapolis, MN: Fortress Press, 2011.</w:t>
      </w:r>
    </w:p>
    <w:p w14:paraId="3EABBA8C" w14:textId="77777777" w:rsidR="00412D77" w:rsidRPr="00FB2D03" w:rsidRDefault="00412D77" w:rsidP="00412D77">
      <w:pPr>
        <w:tabs>
          <w:tab w:val="left" w:pos="5616"/>
        </w:tabs>
        <w:rPr>
          <w:color w:val="000000" w:themeColor="text1"/>
          <w:lang w:val="en-AU"/>
        </w:rPr>
      </w:pPr>
    </w:p>
    <w:p w14:paraId="06EE7EAD" w14:textId="5508FD3B" w:rsidR="00412D77" w:rsidRPr="00FB2D03" w:rsidRDefault="01B55689" w:rsidP="01B55689">
      <w:pPr>
        <w:tabs>
          <w:tab w:val="left" w:pos="5616"/>
        </w:tabs>
        <w:rPr>
          <w:i/>
          <w:iCs/>
          <w:color w:val="000000" w:themeColor="text1"/>
          <w:lang w:val="en-AU"/>
        </w:rPr>
      </w:pPr>
      <w:r w:rsidRPr="00FB2D03">
        <w:rPr>
          <w:color w:val="000000" w:themeColor="text1"/>
          <w:lang w:val="en-AU"/>
        </w:rPr>
        <w:t>________. “Roman and Jewish Law: Looking for Interaction in All the Right Places.” </w:t>
      </w:r>
      <w:r w:rsidRPr="00FB2D03">
        <w:rPr>
          <w:i/>
          <w:iCs/>
          <w:color w:val="000000" w:themeColor="text1"/>
          <w:lang w:val="en-AU"/>
        </w:rPr>
        <w:t xml:space="preserve">Law </w:t>
      </w:r>
    </w:p>
    <w:p w14:paraId="5D205EAE" w14:textId="16FC3517" w:rsidR="00412D77" w:rsidRPr="00FB2D03" w:rsidRDefault="01B55689" w:rsidP="01B55689">
      <w:pPr>
        <w:tabs>
          <w:tab w:val="left" w:pos="5616"/>
        </w:tabs>
        <w:ind w:firstLine="720"/>
        <w:rPr>
          <w:color w:val="000000" w:themeColor="text1"/>
          <w:lang w:val="en-AU"/>
        </w:rPr>
      </w:pPr>
      <w:r w:rsidRPr="00FB2D03">
        <w:rPr>
          <w:i/>
          <w:iCs/>
          <w:color w:val="000000" w:themeColor="text1"/>
          <w:lang w:val="en-AU"/>
        </w:rPr>
        <w:t>&amp; History Review</w:t>
      </w:r>
      <w:r w:rsidRPr="00FB2D03">
        <w:rPr>
          <w:color w:val="000000" w:themeColor="text1"/>
          <w:lang w:val="en-AU"/>
        </w:rPr>
        <w:t xml:space="preserve"> 37 (2019): 955–59. </w:t>
      </w:r>
    </w:p>
    <w:p w14:paraId="3DDD208A" w14:textId="77777777" w:rsidR="00412D77" w:rsidRPr="00FB2D03" w:rsidRDefault="00412D77" w:rsidP="00412D77">
      <w:pPr>
        <w:tabs>
          <w:tab w:val="left" w:pos="5616"/>
        </w:tabs>
        <w:rPr>
          <w:color w:val="000000" w:themeColor="text1"/>
          <w:lang w:val="en-AU"/>
        </w:rPr>
      </w:pPr>
    </w:p>
    <w:p w14:paraId="4286191F" w14:textId="77777777" w:rsidR="00E42DAB" w:rsidRPr="00FB2D03" w:rsidRDefault="00412D77" w:rsidP="00412D77">
      <w:pPr>
        <w:tabs>
          <w:tab w:val="left" w:pos="5616"/>
        </w:tabs>
        <w:rPr>
          <w:i/>
          <w:color w:val="000000" w:themeColor="text1"/>
          <w:lang w:val="en-AU"/>
        </w:rPr>
      </w:pPr>
      <w:r w:rsidRPr="00FB2D03">
        <w:rPr>
          <w:color w:val="000000" w:themeColor="text1"/>
          <w:lang w:val="en-AU"/>
        </w:rPr>
        <w:t>Hazony, Yoram. “The Biblical Case for A Limited Government.” </w:t>
      </w:r>
      <w:r w:rsidRPr="00FB2D03">
        <w:rPr>
          <w:i/>
          <w:color w:val="000000" w:themeColor="text1"/>
          <w:lang w:val="en-AU"/>
        </w:rPr>
        <w:t xml:space="preserve">First Things: A Monthly </w:t>
      </w:r>
    </w:p>
    <w:p w14:paraId="6736141D" w14:textId="59817107" w:rsidR="00412D77" w:rsidRPr="00FB2D03" w:rsidRDefault="00412D77" w:rsidP="00AD1181">
      <w:pPr>
        <w:tabs>
          <w:tab w:val="left" w:pos="5616"/>
        </w:tabs>
        <w:ind w:left="720"/>
        <w:rPr>
          <w:color w:val="000000" w:themeColor="text1"/>
          <w:lang w:val="en-AU"/>
        </w:rPr>
      </w:pPr>
      <w:r w:rsidRPr="00FB2D03">
        <w:rPr>
          <w:i/>
          <w:color w:val="000000" w:themeColor="text1"/>
          <w:lang w:val="en-AU"/>
        </w:rPr>
        <w:lastRenderedPageBreak/>
        <w:t xml:space="preserve">Journal </w:t>
      </w:r>
      <w:r w:rsidR="00DF2BEE">
        <w:rPr>
          <w:i/>
          <w:color w:val="000000" w:themeColor="text1"/>
          <w:lang w:val="en-AU"/>
        </w:rPr>
        <w:t>of</w:t>
      </w:r>
      <w:r w:rsidRPr="00FB2D03">
        <w:rPr>
          <w:i/>
          <w:color w:val="000000" w:themeColor="text1"/>
          <w:lang w:val="en-AU"/>
        </w:rPr>
        <w:t xml:space="preserve"> Religion and Public Life</w:t>
      </w:r>
      <w:r w:rsidRPr="00FB2D03">
        <w:rPr>
          <w:color w:val="000000" w:themeColor="text1"/>
          <w:lang w:val="en-AU"/>
        </w:rPr>
        <w:t xml:space="preserve"> 226 (2012): 41-46.</w:t>
      </w:r>
    </w:p>
    <w:p w14:paraId="729C6D78" w14:textId="77777777" w:rsidR="00BA4B64" w:rsidRPr="00FB2D03" w:rsidRDefault="00BA4B64" w:rsidP="00412D77">
      <w:pPr>
        <w:tabs>
          <w:tab w:val="left" w:pos="5616"/>
        </w:tabs>
        <w:rPr>
          <w:color w:val="000000" w:themeColor="text1"/>
          <w:lang w:val="en-AU"/>
        </w:rPr>
      </w:pPr>
    </w:p>
    <w:p w14:paraId="63C0275A" w14:textId="77777777" w:rsidR="00412D77" w:rsidRPr="00FB2D03" w:rsidRDefault="00412D77" w:rsidP="00412D77">
      <w:pPr>
        <w:tabs>
          <w:tab w:val="left" w:pos="5616"/>
        </w:tabs>
        <w:rPr>
          <w:color w:val="000000" w:themeColor="text1"/>
          <w:lang w:val="en-AU"/>
        </w:rPr>
      </w:pPr>
      <w:r w:rsidRPr="00FB2D03">
        <w:rPr>
          <w:color w:val="000000" w:themeColor="text1"/>
          <w:lang w:val="en-AU"/>
        </w:rPr>
        <w:t>Hegesippus, and Vincenzo Ussani. </w:t>
      </w:r>
      <w:r w:rsidRPr="00FB2D03">
        <w:rPr>
          <w:i/>
          <w:color w:val="000000" w:themeColor="text1"/>
          <w:lang w:val="en-AU"/>
        </w:rPr>
        <w:t>Historia</w:t>
      </w:r>
      <w:r w:rsidRPr="00FB2D03">
        <w:rPr>
          <w:color w:val="000000" w:themeColor="text1"/>
          <w:lang w:val="en-AU"/>
        </w:rPr>
        <w:t>. Vindobonae: Hoelder–Pichler–Tempsky, 1960.</w:t>
      </w:r>
    </w:p>
    <w:p w14:paraId="5DB285BB" w14:textId="77777777" w:rsidR="00412D77" w:rsidRPr="00FB2D03" w:rsidRDefault="00412D77" w:rsidP="00412D77">
      <w:pPr>
        <w:tabs>
          <w:tab w:val="left" w:pos="5616"/>
        </w:tabs>
        <w:rPr>
          <w:color w:val="000000" w:themeColor="text1"/>
          <w:lang w:val="en-AU"/>
        </w:rPr>
      </w:pPr>
    </w:p>
    <w:p w14:paraId="16C61F67" w14:textId="77777777" w:rsidR="00E42DAB" w:rsidRPr="00FB2D03" w:rsidRDefault="00412D77" w:rsidP="00412D77">
      <w:pPr>
        <w:tabs>
          <w:tab w:val="left" w:pos="5616"/>
        </w:tabs>
        <w:rPr>
          <w:color w:val="000000" w:themeColor="text1"/>
          <w:lang w:val="en-AU"/>
        </w:rPr>
      </w:pPr>
      <w:r w:rsidRPr="00FB2D03">
        <w:rPr>
          <w:color w:val="000000" w:themeColor="text1"/>
          <w:lang w:val="en-AU"/>
        </w:rPr>
        <w:t>Hendriksen, William.</w:t>
      </w:r>
      <w:r w:rsidRPr="00FB2D03">
        <w:rPr>
          <w:i/>
          <w:color w:val="000000" w:themeColor="text1"/>
          <w:lang w:val="en-AU"/>
        </w:rPr>
        <w:t> Exposition of the Gospel of Matthew</w:t>
      </w:r>
      <w:r w:rsidRPr="00FB2D03">
        <w:rPr>
          <w:color w:val="000000" w:themeColor="text1"/>
          <w:lang w:val="en-AU"/>
        </w:rPr>
        <w:t xml:space="preserve">, New Testament Commentary. </w:t>
      </w:r>
    </w:p>
    <w:p w14:paraId="24C12F33" w14:textId="5A374E5D" w:rsidR="00412D77" w:rsidRPr="00FB2D03" w:rsidRDefault="00412D77" w:rsidP="00AD1181">
      <w:pPr>
        <w:tabs>
          <w:tab w:val="left" w:pos="5616"/>
        </w:tabs>
        <w:ind w:left="720"/>
        <w:rPr>
          <w:color w:val="000000" w:themeColor="text1"/>
          <w:lang w:val="en-AU"/>
        </w:rPr>
      </w:pPr>
      <w:r w:rsidRPr="00FB2D03">
        <w:rPr>
          <w:color w:val="000000" w:themeColor="text1"/>
          <w:lang w:val="en-AU"/>
        </w:rPr>
        <w:t>Grand Rapids: Baker Book House, 1973.</w:t>
      </w:r>
    </w:p>
    <w:p w14:paraId="223C9052" w14:textId="77777777" w:rsidR="00412D77" w:rsidRPr="00FB2D03" w:rsidRDefault="00412D77" w:rsidP="00412D77">
      <w:pPr>
        <w:tabs>
          <w:tab w:val="left" w:pos="5616"/>
        </w:tabs>
        <w:rPr>
          <w:color w:val="000000" w:themeColor="text1"/>
          <w:lang w:val="en-AU"/>
        </w:rPr>
      </w:pPr>
    </w:p>
    <w:p w14:paraId="7C6F8CAB" w14:textId="77777777" w:rsidR="00E42DAB" w:rsidRPr="00FB2D03" w:rsidRDefault="00412D77" w:rsidP="00412D77">
      <w:pPr>
        <w:tabs>
          <w:tab w:val="left" w:pos="5616"/>
        </w:tabs>
        <w:rPr>
          <w:i/>
          <w:color w:val="000000" w:themeColor="text1"/>
          <w:lang w:val="en-AU"/>
        </w:rPr>
      </w:pPr>
      <w:r w:rsidRPr="00FB2D03">
        <w:rPr>
          <w:color w:val="000000" w:themeColor="text1"/>
          <w:lang w:val="en-AU"/>
        </w:rPr>
        <w:t xml:space="preserve">Hengel, Martin. </w:t>
      </w:r>
      <w:r w:rsidRPr="00FB2D03">
        <w:rPr>
          <w:i/>
          <w:color w:val="000000" w:themeColor="text1"/>
          <w:lang w:val="en-AU"/>
        </w:rPr>
        <w:t xml:space="preserve">Judentum und Hellenismus: Studien zu ihrer Begegnung unter besonderer </w:t>
      </w:r>
    </w:p>
    <w:p w14:paraId="087956A2" w14:textId="286316D4" w:rsidR="00412D77" w:rsidRPr="00FB2D03" w:rsidRDefault="00412D77" w:rsidP="00AD1181">
      <w:pPr>
        <w:tabs>
          <w:tab w:val="left" w:pos="5616"/>
        </w:tabs>
        <w:ind w:left="720"/>
        <w:rPr>
          <w:color w:val="000000" w:themeColor="text1"/>
          <w:lang w:val="en-AU"/>
        </w:rPr>
      </w:pPr>
      <w:r w:rsidRPr="00FB2D03">
        <w:rPr>
          <w:i/>
          <w:color w:val="000000" w:themeColor="text1"/>
          <w:lang w:val="en-AU"/>
        </w:rPr>
        <w:t>Berücksichtigung Palästinas bis zur Mitte des 2.Jh. v.Chr. Wissenschaftliche Untersuchungen zum Neuen Testament 10.</w:t>
      </w:r>
      <w:r w:rsidRPr="00FB2D03">
        <w:rPr>
          <w:color w:val="000000" w:themeColor="text1"/>
          <w:lang w:val="en-AU"/>
        </w:rPr>
        <w:t xml:space="preserve"> Tübingen: Mohr Siebeck, 1969.</w:t>
      </w:r>
    </w:p>
    <w:p w14:paraId="31FD4B36" w14:textId="77777777" w:rsidR="00412D77" w:rsidRPr="00FB2D03" w:rsidRDefault="00412D77" w:rsidP="00412D77">
      <w:pPr>
        <w:tabs>
          <w:tab w:val="left" w:pos="5616"/>
        </w:tabs>
        <w:rPr>
          <w:color w:val="000000" w:themeColor="text1"/>
          <w:lang w:val="en-AU"/>
        </w:rPr>
      </w:pPr>
    </w:p>
    <w:p w14:paraId="4E2C378D"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Four Gospels and the One Gospel of Jesus Christ</w:t>
      </w:r>
      <w:r w:rsidRPr="00FB2D03">
        <w:rPr>
          <w:color w:val="000000" w:themeColor="text1"/>
          <w:lang w:val="en-AU"/>
        </w:rPr>
        <w:t xml:space="preserve">. Harrisburg: Trinity Press, </w:t>
      </w:r>
    </w:p>
    <w:p w14:paraId="5D3B1F99" w14:textId="5A17628A"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2000. </w:t>
      </w:r>
    </w:p>
    <w:p w14:paraId="40380746" w14:textId="77777777" w:rsidR="00412D77" w:rsidRPr="00FB2D03" w:rsidRDefault="00412D77" w:rsidP="00412D77">
      <w:pPr>
        <w:tabs>
          <w:tab w:val="left" w:pos="5616"/>
        </w:tabs>
        <w:rPr>
          <w:color w:val="000000" w:themeColor="text1"/>
          <w:lang w:val="en-AU"/>
        </w:rPr>
      </w:pPr>
    </w:p>
    <w:p w14:paraId="407BE85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Henry, Martin. “Christianity and Hellenism.” </w:t>
      </w:r>
      <w:r w:rsidRPr="00FB2D03">
        <w:rPr>
          <w:i/>
          <w:color w:val="000000" w:themeColor="text1"/>
          <w:lang w:val="en-AU"/>
        </w:rPr>
        <w:t>Irish Theological Quarterly</w:t>
      </w:r>
      <w:r w:rsidRPr="00FB2D03">
        <w:rPr>
          <w:color w:val="000000" w:themeColor="text1"/>
          <w:lang w:val="en-AU"/>
        </w:rPr>
        <w:t xml:space="preserve"> 70 (2005): 366.</w:t>
      </w:r>
    </w:p>
    <w:p w14:paraId="6C8D1843" w14:textId="77777777" w:rsidR="00412D77" w:rsidRPr="00FB2D03" w:rsidRDefault="00412D77" w:rsidP="00412D77">
      <w:pPr>
        <w:tabs>
          <w:tab w:val="left" w:pos="5616"/>
        </w:tabs>
        <w:rPr>
          <w:color w:val="000000" w:themeColor="text1"/>
          <w:lang w:val="en-AU"/>
        </w:rPr>
      </w:pPr>
    </w:p>
    <w:p w14:paraId="7BE8A731"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Herring, Basil F. </w:t>
      </w:r>
      <w:r w:rsidRPr="00FB2D03">
        <w:rPr>
          <w:i/>
          <w:color w:val="000000" w:themeColor="text1"/>
          <w:lang w:val="en-AU"/>
        </w:rPr>
        <w:t xml:space="preserve">Jewish Ethics and Halakhah for our Time. </w:t>
      </w:r>
      <w:r w:rsidRPr="00FB2D03">
        <w:rPr>
          <w:color w:val="000000" w:themeColor="text1"/>
          <w:lang w:val="en-AU"/>
        </w:rPr>
        <w:t xml:space="preserve">New York: KTAV, 1984. </w:t>
      </w:r>
    </w:p>
    <w:p w14:paraId="2762EF86" w14:textId="77777777" w:rsidR="00412D77" w:rsidRPr="00FB2D03" w:rsidRDefault="00412D77" w:rsidP="00412D77">
      <w:pPr>
        <w:tabs>
          <w:tab w:val="left" w:pos="5616"/>
        </w:tabs>
        <w:rPr>
          <w:color w:val="000000" w:themeColor="text1"/>
          <w:lang w:val="en-AU"/>
        </w:rPr>
      </w:pPr>
    </w:p>
    <w:p w14:paraId="198BB0B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Heurgon, J. </w:t>
      </w:r>
      <w:r w:rsidRPr="00FB2D03">
        <w:rPr>
          <w:i/>
          <w:color w:val="000000" w:themeColor="text1"/>
          <w:lang w:val="en-AU"/>
        </w:rPr>
        <w:t>The Rise of Rome</w:t>
      </w:r>
      <w:r w:rsidRPr="00FB2D03">
        <w:rPr>
          <w:color w:val="000000" w:themeColor="text1"/>
          <w:lang w:val="en-AU"/>
        </w:rPr>
        <w:t>. Berkeley: University of California Press, 1973.</w:t>
      </w:r>
    </w:p>
    <w:p w14:paraId="1F07F9F6" w14:textId="77777777" w:rsidR="00412D77" w:rsidRPr="00FB2D03" w:rsidRDefault="00412D77" w:rsidP="00412D77">
      <w:pPr>
        <w:tabs>
          <w:tab w:val="left" w:pos="5616"/>
        </w:tabs>
        <w:rPr>
          <w:color w:val="000000" w:themeColor="text1"/>
          <w:lang w:val="en-AU"/>
        </w:rPr>
      </w:pPr>
    </w:p>
    <w:p w14:paraId="5D56B1B0" w14:textId="77777777" w:rsidR="00E42DAB" w:rsidRPr="00FB2D03" w:rsidRDefault="00412D77" w:rsidP="00412D77">
      <w:pPr>
        <w:tabs>
          <w:tab w:val="left" w:pos="5616"/>
        </w:tabs>
        <w:rPr>
          <w:i/>
          <w:color w:val="000000" w:themeColor="text1"/>
          <w:lang w:val="en-AU"/>
        </w:rPr>
      </w:pPr>
      <w:r w:rsidRPr="00FB2D03">
        <w:rPr>
          <w:color w:val="000000" w:themeColor="text1"/>
          <w:lang w:val="en-AU"/>
        </w:rPr>
        <w:t xml:space="preserve">Hill, David </w:t>
      </w:r>
      <w:r w:rsidRPr="00FB2D03">
        <w:rPr>
          <w:i/>
          <w:color w:val="000000" w:themeColor="text1"/>
          <w:lang w:val="en-AU"/>
        </w:rPr>
        <w:t xml:space="preserve">Greek Words and Hebrew Meanings: Studies in the Semantics of Soteriological </w:t>
      </w:r>
    </w:p>
    <w:p w14:paraId="100D07CB" w14:textId="4E8EF4EB" w:rsidR="00412D77" w:rsidRPr="00FB2D03" w:rsidRDefault="00412D77" w:rsidP="00AD1181">
      <w:pPr>
        <w:tabs>
          <w:tab w:val="left" w:pos="5616"/>
        </w:tabs>
        <w:ind w:left="720"/>
        <w:rPr>
          <w:color w:val="000000" w:themeColor="text1"/>
          <w:lang w:val="en-AU"/>
        </w:rPr>
      </w:pPr>
      <w:r w:rsidRPr="00FB2D03">
        <w:rPr>
          <w:i/>
          <w:color w:val="000000" w:themeColor="text1"/>
          <w:lang w:val="en-AU"/>
        </w:rPr>
        <w:t>Terms</w:t>
      </w:r>
      <w:r w:rsidRPr="00FB2D03">
        <w:rPr>
          <w:color w:val="000000" w:themeColor="text1"/>
          <w:lang w:val="en-AU"/>
        </w:rPr>
        <w:t>, Society for New Testament Studies Monograph Series 5. Cambridge: Cambridge University Press, 1967.</w:t>
      </w:r>
    </w:p>
    <w:p w14:paraId="5EF0BDC7" w14:textId="77777777" w:rsidR="00412D77" w:rsidRPr="00FB2D03" w:rsidRDefault="00412D77" w:rsidP="00412D77">
      <w:pPr>
        <w:tabs>
          <w:tab w:val="left" w:pos="5616"/>
        </w:tabs>
        <w:rPr>
          <w:color w:val="000000" w:themeColor="text1"/>
          <w:lang w:val="en-AU"/>
        </w:rPr>
      </w:pPr>
    </w:p>
    <w:p w14:paraId="4E36C9D8"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Himmelfarb, Martha. “Judaism and Hellenism in 2 Maccabees.” </w:t>
      </w:r>
      <w:r w:rsidRPr="00FB2D03">
        <w:rPr>
          <w:i/>
          <w:color w:val="000000" w:themeColor="text1"/>
          <w:lang w:val="en-AU"/>
        </w:rPr>
        <w:t>Poetics Today</w:t>
      </w:r>
      <w:r w:rsidRPr="00FB2D03">
        <w:rPr>
          <w:color w:val="000000" w:themeColor="text1"/>
          <w:lang w:val="en-AU"/>
        </w:rPr>
        <w:t xml:space="preserve"> 19 (1998): </w:t>
      </w:r>
    </w:p>
    <w:p w14:paraId="54AD5CA0" w14:textId="63B913BB" w:rsidR="00412D77" w:rsidRPr="00FB2D03" w:rsidRDefault="00412D77" w:rsidP="00AD1181">
      <w:pPr>
        <w:tabs>
          <w:tab w:val="left" w:pos="5616"/>
        </w:tabs>
        <w:ind w:left="720"/>
        <w:rPr>
          <w:color w:val="000000" w:themeColor="text1"/>
          <w:lang w:val="en-AU"/>
        </w:rPr>
      </w:pPr>
      <w:r w:rsidRPr="00FB2D03">
        <w:rPr>
          <w:color w:val="000000" w:themeColor="text1"/>
          <w:lang w:val="en-AU"/>
        </w:rPr>
        <w:t>19–40.</w:t>
      </w:r>
    </w:p>
    <w:p w14:paraId="19C73E18" w14:textId="77777777" w:rsidR="00412D77" w:rsidRPr="00FB2D03" w:rsidRDefault="00412D77" w:rsidP="00412D77">
      <w:pPr>
        <w:tabs>
          <w:tab w:val="left" w:pos="5616"/>
        </w:tabs>
        <w:rPr>
          <w:color w:val="000000" w:themeColor="text1"/>
          <w:lang w:val="en-AU"/>
        </w:rPr>
      </w:pPr>
    </w:p>
    <w:p w14:paraId="6FF27D0E" w14:textId="77777777" w:rsidR="00E42DAB" w:rsidRPr="00FB2D03" w:rsidRDefault="00412D77" w:rsidP="00412D77">
      <w:pPr>
        <w:tabs>
          <w:tab w:val="left" w:pos="5616"/>
        </w:tabs>
        <w:rPr>
          <w:i/>
          <w:color w:val="000000" w:themeColor="text1"/>
          <w:lang w:val="en-AU"/>
        </w:rPr>
      </w:pPr>
      <w:r w:rsidRPr="00FB2D03">
        <w:rPr>
          <w:color w:val="000000" w:themeColor="text1"/>
          <w:lang w:val="en-AU"/>
        </w:rPr>
        <w:t>Hinlicky, Paul R. “The Theology of the Divine Warrior in the Book of Joshua.” </w:t>
      </w:r>
      <w:r w:rsidRPr="00FB2D03">
        <w:rPr>
          <w:i/>
          <w:color w:val="000000" w:themeColor="text1"/>
          <w:lang w:val="en-AU"/>
        </w:rPr>
        <w:t xml:space="preserve">Word </w:t>
      </w:r>
    </w:p>
    <w:p w14:paraId="0BA5DBA4" w14:textId="187231F0" w:rsidR="00412D77" w:rsidRPr="00FB2D03" w:rsidRDefault="00412D77" w:rsidP="00AD1181">
      <w:pPr>
        <w:tabs>
          <w:tab w:val="left" w:pos="5616"/>
        </w:tabs>
        <w:ind w:left="720"/>
        <w:rPr>
          <w:color w:val="000000" w:themeColor="text1"/>
          <w:lang w:val="en-AU"/>
        </w:rPr>
      </w:pPr>
      <w:r w:rsidRPr="00FB2D03">
        <w:rPr>
          <w:i/>
          <w:color w:val="000000" w:themeColor="text1"/>
          <w:lang w:val="en-AU"/>
        </w:rPr>
        <w:t>World</w:t>
      </w:r>
      <w:r w:rsidRPr="00FB2D03">
        <w:rPr>
          <w:color w:val="000000" w:themeColor="text1"/>
          <w:lang w:val="en-AU"/>
        </w:rPr>
        <w:t> 37 (2017): 271–80</w:t>
      </w:r>
      <w:bookmarkStart w:id="228" w:name="bookmark=id.30j0zll" w:colFirst="0" w:colLast="0"/>
      <w:bookmarkStart w:id="229" w:name="bookmark=id.1fob9te" w:colFirst="0" w:colLast="0"/>
      <w:bookmarkEnd w:id="228"/>
      <w:bookmarkEnd w:id="229"/>
      <w:r w:rsidRPr="00FB2D03">
        <w:rPr>
          <w:color w:val="000000" w:themeColor="text1"/>
          <w:lang w:val="en-AU"/>
        </w:rPr>
        <w:t>.</w:t>
      </w:r>
    </w:p>
    <w:p w14:paraId="74E7C98A" w14:textId="77777777" w:rsidR="00412D77" w:rsidRPr="00FB2D03" w:rsidRDefault="00412D77" w:rsidP="00412D77">
      <w:pPr>
        <w:tabs>
          <w:tab w:val="left" w:pos="5616"/>
        </w:tabs>
        <w:rPr>
          <w:color w:val="000000" w:themeColor="text1"/>
          <w:lang w:val="en-AU"/>
        </w:rPr>
      </w:pPr>
    </w:p>
    <w:p w14:paraId="7B2B9E5A"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Holmes, Robert. </w:t>
      </w:r>
      <w:r w:rsidRPr="00FB2D03">
        <w:rPr>
          <w:i/>
          <w:color w:val="000000" w:themeColor="text1"/>
          <w:lang w:val="en-AU"/>
        </w:rPr>
        <w:t>On War and Morality</w:t>
      </w:r>
      <w:r w:rsidRPr="00FB2D03">
        <w:rPr>
          <w:color w:val="000000" w:themeColor="text1"/>
          <w:lang w:val="en-AU"/>
        </w:rPr>
        <w:t xml:space="preserve">. Princeton: Princeton University Press, 1989. </w:t>
      </w:r>
    </w:p>
    <w:p w14:paraId="5366E033"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 </w:t>
      </w:r>
    </w:p>
    <w:p w14:paraId="2CB3E7F5"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Hoffmeier, James K. </w:t>
      </w:r>
      <w:r w:rsidRPr="00FB2D03">
        <w:rPr>
          <w:i/>
          <w:color w:val="000000" w:themeColor="text1"/>
          <w:lang w:val="en-AU"/>
        </w:rPr>
        <w:t>Israel in Egypt</w:t>
      </w:r>
      <w:r w:rsidRPr="00FB2D03">
        <w:rPr>
          <w:color w:val="000000" w:themeColor="text1"/>
          <w:lang w:val="en-AU"/>
        </w:rPr>
        <w:t>. Oxford: Oxford University Press, 1996.</w:t>
      </w:r>
    </w:p>
    <w:p w14:paraId="0CD67D45" w14:textId="77777777" w:rsidR="00412D77" w:rsidRPr="00FB2D03" w:rsidRDefault="00412D77" w:rsidP="00412D77">
      <w:pPr>
        <w:tabs>
          <w:tab w:val="left" w:pos="5616"/>
        </w:tabs>
        <w:rPr>
          <w:color w:val="000000" w:themeColor="text1"/>
          <w:lang w:val="en-AU"/>
        </w:rPr>
      </w:pPr>
    </w:p>
    <w:p w14:paraId="767816BE" w14:textId="77777777" w:rsidR="00E42DAB" w:rsidRPr="00FB2D03" w:rsidRDefault="00412D77" w:rsidP="00412D77">
      <w:pPr>
        <w:tabs>
          <w:tab w:val="left" w:pos="5616"/>
        </w:tabs>
        <w:rPr>
          <w:i/>
          <w:color w:val="000000" w:themeColor="text1"/>
          <w:lang w:val="en-AU"/>
        </w:rPr>
      </w:pPr>
      <w:r w:rsidRPr="00FB2D03">
        <w:rPr>
          <w:color w:val="000000" w:themeColor="text1"/>
          <w:lang w:val="en-AU"/>
        </w:rPr>
        <w:t>Høgenhaven, Jesper. “Geography in the Visions of Amram Texts (4Q543-547).” In </w:t>
      </w:r>
      <w:r w:rsidRPr="00FB2D03">
        <w:rPr>
          <w:i/>
          <w:color w:val="000000" w:themeColor="text1"/>
          <w:lang w:val="en-AU"/>
        </w:rPr>
        <w:t xml:space="preserve">Vision, </w:t>
      </w:r>
    </w:p>
    <w:p w14:paraId="1B907CB0" w14:textId="692974F0" w:rsidR="00412D77" w:rsidRPr="00FB2D03" w:rsidRDefault="00412D77" w:rsidP="00AD1181">
      <w:pPr>
        <w:tabs>
          <w:tab w:val="left" w:pos="5616"/>
        </w:tabs>
        <w:ind w:left="720"/>
        <w:rPr>
          <w:color w:val="000000" w:themeColor="text1"/>
          <w:lang w:val="en-AU"/>
        </w:rPr>
      </w:pPr>
      <w:r w:rsidRPr="00FB2D03">
        <w:rPr>
          <w:i/>
          <w:color w:val="000000" w:themeColor="text1"/>
          <w:lang w:val="en-AU"/>
        </w:rPr>
        <w:t>Narrative, and Wisdom in the Aramaic Texts from Qumran</w:t>
      </w:r>
      <w:r w:rsidRPr="00FB2D03">
        <w:rPr>
          <w:color w:val="000000" w:themeColor="text1"/>
          <w:lang w:val="en-AU"/>
        </w:rPr>
        <w:t>, 119–36. Leiden, 2020.</w:t>
      </w:r>
    </w:p>
    <w:p w14:paraId="110C1D65" w14:textId="77777777" w:rsidR="00412D77" w:rsidRPr="00FB2D03" w:rsidRDefault="00412D77" w:rsidP="00412D77">
      <w:pPr>
        <w:tabs>
          <w:tab w:val="left" w:pos="5616"/>
        </w:tabs>
        <w:rPr>
          <w:color w:val="000000" w:themeColor="text1"/>
          <w:lang w:val="en-AU"/>
        </w:rPr>
      </w:pPr>
    </w:p>
    <w:p w14:paraId="219BD6A5" w14:textId="77777777" w:rsidR="00E42DAB" w:rsidRPr="00FB2D03" w:rsidRDefault="00412D77" w:rsidP="00412D77">
      <w:pPr>
        <w:tabs>
          <w:tab w:val="left" w:pos="5616"/>
        </w:tabs>
        <w:rPr>
          <w:i/>
          <w:color w:val="000000" w:themeColor="text1"/>
          <w:lang w:val="en-AU"/>
        </w:rPr>
      </w:pPr>
      <w:r w:rsidRPr="00FB2D03">
        <w:rPr>
          <w:color w:val="000000" w:themeColor="text1"/>
          <w:lang w:val="en-AU"/>
        </w:rPr>
        <w:t xml:space="preserve">Horbury, William. “Der Tempel bei Vergil und im herodianischen Judentum.” In </w:t>
      </w:r>
      <w:r w:rsidRPr="00FB2D03">
        <w:rPr>
          <w:i/>
          <w:color w:val="000000" w:themeColor="text1"/>
          <w:lang w:val="en-AU"/>
        </w:rPr>
        <w:t xml:space="preserve">Gemeinde </w:t>
      </w:r>
    </w:p>
    <w:p w14:paraId="18D05AAD" w14:textId="75D904D8" w:rsidR="00412D77" w:rsidRPr="00FB2D03" w:rsidRDefault="00412D77" w:rsidP="00AD1181">
      <w:pPr>
        <w:tabs>
          <w:tab w:val="left" w:pos="5616"/>
        </w:tabs>
        <w:ind w:left="720"/>
        <w:rPr>
          <w:color w:val="000000" w:themeColor="text1"/>
          <w:lang w:val="en-AU"/>
        </w:rPr>
      </w:pPr>
      <w:r w:rsidRPr="00FB2D03">
        <w:rPr>
          <w:i/>
          <w:color w:val="000000" w:themeColor="text1"/>
          <w:lang w:val="en-AU"/>
        </w:rPr>
        <w:t>ohne Tempel/Community without Temple: Zur Substituierung und Transformation des Jerusalemer Tempels und seines Kults im Alten Testament, antiken Judentum und frühen Christentum</w:t>
      </w:r>
      <w:r w:rsidRPr="00FB2D03">
        <w:rPr>
          <w:color w:val="000000" w:themeColor="text1"/>
          <w:lang w:val="en-AU"/>
        </w:rPr>
        <w:t>, ed. Beate Ego, Armin Lange and Peter Pilhofer, 149–168. WUNT 118. Tübingen: J. C. B. Mohr (Paul Siebeck), 1999.</w:t>
      </w:r>
    </w:p>
    <w:p w14:paraId="0C334E0E" w14:textId="77777777" w:rsidR="00412D77" w:rsidRPr="00FB2D03" w:rsidRDefault="00412D77" w:rsidP="00412D77">
      <w:pPr>
        <w:tabs>
          <w:tab w:val="left" w:pos="5616"/>
        </w:tabs>
        <w:rPr>
          <w:color w:val="000000" w:themeColor="text1"/>
          <w:lang w:val="en-AU"/>
        </w:rPr>
      </w:pPr>
    </w:p>
    <w:p w14:paraId="274CD5C9"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Messianism among Jews and Christians: Twelve Biblical and Historical Studies</w:t>
      </w:r>
      <w:r w:rsidRPr="00FB2D03">
        <w:rPr>
          <w:color w:val="000000" w:themeColor="text1"/>
          <w:lang w:val="en-AU"/>
        </w:rPr>
        <w:t xml:space="preserve">. </w:t>
      </w:r>
    </w:p>
    <w:p w14:paraId="27463333" w14:textId="7E809E7B" w:rsidR="00412D77" w:rsidRPr="00FB2D03" w:rsidRDefault="00412D77" w:rsidP="00AD1181">
      <w:pPr>
        <w:tabs>
          <w:tab w:val="left" w:pos="5616"/>
        </w:tabs>
        <w:ind w:left="720"/>
        <w:rPr>
          <w:color w:val="000000" w:themeColor="text1"/>
          <w:lang w:val="en-AU"/>
        </w:rPr>
      </w:pPr>
      <w:r w:rsidRPr="00FB2D03">
        <w:rPr>
          <w:color w:val="000000" w:themeColor="text1"/>
          <w:lang w:val="en-AU"/>
        </w:rPr>
        <w:t>London:  T &amp; T Clark, 2003.</w:t>
      </w:r>
    </w:p>
    <w:p w14:paraId="4B26E346" w14:textId="77777777" w:rsidR="00412D77" w:rsidRPr="00FB2D03" w:rsidRDefault="00412D77" w:rsidP="00412D77">
      <w:pPr>
        <w:tabs>
          <w:tab w:val="left" w:pos="5616"/>
        </w:tabs>
        <w:rPr>
          <w:color w:val="000000" w:themeColor="text1"/>
          <w:lang w:val="en-AU"/>
        </w:rPr>
      </w:pPr>
    </w:p>
    <w:p w14:paraId="4D111FEE" w14:textId="52D57492" w:rsidR="00412D77" w:rsidRPr="00FB2D03" w:rsidRDefault="01B55689" w:rsidP="01B55689">
      <w:pPr>
        <w:tabs>
          <w:tab w:val="left" w:pos="5616"/>
        </w:tabs>
        <w:rPr>
          <w:color w:val="000000" w:themeColor="text1"/>
          <w:lang w:val="en-AU"/>
        </w:rPr>
      </w:pPr>
      <w:r w:rsidRPr="00FB2D03">
        <w:rPr>
          <w:color w:val="000000" w:themeColor="text1"/>
          <w:lang w:val="en-AU"/>
        </w:rPr>
        <w:t xml:space="preserve">Horsley, Richard A. “‘Like One of the Prophets of Old’: Two Types of Popular Prophets at </w:t>
      </w:r>
    </w:p>
    <w:p w14:paraId="2DE9D3AA" w14:textId="67FEE141" w:rsidR="00412D77" w:rsidRPr="00FB2D03" w:rsidRDefault="01B55689" w:rsidP="01B55689">
      <w:pPr>
        <w:tabs>
          <w:tab w:val="left" w:pos="5616"/>
        </w:tabs>
        <w:ind w:firstLine="720"/>
        <w:rPr>
          <w:color w:val="000000" w:themeColor="text1"/>
          <w:lang w:val="en-AU"/>
        </w:rPr>
      </w:pPr>
      <w:r w:rsidRPr="00FB2D03">
        <w:rPr>
          <w:color w:val="000000" w:themeColor="text1"/>
          <w:lang w:val="en-AU"/>
        </w:rPr>
        <w:t xml:space="preserve">the Time of Jesus.” </w:t>
      </w:r>
      <w:r w:rsidRPr="00FB2D03">
        <w:rPr>
          <w:i/>
          <w:iCs/>
          <w:color w:val="000000" w:themeColor="text1"/>
          <w:lang w:val="en-AU"/>
        </w:rPr>
        <w:t>Catholic Biblical Quarterly</w:t>
      </w:r>
      <w:r w:rsidRPr="00FB2D03">
        <w:rPr>
          <w:color w:val="000000" w:themeColor="text1"/>
          <w:lang w:val="en-AU"/>
        </w:rPr>
        <w:t xml:space="preserve"> 47 (1985): 435–63.</w:t>
      </w:r>
    </w:p>
    <w:p w14:paraId="7E69F56C" w14:textId="77777777" w:rsidR="00412D77" w:rsidRPr="00FB2D03" w:rsidRDefault="00412D77" w:rsidP="00412D77">
      <w:pPr>
        <w:tabs>
          <w:tab w:val="left" w:pos="5616"/>
        </w:tabs>
        <w:rPr>
          <w:color w:val="000000" w:themeColor="text1"/>
          <w:lang w:val="en-AU"/>
        </w:rPr>
      </w:pPr>
    </w:p>
    <w:p w14:paraId="41F93A2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Hossfeld, Frank–Lothar and Erich Zenger, </w:t>
      </w:r>
      <w:r w:rsidRPr="00FB2D03">
        <w:rPr>
          <w:i/>
          <w:color w:val="000000" w:themeColor="text1"/>
          <w:lang w:val="en-AU"/>
        </w:rPr>
        <w:t>Psalms 2: A Commentary on Psalms</w:t>
      </w:r>
      <w:r w:rsidRPr="00FB2D03">
        <w:rPr>
          <w:color w:val="000000" w:themeColor="text1"/>
          <w:lang w:val="en-AU"/>
        </w:rPr>
        <w:t xml:space="preserve">. </w:t>
      </w:r>
    </w:p>
    <w:p w14:paraId="1139B9A0" w14:textId="120985D8" w:rsidR="00412D77" w:rsidRPr="00FB2D03" w:rsidRDefault="00412D77" w:rsidP="00AD1181">
      <w:pPr>
        <w:tabs>
          <w:tab w:val="left" w:pos="5616"/>
        </w:tabs>
        <w:ind w:left="720"/>
        <w:rPr>
          <w:color w:val="000000" w:themeColor="text1"/>
          <w:lang w:val="en-AU"/>
        </w:rPr>
      </w:pPr>
      <w:r w:rsidRPr="00FB2D03">
        <w:rPr>
          <w:color w:val="000000" w:themeColor="text1"/>
          <w:lang w:val="en-AU"/>
        </w:rPr>
        <w:lastRenderedPageBreak/>
        <w:t xml:space="preserve">Minneapolis: Fortress, 2005: 216. </w:t>
      </w:r>
    </w:p>
    <w:p w14:paraId="6E92EA77" w14:textId="77777777" w:rsidR="00412D77" w:rsidRPr="00FB2D03" w:rsidRDefault="00412D77" w:rsidP="00412D77">
      <w:pPr>
        <w:tabs>
          <w:tab w:val="left" w:pos="5616"/>
        </w:tabs>
        <w:rPr>
          <w:color w:val="000000" w:themeColor="text1"/>
          <w:lang w:val="en-AU"/>
        </w:rPr>
      </w:pPr>
    </w:p>
    <w:p w14:paraId="53D7867E"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Huemoeller, Katharine P. D. “Freedom in Marriage? Manumission for Marriage in the </w:t>
      </w:r>
    </w:p>
    <w:p w14:paraId="1539D20A" w14:textId="1F748323" w:rsidR="00412D77" w:rsidRPr="00FB2D03" w:rsidRDefault="00412D77" w:rsidP="00AD1181">
      <w:pPr>
        <w:tabs>
          <w:tab w:val="left" w:pos="5616"/>
        </w:tabs>
        <w:ind w:left="720"/>
        <w:rPr>
          <w:color w:val="000000" w:themeColor="text1"/>
          <w:lang w:val="en-AU"/>
        </w:rPr>
      </w:pPr>
      <w:r w:rsidRPr="00FB2D03">
        <w:rPr>
          <w:color w:val="000000" w:themeColor="text1"/>
          <w:lang w:val="en-AU"/>
        </w:rPr>
        <w:t>Roman World.” </w:t>
      </w:r>
      <w:r w:rsidRPr="00FB2D03">
        <w:rPr>
          <w:i/>
          <w:color w:val="000000" w:themeColor="text1"/>
          <w:lang w:val="en-AU"/>
        </w:rPr>
        <w:t>Journal of Roman Studies</w:t>
      </w:r>
      <w:r w:rsidRPr="00FB2D03">
        <w:rPr>
          <w:color w:val="000000" w:themeColor="text1"/>
          <w:lang w:val="en-AU"/>
        </w:rPr>
        <w:t> 110 (2020): 123–39.</w:t>
      </w:r>
    </w:p>
    <w:p w14:paraId="663B9861" w14:textId="77777777" w:rsidR="00412D77" w:rsidRPr="00FB2D03" w:rsidRDefault="00412D77" w:rsidP="00412D77">
      <w:pPr>
        <w:tabs>
          <w:tab w:val="left" w:pos="5616"/>
        </w:tabs>
        <w:rPr>
          <w:color w:val="000000" w:themeColor="text1"/>
          <w:lang w:val="en-AU"/>
        </w:rPr>
      </w:pPr>
    </w:p>
    <w:p w14:paraId="3D0CB314" w14:textId="77777777" w:rsidR="00E42DAB" w:rsidRPr="00FB2D03" w:rsidRDefault="00412D77" w:rsidP="00412D77">
      <w:pPr>
        <w:tabs>
          <w:tab w:val="left" w:pos="5616"/>
        </w:tabs>
        <w:rPr>
          <w:i/>
          <w:color w:val="000000" w:themeColor="text1"/>
          <w:lang w:val="en-AU"/>
        </w:rPr>
      </w:pPr>
      <w:r w:rsidRPr="00FB2D03">
        <w:rPr>
          <w:color w:val="000000" w:themeColor="text1"/>
          <w:lang w:val="en-AU"/>
        </w:rPr>
        <w:t>Hurtado, Larry W. “Pre–70 CE Jewish Opposition to Christ–Devotion.” </w:t>
      </w:r>
      <w:r w:rsidRPr="00FB2D03">
        <w:rPr>
          <w:i/>
          <w:color w:val="000000" w:themeColor="text1"/>
          <w:lang w:val="en-AU"/>
        </w:rPr>
        <w:t xml:space="preserve">Journal of </w:t>
      </w:r>
    </w:p>
    <w:p w14:paraId="1751BDC6" w14:textId="6C8ECAF3" w:rsidR="00412D77" w:rsidRPr="00FB2D03" w:rsidRDefault="00412D77" w:rsidP="00AD1181">
      <w:pPr>
        <w:tabs>
          <w:tab w:val="left" w:pos="5616"/>
        </w:tabs>
        <w:ind w:left="720"/>
        <w:rPr>
          <w:color w:val="000000" w:themeColor="text1"/>
          <w:lang w:val="en-AU"/>
        </w:rPr>
      </w:pPr>
      <w:r w:rsidRPr="00FB2D03">
        <w:rPr>
          <w:i/>
          <w:color w:val="000000" w:themeColor="text1"/>
          <w:lang w:val="en-AU"/>
        </w:rPr>
        <w:t>Theological Studies</w:t>
      </w:r>
      <w:r w:rsidRPr="00FB2D03">
        <w:rPr>
          <w:color w:val="000000" w:themeColor="text1"/>
          <w:lang w:val="en-AU"/>
        </w:rPr>
        <w:t> ns 50.1 (1999): 35–58.</w:t>
      </w:r>
    </w:p>
    <w:p w14:paraId="35EA040F" w14:textId="77777777" w:rsidR="00412D77" w:rsidRPr="00FB2D03" w:rsidRDefault="00412D77" w:rsidP="00412D77">
      <w:pPr>
        <w:tabs>
          <w:tab w:val="left" w:pos="5616"/>
        </w:tabs>
        <w:rPr>
          <w:color w:val="000000" w:themeColor="text1"/>
          <w:lang w:val="en-AU"/>
        </w:rPr>
      </w:pPr>
    </w:p>
    <w:p w14:paraId="6CDC7524" w14:textId="02672C2B" w:rsidR="00E42DAB" w:rsidRPr="00FB2D03" w:rsidRDefault="00412D77" w:rsidP="00412D77">
      <w:pPr>
        <w:tabs>
          <w:tab w:val="left" w:pos="5616"/>
        </w:tabs>
        <w:rPr>
          <w:color w:val="000000" w:themeColor="text1"/>
          <w:lang w:val="en-AU"/>
        </w:rPr>
      </w:pPr>
      <w:r w:rsidRPr="00FB2D03">
        <w:rPr>
          <w:color w:val="000000" w:themeColor="text1"/>
          <w:lang w:val="en-AU"/>
        </w:rPr>
        <w:t xml:space="preserve">Hutt, Curtiss. ““Be Ye Approved Money Changers!” Re–examining </w:t>
      </w:r>
      <w:r w:rsidR="00DF2BEE">
        <w:rPr>
          <w:color w:val="000000" w:themeColor="text1"/>
          <w:lang w:val="en-AU"/>
        </w:rPr>
        <w:t>t</w:t>
      </w:r>
      <w:r w:rsidRPr="00FB2D03">
        <w:rPr>
          <w:color w:val="000000" w:themeColor="text1"/>
          <w:lang w:val="en-AU"/>
        </w:rPr>
        <w:t xml:space="preserve">he Social Contexts </w:t>
      </w:r>
      <w:r w:rsidR="00DF2BEE">
        <w:rPr>
          <w:color w:val="000000" w:themeColor="text1"/>
          <w:lang w:val="en-AU"/>
        </w:rPr>
        <w:t>o</w:t>
      </w:r>
      <w:r w:rsidRPr="00FB2D03">
        <w:rPr>
          <w:color w:val="000000" w:themeColor="text1"/>
          <w:lang w:val="en-AU"/>
        </w:rPr>
        <w:t xml:space="preserve">f </w:t>
      </w:r>
    </w:p>
    <w:p w14:paraId="6DAA96F4" w14:textId="320B3D93" w:rsidR="00412D77" w:rsidRPr="00FB2D03" w:rsidRDefault="00DF2BEE" w:rsidP="00AD1181">
      <w:pPr>
        <w:tabs>
          <w:tab w:val="left" w:pos="5616"/>
        </w:tabs>
        <w:ind w:left="720"/>
        <w:rPr>
          <w:color w:val="000000" w:themeColor="text1"/>
          <w:lang w:val="en-AU"/>
        </w:rPr>
      </w:pPr>
      <w:r>
        <w:rPr>
          <w:color w:val="000000" w:themeColor="text1"/>
          <w:lang w:val="en-AU"/>
        </w:rPr>
        <w:t>t</w:t>
      </w:r>
      <w:r w:rsidR="00412D77" w:rsidRPr="00FB2D03">
        <w:rPr>
          <w:color w:val="000000" w:themeColor="text1"/>
          <w:lang w:val="en-AU"/>
        </w:rPr>
        <w:t xml:space="preserve">he Saying and </w:t>
      </w:r>
      <w:r>
        <w:rPr>
          <w:color w:val="000000" w:themeColor="text1"/>
          <w:lang w:val="en-AU"/>
        </w:rPr>
        <w:t>i</w:t>
      </w:r>
      <w:r w:rsidR="00412D77" w:rsidRPr="00FB2D03">
        <w:rPr>
          <w:color w:val="000000" w:themeColor="text1"/>
          <w:lang w:val="en-AU"/>
        </w:rPr>
        <w:t>ts Interpretation</w:t>
      </w:r>
      <w:r w:rsidR="002A581C" w:rsidRPr="00FB2D03">
        <w:rPr>
          <w:color w:val="000000" w:themeColor="text1"/>
          <w:lang w:val="en-AU"/>
        </w:rPr>
        <w:t>,</w:t>
      </w:r>
      <w:r w:rsidR="00412D77" w:rsidRPr="00FB2D03">
        <w:rPr>
          <w:color w:val="000000" w:themeColor="text1"/>
          <w:lang w:val="en-AU"/>
        </w:rPr>
        <w:t>” </w:t>
      </w:r>
      <w:r w:rsidR="00412D77" w:rsidRPr="00FB2D03">
        <w:rPr>
          <w:i/>
          <w:color w:val="000000" w:themeColor="text1"/>
          <w:lang w:val="en-AU"/>
        </w:rPr>
        <w:t xml:space="preserve">Journal </w:t>
      </w:r>
      <w:r>
        <w:rPr>
          <w:i/>
          <w:color w:val="000000" w:themeColor="text1"/>
          <w:lang w:val="en-AU"/>
        </w:rPr>
        <w:t>o</w:t>
      </w:r>
      <w:r w:rsidR="00412D77" w:rsidRPr="00FB2D03">
        <w:rPr>
          <w:i/>
          <w:color w:val="000000" w:themeColor="text1"/>
          <w:lang w:val="en-AU"/>
        </w:rPr>
        <w:t>f Biblical Literature</w:t>
      </w:r>
      <w:r w:rsidR="00412D77" w:rsidRPr="00FB2D03">
        <w:rPr>
          <w:color w:val="000000" w:themeColor="text1"/>
          <w:lang w:val="en-AU"/>
        </w:rPr>
        <w:t> 131 (2012): 589.</w:t>
      </w:r>
    </w:p>
    <w:p w14:paraId="446DF0DF" w14:textId="77777777" w:rsidR="00412D77" w:rsidRPr="00FB2D03" w:rsidRDefault="00412D77" w:rsidP="00412D77">
      <w:pPr>
        <w:tabs>
          <w:tab w:val="left" w:pos="5616"/>
        </w:tabs>
        <w:rPr>
          <w:color w:val="000000" w:themeColor="text1"/>
          <w:lang w:val="en-AU"/>
        </w:rPr>
      </w:pPr>
    </w:p>
    <w:p w14:paraId="55F02237" w14:textId="2D742F41" w:rsidR="00412D77" w:rsidRPr="00FB2D03" w:rsidRDefault="01B55689" w:rsidP="01B55689">
      <w:pPr>
        <w:tabs>
          <w:tab w:val="left" w:pos="5616"/>
        </w:tabs>
        <w:rPr>
          <w:color w:val="000000" w:themeColor="text1"/>
          <w:lang w:val="en-AU"/>
        </w:rPr>
      </w:pPr>
      <w:r w:rsidRPr="00FB2D03">
        <w:rPr>
          <w:color w:val="000000" w:themeColor="text1"/>
          <w:lang w:val="en-AU"/>
        </w:rPr>
        <w:t>Instone–Brewer, David. </w:t>
      </w:r>
      <w:r w:rsidRPr="00FB2D03">
        <w:rPr>
          <w:i/>
          <w:iCs/>
          <w:color w:val="000000" w:themeColor="text1"/>
          <w:lang w:val="en-AU"/>
        </w:rPr>
        <w:t xml:space="preserve">Traditions of the Rabbis </w:t>
      </w:r>
      <w:r w:rsidR="00DF2BEE">
        <w:rPr>
          <w:i/>
          <w:iCs/>
          <w:color w:val="000000" w:themeColor="text1"/>
          <w:lang w:val="en-AU"/>
        </w:rPr>
        <w:t>f</w:t>
      </w:r>
      <w:r w:rsidRPr="00FB2D03">
        <w:rPr>
          <w:i/>
          <w:iCs/>
          <w:color w:val="000000" w:themeColor="text1"/>
          <w:lang w:val="en-AU"/>
        </w:rPr>
        <w:t xml:space="preserve">rom </w:t>
      </w:r>
      <w:r w:rsidR="00DF2BEE">
        <w:rPr>
          <w:i/>
          <w:iCs/>
          <w:color w:val="000000" w:themeColor="text1"/>
          <w:lang w:val="en-AU"/>
        </w:rPr>
        <w:t>t</w:t>
      </w:r>
      <w:r w:rsidRPr="00FB2D03">
        <w:rPr>
          <w:i/>
          <w:iCs/>
          <w:color w:val="000000" w:themeColor="text1"/>
          <w:lang w:val="en-AU"/>
        </w:rPr>
        <w:t>he Era of the New Testament</w:t>
      </w:r>
      <w:r w:rsidRPr="00FB2D03">
        <w:rPr>
          <w:color w:val="000000" w:themeColor="text1"/>
          <w:lang w:val="en-AU"/>
        </w:rPr>
        <w:t xml:space="preserve">. </w:t>
      </w:r>
    </w:p>
    <w:p w14:paraId="48BE79F2" w14:textId="1B60BF3E" w:rsidR="00412D77" w:rsidRPr="00FB2D03" w:rsidRDefault="01B55689" w:rsidP="01B55689">
      <w:pPr>
        <w:tabs>
          <w:tab w:val="left" w:pos="5616"/>
        </w:tabs>
        <w:ind w:firstLine="720"/>
        <w:rPr>
          <w:color w:val="000000" w:themeColor="text1"/>
          <w:lang w:val="en-AU"/>
        </w:rPr>
      </w:pPr>
      <w:r w:rsidRPr="00FB2D03">
        <w:rPr>
          <w:color w:val="000000" w:themeColor="text1"/>
          <w:lang w:val="en-AU"/>
        </w:rPr>
        <w:t>Grand Rapids: Eerdmans, 2004.</w:t>
      </w:r>
    </w:p>
    <w:p w14:paraId="4E591813" w14:textId="77777777" w:rsidR="00412D77" w:rsidRPr="00FB2D03" w:rsidRDefault="00412D77" w:rsidP="00412D77">
      <w:pPr>
        <w:tabs>
          <w:tab w:val="left" w:pos="5616"/>
        </w:tabs>
        <w:rPr>
          <w:color w:val="000000" w:themeColor="text1"/>
          <w:lang w:val="en-AU"/>
        </w:rPr>
      </w:pPr>
    </w:p>
    <w:p w14:paraId="71DB946C" w14:textId="77777777" w:rsidR="00E42DAB" w:rsidRPr="00FB2D03" w:rsidRDefault="00412D77" w:rsidP="00412D77">
      <w:pPr>
        <w:tabs>
          <w:tab w:val="left" w:pos="5616"/>
        </w:tabs>
        <w:rPr>
          <w:i/>
          <w:color w:val="000000" w:themeColor="text1"/>
          <w:lang w:val="en-AU"/>
        </w:rPr>
      </w:pPr>
      <w:r w:rsidRPr="00FB2D03">
        <w:rPr>
          <w:color w:val="000000" w:themeColor="text1"/>
          <w:lang w:val="en-AU"/>
        </w:rPr>
        <w:t>Jackson, Timothy P. </w:t>
      </w:r>
      <w:r w:rsidRPr="00FB2D03">
        <w:rPr>
          <w:i/>
          <w:color w:val="000000" w:themeColor="text1"/>
          <w:lang w:val="en-AU"/>
        </w:rPr>
        <w:t xml:space="preserve">Mordecai Would Not Bow Down: Anti-Semitism, the Holocaust and </w:t>
      </w:r>
    </w:p>
    <w:p w14:paraId="4AFD5E9A" w14:textId="20FF0124" w:rsidR="00412D77" w:rsidRPr="00FB2D03" w:rsidRDefault="00412D77" w:rsidP="00AD1181">
      <w:pPr>
        <w:tabs>
          <w:tab w:val="left" w:pos="5616"/>
        </w:tabs>
        <w:ind w:left="720"/>
        <w:rPr>
          <w:color w:val="000000" w:themeColor="text1"/>
          <w:lang w:val="en-AU"/>
        </w:rPr>
      </w:pPr>
      <w:r w:rsidRPr="00FB2D03">
        <w:rPr>
          <w:i/>
          <w:color w:val="000000" w:themeColor="text1"/>
          <w:lang w:val="en-AU"/>
        </w:rPr>
        <w:t>Christian Supersessionism</w:t>
      </w:r>
      <w:r w:rsidRPr="00FB2D03">
        <w:rPr>
          <w:color w:val="000000" w:themeColor="text1"/>
          <w:lang w:val="en-AU"/>
        </w:rPr>
        <w:t>. Oxford University Press: New York, 2021.</w:t>
      </w:r>
    </w:p>
    <w:p w14:paraId="752321A5" w14:textId="77777777" w:rsidR="00412D77" w:rsidRPr="00FB2D03" w:rsidRDefault="00412D77" w:rsidP="00412D77">
      <w:pPr>
        <w:tabs>
          <w:tab w:val="left" w:pos="5616"/>
        </w:tabs>
        <w:rPr>
          <w:color w:val="000000" w:themeColor="text1"/>
          <w:lang w:val="en-AU"/>
        </w:rPr>
      </w:pPr>
    </w:p>
    <w:p w14:paraId="6011A07D"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Jacob, Benno. </w:t>
      </w:r>
      <w:r w:rsidRPr="00FB2D03">
        <w:rPr>
          <w:i/>
          <w:color w:val="000000" w:themeColor="text1"/>
          <w:lang w:val="en-AU"/>
        </w:rPr>
        <w:t>The Second Book of the Bible: Exodus</w:t>
      </w:r>
      <w:r w:rsidRPr="00FB2D03">
        <w:rPr>
          <w:color w:val="000000" w:themeColor="text1"/>
          <w:lang w:val="en-AU"/>
        </w:rPr>
        <w:t xml:space="preserve">. Translated by Walter Jacob. Hoboken: </w:t>
      </w:r>
    </w:p>
    <w:p w14:paraId="5FCE9FC4" w14:textId="14225C1E" w:rsidR="00412D77" w:rsidRPr="00FB2D03" w:rsidRDefault="00412D77" w:rsidP="00AD1181">
      <w:pPr>
        <w:tabs>
          <w:tab w:val="left" w:pos="5616"/>
        </w:tabs>
        <w:ind w:left="720"/>
        <w:rPr>
          <w:color w:val="000000" w:themeColor="text1"/>
          <w:lang w:val="en-AU"/>
        </w:rPr>
      </w:pPr>
      <w:r w:rsidRPr="00FB2D03">
        <w:rPr>
          <w:color w:val="000000" w:themeColor="text1"/>
          <w:lang w:val="en-AU"/>
        </w:rPr>
        <w:t>Ktav,</w:t>
      </w:r>
      <w:r w:rsidR="002A581C" w:rsidRPr="00FB2D03">
        <w:rPr>
          <w:color w:val="000000" w:themeColor="text1"/>
          <w:lang w:val="en-AU"/>
        </w:rPr>
        <w:t xml:space="preserve"> </w:t>
      </w:r>
      <w:r w:rsidRPr="00FB2D03">
        <w:rPr>
          <w:color w:val="000000" w:themeColor="text1"/>
          <w:lang w:val="en-AU"/>
        </w:rPr>
        <w:t xml:space="preserve">1992. </w:t>
      </w:r>
    </w:p>
    <w:p w14:paraId="14D4008A" w14:textId="77777777" w:rsidR="00412D77" w:rsidRPr="00FB2D03" w:rsidRDefault="00412D77" w:rsidP="00412D77">
      <w:pPr>
        <w:tabs>
          <w:tab w:val="left" w:pos="5616"/>
        </w:tabs>
        <w:rPr>
          <w:color w:val="000000" w:themeColor="text1"/>
          <w:lang w:val="en-AU"/>
        </w:rPr>
      </w:pPr>
    </w:p>
    <w:p w14:paraId="24257BE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Jacobs, Jill. </w:t>
      </w:r>
      <w:r w:rsidRPr="00FB2D03">
        <w:rPr>
          <w:i/>
          <w:color w:val="000000" w:themeColor="text1"/>
          <w:lang w:val="en-AU"/>
        </w:rPr>
        <w:t>There Shall Be No Needy</w:t>
      </w:r>
      <w:r w:rsidRPr="00FB2D03">
        <w:rPr>
          <w:color w:val="000000" w:themeColor="text1"/>
          <w:lang w:val="en-AU"/>
        </w:rPr>
        <w:t>. Woodstock: Jewish Lights, 2009.</w:t>
      </w:r>
    </w:p>
    <w:p w14:paraId="4D0F61F3" w14:textId="77777777" w:rsidR="00412D77" w:rsidRPr="00FB2D03" w:rsidRDefault="00412D77" w:rsidP="00412D77">
      <w:pPr>
        <w:tabs>
          <w:tab w:val="left" w:pos="5616"/>
        </w:tabs>
        <w:rPr>
          <w:color w:val="000000" w:themeColor="text1"/>
          <w:lang w:val="en-AU"/>
        </w:rPr>
      </w:pPr>
    </w:p>
    <w:p w14:paraId="622D8BFB" w14:textId="77777777" w:rsidR="00412D77" w:rsidRPr="00FB2D03" w:rsidRDefault="00412D77" w:rsidP="00412D77">
      <w:pPr>
        <w:tabs>
          <w:tab w:val="left" w:pos="5616"/>
        </w:tabs>
        <w:rPr>
          <w:color w:val="000000" w:themeColor="text1"/>
          <w:lang w:val="en-AU"/>
        </w:rPr>
      </w:pPr>
      <w:r w:rsidRPr="00FB2D03">
        <w:rPr>
          <w:color w:val="000000" w:themeColor="text1"/>
          <w:lang w:val="en-AU"/>
        </w:rPr>
        <w:t>Jaffee, Martin S. </w:t>
      </w:r>
      <w:r w:rsidRPr="00FB2D03">
        <w:rPr>
          <w:i/>
          <w:color w:val="000000" w:themeColor="text1"/>
          <w:lang w:val="en-AU"/>
        </w:rPr>
        <w:t>Torah in the Mouth</w:t>
      </w:r>
      <w:r w:rsidRPr="00FB2D03">
        <w:rPr>
          <w:color w:val="000000" w:themeColor="text1"/>
          <w:lang w:val="en-AU"/>
        </w:rPr>
        <w:t>. Oxford: Oxford University Press, 2004.</w:t>
      </w:r>
    </w:p>
    <w:p w14:paraId="085FFAD2" w14:textId="77777777" w:rsidR="00412D77" w:rsidRPr="00FB2D03" w:rsidRDefault="00412D77" w:rsidP="00412D77">
      <w:pPr>
        <w:tabs>
          <w:tab w:val="left" w:pos="5616"/>
        </w:tabs>
        <w:rPr>
          <w:color w:val="000000" w:themeColor="text1"/>
          <w:lang w:val="en-AU"/>
        </w:rPr>
      </w:pPr>
    </w:p>
    <w:p w14:paraId="24B1FF49"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Jassen, Alex. “The Dead Sea Scrolls and Violence: Sectarian Formation and Eschatological </w:t>
      </w:r>
    </w:p>
    <w:p w14:paraId="65260D93" w14:textId="3DEC136D"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Imagination.” </w:t>
      </w:r>
      <w:r w:rsidRPr="00FB2D03">
        <w:rPr>
          <w:i/>
          <w:color w:val="000000" w:themeColor="text1"/>
          <w:lang w:val="en-AU"/>
        </w:rPr>
        <w:t>Biblical Interpretation</w:t>
      </w:r>
      <w:r w:rsidRPr="00FB2D03">
        <w:rPr>
          <w:color w:val="000000" w:themeColor="text1"/>
          <w:lang w:val="en-AU"/>
        </w:rPr>
        <w:t xml:space="preserve"> 17 (2009): 105-29.</w:t>
      </w:r>
    </w:p>
    <w:p w14:paraId="7FE39E95" w14:textId="77777777" w:rsidR="00412D77" w:rsidRPr="00FB2D03" w:rsidRDefault="00412D77" w:rsidP="00412D77">
      <w:pPr>
        <w:tabs>
          <w:tab w:val="left" w:pos="5616"/>
        </w:tabs>
        <w:rPr>
          <w:color w:val="000000" w:themeColor="text1"/>
          <w:lang w:val="en-AU"/>
        </w:rPr>
      </w:pPr>
    </w:p>
    <w:p w14:paraId="5A47C6B1"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Jeremias, Joachim. </w:t>
      </w:r>
      <w:r w:rsidRPr="00FB2D03">
        <w:rPr>
          <w:i/>
          <w:color w:val="000000" w:themeColor="text1"/>
          <w:lang w:val="en-AU"/>
        </w:rPr>
        <w:t>The Sermon on the Mount</w:t>
      </w:r>
      <w:r w:rsidRPr="00FB2D03">
        <w:rPr>
          <w:color w:val="000000" w:themeColor="text1"/>
          <w:lang w:val="en-AU"/>
        </w:rPr>
        <w:t xml:space="preserve">. Philadelphia: Fortress, 1963. </w:t>
      </w:r>
    </w:p>
    <w:p w14:paraId="0E9E6B37" w14:textId="77777777" w:rsidR="00412D77" w:rsidRPr="00FB2D03" w:rsidRDefault="00412D77" w:rsidP="00412D77">
      <w:pPr>
        <w:tabs>
          <w:tab w:val="left" w:pos="5616"/>
        </w:tabs>
        <w:rPr>
          <w:color w:val="000000" w:themeColor="text1"/>
          <w:lang w:val="en-AU"/>
        </w:rPr>
      </w:pPr>
    </w:p>
    <w:p w14:paraId="5EFB3F65"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Jevons, Frank Byron. “Hellenism and Christianity.” </w:t>
      </w:r>
      <w:r w:rsidRPr="00FB2D03">
        <w:rPr>
          <w:i/>
          <w:color w:val="000000" w:themeColor="text1"/>
          <w:lang w:val="en-AU"/>
        </w:rPr>
        <w:t>The Harvard Theological Review</w:t>
      </w:r>
      <w:r w:rsidRPr="00FB2D03">
        <w:rPr>
          <w:color w:val="000000" w:themeColor="text1"/>
          <w:lang w:val="en-AU"/>
        </w:rPr>
        <w:t xml:space="preserve"> 1 </w:t>
      </w:r>
    </w:p>
    <w:p w14:paraId="6E83DA92" w14:textId="1AFFB624"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(1908): 169–188. </w:t>
      </w:r>
    </w:p>
    <w:p w14:paraId="5364F8B7" w14:textId="77777777" w:rsidR="00412D77" w:rsidRPr="00FB2D03" w:rsidRDefault="00412D77" w:rsidP="00412D77">
      <w:pPr>
        <w:tabs>
          <w:tab w:val="left" w:pos="5616"/>
        </w:tabs>
        <w:rPr>
          <w:color w:val="000000" w:themeColor="text1"/>
          <w:lang w:val="en-AU"/>
        </w:rPr>
      </w:pPr>
    </w:p>
    <w:p w14:paraId="31434DD8"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Johansson, Daniel. “The Dichotomy of Judaism and Hellenism Revisited: Roots and </w:t>
      </w:r>
    </w:p>
    <w:p w14:paraId="63A6710D" w14:textId="0DAC97AC" w:rsidR="00412D77" w:rsidRPr="00FB2D03" w:rsidRDefault="00412D77" w:rsidP="00AD1181">
      <w:pPr>
        <w:tabs>
          <w:tab w:val="left" w:pos="5616"/>
        </w:tabs>
        <w:ind w:left="720"/>
        <w:rPr>
          <w:color w:val="000000" w:themeColor="text1"/>
          <w:lang w:val="en-AU"/>
        </w:rPr>
      </w:pPr>
      <w:r w:rsidRPr="00FB2D03">
        <w:rPr>
          <w:color w:val="000000" w:themeColor="text1"/>
          <w:lang w:val="en-AU"/>
        </w:rPr>
        <w:t>Reception of the Gospel.” </w:t>
      </w:r>
      <w:r w:rsidRPr="00FB2D03">
        <w:rPr>
          <w:i/>
          <w:color w:val="000000" w:themeColor="text1"/>
          <w:lang w:val="en-AU"/>
        </w:rPr>
        <w:t>Concordia Theological Quarterly</w:t>
      </w:r>
      <w:r w:rsidRPr="00FB2D03">
        <w:rPr>
          <w:color w:val="000000" w:themeColor="text1"/>
          <w:lang w:val="en-AU"/>
        </w:rPr>
        <w:t> 80 (2016): 101–12.</w:t>
      </w:r>
    </w:p>
    <w:p w14:paraId="034BE122" w14:textId="77777777" w:rsidR="00412D77" w:rsidRPr="00FB2D03" w:rsidRDefault="00412D77" w:rsidP="00412D77">
      <w:pPr>
        <w:tabs>
          <w:tab w:val="left" w:pos="5616"/>
        </w:tabs>
        <w:rPr>
          <w:color w:val="000000" w:themeColor="text1"/>
          <w:lang w:val="en-AU"/>
        </w:rPr>
      </w:pPr>
    </w:p>
    <w:p w14:paraId="1E95D2BD"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Johnson, Nathan C. “The Passion According to David: Matthew’s Arrest Narrative, the </w:t>
      </w:r>
    </w:p>
    <w:p w14:paraId="11088DED" w14:textId="409FB5CA" w:rsidR="00412D77" w:rsidRPr="00FB2D03" w:rsidRDefault="00412D77" w:rsidP="00AD1181">
      <w:pPr>
        <w:tabs>
          <w:tab w:val="left" w:pos="5616"/>
        </w:tabs>
        <w:ind w:left="720"/>
        <w:rPr>
          <w:color w:val="000000" w:themeColor="text1"/>
          <w:lang w:val="en-AU"/>
        </w:rPr>
      </w:pPr>
      <w:r w:rsidRPr="00FB2D03">
        <w:rPr>
          <w:color w:val="000000" w:themeColor="text1"/>
          <w:lang w:val="en-AU"/>
        </w:rPr>
        <w:t>Absalom Revolt, and Militant Messianism.” </w:t>
      </w:r>
      <w:r w:rsidRPr="00FB2D03">
        <w:rPr>
          <w:i/>
          <w:color w:val="000000" w:themeColor="text1"/>
          <w:lang w:val="en-AU"/>
        </w:rPr>
        <w:t>Catholic Biblical Quarterly</w:t>
      </w:r>
      <w:r w:rsidRPr="00FB2D03">
        <w:rPr>
          <w:color w:val="000000" w:themeColor="text1"/>
          <w:lang w:val="en-AU"/>
        </w:rPr>
        <w:t> 80 (2018): 247–72. </w:t>
      </w:r>
    </w:p>
    <w:p w14:paraId="103975E6" w14:textId="77777777" w:rsidR="00412D77" w:rsidRPr="00FB2D03" w:rsidRDefault="00412D77" w:rsidP="00412D77">
      <w:pPr>
        <w:tabs>
          <w:tab w:val="left" w:pos="5616"/>
        </w:tabs>
        <w:rPr>
          <w:color w:val="000000" w:themeColor="text1"/>
          <w:lang w:val="en-AU"/>
        </w:rPr>
      </w:pPr>
    </w:p>
    <w:p w14:paraId="4FBB774C" w14:textId="77777777" w:rsidR="00E42DAB" w:rsidRPr="00FB2D03" w:rsidRDefault="00412D77" w:rsidP="00412D77">
      <w:pPr>
        <w:tabs>
          <w:tab w:val="left" w:pos="5616"/>
        </w:tabs>
        <w:rPr>
          <w:i/>
          <w:color w:val="000000" w:themeColor="text1"/>
          <w:lang w:val="en-AU"/>
        </w:rPr>
      </w:pPr>
      <w:r w:rsidRPr="00FB2D03">
        <w:rPr>
          <w:color w:val="000000" w:themeColor="text1"/>
          <w:lang w:val="en-AU"/>
        </w:rPr>
        <w:t>Johnson, Sara Raup, Rubén R. Dupertuis, and Chris Shea. </w:t>
      </w:r>
      <w:r w:rsidRPr="00FB2D03">
        <w:rPr>
          <w:i/>
          <w:color w:val="000000" w:themeColor="text1"/>
          <w:lang w:val="en-AU"/>
        </w:rPr>
        <w:t xml:space="preserve">Reading And Teaching Ancient </w:t>
      </w:r>
    </w:p>
    <w:p w14:paraId="076CB6E6" w14:textId="09F9D05F" w:rsidR="00412D77" w:rsidRPr="00FB2D03" w:rsidRDefault="00412D77" w:rsidP="00AD1181">
      <w:pPr>
        <w:tabs>
          <w:tab w:val="left" w:pos="5616"/>
        </w:tabs>
        <w:ind w:left="720"/>
        <w:rPr>
          <w:color w:val="000000" w:themeColor="text1"/>
          <w:lang w:val="en-AU"/>
        </w:rPr>
      </w:pPr>
      <w:r w:rsidRPr="00FB2D03">
        <w:rPr>
          <w:i/>
          <w:color w:val="000000" w:themeColor="text1"/>
          <w:lang w:val="en-AU"/>
        </w:rPr>
        <w:t>Fiction</w:t>
      </w:r>
      <w:r w:rsidRPr="00FB2D03">
        <w:rPr>
          <w:color w:val="000000" w:themeColor="text1"/>
          <w:lang w:val="en-AU"/>
        </w:rPr>
        <w:t>. Atlanta: SBL, 2018.</w:t>
      </w:r>
    </w:p>
    <w:p w14:paraId="70B14DD3" w14:textId="77777777" w:rsidR="00412D77" w:rsidRPr="00FB2D03" w:rsidRDefault="00412D77" w:rsidP="00412D77">
      <w:pPr>
        <w:tabs>
          <w:tab w:val="left" w:pos="5616"/>
        </w:tabs>
        <w:rPr>
          <w:color w:val="000000" w:themeColor="text1"/>
          <w:lang w:val="en-AU"/>
        </w:rPr>
      </w:pPr>
    </w:p>
    <w:p w14:paraId="4CE2B858"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Joseph, Simon. </w:t>
      </w:r>
      <w:r w:rsidRPr="00FB2D03">
        <w:rPr>
          <w:i/>
          <w:color w:val="000000" w:themeColor="text1"/>
          <w:lang w:val="en-AU"/>
        </w:rPr>
        <w:t>Jesus, The Essenes, and Christian Origins</w:t>
      </w:r>
      <w:r w:rsidRPr="00FB2D03">
        <w:rPr>
          <w:color w:val="000000" w:themeColor="text1"/>
          <w:lang w:val="en-AU"/>
        </w:rPr>
        <w:t xml:space="preserve">. Waco: Baylor University Press, </w:t>
      </w:r>
    </w:p>
    <w:p w14:paraId="5D03814D" w14:textId="0DBAA899" w:rsidR="00412D77" w:rsidRPr="00FB2D03" w:rsidRDefault="00412D77" w:rsidP="00AD1181">
      <w:pPr>
        <w:tabs>
          <w:tab w:val="left" w:pos="5616"/>
        </w:tabs>
        <w:ind w:left="720"/>
        <w:rPr>
          <w:color w:val="000000" w:themeColor="text1"/>
          <w:lang w:val="en-AU"/>
        </w:rPr>
      </w:pPr>
      <w:r w:rsidRPr="00FB2D03">
        <w:rPr>
          <w:color w:val="000000" w:themeColor="text1"/>
          <w:lang w:val="en-AU"/>
        </w:rPr>
        <w:t>2018.</w:t>
      </w:r>
    </w:p>
    <w:p w14:paraId="6A84454E" w14:textId="77777777" w:rsidR="00412D77" w:rsidRPr="00FB2D03" w:rsidRDefault="00412D77" w:rsidP="00412D77">
      <w:pPr>
        <w:tabs>
          <w:tab w:val="left" w:pos="5616"/>
        </w:tabs>
        <w:rPr>
          <w:color w:val="000000" w:themeColor="text1"/>
          <w:lang w:val="en-AU"/>
        </w:rPr>
      </w:pPr>
    </w:p>
    <w:p w14:paraId="4C6E44BC"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Josephus, Flavius. </w:t>
      </w:r>
      <w:r w:rsidRPr="00FB2D03">
        <w:rPr>
          <w:i/>
          <w:color w:val="000000" w:themeColor="text1"/>
          <w:lang w:val="en-AU"/>
        </w:rPr>
        <w:t>The Complete Works of Josephus</w:t>
      </w:r>
      <w:r w:rsidRPr="00FB2D03">
        <w:rPr>
          <w:color w:val="000000" w:themeColor="text1"/>
          <w:lang w:val="en-AU"/>
        </w:rPr>
        <w:t xml:space="preserve">. Translated by William Whiston. Grand </w:t>
      </w:r>
    </w:p>
    <w:p w14:paraId="5F35D1A0" w14:textId="07EB98F4" w:rsidR="00412D77" w:rsidRPr="00FB2D03" w:rsidRDefault="01B55689" w:rsidP="01B55689">
      <w:pPr>
        <w:tabs>
          <w:tab w:val="left" w:pos="5616"/>
        </w:tabs>
        <w:ind w:left="720"/>
        <w:rPr>
          <w:color w:val="000000" w:themeColor="text1"/>
          <w:lang w:val="en-AU"/>
        </w:rPr>
      </w:pPr>
      <w:r w:rsidRPr="00FB2D03">
        <w:rPr>
          <w:color w:val="000000" w:themeColor="text1"/>
          <w:lang w:val="en-AU"/>
        </w:rPr>
        <w:t>Rapids: Kregel, 1995.</w:t>
      </w:r>
    </w:p>
    <w:p w14:paraId="6A885922" w14:textId="77777777" w:rsidR="00416C83" w:rsidRPr="00FB2D03" w:rsidRDefault="00416C83" w:rsidP="00412D77">
      <w:pPr>
        <w:tabs>
          <w:tab w:val="left" w:pos="5616"/>
        </w:tabs>
        <w:rPr>
          <w:color w:val="000000" w:themeColor="text1"/>
          <w:lang w:val="en-AU"/>
        </w:rPr>
      </w:pPr>
    </w:p>
    <w:p w14:paraId="20382C0A"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Works of Flavius Josephus</w:t>
      </w:r>
      <w:r w:rsidRPr="00FB2D03">
        <w:rPr>
          <w:color w:val="000000" w:themeColor="text1"/>
          <w:lang w:val="en-AU"/>
        </w:rPr>
        <w:t xml:space="preserve">. Grand Rapids: Christian Classics Ethereal </w:t>
      </w:r>
    </w:p>
    <w:p w14:paraId="2EB7CBE8" w14:textId="69D4B532" w:rsidR="00412D77" w:rsidRPr="00FB2D03" w:rsidRDefault="00412D77" w:rsidP="00AD1181">
      <w:pPr>
        <w:tabs>
          <w:tab w:val="left" w:pos="5616"/>
        </w:tabs>
        <w:ind w:left="720"/>
        <w:rPr>
          <w:color w:val="000000" w:themeColor="text1"/>
          <w:lang w:val="en-AU"/>
        </w:rPr>
      </w:pPr>
      <w:r w:rsidRPr="00FB2D03">
        <w:rPr>
          <w:color w:val="000000" w:themeColor="text1"/>
          <w:lang w:val="en-AU"/>
        </w:rPr>
        <w:t>Library, 2000.</w:t>
      </w:r>
    </w:p>
    <w:p w14:paraId="5C164285" w14:textId="77777777" w:rsidR="00412D77" w:rsidRPr="00FB2D03" w:rsidRDefault="00412D77" w:rsidP="00412D77">
      <w:pPr>
        <w:tabs>
          <w:tab w:val="left" w:pos="5616"/>
        </w:tabs>
        <w:rPr>
          <w:color w:val="000000" w:themeColor="text1"/>
          <w:lang w:val="en-AU"/>
        </w:rPr>
      </w:pPr>
    </w:p>
    <w:p w14:paraId="2383C123" w14:textId="77777777" w:rsidR="00416C83" w:rsidRPr="00FB2D03" w:rsidRDefault="00412D77" w:rsidP="00412D77">
      <w:pPr>
        <w:tabs>
          <w:tab w:val="left" w:pos="5616"/>
        </w:tabs>
        <w:rPr>
          <w:color w:val="000000" w:themeColor="text1"/>
          <w:lang w:val="en-AU"/>
        </w:rPr>
      </w:pPr>
      <w:r w:rsidRPr="00FB2D03">
        <w:rPr>
          <w:color w:val="000000" w:themeColor="text1"/>
          <w:lang w:val="en-AU"/>
        </w:rPr>
        <w:t>Josephus, Flavius, and H. St. J. Thackeray. </w:t>
      </w:r>
      <w:r w:rsidRPr="00FB2D03">
        <w:rPr>
          <w:i/>
          <w:color w:val="000000" w:themeColor="text1"/>
          <w:lang w:val="en-AU"/>
        </w:rPr>
        <w:t>The Life; Against Apion</w:t>
      </w:r>
      <w:r w:rsidRPr="00FB2D03">
        <w:rPr>
          <w:color w:val="000000" w:themeColor="text1"/>
          <w:lang w:val="en-AU"/>
        </w:rPr>
        <w:t xml:space="preserve">. Translated by William </w:t>
      </w:r>
    </w:p>
    <w:p w14:paraId="5D02CDD8" w14:textId="6DFD2510" w:rsidR="00412D77" w:rsidRPr="00FB2D03" w:rsidRDefault="00412D77" w:rsidP="00AD1181">
      <w:pPr>
        <w:tabs>
          <w:tab w:val="left" w:pos="5616"/>
        </w:tabs>
        <w:ind w:left="720"/>
        <w:rPr>
          <w:color w:val="000000" w:themeColor="text1"/>
          <w:lang w:val="en-AU"/>
        </w:rPr>
      </w:pPr>
      <w:r w:rsidRPr="00FB2D03">
        <w:rPr>
          <w:color w:val="000000" w:themeColor="text1"/>
          <w:lang w:val="en-AU"/>
        </w:rPr>
        <w:t>Whiston. Cambridge: Harvard University Press, 2004.</w:t>
      </w:r>
    </w:p>
    <w:p w14:paraId="4F9FB607" w14:textId="77777777" w:rsidR="00412D77" w:rsidRPr="00FB2D03" w:rsidRDefault="00412D77" w:rsidP="00412D77">
      <w:pPr>
        <w:tabs>
          <w:tab w:val="left" w:pos="5616"/>
        </w:tabs>
        <w:rPr>
          <w:color w:val="000000" w:themeColor="text1"/>
          <w:lang w:val="en-AU"/>
        </w:rPr>
      </w:pPr>
    </w:p>
    <w:p w14:paraId="3D170D39" w14:textId="77777777" w:rsidR="00412D77" w:rsidRPr="00FB2D03" w:rsidRDefault="00412D77" w:rsidP="00412D77">
      <w:pPr>
        <w:tabs>
          <w:tab w:val="left" w:pos="5616"/>
        </w:tabs>
        <w:rPr>
          <w:color w:val="000000" w:themeColor="text1"/>
          <w:lang w:val="en-AU"/>
        </w:rPr>
      </w:pPr>
      <w:r w:rsidRPr="00FB2D03">
        <w:rPr>
          <w:color w:val="000000" w:themeColor="text1"/>
          <w:lang w:val="en-AU"/>
        </w:rPr>
        <w:t>Josephus, Flavius, and H. St. J Thackeray. </w:t>
      </w:r>
      <w:r w:rsidRPr="00FB2D03">
        <w:rPr>
          <w:i/>
          <w:color w:val="000000" w:themeColor="text1"/>
          <w:lang w:val="en-AU"/>
        </w:rPr>
        <w:t>Josephus</w:t>
      </w:r>
      <w:r w:rsidRPr="00FB2D03">
        <w:rPr>
          <w:color w:val="000000" w:themeColor="text1"/>
          <w:lang w:val="en-AU"/>
        </w:rPr>
        <w:t>. Translated by H. St. J. Thackeray</w:t>
      </w:r>
    </w:p>
    <w:p w14:paraId="38632604" w14:textId="5B578A92" w:rsidR="00412D77" w:rsidRPr="00FB2D03" w:rsidRDefault="00412D77" w:rsidP="00AD1181">
      <w:pPr>
        <w:tabs>
          <w:tab w:val="left" w:pos="5616"/>
        </w:tabs>
        <w:ind w:left="720"/>
        <w:rPr>
          <w:color w:val="000000" w:themeColor="text1"/>
          <w:lang w:val="en-AU"/>
        </w:rPr>
      </w:pPr>
      <w:r w:rsidRPr="00FB2D03">
        <w:rPr>
          <w:color w:val="000000" w:themeColor="text1"/>
          <w:lang w:val="en-AU"/>
        </w:rPr>
        <w:t>Cambridge: Harvard University Press, 2004.</w:t>
      </w:r>
    </w:p>
    <w:p w14:paraId="4EB626EB" w14:textId="77777777" w:rsidR="00412D77" w:rsidRPr="00FB2D03" w:rsidRDefault="00412D77" w:rsidP="00412D77">
      <w:pPr>
        <w:tabs>
          <w:tab w:val="left" w:pos="5616"/>
        </w:tabs>
        <w:rPr>
          <w:color w:val="000000" w:themeColor="text1"/>
          <w:lang w:val="en-AU"/>
        </w:rPr>
      </w:pPr>
    </w:p>
    <w:p w14:paraId="5E2EF4D5"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Joslyn–Siemiatkoski, Daniel. “Moses Received the Torah at Sinai and Handed It On </w:t>
      </w:r>
    </w:p>
    <w:p w14:paraId="3CFFD971" w14:textId="2397EA59" w:rsidR="00412D77" w:rsidRDefault="00412D77" w:rsidP="00AD1181">
      <w:pPr>
        <w:tabs>
          <w:tab w:val="left" w:pos="5616"/>
        </w:tabs>
        <w:ind w:left="720"/>
        <w:rPr>
          <w:color w:val="000000" w:themeColor="text1"/>
          <w:lang w:val="en-AU"/>
        </w:rPr>
      </w:pPr>
      <w:r w:rsidRPr="00FB2D03">
        <w:rPr>
          <w:color w:val="000000" w:themeColor="text1"/>
          <w:lang w:val="en-AU"/>
        </w:rPr>
        <w:t>(</w:t>
      </w:r>
      <w:r w:rsidRPr="00FB2D03">
        <w:rPr>
          <w:i/>
          <w:color w:val="000000" w:themeColor="text1"/>
          <w:lang w:val="en-AU"/>
        </w:rPr>
        <w:t>Mishnah</w:t>
      </w:r>
      <w:r w:rsidRPr="00FB2D03">
        <w:rPr>
          <w:color w:val="000000" w:themeColor="text1"/>
          <w:lang w:val="en-AU"/>
        </w:rPr>
        <w:t xml:space="preserve"> </w:t>
      </w:r>
      <w:r w:rsidRPr="00FB2D03">
        <w:rPr>
          <w:i/>
          <w:color w:val="000000" w:themeColor="text1"/>
          <w:lang w:val="en-AU"/>
        </w:rPr>
        <w:t>Avot</w:t>
      </w:r>
      <w:r w:rsidRPr="00FB2D03">
        <w:rPr>
          <w:color w:val="000000" w:themeColor="text1"/>
          <w:lang w:val="en-AU"/>
        </w:rPr>
        <w:t xml:space="preserve"> 1:1): The Relevance of the Written and Oral Torah for Christians.” </w:t>
      </w:r>
      <w:r w:rsidRPr="00FB2D03">
        <w:rPr>
          <w:i/>
          <w:color w:val="000000" w:themeColor="text1"/>
          <w:lang w:val="en-AU"/>
        </w:rPr>
        <w:t>Anglican Theological Review</w:t>
      </w:r>
      <w:r w:rsidRPr="00FB2D03">
        <w:rPr>
          <w:color w:val="000000" w:themeColor="text1"/>
          <w:lang w:val="en-AU"/>
        </w:rPr>
        <w:t xml:space="preserve"> 91 (2009): 433–66.</w:t>
      </w:r>
    </w:p>
    <w:p w14:paraId="16062044" w14:textId="04109292" w:rsidR="0021074C" w:rsidRDefault="0021074C" w:rsidP="0021074C">
      <w:pPr>
        <w:tabs>
          <w:tab w:val="left" w:pos="5616"/>
        </w:tabs>
        <w:rPr>
          <w:color w:val="000000" w:themeColor="text1"/>
          <w:lang w:val="en-AU"/>
        </w:rPr>
      </w:pPr>
    </w:p>
    <w:p w14:paraId="56463B94" w14:textId="77777777" w:rsidR="0021074C" w:rsidRDefault="0021074C" w:rsidP="0021074C">
      <w:pPr>
        <w:tabs>
          <w:tab w:val="left" w:pos="5616"/>
        </w:tabs>
        <w:rPr>
          <w:color w:val="000000" w:themeColor="text1"/>
        </w:rPr>
      </w:pPr>
      <w:r w:rsidRPr="00FB2D03">
        <w:rPr>
          <w:color w:val="000000" w:themeColor="text1"/>
          <w:lang w:val="en-AU"/>
        </w:rPr>
        <w:t>________.</w:t>
      </w:r>
      <w:r>
        <w:rPr>
          <w:color w:val="000000" w:themeColor="text1"/>
          <w:lang w:val="en-AU"/>
        </w:rPr>
        <w:t xml:space="preserve">  </w:t>
      </w:r>
      <w:r w:rsidRPr="0021074C">
        <w:rPr>
          <w:i/>
          <w:iCs/>
          <w:color w:val="000000" w:themeColor="text1"/>
        </w:rPr>
        <w:t xml:space="preserve">The </w:t>
      </w:r>
      <w:r>
        <w:rPr>
          <w:i/>
          <w:iCs/>
          <w:color w:val="000000" w:themeColor="text1"/>
        </w:rPr>
        <w:t>m</w:t>
      </w:r>
      <w:r w:rsidRPr="0021074C">
        <w:rPr>
          <w:i/>
          <w:iCs/>
          <w:color w:val="000000" w:themeColor="text1"/>
        </w:rPr>
        <w:t xml:space="preserve">ore Torah, the </w:t>
      </w:r>
      <w:r>
        <w:rPr>
          <w:i/>
          <w:iCs/>
          <w:color w:val="000000" w:themeColor="text1"/>
        </w:rPr>
        <w:t>M</w:t>
      </w:r>
      <w:r w:rsidRPr="0021074C">
        <w:rPr>
          <w:i/>
          <w:iCs/>
          <w:color w:val="000000" w:themeColor="text1"/>
        </w:rPr>
        <w:t xml:space="preserve">ore </w:t>
      </w:r>
      <w:r>
        <w:rPr>
          <w:i/>
          <w:iCs/>
          <w:color w:val="000000" w:themeColor="text1"/>
        </w:rPr>
        <w:t>L</w:t>
      </w:r>
      <w:r w:rsidRPr="0021074C">
        <w:rPr>
          <w:i/>
          <w:iCs/>
          <w:color w:val="000000" w:themeColor="text1"/>
        </w:rPr>
        <w:t>ife</w:t>
      </w:r>
      <w:r>
        <w:rPr>
          <w:i/>
          <w:iCs/>
          <w:color w:val="000000" w:themeColor="text1"/>
        </w:rPr>
        <w:t>: A Christian Commentary on Mishnah Avot</w:t>
      </w:r>
      <w:r w:rsidRPr="0021074C">
        <w:rPr>
          <w:color w:val="000000" w:themeColor="text1"/>
        </w:rPr>
        <w:t xml:space="preserve">. </w:t>
      </w:r>
    </w:p>
    <w:p w14:paraId="0AD3918E" w14:textId="6C918FE4" w:rsidR="0021074C" w:rsidRPr="00ED0F6A" w:rsidRDefault="0021074C" w:rsidP="0021074C">
      <w:pPr>
        <w:tabs>
          <w:tab w:val="left" w:pos="5616"/>
        </w:tabs>
        <w:ind w:left="720"/>
        <w:rPr>
          <w:color w:val="000000" w:themeColor="text1"/>
        </w:rPr>
      </w:pPr>
      <w:r w:rsidRPr="0021074C">
        <w:rPr>
          <w:color w:val="000000" w:themeColor="text1"/>
        </w:rPr>
        <w:t>Leuven: Peeters</w:t>
      </w:r>
      <w:r>
        <w:rPr>
          <w:color w:val="000000" w:themeColor="text1"/>
        </w:rPr>
        <w:t xml:space="preserve">, </w:t>
      </w:r>
      <w:r w:rsidRPr="0021074C">
        <w:rPr>
          <w:color w:val="000000" w:themeColor="text1"/>
        </w:rPr>
        <w:t>2018.</w:t>
      </w:r>
    </w:p>
    <w:p w14:paraId="6B310ECC" w14:textId="48E7BE86" w:rsidR="00416C83" w:rsidRDefault="00416C83" w:rsidP="00412D77">
      <w:pPr>
        <w:tabs>
          <w:tab w:val="left" w:pos="5616"/>
        </w:tabs>
        <w:rPr>
          <w:color w:val="000000" w:themeColor="text1"/>
          <w:lang w:val="en-AU"/>
        </w:rPr>
      </w:pPr>
    </w:p>
    <w:p w14:paraId="5E1D9E7F" w14:textId="77777777" w:rsidR="00AE4F8B" w:rsidRDefault="00AE4F8B" w:rsidP="00AE4F8B">
      <w:pPr>
        <w:tabs>
          <w:tab w:val="left" w:pos="5616"/>
        </w:tabs>
        <w:rPr>
          <w:color w:val="000000" w:themeColor="text1"/>
        </w:rPr>
      </w:pPr>
      <w:r w:rsidRPr="00FB2D03">
        <w:rPr>
          <w:color w:val="000000" w:themeColor="text1"/>
          <w:lang w:val="en-AU"/>
        </w:rPr>
        <w:t>________.</w:t>
      </w:r>
      <w:r w:rsidRPr="00AE4F8B">
        <w:rPr>
          <w:color w:val="000000" w:themeColor="text1"/>
        </w:rPr>
        <w:t xml:space="preserve">"Towards an Anti-Supersessionist Theology: Race, Whiteness, and </w:t>
      </w:r>
    </w:p>
    <w:p w14:paraId="49CD8753" w14:textId="26C13BBE" w:rsidR="00AE4F8B" w:rsidRPr="00AE4F8B" w:rsidRDefault="00AE4F8B" w:rsidP="00ED0F6A">
      <w:pPr>
        <w:tabs>
          <w:tab w:val="left" w:pos="5616"/>
        </w:tabs>
        <w:ind w:left="720"/>
        <w:rPr>
          <w:color w:val="000000" w:themeColor="text1"/>
        </w:rPr>
      </w:pPr>
      <w:r w:rsidRPr="00AE4F8B">
        <w:rPr>
          <w:color w:val="000000" w:themeColor="text1"/>
        </w:rPr>
        <w:t>Covenant."</w:t>
      </w:r>
      <w:r w:rsidRPr="00AE4F8B">
        <w:rPr>
          <w:i/>
          <w:iCs/>
          <w:color w:val="000000" w:themeColor="text1"/>
        </w:rPr>
        <w:t> Religions</w:t>
      </w:r>
      <w:r w:rsidRPr="00AE4F8B">
        <w:rPr>
          <w:color w:val="000000" w:themeColor="text1"/>
        </w:rPr>
        <w:t> 13</w:t>
      </w:r>
      <w:r>
        <w:rPr>
          <w:color w:val="000000" w:themeColor="text1"/>
        </w:rPr>
        <w:t xml:space="preserve"> (2022)</w:t>
      </w:r>
      <w:r w:rsidRPr="00AE4F8B">
        <w:rPr>
          <w:color w:val="000000" w:themeColor="text1"/>
        </w:rPr>
        <w:t xml:space="preserve">: 129, </w:t>
      </w:r>
    </w:p>
    <w:p w14:paraId="7D85023A" w14:textId="77777777" w:rsidR="00AE4F8B" w:rsidRPr="00FB2D03" w:rsidRDefault="00AE4F8B" w:rsidP="00412D77">
      <w:pPr>
        <w:tabs>
          <w:tab w:val="left" w:pos="5616"/>
        </w:tabs>
        <w:rPr>
          <w:color w:val="000000" w:themeColor="text1"/>
          <w:lang w:val="en-AU"/>
        </w:rPr>
      </w:pPr>
    </w:p>
    <w:p w14:paraId="7DD1684D" w14:textId="6334AC0E" w:rsidR="00416C83" w:rsidRPr="00FB2D03" w:rsidRDefault="00412D77" w:rsidP="00412D77">
      <w:pPr>
        <w:tabs>
          <w:tab w:val="left" w:pos="5616"/>
        </w:tabs>
        <w:rPr>
          <w:i/>
          <w:color w:val="000000" w:themeColor="text1"/>
          <w:lang w:val="en-AU"/>
        </w:rPr>
      </w:pPr>
      <w:r w:rsidRPr="00FB2D03">
        <w:rPr>
          <w:color w:val="000000" w:themeColor="text1"/>
          <w:lang w:val="en-AU"/>
        </w:rPr>
        <w:t xml:space="preserve">Jewish Publication Society. </w:t>
      </w:r>
      <w:r w:rsidRPr="00FB2D03">
        <w:rPr>
          <w:i/>
          <w:color w:val="000000" w:themeColor="text1"/>
          <w:lang w:val="en-AU"/>
        </w:rPr>
        <w:t xml:space="preserve">[Tanakh] = JPS Hebrew-English Tanakh: the traditional </w:t>
      </w:r>
    </w:p>
    <w:p w14:paraId="3E45963F" w14:textId="3A738C12" w:rsidR="00412D77" w:rsidRPr="00FB2D03" w:rsidRDefault="00412D77" w:rsidP="00AD1181">
      <w:pPr>
        <w:tabs>
          <w:tab w:val="left" w:pos="5616"/>
        </w:tabs>
        <w:ind w:left="720"/>
        <w:rPr>
          <w:color w:val="000000" w:themeColor="text1"/>
          <w:lang w:val="en-AU"/>
        </w:rPr>
      </w:pPr>
      <w:r w:rsidRPr="00FB2D03">
        <w:rPr>
          <w:i/>
          <w:color w:val="000000" w:themeColor="text1"/>
          <w:lang w:val="en-AU"/>
        </w:rPr>
        <w:t>Hebrew text and the new JPS translation--second edition</w:t>
      </w:r>
      <w:r w:rsidRPr="00FB2D03">
        <w:rPr>
          <w:color w:val="000000" w:themeColor="text1"/>
          <w:lang w:val="en-AU"/>
        </w:rPr>
        <w:t>. Philadelphia: Jewish Publication Society, 1999.</w:t>
      </w:r>
    </w:p>
    <w:p w14:paraId="0EA1D2B2" w14:textId="77777777" w:rsidR="00412D77" w:rsidRPr="00FB2D03" w:rsidRDefault="00412D77" w:rsidP="00412D77">
      <w:pPr>
        <w:tabs>
          <w:tab w:val="left" w:pos="5616"/>
        </w:tabs>
        <w:rPr>
          <w:color w:val="000000" w:themeColor="text1"/>
          <w:lang w:val="en-AU"/>
        </w:rPr>
      </w:pPr>
    </w:p>
    <w:p w14:paraId="3AD1DF57"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Judge, Peter J. “Violence and Nonviolence in the Sermon on the Mount: Jesus’ Call for </w:t>
      </w:r>
    </w:p>
    <w:p w14:paraId="711CA80A" w14:textId="4358A57F" w:rsidR="00412D77" w:rsidRPr="00FB2D03" w:rsidRDefault="00412D77" w:rsidP="00AD1181">
      <w:pPr>
        <w:tabs>
          <w:tab w:val="left" w:pos="5616"/>
        </w:tabs>
        <w:ind w:left="720"/>
        <w:rPr>
          <w:color w:val="000000" w:themeColor="text1"/>
          <w:lang w:val="en-AU"/>
        </w:rPr>
      </w:pPr>
      <w:r w:rsidRPr="00FB2D03">
        <w:rPr>
          <w:color w:val="000000" w:themeColor="text1"/>
          <w:lang w:val="en-AU"/>
        </w:rPr>
        <w:t>Attitude Adjustment.” </w:t>
      </w:r>
      <w:r w:rsidRPr="00FB2D03">
        <w:rPr>
          <w:i/>
          <w:color w:val="000000" w:themeColor="text1"/>
          <w:lang w:val="en-AU"/>
        </w:rPr>
        <w:t>The Bible Today</w:t>
      </w:r>
      <w:r w:rsidRPr="00FB2D03">
        <w:rPr>
          <w:color w:val="000000" w:themeColor="text1"/>
          <w:lang w:val="en-AU"/>
        </w:rPr>
        <w:t> 55 (2017): 13–19. </w:t>
      </w:r>
    </w:p>
    <w:p w14:paraId="73677C5E" w14:textId="77777777" w:rsidR="00412D77" w:rsidRPr="00FB2D03" w:rsidRDefault="00412D77" w:rsidP="00412D77">
      <w:pPr>
        <w:tabs>
          <w:tab w:val="left" w:pos="5616"/>
        </w:tabs>
        <w:rPr>
          <w:color w:val="000000" w:themeColor="text1"/>
          <w:lang w:val="en-AU"/>
        </w:rPr>
      </w:pPr>
    </w:p>
    <w:p w14:paraId="06875A59" w14:textId="77777777" w:rsidR="00E42DAB" w:rsidRPr="00FB2D03" w:rsidRDefault="00412D77" w:rsidP="00412D77">
      <w:pPr>
        <w:tabs>
          <w:tab w:val="left" w:pos="5616"/>
        </w:tabs>
        <w:rPr>
          <w:i/>
          <w:color w:val="000000" w:themeColor="text1"/>
          <w:lang w:val="en-AU"/>
        </w:rPr>
      </w:pPr>
      <w:r w:rsidRPr="00FB2D03">
        <w:rPr>
          <w:color w:val="000000" w:themeColor="text1"/>
          <w:lang w:val="en-AU"/>
        </w:rPr>
        <w:t xml:space="preserve">Juergensmeyer, Mark. </w:t>
      </w:r>
      <w:r w:rsidRPr="00FB2D03">
        <w:rPr>
          <w:i/>
          <w:color w:val="000000" w:themeColor="text1"/>
          <w:lang w:val="en-AU"/>
        </w:rPr>
        <w:t xml:space="preserve">Terror in the Mind of God: The Global Rise of Religious Violence. </w:t>
      </w:r>
    </w:p>
    <w:p w14:paraId="641B2259" w14:textId="0A6958FB"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Berkeley: University of California Press, 2003. </w:t>
      </w:r>
    </w:p>
    <w:p w14:paraId="0001A872" w14:textId="77777777" w:rsidR="00412D77" w:rsidRPr="00FB2D03" w:rsidRDefault="00412D77" w:rsidP="00412D77">
      <w:pPr>
        <w:tabs>
          <w:tab w:val="left" w:pos="5616"/>
        </w:tabs>
        <w:rPr>
          <w:color w:val="000000" w:themeColor="text1"/>
          <w:lang w:val="en-AU"/>
        </w:rPr>
      </w:pPr>
    </w:p>
    <w:p w14:paraId="7A5D2BAD" w14:textId="77777777" w:rsidR="00E42DAB" w:rsidRPr="00FB2D03" w:rsidRDefault="00412D77" w:rsidP="00412D77">
      <w:pPr>
        <w:tabs>
          <w:tab w:val="left" w:pos="5616"/>
        </w:tabs>
        <w:rPr>
          <w:i/>
          <w:color w:val="000000" w:themeColor="text1"/>
          <w:lang w:val="en-AU"/>
        </w:rPr>
      </w:pPr>
      <w:r w:rsidRPr="00FB2D03">
        <w:rPr>
          <w:color w:val="000000" w:themeColor="text1"/>
          <w:lang w:val="en-AU"/>
        </w:rPr>
        <w:t xml:space="preserve">Jülicher, A., W. Matzkow and K. Aland, eds. </w:t>
      </w:r>
      <w:r w:rsidRPr="00FB2D03">
        <w:rPr>
          <w:i/>
          <w:color w:val="000000" w:themeColor="text1"/>
          <w:lang w:val="en-AU"/>
        </w:rPr>
        <w:t xml:space="preserve">Itala. Das Neue Testament in altlateinischer </w:t>
      </w:r>
    </w:p>
    <w:p w14:paraId="5AA7D768" w14:textId="6DF56629" w:rsidR="00412D77" w:rsidRPr="00FB2D03" w:rsidRDefault="00412D77" w:rsidP="00AD1181">
      <w:pPr>
        <w:tabs>
          <w:tab w:val="left" w:pos="5616"/>
        </w:tabs>
        <w:ind w:left="720"/>
        <w:rPr>
          <w:color w:val="000000" w:themeColor="text1"/>
          <w:lang w:val="en-AU"/>
        </w:rPr>
      </w:pPr>
      <w:r w:rsidRPr="00FB2D03">
        <w:rPr>
          <w:i/>
          <w:color w:val="000000" w:themeColor="text1"/>
          <w:lang w:val="en-AU"/>
        </w:rPr>
        <w:t>Überlieferung. I. Matthäusevangelium</w:t>
      </w:r>
      <w:r w:rsidRPr="00FB2D03">
        <w:rPr>
          <w:color w:val="000000" w:themeColor="text1"/>
          <w:lang w:val="en-AU"/>
        </w:rPr>
        <w:t>. Berlin: W. de Gruyter, 1972.</w:t>
      </w:r>
    </w:p>
    <w:p w14:paraId="73FFA13F" w14:textId="77777777" w:rsidR="00412D77" w:rsidRPr="00FB2D03" w:rsidRDefault="00412D77" w:rsidP="00412D77">
      <w:pPr>
        <w:tabs>
          <w:tab w:val="left" w:pos="5616"/>
        </w:tabs>
        <w:rPr>
          <w:color w:val="000000" w:themeColor="text1"/>
          <w:lang w:val="en-AU"/>
        </w:rPr>
      </w:pPr>
    </w:p>
    <w:p w14:paraId="30D9EE3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Kaiser, Walter. </w:t>
      </w:r>
      <w:r w:rsidRPr="00FB2D03">
        <w:rPr>
          <w:i/>
          <w:color w:val="000000" w:themeColor="text1"/>
          <w:lang w:val="en-AU"/>
        </w:rPr>
        <w:t>The Messiah in the Old Testament</w:t>
      </w:r>
      <w:r w:rsidRPr="00FB2D03">
        <w:rPr>
          <w:color w:val="000000" w:themeColor="text1"/>
          <w:lang w:val="en-AU"/>
        </w:rPr>
        <w:t>. Grand Rapids: Zondervan, 1995.</w:t>
      </w:r>
    </w:p>
    <w:p w14:paraId="339579D8" w14:textId="77777777" w:rsidR="00412D77" w:rsidRPr="00FB2D03" w:rsidRDefault="00412D77" w:rsidP="00412D77">
      <w:pPr>
        <w:tabs>
          <w:tab w:val="left" w:pos="5616"/>
        </w:tabs>
        <w:rPr>
          <w:color w:val="000000" w:themeColor="text1"/>
          <w:lang w:val="en-AU"/>
        </w:rPr>
      </w:pPr>
    </w:p>
    <w:p w14:paraId="382AE454" w14:textId="77777777" w:rsidR="00E42DAB" w:rsidRPr="00FB2D03" w:rsidRDefault="00412D77" w:rsidP="00412D77">
      <w:pPr>
        <w:tabs>
          <w:tab w:val="left" w:pos="5616"/>
        </w:tabs>
        <w:rPr>
          <w:i/>
          <w:color w:val="000000" w:themeColor="text1"/>
          <w:lang w:val="en-AU"/>
        </w:rPr>
      </w:pPr>
      <w:r w:rsidRPr="00FB2D03">
        <w:rPr>
          <w:color w:val="000000" w:themeColor="text1"/>
          <w:lang w:val="en-AU"/>
        </w:rPr>
        <w:t xml:space="preserve">Kahana, Menahem. “The Halakhic Midrashim.” In </w:t>
      </w:r>
      <w:r w:rsidRPr="00FB2D03">
        <w:rPr>
          <w:i/>
          <w:color w:val="000000" w:themeColor="text1"/>
          <w:lang w:val="en-AU"/>
        </w:rPr>
        <w:t xml:space="preserve">Midrash and Targum, Liturgy, Poetry, </w:t>
      </w:r>
    </w:p>
    <w:p w14:paraId="08702B97" w14:textId="06103E18"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Mysticism, Contracts, Inscriptions, Ancient </w:t>
      </w:r>
      <w:proofErr w:type="gramStart"/>
      <w:r w:rsidRPr="00FB2D03">
        <w:rPr>
          <w:i/>
          <w:color w:val="000000" w:themeColor="text1"/>
          <w:lang w:val="en-AU"/>
        </w:rPr>
        <w:t>Science</w:t>
      </w:r>
      <w:proofErr w:type="gramEnd"/>
      <w:r w:rsidRPr="00FB2D03">
        <w:rPr>
          <w:i/>
          <w:color w:val="000000" w:themeColor="text1"/>
          <w:lang w:val="en-AU"/>
        </w:rPr>
        <w:t xml:space="preserve"> and the Languages of Rabbinic Literature</w:t>
      </w:r>
      <w:r w:rsidRPr="00FB2D03">
        <w:rPr>
          <w:color w:val="000000" w:themeColor="text1"/>
          <w:lang w:val="en-AU"/>
        </w:rPr>
        <w:t>. Philadelphia: Fortress, 2006.</w:t>
      </w:r>
    </w:p>
    <w:p w14:paraId="5244E458" w14:textId="77777777" w:rsidR="00412D77" w:rsidRPr="00FB2D03" w:rsidRDefault="00412D77" w:rsidP="00412D77">
      <w:pPr>
        <w:tabs>
          <w:tab w:val="left" w:pos="5616"/>
        </w:tabs>
        <w:rPr>
          <w:color w:val="000000" w:themeColor="text1"/>
          <w:lang w:val="en-AU"/>
        </w:rPr>
      </w:pPr>
    </w:p>
    <w:p w14:paraId="614F1350"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Kalmin, Richard L. “Between Rome and Mesopotamia: Josephus in Sasanian Persia.” </w:t>
      </w:r>
    </w:p>
    <w:p w14:paraId="37F8EF6B" w14:textId="44B7FC19" w:rsidR="00412D77" w:rsidRPr="00FB2D03" w:rsidRDefault="00412D77" w:rsidP="00AD1181">
      <w:pPr>
        <w:tabs>
          <w:tab w:val="left" w:pos="5616"/>
        </w:tabs>
        <w:ind w:left="720"/>
        <w:rPr>
          <w:color w:val="000000" w:themeColor="text1"/>
          <w:lang w:val="en-AU"/>
        </w:rPr>
      </w:pPr>
      <w:r w:rsidRPr="00FB2D03">
        <w:rPr>
          <w:color w:val="000000" w:themeColor="text1"/>
          <w:lang w:val="en-AU"/>
        </w:rPr>
        <w:t>In </w:t>
      </w:r>
      <w:r w:rsidRPr="00FB2D03">
        <w:rPr>
          <w:i/>
          <w:color w:val="000000" w:themeColor="text1"/>
          <w:lang w:val="en-AU"/>
        </w:rPr>
        <w:t>Ancient Judaism in Its Hellenistic Context</w:t>
      </w:r>
      <w:r w:rsidRPr="00FB2D03">
        <w:rPr>
          <w:color w:val="000000" w:themeColor="text1"/>
          <w:lang w:val="en-AU"/>
        </w:rPr>
        <w:t>, 205–42. Leiden, 2005. </w:t>
      </w:r>
    </w:p>
    <w:p w14:paraId="6405A17A" w14:textId="77777777" w:rsidR="00412D77" w:rsidRPr="00FB2D03" w:rsidRDefault="00412D77" w:rsidP="00412D77">
      <w:pPr>
        <w:tabs>
          <w:tab w:val="left" w:pos="5616"/>
        </w:tabs>
        <w:rPr>
          <w:color w:val="000000" w:themeColor="text1"/>
          <w:lang w:val="en-AU"/>
        </w:rPr>
      </w:pPr>
    </w:p>
    <w:p w14:paraId="3A9C9A77" w14:textId="77777777" w:rsidR="00E42DAB" w:rsidRPr="00FB2D03" w:rsidRDefault="00412D77" w:rsidP="00412D77">
      <w:pPr>
        <w:tabs>
          <w:tab w:val="left" w:pos="5616"/>
        </w:tabs>
        <w:rPr>
          <w:i/>
          <w:color w:val="000000" w:themeColor="text1"/>
          <w:lang w:val="en-AU"/>
        </w:rPr>
      </w:pPr>
      <w:r w:rsidRPr="00FB2D03">
        <w:rPr>
          <w:color w:val="000000" w:themeColor="text1"/>
          <w:lang w:val="en-AU"/>
        </w:rPr>
        <w:t>Kane-O’Donovan, Heather. “Class Relations during the Roman-Jewish War.”</w:t>
      </w:r>
      <w:r w:rsidRPr="00FB2D03">
        <w:rPr>
          <w:i/>
          <w:color w:val="000000" w:themeColor="text1"/>
          <w:lang w:val="en-AU"/>
        </w:rPr>
        <w:t xml:space="preserve"> Journal of </w:t>
      </w:r>
    </w:p>
    <w:p w14:paraId="4710BBB5" w14:textId="69AD5B83" w:rsidR="00412D77" w:rsidRPr="00FB2D03" w:rsidRDefault="00412D77" w:rsidP="00AD1181">
      <w:pPr>
        <w:tabs>
          <w:tab w:val="left" w:pos="5616"/>
        </w:tabs>
        <w:ind w:left="720"/>
        <w:rPr>
          <w:color w:val="000000" w:themeColor="text1"/>
          <w:lang w:val="en-AU"/>
        </w:rPr>
      </w:pPr>
      <w:r w:rsidRPr="00FB2D03">
        <w:rPr>
          <w:i/>
          <w:color w:val="000000" w:themeColor="text1"/>
          <w:lang w:val="en-AU"/>
        </w:rPr>
        <w:t>Theta Alpha Kappa</w:t>
      </w:r>
      <w:r w:rsidRPr="00FB2D03">
        <w:rPr>
          <w:color w:val="000000" w:themeColor="text1"/>
          <w:lang w:val="en-AU"/>
        </w:rPr>
        <w:t> 25 (2001): 29–46.</w:t>
      </w:r>
    </w:p>
    <w:p w14:paraId="67FDE84B" w14:textId="77777777" w:rsidR="00412D77" w:rsidRPr="00FB2D03" w:rsidRDefault="00412D77" w:rsidP="00412D77">
      <w:pPr>
        <w:tabs>
          <w:tab w:val="left" w:pos="5616"/>
        </w:tabs>
        <w:rPr>
          <w:color w:val="000000" w:themeColor="text1"/>
          <w:lang w:val="en-AU"/>
        </w:rPr>
      </w:pPr>
    </w:p>
    <w:p w14:paraId="05D18ADC"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Katz, Hayah. “‘He Shall Bathe in Water; Then He Shall Be Pure’: Ancient Immersion </w:t>
      </w:r>
    </w:p>
    <w:p w14:paraId="12C56169" w14:textId="44B2436D" w:rsidR="00412D77" w:rsidRPr="00FB2D03" w:rsidRDefault="00412D77" w:rsidP="00AD1181">
      <w:pPr>
        <w:tabs>
          <w:tab w:val="left" w:pos="5616"/>
        </w:tabs>
        <w:ind w:left="720"/>
        <w:rPr>
          <w:color w:val="000000" w:themeColor="text1"/>
          <w:lang w:val="en-AU"/>
        </w:rPr>
      </w:pPr>
      <w:r w:rsidRPr="00FB2D03">
        <w:rPr>
          <w:color w:val="000000" w:themeColor="text1"/>
          <w:lang w:val="en-AU"/>
        </w:rPr>
        <w:t>Practice in the Light of Archaeological Evidence.” </w:t>
      </w:r>
      <w:r w:rsidRPr="00FB2D03">
        <w:rPr>
          <w:i/>
          <w:color w:val="000000" w:themeColor="text1"/>
          <w:lang w:val="en-AU"/>
        </w:rPr>
        <w:t>Vetus Testamentum</w:t>
      </w:r>
      <w:r w:rsidRPr="00FB2D03">
        <w:rPr>
          <w:color w:val="000000" w:themeColor="text1"/>
          <w:lang w:val="en-AU"/>
        </w:rPr>
        <w:t> 62 (2012): 369–80.</w:t>
      </w:r>
    </w:p>
    <w:p w14:paraId="3936BCA8" w14:textId="77777777" w:rsidR="00412D77" w:rsidRPr="00FB2D03" w:rsidRDefault="00412D77" w:rsidP="00412D77">
      <w:pPr>
        <w:tabs>
          <w:tab w:val="left" w:pos="5616"/>
        </w:tabs>
        <w:rPr>
          <w:color w:val="000000" w:themeColor="text1"/>
          <w:lang w:val="en-AU"/>
        </w:rPr>
      </w:pPr>
    </w:p>
    <w:p w14:paraId="1F40DB46"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Kaufmann, Yehezkel. </w:t>
      </w:r>
      <w:r w:rsidRPr="00FB2D03">
        <w:rPr>
          <w:i/>
          <w:color w:val="000000" w:themeColor="text1"/>
          <w:lang w:val="en-AU"/>
        </w:rPr>
        <w:t>Toledot ha–’emunah ha–yisra’elit</w:t>
      </w:r>
      <w:r w:rsidRPr="00FB2D03">
        <w:rPr>
          <w:color w:val="000000" w:themeColor="text1"/>
          <w:lang w:val="en-AU"/>
        </w:rPr>
        <w:t xml:space="preserve">. Jerusalem: Bialik Institute, 1955, </w:t>
      </w:r>
    </w:p>
    <w:p w14:paraId="03F045C3" w14:textId="0BBE5148" w:rsidR="00412D77" w:rsidRPr="00FB2D03" w:rsidRDefault="00412D77" w:rsidP="00AD1181">
      <w:pPr>
        <w:tabs>
          <w:tab w:val="left" w:pos="5616"/>
        </w:tabs>
        <w:ind w:left="720"/>
        <w:rPr>
          <w:color w:val="000000" w:themeColor="text1"/>
          <w:lang w:val="en-AU"/>
        </w:rPr>
      </w:pPr>
      <w:r w:rsidRPr="00FB2D03">
        <w:rPr>
          <w:color w:val="000000" w:themeColor="text1"/>
          <w:lang w:val="en-AU"/>
        </w:rPr>
        <w:t>4:378–403.</w:t>
      </w:r>
    </w:p>
    <w:p w14:paraId="33B0FD51" w14:textId="77777777" w:rsidR="00412D77" w:rsidRPr="00FB2D03" w:rsidRDefault="00412D77" w:rsidP="00412D77">
      <w:pPr>
        <w:tabs>
          <w:tab w:val="left" w:pos="5616"/>
        </w:tabs>
        <w:rPr>
          <w:color w:val="000000" w:themeColor="text1"/>
          <w:lang w:val="en-AU"/>
        </w:rPr>
      </w:pPr>
    </w:p>
    <w:p w14:paraId="27F2DE1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Kelle, Brad. </w:t>
      </w:r>
      <w:r w:rsidRPr="00FB2D03">
        <w:rPr>
          <w:i/>
          <w:color w:val="000000" w:themeColor="text1"/>
          <w:lang w:val="en-AU"/>
        </w:rPr>
        <w:t>Osprey Guide to Ancient Israel at War 853–586</w:t>
      </w:r>
      <w:r w:rsidRPr="00FB2D03">
        <w:rPr>
          <w:color w:val="000000" w:themeColor="text1"/>
          <w:lang w:val="en-AU"/>
        </w:rPr>
        <w:t xml:space="preserve"> </w:t>
      </w:r>
      <w:r w:rsidRPr="00FB2D03">
        <w:rPr>
          <w:i/>
          <w:color w:val="000000" w:themeColor="text1"/>
          <w:lang w:val="en-AU"/>
        </w:rPr>
        <w:t>BC</w:t>
      </w:r>
      <w:r w:rsidRPr="00FB2D03">
        <w:rPr>
          <w:color w:val="000000" w:themeColor="text1"/>
          <w:lang w:val="en-AU"/>
        </w:rPr>
        <w:t>. Oxford: Osprey, 2014.</w:t>
      </w:r>
    </w:p>
    <w:p w14:paraId="2B3F3E79" w14:textId="77777777" w:rsidR="00412D77" w:rsidRPr="00FB2D03" w:rsidRDefault="00412D77" w:rsidP="00412D77">
      <w:pPr>
        <w:tabs>
          <w:tab w:val="left" w:pos="5616"/>
        </w:tabs>
        <w:rPr>
          <w:color w:val="000000" w:themeColor="text1"/>
          <w:lang w:val="en-AU"/>
        </w:rPr>
      </w:pPr>
    </w:p>
    <w:p w14:paraId="004DB826" w14:textId="77777777" w:rsidR="00E42DAB" w:rsidRPr="00FB2D03" w:rsidRDefault="00412D77" w:rsidP="00412D77">
      <w:pPr>
        <w:tabs>
          <w:tab w:val="left" w:pos="5616"/>
        </w:tabs>
        <w:rPr>
          <w:color w:val="000000" w:themeColor="text1"/>
          <w:lang w:val="en-AU"/>
        </w:rPr>
      </w:pPr>
      <w:r w:rsidRPr="00FB2D03">
        <w:rPr>
          <w:color w:val="000000" w:themeColor="text1"/>
          <w:lang w:val="en-AU"/>
        </w:rPr>
        <w:t xml:space="preserve">Keener, Craig S. </w:t>
      </w:r>
      <w:r w:rsidRPr="00FB2D03">
        <w:rPr>
          <w:i/>
          <w:color w:val="000000" w:themeColor="text1"/>
          <w:lang w:val="en-AU"/>
        </w:rPr>
        <w:t>The Gospel of Matthew: A Socio–Rhetorical Commentary</w:t>
      </w:r>
      <w:r w:rsidRPr="00FB2D03">
        <w:rPr>
          <w:color w:val="000000" w:themeColor="text1"/>
          <w:lang w:val="en-AU"/>
        </w:rPr>
        <w:t xml:space="preserve">. Grand Rapids: </w:t>
      </w:r>
    </w:p>
    <w:p w14:paraId="344C762F" w14:textId="2E369DBA" w:rsidR="00412D77" w:rsidRPr="00FB2D03" w:rsidRDefault="00412D77" w:rsidP="00AD1181">
      <w:pPr>
        <w:tabs>
          <w:tab w:val="left" w:pos="5616"/>
        </w:tabs>
        <w:ind w:left="720"/>
        <w:rPr>
          <w:color w:val="000000" w:themeColor="text1"/>
          <w:lang w:val="en-AU"/>
        </w:rPr>
      </w:pPr>
      <w:r w:rsidRPr="00FB2D03">
        <w:rPr>
          <w:color w:val="000000" w:themeColor="text1"/>
          <w:lang w:val="en-AU"/>
        </w:rPr>
        <w:t>Eerdmans, 2009.</w:t>
      </w:r>
    </w:p>
    <w:p w14:paraId="745EB4D3" w14:textId="77777777" w:rsidR="00412D77" w:rsidRPr="00FB2D03" w:rsidRDefault="00412D77" w:rsidP="00412D77">
      <w:pPr>
        <w:tabs>
          <w:tab w:val="left" w:pos="5616"/>
        </w:tabs>
        <w:rPr>
          <w:color w:val="000000" w:themeColor="text1"/>
          <w:lang w:val="en-AU"/>
        </w:rPr>
      </w:pPr>
    </w:p>
    <w:p w14:paraId="704BF4F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A Commentary on the Gospel of Matthew</w:t>
      </w:r>
      <w:r w:rsidRPr="00FB2D03">
        <w:rPr>
          <w:color w:val="000000" w:themeColor="text1"/>
          <w:lang w:val="en-AU"/>
        </w:rPr>
        <w:t>. Grand Rapids: Eerdmans, 1999.</w:t>
      </w:r>
    </w:p>
    <w:p w14:paraId="2D02954F" w14:textId="77777777" w:rsidR="00412D77" w:rsidRPr="00FB2D03" w:rsidRDefault="00412D77" w:rsidP="00412D77">
      <w:pPr>
        <w:tabs>
          <w:tab w:val="left" w:pos="5616"/>
        </w:tabs>
        <w:rPr>
          <w:color w:val="000000" w:themeColor="text1"/>
          <w:lang w:val="en-AU"/>
        </w:rPr>
      </w:pPr>
    </w:p>
    <w:p w14:paraId="4301A77D" w14:textId="77777777" w:rsidR="00E42DAB" w:rsidRPr="00FB2D03" w:rsidRDefault="00412D77" w:rsidP="00412D77">
      <w:pPr>
        <w:tabs>
          <w:tab w:val="left" w:pos="5616"/>
        </w:tabs>
        <w:rPr>
          <w:i/>
          <w:color w:val="000000" w:themeColor="text1"/>
          <w:lang w:val="en-AU"/>
        </w:rPr>
      </w:pPr>
      <w:r w:rsidRPr="00FB2D03">
        <w:rPr>
          <w:color w:val="000000" w:themeColor="text1"/>
          <w:lang w:val="en-AU"/>
        </w:rPr>
        <w:t>Kelley, Shawn. “Genocide, the Bible, and Biblical Scholarship.” </w:t>
      </w:r>
      <w:r w:rsidRPr="00FB2D03">
        <w:rPr>
          <w:i/>
          <w:color w:val="000000" w:themeColor="text1"/>
          <w:lang w:val="en-AU"/>
        </w:rPr>
        <w:t xml:space="preserve">Brill Research Perspectives </w:t>
      </w:r>
    </w:p>
    <w:p w14:paraId="5726B3DE" w14:textId="1FA61F0B" w:rsidR="00412D77" w:rsidRPr="00FB2D03" w:rsidRDefault="00412D77" w:rsidP="00AD1181">
      <w:pPr>
        <w:tabs>
          <w:tab w:val="left" w:pos="5616"/>
        </w:tabs>
        <w:ind w:left="720"/>
        <w:rPr>
          <w:color w:val="000000" w:themeColor="text1"/>
          <w:lang w:val="en-AU"/>
        </w:rPr>
      </w:pPr>
      <w:r w:rsidRPr="00FB2D03">
        <w:rPr>
          <w:i/>
          <w:color w:val="000000" w:themeColor="text1"/>
          <w:lang w:val="en-AU"/>
        </w:rPr>
        <w:t>in Biblical Interpretation</w:t>
      </w:r>
      <w:r w:rsidRPr="00FB2D03">
        <w:rPr>
          <w:color w:val="000000" w:themeColor="text1"/>
          <w:lang w:val="en-AU"/>
        </w:rPr>
        <w:t> 1 (2016): 1–71.</w:t>
      </w:r>
    </w:p>
    <w:p w14:paraId="02CF2006" w14:textId="77777777" w:rsidR="00412D77" w:rsidRPr="00FB2D03" w:rsidRDefault="00412D77" w:rsidP="00412D77">
      <w:pPr>
        <w:tabs>
          <w:tab w:val="left" w:pos="5616"/>
        </w:tabs>
        <w:rPr>
          <w:color w:val="000000" w:themeColor="text1"/>
          <w:lang w:val="en-AU"/>
        </w:rPr>
      </w:pPr>
    </w:p>
    <w:p w14:paraId="33BD96A2"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Kelly, Henry Ansgar. “Love of Neighbor as Great Commandment in the Time of Jesus: </w:t>
      </w:r>
    </w:p>
    <w:p w14:paraId="5F0C2785" w14:textId="63E7192C" w:rsidR="00412D77" w:rsidRPr="00FB2D03" w:rsidRDefault="00412D77" w:rsidP="00AD1181">
      <w:pPr>
        <w:tabs>
          <w:tab w:val="left" w:pos="5616"/>
        </w:tabs>
        <w:ind w:left="720"/>
        <w:rPr>
          <w:color w:val="000000" w:themeColor="text1"/>
          <w:lang w:val="en-AU"/>
        </w:rPr>
      </w:pPr>
      <w:r w:rsidRPr="00FB2D03">
        <w:rPr>
          <w:color w:val="000000" w:themeColor="text1"/>
          <w:lang w:val="en-AU"/>
        </w:rPr>
        <w:t>Grasping at Straws in the Hebrew Scriptures.” </w:t>
      </w:r>
      <w:r w:rsidRPr="00FB2D03">
        <w:rPr>
          <w:i/>
          <w:color w:val="000000" w:themeColor="text1"/>
          <w:lang w:val="en-AU"/>
        </w:rPr>
        <w:t>Journal of the Evangelical Theological Society</w:t>
      </w:r>
      <w:r w:rsidRPr="00FB2D03">
        <w:rPr>
          <w:color w:val="000000" w:themeColor="text1"/>
          <w:lang w:val="en-AU"/>
        </w:rPr>
        <w:t> 60 (2017): 265–81.</w:t>
      </w:r>
    </w:p>
    <w:p w14:paraId="70551300" w14:textId="77777777" w:rsidR="00412D77" w:rsidRPr="00FB2D03" w:rsidRDefault="00412D77" w:rsidP="00412D77">
      <w:pPr>
        <w:tabs>
          <w:tab w:val="left" w:pos="5616"/>
        </w:tabs>
        <w:rPr>
          <w:color w:val="000000" w:themeColor="text1"/>
          <w:lang w:val="en-AU"/>
        </w:rPr>
      </w:pPr>
    </w:p>
    <w:p w14:paraId="48496811"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Kennedy, Duncan. </w:t>
      </w:r>
      <w:r w:rsidRPr="00FB2D03">
        <w:rPr>
          <w:i/>
          <w:color w:val="000000" w:themeColor="text1"/>
          <w:lang w:val="en-AU"/>
        </w:rPr>
        <w:t>A Critique of Adjudication (Fin De Siecle).</w:t>
      </w:r>
      <w:r w:rsidRPr="00FB2D03">
        <w:rPr>
          <w:color w:val="000000" w:themeColor="text1"/>
          <w:lang w:val="en-AU"/>
        </w:rPr>
        <w:t xml:space="preserve"> Cambridge: Harvard </w:t>
      </w:r>
    </w:p>
    <w:p w14:paraId="0AC6D73F" w14:textId="2C8D6ADD" w:rsidR="00412D77" w:rsidRPr="00FB2D03" w:rsidRDefault="00412D77" w:rsidP="00AD1181">
      <w:pPr>
        <w:tabs>
          <w:tab w:val="left" w:pos="5616"/>
        </w:tabs>
        <w:ind w:left="720"/>
        <w:rPr>
          <w:color w:val="000000" w:themeColor="text1"/>
          <w:lang w:val="en-AU"/>
        </w:rPr>
      </w:pPr>
      <w:r w:rsidRPr="00FB2D03">
        <w:rPr>
          <w:color w:val="000000" w:themeColor="text1"/>
          <w:lang w:val="en-AU"/>
        </w:rPr>
        <w:t>University Press, 1997.</w:t>
      </w:r>
    </w:p>
    <w:p w14:paraId="093C4343" w14:textId="77777777" w:rsidR="00412D77" w:rsidRPr="00FB2D03" w:rsidRDefault="00412D77" w:rsidP="00412D77">
      <w:pPr>
        <w:tabs>
          <w:tab w:val="left" w:pos="5616"/>
        </w:tabs>
        <w:rPr>
          <w:color w:val="000000" w:themeColor="text1"/>
          <w:lang w:val="en-AU"/>
        </w:rPr>
      </w:pPr>
    </w:p>
    <w:p w14:paraId="67ED1DBB" w14:textId="4D7BCA2B" w:rsidR="00412D77" w:rsidRPr="00FB2D03" w:rsidRDefault="00412D77" w:rsidP="00416C83">
      <w:pPr>
        <w:tabs>
          <w:tab w:val="left" w:pos="5616"/>
        </w:tabs>
        <w:rPr>
          <w:color w:val="000000" w:themeColor="text1"/>
          <w:lang w:val="en-AU"/>
        </w:rPr>
      </w:pPr>
      <w:r w:rsidRPr="00FB2D03">
        <w:rPr>
          <w:color w:val="000000" w:themeColor="text1"/>
          <w:lang w:val="en-AU"/>
        </w:rPr>
        <w:t xml:space="preserve">Keppie, L. J. F. “Vexilla Veteranorum.” </w:t>
      </w:r>
      <w:r w:rsidRPr="00FB2D03">
        <w:rPr>
          <w:i/>
          <w:color w:val="000000" w:themeColor="text1"/>
          <w:lang w:val="en-AU"/>
        </w:rPr>
        <w:t xml:space="preserve">Papers at the British School at Rome </w:t>
      </w:r>
      <w:r w:rsidRPr="00FB2D03">
        <w:rPr>
          <w:color w:val="000000" w:themeColor="text1"/>
          <w:lang w:val="en-AU"/>
        </w:rPr>
        <w:t>(1973): 8–17.</w:t>
      </w:r>
    </w:p>
    <w:p w14:paraId="0E9A7836" w14:textId="77777777" w:rsidR="00412D77" w:rsidRPr="00FB2D03" w:rsidRDefault="00412D77" w:rsidP="00412D77">
      <w:pPr>
        <w:tabs>
          <w:tab w:val="left" w:pos="5616"/>
        </w:tabs>
        <w:rPr>
          <w:color w:val="000000" w:themeColor="text1"/>
          <w:lang w:val="en-AU"/>
        </w:rPr>
      </w:pPr>
    </w:p>
    <w:p w14:paraId="18DBAB5A"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King, Darwin L., Carl J. Case, and Jared L. Roosa. “The Comprehensive Taxation System </w:t>
      </w:r>
    </w:p>
    <w:p w14:paraId="57026AF6" w14:textId="05729C1D" w:rsidR="00412D77" w:rsidRPr="00FB2D03" w:rsidRDefault="00412D77" w:rsidP="00AD1181">
      <w:pPr>
        <w:tabs>
          <w:tab w:val="left" w:pos="5616"/>
        </w:tabs>
        <w:ind w:left="720"/>
        <w:rPr>
          <w:color w:val="000000" w:themeColor="text1"/>
          <w:lang w:val="en-AU"/>
        </w:rPr>
      </w:pPr>
      <w:r w:rsidRPr="00FB2D03">
        <w:rPr>
          <w:color w:val="000000" w:themeColor="text1"/>
          <w:lang w:val="en-AU"/>
        </w:rPr>
        <w:t>Existing during the Roman Empire.” </w:t>
      </w:r>
      <w:r w:rsidRPr="00FB2D03">
        <w:rPr>
          <w:i/>
          <w:color w:val="000000" w:themeColor="text1"/>
          <w:lang w:val="en-AU"/>
        </w:rPr>
        <w:t>Journal of Business &amp; Accounting</w:t>
      </w:r>
      <w:r w:rsidRPr="00FB2D03">
        <w:rPr>
          <w:color w:val="000000" w:themeColor="text1"/>
          <w:lang w:val="en-AU"/>
        </w:rPr>
        <w:t> 12 (2019): 64–78.</w:t>
      </w:r>
    </w:p>
    <w:p w14:paraId="12CE33D1" w14:textId="77777777" w:rsidR="00412D77" w:rsidRPr="00FB2D03" w:rsidRDefault="00412D77" w:rsidP="00412D77">
      <w:pPr>
        <w:tabs>
          <w:tab w:val="left" w:pos="5616"/>
        </w:tabs>
        <w:rPr>
          <w:color w:val="000000" w:themeColor="text1"/>
          <w:lang w:val="en-AU"/>
        </w:rPr>
      </w:pPr>
    </w:p>
    <w:p w14:paraId="215B034C"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Kister, Menachem. “Observations on Aspects of Exegesis, Tradition, and Theology in </w:t>
      </w:r>
    </w:p>
    <w:p w14:paraId="0BA6813E" w14:textId="3B9A38F3"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Midrash, Pseudepigrapha, and Other Jewish Writing.” </w:t>
      </w:r>
      <w:r w:rsidRPr="00FB2D03">
        <w:rPr>
          <w:i/>
          <w:color w:val="000000" w:themeColor="text1"/>
          <w:lang w:val="en-AU"/>
        </w:rPr>
        <w:t>Jewish Pseudepigrapha</w:t>
      </w:r>
      <w:r w:rsidRPr="00FB2D03">
        <w:rPr>
          <w:color w:val="000000" w:themeColor="text1"/>
          <w:lang w:val="en-AU"/>
        </w:rPr>
        <w:t xml:space="preserve">. Georgia: </w:t>
      </w:r>
      <w:r w:rsidRPr="00FB2D03">
        <w:rPr>
          <w:i/>
          <w:color w:val="000000" w:themeColor="text1"/>
          <w:lang w:val="en-AU"/>
        </w:rPr>
        <w:t>Jewish Journal</w:t>
      </w:r>
      <w:r w:rsidRPr="00FB2D03">
        <w:rPr>
          <w:color w:val="000000" w:themeColor="text1"/>
          <w:lang w:val="en-AU"/>
        </w:rPr>
        <w:t>, 1994, 1–34.</w:t>
      </w:r>
    </w:p>
    <w:p w14:paraId="0DB8D05D" w14:textId="77777777" w:rsidR="00412D77" w:rsidRPr="00FB2D03" w:rsidRDefault="00412D77" w:rsidP="00412D77">
      <w:pPr>
        <w:tabs>
          <w:tab w:val="left" w:pos="5616"/>
        </w:tabs>
        <w:rPr>
          <w:color w:val="000000" w:themeColor="text1"/>
          <w:lang w:val="en-AU"/>
        </w:rPr>
      </w:pPr>
    </w:p>
    <w:p w14:paraId="061E330A"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Kennedy, Duncan </w:t>
      </w:r>
      <w:r w:rsidRPr="00FB2D03">
        <w:rPr>
          <w:i/>
          <w:color w:val="000000" w:themeColor="text1"/>
          <w:lang w:val="en-AU"/>
        </w:rPr>
        <w:t>A Critique of Adjudication</w:t>
      </w:r>
      <w:r w:rsidRPr="00FB2D03">
        <w:rPr>
          <w:color w:val="000000" w:themeColor="text1"/>
          <w:lang w:val="en-AU"/>
        </w:rPr>
        <w:t>. Cambridge: Harvard University Press, 1997.</w:t>
      </w:r>
    </w:p>
    <w:p w14:paraId="4F98C366" w14:textId="77777777" w:rsidR="00412D77" w:rsidRPr="00FB2D03" w:rsidRDefault="00412D77" w:rsidP="00412D77">
      <w:pPr>
        <w:tabs>
          <w:tab w:val="left" w:pos="5616"/>
        </w:tabs>
        <w:rPr>
          <w:color w:val="000000" w:themeColor="text1"/>
          <w:lang w:val="en-AU"/>
        </w:rPr>
      </w:pPr>
    </w:p>
    <w:p w14:paraId="7ADA97B2" w14:textId="77777777" w:rsidR="00416C83" w:rsidRPr="00FB2D03" w:rsidRDefault="00412D77" w:rsidP="00412D77">
      <w:pPr>
        <w:tabs>
          <w:tab w:val="left" w:pos="5616"/>
        </w:tabs>
        <w:rPr>
          <w:color w:val="000000" w:themeColor="text1"/>
          <w:lang w:val="en-AU"/>
        </w:rPr>
      </w:pPr>
      <w:r w:rsidRPr="00FB2D03">
        <w:rPr>
          <w:color w:val="000000" w:themeColor="text1"/>
          <w:lang w:val="en-AU"/>
        </w:rPr>
        <w:t>Kennedy, George A. </w:t>
      </w:r>
      <w:r w:rsidRPr="00FB2D03">
        <w:rPr>
          <w:i/>
          <w:color w:val="000000" w:themeColor="text1"/>
          <w:lang w:val="en-AU"/>
        </w:rPr>
        <w:t>New Testament Interpretation Through Rhetorical Criticism</w:t>
      </w:r>
      <w:r w:rsidRPr="00FB2D03">
        <w:rPr>
          <w:color w:val="000000" w:themeColor="text1"/>
          <w:lang w:val="en-AU"/>
        </w:rPr>
        <w:t xml:space="preserve">. Chapel </w:t>
      </w:r>
    </w:p>
    <w:p w14:paraId="328D05CF" w14:textId="220D7F55" w:rsidR="00412D77" w:rsidRPr="00FB2D03" w:rsidRDefault="00412D77" w:rsidP="00AD1181">
      <w:pPr>
        <w:tabs>
          <w:tab w:val="left" w:pos="5616"/>
        </w:tabs>
        <w:ind w:left="720"/>
        <w:rPr>
          <w:color w:val="000000" w:themeColor="text1"/>
          <w:lang w:val="en-AU"/>
        </w:rPr>
      </w:pPr>
      <w:r w:rsidRPr="00FB2D03">
        <w:rPr>
          <w:color w:val="000000" w:themeColor="text1"/>
          <w:lang w:val="en-AU"/>
        </w:rPr>
        <w:t>Hill: The University of North Carolina Press, 2014.</w:t>
      </w:r>
    </w:p>
    <w:p w14:paraId="6724A34C" w14:textId="77777777" w:rsidR="00412D77" w:rsidRPr="00FB2D03" w:rsidRDefault="00412D77" w:rsidP="00412D77">
      <w:pPr>
        <w:tabs>
          <w:tab w:val="left" w:pos="5616"/>
        </w:tabs>
        <w:rPr>
          <w:color w:val="000000" w:themeColor="text1"/>
          <w:lang w:val="en-AU"/>
        </w:rPr>
      </w:pPr>
    </w:p>
    <w:p w14:paraId="1903571C"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Kim, Dong-Hyuk. “‘The Messiah of Aaron and Israel’: Do We See Single or Double?”24 </w:t>
      </w:r>
    </w:p>
    <w:p w14:paraId="0399974B" w14:textId="0DC9FD33" w:rsidR="00412D77" w:rsidRPr="00FB2D03" w:rsidRDefault="00412D77" w:rsidP="00AD1181">
      <w:pPr>
        <w:tabs>
          <w:tab w:val="left" w:pos="5616"/>
        </w:tabs>
        <w:ind w:left="720"/>
        <w:rPr>
          <w:color w:val="000000" w:themeColor="text1"/>
          <w:lang w:val="en-AU"/>
        </w:rPr>
      </w:pPr>
      <w:r w:rsidRPr="00FB2D03">
        <w:rPr>
          <w:color w:val="000000" w:themeColor="text1"/>
          <w:lang w:val="en-AU"/>
        </w:rPr>
        <w:t>(2018): 190–213. </w:t>
      </w:r>
    </w:p>
    <w:p w14:paraId="364DD550" w14:textId="77777777" w:rsidR="00412D77" w:rsidRPr="00FB2D03" w:rsidRDefault="00412D77" w:rsidP="00412D77">
      <w:pPr>
        <w:tabs>
          <w:tab w:val="left" w:pos="5616"/>
        </w:tabs>
        <w:rPr>
          <w:color w:val="000000" w:themeColor="text1"/>
          <w:lang w:val="en-AU"/>
        </w:rPr>
      </w:pPr>
    </w:p>
    <w:p w14:paraId="1BA1C3B7"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Klingbeil, Martin. </w:t>
      </w:r>
      <w:r w:rsidRPr="00FB2D03">
        <w:rPr>
          <w:i/>
          <w:color w:val="000000" w:themeColor="text1"/>
          <w:lang w:val="en-AU"/>
        </w:rPr>
        <w:t xml:space="preserve">Yahweh Fighting from Heaven: God as Warrior and as God of Heaven in </w:t>
      </w:r>
    </w:p>
    <w:p w14:paraId="62FD3953" w14:textId="7383A019" w:rsidR="00412D77" w:rsidRPr="00FB2D03" w:rsidRDefault="00412D77" w:rsidP="00AD1181">
      <w:pPr>
        <w:tabs>
          <w:tab w:val="left" w:pos="5616"/>
        </w:tabs>
        <w:ind w:left="720"/>
        <w:rPr>
          <w:color w:val="000000" w:themeColor="text1"/>
          <w:lang w:val="en-AU"/>
        </w:rPr>
      </w:pPr>
      <w:r w:rsidRPr="00FB2D03">
        <w:rPr>
          <w:i/>
          <w:color w:val="000000" w:themeColor="text1"/>
          <w:lang w:val="en-AU"/>
        </w:rPr>
        <w:t>the Hebrew Psalter and Ancient Near Eastern Iconography</w:t>
      </w:r>
      <w:r w:rsidRPr="00FB2D03">
        <w:rPr>
          <w:color w:val="000000" w:themeColor="text1"/>
          <w:lang w:val="en-AU"/>
        </w:rPr>
        <w:t>. Göttingen: Vandenhoeck &amp; Ruprecht, 1999.</w:t>
      </w:r>
    </w:p>
    <w:p w14:paraId="278D0822" w14:textId="77777777" w:rsidR="00412D77" w:rsidRPr="00FB2D03" w:rsidRDefault="00412D77" w:rsidP="00412D77">
      <w:pPr>
        <w:tabs>
          <w:tab w:val="left" w:pos="5616"/>
        </w:tabs>
        <w:rPr>
          <w:color w:val="000000" w:themeColor="text1"/>
          <w:lang w:val="en-AU"/>
        </w:rPr>
      </w:pPr>
    </w:p>
    <w:p w14:paraId="535AFB7B"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Kohler, Kaufmann. </w:t>
      </w:r>
      <w:r w:rsidRPr="00FB2D03">
        <w:rPr>
          <w:i/>
          <w:color w:val="000000" w:themeColor="text1"/>
          <w:lang w:val="en-AU"/>
        </w:rPr>
        <w:t>The Origins of the Synagogue and the Church</w:t>
      </w:r>
      <w:r w:rsidRPr="00FB2D03">
        <w:rPr>
          <w:color w:val="000000" w:themeColor="text1"/>
          <w:lang w:val="en-AU"/>
        </w:rPr>
        <w:t xml:space="preserve">. New York: Macmillan, </w:t>
      </w:r>
    </w:p>
    <w:p w14:paraId="687DD82A" w14:textId="13F2595D" w:rsidR="00412D77" w:rsidRPr="00FB2D03" w:rsidRDefault="00412D77" w:rsidP="00AD1181">
      <w:pPr>
        <w:tabs>
          <w:tab w:val="left" w:pos="5616"/>
        </w:tabs>
        <w:ind w:left="720"/>
        <w:rPr>
          <w:color w:val="000000" w:themeColor="text1"/>
          <w:lang w:val="en-AU"/>
        </w:rPr>
      </w:pPr>
      <w:r w:rsidRPr="00FB2D03">
        <w:rPr>
          <w:color w:val="000000" w:themeColor="text1"/>
          <w:lang w:val="en-AU"/>
        </w:rPr>
        <w:t>1929.</w:t>
      </w:r>
    </w:p>
    <w:p w14:paraId="3EDABEF7" w14:textId="77777777" w:rsidR="00412D77" w:rsidRPr="00FB2D03" w:rsidRDefault="00412D77" w:rsidP="00412D77">
      <w:pPr>
        <w:tabs>
          <w:tab w:val="left" w:pos="5616"/>
        </w:tabs>
        <w:rPr>
          <w:color w:val="000000" w:themeColor="text1"/>
          <w:lang w:val="en-AU"/>
        </w:rPr>
      </w:pPr>
    </w:p>
    <w:p w14:paraId="366395A4"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Kokkinia, Christina. “Freed Slaves and Roman Aristocratic Values.” </w:t>
      </w:r>
      <w:r w:rsidRPr="00FB2D03">
        <w:rPr>
          <w:i/>
          <w:color w:val="000000" w:themeColor="text1"/>
          <w:lang w:val="en-AU"/>
        </w:rPr>
        <w:t xml:space="preserve">The Classical </w:t>
      </w:r>
    </w:p>
    <w:p w14:paraId="68DCDF4C" w14:textId="692B1F7B" w:rsidR="00412D77" w:rsidRPr="00FB2D03" w:rsidRDefault="00412D77" w:rsidP="00AD1181">
      <w:pPr>
        <w:tabs>
          <w:tab w:val="left" w:pos="5616"/>
        </w:tabs>
        <w:ind w:left="720"/>
        <w:rPr>
          <w:color w:val="000000" w:themeColor="text1"/>
          <w:lang w:val="en-AU"/>
        </w:rPr>
      </w:pPr>
      <w:r w:rsidRPr="00FB2D03">
        <w:rPr>
          <w:i/>
          <w:color w:val="000000" w:themeColor="text1"/>
          <w:lang w:val="en-AU"/>
        </w:rPr>
        <w:t>Review</w:t>
      </w:r>
      <w:r w:rsidRPr="00FB2D03">
        <w:rPr>
          <w:color w:val="000000" w:themeColor="text1"/>
          <w:lang w:val="en-AU"/>
        </w:rPr>
        <w:t> 69 (2018): 238–240.</w:t>
      </w:r>
    </w:p>
    <w:p w14:paraId="7C6F5114" w14:textId="77777777" w:rsidR="00412D77" w:rsidRPr="00FB2D03" w:rsidRDefault="00412D77" w:rsidP="00412D77">
      <w:pPr>
        <w:tabs>
          <w:tab w:val="left" w:pos="5616"/>
        </w:tabs>
        <w:rPr>
          <w:color w:val="000000" w:themeColor="text1"/>
          <w:lang w:val="en-AU"/>
        </w:rPr>
      </w:pPr>
    </w:p>
    <w:p w14:paraId="7349932B" w14:textId="3641ED11" w:rsidR="00412D77" w:rsidRPr="00FB2D03" w:rsidRDefault="01B55689" w:rsidP="01B55689">
      <w:pPr>
        <w:tabs>
          <w:tab w:val="left" w:pos="5616"/>
        </w:tabs>
        <w:rPr>
          <w:color w:val="000000" w:themeColor="text1"/>
          <w:lang w:val="en-AU"/>
        </w:rPr>
      </w:pPr>
      <w:r w:rsidRPr="00FB2D03">
        <w:rPr>
          <w:color w:val="000000" w:themeColor="text1"/>
          <w:lang w:val="en-AU"/>
        </w:rPr>
        <w:t xml:space="preserve">Konradt, Matthias. “Die Sendung Zu Israel Und Zu Den Völkern im Matthäusevangelium </w:t>
      </w:r>
    </w:p>
    <w:p w14:paraId="558670BD" w14:textId="4711D36A" w:rsidR="00412D77" w:rsidRPr="00FB2D03" w:rsidRDefault="01B55689" w:rsidP="00AD1181">
      <w:pPr>
        <w:tabs>
          <w:tab w:val="left" w:pos="5616"/>
        </w:tabs>
        <w:ind w:left="720"/>
        <w:rPr>
          <w:color w:val="000000" w:themeColor="text1"/>
          <w:lang w:val="en-AU"/>
        </w:rPr>
      </w:pPr>
      <w:r w:rsidRPr="00FB2D03">
        <w:rPr>
          <w:color w:val="000000" w:themeColor="text1"/>
          <w:lang w:val="en-AU"/>
        </w:rPr>
        <w:t>im Lichte Seiner Narrativen Christologie.” </w:t>
      </w:r>
      <w:r w:rsidRPr="00FB2D03">
        <w:rPr>
          <w:i/>
          <w:iCs/>
          <w:color w:val="000000" w:themeColor="text1"/>
          <w:lang w:val="en-AU"/>
        </w:rPr>
        <w:t xml:space="preserve">Zeitschrift für Theologie und Kirche </w:t>
      </w:r>
      <w:r w:rsidRPr="00FB2D03">
        <w:rPr>
          <w:color w:val="000000" w:themeColor="text1"/>
          <w:lang w:val="en-AU"/>
        </w:rPr>
        <w:t>101 (2018): 397.</w:t>
      </w:r>
    </w:p>
    <w:p w14:paraId="219FE1E5" w14:textId="77777777" w:rsidR="00412D77" w:rsidRPr="00FB2D03" w:rsidRDefault="00412D77" w:rsidP="01B55689">
      <w:pPr>
        <w:tabs>
          <w:tab w:val="left" w:pos="5616"/>
        </w:tabs>
        <w:ind w:left="720"/>
        <w:rPr>
          <w:color w:val="000000" w:themeColor="text1"/>
          <w:lang w:val="en-AU"/>
        </w:rPr>
      </w:pPr>
    </w:p>
    <w:p w14:paraId="1B078D1D"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Koplowitz-Breier, Anat. “‘Turn It over and </w:t>
      </w:r>
      <w:proofErr w:type="gramStart"/>
      <w:r w:rsidRPr="00FB2D03">
        <w:rPr>
          <w:color w:val="000000" w:themeColor="text1"/>
          <w:lang w:val="en-AU"/>
        </w:rPr>
        <w:t>Over</w:t>
      </w:r>
      <w:proofErr w:type="gramEnd"/>
      <w:r w:rsidRPr="00FB2D03">
        <w:rPr>
          <w:color w:val="000000" w:themeColor="text1"/>
          <w:lang w:val="en-AU"/>
        </w:rPr>
        <w:t xml:space="preserve">’ (Avot 5:22): American Jewish Women’s </w:t>
      </w:r>
    </w:p>
    <w:p w14:paraId="0DA9E2DD" w14:textId="4C635D85" w:rsidR="00412D77" w:rsidRPr="00FB2D03" w:rsidRDefault="00412D77" w:rsidP="00AD1181">
      <w:pPr>
        <w:tabs>
          <w:tab w:val="left" w:pos="5616"/>
        </w:tabs>
        <w:ind w:left="720"/>
        <w:rPr>
          <w:color w:val="000000" w:themeColor="text1"/>
          <w:lang w:val="en-AU"/>
        </w:rPr>
      </w:pPr>
      <w:r w:rsidRPr="00FB2D03">
        <w:rPr>
          <w:color w:val="000000" w:themeColor="text1"/>
          <w:lang w:val="en-AU"/>
        </w:rPr>
        <w:t>Poetry on Lot’s Wife.” </w:t>
      </w:r>
      <w:r w:rsidRPr="00FB2D03">
        <w:rPr>
          <w:i/>
          <w:color w:val="000000" w:themeColor="text1"/>
          <w:lang w:val="en-AU"/>
        </w:rPr>
        <w:t>Literature and Theology</w:t>
      </w:r>
      <w:r w:rsidRPr="00FB2D03">
        <w:rPr>
          <w:color w:val="000000" w:themeColor="text1"/>
          <w:lang w:val="en-AU"/>
        </w:rPr>
        <w:t> 34 (2020): 206–27. </w:t>
      </w:r>
    </w:p>
    <w:p w14:paraId="4970F580" w14:textId="77777777" w:rsidR="00412D77" w:rsidRPr="00FB2D03" w:rsidRDefault="00412D77" w:rsidP="00412D77">
      <w:pPr>
        <w:tabs>
          <w:tab w:val="left" w:pos="5616"/>
        </w:tabs>
        <w:rPr>
          <w:color w:val="000000" w:themeColor="text1"/>
          <w:lang w:val="en-AU"/>
        </w:rPr>
      </w:pPr>
    </w:p>
    <w:p w14:paraId="0D8718B4"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Koromvokis, Panos. “1915: Ο Εθνικός Διχασμός by George Th. Mavrogordatos” </w:t>
      </w:r>
    </w:p>
    <w:p w14:paraId="12CB65C5" w14:textId="08F356B8" w:rsidR="00412D77" w:rsidRPr="00FB2D03" w:rsidRDefault="00412D77" w:rsidP="00AD1181">
      <w:pPr>
        <w:tabs>
          <w:tab w:val="left" w:pos="5616"/>
        </w:tabs>
        <w:ind w:left="720"/>
        <w:rPr>
          <w:color w:val="000000" w:themeColor="text1"/>
          <w:lang w:val="en-AU"/>
        </w:rPr>
      </w:pPr>
      <w:r w:rsidRPr="00FB2D03">
        <w:rPr>
          <w:color w:val="000000" w:themeColor="text1"/>
          <w:lang w:val="en-AU"/>
        </w:rPr>
        <w:t>37 (2019): 199–201.</w:t>
      </w:r>
    </w:p>
    <w:p w14:paraId="200BE8C5" w14:textId="77777777" w:rsidR="00412D77" w:rsidRPr="00FB2D03" w:rsidRDefault="00412D77" w:rsidP="00412D77">
      <w:pPr>
        <w:tabs>
          <w:tab w:val="left" w:pos="5616"/>
        </w:tabs>
        <w:rPr>
          <w:color w:val="000000" w:themeColor="text1"/>
          <w:lang w:val="en-AU"/>
        </w:rPr>
      </w:pPr>
    </w:p>
    <w:p w14:paraId="36EFD2AE" w14:textId="106DF955" w:rsidR="00412D77" w:rsidRPr="00FB2D03" w:rsidRDefault="01B55689" w:rsidP="01B55689">
      <w:pPr>
        <w:tabs>
          <w:tab w:val="left" w:pos="5616"/>
        </w:tabs>
        <w:rPr>
          <w:color w:val="000000" w:themeColor="text1"/>
          <w:lang w:val="en-AU"/>
        </w:rPr>
      </w:pPr>
      <w:r w:rsidRPr="00FB2D03">
        <w:rPr>
          <w:color w:val="000000" w:themeColor="text1"/>
          <w:lang w:val="en-AU"/>
        </w:rPr>
        <w:t xml:space="preserve">Koscheski, Jonathan. “The Earliest Christian War: Second and Third Century Martyrdom </w:t>
      </w:r>
    </w:p>
    <w:p w14:paraId="03ED9BDF" w14:textId="6CCCF914" w:rsidR="00412D77" w:rsidRPr="00FB2D03" w:rsidRDefault="01B55689" w:rsidP="01B55689">
      <w:pPr>
        <w:tabs>
          <w:tab w:val="left" w:pos="5616"/>
        </w:tabs>
        <w:ind w:left="720"/>
        <w:rPr>
          <w:color w:val="000000" w:themeColor="text1"/>
          <w:lang w:val="en-AU"/>
        </w:rPr>
      </w:pPr>
      <w:r w:rsidRPr="00FB2D03">
        <w:rPr>
          <w:color w:val="000000" w:themeColor="text1"/>
          <w:lang w:val="en-AU"/>
        </w:rPr>
        <w:t xml:space="preserve">and the Creation of Cosmic Warriors.” </w:t>
      </w:r>
      <w:r w:rsidRPr="00FB2D03">
        <w:rPr>
          <w:i/>
          <w:iCs/>
          <w:color w:val="000000" w:themeColor="text1"/>
          <w:lang w:val="en-AU"/>
        </w:rPr>
        <w:t>Journal of Religious Ethics</w:t>
      </w:r>
      <w:r w:rsidRPr="00FB2D03">
        <w:rPr>
          <w:color w:val="000000" w:themeColor="text1"/>
          <w:lang w:val="en-AU"/>
        </w:rPr>
        <w:t xml:space="preserve"> 39 (2011): 100–124.</w:t>
      </w:r>
    </w:p>
    <w:p w14:paraId="4D81665E" w14:textId="77777777" w:rsidR="00412D77" w:rsidRPr="00FB2D03" w:rsidRDefault="00412D77" w:rsidP="00412D77">
      <w:pPr>
        <w:tabs>
          <w:tab w:val="left" w:pos="5616"/>
        </w:tabs>
        <w:rPr>
          <w:color w:val="000000" w:themeColor="text1"/>
          <w:lang w:val="en-AU"/>
        </w:rPr>
      </w:pPr>
    </w:p>
    <w:p w14:paraId="366BBF8E" w14:textId="77777777" w:rsidR="00416C83" w:rsidRPr="00FB2D03" w:rsidRDefault="00412D77" w:rsidP="00412D77">
      <w:pPr>
        <w:tabs>
          <w:tab w:val="left" w:pos="5616"/>
        </w:tabs>
        <w:rPr>
          <w:color w:val="000000" w:themeColor="text1"/>
          <w:lang w:val="en-AU"/>
        </w:rPr>
      </w:pPr>
      <w:r w:rsidRPr="00FB2D03">
        <w:rPr>
          <w:color w:val="000000" w:themeColor="text1"/>
          <w:lang w:val="en-AU"/>
        </w:rPr>
        <w:t>Kosky, Jeffrey L. </w:t>
      </w:r>
      <w:r w:rsidRPr="00FB2D03">
        <w:rPr>
          <w:i/>
          <w:color w:val="000000" w:themeColor="text1"/>
          <w:lang w:val="en-AU"/>
        </w:rPr>
        <w:t>Levinas and the Philosophy of Religion</w:t>
      </w:r>
      <w:r w:rsidRPr="00FB2D03">
        <w:rPr>
          <w:color w:val="000000" w:themeColor="text1"/>
          <w:lang w:val="en-AU"/>
        </w:rPr>
        <w:t xml:space="preserve">. Bloomington: Indiana University </w:t>
      </w:r>
    </w:p>
    <w:p w14:paraId="7841125D" w14:textId="1588A698" w:rsidR="00412D77" w:rsidRPr="00FB2D03" w:rsidRDefault="00412D77" w:rsidP="00AD1181">
      <w:pPr>
        <w:tabs>
          <w:tab w:val="left" w:pos="5616"/>
        </w:tabs>
        <w:ind w:left="720"/>
        <w:rPr>
          <w:color w:val="000000" w:themeColor="text1"/>
          <w:lang w:val="en-AU"/>
        </w:rPr>
      </w:pPr>
      <w:r w:rsidRPr="00FB2D03">
        <w:rPr>
          <w:color w:val="000000" w:themeColor="text1"/>
          <w:lang w:val="en-AU"/>
        </w:rPr>
        <w:t>Press, 2001.</w:t>
      </w:r>
    </w:p>
    <w:p w14:paraId="736A8167" w14:textId="77777777" w:rsidR="00412D77" w:rsidRPr="00FB2D03" w:rsidRDefault="00412D77" w:rsidP="00412D77">
      <w:pPr>
        <w:tabs>
          <w:tab w:val="left" w:pos="5616"/>
        </w:tabs>
        <w:rPr>
          <w:color w:val="000000" w:themeColor="text1"/>
          <w:lang w:val="en-AU"/>
        </w:rPr>
      </w:pPr>
    </w:p>
    <w:p w14:paraId="57F343E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Kraemer, David. </w:t>
      </w:r>
      <w:r w:rsidRPr="00FB2D03">
        <w:rPr>
          <w:i/>
          <w:color w:val="000000" w:themeColor="text1"/>
          <w:lang w:val="en-AU"/>
        </w:rPr>
        <w:t>The Mind of the Talmud</w:t>
      </w:r>
      <w:r w:rsidRPr="00FB2D03">
        <w:rPr>
          <w:color w:val="000000" w:themeColor="text1"/>
          <w:lang w:val="en-AU"/>
        </w:rPr>
        <w:t xml:space="preserve">. Oxford: Oxford University Press, 1990. </w:t>
      </w:r>
    </w:p>
    <w:p w14:paraId="2A81D083" w14:textId="77777777" w:rsidR="00412D77" w:rsidRPr="00FB2D03" w:rsidRDefault="00412D77" w:rsidP="00412D77">
      <w:pPr>
        <w:tabs>
          <w:tab w:val="left" w:pos="5616"/>
        </w:tabs>
        <w:rPr>
          <w:color w:val="000000" w:themeColor="text1"/>
          <w:lang w:val="en-AU"/>
        </w:rPr>
      </w:pPr>
    </w:p>
    <w:p w14:paraId="5128FD44"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Kratz, Rheinhard G. </w:t>
      </w:r>
      <w:r w:rsidRPr="00FB2D03">
        <w:rPr>
          <w:i/>
          <w:color w:val="000000" w:themeColor="text1"/>
          <w:lang w:val="en-AU"/>
        </w:rPr>
        <w:t>Kyros im Deuterojesaja–Buch</w:t>
      </w:r>
      <w:r w:rsidRPr="00FB2D03">
        <w:rPr>
          <w:color w:val="000000" w:themeColor="text1"/>
          <w:lang w:val="en-AU"/>
        </w:rPr>
        <w:t>. Tübingen: Mohr, 1991.</w:t>
      </w:r>
    </w:p>
    <w:p w14:paraId="2C890514" w14:textId="77777777" w:rsidR="00412D77" w:rsidRPr="00FB2D03" w:rsidRDefault="00412D77" w:rsidP="00412D77">
      <w:pPr>
        <w:tabs>
          <w:tab w:val="left" w:pos="5616"/>
        </w:tabs>
        <w:rPr>
          <w:color w:val="000000" w:themeColor="text1"/>
          <w:lang w:val="en-AU"/>
        </w:rPr>
      </w:pPr>
    </w:p>
    <w:p w14:paraId="1F948EE8"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Kravitz, Leonard, and Kerry Olitzky. </w:t>
      </w:r>
      <w:r w:rsidRPr="00FB2D03">
        <w:rPr>
          <w:i/>
          <w:color w:val="000000" w:themeColor="text1"/>
          <w:lang w:val="en-AU"/>
        </w:rPr>
        <w:t>Pirkei Avot</w:t>
      </w:r>
      <w:r w:rsidRPr="00FB2D03">
        <w:rPr>
          <w:color w:val="000000" w:themeColor="text1"/>
          <w:lang w:val="en-AU"/>
        </w:rPr>
        <w:t>. New York: UAHC, 1993.</w:t>
      </w:r>
    </w:p>
    <w:p w14:paraId="6404EC85" w14:textId="77777777" w:rsidR="00412D77" w:rsidRPr="00FB2D03" w:rsidRDefault="00412D77" w:rsidP="00412D77">
      <w:pPr>
        <w:tabs>
          <w:tab w:val="left" w:pos="5616"/>
        </w:tabs>
        <w:rPr>
          <w:color w:val="000000" w:themeColor="text1"/>
          <w:lang w:val="en-AU"/>
        </w:rPr>
      </w:pPr>
    </w:p>
    <w:p w14:paraId="5D398B12" w14:textId="77777777" w:rsidR="00416C83" w:rsidRPr="00FB2D03" w:rsidRDefault="00412D77" w:rsidP="00412D77">
      <w:pPr>
        <w:tabs>
          <w:tab w:val="left" w:pos="5616"/>
        </w:tabs>
        <w:rPr>
          <w:color w:val="000000" w:themeColor="text1"/>
          <w:lang w:val="en-AU"/>
        </w:rPr>
      </w:pPr>
      <w:r w:rsidRPr="00FB2D03">
        <w:rPr>
          <w:color w:val="000000" w:themeColor="text1"/>
          <w:lang w:val="en-AU"/>
        </w:rPr>
        <w:t>Kugelmass, Harvey J. </w:t>
      </w:r>
      <w:r w:rsidRPr="00FB2D03">
        <w:rPr>
          <w:i/>
          <w:color w:val="000000" w:themeColor="text1"/>
          <w:lang w:val="en-AU"/>
        </w:rPr>
        <w:t>Lex Talionis in the Old Testament</w:t>
      </w:r>
      <w:r w:rsidRPr="00FB2D03">
        <w:rPr>
          <w:color w:val="000000" w:themeColor="text1"/>
          <w:lang w:val="en-AU"/>
        </w:rPr>
        <w:t xml:space="preserve">. Ann Arbor: University Microfilms </w:t>
      </w:r>
    </w:p>
    <w:p w14:paraId="2BF2A8DF" w14:textId="53C8E657" w:rsidR="00412D77" w:rsidRPr="00FB2D03" w:rsidRDefault="00412D77" w:rsidP="00AD1181">
      <w:pPr>
        <w:tabs>
          <w:tab w:val="left" w:pos="5616"/>
        </w:tabs>
        <w:ind w:left="720"/>
        <w:rPr>
          <w:color w:val="000000" w:themeColor="text1"/>
          <w:lang w:val="en-AU"/>
        </w:rPr>
      </w:pPr>
      <w:r w:rsidRPr="00FB2D03">
        <w:rPr>
          <w:color w:val="000000" w:themeColor="text1"/>
          <w:lang w:val="en-AU"/>
        </w:rPr>
        <w:t>International, 1985.</w:t>
      </w:r>
    </w:p>
    <w:p w14:paraId="174544D6" w14:textId="77777777" w:rsidR="00412D77" w:rsidRPr="00FB2D03" w:rsidRDefault="00412D77" w:rsidP="00412D77">
      <w:pPr>
        <w:tabs>
          <w:tab w:val="left" w:pos="5616"/>
        </w:tabs>
        <w:rPr>
          <w:color w:val="000000" w:themeColor="text1"/>
          <w:lang w:val="en-AU"/>
        </w:rPr>
      </w:pPr>
    </w:p>
    <w:p w14:paraId="5969DE34"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Kusio, Mateusz. “Apocalypse on the Mount: The Relationship Between Matthew 5:18 and </w:t>
      </w:r>
    </w:p>
    <w:p w14:paraId="576E86B4" w14:textId="4A0FC0F2" w:rsidR="00412D77" w:rsidRPr="00FB2D03" w:rsidRDefault="00412D77" w:rsidP="00AD1181">
      <w:pPr>
        <w:tabs>
          <w:tab w:val="left" w:pos="5616"/>
        </w:tabs>
        <w:ind w:left="720"/>
        <w:rPr>
          <w:color w:val="000000" w:themeColor="text1"/>
          <w:lang w:val="en-AU"/>
        </w:rPr>
      </w:pPr>
      <w:r w:rsidRPr="00FB2D03">
        <w:rPr>
          <w:color w:val="000000" w:themeColor="text1"/>
          <w:lang w:val="en-AU"/>
        </w:rPr>
        <w:t>27:45, 51b.” </w:t>
      </w:r>
      <w:r w:rsidRPr="00FB2D03">
        <w:rPr>
          <w:i/>
          <w:color w:val="000000" w:themeColor="text1"/>
          <w:lang w:val="en-AU"/>
        </w:rPr>
        <w:t>The Biblical Annals</w:t>
      </w:r>
      <w:r w:rsidRPr="00FB2D03">
        <w:rPr>
          <w:color w:val="000000" w:themeColor="text1"/>
          <w:lang w:val="en-AU"/>
        </w:rPr>
        <w:t> 11 (2021): 79–97.</w:t>
      </w:r>
    </w:p>
    <w:p w14:paraId="463293BD" w14:textId="77777777" w:rsidR="00412D77" w:rsidRPr="00FB2D03" w:rsidRDefault="00412D77" w:rsidP="00412D77">
      <w:pPr>
        <w:tabs>
          <w:tab w:val="left" w:pos="5616"/>
        </w:tabs>
        <w:rPr>
          <w:color w:val="000000" w:themeColor="text1"/>
          <w:lang w:val="en-AU"/>
        </w:rPr>
      </w:pPr>
    </w:p>
    <w:p w14:paraId="37FC71BA"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Kvalbein, Hans. “Die Wunder Der Endzeit: Beobachtungen Zu 4Q521 Und Matth </w:t>
      </w:r>
    </w:p>
    <w:p w14:paraId="1D5A862A" w14:textId="262A188C" w:rsidR="00412D77" w:rsidRPr="00FB2D03" w:rsidRDefault="00412D77" w:rsidP="00AD1181">
      <w:pPr>
        <w:tabs>
          <w:tab w:val="left" w:pos="5616"/>
        </w:tabs>
        <w:ind w:left="720"/>
        <w:rPr>
          <w:color w:val="000000" w:themeColor="text1"/>
          <w:lang w:val="en-AU"/>
        </w:rPr>
      </w:pPr>
      <w:r w:rsidRPr="00FB2D03">
        <w:rPr>
          <w:color w:val="000000" w:themeColor="text1"/>
          <w:lang w:val="en-AU"/>
        </w:rPr>
        <w:t>11,5p.” </w:t>
      </w:r>
      <w:r w:rsidRPr="00FB2D03">
        <w:rPr>
          <w:i/>
          <w:color w:val="000000" w:themeColor="text1"/>
          <w:lang w:val="en-AU"/>
        </w:rPr>
        <w:t>Zeitschrift Für Die Neutestamentliche Wissenschaft Und Die Kunde Der Älteren Kirche</w:t>
      </w:r>
      <w:r w:rsidRPr="00FB2D03">
        <w:rPr>
          <w:color w:val="000000" w:themeColor="text1"/>
          <w:lang w:val="en-AU"/>
        </w:rPr>
        <w:t> 88 (1997): 111–25. </w:t>
      </w:r>
    </w:p>
    <w:p w14:paraId="34D9BE31" w14:textId="77777777" w:rsidR="00412D77" w:rsidRPr="00FB2D03" w:rsidRDefault="00412D77" w:rsidP="00412D77">
      <w:pPr>
        <w:tabs>
          <w:tab w:val="left" w:pos="5616"/>
        </w:tabs>
        <w:rPr>
          <w:color w:val="000000" w:themeColor="text1"/>
          <w:lang w:val="en-AU"/>
        </w:rPr>
      </w:pPr>
    </w:p>
    <w:p w14:paraId="36F5AE44"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Lachs, Samuel Tobias. </w:t>
      </w:r>
      <w:r w:rsidRPr="00FB2D03">
        <w:rPr>
          <w:i/>
          <w:color w:val="000000" w:themeColor="text1"/>
          <w:lang w:val="en-AU"/>
        </w:rPr>
        <w:t>A Rabbinic Commentary on the New Testament</w:t>
      </w:r>
      <w:r w:rsidRPr="00FB2D03">
        <w:rPr>
          <w:color w:val="000000" w:themeColor="text1"/>
          <w:lang w:val="en-AU"/>
        </w:rPr>
        <w:t xml:space="preserve">. Hoboken: KTAV, </w:t>
      </w:r>
    </w:p>
    <w:p w14:paraId="20623BD7" w14:textId="5EBDEB38" w:rsidR="00412D77" w:rsidRPr="00FB2D03" w:rsidRDefault="00412D77" w:rsidP="00AD1181">
      <w:pPr>
        <w:tabs>
          <w:tab w:val="left" w:pos="5616"/>
        </w:tabs>
        <w:ind w:left="720"/>
        <w:rPr>
          <w:color w:val="000000" w:themeColor="text1"/>
          <w:lang w:val="en-AU"/>
        </w:rPr>
      </w:pPr>
      <w:r w:rsidRPr="00FB2D03">
        <w:rPr>
          <w:color w:val="000000" w:themeColor="text1"/>
          <w:lang w:val="en-AU"/>
        </w:rPr>
        <w:t>1987.</w:t>
      </w:r>
    </w:p>
    <w:p w14:paraId="739E5901" w14:textId="77777777" w:rsidR="00412D77" w:rsidRPr="00FB2D03" w:rsidRDefault="00412D77" w:rsidP="00412D77">
      <w:pPr>
        <w:tabs>
          <w:tab w:val="left" w:pos="5616"/>
        </w:tabs>
        <w:rPr>
          <w:color w:val="000000" w:themeColor="text1"/>
          <w:lang w:val="en-AU"/>
        </w:rPr>
      </w:pPr>
    </w:p>
    <w:p w14:paraId="7CC2F7AD"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Lambert, D. A. </w:t>
      </w:r>
      <w:r w:rsidRPr="00FB2D03">
        <w:rPr>
          <w:i/>
          <w:color w:val="000000" w:themeColor="text1"/>
          <w:lang w:val="en-AU"/>
        </w:rPr>
        <w:t xml:space="preserve">Topics in the History of Repentance: From the Hebrew Bible to Early </w:t>
      </w:r>
    </w:p>
    <w:p w14:paraId="1CC97A85" w14:textId="29BE189D" w:rsidR="00412D77" w:rsidRPr="00FB2D03" w:rsidRDefault="00412D77" w:rsidP="00AD1181">
      <w:pPr>
        <w:tabs>
          <w:tab w:val="left" w:pos="5616"/>
        </w:tabs>
        <w:ind w:left="720"/>
        <w:rPr>
          <w:color w:val="000000" w:themeColor="text1"/>
          <w:lang w:val="en-AU"/>
        </w:rPr>
      </w:pPr>
      <w:r w:rsidRPr="00FB2D03">
        <w:rPr>
          <w:i/>
          <w:color w:val="000000" w:themeColor="text1"/>
          <w:lang w:val="en-AU"/>
        </w:rPr>
        <w:t>Judaism and Christianity.</w:t>
      </w:r>
      <w:r w:rsidRPr="00FB2D03">
        <w:rPr>
          <w:color w:val="000000" w:themeColor="text1"/>
          <w:lang w:val="en-AU"/>
        </w:rPr>
        <w:t xml:space="preserve"> Ph.D. diss., Harvard University, 2004.</w:t>
      </w:r>
    </w:p>
    <w:p w14:paraId="786DFD3B" w14:textId="77777777" w:rsidR="00412D77" w:rsidRPr="00FB2D03" w:rsidRDefault="00412D77" w:rsidP="00412D77">
      <w:pPr>
        <w:tabs>
          <w:tab w:val="left" w:pos="5616"/>
        </w:tabs>
        <w:rPr>
          <w:color w:val="000000" w:themeColor="text1"/>
          <w:lang w:val="en-AU"/>
        </w:rPr>
      </w:pPr>
    </w:p>
    <w:p w14:paraId="511F1476" w14:textId="77777777" w:rsidR="00416C83" w:rsidRPr="00FB2D03" w:rsidRDefault="00412D77" w:rsidP="00412D77">
      <w:pPr>
        <w:tabs>
          <w:tab w:val="left" w:pos="5616"/>
        </w:tabs>
        <w:rPr>
          <w:i/>
          <w:color w:val="000000" w:themeColor="text1"/>
          <w:lang w:val="en-AU"/>
        </w:rPr>
      </w:pPr>
      <w:r w:rsidRPr="00FB2D03">
        <w:rPr>
          <w:color w:val="000000" w:themeColor="text1"/>
          <w:lang w:val="en-AU"/>
        </w:rPr>
        <w:t>Lambert, Ian. “Introducing the Beatitudes: A Sermon Addressing Poverty of Spirit.” </w:t>
      </w:r>
      <w:r w:rsidRPr="00FB2D03">
        <w:rPr>
          <w:i/>
          <w:color w:val="000000" w:themeColor="text1"/>
          <w:lang w:val="en-AU"/>
        </w:rPr>
        <w:t xml:space="preserve">St </w:t>
      </w:r>
    </w:p>
    <w:p w14:paraId="2E98B420" w14:textId="33514DB6" w:rsidR="00412D77" w:rsidRPr="00FB2D03" w:rsidRDefault="00412D77" w:rsidP="00AD1181">
      <w:pPr>
        <w:tabs>
          <w:tab w:val="left" w:pos="5616"/>
        </w:tabs>
        <w:ind w:left="720"/>
        <w:rPr>
          <w:color w:val="000000" w:themeColor="text1"/>
          <w:lang w:val="en-AU"/>
        </w:rPr>
      </w:pPr>
      <w:r w:rsidRPr="00FB2D03">
        <w:rPr>
          <w:i/>
          <w:color w:val="000000" w:themeColor="text1"/>
          <w:lang w:val="en-AU"/>
        </w:rPr>
        <w:t>Mark’s Review</w:t>
      </w:r>
      <w:r w:rsidRPr="00FB2D03">
        <w:rPr>
          <w:color w:val="000000" w:themeColor="text1"/>
          <w:lang w:val="en-AU"/>
        </w:rPr>
        <w:t> 227 (2014): 41–45.</w:t>
      </w:r>
    </w:p>
    <w:p w14:paraId="3342F47C" w14:textId="77777777" w:rsidR="00412D77" w:rsidRPr="00FB2D03" w:rsidRDefault="00412D77" w:rsidP="00412D77">
      <w:pPr>
        <w:tabs>
          <w:tab w:val="left" w:pos="5616"/>
        </w:tabs>
        <w:rPr>
          <w:color w:val="000000" w:themeColor="text1"/>
          <w:lang w:val="en-AU"/>
        </w:rPr>
      </w:pPr>
    </w:p>
    <w:p w14:paraId="18763B68" w14:textId="77777777" w:rsidR="00416C83" w:rsidRPr="00FB2D03" w:rsidRDefault="00412D77" w:rsidP="00416C83">
      <w:pPr>
        <w:tabs>
          <w:tab w:val="left" w:pos="5616"/>
        </w:tabs>
        <w:rPr>
          <w:color w:val="000000" w:themeColor="text1"/>
          <w:lang w:val="en-AU"/>
        </w:rPr>
      </w:pPr>
      <w:r w:rsidRPr="00FB2D03">
        <w:rPr>
          <w:color w:val="000000" w:themeColor="text1"/>
          <w:lang w:val="en-AU"/>
        </w:rPr>
        <w:t xml:space="preserve">Lang, Roger Ewald Jr. “Those Who Heard </w:t>
      </w:r>
      <w:proofErr w:type="gramStart"/>
      <w:r w:rsidRPr="00FB2D03">
        <w:rPr>
          <w:color w:val="000000" w:themeColor="text1"/>
          <w:lang w:val="en-AU"/>
        </w:rPr>
        <w:t>it</w:t>
      </w:r>
      <w:proofErr w:type="gramEnd"/>
      <w:r w:rsidRPr="00FB2D03">
        <w:rPr>
          <w:color w:val="000000" w:themeColor="text1"/>
          <w:lang w:val="en-AU"/>
        </w:rPr>
        <w:t xml:space="preserve"> First: The Political Implications of the Sermon </w:t>
      </w:r>
    </w:p>
    <w:p w14:paraId="2AAA101D" w14:textId="1E009C3B"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on the Mount to Jesus’ Jewish Audience.” M.A. thesis, University of Waikato, Hamilton, New Zealand, 2013. </w:t>
      </w:r>
      <w:hyperlink r:id="rId16">
        <w:r w:rsidRPr="00FB2D03">
          <w:rPr>
            <w:rStyle w:val="Hyperlink"/>
            <w:lang w:val="en-AU"/>
          </w:rPr>
          <w:t>https://researchcommons.waikato.ac.nz/bitstream/handle/10289/8465/thesis.pdf?sequence=3&amp;isAllowed=y</w:t>
        </w:r>
      </w:hyperlink>
      <w:r w:rsidRPr="00FB2D03">
        <w:rPr>
          <w:color w:val="000000" w:themeColor="text1"/>
          <w:lang w:val="en-AU"/>
        </w:rPr>
        <w:t xml:space="preserve"> </w:t>
      </w:r>
    </w:p>
    <w:p w14:paraId="593904EC" w14:textId="77777777" w:rsidR="00412D77" w:rsidRPr="00FB2D03" w:rsidRDefault="00412D77" w:rsidP="00412D77">
      <w:pPr>
        <w:tabs>
          <w:tab w:val="left" w:pos="5616"/>
        </w:tabs>
        <w:rPr>
          <w:color w:val="000000" w:themeColor="text1"/>
          <w:lang w:val="en-AU"/>
        </w:rPr>
      </w:pPr>
    </w:p>
    <w:p w14:paraId="7B7EAA25"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LaSor, William Sanford. </w:t>
      </w:r>
      <w:r w:rsidRPr="00FB2D03">
        <w:rPr>
          <w:i/>
          <w:color w:val="000000" w:themeColor="text1"/>
          <w:lang w:val="en-AU"/>
        </w:rPr>
        <w:t>Dead Sea Scrolls</w:t>
      </w:r>
      <w:r w:rsidRPr="00FB2D03">
        <w:rPr>
          <w:color w:val="000000" w:themeColor="text1"/>
          <w:lang w:val="en-AU"/>
        </w:rPr>
        <w:t>. Grand Rapids: Eerdmans, 1972.</w:t>
      </w:r>
    </w:p>
    <w:p w14:paraId="45525A88" w14:textId="77777777" w:rsidR="00412D77" w:rsidRPr="00FB2D03" w:rsidRDefault="00412D77" w:rsidP="00412D77">
      <w:pPr>
        <w:tabs>
          <w:tab w:val="left" w:pos="5616"/>
        </w:tabs>
        <w:rPr>
          <w:color w:val="000000" w:themeColor="text1"/>
          <w:lang w:val="en-AU"/>
        </w:rPr>
      </w:pPr>
    </w:p>
    <w:p w14:paraId="6AD5D9BA"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Lapin, Hayim. </w:t>
      </w:r>
      <w:r w:rsidRPr="00FB2D03">
        <w:rPr>
          <w:i/>
          <w:color w:val="000000" w:themeColor="text1"/>
          <w:lang w:val="en-AU"/>
        </w:rPr>
        <w:t>Rabbis as Romans: The Rabbinic Movement in Palestine, 100–400 CE</w:t>
      </w:r>
      <w:r w:rsidRPr="00FB2D03">
        <w:rPr>
          <w:color w:val="000000" w:themeColor="text1"/>
          <w:lang w:val="en-AU"/>
        </w:rPr>
        <w:t xml:space="preserve">. </w:t>
      </w:r>
    </w:p>
    <w:p w14:paraId="0367EE73" w14:textId="2FC6707B" w:rsidR="00412D77" w:rsidRPr="00FB2D03" w:rsidRDefault="00412D77" w:rsidP="00AD1181">
      <w:pPr>
        <w:tabs>
          <w:tab w:val="left" w:pos="5616"/>
        </w:tabs>
        <w:ind w:left="720"/>
        <w:rPr>
          <w:color w:val="000000" w:themeColor="text1"/>
          <w:lang w:val="en-AU"/>
        </w:rPr>
      </w:pPr>
      <w:r w:rsidRPr="00FB2D03">
        <w:rPr>
          <w:color w:val="000000" w:themeColor="text1"/>
          <w:lang w:val="en-AU"/>
        </w:rPr>
        <w:t>Oxford: Oxford University Press, 2012.</w:t>
      </w:r>
    </w:p>
    <w:p w14:paraId="4533597D" w14:textId="77777777" w:rsidR="00412D77" w:rsidRPr="00FB2D03" w:rsidRDefault="00412D77" w:rsidP="00412D77">
      <w:pPr>
        <w:tabs>
          <w:tab w:val="left" w:pos="5616"/>
        </w:tabs>
        <w:rPr>
          <w:color w:val="000000" w:themeColor="text1"/>
          <w:lang w:val="en-AU"/>
        </w:rPr>
      </w:pPr>
    </w:p>
    <w:p w14:paraId="5DFCF496" w14:textId="77777777" w:rsidR="00412D77" w:rsidRPr="00FB2D03" w:rsidRDefault="00412D77" w:rsidP="00412D77">
      <w:pPr>
        <w:tabs>
          <w:tab w:val="left" w:pos="5616"/>
        </w:tabs>
        <w:rPr>
          <w:color w:val="000000" w:themeColor="text1"/>
          <w:lang w:val="en-AU"/>
        </w:rPr>
      </w:pPr>
      <w:r w:rsidRPr="00FB2D03">
        <w:rPr>
          <w:color w:val="000000" w:themeColor="text1"/>
          <w:lang w:val="en-AU"/>
        </w:rPr>
        <w:t>Larson, Erik W. “Dead Sea Scrolls.” </w:t>
      </w:r>
      <w:r w:rsidRPr="00FB2D03">
        <w:rPr>
          <w:i/>
          <w:color w:val="000000" w:themeColor="text1"/>
          <w:lang w:val="en-AU"/>
        </w:rPr>
        <w:t>Salem Press Encyclopedia</w:t>
      </w:r>
      <w:r w:rsidRPr="00FB2D03">
        <w:rPr>
          <w:color w:val="000000" w:themeColor="text1"/>
          <w:lang w:val="en-AU"/>
        </w:rPr>
        <w:t>, 2020.</w:t>
      </w:r>
    </w:p>
    <w:p w14:paraId="4C401913" w14:textId="77777777" w:rsidR="00412D77" w:rsidRPr="00FB2D03" w:rsidRDefault="00412D77" w:rsidP="00412D77">
      <w:pPr>
        <w:tabs>
          <w:tab w:val="left" w:pos="5616"/>
        </w:tabs>
        <w:rPr>
          <w:color w:val="000000" w:themeColor="text1"/>
          <w:lang w:val="en-AU"/>
        </w:rPr>
      </w:pPr>
    </w:p>
    <w:p w14:paraId="3645BC16" w14:textId="247D5423" w:rsidR="00412D77" w:rsidRPr="00FB2D03" w:rsidRDefault="01B55689" w:rsidP="01B55689">
      <w:pPr>
        <w:tabs>
          <w:tab w:val="left" w:pos="5616"/>
        </w:tabs>
        <w:rPr>
          <w:color w:val="000000" w:themeColor="text1"/>
          <w:lang w:val="en-AU"/>
        </w:rPr>
      </w:pPr>
      <w:r w:rsidRPr="00FB2D03">
        <w:rPr>
          <w:color w:val="000000" w:themeColor="text1"/>
          <w:lang w:val="en-AU"/>
        </w:rPr>
        <w:t xml:space="preserve">Lawler, Andrew. “Who wrote the Dead Sea Scrolls?” </w:t>
      </w:r>
      <w:r w:rsidRPr="00FB2D03">
        <w:rPr>
          <w:i/>
          <w:iCs/>
          <w:color w:val="000000" w:themeColor="text1"/>
          <w:lang w:val="en-AU"/>
        </w:rPr>
        <w:t xml:space="preserve">The Smithsonian, </w:t>
      </w:r>
      <w:r w:rsidRPr="00FB2D03">
        <w:rPr>
          <w:color w:val="000000" w:themeColor="text1"/>
          <w:lang w:val="en-AU"/>
        </w:rPr>
        <w:t>January 2010: 40–</w:t>
      </w:r>
    </w:p>
    <w:p w14:paraId="520ECE09" w14:textId="75FBE2B9" w:rsidR="00412D77" w:rsidRPr="00FB2D03" w:rsidRDefault="01B55689" w:rsidP="01B55689">
      <w:pPr>
        <w:tabs>
          <w:tab w:val="left" w:pos="5616"/>
        </w:tabs>
        <w:ind w:firstLine="720"/>
        <w:rPr>
          <w:color w:val="000000" w:themeColor="text1"/>
          <w:lang w:val="en-AU"/>
        </w:rPr>
      </w:pPr>
      <w:r w:rsidRPr="00FB2D03">
        <w:rPr>
          <w:color w:val="000000" w:themeColor="text1"/>
          <w:lang w:val="en-AU"/>
        </w:rPr>
        <w:lastRenderedPageBreak/>
        <w:t>47.</w:t>
      </w:r>
    </w:p>
    <w:p w14:paraId="1D030AD6" w14:textId="77777777" w:rsidR="00412D77" w:rsidRPr="00FB2D03" w:rsidRDefault="00412D77" w:rsidP="00412D77">
      <w:pPr>
        <w:tabs>
          <w:tab w:val="left" w:pos="5616"/>
        </w:tabs>
        <w:rPr>
          <w:color w:val="000000" w:themeColor="text1"/>
          <w:lang w:val="en-AU"/>
        </w:rPr>
      </w:pPr>
    </w:p>
    <w:p w14:paraId="18C365D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Lee, Bernard J. </w:t>
      </w:r>
      <w:r w:rsidRPr="00FB2D03">
        <w:rPr>
          <w:i/>
          <w:color w:val="000000" w:themeColor="text1"/>
          <w:lang w:val="en-AU"/>
        </w:rPr>
        <w:t>The Galilean Jewishness of Jesus</w:t>
      </w:r>
      <w:r w:rsidRPr="00FB2D03">
        <w:rPr>
          <w:color w:val="000000" w:themeColor="text1"/>
          <w:lang w:val="en-AU"/>
        </w:rPr>
        <w:t>. New York: Paulist, 1988.</w:t>
      </w:r>
    </w:p>
    <w:p w14:paraId="1B27E359" w14:textId="77777777" w:rsidR="00412D77" w:rsidRPr="00FB2D03" w:rsidRDefault="00412D77" w:rsidP="00412D77">
      <w:pPr>
        <w:tabs>
          <w:tab w:val="left" w:pos="5616"/>
        </w:tabs>
        <w:rPr>
          <w:color w:val="000000" w:themeColor="text1"/>
          <w:lang w:val="en-AU"/>
        </w:rPr>
      </w:pPr>
    </w:p>
    <w:p w14:paraId="307E0BF9" w14:textId="77777777" w:rsidR="00BA4B64" w:rsidRPr="00FB2D03" w:rsidRDefault="00BA4B64" w:rsidP="001C2113">
      <w:pPr>
        <w:tabs>
          <w:tab w:val="left" w:pos="5616"/>
        </w:tabs>
        <w:rPr>
          <w:color w:val="000000" w:themeColor="text1"/>
          <w:lang w:val="en-AU"/>
        </w:rPr>
      </w:pPr>
    </w:p>
    <w:p w14:paraId="40E8C538" w14:textId="77777777" w:rsidR="00BA4B64" w:rsidRPr="00FB2D03" w:rsidRDefault="01B55689" w:rsidP="001C2113">
      <w:pPr>
        <w:tabs>
          <w:tab w:val="left" w:pos="5616"/>
        </w:tabs>
        <w:rPr>
          <w:i/>
          <w:iCs/>
          <w:lang w:val="en-AU"/>
        </w:rPr>
      </w:pPr>
      <w:r w:rsidRPr="00FB2D03">
        <w:rPr>
          <w:color w:val="000000" w:themeColor="text1"/>
          <w:lang w:val="en-AU"/>
        </w:rPr>
        <w:t xml:space="preserve">Lee, Hee Sung. “The Comparative Study of Loan Interest between ANE and OT.” 77 </w:t>
      </w:r>
      <w:r w:rsidR="001C2113" w:rsidRPr="00FB2D03">
        <w:rPr>
          <w:i/>
          <w:iCs/>
          <w:lang w:val="en-AU"/>
        </w:rPr>
        <w:t xml:space="preserve">Korea </w:t>
      </w:r>
    </w:p>
    <w:p w14:paraId="64497DCF" w14:textId="62392681" w:rsidR="00412D77" w:rsidRPr="00FB2D03" w:rsidRDefault="001C2113" w:rsidP="00BA4B64">
      <w:pPr>
        <w:tabs>
          <w:tab w:val="left" w:pos="5616"/>
        </w:tabs>
        <w:ind w:left="720"/>
        <w:rPr>
          <w:color w:val="000000" w:themeColor="text1"/>
          <w:lang w:val="en-AU"/>
        </w:rPr>
      </w:pPr>
      <w:r w:rsidRPr="00FB2D03">
        <w:rPr>
          <w:i/>
          <w:iCs/>
          <w:lang w:val="en-AU"/>
        </w:rPr>
        <w:t>Evangelical Theological Society</w:t>
      </w:r>
      <w:r w:rsidRPr="00FB2D03">
        <w:rPr>
          <w:color w:val="000000" w:themeColor="text1"/>
          <w:lang w:val="en-AU"/>
        </w:rPr>
        <w:t xml:space="preserve"> 77 </w:t>
      </w:r>
      <w:r w:rsidR="01B55689" w:rsidRPr="00FB2D03">
        <w:rPr>
          <w:color w:val="000000" w:themeColor="text1"/>
          <w:lang w:val="en-AU"/>
        </w:rPr>
        <w:t xml:space="preserve">(2016): 291–316. </w:t>
      </w:r>
    </w:p>
    <w:p w14:paraId="726C5C0B" w14:textId="77777777" w:rsidR="00412D77" w:rsidRPr="00FB2D03" w:rsidRDefault="00412D77" w:rsidP="00412D77">
      <w:pPr>
        <w:tabs>
          <w:tab w:val="left" w:pos="5616"/>
        </w:tabs>
        <w:rPr>
          <w:color w:val="000000" w:themeColor="text1"/>
          <w:lang w:val="en-AU"/>
        </w:rPr>
      </w:pPr>
    </w:p>
    <w:p w14:paraId="14665F7F" w14:textId="77777777" w:rsidR="00416C83" w:rsidRPr="00FB2D03" w:rsidRDefault="00412D77" w:rsidP="00412D77">
      <w:pPr>
        <w:tabs>
          <w:tab w:val="left" w:pos="5616"/>
        </w:tabs>
        <w:rPr>
          <w:color w:val="000000" w:themeColor="text1"/>
          <w:lang w:val="en-AU"/>
        </w:rPr>
      </w:pPr>
      <w:r w:rsidRPr="00FB2D03">
        <w:rPr>
          <w:color w:val="000000" w:themeColor="text1"/>
          <w:lang w:val="en-AU"/>
        </w:rPr>
        <w:t>Lehmann, Marcus, and Liepman Philip Prins. </w:t>
      </w:r>
      <w:r w:rsidRPr="00FB2D03">
        <w:rPr>
          <w:i/>
          <w:color w:val="000000" w:themeColor="text1"/>
          <w:lang w:val="en-AU"/>
        </w:rPr>
        <w:t>The Lehmann–Prins Pirkei Avoth</w:t>
      </w:r>
      <w:r w:rsidRPr="00FB2D03">
        <w:rPr>
          <w:color w:val="000000" w:themeColor="text1"/>
          <w:lang w:val="en-AU"/>
        </w:rPr>
        <w:t xml:space="preserve">. Jerusalem: </w:t>
      </w:r>
    </w:p>
    <w:p w14:paraId="4213F6C6" w14:textId="57EC041B" w:rsidR="00412D77" w:rsidRPr="00FB2D03" w:rsidRDefault="00412D77" w:rsidP="00AD1181">
      <w:pPr>
        <w:tabs>
          <w:tab w:val="left" w:pos="5616"/>
        </w:tabs>
        <w:ind w:left="720"/>
        <w:rPr>
          <w:color w:val="000000" w:themeColor="text1"/>
          <w:lang w:val="en-AU"/>
        </w:rPr>
      </w:pPr>
      <w:r w:rsidRPr="00FB2D03">
        <w:rPr>
          <w:color w:val="000000" w:themeColor="text1"/>
          <w:lang w:val="en-AU"/>
        </w:rPr>
        <w:t>Feldheim, 1992.</w:t>
      </w:r>
    </w:p>
    <w:p w14:paraId="12EEEF9C" w14:textId="77777777" w:rsidR="00412D77" w:rsidRPr="00FB2D03" w:rsidRDefault="00412D77" w:rsidP="00412D77">
      <w:pPr>
        <w:tabs>
          <w:tab w:val="left" w:pos="5616"/>
        </w:tabs>
        <w:rPr>
          <w:color w:val="000000" w:themeColor="text1"/>
          <w:lang w:val="en-AU"/>
        </w:rPr>
      </w:pPr>
    </w:p>
    <w:p w14:paraId="0E4B10F4"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Lendon, Jon E. </w:t>
      </w:r>
      <w:r w:rsidRPr="00FB2D03">
        <w:rPr>
          <w:i/>
          <w:color w:val="000000" w:themeColor="text1"/>
          <w:lang w:val="en-AU"/>
        </w:rPr>
        <w:t>Empire of Honour: The Art of Government in the Roman World</w:t>
      </w:r>
      <w:r w:rsidRPr="00FB2D03">
        <w:rPr>
          <w:color w:val="000000" w:themeColor="text1"/>
          <w:lang w:val="en-AU"/>
        </w:rPr>
        <w:t xml:space="preserve">. Oxford: </w:t>
      </w:r>
    </w:p>
    <w:p w14:paraId="736AF9CD" w14:textId="7F918FEA" w:rsidR="00412D77" w:rsidRPr="00FB2D03" w:rsidRDefault="00412D77" w:rsidP="00AD1181">
      <w:pPr>
        <w:tabs>
          <w:tab w:val="left" w:pos="5616"/>
        </w:tabs>
        <w:ind w:left="720"/>
        <w:rPr>
          <w:color w:val="000000" w:themeColor="text1"/>
          <w:lang w:val="en-AU"/>
        </w:rPr>
      </w:pPr>
      <w:r w:rsidRPr="00FB2D03">
        <w:rPr>
          <w:color w:val="000000" w:themeColor="text1"/>
          <w:lang w:val="en-AU"/>
        </w:rPr>
        <w:t>Oxford University Press, 1997.</w:t>
      </w:r>
    </w:p>
    <w:p w14:paraId="69FE2E46" w14:textId="77777777" w:rsidR="00412D77" w:rsidRPr="00FB2D03" w:rsidRDefault="00412D77" w:rsidP="00412D77">
      <w:pPr>
        <w:tabs>
          <w:tab w:val="left" w:pos="5616"/>
        </w:tabs>
        <w:rPr>
          <w:color w:val="000000" w:themeColor="text1"/>
          <w:lang w:val="en-AU"/>
        </w:rPr>
      </w:pPr>
    </w:p>
    <w:p w14:paraId="2A61C610"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Lenel, Otto. </w:t>
      </w:r>
      <w:r w:rsidRPr="00FB2D03">
        <w:rPr>
          <w:i/>
          <w:color w:val="000000" w:themeColor="text1"/>
          <w:lang w:val="en-AU"/>
        </w:rPr>
        <w:t>Das Edictum perpetuum. Ein Versuch zu dessen Wiederherstellung</w:t>
      </w:r>
      <w:r w:rsidRPr="00FB2D03">
        <w:rPr>
          <w:color w:val="000000" w:themeColor="text1"/>
          <w:lang w:val="en-AU"/>
        </w:rPr>
        <w:t xml:space="preserve">. Leipzig: B. </w:t>
      </w:r>
    </w:p>
    <w:p w14:paraId="5742168F" w14:textId="2BE5CFCD" w:rsidR="00412D77" w:rsidRPr="00FB2D03" w:rsidRDefault="00412D77" w:rsidP="00AD1181">
      <w:pPr>
        <w:tabs>
          <w:tab w:val="left" w:pos="5616"/>
        </w:tabs>
        <w:ind w:left="720"/>
        <w:rPr>
          <w:color w:val="000000" w:themeColor="text1"/>
          <w:lang w:val="en-AU"/>
        </w:rPr>
      </w:pPr>
      <w:r w:rsidRPr="00FB2D03">
        <w:rPr>
          <w:color w:val="000000" w:themeColor="text1"/>
          <w:lang w:val="en-AU"/>
        </w:rPr>
        <w:t>Tauchnitz, 1883.</w:t>
      </w:r>
    </w:p>
    <w:p w14:paraId="1D6851B4" w14:textId="77777777" w:rsidR="00412D77" w:rsidRPr="00FB2D03" w:rsidRDefault="00412D77" w:rsidP="00412D77">
      <w:pPr>
        <w:tabs>
          <w:tab w:val="left" w:pos="5616"/>
        </w:tabs>
        <w:rPr>
          <w:color w:val="000000" w:themeColor="text1"/>
          <w:lang w:val="en-AU"/>
        </w:rPr>
      </w:pPr>
    </w:p>
    <w:p w14:paraId="5030737C" w14:textId="5401A5E2" w:rsidR="00416C83" w:rsidRPr="00FB2D03" w:rsidRDefault="00412D77" w:rsidP="00412D77">
      <w:pPr>
        <w:tabs>
          <w:tab w:val="left" w:pos="5616"/>
        </w:tabs>
        <w:rPr>
          <w:i/>
          <w:color w:val="000000" w:themeColor="text1"/>
          <w:lang w:val="en-AU"/>
        </w:rPr>
      </w:pPr>
      <w:r w:rsidRPr="00FB2D03">
        <w:rPr>
          <w:color w:val="000000" w:themeColor="text1"/>
          <w:lang w:val="en-AU"/>
        </w:rPr>
        <w:t>Leloir</w:t>
      </w:r>
      <w:r w:rsidR="007C66D3">
        <w:rPr>
          <w:color w:val="000000" w:themeColor="text1"/>
          <w:lang w:val="en-AU"/>
        </w:rPr>
        <w:t xml:space="preserve">, L. </w:t>
      </w:r>
      <w:r w:rsidRPr="00FB2D03">
        <w:rPr>
          <w:color w:val="000000" w:themeColor="text1"/>
          <w:lang w:val="en-AU"/>
        </w:rPr>
        <w:t xml:space="preserve"> (ed.), </w:t>
      </w:r>
      <w:r w:rsidRPr="00FB2D03">
        <w:rPr>
          <w:i/>
          <w:color w:val="000000" w:themeColor="text1"/>
          <w:lang w:val="en-AU"/>
        </w:rPr>
        <w:t xml:space="preserve">Commentary on the Diatessaron 6.14 Saint Ephrem, Commentaire de </w:t>
      </w:r>
    </w:p>
    <w:p w14:paraId="4613337E" w14:textId="5DA64EF8"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l’Evangile concordant: Texte Syriaque [Manuscrit Chester Beatty 70] Folios. </w:t>
      </w:r>
      <w:r w:rsidRPr="00FB2D03">
        <w:rPr>
          <w:color w:val="000000" w:themeColor="text1"/>
          <w:lang w:val="en-AU"/>
        </w:rPr>
        <w:t>London: Williams &amp; Norgate, 1910.</w:t>
      </w:r>
    </w:p>
    <w:p w14:paraId="69AB3F17" w14:textId="77777777" w:rsidR="00412D77" w:rsidRPr="00FB2D03" w:rsidRDefault="00412D77" w:rsidP="00412D77">
      <w:pPr>
        <w:tabs>
          <w:tab w:val="left" w:pos="5616"/>
        </w:tabs>
        <w:rPr>
          <w:i/>
          <w:color w:val="000000" w:themeColor="text1"/>
          <w:lang w:val="en-AU"/>
        </w:rPr>
      </w:pPr>
    </w:p>
    <w:p w14:paraId="5F4F16E7"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Leon, Harry Joshua. </w:t>
      </w:r>
      <w:r w:rsidRPr="00FB2D03">
        <w:rPr>
          <w:i/>
          <w:color w:val="000000" w:themeColor="text1"/>
          <w:lang w:val="en-AU"/>
        </w:rPr>
        <w:t>The Jews of Ancient Rome</w:t>
      </w:r>
      <w:r w:rsidRPr="00FB2D03">
        <w:rPr>
          <w:color w:val="000000" w:themeColor="text1"/>
          <w:lang w:val="en-AU"/>
        </w:rPr>
        <w:t xml:space="preserve">. Philadelphia: Jewish Publication Society of </w:t>
      </w:r>
    </w:p>
    <w:p w14:paraId="69A038C8" w14:textId="7CFBB4AC" w:rsidR="00412D77" w:rsidRPr="00FB2D03" w:rsidRDefault="00412D77" w:rsidP="00AD1181">
      <w:pPr>
        <w:tabs>
          <w:tab w:val="left" w:pos="5616"/>
        </w:tabs>
        <w:ind w:left="720"/>
        <w:rPr>
          <w:color w:val="000000" w:themeColor="text1"/>
          <w:lang w:val="en-AU"/>
        </w:rPr>
      </w:pPr>
      <w:r w:rsidRPr="00FB2D03">
        <w:rPr>
          <w:color w:val="000000" w:themeColor="text1"/>
          <w:lang w:val="en-AU"/>
        </w:rPr>
        <w:t>America, 1960.</w:t>
      </w:r>
    </w:p>
    <w:p w14:paraId="42AF5248" w14:textId="77777777" w:rsidR="00412D77" w:rsidRPr="00FB2D03" w:rsidRDefault="00412D77" w:rsidP="00412D77">
      <w:pPr>
        <w:tabs>
          <w:tab w:val="left" w:pos="5616"/>
        </w:tabs>
        <w:rPr>
          <w:color w:val="000000" w:themeColor="text1"/>
          <w:lang w:val="en-AU"/>
        </w:rPr>
      </w:pPr>
    </w:p>
    <w:p w14:paraId="0C82277D"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Leston, Stephen and Christopher Hudson. </w:t>
      </w:r>
      <w:r w:rsidRPr="00FB2D03">
        <w:rPr>
          <w:i/>
          <w:color w:val="000000" w:themeColor="text1"/>
          <w:lang w:val="en-AU"/>
        </w:rPr>
        <w:t xml:space="preserve">Illustrated Guide to Bible Battles: The </w:t>
      </w:r>
    </w:p>
    <w:p w14:paraId="5AF47723" w14:textId="18750671" w:rsidR="00412D77" w:rsidRDefault="00412D77" w:rsidP="00AD1181">
      <w:pPr>
        <w:tabs>
          <w:tab w:val="left" w:pos="5616"/>
        </w:tabs>
        <w:ind w:left="720"/>
        <w:rPr>
          <w:color w:val="000000" w:themeColor="text1"/>
          <w:lang w:val="en-AU"/>
        </w:rPr>
      </w:pPr>
      <w:r w:rsidRPr="00FB2D03">
        <w:rPr>
          <w:i/>
          <w:color w:val="000000" w:themeColor="text1"/>
          <w:lang w:val="en-AU"/>
        </w:rPr>
        <w:t>Background, Overview, Key Players, Weapons and Meaning of More Than 90 Scriptural Battles</w:t>
      </w:r>
      <w:r w:rsidRPr="00FB2D03">
        <w:rPr>
          <w:color w:val="000000" w:themeColor="text1"/>
          <w:lang w:val="en-AU"/>
        </w:rPr>
        <w:t>. Uhrichsville: Barbour Books, 2014</w:t>
      </w:r>
    </w:p>
    <w:p w14:paraId="5C84EAAD" w14:textId="722BCF94" w:rsidR="007C66D3" w:rsidRDefault="007C66D3" w:rsidP="007C66D3">
      <w:pPr>
        <w:tabs>
          <w:tab w:val="left" w:pos="5616"/>
        </w:tabs>
        <w:rPr>
          <w:iCs/>
          <w:color w:val="000000" w:themeColor="text1"/>
          <w:lang w:val="en-AU"/>
        </w:rPr>
      </w:pPr>
    </w:p>
    <w:p w14:paraId="288043AF" w14:textId="77777777" w:rsidR="007C66D3" w:rsidRDefault="007C66D3" w:rsidP="007C66D3">
      <w:pPr>
        <w:tabs>
          <w:tab w:val="left" w:pos="5616"/>
        </w:tabs>
        <w:rPr>
          <w:i/>
          <w:color w:val="000000" w:themeColor="text1"/>
          <w:lang w:val="en-AU"/>
        </w:rPr>
      </w:pPr>
      <w:r>
        <w:rPr>
          <w:iCs/>
          <w:color w:val="000000" w:themeColor="text1"/>
          <w:lang w:val="en-AU"/>
        </w:rPr>
        <w:t xml:space="preserve">Levenson, Jon D. </w:t>
      </w:r>
      <w:r>
        <w:rPr>
          <w:i/>
          <w:color w:val="000000" w:themeColor="text1"/>
          <w:lang w:val="en-AU"/>
        </w:rPr>
        <w:t xml:space="preserve">Inheriting Abraham:  The Legacy of the Patriarch in Judaism, Christianity, </w:t>
      </w:r>
    </w:p>
    <w:p w14:paraId="15C74DB7" w14:textId="63ED7A78" w:rsidR="007C66D3" w:rsidRPr="00ED0F6A" w:rsidRDefault="007C66D3" w:rsidP="007C66D3">
      <w:pPr>
        <w:tabs>
          <w:tab w:val="left" w:pos="5616"/>
        </w:tabs>
        <w:ind w:left="720"/>
        <w:rPr>
          <w:iCs/>
          <w:color w:val="000000" w:themeColor="text1"/>
          <w:lang w:val="en-AU"/>
        </w:rPr>
      </w:pPr>
      <w:r>
        <w:rPr>
          <w:i/>
          <w:color w:val="000000" w:themeColor="text1"/>
          <w:lang w:val="en-AU"/>
        </w:rPr>
        <w:t>and Islam.</w:t>
      </w:r>
      <w:r>
        <w:rPr>
          <w:iCs/>
          <w:color w:val="000000" w:themeColor="text1"/>
          <w:lang w:val="en-AU"/>
        </w:rPr>
        <w:t xml:space="preserve"> Princeton: Princeton University Press, 2012. </w:t>
      </w:r>
    </w:p>
    <w:p w14:paraId="6F8B5187" w14:textId="77777777" w:rsidR="00412D77" w:rsidRPr="00FB2D03" w:rsidRDefault="00412D77" w:rsidP="00412D77">
      <w:pPr>
        <w:tabs>
          <w:tab w:val="left" w:pos="5616"/>
        </w:tabs>
        <w:rPr>
          <w:color w:val="000000" w:themeColor="text1"/>
          <w:lang w:val="en-AU"/>
        </w:rPr>
      </w:pPr>
    </w:p>
    <w:p w14:paraId="4587FB0F"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Levin, </w:t>
      </w:r>
      <w:proofErr w:type="gramStart"/>
      <w:r w:rsidRPr="00FB2D03">
        <w:rPr>
          <w:color w:val="000000" w:themeColor="text1"/>
          <w:lang w:val="en-AU"/>
        </w:rPr>
        <w:t>Yigal</w:t>
      </w:r>
      <w:proofErr w:type="gramEnd"/>
      <w:r w:rsidRPr="00FB2D03">
        <w:rPr>
          <w:color w:val="000000" w:themeColor="text1"/>
          <w:lang w:val="en-AU"/>
        </w:rPr>
        <w:t xml:space="preserve"> and Amnon Shapira. </w:t>
      </w:r>
      <w:r w:rsidRPr="00FB2D03">
        <w:rPr>
          <w:i/>
          <w:color w:val="000000" w:themeColor="text1"/>
          <w:lang w:val="en-AU"/>
        </w:rPr>
        <w:t xml:space="preserve">War and Peace in Jewish Tradition: From the Biblical </w:t>
      </w:r>
    </w:p>
    <w:p w14:paraId="4EC3A3C0" w14:textId="549A7BB0" w:rsidR="00412D77" w:rsidRPr="00FB2D03" w:rsidRDefault="00412D77" w:rsidP="00AD1181">
      <w:pPr>
        <w:tabs>
          <w:tab w:val="left" w:pos="5616"/>
        </w:tabs>
        <w:ind w:left="720"/>
        <w:rPr>
          <w:color w:val="000000" w:themeColor="text1"/>
          <w:lang w:val="en-AU"/>
        </w:rPr>
      </w:pPr>
      <w:r w:rsidRPr="00FB2D03">
        <w:rPr>
          <w:i/>
          <w:color w:val="000000" w:themeColor="text1"/>
          <w:lang w:val="en-AU"/>
        </w:rPr>
        <w:t>World to the Present.</w:t>
      </w:r>
      <w:r w:rsidRPr="00FB2D03">
        <w:rPr>
          <w:color w:val="000000" w:themeColor="text1"/>
          <w:lang w:val="en-AU"/>
        </w:rPr>
        <w:t xml:space="preserve"> ed. Yigal Levin and Amnon Shapira. New York: Routledge,1980. </w:t>
      </w:r>
    </w:p>
    <w:p w14:paraId="426DD265" w14:textId="77777777" w:rsidR="00412D77" w:rsidRPr="00FB2D03" w:rsidRDefault="00412D77" w:rsidP="00412D77">
      <w:pPr>
        <w:tabs>
          <w:tab w:val="left" w:pos="5616"/>
        </w:tabs>
        <w:rPr>
          <w:color w:val="000000" w:themeColor="text1"/>
          <w:lang w:val="en-AU"/>
        </w:rPr>
      </w:pPr>
    </w:p>
    <w:p w14:paraId="4A893AF2"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 xml:space="preserve">Yahweh Is </w:t>
      </w:r>
      <w:proofErr w:type="gramStart"/>
      <w:r w:rsidRPr="00FB2D03">
        <w:rPr>
          <w:i/>
          <w:color w:val="000000" w:themeColor="text1"/>
          <w:lang w:val="en-AU"/>
        </w:rPr>
        <w:t>A</w:t>
      </w:r>
      <w:proofErr w:type="gramEnd"/>
      <w:r w:rsidRPr="00FB2D03">
        <w:rPr>
          <w:i/>
          <w:color w:val="000000" w:themeColor="text1"/>
          <w:lang w:val="en-AU"/>
        </w:rPr>
        <w:t xml:space="preserve"> Warrior: The Theology of Warfare in Ancient Israel</w:t>
      </w:r>
      <w:r w:rsidRPr="00FB2D03">
        <w:rPr>
          <w:color w:val="000000" w:themeColor="text1"/>
          <w:lang w:val="en-AU"/>
        </w:rPr>
        <w:t xml:space="preserve">. Scottdale: </w:t>
      </w:r>
    </w:p>
    <w:p w14:paraId="0A2D37C6" w14:textId="23BAA644" w:rsidR="00412D77" w:rsidRPr="00FB2D03" w:rsidRDefault="00412D77" w:rsidP="00AD1181">
      <w:pPr>
        <w:tabs>
          <w:tab w:val="left" w:pos="5616"/>
        </w:tabs>
        <w:ind w:left="720"/>
        <w:rPr>
          <w:color w:val="000000" w:themeColor="text1"/>
          <w:lang w:val="en-AU"/>
        </w:rPr>
      </w:pPr>
      <w:r w:rsidRPr="00FB2D03">
        <w:rPr>
          <w:color w:val="000000" w:themeColor="text1"/>
          <w:lang w:val="en-AU"/>
        </w:rPr>
        <w:t>Herald, 2003.</w:t>
      </w:r>
    </w:p>
    <w:p w14:paraId="03C15A8F" w14:textId="77777777" w:rsidR="00412D77" w:rsidRPr="00FB2D03" w:rsidRDefault="00412D77" w:rsidP="00412D77">
      <w:pPr>
        <w:tabs>
          <w:tab w:val="left" w:pos="5616"/>
        </w:tabs>
        <w:rPr>
          <w:color w:val="000000" w:themeColor="text1"/>
          <w:lang w:val="en-AU"/>
        </w:rPr>
      </w:pPr>
    </w:p>
    <w:p w14:paraId="111CC067" w14:textId="77777777" w:rsidR="00416C83" w:rsidRPr="00FB2D03" w:rsidRDefault="00412D77" w:rsidP="00412D77">
      <w:pPr>
        <w:tabs>
          <w:tab w:val="left" w:pos="5616"/>
        </w:tabs>
        <w:rPr>
          <w:color w:val="000000" w:themeColor="text1"/>
          <w:lang w:val="en-AU"/>
        </w:rPr>
      </w:pPr>
      <w:r w:rsidRPr="00FB2D03">
        <w:rPr>
          <w:color w:val="000000" w:themeColor="text1"/>
          <w:lang w:val="en-AU"/>
        </w:rPr>
        <w:t>________. “The Religion of Idumea and Its Relationship to Early Judaism.” </w:t>
      </w:r>
      <w:r w:rsidRPr="00FB2D03">
        <w:rPr>
          <w:i/>
          <w:color w:val="000000" w:themeColor="text1"/>
          <w:lang w:val="en-AU"/>
        </w:rPr>
        <w:t>Religions</w:t>
      </w:r>
      <w:r w:rsidRPr="00FB2D03">
        <w:rPr>
          <w:color w:val="000000" w:themeColor="text1"/>
          <w:lang w:val="en-AU"/>
        </w:rPr>
        <w:t xml:space="preserve"> 11 </w:t>
      </w:r>
    </w:p>
    <w:p w14:paraId="2BBBD932" w14:textId="45ACCC0C" w:rsidR="00412D77" w:rsidRPr="00FB2D03" w:rsidRDefault="00412D77" w:rsidP="00AD1181">
      <w:pPr>
        <w:tabs>
          <w:tab w:val="left" w:pos="5616"/>
        </w:tabs>
        <w:ind w:left="720"/>
        <w:rPr>
          <w:color w:val="000000" w:themeColor="text1"/>
          <w:lang w:val="en-AU"/>
        </w:rPr>
      </w:pPr>
      <w:r w:rsidRPr="00FB2D03">
        <w:rPr>
          <w:color w:val="000000" w:themeColor="text1"/>
          <w:lang w:val="en-AU"/>
        </w:rPr>
        <w:t>(2020): 1–27.</w:t>
      </w:r>
    </w:p>
    <w:p w14:paraId="6088244F" w14:textId="77777777" w:rsidR="00412D77" w:rsidRPr="00FB2D03" w:rsidRDefault="00412D77" w:rsidP="00412D77">
      <w:pPr>
        <w:tabs>
          <w:tab w:val="left" w:pos="5616"/>
        </w:tabs>
        <w:rPr>
          <w:color w:val="000000" w:themeColor="text1"/>
          <w:lang w:val="en-AU"/>
        </w:rPr>
      </w:pPr>
    </w:p>
    <w:p w14:paraId="54414E1A"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Levine, Amy-Jill. </w:t>
      </w:r>
      <w:r w:rsidRPr="00FB2D03">
        <w:rPr>
          <w:i/>
          <w:color w:val="000000" w:themeColor="text1"/>
          <w:lang w:val="en-AU"/>
        </w:rPr>
        <w:t>The Misunderstood Jew</w:t>
      </w:r>
      <w:r w:rsidRPr="00FB2D03">
        <w:rPr>
          <w:color w:val="000000" w:themeColor="text1"/>
          <w:lang w:val="en-AU"/>
        </w:rPr>
        <w:t xml:space="preserve">: </w:t>
      </w:r>
      <w:r w:rsidRPr="00FB2D03">
        <w:rPr>
          <w:i/>
          <w:color w:val="000000" w:themeColor="text1"/>
          <w:lang w:val="en-AU"/>
        </w:rPr>
        <w:t>The Church and the Scandal of the Jewish Jesus.</w:t>
      </w:r>
      <w:r w:rsidRPr="00FB2D03">
        <w:rPr>
          <w:color w:val="000000" w:themeColor="text1"/>
          <w:lang w:val="en-AU"/>
        </w:rPr>
        <w:t xml:space="preserve"> </w:t>
      </w:r>
    </w:p>
    <w:p w14:paraId="61E5E009" w14:textId="38955742" w:rsidR="00412D77" w:rsidRPr="00FB2D03" w:rsidRDefault="00412D77" w:rsidP="00AD1181">
      <w:pPr>
        <w:tabs>
          <w:tab w:val="left" w:pos="5616"/>
        </w:tabs>
        <w:ind w:left="720"/>
        <w:rPr>
          <w:color w:val="000000" w:themeColor="text1"/>
          <w:lang w:val="en-AU"/>
        </w:rPr>
      </w:pPr>
      <w:r w:rsidRPr="00FB2D03">
        <w:rPr>
          <w:color w:val="000000" w:themeColor="text1"/>
          <w:lang w:val="en-AU"/>
        </w:rPr>
        <w:t>New York: HarperOne, 2007.</w:t>
      </w:r>
    </w:p>
    <w:p w14:paraId="4AD0A457" w14:textId="77777777" w:rsidR="00412D77" w:rsidRPr="00FB2D03" w:rsidRDefault="00412D77" w:rsidP="00412D77">
      <w:pPr>
        <w:tabs>
          <w:tab w:val="left" w:pos="5616"/>
        </w:tabs>
        <w:rPr>
          <w:color w:val="000000" w:themeColor="text1"/>
          <w:lang w:val="en-AU"/>
        </w:rPr>
      </w:pPr>
    </w:p>
    <w:p w14:paraId="12FE20AF"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Social and Ethnic Dimensions of Matthean Salvation History</w:t>
      </w:r>
      <w:r w:rsidRPr="00FB2D03">
        <w:rPr>
          <w:color w:val="000000" w:themeColor="text1"/>
          <w:lang w:val="en-AU"/>
        </w:rPr>
        <w:t xml:space="preserve">. Lewiston: </w:t>
      </w:r>
    </w:p>
    <w:p w14:paraId="413D8D19" w14:textId="5939A1B9" w:rsidR="00412D77" w:rsidRPr="00FB2D03" w:rsidRDefault="00412D77" w:rsidP="00AD1181">
      <w:pPr>
        <w:tabs>
          <w:tab w:val="left" w:pos="5616"/>
        </w:tabs>
        <w:ind w:left="720"/>
        <w:rPr>
          <w:color w:val="000000" w:themeColor="text1"/>
          <w:lang w:val="en-AU"/>
        </w:rPr>
      </w:pPr>
      <w:r w:rsidRPr="00FB2D03">
        <w:rPr>
          <w:color w:val="000000" w:themeColor="text1"/>
          <w:lang w:val="en-AU"/>
        </w:rPr>
        <w:t>Edwin Mellen, 1988.</w:t>
      </w:r>
    </w:p>
    <w:p w14:paraId="715ADCB5" w14:textId="77777777" w:rsidR="00412D77" w:rsidRPr="00FB2D03" w:rsidRDefault="00412D77" w:rsidP="00412D77">
      <w:pPr>
        <w:tabs>
          <w:tab w:val="left" w:pos="5616"/>
        </w:tabs>
        <w:rPr>
          <w:color w:val="000000" w:themeColor="text1"/>
          <w:lang w:val="en-AU"/>
        </w:rPr>
      </w:pPr>
    </w:p>
    <w:p w14:paraId="78554F54"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Levine, Amy-Jill, Dale C Allison Jr and John Dominic Crossan, </w:t>
      </w:r>
      <w:r w:rsidRPr="00FB2D03">
        <w:rPr>
          <w:i/>
          <w:color w:val="000000" w:themeColor="text1"/>
          <w:lang w:val="en-AU"/>
        </w:rPr>
        <w:t xml:space="preserve">The Historical Jesus in </w:t>
      </w:r>
    </w:p>
    <w:p w14:paraId="45D209C9" w14:textId="5DE6BFB4" w:rsidR="00412D77" w:rsidRPr="00FB2D03" w:rsidRDefault="00412D77" w:rsidP="00AD1181">
      <w:pPr>
        <w:tabs>
          <w:tab w:val="left" w:pos="5616"/>
        </w:tabs>
        <w:ind w:left="720"/>
        <w:rPr>
          <w:color w:val="000000" w:themeColor="text1"/>
          <w:lang w:val="en-AU"/>
        </w:rPr>
      </w:pPr>
      <w:r w:rsidRPr="00FB2D03">
        <w:rPr>
          <w:i/>
          <w:color w:val="000000" w:themeColor="text1"/>
          <w:lang w:val="en-AU"/>
        </w:rPr>
        <w:t>Context</w:t>
      </w:r>
      <w:r w:rsidRPr="00FB2D03">
        <w:rPr>
          <w:color w:val="000000" w:themeColor="text1"/>
          <w:lang w:val="en-AU"/>
        </w:rPr>
        <w:t>. Princeton: Princeton University Press, 2006.</w:t>
      </w:r>
    </w:p>
    <w:p w14:paraId="25CE2B94" w14:textId="77777777" w:rsidR="00412D77" w:rsidRPr="00FB2D03" w:rsidRDefault="00412D77" w:rsidP="00412D77">
      <w:pPr>
        <w:tabs>
          <w:tab w:val="left" w:pos="5616"/>
        </w:tabs>
        <w:rPr>
          <w:color w:val="000000" w:themeColor="text1"/>
          <w:lang w:val="en-AU"/>
        </w:rPr>
      </w:pPr>
    </w:p>
    <w:p w14:paraId="3B52EFB8" w14:textId="77777777" w:rsidR="00416C83" w:rsidRPr="00FB2D03" w:rsidRDefault="00412D77" w:rsidP="00412D77">
      <w:pPr>
        <w:tabs>
          <w:tab w:val="left" w:pos="5616"/>
        </w:tabs>
        <w:rPr>
          <w:color w:val="000000" w:themeColor="text1"/>
          <w:lang w:val="en-AU"/>
        </w:rPr>
      </w:pPr>
      <w:r w:rsidRPr="00FB2D03">
        <w:rPr>
          <w:color w:val="000000" w:themeColor="text1"/>
          <w:lang w:val="en-AU"/>
        </w:rPr>
        <w:lastRenderedPageBreak/>
        <w:t>Levine, Amy-Jill, and Marc Zvi Brettler. </w:t>
      </w:r>
      <w:r w:rsidRPr="00FB2D03">
        <w:rPr>
          <w:i/>
          <w:color w:val="000000" w:themeColor="text1"/>
          <w:lang w:val="en-AU"/>
        </w:rPr>
        <w:t>The Jewish Annotated New Testament</w:t>
      </w:r>
      <w:r w:rsidRPr="00FB2D03">
        <w:rPr>
          <w:color w:val="000000" w:themeColor="text1"/>
          <w:lang w:val="en-AU"/>
        </w:rPr>
        <w:t xml:space="preserve">. 2nd ed. </w:t>
      </w:r>
    </w:p>
    <w:p w14:paraId="716A9226" w14:textId="212C4B56" w:rsidR="00412D77" w:rsidRPr="00FB2D03" w:rsidRDefault="00412D77" w:rsidP="00AD1181">
      <w:pPr>
        <w:tabs>
          <w:tab w:val="left" w:pos="5616"/>
        </w:tabs>
        <w:ind w:left="720"/>
        <w:rPr>
          <w:color w:val="000000" w:themeColor="text1"/>
          <w:lang w:val="en-AU"/>
        </w:rPr>
      </w:pPr>
      <w:r w:rsidRPr="00FB2D03">
        <w:rPr>
          <w:color w:val="000000" w:themeColor="text1"/>
          <w:lang w:val="en-AU"/>
        </w:rPr>
        <w:t>Oxford: Oxford University Press, 2017.</w:t>
      </w:r>
    </w:p>
    <w:p w14:paraId="20759D4A" w14:textId="77777777" w:rsidR="00412D77" w:rsidRPr="00FB2D03" w:rsidRDefault="00412D77" w:rsidP="00412D77">
      <w:pPr>
        <w:tabs>
          <w:tab w:val="left" w:pos="5616"/>
        </w:tabs>
        <w:rPr>
          <w:color w:val="000000" w:themeColor="text1"/>
          <w:lang w:val="en-AU"/>
        </w:rPr>
      </w:pPr>
    </w:p>
    <w:p w14:paraId="21A6A71D"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Levine, Barukh A. </w:t>
      </w:r>
      <w:r w:rsidRPr="00FB2D03">
        <w:rPr>
          <w:i/>
          <w:color w:val="000000" w:themeColor="text1"/>
          <w:lang w:val="en-AU"/>
        </w:rPr>
        <w:t>The JPS Commentary: Leviticus</w:t>
      </w:r>
      <w:r w:rsidRPr="00FB2D03">
        <w:rPr>
          <w:color w:val="000000" w:themeColor="text1"/>
          <w:lang w:val="en-AU"/>
        </w:rPr>
        <w:t xml:space="preserve">. Philadelphia: Jewish Publication </w:t>
      </w:r>
    </w:p>
    <w:p w14:paraId="70CDED24" w14:textId="20ECFDB2" w:rsidR="00412D77" w:rsidRPr="00FB2D03" w:rsidRDefault="01B55689" w:rsidP="01B55689">
      <w:pPr>
        <w:tabs>
          <w:tab w:val="left" w:pos="5616"/>
        </w:tabs>
        <w:ind w:left="720"/>
        <w:rPr>
          <w:color w:val="000000" w:themeColor="text1"/>
          <w:lang w:val="en-AU"/>
        </w:rPr>
      </w:pPr>
      <w:r w:rsidRPr="00FB2D03">
        <w:rPr>
          <w:color w:val="000000" w:themeColor="text1"/>
          <w:lang w:val="en-AU"/>
        </w:rPr>
        <w:t>Society, 1989.</w:t>
      </w:r>
    </w:p>
    <w:p w14:paraId="6C895D3D" w14:textId="77777777" w:rsidR="00416C83" w:rsidRPr="00FB2D03" w:rsidRDefault="00416C83" w:rsidP="00412D77">
      <w:pPr>
        <w:tabs>
          <w:tab w:val="left" w:pos="5616"/>
        </w:tabs>
        <w:rPr>
          <w:color w:val="000000" w:themeColor="text1"/>
          <w:lang w:val="en-AU"/>
        </w:rPr>
      </w:pPr>
    </w:p>
    <w:p w14:paraId="5FC5B28A"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Levine, Lee. </w:t>
      </w:r>
      <w:r w:rsidRPr="00FB2D03">
        <w:rPr>
          <w:i/>
          <w:color w:val="000000" w:themeColor="text1"/>
          <w:lang w:val="en-AU"/>
        </w:rPr>
        <w:t>Jerusalem: Portrait of the City. The Second Temple Period (538 B.C.E–</w:t>
      </w:r>
    </w:p>
    <w:p w14:paraId="270F6E66" w14:textId="40DFAB91" w:rsidR="00412D77" w:rsidRPr="00FB2D03" w:rsidRDefault="00412D77" w:rsidP="00AD1181">
      <w:pPr>
        <w:tabs>
          <w:tab w:val="left" w:pos="5616"/>
        </w:tabs>
        <w:ind w:left="720"/>
        <w:rPr>
          <w:color w:val="000000" w:themeColor="text1"/>
          <w:lang w:val="en-AU"/>
        </w:rPr>
      </w:pPr>
      <w:r w:rsidRPr="00FB2D03">
        <w:rPr>
          <w:i/>
          <w:color w:val="000000" w:themeColor="text1"/>
          <w:lang w:val="en-AU"/>
        </w:rPr>
        <w:t>70 C.E.).</w:t>
      </w:r>
      <w:r w:rsidRPr="00FB2D03">
        <w:rPr>
          <w:color w:val="000000" w:themeColor="text1"/>
          <w:lang w:val="en-AU"/>
        </w:rPr>
        <w:t xml:space="preserve"> Philadelphia: Jewish Publication Society, 2002.</w:t>
      </w:r>
    </w:p>
    <w:p w14:paraId="160AFD53" w14:textId="77777777" w:rsidR="00412D77" w:rsidRPr="00FB2D03" w:rsidRDefault="00412D77" w:rsidP="00412D77">
      <w:pPr>
        <w:tabs>
          <w:tab w:val="left" w:pos="5616"/>
        </w:tabs>
        <w:rPr>
          <w:color w:val="000000" w:themeColor="text1"/>
          <w:lang w:val="en-AU"/>
        </w:rPr>
      </w:pPr>
    </w:p>
    <w:p w14:paraId="6645C1F1" w14:textId="77777777" w:rsidR="00416C83" w:rsidRPr="00FB2D03" w:rsidRDefault="00412D77" w:rsidP="00412D77">
      <w:pPr>
        <w:tabs>
          <w:tab w:val="left" w:pos="5616"/>
        </w:tabs>
        <w:rPr>
          <w:color w:val="000000" w:themeColor="text1"/>
          <w:lang w:val="en-AU"/>
        </w:rPr>
      </w:pPr>
      <w:r w:rsidRPr="00FB2D03">
        <w:rPr>
          <w:color w:val="000000" w:themeColor="text1"/>
          <w:lang w:val="en-AU"/>
        </w:rPr>
        <w:t>L’Heureux, Conrad E. “Understanding the Old Testament Prophecies.” </w:t>
      </w:r>
      <w:r w:rsidRPr="00FB2D03">
        <w:rPr>
          <w:i/>
          <w:color w:val="000000" w:themeColor="text1"/>
          <w:lang w:val="en-AU"/>
        </w:rPr>
        <w:t>Bible Today</w:t>
      </w:r>
      <w:r w:rsidRPr="00FB2D03">
        <w:rPr>
          <w:color w:val="000000" w:themeColor="text1"/>
          <w:lang w:val="en-AU"/>
        </w:rPr>
        <w:t xml:space="preserve"> 23 </w:t>
      </w:r>
    </w:p>
    <w:p w14:paraId="3EA50A75" w14:textId="118CEBFB" w:rsidR="00412D77" w:rsidRPr="00FB2D03" w:rsidRDefault="00412D77" w:rsidP="00AD1181">
      <w:pPr>
        <w:tabs>
          <w:tab w:val="left" w:pos="5616"/>
        </w:tabs>
        <w:ind w:left="720"/>
        <w:rPr>
          <w:color w:val="000000" w:themeColor="text1"/>
          <w:lang w:val="en-AU"/>
        </w:rPr>
      </w:pPr>
      <w:r w:rsidRPr="00FB2D03">
        <w:rPr>
          <w:color w:val="000000" w:themeColor="text1"/>
          <w:lang w:val="en-AU"/>
        </w:rPr>
        <w:t>(1985): 51–59.</w:t>
      </w:r>
    </w:p>
    <w:p w14:paraId="5C8EF1E9" w14:textId="77777777" w:rsidR="00412D77" w:rsidRPr="00FB2D03" w:rsidRDefault="00412D77" w:rsidP="00412D77">
      <w:pPr>
        <w:tabs>
          <w:tab w:val="left" w:pos="5616"/>
        </w:tabs>
        <w:rPr>
          <w:color w:val="000000" w:themeColor="text1"/>
          <w:lang w:val="en-AU"/>
        </w:rPr>
      </w:pPr>
    </w:p>
    <w:p w14:paraId="5A7D5EB3"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Licht, Jacob. “Time and Eschatology in Apocalyptic Literature and in Qumran.” </w:t>
      </w:r>
      <w:r w:rsidRPr="00FB2D03">
        <w:rPr>
          <w:i/>
          <w:color w:val="000000" w:themeColor="text1"/>
          <w:lang w:val="en-AU"/>
        </w:rPr>
        <w:t xml:space="preserve">Journal of </w:t>
      </w:r>
    </w:p>
    <w:p w14:paraId="72E35574" w14:textId="2ADF7AF9"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Ancient Judaism Supplements </w:t>
      </w:r>
      <w:r w:rsidRPr="00FB2D03">
        <w:rPr>
          <w:color w:val="000000" w:themeColor="text1"/>
          <w:lang w:val="en-AU"/>
        </w:rPr>
        <w:t>16 (1965): 173–182.</w:t>
      </w:r>
    </w:p>
    <w:p w14:paraId="16522CDE" w14:textId="77777777" w:rsidR="00412D77" w:rsidRPr="00FB2D03" w:rsidRDefault="00412D77" w:rsidP="00412D77">
      <w:pPr>
        <w:tabs>
          <w:tab w:val="left" w:pos="5616"/>
        </w:tabs>
        <w:rPr>
          <w:color w:val="000000" w:themeColor="text1"/>
          <w:lang w:val="en-AU"/>
        </w:rPr>
      </w:pPr>
    </w:p>
    <w:p w14:paraId="34CF209A"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Lichtenberger, Hermann. “Messianic Expectations and Messianic Figures in the Second </w:t>
      </w:r>
    </w:p>
    <w:p w14:paraId="698FFF83" w14:textId="4EA1EB5D" w:rsidR="00412D77" w:rsidRPr="00FB2D03" w:rsidRDefault="00412D77" w:rsidP="00AD1181">
      <w:pPr>
        <w:tabs>
          <w:tab w:val="left" w:pos="5616"/>
        </w:tabs>
        <w:ind w:left="720"/>
        <w:rPr>
          <w:color w:val="000000" w:themeColor="text1"/>
          <w:lang w:val="en-AU"/>
        </w:rPr>
      </w:pPr>
      <w:r w:rsidRPr="00FB2D03">
        <w:rPr>
          <w:color w:val="000000" w:themeColor="text1"/>
          <w:lang w:val="en-AU"/>
        </w:rPr>
        <w:t>Temple Period.” In </w:t>
      </w:r>
      <w:r w:rsidRPr="00FB2D03">
        <w:rPr>
          <w:i/>
          <w:color w:val="000000" w:themeColor="text1"/>
          <w:lang w:val="en-AU"/>
        </w:rPr>
        <w:t>Qumran-Messianism: Studies on the Messianic Expectations in the Dead Sea Scrolls</w:t>
      </w:r>
      <w:r w:rsidRPr="00FB2D03">
        <w:rPr>
          <w:color w:val="000000" w:themeColor="text1"/>
          <w:lang w:val="en-AU"/>
        </w:rPr>
        <w:t>, ed. J. H. Charlesworth et al. (Tubingen: Mohr Siebeck, 1998), 9–20.</w:t>
      </w:r>
    </w:p>
    <w:p w14:paraId="544A2DA3" w14:textId="77777777" w:rsidR="00412D77" w:rsidRPr="00FB2D03" w:rsidRDefault="00412D77" w:rsidP="00412D77">
      <w:pPr>
        <w:tabs>
          <w:tab w:val="left" w:pos="5616"/>
        </w:tabs>
        <w:rPr>
          <w:color w:val="000000" w:themeColor="text1"/>
          <w:lang w:val="en-AU"/>
        </w:rPr>
      </w:pPr>
    </w:p>
    <w:p w14:paraId="3CC5B961"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“Sedaka.” </w:t>
      </w:r>
      <w:r w:rsidRPr="00FB2D03">
        <w:rPr>
          <w:i/>
          <w:color w:val="000000" w:themeColor="text1"/>
          <w:lang w:val="en-AU"/>
        </w:rPr>
        <w:t>Encyclopedia Biblica</w:t>
      </w:r>
      <w:r w:rsidRPr="00FB2D03">
        <w:rPr>
          <w:color w:val="000000" w:themeColor="text1"/>
          <w:lang w:val="en-AU"/>
        </w:rPr>
        <w:t>. Jerusalem: Mosad Bialik, 1962.</w:t>
      </w:r>
    </w:p>
    <w:p w14:paraId="08659F0D" w14:textId="77777777" w:rsidR="00412D77" w:rsidRPr="00FB2D03" w:rsidRDefault="00412D77" w:rsidP="00412D77">
      <w:pPr>
        <w:tabs>
          <w:tab w:val="left" w:pos="5616"/>
        </w:tabs>
        <w:rPr>
          <w:color w:val="000000" w:themeColor="text1"/>
          <w:lang w:val="en-AU"/>
        </w:rPr>
      </w:pPr>
    </w:p>
    <w:p w14:paraId="6F47E8AF"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Liddell, Henry George and Robert Scott, eds. </w:t>
      </w:r>
      <w:r w:rsidRPr="00FB2D03">
        <w:rPr>
          <w:i/>
          <w:color w:val="000000" w:themeColor="text1"/>
          <w:lang w:val="en-AU"/>
        </w:rPr>
        <w:t>A Greek–English Lexicon.</w:t>
      </w:r>
      <w:r w:rsidRPr="00FB2D03">
        <w:rPr>
          <w:color w:val="000000" w:themeColor="text1"/>
          <w:lang w:val="en-AU"/>
        </w:rPr>
        <w:t xml:space="preserve"> Oxford: Clarendon </w:t>
      </w:r>
    </w:p>
    <w:p w14:paraId="3D935CE9" w14:textId="3199AB28" w:rsidR="00412D77" w:rsidRPr="00FB2D03" w:rsidRDefault="00412D77" w:rsidP="00AD1181">
      <w:pPr>
        <w:tabs>
          <w:tab w:val="left" w:pos="5616"/>
        </w:tabs>
        <w:ind w:left="720"/>
        <w:rPr>
          <w:color w:val="000000" w:themeColor="text1"/>
          <w:lang w:val="en-AU"/>
        </w:rPr>
      </w:pPr>
      <w:r w:rsidRPr="00FB2D03">
        <w:rPr>
          <w:color w:val="000000" w:themeColor="text1"/>
          <w:lang w:val="en-AU"/>
        </w:rPr>
        <w:t>Press, 1996.</w:t>
      </w:r>
    </w:p>
    <w:p w14:paraId="59603068" w14:textId="77777777" w:rsidR="00412D77" w:rsidRPr="00FB2D03" w:rsidRDefault="00412D77" w:rsidP="00412D77">
      <w:pPr>
        <w:tabs>
          <w:tab w:val="left" w:pos="5616"/>
        </w:tabs>
        <w:rPr>
          <w:color w:val="000000" w:themeColor="text1"/>
          <w:lang w:val="en-AU"/>
        </w:rPr>
      </w:pPr>
    </w:p>
    <w:p w14:paraId="5A2DF6D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Lieber, Moshe. </w:t>
      </w:r>
      <w:r w:rsidRPr="00FB2D03">
        <w:rPr>
          <w:i/>
          <w:color w:val="000000" w:themeColor="text1"/>
          <w:lang w:val="en-AU"/>
        </w:rPr>
        <w:t>The Pirkei Avos Treasury</w:t>
      </w:r>
      <w:r w:rsidRPr="00FB2D03">
        <w:rPr>
          <w:color w:val="000000" w:themeColor="text1"/>
          <w:lang w:val="en-AU"/>
        </w:rPr>
        <w:t xml:space="preserve">. Brooklyn: Mesorah, 1997. </w:t>
      </w:r>
    </w:p>
    <w:p w14:paraId="3063C058" w14:textId="77777777" w:rsidR="00412D77" w:rsidRPr="00FB2D03" w:rsidRDefault="00412D77" w:rsidP="00412D77">
      <w:pPr>
        <w:tabs>
          <w:tab w:val="left" w:pos="5616"/>
        </w:tabs>
        <w:rPr>
          <w:color w:val="000000" w:themeColor="text1"/>
          <w:lang w:val="en-AU"/>
        </w:rPr>
      </w:pPr>
    </w:p>
    <w:p w14:paraId="2DB27B9A" w14:textId="77777777" w:rsidR="00416C83" w:rsidRPr="00FB2D03" w:rsidRDefault="00412D77" w:rsidP="00412D77">
      <w:pPr>
        <w:tabs>
          <w:tab w:val="left" w:pos="5616"/>
        </w:tabs>
        <w:rPr>
          <w:color w:val="000000" w:themeColor="text1"/>
          <w:lang w:val="en-AU"/>
        </w:rPr>
      </w:pPr>
      <w:r w:rsidRPr="00FB2D03">
        <w:rPr>
          <w:color w:val="000000" w:themeColor="text1"/>
          <w:lang w:val="en-AU"/>
        </w:rPr>
        <w:t>Lieber, Moshe and Nosson Scherman, </w:t>
      </w:r>
      <w:r w:rsidRPr="00FB2D03">
        <w:rPr>
          <w:i/>
          <w:color w:val="000000" w:themeColor="text1"/>
          <w:lang w:val="en-AU"/>
        </w:rPr>
        <w:t>The Pirkei Avos Treasury</w:t>
      </w:r>
      <w:r w:rsidRPr="00FB2D03">
        <w:rPr>
          <w:color w:val="000000" w:themeColor="text1"/>
          <w:lang w:val="en-AU"/>
        </w:rPr>
        <w:t xml:space="preserve">. Brooklyn: Mesorah </w:t>
      </w:r>
    </w:p>
    <w:p w14:paraId="7DD6BDD1" w14:textId="06C0CE2E" w:rsidR="00412D77" w:rsidRPr="00FB2D03" w:rsidRDefault="00412D77" w:rsidP="00AD1181">
      <w:pPr>
        <w:tabs>
          <w:tab w:val="left" w:pos="5616"/>
        </w:tabs>
        <w:ind w:left="720"/>
        <w:rPr>
          <w:color w:val="000000" w:themeColor="text1"/>
          <w:lang w:val="en-AU"/>
        </w:rPr>
      </w:pPr>
      <w:r w:rsidRPr="00FB2D03">
        <w:rPr>
          <w:color w:val="000000" w:themeColor="text1"/>
          <w:lang w:val="en-AU"/>
        </w:rPr>
        <w:t>Publications, 1995.</w:t>
      </w:r>
    </w:p>
    <w:p w14:paraId="323CF090" w14:textId="77777777" w:rsidR="00412D77" w:rsidRPr="00FB2D03" w:rsidRDefault="00412D77" w:rsidP="00412D77">
      <w:pPr>
        <w:tabs>
          <w:tab w:val="left" w:pos="5616"/>
        </w:tabs>
        <w:rPr>
          <w:color w:val="000000" w:themeColor="text1"/>
          <w:lang w:val="en-AU"/>
        </w:rPr>
      </w:pPr>
    </w:p>
    <w:p w14:paraId="4AE4AE5D"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Lieberman, Saul. </w:t>
      </w:r>
      <w:r w:rsidRPr="00FB2D03">
        <w:rPr>
          <w:i/>
          <w:color w:val="000000" w:themeColor="text1"/>
          <w:lang w:val="en-AU"/>
        </w:rPr>
        <w:t>Hellenism in Jewish Palestine</w:t>
      </w:r>
      <w:r w:rsidRPr="00FB2D03">
        <w:rPr>
          <w:color w:val="000000" w:themeColor="text1"/>
          <w:lang w:val="en-AU"/>
        </w:rPr>
        <w:t xml:space="preserve">. New York: Jewish Theological Seminary, </w:t>
      </w:r>
    </w:p>
    <w:p w14:paraId="66E5A50B" w14:textId="784003F4" w:rsidR="00412D77" w:rsidRPr="00FB2D03" w:rsidRDefault="00412D77" w:rsidP="00AD1181">
      <w:pPr>
        <w:tabs>
          <w:tab w:val="left" w:pos="5616"/>
        </w:tabs>
        <w:ind w:left="720"/>
        <w:rPr>
          <w:color w:val="000000" w:themeColor="text1"/>
          <w:lang w:val="en-AU"/>
        </w:rPr>
      </w:pPr>
      <w:r w:rsidRPr="00FB2D03">
        <w:rPr>
          <w:color w:val="000000" w:themeColor="text1"/>
          <w:lang w:val="en-AU"/>
        </w:rPr>
        <w:t>1950.</w:t>
      </w:r>
    </w:p>
    <w:p w14:paraId="12F983F2" w14:textId="77777777" w:rsidR="00412D77" w:rsidRPr="00FB2D03" w:rsidRDefault="00412D77" w:rsidP="00412D77">
      <w:pPr>
        <w:tabs>
          <w:tab w:val="left" w:pos="5616"/>
        </w:tabs>
        <w:rPr>
          <w:color w:val="000000" w:themeColor="text1"/>
          <w:lang w:val="en-AU"/>
        </w:rPr>
      </w:pPr>
    </w:p>
    <w:p w14:paraId="2E8220B7"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Lieu, Judith. </w:t>
      </w:r>
      <w:r w:rsidRPr="00FB2D03">
        <w:rPr>
          <w:i/>
          <w:color w:val="000000" w:themeColor="text1"/>
          <w:lang w:val="en-AU"/>
        </w:rPr>
        <w:t>Christian Identity in the Jewish and Graeco–Roman World</w:t>
      </w:r>
      <w:r w:rsidRPr="00FB2D03">
        <w:rPr>
          <w:color w:val="000000" w:themeColor="text1"/>
          <w:lang w:val="en-AU"/>
        </w:rPr>
        <w:t xml:space="preserve">. Oxford: Oxford </w:t>
      </w:r>
    </w:p>
    <w:p w14:paraId="09479271" w14:textId="4F87F9AC" w:rsidR="00412D77" w:rsidRPr="00FB2D03" w:rsidRDefault="00412D77" w:rsidP="00AD1181">
      <w:pPr>
        <w:tabs>
          <w:tab w:val="left" w:pos="5616"/>
        </w:tabs>
        <w:ind w:left="720"/>
        <w:rPr>
          <w:color w:val="000000" w:themeColor="text1"/>
          <w:lang w:val="en-AU"/>
        </w:rPr>
      </w:pPr>
      <w:r w:rsidRPr="00FB2D03">
        <w:rPr>
          <w:color w:val="000000" w:themeColor="text1"/>
          <w:lang w:val="en-AU"/>
        </w:rPr>
        <w:t>University Press, 2004.</w:t>
      </w:r>
    </w:p>
    <w:p w14:paraId="19C99D05" w14:textId="77777777" w:rsidR="00412D77" w:rsidRPr="00FB2D03" w:rsidRDefault="00412D77" w:rsidP="00412D77">
      <w:pPr>
        <w:tabs>
          <w:tab w:val="left" w:pos="5616"/>
        </w:tabs>
        <w:rPr>
          <w:color w:val="000000" w:themeColor="text1"/>
          <w:lang w:val="en-AU"/>
        </w:rPr>
      </w:pPr>
    </w:p>
    <w:p w14:paraId="2EF29BDE"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Little, Joshua. “A New Family: Jesus and the Coming of the Kingdom of God Reorient the </w:t>
      </w:r>
    </w:p>
    <w:p w14:paraId="6699837C" w14:textId="2F74CD3E" w:rsidR="00412D77" w:rsidRPr="00FB2D03" w:rsidRDefault="00412D77" w:rsidP="00AD1181">
      <w:pPr>
        <w:tabs>
          <w:tab w:val="left" w:pos="5616"/>
        </w:tabs>
        <w:ind w:left="720"/>
        <w:rPr>
          <w:color w:val="000000" w:themeColor="text1"/>
          <w:lang w:val="en-AU"/>
        </w:rPr>
      </w:pPr>
      <w:r w:rsidRPr="00FB2D03">
        <w:rPr>
          <w:color w:val="000000" w:themeColor="text1"/>
          <w:lang w:val="en-AU"/>
        </w:rPr>
        <w:t>Role of Women in God’s Mission.” </w:t>
      </w:r>
      <w:r w:rsidRPr="00FB2D03">
        <w:rPr>
          <w:i/>
          <w:color w:val="000000" w:themeColor="text1"/>
          <w:lang w:val="en-AU"/>
        </w:rPr>
        <w:t>Priscilla Papers </w:t>
      </w:r>
      <w:r w:rsidRPr="00FB2D03">
        <w:rPr>
          <w:color w:val="000000" w:themeColor="text1"/>
          <w:lang w:val="en-AU"/>
        </w:rPr>
        <w:t>34 (2020): 12–18. </w:t>
      </w:r>
    </w:p>
    <w:p w14:paraId="2A560E81" w14:textId="77777777" w:rsidR="00412D77" w:rsidRPr="00FB2D03" w:rsidRDefault="00412D77" w:rsidP="00412D77">
      <w:pPr>
        <w:tabs>
          <w:tab w:val="left" w:pos="5616"/>
        </w:tabs>
        <w:rPr>
          <w:color w:val="000000" w:themeColor="text1"/>
          <w:lang w:val="en-AU"/>
        </w:rPr>
      </w:pPr>
    </w:p>
    <w:p w14:paraId="583B0D9A"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Liver, Jacob. “The Doctrine of Two Messiahs in Sectarian Literature in the Time of the </w:t>
      </w:r>
    </w:p>
    <w:p w14:paraId="42773844" w14:textId="63C35905"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Second Commonwealth.” </w:t>
      </w:r>
      <w:r w:rsidRPr="00FB2D03">
        <w:rPr>
          <w:i/>
          <w:color w:val="000000" w:themeColor="text1"/>
          <w:lang w:val="en-AU"/>
        </w:rPr>
        <w:t>Harvard Theological Review</w:t>
      </w:r>
      <w:r w:rsidRPr="00FB2D03">
        <w:rPr>
          <w:color w:val="000000" w:themeColor="text1"/>
          <w:lang w:val="en-AU"/>
        </w:rPr>
        <w:t xml:space="preserve"> 52 (1959): 158, 160–1.</w:t>
      </w:r>
    </w:p>
    <w:p w14:paraId="72B65487" w14:textId="77777777" w:rsidR="00412D77" w:rsidRPr="00FB2D03" w:rsidRDefault="00412D77" w:rsidP="00412D77">
      <w:pPr>
        <w:tabs>
          <w:tab w:val="left" w:pos="5616"/>
        </w:tabs>
        <w:rPr>
          <w:color w:val="000000" w:themeColor="text1"/>
          <w:lang w:val="en-AU"/>
        </w:rPr>
      </w:pPr>
    </w:p>
    <w:p w14:paraId="12DD9A1D" w14:textId="77777777" w:rsidR="00416C83" w:rsidRPr="00FB2D03" w:rsidRDefault="00412D77" w:rsidP="00412D77">
      <w:pPr>
        <w:tabs>
          <w:tab w:val="left" w:pos="5616"/>
        </w:tabs>
        <w:rPr>
          <w:color w:val="000000" w:themeColor="text1"/>
          <w:lang w:val="en-AU"/>
        </w:rPr>
      </w:pPr>
      <w:r w:rsidRPr="00FB2D03">
        <w:rPr>
          <w:color w:val="000000" w:themeColor="text1"/>
          <w:lang w:val="en-AU"/>
        </w:rPr>
        <w:t>Liver</w:t>
      </w:r>
      <w:r w:rsidRPr="00FB2D03">
        <w:rPr>
          <w:i/>
          <w:color w:val="000000" w:themeColor="text1"/>
          <w:lang w:val="en-AU"/>
        </w:rPr>
        <w:t xml:space="preserve">, </w:t>
      </w:r>
      <w:r w:rsidRPr="00FB2D03">
        <w:rPr>
          <w:color w:val="000000" w:themeColor="text1"/>
          <w:lang w:val="en-AU"/>
        </w:rPr>
        <w:t>Yaakov.</w:t>
      </w:r>
      <w:r w:rsidRPr="00FB2D03">
        <w:rPr>
          <w:i/>
          <w:color w:val="000000" w:themeColor="text1"/>
          <w:lang w:val="en-AU"/>
        </w:rPr>
        <w:t xml:space="preserve"> Historia Tsvait Shel Eretz Israel BiTekufat Hamikra. </w:t>
      </w:r>
      <w:r w:rsidRPr="00FB2D03">
        <w:rPr>
          <w:color w:val="000000" w:themeColor="text1"/>
          <w:lang w:val="en-AU"/>
        </w:rPr>
        <w:t xml:space="preserve">Tel-Aviv: Maarachot, </w:t>
      </w:r>
    </w:p>
    <w:p w14:paraId="57D5B85A" w14:textId="6219CD15"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1964. </w:t>
      </w:r>
    </w:p>
    <w:p w14:paraId="3D0E3188" w14:textId="77777777" w:rsidR="00412D77" w:rsidRPr="00FB2D03" w:rsidRDefault="00412D77" w:rsidP="00412D77">
      <w:pPr>
        <w:tabs>
          <w:tab w:val="left" w:pos="5616"/>
        </w:tabs>
        <w:rPr>
          <w:color w:val="000000" w:themeColor="text1"/>
          <w:lang w:val="en-AU"/>
        </w:rPr>
      </w:pPr>
    </w:p>
    <w:p w14:paraId="656D22F5"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Livneh, Atar. “‘Love Your Fellow as Yourself’: The Interpretation of Leviticus 19:17-18 in </w:t>
      </w:r>
    </w:p>
    <w:p w14:paraId="648F0A44" w14:textId="160553D0" w:rsidR="00412D77" w:rsidRPr="00FB2D03" w:rsidRDefault="00412D77" w:rsidP="00AD1181">
      <w:pPr>
        <w:tabs>
          <w:tab w:val="left" w:pos="5616"/>
        </w:tabs>
        <w:ind w:left="720"/>
        <w:rPr>
          <w:color w:val="000000" w:themeColor="text1"/>
          <w:lang w:val="en-AU"/>
        </w:rPr>
      </w:pPr>
      <w:r w:rsidRPr="00FB2D03">
        <w:rPr>
          <w:color w:val="000000" w:themeColor="text1"/>
          <w:lang w:val="en-AU"/>
        </w:rPr>
        <w:t>the Book of Jubilees.” </w:t>
      </w:r>
      <w:r w:rsidRPr="00FB2D03">
        <w:rPr>
          <w:i/>
          <w:color w:val="000000" w:themeColor="text1"/>
          <w:lang w:val="en-AU"/>
        </w:rPr>
        <w:t>Dead Sea Discoveries</w:t>
      </w:r>
      <w:r w:rsidRPr="00FB2D03">
        <w:rPr>
          <w:color w:val="000000" w:themeColor="text1"/>
          <w:lang w:val="en-AU"/>
        </w:rPr>
        <w:t> 18 (2011): 173–99.</w:t>
      </w:r>
    </w:p>
    <w:p w14:paraId="5E89C711" w14:textId="77777777" w:rsidR="00412D77" w:rsidRPr="00FB2D03" w:rsidRDefault="00412D77" w:rsidP="00412D77">
      <w:pPr>
        <w:tabs>
          <w:tab w:val="left" w:pos="5616"/>
        </w:tabs>
        <w:rPr>
          <w:color w:val="000000" w:themeColor="text1"/>
          <w:lang w:val="en-AU"/>
        </w:rPr>
      </w:pPr>
    </w:p>
    <w:p w14:paraId="615C4CF1"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Loader, William. “What Light Does Matthew’s Use of Mark in Matthew 1–4 Throw on </w:t>
      </w:r>
    </w:p>
    <w:p w14:paraId="66A6B462" w14:textId="79843E70" w:rsidR="00412D77" w:rsidRPr="00FB2D03" w:rsidRDefault="00412D77" w:rsidP="00AD1181">
      <w:pPr>
        <w:tabs>
          <w:tab w:val="left" w:pos="5616"/>
        </w:tabs>
        <w:ind w:left="720"/>
        <w:rPr>
          <w:color w:val="000000" w:themeColor="text1"/>
          <w:lang w:val="en-AU"/>
        </w:rPr>
      </w:pPr>
      <w:r w:rsidRPr="00FB2D03">
        <w:rPr>
          <w:color w:val="000000" w:themeColor="text1"/>
          <w:lang w:val="en-AU"/>
        </w:rPr>
        <w:t>Matthew’s Theological Location?” </w:t>
      </w:r>
      <w:r w:rsidRPr="00FB2D03">
        <w:rPr>
          <w:i/>
          <w:color w:val="000000" w:themeColor="text1"/>
          <w:lang w:val="en-AU"/>
        </w:rPr>
        <w:t>Hervormde Teologiese Studies</w:t>
      </w:r>
      <w:r w:rsidRPr="00FB2D03">
        <w:rPr>
          <w:color w:val="000000" w:themeColor="text1"/>
          <w:lang w:val="en-AU"/>
        </w:rPr>
        <w:t> 72 (2016): 1–11.</w:t>
      </w:r>
    </w:p>
    <w:p w14:paraId="2463124F" w14:textId="77777777" w:rsidR="00412D77" w:rsidRPr="00FB2D03" w:rsidRDefault="00412D77" w:rsidP="00412D77">
      <w:pPr>
        <w:tabs>
          <w:tab w:val="left" w:pos="5616"/>
        </w:tabs>
        <w:rPr>
          <w:color w:val="000000" w:themeColor="text1"/>
          <w:lang w:val="en-AU"/>
        </w:rPr>
      </w:pPr>
    </w:p>
    <w:p w14:paraId="6A056DAB"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________. “‘Not as the Gentiles’: Sexual Issues at the Interface between Judaism and Its </w:t>
      </w:r>
    </w:p>
    <w:p w14:paraId="07C21A19" w14:textId="1BFA3D11" w:rsidR="00412D77" w:rsidRPr="00FB2D03" w:rsidRDefault="00412D77" w:rsidP="00AD1181">
      <w:pPr>
        <w:tabs>
          <w:tab w:val="left" w:pos="5616"/>
        </w:tabs>
        <w:ind w:left="720"/>
        <w:rPr>
          <w:color w:val="000000" w:themeColor="text1"/>
          <w:lang w:val="en-AU"/>
        </w:rPr>
      </w:pPr>
      <w:r w:rsidRPr="00FB2D03">
        <w:rPr>
          <w:color w:val="000000" w:themeColor="text1"/>
          <w:lang w:val="en-AU"/>
        </w:rPr>
        <w:t>Greco-Roman World.” </w:t>
      </w:r>
      <w:r w:rsidRPr="00FB2D03">
        <w:rPr>
          <w:i/>
          <w:color w:val="000000" w:themeColor="text1"/>
          <w:lang w:val="en-AU"/>
        </w:rPr>
        <w:t>Religions</w:t>
      </w:r>
      <w:r w:rsidRPr="00FB2D03">
        <w:rPr>
          <w:color w:val="000000" w:themeColor="text1"/>
          <w:lang w:val="en-AU"/>
        </w:rPr>
        <w:t xml:space="preserve"> 9 (2018): 258. </w:t>
      </w:r>
    </w:p>
    <w:p w14:paraId="3C6FE9CE" w14:textId="77777777" w:rsidR="00412D77" w:rsidRPr="00FB2D03" w:rsidRDefault="00412D77" w:rsidP="00412D77">
      <w:pPr>
        <w:tabs>
          <w:tab w:val="left" w:pos="5616"/>
        </w:tabs>
        <w:rPr>
          <w:color w:val="000000" w:themeColor="text1"/>
          <w:lang w:val="en-AU"/>
        </w:rPr>
      </w:pPr>
    </w:p>
    <w:p w14:paraId="2B33FF64"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________. “The New Dead Sea Scrolls: New Light on Messianism &amp; the History of the </w:t>
      </w:r>
    </w:p>
    <w:p w14:paraId="2C694A92" w14:textId="0E3BE7B0" w:rsidR="00412D77" w:rsidRPr="00FB2D03" w:rsidRDefault="00412D77" w:rsidP="00AD1181">
      <w:pPr>
        <w:tabs>
          <w:tab w:val="left" w:pos="5616"/>
        </w:tabs>
        <w:ind w:left="720"/>
        <w:rPr>
          <w:color w:val="000000" w:themeColor="text1"/>
          <w:lang w:val="en-AU"/>
        </w:rPr>
      </w:pPr>
      <w:r w:rsidRPr="00FB2D03">
        <w:rPr>
          <w:color w:val="000000" w:themeColor="text1"/>
          <w:lang w:val="en-AU"/>
        </w:rPr>
        <w:t>Community.” </w:t>
      </w:r>
      <w:r w:rsidRPr="00FB2D03">
        <w:rPr>
          <w:i/>
          <w:color w:val="000000" w:themeColor="text1"/>
          <w:lang w:val="en-AU"/>
        </w:rPr>
        <w:t>Colloquium</w:t>
      </w:r>
      <w:r w:rsidRPr="00FB2D03">
        <w:rPr>
          <w:color w:val="000000" w:themeColor="text1"/>
          <w:lang w:val="en-AU"/>
        </w:rPr>
        <w:t> 25 (1993): 67–85.</w:t>
      </w:r>
    </w:p>
    <w:p w14:paraId="6BBDDBD4" w14:textId="77777777" w:rsidR="00BA4B64" w:rsidRPr="00FB2D03" w:rsidRDefault="00BA4B64" w:rsidP="00412D77">
      <w:pPr>
        <w:tabs>
          <w:tab w:val="left" w:pos="5616"/>
        </w:tabs>
        <w:rPr>
          <w:color w:val="000000" w:themeColor="text1"/>
          <w:lang w:val="en-AU"/>
        </w:rPr>
      </w:pPr>
    </w:p>
    <w:p w14:paraId="1C74AB5C" w14:textId="77777777" w:rsidR="00416C83" w:rsidRPr="00FB2D03" w:rsidRDefault="00412D77" w:rsidP="00412D77">
      <w:pPr>
        <w:tabs>
          <w:tab w:val="left" w:pos="5616"/>
        </w:tabs>
        <w:rPr>
          <w:color w:val="000000" w:themeColor="text1"/>
          <w:lang w:val="en-AU"/>
        </w:rPr>
      </w:pPr>
      <w:r w:rsidRPr="00FB2D03">
        <w:rPr>
          <w:color w:val="000000" w:themeColor="text1"/>
          <w:lang w:val="en-AU"/>
        </w:rPr>
        <w:t>Loewenberg, F. M. “Did Jews Abandon the Temple Mount?” </w:t>
      </w:r>
      <w:r w:rsidRPr="00FB2D03">
        <w:rPr>
          <w:i/>
          <w:color w:val="000000" w:themeColor="text1"/>
          <w:lang w:val="en-AU"/>
        </w:rPr>
        <w:t>Middle East Quarterly</w:t>
      </w:r>
      <w:r w:rsidRPr="00FB2D03">
        <w:rPr>
          <w:color w:val="000000" w:themeColor="text1"/>
          <w:lang w:val="en-AU"/>
        </w:rPr>
        <w:t xml:space="preserve"> 20 </w:t>
      </w:r>
    </w:p>
    <w:p w14:paraId="6BA75896" w14:textId="489BCF83" w:rsidR="00412D77" w:rsidRPr="00FB2D03" w:rsidRDefault="00412D77" w:rsidP="00AD1181">
      <w:pPr>
        <w:tabs>
          <w:tab w:val="left" w:pos="5616"/>
        </w:tabs>
        <w:ind w:left="720"/>
        <w:rPr>
          <w:color w:val="000000" w:themeColor="text1"/>
          <w:lang w:val="en-AU"/>
        </w:rPr>
      </w:pPr>
      <w:r w:rsidRPr="00FB2D03">
        <w:rPr>
          <w:color w:val="000000" w:themeColor="text1"/>
          <w:lang w:val="en-AU"/>
        </w:rPr>
        <w:t>(2013): 37–48.</w:t>
      </w:r>
    </w:p>
    <w:p w14:paraId="0DFE5447" w14:textId="77777777" w:rsidR="00412D77" w:rsidRPr="00FB2D03" w:rsidRDefault="00412D77" w:rsidP="00412D77">
      <w:pPr>
        <w:tabs>
          <w:tab w:val="left" w:pos="5616"/>
        </w:tabs>
        <w:rPr>
          <w:color w:val="000000" w:themeColor="text1"/>
          <w:lang w:val="en-AU"/>
        </w:rPr>
      </w:pPr>
    </w:p>
    <w:p w14:paraId="28232E48"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Logan, Barbara Ellen. “Pedagogy and Punishment: Distinguishing between Erudire and </w:t>
      </w:r>
    </w:p>
    <w:p w14:paraId="70F3DCEA" w14:textId="7AEE6EF2" w:rsidR="00412D77" w:rsidRPr="00FB2D03" w:rsidRDefault="00412D77" w:rsidP="00AD1181">
      <w:pPr>
        <w:tabs>
          <w:tab w:val="left" w:pos="5616"/>
        </w:tabs>
        <w:ind w:left="720"/>
        <w:rPr>
          <w:color w:val="000000" w:themeColor="text1"/>
          <w:lang w:val="en-AU"/>
        </w:rPr>
      </w:pPr>
      <w:r w:rsidRPr="00FB2D03">
        <w:rPr>
          <w:color w:val="000000" w:themeColor="text1"/>
          <w:lang w:val="en-AU"/>
        </w:rPr>
        <w:t>Iniuria in Roman Education and Law.” </w:t>
      </w:r>
      <w:r w:rsidRPr="00FB2D03">
        <w:rPr>
          <w:i/>
          <w:color w:val="000000" w:themeColor="text1"/>
          <w:lang w:val="en-AU"/>
        </w:rPr>
        <w:t>Journal on European History of Law</w:t>
      </w:r>
      <w:r w:rsidRPr="00FB2D03">
        <w:rPr>
          <w:color w:val="000000" w:themeColor="text1"/>
          <w:lang w:val="en-AU"/>
        </w:rPr>
        <w:t> 10 (2019): 157–61.</w:t>
      </w:r>
    </w:p>
    <w:p w14:paraId="566EF4E4" w14:textId="77777777" w:rsidR="00412D77" w:rsidRPr="00FB2D03" w:rsidRDefault="00412D77" w:rsidP="00412D77">
      <w:pPr>
        <w:tabs>
          <w:tab w:val="left" w:pos="5616"/>
        </w:tabs>
        <w:rPr>
          <w:color w:val="000000" w:themeColor="text1"/>
          <w:lang w:val="en-AU"/>
        </w:rPr>
      </w:pPr>
    </w:p>
    <w:p w14:paraId="79B5C0A4"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Long, P. J. </w:t>
      </w:r>
      <w:r w:rsidRPr="00FB2D03">
        <w:rPr>
          <w:i/>
          <w:color w:val="000000" w:themeColor="text1"/>
          <w:lang w:val="en-AU"/>
        </w:rPr>
        <w:t>Do Not Retaliate – Matthew 5:38–42</w:t>
      </w:r>
      <w:r w:rsidRPr="00FB2D03">
        <w:rPr>
          <w:color w:val="000000" w:themeColor="text1"/>
          <w:lang w:val="en-AU"/>
        </w:rPr>
        <w:t>. Grand Rapids: Newstex, 2018.</w:t>
      </w:r>
    </w:p>
    <w:p w14:paraId="4CAC5069" w14:textId="77777777" w:rsidR="00412D77" w:rsidRPr="00FB2D03" w:rsidRDefault="00412D77" w:rsidP="00412D77">
      <w:pPr>
        <w:tabs>
          <w:tab w:val="left" w:pos="5616"/>
        </w:tabs>
        <w:rPr>
          <w:color w:val="000000" w:themeColor="text1"/>
          <w:lang w:val="en-AU"/>
        </w:rPr>
      </w:pPr>
    </w:p>
    <w:p w14:paraId="4B07DC6F" w14:textId="77777777" w:rsidR="00416C83" w:rsidRPr="00FB2D03" w:rsidRDefault="00412D77" w:rsidP="00412D77">
      <w:pPr>
        <w:tabs>
          <w:tab w:val="left" w:pos="5616"/>
        </w:tabs>
        <w:rPr>
          <w:color w:val="000000" w:themeColor="text1"/>
          <w:lang w:val="en-AU"/>
        </w:rPr>
      </w:pPr>
      <w:r w:rsidRPr="00FB2D03">
        <w:rPr>
          <w:color w:val="000000" w:themeColor="text1"/>
          <w:lang w:val="en-AU"/>
        </w:rPr>
        <w:t>Luz, Ulrich, and Rosemary Selle. </w:t>
      </w:r>
      <w:r w:rsidRPr="00FB2D03">
        <w:rPr>
          <w:i/>
          <w:color w:val="000000" w:themeColor="text1"/>
          <w:lang w:val="en-AU"/>
        </w:rPr>
        <w:t>Studies in Matthew</w:t>
      </w:r>
      <w:r w:rsidRPr="00FB2D03">
        <w:rPr>
          <w:color w:val="000000" w:themeColor="text1"/>
          <w:lang w:val="en-AU"/>
        </w:rPr>
        <w:t xml:space="preserve">. Translated by Rosemary Selle. Grand </w:t>
      </w:r>
    </w:p>
    <w:p w14:paraId="0995974D" w14:textId="23609383" w:rsidR="00412D77" w:rsidRPr="00FB2D03" w:rsidRDefault="00412D77" w:rsidP="00AD1181">
      <w:pPr>
        <w:tabs>
          <w:tab w:val="left" w:pos="5616"/>
        </w:tabs>
        <w:ind w:left="720"/>
        <w:rPr>
          <w:color w:val="000000" w:themeColor="text1"/>
          <w:lang w:val="en-AU"/>
        </w:rPr>
      </w:pPr>
      <w:r w:rsidRPr="00FB2D03">
        <w:rPr>
          <w:color w:val="000000" w:themeColor="text1"/>
          <w:lang w:val="en-AU"/>
        </w:rPr>
        <w:t>Rapids: Eerdmans, 2005.</w:t>
      </w:r>
    </w:p>
    <w:p w14:paraId="4ADA1F91" w14:textId="77777777" w:rsidR="00412D77" w:rsidRPr="00FB2D03" w:rsidRDefault="00412D77" w:rsidP="00412D77">
      <w:pPr>
        <w:tabs>
          <w:tab w:val="left" w:pos="5616"/>
        </w:tabs>
        <w:rPr>
          <w:color w:val="000000" w:themeColor="text1"/>
          <w:lang w:val="en-AU"/>
        </w:rPr>
      </w:pPr>
    </w:p>
    <w:p w14:paraId="2CF9D92A"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Maccoby, Hyam. “Jesus the Pharisee.” </w:t>
      </w:r>
      <w:r w:rsidRPr="00FB2D03">
        <w:rPr>
          <w:i/>
          <w:color w:val="000000" w:themeColor="text1"/>
          <w:lang w:val="en-AU"/>
        </w:rPr>
        <w:t>Jewish Quarterly</w:t>
      </w:r>
      <w:r w:rsidRPr="00FB2D03">
        <w:rPr>
          <w:color w:val="000000" w:themeColor="text1"/>
          <w:lang w:val="en-AU"/>
        </w:rPr>
        <w:t xml:space="preserve"> 194 (2004): 39–42.</w:t>
      </w:r>
    </w:p>
    <w:p w14:paraId="080CF1C9" w14:textId="77777777" w:rsidR="00412D77" w:rsidRPr="00FB2D03" w:rsidRDefault="00412D77" w:rsidP="00412D77">
      <w:pPr>
        <w:tabs>
          <w:tab w:val="left" w:pos="5616"/>
        </w:tabs>
        <w:rPr>
          <w:color w:val="000000" w:themeColor="text1"/>
          <w:lang w:val="en-AU"/>
        </w:rPr>
      </w:pPr>
    </w:p>
    <w:p w14:paraId="24A05002"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MacDonald, Margaret Y. </w:t>
      </w:r>
      <w:r w:rsidRPr="00FB2D03">
        <w:rPr>
          <w:i/>
          <w:color w:val="000000" w:themeColor="text1"/>
          <w:lang w:val="en-AU"/>
        </w:rPr>
        <w:t xml:space="preserve">The Pauline Churches: A Socio–Historical Study of </w:t>
      </w:r>
    </w:p>
    <w:p w14:paraId="73A4511B" w14:textId="267654CF" w:rsidR="00412D77" w:rsidRPr="00FB2D03" w:rsidRDefault="00412D77" w:rsidP="00AD1181">
      <w:pPr>
        <w:tabs>
          <w:tab w:val="left" w:pos="5616"/>
        </w:tabs>
        <w:ind w:left="720"/>
        <w:rPr>
          <w:color w:val="000000" w:themeColor="text1"/>
          <w:lang w:val="en-AU"/>
        </w:rPr>
      </w:pPr>
      <w:r w:rsidRPr="00FB2D03">
        <w:rPr>
          <w:i/>
          <w:color w:val="000000" w:themeColor="text1"/>
          <w:lang w:val="en-AU"/>
        </w:rPr>
        <w:t>Institutionalization in the Pauline and Deutero–Pauline Writings</w:t>
      </w:r>
      <w:r w:rsidRPr="00FB2D03">
        <w:rPr>
          <w:color w:val="000000" w:themeColor="text1"/>
          <w:lang w:val="en-AU"/>
        </w:rPr>
        <w:t>. Cambridge: Cambridge University Press, 1988.</w:t>
      </w:r>
    </w:p>
    <w:p w14:paraId="01C875A5" w14:textId="77777777" w:rsidR="00412D77" w:rsidRPr="00FB2D03" w:rsidRDefault="00412D77" w:rsidP="00412D77">
      <w:pPr>
        <w:tabs>
          <w:tab w:val="left" w:pos="5616"/>
        </w:tabs>
        <w:rPr>
          <w:color w:val="000000" w:themeColor="text1"/>
          <w:lang w:val="en-AU"/>
        </w:rPr>
      </w:pPr>
    </w:p>
    <w:p w14:paraId="64303A2F" w14:textId="77777777" w:rsidR="00416C83" w:rsidRPr="00FB2D03" w:rsidRDefault="00412D77" w:rsidP="00412D77">
      <w:pPr>
        <w:tabs>
          <w:tab w:val="left" w:pos="5616"/>
        </w:tabs>
        <w:rPr>
          <w:i/>
          <w:color w:val="000000" w:themeColor="text1"/>
          <w:lang w:val="en-AU"/>
        </w:rPr>
      </w:pPr>
      <w:r w:rsidRPr="00FB2D03">
        <w:rPr>
          <w:color w:val="000000" w:themeColor="text1"/>
          <w:lang w:val="en-AU"/>
        </w:rPr>
        <w:t>Machado, Jonas. “Qumran e as Identidades Plurais No Judaísmo Antigo.” </w:t>
      </w:r>
      <w:r w:rsidRPr="00FB2D03">
        <w:rPr>
          <w:i/>
          <w:color w:val="000000" w:themeColor="text1"/>
          <w:lang w:val="en-AU"/>
        </w:rPr>
        <w:t xml:space="preserve">Estudos de </w:t>
      </w:r>
    </w:p>
    <w:p w14:paraId="0255DFBC" w14:textId="21CD833B" w:rsidR="00412D77" w:rsidRPr="00FB2D03" w:rsidRDefault="00412D77" w:rsidP="00AD1181">
      <w:pPr>
        <w:tabs>
          <w:tab w:val="left" w:pos="5616"/>
        </w:tabs>
        <w:ind w:left="720"/>
        <w:rPr>
          <w:color w:val="000000" w:themeColor="text1"/>
          <w:lang w:val="en-AU"/>
        </w:rPr>
      </w:pPr>
      <w:r w:rsidRPr="00FB2D03">
        <w:rPr>
          <w:i/>
          <w:color w:val="000000" w:themeColor="text1"/>
          <w:lang w:val="en-AU"/>
        </w:rPr>
        <w:t>Religião</w:t>
      </w:r>
      <w:r w:rsidRPr="00FB2D03">
        <w:rPr>
          <w:color w:val="000000" w:themeColor="text1"/>
          <w:lang w:val="en-AU"/>
        </w:rPr>
        <w:t> 34 (2020): 105–29.</w:t>
      </w:r>
    </w:p>
    <w:p w14:paraId="3374E9E5" w14:textId="77777777" w:rsidR="00412D77" w:rsidRPr="00FB2D03" w:rsidRDefault="00412D77" w:rsidP="00412D77">
      <w:pPr>
        <w:tabs>
          <w:tab w:val="left" w:pos="5616"/>
        </w:tabs>
        <w:rPr>
          <w:color w:val="000000" w:themeColor="text1"/>
          <w:lang w:val="en-AU"/>
        </w:rPr>
      </w:pPr>
    </w:p>
    <w:p w14:paraId="790A7148" w14:textId="77777777" w:rsidR="00416C83" w:rsidRPr="00FB2D03" w:rsidRDefault="00412D77" w:rsidP="00412D77">
      <w:pPr>
        <w:tabs>
          <w:tab w:val="left" w:pos="5616"/>
        </w:tabs>
        <w:rPr>
          <w:i/>
          <w:color w:val="000000" w:themeColor="text1"/>
          <w:lang w:val="en-AU"/>
        </w:rPr>
      </w:pPr>
      <w:r w:rsidRPr="00FB2D03">
        <w:rPr>
          <w:color w:val="000000" w:themeColor="text1"/>
          <w:lang w:val="en-AU"/>
        </w:rPr>
        <w:t>Madden, M. Stuart. “The Graeco-Roman Antecedents of Modern Tort Law.” </w:t>
      </w:r>
      <w:r w:rsidRPr="00FB2D03">
        <w:rPr>
          <w:i/>
          <w:color w:val="000000" w:themeColor="text1"/>
          <w:lang w:val="en-AU"/>
        </w:rPr>
        <w:t xml:space="preserve">Brandeis Law </w:t>
      </w:r>
    </w:p>
    <w:p w14:paraId="273DC251" w14:textId="35C8F276" w:rsidR="00412D77" w:rsidRPr="00FB2D03" w:rsidRDefault="00412D77" w:rsidP="00AD1181">
      <w:pPr>
        <w:tabs>
          <w:tab w:val="left" w:pos="5616"/>
        </w:tabs>
        <w:ind w:left="720"/>
        <w:rPr>
          <w:color w:val="000000" w:themeColor="text1"/>
          <w:lang w:val="en-AU"/>
        </w:rPr>
      </w:pPr>
      <w:r w:rsidRPr="00FB2D03">
        <w:rPr>
          <w:i/>
          <w:color w:val="000000" w:themeColor="text1"/>
          <w:lang w:val="en-AU"/>
        </w:rPr>
        <w:t>Journal</w:t>
      </w:r>
      <w:r w:rsidRPr="00FB2D03">
        <w:rPr>
          <w:color w:val="000000" w:themeColor="text1"/>
          <w:lang w:val="en-AU"/>
        </w:rPr>
        <w:t> 44 (2006): 865–910.</w:t>
      </w:r>
    </w:p>
    <w:p w14:paraId="07545E3E" w14:textId="77777777" w:rsidR="00412D77" w:rsidRPr="00FB2D03" w:rsidRDefault="00412D77" w:rsidP="00412D77">
      <w:pPr>
        <w:tabs>
          <w:tab w:val="left" w:pos="5616"/>
        </w:tabs>
        <w:rPr>
          <w:color w:val="000000" w:themeColor="text1"/>
          <w:lang w:val="en-AU"/>
        </w:rPr>
      </w:pPr>
    </w:p>
    <w:p w14:paraId="2758F346"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Madigan, Patrick. “Jesus, the Essenes, and Christian Origins: New Light on Ancient Texts </w:t>
      </w:r>
    </w:p>
    <w:p w14:paraId="4AB02892" w14:textId="36925879" w:rsidR="00412D77" w:rsidRPr="00FB2D03" w:rsidRDefault="00412D77" w:rsidP="00AD1181">
      <w:pPr>
        <w:tabs>
          <w:tab w:val="left" w:pos="5616"/>
        </w:tabs>
        <w:ind w:left="720"/>
        <w:rPr>
          <w:color w:val="000000" w:themeColor="text1"/>
          <w:lang w:val="en-AU"/>
        </w:rPr>
      </w:pPr>
      <w:r w:rsidRPr="00FB2D03">
        <w:rPr>
          <w:color w:val="000000" w:themeColor="text1"/>
          <w:lang w:val="en-AU"/>
        </w:rPr>
        <w:t>and Communities.” Heythrop Journal 61(2020): 1028–29. </w:t>
      </w:r>
    </w:p>
    <w:p w14:paraId="63113DC8" w14:textId="77777777" w:rsidR="00412D77" w:rsidRPr="00FB2D03" w:rsidRDefault="00412D77" w:rsidP="00412D77">
      <w:pPr>
        <w:tabs>
          <w:tab w:val="left" w:pos="5616"/>
        </w:tabs>
        <w:rPr>
          <w:color w:val="000000" w:themeColor="text1"/>
          <w:lang w:val="en-AU"/>
        </w:rPr>
      </w:pPr>
    </w:p>
    <w:p w14:paraId="5EC2A119"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Magen, Yitzhaq., Levanah. Tsfania, and Hagai. Misgav. “The Hebrew and Aramaic </w:t>
      </w:r>
    </w:p>
    <w:p w14:paraId="277C0C35" w14:textId="10CE8B4C" w:rsidR="00412D77" w:rsidRPr="00FB2D03" w:rsidRDefault="00412D77" w:rsidP="00AD1181">
      <w:pPr>
        <w:tabs>
          <w:tab w:val="left" w:pos="5616"/>
        </w:tabs>
        <w:ind w:left="720"/>
        <w:rPr>
          <w:color w:val="000000" w:themeColor="text1"/>
          <w:lang w:val="en-AU"/>
        </w:rPr>
      </w:pPr>
      <w:r w:rsidRPr="00FB2D03">
        <w:rPr>
          <w:color w:val="000000" w:themeColor="text1"/>
          <w:lang w:val="en-AU"/>
        </w:rPr>
        <w:t>Inscriptions from Mt. Gerizim.” </w:t>
      </w:r>
      <w:r w:rsidRPr="00FB2D03">
        <w:rPr>
          <w:i/>
          <w:color w:val="000000" w:themeColor="text1"/>
          <w:lang w:val="en-AU"/>
        </w:rPr>
        <w:t>Qadmoniot</w:t>
      </w:r>
      <w:r w:rsidRPr="00FB2D03">
        <w:rPr>
          <w:color w:val="000000" w:themeColor="text1"/>
          <w:lang w:val="en-AU"/>
        </w:rPr>
        <w:t> 33 (2000): 125–32.</w:t>
      </w:r>
    </w:p>
    <w:p w14:paraId="5CED0BF8" w14:textId="77777777" w:rsidR="00412D77" w:rsidRPr="00FB2D03" w:rsidRDefault="00412D77" w:rsidP="00412D77">
      <w:pPr>
        <w:tabs>
          <w:tab w:val="left" w:pos="5616"/>
        </w:tabs>
        <w:rPr>
          <w:color w:val="000000" w:themeColor="text1"/>
          <w:lang w:val="en-AU"/>
        </w:rPr>
      </w:pPr>
    </w:p>
    <w:p w14:paraId="28C1DE4D"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Magness, Jodi. </w:t>
      </w:r>
      <w:r w:rsidRPr="00FB2D03">
        <w:rPr>
          <w:i/>
          <w:color w:val="000000" w:themeColor="text1"/>
          <w:lang w:val="en-AU"/>
        </w:rPr>
        <w:t>The Archaeology of Qumran and the Dead See Scrolls</w:t>
      </w:r>
      <w:r w:rsidRPr="00FB2D03">
        <w:rPr>
          <w:color w:val="000000" w:themeColor="text1"/>
          <w:lang w:val="en-AU"/>
        </w:rPr>
        <w:t xml:space="preserve">. Grand Rapids, MI: </w:t>
      </w:r>
    </w:p>
    <w:p w14:paraId="0CF10436" w14:textId="36AD1315" w:rsidR="00412D77" w:rsidRPr="00FB2D03" w:rsidRDefault="00412D77" w:rsidP="00AD1181">
      <w:pPr>
        <w:tabs>
          <w:tab w:val="left" w:pos="5616"/>
        </w:tabs>
        <w:ind w:left="720"/>
        <w:rPr>
          <w:color w:val="000000" w:themeColor="text1"/>
          <w:lang w:val="en-AU"/>
        </w:rPr>
      </w:pPr>
      <w:r w:rsidRPr="00FB2D03">
        <w:rPr>
          <w:color w:val="000000" w:themeColor="text1"/>
          <w:lang w:val="en-AU"/>
        </w:rPr>
        <w:t>Eerdmans, 2015.</w:t>
      </w:r>
    </w:p>
    <w:p w14:paraId="153B3A4D" w14:textId="77777777" w:rsidR="00412D77" w:rsidRPr="00FB2D03" w:rsidRDefault="00412D77" w:rsidP="00412D77">
      <w:pPr>
        <w:tabs>
          <w:tab w:val="left" w:pos="5616"/>
        </w:tabs>
        <w:rPr>
          <w:color w:val="000000" w:themeColor="text1"/>
          <w:lang w:val="en-AU"/>
        </w:rPr>
      </w:pPr>
    </w:p>
    <w:p w14:paraId="7D7B16BD"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Malina, Bruce. “Christ and Time: Swiss or Mediterranean?” In </w:t>
      </w:r>
      <w:r w:rsidRPr="00FB2D03">
        <w:rPr>
          <w:i/>
          <w:color w:val="000000" w:themeColor="text1"/>
          <w:lang w:val="en-AU"/>
        </w:rPr>
        <w:t xml:space="preserve">The Social World of the </w:t>
      </w:r>
    </w:p>
    <w:p w14:paraId="1C3855AC" w14:textId="76D8FD51" w:rsidR="00412D77" w:rsidRPr="00FB2D03" w:rsidRDefault="00412D77" w:rsidP="00AD1181">
      <w:pPr>
        <w:tabs>
          <w:tab w:val="left" w:pos="5616"/>
        </w:tabs>
        <w:ind w:left="720"/>
        <w:rPr>
          <w:color w:val="000000" w:themeColor="text1"/>
          <w:lang w:val="en-AU"/>
        </w:rPr>
      </w:pPr>
      <w:r w:rsidRPr="00FB2D03">
        <w:rPr>
          <w:i/>
          <w:color w:val="000000" w:themeColor="text1"/>
          <w:lang w:val="en-AU"/>
        </w:rPr>
        <w:t>Gospels</w:t>
      </w:r>
      <w:r w:rsidRPr="00FB2D03">
        <w:rPr>
          <w:color w:val="000000" w:themeColor="text1"/>
          <w:lang w:val="en-AU"/>
        </w:rPr>
        <w:t>. London: Routledge, 1996.</w:t>
      </w:r>
    </w:p>
    <w:p w14:paraId="383B55B7" w14:textId="77777777" w:rsidR="00412D77" w:rsidRPr="00FB2D03" w:rsidRDefault="00412D77" w:rsidP="00412D77">
      <w:pPr>
        <w:tabs>
          <w:tab w:val="left" w:pos="5616"/>
        </w:tabs>
        <w:rPr>
          <w:color w:val="000000" w:themeColor="text1"/>
          <w:lang w:val="en-AU"/>
        </w:rPr>
      </w:pPr>
    </w:p>
    <w:p w14:paraId="1241B848"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Malka, Orit, and Yakir Paz. “Ab Hostibus Captus et A Laronibus Captus: The Impact of the </w:t>
      </w:r>
    </w:p>
    <w:p w14:paraId="57542A17" w14:textId="2A7F7549" w:rsidR="00412D77" w:rsidRPr="00FB2D03" w:rsidRDefault="00412D77" w:rsidP="00AD1181">
      <w:pPr>
        <w:tabs>
          <w:tab w:val="left" w:pos="5616"/>
        </w:tabs>
        <w:ind w:left="720"/>
        <w:rPr>
          <w:color w:val="000000" w:themeColor="text1"/>
          <w:lang w:val="en-AU"/>
        </w:rPr>
      </w:pPr>
      <w:r w:rsidRPr="00FB2D03">
        <w:rPr>
          <w:color w:val="000000" w:themeColor="text1"/>
          <w:lang w:val="en-AU"/>
        </w:rPr>
        <w:t>Roman Model of Citizenship on Rabbinic Law.” </w:t>
      </w:r>
      <w:r w:rsidRPr="00FB2D03">
        <w:rPr>
          <w:i/>
          <w:color w:val="000000" w:themeColor="text1"/>
          <w:lang w:val="en-AU"/>
        </w:rPr>
        <w:t>Jewish Quarterly Review</w:t>
      </w:r>
      <w:r w:rsidRPr="00FB2D03">
        <w:rPr>
          <w:color w:val="000000" w:themeColor="text1"/>
          <w:lang w:val="en-AU"/>
        </w:rPr>
        <w:t> 109 (2019): 141–172.</w:t>
      </w:r>
    </w:p>
    <w:p w14:paraId="76C3296A" w14:textId="77777777" w:rsidR="000C7C50" w:rsidRPr="00FB2D03" w:rsidRDefault="000C7C50" w:rsidP="00AD1181">
      <w:pPr>
        <w:tabs>
          <w:tab w:val="left" w:pos="5616"/>
        </w:tabs>
        <w:ind w:left="720"/>
        <w:rPr>
          <w:color w:val="000000" w:themeColor="text1"/>
          <w:lang w:val="en-AU"/>
        </w:rPr>
      </w:pPr>
    </w:p>
    <w:p w14:paraId="71827BBE" w14:textId="77777777" w:rsidR="000C7C50" w:rsidRPr="00FB2D03" w:rsidRDefault="000C7C50" w:rsidP="000C7C50">
      <w:pPr>
        <w:tabs>
          <w:tab w:val="left" w:pos="5616"/>
        </w:tabs>
        <w:rPr>
          <w:lang w:val="en-AU"/>
        </w:rPr>
      </w:pPr>
      <w:r w:rsidRPr="00FB2D03">
        <w:rPr>
          <w:lang w:val="en-AU"/>
        </w:rPr>
        <w:t xml:space="preserve">Maloney, Robert P. “The Teaching of the Fathers </w:t>
      </w:r>
      <w:proofErr w:type="gramStart"/>
      <w:r w:rsidRPr="00FB2D03">
        <w:rPr>
          <w:lang w:val="en-AU"/>
        </w:rPr>
        <w:t>On</w:t>
      </w:r>
      <w:proofErr w:type="gramEnd"/>
      <w:r w:rsidRPr="00FB2D03">
        <w:rPr>
          <w:lang w:val="en-AU"/>
        </w:rPr>
        <w:t xml:space="preserve"> Usuary: An Historical Study on the </w:t>
      </w:r>
    </w:p>
    <w:p w14:paraId="68CFF9FE" w14:textId="2BEB0097" w:rsidR="000C7C50" w:rsidRPr="00FB2D03" w:rsidRDefault="000C7C50" w:rsidP="000C7C50">
      <w:pPr>
        <w:tabs>
          <w:tab w:val="left" w:pos="5616"/>
        </w:tabs>
        <w:ind w:left="720"/>
        <w:rPr>
          <w:color w:val="000000" w:themeColor="text1"/>
          <w:lang w:val="en-AU"/>
        </w:rPr>
      </w:pPr>
      <w:r w:rsidRPr="00FB2D03">
        <w:rPr>
          <w:lang w:val="en-AU"/>
        </w:rPr>
        <w:t xml:space="preserve">Development of Christian Thinking.” </w:t>
      </w:r>
      <w:r w:rsidRPr="00FB2D03">
        <w:rPr>
          <w:i/>
          <w:iCs/>
          <w:lang w:val="en-AU"/>
        </w:rPr>
        <w:t>Vigiliac Christianae</w:t>
      </w:r>
      <w:r w:rsidRPr="00FB2D03">
        <w:rPr>
          <w:lang w:val="en-AU"/>
        </w:rPr>
        <w:t xml:space="preserve"> 27 (1973): 241-265.</w:t>
      </w:r>
    </w:p>
    <w:p w14:paraId="52DFA1AD" w14:textId="77777777" w:rsidR="00412D77" w:rsidRPr="00FB2D03" w:rsidRDefault="00412D77" w:rsidP="00412D77">
      <w:pPr>
        <w:tabs>
          <w:tab w:val="left" w:pos="5616"/>
        </w:tabs>
        <w:rPr>
          <w:color w:val="000000" w:themeColor="text1"/>
          <w:lang w:val="en-AU"/>
        </w:rPr>
      </w:pPr>
    </w:p>
    <w:p w14:paraId="08F29621" w14:textId="77777777" w:rsidR="00416C83" w:rsidRPr="00FB2D03" w:rsidRDefault="00412D77" w:rsidP="00412D77">
      <w:pPr>
        <w:tabs>
          <w:tab w:val="left" w:pos="5616"/>
        </w:tabs>
        <w:rPr>
          <w:i/>
          <w:color w:val="000000" w:themeColor="text1"/>
          <w:lang w:val="en-AU"/>
        </w:rPr>
      </w:pPr>
      <w:r w:rsidRPr="00FB2D03">
        <w:rPr>
          <w:color w:val="000000" w:themeColor="text1"/>
          <w:lang w:val="en-AU"/>
        </w:rPr>
        <w:lastRenderedPageBreak/>
        <w:t>Marciak, Michał. “Idumea and the Idumeans in Josephus’ Retelling of the Bible.” </w:t>
      </w:r>
      <w:r w:rsidRPr="00FB2D03">
        <w:rPr>
          <w:i/>
          <w:color w:val="000000" w:themeColor="text1"/>
          <w:lang w:val="en-AU"/>
        </w:rPr>
        <w:t xml:space="preserve">Revue </w:t>
      </w:r>
    </w:p>
    <w:p w14:paraId="684A4436" w14:textId="6D9F0793" w:rsidR="00412D77" w:rsidRPr="00FB2D03" w:rsidRDefault="00412D77" w:rsidP="00AD1181">
      <w:pPr>
        <w:tabs>
          <w:tab w:val="left" w:pos="5616"/>
        </w:tabs>
        <w:ind w:left="720"/>
        <w:rPr>
          <w:color w:val="000000" w:themeColor="text1"/>
          <w:lang w:val="en-AU"/>
        </w:rPr>
      </w:pPr>
      <w:r w:rsidRPr="00FB2D03">
        <w:rPr>
          <w:i/>
          <w:color w:val="000000" w:themeColor="text1"/>
          <w:lang w:val="en-AU"/>
        </w:rPr>
        <w:t>Biblique</w:t>
      </w:r>
      <w:r w:rsidRPr="00FB2D03">
        <w:rPr>
          <w:color w:val="000000" w:themeColor="text1"/>
          <w:lang w:val="en-AU"/>
        </w:rPr>
        <w:t xml:space="preserve"> 126 (2019): 235–53. </w:t>
      </w:r>
    </w:p>
    <w:p w14:paraId="0427A7B5" w14:textId="77777777" w:rsidR="00412D77" w:rsidRPr="00FB2D03" w:rsidRDefault="00412D77" w:rsidP="00412D77">
      <w:pPr>
        <w:tabs>
          <w:tab w:val="left" w:pos="5616"/>
        </w:tabs>
        <w:rPr>
          <w:color w:val="000000" w:themeColor="text1"/>
          <w:lang w:val="en-AU"/>
        </w:rPr>
      </w:pPr>
    </w:p>
    <w:p w14:paraId="3D5C029D"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Marcus, Joel. “Response to the Respondents: Competition, Qumran and </w:t>
      </w:r>
    </w:p>
    <w:p w14:paraId="0059874D" w14:textId="4BEF7B5A" w:rsidR="00412D77" w:rsidRPr="00FB2D03" w:rsidRDefault="00412D77" w:rsidP="00AD1181">
      <w:pPr>
        <w:tabs>
          <w:tab w:val="left" w:pos="5616"/>
        </w:tabs>
        <w:ind w:left="720"/>
        <w:rPr>
          <w:color w:val="000000" w:themeColor="text1"/>
          <w:lang w:val="en-AU"/>
        </w:rPr>
      </w:pPr>
      <w:r w:rsidRPr="00FB2D03">
        <w:rPr>
          <w:color w:val="000000" w:themeColor="text1"/>
          <w:lang w:val="en-AU"/>
        </w:rPr>
        <w:t>Supersessionism.” </w:t>
      </w:r>
      <w:r w:rsidRPr="00FB2D03">
        <w:rPr>
          <w:i/>
          <w:color w:val="000000" w:themeColor="text1"/>
          <w:lang w:val="en-AU"/>
        </w:rPr>
        <w:t>Journal for the Study of the Historical Jesus</w:t>
      </w:r>
      <w:r w:rsidRPr="00FB2D03">
        <w:rPr>
          <w:color w:val="000000" w:themeColor="text1"/>
          <w:lang w:val="en-AU"/>
        </w:rPr>
        <w:t> 19 (2021): 99–133.</w:t>
      </w:r>
    </w:p>
    <w:p w14:paraId="05A83F76" w14:textId="77777777" w:rsidR="00412D77" w:rsidRPr="00FB2D03" w:rsidRDefault="00412D77" w:rsidP="00412D77">
      <w:pPr>
        <w:tabs>
          <w:tab w:val="left" w:pos="5616"/>
        </w:tabs>
        <w:rPr>
          <w:color w:val="000000" w:themeColor="text1"/>
          <w:lang w:val="en-AU"/>
        </w:rPr>
      </w:pPr>
    </w:p>
    <w:p w14:paraId="29CCB0B1" w14:textId="19AD8CB8" w:rsidR="00412D77" w:rsidRPr="00FB2D03" w:rsidRDefault="01B55689" w:rsidP="01B55689">
      <w:pPr>
        <w:tabs>
          <w:tab w:val="left" w:pos="5616"/>
        </w:tabs>
        <w:rPr>
          <w:color w:val="000000" w:themeColor="text1"/>
          <w:lang w:val="en-AU"/>
        </w:rPr>
      </w:pPr>
      <w:r w:rsidRPr="00FB2D03">
        <w:rPr>
          <w:color w:val="000000" w:themeColor="text1"/>
          <w:lang w:val="en-AU"/>
        </w:rPr>
        <w:t>________. “John the Baptist in History and Theology: A Summary.” </w:t>
      </w:r>
      <w:r w:rsidRPr="00FB2D03">
        <w:rPr>
          <w:i/>
          <w:iCs/>
          <w:color w:val="000000" w:themeColor="text1"/>
          <w:lang w:val="en-AU"/>
        </w:rPr>
        <w:t xml:space="preserve">Journal for the Study </w:t>
      </w:r>
    </w:p>
    <w:p w14:paraId="229744F9" w14:textId="72017AC4" w:rsidR="00412D77" w:rsidRPr="00FB2D03" w:rsidRDefault="01B55689" w:rsidP="01B55689">
      <w:pPr>
        <w:tabs>
          <w:tab w:val="left" w:pos="5616"/>
        </w:tabs>
        <w:ind w:firstLine="720"/>
        <w:rPr>
          <w:color w:val="000000" w:themeColor="text1"/>
          <w:lang w:val="en-AU"/>
        </w:rPr>
      </w:pPr>
      <w:r w:rsidRPr="00FB2D03">
        <w:rPr>
          <w:i/>
          <w:iCs/>
          <w:color w:val="000000" w:themeColor="text1"/>
          <w:lang w:val="en-AU"/>
        </w:rPr>
        <w:t>of the Historical Jesus</w:t>
      </w:r>
      <w:r w:rsidRPr="00FB2D03">
        <w:rPr>
          <w:color w:val="000000" w:themeColor="text1"/>
          <w:lang w:val="en-AU"/>
        </w:rPr>
        <w:t> 19 (2021): 3–7.</w:t>
      </w:r>
    </w:p>
    <w:p w14:paraId="203DC1A9" w14:textId="77777777" w:rsidR="00412D77" w:rsidRPr="00FB2D03" w:rsidRDefault="00412D77" w:rsidP="00412D77">
      <w:pPr>
        <w:tabs>
          <w:tab w:val="left" w:pos="5616"/>
        </w:tabs>
        <w:rPr>
          <w:color w:val="000000" w:themeColor="text1"/>
          <w:lang w:val="en-AU"/>
        </w:rPr>
      </w:pPr>
    </w:p>
    <w:p w14:paraId="1487E2FD"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Marks, Loren D., Trevan G. Hatch, and David C. Dollahite. “Sacred Practices and Family </w:t>
      </w:r>
    </w:p>
    <w:p w14:paraId="7C3B42B3" w14:textId="033E9FDF" w:rsidR="00412D77" w:rsidRPr="00FB2D03" w:rsidRDefault="00412D77" w:rsidP="00AD1181">
      <w:pPr>
        <w:tabs>
          <w:tab w:val="left" w:pos="5616"/>
        </w:tabs>
        <w:ind w:left="720"/>
        <w:rPr>
          <w:color w:val="000000" w:themeColor="text1"/>
          <w:lang w:val="en-AU"/>
        </w:rPr>
      </w:pPr>
      <w:r w:rsidRPr="00FB2D03">
        <w:rPr>
          <w:color w:val="000000" w:themeColor="text1"/>
          <w:lang w:val="en-AU"/>
        </w:rPr>
        <w:t>Processes in a Jewish Context: Shabbat as the Weekly Family Ritual Par Excellence.” </w:t>
      </w:r>
      <w:r w:rsidRPr="00FB2D03">
        <w:rPr>
          <w:i/>
          <w:color w:val="000000" w:themeColor="text1"/>
          <w:lang w:val="en-AU"/>
        </w:rPr>
        <w:t>Family Process</w:t>
      </w:r>
      <w:r w:rsidRPr="00FB2D03">
        <w:rPr>
          <w:color w:val="000000" w:themeColor="text1"/>
          <w:lang w:val="en-AU"/>
        </w:rPr>
        <w:t xml:space="preserve"> 57 (2018): 448–61. </w:t>
      </w:r>
    </w:p>
    <w:p w14:paraId="087ACE78" w14:textId="77777777" w:rsidR="00412D77" w:rsidRPr="00FB2D03" w:rsidRDefault="00412D77" w:rsidP="00412D77">
      <w:pPr>
        <w:tabs>
          <w:tab w:val="left" w:pos="5616"/>
        </w:tabs>
        <w:rPr>
          <w:color w:val="000000" w:themeColor="text1"/>
          <w:lang w:val="en-AU"/>
        </w:rPr>
      </w:pPr>
    </w:p>
    <w:p w14:paraId="564CE8A6" w14:textId="77777777" w:rsidR="00416C83" w:rsidRPr="00FB2D03" w:rsidRDefault="00412D77" w:rsidP="00412D77">
      <w:pPr>
        <w:tabs>
          <w:tab w:val="left" w:pos="5616"/>
        </w:tabs>
        <w:rPr>
          <w:color w:val="000000" w:themeColor="text1"/>
          <w:lang w:val="en-AU"/>
        </w:rPr>
      </w:pPr>
      <w:r w:rsidRPr="00FB2D03">
        <w:rPr>
          <w:color w:val="000000" w:themeColor="text1"/>
          <w:lang w:val="en-AU"/>
        </w:rPr>
        <w:t>Marshall, Ellen Ott. “Pacifism and the Question of Responsibility.”</w:t>
      </w:r>
      <w:r w:rsidRPr="00FB2D03">
        <w:rPr>
          <w:i/>
          <w:color w:val="000000" w:themeColor="text1"/>
          <w:lang w:val="en-AU"/>
        </w:rPr>
        <w:t> Political Theology</w:t>
      </w:r>
      <w:r w:rsidRPr="00FB2D03">
        <w:rPr>
          <w:color w:val="000000" w:themeColor="text1"/>
          <w:lang w:val="en-AU"/>
        </w:rPr>
        <w:t xml:space="preserve"> 21 </w:t>
      </w:r>
    </w:p>
    <w:p w14:paraId="6A4F9002" w14:textId="60EF4592" w:rsidR="00412D77" w:rsidRPr="00FB2D03" w:rsidRDefault="00412D77" w:rsidP="00AD1181">
      <w:pPr>
        <w:tabs>
          <w:tab w:val="left" w:pos="5616"/>
        </w:tabs>
        <w:ind w:left="720"/>
        <w:rPr>
          <w:color w:val="000000" w:themeColor="text1"/>
          <w:lang w:val="en-AU"/>
        </w:rPr>
      </w:pPr>
      <w:r w:rsidRPr="00FB2D03">
        <w:rPr>
          <w:color w:val="000000" w:themeColor="text1"/>
          <w:lang w:val="en-AU"/>
        </w:rPr>
        <w:t>(2020): 192–206.</w:t>
      </w:r>
    </w:p>
    <w:p w14:paraId="09548255" w14:textId="77777777" w:rsidR="00412D77" w:rsidRPr="00FB2D03" w:rsidRDefault="00412D77" w:rsidP="00412D77">
      <w:pPr>
        <w:tabs>
          <w:tab w:val="left" w:pos="5616"/>
        </w:tabs>
        <w:rPr>
          <w:color w:val="000000" w:themeColor="text1"/>
          <w:lang w:val="en-AU"/>
        </w:rPr>
      </w:pPr>
    </w:p>
    <w:p w14:paraId="6A35DD2D" w14:textId="3C0046EA" w:rsidR="00412D77" w:rsidRPr="00FB2D03" w:rsidRDefault="01B55689" w:rsidP="01B55689">
      <w:pPr>
        <w:tabs>
          <w:tab w:val="left" w:pos="5616"/>
        </w:tabs>
        <w:rPr>
          <w:color w:val="000000" w:themeColor="text1"/>
          <w:lang w:val="en-AU"/>
        </w:rPr>
      </w:pPr>
      <w:r w:rsidRPr="00FB2D03">
        <w:rPr>
          <w:color w:val="000000" w:themeColor="text1"/>
          <w:lang w:val="en-AU"/>
        </w:rPr>
        <w:t>Martens, John W. “‘But from the Beginning It Was Not so’: The Jewish Apocalyptic</w:t>
      </w:r>
    </w:p>
    <w:p w14:paraId="0A18B60C" w14:textId="6CE2BC7F" w:rsidR="00412D77" w:rsidRPr="00FB2D03" w:rsidRDefault="01B55689" w:rsidP="00AD1181">
      <w:pPr>
        <w:tabs>
          <w:tab w:val="left" w:pos="5616"/>
        </w:tabs>
        <w:ind w:left="720"/>
        <w:rPr>
          <w:color w:val="000000" w:themeColor="text1"/>
          <w:lang w:val="en-AU"/>
        </w:rPr>
      </w:pPr>
      <w:r w:rsidRPr="00FB2D03">
        <w:rPr>
          <w:color w:val="000000" w:themeColor="text1"/>
          <w:lang w:val="en-AU"/>
        </w:rPr>
        <w:t xml:space="preserve"> Context of Jesus’s Teaching on Marriage, Divorce, and Remarriage.” </w:t>
      </w:r>
      <w:r w:rsidRPr="00FB2D03">
        <w:rPr>
          <w:i/>
          <w:iCs/>
          <w:color w:val="000000" w:themeColor="text1"/>
          <w:lang w:val="en-AU"/>
        </w:rPr>
        <w:t>Journal of Moral Theology</w:t>
      </w:r>
      <w:r w:rsidRPr="00FB2D03">
        <w:rPr>
          <w:color w:val="000000" w:themeColor="text1"/>
          <w:lang w:val="en-AU"/>
        </w:rPr>
        <w:t> 10 (2021): 5–33.</w:t>
      </w:r>
    </w:p>
    <w:p w14:paraId="710CA28E" w14:textId="77777777" w:rsidR="00412D77" w:rsidRPr="00FB2D03" w:rsidRDefault="00412D77" w:rsidP="01B55689">
      <w:pPr>
        <w:tabs>
          <w:tab w:val="left" w:pos="5616"/>
        </w:tabs>
        <w:ind w:left="720"/>
        <w:rPr>
          <w:color w:val="000000" w:themeColor="text1"/>
          <w:lang w:val="en-AU"/>
        </w:rPr>
      </w:pPr>
    </w:p>
    <w:p w14:paraId="0CC50445" w14:textId="77777777" w:rsidR="00412D77" w:rsidRPr="00FB2D03" w:rsidRDefault="00412D77" w:rsidP="00412D77">
      <w:pPr>
        <w:tabs>
          <w:tab w:val="left" w:pos="5616"/>
        </w:tabs>
        <w:rPr>
          <w:color w:val="000000" w:themeColor="text1"/>
          <w:lang w:val="en-AU"/>
        </w:rPr>
      </w:pPr>
      <w:r w:rsidRPr="00FB2D03">
        <w:rPr>
          <w:color w:val="000000" w:themeColor="text1"/>
          <w:lang w:val="en-AU"/>
        </w:rPr>
        <w:t>Martens, John W. “Calling All Sinners.” </w:t>
      </w:r>
      <w:r w:rsidRPr="00FB2D03">
        <w:rPr>
          <w:i/>
          <w:color w:val="000000" w:themeColor="text1"/>
          <w:lang w:val="en-AU"/>
        </w:rPr>
        <w:t>America</w:t>
      </w:r>
      <w:r w:rsidRPr="00FB2D03">
        <w:rPr>
          <w:color w:val="000000" w:themeColor="text1"/>
          <w:lang w:val="en-AU"/>
        </w:rPr>
        <w:t> 213 (2015): 39. </w:t>
      </w:r>
    </w:p>
    <w:p w14:paraId="7D418715" w14:textId="77777777" w:rsidR="00412D77" w:rsidRPr="00FB2D03" w:rsidRDefault="00412D77" w:rsidP="00412D77">
      <w:pPr>
        <w:tabs>
          <w:tab w:val="left" w:pos="5616"/>
        </w:tabs>
        <w:rPr>
          <w:color w:val="000000" w:themeColor="text1"/>
          <w:lang w:val="en-AU"/>
        </w:rPr>
      </w:pPr>
    </w:p>
    <w:p w14:paraId="55E81D6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Martyr, Justin. </w:t>
      </w:r>
      <w:r w:rsidRPr="00FB2D03">
        <w:rPr>
          <w:i/>
          <w:color w:val="000000" w:themeColor="text1"/>
          <w:lang w:val="en-AU"/>
        </w:rPr>
        <w:t>Dialogue with Trypho</w:t>
      </w:r>
      <w:r w:rsidRPr="00FB2D03">
        <w:rPr>
          <w:color w:val="000000" w:themeColor="text1"/>
          <w:lang w:val="en-AU"/>
        </w:rPr>
        <w:t>. New York: Christian Heritage, 1948.</w:t>
      </w:r>
    </w:p>
    <w:p w14:paraId="44BDAE8C" w14:textId="77777777" w:rsidR="00412D77" w:rsidRPr="00FB2D03" w:rsidRDefault="00412D77" w:rsidP="00412D77">
      <w:pPr>
        <w:tabs>
          <w:tab w:val="left" w:pos="5616"/>
        </w:tabs>
        <w:rPr>
          <w:color w:val="000000" w:themeColor="text1"/>
          <w:lang w:val="en-AU"/>
        </w:rPr>
      </w:pPr>
    </w:p>
    <w:p w14:paraId="7F9F2CC6" w14:textId="77777777" w:rsidR="00416C83" w:rsidRPr="00FB2D03" w:rsidRDefault="00412D77" w:rsidP="00412D77">
      <w:pPr>
        <w:tabs>
          <w:tab w:val="left" w:pos="5616"/>
        </w:tabs>
        <w:rPr>
          <w:color w:val="000000" w:themeColor="text1"/>
          <w:lang w:val="en-AU"/>
        </w:rPr>
      </w:pPr>
      <w:r w:rsidRPr="00FB2D03">
        <w:rPr>
          <w:color w:val="000000" w:themeColor="text1"/>
          <w:lang w:val="en-AU"/>
        </w:rPr>
        <w:t>Martínez, Florentino García and Eibert J. C Tigchelaar, </w:t>
      </w:r>
      <w:r w:rsidRPr="00FB2D03">
        <w:rPr>
          <w:i/>
          <w:color w:val="000000" w:themeColor="text1"/>
          <w:lang w:val="en-AU"/>
        </w:rPr>
        <w:t>The Dead Sea Scrolls Study Edition</w:t>
      </w:r>
      <w:r w:rsidRPr="00FB2D03">
        <w:rPr>
          <w:color w:val="000000" w:themeColor="text1"/>
          <w:lang w:val="en-AU"/>
        </w:rPr>
        <w:t xml:space="preserve">, </w:t>
      </w:r>
    </w:p>
    <w:p w14:paraId="3BDE036E" w14:textId="72534586"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Vol. I: 1Q1–4Q273. Leiden: Brill, 2000. </w:t>
      </w:r>
    </w:p>
    <w:p w14:paraId="4F36733E" w14:textId="77777777" w:rsidR="00412D77" w:rsidRPr="00FB2D03" w:rsidRDefault="00412D77" w:rsidP="00412D77">
      <w:pPr>
        <w:tabs>
          <w:tab w:val="left" w:pos="5616"/>
        </w:tabs>
        <w:rPr>
          <w:color w:val="000000" w:themeColor="text1"/>
          <w:lang w:val="en-AU"/>
        </w:rPr>
      </w:pPr>
    </w:p>
    <w:p w14:paraId="10FDDFE7" w14:textId="77777777" w:rsidR="00416C83" w:rsidRPr="00FB2D03" w:rsidRDefault="00412D77" w:rsidP="00412D77">
      <w:pPr>
        <w:tabs>
          <w:tab w:val="left" w:pos="5616"/>
        </w:tabs>
        <w:rPr>
          <w:color w:val="000000" w:themeColor="text1"/>
          <w:lang w:val="en-AU"/>
        </w:rPr>
      </w:pPr>
      <w:r w:rsidRPr="00FB2D03">
        <w:rPr>
          <w:color w:val="000000" w:themeColor="text1"/>
          <w:lang w:val="en-AU"/>
        </w:rPr>
        <w:t>Martínez, Florentino García and Wilfred G. E Watson, </w:t>
      </w:r>
      <w:r w:rsidRPr="00FB2D03">
        <w:rPr>
          <w:i/>
          <w:color w:val="000000" w:themeColor="text1"/>
          <w:lang w:val="en-AU"/>
        </w:rPr>
        <w:t>The Dead Sea Scrolls Translated</w:t>
      </w:r>
      <w:r w:rsidRPr="00FB2D03">
        <w:rPr>
          <w:color w:val="000000" w:themeColor="text1"/>
          <w:lang w:val="en-AU"/>
        </w:rPr>
        <w:t xml:space="preserve">. </w:t>
      </w:r>
    </w:p>
    <w:p w14:paraId="76EFFB05" w14:textId="3DD434E4" w:rsidR="00412D77" w:rsidRPr="00FB2D03" w:rsidRDefault="00412D77" w:rsidP="00AD1181">
      <w:pPr>
        <w:tabs>
          <w:tab w:val="left" w:pos="5616"/>
        </w:tabs>
        <w:ind w:left="720"/>
        <w:rPr>
          <w:color w:val="000000" w:themeColor="text1"/>
          <w:lang w:val="en-AU"/>
        </w:rPr>
      </w:pPr>
      <w:r w:rsidRPr="00FB2D03">
        <w:rPr>
          <w:color w:val="000000" w:themeColor="text1"/>
          <w:lang w:val="en-AU"/>
        </w:rPr>
        <w:t>Leiden: Brill, 2007.</w:t>
      </w:r>
    </w:p>
    <w:p w14:paraId="6F7DE56D" w14:textId="77777777" w:rsidR="00412D77" w:rsidRPr="00FB2D03" w:rsidRDefault="00412D77" w:rsidP="00412D77">
      <w:pPr>
        <w:tabs>
          <w:tab w:val="left" w:pos="5616"/>
        </w:tabs>
        <w:rPr>
          <w:color w:val="000000" w:themeColor="text1"/>
          <w:lang w:val="en-AU"/>
        </w:rPr>
      </w:pPr>
    </w:p>
    <w:p w14:paraId="548AC689"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Martínez, Garcia, </w:t>
      </w:r>
      <w:proofErr w:type="gramStart"/>
      <w:r w:rsidRPr="00FB2D03">
        <w:rPr>
          <w:color w:val="000000" w:themeColor="text1"/>
          <w:lang w:val="en-AU"/>
        </w:rPr>
        <w:t>Florentino</w:t>
      </w:r>
      <w:proofErr w:type="gramEnd"/>
      <w:r w:rsidRPr="00FB2D03">
        <w:rPr>
          <w:color w:val="000000" w:themeColor="text1"/>
          <w:lang w:val="en-AU"/>
        </w:rPr>
        <w:t xml:space="preserve"> and Eibert J.C. Tigchelaar. </w:t>
      </w:r>
      <w:r w:rsidRPr="00FB2D03">
        <w:rPr>
          <w:i/>
          <w:color w:val="000000" w:themeColor="text1"/>
          <w:lang w:val="en-AU"/>
        </w:rPr>
        <w:t xml:space="preserve">Fragmenten uit de Woestijn: De </w:t>
      </w:r>
    </w:p>
    <w:p w14:paraId="4BD7751E" w14:textId="2D1688CC" w:rsidR="00412D77" w:rsidRPr="00FB2D03" w:rsidRDefault="00412D77" w:rsidP="00AD1181">
      <w:pPr>
        <w:tabs>
          <w:tab w:val="left" w:pos="5616"/>
        </w:tabs>
        <w:ind w:left="720"/>
        <w:rPr>
          <w:color w:val="000000" w:themeColor="text1"/>
          <w:lang w:val="en-AU"/>
        </w:rPr>
      </w:pPr>
      <w:r w:rsidRPr="00FB2D03">
        <w:rPr>
          <w:i/>
          <w:color w:val="000000" w:themeColor="text1"/>
          <w:lang w:val="en-AU"/>
        </w:rPr>
        <w:t>Dode–Zeerollen Opnieuw Bekeken</w:t>
      </w:r>
      <w:r w:rsidRPr="00FB2D03">
        <w:rPr>
          <w:color w:val="000000" w:themeColor="text1"/>
          <w:lang w:val="en-AU"/>
        </w:rPr>
        <w:t>. Zoetermeer: Meinema, 2003.</w:t>
      </w:r>
    </w:p>
    <w:p w14:paraId="23B4D6BE" w14:textId="77777777" w:rsidR="00412D77" w:rsidRPr="00FB2D03" w:rsidRDefault="00412D77" w:rsidP="00412D77">
      <w:pPr>
        <w:tabs>
          <w:tab w:val="left" w:pos="5616"/>
        </w:tabs>
        <w:rPr>
          <w:color w:val="000000" w:themeColor="text1"/>
          <w:lang w:val="en-AU"/>
        </w:rPr>
      </w:pPr>
    </w:p>
    <w:p w14:paraId="756418EE"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Mason, Steve. “Jews, Judaeans, Judaizing, Judaism: Problems of Categorization in Ancient </w:t>
      </w:r>
    </w:p>
    <w:p w14:paraId="6B9EFE81" w14:textId="223F6721"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History.” </w:t>
      </w:r>
      <w:r w:rsidRPr="00FB2D03">
        <w:rPr>
          <w:i/>
          <w:color w:val="000000" w:themeColor="text1"/>
          <w:lang w:val="en-AU"/>
        </w:rPr>
        <w:t>Journal for the Study of Judaism 38</w:t>
      </w:r>
      <w:r w:rsidRPr="00FB2D03">
        <w:rPr>
          <w:color w:val="000000" w:themeColor="text1"/>
          <w:lang w:val="en-AU"/>
        </w:rPr>
        <w:t xml:space="preserve"> (2007), 457–512.</w:t>
      </w:r>
    </w:p>
    <w:p w14:paraId="4D967FA4" w14:textId="77777777" w:rsidR="00412D77" w:rsidRPr="00FB2D03" w:rsidRDefault="00412D77" w:rsidP="00412D77">
      <w:pPr>
        <w:tabs>
          <w:tab w:val="left" w:pos="5616"/>
        </w:tabs>
        <w:rPr>
          <w:color w:val="000000" w:themeColor="text1"/>
          <w:lang w:val="en-AU"/>
        </w:rPr>
      </w:pPr>
    </w:p>
    <w:p w14:paraId="5E6ADCD1"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Mason, Steve, and Philip F. Esler. “Judaean And Christ–Follower Identities: Grounds For A </w:t>
      </w:r>
    </w:p>
    <w:p w14:paraId="21AB9C42" w14:textId="609C11FC" w:rsidR="00412D77" w:rsidRPr="00FB2D03" w:rsidRDefault="00412D77" w:rsidP="00AD1181">
      <w:pPr>
        <w:tabs>
          <w:tab w:val="left" w:pos="5616"/>
        </w:tabs>
        <w:ind w:left="720"/>
        <w:rPr>
          <w:color w:val="000000" w:themeColor="text1"/>
          <w:lang w:val="en-AU"/>
        </w:rPr>
      </w:pPr>
      <w:r w:rsidRPr="00FB2D03">
        <w:rPr>
          <w:color w:val="000000" w:themeColor="text1"/>
          <w:lang w:val="en-AU"/>
        </w:rPr>
        <w:t>Distinction.” </w:t>
      </w:r>
      <w:r w:rsidRPr="00FB2D03">
        <w:rPr>
          <w:i/>
          <w:color w:val="000000" w:themeColor="text1"/>
          <w:lang w:val="en-AU"/>
        </w:rPr>
        <w:t>New Testament Studies</w:t>
      </w:r>
      <w:r w:rsidRPr="00FB2D03">
        <w:rPr>
          <w:color w:val="000000" w:themeColor="text1"/>
          <w:lang w:val="en-AU"/>
        </w:rPr>
        <w:t xml:space="preserve"> 63 (2017): 493–515. </w:t>
      </w:r>
      <w:bookmarkStart w:id="230" w:name="bookmark=id.2et92p0" w:colFirst="0" w:colLast="0"/>
      <w:bookmarkStart w:id="231" w:name="bookmark=id.3znysh7" w:colFirst="0" w:colLast="0"/>
      <w:bookmarkEnd w:id="230"/>
      <w:bookmarkEnd w:id="231"/>
    </w:p>
    <w:p w14:paraId="4F96561C" w14:textId="77777777" w:rsidR="00412D77" w:rsidRPr="00FB2D03" w:rsidRDefault="00412D77" w:rsidP="00412D77">
      <w:pPr>
        <w:tabs>
          <w:tab w:val="left" w:pos="5616"/>
        </w:tabs>
        <w:rPr>
          <w:color w:val="000000" w:themeColor="text1"/>
          <w:lang w:val="en-AU"/>
        </w:rPr>
      </w:pPr>
    </w:p>
    <w:p w14:paraId="0C84C148"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Mattison III, William C. </w:t>
      </w:r>
      <w:r w:rsidRPr="00FB2D03">
        <w:rPr>
          <w:i/>
          <w:color w:val="000000" w:themeColor="text1"/>
          <w:lang w:val="en-AU"/>
        </w:rPr>
        <w:t xml:space="preserve">The Sermon on the Mount and Moral Theology: A Virtue </w:t>
      </w:r>
    </w:p>
    <w:p w14:paraId="55724A9C" w14:textId="52A12E94" w:rsidR="00412D77" w:rsidRPr="00FB2D03" w:rsidRDefault="00412D77" w:rsidP="00AD1181">
      <w:pPr>
        <w:tabs>
          <w:tab w:val="left" w:pos="5616"/>
        </w:tabs>
        <w:ind w:left="720"/>
        <w:rPr>
          <w:color w:val="000000" w:themeColor="text1"/>
          <w:lang w:val="en-AU"/>
        </w:rPr>
      </w:pPr>
      <w:r w:rsidRPr="00FB2D03">
        <w:rPr>
          <w:i/>
          <w:color w:val="000000" w:themeColor="text1"/>
          <w:lang w:val="en-AU"/>
        </w:rPr>
        <w:t>Perspective</w:t>
      </w:r>
      <w:r w:rsidRPr="00FB2D03">
        <w:rPr>
          <w:color w:val="000000" w:themeColor="text1"/>
          <w:lang w:val="en-AU"/>
        </w:rPr>
        <w:t xml:space="preserve">. Cambridge: Cambridge University Press, 2017. </w:t>
      </w:r>
    </w:p>
    <w:p w14:paraId="1CA525BB" w14:textId="77777777" w:rsidR="00412D77" w:rsidRPr="00FB2D03" w:rsidRDefault="00412D77" w:rsidP="00412D77">
      <w:pPr>
        <w:tabs>
          <w:tab w:val="left" w:pos="5616"/>
        </w:tabs>
        <w:rPr>
          <w:color w:val="000000" w:themeColor="text1"/>
          <w:lang w:val="en-AU"/>
        </w:rPr>
      </w:pPr>
    </w:p>
    <w:p w14:paraId="71EECCBF" w14:textId="28516FD1" w:rsidR="00412D77" w:rsidRPr="00FB2D03" w:rsidRDefault="01B55689" w:rsidP="01B55689">
      <w:pPr>
        <w:tabs>
          <w:tab w:val="left" w:pos="5616"/>
        </w:tabs>
        <w:rPr>
          <w:color w:val="000000" w:themeColor="text1"/>
          <w:lang w:val="en-AU"/>
        </w:rPr>
      </w:pPr>
      <w:r w:rsidRPr="00FB2D03">
        <w:rPr>
          <w:color w:val="000000" w:themeColor="text1"/>
          <w:lang w:val="en-AU"/>
        </w:rPr>
        <w:t>Maurais, Jean. “Righteousness and Mercy in Greek Deuteronomy: On the Translation of</w:t>
      </w:r>
    </w:p>
    <w:p w14:paraId="06A52F5C" w14:textId="19E3EEB1" w:rsidR="00412D77" w:rsidRPr="00FB2D03" w:rsidRDefault="01B55689" w:rsidP="01B55689">
      <w:pPr>
        <w:tabs>
          <w:tab w:val="left" w:pos="5616"/>
        </w:tabs>
        <w:ind w:left="720"/>
        <w:rPr>
          <w:color w:val="000000" w:themeColor="text1"/>
          <w:lang w:val="en-AU"/>
        </w:rPr>
      </w:pPr>
      <w:r w:rsidRPr="00FB2D03">
        <w:rPr>
          <w:color w:val="000000" w:themeColor="text1"/>
          <w:lang w:val="en-AU"/>
        </w:rPr>
        <w:t xml:space="preserve"> </w:t>
      </w:r>
      <w:r w:rsidRPr="00FB2D03">
        <w:rPr>
          <w:color w:val="000000" w:themeColor="text1"/>
          <w:rtl/>
          <w:lang w:val="en-AU"/>
        </w:rPr>
        <w:t>צדקה</w:t>
      </w:r>
      <w:r w:rsidRPr="00FB2D03">
        <w:rPr>
          <w:color w:val="000000" w:themeColor="text1"/>
          <w:lang w:val="en-AU"/>
        </w:rPr>
        <w:t xml:space="preserve"> by Έλεημοσύνη.” </w:t>
      </w:r>
      <w:r w:rsidRPr="00FB2D03">
        <w:rPr>
          <w:i/>
          <w:iCs/>
          <w:color w:val="000000" w:themeColor="text1"/>
          <w:lang w:val="en-AU"/>
        </w:rPr>
        <w:t>Journal of Septuagint and Cognate Studies</w:t>
      </w:r>
      <w:r w:rsidRPr="00FB2D03">
        <w:rPr>
          <w:color w:val="000000" w:themeColor="text1"/>
          <w:lang w:val="en-AU"/>
        </w:rPr>
        <w:t xml:space="preserve"> 52 (2019): 107-17. </w:t>
      </w:r>
      <w:r w:rsidR="00412D77" w:rsidRPr="00FB2D03">
        <w:rPr>
          <w:lang w:val="en-AU"/>
        </w:rPr>
        <w:tab/>
      </w:r>
    </w:p>
    <w:p w14:paraId="0A168749" w14:textId="5ED3ADFD" w:rsidR="00412D77" w:rsidRPr="00FB2D03" w:rsidRDefault="00412D77" w:rsidP="01B55689">
      <w:pPr>
        <w:tabs>
          <w:tab w:val="left" w:pos="5616"/>
        </w:tabs>
        <w:ind w:firstLine="720"/>
        <w:rPr>
          <w:color w:val="000000" w:themeColor="text1"/>
          <w:lang w:val="en-AU"/>
        </w:rPr>
      </w:pPr>
    </w:p>
    <w:p w14:paraId="7855AEA7"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Mazzù, Angelo, Stefano Uberti, Ileana Bodini, Diego Paderno, and Andrea Danesi. </w:t>
      </w:r>
    </w:p>
    <w:p w14:paraId="1D50AB1A" w14:textId="5BB63680" w:rsidR="00412D77" w:rsidRPr="00FB2D03" w:rsidRDefault="00412D77" w:rsidP="00AD1181">
      <w:pPr>
        <w:tabs>
          <w:tab w:val="left" w:pos="5616"/>
        </w:tabs>
        <w:ind w:left="720"/>
        <w:rPr>
          <w:color w:val="000000" w:themeColor="text1"/>
          <w:lang w:val="en-AU"/>
        </w:rPr>
      </w:pPr>
      <w:r w:rsidRPr="00FB2D03">
        <w:rPr>
          <w:color w:val="000000" w:themeColor="text1"/>
          <w:lang w:val="en-AU"/>
        </w:rPr>
        <w:t>“Dynamical Behaviour of Bronze Age War Chariots.” </w:t>
      </w:r>
      <w:r w:rsidRPr="00FB2D03">
        <w:rPr>
          <w:i/>
          <w:color w:val="000000" w:themeColor="text1"/>
          <w:lang w:val="en-AU"/>
        </w:rPr>
        <w:t>Journal of Archaeological Science: Reports</w:t>
      </w:r>
      <w:r w:rsidRPr="00FB2D03">
        <w:rPr>
          <w:color w:val="000000" w:themeColor="text1"/>
          <w:lang w:val="en-AU"/>
        </w:rPr>
        <w:t> 36 (2021).</w:t>
      </w:r>
    </w:p>
    <w:p w14:paraId="3AC0C509" w14:textId="77777777" w:rsidR="00412D77" w:rsidRPr="00FB2D03" w:rsidRDefault="00412D77" w:rsidP="00412D77">
      <w:pPr>
        <w:tabs>
          <w:tab w:val="left" w:pos="5616"/>
        </w:tabs>
        <w:rPr>
          <w:color w:val="000000" w:themeColor="text1"/>
          <w:lang w:val="en-AU"/>
        </w:rPr>
      </w:pPr>
    </w:p>
    <w:p w14:paraId="1053B3C7" w14:textId="77777777" w:rsidR="00412D77" w:rsidRPr="00FB2D03" w:rsidRDefault="00412D77" w:rsidP="00412D77">
      <w:pPr>
        <w:tabs>
          <w:tab w:val="left" w:pos="5616"/>
        </w:tabs>
        <w:rPr>
          <w:color w:val="000000" w:themeColor="text1"/>
          <w:lang w:val="en-AU"/>
        </w:rPr>
      </w:pPr>
      <w:r w:rsidRPr="00FB2D03">
        <w:rPr>
          <w:color w:val="000000" w:themeColor="text1"/>
          <w:lang w:val="en-AU"/>
        </w:rPr>
        <w:lastRenderedPageBreak/>
        <w:t xml:space="preserve">McArthur, H. K. </w:t>
      </w:r>
      <w:r w:rsidRPr="00FB2D03">
        <w:rPr>
          <w:i/>
          <w:color w:val="000000" w:themeColor="text1"/>
          <w:lang w:val="en-AU"/>
        </w:rPr>
        <w:t>Understanding the Sermon on the Mount.</w:t>
      </w:r>
      <w:r w:rsidRPr="00FB2D03">
        <w:rPr>
          <w:color w:val="000000" w:themeColor="text1"/>
          <w:lang w:val="en-AU"/>
        </w:rPr>
        <w:t xml:space="preserve"> London: Epworth Press, 1961.</w:t>
      </w:r>
    </w:p>
    <w:p w14:paraId="76249409" w14:textId="77777777" w:rsidR="00412D77" w:rsidRPr="00FB2D03" w:rsidRDefault="00412D77" w:rsidP="00412D77">
      <w:pPr>
        <w:tabs>
          <w:tab w:val="left" w:pos="5616"/>
        </w:tabs>
        <w:rPr>
          <w:color w:val="000000" w:themeColor="text1"/>
          <w:lang w:val="en-AU"/>
        </w:rPr>
      </w:pPr>
    </w:p>
    <w:p w14:paraId="31B1D313"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McCartney, Dan G. “Ecce Homo: The Coming of the Kingdom as the Restoration of Human </w:t>
      </w:r>
    </w:p>
    <w:p w14:paraId="745006B1" w14:textId="52A226A8"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Vicegerency” </w:t>
      </w:r>
      <w:r w:rsidRPr="00FB2D03">
        <w:rPr>
          <w:i/>
          <w:color w:val="000000" w:themeColor="text1"/>
          <w:lang w:val="en-AU"/>
        </w:rPr>
        <w:t>Westminster Theological Journal 56</w:t>
      </w:r>
      <w:r w:rsidRPr="00FB2D03">
        <w:rPr>
          <w:color w:val="000000" w:themeColor="text1"/>
          <w:lang w:val="en-AU"/>
        </w:rPr>
        <w:t xml:space="preserve"> (1994): 1–21.</w:t>
      </w:r>
    </w:p>
    <w:p w14:paraId="3D1DA405" w14:textId="77777777" w:rsidR="00412D77" w:rsidRPr="00FB2D03" w:rsidRDefault="00412D77" w:rsidP="00412D77">
      <w:pPr>
        <w:tabs>
          <w:tab w:val="left" w:pos="5616"/>
        </w:tabs>
        <w:rPr>
          <w:color w:val="000000" w:themeColor="text1"/>
          <w:lang w:val="en-AU"/>
        </w:rPr>
      </w:pPr>
    </w:p>
    <w:p w14:paraId="42E6A87F"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McComiskey, Bruce. “Laws, Works, and the End of Days: Rhetorics of Identification, </w:t>
      </w:r>
    </w:p>
    <w:p w14:paraId="352A2710" w14:textId="202316E4"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Distinction, and Persuasion in Dead Sea Scroll 4QMMT.” </w:t>
      </w:r>
      <w:r w:rsidRPr="00FB2D03">
        <w:rPr>
          <w:i/>
          <w:color w:val="000000" w:themeColor="text1"/>
          <w:lang w:val="en-AU"/>
        </w:rPr>
        <w:t>Rhetoric Review</w:t>
      </w:r>
      <w:r w:rsidRPr="00FB2D03">
        <w:rPr>
          <w:color w:val="000000" w:themeColor="text1"/>
          <w:lang w:val="en-AU"/>
        </w:rPr>
        <w:t xml:space="preserve"> 29 (2010): 221–238.</w:t>
      </w:r>
    </w:p>
    <w:p w14:paraId="2D296316" w14:textId="77777777" w:rsidR="00412D77" w:rsidRPr="00FB2D03" w:rsidRDefault="00412D77" w:rsidP="00412D77">
      <w:pPr>
        <w:tabs>
          <w:tab w:val="left" w:pos="5616"/>
        </w:tabs>
        <w:rPr>
          <w:color w:val="000000" w:themeColor="text1"/>
          <w:lang w:val="en-AU"/>
        </w:rPr>
      </w:pPr>
    </w:p>
    <w:p w14:paraId="22E836AD" w14:textId="77777777" w:rsidR="00416C83" w:rsidRPr="00FB2D03" w:rsidRDefault="00412D77" w:rsidP="00412D77">
      <w:pPr>
        <w:tabs>
          <w:tab w:val="left" w:pos="5616"/>
        </w:tabs>
        <w:rPr>
          <w:color w:val="000000" w:themeColor="text1"/>
          <w:lang w:val="en-AU"/>
        </w:rPr>
      </w:pPr>
      <w:r w:rsidRPr="00FB2D03">
        <w:rPr>
          <w:color w:val="000000" w:themeColor="text1"/>
          <w:lang w:val="en-AU"/>
        </w:rPr>
        <w:t>McConville, J. G. </w:t>
      </w:r>
      <w:r w:rsidRPr="00FB2D03">
        <w:rPr>
          <w:i/>
          <w:color w:val="000000" w:themeColor="text1"/>
          <w:lang w:val="en-AU"/>
        </w:rPr>
        <w:t>Law and Theology in Deuteronomy</w:t>
      </w:r>
      <w:r w:rsidRPr="00FB2D03">
        <w:rPr>
          <w:color w:val="000000" w:themeColor="text1"/>
          <w:lang w:val="en-AU"/>
        </w:rPr>
        <w:t xml:space="preserve">. Eugene, OR: Sheffield Academic, </w:t>
      </w:r>
    </w:p>
    <w:p w14:paraId="27CB0767" w14:textId="1D71697A" w:rsidR="00412D77" w:rsidRPr="00FB2D03" w:rsidRDefault="00412D77" w:rsidP="00AD1181">
      <w:pPr>
        <w:tabs>
          <w:tab w:val="left" w:pos="5616"/>
        </w:tabs>
        <w:ind w:left="720"/>
        <w:rPr>
          <w:color w:val="000000" w:themeColor="text1"/>
          <w:lang w:val="en-AU"/>
        </w:rPr>
      </w:pPr>
      <w:r w:rsidRPr="00FB2D03">
        <w:rPr>
          <w:color w:val="000000" w:themeColor="text1"/>
          <w:lang w:val="en-AU"/>
        </w:rPr>
        <w:t>1985.</w:t>
      </w:r>
    </w:p>
    <w:p w14:paraId="32E7CE0A" w14:textId="77777777" w:rsidR="00412D77" w:rsidRPr="00FB2D03" w:rsidRDefault="00412D77" w:rsidP="00412D77">
      <w:pPr>
        <w:tabs>
          <w:tab w:val="left" w:pos="5616"/>
        </w:tabs>
        <w:rPr>
          <w:color w:val="000000" w:themeColor="text1"/>
          <w:lang w:val="en-AU"/>
        </w:rPr>
      </w:pPr>
    </w:p>
    <w:p w14:paraId="286794A3"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McIntyre, Donald C. “The Testing of Jesus </w:t>
      </w:r>
      <w:proofErr w:type="gramStart"/>
      <w:r w:rsidRPr="00FB2D03">
        <w:rPr>
          <w:color w:val="000000" w:themeColor="text1"/>
          <w:lang w:val="en-AU"/>
        </w:rPr>
        <w:t>in Light of</w:t>
      </w:r>
      <w:proofErr w:type="gramEnd"/>
      <w:r w:rsidRPr="00FB2D03">
        <w:rPr>
          <w:color w:val="000000" w:themeColor="text1"/>
          <w:lang w:val="en-AU"/>
        </w:rPr>
        <w:t xml:space="preserve"> the Dead Sea Scrolls and Intertextual </w:t>
      </w:r>
    </w:p>
    <w:p w14:paraId="01D82463" w14:textId="7C06B556" w:rsidR="00412D77" w:rsidRPr="00FB2D03" w:rsidRDefault="00412D77" w:rsidP="00AD1181">
      <w:pPr>
        <w:tabs>
          <w:tab w:val="left" w:pos="5616"/>
        </w:tabs>
        <w:ind w:left="720"/>
        <w:rPr>
          <w:color w:val="000000" w:themeColor="text1"/>
          <w:lang w:val="en-AU"/>
        </w:rPr>
      </w:pPr>
      <w:r w:rsidRPr="00FB2D03">
        <w:rPr>
          <w:color w:val="000000" w:themeColor="text1"/>
          <w:lang w:val="en-AU"/>
        </w:rPr>
        <w:t>Hermeneutics.” </w:t>
      </w:r>
      <w:r w:rsidRPr="00FB2D03">
        <w:rPr>
          <w:i/>
          <w:color w:val="000000" w:themeColor="text1"/>
          <w:lang w:val="en-AU"/>
        </w:rPr>
        <w:t>Eleutheria</w:t>
      </w:r>
      <w:r w:rsidRPr="00FB2D03">
        <w:rPr>
          <w:color w:val="000000" w:themeColor="text1"/>
          <w:lang w:val="en-AU"/>
        </w:rPr>
        <w:t> 5 (2021): 90–112.</w:t>
      </w:r>
    </w:p>
    <w:p w14:paraId="5BF899C5" w14:textId="77777777" w:rsidR="00412D77" w:rsidRPr="00FB2D03" w:rsidRDefault="00412D77" w:rsidP="00412D77">
      <w:pPr>
        <w:tabs>
          <w:tab w:val="left" w:pos="5616"/>
        </w:tabs>
        <w:rPr>
          <w:color w:val="000000" w:themeColor="text1"/>
          <w:lang w:val="en-AU"/>
        </w:rPr>
      </w:pPr>
    </w:p>
    <w:p w14:paraId="59301AF1"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McEntire, Mark Harold. </w:t>
      </w:r>
      <w:r w:rsidRPr="00FB2D03">
        <w:rPr>
          <w:i/>
          <w:color w:val="000000" w:themeColor="text1"/>
          <w:lang w:val="en-AU"/>
        </w:rPr>
        <w:t xml:space="preserve">A Chorus of Prophetic Voices: Introducing the Prophetic Literature </w:t>
      </w:r>
    </w:p>
    <w:p w14:paraId="6B2FF00F" w14:textId="4BB4265A" w:rsidR="00412D77" w:rsidRPr="00FB2D03" w:rsidRDefault="00412D77" w:rsidP="00AD1181">
      <w:pPr>
        <w:tabs>
          <w:tab w:val="left" w:pos="5616"/>
        </w:tabs>
        <w:ind w:left="720"/>
        <w:rPr>
          <w:color w:val="000000" w:themeColor="text1"/>
          <w:lang w:val="en-AU"/>
        </w:rPr>
      </w:pPr>
      <w:r w:rsidRPr="00FB2D03">
        <w:rPr>
          <w:i/>
          <w:color w:val="000000" w:themeColor="text1"/>
          <w:lang w:val="en-AU"/>
        </w:rPr>
        <w:t>of Ancient Israel</w:t>
      </w:r>
      <w:r w:rsidRPr="00FB2D03">
        <w:rPr>
          <w:color w:val="000000" w:themeColor="text1"/>
          <w:lang w:val="en-AU"/>
        </w:rPr>
        <w:t>. Louisville: Westminster John Knox, 2015.</w:t>
      </w:r>
    </w:p>
    <w:p w14:paraId="291969F5" w14:textId="77777777" w:rsidR="00412D77" w:rsidRPr="00FB2D03" w:rsidRDefault="00412D77" w:rsidP="00412D77">
      <w:pPr>
        <w:tabs>
          <w:tab w:val="left" w:pos="5616"/>
        </w:tabs>
        <w:rPr>
          <w:color w:val="000000" w:themeColor="text1"/>
          <w:lang w:val="en-AU"/>
        </w:rPr>
      </w:pPr>
    </w:p>
    <w:p w14:paraId="139EE828" w14:textId="77777777" w:rsidR="00416C83" w:rsidRPr="00FB2D03" w:rsidRDefault="00412D77" w:rsidP="00412D77">
      <w:pPr>
        <w:tabs>
          <w:tab w:val="left" w:pos="5616"/>
        </w:tabs>
        <w:rPr>
          <w:i/>
          <w:color w:val="000000" w:themeColor="text1"/>
          <w:lang w:val="en-AU"/>
        </w:rPr>
      </w:pPr>
      <w:r w:rsidRPr="00FB2D03">
        <w:rPr>
          <w:color w:val="000000" w:themeColor="text1"/>
          <w:lang w:val="en-AU"/>
        </w:rPr>
        <w:t>McDonald, Lee Martin. </w:t>
      </w:r>
      <w:r w:rsidRPr="00FB2D03">
        <w:rPr>
          <w:i/>
          <w:color w:val="000000" w:themeColor="text1"/>
          <w:lang w:val="en-AU"/>
        </w:rPr>
        <w:t xml:space="preserve">“Non–Canonical” Religious Texts </w:t>
      </w:r>
      <w:proofErr w:type="gramStart"/>
      <w:r w:rsidRPr="00FB2D03">
        <w:rPr>
          <w:i/>
          <w:color w:val="000000" w:themeColor="text1"/>
          <w:lang w:val="en-AU"/>
        </w:rPr>
        <w:t>In</w:t>
      </w:r>
      <w:proofErr w:type="gramEnd"/>
      <w:r w:rsidRPr="00FB2D03">
        <w:rPr>
          <w:i/>
          <w:color w:val="000000" w:themeColor="text1"/>
          <w:lang w:val="en-AU"/>
        </w:rPr>
        <w:t xml:space="preserve"> Early Judaism And Early </w:t>
      </w:r>
    </w:p>
    <w:p w14:paraId="4F02B53E" w14:textId="460A48FD" w:rsidR="00412D77" w:rsidRPr="00FB2D03" w:rsidRDefault="00412D77" w:rsidP="00AD1181">
      <w:pPr>
        <w:tabs>
          <w:tab w:val="left" w:pos="5616"/>
        </w:tabs>
        <w:ind w:left="720"/>
        <w:rPr>
          <w:color w:val="000000" w:themeColor="text1"/>
          <w:lang w:val="en-AU"/>
        </w:rPr>
      </w:pPr>
      <w:r w:rsidRPr="00FB2D03">
        <w:rPr>
          <w:i/>
          <w:color w:val="000000" w:themeColor="text1"/>
          <w:lang w:val="en-AU"/>
        </w:rPr>
        <w:t>Christianity.</w:t>
      </w:r>
      <w:r w:rsidRPr="00FB2D03">
        <w:rPr>
          <w:color w:val="000000" w:themeColor="text1"/>
          <w:lang w:val="en-AU"/>
        </w:rPr>
        <w:t xml:space="preserve"> London: Bloomsbury, 2013.</w:t>
      </w:r>
    </w:p>
    <w:p w14:paraId="35EFF22D" w14:textId="77777777" w:rsidR="00412D77" w:rsidRPr="00FB2D03" w:rsidRDefault="00412D77" w:rsidP="00412D77">
      <w:pPr>
        <w:tabs>
          <w:tab w:val="left" w:pos="5616"/>
        </w:tabs>
        <w:rPr>
          <w:color w:val="000000" w:themeColor="text1"/>
          <w:lang w:val="en-AU"/>
        </w:rPr>
      </w:pPr>
    </w:p>
    <w:p w14:paraId="512A7C57"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McKeogh, Colm. </w:t>
      </w:r>
      <w:r w:rsidRPr="00FB2D03">
        <w:rPr>
          <w:i/>
          <w:color w:val="000000" w:themeColor="text1"/>
          <w:lang w:val="en-AU"/>
        </w:rPr>
        <w:t>Why Peace, Quaker?</w:t>
      </w:r>
      <w:r w:rsidRPr="00FB2D03">
        <w:rPr>
          <w:color w:val="000000" w:themeColor="text1"/>
          <w:lang w:val="en-AU"/>
        </w:rPr>
        <w:t xml:space="preserve"> Hamilton: Logo Express, 2015.</w:t>
      </w:r>
    </w:p>
    <w:p w14:paraId="65F10732" w14:textId="77777777" w:rsidR="00412D77" w:rsidRPr="00FB2D03" w:rsidRDefault="00412D77" w:rsidP="00412D77">
      <w:pPr>
        <w:tabs>
          <w:tab w:val="left" w:pos="5616"/>
        </w:tabs>
        <w:rPr>
          <w:color w:val="000000" w:themeColor="text1"/>
          <w:lang w:val="en-AU"/>
        </w:rPr>
      </w:pPr>
    </w:p>
    <w:p w14:paraId="36779FCF"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McLaren, J. S. </w:t>
      </w:r>
      <w:proofErr w:type="gramStart"/>
      <w:r w:rsidRPr="00FB2D03">
        <w:rPr>
          <w:i/>
          <w:color w:val="000000" w:themeColor="text1"/>
          <w:lang w:val="en-AU"/>
        </w:rPr>
        <w:t>Power</w:t>
      </w:r>
      <w:proofErr w:type="gramEnd"/>
      <w:r w:rsidRPr="00FB2D03">
        <w:rPr>
          <w:i/>
          <w:color w:val="000000" w:themeColor="text1"/>
          <w:lang w:val="en-AU"/>
        </w:rPr>
        <w:t xml:space="preserve"> and Politics in Palestine: The Jews and the Governing of their Land </w:t>
      </w:r>
    </w:p>
    <w:p w14:paraId="6AADF116" w14:textId="30C952BB" w:rsidR="00412D77" w:rsidRPr="00FB2D03" w:rsidRDefault="00412D77" w:rsidP="00AD1181">
      <w:pPr>
        <w:tabs>
          <w:tab w:val="left" w:pos="5616"/>
        </w:tabs>
        <w:ind w:left="720"/>
        <w:rPr>
          <w:color w:val="000000" w:themeColor="text1"/>
          <w:lang w:val="en-AU"/>
        </w:rPr>
      </w:pPr>
      <w:r w:rsidRPr="00FB2D03">
        <w:rPr>
          <w:i/>
          <w:color w:val="000000" w:themeColor="text1"/>
          <w:lang w:val="en-AU"/>
        </w:rPr>
        <w:t>100 BC–AD 70</w:t>
      </w:r>
      <w:r w:rsidRPr="00FB2D03">
        <w:rPr>
          <w:color w:val="000000" w:themeColor="text1"/>
          <w:lang w:val="en-AU"/>
        </w:rPr>
        <w:t>. Sheffield: Sheffield Academic, 1991.</w:t>
      </w:r>
    </w:p>
    <w:p w14:paraId="2E06D6B9" w14:textId="77777777" w:rsidR="00412D77" w:rsidRPr="00FB2D03" w:rsidRDefault="00412D77" w:rsidP="00412D77">
      <w:pPr>
        <w:tabs>
          <w:tab w:val="left" w:pos="5616"/>
        </w:tabs>
        <w:rPr>
          <w:color w:val="000000" w:themeColor="text1"/>
          <w:lang w:val="en-AU"/>
        </w:rPr>
      </w:pPr>
    </w:p>
    <w:p w14:paraId="1EEA26F5"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McNamara, Martin. </w:t>
      </w:r>
      <w:r w:rsidRPr="00FB2D03">
        <w:rPr>
          <w:i/>
          <w:color w:val="000000" w:themeColor="text1"/>
          <w:lang w:val="en-AU"/>
        </w:rPr>
        <w:t xml:space="preserve">Targum and Testament Revisited: Aramaic Paraphrases of the Hebrew </w:t>
      </w:r>
    </w:p>
    <w:p w14:paraId="5768491A" w14:textId="78242D48"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Bible; A Light on the New Testament. </w:t>
      </w:r>
      <w:r w:rsidRPr="00FB2D03">
        <w:rPr>
          <w:color w:val="000000" w:themeColor="text1"/>
          <w:lang w:val="en-AU"/>
        </w:rPr>
        <w:t>Grand Rapids: Eerdmans, 2010.</w:t>
      </w:r>
    </w:p>
    <w:p w14:paraId="56C958BD" w14:textId="77777777" w:rsidR="00412D77" w:rsidRPr="00FB2D03" w:rsidRDefault="00412D77" w:rsidP="00412D77">
      <w:pPr>
        <w:tabs>
          <w:tab w:val="left" w:pos="5616"/>
        </w:tabs>
        <w:rPr>
          <w:color w:val="000000" w:themeColor="text1"/>
          <w:lang w:val="en-AU"/>
        </w:rPr>
      </w:pPr>
    </w:p>
    <w:p w14:paraId="5CB9CED2"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McNeile, A.H. </w:t>
      </w:r>
      <w:r w:rsidRPr="00FB2D03">
        <w:rPr>
          <w:i/>
          <w:color w:val="000000" w:themeColor="text1"/>
          <w:lang w:val="en-AU"/>
        </w:rPr>
        <w:t>The Gospel According to Saint Matthew: The Greek Text with Introduction.</w:t>
      </w:r>
      <w:r w:rsidRPr="00FB2D03">
        <w:rPr>
          <w:color w:val="000000" w:themeColor="text1"/>
          <w:lang w:val="en-AU"/>
        </w:rPr>
        <w:t xml:space="preserve"> </w:t>
      </w:r>
    </w:p>
    <w:p w14:paraId="055E32E4" w14:textId="3DC8D5AB" w:rsidR="00412D77" w:rsidRPr="00FB2D03" w:rsidRDefault="00412D77" w:rsidP="00AD1181">
      <w:pPr>
        <w:tabs>
          <w:tab w:val="left" w:pos="5616"/>
        </w:tabs>
        <w:ind w:left="720"/>
        <w:rPr>
          <w:color w:val="000000" w:themeColor="text1"/>
          <w:lang w:val="en-AU"/>
        </w:rPr>
      </w:pPr>
      <w:r w:rsidRPr="00FB2D03">
        <w:rPr>
          <w:color w:val="000000" w:themeColor="text1"/>
          <w:lang w:val="en-AU"/>
        </w:rPr>
        <w:t>London: MacMillian, 1952.</w:t>
      </w:r>
    </w:p>
    <w:p w14:paraId="09D2FB58" w14:textId="77777777" w:rsidR="00412D77" w:rsidRPr="00FB2D03" w:rsidRDefault="00412D77" w:rsidP="00412D77">
      <w:pPr>
        <w:tabs>
          <w:tab w:val="left" w:pos="5616"/>
        </w:tabs>
        <w:rPr>
          <w:color w:val="000000" w:themeColor="text1"/>
          <w:lang w:val="en-AU"/>
        </w:rPr>
      </w:pPr>
    </w:p>
    <w:p w14:paraId="7E012061" w14:textId="77777777" w:rsidR="00412D77" w:rsidRPr="00FB2D03" w:rsidRDefault="00412D77" w:rsidP="00412D77">
      <w:pPr>
        <w:tabs>
          <w:tab w:val="left" w:pos="5616"/>
        </w:tabs>
        <w:rPr>
          <w:color w:val="000000" w:themeColor="text1"/>
          <w:lang w:val="en-AU"/>
        </w:rPr>
      </w:pPr>
      <w:r w:rsidRPr="00FB2D03">
        <w:rPr>
          <w:color w:val="000000" w:themeColor="text1"/>
          <w:lang w:val="en-AU"/>
        </w:rPr>
        <w:t>McIver, Robert Kerry. </w:t>
      </w:r>
      <w:r w:rsidRPr="00FB2D03">
        <w:rPr>
          <w:i/>
          <w:color w:val="000000" w:themeColor="text1"/>
          <w:lang w:val="en-AU"/>
        </w:rPr>
        <w:t>Mainstream Or Marginal?</w:t>
      </w:r>
      <w:r w:rsidRPr="00FB2D03">
        <w:rPr>
          <w:color w:val="000000" w:themeColor="text1"/>
          <w:lang w:val="en-AU"/>
        </w:rPr>
        <w:t xml:space="preserve"> Frankfurt: P. Lang, 2012.</w:t>
      </w:r>
    </w:p>
    <w:p w14:paraId="0C441909" w14:textId="77777777" w:rsidR="00412D77" w:rsidRPr="00FB2D03" w:rsidRDefault="00412D77" w:rsidP="00412D77">
      <w:pPr>
        <w:tabs>
          <w:tab w:val="left" w:pos="5616"/>
        </w:tabs>
        <w:rPr>
          <w:color w:val="000000" w:themeColor="text1"/>
          <w:lang w:val="en-AU"/>
        </w:rPr>
      </w:pPr>
    </w:p>
    <w:p w14:paraId="0A53173C" w14:textId="17E08550" w:rsidR="00412D77" w:rsidRPr="00FB2D03" w:rsidRDefault="01B55689" w:rsidP="01B55689">
      <w:pPr>
        <w:tabs>
          <w:tab w:val="left" w:pos="5616"/>
        </w:tabs>
        <w:rPr>
          <w:color w:val="000000" w:themeColor="text1"/>
          <w:lang w:val="en-AU"/>
        </w:rPr>
      </w:pPr>
      <w:r w:rsidRPr="00FB2D03">
        <w:rPr>
          <w:color w:val="000000" w:themeColor="text1"/>
          <w:lang w:val="en-AU"/>
        </w:rPr>
        <w:t xml:space="preserve">_______. “The Sabbath in the Gospel of Matthew: A Paradigm for Understanding the Law </w:t>
      </w:r>
    </w:p>
    <w:p w14:paraId="2B81220C" w14:textId="22CBC4D7" w:rsidR="00412D77" w:rsidRPr="00FB2D03" w:rsidRDefault="01B55689" w:rsidP="01B55689">
      <w:pPr>
        <w:tabs>
          <w:tab w:val="left" w:pos="5616"/>
        </w:tabs>
        <w:ind w:firstLine="720"/>
        <w:rPr>
          <w:color w:val="000000" w:themeColor="text1"/>
          <w:lang w:val="en-AU"/>
        </w:rPr>
      </w:pPr>
      <w:r w:rsidRPr="00FB2D03">
        <w:rPr>
          <w:color w:val="000000" w:themeColor="text1"/>
          <w:lang w:val="en-AU"/>
        </w:rPr>
        <w:t xml:space="preserve">in Matthew?” </w:t>
      </w:r>
      <w:r w:rsidRPr="00FB2D03">
        <w:rPr>
          <w:i/>
          <w:iCs/>
          <w:color w:val="000000" w:themeColor="text1"/>
          <w:lang w:val="en-AU"/>
        </w:rPr>
        <w:t>Andrews University Seminary Studies 33</w:t>
      </w:r>
      <w:r w:rsidRPr="00FB2D03">
        <w:rPr>
          <w:color w:val="000000" w:themeColor="text1"/>
          <w:lang w:val="en-AU"/>
        </w:rPr>
        <w:t xml:space="preserve"> (1995): 241.</w:t>
      </w:r>
    </w:p>
    <w:p w14:paraId="1403ED8B" w14:textId="77777777" w:rsidR="00412D77" w:rsidRPr="00FB2D03" w:rsidRDefault="00412D77" w:rsidP="00412D77">
      <w:pPr>
        <w:tabs>
          <w:tab w:val="left" w:pos="5616"/>
        </w:tabs>
        <w:rPr>
          <w:color w:val="000000" w:themeColor="text1"/>
          <w:lang w:val="en-AU"/>
        </w:rPr>
      </w:pPr>
    </w:p>
    <w:p w14:paraId="75BCB666" w14:textId="77777777" w:rsidR="00412D77" w:rsidRPr="00FB2D03" w:rsidRDefault="00412D77" w:rsidP="00412D77">
      <w:pPr>
        <w:tabs>
          <w:tab w:val="left" w:pos="5616"/>
        </w:tabs>
        <w:rPr>
          <w:color w:val="000000" w:themeColor="text1"/>
          <w:lang w:val="en-AU"/>
        </w:rPr>
      </w:pPr>
      <w:r w:rsidRPr="00FB2D03">
        <w:rPr>
          <w:color w:val="000000" w:themeColor="text1"/>
          <w:lang w:val="en-AU"/>
        </w:rPr>
        <w:t>Meier, John P. </w:t>
      </w:r>
      <w:r w:rsidRPr="00FB2D03">
        <w:rPr>
          <w:i/>
          <w:color w:val="000000" w:themeColor="text1"/>
          <w:lang w:val="en-AU"/>
        </w:rPr>
        <w:t xml:space="preserve">Law </w:t>
      </w:r>
      <w:proofErr w:type="gramStart"/>
      <w:r w:rsidRPr="00FB2D03">
        <w:rPr>
          <w:i/>
          <w:color w:val="000000" w:themeColor="text1"/>
          <w:lang w:val="en-AU"/>
        </w:rPr>
        <w:t>And</w:t>
      </w:r>
      <w:proofErr w:type="gramEnd"/>
      <w:r w:rsidRPr="00FB2D03">
        <w:rPr>
          <w:i/>
          <w:color w:val="000000" w:themeColor="text1"/>
          <w:lang w:val="en-AU"/>
        </w:rPr>
        <w:t xml:space="preserve"> History In Matthew’s Gospel</w:t>
      </w:r>
      <w:r w:rsidRPr="00FB2D03">
        <w:rPr>
          <w:color w:val="000000" w:themeColor="text1"/>
          <w:lang w:val="en-AU"/>
        </w:rPr>
        <w:t>. Rome: Biblical Institute, 1976.</w:t>
      </w:r>
    </w:p>
    <w:p w14:paraId="63AE5D24" w14:textId="77777777" w:rsidR="00412D77" w:rsidRPr="00FB2D03" w:rsidRDefault="00412D77" w:rsidP="00412D77">
      <w:pPr>
        <w:tabs>
          <w:tab w:val="left" w:pos="5616"/>
        </w:tabs>
        <w:rPr>
          <w:color w:val="000000" w:themeColor="text1"/>
          <w:lang w:val="en-AU"/>
        </w:rPr>
      </w:pPr>
    </w:p>
    <w:p w14:paraId="3338121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A Marginal Jew</w:t>
      </w:r>
      <w:r w:rsidRPr="00FB2D03">
        <w:rPr>
          <w:color w:val="000000" w:themeColor="text1"/>
          <w:lang w:val="en-AU"/>
        </w:rPr>
        <w:t>, Vol. 4. London: Yale University Press, 2009.</w:t>
      </w:r>
    </w:p>
    <w:p w14:paraId="091B8275" w14:textId="77777777" w:rsidR="00412D77" w:rsidRPr="00FB2D03" w:rsidRDefault="00412D77" w:rsidP="00412D77">
      <w:pPr>
        <w:tabs>
          <w:tab w:val="left" w:pos="5616"/>
        </w:tabs>
        <w:rPr>
          <w:color w:val="000000" w:themeColor="text1"/>
          <w:lang w:val="en-AU"/>
        </w:rPr>
      </w:pPr>
    </w:p>
    <w:p w14:paraId="080354EE"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Vision of Matthew: Christ, Church, and Morality in the First Gospel</w:t>
      </w:r>
      <w:r w:rsidRPr="00FB2D03">
        <w:rPr>
          <w:color w:val="000000" w:themeColor="text1"/>
          <w:lang w:val="en-AU"/>
        </w:rPr>
        <w:t xml:space="preserve">. New </w:t>
      </w:r>
    </w:p>
    <w:p w14:paraId="7F688483" w14:textId="5AB25F6A" w:rsidR="00412D77" w:rsidRPr="00FB2D03" w:rsidRDefault="00412D77" w:rsidP="00AD1181">
      <w:pPr>
        <w:tabs>
          <w:tab w:val="left" w:pos="5616"/>
        </w:tabs>
        <w:ind w:left="720"/>
        <w:rPr>
          <w:color w:val="000000" w:themeColor="text1"/>
          <w:lang w:val="en-AU"/>
        </w:rPr>
      </w:pPr>
      <w:r w:rsidRPr="00FB2D03">
        <w:rPr>
          <w:color w:val="000000" w:themeColor="text1"/>
          <w:lang w:val="en-AU"/>
        </w:rPr>
        <w:t>York: Paulist, 1979.</w:t>
      </w:r>
    </w:p>
    <w:p w14:paraId="67B096C4" w14:textId="77777777" w:rsidR="00412D77" w:rsidRPr="00FB2D03" w:rsidRDefault="00412D77" w:rsidP="00412D77">
      <w:pPr>
        <w:tabs>
          <w:tab w:val="left" w:pos="5616"/>
        </w:tabs>
        <w:rPr>
          <w:color w:val="000000" w:themeColor="text1"/>
          <w:lang w:val="en-AU"/>
        </w:rPr>
      </w:pPr>
    </w:p>
    <w:p w14:paraId="77F9CCE9" w14:textId="77777777" w:rsidR="00416C83" w:rsidRPr="00FB2D03" w:rsidRDefault="00412D77" w:rsidP="00412D77">
      <w:pPr>
        <w:tabs>
          <w:tab w:val="left" w:pos="5616"/>
        </w:tabs>
        <w:rPr>
          <w:i/>
          <w:color w:val="000000" w:themeColor="text1"/>
          <w:lang w:val="en-AU"/>
        </w:rPr>
      </w:pPr>
      <w:r w:rsidRPr="00FB2D03">
        <w:rPr>
          <w:color w:val="000000" w:themeColor="text1"/>
          <w:lang w:val="en-AU"/>
        </w:rPr>
        <w:t>Meier, John P. “Did the Historical Jesus Prohibit All Oaths? Part 2.” </w:t>
      </w:r>
      <w:r w:rsidRPr="00FB2D03">
        <w:rPr>
          <w:i/>
          <w:color w:val="000000" w:themeColor="text1"/>
          <w:lang w:val="en-AU"/>
        </w:rPr>
        <w:t xml:space="preserve">Journal for the Study of </w:t>
      </w:r>
    </w:p>
    <w:p w14:paraId="7C94BCBC" w14:textId="4915EED0" w:rsidR="00412D77" w:rsidRDefault="00412D77" w:rsidP="00AD1181">
      <w:pPr>
        <w:tabs>
          <w:tab w:val="left" w:pos="5616"/>
        </w:tabs>
        <w:ind w:left="720"/>
        <w:rPr>
          <w:color w:val="000000" w:themeColor="text1"/>
          <w:lang w:val="en-AU"/>
        </w:rPr>
      </w:pPr>
      <w:r w:rsidRPr="00FB2D03">
        <w:rPr>
          <w:i/>
          <w:color w:val="000000" w:themeColor="text1"/>
          <w:lang w:val="en-AU"/>
        </w:rPr>
        <w:t xml:space="preserve">the Historical Jesus </w:t>
      </w:r>
      <w:r w:rsidRPr="00FB2D03">
        <w:rPr>
          <w:color w:val="000000" w:themeColor="text1"/>
          <w:lang w:val="en-AU"/>
        </w:rPr>
        <w:t xml:space="preserve">6 (2008): 3–24. </w:t>
      </w:r>
    </w:p>
    <w:p w14:paraId="69777B19" w14:textId="77777777" w:rsidR="004A5AA0" w:rsidRDefault="004A5AA0" w:rsidP="00AD1181">
      <w:pPr>
        <w:tabs>
          <w:tab w:val="left" w:pos="5616"/>
        </w:tabs>
        <w:ind w:left="720"/>
        <w:rPr>
          <w:color w:val="000000" w:themeColor="text1"/>
          <w:lang w:val="en-AU"/>
        </w:rPr>
      </w:pPr>
    </w:p>
    <w:p w14:paraId="737C123C" w14:textId="77777777" w:rsidR="004A5AA0" w:rsidRDefault="004A5AA0" w:rsidP="004A5AA0">
      <w:pPr>
        <w:tabs>
          <w:tab w:val="left" w:pos="5616"/>
        </w:tabs>
        <w:rPr>
          <w:iCs/>
          <w:color w:val="000000" w:themeColor="text1"/>
        </w:rPr>
      </w:pPr>
      <w:r w:rsidRPr="004A5AA0">
        <w:rPr>
          <w:iCs/>
          <w:color w:val="000000" w:themeColor="text1"/>
        </w:rPr>
        <w:t xml:space="preserve">Melgar, Cesar A. "Prophetic Exegesis in the War Scroll (1 QM 10-12)." PhD diss., Graduate </w:t>
      </w:r>
    </w:p>
    <w:p w14:paraId="2EE50841" w14:textId="6672BC33" w:rsidR="004A5AA0" w:rsidRPr="004A5AA0" w:rsidRDefault="004A5AA0" w:rsidP="004A5AA0">
      <w:pPr>
        <w:tabs>
          <w:tab w:val="left" w:pos="5616"/>
        </w:tabs>
        <w:ind w:left="720"/>
        <w:rPr>
          <w:iCs/>
          <w:color w:val="000000" w:themeColor="text1"/>
        </w:rPr>
      </w:pPr>
      <w:r w:rsidRPr="004A5AA0">
        <w:rPr>
          <w:iCs/>
          <w:color w:val="000000" w:themeColor="text1"/>
        </w:rPr>
        <w:t>Theological Union,</w:t>
      </w:r>
      <w:r>
        <w:rPr>
          <w:iCs/>
          <w:color w:val="000000" w:themeColor="text1"/>
        </w:rPr>
        <w:t xml:space="preserve"> 2019.</w:t>
      </w:r>
    </w:p>
    <w:p w14:paraId="711968D6" w14:textId="77777777" w:rsidR="00412D77" w:rsidRPr="00FB2D03" w:rsidRDefault="00412D77" w:rsidP="00412D77">
      <w:pPr>
        <w:tabs>
          <w:tab w:val="left" w:pos="5616"/>
        </w:tabs>
        <w:rPr>
          <w:color w:val="000000" w:themeColor="text1"/>
          <w:lang w:val="en-AU"/>
        </w:rPr>
      </w:pPr>
    </w:p>
    <w:p w14:paraId="563943C2" w14:textId="77777777" w:rsidR="00416C83" w:rsidRPr="00FB2D03" w:rsidRDefault="00412D77" w:rsidP="00412D77">
      <w:pPr>
        <w:tabs>
          <w:tab w:val="left" w:pos="5616"/>
        </w:tabs>
        <w:rPr>
          <w:color w:val="000000" w:themeColor="text1"/>
          <w:lang w:val="en-AU"/>
        </w:rPr>
      </w:pPr>
      <w:r w:rsidRPr="00FB2D03">
        <w:rPr>
          <w:color w:val="000000" w:themeColor="text1"/>
          <w:lang w:val="en-AU"/>
        </w:rPr>
        <w:lastRenderedPageBreak/>
        <w:t xml:space="preserve">Menahem, Stern. </w:t>
      </w:r>
      <w:r w:rsidRPr="00FB2D03">
        <w:rPr>
          <w:i/>
          <w:color w:val="000000" w:themeColor="text1"/>
          <w:lang w:val="en-AU"/>
        </w:rPr>
        <w:t xml:space="preserve">Greek and Latin Authors on Jews and Judaism. </w:t>
      </w:r>
      <w:r w:rsidRPr="00FB2D03">
        <w:rPr>
          <w:color w:val="000000" w:themeColor="text1"/>
          <w:lang w:val="en-AU"/>
        </w:rPr>
        <w:t xml:space="preserve">Jerusalem: The Israel </w:t>
      </w:r>
    </w:p>
    <w:p w14:paraId="76D7D359" w14:textId="46A22A30" w:rsidR="00412D77" w:rsidRPr="00FB2D03" w:rsidRDefault="00412D77" w:rsidP="00AD1181">
      <w:pPr>
        <w:tabs>
          <w:tab w:val="left" w:pos="5616"/>
        </w:tabs>
        <w:ind w:left="720"/>
        <w:rPr>
          <w:color w:val="000000" w:themeColor="text1"/>
          <w:lang w:val="en-AU"/>
        </w:rPr>
      </w:pPr>
      <w:r w:rsidRPr="00FB2D03">
        <w:rPr>
          <w:color w:val="000000" w:themeColor="text1"/>
          <w:lang w:val="en-AU"/>
        </w:rPr>
        <w:t>Academy of Sciences and Humanities, 1984.</w:t>
      </w:r>
    </w:p>
    <w:p w14:paraId="50D3F60A" w14:textId="77777777" w:rsidR="00412D77" w:rsidRPr="00FB2D03" w:rsidRDefault="00412D77" w:rsidP="00412D77">
      <w:pPr>
        <w:tabs>
          <w:tab w:val="left" w:pos="5616"/>
        </w:tabs>
        <w:rPr>
          <w:color w:val="000000" w:themeColor="text1"/>
          <w:lang w:val="en-AU"/>
        </w:rPr>
      </w:pPr>
    </w:p>
    <w:p w14:paraId="6E92CF7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Metso, S. </w:t>
      </w:r>
      <w:r w:rsidRPr="00FB2D03">
        <w:rPr>
          <w:i/>
          <w:color w:val="000000" w:themeColor="text1"/>
          <w:lang w:val="en-AU"/>
        </w:rPr>
        <w:t>The Textual Development of the Qumran Community Rule</w:t>
      </w:r>
      <w:r w:rsidRPr="00FB2D03">
        <w:rPr>
          <w:color w:val="000000" w:themeColor="text1"/>
          <w:lang w:val="en-AU"/>
        </w:rPr>
        <w:t xml:space="preserve">. Leiden: Brill, 1997. </w:t>
      </w:r>
    </w:p>
    <w:p w14:paraId="112D453F" w14:textId="77777777" w:rsidR="00412D77" w:rsidRPr="00FB2D03" w:rsidRDefault="00412D77" w:rsidP="00412D77">
      <w:pPr>
        <w:tabs>
          <w:tab w:val="left" w:pos="5616"/>
        </w:tabs>
        <w:rPr>
          <w:color w:val="000000" w:themeColor="text1"/>
          <w:lang w:val="en-AU"/>
        </w:rPr>
      </w:pPr>
    </w:p>
    <w:p w14:paraId="033926A3" w14:textId="77777777" w:rsidR="00416C83" w:rsidRPr="00FB2D03" w:rsidRDefault="00412D77" w:rsidP="00412D77">
      <w:pPr>
        <w:tabs>
          <w:tab w:val="left" w:pos="5616"/>
        </w:tabs>
        <w:rPr>
          <w:color w:val="000000" w:themeColor="text1"/>
          <w:lang w:val="en-AU"/>
        </w:rPr>
      </w:pPr>
      <w:r w:rsidRPr="00FB2D03">
        <w:rPr>
          <w:color w:val="000000" w:themeColor="text1"/>
          <w:lang w:val="en-AU"/>
        </w:rPr>
        <w:t>Metzger, Bruce Manning. </w:t>
      </w:r>
      <w:r w:rsidRPr="00FB2D03">
        <w:rPr>
          <w:i/>
          <w:color w:val="000000" w:themeColor="text1"/>
          <w:lang w:val="en-AU"/>
        </w:rPr>
        <w:t>The Oxford Annotated Apocrypha</w:t>
      </w:r>
      <w:r w:rsidRPr="00FB2D03">
        <w:rPr>
          <w:color w:val="000000" w:themeColor="text1"/>
          <w:lang w:val="en-AU"/>
        </w:rPr>
        <w:t xml:space="preserve">. New York: Oxford University </w:t>
      </w:r>
    </w:p>
    <w:p w14:paraId="10C64D0B" w14:textId="1B7F71B0" w:rsidR="00412D77" w:rsidRPr="00FB2D03" w:rsidRDefault="00412D77" w:rsidP="00AD1181">
      <w:pPr>
        <w:tabs>
          <w:tab w:val="left" w:pos="5616"/>
        </w:tabs>
        <w:ind w:left="720"/>
        <w:rPr>
          <w:color w:val="000000" w:themeColor="text1"/>
          <w:lang w:val="en-AU"/>
        </w:rPr>
      </w:pPr>
      <w:r w:rsidRPr="00FB2D03">
        <w:rPr>
          <w:color w:val="000000" w:themeColor="text1"/>
          <w:lang w:val="en-AU"/>
        </w:rPr>
        <w:t>Press, 1977.</w:t>
      </w:r>
    </w:p>
    <w:p w14:paraId="146DD788" w14:textId="77777777" w:rsidR="00A83558" w:rsidRPr="00FB2D03" w:rsidRDefault="00A83558" w:rsidP="00412D77">
      <w:pPr>
        <w:tabs>
          <w:tab w:val="left" w:pos="5616"/>
        </w:tabs>
        <w:rPr>
          <w:color w:val="000000" w:themeColor="text1"/>
          <w:lang w:val="en-AU"/>
        </w:rPr>
      </w:pPr>
    </w:p>
    <w:p w14:paraId="239CDB41" w14:textId="1F22C860" w:rsidR="00416C83" w:rsidRPr="00FB2D03" w:rsidRDefault="00412D77" w:rsidP="00412D77">
      <w:pPr>
        <w:tabs>
          <w:tab w:val="left" w:pos="5616"/>
        </w:tabs>
        <w:rPr>
          <w:color w:val="000000" w:themeColor="text1"/>
          <w:lang w:val="en-AU"/>
        </w:rPr>
      </w:pPr>
      <w:r w:rsidRPr="00FB2D03">
        <w:rPr>
          <w:color w:val="000000" w:themeColor="text1"/>
          <w:lang w:val="en-AU"/>
        </w:rPr>
        <w:t>Meyer, Ben F., and E. P Sanders. </w:t>
      </w:r>
      <w:r w:rsidRPr="00FB2D03">
        <w:rPr>
          <w:i/>
          <w:color w:val="000000" w:themeColor="text1"/>
          <w:lang w:val="en-AU"/>
        </w:rPr>
        <w:t>Jewish and Christian Self–Definition</w:t>
      </w:r>
      <w:r w:rsidRPr="00FB2D03">
        <w:rPr>
          <w:color w:val="000000" w:themeColor="text1"/>
          <w:lang w:val="en-AU"/>
        </w:rPr>
        <w:t xml:space="preserve">. Philadelphia: </w:t>
      </w:r>
    </w:p>
    <w:p w14:paraId="1727D159" w14:textId="252BFD30" w:rsidR="00412D77" w:rsidRPr="00FB2D03" w:rsidRDefault="00412D77" w:rsidP="00AD1181">
      <w:pPr>
        <w:tabs>
          <w:tab w:val="left" w:pos="5616"/>
        </w:tabs>
        <w:ind w:left="720"/>
        <w:rPr>
          <w:color w:val="000000" w:themeColor="text1"/>
          <w:lang w:val="en-AU"/>
        </w:rPr>
      </w:pPr>
      <w:r w:rsidRPr="00FB2D03">
        <w:rPr>
          <w:color w:val="000000" w:themeColor="text1"/>
          <w:lang w:val="en-AU"/>
        </w:rPr>
        <w:t>Fortress Press, 1983.</w:t>
      </w:r>
    </w:p>
    <w:p w14:paraId="6D96EE7D" w14:textId="77777777" w:rsidR="00412D77" w:rsidRPr="00FB2D03" w:rsidRDefault="00412D77" w:rsidP="00412D77">
      <w:pPr>
        <w:tabs>
          <w:tab w:val="left" w:pos="5616"/>
        </w:tabs>
        <w:rPr>
          <w:color w:val="000000" w:themeColor="text1"/>
          <w:lang w:val="en-AU"/>
        </w:rPr>
      </w:pPr>
    </w:p>
    <w:p w14:paraId="473D26FE"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Meyers, Eric M.  “The Challenge of Hellenism for Early Judaism and Christianity.” </w:t>
      </w:r>
      <w:r w:rsidRPr="00FB2D03">
        <w:rPr>
          <w:i/>
          <w:color w:val="000000" w:themeColor="text1"/>
          <w:lang w:val="en-AU"/>
        </w:rPr>
        <w:t xml:space="preserve">The </w:t>
      </w:r>
    </w:p>
    <w:p w14:paraId="5248233A" w14:textId="2BDC8DEA" w:rsidR="00412D77" w:rsidRPr="00FB2D03" w:rsidRDefault="00412D77" w:rsidP="00AD1181">
      <w:pPr>
        <w:tabs>
          <w:tab w:val="left" w:pos="5616"/>
        </w:tabs>
        <w:ind w:left="720"/>
        <w:rPr>
          <w:color w:val="000000" w:themeColor="text1"/>
          <w:lang w:val="en-AU"/>
        </w:rPr>
      </w:pPr>
      <w:r w:rsidRPr="00FB2D03">
        <w:rPr>
          <w:i/>
          <w:color w:val="000000" w:themeColor="text1"/>
          <w:lang w:val="en-AU"/>
        </w:rPr>
        <w:t>Biblical Archaeologist</w:t>
      </w:r>
      <w:r w:rsidRPr="00FB2D03">
        <w:rPr>
          <w:color w:val="000000" w:themeColor="text1"/>
          <w:lang w:val="en-AU"/>
        </w:rPr>
        <w:t xml:space="preserve"> 55 (1992): 84–91.</w:t>
      </w:r>
    </w:p>
    <w:p w14:paraId="347C3E9D" w14:textId="77777777" w:rsidR="00412D77" w:rsidRPr="00FB2D03" w:rsidRDefault="00412D77" w:rsidP="00412D77">
      <w:pPr>
        <w:tabs>
          <w:tab w:val="left" w:pos="5616"/>
        </w:tabs>
        <w:rPr>
          <w:color w:val="000000" w:themeColor="text1"/>
          <w:lang w:val="en-AU"/>
        </w:rPr>
      </w:pPr>
    </w:p>
    <w:p w14:paraId="213350ED" w14:textId="77777777" w:rsidR="00416C83" w:rsidRPr="00FB2D03" w:rsidRDefault="00412D77" w:rsidP="00412D77">
      <w:pPr>
        <w:tabs>
          <w:tab w:val="left" w:pos="5616"/>
        </w:tabs>
        <w:rPr>
          <w:color w:val="000000" w:themeColor="text1"/>
          <w:lang w:val="en-AU"/>
        </w:rPr>
      </w:pPr>
      <w:r w:rsidRPr="00FB2D03">
        <w:rPr>
          <w:color w:val="000000" w:themeColor="text1"/>
          <w:lang w:val="en-AU"/>
        </w:rPr>
        <w:t>Michael Poliakoff. “‘They Should Cover Their Shame’: Attitudes toward Nudity in Greco-</w:t>
      </w:r>
    </w:p>
    <w:p w14:paraId="1D7ADF02" w14:textId="69EC16CB" w:rsidR="00412D77" w:rsidRPr="00FB2D03" w:rsidRDefault="00412D77" w:rsidP="00AD1181">
      <w:pPr>
        <w:tabs>
          <w:tab w:val="left" w:pos="5616"/>
        </w:tabs>
        <w:ind w:left="720"/>
        <w:rPr>
          <w:color w:val="000000" w:themeColor="text1"/>
          <w:lang w:val="en-AU"/>
        </w:rPr>
      </w:pPr>
      <w:r w:rsidRPr="00FB2D03">
        <w:rPr>
          <w:color w:val="000000" w:themeColor="text1"/>
          <w:lang w:val="en-AU"/>
        </w:rPr>
        <w:t>Roman Judaism.” </w:t>
      </w:r>
      <w:r w:rsidRPr="00FB2D03">
        <w:rPr>
          <w:i/>
          <w:color w:val="000000" w:themeColor="text1"/>
          <w:lang w:val="en-AU"/>
        </w:rPr>
        <w:t>Notes in the History of Art</w:t>
      </w:r>
      <w:r w:rsidRPr="00FB2D03">
        <w:rPr>
          <w:color w:val="000000" w:themeColor="text1"/>
          <w:lang w:val="en-AU"/>
        </w:rPr>
        <w:t> 12 (1993): 56–62. </w:t>
      </w:r>
    </w:p>
    <w:p w14:paraId="0DCA1EA1" w14:textId="77777777" w:rsidR="00412D77" w:rsidRPr="00FB2D03" w:rsidRDefault="00412D77" w:rsidP="00412D77">
      <w:pPr>
        <w:tabs>
          <w:tab w:val="left" w:pos="5616"/>
        </w:tabs>
        <w:rPr>
          <w:color w:val="000000" w:themeColor="text1"/>
          <w:lang w:val="en-AU"/>
        </w:rPr>
      </w:pPr>
    </w:p>
    <w:p w14:paraId="1E05C43B" w14:textId="77777777" w:rsidR="00412D77" w:rsidRPr="00FB2D03" w:rsidRDefault="00412D77" w:rsidP="00412D77">
      <w:pPr>
        <w:tabs>
          <w:tab w:val="left" w:pos="5616"/>
        </w:tabs>
        <w:rPr>
          <w:color w:val="000000" w:themeColor="text1"/>
          <w:lang w:val="en-AU"/>
        </w:rPr>
      </w:pPr>
      <w:r w:rsidRPr="00FB2D03">
        <w:rPr>
          <w:color w:val="000000" w:themeColor="text1"/>
          <w:lang w:val="en-AU"/>
        </w:rPr>
        <w:t>Milgrom, Jacob. </w:t>
      </w:r>
      <w:r w:rsidRPr="00FB2D03">
        <w:rPr>
          <w:i/>
          <w:color w:val="000000" w:themeColor="text1"/>
          <w:lang w:val="en-AU"/>
        </w:rPr>
        <w:t>Leviticus 1–16</w:t>
      </w:r>
      <w:r w:rsidRPr="00FB2D03">
        <w:rPr>
          <w:color w:val="000000" w:themeColor="text1"/>
          <w:lang w:val="en-AU"/>
        </w:rPr>
        <w:t>. New Haven, Connecticut: Yale University Press, 1998.</w:t>
      </w:r>
    </w:p>
    <w:p w14:paraId="5E45D8AF" w14:textId="77777777" w:rsidR="00412D77" w:rsidRPr="00FB2D03" w:rsidRDefault="00412D77" w:rsidP="00412D77">
      <w:pPr>
        <w:tabs>
          <w:tab w:val="left" w:pos="5616"/>
        </w:tabs>
        <w:rPr>
          <w:color w:val="000000" w:themeColor="text1"/>
          <w:lang w:val="en-AU"/>
        </w:rPr>
      </w:pPr>
    </w:p>
    <w:p w14:paraId="325EEE7C" w14:textId="77777777" w:rsidR="00416C83" w:rsidRPr="00FB2D03" w:rsidRDefault="00412D77" w:rsidP="00412D77">
      <w:pPr>
        <w:tabs>
          <w:tab w:val="left" w:pos="5616"/>
        </w:tabs>
        <w:rPr>
          <w:color w:val="000000" w:themeColor="text1"/>
          <w:lang w:val="en-AU"/>
        </w:rPr>
      </w:pPr>
      <w:r w:rsidRPr="00FB2D03">
        <w:rPr>
          <w:color w:val="000000" w:themeColor="text1"/>
          <w:lang w:val="en-AU"/>
        </w:rPr>
        <w:t>Miller, John W., </w:t>
      </w:r>
      <w:r w:rsidRPr="00FB2D03">
        <w:rPr>
          <w:i/>
          <w:color w:val="000000" w:themeColor="text1"/>
          <w:lang w:val="en-AU"/>
        </w:rPr>
        <w:t>The Origins of the Bible: Rethinking Canon History</w:t>
      </w:r>
      <w:r w:rsidRPr="00FB2D03">
        <w:rPr>
          <w:color w:val="000000" w:themeColor="text1"/>
          <w:lang w:val="en-AU"/>
        </w:rPr>
        <w:t xml:space="preserve">. New York: Paulist, </w:t>
      </w:r>
    </w:p>
    <w:p w14:paraId="389695D4" w14:textId="0CB261CF"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1994. </w:t>
      </w:r>
    </w:p>
    <w:p w14:paraId="03FEC135" w14:textId="77777777" w:rsidR="00412D77" w:rsidRPr="00FB2D03" w:rsidRDefault="00412D77" w:rsidP="00412D77">
      <w:pPr>
        <w:tabs>
          <w:tab w:val="left" w:pos="5616"/>
        </w:tabs>
        <w:rPr>
          <w:color w:val="000000" w:themeColor="text1"/>
          <w:lang w:val="en-AU"/>
        </w:rPr>
      </w:pPr>
    </w:p>
    <w:p w14:paraId="318DC031"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Milik, Józef Tadeusz. “Milki–sedeq et Milki–resa’ dans les anciens écrits juifs et chrétiens.” </w:t>
      </w:r>
    </w:p>
    <w:p w14:paraId="5F46C3E7" w14:textId="203F257C"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Journal for Jewish Studies </w:t>
      </w:r>
      <w:r w:rsidRPr="00FB2D03">
        <w:rPr>
          <w:color w:val="000000" w:themeColor="text1"/>
          <w:lang w:val="en-AU"/>
        </w:rPr>
        <w:t>23 (1972): 95–144.</w:t>
      </w:r>
    </w:p>
    <w:p w14:paraId="38D650DB" w14:textId="77777777" w:rsidR="00412D77" w:rsidRPr="00FB2D03" w:rsidRDefault="00412D77" w:rsidP="00412D77">
      <w:pPr>
        <w:tabs>
          <w:tab w:val="left" w:pos="5616"/>
        </w:tabs>
        <w:rPr>
          <w:color w:val="000000" w:themeColor="text1"/>
          <w:lang w:val="en-AU"/>
        </w:rPr>
      </w:pPr>
    </w:p>
    <w:p w14:paraId="10E8B688" w14:textId="77777777" w:rsidR="00412D77" w:rsidRPr="00FB2D03" w:rsidRDefault="00412D77" w:rsidP="00412D77">
      <w:pPr>
        <w:tabs>
          <w:tab w:val="left" w:pos="5616"/>
        </w:tabs>
        <w:rPr>
          <w:color w:val="000000" w:themeColor="text1"/>
          <w:lang w:val="en-AU"/>
        </w:rPr>
      </w:pPr>
      <w:r w:rsidRPr="00FB2D03">
        <w:rPr>
          <w:color w:val="000000" w:themeColor="text1"/>
          <w:lang w:val="en-AU"/>
        </w:rPr>
        <w:t>Miller, Robert J. </w:t>
      </w:r>
      <w:r w:rsidRPr="00FB2D03">
        <w:rPr>
          <w:i/>
          <w:color w:val="000000" w:themeColor="text1"/>
          <w:lang w:val="en-AU"/>
        </w:rPr>
        <w:t>The Complete Gospels</w:t>
      </w:r>
      <w:r w:rsidRPr="00FB2D03">
        <w:rPr>
          <w:color w:val="000000" w:themeColor="text1"/>
          <w:lang w:val="en-AU"/>
        </w:rPr>
        <w:t>. Salem: Polebridge Press, 2010.</w:t>
      </w:r>
    </w:p>
    <w:p w14:paraId="4AAF3222" w14:textId="77777777" w:rsidR="00412D77" w:rsidRPr="00FB2D03" w:rsidRDefault="00412D77" w:rsidP="00412D77">
      <w:pPr>
        <w:tabs>
          <w:tab w:val="left" w:pos="5616"/>
        </w:tabs>
        <w:rPr>
          <w:color w:val="000000" w:themeColor="text1"/>
          <w:lang w:val="en-AU"/>
        </w:rPr>
      </w:pPr>
    </w:p>
    <w:p w14:paraId="3E231B11"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Miscall, Peter D. </w:t>
      </w:r>
      <w:r w:rsidRPr="00FB2D03">
        <w:rPr>
          <w:i/>
          <w:color w:val="000000" w:themeColor="text1"/>
          <w:lang w:val="en-AU"/>
        </w:rPr>
        <w:t xml:space="preserve">Isaiah. </w:t>
      </w:r>
      <w:r w:rsidRPr="00FB2D03">
        <w:rPr>
          <w:color w:val="000000" w:themeColor="text1"/>
          <w:lang w:val="en-AU"/>
        </w:rPr>
        <w:t>Sheffield: Sheffield Academic Press, 1993.</w:t>
      </w:r>
    </w:p>
    <w:p w14:paraId="63D23769" w14:textId="77777777" w:rsidR="00412D77" w:rsidRPr="00FB2D03" w:rsidRDefault="00412D77" w:rsidP="00412D77">
      <w:pPr>
        <w:tabs>
          <w:tab w:val="left" w:pos="5616"/>
        </w:tabs>
        <w:rPr>
          <w:color w:val="000000" w:themeColor="text1"/>
          <w:lang w:val="en-AU"/>
        </w:rPr>
      </w:pPr>
    </w:p>
    <w:p w14:paraId="6E137E64"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Mitchell, David G. “Messiah ben Joseph: A Sacrifice of Atonement for Israel.” </w:t>
      </w:r>
      <w:r w:rsidRPr="00FB2D03">
        <w:rPr>
          <w:i/>
          <w:color w:val="000000" w:themeColor="text1"/>
          <w:lang w:val="en-AU"/>
        </w:rPr>
        <w:t xml:space="preserve">Review of </w:t>
      </w:r>
    </w:p>
    <w:p w14:paraId="12A4A7FD" w14:textId="4ACF1529" w:rsidR="00412D77" w:rsidRPr="00FB2D03" w:rsidRDefault="00412D77" w:rsidP="00AD1181">
      <w:pPr>
        <w:tabs>
          <w:tab w:val="left" w:pos="5616"/>
        </w:tabs>
        <w:ind w:left="720"/>
        <w:rPr>
          <w:color w:val="000000" w:themeColor="text1"/>
          <w:lang w:val="en-AU"/>
        </w:rPr>
      </w:pPr>
      <w:r w:rsidRPr="00FB2D03">
        <w:rPr>
          <w:i/>
          <w:color w:val="000000" w:themeColor="text1"/>
          <w:lang w:val="en-AU"/>
        </w:rPr>
        <w:t>Rabbinic Judaism</w:t>
      </w:r>
      <w:r w:rsidRPr="00FB2D03">
        <w:rPr>
          <w:color w:val="000000" w:themeColor="text1"/>
          <w:lang w:val="en-AU"/>
        </w:rPr>
        <w:t xml:space="preserve"> 10 (2007)</w:t>
      </w:r>
      <w:r w:rsidR="009F235D" w:rsidRPr="00FB2D03">
        <w:rPr>
          <w:color w:val="000000" w:themeColor="text1"/>
          <w:lang w:val="en-AU"/>
        </w:rPr>
        <w:t>:</w:t>
      </w:r>
      <w:r w:rsidRPr="00FB2D03">
        <w:rPr>
          <w:color w:val="000000" w:themeColor="text1"/>
          <w:lang w:val="en-AU"/>
        </w:rPr>
        <w:t xml:space="preserve"> 77–94.</w:t>
      </w:r>
    </w:p>
    <w:p w14:paraId="51CD5D84" w14:textId="77777777" w:rsidR="00412D77" w:rsidRPr="00FB2D03" w:rsidRDefault="00412D77" w:rsidP="00412D77">
      <w:pPr>
        <w:tabs>
          <w:tab w:val="left" w:pos="5616"/>
        </w:tabs>
        <w:rPr>
          <w:i/>
          <w:color w:val="000000" w:themeColor="text1"/>
          <w:lang w:val="en-AU"/>
        </w:rPr>
      </w:pPr>
    </w:p>
    <w:p w14:paraId="0B03812F" w14:textId="538E705B" w:rsidR="00412D77" w:rsidRPr="00FB2D03" w:rsidRDefault="01B55689" w:rsidP="01B55689">
      <w:pPr>
        <w:tabs>
          <w:tab w:val="left" w:pos="5616"/>
        </w:tabs>
        <w:rPr>
          <w:color w:val="000000" w:themeColor="text1"/>
          <w:lang w:val="en-AU"/>
        </w:rPr>
      </w:pPr>
      <w:r w:rsidRPr="00FB2D03">
        <w:rPr>
          <w:color w:val="000000" w:themeColor="text1"/>
          <w:lang w:val="en-AU"/>
        </w:rPr>
        <w:t xml:space="preserve">Moffatt, James. “War.” In </w:t>
      </w:r>
      <w:r w:rsidRPr="00FB2D03">
        <w:rPr>
          <w:i/>
          <w:iCs/>
          <w:color w:val="000000" w:themeColor="text1"/>
          <w:lang w:val="en-AU"/>
        </w:rPr>
        <w:t>Dictionary of the Apostolic Church</w:t>
      </w:r>
      <w:r w:rsidRPr="00FB2D03">
        <w:rPr>
          <w:color w:val="000000" w:themeColor="text1"/>
          <w:lang w:val="en-AU"/>
        </w:rPr>
        <w:t xml:space="preserve">. New York: Charles </w:t>
      </w:r>
    </w:p>
    <w:p w14:paraId="4E896B2B" w14:textId="4210F30E" w:rsidR="00412D77" w:rsidRPr="00FB2D03" w:rsidRDefault="01B55689" w:rsidP="01B55689">
      <w:pPr>
        <w:tabs>
          <w:tab w:val="left" w:pos="5616"/>
        </w:tabs>
        <w:ind w:firstLine="720"/>
        <w:rPr>
          <w:color w:val="000000" w:themeColor="text1"/>
          <w:lang w:val="en-AU"/>
        </w:rPr>
      </w:pPr>
      <w:r w:rsidRPr="00FB2D03">
        <w:rPr>
          <w:color w:val="000000" w:themeColor="text1"/>
          <w:lang w:val="en-AU"/>
        </w:rPr>
        <w:t>Scribner’s Sons, 1919, 2:660.</w:t>
      </w:r>
    </w:p>
    <w:p w14:paraId="08E11EC6" w14:textId="77777777" w:rsidR="00412D77" w:rsidRPr="00FB2D03" w:rsidRDefault="00412D77" w:rsidP="00412D77">
      <w:pPr>
        <w:tabs>
          <w:tab w:val="left" w:pos="5616"/>
        </w:tabs>
        <w:rPr>
          <w:color w:val="000000" w:themeColor="text1"/>
          <w:lang w:val="en-AU"/>
        </w:rPr>
      </w:pPr>
    </w:p>
    <w:p w14:paraId="16E48B8E"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Mohrlang, Roger. </w:t>
      </w:r>
      <w:r w:rsidRPr="00FB2D03">
        <w:rPr>
          <w:i/>
          <w:color w:val="000000" w:themeColor="text1"/>
          <w:lang w:val="en-AU"/>
        </w:rPr>
        <w:t>Matthew and Paul:</w:t>
      </w:r>
      <w:r w:rsidRPr="00FB2D03">
        <w:rPr>
          <w:color w:val="000000" w:themeColor="text1"/>
          <w:lang w:val="en-AU"/>
        </w:rPr>
        <w:t xml:space="preserve"> </w:t>
      </w:r>
      <w:r w:rsidRPr="00FB2D03">
        <w:rPr>
          <w:i/>
          <w:color w:val="000000" w:themeColor="text1"/>
          <w:lang w:val="en-AU"/>
        </w:rPr>
        <w:t xml:space="preserve">A Comparison of Ethical Perspectives. </w:t>
      </w:r>
      <w:r w:rsidRPr="00FB2D03">
        <w:rPr>
          <w:color w:val="000000" w:themeColor="text1"/>
          <w:lang w:val="en-AU"/>
        </w:rPr>
        <w:t xml:space="preserve">Cambridge: </w:t>
      </w:r>
    </w:p>
    <w:p w14:paraId="3F6656B7" w14:textId="20C73FBA"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Cambridge University Press, 1984. </w:t>
      </w:r>
    </w:p>
    <w:p w14:paraId="54197A94" w14:textId="77777777" w:rsidR="00412D77" w:rsidRPr="00FB2D03" w:rsidRDefault="00412D77" w:rsidP="00412D77">
      <w:pPr>
        <w:tabs>
          <w:tab w:val="left" w:pos="5616"/>
        </w:tabs>
        <w:rPr>
          <w:color w:val="000000" w:themeColor="text1"/>
          <w:lang w:val="en-AU"/>
        </w:rPr>
      </w:pPr>
    </w:p>
    <w:p w14:paraId="4E70707B"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Mokoena, Lerato L.D., and Esias E. Meyer. “Jehu’s Violent Coup and the Justification of </w:t>
      </w:r>
    </w:p>
    <w:p w14:paraId="70806045" w14:textId="18DC1724" w:rsidR="00412D77" w:rsidRPr="00FB2D03" w:rsidRDefault="00412D77" w:rsidP="00AD1181">
      <w:pPr>
        <w:tabs>
          <w:tab w:val="left" w:pos="5616"/>
        </w:tabs>
        <w:ind w:left="720"/>
        <w:rPr>
          <w:color w:val="000000" w:themeColor="text1"/>
          <w:lang w:val="en-AU"/>
        </w:rPr>
      </w:pPr>
      <w:r w:rsidRPr="00FB2D03">
        <w:rPr>
          <w:color w:val="000000" w:themeColor="text1"/>
          <w:lang w:val="en-AU"/>
        </w:rPr>
        <w:t>Violence.” </w:t>
      </w:r>
      <w:r w:rsidRPr="00FB2D03">
        <w:rPr>
          <w:i/>
          <w:color w:val="000000" w:themeColor="text1"/>
          <w:lang w:val="en-AU"/>
        </w:rPr>
        <w:t>Hervormde Teologiese Studies</w:t>
      </w:r>
      <w:r w:rsidRPr="00FB2D03">
        <w:rPr>
          <w:color w:val="000000" w:themeColor="text1"/>
          <w:lang w:val="en-AU"/>
        </w:rPr>
        <w:t xml:space="preserve"> 75 (2019): 1–6. </w:t>
      </w:r>
    </w:p>
    <w:p w14:paraId="07FA3579" w14:textId="77777777" w:rsidR="00412D77" w:rsidRPr="00FB2D03" w:rsidRDefault="00412D77" w:rsidP="00412D77">
      <w:pPr>
        <w:tabs>
          <w:tab w:val="left" w:pos="5616"/>
        </w:tabs>
        <w:rPr>
          <w:i/>
          <w:color w:val="000000" w:themeColor="text1"/>
          <w:lang w:val="en-AU"/>
        </w:rPr>
      </w:pPr>
    </w:p>
    <w:p w14:paraId="2870C5D8"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Monger, Matthew P. “Dead Sea Media: Orality, Textuality, and Memory in the Scrolls from </w:t>
      </w:r>
    </w:p>
    <w:p w14:paraId="24E226EB" w14:textId="2A916F8A" w:rsidR="00412D77" w:rsidRPr="00FB2D03" w:rsidRDefault="00412D77" w:rsidP="00AD1181">
      <w:pPr>
        <w:tabs>
          <w:tab w:val="left" w:pos="5616"/>
        </w:tabs>
        <w:ind w:left="720"/>
        <w:rPr>
          <w:color w:val="000000" w:themeColor="text1"/>
          <w:lang w:val="en-AU"/>
        </w:rPr>
      </w:pPr>
      <w:r w:rsidRPr="00FB2D03">
        <w:rPr>
          <w:color w:val="000000" w:themeColor="text1"/>
          <w:lang w:val="en-AU"/>
        </w:rPr>
        <w:t>the Judean Desert.” </w:t>
      </w:r>
      <w:r w:rsidRPr="00FB2D03">
        <w:rPr>
          <w:i/>
          <w:color w:val="000000" w:themeColor="text1"/>
          <w:lang w:val="en-AU"/>
        </w:rPr>
        <w:t xml:space="preserve">Dead Sea Discoveries </w:t>
      </w:r>
      <w:r w:rsidRPr="00FB2D03">
        <w:rPr>
          <w:color w:val="000000" w:themeColor="text1"/>
          <w:lang w:val="en-AU"/>
        </w:rPr>
        <w:t>28 (2021): 131–33.</w:t>
      </w:r>
    </w:p>
    <w:p w14:paraId="12FBD58C" w14:textId="77777777" w:rsidR="00412D77" w:rsidRPr="00FB2D03" w:rsidRDefault="00412D77" w:rsidP="00412D77">
      <w:pPr>
        <w:tabs>
          <w:tab w:val="left" w:pos="5616"/>
        </w:tabs>
        <w:rPr>
          <w:color w:val="000000" w:themeColor="text1"/>
          <w:lang w:val="en-AU"/>
        </w:rPr>
      </w:pPr>
    </w:p>
    <w:p w14:paraId="314600FE"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Mommsen, Theodor, Paul Krueger, and Alan Watson. </w:t>
      </w:r>
      <w:r w:rsidRPr="00FB2D03">
        <w:rPr>
          <w:i/>
          <w:color w:val="000000" w:themeColor="text1"/>
          <w:lang w:val="en-AU"/>
        </w:rPr>
        <w:t>The Digest of Justinian</w:t>
      </w:r>
      <w:r w:rsidRPr="00FB2D03">
        <w:rPr>
          <w:color w:val="000000" w:themeColor="text1"/>
          <w:lang w:val="en-AU"/>
        </w:rPr>
        <w:t xml:space="preserve">. Philadelphia: </w:t>
      </w:r>
    </w:p>
    <w:p w14:paraId="623C1CF8" w14:textId="60EAF857" w:rsidR="00412D77" w:rsidRPr="00FB2D03" w:rsidRDefault="00412D77" w:rsidP="00AD1181">
      <w:pPr>
        <w:tabs>
          <w:tab w:val="left" w:pos="5616"/>
        </w:tabs>
        <w:ind w:left="720"/>
        <w:rPr>
          <w:color w:val="000000" w:themeColor="text1"/>
          <w:lang w:val="en-AU"/>
        </w:rPr>
      </w:pPr>
      <w:r w:rsidRPr="00FB2D03">
        <w:rPr>
          <w:color w:val="000000" w:themeColor="text1"/>
          <w:lang w:val="en-AU"/>
        </w:rPr>
        <w:t>University of Pennsylvania Press, 1985.</w:t>
      </w:r>
    </w:p>
    <w:p w14:paraId="37305061" w14:textId="77777777" w:rsidR="00412D77" w:rsidRPr="00FB2D03" w:rsidRDefault="00412D77" w:rsidP="00412D77">
      <w:pPr>
        <w:tabs>
          <w:tab w:val="left" w:pos="5616"/>
        </w:tabs>
        <w:rPr>
          <w:i/>
          <w:color w:val="000000" w:themeColor="text1"/>
          <w:lang w:val="en-AU"/>
        </w:rPr>
      </w:pPr>
    </w:p>
    <w:p w14:paraId="09CF28C5"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Moore, Anne. </w:t>
      </w:r>
      <w:r w:rsidRPr="00FB2D03">
        <w:rPr>
          <w:i/>
          <w:color w:val="000000" w:themeColor="text1"/>
          <w:lang w:val="en-AU"/>
        </w:rPr>
        <w:t xml:space="preserve">Moving Beyond Symbol and Myth: Understanding the Kingship of God of the </w:t>
      </w:r>
    </w:p>
    <w:p w14:paraId="53885D7F" w14:textId="3C9DB901" w:rsidR="00412D77" w:rsidRPr="00FB2D03" w:rsidRDefault="00412D77" w:rsidP="00AD1181">
      <w:pPr>
        <w:tabs>
          <w:tab w:val="left" w:pos="5616"/>
        </w:tabs>
        <w:ind w:left="720"/>
        <w:rPr>
          <w:color w:val="000000" w:themeColor="text1"/>
          <w:lang w:val="en-AU"/>
        </w:rPr>
      </w:pPr>
      <w:r w:rsidRPr="00FB2D03">
        <w:rPr>
          <w:i/>
          <w:color w:val="000000" w:themeColor="text1"/>
          <w:lang w:val="en-AU"/>
        </w:rPr>
        <w:t>Hebrew Bible through Metaphor</w:t>
      </w:r>
      <w:r w:rsidRPr="00FB2D03">
        <w:rPr>
          <w:color w:val="000000" w:themeColor="text1"/>
          <w:lang w:val="en-AU"/>
        </w:rPr>
        <w:t>. New York: Peter Lang, 2009.</w:t>
      </w:r>
    </w:p>
    <w:p w14:paraId="3177BD2F" w14:textId="77777777" w:rsidR="00412D77" w:rsidRPr="00FB2D03" w:rsidRDefault="00412D77" w:rsidP="00412D77">
      <w:pPr>
        <w:tabs>
          <w:tab w:val="left" w:pos="5616"/>
        </w:tabs>
        <w:rPr>
          <w:color w:val="000000" w:themeColor="text1"/>
          <w:lang w:val="en-AU"/>
        </w:rPr>
      </w:pPr>
    </w:p>
    <w:p w14:paraId="333D75CE" w14:textId="77777777" w:rsidR="00416C83" w:rsidRPr="00FB2D03" w:rsidRDefault="00412D77" w:rsidP="00412D77">
      <w:pPr>
        <w:tabs>
          <w:tab w:val="left" w:pos="5616"/>
        </w:tabs>
        <w:rPr>
          <w:color w:val="000000" w:themeColor="text1"/>
          <w:lang w:val="en-AU"/>
        </w:rPr>
      </w:pPr>
      <w:r w:rsidRPr="00FB2D03">
        <w:rPr>
          <w:color w:val="000000" w:themeColor="text1"/>
          <w:lang w:val="en-AU"/>
        </w:rPr>
        <w:lastRenderedPageBreak/>
        <w:t xml:space="preserve">Moore, Carey A. </w:t>
      </w:r>
      <w:r w:rsidRPr="00FB2D03">
        <w:rPr>
          <w:i/>
          <w:color w:val="000000" w:themeColor="text1"/>
          <w:lang w:val="en-AU"/>
        </w:rPr>
        <w:t>Tobit:</w:t>
      </w:r>
      <w:r w:rsidRPr="00FB2D03">
        <w:rPr>
          <w:color w:val="000000" w:themeColor="text1"/>
          <w:lang w:val="en-AU"/>
        </w:rPr>
        <w:t xml:space="preserve"> </w:t>
      </w:r>
      <w:r w:rsidRPr="00FB2D03">
        <w:rPr>
          <w:i/>
          <w:color w:val="000000" w:themeColor="text1"/>
          <w:lang w:val="en-AU"/>
        </w:rPr>
        <w:t>A New Translation with Introduction and Commentary</w:t>
      </w:r>
      <w:r w:rsidRPr="00FB2D03">
        <w:rPr>
          <w:color w:val="000000" w:themeColor="text1"/>
          <w:lang w:val="en-AU"/>
        </w:rPr>
        <w:t xml:space="preserve">. New York: </w:t>
      </w:r>
    </w:p>
    <w:p w14:paraId="59A18B11" w14:textId="122F14CB" w:rsidR="00412D77" w:rsidRPr="00FB2D03" w:rsidRDefault="00412D77" w:rsidP="00AD1181">
      <w:pPr>
        <w:tabs>
          <w:tab w:val="left" w:pos="5616"/>
        </w:tabs>
        <w:ind w:left="720"/>
        <w:rPr>
          <w:color w:val="000000" w:themeColor="text1"/>
          <w:lang w:val="en-AU"/>
        </w:rPr>
      </w:pPr>
      <w:r w:rsidRPr="00FB2D03">
        <w:rPr>
          <w:color w:val="000000" w:themeColor="text1"/>
          <w:lang w:val="en-AU"/>
        </w:rPr>
        <w:t>Doubleday, 1996.</w:t>
      </w:r>
    </w:p>
    <w:p w14:paraId="2560E099" w14:textId="77777777" w:rsidR="00412D77" w:rsidRPr="00FB2D03" w:rsidRDefault="00412D77" w:rsidP="00412D77">
      <w:pPr>
        <w:tabs>
          <w:tab w:val="left" w:pos="5616"/>
        </w:tabs>
        <w:rPr>
          <w:color w:val="000000" w:themeColor="text1"/>
          <w:lang w:val="en-AU"/>
        </w:rPr>
      </w:pPr>
    </w:p>
    <w:p w14:paraId="3FF3644F" w14:textId="56132C1A" w:rsidR="00412D77" w:rsidRPr="00FB2D03" w:rsidRDefault="01B55689" w:rsidP="01B55689">
      <w:pPr>
        <w:tabs>
          <w:tab w:val="left" w:pos="5616"/>
        </w:tabs>
        <w:rPr>
          <w:color w:val="000000" w:themeColor="text1"/>
          <w:lang w:val="en-AU"/>
        </w:rPr>
      </w:pPr>
      <w:r w:rsidRPr="00FB2D03">
        <w:rPr>
          <w:color w:val="000000" w:themeColor="text1"/>
          <w:lang w:val="en-AU"/>
        </w:rPr>
        <w:t xml:space="preserve">Moore, George. </w:t>
      </w:r>
      <w:r w:rsidRPr="00FB2D03">
        <w:rPr>
          <w:i/>
          <w:iCs/>
          <w:color w:val="000000" w:themeColor="text1"/>
          <w:lang w:val="en-AU"/>
        </w:rPr>
        <w:t xml:space="preserve">Judaism in the First Centuries of the Christian Era: The Age of the </w:t>
      </w:r>
    </w:p>
    <w:p w14:paraId="109503C2" w14:textId="10C29E69" w:rsidR="00412D77" w:rsidRPr="00FB2D03" w:rsidRDefault="01B55689" w:rsidP="01B55689">
      <w:pPr>
        <w:tabs>
          <w:tab w:val="left" w:pos="5616"/>
        </w:tabs>
        <w:ind w:firstLine="720"/>
        <w:rPr>
          <w:color w:val="000000" w:themeColor="text1"/>
          <w:lang w:val="en-AU"/>
        </w:rPr>
      </w:pPr>
      <w:r w:rsidRPr="00FB2D03">
        <w:rPr>
          <w:i/>
          <w:iCs/>
          <w:color w:val="000000" w:themeColor="text1"/>
          <w:lang w:val="en-AU"/>
        </w:rPr>
        <w:t>Tannaim</w:t>
      </w:r>
      <w:r w:rsidRPr="00FB2D03">
        <w:rPr>
          <w:color w:val="000000" w:themeColor="text1"/>
          <w:lang w:val="en-AU"/>
        </w:rPr>
        <w:t>. 3 vols. Cambridge: Harvard University Press, 1927.</w:t>
      </w:r>
    </w:p>
    <w:p w14:paraId="3FBDE977" w14:textId="77777777" w:rsidR="00412D77" w:rsidRPr="00FB2D03" w:rsidRDefault="00412D77" w:rsidP="00412D77">
      <w:pPr>
        <w:tabs>
          <w:tab w:val="left" w:pos="5616"/>
        </w:tabs>
        <w:rPr>
          <w:color w:val="000000" w:themeColor="text1"/>
          <w:lang w:val="en-AU"/>
        </w:rPr>
      </w:pPr>
    </w:p>
    <w:p w14:paraId="58CDF643" w14:textId="695F877C" w:rsidR="00412D77" w:rsidRPr="00FB2D03" w:rsidRDefault="01B55689" w:rsidP="01B55689">
      <w:pPr>
        <w:tabs>
          <w:tab w:val="left" w:pos="5616"/>
        </w:tabs>
        <w:rPr>
          <w:color w:val="000000" w:themeColor="text1"/>
          <w:lang w:val="en-AU"/>
        </w:rPr>
      </w:pPr>
      <w:r w:rsidRPr="00FB2D03">
        <w:rPr>
          <w:color w:val="000000" w:themeColor="text1"/>
          <w:lang w:val="en-AU"/>
        </w:rPr>
        <w:t xml:space="preserve">Monnickendam, Yifat. “Biblical Law in Greco-Roman Attire: The Case of Levirate </w:t>
      </w:r>
    </w:p>
    <w:p w14:paraId="73B258B6" w14:textId="2D50B263" w:rsidR="00412D77" w:rsidRPr="00FB2D03" w:rsidRDefault="01B55689" w:rsidP="00AD1181">
      <w:pPr>
        <w:tabs>
          <w:tab w:val="left" w:pos="5616"/>
        </w:tabs>
        <w:ind w:left="720"/>
        <w:rPr>
          <w:color w:val="000000" w:themeColor="text1"/>
          <w:lang w:val="en-AU"/>
        </w:rPr>
      </w:pPr>
      <w:r w:rsidRPr="00FB2D03">
        <w:rPr>
          <w:color w:val="000000" w:themeColor="text1"/>
          <w:lang w:val="en-AU"/>
        </w:rPr>
        <w:t>Marriage in Late Antique Christian Legal Traditions.” </w:t>
      </w:r>
      <w:r w:rsidRPr="00FB2D03">
        <w:rPr>
          <w:i/>
          <w:iCs/>
          <w:color w:val="000000" w:themeColor="text1"/>
          <w:lang w:val="en-AU"/>
        </w:rPr>
        <w:t>Journal of Law and Religion</w:t>
      </w:r>
      <w:r w:rsidRPr="00FB2D03">
        <w:rPr>
          <w:color w:val="000000" w:themeColor="text1"/>
          <w:lang w:val="en-AU"/>
        </w:rPr>
        <w:t xml:space="preserve"> 34 (2019): 136–64. </w:t>
      </w:r>
    </w:p>
    <w:p w14:paraId="1C024032" w14:textId="77777777" w:rsidR="00412D77" w:rsidRPr="00FB2D03" w:rsidRDefault="00412D77" w:rsidP="01B55689">
      <w:pPr>
        <w:tabs>
          <w:tab w:val="left" w:pos="5616"/>
        </w:tabs>
        <w:ind w:left="720"/>
        <w:rPr>
          <w:color w:val="000000" w:themeColor="text1"/>
          <w:lang w:val="en-AU"/>
        </w:rPr>
      </w:pPr>
    </w:p>
    <w:p w14:paraId="00E59ED5"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Moreland, Milton C., “The Twenty–Four Prophets of Israel Are Dead: Gospel of Thomas 52 </w:t>
      </w:r>
    </w:p>
    <w:p w14:paraId="1D657E3B" w14:textId="32F87678" w:rsidR="00412D77" w:rsidRPr="00FB2D03" w:rsidRDefault="00412D77" w:rsidP="00AD1181">
      <w:pPr>
        <w:tabs>
          <w:tab w:val="left" w:pos="5616"/>
        </w:tabs>
        <w:ind w:left="720"/>
        <w:rPr>
          <w:color w:val="000000" w:themeColor="text1"/>
          <w:lang w:val="en-AU"/>
        </w:rPr>
      </w:pPr>
      <w:r w:rsidRPr="00FB2D03">
        <w:rPr>
          <w:color w:val="000000" w:themeColor="text1"/>
          <w:lang w:val="en-AU"/>
        </w:rPr>
        <w:t>as a Critique of Early Christian Hermeneutics.” In </w:t>
      </w:r>
      <w:r w:rsidRPr="00FB2D03">
        <w:rPr>
          <w:i/>
          <w:color w:val="000000" w:themeColor="text1"/>
          <w:lang w:val="en-AU"/>
        </w:rPr>
        <w:t>Thomasine Traditions in Antiquity: The Social and Cultural World of the Gospel of Thomas.</w:t>
      </w:r>
      <w:r w:rsidRPr="00FB2D03">
        <w:rPr>
          <w:color w:val="000000" w:themeColor="text1"/>
          <w:lang w:val="en-AU"/>
        </w:rPr>
        <w:t> ed. Jon Ma Asgeirsson, 75-91. Leiden: Brill, 2006.</w:t>
      </w:r>
    </w:p>
    <w:p w14:paraId="59A85C86" w14:textId="77777777" w:rsidR="00412D77" w:rsidRPr="00FB2D03" w:rsidRDefault="00412D77" w:rsidP="00412D77">
      <w:pPr>
        <w:tabs>
          <w:tab w:val="left" w:pos="5616"/>
        </w:tabs>
        <w:rPr>
          <w:color w:val="000000" w:themeColor="text1"/>
          <w:lang w:val="en-AU"/>
        </w:rPr>
      </w:pPr>
    </w:p>
    <w:p w14:paraId="5D1840E1"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Morris, Michael. “Deuteronomy in the Matthean and Lucan Temptation </w:t>
      </w:r>
      <w:proofErr w:type="gramStart"/>
      <w:r w:rsidRPr="00FB2D03">
        <w:rPr>
          <w:color w:val="000000" w:themeColor="text1"/>
          <w:lang w:val="en-AU"/>
        </w:rPr>
        <w:t>in Light of</w:t>
      </w:r>
      <w:proofErr w:type="gramEnd"/>
      <w:r w:rsidRPr="00FB2D03">
        <w:rPr>
          <w:color w:val="000000" w:themeColor="text1"/>
          <w:lang w:val="en-AU"/>
        </w:rPr>
        <w:t xml:space="preserve"> Early </w:t>
      </w:r>
    </w:p>
    <w:p w14:paraId="2AF25846" w14:textId="16DAA5D3" w:rsidR="00412D77" w:rsidRPr="00FB2D03" w:rsidRDefault="00412D77" w:rsidP="00AD1181">
      <w:pPr>
        <w:tabs>
          <w:tab w:val="left" w:pos="5616"/>
        </w:tabs>
        <w:ind w:left="720"/>
        <w:rPr>
          <w:color w:val="000000" w:themeColor="text1"/>
          <w:lang w:val="en-AU"/>
        </w:rPr>
      </w:pPr>
      <w:r w:rsidRPr="00FB2D03">
        <w:rPr>
          <w:color w:val="000000" w:themeColor="text1"/>
          <w:lang w:val="en-AU"/>
        </w:rPr>
        <w:t>Jewish Antidemonic Tradition.” </w:t>
      </w:r>
      <w:r w:rsidRPr="00FB2D03">
        <w:rPr>
          <w:i/>
          <w:color w:val="000000" w:themeColor="text1"/>
          <w:lang w:val="en-AU"/>
        </w:rPr>
        <w:t>Catholic Biblical Quarterly</w:t>
      </w:r>
      <w:r w:rsidRPr="00FB2D03">
        <w:rPr>
          <w:color w:val="000000" w:themeColor="text1"/>
          <w:lang w:val="en-AU"/>
        </w:rPr>
        <w:t> 78 (2016): 290–301. </w:t>
      </w:r>
    </w:p>
    <w:p w14:paraId="2E3135DF" w14:textId="77777777" w:rsidR="00412D77" w:rsidRPr="00FB2D03" w:rsidRDefault="00412D77" w:rsidP="00412D77">
      <w:pPr>
        <w:tabs>
          <w:tab w:val="left" w:pos="5616"/>
        </w:tabs>
        <w:rPr>
          <w:color w:val="000000" w:themeColor="text1"/>
          <w:lang w:val="en-AU"/>
        </w:rPr>
      </w:pPr>
    </w:p>
    <w:p w14:paraId="02FA697B"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Moscovitz, Leib. “Legal Fictions in Rabbinic Law and Roman Law: Some Comparative </w:t>
      </w:r>
    </w:p>
    <w:p w14:paraId="30EC6795" w14:textId="3BD55A6A"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Observations.” In </w:t>
      </w:r>
      <w:r w:rsidRPr="00FB2D03">
        <w:rPr>
          <w:i/>
          <w:color w:val="000000" w:themeColor="text1"/>
          <w:lang w:val="en-AU"/>
        </w:rPr>
        <w:t>Rabbinic Law in Its Roman and Near Eastern Context</w:t>
      </w:r>
      <w:r w:rsidRPr="00FB2D03">
        <w:rPr>
          <w:color w:val="000000" w:themeColor="text1"/>
          <w:lang w:val="en-AU"/>
        </w:rPr>
        <w:t>. ed. Catherine Hezser. Tübingen: Mohr Siebeck, 2003.</w:t>
      </w:r>
    </w:p>
    <w:p w14:paraId="784E821D" w14:textId="77777777" w:rsidR="00412D77" w:rsidRPr="00FB2D03" w:rsidRDefault="00412D77" w:rsidP="00412D77">
      <w:pPr>
        <w:tabs>
          <w:tab w:val="left" w:pos="5616"/>
        </w:tabs>
        <w:rPr>
          <w:color w:val="000000" w:themeColor="text1"/>
          <w:lang w:val="en-AU"/>
        </w:rPr>
      </w:pPr>
    </w:p>
    <w:p w14:paraId="00A911AB"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Mounce, Robert H. </w:t>
      </w:r>
      <w:r w:rsidRPr="00FB2D03">
        <w:rPr>
          <w:i/>
          <w:color w:val="000000" w:themeColor="text1"/>
          <w:lang w:val="en-AU"/>
        </w:rPr>
        <w:t>Matthew, New International Biblical Commentary</w:t>
      </w:r>
      <w:r w:rsidRPr="00FB2D03">
        <w:rPr>
          <w:color w:val="000000" w:themeColor="text1"/>
          <w:lang w:val="en-AU"/>
        </w:rPr>
        <w:t xml:space="preserve">. Peabody: </w:t>
      </w:r>
    </w:p>
    <w:p w14:paraId="76E27B35" w14:textId="73F7B35E" w:rsidR="00412D77" w:rsidRPr="00FB2D03" w:rsidRDefault="00412D77" w:rsidP="00AD1181">
      <w:pPr>
        <w:tabs>
          <w:tab w:val="left" w:pos="5616"/>
        </w:tabs>
        <w:ind w:left="720"/>
        <w:rPr>
          <w:color w:val="000000" w:themeColor="text1"/>
          <w:lang w:val="en-AU"/>
        </w:rPr>
      </w:pPr>
      <w:r w:rsidRPr="00FB2D03">
        <w:rPr>
          <w:color w:val="000000" w:themeColor="text1"/>
          <w:lang w:val="en-AU"/>
        </w:rPr>
        <w:t>Hendrickson, 1991.</w:t>
      </w:r>
    </w:p>
    <w:p w14:paraId="699D9703" w14:textId="77777777" w:rsidR="00412D77" w:rsidRPr="00FB2D03" w:rsidRDefault="00412D77" w:rsidP="00412D77">
      <w:pPr>
        <w:tabs>
          <w:tab w:val="left" w:pos="5616"/>
        </w:tabs>
        <w:rPr>
          <w:color w:val="000000" w:themeColor="text1"/>
          <w:lang w:val="en-AU"/>
        </w:rPr>
      </w:pPr>
    </w:p>
    <w:p w14:paraId="2F92DBB8"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Mueller, J. R. “The Temple Scroll and the Gospel Divorce Texts.” </w:t>
      </w:r>
      <w:r w:rsidRPr="00FB2D03">
        <w:rPr>
          <w:i/>
          <w:color w:val="000000" w:themeColor="text1"/>
          <w:lang w:val="en-AU"/>
        </w:rPr>
        <w:t>Revue de Qumran</w:t>
      </w:r>
      <w:r w:rsidRPr="00FB2D03">
        <w:rPr>
          <w:color w:val="000000" w:themeColor="text1"/>
          <w:lang w:val="en-AU"/>
        </w:rPr>
        <w:t xml:space="preserve"> 10 </w:t>
      </w:r>
    </w:p>
    <w:p w14:paraId="5DB74A8B" w14:textId="4AA4CE80" w:rsidR="00412D77" w:rsidRPr="00FB2D03" w:rsidRDefault="00412D77" w:rsidP="00AD1181">
      <w:pPr>
        <w:tabs>
          <w:tab w:val="left" w:pos="5616"/>
        </w:tabs>
        <w:ind w:left="720"/>
        <w:rPr>
          <w:color w:val="000000" w:themeColor="text1"/>
          <w:lang w:val="en-AU"/>
        </w:rPr>
      </w:pPr>
      <w:r w:rsidRPr="00FB2D03">
        <w:rPr>
          <w:color w:val="000000" w:themeColor="text1"/>
          <w:lang w:val="en-AU"/>
        </w:rPr>
        <w:t>(1979–1981): 247–75.</w:t>
      </w:r>
    </w:p>
    <w:p w14:paraId="5BB3AB62" w14:textId="77777777" w:rsidR="00412D77" w:rsidRPr="00FB2D03" w:rsidRDefault="00412D77" w:rsidP="00412D77">
      <w:pPr>
        <w:tabs>
          <w:tab w:val="left" w:pos="5616"/>
        </w:tabs>
        <w:rPr>
          <w:color w:val="000000" w:themeColor="text1"/>
          <w:lang w:val="en-AU"/>
        </w:rPr>
      </w:pPr>
    </w:p>
    <w:p w14:paraId="16C2B63B"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Muilenberg, J. “Form Criticism and Beyond.” </w:t>
      </w:r>
      <w:r w:rsidRPr="00FB2D03">
        <w:rPr>
          <w:i/>
          <w:color w:val="000000" w:themeColor="text1"/>
          <w:lang w:val="en-AU"/>
        </w:rPr>
        <w:t>Journal of Biblical Literature</w:t>
      </w:r>
      <w:r w:rsidRPr="00FB2D03">
        <w:rPr>
          <w:color w:val="000000" w:themeColor="text1"/>
          <w:lang w:val="en-AU"/>
        </w:rPr>
        <w:t xml:space="preserve"> 88 (1969), 1-18.</w:t>
      </w:r>
    </w:p>
    <w:p w14:paraId="46D5B0ED" w14:textId="77777777" w:rsidR="00412D77" w:rsidRPr="00FB2D03" w:rsidRDefault="00412D77" w:rsidP="00412D77">
      <w:pPr>
        <w:tabs>
          <w:tab w:val="left" w:pos="5616"/>
        </w:tabs>
        <w:rPr>
          <w:color w:val="000000" w:themeColor="text1"/>
          <w:lang w:val="en-AU"/>
        </w:rPr>
      </w:pPr>
    </w:p>
    <w:p w14:paraId="0EF1567B"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Murphy, Jeffrie. </w:t>
      </w:r>
      <w:r w:rsidRPr="00FB2D03">
        <w:rPr>
          <w:i/>
          <w:color w:val="000000" w:themeColor="text1"/>
          <w:lang w:val="en-AU"/>
        </w:rPr>
        <w:t>Philosophy of Law</w:t>
      </w:r>
      <w:r w:rsidRPr="00FB2D03">
        <w:rPr>
          <w:color w:val="000000" w:themeColor="text1"/>
          <w:lang w:val="en-AU"/>
        </w:rPr>
        <w:t>. Boulder, CO: Westview Press, 1989.</w:t>
      </w:r>
    </w:p>
    <w:p w14:paraId="5B8F731D" w14:textId="77777777" w:rsidR="00412D77" w:rsidRPr="00FB2D03" w:rsidRDefault="00412D77" w:rsidP="00412D77">
      <w:pPr>
        <w:tabs>
          <w:tab w:val="left" w:pos="5616"/>
        </w:tabs>
        <w:rPr>
          <w:color w:val="000000" w:themeColor="text1"/>
          <w:lang w:val="en-AU"/>
        </w:rPr>
      </w:pPr>
    </w:p>
    <w:p w14:paraId="294015D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Neibuhr, Reinhold. </w:t>
      </w:r>
      <w:r w:rsidRPr="00FB2D03">
        <w:rPr>
          <w:i/>
          <w:color w:val="000000" w:themeColor="text1"/>
          <w:lang w:val="en-AU"/>
        </w:rPr>
        <w:t>Moral Man and Immoral Society</w:t>
      </w:r>
      <w:r w:rsidRPr="00FB2D03">
        <w:rPr>
          <w:color w:val="000000" w:themeColor="text1"/>
          <w:lang w:val="en-AU"/>
        </w:rPr>
        <w:t>. New York: Scribners, 1932.</w:t>
      </w:r>
    </w:p>
    <w:p w14:paraId="1A92F868" w14:textId="77777777" w:rsidR="00412D77" w:rsidRPr="00FB2D03" w:rsidRDefault="00412D77" w:rsidP="00412D77">
      <w:pPr>
        <w:tabs>
          <w:tab w:val="left" w:pos="5616"/>
        </w:tabs>
        <w:rPr>
          <w:color w:val="000000" w:themeColor="text1"/>
          <w:lang w:val="en-AU"/>
        </w:rPr>
      </w:pPr>
    </w:p>
    <w:p w14:paraId="135067B4"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Christian Realism and Political Problems</w:t>
      </w:r>
      <w:r w:rsidRPr="00FB2D03">
        <w:rPr>
          <w:color w:val="000000" w:themeColor="text1"/>
          <w:lang w:val="en-AU"/>
        </w:rPr>
        <w:t>. New York: Scribners, 1953.</w:t>
      </w:r>
    </w:p>
    <w:p w14:paraId="0EA72788" w14:textId="77777777" w:rsidR="00412D77" w:rsidRPr="00FB2D03" w:rsidRDefault="00412D77" w:rsidP="00412D77">
      <w:pPr>
        <w:tabs>
          <w:tab w:val="left" w:pos="5616"/>
        </w:tabs>
        <w:rPr>
          <w:color w:val="000000" w:themeColor="text1"/>
          <w:lang w:val="en-AU"/>
        </w:rPr>
      </w:pPr>
    </w:p>
    <w:p w14:paraId="3C40B0FD"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Nelson, W. David. </w:t>
      </w:r>
      <w:r w:rsidRPr="00FB2D03">
        <w:rPr>
          <w:i/>
          <w:color w:val="000000" w:themeColor="text1"/>
          <w:lang w:val="en-AU"/>
        </w:rPr>
        <w:t>Mekhilta de–Rabbi Shimon bar Yoḥai</w:t>
      </w:r>
      <w:r w:rsidRPr="00FB2D03">
        <w:rPr>
          <w:color w:val="000000" w:themeColor="text1"/>
          <w:lang w:val="en-AU"/>
        </w:rPr>
        <w:t xml:space="preserve">. Philadelphia: Jewish Publication </w:t>
      </w:r>
    </w:p>
    <w:p w14:paraId="3DA4364B" w14:textId="011C7853" w:rsidR="00412D77" w:rsidRPr="00FB2D03" w:rsidRDefault="00412D77" w:rsidP="00AD1181">
      <w:pPr>
        <w:tabs>
          <w:tab w:val="left" w:pos="5616"/>
        </w:tabs>
        <w:ind w:left="720"/>
        <w:rPr>
          <w:color w:val="000000" w:themeColor="text1"/>
          <w:lang w:val="en-AU"/>
        </w:rPr>
      </w:pPr>
      <w:r w:rsidRPr="00FB2D03">
        <w:rPr>
          <w:color w:val="000000" w:themeColor="text1"/>
          <w:lang w:val="en-AU"/>
        </w:rPr>
        <w:t>Society, 2006.</w:t>
      </w:r>
    </w:p>
    <w:p w14:paraId="5FC3A353" w14:textId="77777777" w:rsidR="00412D77" w:rsidRPr="00FB2D03" w:rsidRDefault="00412D77" w:rsidP="00412D77">
      <w:pPr>
        <w:tabs>
          <w:tab w:val="left" w:pos="5616"/>
        </w:tabs>
        <w:rPr>
          <w:color w:val="000000" w:themeColor="text1"/>
          <w:lang w:val="en-AU"/>
        </w:rPr>
      </w:pPr>
    </w:p>
    <w:p w14:paraId="17AE67E4"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Nelson, Richard D.  </w:t>
      </w:r>
      <w:r w:rsidRPr="00FB2D03">
        <w:rPr>
          <w:i/>
          <w:color w:val="000000" w:themeColor="text1"/>
          <w:lang w:val="en-AU"/>
        </w:rPr>
        <w:t>Deuteronomy: A Commentary.</w:t>
      </w:r>
      <w:r w:rsidRPr="00FB2D03">
        <w:rPr>
          <w:color w:val="000000" w:themeColor="text1"/>
          <w:lang w:val="en-AU"/>
        </w:rPr>
        <w:t xml:space="preserve"> Louisville: Westminster John Knox </w:t>
      </w:r>
    </w:p>
    <w:p w14:paraId="6F5D9D50" w14:textId="355BA3F9" w:rsidR="00412D77" w:rsidRPr="00FB2D03" w:rsidRDefault="00412D77" w:rsidP="00AD1181">
      <w:pPr>
        <w:tabs>
          <w:tab w:val="left" w:pos="5616"/>
        </w:tabs>
        <w:ind w:left="720"/>
        <w:rPr>
          <w:color w:val="000000" w:themeColor="text1"/>
          <w:lang w:val="en-AU"/>
        </w:rPr>
      </w:pPr>
      <w:r w:rsidRPr="00FB2D03">
        <w:rPr>
          <w:color w:val="000000" w:themeColor="text1"/>
          <w:lang w:val="en-AU"/>
        </w:rPr>
        <w:t>Press, 2002.</w:t>
      </w:r>
    </w:p>
    <w:p w14:paraId="7568F10F" w14:textId="77777777" w:rsidR="00412D77" w:rsidRPr="00FB2D03" w:rsidRDefault="00412D77" w:rsidP="00412D77">
      <w:pPr>
        <w:tabs>
          <w:tab w:val="left" w:pos="5616"/>
        </w:tabs>
        <w:rPr>
          <w:color w:val="000000" w:themeColor="text1"/>
          <w:lang w:val="en-AU"/>
        </w:rPr>
      </w:pPr>
    </w:p>
    <w:p w14:paraId="094EDCA5"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Nelson–Pallmeyer, J. </w:t>
      </w:r>
      <w:r w:rsidRPr="00FB2D03">
        <w:rPr>
          <w:i/>
          <w:color w:val="000000" w:themeColor="text1"/>
          <w:lang w:val="en-AU"/>
        </w:rPr>
        <w:t>Saving Christianity from Empire</w:t>
      </w:r>
      <w:r w:rsidRPr="00FB2D03">
        <w:rPr>
          <w:color w:val="000000" w:themeColor="text1"/>
          <w:lang w:val="en-AU"/>
        </w:rPr>
        <w:t xml:space="preserve">. New York: Bloomsbury Academic, </w:t>
      </w:r>
    </w:p>
    <w:p w14:paraId="55F4B4F9" w14:textId="39583DFD" w:rsidR="00412D77" w:rsidRPr="00FB2D03" w:rsidRDefault="00412D77" w:rsidP="00AD1181">
      <w:pPr>
        <w:tabs>
          <w:tab w:val="left" w:pos="5616"/>
        </w:tabs>
        <w:ind w:left="720"/>
        <w:rPr>
          <w:color w:val="000000" w:themeColor="text1"/>
          <w:lang w:val="en-AU"/>
        </w:rPr>
      </w:pPr>
      <w:r w:rsidRPr="00FB2D03">
        <w:rPr>
          <w:color w:val="000000" w:themeColor="text1"/>
          <w:lang w:val="en-AU"/>
        </w:rPr>
        <w:t>2005.</w:t>
      </w:r>
    </w:p>
    <w:p w14:paraId="27CF9D49" w14:textId="77777777" w:rsidR="00412D77" w:rsidRPr="00FB2D03" w:rsidRDefault="00412D77" w:rsidP="00412D77">
      <w:pPr>
        <w:tabs>
          <w:tab w:val="left" w:pos="5616"/>
        </w:tabs>
        <w:rPr>
          <w:color w:val="000000" w:themeColor="text1"/>
          <w:lang w:val="en-AU"/>
        </w:rPr>
      </w:pPr>
    </w:p>
    <w:p w14:paraId="51E24510"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Neoh, J. “The Rhetoric of Precedent and Fulfillment in the Sermon on the Mount and the </w:t>
      </w:r>
    </w:p>
    <w:p w14:paraId="62D1B16A" w14:textId="660E6915" w:rsidR="00412D77" w:rsidRPr="00FB2D03" w:rsidRDefault="00412D77" w:rsidP="00AD1181">
      <w:pPr>
        <w:tabs>
          <w:tab w:val="left" w:pos="5616"/>
        </w:tabs>
        <w:ind w:left="720"/>
        <w:rPr>
          <w:color w:val="000000" w:themeColor="text1"/>
          <w:lang w:val="en-AU"/>
        </w:rPr>
      </w:pPr>
      <w:r w:rsidRPr="00FB2D03">
        <w:rPr>
          <w:color w:val="000000" w:themeColor="text1"/>
          <w:lang w:val="en-AU"/>
        </w:rPr>
        <w:t>Common Law.” </w:t>
      </w:r>
      <w:r w:rsidRPr="00FB2D03">
        <w:rPr>
          <w:i/>
          <w:color w:val="000000" w:themeColor="text1"/>
          <w:lang w:val="en-AU"/>
        </w:rPr>
        <w:t xml:space="preserve">Law, </w:t>
      </w:r>
      <w:proofErr w:type="gramStart"/>
      <w:r w:rsidRPr="00FB2D03">
        <w:rPr>
          <w:i/>
          <w:color w:val="000000" w:themeColor="text1"/>
          <w:lang w:val="en-AU"/>
        </w:rPr>
        <w:t>Culture</w:t>
      </w:r>
      <w:proofErr w:type="gramEnd"/>
      <w:r w:rsidRPr="00FB2D03">
        <w:rPr>
          <w:i/>
          <w:color w:val="000000" w:themeColor="text1"/>
          <w:lang w:val="en-AU"/>
        </w:rPr>
        <w:t xml:space="preserve"> and the Humanities</w:t>
      </w:r>
      <w:r w:rsidRPr="00FB2D03">
        <w:rPr>
          <w:color w:val="000000" w:themeColor="text1"/>
          <w:lang w:val="en-AU"/>
        </w:rPr>
        <w:t> 12 (2016): 419–47. </w:t>
      </w:r>
    </w:p>
    <w:p w14:paraId="21901CAE" w14:textId="77777777" w:rsidR="00412D77" w:rsidRPr="00FB2D03" w:rsidRDefault="00412D77" w:rsidP="00412D77">
      <w:pPr>
        <w:tabs>
          <w:tab w:val="left" w:pos="5616"/>
        </w:tabs>
        <w:rPr>
          <w:color w:val="000000" w:themeColor="text1"/>
          <w:lang w:val="en-AU"/>
        </w:rPr>
      </w:pPr>
    </w:p>
    <w:p w14:paraId="30A90BA4" w14:textId="534485D9" w:rsidR="00412D77" w:rsidRPr="00FB2D03" w:rsidRDefault="00412D77" w:rsidP="00412D77">
      <w:pPr>
        <w:tabs>
          <w:tab w:val="left" w:pos="5616"/>
        </w:tabs>
        <w:rPr>
          <w:color w:val="000000" w:themeColor="text1"/>
          <w:lang w:val="en-AU"/>
        </w:rPr>
      </w:pPr>
      <w:r w:rsidRPr="00FB2D03">
        <w:rPr>
          <w:color w:val="000000" w:themeColor="text1"/>
          <w:lang w:val="en-AU"/>
        </w:rPr>
        <w:t>Neusner, Jacob. </w:t>
      </w:r>
      <w:r w:rsidRPr="00FB2D03">
        <w:rPr>
          <w:i/>
          <w:color w:val="000000" w:themeColor="text1"/>
          <w:lang w:val="en-AU"/>
        </w:rPr>
        <w:t xml:space="preserve">In Quest </w:t>
      </w:r>
      <w:r w:rsidR="00DF2BEE" w:rsidRPr="00FB2D03">
        <w:rPr>
          <w:i/>
          <w:color w:val="000000" w:themeColor="text1"/>
          <w:lang w:val="en-AU"/>
        </w:rPr>
        <w:t xml:space="preserve">of the </w:t>
      </w:r>
      <w:r w:rsidRPr="00FB2D03">
        <w:rPr>
          <w:i/>
          <w:color w:val="000000" w:themeColor="text1"/>
          <w:lang w:val="en-AU"/>
        </w:rPr>
        <w:t>Historical Pharisees</w:t>
      </w:r>
      <w:r w:rsidRPr="00FB2D03">
        <w:rPr>
          <w:color w:val="000000" w:themeColor="text1"/>
          <w:lang w:val="en-AU"/>
        </w:rPr>
        <w:t>. Waco: Baylor University Press, 2007.</w:t>
      </w:r>
    </w:p>
    <w:p w14:paraId="6030508B" w14:textId="77777777" w:rsidR="00412D77" w:rsidRPr="00FB2D03" w:rsidRDefault="00412D77" w:rsidP="00412D77">
      <w:pPr>
        <w:tabs>
          <w:tab w:val="left" w:pos="5616"/>
        </w:tabs>
        <w:rPr>
          <w:color w:val="000000" w:themeColor="text1"/>
          <w:lang w:val="en-AU"/>
        </w:rPr>
      </w:pPr>
    </w:p>
    <w:p w14:paraId="388EC6A7" w14:textId="77777777" w:rsidR="00412D77" w:rsidRPr="00FB2D03" w:rsidRDefault="00412D77" w:rsidP="00412D77">
      <w:pPr>
        <w:tabs>
          <w:tab w:val="left" w:pos="5616"/>
        </w:tabs>
        <w:rPr>
          <w:color w:val="000000" w:themeColor="text1"/>
          <w:lang w:val="en-AU"/>
        </w:rPr>
      </w:pPr>
      <w:r w:rsidRPr="00FB2D03">
        <w:rPr>
          <w:color w:val="000000" w:themeColor="text1"/>
          <w:lang w:val="en-AU"/>
        </w:rPr>
        <w:lastRenderedPageBreak/>
        <w:t xml:space="preserve">________. </w:t>
      </w:r>
      <w:r w:rsidRPr="00FB2D03">
        <w:rPr>
          <w:i/>
          <w:color w:val="000000" w:themeColor="text1"/>
          <w:lang w:val="en-AU"/>
        </w:rPr>
        <w:t>A History of the Jews in Babylonia</w:t>
      </w:r>
      <w:r w:rsidRPr="00FB2D03">
        <w:rPr>
          <w:color w:val="000000" w:themeColor="text1"/>
          <w:lang w:val="en-AU"/>
        </w:rPr>
        <w:t>. Leiden: Brill, 1969.</w:t>
      </w:r>
    </w:p>
    <w:p w14:paraId="5867CC8F" w14:textId="77777777" w:rsidR="00412D77" w:rsidRPr="00FB2D03" w:rsidRDefault="00412D77" w:rsidP="00412D77">
      <w:pPr>
        <w:tabs>
          <w:tab w:val="left" w:pos="5616"/>
        </w:tabs>
        <w:rPr>
          <w:color w:val="000000" w:themeColor="text1"/>
          <w:lang w:val="en-AU"/>
        </w:rPr>
      </w:pPr>
    </w:p>
    <w:p w14:paraId="211F6643"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“Extra- and Non-Documentary Writing in the Rabbinic Canon of Late Antiquity: </w:t>
      </w:r>
    </w:p>
    <w:p w14:paraId="4CA2E9C9"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Non-Documentary Writing in Sifra, Sifré to Numbers, Sifré to Deuteronomy, Mekhilta Attributed to R. Ishmael, and Leviticus Rabbah.” </w:t>
      </w:r>
      <w:r w:rsidRPr="00FB2D03">
        <w:rPr>
          <w:i/>
          <w:color w:val="000000" w:themeColor="text1"/>
          <w:lang w:val="en-AU"/>
        </w:rPr>
        <w:t>The Review of Rabbinic Judaism</w:t>
      </w:r>
      <w:r w:rsidRPr="00FB2D03">
        <w:rPr>
          <w:color w:val="000000" w:themeColor="text1"/>
          <w:lang w:val="en-AU"/>
        </w:rPr>
        <w:t> 10 (2007): 11–76.</w:t>
      </w:r>
    </w:p>
    <w:p w14:paraId="20EFAEDF" w14:textId="77777777" w:rsidR="00412D77" w:rsidRPr="00FB2D03" w:rsidRDefault="00412D77" w:rsidP="00412D77">
      <w:pPr>
        <w:tabs>
          <w:tab w:val="left" w:pos="5616"/>
        </w:tabs>
        <w:rPr>
          <w:color w:val="000000" w:themeColor="text1"/>
          <w:lang w:val="en-AU"/>
        </w:rPr>
      </w:pPr>
    </w:p>
    <w:p w14:paraId="7E02123E"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Judaisms and their Messiahs at the Turn of the Christian Era</w:t>
      </w:r>
      <w:r w:rsidRPr="00FB2D03">
        <w:rPr>
          <w:color w:val="000000" w:themeColor="text1"/>
          <w:lang w:val="en-AU"/>
        </w:rPr>
        <w:t xml:space="preserve">. Cambridge: </w:t>
      </w:r>
    </w:p>
    <w:p w14:paraId="2614553D" w14:textId="5BE8689C"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Cambridge University Press, 1987. </w:t>
      </w:r>
    </w:p>
    <w:p w14:paraId="7516CFC9" w14:textId="77777777" w:rsidR="00412D77" w:rsidRPr="00FB2D03" w:rsidRDefault="00412D77" w:rsidP="00412D77">
      <w:pPr>
        <w:tabs>
          <w:tab w:val="left" w:pos="5616"/>
        </w:tabs>
        <w:rPr>
          <w:color w:val="000000" w:themeColor="text1"/>
          <w:lang w:val="en-AU"/>
        </w:rPr>
      </w:pPr>
    </w:p>
    <w:p w14:paraId="072E4EEE" w14:textId="77777777" w:rsidR="00412D77" w:rsidRPr="00FB2D03" w:rsidRDefault="00412D77" w:rsidP="00412D77">
      <w:pPr>
        <w:tabs>
          <w:tab w:val="left" w:pos="5616"/>
        </w:tabs>
        <w:rPr>
          <w:color w:val="000000" w:themeColor="text1"/>
          <w:lang w:val="en-AU"/>
        </w:rPr>
      </w:pPr>
      <w:r w:rsidRPr="00FB2D03">
        <w:rPr>
          <w:color w:val="000000" w:themeColor="text1"/>
          <w:lang w:val="en-AU"/>
        </w:rPr>
        <w:t>________. </w:t>
      </w:r>
      <w:r w:rsidRPr="00FB2D03">
        <w:rPr>
          <w:i/>
          <w:color w:val="000000" w:themeColor="text1"/>
          <w:lang w:val="en-AU"/>
        </w:rPr>
        <w:t>Torah From Our Sages</w:t>
      </w:r>
      <w:r w:rsidRPr="00FB2D03">
        <w:rPr>
          <w:color w:val="000000" w:themeColor="text1"/>
          <w:lang w:val="en-AU"/>
        </w:rPr>
        <w:t>. Chappaqua: Rossel Books, 1984.</w:t>
      </w:r>
    </w:p>
    <w:p w14:paraId="1696AC26" w14:textId="77777777" w:rsidR="00412D77" w:rsidRPr="00FB2D03" w:rsidRDefault="00412D77" w:rsidP="00412D77">
      <w:pPr>
        <w:tabs>
          <w:tab w:val="left" w:pos="5616"/>
        </w:tabs>
        <w:rPr>
          <w:color w:val="000000" w:themeColor="text1"/>
          <w:lang w:val="en-AU"/>
        </w:rPr>
      </w:pPr>
    </w:p>
    <w:p w14:paraId="08F04C0D"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 xml:space="preserve">The Rabbinic Traditions About </w:t>
      </w:r>
      <w:proofErr w:type="gramStart"/>
      <w:r w:rsidRPr="00FB2D03">
        <w:rPr>
          <w:i/>
          <w:color w:val="000000" w:themeColor="text1"/>
          <w:lang w:val="en-AU"/>
        </w:rPr>
        <w:t>The</w:t>
      </w:r>
      <w:proofErr w:type="gramEnd"/>
      <w:r w:rsidRPr="00FB2D03">
        <w:rPr>
          <w:i/>
          <w:color w:val="000000" w:themeColor="text1"/>
          <w:lang w:val="en-AU"/>
        </w:rPr>
        <w:t xml:space="preserve"> Pharisees Before 70</w:t>
      </w:r>
      <w:r w:rsidRPr="00FB2D03">
        <w:rPr>
          <w:color w:val="000000" w:themeColor="text1"/>
          <w:lang w:val="en-AU"/>
        </w:rPr>
        <w:t xml:space="preserve">. Eugene: Wipf &amp; Stock, </w:t>
      </w:r>
    </w:p>
    <w:p w14:paraId="2D56DD50" w14:textId="344CFF70" w:rsidR="00412D77" w:rsidRPr="00FB2D03" w:rsidRDefault="00412D77" w:rsidP="00AD1181">
      <w:pPr>
        <w:tabs>
          <w:tab w:val="left" w:pos="5616"/>
        </w:tabs>
        <w:ind w:left="720"/>
        <w:rPr>
          <w:color w:val="000000" w:themeColor="text1"/>
          <w:lang w:val="en-AU"/>
        </w:rPr>
      </w:pPr>
      <w:r w:rsidRPr="00FB2D03">
        <w:rPr>
          <w:color w:val="000000" w:themeColor="text1"/>
          <w:lang w:val="en-AU"/>
        </w:rPr>
        <w:t>2005.</w:t>
      </w:r>
    </w:p>
    <w:p w14:paraId="7874FFAE" w14:textId="77777777" w:rsidR="00412D77" w:rsidRPr="00FB2D03" w:rsidRDefault="00412D77" w:rsidP="00412D77">
      <w:pPr>
        <w:tabs>
          <w:tab w:val="left" w:pos="5616"/>
        </w:tabs>
        <w:rPr>
          <w:color w:val="000000" w:themeColor="text1"/>
          <w:lang w:val="en-AU"/>
        </w:rPr>
      </w:pPr>
    </w:p>
    <w:p w14:paraId="6C63FA98"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Neusner, Jacob, and Bruce Chilton. </w:t>
      </w:r>
      <w:r w:rsidRPr="00FB2D03">
        <w:rPr>
          <w:i/>
          <w:color w:val="000000" w:themeColor="text1"/>
          <w:lang w:val="en-AU"/>
        </w:rPr>
        <w:t>Judaism in the New Testament</w:t>
      </w:r>
      <w:r w:rsidRPr="00FB2D03">
        <w:rPr>
          <w:color w:val="000000" w:themeColor="text1"/>
          <w:lang w:val="en-AU"/>
        </w:rPr>
        <w:t xml:space="preserve">. London: Routledge, </w:t>
      </w:r>
    </w:p>
    <w:p w14:paraId="3B81AA33" w14:textId="1BA6E320" w:rsidR="00412D77" w:rsidRPr="00FB2D03" w:rsidRDefault="00412D77" w:rsidP="00AD1181">
      <w:pPr>
        <w:tabs>
          <w:tab w:val="left" w:pos="5616"/>
        </w:tabs>
        <w:ind w:left="720"/>
        <w:rPr>
          <w:color w:val="000000" w:themeColor="text1"/>
          <w:lang w:val="en-AU"/>
        </w:rPr>
      </w:pPr>
      <w:r w:rsidRPr="00FB2D03">
        <w:rPr>
          <w:color w:val="000000" w:themeColor="text1"/>
          <w:lang w:val="en-AU"/>
        </w:rPr>
        <w:t>1995.</w:t>
      </w:r>
    </w:p>
    <w:p w14:paraId="786B4742" w14:textId="77777777" w:rsidR="00412D77" w:rsidRPr="00FB2D03" w:rsidRDefault="00412D77" w:rsidP="00412D77">
      <w:pPr>
        <w:tabs>
          <w:tab w:val="left" w:pos="5616"/>
        </w:tabs>
        <w:rPr>
          <w:color w:val="000000" w:themeColor="text1"/>
          <w:lang w:val="en-AU"/>
        </w:rPr>
      </w:pPr>
    </w:p>
    <w:p w14:paraId="76CDE9EF" w14:textId="6BB9E69B" w:rsidR="00412D77" w:rsidRPr="00FB2D03" w:rsidRDefault="01B55689" w:rsidP="01B55689">
      <w:pPr>
        <w:tabs>
          <w:tab w:val="left" w:pos="5616"/>
        </w:tabs>
        <w:rPr>
          <w:color w:val="000000" w:themeColor="text1"/>
          <w:lang w:val="en-AU"/>
        </w:rPr>
      </w:pPr>
      <w:r w:rsidRPr="00FB2D03">
        <w:rPr>
          <w:color w:val="000000" w:themeColor="text1"/>
          <w:lang w:val="en-AU"/>
        </w:rPr>
        <w:t xml:space="preserve">Neville, David J. “Toward a Hermeneutic of Shalom: Reading Texts of Teleological Terror </w:t>
      </w:r>
    </w:p>
    <w:p w14:paraId="46999BEC" w14:textId="45152273" w:rsidR="00412D77" w:rsidRPr="00FB2D03" w:rsidRDefault="01B55689" w:rsidP="01B55689">
      <w:pPr>
        <w:tabs>
          <w:tab w:val="left" w:pos="5616"/>
        </w:tabs>
        <w:ind w:firstLine="720"/>
        <w:rPr>
          <w:color w:val="000000" w:themeColor="text1"/>
          <w:lang w:val="en-AU"/>
        </w:rPr>
      </w:pPr>
      <w:r w:rsidRPr="00FB2D03">
        <w:rPr>
          <w:color w:val="000000" w:themeColor="text1"/>
          <w:lang w:val="en-AU"/>
        </w:rPr>
        <w:t>in Peace Perspective.” </w:t>
      </w:r>
      <w:r w:rsidRPr="00FB2D03">
        <w:rPr>
          <w:i/>
          <w:iCs/>
          <w:color w:val="000000" w:themeColor="text1"/>
          <w:lang w:val="en-AU"/>
        </w:rPr>
        <w:t>Word &amp; World</w:t>
      </w:r>
      <w:r w:rsidRPr="00FB2D03">
        <w:rPr>
          <w:color w:val="000000" w:themeColor="text1"/>
          <w:lang w:val="en-AU"/>
        </w:rPr>
        <w:t> 34 (2014): 339–48.</w:t>
      </w:r>
    </w:p>
    <w:p w14:paraId="0DFF8AC6" w14:textId="77777777" w:rsidR="00412D77" w:rsidRPr="00FB2D03" w:rsidRDefault="00412D77" w:rsidP="00412D77">
      <w:pPr>
        <w:tabs>
          <w:tab w:val="left" w:pos="5616"/>
        </w:tabs>
        <w:rPr>
          <w:color w:val="000000" w:themeColor="text1"/>
          <w:lang w:val="en-AU"/>
        </w:rPr>
      </w:pPr>
    </w:p>
    <w:p w14:paraId="25EAE59E"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Newman, Barclay M. </w:t>
      </w:r>
      <w:r w:rsidRPr="00FB2D03">
        <w:rPr>
          <w:i/>
          <w:color w:val="000000" w:themeColor="text1"/>
          <w:lang w:val="en-AU"/>
        </w:rPr>
        <w:t>The UBS Greek New Testament: A Reader’s Edition</w:t>
      </w:r>
      <w:r w:rsidRPr="00FB2D03">
        <w:rPr>
          <w:color w:val="000000" w:themeColor="text1"/>
          <w:lang w:val="en-AU"/>
        </w:rPr>
        <w:t xml:space="preserve">. Tubingen: </w:t>
      </w:r>
    </w:p>
    <w:p w14:paraId="1F7B7FD6" w14:textId="6778F20E" w:rsidR="00412D77" w:rsidRPr="00FB2D03" w:rsidRDefault="00412D77" w:rsidP="00AD1181">
      <w:pPr>
        <w:tabs>
          <w:tab w:val="left" w:pos="5616"/>
        </w:tabs>
        <w:ind w:left="720"/>
        <w:rPr>
          <w:color w:val="000000" w:themeColor="text1"/>
          <w:lang w:val="en-AU"/>
        </w:rPr>
      </w:pPr>
      <w:r w:rsidRPr="00FB2D03">
        <w:rPr>
          <w:color w:val="000000" w:themeColor="text1"/>
          <w:lang w:val="en-AU"/>
        </w:rPr>
        <w:t>Deutsche Bibelgesellschaft, 2001.</w:t>
      </w:r>
    </w:p>
    <w:p w14:paraId="5FE3E72B" w14:textId="77777777" w:rsidR="00412D77" w:rsidRPr="00FB2D03" w:rsidRDefault="00412D77" w:rsidP="00412D77">
      <w:pPr>
        <w:tabs>
          <w:tab w:val="left" w:pos="5616"/>
        </w:tabs>
        <w:rPr>
          <w:color w:val="000000" w:themeColor="text1"/>
          <w:lang w:val="en-AU"/>
        </w:rPr>
      </w:pPr>
    </w:p>
    <w:p w14:paraId="14D13363" w14:textId="77777777" w:rsidR="00416C83" w:rsidRPr="00FB2D03" w:rsidRDefault="00412D77" w:rsidP="00412D77">
      <w:pPr>
        <w:tabs>
          <w:tab w:val="left" w:pos="5616"/>
        </w:tabs>
        <w:rPr>
          <w:i/>
          <w:color w:val="000000" w:themeColor="text1"/>
          <w:lang w:val="en-AU"/>
        </w:rPr>
      </w:pPr>
      <w:r w:rsidRPr="00FB2D03">
        <w:rPr>
          <w:color w:val="000000" w:themeColor="text1"/>
          <w:lang w:val="en-AU"/>
        </w:rPr>
        <w:t>Nguyen, Vien V. “Matthew and the Torah: An Analysis of Matthew 5:17-20.” </w:t>
      </w:r>
      <w:r w:rsidRPr="00FB2D03">
        <w:rPr>
          <w:i/>
          <w:color w:val="000000" w:themeColor="text1"/>
          <w:lang w:val="en-AU"/>
        </w:rPr>
        <w:t xml:space="preserve">Journal of </w:t>
      </w:r>
    </w:p>
    <w:p w14:paraId="45283FD3" w14:textId="5DA818ED" w:rsidR="00412D77" w:rsidRPr="00FB2D03" w:rsidRDefault="00412D77" w:rsidP="00AD1181">
      <w:pPr>
        <w:tabs>
          <w:tab w:val="left" w:pos="5616"/>
        </w:tabs>
        <w:ind w:left="720"/>
        <w:rPr>
          <w:color w:val="000000" w:themeColor="text1"/>
          <w:lang w:val="en-AU"/>
        </w:rPr>
      </w:pPr>
      <w:r w:rsidRPr="00FB2D03">
        <w:rPr>
          <w:i/>
          <w:color w:val="000000" w:themeColor="text1"/>
          <w:lang w:val="en-AU"/>
        </w:rPr>
        <w:t>Biblical Theology</w:t>
      </w:r>
      <w:r w:rsidRPr="00FB2D03">
        <w:rPr>
          <w:color w:val="000000" w:themeColor="text1"/>
          <w:lang w:val="en-AU"/>
        </w:rPr>
        <w:t> 3 (2020): 5–35.</w:t>
      </w:r>
    </w:p>
    <w:p w14:paraId="34256E60" w14:textId="77777777" w:rsidR="00412D77" w:rsidRPr="00FB2D03" w:rsidRDefault="00412D77" w:rsidP="00412D77">
      <w:pPr>
        <w:tabs>
          <w:tab w:val="left" w:pos="5616"/>
        </w:tabs>
        <w:rPr>
          <w:color w:val="000000" w:themeColor="text1"/>
          <w:lang w:val="en-AU"/>
        </w:rPr>
      </w:pPr>
    </w:p>
    <w:p w14:paraId="3A558BF7" w14:textId="77777777" w:rsidR="00416C83" w:rsidRPr="00FB2D03" w:rsidRDefault="00412D77" w:rsidP="00412D77">
      <w:pPr>
        <w:tabs>
          <w:tab w:val="left" w:pos="5616"/>
        </w:tabs>
        <w:rPr>
          <w:i/>
          <w:color w:val="000000" w:themeColor="text1"/>
          <w:lang w:val="en-AU"/>
        </w:rPr>
      </w:pPr>
      <w:r w:rsidRPr="00FB2D03">
        <w:rPr>
          <w:color w:val="000000" w:themeColor="text1"/>
          <w:lang w:val="en-AU"/>
        </w:rPr>
        <w:t>Nickelsburg</w:t>
      </w:r>
      <w:r w:rsidRPr="00FB2D03">
        <w:rPr>
          <w:i/>
          <w:color w:val="000000" w:themeColor="text1"/>
          <w:lang w:val="en-AU"/>
        </w:rPr>
        <w:t>,</w:t>
      </w:r>
      <w:r w:rsidRPr="00FB2D03">
        <w:rPr>
          <w:color w:val="000000" w:themeColor="text1"/>
          <w:lang w:val="en-AU"/>
        </w:rPr>
        <w:t xml:space="preserve"> </w:t>
      </w:r>
      <w:r w:rsidRPr="00FB2D03">
        <w:rPr>
          <w:i/>
          <w:color w:val="000000" w:themeColor="text1"/>
          <w:lang w:val="en-AU"/>
        </w:rPr>
        <w:t xml:space="preserve">G. W. E. Jewish Literature Between the Bible and the Mishnah: </w:t>
      </w:r>
      <w:proofErr w:type="gramStart"/>
      <w:r w:rsidRPr="00FB2D03">
        <w:rPr>
          <w:i/>
          <w:color w:val="000000" w:themeColor="text1"/>
          <w:lang w:val="en-AU"/>
        </w:rPr>
        <w:t>A Historical</w:t>
      </w:r>
      <w:proofErr w:type="gramEnd"/>
      <w:r w:rsidRPr="00FB2D03">
        <w:rPr>
          <w:i/>
          <w:color w:val="000000" w:themeColor="text1"/>
          <w:lang w:val="en-AU"/>
        </w:rPr>
        <w:t xml:space="preserve"> </w:t>
      </w:r>
    </w:p>
    <w:p w14:paraId="1B0821DC" w14:textId="5B96916B" w:rsidR="00412D77" w:rsidRPr="00FB2D03" w:rsidRDefault="00412D77" w:rsidP="00AD1181">
      <w:pPr>
        <w:tabs>
          <w:tab w:val="left" w:pos="5616"/>
        </w:tabs>
        <w:ind w:left="720"/>
        <w:rPr>
          <w:color w:val="000000" w:themeColor="text1"/>
          <w:lang w:val="en-AU"/>
        </w:rPr>
      </w:pPr>
      <w:r w:rsidRPr="00FB2D03">
        <w:rPr>
          <w:i/>
          <w:color w:val="000000" w:themeColor="text1"/>
          <w:lang w:val="en-AU"/>
        </w:rPr>
        <w:t xml:space="preserve">and Literary Introduction. </w:t>
      </w:r>
      <w:r w:rsidRPr="00FB2D03">
        <w:rPr>
          <w:color w:val="000000" w:themeColor="text1"/>
          <w:lang w:val="en-AU"/>
        </w:rPr>
        <w:t>Minneapolis: Fortress, 2005.</w:t>
      </w:r>
    </w:p>
    <w:p w14:paraId="2207A541" w14:textId="77777777" w:rsidR="00412D77" w:rsidRPr="00FB2D03" w:rsidRDefault="00412D77" w:rsidP="00412D77">
      <w:pPr>
        <w:tabs>
          <w:tab w:val="left" w:pos="5616"/>
        </w:tabs>
        <w:rPr>
          <w:color w:val="000000" w:themeColor="text1"/>
          <w:lang w:val="en-AU"/>
        </w:rPr>
      </w:pPr>
    </w:p>
    <w:p w14:paraId="1A5B6829" w14:textId="77777777" w:rsidR="00412D77" w:rsidRPr="00FB2D03" w:rsidRDefault="00412D77" w:rsidP="00412D77">
      <w:pPr>
        <w:tabs>
          <w:tab w:val="left" w:pos="5616"/>
        </w:tabs>
        <w:rPr>
          <w:color w:val="000000" w:themeColor="text1"/>
          <w:lang w:val="en-AU"/>
        </w:rPr>
      </w:pPr>
      <w:r w:rsidRPr="00FB2D03">
        <w:rPr>
          <w:color w:val="000000" w:themeColor="text1"/>
          <w:lang w:val="en-AU"/>
        </w:rPr>
        <w:t>Nicoll, W. Robertson. </w:t>
      </w:r>
      <w:r w:rsidRPr="00FB2D03">
        <w:rPr>
          <w:i/>
          <w:color w:val="000000" w:themeColor="text1"/>
          <w:lang w:val="en-AU"/>
        </w:rPr>
        <w:t>The Expositor’s Greek Testament</w:t>
      </w:r>
      <w:r w:rsidRPr="00FB2D03">
        <w:rPr>
          <w:color w:val="000000" w:themeColor="text1"/>
          <w:lang w:val="en-AU"/>
        </w:rPr>
        <w:t>. Grand Rapids: Eerdmans, 1970.</w:t>
      </w:r>
    </w:p>
    <w:p w14:paraId="3FB7B38D" w14:textId="77777777" w:rsidR="00412D77" w:rsidRPr="00FB2D03" w:rsidRDefault="00412D77" w:rsidP="00412D77">
      <w:pPr>
        <w:tabs>
          <w:tab w:val="left" w:pos="5616"/>
        </w:tabs>
        <w:rPr>
          <w:color w:val="000000" w:themeColor="text1"/>
          <w:lang w:val="en-AU"/>
        </w:rPr>
      </w:pPr>
    </w:p>
    <w:p w14:paraId="05700D14" w14:textId="77777777" w:rsidR="00412D77" w:rsidRPr="00FB2D03" w:rsidRDefault="00412D77" w:rsidP="00412D77">
      <w:pPr>
        <w:tabs>
          <w:tab w:val="left" w:pos="5616"/>
        </w:tabs>
        <w:rPr>
          <w:color w:val="000000" w:themeColor="text1"/>
          <w:lang w:val="en-AU"/>
        </w:rPr>
      </w:pPr>
      <w:r w:rsidRPr="00FB2D03">
        <w:rPr>
          <w:color w:val="000000" w:themeColor="text1"/>
          <w:lang w:val="en-AU"/>
        </w:rPr>
        <w:t>Niebuhr, Reinhold. </w:t>
      </w:r>
      <w:r w:rsidRPr="00FB2D03">
        <w:rPr>
          <w:i/>
          <w:color w:val="000000" w:themeColor="text1"/>
          <w:lang w:val="en-AU"/>
        </w:rPr>
        <w:t>Christian Realism and Political Problems</w:t>
      </w:r>
      <w:r w:rsidRPr="00FB2D03">
        <w:rPr>
          <w:color w:val="000000" w:themeColor="text1"/>
          <w:lang w:val="en-AU"/>
        </w:rPr>
        <w:t>. London: Faber &amp; Faber, 1954.</w:t>
      </w:r>
    </w:p>
    <w:p w14:paraId="36B27E79" w14:textId="77777777" w:rsidR="00412D77" w:rsidRPr="00FB2D03" w:rsidRDefault="00412D77" w:rsidP="00412D77">
      <w:pPr>
        <w:tabs>
          <w:tab w:val="left" w:pos="5616"/>
        </w:tabs>
        <w:rPr>
          <w:color w:val="000000" w:themeColor="text1"/>
          <w:lang w:val="en-AU"/>
        </w:rPr>
      </w:pPr>
    </w:p>
    <w:p w14:paraId="78AAC95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An Interpretation of Christian Ethics</w:t>
      </w:r>
      <w:r w:rsidRPr="00FB2D03">
        <w:rPr>
          <w:color w:val="000000" w:themeColor="text1"/>
          <w:lang w:val="en-AU"/>
        </w:rPr>
        <w:t>. New York: Harper &amp; Row, 1935.</w:t>
      </w:r>
    </w:p>
    <w:p w14:paraId="4AFBD3B8" w14:textId="77777777" w:rsidR="00412D77" w:rsidRPr="00FB2D03" w:rsidRDefault="00412D77" w:rsidP="00412D77">
      <w:pPr>
        <w:tabs>
          <w:tab w:val="left" w:pos="5616"/>
        </w:tabs>
        <w:rPr>
          <w:color w:val="000000" w:themeColor="text1"/>
          <w:lang w:val="en-AU"/>
        </w:rPr>
      </w:pPr>
    </w:p>
    <w:p w14:paraId="59C5CA76" w14:textId="77777777" w:rsidR="00416C83" w:rsidRPr="00FB2D03" w:rsidRDefault="00412D77" w:rsidP="00412D77">
      <w:pPr>
        <w:tabs>
          <w:tab w:val="left" w:pos="5616"/>
        </w:tabs>
        <w:rPr>
          <w:color w:val="000000" w:themeColor="text1"/>
          <w:lang w:val="en-AU"/>
        </w:rPr>
      </w:pPr>
      <w:r w:rsidRPr="00FB2D03">
        <w:rPr>
          <w:color w:val="000000" w:themeColor="text1"/>
          <w:lang w:val="en-AU"/>
        </w:rPr>
        <w:t>________. </w:t>
      </w:r>
      <w:r w:rsidRPr="00FB2D03">
        <w:rPr>
          <w:i/>
          <w:color w:val="000000" w:themeColor="text1"/>
          <w:lang w:val="en-AU"/>
        </w:rPr>
        <w:t xml:space="preserve">Moral Man </w:t>
      </w:r>
      <w:proofErr w:type="gramStart"/>
      <w:r w:rsidRPr="00FB2D03">
        <w:rPr>
          <w:i/>
          <w:color w:val="000000" w:themeColor="text1"/>
          <w:lang w:val="en-AU"/>
        </w:rPr>
        <w:t>And</w:t>
      </w:r>
      <w:proofErr w:type="gramEnd"/>
      <w:r w:rsidRPr="00FB2D03">
        <w:rPr>
          <w:i/>
          <w:color w:val="000000" w:themeColor="text1"/>
          <w:lang w:val="en-AU"/>
        </w:rPr>
        <w:t xml:space="preserve"> Immoral Society</w:t>
      </w:r>
      <w:r w:rsidRPr="00FB2D03">
        <w:rPr>
          <w:color w:val="000000" w:themeColor="text1"/>
          <w:lang w:val="en-AU"/>
        </w:rPr>
        <w:t xml:space="preserve">. Louisville: Westminster John Knox Press, </w:t>
      </w:r>
    </w:p>
    <w:p w14:paraId="39F61914" w14:textId="1F6AA843" w:rsidR="00412D77" w:rsidRPr="00FB2D03" w:rsidRDefault="00412D77" w:rsidP="00AD1181">
      <w:pPr>
        <w:tabs>
          <w:tab w:val="left" w:pos="5616"/>
        </w:tabs>
        <w:ind w:left="720"/>
        <w:rPr>
          <w:color w:val="000000" w:themeColor="text1"/>
          <w:lang w:val="en-AU"/>
        </w:rPr>
      </w:pPr>
      <w:r w:rsidRPr="00FB2D03">
        <w:rPr>
          <w:color w:val="000000" w:themeColor="text1"/>
          <w:lang w:val="en-AU"/>
        </w:rPr>
        <w:t>2001.</w:t>
      </w:r>
    </w:p>
    <w:p w14:paraId="312CE8F0" w14:textId="77777777" w:rsidR="00412D77" w:rsidRPr="00FB2D03" w:rsidRDefault="00412D77" w:rsidP="00412D77">
      <w:pPr>
        <w:tabs>
          <w:tab w:val="left" w:pos="5616"/>
        </w:tabs>
        <w:rPr>
          <w:color w:val="000000" w:themeColor="text1"/>
          <w:lang w:val="en-AU"/>
        </w:rPr>
      </w:pPr>
    </w:p>
    <w:p w14:paraId="389A2E45" w14:textId="77777777" w:rsidR="00416C83" w:rsidRPr="00FB2D03" w:rsidRDefault="00412D77" w:rsidP="00412D77">
      <w:pPr>
        <w:tabs>
          <w:tab w:val="left" w:pos="5616"/>
        </w:tabs>
        <w:rPr>
          <w:i/>
          <w:color w:val="000000" w:themeColor="text1"/>
          <w:lang w:val="en-AU"/>
        </w:rPr>
      </w:pPr>
      <w:r w:rsidRPr="00FB2D03">
        <w:rPr>
          <w:color w:val="000000" w:themeColor="text1"/>
          <w:lang w:val="en-AU"/>
        </w:rPr>
        <w:t>Nitzan, Bilhah. “Repentance in the Dead Sea Scrolls.” In </w:t>
      </w:r>
      <w:r w:rsidRPr="00FB2D03">
        <w:rPr>
          <w:i/>
          <w:color w:val="000000" w:themeColor="text1"/>
          <w:lang w:val="en-AU"/>
        </w:rPr>
        <w:t xml:space="preserve">The Dead Sea Scrolls after Fifty </w:t>
      </w:r>
    </w:p>
    <w:p w14:paraId="22F0FC68" w14:textId="7D6F79A2" w:rsidR="00412D77" w:rsidRPr="00FB2D03" w:rsidRDefault="00412D77" w:rsidP="00AD1181">
      <w:pPr>
        <w:tabs>
          <w:tab w:val="left" w:pos="5616"/>
        </w:tabs>
        <w:ind w:left="720"/>
        <w:rPr>
          <w:color w:val="000000" w:themeColor="text1"/>
          <w:lang w:val="en-AU"/>
        </w:rPr>
      </w:pPr>
      <w:r w:rsidRPr="00FB2D03">
        <w:rPr>
          <w:i/>
          <w:color w:val="000000" w:themeColor="text1"/>
          <w:lang w:val="en-AU"/>
        </w:rPr>
        <w:t>Years: A Comprehensive Assessment</w:t>
      </w:r>
      <w:r w:rsidRPr="00FB2D03">
        <w:rPr>
          <w:color w:val="000000" w:themeColor="text1"/>
          <w:lang w:val="en-AU"/>
        </w:rPr>
        <w:t>, ed. Peter W. Flint and James C. VanderKam, 2:145–170. Leiden: Brill, 1998–1999.</w:t>
      </w:r>
    </w:p>
    <w:p w14:paraId="120FE49F" w14:textId="77777777" w:rsidR="00412D77" w:rsidRPr="00FB2D03" w:rsidRDefault="00412D77" w:rsidP="00412D77">
      <w:pPr>
        <w:tabs>
          <w:tab w:val="left" w:pos="5616"/>
        </w:tabs>
        <w:rPr>
          <w:color w:val="000000" w:themeColor="text1"/>
          <w:lang w:val="en-AU"/>
        </w:rPr>
      </w:pPr>
    </w:p>
    <w:p w14:paraId="52CABA54" w14:textId="0996D311" w:rsidR="00412D77" w:rsidRPr="00FB2D03" w:rsidRDefault="01B55689" w:rsidP="01B55689">
      <w:pPr>
        <w:tabs>
          <w:tab w:val="left" w:pos="5616"/>
        </w:tabs>
        <w:rPr>
          <w:color w:val="000000" w:themeColor="text1"/>
          <w:lang w:val="en-AU"/>
        </w:rPr>
      </w:pPr>
      <w:r w:rsidRPr="00FB2D03">
        <w:rPr>
          <w:color w:val="000000" w:themeColor="text1"/>
          <w:lang w:val="en-AU"/>
        </w:rPr>
        <w:t xml:space="preserve">Noam, Vered. “In the Wake of the New Leaf of Megillat Ta’anit and Its </w:t>
      </w:r>
    </w:p>
    <w:p w14:paraId="06C25C24" w14:textId="633E3723" w:rsidR="00412D77" w:rsidRPr="00FB2D03" w:rsidRDefault="01B55689" w:rsidP="01B55689">
      <w:pPr>
        <w:tabs>
          <w:tab w:val="left" w:pos="5616"/>
        </w:tabs>
        <w:ind w:firstLine="720"/>
        <w:rPr>
          <w:color w:val="000000" w:themeColor="text1"/>
          <w:lang w:val="en-AU"/>
        </w:rPr>
      </w:pPr>
      <w:r w:rsidRPr="00FB2D03">
        <w:rPr>
          <w:color w:val="000000" w:themeColor="text1"/>
          <w:lang w:val="en-AU"/>
        </w:rPr>
        <w:t>Scholion.” </w:t>
      </w:r>
      <w:r w:rsidRPr="00FB2D03">
        <w:rPr>
          <w:i/>
          <w:iCs/>
          <w:color w:val="000000" w:themeColor="text1"/>
          <w:lang w:val="en-AU"/>
        </w:rPr>
        <w:t>Tarbiz</w:t>
      </w:r>
      <w:r w:rsidRPr="00FB2D03">
        <w:rPr>
          <w:color w:val="000000" w:themeColor="text1"/>
          <w:lang w:val="en-AU"/>
        </w:rPr>
        <w:t> 77 (2008): 411–24.</w:t>
      </w:r>
    </w:p>
    <w:p w14:paraId="69558347" w14:textId="77777777" w:rsidR="00412D77" w:rsidRPr="00FB2D03" w:rsidRDefault="00412D77" w:rsidP="00412D77">
      <w:pPr>
        <w:tabs>
          <w:tab w:val="left" w:pos="5616"/>
        </w:tabs>
        <w:rPr>
          <w:color w:val="000000" w:themeColor="text1"/>
          <w:lang w:val="en-AU"/>
        </w:rPr>
      </w:pPr>
    </w:p>
    <w:p w14:paraId="7F24C764"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Nolland, John. </w:t>
      </w:r>
      <w:r w:rsidRPr="00FB2D03">
        <w:rPr>
          <w:i/>
          <w:color w:val="000000" w:themeColor="text1"/>
          <w:lang w:val="en-AU"/>
        </w:rPr>
        <w:t>The Gospel of Matthew.</w:t>
      </w:r>
      <w:r w:rsidRPr="00FB2D03">
        <w:rPr>
          <w:color w:val="000000" w:themeColor="text1"/>
          <w:lang w:val="en-AU"/>
        </w:rPr>
        <w:t xml:space="preserve"> The New International Greek Testament </w:t>
      </w:r>
    </w:p>
    <w:p w14:paraId="109A2F76" w14:textId="3456C08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Commentary. Grand Rapids: Eerdmans, 2005. </w:t>
      </w:r>
    </w:p>
    <w:p w14:paraId="061B6E3B" w14:textId="77777777" w:rsidR="00412D77" w:rsidRPr="00FB2D03" w:rsidRDefault="00412D77" w:rsidP="00412D77">
      <w:pPr>
        <w:tabs>
          <w:tab w:val="left" w:pos="5616"/>
        </w:tabs>
        <w:rPr>
          <w:color w:val="000000" w:themeColor="text1"/>
          <w:lang w:val="en-AU"/>
        </w:rPr>
      </w:pPr>
    </w:p>
    <w:p w14:paraId="3DB72E11" w14:textId="6A5956B8" w:rsidR="00416C83" w:rsidRPr="00FB2D03" w:rsidRDefault="00412D77" w:rsidP="00412D77">
      <w:pPr>
        <w:tabs>
          <w:tab w:val="left" w:pos="5616"/>
        </w:tabs>
        <w:rPr>
          <w:i/>
          <w:color w:val="000000" w:themeColor="text1"/>
          <w:lang w:val="en-AU"/>
        </w:rPr>
      </w:pPr>
      <w:r w:rsidRPr="00FB2D03">
        <w:rPr>
          <w:color w:val="000000" w:themeColor="text1"/>
          <w:lang w:val="en-AU"/>
        </w:rPr>
        <w:t>Novak, David. “Supersessionism Hard and Soft.” </w:t>
      </w:r>
      <w:r w:rsidRPr="00FB2D03">
        <w:rPr>
          <w:i/>
          <w:color w:val="000000" w:themeColor="text1"/>
          <w:lang w:val="en-AU"/>
        </w:rPr>
        <w:t xml:space="preserve">First Things: A Monthly Journal </w:t>
      </w:r>
      <w:r w:rsidR="00DF2BEE">
        <w:rPr>
          <w:i/>
          <w:color w:val="000000" w:themeColor="text1"/>
          <w:lang w:val="en-AU"/>
        </w:rPr>
        <w:t>of</w:t>
      </w:r>
      <w:r w:rsidRPr="00FB2D03">
        <w:rPr>
          <w:i/>
          <w:color w:val="000000" w:themeColor="text1"/>
          <w:lang w:val="en-AU"/>
        </w:rPr>
        <w:t xml:space="preserve"> </w:t>
      </w:r>
    </w:p>
    <w:p w14:paraId="65606EED" w14:textId="1BE1BA5C" w:rsidR="00412D77" w:rsidRPr="00FB2D03" w:rsidRDefault="00412D77" w:rsidP="00AD1181">
      <w:pPr>
        <w:tabs>
          <w:tab w:val="left" w:pos="5616"/>
        </w:tabs>
        <w:ind w:left="720"/>
        <w:rPr>
          <w:color w:val="000000" w:themeColor="text1"/>
          <w:lang w:val="en-AU"/>
        </w:rPr>
      </w:pPr>
      <w:r w:rsidRPr="00FB2D03">
        <w:rPr>
          <w:i/>
          <w:color w:val="000000" w:themeColor="text1"/>
          <w:lang w:val="en-AU"/>
        </w:rPr>
        <w:lastRenderedPageBreak/>
        <w:t>Religion and Public Life</w:t>
      </w:r>
      <w:r w:rsidRPr="00FB2D03">
        <w:rPr>
          <w:color w:val="000000" w:themeColor="text1"/>
          <w:lang w:val="en-AU"/>
        </w:rPr>
        <w:t xml:space="preserve"> (2019): 27–31.</w:t>
      </w:r>
    </w:p>
    <w:p w14:paraId="3F8C5B5B" w14:textId="77777777" w:rsidR="00412D77" w:rsidRPr="00FB2D03" w:rsidRDefault="00412D77" w:rsidP="00412D77">
      <w:pPr>
        <w:tabs>
          <w:tab w:val="left" w:pos="5616"/>
        </w:tabs>
        <w:rPr>
          <w:color w:val="000000" w:themeColor="text1"/>
          <w:lang w:val="en-AU"/>
        </w:rPr>
      </w:pPr>
    </w:p>
    <w:p w14:paraId="2CB78F0A" w14:textId="450B7C9B" w:rsidR="00412D77" w:rsidRPr="00FB2D03" w:rsidRDefault="01B55689" w:rsidP="01B55689">
      <w:pPr>
        <w:tabs>
          <w:tab w:val="left" w:pos="5616"/>
        </w:tabs>
        <w:rPr>
          <w:color w:val="000000" w:themeColor="text1"/>
          <w:lang w:val="en-AU"/>
        </w:rPr>
      </w:pPr>
      <w:r w:rsidRPr="00FB2D03">
        <w:rPr>
          <w:color w:val="000000" w:themeColor="text1"/>
          <w:lang w:val="en-AU"/>
        </w:rPr>
        <w:t xml:space="preserve">Novak, David. “Some Aspects of Sex, Society, and God in Judaism” in </w:t>
      </w:r>
      <w:r w:rsidRPr="00FB2D03">
        <w:rPr>
          <w:i/>
          <w:iCs/>
          <w:color w:val="000000" w:themeColor="text1"/>
          <w:lang w:val="en-AU"/>
        </w:rPr>
        <w:t xml:space="preserve">Jewish Social </w:t>
      </w:r>
    </w:p>
    <w:p w14:paraId="0699830F" w14:textId="3141D495" w:rsidR="00412D77" w:rsidRPr="00FB2D03" w:rsidRDefault="01B55689" w:rsidP="01B55689">
      <w:pPr>
        <w:tabs>
          <w:tab w:val="left" w:pos="5616"/>
        </w:tabs>
        <w:ind w:firstLine="720"/>
        <w:rPr>
          <w:color w:val="000000" w:themeColor="text1"/>
          <w:lang w:val="en-AU"/>
        </w:rPr>
      </w:pPr>
      <w:r w:rsidRPr="00FB2D03">
        <w:rPr>
          <w:i/>
          <w:iCs/>
          <w:color w:val="000000" w:themeColor="text1"/>
          <w:lang w:val="en-AU"/>
        </w:rPr>
        <w:t xml:space="preserve">Ethics. </w:t>
      </w:r>
      <w:r w:rsidRPr="00FB2D03">
        <w:rPr>
          <w:color w:val="000000" w:themeColor="text1"/>
          <w:lang w:val="en-AU"/>
        </w:rPr>
        <w:t>New York: Oxford University Press, 1992: 84–103.</w:t>
      </w:r>
    </w:p>
    <w:p w14:paraId="4A45977D" w14:textId="77777777" w:rsidR="00412D77" w:rsidRPr="00FB2D03" w:rsidRDefault="00412D77" w:rsidP="00412D77">
      <w:pPr>
        <w:tabs>
          <w:tab w:val="left" w:pos="5616"/>
        </w:tabs>
        <w:rPr>
          <w:color w:val="000000" w:themeColor="text1"/>
          <w:lang w:val="en-AU"/>
        </w:rPr>
      </w:pPr>
    </w:p>
    <w:p w14:paraId="71BFECB0" w14:textId="251E906C" w:rsidR="00412D77" w:rsidRPr="00FB2D03" w:rsidRDefault="01B55689" w:rsidP="01B55689">
      <w:pPr>
        <w:tabs>
          <w:tab w:val="left" w:pos="5616"/>
        </w:tabs>
        <w:rPr>
          <w:color w:val="000000" w:themeColor="text1"/>
          <w:lang w:val="en-AU"/>
        </w:rPr>
      </w:pPr>
      <w:r w:rsidRPr="00FB2D03">
        <w:rPr>
          <w:color w:val="000000" w:themeColor="text1"/>
          <w:lang w:val="en-AU"/>
        </w:rPr>
        <w:t xml:space="preserve">Novenson, Matthew V. </w:t>
      </w:r>
      <w:r w:rsidRPr="00FB2D03">
        <w:rPr>
          <w:i/>
          <w:iCs/>
          <w:color w:val="000000" w:themeColor="text1"/>
          <w:lang w:val="en-AU"/>
        </w:rPr>
        <w:t>Christ among the Messiahs: Christ Language in Paul and Messiah</w:t>
      </w:r>
    </w:p>
    <w:p w14:paraId="6AD1635C" w14:textId="027C8F26" w:rsidR="00412D77" w:rsidRPr="00FB2D03" w:rsidRDefault="01B55689" w:rsidP="01B55689">
      <w:pPr>
        <w:tabs>
          <w:tab w:val="left" w:pos="5616"/>
        </w:tabs>
        <w:ind w:left="720"/>
        <w:rPr>
          <w:color w:val="000000" w:themeColor="text1"/>
          <w:lang w:val="en-AU"/>
        </w:rPr>
      </w:pPr>
      <w:r w:rsidRPr="00FB2D03">
        <w:rPr>
          <w:i/>
          <w:iCs/>
          <w:color w:val="000000" w:themeColor="text1"/>
          <w:lang w:val="en-AU"/>
        </w:rPr>
        <w:t xml:space="preserve"> Language in Ancient Judaism</w:t>
      </w:r>
      <w:r w:rsidRPr="00FB2D03">
        <w:rPr>
          <w:color w:val="000000" w:themeColor="text1"/>
          <w:lang w:val="en-AU"/>
        </w:rPr>
        <w:t>. Oxford: Oxford University Press, 2012.</w:t>
      </w:r>
    </w:p>
    <w:p w14:paraId="7DDDAF2A" w14:textId="77777777" w:rsidR="00412D77" w:rsidRPr="00FB2D03" w:rsidRDefault="00412D77" w:rsidP="01B55689">
      <w:pPr>
        <w:tabs>
          <w:tab w:val="left" w:pos="5616"/>
        </w:tabs>
        <w:ind w:left="720"/>
        <w:rPr>
          <w:color w:val="000000" w:themeColor="text1"/>
          <w:lang w:val="en-AU"/>
        </w:rPr>
      </w:pPr>
    </w:p>
    <w:p w14:paraId="4D9E7312" w14:textId="15496556" w:rsidR="00412D77" w:rsidRPr="00FB2D03" w:rsidRDefault="01B55689" w:rsidP="01B55689">
      <w:pPr>
        <w:tabs>
          <w:tab w:val="left" w:pos="5616"/>
        </w:tabs>
        <w:rPr>
          <w:color w:val="000000" w:themeColor="text1"/>
          <w:lang w:val="en-AU"/>
        </w:rPr>
      </w:pPr>
      <w:r w:rsidRPr="00FB2D03">
        <w:rPr>
          <w:color w:val="000000" w:themeColor="text1"/>
          <w:lang w:val="en-AU"/>
        </w:rPr>
        <w:t xml:space="preserve">________. “Why does R. Akiba acclaim Bar Kokhba as Messiah?” </w:t>
      </w:r>
      <w:r w:rsidRPr="00FB2D03">
        <w:rPr>
          <w:i/>
          <w:iCs/>
          <w:color w:val="000000" w:themeColor="text1"/>
          <w:lang w:val="en-AU"/>
        </w:rPr>
        <w:t>Journal for the Study of</w:t>
      </w:r>
    </w:p>
    <w:p w14:paraId="3C95CA15" w14:textId="5A0B2F6B" w:rsidR="00412D77" w:rsidRPr="00FB2D03" w:rsidRDefault="01B55689" w:rsidP="01B55689">
      <w:pPr>
        <w:tabs>
          <w:tab w:val="left" w:pos="5616"/>
        </w:tabs>
        <w:ind w:left="720"/>
        <w:rPr>
          <w:color w:val="000000" w:themeColor="text1"/>
          <w:lang w:val="en-AU"/>
        </w:rPr>
      </w:pPr>
      <w:r w:rsidRPr="00FB2D03">
        <w:rPr>
          <w:i/>
          <w:iCs/>
          <w:color w:val="000000" w:themeColor="text1"/>
          <w:lang w:val="en-AU"/>
        </w:rPr>
        <w:t xml:space="preserve"> Judaism, </w:t>
      </w:r>
      <w:r w:rsidRPr="00FB2D03">
        <w:rPr>
          <w:color w:val="000000" w:themeColor="text1"/>
          <w:lang w:val="en-AU"/>
        </w:rPr>
        <w:t>40 (2009): 551–572.</w:t>
      </w:r>
    </w:p>
    <w:p w14:paraId="597649CA" w14:textId="77777777" w:rsidR="00412D77" w:rsidRPr="00FB2D03" w:rsidRDefault="00412D77" w:rsidP="01B55689">
      <w:pPr>
        <w:tabs>
          <w:tab w:val="left" w:pos="5616"/>
        </w:tabs>
        <w:ind w:left="720"/>
        <w:rPr>
          <w:color w:val="000000" w:themeColor="text1"/>
          <w:lang w:val="en-AU"/>
        </w:rPr>
      </w:pPr>
    </w:p>
    <w:p w14:paraId="29F9B322" w14:textId="77777777" w:rsidR="00412D77" w:rsidRPr="00FB2D03" w:rsidRDefault="00412D77" w:rsidP="00412D77">
      <w:pPr>
        <w:tabs>
          <w:tab w:val="left" w:pos="5616"/>
        </w:tabs>
        <w:rPr>
          <w:color w:val="000000" w:themeColor="text1"/>
          <w:lang w:val="en-AU"/>
        </w:rPr>
      </w:pPr>
      <w:r w:rsidRPr="00FB2D03">
        <w:rPr>
          <w:color w:val="000000" w:themeColor="text1"/>
          <w:lang w:val="en-AU"/>
        </w:rPr>
        <w:t>Nussbaum, Martha C. </w:t>
      </w:r>
      <w:r w:rsidRPr="00FB2D03">
        <w:rPr>
          <w:i/>
          <w:color w:val="000000" w:themeColor="text1"/>
          <w:lang w:val="en-AU"/>
        </w:rPr>
        <w:t>Love’s Knowledge</w:t>
      </w:r>
      <w:r w:rsidRPr="00FB2D03">
        <w:rPr>
          <w:color w:val="000000" w:themeColor="text1"/>
          <w:lang w:val="en-AU"/>
        </w:rPr>
        <w:t>. New York: Oxford University Press, 2009.</w:t>
      </w:r>
    </w:p>
    <w:p w14:paraId="6B59F6A4" w14:textId="77777777" w:rsidR="00412D77" w:rsidRPr="00FB2D03" w:rsidRDefault="00412D77" w:rsidP="00412D77">
      <w:pPr>
        <w:tabs>
          <w:tab w:val="left" w:pos="5616"/>
        </w:tabs>
        <w:rPr>
          <w:color w:val="000000" w:themeColor="text1"/>
          <w:lang w:val="en-AU"/>
        </w:rPr>
      </w:pPr>
    </w:p>
    <w:p w14:paraId="135BD156" w14:textId="57513AAD" w:rsidR="00412D77" w:rsidRPr="00FB2D03" w:rsidRDefault="01B55689" w:rsidP="01B55689">
      <w:pPr>
        <w:tabs>
          <w:tab w:val="left" w:pos="5616"/>
        </w:tabs>
        <w:rPr>
          <w:color w:val="000000" w:themeColor="text1"/>
          <w:lang w:val="en-AU"/>
        </w:rPr>
      </w:pPr>
      <w:r w:rsidRPr="00FB2D03">
        <w:rPr>
          <w:color w:val="000000" w:themeColor="text1"/>
          <w:lang w:val="en-AU"/>
        </w:rPr>
        <w:t>Oberforcher, Robert. “Review: John J. Collins, </w:t>
      </w:r>
      <w:r w:rsidRPr="00FB2D03">
        <w:rPr>
          <w:i/>
          <w:iCs/>
          <w:color w:val="000000" w:themeColor="text1"/>
          <w:lang w:val="en-AU"/>
        </w:rPr>
        <w:t xml:space="preserve">The </w:t>
      </w:r>
      <w:proofErr w:type="gramStart"/>
      <w:r w:rsidRPr="00FB2D03">
        <w:rPr>
          <w:i/>
          <w:iCs/>
          <w:color w:val="000000" w:themeColor="text1"/>
          <w:lang w:val="en-AU"/>
        </w:rPr>
        <w:t>Scepter</w:t>
      </w:r>
      <w:proofErr w:type="gramEnd"/>
      <w:r w:rsidRPr="00FB2D03">
        <w:rPr>
          <w:i/>
          <w:iCs/>
          <w:color w:val="000000" w:themeColor="text1"/>
          <w:lang w:val="en-AU"/>
        </w:rPr>
        <w:t xml:space="preserve"> and the Star: The Messiahs of</w:t>
      </w:r>
    </w:p>
    <w:p w14:paraId="47A75110" w14:textId="0E1E7D41" w:rsidR="00412D77" w:rsidRPr="00FB2D03" w:rsidRDefault="01B55689" w:rsidP="00AD1181">
      <w:pPr>
        <w:tabs>
          <w:tab w:val="left" w:pos="5616"/>
        </w:tabs>
        <w:ind w:left="720"/>
        <w:rPr>
          <w:color w:val="000000" w:themeColor="text1"/>
          <w:lang w:val="en-AU"/>
        </w:rPr>
      </w:pPr>
      <w:r w:rsidRPr="00FB2D03">
        <w:rPr>
          <w:i/>
          <w:iCs/>
          <w:color w:val="000000" w:themeColor="text1"/>
          <w:lang w:val="en-AU"/>
        </w:rPr>
        <w:t xml:space="preserve"> the Dead Sea Scrolls and Other Ancient Literature</w:t>
      </w:r>
      <w:r w:rsidRPr="00FB2D03">
        <w:rPr>
          <w:color w:val="000000" w:themeColor="text1"/>
          <w:lang w:val="en-AU"/>
        </w:rPr>
        <w:t>.” </w:t>
      </w:r>
      <w:r w:rsidRPr="00FB2D03">
        <w:rPr>
          <w:i/>
          <w:iCs/>
          <w:color w:val="000000" w:themeColor="text1"/>
          <w:lang w:val="en-AU"/>
        </w:rPr>
        <w:t xml:space="preserve">Zeitschrift für </w:t>
      </w:r>
      <w:proofErr w:type="gramStart"/>
      <w:r w:rsidRPr="00FB2D03">
        <w:rPr>
          <w:i/>
          <w:iCs/>
          <w:color w:val="000000" w:themeColor="text1"/>
          <w:lang w:val="en-AU"/>
        </w:rPr>
        <w:t>Katholische  Theologie</w:t>
      </w:r>
      <w:proofErr w:type="gramEnd"/>
      <w:r w:rsidRPr="00FB2D03">
        <w:rPr>
          <w:color w:val="000000" w:themeColor="text1"/>
          <w:lang w:val="en-AU"/>
        </w:rPr>
        <w:t> 121 (1999)</w:t>
      </w:r>
      <w:r w:rsidR="00013BF9" w:rsidRPr="00FB2D03">
        <w:rPr>
          <w:color w:val="000000" w:themeColor="text1"/>
          <w:lang w:val="en-AU"/>
        </w:rPr>
        <w:t>:</w:t>
      </w:r>
      <w:r w:rsidRPr="00FB2D03">
        <w:rPr>
          <w:color w:val="000000" w:themeColor="text1"/>
          <w:lang w:val="en-AU"/>
        </w:rPr>
        <w:t xml:space="preserve"> 101–02.</w:t>
      </w:r>
    </w:p>
    <w:p w14:paraId="78DDBABC" w14:textId="77777777" w:rsidR="00412D77" w:rsidRPr="00FB2D03" w:rsidRDefault="00412D77" w:rsidP="01B55689">
      <w:pPr>
        <w:tabs>
          <w:tab w:val="left" w:pos="5616"/>
        </w:tabs>
        <w:ind w:left="720"/>
        <w:rPr>
          <w:color w:val="000000" w:themeColor="text1"/>
          <w:lang w:val="en-AU"/>
        </w:rPr>
      </w:pPr>
    </w:p>
    <w:p w14:paraId="5D9BD63F" w14:textId="77777777" w:rsidR="00416C83" w:rsidRPr="00FB2D03" w:rsidRDefault="00412D77" w:rsidP="00412D77">
      <w:pPr>
        <w:tabs>
          <w:tab w:val="left" w:pos="5616"/>
        </w:tabs>
        <w:rPr>
          <w:i/>
          <w:color w:val="000000" w:themeColor="text1"/>
          <w:lang w:val="en-AU"/>
        </w:rPr>
      </w:pPr>
      <w:r w:rsidRPr="00FB2D03">
        <w:rPr>
          <w:color w:val="000000" w:themeColor="text1"/>
          <w:lang w:val="en-AU"/>
        </w:rPr>
        <w:t>________. “Review: Michael O. Wise, Martin G. Abegg, and Edward M. Cook, </w:t>
      </w:r>
      <w:r w:rsidRPr="00FB2D03">
        <w:rPr>
          <w:i/>
          <w:color w:val="000000" w:themeColor="text1"/>
          <w:lang w:val="en-AU"/>
        </w:rPr>
        <w:t xml:space="preserve">Die </w:t>
      </w:r>
    </w:p>
    <w:p w14:paraId="6D51BC06" w14:textId="13918545" w:rsidR="00412D77" w:rsidRPr="00FB2D03" w:rsidRDefault="00412D77" w:rsidP="00AD1181">
      <w:pPr>
        <w:tabs>
          <w:tab w:val="left" w:pos="5616"/>
        </w:tabs>
        <w:ind w:left="720"/>
        <w:rPr>
          <w:color w:val="000000" w:themeColor="text1"/>
          <w:lang w:val="en-AU"/>
        </w:rPr>
      </w:pPr>
      <w:r w:rsidRPr="00FB2D03">
        <w:rPr>
          <w:i/>
          <w:color w:val="000000" w:themeColor="text1"/>
          <w:lang w:val="en-AU"/>
        </w:rPr>
        <w:t>Schriftrollen von Qumran</w:t>
      </w:r>
      <w:r w:rsidRPr="00FB2D03">
        <w:rPr>
          <w:color w:val="000000" w:themeColor="text1"/>
          <w:lang w:val="en-AU"/>
        </w:rPr>
        <w:t>.” </w:t>
      </w:r>
      <w:r w:rsidRPr="00FB2D03">
        <w:rPr>
          <w:i/>
          <w:color w:val="000000" w:themeColor="text1"/>
          <w:lang w:val="en-AU"/>
        </w:rPr>
        <w:t>Zeitschrift für Katholische Theologie</w:t>
      </w:r>
      <w:r w:rsidRPr="00FB2D03">
        <w:rPr>
          <w:color w:val="000000" w:themeColor="text1"/>
          <w:lang w:val="en-AU"/>
        </w:rPr>
        <w:t> 121 (1999)</w:t>
      </w:r>
      <w:r w:rsidR="001606AD" w:rsidRPr="00FB2D03">
        <w:rPr>
          <w:color w:val="000000" w:themeColor="text1"/>
          <w:lang w:val="en-AU"/>
        </w:rPr>
        <w:t>:</w:t>
      </w:r>
      <w:r w:rsidRPr="00FB2D03">
        <w:rPr>
          <w:color w:val="000000" w:themeColor="text1"/>
          <w:lang w:val="en-AU"/>
        </w:rPr>
        <w:t xml:space="preserve"> 102–03.</w:t>
      </w:r>
    </w:p>
    <w:p w14:paraId="73A72A96" w14:textId="77777777" w:rsidR="00412D77" w:rsidRPr="00FB2D03" w:rsidRDefault="00412D77" w:rsidP="00412D77">
      <w:pPr>
        <w:tabs>
          <w:tab w:val="left" w:pos="5616"/>
        </w:tabs>
        <w:rPr>
          <w:i/>
          <w:color w:val="000000" w:themeColor="text1"/>
          <w:lang w:val="en-AU"/>
        </w:rPr>
      </w:pPr>
    </w:p>
    <w:p w14:paraId="4AE18642" w14:textId="77777777" w:rsidR="00416C83" w:rsidRPr="00FB2D03" w:rsidRDefault="00412D77" w:rsidP="00412D77">
      <w:pPr>
        <w:tabs>
          <w:tab w:val="left" w:pos="5616"/>
        </w:tabs>
        <w:rPr>
          <w:i/>
          <w:color w:val="000000" w:themeColor="text1"/>
          <w:lang w:val="en-AU"/>
        </w:rPr>
      </w:pPr>
      <w:r w:rsidRPr="00FB2D03">
        <w:rPr>
          <w:color w:val="000000" w:themeColor="text1"/>
          <w:lang w:val="en-AU"/>
        </w:rPr>
        <w:t>________. “Review: Stanley E. Porter and Craig A. Evans., eds., </w:t>
      </w:r>
      <w:r w:rsidRPr="00FB2D03">
        <w:rPr>
          <w:i/>
          <w:color w:val="000000" w:themeColor="text1"/>
          <w:lang w:val="en-AU"/>
        </w:rPr>
        <w:t xml:space="preserve">The Scrolls and the </w:t>
      </w:r>
    </w:p>
    <w:p w14:paraId="6F19B8CC" w14:textId="42B7D777" w:rsidR="00412D77" w:rsidRPr="00FB2D03" w:rsidRDefault="00412D77" w:rsidP="00AD1181">
      <w:pPr>
        <w:tabs>
          <w:tab w:val="left" w:pos="5616"/>
        </w:tabs>
        <w:ind w:left="720"/>
        <w:rPr>
          <w:color w:val="000000" w:themeColor="text1"/>
          <w:lang w:val="en-AU"/>
        </w:rPr>
      </w:pPr>
      <w:r w:rsidRPr="00FB2D03">
        <w:rPr>
          <w:i/>
          <w:color w:val="000000" w:themeColor="text1"/>
          <w:lang w:val="en-AU"/>
        </w:rPr>
        <w:t>Scriptures: Qumran Fifty Years After</w:t>
      </w:r>
      <w:r w:rsidRPr="00FB2D03">
        <w:rPr>
          <w:color w:val="000000" w:themeColor="text1"/>
          <w:lang w:val="en-AU"/>
        </w:rPr>
        <w:t>.” </w:t>
      </w:r>
      <w:r w:rsidRPr="00FB2D03">
        <w:rPr>
          <w:i/>
          <w:color w:val="000000" w:themeColor="text1"/>
          <w:lang w:val="en-AU"/>
        </w:rPr>
        <w:t>Zeitschrift für Katholische Theologie</w:t>
      </w:r>
      <w:r w:rsidRPr="00FB2D03">
        <w:rPr>
          <w:color w:val="000000" w:themeColor="text1"/>
          <w:lang w:val="en-AU"/>
        </w:rPr>
        <w:t> 121 (1999)</w:t>
      </w:r>
      <w:r w:rsidR="00013BF9" w:rsidRPr="00FB2D03">
        <w:rPr>
          <w:color w:val="000000" w:themeColor="text1"/>
          <w:lang w:val="en-AU"/>
        </w:rPr>
        <w:t>:</w:t>
      </w:r>
      <w:r w:rsidRPr="00FB2D03">
        <w:rPr>
          <w:color w:val="000000" w:themeColor="text1"/>
          <w:lang w:val="en-AU"/>
        </w:rPr>
        <w:t xml:space="preserve"> 101.</w:t>
      </w:r>
    </w:p>
    <w:p w14:paraId="48D35123" w14:textId="77777777" w:rsidR="00412D77" w:rsidRPr="00FB2D03" w:rsidRDefault="00412D77" w:rsidP="00412D77">
      <w:pPr>
        <w:tabs>
          <w:tab w:val="left" w:pos="5616"/>
        </w:tabs>
        <w:rPr>
          <w:color w:val="000000" w:themeColor="text1"/>
          <w:lang w:val="en-AU"/>
        </w:rPr>
      </w:pPr>
    </w:p>
    <w:p w14:paraId="225195CA"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Ochs, Peter. “B’nei Ezra: An Introduction to Textual Reasoning” in </w:t>
      </w:r>
      <w:r w:rsidRPr="00FB2D03">
        <w:rPr>
          <w:i/>
          <w:color w:val="000000" w:themeColor="text1"/>
          <w:lang w:val="en-AU"/>
        </w:rPr>
        <w:t xml:space="preserve">Contemporary Jewish </w:t>
      </w:r>
    </w:p>
    <w:p w14:paraId="6DDC7C43" w14:textId="7D4A3148" w:rsidR="00412D77" w:rsidRPr="00FB2D03" w:rsidRDefault="00412D77" w:rsidP="00AD1181">
      <w:pPr>
        <w:tabs>
          <w:tab w:val="left" w:pos="5616"/>
        </w:tabs>
        <w:ind w:left="720"/>
        <w:rPr>
          <w:color w:val="000000" w:themeColor="text1"/>
          <w:lang w:val="en-AU"/>
        </w:rPr>
      </w:pPr>
      <w:r w:rsidRPr="00FB2D03">
        <w:rPr>
          <w:i/>
          <w:color w:val="000000" w:themeColor="text1"/>
          <w:lang w:val="en-AU"/>
        </w:rPr>
        <w:t>Theology</w:t>
      </w:r>
      <w:r w:rsidRPr="00FB2D03">
        <w:rPr>
          <w:color w:val="000000" w:themeColor="text1"/>
          <w:lang w:val="en-AU"/>
        </w:rPr>
        <w:t>. ed. E. Dorf and L. Newman New York: Oxford University Press, 1999, 502–11.</w:t>
      </w:r>
    </w:p>
    <w:p w14:paraId="3E97FA4B" w14:textId="77777777" w:rsidR="00412D77" w:rsidRPr="00FB2D03" w:rsidRDefault="00412D77" w:rsidP="00412D77">
      <w:pPr>
        <w:tabs>
          <w:tab w:val="left" w:pos="5616"/>
        </w:tabs>
        <w:rPr>
          <w:color w:val="000000" w:themeColor="text1"/>
          <w:lang w:val="en-AU"/>
        </w:rPr>
      </w:pPr>
    </w:p>
    <w:p w14:paraId="1A8CC99F"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O’Donnell, Douglas Sean. “The End of Ecclesiastes: An Introduction to an Enigmatic </w:t>
      </w:r>
    </w:p>
    <w:p w14:paraId="6769F512" w14:textId="0BC83458" w:rsidR="00412D77" w:rsidRPr="00FB2D03" w:rsidRDefault="00412D77" w:rsidP="00AD1181">
      <w:pPr>
        <w:tabs>
          <w:tab w:val="left" w:pos="5616"/>
        </w:tabs>
        <w:ind w:left="720"/>
        <w:rPr>
          <w:color w:val="000000" w:themeColor="text1"/>
          <w:lang w:val="en-AU"/>
        </w:rPr>
      </w:pPr>
      <w:r w:rsidRPr="00FB2D03">
        <w:rPr>
          <w:color w:val="000000" w:themeColor="text1"/>
          <w:lang w:val="en-AU"/>
        </w:rPr>
        <w:t>Book.” </w:t>
      </w:r>
      <w:r w:rsidRPr="00FB2D03">
        <w:rPr>
          <w:i/>
          <w:color w:val="000000" w:themeColor="text1"/>
          <w:lang w:val="en-AU"/>
        </w:rPr>
        <w:t>The Journal of the Evangelical Homiletics Society</w:t>
      </w:r>
      <w:r w:rsidRPr="00FB2D03">
        <w:rPr>
          <w:color w:val="000000" w:themeColor="text1"/>
          <w:lang w:val="en-AU"/>
        </w:rPr>
        <w:t> 21 (2021): 87–101.</w:t>
      </w:r>
    </w:p>
    <w:p w14:paraId="66EBADF8" w14:textId="77777777" w:rsidR="00412D77" w:rsidRPr="00FB2D03" w:rsidRDefault="00412D77" w:rsidP="00412D77">
      <w:pPr>
        <w:tabs>
          <w:tab w:val="left" w:pos="5616"/>
        </w:tabs>
        <w:rPr>
          <w:color w:val="000000" w:themeColor="text1"/>
          <w:lang w:val="en-AU"/>
        </w:rPr>
      </w:pPr>
    </w:p>
    <w:p w14:paraId="57E849BA"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Oegema, Gerbern S. </w:t>
      </w:r>
      <w:r w:rsidRPr="00FB2D03">
        <w:rPr>
          <w:i/>
          <w:color w:val="000000" w:themeColor="text1"/>
          <w:lang w:val="en-AU"/>
        </w:rPr>
        <w:t xml:space="preserve">The Anointed and His People: Messianic Expectations from the </w:t>
      </w:r>
    </w:p>
    <w:p w14:paraId="7A7DFBA6" w14:textId="21446520" w:rsidR="00412D77" w:rsidRPr="00FB2D03" w:rsidRDefault="00412D77" w:rsidP="00AD1181">
      <w:pPr>
        <w:tabs>
          <w:tab w:val="left" w:pos="5616"/>
        </w:tabs>
        <w:ind w:left="720"/>
        <w:rPr>
          <w:color w:val="000000" w:themeColor="text1"/>
          <w:lang w:val="en-AU"/>
        </w:rPr>
      </w:pPr>
      <w:r w:rsidRPr="00FB2D03">
        <w:rPr>
          <w:i/>
          <w:color w:val="000000" w:themeColor="text1"/>
          <w:lang w:val="en-AU"/>
        </w:rPr>
        <w:t>Maccabees to Bar Kochba,</w:t>
      </w:r>
      <w:r w:rsidRPr="00FB2D03">
        <w:rPr>
          <w:color w:val="000000" w:themeColor="text1"/>
          <w:lang w:val="en-AU"/>
        </w:rPr>
        <w:t xml:space="preserve"> JSP Supplement Series 27. Sheffield: Sheffield Academic, 1998: 21–38.</w:t>
      </w:r>
    </w:p>
    <w:p w14:paraId="4E2C1979" w14:textId="77777777" w:rsidR="00412D77" w:rsidRPr="00FB2D03" w:rsidRDefault="00412D77" w:rsidP="00412D77">
      <w:pPr>
        <w:tabs>
          <w:tab w:val="left" w:pos="5616"/>
        </w:tabs>
        <w:rPr>
          <w:color w:val="000000" w:themeColor="text1"/>
          <w:lang w:val="en-AU"/>
        </w:rPr>
      </w:pPr>
    </w:p>
    <w:p w14:paraId="15B084F8"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O’Leary, Joseph S. “N. T. Wright: Interpreting the Interpreter Collected Essays of N. T. </w:t>
      </w:r>
    </w:p>
    <w:p w14:paraId="0CDA0EB4" w14:textId="60F0EC92" w:rsidR="00412D77" w:rsidRPr="00FB2D03" w:rsidRDefault="00412D77" w:rsidP="00AD1181">
      <w:pPr>
        <w:tabs>
          <w:tab w:val="left" w:pos="5616"/>
        </w:tabs>
        <w:ind w:left="720"/>
        <w:rPr>
          <w:color w:val="000000" w:themeColor="text1"/>
          <w:lang w:val="en-AU"/>
        </w:rPr>
      </w:pPr>
      <w:r w:rsidRPr="00FB2D03">
        <w:rPr>
          <w:color w:val="000000" w:themeColor="text1"/>
          <w:lang w:val="en-AU"/>
        </w:rPr>
        <w:t>WrightInterpreting Scripture: Essays on the Bible and HermeneuticsInterpreting Jesus: Essays on the GospelsInterpreting Paul: Essays on the Apostle and His Letters.” </w:t>
      </w:r>
      <w:r w:rsidRPr="00FB2D03">
        <w:rPr>
          <w:i/>
          <w:color w:val="000000" w:themeColor="text1"/>
          <w:lang w:val="en-AU"/>
        </w:rPr>
        <w:t>Reviews in Religion &amp; Theology</w:t>
      </w:r>
      <w:r w:rsidRPr="00FB2D03">
        <w:rPr>
          <w:color w:val="000000" w:themeColor="text1"/>
          <w:lang w:val="en-AU"/>
        </w:rPr>
        <w:t> 28 (2021): 122–30. </w:t>
      </w:r>
    </w:p>
    <w:p w14:paraId="2472B768" w14:textId="77777777" w:rsidR="00412D77" w:rsidRPr="00FB2D03" w:rsidRDefault="00412D77" w:rsidP="00412D77">
      <w:pPr>
        <w:tabs>
          <w:tab w:val="left" w:pos="5616"/>
        </w:tabs>
        <w:rPr>
          <w:color w:val="000000" w:themeColor="text1"/>
          <w:lang w:val="en-AU"/>
        </w:rPr>
      </w:pPr>
    </w:p>
    <w:p w14:paraId="4D924D3B"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Olofsson, Staffan. “Consistency as a Translation Technique.” In </w:t>
      </w:r>
      <w:r w:rsidRPr="00FB2D03">
        <w:rPr>
          <w:i/>
          <w:color w:val="000000" w:themeColor="text1"/>
          <w:lang w:val="en-AU"/>
        </w:rPr>
        <w:t xml:space="preserve">Translation Technique and </w:t>
      </w:r>
    </w:p>
    <w:p w14:paraId="5FF2C41B" w14:textId="2F864859" w:rsidR="00412D77" w:rsidRPr="00FB2D03" w:rsidRDefault="00412D77" w:rsidP="00AD1181">
      <w:pPr>
        <w:tabs>
          <w:tab w:val="left" w:pos="5616"/>
        </w:tabs>
        <w:ind w:left="720"/>
        <w:rPr>
          <w:color w:val="000000" w:themeColor="text1"/>
          <w:lang w:val="en-AU"/>
        </w:rPr>
      </w:pPr>
      <w:r w:rsidRPr="00FB2D03">
        <w:rPr>
          <w:i/>
          <w:color w:val="000000" w:themeColor="text1"/>
          <w:lang w:val="en-AU"/>
        </w:rPr>
        <w:t>Theological Exegesis: Collected Essays on the Septuagint Version</w:t>
      </w:r>
      <w:r w:rsidRPr="00FB2D03">
        <w:rPr>
          <w:color w:val="000000" w:themeColor="text1"/>
          <w:lang w:val="en-AU"/>
        </w:rPr>
        <w:t>. Winona Lake: Eisenbrauns, 2009.</w:t>
      </w:r>
    </w:p>
    <w:p w14:paraId="7F5A29E7" w14:textId="77777777" w:rsidR="00412D77" w:rsidRPr="00FB2D03" w:rsidRDefault="00412D77" w:rsidP="00412D77">
      <w:pPr>
        <w:tabs>
          <w:tab w:val="left" w:pos="5616"/>
        </w:tabs>
        <w:rPr>
          <w:color w:val="000000" w:themeColor="text1"/>
          <w:lang w:val="en-AU"/>
        </w:rPr>
      </w:pPr>
    </w:p>
    <w:p w14:paraId="64370328" w14:textId="77777777" w:rsidR="00416C83" w:rsidRPr="00FB2D03" w:rsidRDefault="00412D77" w:rsidP="00412D77">
      <w:pPr>
        <w:tabs>
          <w:tab w:val="left" w:pos="5616"/>
        </w:tabs>
        <w:rPr>
          <w:i/>
          <w:color w:val="000000" w:themeColor="text1"/>
          <w:lang w:val="en-AU"/>
        </w:rPr>
      </w:pPr>
      <w:r w:rsidRPr="00FB2D03">
        <w:rPr>
          <w:color w:val="000000" w:themeColor="text1"/>
          <w:lang w:val="en-AU"/>
        </w:rPr>
        <w:t>Oppenheimer, Aharon. </w:t>
      </w:r>
      <w:r w:rsidRPr="00FB2D03">
        <w:rPr>
          <w:i/>
          <w:color w:val="000000" w:themeColor="text1"/>
          <w:lang w:val="en-AU"/>
        </w:rPr>
        <w:t xml:space="preserve">Rabbi Judah Ha-Nasi: Statesman, Reformer, and Redactor of the </w:t>
      </w:r>
    </w:p>
    <w:p w14:paraId="41068AEA" w14:textId="305FBF34" w:rsidR="00412D77" w:rsidRPr="00FB2D03" w:rsidRDefault="00412D77" w:rsidP="00AD1181">
      <w:pPr>
        <w:tabs>
          <w:tab w:val="left" w:pos="5616"/>
        </w:tabs>
        <w:ind w:left="720"/>
        <w:rPr>
          <w:color w:val="000000" w:themeColor="text1"/>
          <w:lang w:val="en-AU"/>
        </w:rPr>
      </w:pPr>
      <w:r w:rsidRPr="00FB2D03">
        <w:rPr>
          <w:i/>
          <w:color w:val="000000" w:themeColor="text1"/>
          <w:lang w:val="en-AU"/>
        </w:rPr>
        <w:t>Mishnah</w:t>
      </w:r>
      <w:r w:rsidRPr="00FB2D03">
        <w:rPr>
          <w:color w:val="000000" w:themeColor="text1"/>
          <w:lang w:val="en-AU"/>
        </w:rPr>
        <w:t>. Tübingen: Mohr Siebeck, 2017.</w:t>
      </w:r>
    </w:p>
    <w:p w14:paraId="330C008F" w14:textId="77777777" w:rsidR="00412D77" w:rsidRPr="00FB2D03" w:rsidRDefault="00412D77" w:rsidP="00412D77">
      <w:pPr>
        <w:tabs>
          <w:tab w:val="left" w:pos="5616"/>
        </w:tabs>
        <w:rPr>
          <w:color w:val="000000" w:themeColor="text1"/>
          <w:lang w:val="en-AU"/>
        </w:rPr>
      </w:pPr>
    </w:p>
    <w:p w14:paraId="6E7E47B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Origen, </w:t>
      </w:r>
      <w:r w:rsidRPr="00FB2D03">
        <w:rPr>
          <w:i/>
          <w:color w:val="000000" w:themeColor="text1"/>
          <w:lang w:val="en-AU"/>
        </w:rPr>
        <w:t>Contra Celsum 8.68</w:t>
      </w:r>
      <w:r w:rsidRPr="00FB2D03">
        <w:rPr>
          <w:color w:val="000000" w:themeColor="text1"/>
          <w:lang w:val="en-AU"/>
        </w:rPr>
        <w:t xml:space="preserve">. London: Cambridge,1965. </w:t>
      </w:r>
    </w:p>
    <w:p w14:paraId="7D92022E" w14:textId="77777777" w:rsidR="00412D77" w:rsidRPr="00FB2D03" w:rsidRDefault="00412D77" w:rsidP="00412D77">
      <w:pPr>
        <w:tabs>
          <w:tab w:val="left" w:pos="5616"/>
        </w:tabs>
        <w:rPr>
          <w:color w:val="000000" w:themeColor="text1"/>
          <w:lang w:val="en-AU"/>
        </w:rPr>
      </w:pPr>
    </w:p>
    <w:p w14:paraId="3CD6183A" w14:textId="77777777" w:rsidR="00416C83" w:rsidRPr="00FB2D03" w:rsidRDefault="00412D77" w:rsidP="00412D77">
      <w:pPr>
        <w:tabs>
          <w:tab w:val="left" w:pos="5616"/>
        </w:tabs>
        <w:rPr>
          <w:i/>
          <w:color w:val="000000" w:themeColor="text1"/>
          <w:lang w:val="en-AU"/>
        </w:rPr>
      </w:pPr>
      <w:r w:rsidRPr="00FB2D03">
        <w:rPr>
          <w:color w:val="000000" w:themeColor="text1"/>
          <w:lang w:val="en-AU"/>
        </w:rPr>
        <w:t>Ortlund, G.</w:t>
      </w:r>
      <w:r w:rsidRPr="00FB2D03">
        <w:rPr>
          <w:i/>
          <w:color w:val="000000" w:themeColor="text1"/>
          <w:lang w:val="en-AU"/>
        </w:rPr>
        <w:t xml:space="preserve"> </w:t>
      </w:r>
      <w:r w:rsidRPr="00FB2D03">
        <w:rPr>
          <w:color w:val="000000" w:themeColor="text1"/>
          <w:lang w:val="en-AU"/>
        </w:rPr>
        <w:t xml:space="preserve">“Resurrected as Messiah: The Risen Christ as Prophet, Priest, and King. </w:t>
      </w:r>
      <w:r w:rsidRPr="00FB2D03">
        <w:rPr>
          <w:i/>
          <w:color w:val="000000" w:themeColor="text1"/>
          <w:lang w:val="en-AU"/>
        </w:rPr>
        <w:t xml:space="preserve">Journal </w:t>
      </w:r>
    </w:p>
    <w:p w14:paraId="656AA2A8" w14:textId="166BB39C" w:rsidR="00412D77" w:rsidRPr="00FB2D03" w:rsidRDefault="00412D77" w:rsidP="00AD1181">
      <w:pPr>
        <w:tabs>
          <w:tab w:val="left" w:pos="5616"/>
        </w:tabs>
        <w:ind w:left="720"/>
        <w:rPr>
          <w:color w:val="000000" w:themeColor="text1"/>
          <w:lang w:val="en-AU"/>
        </w:rPr>
      </w:pPr>
      <w:r w:rsidRPr="00FB2D03">
        <w:rPr>
          <w:i/>
          <w:color w:val="000000" w:themeColor="text1"/>
          <w:lang w:val="en-AU"/>
        </w:rPr>
        <w:lastRenderedPageBreak/>
        <w:t>of the Evangelical Theological Society </w:t>
      </w:r>
      <w:r w:rsidRPr="00FB2D03">
        <w:rPr>
          <w:color w:val="000000" w:themeColor="text1"/>
          <w:lang w:val="en-AU"/>
        </w:rPr>
        <w:t>54 (2011): 749–66.</w:t>
      </w:r>
    </w:p>
    <w:p w14:paraId="46EF024A" w14:textId="77777777" w:rsidR="00412D77" w:rsidRPr="00FB2D03" w:rsidRDefault="00412D77" w:rsidP="00412D77">
      <w:pPr>
        <w:tabs>
          <w:tab w:val="left" w:pos="5616"/>
        </w:tabs>
        <w:rPr>
          <w:color w:val="000000" w:themeColor="text1"/>
          <w:lang w:val="en-AU"/>
        </w:rPr>
      </w:pPr>
    </w:p>
    <w:p w14:paraId="69B8609D"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Oslyn–Siemiatkoski, John. “Moses Received the Torah at Sinai and Handed it On. Mishna </w:t>
      </w:r>
    </w:p>
    <w:p w14:paraId="5A37A301" w14:textId="143FAC0E"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Avot 1:1: The Relevance of the Written and Oral Torah for Christians.” </w:t>
      </w:r>
      <w:r w:rsidRPr="00FB2D03">
        <w:rPr>
          <w:i/>
          <w:color w:val="000000" w:themeColor="text1"/>
          <w:lang w:val="en-AU"/>
        </w:rPr>
        <w:t>Anglican Theological Review</w:t>
      </w:r>
      <w:r w:rsidRPr="00FB2D03">
        <w:rPr>
          <w:color w:val="000000" w:themeColor="text1"/>
          <w:lang w:val="en-AU"/>
        </w:rPr>
        <w:t xml:space="preserve"> 91 (2009): 443–466.</w:t>
      </w:r>
    </w:p>
    <w:p w14:paraId="23753A34" w14:textId="77777777" w:rsidR="00412D77" w:rsidRPr="00FB2D03" w:rsidRDefault="00412D77" w:rsidP="00412D77">
      <w:pPr>
        <w:tabs>
          <w:tab w:val="left" w:pos="5616"/>
        </w:tabs>
        <w:rPr>
          <w:color w:val="000000" w:themeColor="text1"/>
          <w:lang w:val="en-AU"/>
        </w:rPr>
      </w:pPr>
    </w:p>
    <w:p w14:paraId="200E2E4A"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Ottenheijm, Eric “Meet the Rabbis: Rabbinic Thought and the Teachings of Jesus Brad H. </w:t>
      </w:r>
    </w:p>
    <w:p w14:paraId="63469263" w14:textId="605B0CFD" w:rsidR="00412D77" w:rsidRPr="00FB2D03" w:rsidRDefault="00412D77" w:rsidP="00AD1181">
      <w:pPr>
        <w:tabs>
          <w:tab w:val="left" w:pos="5616"/>
        </w:tabs>
        <w:ind w:left="720"/>
        <w:rPr>
          <w:color w:val="000000" w:themeColor="text1"/>
          <w:lang w:val="en-AU"/>
        </w:rPr>
      </w:pPr>
      <w:r w:rsidRPr="00FB2D03">
        <w:rPr>
          <w:color w:val="000000" w:themeColor="text1"/>
          <w:lang w:val="en-AU"/>
        </w:rPr>
        <w:t>Young.” </w:t>
      </w:r>
      <w:r w:rsidRPr="00FB2D03">
        <w:rPr>
          <w:i/>
          <w:color w:val="000000" w:themeColor="text1"/>
          <w:lang w:val="en-AU"/>
        </w:rPr>
        <w:t>Journal for the Study of Judaism in the Persian, Hellenistic, and Roman Period</w:t>
      </w:r>
      <w:r w:rsidRPr="00FB2D03">
        <w:rPr>
          <w:color w:val="000000" w:themeColor="text1"/>
          <w:lang w:val="en-AU"/>
        </w:rPr>
        <w:t xml:space="preserve"> 41 (2010): 147–48. </w:t>
      </w:r>
    </w:p>
    <w:p w14:paraId="256AD455" w14:textId="77777777" w:rsidR="00412D77" w:rsidRPr="00FB2D03" w:rsidRDefault="00412D77" w:rsidP="00412D77">
      <w:pPr>
        <w:tabs>
          <w:tab w:val="left" w:pos="5616"/>
        </w:tabs>
        <w:rPr>
          <w:color w:val="000000" w:themeColor="text1"/>
          <w:lang w:val="en-AU"/>
        </w:rPr>
      </w:pPr>
    </w:p>
    <w:p w14:paraId="769EA023" w14:textId="77777777" w:rsidR="00416C83" w:rsidRPr="00FB2D03" w:rsidRDefault="00412D77" w:rsidP="00412D77">
      <w:pPr>
        <w:tabs>
          <w:tab w:val="left" w:pos="5616"/>
        </w:tabs>
        <w:rPr>
          <w:color w:val="000000" w:themeColor="text1"/>
          <w:lang w:val="en-AU"/>
        </w:rPr>
      </w:pPr>
      <w:r w:rsidRPr="00FB2D03">
        <w:rPr>
          <w:color w:val="000000" w:themeColor="text1"/>
          <w:lang w:val="en-AU"/>
        </w:rPr>
        <w:t>Overman, J. Andrew. </w:t>
      </w:r>
      <w:r w:rsidRPr="00FB2D03">
        <w:rPr>
          <w:i/>
          <w:color w:val="000000" w:themeColor="text1"/>
          <w:lang w:val="en-AU"/>
        </w:rPr>
        <w:t>Church and Community in Crisis</w:t>
      </w:r>
      <w:r w:rsidRPr="00FB2D03">
        <w:rPr>
          <w:color w:val="000000" w:themeColor="text1"/>
          <w:lang w:val="en-AU"/>
        </w:rPr>
        <w:t xml:space="preserve">. Valley Forge: Trinity Press </w:t>
      </w:r>
    </w:p>
    <w:p w14:paraId="0E6077BB" w14:textId="4562B3F5" w:rsidR="00412D77" w:rsidRPr="00FB2D03" w:rsidRDefault="00412D77" w:rsidP="00AD1181">
      <w:pPr>
        <w:tabs>
          <w:tab w:val="left" w:pos="5616"/>
        </w:tabs>
        <w:ind w:left="720"/>
        <w:rPr>
          <w:color w:val="000000" w:themeColor="text1"/>
          <w:lang w:val="en-AU"/>
        </w:rPr>
      </w:pPr>
      <w:r w:rsidRPr="00FB2D03">
        <w:rPr>
          <w:color w:val="000000" w:themeColor="text1"/>
          <w:lang w:val="en-AU"/>
        </w:rPr>
        <w:t>International, 1996.</w:t>
      </w:r>
    </w:p>
    <w:p w14:paraId="25DDF2EA" w14:textId="77777777" w:rsidR="00412D77" w:rsidRPr="00FB2D03" w:rsidRDefault="00412D77" w:rsidP="00412D77">
      <w:pPr>
        <w:tabs>
          <w:tab w:val="left" w:pos="5616"/>
        </w:tabs>
        <w:rPr>
          <w:color w:val="000000" w:themeColor="text1"/>
          <w:lang w:val="en-AU"/>
        </w:rPr>
      </w:pPr>
    </w:p>
    <w:p w14:paraId="5E91EE4F"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_______. </w:t>
      </w:r>
      <w:r w:rsidRPr="00FB2D03">
        <w:rPr>
          <w:i/>
          <w:color w:val="000000" w:themeColor="text1"/>
          <w:lang w:val="en-AU"/>
        </w:rPr>
        <w:t xml:space="preserve">Matthew’s Gospel and Formative Judaism: The Social World of the Matthean </w:t>
      </w:r>
    </w:p>
    <w:p w14:paraId="4EBCB467" w14:textId="1C1B4E27" w:rsidR="00412D77" w:rsidRPr="00FB2D03" w:rsidRDefault="00412D77" w:rsidP="00AD1181">
      <w:pPr>
        <w:tabs>
          <w:tab w:val="left" w:pos="5616"/>
        </w:tabs>
        <w:ind w:left="720"/>
        <w:rPr>
          <w:color w:val="000000" w:themeColor="text1"/>
          <w:lang w:val="en-AU"/>
        </w:rPr>
      </w:pPr>
      <w:r w:rsidRPr="00FB2D03">
        <w:rPr>
          <w:i/>
          <w:color w:val="000000" w:themeColor="text1"/>
          <w:lang w:val="en-AU"/>
        </w:rPr>
        <w:t>Community</w:t>
      </w:r>
      <w:r w:rsidRPr="00FB2D03">
        <w:rPr>
          <w:color w:val="000000" w:themeColor="text1"/>
          <w:lang w:val="en-AU"/>
        </w:rPr>
        <w:t>. Minneapolis: Fortress, 1990.</w:t>
      </w:r>
    </w:p>
    <w:p w14:paraId="3861B281" w14:textId="77777777" w:rsidR="00412D77" w:rsidRPr="00FB2D03" w:rsidRDefault="00412D77" w:rsidP="00412D77">
      <w:pPr>
        <w:tabs>
          <w:tab w:val="left" w:pos="5616"/>
        </w:tabs>
        <w:rPr>
          <w:color w:val="000000" w:themeColor="text1"/>
          <w:lang w:val="en-AU"/>
        </w:rPr>
      </w:pPr>
    </w:p>
    <w:p w14:paraId="06256B88"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Owen, John. </w:t>
      </w:r>
      <w:r w:rsidRPr="00FB2D03">
        <w:rPr>
          <w:i/>
          <w:color w:val="000000" w:themeColor="text1"/>
          <w:lang w:val="en-AU"/>
        </w:rPr>
        <w:t>A Dissertation on Divine Justice, The Works of John Owen</w:t>
      </w:r>
      <w:r w:rsidRPr="00FB2D03">
        <w:rPr>
          <w:color w:val="000000" w:themeColor="text1"/>
          <w:lang w:val="en-AU"/>
        </w:rPr>
        <w:t xml:space="preserve">. London: Banner of </w:t>
      </w:r>
    </w:p>
    <w:p w14:paraId="1709C599" w14:textId="0F3F301C"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Truth Trust, 1965. </w:t>
      </w:r>
    </w:p>
    <w:p w14:paraId="6CEE440A" w14:textId="77777777" w:rsidR="00412D77" w:rsidRPr="00FB2D03" w:rsidRDefault="00412D77" w:rsidP="00412D77">
      <w:pPr>
        <w:tabs>
          <w:tab w:val="left" w:pos="5616"/>
        </w:tabs>
        <w:rPr>
          <w:color w:val="000000" w:themeColor="text1"/>
          <w:lang w:val="en-AU"/>
        </w:rPr>
      </w:pPr>
    </w:p>
    <w:p w14:paraId="0AC9367D"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Oyemomi, Emmanuel O. “Biblical and Theological Response to Global Violence: An </w:t>
      </w:r>
    </w:p>
    <w:p w14:paraId="0BB51C16" w14:textId="56D02932" w:rsidR="00412D77" w:rsidRPr="00FB2D03" w:rsidRDefault="00412D77" w:rsidP="00AD1181">
      <w:pPr>
        <w:tabs>
          <w:tab w:val="left" w:pos="5616"/>
        </w:tabs>
        <w:ind w:left="720"/>
        <w:rPr>
          <w:color w:val="000000" w:themeColor="text1"/>
          <w:lang w:val="en-AU"/>
        </w:rPr>
      </w:pPr>
      <w:r w:rsidRPr="00FB2D03">
        <w:rPr>
          <w:color w:val="000000" w:themeColor="text1"/>
          <w:lang w:val="en-AU"/>
        </w:rPr>
        <w:t>Exegetical Analysis of Matthew 5:43-48.” </w:t>
      </w:r>
      <w:r w:rsidRPr="00FB2D03">
        <w:rPr>
          <w:i/>
          <w:color w:val="000000" w:themeColor="text1"/>
          <w:lang w:val="en-AU"/>
        </w:rPr>
        <w:t>Baptist Theological Seminary Kaduna Insight</w:t>
      </w:r>
      <w:r w:rsidRPr="00FB2D03">
        <w:rPr>
          <w:color w:val="000000" w:themeColor="text1"/>
          <w:lang w:val="en-AU"/>
        </w:rPr>
        <w:t> 15 (2018): 175–91.</w:t>
      </w:r>
    </w:p>
    <w:p w14:paraId="3E033390" w14:textId="77777777" w:rsidR="00412D77" w:rsidRPr="00FB2D03" w:rsidRDefault="00412D77" w:rsidP="00412D77">
      <w:pPr>
        <w:tabs>
          <w:tab w:val="left" w:pos="5616"/>
        </w:tabs>
        <w:rPr>
          <w:color w:val="000000" w:themeColor="text1"/>
          <w:lang w:val="en-AU"/>
        </w:rPr>
      </w:pPr>
    </w:p>
    <w:p w14:paraId="151325A1"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Paley, Justin. “Reading 3 John Within a Jewish Framework: An Overdue Reconsideration of </w:t>
      </w:r>
    </w:p>
    <w:p w14:paraId="1BDDDE4D" w14:textId="029D2FC5" w:rsidR="00412D77" w:rsidRPr="00FB2D03" w:rsidRDefault="00412D77" w:rsidP="00AD1181">
      <w:pPr>
        <w:tabs>
          <w:tab w:val="left" w:pos="5616"/>
        </w:tabs>
        <w:ind w:left="720"/>
        <w:rPr>
          <w:color w:val="000000" w:themeColor="text1"/>
          <w:lang w:val="en-AU"/>
        </w:rPr>
      </w:pPr>
      <w:r w:rsidRPr="00FB2D03">
        <w:rPr>
          <w:color w:val="000000" w:themeColor="text1"/>
          <w:lang w:val="en-AU"/>
        </w:rPr>
        <w:t>the Text.” </w:t>
      </w:r>
      <w:r w:rsidRPr="00FB2D03">
        <w:rPr>
          <w:i/>
          <w:color w:val="000000" w:themeColor="text1"/>
          <w:lang w:val="en-AU"/>
        </w:rPr>
        <w:t>Expository Times</w:t>
      </w:r>
      <w:r w:rsidRPr="00FB2D03">
        <w:rPr>
          <w:color w:val="000000" w:themeColor="text1"/>
          <w:lang w:val="en-AU"/>
        </w:rPr>
        <w:t> 132 (2021): 421–25. </w:t>
      </w:r>
    </w:p>
    <w:p w14:paraId="29A5F249" w14:textId="77777777" w:rsidR="00412D77" w:rsidRPr="00FB2D03" w:rsidRDefault="00412D77" w:rsidP="00412D77">
      <w:pPr>
        <w:tabs>
          <w:tab w:val="left" w:pos="5616"/>
        </w:tabs>
        <w:rPr>
          <w:color w:val="000000" w:themeColor="text1"/>
          <w:lang w:val="en-AU"/>
        </w:rPr>
      </w:pPr>
    </w:p>
    <w:p w14:paraId="2843155B" w14:textId="77777777" w:rsidR="00416C83" w:rsidRPr="00FB2D03" w:rsidRDefault="00412D77" w:rsidP="00412D77">
      <w:pPr>
        <w:tabs>
          <w:tab w:val="left" w:pos="5616"/>
        </w:tabs>
        <w:rPr>
          <w:color w:val="000000" w:themeColor="text1"/>
          <w:lang w:val="en-AU"/>
        </w:rPr>
      </w:pPr>
      <w:r w:rsidRPr="00FB2D03">
        <w:rPr>
          <w:color w:val="000000" w:themeColor="text1"/>
          <w:lang w:val="en-AU"/>
        </w:rPr>
        <w:t>Pardee</w:t>
      </w:r>
      <w:r w:rsidRPr="00FB2D03">
        <w:rPr>
          <w:i/>
          <w:color w:val="000000" w:themeColor="text1"/>
          <w:lang w:val="en-AU"/>
        </w:rPr>
        <w:t xml:space="preserve">, </w:t>
      </w:r>
      <w:r w:rsidRPr="00FB2D03">
        <w:rPr>
          <w:color w:val="000000" w:themeColor="text1"/>
          <w:lang w:val="en-AU"/>
        </w:rPr>
        <w:t>Dennis.</w:t>
      </w:r>
      <w:r w:rsidRPr="00FB2D03">
        <w:rPr>
          <w:i/>
          <w:color w:val="000000" w:themeColor="text1"/>
          <w:lang w:val="en-AU"/>
        </w:rPr>
        <w:t xml:space="preserve"> Ritual and Cult at Ugarit, Writings </w:t>
      </w:r>
      <w:proofErr w:type="gramStart"/>
      <w:r w:rsidRPr="00FB2D03">
        <w:rPr>
          <w:i/>
          <w:color w:val="000000" w:themeColor="text1"/>
          <w:lang w:val="en-AU"/>
        </w:rPr>
        <w:t>From</w:t>
      </w:r>
      <w:proofErr w:type="gramEnd"/>
      <w:r w:rsidRPr="00FB2D03">
        <w:rPr>
          <w:i/>
          <w:color w:val="000000" w:themeColor="text1"/>
          <w:lang w:val="en-AU"/>
        </w:rPr>
        <w:t xml:space="preserve"> The Ancient World 10. </w:t>
      </w:r>
      <w:r w:rsidRPr="00FB2D03">
        <w:rPr>
          <w:color w:val="000000" w:themeColor="text1"/>
          <w:lang w:val="en-AU"/>
        </w:rPr>
        <w:t xml:space="preserve">Atlanta: </w:t>
      </w:r>
    </w:p>
    <w:p w14:paraId="5E4CAAD7" w14:textId="2D97812B" w:rsidR="00412D77" w:rsidRPr="00FB2D03" w:rsidRDefault="00412D77" w:rsidP="00AD1181">
      <w:pPr>
        <w:tabs>
          <w:tab w:val="left" w:pos="5616"/>
        </w:tabs>
        <w:ind w:left="720"/>
        <w:rPr>
          <w:color w:val="000000" w:themeColor="text1"/>
          <w:lang w:val="en-AU"/>
        </w:rPr>
      </w:pPr>
      <w:r w:rsidRPr="00FB2D03">
        <w:rPr>
          <w:color w:val="000000" w:themeColor="text1"/>
          <w:lang w:val="en-AU"/>
        </w:rPr>
        <w:t>Society of Biblical Literature, 2002.</w:t>
      </w:r>
    </w:p>
    <w:p w14:paraId="3E42EF85"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 </w:t>
      </w:r>
    </w:p>
    <w:p w14:paraId="6AD72CEA"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Parkes, James W. </w:t>
      </w:r>
      <w:r w:rsidRPr="00FB2D03">
        <w:rPr>
          <w:i/>
          <w:color w:val="000000" w:themeColor="text1"/>
          <w:lang w:val="en-AU"/>
        </w:rPr>
        <w:t xml:space="preserve">The Conflict of the Church and Synagogue: A Study of the Origins of </w:t>
      </w:r>
    </w:p>
    <w:p w14:paraId="28EB8CFF" w14:textId="5A2F7CE4" w:rsidR="00412D77" w:rsidRPr="00FB2D03" w:rsidRDefault="00412D77" w:rsidP="00AD1181">
      <w:pPr>
        <w:tabs>
          <w:tab w:val="left" w:pos="5616"/>
        </w:tabs>
        <w:ind w:left="720"/>
        <w:rPr>
          <w:color w:val="000000" w:themeColor="text1"/>
          <w:lang w:val="en-AU"/>
        </w:rPr>
      </w:pPr>
      <w:r w:rsidRPr="00FB2D03">
        <w:rPr>
          <w:i/>
          <w:color w:val="000000" w:themeColor="text1"/>
          <w:lang w:val="en-AU"/>
        </w:rPr>
        <w:t>Antisemitism</w:t>
      </w:r>
      <w:r w:rsidRPr="00FB2D03">
        <w:rPr>
          <w:color w:val="000000" w:themeColor="text1"/>
          <w:lang w:val="en-AU"/>
        </w:rPr>
        <w:t>. New York: Hermon, 1974.</w:t>
      </w:r>
    </w:p>
    <w:p w14:paraId="6F8CD7A5" w14:textId="77777777" w:rsidR="00412D77" w:rsidRPr="00FB2D03" w:rsidRDefault="00412D77" w:rsidP="00412D77">
      <w:pPr>
        <w:tabs>
          <w:tab w:val="left" w:pos="5616"/>
        </w:tabs>
        <w:rPr>
          <w:color w:val="000000" w:themeColor="text1"/>
          <w:lang w:val="en-AU"/>
        </w:rPr>
      </w:pPr>
    </w:p>
    <w:p w14:paraId="0939B9F3"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Parker, H. M. D. </w:t>
      </w:r>
      <w:r w:rsidRPr="00FB2D03">
        <w:rPr>
          <w:i/>
          <w:color w:val="000000" w:themeColor="text1"/>
          <w:lang w:val="en-AU"/>
        </w:rPr>
        <w:t>The Roman Legions</w:t>
      </w:r>
      <w:r w:rsidRPr="00FB2D03">
        <w:rPr>
          <w:color w:val="000000" w:themeColor="text1"/>
          <w:lang w:val="en-AU"/>
        </w:rPr>
        <w:t>. Cambridge: Heffer, 1958.</w:t>
      </w:r>
    </w:p>
    <w:p w14:paraId="069F4D10" w14:textId="77777777" w:rsidR="00412D77" w:rsidRPr="00FB2D03" w:rsidRDefault="00412D77" w:rsidP="00412D77">
      <w:pPr>
        <w:tabs>
          <w:tab w:val="left" w:pos="5616"/>
        </w:tabs>
        <w:rPr>
          <w:color w:val="000000" w:themeColor="text1"/>
          <w:lang w:val="en-AU"/>
        </w:rPr>
      </w:pPr>
    </w:p>
    <w:p w14:paraId="285C119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Partridge, Robert B. </w:t>
      </w:r>
      <w:r w:rsidRPr="00FB2D03">
        <w:rPr>
          <w:i/>
          <w:color w:val="000000" w:themeColor="text1"/>
          <w:lang w:val="en-AU"/>
        </w:rPr>
        <w:t>Fighting Pharaohs</w:t>
      </w:r>
      <w:r w:rsidRPr="00FB2D03">
        <w:rPr>
          <w:color w:val="000000" w:themeColor="text1"/>
          <w:lang w:val="en-AU"/>
        </w:rPr>
        <w:t>. Manchester: Peartree, 2002.</w:t>
      </w:r>
    </w:p>
    <w:p w14:paraId="6F1C93B7" w14:textId="77777777" w:rsidR="00412D77" w:rsidRPr="00FB2D03" w:rsidRDefault="00412D77" w:rsidP="00412D77">
      <w:pPr>
        <w:tabs>
          <w:tab w:val="left" w:pos="5616"/>
        </w:tabs>
        <w:rPr>
          <w:color w:val="000000" w:themeColor="text1"/>
          <w:lang w:val="en-AU"/>
        </w:rPr>
      </w:pPr>
    </w:p>
    <w:p w14:paraId="405EAE5E"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Parry, Donald W., David V. Arnold, David G. Long, and Scott R. Woodward. “New </w:t>
      </w:r>
    </w:p>
    <w:p w14:paraId="365BD1F6" w14:textId="01AC0C40"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Technological Advances: DNA, Databases, Imaging Radar.” In </w:t>
      </w:r>
      <w:r w:rsidRPr="00FB2D03">
        <w:rPr>
          <w:i/>
          <w:color w:val="000000" w:themeColor="text1"/>
          <w:lang w:val="en-AU"/>
        </w:rPr>
        <w:t>The Dead Sea Scrolls after Fifty Years: A Comprehensive Assessment</w:t>
      </w:r>
      <w:r w:rsidRPr="00FB2D03">
        <w:rPr>
          <w:color w:val="000000" w:themeColor="text1"/>
          <w:lang w:val="en-AU"/>
        </w:rPr>
        <w:t>, ed. Peter W. Flint and James C. VanderKam, 1:496–515. 2 vols. Leiden: Brill, 1998–1999.</w:t>
      </w:r>
    </w:p>
    <w:p w14:paraId="7B929538" w14:textId="77777777" w:rsidR="00412D77" w:rsidRPr="00FB2D03" w:rsidRDefault="00412D77" w:rsidP="00412D77">
      <w:pPr>
        <w:tabs>
          <w:tab w:val="left" w:pos="5616"/>
        </w:tabs>
        <w:rPr>
          <w:color w:val="000000" w:themeColor="text1"/>
          <w:lang w:val="en-AU"/>
        </w:rPr>
      </w:pPr>
    </w:p>
    <w:p w14:paraId="23E898FE"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Parry, Donald W., and Eugene C. Ulrich, eds. “The Provo International Conference on the </w:t>
      </w:r>
    </w:p>
    <w:p w14:paraId="417370CB" w14:textId="370A5EEE"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Dead Sea Scrolls: Technological Innovations, New Texts, and Reformulated Issues.” </w:t>
      </w:r>
      <w:r w:rsidRPr="00FB2D03">
        <w:rPr>
          <w:i/>
          <w:color w:val="000000" w:themeColor="text1"/>
          <w:lang w:val="en-AU"/>
        </w:rPr>
        <w:t>Studies on the Texts of the Desert of Judah</w:t>
      </w:r>
      <w:r w:rsidRPr="00FB2D03">
        <w:rPr>
          <w:color w:val="000000" w:themeColor="text1"/>
          <w:lang w:val="en-AU"/>
        </w:rPr>
        <w:t xml:space="preserve"> 30. Leiden: Brill, 1999.</w:t>
      </w:r>
    </w:p>
    <w:p w14:paraId="04BAE182" w14:textId="77777777" w:rsidR="00412D77" w:rsidRPr="00FB2D03" w:rsidRDefault="00412D77" w:rsidP="00412D77">
      <w:pPr>
        <w:tabs>
          <w:tab w:val="left" w:pos="5616"/>
        </w:tabs>
        <w:rPr>
          <w:color w:val="000000" w:themeColor="text1"/>
          <w:lang w:val="en-AU"/>
        </w:rPr>
      </w:pPr>
    </w:p>
    <w:p w14:paraId="03C456BC"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Paynter, Helen. “‘Revenge for My Two Eyes’: Talion and Mimesis in the Samson </w:t>
      </w:r>
    </w:p>
    <w:p w14:paraId="1069EFD4" w14:textId="3DFF3C98" w:rsidR="00412D77" w:rsidRPr="00FB2D03" w:rsidRDefault="00412D77" w:rsidP="00AD1181">
      <w:pPr>
        <w:tabs>
          <w:tab w:val="left" w:pos="5616"/>
        </w:tabs>
        <w:ind w:left="720"/>
        <w:rPr>
          <w:color w:val="000000" w:themeColor="text1"/>
          <w:lang w:val="en-AU"/>
        </w:rPr>
      </w:pPr>
      <w:r w:rsidRPr="00FB2D03">
        <w:rPr>
          <w:color w:val="000000" w:themeColor="text1"/>
          <w:lang w:val="en-AU"/>
        </w:rPr>
        <w:t>Narrative.” </w:t>
      </w:r>
      <w:r w:rsidRPr="00FB2D03">
        <w:rPr>
          <w:i/>
          <w:color w:val="000000" w:themeColor="text1"/>
          <w:lang w:val="en-AU"/>
        </w:rPr>
        <w:t>Biblical Interpretation</w:t>
      </w:r>
      <w:r w:rsidRPr="00FB2D03">
        <w:rPr>
          <w:color w:val="000000" w:themeColor="text1"/>
          <w:lang w:val="en-AU"/>
        </w:rPr>
        <w:t xml:space="preserve"> 26 (2018): 133–57. </w:t>
      </w:r>
    </w:p>
    <w:p w14:paraId="4B2242F3" w14:textId="77777777" w:rsidR="00412D77" w:rsidRPr="00FB2D03" w:rsidRDefault="00412D77" w:rsidP="00412D77">
      <w:pPr>
        <w:tabs>
          <w:tab w:val="left" w:pos="5616"/>
        </w:tabs>
        <w:rPr>
          <w:color w:val="000000" w:themeColor="text1"/>
          <w:lang w:val="en-AU"/>
        </w:rPr>
      </w:pPr>
    </w:p>
    <w:p w14:paraId="28E8ECEF"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Pawlikowski, John. </w:t>
      </w:r>
      <w:r w:rsidRPr="00FB2D03">
        <w:rPr>
          <w:i/>
          <w:color w:val="000000" w:themeColor="text1"/>
          <w:lang w:val="en-AU"/>
        </w:rPr>
        <w:t>Christ in the Light of the Christian–Jewish Dialogue</w:t>
      </w:r>
      <w:r w:rsidRPr="00FB2D03">
        <w:rPr>
          <w:color w:val="000000" w:themeColor="text1"/>
          <w:lang w:val="en-AU"/>
        </w:rPr>
        <w:t xml:space="preserve">. New York: Paulist </w:t>
      </w:r>
    </w:p>
    <w:p w14:paraId="7C6F412F" w14:textId="55FB689B"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Press, 1982. </w:t>
      </w:r>
    </w:p>
    <w:p w14:paraId="5324B144" w14:textId="77777777" w:rsidR="00412D77" w:rsidRPr="00FB2D03" w:rsidRDefault="00412D77" w:rsidP="00412D77">
      <w:pPr>
        <w:tabs>
          <w:tab w:val="left" w:pos="5616"/>
        </w:tabs>
        <w:rPr>
          <w:color w:val="000000" w:themeColor="text1"/>
          <w:lang w:val="en-AU"/>
        </w:rPr>
      </w:pPr>
    </w:p>
    <w:p w14:paraId="2CA858E2"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Paz, Yakir. “The Torah of the Gospel: A Rabbinic Polemic against The Syro-Roman </w:t>
      </w:r>
    </w:p>
    <w:p w14:paraId="41B16E05" w14:textId="2E707E41" w:rsidR="00412D77" w:rsidRPr="00FB2D03" w:rsidRDefault="00412D77" w:rsidP="00AD1181">
      <w:pPr>
        <w:tabs>
          <w:tab w:val="left" w:pos="5616"/>
        </w:tabs>
        <w:ind w:left="720"/>
        <w:rPr>
          <w:color w:val="000000" w:themeColor="text1"/>
          <w:lang w:val="en-AU"/>
        </w:rPr>
      </w:pPr>
      <w:r w:rsidRPr="00FB2D03">
        <w:rPr>
          <w:color w:val="000000" w:themeColor="text1"/>
          <w:lang w:val="en-AU"/>
        </w:rPr>
        <w:t>Lawbook.” </w:t>
      </w:r>
      <w:r w:rsidRPr="00FB2D03">
        <w:rPr>
          <w:i/>
          <w:color w:val="000000" w:themeColor="text1"/>
          <w:lang w:val="en-AU"/>
        </w:rPr>
        <w:t>Harvard Theological Review</w:t>
      </w:r>
      <w:r w:rsidRPr="00FB2D03">
        <w:rPr>
          <w:color w:val="000000" w:themeColor="text1"/>
          <w:lang w:val="en-AU"/>
        </w:rPr>
        <w:t> 112 (2019): 517–40. </w:t>
      </w:r>
    </w:p>
    <w:p w14:paraId="4ED69A5F" w14:textId="77777777" w:rsidR="00412D77" w:rsidRPr="00FB2D03" w:rsidRDefault="00412D77" w:rsidP="00412D77">
      <w:pPr>
        <w:tabs>
          <w:tab w:val="left" w:pos="5616"/>
        </w:tabs>
        <w:rPr>
          <w:color w:val="000000" w:themeColor="text1"/>
          <w:lang w:val="en-AU"/>
        </w:rPr>
      </w:pPr>
    </w:p>
    <w:p w14:paraId="19ECFF3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Pennington, Jonathan T. </w:t>
      </w:r>
      <w:proofErr w:type="gramStart"/>
      <w:r w:rsidRPr="00FB2D03">
        <w:rPr>
          <w:i/>
          <w:color w:val="000000" w:themeColor="text1"/>
          <w:lang w:val="en-AU"/>
        </w:rPr>
        <w:t>Heaven</w:t>
      </w:r>
      <w:proofErr w:type="gramEnd"/>
      <w:r w:rsidRPr="00FB2D03">
        <w:rPr>
          <w:i/>
          <w:color w:val="000000" w:themeColor="text1"/>
          <w:lang w:val="en-AU"/>
        </w:rPr>
        <w:t xml:space="preserve"> and Earth in the Gospel of Matthew</w:t>
      </w:r>
      <w:r w:rsidRPr="00FB2D03">
        <w:rPr>
          <w:color w:val="000000" w:themeColor="text1"/>
          <w:lang w:val="en-AU"/>
        </w:rPr>
        <w:t xml:space="preserve">. Grand Rapids: Baker, </w:t>
      </w:r>
    </w:p>
    <w:p w14:paraId="34078625" w14:textId="77777777" w:rsidR="00412D77" w:rsidRPr="00FB2D03" w:rsidRDefault="00412D77" w:rsidP="00AD1181">
      <w:pPr>
        <w:tabs>
          <w:tab w:val="left" w:pos="5616"/>
        </w:tabs>
        <w:ind w:left="720"/>
        <w:rPr>
          <w:color w:val="000000" w:themeColor="text1"/>
          <w:lang w:val="en-AU"/>
        </w:rPr>
      </w:pPr>
      <w:r w:rsidRPr="00FB2D03">
        <w:rPr>
          <w:color w:val="000000" w:themeColor="text1"/>
          <w:lang w:val="en-AU"/>
        </w:rPr>
        <w:t xml:space="preserve">2009. </w:t>
      </w:r>
    </w:p>
    <w:p w14:paraId="1FB216E1" w14:textId="77777777" w:rsidR="00412D77" w:rsidRPr="00FB2D03" w:rsidRDefault="00412D77" w:rsidP="00412D77">
      <w:pPr>
        <w:tabs>
          <w:tab w:val="left" w:pos="5616"/>
        </w:tabs>
        <w:rPr>
          <w:color w:val="000000" w:themeColor="text1"/>
          <w:lang w:val="en-AU"/>
        </w:rPr>
      </w:pPr>
    </w:p>
    <w:p w14:paraId="3D8896D6" w14:textId="77777777" w:rsidR="00416C83" w:rsidRPr="00FB2D03" w:rsidRDefault="00412D77" w:rsidP="00412D77">
      <w:pPr>
        <w:tabs>
          <w:tab w:val="left" w:pos="5616"/>
        </w:tabs>
        <w:rPr>
          <w:i/>
          <w:color w:val="000000" w:themeColor="text1"/>
          <w:lang w:val="en-AU"/>
        </w:rPr>
      </w:pPr>
      <w:r w:rsidRPr="00FB2D03">
        <w:rPr>
          <w:color w:val="000000" w:themeColor="text1"/>
          <w:lang w:val="en-AU"/>
        </w:rPr>
        <w:t xml:space="preserve">Perry, Edmund. “The Meaning of ‘Emuna’ in the Old Testament.” </w:t>
      </w:r>
      <w:r w:rsidRPr="00FB2D03">
        <w:rPr>
          <w:i/>
          <w:color w:val="000000" w:themeColor="text1"/>
          <w:lang w:val="en-AU"/>
        </w:rPr>
        <w:t xml:space="preserve">Journal of Bible and </w:t>
      </w:r>
    </w:p>
    <w:p w14:paraId="0E247CA0" w14:textId="0AE2E56F" w:rsidR="00412D77" w:rsidRPr="00FB2D03" w:rsidRDefault="00412D77" w:rsidP="00AD1181">
      <w:pPr>
        <w:tabs>
          <w:tab w:val="left" w:pos="5616"/>
        </w:tabs>
        <w:ind w:left="720"/>
        <w:rPr>
          <w:color w:val="000000" w:themeColor="text1"/>
          <w:lang w:val="en-AU"/>
        </w:rPr>
      </w:pPr>
      <w:r w:rsidRPr="00FB2D03">
        <w:rPr>
          <w:i/>
          <w:color w:val="000000" w:themeColor="text1"/>
          <w:lang w:val="en-AU"/>
        </w:rPr>
        <w:t>Religion</w:t>
      </w:r>
      <w:r w:rsidRPr="00FB2D03">
        <w:rPr>
          <w:color w:val="000000" w:themeColor="text1"/>
          <w:lang w:val="en-AU"/>
        </w:rPr>
        <w:t xml:space="preserve"> 21 (1953): 253.</w:t>
      </w:r>
    </w:p>
    <w:p w14:paraId="28CDB329" w14:textId="77777777" w:rsidR="00412D77" w:rsidRPr="00FB2D03" w:rsidRDefault="00412D77" w:rsidP="00412D77">
      <w:pPr>
        <w:tabs>
          <w:tab w:val="left" w:pos="5616"/>
        </w:tabs>
        <w:rPr>
          <w:color w:val="000000" w:themeColor="text1"/>
          <w:lang w:val="en-AU"/>
        </w:rPr>
      </w:pPr>
    </w:p>
    <w:p w14:paraId="208849C3" w14:textId="77777777" w:rsidR="00416C83" w:rsidRPr="00FB2D03" w:rsidRDefault="00412D77" w:rsidP="00412D77">
      <w:pPr>
        <w:tabs>
          <w:tab w:val="left" w:pos="5616"/>
        </w:tabs>
        <w:rPr>
          <w:color w:val="000000" w:themeColor="text1"/>
          <w:lang w:val="en-AU"/>
        </w:rPr>
      </w:pPr>
      <w:r w:rsidRPr="00FB2D03">
        <w:rPr>
          <w:color w:val="000000" w:themeColor="text1"/>
          <w:lang w:val="en-AU"/>
        </w:rPr>
        <w:t xml:space="preserve">Peters, Prince E. “A Critical Look at Didache 1:4b and Its Reflection on the Non-Retaliation </w:t>
      </w:r>
    </w:p>
    <w:p w14:paraId="765EE5BC" w14:textId="505D2604" w:rsidR="00412D77" w:rsidRPr="00FB2D03" w:rsidRDefault="00412D77" w:rsidP="00AD1181">
      <w:pPr>
        <w:tabs>
          <w:tab w:val="left" w:pos="5616"/>
        </w:tabs>
        <w:ind w:left="720"/>
        <w:rPr>
          <w:color w:val="000000" w:themeColor="text1"/>
          <w:lang w:val="en-AU"/>
        </w:rPr>
      </w:pPr>
      <w:r w:rsidRPr="00FB2D03">
        <w:rPr>
          <w:color w:val="000000" w:themeColor="text1"/>
          <w:lang w:val="en-AU"/>
        </w:rPr>
        <w:t>of the Nigerian Church.” </w:t>
      </w:r>
      <w:r w:rsidRPr="00FB2D03">
        <w:rPr>
          <w:i/>
          <w:color w:val="000000" w:themeColor="text1"/>
          <w:lang w:val="en-AU"/>
        </w:rPr>
        <w:t>Hervormde Teologiese Studies</w:t>
      </w:r>
      <w:r w:rsidRPr="00FB2D03">
        <w:rPr>
          <w:color w:val="000000" w:themeColor="text1"/>
          <w:lang w:val="en-AU"/>
        </w:rPr>
        <w:t xml:space="preserve"> 76 (2020): 1–8. </w:t>
      </w:r>
    </w:p>
    <w:p w14:paraId="31A06631" w14:textId="77777777" w:rsidR="00412D77" w:rsidRPr="00FB2D03" w:rsidRDefault="00412D77" w:rsidP="00412D77">
      <w:pPr>
        <w:tabs>
          <w:tab w:val="left" w:pos="5616"/>
        </w:tabs>
        <w:rPr>
          <w:color w:val="000000" w:themeColor="text1"/>
          <w:lang w:val="en-AU"/>
        </w:rPr>
      </w:pPr>
    </w:p>
    <w:p w14:paraId="330AFE1D" w14:textId="77777777" w:rsidR="00AD1181" w:rsidRPr="00FB2D03" w:rsidRDefault="00412D77" w:rsidP="00412D77">
      <w:pPr>
        <w:tabs>
          <w:tab w:val="left" w:pos="5616"/>
        </w:tabs>
        <w:rPr>
          <w:i/>
          <w:color w:val="000000" w:themeColor="text1"/>
          <w:lang w:val="en-AU"/>
        </w:rPr>
      </w:pPr>
      <w:r w:rsidRPr="00FB2D03">
        <w:rPr>
          <w:color w:val="000000" w:themeColor="text1"/>
          <w:lang w:val="en-AU"/>
        </w:rPr>
        <w:t xml:space="preserve">Petersen, David L. </w:t>
      </w:r>
      <w:r w:rsidRPr="00FB2D03">
        <w:rPr>
          <w:i/>
          <w:color w:val="000000" w:themeColor="text1"/>
          <w:lang w:val="en-AU"/>
        </w:rPr>
        <w:t xml:space="preserve">Late Israelite Prophecy: Studies in Deutero–Prophetic Literature and in </w:t>
      </w:r>
    </w:p>
    <w:p w14:paraId="717D3A3E" w14:textId="154C8159" w:rsidR="00412D77" w:rsidRPr="00FB2D03" w:rsidRDefault="00412D77" w:rsidP="0059280A">
      <w:pPr>
        <w:tabs>
          <w:tab w:val="left" w:pos="5616"/>
        </w:tabs>
        <w:ind w:left="720"/>
        <w:rPr>
          <w:color w:val="000000" w:themeColor="text1"/>
          <w:lang w:val="en-AU"/>
        </w:rPr>
      </w:pPr>
      <w:r w:rsidRPr="00FB2D03">
        <w:rPr>
          <w:i/>
          <w:color w:val="000000" w:themeColor="text1"/>
          <w:lang w:val="en-AU"/>
        </w:rPr>
        <w:t xml:space="preserve">Chronicles. </w:t>
      </w:r>
      <w:r w:rsidRPr="00FB2D03">
        <w:rPr>
          <w:color w:val="000000" w:themeColor="text1"/>
          <w:lang w:val="en-AU"/>
        </w:rPr>
        <w:t>Missoula: Society of Biblical Literature, 1977.</w:t>
      </w:r>
    </w:p>
    <w:p w14:paraId="6C30518F" w14:textId="77777777" w:rsidR="00412D77" w:rsidRPr="00FB2D03" w:rsidRDefault="00412D77" w:rsidP="00412D77">
      <w:pPr>
        <w:tabs>
          <w:tab w:val="left" w:pos="5616"/>
        </w:tabs>
        <w:rPr>
          <w:color w:val="000000" w:themeColor="text1"/>
          <w:lang w:val="en-AU"/>
        </w:rPr>
      </w:pPr>
    </w:p>
    <w:p w14:paraId="2736CB24"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Phan, Peter C. </w:t>
      </w:r>
      <w:r w:rsidRPr="00FB2D03">
        <w:rPr>
          <w:i/>
          <w:color w:val="000000" w:themeColor="text1"/>
          <w:lang w:val="en-AU"/>
        </w:rPr>
        <w:t>Being Religious Interreligious: Asian Perspectives on Interfaith Dialogue</w:t>
      </w:r>
      <w:r w:rsidRPr="00FB2D03">
        <w:rPr>
          <w:color w:val="000000" w:themeColor="text1"/>
          <w:lang w:val="en-AU"/>
        </w:rPr>
        <w:t xml:space="preserve">, </w:t>
      </w:r>
    </w:p>
    <w:p w14:paraId="14B5D0AA" w14:textId="76654C8E" w:rsidR="00412D77" w:rsidRPr="00FB2D03" w:rsidRDefault="00412D77" w:rsidP="0059280A">
      <w:pPr>
        <w:tabs>
          <w:tab w:val="left" w:pos="5616"/>
        </w:tabs>
        <w:ind w:left="720"/>
        <w:rPr>
          <w:color w:val="000000" w:themeColor="text1"/>
          <w:lang w:val="en-AU"/>
        </w:rPr>
      </w:pPr>
      <w:r w:rsidRPr="00FB2D03">
        <w:rPr>
          <w:color w:val="000000" w:themeColor="text1"/>
          <w:lang w:val="en-AU"/>
        </w:rPr>
        <w:t>Vol. 62. Maryknoll: Orbis, 2004.</w:t>
      </w:r>
    </w:p>
    <w:p w14:paraId="1E12CB06" w14:textId="77777777" w:rsidR="00412D77" w:rsidRPr="00FB2D03" w:rsidRDefault="00412D77" w:rsidP="00412D77">
      <w:pPr>
        <w:tabs>
          <w:tab w:val="left" w:pos="5616"/>
        </w:tabs>
        <w:rPr>
          <w:color w:val="000000" w:themeColor="text1"/>
          <w:lang w:val="en-AU"/>
        </w:rPr>
      </w:pPr>
    </w:p>
    <w:p w14:paraId="6EDBF9AF" w14:textId="7C231B44" w:rsidR="00412D77" w:rsidRPr="00FB2D03" w:rsidRDefault="01B55689" w:rsidP="01B55689">
      <w:pPr>
        <w:tabs>
          <w:tab w:val="left" w:pos="5616"/>
        </w:tabs>
        <w:rPr>
          <w:color w:val="000000" w:themeColor="text1"/>
          <w:lang w:val="en-AU"/>
        </w:rPr>
      </w:pPr>
      <w:r w:rsidRPr="00FB2D03">
        <w:rPr>
          <w:color w:val="000000" w:themeColor="text1"/>
          <w:lang w:val="en-AU"/>
        </w:rPr>
        <w:t xml:space="preserve">Phang, S. E. </w:t>
      </w:r>
      <w:r w:rsidRPr="00FB2D03">
        <w:rPr>
          <w:i/>
          <w:iCs/>
          <w:color w:val="000000" w:themeColor="text1"/>
          <w:lang w:val="en-AU"/>
        </w:rPr>
        <w:t>Roman Military Service: Ideologies of Discipline in the Late Republic and</w:t>
      </w:r>
    </w:p>
    <w:p w14:paraId="520360AC" w14:textId="23FD6264" w:rsidR="00412D77" w:rsidRPr="00FB2D03" w:rsidRDefault="01B55689" w:rsidP="0059280A">
      <w:pPr>
        <w:tabs>
          <w:tab w:val="left" w:pos="5616"/>
        </w:tabs>
        <w:ind w:left="720"/>
        <w:rPr>
          <w:color w:val="000000" w:themeColor="text1"/>
          <w:lang w:val="en-AU"/>
        </w:rPr>
      </w:pPr>
      <w:r w:rsidRPr="00FB2D03">
        <w:rPr>
          <w:i/>
          <w:iCs/>
          <w:color w:val="000000" w:themeColor="text1"/>
          <w:lang w:val="en-AU"/>
        </w:rPr>
        <w:t xml:space="preserve"> Early Principate</w:t>
      </w:r>
      <w:r w:rsidRPr="00FB2D03">
        <w:rPr>
          <w:color w:val="000000" w:themeColor="text1"/>
          <w:lang w:val="en-AU"/>
        </w:rPr>
        <w:t>. Cambridge: Cambridge University Press, 2008.</w:t>
      </w:r>
    </w:p>
    <w:p w14:paraId="66A088DD" w14:textId="77777777" w:rsidR="00412D77" w:rsidRPr="00FB2D03" w:rsidRDefault="00412D77" w:rsidP="01B55689">
      <w:pPr>
        <w:tabs>
          <w:tab w:val="left" w:pos="5616"/>
        </w:tabs>
        <w:ind w:left="720"/>
        <w:rPr>
          <w:color w:val="000000" w:themeColor="text1"/>
          <w:lang w:val="en-AU"/>
        </w:rPr>
      </w:pPr>
    </w:p>
    <w:p w14:paraId="7960E198"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Philip, George. “Theological Education as Matthean Mission: Challenges from the Indian </w:t>
      </w:r>
    </w:p>
    <w:p w14:paraId="37AF7315" w14:textId="2D0D7C28" w:rsidR="00412D77" w:rsidRPr="00FB2D03" w:rsidRDefault="00412D77" w:rsidP="0059280A">
      <w:pPr>
        <w:tabs>
          <w:tab w:val="left" w:pos="5616"/>
        </w:tabs>
        <w:ind w:left="720"/>
        <w:rPr>
          <w:color w:val="000000" w:themeColor="text1"/>
          <w:lang w:val="en-AU"/>
        </w:rPr>
      </w:pPr>
      <w:r w:rsidRPr="00FB2D03">
        <w:rPr>
          <w:color w:val="000000" w:themeColor="text1"/>
          <w:lang w:val="en-AU"/>
        </w:rPr>
        <w:t>Context.” </w:t>
      </w:r>
      <w:r w:rsidRPr="00FB2D03">
        <w:rPr>
          <w:i/>
          <w:color w:val="000000" w:themeColor="text1"/>
          <w:lang w:val="en-AU"/>
        </w:rPr>
        <w:t>Journal of Biblical Theology</w:t>
      </w:r>
      <w:r w:rsidRPr="00FB2D03">
        <w:rPr>
          <w:color w:val="000000" w:themeColor="text1"/>
          <w:lang w:val="en-AU"/>
        </w:rPr>
        <w:t> 4 (2021): 105–26.</w:t>
      </w:r>
    </w:p>
    <w:p w14:paraId="60DEBC93" w14:textId="77777777" w:rsidR="00412D77" w:rsidRPr="00FB2D03" w:rsidRDefault="00412D77" w:rsidP="00412D77">
      <w:pPr>
        <w:tabs>
          <w:tab w:val="left" w:pos="5616"/>
        </w:tabs>
        <w:rPr>
          <w:color w:val="000000" w:themeColor="text1"/>
          <w:lang w:val="en-AU"/>
        </w:rPr>
      </w:pPr>
    </w:p>
    <w:p w14:paraId="5BF54C56" w14:textId="77777777" w:rsidR="00412D77" w:rsidRPr="00FB2D03" w:rsidRDefault="00412D77" w:rsidP="00412D77">
      <w:pPr>
        <w:tabs>
          <w:tab w:val="left" w:pos="5616"/>
        </w:tabs>
        <w:rPr>
          <w:color w:val="000000" w:themeColor="text1"/>
          <w:lang w:val="en-AU"/>
        </w:rPr>
      </w:pPr>
      <w:r w:rsidRPr="00FB2D03">
        <w:rPr>
          <w:color w:val="000000" w:themeColor="text1"/>
          <w:lang w:val="en-AU"/>
        </w:rPr>
        <w:t>Philo, F. H. Colson, and G. H. Whitaker. </w:t>
      </w:r>
      <w:r w:rsidRPr="00FB2D03">
        <w:rPr>
          <w:i/>
          <w:color w:val="000000" w:themeColor="text1"/>
          <w:lang w:val="en-AU"/>
        </w:rPr>
        <w:t>Philo</w:t>
      </w:r>
      <w:r w:rsidRPr="00FB2D03">
        <w:rPr>
          <w:color w:val="000000" w:themeColor="text1"/>
          <w:lang w:val="en-AU"/>
        </w:rPr>
        <w:t>. Cambridge: Harvard University Press, 1991.</w:t>
      </w:r>
    </w:p>
    <w:p w14:paraId="6C7E5F86" w14:textId="77777777" w:rsidR="00412D77" w:rsidRPr="00FB2D03" w:rsidRDefault="00412D77" w:rsidP="00412D77">
      <w:pPr>
        <w:tabs>
          <w:tab w:val="left" w:pos="5616"/>
        </w:tabs>
        <w:rPr>
          <w:color w:val="000000" w:themeColor="text1"/>
          <w:lang w:val="en-AU"/>
        </w:rPr>
      </w:pPr>
    </w:p>
    <w:p w14:paraId="43985799"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Pietersen, Doniwen. “Yahwistic Incongruency and Enigma: A Challenge to Relinquish </w:t>
      </w:r>
    </w:p>
    <w:p w14:paraId="4723812E" w14:textId="04942D3E" w:rsidR="00412D77" w:rsidRPr="00FB2D03" w:rsidRDefault="00412D77" w:rsidP="0059280A">
      <w:pPr>
        <w:tabs>
          <w:tab w:val="left" w:pos="5616"/>
        </w:tabs>
        <w:ind w:left="720"/>
        <w:rPr>
          <w:color w:val="000000" w:themeColor="text1"/>
          <w:lang w:val="en-AU"/>
        </w:rPr>
      </w:pPr>
      <w:r w:rsidRPr="00FB2D03">
        <w:rPr>
          <w:color w:val="000000" w:themeColor="text1"/>
          <w:lang w:val="en-AU"/>
        </w:rPr>
        <w:t>Violence?” </w:t>
      </w:r>
      <w:r w:rsidRPr="00FB2D03">
        <w:rPr>
          <w:i/>
          <w:color w:val="000000" w:themeColor="text1"/>
          <w:lang w:val="en-AU"/>
        </w:rPr>
        <w:t>Hervormde Teologiese Studies</w:t>
      </w:r>
      <w:r w:rsidRPr="00FB2D03">
        <w:rPr>
          <w:color w:val="000000" w:themeColor="text1"/>
          <w:lang w:val="en-AU"/>
        </w:rPr>
        <w:t> 77 (2021): 1–6.</w:t>
      </w:r>
    </w:p>
    <w:p w14:paraId="381F91F6" w14:textId="77777777" w:rsidR="00412D77" w:rsidRPr="00FB2D03" w:rsidRDefault="00412D77" w:rsidP="00412D77">
      <w:pPr>
        <w:tabs>
          <w:tab w:val="left" w:pos="5616"/>
        </w:tabs>
        <w:rPr>
          <w:color w:val="000000" w:themeColor="text1"/>
          <w:lang w:val="en-AU"/>
        </w:rPr>
      </w:pPr>
    </w:p>
    <w:p w14:paraId="77CB5FCC" w14:textId="1622ACFC" w:rsidR="00412D77" w:rsidRPr="00FB2D03" w:rsidRDefault="01B55689" w:rsidP="01B55689">
      <w:pPr>
        <w:tabs>
          <w:tab w:val="left" w:pos="5616"/>
        </w:tabs>
        <w:rPr>
          <w:color w:val="000000" w:themeColor="text1"/>
          <w:lang w:val="en-AU"/>
        </w:rPr>
      </w:pPr>
      <w:r w:rsidRPr="00FB2D03">
        <w:rPr>
          <w:color w:val="000000" w:themeColor="text1"/>
          <w:lang w:val="en-AU"/>
        </w:rPr>
        <w:t>Pietersma, Albert, and Benjamin G Wright. </w:t>
      </w:r>
      <w:r w:rsidRPr="00FB2D03">
        <w:rPr>
          <w:i/>
          <w:iCs/>
          <w:color w:val="000000" w:themeColor="text1"/>
          <w:lang w:val="en-AU"/>
        </w:rPr>
        <w:t>A New English Translation of The Septuagint</w:t>
      </w:r>
    </w:p>
    <w:p w14:paraId="2E2F5273" w14:textId="1B9026F7" w:rsidR="00412D77" w:rsidRPr="00FB2D03" w:rsidRDefault="01B55689" w:rsidP="0059280A">
      <w:pPr>
        <w:tabs>
          <w:tab w:val="left" w:pos="5616"/>
        </w:tabs>
        <w:ind w:left="720"/>
        <w:rPr>
          <w:color w:val="000000" w:themeColor="text1"/>
          <w:lang w:val="en-AU"/>
        </w:rPr>
      </w:pPr>
      <w:r w:rsidRPr="00FB2D03">
        <w:rPr>
          <w:i/>
          <w:iCs/>
          <w:color w:val="000000" w:themeColor="text1"/>
          <w:lang w:val="en-AU"/>
        </w:rPr>
        <w:t>and the Other Greek Translations Traditionally Included under that Title</w:t>
      </w:r>
      <w:r w:rsidRPr="00FB2D03">
        <w:rPr>
          <w:color w:val="000000" w:themeColor="text1"/>
          <w:lang w:val="en-AU"/>
        </w:rPr>
        <w:t>. New York: Oxford University Press, 2007.</w:t>
      </w:r>
    </w:p>
    <w:p w14:paraId="687AD593" w14:textId="77777777" w:rsidR="00412D77" w:rsidRPr="00FB2D03" w:rsidRDefault="00412D77" w:rsidP="01B55689">
      <w:pPr>
        <w:tabs>
          <w:tab w:val="left" w:pos="5616"/>
        </w:tabs>
        <w:ind w:left="720"/>
        <w:rPr>
          <w:color w:val="000000" w:themeColor="text1"/>
          <w:lang w:val="en-AU"/>
        </w:rPr>
      </w:pPr>
    </w:p>
    <w:p w14:paraId="6AC02D42" w14:textId="77777777" w:rsidR="00AD1181" w:rsidRPr="00FB2D03" w:rsidRDefault="00412D77" w:rsidP="00412D77">
      <w:pPr>
        <w:tabs>
          <w:tab w:val="left" w:pos="5616"/>
        </w:tabs>
        <w:rPr>
          <w:i/>
          <w:color w:val="000000" w:themeColor="text1"/>
          <w:lang w:val="en-AU"/>
        </w:rPr>
      </w:pPr>
      <w:r w:rsidRPr="00FB2D03">
        <w:rPr>
          <w:color w:val="000000" w:themeColor="text1"/>
          <w:lang w:val="en-AU"/>
        </w:rPr>
        <w:t xml:space="preserve">Piper, John. </w:t>
      </w:r>
      <w:r w:rsidRPr="00FB2D03">
        <w:rPr>
          <w:i/>
          <w:color w:val="000000" w:themeColor="text1"/>
          <w:lang w:val="en-AU"/>
        </w:rPr>
        <w:t xml:space="preserve">‘Love your Enemies’: Jesus’ Love Command in the Synoptic Gospels and the </w:t>
      </w:r>
    </w:p>
    <w:p w14:paraId="4B605366" w14:textId="4E5D422A" w:rsidR="00412D77" w:rsidRPr="00FB2D03" w:rsidRDefault="00412D77" w:rsidP="0059280A">
      <w:pPr>
        <w:tabs>
          <w:tab w:val="left" w:pos="5616"/>
        </w:tabs>
        <w:ind w:left="720"/>
        <w:rPr>
          <w:color w:val="000000" w:themeColor="text1"/>
          <w:lang w:val="en-AU"/>
        </w:rPr>
      </w:pPr>
      <w:r w:rsidRPr="00FB2D03">
        <w:rPr>
          <w:i/>
          <w:color w:val="000000" w:themeColor="text1"/>
          <w:lang w:val="en-AU"/>
        </w:rPr>
        <w:t xml:space="preserve">Early Christian Paraenesis: A History of the Tradition and Interpretation of Its Uses. </w:t>
      </w:r>
      <w:r w:rsidRPr="00FB2D03">
        <w:rPr>
          <w:color w:val="000000" w:themeColor="text1"/>
          <w:lang w:val="en-AU"/>
        </w:rPr>
        <w:t>Cambridge: Cambridge University Press, 1979.</w:t>
      </w:r>
    </w:p>
    <w:p w14:paraId="496C5894" w14:textId="77777777" w:rsidR="00412D77" w:rsidRPr="00FB2D03" w:rsidRDefault="00412D77" w:rsidP="00412D77">
      <w:pPr>
        <w:tabs>
          <w:tab w:val="left" w:pos="5616"/>
        </w:tabs>
        <w:rPr>
          <w:color w:val="000000" w:themeColor="text1"/>
          <w:lang w:val="en-AU"/>
        </w:rPr>
      </w:pPr>
    </w:p>
    <w:p w14:paraId="473638CD" w14:textId="76B96F85" w:rsidR="00AD1181" w:rsidRPr="00FB2D03" w:rsidRDefault="00412D77" w:rsidP="00412D77">
      <w:pPr>
        <w:tabs>
          <w:tab w:val="left" w:pos="5616"/>
        </w:tabs>
        <w:rPr>
          <w:color w:val="000000" w:themeColor="text1"/>
          <w:lang w:val="en-AU"/>
        </w:rPr>
      </w:pPr>
      <w:r w:rsidRPr="00FB2D03">
        <w:rPr>
          <w:color w:val="000000" w:themeColor="text1"/>
          <w:lang w:val="en-AU"/>
        </w:rPr>
        <w:t>Pitkänen, Pekka. “Eckart Otto, Deuteronomium 1-11:</w:t>
      </w:r>
      <w:r w:rsidR="00D86BBD" w:rsidRPr="00FB2D03">
        <w:rPr>
          <w:color w:val="000000" w:themeColor="text1"/>
          <w:lang w:val="en-AU"/>
        </w:rPr>
        <w:t xml:space="preserve"> </w:t>
      </w:r>
      <w:r w:rsidRPr="00FB2D03">
        <w:rPr>
          <w:color w:val="000000" w:themeColor="text1"/>
          <w:lang w:val="en-AU"/>
        </w:rPr>
        <w:t xml:space="preserve">Erster Teilband: 1,1-4,43; Zweiter </w:t>
      </w:r>
    </w:p>
    <w:p w14:paraId="5C8F0E84" w14:textId="7D15C512" w:rsidR="00412D77" w:rsidRPr="00FB2D03" w:rsidRDefault="00412D77" w:rsidP="0059280A">
      <w:pPr>
        <w:tabs>
          <w:tab w:val="left" w:pos="5616"/>
        </w:tabs>
        <w:ind w:left="720"/>
        <w:rPr>
          <w:color w:val="000000" w:themeColor="text1"/>
          <w:lang w:val="en-AU"/>
        </w:rPr>
      </w:pPr>
      <w:r w:rsidRPr="00FB2D03">
        <w:rPr>
          <w:color w:val="000000" w:themeColor="text1"/>
          <w:lang w:val="en-AU"/>
        </w:rPr>
        <w:t xml:space="preserve">Teilband: 4,44-11,32” In </w:t>
      </w:r>
      <w:r w:rsidRPr="00FB2D03">
        <w:rPr>
          <w:i/>
          <w:color w:val="000000" w:themeColor="text1"/>
          <w:lang w:val="en-AU"/>
        </w:rPr>
        <w:t xml:space="preserve">Perspectives on Hebrew Scriptures X: Comprising the Contents of Journal of Hebrew Scriptures, </w:t>
      </w:r>
      <w:r w:rsidRPr="00FB2D03">
        <w:rPr>
          <w:color w:val="000000" w:themeColor="text1"/>
          <w:lang w:val="en-AU"/>
        </w:rPr>
        <w:t>Vol. 13,</w:t>
      </w:r>
      <w:r w:rsidRPr="00FB2D03">
        <w:rPr>
          <w:i/>
          <w:color w:val="000000" w:themeColor="text1"/>
          <w:lang w:val="en-AU"/>
        </w:rPr>
        <w:t xml:space="preserve"> </w:t>
      </w:r>
      <w:r w:rsidRPr="00FB2D03">
        <w:rPr>
          <w:color w:val="000000" w:themeColor="text1"/>
          <w:lang w:val="en-AU"/>
        </w:rPr>
        <w:t>ed. Christophe Nihan and Ehud Ben Zvi, 577-583. Piscataway: Gorgias Press, 2017.</w:t>
      </w:r>
      <w:hyperlink r:id="rId17">
        <w:r w:rsidRPr="00FB2D03">
          <w:rPr>
            <w:rStyle w:val="Hyperlink"/>
            <w:lang w:val="en-AU"/>
          </w:rPr>
          <w:t xml:space="preserve"> </w:t>
        </w:r>
      </w:hyperlink>
    </w:p>
    <w:p w14:paraId="772CB53E" w14:textId="77777777" w:rsidR="00412D77" w:rsidRPr="00FB2D03" w:rsidRDefault="00412D77" w:rsidP="00412D77">
      <w:pPr>
        <w:tabs>
          <w:tab w:val="left" w:pos="5616"/>
        </w:tabs>
        <w:rPr>
          <w:color w:val="000000" w:themeColor="text1"/>
          <w:lang w:val="en-AU"/>
        </w:rPr>
      </w:pPr>
    </w:p>
    <w:p w14:paraId="0931FCD2" w14:textId="185C06B2" w:rsidR="00412D77" w:rsidRPr="00FB2D03" w:rsidRDefault="00412D77" w:rsidP="00412D77">
      <w:pPr>
        <w:tabs>
          <w:tab w:val="left" w:pos="5616"/>
        </w:tabs>
        <w:rPr>
          <w:color w:val="000000" w:themeColor="text1"/>
          <w:lang w:val="en-AU"/>
        </w:rPr>
      </w:pPr>
      <w:r w:rsidRPr="00FB2D03">
        <w:rPr>
          <w:color w:val="000000" w:themeColor="text1"/>
          <w:lang w:val="en-AU"/>
        </w:rPr>
        <w:t xml:space="preserve">Plescia, Joseph. “The Development of Inuria.” </w:t>
      </w:r>
      <w:r w:rsidRPr="00FB2D03">
        <w:rPr>
          <w:i/>
          <w:color w:val="000000" w:themeColor="text1"/>
          <w:lang w:val="en-AU"/>
        </w:rPr>
        <w:t>Labeo</w:t>
      </w:r>
      <w:r w:rsidRPr="00FB2D03">
        <w:rPr>
          <w:color w:val="000000" w:themeColor="text1"/>
          <w:lang w:val="en-AU"/>
        </w:rPr>
        <w:t xml:space="preserve"> 23 (1977): </w:t>
      </w:r>
      <w:r w:rsidR="00617C4C" w:rsidRPr="00FB2D03">
        <w:rPr>
          <w:color w:val="000000" w:themeColor="text1"/>
          <w:lang w:val="en-AU"/>
        </w:rPr>
        <w:t>279-</w:t>
      </w:r>
      <w:r w:rsidRPr="00FB2D03">
        <w:rPr>
          <w:color w:val="000000" w:themeColor="text1"/>
          <w:lang w:val="en-AU"/>
        </w:rPr>
        <w:t>81.</w:t>
      </w:r>
    </w:p>
    <w:p w14:paraId="5DBCA9FA" w14:textId="77777777" w:rsidR="00412D77" w:rsidRPr="00FB2D03" w:rsidRDefault="00412D77" w:rsidP="00412D77">
      <w:pPr>
        <w:tabs>
          <w:tab w:val="left" w:pos="5616"/>
        </w:tabs>
        <w:rPr>
          <w:color w:val="000000" w:themeColor="text1"/>
          <w:lang w:val="en-AU"/>
        </w:rPr>
      </w:pPr>
    </w:p>
    <w:p w14:paraId="5C9F7841"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Poliakov, Leon. </w:t>
      </w:r>
      <w:r w:rsidRPr="00FB2D03">
        <w:rPr>
          <w:i/>
          <w:color w:val="000000" w:themeColor="text1"/>
          <w:lang w:val="en-AU"/>
        </w:rPr>
        <w:t xml:space="preserve">The History of </w:t>
      </w:r>
      <w:proofErr w:type="gramStart"/>
      <w:r w:rsidRPr="00FB2D03">
        <w:rPr>
          <w:i/>
          <w:color w:val="000000" w:themeColor="text1"/>
          <w:lang w:val="en-AU"/>
        </w:rPr>
        <w:t>Anti–Semitism</w:t>
      </w:r>
      <w:proofErr w:type="gramEnd"/>
      <w:r w:rsidRPr="00FB2D03">
        <w:rPr>
          <w:color w:val="000000" w:themeColor="text1"/>
          <w:lang w:val="en-AU"/>
        </w:rPr>
        <w:t xml:space="preserve">, 4 vols. Translated by Richard Howard. New </w:t>
      </w:r>
    </w:p>
    <w:p w14:paraId="29D1C3AC" w14:textId="5EC592D9" w:rsidR="00412D77" w:rsidRPr="00FB2D03" w:rsidRDefault="00412D77" w:rsidP="0059280A">
      <w:pPr>
        <w:tabs>
          <w:tab w:val="left" w:pos="5616"/>
        </w:tabs>
        <w:ind w:left="720"/>
        <w:rPr>
          <w:color w:val="000000" w:themeColor="text1"/>
          <w:lang w:val="en-AU"/>
        </w:rPr>
      </w:pPr>
      <w:r w:rsidRPr="00FB2D03">
        <w:rPr>
          <w:color w:val="000000" w:themeColor="text1"/>
          <w:lang w:val="en-AU"/>
        </w:rPr>
        <w:t>York: Vanguard Press, 1965–1985.</w:t>
      </w:r>
    </w:p>
    <w:p w14:paraId="6F4C6DE1" w14:textId="77777777" w:rsidR="00412D77" w:rsidRPr="00FB2D03" w:rsidRDefault="00412D77" w:rsidP="00412D77">
      <w:pPr>
        <w:tabs>
          <w:tab w:val="left" w:pos="5616"/>
        </w:tabs>
        <w:rPr>
          <w:color w:val="000000" w:themeColor="text1"/>
          <w:lang w:val="en-AU"/>
        </w:rPr>
      </w:pPr>
    </w:p>
    <w:p w14:paraId="25ACDEC8" w14:textId="77777777" w:rsidR="00AD1181" w:rsidRPr="00FB2D03" w:rsidRDefault="00412D77" w:rsidP="00412D77">
      <w:pPr>
        <w:tabs>
          <w:tab w:val="left" w:pos="5616"/>
        </w:tabs>
        <w:rPr>
          <w:i/>
          <w:color w:val="000000" w:themeColor="text1"/>
          <w:lang w:val="en-AU"/>
        </w:rPr>
      </w:pPr>
      <w:r w:rsidRPr="00FB2D03">
        <w:rPr>
          <w:color w:val="000000" w:themeColor="text1"/>
          <w:lang w:val="en-AU"/>
        </w:rPr>
        <w:t>Pomeranz, Jonathan A. “The Rabbinic and Roman Laws of Personal Injury.” </w:t>
      </w:r>
      <w:r w:rsidRPr="00FB2D03">
        <w:rPr>
          <w:i/>
          <w:color w:val="000000" w:themeColor="text1"/>
          <w:lang w:val="en-AU"/>
        </w:rPr>
        <w:t xml:space="preserve">Association for </w:t>
      </w:r>
    </w:p>
    <w:p w14:paraId="62204D1E" w14:textId="39C2D61F" w:rsidR="00412D77" w:rsidRPr="00FB2D03" w:rsidRDefault="00412D77" w:rsidP="0059280A">
      <w:pPr>
        <w:tabs>
          <w:tab w:val="left" w:pos="5616"/>
        </w:tabs>
        <w:ind w:left="720"/>
        <w:rPr>
          <w:color w:val="000000" w:themeColor="text1"/>
          <w:lang w:val="en-AU"/>
        </w:rPr>
      </w:pPr>
      <w:r w:rsidRPr="00FB2D03">
        <w:rPr>
          <w:i/>
          <w:color w:val="000000" w:themeColor="text1"/>
          <w:lang w:val="en-AU"/>
        </w:rPr>
        <w:t>Jewish Studies Review</w:t>
      </w:r>
      <w:r w:rsidRPr="00FB2D03">
        <w:rPr>
          <w:color w:val="000000" w:themeColor="text1"/>
          <w:lang w:val="en-AU"/>
        </w:rPr>
        <w:t> 39 (2015): 303–31.</w:t>
      </w:r>
    </w:p>
    <w:p w14:paraId="0C3B65D2" w14:textId="77777777" w:rsidR="00412D77" w:rsidRPr="00FB2D03" w:rsidRDefault="00412D77" w:rsidP="00412D77">
      <w:pPr>
        <w:tabs>
          <w:tab w:val="left" w:pos="5616"/>
        </w:tabs>
        <w:rPr>
          <w:color w:val="000000" w:themeColor="text1"/>
          <w:lang w:val="en-AU"/>
        </w:rPr>
      </w:pPr>
    </w:p>
    <w:p w14:paraId="77E72069"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Pomykala, Kenneth E. “The Davidic Dynasty Tradition in Early Judaism: Its History and </w:t>
      </w:r>
    </w:p>
    <w:p w14:paraId="5DBDEEAC" w14:textId="61AE9820" w:rsidR="00412D77" w:rsidRPr="00FB2D03" w:rsidRDefault="00412D77" w:rsidP="0059280A">
      <w:pPr>
        <w:tabs>
          <w:tab w:val="left" w:pos="5616"/>
        </w:tabs>
        <w:ind w:left="720"/>
        <w:rPr>
          <w:color w:val="000000" w:themeColor="text1"/>
          <w:lang w:val="en-AU"/>
        </w:rPr>
      </w:pPr>
      <w:r w:rsidRPr="00FB2D03">
        <w:rPr>
          <w:color w:val="000000" w:themeColor="text1"/>
          <w:lang w:val="en-AU"/>
        </w:rPr>
        <w:t xml:space="preserve">Significance for Messianism.” </w:t>
      </w:r>
      <w:r w:rsidRPr="00FB2D03">
        <w:rPr>
          <w:i/>
          <w:color w:val="000000" w:themeColor="text1"/>
          <w:lang w:val="en-AU"/>
        </w:rPr>
        <w:t>Society for Biblical Literature: Early Judaism and its Literature</w:t>
      </w:r>
      <w:r w:rsidRPr="00FB2D03">
        <w:rPr>
          <w:color w:val="000000" w:themeColor="text1"/>
          <w:lang w:val="en-AU"/>
        </w:rPr>
        <w:t xml:space="preserve"> 7 (1995)</w:t>
      </w:r>
      <w:r w:rsidR="00013BF9" w:rsidRPr="00FB2D03">
        <w:rPr>
          <w:color w:val="000000" w:themeColor="text1"/>
          <w:lang w:val="en-AU"/>
        </w:rPr>
        <w:t>:</w:t>
      </w:r>
      <w:r w:rsidRPr="00FB2D03">
        <w:rPr>
          <w:color w:val="000000" w:themeColor="text1"/>
          <w:lang w:val="en-AU"/>
        </w:rPr>
        <w:t xml:space="preserve"> 402–06.</w:t>
      </w:r>
    </w:p>
    <w:p w14:paraId="5A7A1DF7" w14:textId="77777777" w:rsidR="00412D77" w:rsidRPr="00FB2D03" w:rsidRDefault="00412D77" w:rsidP="00412D77">
      <w:pPr>
        <w:tabs>
          <w:tab w:val="left" w:pos="5616"/>
        </w:tabs>
        <w:rPr>
          <w:color w:val="000000" w:themeColor="text1"/>
          <w:lang w:val="en-AU"/>
        </w:rPr>
      </w:pPr>
    </w:p>
    <w:p w14:paraId="04B83CC5" w14:textId="77777777" w:rsidR="00AD1181" w:rsidRPr="00FB2D03" w:rsidRDefault="00412D77" w:rsidP="00412D77">
      <w:pPr>
        <w:tabs>
          <w:tab w:val="left" w:pos="5616"/>
        </w:tabs>
        <w:rPr>
          <w:i/>
          <w:color w:val="000000" w:themeColor="text1"/>
          <w:lang w:val="en-AU"/>
        </w:rPr>
      </w:pPr>
      <w:r w:rsidRPr="00FB2D03">
        <w:rPr>
          <w:color w:val="000000" w:themeColor="text1"/>
          <w:lang w:val="en-AU"/>
        </w:rPr>
        <w:t xml:space="preserve">Portier–Young, Anathea. </w:t>
      </w:r>
      <w:r w:rsidRPr="00FB2D03">
        <w:rPr>
          <w:i/>
          <w:color w:val="000000" w:themeColor="text1"/>
          <w:lang w:val="en-AU"/>
        </w:rPr>
        <w:t xml:space="preserve">Apocalypse against Empire: Theologies of Resistance in </w:t>
      </w:r>
    </w:p>
    <w:p w14:paraId="19DC72A3" w14:textId="7256BDB2" w:rsidR="00412D77" w:rsidRPr="00FB2D03" w:rsidRDefault="00412D77" w:rsidP="0059280A">
      <w:pPr>
        <w:tabs>
          <w:tab w:val="left" w:pos="5616"/>
        </w:tabs>
        <w:ind w:left="720"/>
        <w:rPr>
          <w:color w:val="000000" w:themeColor="text1"/>
          <w:lang w:val="en-AU"/>
        </w:rPr>
      </w:pPr>
      <w:r w:rsidRPr="00FB2D03">
        <w:rPr>
          <w:i/>
          <w:color w:val="000000" w:themeColor="text1"/>
          <w:lang w:val="en-AU"/>
        </w:rPr>
        <w:t>Early Judaism</w:t>
      </w:r>
      <w:r w:rsidRPr="00FB2D03">
        <w:rPr>
          <w:color w:val="000000" w:themeColor="text1"/>
          <w:lang w:val="en-AU"/>
        </w:rPr>
        <w:t>. Grand Rapids: Eerdmans, 2014.</w:t>
      </w:r>
    </w:p>
    <w:p w14:paraId="39268BE4" w14:textId="77777777" w:rsidR="00412D77" w:rsidRPr="00FB2D03" w:rsidRDefault="00412D77" w:rsidP="00412D77">
      <w:pPr>
        <w:tabs>
          <w:tab w:val="left" w:pos="5616"/>
        </w:tabs>
        <w:rPr>
          <w:color w:val="000000" w:themeColor="text1"/>
          <w:lang w:val="en-AU"/>
        </w:rPr>
      </w:pPr>
    </w:p>
    <w:p w14:paraId="16D177E8" w14:textId="77777777" w:rsidR="00412D77" w:rsidRPr="00FB2D03" w:rsidRDefault="00412D77" w:rsidP="00412D77">
      <w:pPr>
        <w:tabs>
          <w:tab w:val="left" w:pos="5616"/>
        </w:tabs>
        <w:rPr>
          <w:color w:val="000000" w:themeColor="text1"/>
          <w:lang w:val="en-AU"/>
        </w:rPr>
      </w:pPr>
      <w:r w:rsidRPr="00FB2D03">
        <w:rPr>
          <w:color w:val="000000" w:themeColor="text1"/>
          <w:lang w:val="en-AU"/>
        </w:rPr>
        <w:t>Powell, Mark Allan.</w:t>
      </w:r>
      <w:r w:rsidRPr="00FB2D03">
        <w:rPr>
          <w:i/>
          <w:color w:val="000000" w:themeColor="text1"/>
          <w:lang w:val="en-AU"/>
        </w:rPr>
        <w:t xml:space="preserve"> Matthew and the Margins</w:t>
      </w:r>
      <w:r w:rsidRPr="00FB2D03">
        <w:rPr>
          <w:color w:val="000000" w:themeColor="text1"/>
          <w:lang w:val="en-AU"/>
        </w:rPr>
        <w:t>. Maryknoll: Orbis, 2000.</w:t>
      </w:r>
    </w:p>
    <w:p w14:paraId="7CF1BD18"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 </w:t>
      </w:r>
    </w:p>
    <w:p w14:paraId="58DEA3D2"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Price, Jonathan J. </w:t>
      </w:r>
      <w:r w:rsidRPr="00FB2D03">
        <w:rPr>
          <w:i/>
          <w:color w:val="000000" w:themeColor="text1"/>
          <w:lang w:val="en-AU"/>
        </w:rPr>
        <w:t>Jerusalem Under Siege: The Collapse of the Jewish State 66–70 C.E.</w:t>
      </w:r>
      <w:r w:rsidRPr="00FB2D03">
        <w:rPr>
          <w:color w:val="000000" w:themeColor="text1"/>
          <w:lang w:val="en-AU"/>
        </w:rPr>
        <w:t xml:space="preserve"> </w:t>
      </w:r>
    </w:p>
    <w:p w14:paraId="60F03C4D" w14:textId="4D5F3770" w:rsidR="00412D77" w:rsidRPr="00FB2D03" w:rsidRDefault="00412D77" w:rsidP="0059280A">
      <w:pPr>
        <w:tabs>
          <w:tab w:val="left" w:pos="5616"/>
        </w:tabs>
        <w:ind w:left="720"/>
        <w:rPr>
          <w:color w:val="000000" w:themeColor="text1"/>
          <w:lang w:val="en-AU"/>
        </w:rPr>
      </w:pPr>
      <w:r w:rsidRPr="00FB2D03">
        <w:rPr>
          <w:color w:val="000000" w:themeColor="text1"/>
          <w:lang w:val="en-AU"/>
        </w:rPr>
        <w:t>Brill’s Series in Jewish Studies, 3. Leiden: Brill, 1992: 361.</w:t>
      </w:r>
    </w:p>
    <w:p w14:paraId="7B46361A" w14:textId="77777777" w:rsidR="00412D77" w:rsidRPr="00FB2D03" w:rsidRDefault="00412D77" w:rsidP="00412D77">
      <w:pPr>
        <w:tabs>
          <w:tab w:val="left" w:pos="5616"/>
        </w:tabs>
        <w:rPr>
          <w:color w:val="000000" w:themeColor="text1"/>
          <w:lang w:val="en-AU"/>
        </w:rPr>
      </w:pPr>
    </w:p>
    <w:p w14:paraId="01843151" w14:textId="77777777" w:rsidR="00AD1181" w:rsidRPr="00FB2D03" w:rsidRDefault="00412D77" w:rsidP="00412D77">
      <w:pPr>
        <w:tabs>
          <w:tab w:val="left" w:pos="5616"/>
        </w:tabs>
        <w:rPr>
          <w:color w:val="000000" w:themeColor="text1"/>
          <w:lang w:val="en-AU"/>
        </w:rPr>
      </w:pPr>
      <w:r w:rsidRPr="00FB2D03">
        <w:rPr>
          <w:color w:val="000000" w:themeColor="text1"/>
          <w:lang w:val="en-AU"/>
        </w:rPr>
        <w:t>Pritchard, James Bennett. </w:t>
      </w:r>
      <w:r w:rsidRPr="00FB2D03">
        <w:rPr>
          <w:i/>
          <w:color w:val="000000" w:themeColor="text1"/>
          <w:lang w:val="en-AU"/>
        </w:rPr>
        <w:t xml:space="preserve">The Ancient Near East in Pictures Relating </w:t>
      </w:r>
      <w:proofErr w:type="gramStart"/>
      <w:r w:rsidRPr="00FB2D03">
        <w:rPr>
          <w:i/>
          <w:color w:val="000000" w:themeColor="text1"/>
          <w:lang w:val="en-AU"/>
        </w:rPr>
        <w:t>To</w:t>
      </w:r>
      <w:proofErr w:type="gramEnd"/>
      <w:r w:rsidRPr="00FB2D03">
        <w:rPr>
          <w:i/>
          <w:color w:val="000000" w:themeColor="text1"/>
          <w:lang w:val="en-AU"/>
        </w:rPr>
        <w:t xml:space="preserve"> The Old Testament</w:t>
      </w:r>
      <w:r w:rsidRPr="00FB2D03">
        <w:rPr>
          <w:color w:val="000000" w:themeColor="text1"/>
          <w:lang w:val="en-AU"/>
        </w:rPr>
        <w:t xml:space="preserve">. </w:t>
      </w:r>
    </w:p>
    <w:p w14:paraId="4F96855F" w14:textId="77DD57F4" w:rsidR="00412D77" w:rsidRPr="00FB2D03" w:rsidRDefault="00412D77" w:rsidP="0059280A">
      <w:pPr>
        <w:tabs>
          <w:tab w:val="left" w:pos="5616"/>
        </w:tabs>
        <w:ind w:left="720"/>
        <w:rPr>
          <w:color w:val="000000" w:themeColor="text1"/>
          <w:lang w:val="en-AU"/>
        </w:rPr>
      </w:pPr>
      <w:r w:rsidRPr="00FB2D03">
        <w:rPr>
          <w:color w:val="000000" w:themeColor="text1"/>
          <w:lang w:val="en-AU"/>
        </w:rPr>
        <w:t>Princeton: Princeton University Press, 1994.</w:t>
      </w:r>
    </w:p>
    <w:p w14:paraId="5C876627" w14:textId="77777777" w:rsidR="00412D77" w:rsidRPr="00FB2D03" w:rsidRDefault="00412D77" w:rsidP="00412D77">
      <w:pPr>
        <w:tabs>
          <w:tab w:val="left" w:pos="5616"/>
        </w:tabs>
        <w:rPr>
          <w:color w:val="000000" w:themeColor="text1"/>
          <w:lang w:val="en-AU"/>
        </w:rPr>
      </w:pPr>
    </w:p>
    <w:p w14:paraId="1548FC5D" w14:textId="77777777" w:rsidR="00AD1181" w:rsidRPr="00FB2D03" w:rsidRDefault="00412D77" w:rsidP="00412D77">
      <w:pPr>
        <w:tabs>
          <w:tab w:val="left" w:pos="5616"/>
        </w:tabs>
        <w:rPr>
          <w:i/>
          <w:color w:val="000000" w:themeColor="text1"/>
          <w:lang w:val="en-AU"/>
        </w:rPr>
      </w:pPr>
      <w:r w:rsidRPr="00FB2D03">
        <w:rPr>
          <w:color w:val="000000" w:themeColor="text1"/>
          <w:lang w:val="en-AU"/>
        </w:rPr>
        <w:t>Przybylski, Benno. “The Setting of Matthean Anti–Judaism.” in </w:t>
      </w:r>
      <w:r w:rsidRPr="00FB2D03">
        <w:rPr>
          <w:i/>
          <w:color w:val="000000" w:themeColor="text1"/>
          <w:lang w:val="en-AU"/>
        </w:rPr>
        <w:t xml:space="preserve">Anti–Judaism in Early </w:t>
      </w:r>
    </w:p>
    <w:p w14:paraId="5166BB70" w14:textId="3F0A9D80" w:rsidR="00412D77" w:rsidRPr="00FB2D03" w:rsidRDefault="00412D77" w:rsidP="0059280A">
      <w:pPr>
        <w:tabs>
          <w:tab w:val="left" w:pos="5616"/>
        </w:tabs>
        <w:ind w:left="720"/>
        <w:rPr>
          <w:color w:val="000000" w:themeColor="text1"/>
          <w:lang w:val="en-AU"/>
        </w:rPr>
      </w:pPr>
      <w:r w:rsidRPr="00FB2D03">
        <w:rPr>
          <w:i/>
          <w:color w:val="000000" w:themeColor="text1"/>
          <w:lang w:val="en-AU"/>
        </w:rPr>
        <w:t>Christianity, Paul and the Gospels,</w:t>
      </w:r>
      <w:r w:rsidRPr="00FB2D03">
        <w:rPr>
          <w:color w:val="000000" w:themeColor="text1"/>
          <w:lang w:val="en-AU"/>
        </w:rPr>
        <w:t xml:space="preserve"> Vol. 1. ed. Peter Richardson, David Granskou, and Stephen Wilson, 181-200. Waterloo: Wilfrid Laurier University Press, 1986.</w:t>
      </w:r>
    </w:p>
    <w:p w14:paraId="6D318649" w14:textId="77777777" w:rsidR="00412D77" w:rsidRPr="00FB2D03" w:rsidRDefault="00412D77" w:rsidP="00412D77">
      <w:pPr>
        <w:tabs>
          <w:tab w:val="left" w:pos="5616"/>
        </w:tabs>
        <w:rPr>
          <w:color w:val="000000" w:themeColor="text1"/>
          <w:lang w:val="en-AU"/>
        </w:rPr>
      </w:pPr>
    </w:p>
    <w:p w14:paraId="1FF98D1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Puech, Émile. “L’ Attente Du Retour D’élie Dans L’Ancien Testament Et Les Écrits </w:t>
      </w:r>
    </w:p>
    <w:p w14:paraId="74517229" w14:textId="77777777" w:rsidR="00AD1181" w:rsidRPr="00FB2D03" w:rsidRDefault="00AD1181" w:rsidP="00412D77">
      <w:pPr>
        <w:tabs>
          <w:tab w:val="left" w:pos="5616"/>
        </w:tabs>
        <w:rPr>
          <w:color w:val="000000" w:themeColor="text1"/>
          <w:lang w:val="en-AU"/>
        </w:rPr>
      </w:pPr>
    </w:p>
    <w:p w14:paraId="43A76F45" w14:textId="03B5E651" w:rsidR="00412D77" w:rsidRPr="00FB2D03" w:rsidRDefault="00412D77" w:rsidP="00412D77">
      <w:pPr>
        <w:tabs>
          <w:tab w:val="left" w:pos="5616"/>
        </w:tabs>
        <w:rPr>
          <w:color w:val="000000" w:themeColor="text1"/>
          <w:lang w:val="en-AU"/>
        </w:rPr>
      </w:pPr>
      <w:r w:rsidRPr="00FB2D03">
        <w:rPr>
          <w:color w:val="000000" w:themeColor="text1"/>
          <w:lang w:val="en-AU"/>
        </w:rPr>
        <w:t>Péritestamentaires: 4Q558 Et 4Q521.” </w:t>
      </w:r>
      <w:r w:rsidRPr="00FB2D03">
        <w:rPr>
          <w:i/>
          <w:color w:val="000000" w:themeColor="text1"/>
          <w:lang w:val="en-AU"/>
        </w:rPr>
        <w:t>Revue de Qumran</w:t>
      </w:r>
      <w:r w:rsidRPr="00FB2D03">
        <w:rPr>
          <w:color w:val="000000" w:themeColor="text1"/>
          <w:lang w:val="en-AU"/>
        </w:rPr>
        <w:t xml:space="preserve"> 30 (2018): 3–26. </w:t>
      </w:r>
    </w:p>
    <w:p w14:paraId="09648CD3" w14:textId="77777777" w:rsidR="00412D77" w:rsidRPr="00FB2D03" w:rsidRDefault="00412D77" w:rsidP="00412D77">
      <w:pPr>
        <w:tabs>
          <w:tab w:val="left" w:pos="5616"/>
        </w:tabs>
        <w:rPr>
          <w:color w:val="000000" w:themeColor="text1"/>
          <w:lang w:val="en-AU"/>
        </w:rPr>
      </w:pPr>
    </w:p>
    <w:p w14:paraId="50F363B8" w14:textId="77777777" w:rsidR="00AD1181" w:rsidRPr="00FB2D03" w:rsidRDefault="00412D77" w:rsidP="00412D77">
      <w:pPr>
        <w:tabs>
          <w:tab w:val="left" w:pos="5616"/>
        </w:tabs>
        <w:rPr>
          <w:i/>
          <w:color w:val="000000" w:themeColor="text1"/>
          <w:lang w:val="en-AU"/>
        </w:rPr>
      </w:pPr>
      <w:r w:rsidRPr="00FB2D03">
        <w:rPr>
          <w:color w:val="000000" w:themeColor="text1"/>
          <w:lang w:val="en-AU"/>
        </w:rPr>
        <w:t>Pushkarova, Iva. “Pardon in Roman Legal Tradition (Bulgarian Language).” </w:t>
      </w:r>
      <w:r w:rsidRPr="00FB2D03">
        <w:rPr>
          <w:i/>
          <w:color w:val="000000" w:themeColor="text1"/>
          <w:lang w:val="en-AU"/>
        </w:rPr>
        <w:t xml:space="preserve">Ius </w:t>
      </w:r>
    </w:p>
    <w:p w14:paraId="717B3D90" w14:textId="07376FB2" w:rsidR="00412D77" w:rsidRPr="00FB2D03" w:rsidRDefault="00412D77" w:rsidP="0059280A">
      <w:pPr>
        <w:tabs>
          <w:tab w:val="left" w:pos="5616"/>
        </w:tabs>
        <w:ind w:left="720"/>
        <w:rPr>
          <w:color w:val="000000" w:themeColor="text1"/>
          <w:lang w:val="en-AU"/>
        </w:rPr>
      </w:pPr>
      <w:r w:rsidRPr="00FB2D03">
        <w:rPr>
          <w:i/>
          <w:color w:val="000000" w:themeColor="text1"/>
          <w:lang w:val="en-AU"/>
        </w:rPr>
        <w:t>Romanum</w:t>
      </w:r>
      <w:r w:rsidRPr="00FB2D03">
        <w:rPr>
          <w:color w:val="000000" w:themeColor="text1"/>
          <w:lang w:val="en-AU"/>
        </w:rPr>
        <w:t> 2020 (2020): 721–41.</w:t>
      </w:r>
    </w:p>
    <w:p w14:paraId="1FF59F05" w14:textId="77777777" w:rsidR="00412D77" w:rsidRPr="00FB2D03" w:rsidRDefault="00412D77" w:rsidP="00412D77">
      <w:pPr>
        <w:tabs>
          <w:tab w:val="left" w:pos="5616"/>
        </w:tabs>
        <w:rPr>
          <w:color w:val="000000" w:themeColor="text1"/>
          <w:lang w:val="en-AU"/>
        </w:rPr>
      </w:pPr>
    </w:p>
    <w:p w14:paraId="7EE3B054"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Quine, Cat. “Military Coups in Ancient Israel and Their Implications for Conceptions of </w:t>
      </w:r>
    </w:p>
    <w:p w14:paraId="2CE25743" w14:textId="6B1AD17E" w:rsidR="00412D77" w:rsidRPr="00FB2D03" w:rsidRDefault="00412D77" w:rsidP="0059280A">
      <w:pPr>
        <w:tabs>
          <w:tab w:val="left" w:pos="5616"/>
        </w:tabs>
        <w:ind w:left="720"/>
        <w:rPr>
          <w:color w:val="000000" w:themeColor="text1"/>
          <w:lang w:val="en-AU"/>
        </w:rPr>
      </w:pPr>
      <w:r w:rsidRPr="00FB2D03">
        <w:rPr>
          <w:color w:val="000000" w:themeColor="text1"/>
          <w:lang w:val="en-AU"/>
        </w:rPr>
        <w:t xml:space="preserve">YHWH’s Divine Army.” </w:t>
      </w:r>
      <w:r w:rsidRPr="00FB2D03">
        <w:rPr>
          <w:i/>
          <w:color w:val="000000" w:themeColor="text1"/>
          <w:lang w:val="en-AU"/>
        </w:rPr>
        <w:t>Scandinavian Journal of the Old Testament</w:t>
      </w:r>
      <w:r w:rsidRPr="00FB2D03">
        <w:rPr>
          <w:color w:val="000000" w:themeColor="text1"/>
          <w:lang w:val="en-AU"/>
        </w:rPr>
        <w:t xml:space="preserve"> 34 (2020): 30–42.</w:t>
      </w:r>
    </w:p>
    <w:p w14:paraId="023A7405" w14:textId="77777777" w:rsidR="00412D77" w:rsidRPr="00FB2D03" w:rsidRDefault="00412D77" w:rsidP="00412D77">
      <w:pPr>
        <w:tabs>
          <w:tab w:val="left" w:pos="5616"/>
        </w:tabs>
        <w:rPr>
          <w:color w:val="000000" w:themeColor="text1"/>
          <w:lang w:val="en-AU"/>
        </w:rPr>
      </w:pPr>
    </w:p>
    <w:p w14:paraId="6B379056" w14:textId="77777777" w:rsidR="00AD1181" w:rsidRPr="00FB2D03" w:rsidRDefault="00412D77" w:rsidP="00412D77">
      <w:pPr>
        <w:tabs>
          <w:tab w:val="left" w:pos="5616"/>
        </w:tabs>
        <w:rPr>
          <w:i/>
          <w:color w:val="000000" w:themeColor="text1"/>
          <w:lang w:val="en-AU"/>
        </w:rPr>
      </w:pPr>
      <w:r w:rsidRPr="00FB2D03">
        <w:rPr>
          <w:color w:val="000000" w:themeColor="text1"/>
          <w:lang w:val="en-AU"/>
        </w:rPr>
        <w:t xml:space="preserve">Quigley, Carroll. “Christ and Time: Swiss or Mediterranean?” </w:t>
      </w:r>
      <w:r w:rsidRPr="00FB2D03">
        <w:rPr>
          <w:i/>
          <w:color w:val="000000" w:themeColor="text1"/>
          <w:lang w:val="en-AU"/>
        </w:rPr>
        <w:t xml:space="preserve">The Social World of the </w:t>
      </w:r>
    </w:p>
    <w:p w14:paraId="17818CA8" w14:textId="4B21D00E" w:rsidR="00412D77" w:rsidRPr="00FB2D03" w:rsidRDefault="00412D77" w:rsidP="0059280A">
      <w:pPr>
        <w:tabs>
          <w:tab w:val="left" w:pos="5616"/>
        </w:tabs>
        <w:ind w:left="720"/>
        <w:rPr>
          <w:color w:val="000000" w:themeColor="text1"/>
          <w:lang w:val="en-AU"/>
        </w:rPr>
      </w:pPr>
      <w:r w:rsidRPr="00FB2D03">
        <w:rPr>
          <w:i/>
          <w:color w:val="000000" w:themeColor="text1"/>
          <w:lang w:val="en-AU"/>
        </w:rPr>
        <w:t>Gospels</w:t>
      </w:r>
      <w:r w:rsidRPr="00FB2D03">
        <w:rPr>
          <w:color w:val="000000" w:themeColor="text1"/>
          <w:lang w:val="en-AU"/>
        </w:rPr>
        <w:t>. London: Routledge, 1996.</w:t>
      </w:r>
    </w:p>
    <w:p w14:paraId="5FFDBC48" w14:textId="77777777" w:rsidR="00412D77" w:rsidRPr="00FB2D03" w:rsidRDefault="00412D77" w:rsidP="00412D77">
      <w:pPr>
        <w:tabs>
          <w:tab w:val="left" w:pos="5616"/>
        </w:tabs>
        <w:rPr>
          <w:color w:val="000000" w:themeColor="text1"/>
          <w:lang w:val="en-AU"/>
        </w:rPr>
      </w:pPr>
    </w:p>
    <w:p w14:paraId="0A9FDC02" w14:textId="77777777" w:rsidR="00AD1181" w:rsidRPr="00FB2D03" w:rsidRDefault="00412D77" w:rsidP="00412D77">
      <w:pPr>
        <w:tabs>
          <w:tab w:val="left" w:pos="5616"/>
        </w:tabs>
        <w:rPr>
          <w:i/>
          <w:color w:val="000000" w:themeColor="text1"/>
          <w:lang w:val="en-AU"/>
        </w:rPr>
      </w:pPr>
      <w:r w:rsidRPr="00FB2D03">
        <w:rPr>
          <w:color w:val="000000" w:themeColor="text1"/>
          <w:lang w:val="en-AU"/>
        </w:rPr>
        <w:t xml:space="preserve">Rabello, Alfredo Mordechai. “Civil Justice in Palestine from 63 BCE to 70 CE.” </w:t>
      </w:r>
      <w:r w:rsidRPr="00FB2D03">
        <w:rPr>
          <w:i/>
          <w:color w:val="000000" w:themeColor="text1"/>
          <w:lang w:val="en-AU"/>
        </w:rPr>
        <w:t xml:space="preserve">Classical </w:t>
      </w:r>
    </w:p>
    <w:p w14:paraId="242D104B" w14:textId="3DE16300" w:rsidR="00412D77" w:rsidRPr="00FB2D03" w:rsidRDefault="00412D77" w:rsidP="0059280A">
      <w:pPr>
        <w:tabs>
          <w:tab w:val="left" w:pos="5616"/>
        </w:tabs>
        <w:ind w:left="720"/>
        <w:rPr>
          <w:color w:val="000000" w:themeColor="text1"/>
          <w:lang w:val="en-AU"/>
        </w:rPr>
      </w:pPr>
      <w:r w:rsidRPr="00FB2D03">
        <w:rPr>
          <w:i/>
          <w:color w:val="000000" w:themeColor="text1"/>
          <w:lang w:val="en-AU"/>
        </w:rPr>
        <w:t>Studies in Honor of David Sohlberg</w:t>
      </w:r>
      <w:r w:rsidRPr="00FB2D03">
        <w:rPr>
          <w:color w:val="000000" w:themeColor="text1"/>
          <w:lang w:val="en-AU"/>
        </w:rPr>
        <w:t>. ed. Ranon Katzoff, Yaakov Petroff, and David Schaps. Ramat Gan: Bar–Ilan University Press, 1996.</w:t>
      </w:r>
    </w:p>
    <w:p w14:paraId="6FD6C391" w14:textId="77777777" w:rsidR="00412D77" w:rsidRPr="00FB2D03" w:rsidRDefault="00412D77" w:rsidP="00412D77">
      <w:pPr>
        <w:tabs>
          <w:tab w:val="left" w:pos="5616"/>
        </w:tabs>
        <w:rPr>
          <w:color w:val="000000" w:themeColor="text1"/>
          <w:lang w:val="en-AU"/>
        </w:rPr>
      </w:pPr>
    </w:p>
    <w:p w14:paraId="1D1985F8"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Rad, Gerhard von. </w:t>
      </w:r>
      <w:r w:rsidRPr="00FB2D03">
        <w:rPr>
          <w:i/>
          <w:color w:val="000000" w:themeColor="text1"/>
          <w:lang w:val="en-AU"/>
        </w:rPr>
        <w:t>Deuteronomy</w:t>
      </w:r>
      <w:r w:rsidRPr="00FB2D03">
        <w:rPr>
          <w:color w:val="000000" w:themeColor="text1"/>
          <w:lang w:val="en-AU"/>
        </w:rPr>
        <w:t>. London: Student Christian Movement Press, 1988.</w:t>
      </w:r>
    </w:p>
    <w:p w14:paraId="77352AF8" w14:textId="77777777" w:rsidR="00412D77" w:rsidRPr="00FB2D03" w:rsidRDefault="00412D77" w:rsidP="00412D77">
      <w:pPr>
        <w:tabs>
          <w:tab w:val="left" w:pos="5616"/>
        </w:tabs>
        <w:rPr>
          <w:color w:val="000000" w:themeColor="text1"/>
          <w:lang w:val="en-AU"/>
        </w:rPr>
      </w:pPr>
    </w:p>
    <w:p w14:paraId="10EE8E2D" w14:textId="719C2F63" w:rsidR="00412D77" w:rsidRPr="00FB2D03" w:rsidRDefault="01B55689" w:rsidP="01B55689">
      <w:pPr>
        <w:tabs>
          <w:tab w:val="left" w:pos="5616"/>
        </w:tabs>
        <w:rPr>
          <w:color w:val="000000" w:themeColor="text1"/>
          <w:lang w:val="en-AU"/>
        </w:rPr>
      </w:pPr>
      <w:r w:rsidRPr="00FB2D03">
        <w:rPr>
          <w:color w:val="000000" w:themeColor="text1"/>
          <w:lang w:val="en-AU"/>
        </w:rPr>
        <w:t>Radzyner, Amihai. “‘We Act as Their Agents’ and the Prohibition of Judgement by</w:t>
      </w:r>
    </w:p>
    <w:p w14:paraId="4DBE6EEB" w14:textId="3E046AC7" w:rsidR="00412D77" w:rsidRPr="00FB2D03" w:rsidRDefault="01B55689" w:rsidP="0059280A">
      <w:pPr>
        <w:tabs>
          <w:tab w:val="left" w:pos="5616"/>
        </w:tabs>
        <w:ind w:left="720"/>
        <w:rPr>
          <w:color w:val="000000" w:themeColor="text1"/>
          <w:lang w:val="en-AU"/>
        </w:rPr>
      </w:pPr>
      <w:r w:rsidRPr="00FB2D03">
        <w:rPr>
          <w:color w:val="000000" w:themeColor="text1"/>
          <w:lang w:val="en-AU"/>
        </w:rPr>
        <w:t>Laymen: A Discussion of Babylonian Talmud Gitten 88b.” </w:t>
      </w:r>
      <w:r w:rsidRPr="00FB2D03">
        <w:rPr>
          <w:i/>
          <w:iCs/>
          <w:color w:val="000000" w:themeColor="text1"/>
          <w:lang w:val="en-AU"/>
        </w:rPr>
        <w:t>Association for Jewish Studies Review</w:t>
      </w:r>
      <w:r w:rsidRPr="00FB2D03">
        <w:rPr>
          <w:color w:val="000000" w:themeColor="text1"/>
          <w:lang w:val="en-AU"/>
        </w:rPr>
        <w:t xml:space="preserve"> 37 (2013): 257–83. </w:t>
      </w:r>
    </w:p>
    <w:p w14:paraId="1DB20CE8" w14:textId="77777777" w:rsidR="00412D77" w:rsidRPr="00FB2D03" w:rsidRDefault="00412D77" w:rsidP="00412D77">
      <w:pPr>
        <w:tabs>
          <w:tab w:val="left" w:pos="5616"/>
        </w:tabs>
        <w:rPr>
          <w:color w:val="000000" w:themeColor="text1"/>
          <w:lang w:val="en-AU"/>
        </w:rPr>
      </w:pPr>
    </w:p>
    <w:p w14:paraId="52A5EA76" w14:textId="77777777" w:rsidR="00412D77" w:rsidRPr="00FB2D03" w:rsidRDefault="00412D77" w:rsidP="00412D77">
      <w:pPr>
        <w:tabs>
          <w:tab w:val="left" w:pos="5616"/>
        </w:tabs>
        <w:rPr>
          <w:color w:val="000000" w:themeColor="text1"/>
          <w:lang w:val="en-AU"/>
        </w:rPr>
      </w:pPr>
      <w:r w:rsidRPr="00FB2D03">
        <w:rPr>
          <w:color w:val="000000" w:themeColor="text1"/>
          <w:lang w:val="en-AU"/>
        </w:rPr>
        <w:t>Rae, Scott B. </w:t>
      </w:r>
      <w:r w:rsidRPr="00FB2D03">
        <w:rPr>
          <w:i/>
          <w:color w:val="000000" w:themeColor="text1"/>
          <w:lang w:val="en-AU"/>
        </w:rPr>
        <w:t>Introducing Christian Ethics</w:t>
      </w:r>
      <w:r w:rsidRPr="00FB2D03">
        <w:rPr>
          <w:color w:val="000000" w:themeColor="text1"/>
          <w:lang w:val="en-AU"/>
        </w:rPr>
        <w:t>. Grand Rapids: Zondervan, 2000.</w:t>
      </w:r>
    </w:p>
    <w:p w14:paraId="422083F6" w14:textId="77777777" w:rsidR="00412D77" w:rsidRPr="00FB2D03" w:rsidRDefault="00412D77" w:rsidP="00412D77">
      <w:pPr>
        <w:tabs>
          <w:tab w:val="left" w:pos="5616"/>
        </w:tabs>
        <w:rPr>
          <w:color w:val="000000" w:themeColor="text1"/>
          <w:lang w:val="en-AU"/>
        </w:rPr>
      </w:pPr>
    </w:p>
    <w:p w14:paraId="74735F10"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Rajak, T. </w:t>
      </w:r>
      <w:r w:rsidRPr="00FB2D03">
        <w:rPr>
          <w:i/>
          <w:color w:val="000000" w:themeColor="text1"/>
          <w:lang w:val="en-AU"/>
        </w:rPr>
        <w:t>Josephus: The Historian and his Society</w:t>
      </w:r>
      <w:r w:rsidRPr="00FB2D03">
        <w:rPr>
          <w:color w:val="000000" w:themeColor="text1"/>
          <w:lang w:val="en-AU"/>
        </w:rPr>
        <w:t>. London: Duckworth, 1983.</w:t>
      </w:r>
    </w:p>
    <w:p w14:paraId="0912DBD5" w14:textId="77777777" w:rsidR="00412D77" w:rsidRPr="00FB2D03" w:rsidRDefault="00412D77" w:rsidP="00412D77">
      <w:pPr>
        <w:tabs>
          <w:tab w:val="left" w:pos="5616"/>
        </w:tabs>
        <w:rPr>
          <w:color w:val="000000" w:themeColor="text1"/>
          <w:lang w:val="en-AU"/>
        </w:rPr>
      </w:pPr>
    </w:p>
    <w:p w14:paraId="29BFB825"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Ravilas, Nestor M. “Precarious Life, Justified Aggression, and Ritualized Violence: Is There </w:t>
      </w:r>
    </w:p>
    <w:p w14:paraId="338826F6" w14:textId="35D79018" w:rsidR="00412D77" w:rsidRPr="00FB2D03" w:rsidRDefault="00412D77" w:rsidP="0059280A">
      <w:pPr>
        <w:tabs>
          <w:tab w:val="left" w:pos="5616"/>
        </w:tabs>
        <w:ind w:left="720"/>
        <w:rPr>
          <w:color w:val="000000" w:themeColor="text1"/>
          <w:lang w:val="en-AU"/>
        </w:rPr>
      </w:pPr>
      <w:r w:rsidRPr="00FB2D03">
        <w:rPr>
          <w:color w:val="000000" w:themeColor="text1"/>
          <w:lang w:val="en-AU"/>
        </w:rPr>
        <w:lastRenderedPageBreak/>
        <w:t>a Place for ‘Loving Your Enemy’ in a World of Violence?” </w:t>
      </w:r>
      <w:r w:rsidRPr="00FB2D03">
        <w:rPr>
          <w:i/>
          <w:color w:val="000000" w:themeColor="text1"/>
          <w:lang w:val="en-AU"/>
        </w:rPr>
        <w:t>The Asia Journal of Theology</w:t>
      </w:r>
      <w:r w:rsidRPr="00FB2D03">
        <w:rPr>
          <w:color w:val="000000" w:themeColor="text1"/>
          <w:lang w:val="en-AU"/>
        </w:rPr>
        <w:t> 31(2017): 82–98.</w:t>
      </w:r>
    </w:p>
    <w:p w14:paraId="094B8822" w14:textId="77777777" w:rsidR="00412D77" w:rsidRPr="00FB2D03" w:rsidRDefault="00412D77" w:rsidP="00412D77">
      <w:pPr>
        <w:tabs>
          <w:tab w:val="left" w:pos="5616"/>
        </w:tabs>
        <w:rPr>
          <w:color w:val="000000" w:themeColor="text1"/>
          <w:lang w:val="en-AU"/>
        </w:rPr>
      </w:pPr>
    </w:p>
    <w:p w14:paraId="6D26D170" w14:textId="5239BD9D" w:rsidR="00412D77" w:rsidRPr="00FB2D03" w:rsidRDefault="01B55689" w:rsidP="01B55689">
      <w:pPr>
        <w:tabs>
          <w:tab w:val="left" w:pos="5616"/>
        </w:tabs>
        <w:rPr>
          <w:color w:val="000000" w:themeColor="text1"/>
          <w:lang w:val="en-AU"/>
        </w:rPr>
      </w:pPr>
      <w:r w:rsidRPr="00FB2D03">
        <w:rPr>
          <w:color w:val="000000" w:themeColor="text1"/>
          <w:lang w:val="en-AU"/>
        </w:rPr>
        <w:t xml:space="preserve">Ravitzky, Aviezer “Prohibited Wars.” In </w:t>
      </w:r>
      <w:r w:rsidRPr="00FB2D03">
        <w:rPr>
          <w:i/>
          <w:iCs/>
          <w:color w:val="000000" w:themeColor="text1"/>
          <w:lang w:val="en-AU"/>
        </w:rPr>
        <w:t>Law, Politics, and Morality in Judaism</w:t>
      </w:r>
      <w:r w:rsidRPr="00FB2D03">
        <w:rPr>
          <w:color w:val="000000" w:themeColor="text1"/>
          <w:lang w:val="en-AU"/>
        </w:rPr>
        <w:t xml:space="preserve">. ed. </w:t>
      </w:r>
    </w:p>
    <w:p w14:paraId="31B22EE2" w14:textId="58F6C6CA" w:rsidR="00412D77" w:rsidRPr="00FB2D03" w:rsidRDefault="01B55689" w:rsidP="01B55689">
      <w:pPr>
        <w:tabs>
          <w:tab w:val="left" w:pos="5616"/>
        </w:tabs>
        <w:ind w:firstLine="720"/>
        <w:rPr>
          <w:color w:val="000000" w:themeColor="text1"/>
          <w:lang w:val="en-AU"/>
        </w:rPr>
      </w:pPr>
      <w:r w:rsidRPr="00FB2D03">
        <w:rPr>
          <w:color w:val="000000" w:themeColor="text1"/>
          <w:lang w:val="en-AU"/>
        </w:rPr>
        <w:t>Michael Waizer. Princeton, 169-181. Princeton University Press, 2006.</w:t>
      </w:r>
    </w:p>
    <w:p w14:paraId="1BBD663A" w14:textId="77777777" w:rsidR="00412D77" w:rsidRPr="00FB2D03" w:rsidRDefault="00412D77" w:rsidP="00412D77">
      <w:pPr>
        <w:tabs>
          <w:tab w:val="left" w:pos="5616"/>
        </w:tabs>
        <w:rPr>
          <w:color w:val="000000" w:themeColor="text1"/>
          <w:lang w:val="en-AU"/>
        </w:rPr>
      </w:pPr>
    </w:p>
    <w:p w14:paraId="4BD14575" w14:textId="77777777" w:rsidR="00AD1181" w:rsidRPr="00FB2D03" w:rsidRDefault="00412D77" w:rsidP="00412D77">
      <w:pPr>
        <w:tabs>
          <w:tab w:val="left" w:pos="5616"/>
        </w:tabs>
        <w:rPr>
          <w:i/>
          <w:color w:val="000000" w:themeColor="text1"/>
          <w:lang w:val="en-AU"/>
        </w:rPr>
      </w:pPr>
      <w:r w:rsidRPr="00FB2D03">
        <w:rPr>
          <w:color w:val="000000" w:themeColor="text1"/>
          <w:lang w:val="en-AU"/>
        </w:rPr>
        <w:t>Reeder, Caryn A. “Deuteronomy 21.10-14 and/as Wartime Rape.”</w:t>
      </w:r>
      <w:r w:rsidRPr="00FB2D03">
        <w:rPr>
          <w:i/>
          <w:color w:val="000000" w:themeColor="text1"/>
          <w:lang w:val="en-AU"/>
        </w:rPr>
        <w:t xml:space="preserve"> Journal for the Study of </w:t>
      </w:r>
    </w:p>
    <w:p w14:paraId="4C07758B" w14:textId="04299F4F" w:rsidR="00412D77" w:rsidRPr="00FB2D03" w:rsidRDefault="00412D77" w:rsidP="0059280A">
      <w:pPr>
        <w:tabs>
          <w:tab w:val="left" w:pos="5616"/>
        </w:tabs>
        <w:ind w:left="720"/>
        <w:rPr>
          <w:color w:val="000000" w:themeColor="text1"/>
          <w:lang w:val="en-AU"/>
        </w:rPr>
      </w:pPr>
      <w:r w:rsidRPr="00FB2D03">
        <w:rPr>
          <w:i/>
          <w:color w:val="000000" w:themeColor="text1"/>
          <w:lang w:val="en-AU"/>
        </w:rPr>
        <w:t>the Old Testament</w:t>
      </w:r>
      <w:r w:rsidRPr="00FB2D03">
        <w:rPr>
          <w:color w:val="000000" w:themeColor="text1"/>
          <w:lang w:val="en-AU"/>
        </w:rPr>
        <w:t> 41 (2017): 313–36.</w:t>
      </w:r>
    </w:p>
    <w:p w14:paraId="5535315B" w14:textId="77777777" w:rsidR="00412D77" w:rsidRPr="00FB2D03" w:rsidRDefault="00412D77" w:rsidP="00412D77">
      <w:pPr>
        <w:tabs>
          <w:tab w:val="left" w:pos="5616"/>
        </w:tabs>
        <w:rPr>
          <w:color w:val="000000" w:themeColor="text1"/>
          <w:lang w:val="en-AU"/>
        </w:rPr>
      </w:pPr>
    </w:p>
    <w:p w14:paraId="237AB517" w14:textId="77777777" w:rsidR="00AD1181" w:rsidRPr="00FB2D03" w:rsidRDefault="00412D77" w:rsidP="00412D77">
      <w:pPr>
        <w:tabs>
          <w:tab w:val="left" w:pos="5616"/>
        </w:tabs>
        <w:rPr>
          <w:i/>
          <w:color w:val="000000" w:themeColor="text1"/>
          <w:lang w:val="en-AU"/>
        </w:rPr>
      </w:pPr>
      <w:r w:rsidRPr="00FB2D03">
        <w:rPr>
          <w:color w:val="000000" w:themeColor="text1"/>
          <w:lang w:val="en-AU"/>
        </w:rPr>
        <w:t>________. “Wartime Rape, the Romans, and the First Jewish Revolt.” </w:t>
      </w:r>
      <w:r w:rsidRPr="00FB2D03">
        <w:rPr>
          <w:i/>
          <w:color w:val="000000" w:themeColor="text1"/>
          <w:lang w:val="en-AU"/>
        </w:rPr>
        <w:t xml:space="preserve">Journal for the Study </w:t>
      </w:r>
    </w:p>
    <w:p w14:paraId="74B3646B" w14:textId="3E3EB877" w:rsidR="00412D77" w:rsidRPr="00FB2D03" w:rsidRDefault="00412D77" w:rsidP="0059280A">
      <w:pPr>
        <w:tabs>
          <w:tab w:val="left" w:pos="5616"/>
        </w:tabs>
        <w:ind w:left="720"/>
        <w:rPr>
          <w:color w:val="000000" w:themeColor="text1"/>
          <w:lang w:val="en-AU"/>
        </w:rPr>
      </w:pPr>
      <w:r w:rsidRPr="00FB2D03">
        <w:rPr>
          <w:i/>
          <w:color w:val="000000" w:themeColor="text1"/>
          <w:lang w:val="en-AU"/>
        </w:rPr>
        <w:t>of Judaism in the Persian, Hellenistic, and Roman Period</w:t>
      </w:r>
      <w:r w:rsidRPr="00FB2D03">
        <w:rPr>
          <w:color w:val="000000" w:themeColor="text1"/>
          <w:lang w:val="en-AU"/>
        </w:rPr>
        <w:t> 48 (2017): 363–85.</w:t>
      </w:r>
    </w:p>
    <w:p w14:paraId="21206073" w14:textId="77777777" w:rsidR="00412D77" w:rsidRPr="00FB2D03" w:rsidRDefault="00412D77" w:rsidP="00412D77">
      <w:pPr>
        <w:tabs>
          <w:tab w:val="left" w:pos="5616"/>
        </w:tabs>
        <w:rPr>
          <w:color w:val="000000" w:themeColor="text1"/>
          <w:lang w:val="en-AU"/>
        </w:rPr>
      </w:pPr>
    </w:p>
    <w:p w14:paraId="4ECC560B" w14:textId="66B7FB5B" w:rsidR="00412D77" w:rsidRPr="00FB2D03" w:rsidRDefault="01B55689" w:rsidP="01B55689">
      <w:pPr>
        <w:tabs>
          <w:tab w:val="left" w:pos="5616"/>
        </w:tabs>
        <w:rPr>
          <w:color w:val="000000" w:themeColor="text1"/>
          <w:lang w:val="en-AU"/>
        </w:rPr>
      </w:pPr>
      <w:r w:rsidRPr="00FB2D03">
        <w:rPr>
          <w:color w:val="000000" w:themeColor="text1"/>
          <w:lang w:val="en-AU"/>
        </w:rPr>
        <w:t xml:space="preserve">Reichart, Victor E. </w:t>
      </w:r>
      <w:r w:rsidRPr="00FB2D03">
        <w:rPr>
          <w:i/>
          <w:iCs/>
          <w:color w:val="000000" w:themeColor="text1"/>
          <w:lang w:val="en-AU"/>
        </w:rPr>
        <w:t>Job: With Hebrew Text and English Translation</w:t>
      </w:r>
      <w:r w:rsidRPr="00FB2D03">
        <w:rPr>
          <w:color w:val="000000" w:themeColor="text1"/>
          <w:lang w:val="en-AU"/>
        </w:rPr>
        <w:t xml:space="preserve">. ed. A. Cohen. </w:t>
      </w:r>
    </w:p>
    <w:p w14:paraId="7220CDC0" w14:textId="44D39D8B" w:rsidR="00412D77" w:rsidRPr="00FB2D03" w:rsidRDefault="01B55689" w:rsidP="01B55689">
      <w:pPr>
        <w:tabs>
          <w:tab w:val="left" w:pos="5616"/>
        </w:tabs>
        <w:ind w:firstLine="720"/>
        <w:rPr>
          <w:color w:val="000000" w:themeColor="text1"/>
          <w:lang w:val="en-AU"/>
        </w:rPr>
      </w:pPr>
      <w:r w:rsidRPr="00FB2D03">
        <w:rPr>
          <w:color w:val="000000" w:themeColor="text1"/>
          <w:lang w:val="en-AU"/>
        </w:rPr>
        <w:t>Hindhead: Soncino, 1946.</w:t>
      </w:r>
    </w:p>
    <w:p w14:paraId="6F8244DE" w14:textId="77777777" w:rsidR="00412D77" w:rsidRPr="00FB2D03" w:rsidRDefault="00412D77" w:rsidP="00412D77">
      <w:pPr>
        <w:tabs>
          <w:tab w:val="left" w:pos="5616"/>
        </w:tabs>
        <w:rPr>
          <w:color w:val="000000" w:themeColor="text1"/>
          <w:lang w:val="en-AU"/>
        </w:rPr>
      </w:pPr>
    </w:p>
    <w:p w14:paraId="5753B661" w14:textId="77777777" w:rsidR="00AD1181" w:rsidRPr="00FB2D03" w:rsidRDefault="00412D77" w:rsidP="00412D77">
      <w:pPr>
        <w:tabs>
          <w:tab w:val="left" w:pos="5616"/>
        </w:tabs>
        <w:rPr>
          <w:i/>
          <w:color w:val="000000" w:themeColor="text1"/>
          <w:lang w:val="en-AU"/>
        </w:rPr>
      </w:pPr>
      <w:r w:rsidRPr="00FB2D03">
        <w:rPr>
          <w:color w:val="000000" w:themeColor="text1"/>
          <w:lang w:val="en-AU"/>
        </w:rPr>
        <w:t>________. “Wartime Rape, the Romans, and the First Jewish Revolt.” </w:t>
      </w:r>
      <w:r w:rsidRPr="00FB2D03">
        <w:rPr>
          <w:i/>
          <w:color w:val="000000" w:themeColor="text1"/>
          <w:lang w:val="en-AU"/>
        </w:rPr>
        <w:t xml:space="preserve">Journal for the Study </w:t>
      </w:r>
    </w:p>
    <w:p w14:paraId="7398FE3E" w14:textId="61355D93" w:rsidR="00412D77" w:rsidRPr="00FB2D03" w:rsidRDefault="00412D77" w:rsidP="0059280A">
      <w:pPr>
        <w:tabs>
          <w:tab w:val="left" w:pos="5616"/>
        </w:tabs>
        <w:ind w:left="720"/>
        <w:rPr>
          <w:color w:val="000000" w:themeColor="text1"/>
          <w:lang w:val="en-AU"/>
        </w:rPr>
      </w:pPr>
      <w:r w:rsidRPr="00FB2D03">
        <w:rPr>
          <w:i/>
          <w:color w:val="000000" w:themeColor="text1"/>
          <w:lang w:val="en-AU"/>
        </w:rPr>
        <w:t xml:space="preserve">of Judaism in the Persian, </w:t>
      </w:r>
      <w:proofErr w:type="gramStart"/>
      <w:r w:rsidRPr="00FB2D03">
        <w:rPr>
          <w:i/>
          <w:color w:val="000000" w:themeColor="text1"/>
          <w:lang w:val="en-AU"/>
        </w:rPr>
        <w:t>Hellenistic</w:t>
      </w:r>
      <w:proofErr w:type="gramEnd"/>
      <w:r w:rsidRPr="00FB2D03">
        <w:rPr>
          <w:i/>
          <w:color w:val="000000" w:themeColor="text1"/>
          <w:lang w:val="en-AU"/>
        </w:rPr>
        <w:t xml:space="preserve"> and Roman Period</w:t>
      </w:r>
      <w:r w:rsidRPr="00FB2D03">
        <w:rPr>
          <w:color w:val="000000" w:themeColor="text1"/>
          <w:lang w:val="en-AU"/>
        </w:rPr>
        <w:t> 48 (2017): 363–85.</w:t>
      </w:r>
    </w:p>
    <w:p w14:paraId="4F5E8BA1" w14:textId="77777777" w:rsidR="00412D77" w:rsidRPr="00FB2D03" w:rsidRDefault="00412D77" w:rsidP="00412D77">
      <w:pPr>
        <w:tabs>
          <w:tab w:val="left" w:pos="5616"/>
        </w:tabs>
        <w:rPr>
          <w:color w:val="000000" w:themeColor="text1"/>
          <w:lang w:val="en-AU"/>
        </w:rPr>
      </w:pPr>
    </w:p>
    <w:p w14:paraId="791F8A1C" w14:textId="77777777" w:rsidR="00412D77" w:rsidRPr="00FB2D03" w:rsidRDefault="00412D77" w:rsidP="00412D77">
      <w:pPr>
        <w:tabs>
          <w:tab w:val="left" w:pos="5616"/>
        </w:tabs>
        <w:rPr>
          <w:color w:val="000000" w:themeColor="text1"/>
          <w:lang w:val="en-AU"/>
        </w:rPr>
      </w:pPr>
      <w:r w:rsidRPr="00FB2D03">
        <w:rPr>
          <w:color w:val="000000" w:themeColor="text1"/>
          <w:lang w:val="en-AU"/>
        </w:rPr>
        <w:t>Reiser, Marius.  </w:t>
      </w:r>
      <w:r w:rsidRPr="00FB2D03">
        <w:rPr>
          <w:i/>
          <w:color w:val="000000" w:themeColor="text1"/>
          <w:lang w:val="en-AU"/>
        </w:rPr>
        <w:t>Jesus and Judgment</w:t>
      </w:r>
      <w:r w:rsidRPr="00FB2D03">
        <w:rPr>
          <w:color w:val="000000" w:themeColor="text1"/>
          <w:lang w:val="en-AU"/>
        </w:rPr>
        <w:t>. Minneapolis: Fortress Press, 1997.</w:t>
      </w:r>
    </w:p>
    <w:p w14:paraId="4A024038" w14:textId="77777777" w:rsidR="00412D77" w:rsidRPr="00FB2D03" w:rsidRDefault="00412D77" w:rsidP="00412D77">
      <w:pPr>
        <w:tabs>
          <w:tab w:val="left" w:pos="5616"/>
        </w:tabs>
        <w:rPr>
          <w:color w:val="000000" w:themeColor="text1"/>
          <w:lang w:val="en-AU"/>
        </w:rPr>
      </w:pPr>
    </w:p>
    <w:p w14:paraId="53667B7C" w14:textId="6448219F" w:rsidR="00412D77" w:rsidRPr="00FB2D03" w:rsidRDefault="00412D77" w:rsidP="00412D77">
      <w:pPr>
        <w:tabs>
          <w:tab w:val="left" w:pos="5616"/>
        </w:tabs>
        <w:rPr>
          <w:color w:val="000000" w:themeColor="text1"/>
          <w:lang w:val="en-AU"/>
        </w:rPr>
      </w:pPr>
      <w:r w:rsidRPr="00FB2D03">
        <w:rPr>
          <w:color w:val="000000" w:themeColor="text1"/>
          <w:lang w:val="en-AU"/>
        </w:rPr>
        <w:t xml:space="preserve">Reiss, Moshe. “Cyrus as Messiah.” </w:t>
      </w:r>
      <w:r w:rsidRPr="00FB2D03">
        <w:rPr>
          <w:i/>
          <w:color w:val="000000" w:themeColor="text1"/>
          <w:lang w:val="en-AU"/>
        </w:rPr>
        <w:t>Jewish Bible Quarterly</w:t>
      </w:r>
      <w:r w:rsidRPr="00FB2D03">
        <w:rPr>
          <w:color w:val="000000" w:themeColor="text1"/>
          <w:lang w:val="en-AU"/>
        </w:rPr>
        <w:t xml:space="preserve"> 40 (2012): 159–62.</w:t>
      </w:r>
    </w:p>
    <w:p w14:paraId="1D9C2767" w14:textId="77777777" w:rsidR="00412D77" w:rsidRPr="00FB2D03" w:rsidRDefault="00412D77" w:rsidP="00412D77">
      <w:pPr>
        <w:tabs>
          <w:tab w:val="left" w:pos="5616"/>
        </w:tabs>
        <w:rPr>
          <w:color w:val="000000" w:themeColor="text1"/>
          <w:lang w:val="en-AU"/>
        </w:rPr>
      </w:pPr>
    </w:p>
    <w:p w14:paraId="1CEDBEBF" w14:textId="77777777" w:rsidR="00AD1181" w:rsidRPr="00FB2D03" w:rsidRDefault="00412D77" w:rsidP="00412D77">
      <w:pPr>
        <w:tabs>
          <w:tab w:val="left" w:pos="5616"/>
        </w:tabs>
        <w:rPr>
          <w:i/>
          <w:color w:val="000000" w:themeColor="text1"/>
          <w:lang w:val="en-AU"/>
        </w:rPr>
      </w:pPr>
      <w:r w:rsidRPr="00FB2D03">
        <w:rPr>
          <w:color w:val="000000" w:themeColor="text1"/>
          <w:lang w:val="en-AU"/>
        </w:rPr>
        <w:t>Reed, Johnathan. “Instability in Jesus’ Galilee: A Demographic Perspective.” </w:t>
      </w:r>
      <w:r w:rsidRPr="00FB2D03">
        <w:rPr>
          <w:i/>
          <w:color w:val="000000" w:themeColor="text1"/>
          <w:lang w:val="en-AU"/>
        </w:rPr>
        <w:t xml:space="preserve">Journal of </w:t>
      </w:r>
    </w:p>
    <w:p w14:paraId="0AA06EB7" w14:textId="3C5ED3BD" w:rsidR="00412D77" w:rsidRPr="00FB2D03" w:rsidRDefault="00412D77" w:rsidP="0059280A">
      <w:pPr>
        <w:tabs>
          <w:tab w:val="left" w:pos="5616"/>
        </w:tabs>
        <w:ind w:left="720"/>
        <w:rPr>
          <w:color w:val="000000" w:themeColor="text1"/>
          <w:lang w:val="en-AU"/>
        </w:rPr>
      </w:pPr>
      <w:r w:rsidRPr="00FB2D03">
        <w:rPr>
          <w:i/>
          <w:color w:val="000000" w:themeColor="text1"/>
          <w:lang w:val="en-AU"/>
        </w:rPr>
        <w:t>Biblical Literature</w:t>
      </w:r>
      <w:r w:rsidRPr="00FB2D03">
        <w:rPr>
          <w:color w:val="000000" w:themeColor="text1"/>
          <w:lang w:val="en-AU"/>
        </w:rPr>
        <w:t> 129 (2010): 343.</w:t>
      </w:r>
    </w:p>
    <w:p w14:paraId="47C42338" w14:textId="77777777" w:rsidR="00412D77" w:rsidRPr="00FB2D03" w:rsidRDefault="00412D77" w:rsidP="00412D77">
      <w:pPr>
        <w:tabs>
          <w:tab w:val="left" w:pos="5616"/>
        </w:tabs>
        <w:rPr>
          <w:color w:val="000000" w:themeColor="text1"/>
          <w:lang w:val="en-AU"/>
        </w:rPr>
      </w:pPr>
    </w:p>
    <w:p w14:paraId="182CDBD4"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Regev, Eyal. “Were All Priests the Same? Qumranic Halakhah in Comparison with </w:t>
      </w:r>
    </w:p>
    <w:p w14:paraId="4A87F2C9" w14:textId="3A56349A" w:rsidR="00412D77" w:rsidRPr="00FB2D03" w:rsidRDefault="00412D77" w:rsidP="0059280A">
      <w:pPr>
        <w:tabs>
          <w:tab w:val="left" w:pos="5616"/>
        </w:tabs>
        <w:ind w:left="720"/>
        <w:rPr>
          <w:color w:val="000000" w:themeColor="text1"/>
          <w:lang w:val="en-AU"/>
        </w:rPr>
      </w:pPr>
      <w:r w:rsidRPr="00FB2D03">
        <w:rPr>
          <w:color w:val="000000" w:themeColor="text1"/>
          <w:lang w:val="en-AU"/>
        </w:rPr>
        <w:t>Sadducean Halakhah.” </w:t>
      </w:r>
      <w:r w:rsidRPr="00FB2D03">
        <w:rPr>
          <w:i/>
          <w:color w:val="000000" w:themeColor="text1"/>
          <w:lang w:val="en-AU"/>
        </w:rPr>
        <w:t>Dead Sea Discoveries</w:t>
      </w:r>
      <w:r w:rsidRPr="00FB2D03">
        <w:rPr>
          <w:color w:val="000000" w:themeColor="text1"/>
          <w:lang w:val="en-AU"/>
        </w:rPr>
        <w:t> 12 (2005): 158–88.</w:t>
      </w:r>
    </w:p>
    <w:p w14:paraId="5C79E1E2" w14:textId="77777777" w:rsidR="00412D77" w:rsidRPr="00FB2D03" w:rsidRDefault="00412D77" w:rsidP="00412D77">
      <w:pPr>
        <w:tabs>
          <w:tab w:val="left" w:pos="5616"/>
        </w:tabs>
        <w:rPr>
          <w:color w:val="000000" w:themeColor="text1"/>
          <w:lang w:val="en-AU"/>
        </w:rPr>
      </w:pPr>
    </w:p>
    <w:p w14:paraId="55789072"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Rey, M.I. “Reexamination of the Foreign Female Captive: Deuteronomy 21:10-14 as a Case </w:t>
      </w:r>
    </w:p>
    <w:p w14:paraId="4ADB8546" w14:textId="7C1890D1" w:rsidR="00412D77" w:rsidRPr="00FB2D03" w:rsidRDefault="00412D77" w:rsidP="0059280A">
      <w:pPr>
        <w:tabs>
          <w:tab w:val="left" w:pos="5616"/>
        </w:tabs>
        <w:ind w:left="720"/>
        <w:rPr>
          <w:color w:val="000000" w:themeColor="text1"/>
          <w:lang w:val="en-AU"/>
        </w:rPr>
      </w:pPr>
      <w:r w:rsidRPr="00FB2D03">
        <w:rPr>
          <w:color w:val="000000" w:themeColor="text1"/>
          <w:lang w:val="en-AU"/>
        </w:rPr>
        <w:t>of Genocidal Rape.” </w:t>
      </w:r>
      <w:r w:rsidRPr="00FB2D03">
        <w:rPr>
          <w:i/>
          <w:color w:val="000000" w:themeColor="text1"/>
          <w:lang w:val="en-AU"/>
        </w:rPr>
        <w:t>Journal of Feminist Studies in Religion</w:t>
      </w:r>
      <w:r w:rsidRPr="00FB2D03">
        <w:rPr>
          <w:color w:val="000000" w:themeColor="text1"/>
          <w:lang w:val="en-AU"/>
        </w:rPr>
        <w:t> 32 (2016): 37–53.</w:t>
      </w:r>
    </w:p>
    <w:p w14:paraId="6294B707" w14:textId="77777777" w:rsidR="00412D77" w:rsidRPr="00FB2D03" w:rsidRDefault="00412D77" w:rsidP="00412D77">
      <w:pPr>
        <w:tabs>
          <w:tab w:val="left" w:pos="5616"/>
        </w:tabs>
        <w:rPr>
          <w:color w:val="000000" w:themeColor="text1"/>
          <w:lang w:val="en-AU"/>
        </w:rPr>
      </w:pPr>
    </w:p>
    <w:p w14:paraId="30655AE1" w14:textId="77777777" w:rsidR="00AD1181" w:rsidRPr="00FB2D03" w:rsidRDefault="00412D77" w:rsidP="00412D77">
      <w:pPr>
        <w:tabs>
          <w:tab w:val="left" w:pos="5616"/>
        </w:tabs>
        <w:rPr>
          <w:i/>
          <w:color w:val="000000" w:themeColor="text1"/>
          <w:lang w:val="en-AU"/>
        </w:rPr>
      </w:pPr>
      <w:r w:rsidRPr="00FB2D03">
        <w:rPr>
          <w:color w:val="000000" w:themeColor="text1"/>
          <w:lang w:val="en-AU"/>
        </w:rPr>
        <w:t xml:space="preserve">Rhoads, D. </w:t>
      </w:r>
      <w:r w:rsidRPr="00FB2D03">
        <w:rPr>
          <w:i/>
          <w:color w:val="000000" w:themeColor="text1"/>
          <w:lang w:val="en-AU"/>
        </w:rPr>
        <w:t xml:space="preserve">Israel in Revolution: 6–74 CE: A Political History Based on the Writings of </w:t>
      </w:r>
    </w:p>
    <w:p w14:paraId="7E3E7742" w14:textId="37D2E343" w:rsidR="00412D77" w:rsidRPr="00FB2D03" w:rsidRDefault="00412D77" w:rsidP="0059280A">
      <w:pPr>
        <w:tabs>
          <w:tab w:val="left" w:pos="5616"/>
        </w:tabs>
        <w:ind w:left="720"/>
        <w:rPr>
          <w:color w:val="000000" w:themeColor="text1"/>
          <w:lang w:val="en-AU"/>
        </w:rPr>
      </w:pPr>
      <w:r w:rsidRPr="00FB2D03">
        <w:rPr>
          <w:i/>
          <w:color w:val="000000" w:themeColor="text1"/>
          <w:lang w:val="en-AU"/>
        </w:rPr>
        <w:t>Josephus</w:t>
      </w:r>
      <w:r w:rsidRPr="00FB2D03">
        <w:rPr>
          <w:color w:val="000000" w:themeColor="text1"/>
          <w:lang w:val="en-AU"/>
        </w:rPr>
        <w:t>. Philadelphia: Fortress, 1976.</w:t>
      </w:r>
    </w:p>
    <w:p w14:paraId="3D721883" w14:textId="77777777" w:rsidR="00412D77" w:rsidRPr="00FB2D03" w:rsidRDefault="00412D77" w:rsidP="00412D77">
      <w:pPr>
        <w:tabs>
          <w:tab w:val="left" w:pos="5616"/>
        </w:tabs>
        <w:rPr>
          <w:color w:val="000000" w:themeColor="text1"/>
          <w:lang w:val="en-AU"/>
        </w:rPr>
      </w:pPr>
    </w:p>
    <w:p w14:paraId="318A60BD" w14:textId="77777777" w:rsidR="00AD1181" w:rsidRPr="00FB2D03" w:rsidRDefault="00412D77" w:rsidP="00412D77">
      <w:pPr>
        <w:tabs>
          <w:tab w:val="left" w:pos="5616"/>
        </w:tabs>
        <w:rPr>
          <w:i/>
          <w:color w:val="000000" w:themeColor="text1"/>
          <w:lang w:val="en-AU"/>
        </w:rPr>
      </w:pPr>
      <w:r w:rsidRPr="00FB2D03">
        <w:rPr>
          <w:color w:val="000000" w:themeColor="text1"/>
          <w:lang w:val="en-AU"/>
        </w:rPr>
        <w:t xml:space="preserve">Riches, John. “Reception History as a Challenge to Biblical Theology.” </w:t>
      </w:r>
      <w:r w:rsidRPr="00FB2D03">
        <w:rPr>
          <w:i/>
          <w:color w:val="000000" w:themeColor="text1"/>
          <w:lang w:val="en-AU"/>
        </w:rPr>
        <w:t xml:space="preserve">Journal of </w:t>
      </w:r>
    </w:p>
    <w:p w14:paraId="5D23250B" w14:textId="13A60CDC" w:rsidR="00412D77" w:rsidRPr="00FB2D03" w:rsidRDefault="00412D77" w:rsidP="0059280A">
      <w:pPr>
        <w:tabs>
          <w:tab w:val="left" w:pos="5616"/>
        </w:tabs>
        <w:ind w:left="720"/>
        <w:rPr>
          <w:color w:val="000000" w:themeColor="text1"/>
          <w:lang w:val="en-AU"/>
        </w:rPr>
      </w:pPr>
      <w:r w:rsidRPr="00FB2D03">
        <w:rPr>
          <w:i/>
          <w:color w:val="000000" w:themeColor="text1"/>
          <w:lang w:val="en-AU"/>
        </w:rPr>
        <w:t>Theological Interpretation</w:t>
      </w:r>
      <w:r w:rsidRPr="00FB2D03">
        <w:rPr>
          <w:color w:val="000000" w:themeColor="text1"/>
          <w:lang w:val="en-AU"/>
        </w:rPr>
        <w:t xml:space="preserve"> 7 (2013): 171–85.</w:t>
      </w:r>
    </w:p>
    <w:p w14:paraId="2850ED77" w14:textId="77777777" w:rsidR="00412D77" w:rsidRPr="00FB2D03" w:rsidRDefault="00412D77" w:rsidP="00412D77">
      <w:pPr>
        <w:tabs>
          <w:tab w:val="left" w:pos="5616"/>
        </w:tabs>
        <w:rPr>
          <w:color w:val="000000" w:themeColor="text1"/>
          <w:lang w:val="en-AU"/>
        </w:rPr>
      </w:pPr>
    </w:p>
    <w:p w14:paraId="257BAB6B" w14:textId="77777777" w:rsidR="00AD1181" w:rsidRPr="00FB2D03" w:rsidRDefault="00412D77" w:rsidP="00412D77">
      <w:pPr>
        <w:tabs>
          <w:tab w:val="left" w:pos="5616"/>
        </w:tabs>
        <w:rPr>
          <w:i/>
          <w:color w:val="000000" w:themeColor="text1"/>
          <w:lang w:val="en-AU"/>
        </w:rPr>
      </w:pPr>
      <w:r w:rsidRPr="00FB2D03">
        <w:rPr>
          <w:color w:val="000000" w:themeColor="text1"/>
          <w:lang w:val="en-AU"/>
        </w:rPr>
        <w:t xml:space="preserve">________. “Why Write </w:t>
      </w:r>
      <w:proofErr w:type="gramStart"/>
      <w:r w:rsidRPr="00FB2D03">
        <w:rPr>
          <w:color w:val="000000" w:themeColor="text1"/>
          <w:lang w:val="en-AU"/>
        </w:rPr>
        <w:t>A</w:t>
      </w:r>
      <w:proofErr w:type="gramEnd"/>
      <w:r w:rsidRPr="00FB2D03">
        <w:rPr>
          <w:color w:val="000000" w:themeColor="text1"/>
          <w:lang w:val="en-AU"/>
        </w:rPr>
        <w:t xml:space="preserve"> Reception–Historical Commentary?” </w:t>
      </w:r>
      <w:r w:rsidRPr="00FB2D03">
        <w:rPr>
          <w:i/>
          <w:color w:val="000000" w:themeColor="text1"/>
          <w:lang w:val="en-AU"/>
        </w:rPr>
        <w:t xml:space="preserve">Journal for the Study of the </w:t>
      </w:r>
    </w:p>
    <w:p w14:paraId="43B2B93C" w14:textId="5A5F434F" w:rsidR="00412D77" w:rsidRPr="00FB2D03" w:rsidRDefault="00412D77" w:rsidP="0059280A">
      <w:pPr>
        <w:tabs>
          <w:tab w:val="left" w:pos="5616"/>
        </w:tabs>
        <w:ind w:left="720"/>
        <w:rPr>
          <w:color w:val="000000" w:themeColor="text1"/>
          <w:lang w:val="en-AU"/>
        </w:rPr>
      </w:pPr>
      <w:r w:rsidRPr="00FB2D03">
        <w:rPr>
          <w:i/>
          <w:color w:val="000000" w:themeColor="text1"/>
          <w:lang w:val="en-AU"/>
        </w:rPr>
        <w:t>New Testament</w:t>
      </w:r>
      <w:r w:rsidRPr="00FB2D03">
        <w:rPr>
          <w:color w:val="000000" w:themeColor="text1"/>
          <w:lang w:val="en-AU"/>
        </w:rPr>
        <w:t> 29 (2007): 323–32.</w:t>
      </w:r>
    </w:p>
    <w:p w14:paraId="3A7905D1" w14:textId="77777777" w:rsidR="00412D77" w:rsidRPr="00FB2D03" w:rsidRDefault="00412D77" w:rsidP="00412D77">
      <w:pPr>
        <w:tabs>
          <w:tab w:val="left" w:pos="5616"/>
        </w:tabs>
        <w:rPr>
          <w:color w:val="000000" w:themeColor="text1"/>
          <w:lang w:val="en-AU"/>
        </w:rPr>
      </w:pPr>
    </w:p>
    <w:p w14:paraId="0AF784BB"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Ridderbos, Herman N. </w:t>
      </w:r>
      <w:r w:rsidRPr="00FB2D03">
        <w:rPr>
          <w:i/>
          <w:color w:val="000000" w:themeColor="text1"/>
          <w:lang w:val="en-AU"/>
        </w:rPr>
        <w:t>Coming of the Kingdom</w:t>
      </w:r>
      <w:r w:rsidRPr="00FB2D03">
        <w:rPr>
          <w:color w:val="000000" w:themeColor="text1"/>
          <w:lang w:val="en-AU"/>
        </w:rPr>
        <w:t xml:space="preserve">. Phillipsburg: Presbyterian &amp; Reformed </w:t>
      </w:r>
    </w:p>
    <w:p w14:paraId="4FE106A8" w14:textId="59CF90EC" w:rsidR="00412D77" w:rsidRPr="00FB2D03" w:rsidRDefault="00412D77" w:rsidP="0059280A">
      <w:pPr>
        <w:tabs>
          <w:tab w:val="left" w:pos="5616"/>
        </w:tabs>
        <w:ind w:left="720"/>
        <w:rPr>
          <w:color w:val="000000" w:themeColor="text1"/>
          <w:lang w:val="en-AU"/>
        </w:rPr>
      </w:pPr>
      <w:r w:rsidRPr="00FB2D03">
        <w:rPr>
          <w:color w:val="000000" w:themeColor="text1"/>
          <w:lang w:val="en-AU"/>
        </w:rPr>
        <w:t xml:space="preserve">Publishing, 1962. </w:t>
      </w:r>
    </w:p>
    <w:p w14:paraId="06C92BCF" w14:textId="77777777" w:rsidR="00412D77" w:rsidRPr="00FB2D03" w:rsidRDefault="00412D77" w:rsidP="00412D77">
      <w:pPr>
        <w:tabs>
          <w:tab w:val="left" w:pos="5616"/>
        </w:tabs>
        <w:rPr>
          <w:color w:val="000000" w:themeColor="text1"/>
          <w:lang w:val="en-AU"/>
        </w:rPr>
      </w:pPr>
    </w:p>
    <w:p w14:paraId="6EA25054" w14:textId="77777777" w:rsidR="00412D77" w:rsidRPr="00FB2D03" w:rsidRDefault="00412D77" w:rsidP="00412D77">
      <w:pPr>
        <w:tabs>
          <w:tab w:val="left" w:pos="5616"/>
        </w:tabs>
        <w:rPr>
          <w:color w:val="000000" w:themeColor="text1"/>
          <w:lang w:val="en-AU"/>
        </w:rPr>
      </w:pPr>
      <w:r w:rsidRPr="00FB2D03">
        <w:rPr>
          <w:color w:val="000000" w:themeColor="text1"/>
          <w:lang w:val="en-AU"/>
        </w:rPr>
        <w:t>________. Herman Nicolaas Bernhard. </w:t>
      </w:r>
      <w:r w:rsidRPr="00FB2D03">
        <w:rPr>
          <w:i/>
          <w:color w:val="000000" w:themeColor="text1"/>
          <w:lang w:val="en-AU"/>
        </w:rPr>
        <w:t>Matthew</w:t>
      </w:r>
      <w:r w:rsidRPr="00FB2D03">
        <w:rPr>
          <w:color w:val="000000" w:themeColor="text1"/>
          <w:lang w:val="en-AU"/>
        </w:rPr>
        <w:t>. Grand Rapids: Zondervan, 1987.</w:t>
      </w:r>
    </w:p>
    <w:p w14:paraId="63F0A631" w14:textId="77777777" w:rsidR="00412D77" w:rsidRPr="00FB2D03" w:rsidRDefault="00412D77" w:rsidP="00412D77">
      <w:pPr>
        <w:tabs>
          <w:tab w:val="left" w:pos="5616"/>
        </w:tabs>
        <w:rPr>
          <w:color w:val="000000" w:themeColor="text1"/>
          <w:lang w:val="en-AU"/>
        </w:rPr>
      </w:pPr>
    </w:p>
    <w:p w14:paraId="65E4F3DF"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Ridlehoover, Charles Nathan. “The Logic of Matthew 6.19-7.12: Heavenly Priorities in the </w:t>
      </w:r>
    </w:p>
    <w:p w14:paraId="2224936C" w14:textId="12CD37DE" w:rsidR="00412D77" w:rsidRPr="00FB2D03" w:rsidRDefault="00412D77" w:rsidP="0059280A">
      <w:pPr>
        <w:tabs>
          <w:tab w:val="left" w:pos="5616"/>
        </w:tabs>
        <w:ind w:left="720"/>
        <w:rPr>
          <w:color w:val="000000" w:themeColor="text1"/>
          <w:lang w:val="en-AU"/>
        </w:rPr>
      </w:pPr>
      <w:r w:rsidRPr="00FB2D03">
        <w:rPr>
          <w:color w:val="000000" w:themeColor="text1"/>
          <w:lang w:val="en-AU"/>
        </w:rPr>
        <w:t>Kingdom of Earth.” </w:t>
      </w:r>
      <w:r w:rsidRPr="00FB2D03">
        <w:rPr>
          <w:i/>
          <w:color w:val="000000" w:themeColor="text1"/>
          <w:lang w:val="en-AU"/>
        </w:rPr>
        <w:t>New Testament Studies </w:t>
      </w:r>
      <w:r w:rsidRPr="00FB2D03">
        <w:rPr>
          <w:color w:val="000000" w:themeColor="text1"/>
          <w:lang w:val="en-AU"/>
        </w:rPr>
        <w:t>66 (2020): 582–600.</w:t>
      </w:r>
    </w:p>
    <w:p w14:paraId="7038661B" w14:textId="77777777" w:rsidR="00412D77" w:rsidRPr="00FB2D03" w:rsidRDefault="00412D77" w:rsidP="00412D77">
      <w:pPr>
        <w:tabs>
          <w:tab w:val="left" w:pos="5616"/>
        </w:tabs>
        <w:rPr>
          <w:color w:val="000000" w:themeColor="text1"/>
          <w:lang w:val="en-AU"/>
        </w:rPr>
      </w:pPr>
    </w:p>
    <w:p w14:paraId="508833DB" w14:textId="77777777" w:rsidR="00AD1181" w:rsidRPr="00FB2D03" w:rsidRDefault="00412D77" w:rsidP="00412D77">
      <w:pPr>
        <w:tabs>
          <w:tab w:val="left" w:pos="5616"/>
        </w:tabs>
        <w:rPr>
          <w:i/>
          <w:color w:val="000000" w:themeColor="text1"/>
          <w:lang w:val="en-AU"/>
        </w:rPr>
      </w:pPr>
      <w:r w:rsidRPr="00FB2D03">
        <w:rPr>
          <w:color w:val="000000" w:themeColor="text1"/>
          <w:lang w:val="en-AU"/>
        </w:rPr>
        <w:t>Roemer, Thomas. “The Ark of Yhwh: From War to Alliance.” </w:t>
      </w:r>
      <w:r w:rsidRPr="00FB2D03">
        <w:rPr>
          <w:i/>
          <w:color w:val="000000" w:themeColor="text1"/>
          <w:lang w:val="en-AU"/>
        </w:rPr>
        <w:t xml:space="preserve">Etudes Theologiques et </w:t>
      </w:r>
    </w:p>
    <w:p w14:paraId="3EB20BC6" w14:textId="3C6A2E8A" w:rsidR="00412D77" w:rsidRPr="00FB2D03" w:rsidRDefault="00412D77" w:rsidP="0059280A">
      <w:pPr>
        <w:tabs>
          <w:tab w:val="left" w:pos="5616"/>
        </w:tabs>
        <w:ind w:left="720"/>
        <w:rPr>
          <w:color w:val="000000" w:themeColor="text1"/>
          <w:lang w:val="en-AU"/>
        </w:rPr>
      </w:pPr>
      <w:r w:rsidRPr="00FB2D03">
        <w:rPr>
          <w:i/>
          <w:color w:val="000000" w:themeColor="text1"/>
          <w:lang w:val="en-AU"/>
        </w:rPr>
        <w:t>Religieuses</w:t>
      </w:r>
      <w:r w:rsidRPr="00FB2D03">
        <w:rPr>
          <w:color w:val="000000" w:themeColor="text1"/>
          <w:lang w:val="en-AU"/>
        </w:rPr>
        <w:t> 94 (2019): 95–108. </w:t>
      </w:r>
    </w:p>
    <w:p w14:paraId="4F7A8F68" w14:textId="77777777" w:rsidR="00412D77" w:rsidRPr="00FB2D03" w:rsidRDefault="00412D77" w:rsidP="00412D77">
      <w:pPr>
        <w:tabs>
          <w:tab w:val="left" w:pos="5616"/>
        </w:tabs>
        <w:rPr>
          <w:color w:val="000000" w:themeColor="text1"/>
          <w:lang w:val="en-AU"/>
        </w:rPr>
      </w:pPr>
    </w:p>
    <w:p w14:paraId="59CFD8DA" w14:textId="12E0EFE1" w:rsidR="00AD1181" w:rsidRPr="00FB2D03" w:rsidRDefault="00412D77" w:rsidP="00412D77">
      <w:pPr>
        <w:tabs>
          <w:tab w:val="left" w:pos="5616"/>
        </w:tabs>
        <w:rPr>
          <w:color w:val="000000" w:themeColor="text1"/>
          <w:lang w:val="en-AU"/>
        </w:rPr>
      </w:pPr>
      <w:r w:rsidRPr="00FB2D03">
        <w:rPr>
          <w:color w:val="000000" w:themeColor="text1"/>
          <w:lang w:val="en-AU"/>
        </w:rPr>
        <w:t>Rolfe, John Carew</w:t>
      </w:r>
      <w:r w:rsidR="009F235D" w:rsidRPr="00FB2D03">
        <w:rPr>
          <w:color w:val="000000" w:themeColor="text1"/>
          <w:lang w:val="en-AU"/>
        </w:rPr>
        <w:t>.</w:t>
      </w:r>
      <w:r w:rsidRPr="00FB2D03">
        <w:rPr>
          <w:color w:val="000000" w:themeColor="text1"/>
          <w:lang w:val="en-AU"/>
        </w:rPr>
        <w:t xml:space="preserve"> </w:t>
      </w:r>
      <w:r w:rsidRPr="00FB2D03">
        <w:rPr>
          <w:i/>
          <w:color w:val="000000" w:themeColor="text1"/>
          <w:lang w:val="en-AU"/>
        </w:rPr>
        <w:t>The Attic Nights of Aulus Gellius, The Loeb Classical Library</w:t>
      </w:r>
      <w:r w:rsidRPr="00FB2D03">
        <w:rPr>
          <w:color w:val="000000" w:themeColor="text1"/>
          <w:lang w:val="en-AU"/>
        </w:rPr>
        <w:t xml:space="preserve">. Latin by </w:t>
      </w:r>
    </w:p>
    <w:p w14:paraId="2BDC78E0" w14:textId="2E0D9312" w:rsidR="00412D77" w:rsidRPr="00FB2D03" w:rsidRDefault="00412D77" w:rsidP="0059280A">
      <w:pPr>
        <w:tabs>
          <w:tab w:val="left" w:pos="5616"/>
        </w:tabs>
        <w:ind w:left="720"/>
        <w:rPr>
          <w:color w:val="000000" w:themeColor="text1"/>
          <w:lang w:val="en-AU"/>
        </w:rPr>
      </w:pPr>
      <w:r w:rsidRPr="00FB2D03">
        <w:rPr>
          <w:color w:val="000000" w:themeColor="text1"/>
          <w:lang w:val="en-AU"/>
        </w:rPr>
        <w:t>Aulus Gellius. New York: W. Heinemann and Putnam’s Sons, 1927.</w:t>
      </w:r>
    </w:p>
    <w:p w14:paraId="4415F906" w14:textId="77777777" w:rsidR="00412D77" w:rsidRPr="00FB2D03" w:rsidRDefault="00412D77" w:rsidP="00412D77">
      <w:pPr>
        <w:tabs>
          <w:tab w:val="left" w:pos="5616"/>
        </w:tabs>
        <w:rPr>
          <w:color w:val="000000" w:themeColor="text1"/>
          <w:lang w:val="en-AU"/>
        </w:rPr>
      </w:pPr>
    </w:p>
    <w:p w14:paraId="0A498ABA"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Roman, Sabin, and Erika Palmer. “The Growth and Decline of the Western Roman Empire: </w:t>
      </w:r>
    </w:p>
    <w:p w14:paraId="19FF383E" w14:textId="36AF9DE7" w:rsidR="00412D77" w:rsidRPr="00FB2D03" w:rsidRDefault="00412D77" w:rsidP="0059280A">
      <w:pPr>
        <w:tabs>
          <w:tab w:val="left" w:pos="5616"/>
        </w:tabs>
        <w:ind w:left="720"/>
        <w:rPr>
          <w:color w:val="000000" w:themeColor="text1"/>
          <w:lang w:val="en-AU"/>
        </w:rPr>
      </w:pPr>
      <w:r w:rsidRPr="00FB2D03">
        <w:rPr>
          <w:color w:val="000000" w:themeColor="text1"/>
          <w:lang w:val="en-AU"/>
        </w:rPr>
        <w:t>Quantifying the Dynamics of Army Size, Territory, and Coinage.” </w:t>
      </w:r>
      <w:r w:rsidRPr="00FB2D03">
        <w:rPr>
          <w:i/>
          <w:color w:val="000000" w:themeColor="text1"/>
          <w:lang w:val="en-AU"/>
        </w:rPr>
        <w:t>Cliodynamics: The Journal of Theoretical &amp; Mathematical History</w:t>
      </w:r>
      <w:r w:rsidRPr="00FB2D03">
        <w:rPr>
          <w:color w:val="000000" w:themeColor="text1"/>
          <w:lang w:val="en-AU"/>
        </w:rPr>
        <w:t xml:space="preserve"> 10 (2019): 1–23. </w:t>
      </w:r>
    </w:p>
    <w:p w14:paraId="6F1D6CED" w14:textId="77777777" w:rsidR="00412D77" w:rsidRPr="00FB2D03" w:rsidRDefault="00412D77" w:rsidP="00412D77">
      <w:pPr>
        <w:tabs>
          <w:tab w:val="left" w:pos="5616"/>
        </w:tabs>
        <w:rPr>
          <w:color w:val="000000" w:themeColor="text1"/>
          <w:lang w:val="en-AU"/>
        </w:rPr>
      </w:pPr>
    </w:p>
    <w:p w14:paraId="42752FDF" w14:textId="77777777" w:rsidR="00AD1181" w:rsidRPr="00FB2D03" w:rsidRDefault="00412D77" w:rsidP="00412D77">
      <w:pPr>
        <w:tabs>
          <w:tab w:val="left" w:pos="5616"/>
        </w:tabs>
        <w:rPr>
          <w:color w:val="000000" w:themeColor="text1"/>
          <w:lang w:val="en-AU"/>
        </w:rPr>
      </w:pPr>
      <w:r w:rsidRPr="00FB2D03">
        <w:rPr>
          <w:color w:val="000000" w:themeColor="text1"/>
          <w:lang w:val="en-AU"/>
        </w:rPr>
        <w:t>Rosen-Zvi, Ishay. “The Rhetorical Self in Tannaitic Halakha.” </w:t>
      </w:r>
      <w:r w:rsidRPr="00FB2D03">
        <w:rPr>
          <w:i/>
          <w:color w:val="000000" w:themeColor="text1"/>
          <w:lang w:val="en-AU"/>
        </w:rPr>
        <w:t>Dead Sea Discoveries</w:t>
      </w:r>
      <w:r w:rsidRPr="00FB2D03">
        <w:rPr>
          <w:color w:val="000000" w:themeColor="text1"/>
          <w:lang w:val="en-AU"/>
        </w:rPr>
        <w:t xml:space="preserve"> 28 </w:t>
      </w:r>
    </w:p>
    <w:p w14:paraId="56E8A819" w14:textId="092DF0A2" w:rsidR="00412D77" w:rsidRPr="00FB2D03" w:rsidRDefault="00412D77" w:rsidP="0059280A">
      <w:pPr>
        <w:tabs>
          <w:tab w:val="left" w:pos="5616"/>
        </w:tabs>
        <w:ind w:left="720"/>
        <w:rPr>
          <w:color w:val="000000" w:themeColor="text1"/>
          <w:lang w:val="en-AU"/>
        </w:rPr>
      </w:pPr>
      <w:r w:rsidRPr="00FB2D03">
        <w:rPr>
          <w:color w:val="000000" w:themeColor="text1"/>
          <w:lang w:val="en-AU"/>
        </w:rPr>
        <w:t xml:space="preserve">(2021): 341–66. </w:t>
      </w:r>
    </w:p>
    <w:p w14:paraId="3685A56B" w14:textId="77777777" w:rsidR="00412D77" w:rsidRPr="00FB2D03" w:rsidRDefault="00412D77" w:rsidP="00412D77">
      <w:pPr>
        <w:tabs>
          <w:tab w:val="left" w:pos="5616"/>
        </w:tabs>
        <w:rPr>
          <w:color w:val="000000" w:themeColor="text1"/>
          <w:lang w:val="en-AU"/>
        </w:rPr>
      </w:pPr>
    </w:p>
    <w:p w14:paraId="1440EC66"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Roth, Cecil. “Qumran and Masadah: A Final Clarification Regarding the Dead Sea </w:t>
      </w:r>
    </w:p>
    <w:p w14:paraId="4027C7A6" w14:textId="0F2EDF80" w:rsidR="00412D77" w:rsidRPr="00FB2D03" w:rsidRDefault="00412D77" w:rsidP="0059280A">
      <w:pPr>
        <w:tabs>
          <w:tab w:val="left" w:pos="5616"/>
        </w:tabs>
        <w:ind w:left="720"/>
        <w:rPr>
          <w:color w:val="000000" w:themeColor="text1"/>
          <w:lang w:val="en-AU"/>
        </w:rPr>
      </w:pPr>
      <w:r w:rsidRPr="00FB2D03">
        <w:rPr>
          <w:color w:val="000000" w:themeColor="text1"/>
          <w:lang w:val="en-AU"/>
        </w:rPr>
        <w:t>Sect.” </w:t>
      </w:r>
      <w:r w:rsidRPr="00FB2D03">
        <w:rPr>
          <w:i/>
          <w:color w:val="000000" w:themeColor="text1"/>
          <w:lang w:val="en-AU"/>
        </w:rPr>
        <w:t>Revue de Qumrân</w:t>
      </w:r>
      <w:r w:rsidRPr="00FB2D03">
        <w:rPr>
          <w:color w:val="000000" w:themeColor="text1"/>
          <w:lang w:val="en-AU"/>
        </w:rPr>
        <w:t> 5 (1964): 81–87.</w:t>
      </w:r>
    </w:p>
    <w:p w14:paraId="5122F39C" w14:textId="77777777" w:rsidR="00412D77" w:rsidRPr="00FB2D03" w:rsidRDefault="00412D77" w:rsidP="00412D77">
      <w:pPr>
        <w:tabs>
          <w:tab w:val="left" w:pos="5616"/>
        </w:tabs>
        <w:rPr>
          <w:color w:val="000000" w:themeColor="text1"/>
          <w:lang w:val="en-AU"/>
        </w:rPr>
      </w:pPr>
    </w:p>
    <w:p w14:paraId="44E88C60"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Roth, J. P. </w:t>
      </w:r>
      <w:r w:rsidRPr="00FB2D03">
        <w:rPr>
          <w:i/>
          <w:color w:val="000000" w:themeColor="text1"/>
          <w:lang w:val="en-AU"/>
        </w:rPr>
        <w:t>The Logistics of the Roman Army at War (264 BC – AD 235)</w:t>
      </w:r>
      <w:r w:rsidRPr="00FB2D03">
        <w:rPr>
          <w:color w:val="000000" w:themeColor="text1"/>
          <w:lang w:val="en-AU"/>
        </w:rPr>
        <w:t>. Leiden: Brill, 2012.</w:t>
      </w:r>
    </w:p>
    <w:p w14:paraId="285E1D83" w14:textId="77777777" w:rsidR="00412D77" w:rsidRPr="00FB2D03" w:rsidRDefault="00412D77" w:rsidP="00412D77">
      <w:pPr>
        <w:tabs>
          <w:tab w:val="left" w:pos="5616"/>
        </w:tabs>
        <w:rPr>
          <w:color w:val="000000" w:themeColor="text1"/>
          <w:lang w:val="en-AU"/>
        </w:rPr>
      </w:pPr>
    </w:p>
    <w:p w14:paraId="114F7D66"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Roth, Martha T. </w:t>
      </w:r>
      <w:r w:rsidRPr="00FB2D03">
        <w:rPr>
          <w:i/>
          <w:color w:val="000000" w:themeColor="text1"/>
          <w:lang w:val="en-AU"/>
        </w:rPr>
        <w:t xml:space="preserve">Law Collections from </w:t>
      </w:r>
      <w:proofErr w:type="gramStart"/>
      <w:r w:rsidRPr="00FB2D03">
        <w:rPr>
          <w:i/>
          <w:color w:val="000000" w:themeColor="text1"/>
          <w:lang w:val="en-AU"/>
        </w:rPr>
        <w:t>Mesopotamia</w:t>
      </w:r>
      <w:proofErr w:type="gramEnd"/>
      <w:r w:rsidRPr="00FB2D03">
        <w:rPr>
          <w:i/>
          <w:color w:val="000000" w:themeColor="text1"/>
          <w:lang w:val="en-AU"/>
        </w:rPr>
        <w:t xml:space="preserve"> and Asia Minor</w:t>
      </w:r>
      <w:r w:rsidRPr="00FB2D03">
        <w:rPr>
          <w:color w:val="000000" w:themeColor="text1"/>
          <w:lang w:val="en-AU"/>
        </w:rPr>
        <w:t xml:space="preserve">. Atlanta: Society of </w:t>
      </w:r>
    </w:p>
    <w:p w14:paraId="3D9EEDE0" w14:textId="69703934" w:rsidR="00412D77" w:rsidRPr="00FB2D03" w:rsidRDefault="00412D77" w:rsidP="0059280A">
      <w:pPr>
        <w:tabs>
          <w:tab w:val="left" w:pos="5616"/>
        </w:tabs>
        <w:ind w:left="720"/>
        <w:rPr>
          <w:color w:val="000000" w:themeColor="text1"/>
          <w:lang w:val="en-AU"/>
        </w:rPr>
      </w:pPr>
      <w:r w:rsidRPr="00FB2D03">
        <w:rPr>
          <w:color w:val="000000" w:themeColor="text1"/>
          <w:lang w:val="en-AU"/>
        </w:rPr>
        <w:t xml:space="preserve">Biblical Literature, 1997. </w:t>
      </w:r>
    </w:p>
    <w:p w14:paraId="15188890" w14:textId="77777777" w:rsidR="00412D77" w:rsidRPr="00FB2D03" w:rsidRDefault="00412D77" w:rsidP="00412D77">
      <w:pPr>
        <w:tabs>
          <w:tab w:val="left" w:pos="5616"/>
        </w:tabs>
        <w:rPr>
          <w:color w:val="000000" w:themeColor="text1"/>
          <w:lang w:val="en-AU"/>
        </w:rPr>
      </w:pPr>
    </w:p>
    <w:p w14:paraId="75A0D9A9"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Rowlands, Jonathan. “Reception History, Theological Interpretation, and the Future of New </w:t>
      </w:r>
    </w:p>
    <w:p w14:paraId="693BBC26" w14:textId="023991F3" w:rsidR="00412D77" w:rsidRPr="00FB2D03" w:rsidRDefault="00412D77" w:rsidP="0059280A">
      <w:pPr>
        <w:tabs>
          <w:tab w:val="left" w:pos="5616"/>
        </w:tabs>
        <w:ind w:left="720"/>
        <w:rPr>
          <w:color w:val="000000" w:themeColor="text1"/>
          <w:lang w:val="en-AU"/>
        </w:rPr>
      </w:pPr>
      <w:r w:rsidRPr="00FB2D03">
        <w:rPr>
          <w:color w:val="000000" w:themeColor="text1"/>
          <w:lang w:val="en-AU"/>
        </w:rPr>
        <w:t>Testament Studies.” </w:t>
      </w:r>
      <w:r w:rsidRPr="00FB2D03">
        <w:rPr>
          <w:i/>
          <w:color w:val="000000" w:themeColor="text1"/>
          <w:lang w:val="en-AU"/>
        </w:rPr>
        <w:t>Journal of Theological Interpretation</w:t>
      </w:r>
      <w:r w:rsidRPr="00FB2D03">
        <w:rPr>
          <w:color w:val="000000" w:themeColor="text1"/>
          <w:lang w:val="en-AU"/>
        </w:rPr>
        <w:t> 13 (2019): 147–67.</w:t>
      </w:r>
    </w:p>
    <w:p w14:paraId="33ADF4B8" w14:textId="77777777" w:rsidR="00412D77" w:rsidRPr="00FB2D03" w:rsidRDefault="00412D77" w:rsidP="00412D77">
      <w:pPr>
        <w:tabs>
          <w:tab w:val="left" w:pos="5616"/>
        </w:tabs>
        <w:rPr>
          <w:color w:val="000000" w:themeColor="text1"/>
          <w:lang w:val="en-AU"/>
        </w:rPr>
      </w:pPr>
    </w:p>
    <w:p w14:paraId="3391F470" w14:textId="77777777" w:rsidR="00412D77" w:rsidRPr="00FB2D03" w:rsidRDefault="00412D77" w:rsidP="00412D77">
      <w:pPr>
        <w:tabs>
          <w:tab w:val="left" w:pos="5616"/>
        </w:tabs>
        <w:rPr>
          <w:color w:val="000000" w:themeColor="text1"/>
          <w:lang w:val="en-AU"/>
        </w:rPr>
      </w:pPr>
      <w:r w:rsidRPr="00FB2D03">
        <w:rPr>
          <w:color w:val="000000" w:themeColor="text1"/>
          <w:lang w:val="en-AU"/>
        </w:rPr>
        <w:t>Rudolph, David. “Introduction to Messianic Judaism.” </w:t>
      </w:r>
      <w:r w:rsidRPr="00FB2D03">
        <w:rPr>
          <w:i/>
          <w:color w:val="000000" w:themeColor="text1"/>
          <w:lang w:val="en-AU"/>
        </w:rPr>
        <w:t>Hebrew Studies</w:t>
      </w:r>
      <w:r w:rsidRPr="00FB2D03">
        <w:rPr>
          <w:color w:val="000000" w:themeColor="text1"/>
          <w:lang w:val="en-AU"/>
        </w:rPr>
        <w:t> 57 (2016): 355–58.</w:t>
      </w:r>
    </w:p>
    <w:p w14:paraId="015B2C02" w14:textId="77777777" w:rsidR="00412D77" w:rsidRPr="00FB2D03" w:rsidRDefault="00412D77" w:rsidP="00412D77">
      <w:pPr>
        <w:tabs>
          <w:tab w:val="left" w:pos="5616"/>
        </w:tabs>
        <w:rPr>
          <w:color w:val="000000" w:themeColor="text1"/>
          <w:lang w:val="en-AU"/>
        </w:rPr>
      </w:pPr>
    </w:p>
    <w:p w14:paraId="5DE770D8" w14:textId="77777777" w:rsidR="009F235D" w:rsidRPr="00FB2D03" w:rsidRDefault="00412D77" w:rsidP="009F235D">
      <w:pPr>
        <w:tabs>
          <w:tab w:val="left" w:pos="5616"/>
        </w:tabs>
        <w:rPr>
          <w:i/>
          <w:color w:val="000000" w:themeColor="text1"/>
          <w:lang w:val="en-AU"/>
        </w:rPr>
      </w:pPr>
      <w:r w:rsidRPr="00FB2D03">
        <w:rPr>
          <w:color w:val="000000" w:themeColor="text1"/>
          <w:lang w:val="en-AU"/>
        </w:rPr>
        <w:t xml:space="preserve">Rüger, H. P. Die </w:t>
      </w:r>
      <w:r w:rsidRPr="00FB2D03">
        <w:rPr>
          <w:i/>
          <w:color w:val="000000" w:themeColor="text1"/>
          <w:lang w:val="en-AU"/>
        </w:rPr>
        <w:t>Weisheitsschrift aus der Kairoer Geniza</w:t>
      </w:r>
      <w:r w:rsidRPr="00FB2D03">
        <w:rPr>
          <w:color w:val="000000" w:themeColor="text1"/>
          <w:lang w:val="en-AU"/>
        </w:rPr>
        <w:t xml:space="preserve">, Vol. 9 </w:t>
      </w:r>
      <w:r w:rsidRPr="00FB2D03">
        <w:rPr>
          <w:i/>
          <w:color w:val="000000" w:themeColor="text1"/>
          <w:lang w:val="en-AU"/>
        </w:rPr>
        <w:t xml:space="preserve">(Wissenschaftliche </w:t>
      </w:r>
    </w:p>
    <w:p w14:paraId="0DEB2A94" w14:textId="12D704FF" w:rsidR="00412D77" w:rsidRPr="00FB2D03" w:rsidRDefault="00412D77" w:rsidP="009F235D">
      <w:pPr>
        <w:tabs>
          <w:tab w:val="left" w:pos="5616"/>
        </w:tabs>
        <w:ind w:left="720"/>
        <w:rPr>
          <w:color w:val="000000" w:themeColor="text1"/>
          <w:lang w:val="en-AU"/>
        </w:rPr>
      </w:pPr>
      <w:r w:rsidRPr="00FB2D03">
        <w:rPr>
          <w:i/>
          <w:color w:val="000000" w:themeColor="text1"/>
          <w:lang w:val="en-AU"/>
        </w:rPr>
        <w:t>Untersuchungen zum Neuen Testament)</w:t>
      </w:r>
      <w:r w:rsidRPr="00FB2D03">
        <w:rPr>
          <w:color w:val="000000" w:themeColor="text1"/>
          <w:lang w:val="en-AU"/>
        </w:rPr>
        <w:t>. Tübingen: Mohr Siebeck, 1991.</w:t>
      </w:r>
    </w:p>
    <w:p w14:paraId="11CD37F6" w14:textId="77777777" w:rsidR="00412D77" w:rsidRPr="00FB2D03" w:rsidRDefault="00412D77" w:rsidP="00412D77">
      <w:pPr>
        <w:tabs>
          <w:tab w:val="left" w:pos="5616"/>
        </w:tabs>
        <w:rPr>
          <w:color w:val="000000" w:themeColor="text1"/>
          <w:lang w:val="en-AU"/>
        </w:rPr>
      </w:pPr>
    </w:p>
    <w:p w14:paraId="18AC8BE6" w14:textId="77777777" w:rsidR="00AD1181" w:rsidRPr="00FB2D03" w:rsidRDefault="00412D77" w:rsidP="00412D77">
      <w:pPr>
        <w:tabs>
          <w:tab w:val="left" w:pos="5616"/>
        </w:tabs>
        <w:rPr>
          <w:color w:val="000000" w:themeColor="text1"/>
          <w:lang w:val="en-AU"/>
        </w:rPr>
      </w:pPr>
      <w:r w:rsidRPr="00FB2D03">
        <w:rPr>
          <w:color w:val="000000" w:themeColor="text1"/>
          <w:lang w:val="en-AU"/>
        </w:rPr>
        <w:t>Russell, Amy. </w:t>
      </w:r>
      <w:r w:rsidRPr="00FB2D03">
        <w:rPr>
          <w:i/>
          <w:color w:val="000000" w:themeColor="text1"/>
          <w:lang w:val="en-AU"/>
        </w:rPr>
        <w:t xml:space="preserve">The Politics of Public Space </w:t>
      </w:r>
      <w:proofErr w:type="gramStart"/>
      <w:r w:rsidRPr="00FB2D03">
        <w:rPr>
          <w:i/>
          <w:color w:val="000000" w:themeColor="text1"/>
          <w:lang w:val="en-AU"/>
        </w:rPr>
        <w:t>In</w:t>
      </w:r>
      <w:proofErr w:type="gramEnd"/>
      <w:r w:rsidRPr="00FB2D03">
        <w:rPr>
          <w:i/>
          <w:color w:val="000000" w:themeColor="text1"/>
          <w:lang w:val="en-AU"/>
        </w:rPr>
        <w:t xml:space="preserve"> Republican Rome</w:t>
      </w:r>
      <w:r w:rsidRPr="00FB2D03">
        <w:rPr>
          <w:color w:val="000000" w:themeColor="text1"/>
          <w:lang w:val="en-AU"/>
        </w:rPr>
        <w:t xml:space="preserve">. Cambridge: Cambridge </w:t>
      </w:r>
    </w:p>
    <w:p w14:paraId="08E89F71" w14:textId="06878957" w:rsidR="00412D77" w:rsidRPr="00FB2D03" w:rsidRDefault="00412D77" w:rsidP="0059280A">
      <w:pPr>
        <w:tabs>
          <w:tab w:val="left" w:pos="5616"/>
        </w:tabs>
        <w:ind w:left="720"/>
        <w:rPr>
          <w:color w:val="000000" w:themeColor="text1"/>
          <w:lang w:val="en-AU"/>
        </w:rPr>
      </w:pPr>
      <w:r w:rsidRPr="00FB2D03">
        <w:rPr>
          <w:color w:val="000000" w:themeColor="text1"/>
          <w:lang w:val="en-AU"/>
        </w:rPr>
        <w:t>University Press, 2016.</w:t>
      </w:r>
    </w:p>
    <w:p w14:paraId="5F395D52" w14:textId="77777777" w:rsidR="00412D77" w:rsidRPr="00FB2D03" w:rsidRDefault="00412D77" w:rsidP="00412D77">
      <w:pPr>
        <w:tabs>
          <w:tab w:val="left" w:pos="5616"/>
        </w:tabs>
        <w:rPr>
          <w:color w:val="000000" w:themeColor="text1"/>
          <w:lang w:val="en-AU"/>
        </w:rPr>
      </w:pPr>
    </w:p>
    <w:p w14:paraId="36BDFBE0" w14:textId="0DD3D675" w:rsidR="00412D77" w:rsidRPr="00FB2D03" w:rsidRDefault="00412D77" w:rsidP="00412D77">
      <w:pPr>
        <w:tabs>
          <w:tab w:val="left" w:pos="5616"/>
        </w:tabs>
        <w:rPr>
          <w:color w:val="000000" w:themeColor="text1"/>
          <w:lang w:val="en-AU"/>
        </w:rPr>
      </w:pPr>
      <w:r w:rsidRPr="00FB2D03">
        <w:rPr>
          <w:color w:val="000000" w:themeColor="text1"/>
          <w:lang w:val="en-AU"/>
        </w:rPr>
        <w:t>Russell, Bertrand “The Ethics of War.” </w:t>
      </w:r>
      <w:r w:rsidRPr="00FB2D03">
        <w:rPr>
          <w:i/>
          <w:color w:val="000000" w:themeColor="text1"/>
          <w:lang w:val="en-AU"/>
        </w:rPr>
        <w:t>International Journal of Ethics</w:t>
      </w:r>
      <w:r w:rsidRPr="00FB2D03">
        <w:rPr>
          <w:color w:val="000000" w:themeColor="text1"/>
          <w:lang w:val="en-AU"/>
        </w:rPr>
        <w:t xml:space="preserve"> 25 (1915): 127–42.</w:t>
      </w:r>
    </w:p>
    <w:p w14:paraId="3174A3E2" w14:textId="77777777" w:rsidR="00412D77" w:rsidRPr="00FB2D03" w:rsidRDefault="00412D77" w:rsidP="00412D77">
      <w:pPr>
        <w:tabs>
          <w:tab w:val="left" w:pos="5616"/>
        </w:tabs>
        <w:rPr>
          <w:color w:val="000000" w:themeColor="text1"/>
          <w:lang w:val="en-AU"/>
        </w:rPr>
      </w:pPr>
    </w:p>
    <w:p w14:paraId="62BFD0F8" w14:textId="77777777" w:rsidR="00412D77" w:rsidRPr="00FB2D03" w:rsidRDefault="00412D77" w:rsidP="00412D77">
      <w:pPr>
        <w:tabs>
          <w:tab w:val="left" w:pos="5616"/>
        </w:tabs>
        <w:rPr>
          <w:color w:val="000000" w:themeColor="text1"/>
          <w:lang w:val="en-AU"/>
        </w:rPr>
      </w:pPr>
      <w:r w:rsidRPr="00FB2D03">
        <w:rPr>
          <w:color w:val="000000" w:themeColor="text1"/>
          <w:lang w:val="en-AU"/>
        </w:rPr>
        <w:t>________. “The Future of Pacifism.” </w:t>
      </w:r>
      <w:r w:rsidRPr="00FB2D03">
        <w:rPr>
          <w:i/>
          <w:color w:val="000000" w:themeColor="text1"/>
          <w:lang w:val="en-AU"/>
        </w:rPr>
        <w:t>The American Scholar</w:t>
      </w:r>
      <w:r w:rsidRPr="00FB2D03">
        <w:rPr>
          <w:color w:val="000000" w:themeColor="text1"/>
          <w:lang w:val="en-AU"/>
        </w:rPr>
        <w:t xml:space="preserve"> 13 (1943): 7–13.</w:t>
      </w:r>
    </w:p>
    <w:p w14:paraId="73C098F3" w14:textId="77777777" w:rsidR="00412D77" w:rsidRPr="00FB2D03" w:rsidRDefault="00412D77" w:rsidP="00412D77">
      <w:pPr>
        <w:tabs>
          <w:tab w:val="left" w:pos="5616"/>
        </w:tabs>
        <w:rPr>
          <w:color w:val="000000" w:themeColor="text1"/>
          <w:lang w:val="en-AU"/>
        </w:rPr>
      </w:pPr>
    </w:p>
    <w:p w14:paraId="4E14DD89"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Ruyter, Knut Willem. “Pacifism and Military Service in the Early Church.” </w:t>
      </w:r>
      <w:r w:rsidRPr="00FB2D03">
        <w:rPr>
          <w:i/>
          <w:color w:val="000000" w:themeColor="text1"/>
          <w:lang w:val="en-AU"/>
        </w:rPr>
        <w:t>Cross Currents</w:t>
      </w:r>
      <w:r w:rsidRPr="00FB2D03">
        <w:rPr>
          <w:color w:val="000000" w:themeColor="text1"/>
          <w:lang w:val="en-AU"/>
        </w:rPr>
        <w:t xml:space="preserve"> </w:t>
      </w:r>
    </w:p>
    <w:p w14:paraId="3EB8A0D5" w14:textId="38C08E03" w:rsidR="00412D77" w:rsidRPr="00FB2D03" w:rsidRDefault="00412D77" w:rsidP="0059280A">
      <w:pPr>
        <w:tabs>
          <w:tab w:val="left" w:pos="5616"/>
        </w:tabs>
        <w:ind w:left="720"/>
        <w:rPr>
          <w:color w:val="000000" w:themeColor="text1"/>
          <w:lang w:val="en-AU"/>
        </w:rPr>
      </w:pPr>
      <w:r w:rsidRPr="00FB2D03">
        <w:rPr>
          <w:color w:val="000000" w:themeColor="text1"/>
          <w:lang w:val="en-AU"/>
        </w:rPr>
        <w:t xml:space="preserve">32 (1982): 61. </w:t>
      </w:r>
    </w:p>
    <w:p w14:paraId="4BFEDD46" w14:textId="77777777" w:rsidR="00412D77" w:rsidRPr="00FB2D03" w:rsidRDefault="00412D77" w:rsidP="00412D77">
      <w:pPr>
        <w:tabs>
          <w:tab w:val="left" w:pos="5616"/>
        </w:tabs>
        <w:rPr>
          <w:color w:val="000000" w:themeColor="text1"/>
          <w:lang w:val="en-AU"/>
        </w:rPr>
      </w:pPr>
    </w:p>
    <w:p w14:paraId="5F397989"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Ruzer, Serge. “‘Love Your Enemy’ Precept in the Sermon on the Mount in the Context of </w:t>
      </w:r>
    </w:p>
    <w:p w14:paraId="0B7BB4BA" w14:textId="04342343" w:rsidR="00412D77" w:rsidRPr="00FB2D03" w:rsidRDefault="00412D77" w:rsidP="0059280A">
      <w:pPr>
        <w:tabs>
          <w:tab w:val="left" w:pos="5616"/>
        </w:tabs>
        <w:ind w:left="720"/>
        <w:rPr>
          <w:color w:val="000000" w:themeColor="text1"/>
          <w:lang w:val="en-AU"/>
        </w:rPr>
      </w:pPr>
      <w:r w:rsidRPr="00FB2D03">
        <w:rPr>
          <w:color w:val="000000" w:themeColor="text1"/>
          <w:lang w:val="en-AU"/>
        </w:rPr>
        <w:t>Early Jewish Exegesis: A New Perspective.” </w:t>
      </w:r>
      <w:r w:rsidRPr="00FB2D03">
        <w:rPr>
          <w:i/>
          <w:color w:val="000000" w:themeColor="text1"/>
          <w:lang w:val="en-AU"/>
        </w:rPr>
        <w:t>Revue Biblique</w:t>
      </w:r>
      <w:r w:rsidRPr="00FB2D03">
        <w:rPr>
          <w:color w:val="000000" w:themeColor="text1"/>
          <w:lang w:val="en-AU"/>
        </w:rPr>
        <w:t> 111 (2004): 193–208.</w:t>
      </w:r>
    </w:p>
    <w:p w14:paraId="23D1056F" w14:textId="77777777" w:rsidR="00412D77" w:rsidRPr="00FB2D03" w:rsidRDefault="00412D77" w:rsidP="00412D77">
      <w:pPr>
        <w:tabs>
          <w:tab w:val="left" w:pos="5616"/>
        </w:tabs>
        <w:rPr>
          <w:color w:val="000000" w:themeColor="text1"/>
          <w:lang w:val="en-AU"/>
        </w:rPr>
      </w:pPr>
    </w:p>
    <w:p w14:paraId="38769B04" w14:textId="77777777" w:rsidR="00AD1181" w:rsidRPr="00FB2D03" w:rsidRDefault="00412D77" w:rsidP="00412D77">
      <w:pPr>
        <w:tabs>
          <w:tab w:val="left" w:pos="5616"/>
        </w:tabs>
        <w:rPr>
          <w:i/>
          <w:color w:val="000000" w:themeColor="text1"/>
          <w:lang w:val="en-AU"/>
        </w:rPr>
      </w:pPr>
      <w:r w:rsidRPr="00FB2D03">
        <w:rPr>
          <w:color w:val="000000" w:themeColor="text1"/>
          <w:lang w:val="en-AU"/>
        </w:rPr>
        <w:t>Sacks, Jonathan “The Love That Brings New Life into the World.” </w:t>
      </w:r>
      <w:r w:rsidRPr="00FB2D03">
        <w:rPr>
          <w:i/>
          <w:color w:val="000000" w:themeColor="text1"/>
          <w:lang w:val="en-AU"/>
        </w:rPr>
        <w:t>National Catholic</w:t>
      </w:r>
    </w:p>
    <w:p w14:paraId="24CA4034" w14:textId="7D27EB16" w:rsidR="00412D77" w:rsidRPr="00FB2D03" w:rsidRDefault="00412D77" w:rsidP="0059280A">
      <w:pPr>
        <w:tabs>
          <w:tab w:val="left" w:pos="5616"/>
        </w:tabs>
        <w:ind w:left="720"/>
        <w:rPr>
          <w:color w:val="000000" w:themeColor="text1"/>
          <w:lang w:val="en-AU"/>
        </w:rPr>
      </w:pPr>
      <w:r w:rsidRPr="00FB2D03">
        <w:rPr>
          <w:i/>
          <w:color w:val="000000" w:themeColor="text1"/>
          <w:lang w:val="en-AU"/>
        </w:rPr>
        <w:t>Bioethics Quarterly</w:t>
      </w:r>
      <w:r w:rsidRPr="00FB2D03">
        <w:rPr>
          <w:color w:val="000000" w:themeColor="text1"/>
          <w:lang w:val="en-AU"/>
        </w:rPr>
        <w:t> 15 (2015): 129–35. </w:t>
      </w:r>
    </w:p>
    <w:p w14:paraId="7E0DCC4D" w14:textId="77777777" w:rsidR="00412D77" w:rsidRPr="00FB2D03" w:rsidRDefault="00412D77" w:rsidP="00412D77">
      <w:pPr>
        <w:tabs>
          <w:tab w:val="left" w:pos="5616"/>
        </w:tabs>
        <w:rPr>
          <w:color w:val="000000" w:themeColor="text1"/>
          <w:lang w:val="en-AU"/>
        </w:rPr>
      </w:pPr>
    </w:p>
    <w:p w14:paraId="479B7996" w14:textId="77777777" w:rsidR="00AD1181" w:rsidRPr="00FB2D03" w:rsidRDefault="00412D77" w:rsidP="00412D77">
      <w:pPr>
        <w:tabs>
          <w:tab w:val="left" w:pos="5616"/>
        </w:tabs>
        <w:rPr>
          <w:color w:val="000000" w:themeColor="text1"/>
          <w:lang w:val="en-AU"/>
        </w:rPr>
      </w:pPr>
      <w:r w:rsidRPr="00FB2D03">
        <w:rPr>
          <w:color w:val="000000" w:themeColor="text1"/>
          <w:lang w:val="en-AU"/>
        </w:rPr>
        <w:t>Safrai, Shemuel, and M. Stern. </w:t>
      </w:r>
      <w:r w:rsidRPr="00FB2D03">
        <w:rPr>
          <w:i/>
          <w:color w:val="000000" w:themeColor="text1"/>
          <w:lang w:val="en-AU"/>
        </w:rPr>
        <w:t>The Jewish People in the First Century</w:t>
      </w:r>
      <w:r w:rsidRPr="00FB2D03">
        <w:rPr>
          <w:color w:val="000000" w:themeColor="text1"/>
          <w:lang w:val="en-AU"/>
        </w:rPr>
        <w:t xml:space="preserve">. Assen: Van Gorcum, </w:t>
      </w:r>
    </w:p>
    <w:p w14:paraId="726395C3" w14:textId="70AD68D4" w:rsidR="00412D77" w:rsidRPr="00FB2D03" w:rsidRDefault="00412D77" w:rsidP="0059280A">
      <w:pPr>
        <w:tabs>
          <w:tab w:val="left" w:pos="5616"/>
        </w:tabs>
        <w:ind w:left="720"/>
        <w:rPr>
          <w:color w:val="000000" w:themeColor="text1"/>
          <w:lang w:val="en-AU"/>
        </w:rPr>
      </w:pPr>
      <w:r w:rsidRPr="00FB2D03">
        <w:rPr>
          <w:color w:val="000000" w:themeColor="text1"/>
          <w:lang w:val="en-AU"/>
        </w:rPr>
        <w:t>1974.</w:t>
      </w:r>
    </w:p>
    <w:p w14:paraId="71755A57" w14:textId="77777777" w:rsidR="00412D77" w:rsidRPr="00FB2D03" w:rsidRDefault="00412D77" w:rsidP="00412D77">
      <w:pPr>
        <w:tabs>
          <w:tab w:val="left" w:pos="5616"/>
        </w:tabs>
        <w:rPr>
          <w:color w:val="000000" w:themeColor="text1"/>
          <w:lang w:val="en-AU"/>
        </w:rPr>
      </w:pPr>
    </w:p>
    <w:p w14:paraId="1B3A6C61" w14:textId="77777777" w:rsidR="00AD1181" w:rsidRPr="00FB2D03" w:rsidRDefault="00412D77" w:rsidP="00412D77">
      <w:pPr>
        <w:tabs>
          <w:tab w:val="left" w:pos="5616"/>
        </w:tabs>
        <w:rPr>
          <w:color w:val="000000" w:themeColor="text1"/>
          <w:lang w:val="en-AU"/>
        </w:rPr>
      </w:pPr>
      <w:r w:rsidRPr="00FB2D03">
        <w:rPr>
          <w:color w:val="000000" w:themeColor="text1"/>
          <w:lang w:val="en-AU"/>
        </w:rPr>
        <w:t>Sakenfeld, Katherine Doob. “Love: Old Testament.” In</w:t>
      </w:r>
      <w:r w:rsidRPr="00FB2D03">
        <w:rPr>
          <w:i/>
          <w:color w:val="000000" w:themeColor="text1"/>
          <w:lang w:val="en-AU"/>
        </w:rPr>
        <w:t xml:space="preserve"> The Anchor Bible Dictionary, </w:t>
      </w:r>
      <w:r w:rsidRPr="00FB2D03">
        <w:rPr>
          <w:color w:val="000000" w:themeColor="text1"/>
          <w:lang w:val="en-AU"/>
        </w:rPr>
        <w:t xml:space="preserve">ed. </w:t>
      </w:r>
    </w:p>
    <w:p w14:paraId="3E17A93A" w14:textId="571351EA" w:rsidR="00412D77" w:rsidRPr="00FB2D03" w:rsidRDefault="00412D77" w:rsidP="0059280A">
      <w:pPr>
        <w:tabs>
          <w:tab w:val="left" w:pos="5616"/>
        </w:tabs>
        <w:ind w:left="720"/>
        <w:rPr>
          <w:color w:val="000000" w:themeColor="text1"/>
          <w:lang w:val="en-AU"/>
        </w:rPr>
      </w:pPr>
      <w:r w:rsidRPr="00FB2D03">
        <w:rPr>
          <w:color w:val="000000" w:themeColor="text1"/>
          <w:lang w:val="en-AU"/>
        </w:rPr>
        <w:t>David Freedmon. New York: Doubleday, 1992.</w:t>
      </w:r>
    </w:p>
    <w:p w14:paraId="2CC3E605" w14:textId="77777777" w:rsidR="00412D77" w:rsidRPr="00FB2D03" w:rsidRDefault="00412D77" w:rsidP="00412D77">
      <w:pPr>
        <w:tabs>
          <w:tab w:val="left" w:pos="5616"/>
        </w:tabs>
        <w:rPr>
          <w:color w:val="000000" w:themeColor="text1"/>
          <w:lang w:val="en-AU"/>
        </w:rPr>
      </w:pPr>
    </w:p>
    <w:p w14:paraId="35753BCA" w14:textId="77777777" w:rsidR="00AD1181" w:rsidRPr="00FB2D03" w:rsidRDefault="00412D77" w:rsidP="00412D77">
      <w:pPr>
        <w:tabs>
          <w:tab w:val="left" w:pos="5616"/>
        </w:tabs>
        <w:rPr>
          <w:color w:val="000000" w:themeColor="text1"/>
          <w:lang w:val="en-AU"/>
        </w:rPr>
      </w:pPr>
      <w:r w:rsidRPr="00FB2D03">
        <w:rPr>
          <w:color w:val="000000" w:themeColor="text1"/>
          <w:lang w:val="en-AU"/>
        </w:rPr>
        <w:t>Saldarini, Anthony J. </w:t>
      </w:r>
      <w:r w:rsidRPr="00FB2D03">
        <w:rPr>
          <w:i/>
          <w:color w:val="000000" w:themeColor="text1"/>
          <w:lang w:val="en-AU"/>
        </w:rPr>
        <w:t>Matthew’s Christian–Jewish Community</w:t>
      </w:r>
      <w:r w:rsidRPr="00FB2D03">
        <w:rPr>
          <w:color w:val="000000" w:themeColor="text1"/>
          <w:lang w:val="en-AU"/>
        </w:rPr>
        <w:t xml:space="preserve">. Chicago: University of </w:t>
      </w:r>
    </w:p>
    <w:p w14:paraId="725C2062" w14:textId="4D3CEDA2" w:rsidR="00412D77" w:rsidRPr="00FB2D03" w:rsidRDefault="00412D77" w:rsidP="0059280A">
      <w:pPr>
        <w:tabs>
          <w:tab w:val="left" w:pos="5616"/>
        </w:tabs>
        <w:ind w:left="720"/>
        <w:rPr>
          <w:color w:val="000000" w:themeColor="text1"/>
          <w:lang w:val="en-AU"/>
        </w:rPr>
      </w:pPr>
      <w:r w:rsidRPr="00FB2D03">
        <w:rPr>
          <w:color w:val="000000" w:themeColor="text1"/>
          <w:lang w:val="en-AU"/>
        </w:rPr>
        <w:lastRenderedPageBreak/>
        <w:t>Chicago Press, 1994.</w:t>
      </w:r>
    </w:p>
    <w:p w14:paraId="5353563F" w14:textId="77777777" w:rsidR="00412D77" w:rsidRPr="00FB2D03" w:rsidRDefault="00412D77" w:rsidP="00412D77">
      <w:pPr>
        <w:tabs>
          <w:tab w:val="left" w:pos="5616"/>
        </w:tabs>
        <w:rPr>
          <w:color w:val="000000" w:themeColor="text1"/>
          <w:lang w:val="en-AU"/>
        </w:rPr>
      </w:pPr>
    </w:p>
    <w:p w14:paraId="11C81805" w14:textId="77777777" w:rsidR="00AD1181" w:rsidRPr="00FB2D03" w:rsidRDefault="00412D77" w:rsidP="00412D77">
      <w:pPr>
        <w:tabs>
          <w:tab w:val="left" w:pos="5616"/>
        </w:tabs>
        <w:rPr>
          <w:i/>
          <w:color w:val="000000" w:themeColor="text1"/>
          <w:lang w:val="en-AU"/>
        </w:rPr>
      </w:pPr>
      <w:r w:rsidRPr="00FB2D03">
        <w:rPr>
          <w:color w:val="000000" w:themeColor="text1"/>
          <w:lang w:val="en-AU"/>
        </w:rPr>
        <w:t xml:space="preserve">________. </w:t>
      </w:r>
      <w:r w:rsidRPr="00FB2D03">
        <w:rPr>
          <w:i/>
          <w:color w:val="000000" w:themeColor="text1"/>
          <w:lang w:val="en-AU"/>
        </w:rPr>
        <w:t xml:space="preserve">Scholastic Rabbanism: A Literary Study of the Fathers According to Rabbi </w:t>
      </w:r>
    </w:p>
    <w:p w14:paraId="3F209876" w14:textId="0BD1FC48" w:rsidR="00412D77" w:rsidRPr="00FB2D03" w:rsidRDefault="00412D77" w:rsidP="0059280A">
      <w:pPr>
        <w:tabs>
          <w:tab w:val="left" w:pos="5616"/>
        </w:tabs>
        <w:ind w:left="720"/>
        <w:rPr>
          <w:color w:val="000000" w:themeColor="text1"/>
          <w:lang w:val="en-AU"/>
        </w:rPr>
      </w:pPr>
      <w:r w:rsidRPr="00FB2D03">
        <w:rPr>
          <w:i/>
          <w:color w:val="000000" w:themeColor="text1"/>
          <w:lang w:val="en-AU"/>
        </w:rPr>
        <w:t>Nathan</w:t>
      </w:r>
      <w:r w:rsidRPr="00FB2D03">
        <w:rPr>
          <w:color w:val="000000" w:themeColor="text1"/>
          <w:lang w:val="en-AU"/>
        </w:rPr>
        <w:t>. Chico: Scholars, 1982.</w:t>
      </w:r>
    </w:p>
    <w:p w14:paraId="6085BE15" w14:textId="77777777" w:rsidR="00412D77" w:rsidRPr="00FB2D03" w:rsidRDefault="00412D77" w:rsidP="00412D77">
      <w:pPr>
        <w:tabs>
          <w:tab w:val="left" w:pos="5616"/>
        </w:tabs>
        <w:rPr>
          <w:color w:val="000000" w:themeColor="text1"/>
          <w:lang w:val="en-AU"/>
        </w:rPr>
      </w:pPr>
    </w:p>
    <w:p w14:paraId="698323C0"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Samuelson, Norbert. “On Knowing God: Maimonides, Gersonides, and the Philosophy of </w:t>
      </w:r>
    </w:p>
    <w:p w14:paraId="05DA15F5" w14:textId="40D293F6" w:rsidR="00412D77" w:rsidRPr="00FB2D03" w:rsidRDefault="00412D77" w:rsidP="0059280A">
      <w:pPr>
        <w:tabs>
          <w:tab w:val="left" w:pos="5616"/>
        </w:tabs>
        <w:ind w:left="720"/>
        <w:rPr>
          <w:color w:val="000000" w:themeColor="text1"/>
          <w:lang w:val="en-AU"/>
        </w:rPr>
      </w:pPr>
      <w:r w:rsidRPr="00FB2D03">
        <w:rPr>
          <w:color w:val="000000" w:themeColor="text1"/>
          <w:lang w:val="en-AU"/>
        </w:rPr>
        <w:t xml:space="preserve">Religion.” </w:t>
      </w:r>
      <w:r w:rsidRPr="00FB2D03">
        <w:rPr>
          <w:i/>
          <w:color w:val="000000" w:themeColor="text1"/>
          <w:lang w:val="en-AU"/>
        </w:rPr>
        <w:t>Judaism</w:t>
      </w:r>
      <w:r w:rsidRPr="00FB2D03">
        <w:rPr>
          <w:color w:val="000000" w:themeColor="text1"/>
          <w:lang w:val="en-AU"/>
        </w:rPr>
        <w:t xml:space="preserve"> 18 (1969): 64–78. </w:t>
      </w:r>
    </w:p>
    <w:p w14:paraId="1A8901D1" w14:textId="77777777" w:rsidR="00412D77" w:rsidRPr="00FB2D03" w:rsidRDefault="00412D77" w:rsidP="00412D77">
      <w:pPr>
        <w:tabs>
          <w:tab w:val="left" w:pos="5616"/>
        </w:tabs>
        <w:rPr>
          <w:color w:val="000000" w:themeColor="text1"/>
          <w:lang w:val="en-AU"/>
        </w:rPr>
      </w:pPr>
    </w:p>
    <w:p w14:paraId="4F9A51E6" w14:textId="07469A0C" w:rsidR="00412D77" w:rsidRPr="00FB2D03" w:rsidRDefault="01B55689" w:rsidP="01B55689">
      <w:pPr>
        <w:tabs>
          <w:tab w:val="left" w:pos="5616"/>
        </w:tabs>
        <w:rPr>
          <w:color w:val="000000" w:themeColor="text1"/>
          <w:lang w:val="en-AU"/>
        </w:rPr>
      </w:pPr>
      <w:r w:rsidRPr="00FB2D03">
        <w:rPr>
          <w:color w:val="000000" w:themeColor="text1"/>
          <w:lang w:val="en-AU"/>
        </w:rPr>
        <w:t xml:space="preserve">Sandmel, Samuel. </w:t>
      </w:r>
      <w:r w:rsidRPr="00FB2D03">
        <w:rPr>
          <w:i/>
          <w:iCs/>
          <w:color w:val="000000" w:themeColor="text1"/>
          <w:lang w:val="en-AU"/>
        </w:rPr>
        <w:t>A Jewish Understanding of the New Testament</w:t>
      </w:r>
      <w:r w:rsidRPr="00FB2D03">
        <w:rPr>
          <w:color w:val="000000" w:themeColor="text1"/>
          <w:lang w:val="en-AU"/>
        </w:rPr>
        <w:t xml:space="preserve">. Cincinnati: Hebrew </w:t>
      </w:r>
    </w:p>
    <w:p w14:paraId="1517700B" w14:textId="0D9C0177" w:rsidR="00412D77" w:rsidRPr="00FB2D03" w:rsidRDefault="01B55689" w:rsidP="01B55689">
      <w:pPr>
        <w:tabs>
          <w:tab w:val="left" w:pos="5616"/>
        </w:tabs>
        <w:ind w:firstLine="720"/>
        <w:rPr>
          <w:color w:val="000000" w:themeColor="text1"/>
          <w:lang w:val="en-AU"/>
        </w:rPr>
      </w:pPr>
      <w:r w:rsidRPr="00FB2D03">
        <w:rPr>
          <w:color w:val="000000" w:themeColor="text1"/>
          <w:lang w:val="en-AU"/>
        </w:rPr>
        <w:t>Union College Press, 1956.</w:t>
      </w:r>
    </w:p>
    <w:p w14:paraId="3F32038E" w14:textId="77777777" w:rsidR="00412D77" w:rsidRPr="00FB2D03" w:rsidRDefault="00412D77" w:rsidP="00412D77">
      <w:pPr>
        <w:tabs>
          <w:tab w:val="left" w:pos="5616"/>
        </w:tabs>
        <w:rPr>
          <w:color w:val="000000" w:themeColor="text1"/>
          <w:lang w:val="en-AU"/>
        </w:rPr>
      </w:pPr>
    </w:p>
    <w:p w14:paraId="4879E102" w14:textId="77777777" w:rsidR="00AD1181" w:rsidRPr="00FB2D03" w:rsidRDefault="00412D77" w:rsidP="00412D77">
      <w:pPr>
        <w:tabs>
          <w:tab w:val="left" w:pos="5616"/>
        </w:tabs>
        <w:rPr>
          <w:color w:val="000000" w:themeColor="text1"/>
          <w:lang w:val="en-AU"/>
        </w:rPr>
      </w:pPr>
      <w:r w:rsidRPr="00FB2D03">
        <w:rPr>
          <w:color w:val="000000" w:themeColor="text1"/>
          <w:lang w:val="en-AU"/>
        </w:rPr>
        <w:t xml:space="preserve">Sanders, E. P. </w:t>
      </w:r>
      <w:r w:rsidRPr="00FB2D03">
        <w:rPr>
          <w:i/>
          <w:color w:val="000000" w:themeColor="text1"/>
          <w:lang w:val="en-AU"/>
        </w:rPr>
        <w:t>Judaism: Practice &amp; Belief 63 BCE – 66 CE</w:t>
      </w:r>
      <w:r w:rsidRPr="00FB2D03">
        <w:rPr>
          <w:color w:val="000000" w:themeColor="text1"/>
          <w:lang w:val="en-AU"/>
        </w:rPr>
        <w:t xml:space="preserve">. London: Student Christian </w:t>
      </w:r>
    </w:p>
    <w:p w14:paraId="7CBF22D8" w14:textId="412BCD90" w:rsidR="00412D77" w:rsidRPr="00FB2D03" w:rsidRDefault="00412D77" w:rsidP="0059280A">
      <w:pPr>
        <w:tabs>
          <w:tab w:val="left" w:pos="5616"/>
        </w:tabs>
        <w:ind w:left="720"/>
        <w:rPr>
          <w:color w:val="000000" w:themeColor="text1"/>
          <w:lang w:val="en-AU"/>
        </w:rPr>
      </w:pPr>
      <w:r w:rsidRPr="00FB2D03">
        <w:rPr>
          <w:color w:val="000000" w:themeColor="text1"/>
          <w:lang w:val="en-AU"/>
        </w:rPr>
        <w:t>Movement Press, 1992.</w:t>
      </w:r>
    </w:p>
    <w:p w14:paraId="4BA8A484" w14:textId="77777777" w:rsidR="00412D77" w:rsidRPr="00FB2D03" w:rsidRDefault="00412D77" w:rsidP="00412D77">
      <w:pPr>
        <w:tabs>
          <w:tab w:val="left" w:pos="5616"/>
        </w:tabs>
        <w:rPr>
          <w:color w:val="000000" w:themeColor="text1"/>
          <w:lang w:val="en-AU"/>
        </w:rPr>
      </w:pPr>
    </w:p>
    <w:p w14:paraId="1FBC331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Jesus and Judaism</w:t>
      </w:r>
      <w:r w:rsidRPr="00FB2D03">
        <w:rPr>
          <w:color w:val="000000" w:themeColor="text1"/>
          <w:lang w:val="en-AU"/>
        </w:rPr>
        <w:t xml:space="preserve">. London: Student Christian Movement Press, 1985. </w:t>
      </w:r>
    </w:p>
    <w:p w14:paraId="12010314" w14:textId="77777777" w:rsidR="00412D77" w:rsidRPr="00FB2D03" w:rsidRDefault="00412D77" w:rsidP="00412D77">
      <w:pPr>
        <w:tabs>
          <w:tab w:val="left" w:pos="5616"/>
        </w:tabs>
        <w:rPr>
          <w:color w:val="000000" w:themeColor="text1"/>
          <w:lang w:val="en-AU"/>
        </w:rPr>
      </w:pPr>
    </w:p>
    <w:p w14:paraId="2781FE0F" w14:textId="5AE2BA44" w:rsidR="00412D77" w:rsidRPr="00FB2D03" w:rsidRDefault="01B55689" w:rsidP="01B55689">
      <w:pPr>
        <w:tabs>
          <w:tab w:val="left" w:pos="5616"/>
        </w:tabs>
        <w:rPr>
          <w:color w:val="000000" w:themeColor="text1"/>
          <w:lang w:val="en-AU"/>
        </w:rPr>
      </w:pPr>
      <w:r w:rsidRPr="00FB2D03">
        <w:rPr>
          <w:color w:val="000000" w:themeColor="text1"/>
          <w:lang w:val="en-AU"/>
        </w:rPr>
        <w:t xml:space="preserve">________. “Jesus and the Sinners.” </w:t>
      </w:r>
      <w:r w:rsidRPr="00FB2D03">
        <w:rPr>
          <w:i/>
          <w:iCs/>
          <w:color w:val="000000" w:themeColor="text1"/>
          <w:lang w:val="en-AU"/>
        </w:rPr>
        <w:t xml:space="preserve">Journal for the Study of the New Testament </w:t>
      </w:r>
      <w:r w:rsidRPr="00FB2D03">
        <w:rPr>
          <w:color w:val="000000" w:themeColor="text1"/>
          <w:lang w:val="en-AU"/>
        </w:rPr>
        <w:t xml:space="preserve">19 (1983): </w:t>
      </w:r>
    </w:p>
    <w:p w14:paraId="4BDFC432" w14:textId="7ED453C9" w:rsidR="00412D77" w:rsidRPr="00FB2D03" w:rsidRDefault="01B55689" w:rsidP="01B55689">
      <w:pPr>
        <w:tabs>
          <w:tab w:val="left" w:pos="5616"/>
        </w:tabs>
        <w:ind w:firstLine="720"/>
        <w:rPr>
          <w:color w:val="000000" w:themeColor="text1"/>
          <w:lang w:val="en-AU"/>
        </w:rPr>
      </w:pPr>
      <w:r w:rsidRPr="00FB2D03">
        <w:rPr>
          <w:color w:val="000000" w:themeColor="text1"/>
          <w:lang w:val="en-AU"/>
        </w:rPr>
        <w:t>5–36.</w:t>
      </w:r>
    </w:p>
    <w:p w14:paraId="62769943" w14:textId="19BCF059" w:rsidR="00412D77" w:rsidRPr="00FB2D03" w:rsidRDefault="00412D77" w:rsidP="00412D77">
      <w:pPr>
        <w:tabs>
          <w:tab w:val="left" w:pos="5616"/>
        </w:tabs>
        <w:rPr>
          <w:color w:val="000000" w:themeColor="text1"/>
          <w:lang w:val="en-AU"/>
        </w:rPr>
      </w:pPr>
    </w:p>
    <w:p w14:paraId="7AE29D24" w14:textId="77777777" w:rsidR="00412D77" w:rsidRPr="00FB2D03" w:rsidRDefault="00412D77" w:rsidP="00412D77">
      <w:pPr>
        <w:tabs>
          <w:tab w:val="left" w:pos="5616"/>
        </w:tabs>
        <w:rPr>
          <w:color w:val="000000" w:themeColor="text1"/>
          <w:lang w:val="en-AU"/>
        </w:rPr>
      </w:pPr>
      <w:r w:rsidRPr="00FB2D03">
        <w:rPr>
          <w:color w:val="000000" w:themeColor="text1"/>
          <w:lang w:val="en-AU"/>
        </w:rPr>
        <w:t>________.  </w:t>
      </w:r>
      <w:r w:rsidRPr="00FB2D03">
        <w:rPr>
          <w:i/>
          <w:color w:val="000000" w:themeColor="text1"/>
          <w:lang w:val="en-AU"/>
        </w:rPr>
        <w:t>Paul</w:t>
      </w:r>
      <w:r w:rsidRPr="00FB2D03">
        <w:rPr>
          <w:color w:val="000000" w:themeColor="text1"/>
          <w:lang w:val="en-AU"/>
        </w:rPr>
        <w:t>. Oxford: Oxford University Press, 2001.</w:t>
      </w:r>
    </w:p>
    <w:p w14:paraId="62B36D4E" w14:textId="77777777" w:rsidR="00412D77" w:rsidRPr="00FB2D03" w:rsidRDefault="00412D77" w:rsidP="00412D77">
      <w:pPr>
        <w:tabs>
          <w:tab w:val="left" w:pos="5616"/>
        </w:tabs>
        <w:rPr>
          <w:color w:val="000000" w:themeColor="text1"/>
          <w:lang w:val="en-AU"/>
        </w:rPr>
      </w:pPr>
    </w:p>
    <w:p w14:paraId="187533A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Historical Figure of Jesus</w:t>
      </w:r>
      <w:r w:rsidRPr="00FB2D03">
        <w:rPr>
          <w:color w:val="000000" w:themeColor="text1"/>
          <w:lang w:val="en-AU"/>
        </w:rPr>
        <w:t>. London: Allen Lane, 1993.</w:t>
      </w:r>
    </w:p>
    <w:p w14:paraId="634BAA91" w14:textId="77777777" w:rsidR="00412D77" w:rsidRPr="00FB2D03" w:rsidRDefault="00412D77" w:rsidP="00412D77">
      <w:pPr>
        <w:tabs>
          <w:tab w:val="left" w:pos="5616"/>
        </w:tabs>
        <w:rPr>
          <w:color w:val="000000" w:themeColor="text1"/>
          <w:lang w:val="en-AU"/>
        </w:rPr>
      </w:pPr>
    </w:p>
    <w:p w14:paraId="6FBB438B" w14:textId="5414D882" w:rsidR="00412D77" w:rsidRPr="00FB2D03" w:rsidRDefault="01B55689" w:rsidP="01B55689">
      <w:pPr>
        <w:tabs>
          <w:tab w:val="left" w:pos="5616"/>
        </w:tabs>
        <w:rPr>
          <w:color w:val="000000" w:themeColor="text1"/>
          <w:lang w:val="en-AU"/>
        </w:rPr>
      </w:pPr>
      <w:r w:rsidRPr="00FB2D03">
        <w:rPr>
          <w:color w:val="000000" w:themeColor="text1"/>
          <w:lang w:val="en-AU"/>
        </w:rPr>
        <w:t xml:space="preserve">Sandmel, Samuel. </w:t>
      </w:r>
      <w:r w:rsidRPr="00FB2D03">
        <w:rPr>
          <w:i/>
          <w:iCs/>
          <w:color w:val="000000" w:themeColor="text1"/>
          <w:lang w:val="en-AU"/>
        </w:rPr>
        <w:t>A Jewish Understanding of the New Testament</w:t>
      </w:r>
      <w:r w:rsidRPr="00FB2D03">
        <w:rPr>
          <w:color w:val="000000" w:themeColor="text1"/>
          <w:lang w:val="en-AU"/>
        </w:rPr>
        <w:t>. Cincinnati: Hebrew Union</w:t>
      </w:r>
    </w:p>
    <w:p w14:paraId="68DB6426" w14:textId="6BA0840B" w:rsidR="00412D77" w:rsidRPr="00FB2D03" w:rsidRDefault="01B55689" w:rsidP="01B55689">
      <w:pPr>
        <w:tabs>
          <w:tab w:val="left" w:pos="5616"/>
        </w:tabs>
        <w:ind w:firstLine="720"/>
        <w:rPr>
          <w:color w:val="000000" w:themeColor="text1"/>
          <w:lang w:val="en-AU"/>
        </w:rPr>
      </w:pPr>
      <w:r w:rsidRPr="00FB2D03">
        <w:rPr>
          <w:color w:val="000000" w:themeColor="text1"/>
          <w:lang w:val="en-AU"/>
        </w:rPr>
        <w:t>College Press, 1956.</w:t>
      </w:r>
    </w:p>
    <w:p w14:paraId="439E0016" w14:textId="77777777" w:rsidR="00412D77" w:rsidRPr="00FB2D03" w:rsidRDefault="00412D77" w:rsidP="00412D77">
      <w:pPr>
        <w:tabs>
          <w:tab w:val="left" w:pos="5616"/>
        </w:tabs>
        <w:rPr>
          <w:color w:val="000000" w:themeColor="text1"/>
          <w:lang w:val="en-AU"/>
        </w:rPr>
      </w:pPr>
    </w:p>
    <w:p w14:paraId="1F76369E" w14:textId="21D1DA8E"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“Parallelomania.” </w:t>
      </w:r>
      <w:r w:rsidRPr="00FB2D03">
        <w:rPr>
          <w:i/>
          <w:color w:val="000000" w:themeColor="text1"/>
          <w:lang w:val="en-AU"/>
        </w:rPr>
        <w:t>Journal of Biblical Literature</w:t>
      </w:r>
      <w:r w:rsidRPr="00FB2D03">
        <w:rPr>
          <w:color w:val="000000" w:themeColor="text1"/>
          <w:lang w:val="en-AU"/>
        </w:rPr>
        <w:t xml:space="preserve"> 81 (1962)</w:t>
      </w:r>
      <w:r w:rsidR="00013BF9" w:rsidRPr="00FB2D03">
        <w:rPr>
          <w:color w:val="000000" w:themeColor="text1"/>
          <w:lang w:val="en-AU"/>
        </w:rPr>
        <w:t>:</w:t>
      </w:r>
      <w:r w:rsidRPr="00FB2D03">
        <w:rPr>
          <w:color w:val="000000" w:themeColor="text1"/>
          <w:lang w:val="en-AU"/>
        </w:rPr>
        <w:t xml:space="preserve"> 1–13. </w:t>
      </w:r>
    </w:p>
    <w:p w14:paraId="151A1116" w14:textId="77777777" w:rsidR="00412D77" w:rsidRPr="00FB2D03" w:rsidRDefault="00412D77" w:rsidP="00412D77">
      <w:pPr>
        <w:tabs>
          <w:tab w:val="left" w:pos="5616"/>
        </w:tabs>
        <w:rPr>
          <w:color w:val="000000" w:themeColor="text1"/>
          <w:lang w:val="en-AU"/>
        </w:rPr>
      </w:pPr>
    </w:p>
    <w:p w14:paraId="240E299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“The Christian Reclamation of Judaism.” </w:t>
      </w:r>
      <w:r w:rsidRPr="00FB2D03">
        <w:rPr>
          <w:i/>
          <w:color w:val="000000" w:themeColor="text1"/>
          <w:lang w:val="en-AU"/>
        </w:rPr>
        <w:t xml:space="preserve">Judaism </w:t>
      </w:r>
      <w:r w:rsidRPr="00FB2D03">
        <w:rPr>
          <w:color w:val="000000" w:themeColor="text1"/>
          <w:lang w:val="en-AU"/>
        </w:rPr>
        <w:t xml:space="preserve">54 (2005): 251–63. </w:t>
      </w:r>
    </w:p>
    <w:p w14:paraId="4E5F8E2E" w14:textId="519F3C30" w:rsidR="00412D77" w:rsidRPr="00FB2D03" w:rsidRDefault="00412D77" w:rsidP="00412D77">
      <w:pPr>
        <w:tabs>
          <w:tab w:val="left" w:pos="5616"/>
        </w:tabs>
        <w:rPr>
          <w:color w:val="000000" w:themeColor="text1"/>
          <w:lang w:val="en-AU"/>
        </w:rPr>
      </w:pPr>
    </w:p>
    <w:p w14:paraId="7C422CDE" w14:textId="302B2E3B" w:rsidR="00412D77" w:rsidRPr="00FB2D03" w:rsidRDefault="01B55689" w:rsidP="01B55689">
      <w:pPr>
        <w:tabs>
          <w:tab w:val="left" w:pos="5616"/>
        </w:tabs>
        <w:rPr>
          <w:color w:val="000000" w:themeColor="text1"/>
          <w:lang w:val="en-AU"/>
        </w:rPr>
      </w:pPr>
      <w:r w:rsidRPr="00FB2D03">
        <w:rPr>
          <w:color w:val="000000" w:themeColor="text1"/>
          <w:lang w:val="en-AU"/>
        </w:rPr>
        <w:t xml:space="preserve">Satlow, Michael L. “Beyond Influence: Toward a New Historiographic Paradigm.” In </w:t>
      </w:r>
      <w:r w:rsidRPr="00FB2D03">
        <w:rPr>
          <w:i/>
          <w:iCs/>
          <w:color w:val="000000" w:themeColor="text1"/>
          <w:lang w:val="en-AU"/>
        </w:rPr>
        <w:t>Jewish</w:t>
      </w:r>
    </w:p>
    <w:p w14:paraId="42DE573F" w14:textId="49614239" w:rsidR="00412D77" w:rsidRPr="00FB2D03" w:rsidRDefault="01B55689" w:rsidP="01B55689">
      <w:pPr>
        <w:tabs>
          <w:tab w:val="left" w:pos="5616"/>
        </w:tabs>
        <w:ind w:left="720"/>
        <w:rPr>
          <w:color w:val="000000" w:themeColor="text1"/>
          <w:lang w:val="en-AU"/>
        </w:rPr>
      </w:pPr>
      <w:r w:rsidRPr="00FB2D03">
        <w:rPr>
          <w:i/>
          <w:iCs/>
          <w:color w:val="000000" w:themeColor="text1"/>
          <w:lang w:val="en-AU"/>
        </w:rPr>
        <w:t xml:space="preserve">Literatures and Cultures: Context and Intertext, </w:t>
      </w:r>
      <w:r w:rsidRPr="00FB2D03">
        <w:rPr>
          <w:color w:val="000000" w:themeColor="text1"/>
          <w:lang w:val="en-AU"/>
        </w:rPr>
        <w:t>ed.</w:t>
      </w:r>
      <w:r w:rsidRPr="00FB2D03">
        <w:rPr>
          <w:i/>
          <w:iCs/>
          <w:color w:val="000000" w:themeColor="text1"/>
          <w:lang w:val="en-AU"/>
        </w:rPr>
        <w:t xml:space="preserve"> </w:t>
      </w:r>
      <w:r w:rsidRPr="00FB2D03">
        <w:rPr>
          <w:color w:val="000000" w:themeColor="text1"/>
          <w:lang w:val="en-AU"/>
        </w:rPr>
        <w:t>Anita Norich and Yaron Z. Eliav, 37-54.  Providence: Brown Judaic Studies, 2008.</w:t>
      </w:r>
    </w:p>
    <w:p w14:paraId="66C5F23D" w14:textId="77777777" w:rsidR="00412D77" w:rsidRPr="00FB2D03" w:rsidRDefault="00412D77" w:rsidP="01B55689">
      <w:pPr>
        <w:tabs>
          <w:tab w:val="left" w:pos="5616"/>
        </w:tabs>
        <w:ind w:left="720"/>
        <w:rPr>
          <w:color w:val="000000" w:themeColor="text1"/>
          <w:lang w:val="en-AU"/>
        </w:rPr>
      </w:pPr>
    </w:p>
    <w:p w14:paraId="7EB899AD" w14:textId="1CBC1390" w:rsidR="00412D77" w:rsidRPr="00FB2D03" w:rsidRDefault="01B55689" w:rsidP="01B55689">
      <w:pPr>
        <w:tabs>
          <w:tab w:val="left" w:pos="5616"/>
        </w:tabs>
        <w:rPr>
          <w:color w:val="000000" w:themeColor="text1"/>
          <w:lang w:val="en-AU"/>
        </w:rPr>
      </w:pPr>
      <w:r w:rsidRPr="00FB2D03">
        <w:rPr>
          <w:color w:val="000000" w:themeColor="text1"/>
          <w:lang w:val="en-AU"/>
        </w:rPr>
        <w:t xml:space="preserve">Sauter, Megan, </w:t>
      </w:r>
      <w:r w:rsidRPr="00FB2D03">
        <w:rPr>
          <w:i/>
          <w:iCs/>
          <w:color w:val="000000" w:themeColor="text1"/>
          <w:lang w:val="en-AU"/>
        </w:rPr>
        <w:t xml:space="preserve">Secret Mikveh Discovered Under </w:t>
      </w:r>
      <w:proofErr w:type="gramStart"/>
      <w:r w:rsidRPr="00FB2D03">
        <w:rPr>
          <w:i/>
          <w:iCs/>
          <w:color w:val="000000" w:themeColor="text1"/>
          <w:lang w:val="en-AU"/>
        </w:rPr>
        <w:t>A</w:t>
      </w:r>
      <w:proofErr w:type="gramEnd"/>
      <w:r w:rsidRPr="00FB2D03">
        <w:rPr>
          <w:i/>
          <w:iCs/>
          <w:color w:val="000000" w:themeColor="text1"/>
          <w:lang w:val="en-AU"/>
        </w:rPr>
        <w:t xml:space="preserve"> Living Room Floor</w:t>
      </w:r>
      <w:r w:rsidRPr="00FB2D03">
        <w:rPr>
          <w:color w:val="000000" w:themeColor="text1"/>
          <w:lang w:val="en-AU"/>
        </w:rPr>
        <w:t xml:space="preserve">, [online] Biblical </w:t>
      </w:r>
    </w:p>
    <w:p w14:paraId="0CBD5B2C" w14:textId="24699DA1" w:rsidR="00412D77" w:rsidRPr="00FB2D03" w:rsidRDefault="01B55689" w:rsidP="01B55689">
      <w:pPr>
        <w:tabs>
          <w:tab w:val="left" w:pos="5616"/>
        </w:tabs>
        <w:ind w:firstLine="720"/>
        <w:rPr>
          <w:color w:val="000000" w:themeColor="text1"/>
          <w:lang w:val="en-AU"/>
        </w:rPr>
      </w:pPr>
      <w:r w:rsidRPr="00FB2D03">
        <w:rPr>
          <w:color w:val="000000" w:themeColor="text1"/>
          <w:lang w:val="en-AU"/>
        </w:rPr>
        <w:t xml:space="preserve">Archaeology Society, 2015, Available at: </w:t>
      </w:r>
    </w:p>
    <w:p w14:paraId="7953A89F" w14:textId="07F65456" w:rsidR="00412D77" w:rsidRPr="00FB2D03" w:rsidRDefault="01B55689" w:rsidP="01B55689">
      <w:pPr>
        <w:tabs>
          <w:tab w:val="left" w:pos="5616"/>
        </w:tabs>
        <w:ind w:firstLine="720"/>
        <w:rPr>
          <w:color w:val="000000" w:themeColor="text1"/>
          <w:lang w:val="en-AU"/>
        </w:rPr>
      </w:pPr>
      <w:r w:rsidRPr="00FB2D03">
        <w:rPr>
          <w:color w:val="000000" w:themeColor="text1"/>
          <w:lang w:val="en-AU"/>
        </w:rPr>
        <w:t>&lt;https://www.biblicalarchaeology.org/daily/news/secret–mikveh–discovered–under–</w:t>
      </w:r>
    </w:p>
    <w:p w14:paraId="52EAECA5" w14:textId="5036AAC4" w:rsidR="00412D77" w:rsidRPr="00FB2D03" w:rsidRDefault="01B55689" w:rsidP="01B55689">
      <w:pPr>
        <w:tabs>
          <w:tab w:val="left" w:pos="5616"/>
        </w:tabs>
        <w:ind w:firstLine="720"/>
        <w:rPr>
          <w:color w:val="000000" w:themeColor="text1"/>
          <w:lang w:val="en-AU"/>
        </w:rPr>
      </w:pPr>
      <w:r w:rsidRPr="00FB2D03">
        <w:rPr>
          <w:color w:val="000000" w:themeColor="text1"/>
          <w:lang w:val="en-AU"/>
        </w:rPr>
        <w:t>a–living–room–floor/&gt;.</w:t>
      </w:r>
    </w:p>
    <w:p w14:paraId="198551A8" w14:textId="77777777" w:rsidR="00412D77" w:rsidRPr="00FB2D03" w:rsidRDefault="00412D77" w:rsidP="00412D77">
      <w:pPr>
        <w:tabs>
          <w:tab w:val="left" w:pos="5616"/>
        </w:tabs>
        <w:rPr>
          <w:i/>
          <w:color w:val="000000" w:themeColor="text1"/>
          <w:lang w:val="en-AU"/>
        </w:rPr>
      </w:pPr>
    </w:p>
    <w:p w14:paraId="2A9A5A1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Sawyer, J. F. A. </w:t>
      </w:r>
      <w:r w:rsidRPr="00FB2D03">
        <w:rPr>
          <w:i/>
          <w:color w:val="000000" w:themeColor="text1"/>
          <w:lang w:val="en-AU"/>
        </w:rPr>
        <w:t>Sacred Language and Sacred Texts</w:t>
      </w:r>
      <w:r w:rsidRPr="00FB2D03">
        <w:rPr>
          <w:color w:val="000000" w:themeColor="text1"/>
          <w:lang w:val="en-AU"/>
        </w:rPr>
        <w:t>. London: Routledge, 1999.</w:t>
      </w:r>
    </w:p>
    <w:p w14:paraId="7E7F302B" w14:textId="77777777" w:rsidR="00412D77" w:rsidRPr="00FB2D03" w:rsidRDefault="00412D77" w:rsidP="00412D77">
      <w:pPr>
        <w:tabs>
          <w:tab w:val="left" w:pos="5616"/>
        </w:tabs>
        <w:rPr>
          <w:color w:val="000000" w:themeColor="text1"/>
          <w:lang w:val="en-AU"/>
        </w:rPr>
      </w:pPr>
    </w:p>
    <w:p w14:paraId="37713A3C" w14:textId="77777777" w:rsidR="009F235D" w:rsidRPr="00FB2D03" w:rsidRDefault="01B55689" w:rsidP="00412D77">
      <w:pPr>
        <w:tabs>
          <w:tab w:val="left" w:pos="5616"/>
        </w:tabs>
        <w:rPr>
          <w:i/>
          <w:iCs/>
          <w:color w:val="000000" w:themeColor="text1"/>
          <w:lang w:val="en-AU"/>
        </w:rPr>
      </w:pPr>
      <w:r w:rsidRPr="00FB2D03">
        <w:rPr>
          <w:color w:val="000000" w:themeColor="text1"/>
          <w:lang w:val="en-AU"/>
        </w:rPr>
        <w:t>Scarre, Geoffrey. “Political Reconciliation, Forgiveness and Grace.” </w:t>
      </w:r>
      <w:r w:rsidRPr="00FB2D03">
        <w:rPr>
          <w:i/>
          <w:iCs/>
          <w:color w:val="000000" w:themeColor="text1"/>
          <w:lang w:val="en-AU"/>
        </w:rPr>
        <w:t xml:space="preserve">Studies in Christian </w:t>
      </w:r>
    </w:p>
    <w:p w14:paraId="7067DF93" w14:textId="19F71870" w:rsidR="00412D77" w:rsidRPr="00FB2D03" w:rsidRDefault="01B55689" w:rsidP="009F235D">
      <w:pPr>
        <w:tabs>
          <w:tab w:val="left" w:pos="5616"/>
        </w:tabs>
        <w:ind w:left="720"/>
        <w:rPr>
          <w:color w:val="000000" w:themeColor="text1"/>
          <w:lang w:val="en-AU"/>
        </w:rPr>
      </w:pPr>
      <w:r w:rsidRPr="00FB2D03">
        <w:rPr>
          <w:i/>
          <w:iCs/>
          <w:color w:val="000000" w:themeColor="text1"/>
          <w:lang w:val="en-AU"/>
        </w:rPr>
        <w:t>Ethics</w:t>
      </w:r>
      <w:r w:rsidRPr="00FB2D03">
        <w:rPr>
          <w:color w:val="000000" w:themeColor="text1"/>
          <w:lang w:val="en-AU"/>
        </w:rPr>
        <w:t> 24 (2011): 171–82.</w:t>
      </w:r>
    </w:p>
    <w:p w14:paraId="5BF8F147" w14:textId="77777777" w:rsidR="00412D77" w:rsidRPr="00FB2D03" w:rsidRDefault="00412D77" w:rsidP="00412D77">
      <w:pPr>
        <w:tabs>
          <w:tab w:val="left" w:pos="5616"/>
        </w:tabs>
        <w:rPr>
          <w:color w:val="000000" w:themeColor="text1"/>
          <w:lang w:val="en-AU"/>
        </w:rPr>
      </w:pPr>
    </w:p>
    <w:p w14:paraId="0A88CE95" w14:textId="755A7E7A" w:rsidR="00412D77" w:rsidRPr="00FB2D03" w:rsidRDefault="01B55689" w:rsidP="01B55689">
      <w:pPr>
        <w:tabs>
          <w:tab w:val="left" w:pos="5616"/>
        </w:tabs>
        <w:rPr>
          <w:color w:val="000000" w:themeColor="text1"/>
          <w:lang w:val="en-AU"/>
        </w:rPr>
      </w:pPr>
      <w:r w:rsidRPr="00FB2D03">
        <w:rPr>
          <w:color w:val="000000" w:themeColor="text1"/>
          <w:lang w:val="en-AU"/>
        </w:rPr>
        <w:t>Schaefer</w:t>
      </w:r>
      <w:r w:rsidRPr="00FB2D03">
        <w:rPr>
          <w:i/>
          <w:iCs/>
          <w:color w:val="000000" w:themeColor="text1"/>
          <w:lang w:val="en-AU"/>
        </w:rPr>
        <w:t xml:space="preserve">, </w:t>
      </w:r>
      <w:r w:rsidRPr="00FB2D03">
        <w:rPr>
          <w:color w:val="000000" w:themeColor="text1"/>
          <w:lang w:val="en-AU"/>
        </w:rPr>
        <w:t>Konrad.</w:t>
      </w:r>
      <w:r w:rsidRPr="00FB2D03">
        <w:rPr>
          <w:i/>
          <w:iCs/>
          <w:color w:val="000000" w:themeColor="text1"/>
          <w:lang w:val="en-AU"/>
        </w:rPr>
        <w:t xml:space="preserve"> Psalms.</w:t>
      </w:r>
      <w:r w:rsidRPr="00FB2D03">
        <w:rPr>
          <w:color w:val="000000" w:themeColor="text1"/>
          <w:lang w:val="en-AU"/>
        </w:rPr>
        <w:t xml:space="preserve"> Berit Olam: Studies in Hebrew Narrative. Collegeville: The </w:t>
      </w:r>
    </w:p>
    <w:p w14:paraId="784D19C4" w14:textId="5FC0F908" w:rsidR="00412D77" w:rsidRPr="00FB2D03" w:rsidRDefault="01B55689" w:rsidP="01B55689">
      <w:pPr>
        <w:tabs>
          <w:tab w:val="left" w:pos="5616"/>
        </w:tabs>
        <w:ind w:firstLine="720"/>
        <w:rPr>
          <w:color w:val="000000" w:themeColor="text1"/>
          <w:lang w:val="en-AU"/>
        </w:rPr>
      </w:pPr>
      <w:r w:rsidRPr="00FB2D03">
        <w:rPr>
          <w:color w:val="000000" w:themeColor="text1"/>
          <w:lang w:val="en-AU"/>
        </w:rPr>
        <w:t>Liturgical Press, 2001.</w:t>
      </w:r>
    </w:p>
    <w:p w14:paraId="40E26066" w14:textId="77777777" w:rsidR="00412D77" w:rsidRPr="00FB2D03" w:rsidRDefault="00412D77" w:rsidP="00412D77">
      <w:pPr>
        <w:tabs>
          <w:tab w:val="left" w:pos="5616"/>
        </w:tabs>
        <w:rPr>
          <w:color w:val="000000" w:themeColor="text1"/>
          <w:lang w:val="en-AU"/>
        </w:rPr>
      </w:pPr>
    </w:p>
    <w:p w14:paraId="47990DFC" w14:textId="77777777" w:rsidR="00412D77" w:rsidRPr="00FB2D03" w:rsidRDefault="00412D77" w:rsidP="00412D77">
      <w:pPr>
        <w:tabs>
          <w:tab w:val="left" w:pos="5616"/>
        </w:tabs>
        <w:rPr>
          <w:color w:val="000000" w:themeColor="text1"/>
          <w:lang w:val="en-AU"/>
        </w:rPr>
      </w:pPr>
      <w:r w:rsidRPr="00FB2D03">
        <w:rPr>
          <w:color w:val="000000" w:themeColor="text1"/>
          <w:lang w:val="en-AU"/>
        </w:rPr>
        <w:t>Schäfer</w:t>
      </w:r>
      <w:r w:rsidRPr="00FB2D03">
        <w:rPr>
          <w:i/>
          <w:color w:val="000000" w:themeColor="text1"/>
          <w:lang w:val="en-AU"/>
        </w:rPr>
        <w:t xml:space="preserve">, </w:t>
      </w:r>
      <w:r w:rsidRPr="00FB2D03">
        <w:rPr>
          <w:color w:val="000000" w:themeColor="text1"/>
          <w:lang w:val="en-AU"/>
        </w:rPr>
        <w:t xml:space="preserve">Peter. </w:t>
      </w:r>
      <w:r w:rsidRPr="00FB2D03">
        <w:rPr>
          <w:i/>
          <w:color w:val="000000" w:themeColor="text1"/>
          <w:lang w:val="en-AU"/>
        </w:rPr>
        <w:t>Jesus in the Talmud</w:t>
      </w:r>
      <w:r w:rsidRPr="00FB2D03">
        <w:rPr>
          <w:color w:val="000000" w:themeColor="text1"/>
          <w:lang w:val="en-AU"/>
        </w:rPr>
        <w:t>. Princeton: Princeton University Press, 2007.</w:t>
      </w:r>
    </w:p>
    <w:p w14:paraId="55BA49B9" w14:textId="77777777" w:rsidR="00412D77" w:rsidRPr="00FB2D03" w:rsidRDefault="00412D77" w:rsidP="00412D77">
      <w:pPr>
        <w:tabs>
          <w:tab w:val="left" w:pos="5616"/>
        </w:tabs>
        <w:rPr>
          <w:color w:val="000000" w:themeColor="text1"/>
          <w:lang w:val="en-AU"/>
        </w:rPr>
      </w:pPr>
    </w:p>
    <w:p w14:paraId="66AB1B7E" w14:textId="77777777" w:rsidR="00412D77" w:rsidRPr="00FB2D03" w:rsidRDefault="00412D77" w:rsidP="00412D77">
      <w:pPr>
        <w:tabs>
          <w:tab w:val="left" w:pos="5616"/>
        </w:tabs>
        <w:rPr>
          <w:color w:val="000000" w:themeColor="text1"/>
          <w:lang w:val="en-AU"/>
        </w:rPr>
      </w:pPr>
      <w:r w:rsidRPr="00FB2D03">
        <w:rPr>
          <w:color w:val="000000" w:themeColor="text1"/>
          <w:lang w:val="en-AU"/>
        </w:rPr>
        <w:t>________. </w:t>
      </w:r>
      <w:r w:rsidRPr="00FB2D03">
        <w:rPr>
          <w:i/>
          <w:color w:val="000000" w:themeColor="text1"/>
          <w:lang w:val="en-AU"/>
        </w:rPr>
        <w:t>The History of the Jews in the Greco-Roman World</w:t>
      </w:r>
      <w:r w:rsidRPr="00FB2D03">
        <w:rPr>
          <w:color w:val="000000" w:themeColor="text1"/>
          <w:lang w:val="en-AU"/>
        </w:rPr>
        <w:t>. London: Routledge, 2006.</w:t>
      </w:r>
    </w:p>
    <w:p w14:paraId="4D4A9015" w14:textId="77777777" w:rsidR="00412D77" w:rsidRPr="00FB2D03" w:rsidRDefault="00412D77" w:rsidP="00412D77">
      <w:pPr>
        <w:tabs>
          <w:tab w:val="left" w:pos="5616"/>
        </w:tabs>
        <w:rPr>
          <w:color w:val="000000" w:themeColor="text1"/>
          <w:lang w:val="en-AU"/>
        </w:rPr>
      </w:pPr>
    </w:p>
    <w:p w14:paraId="2669A004" w14:textId="499F8DC5" w:rsidR="00412D77" w:rsidRPr="00FB2D03" w:rsidRDefault="01B55689" w:rsidP="01B55689">
      <w:pPr>
        <w:tabs>
          <w:tab w:val="left" w:pos="5616"/>
        </w:tabs>
        <w:rPr>
          <w:color w:val="000000" w:themeColor="text1"/>
          <w:lang w:val="en-AU"/>
        </w:rPr>
      </w:pPr>
      <w:r w:rsidRPr="00FB2D03">
        <w:rPr>
          <w:i/>
          <w:iCs/>
          <w:color w:val="000000" w:themeColor="text1"/>
          <w:lang w:val="en-AU"/>
        </w:rPr>
        <w:t xml:space="preserve">________. Mirror of His Beauty: Feminine Images of God from the Bible to the Early </w:t>
      </w:r>
    </w:p>
    <w:p w14:paraId="40865144" w14:textId="19046527" w:rsidR="00412D77" w:rsidRPr="00FB2D03" w:rsidRDefault="01B55689" w:rsidP="01B55689">
      <w:pPr>
        <w:tabs>
          <w:tab w:val="left" w:pos="5616"/>
        </w:tabs>
        <w:ind w:firstLine="720"/>
        <w:rPr>
          <w:color w:val="000000" w:themeColor="text1"/>
          <w:lang w:val="en-AU"/>
        </w:rPr>
      </w:pPr>
      <w:r w:rsidRPr="00FB2D03">
        <w:rPr>
          <w:i/>
          <w:iCs/>
          <w:color w:val="000000" w:themeColor="text1"/>
          <w:lang w:val="en-AU"/>
        </w:rPr>
        <w:t>Kabbala</w:t>
      </w:r>
      <w:r w:rsidRPr="00FB2D03">
        <w:rPr>
          <w:color w:val="000000" w:themeColor="text1"/>
          <w:lang w:val="en-AU"/>
        </w:rPr>
        <w:t xml:space="preserve">. Princeton: Princeton University Press, 2002. </w:t>
      </w:r>
    </w:p>
    <w:p w14:paraId="7BE87D29" w14:textId="77777777" w:rsidR="00412D77" w:rsidRPr="00FB2D03" w:rsidRDefault="00412D77" w:rsidP="00412D77">
      <w:pPr>
        <w:tabs>
          <w:tab w:val="left" w:pos="5616"/>
        </w:tabs>
        <w:rPr>
          <w:color w:val="000000" w:themeColor="text1"/>
          <w:lang w:val="en-AU"/>
        </w:rPr>
      </w:pPr>
    </w:p>
    <w:p w14:paraId="73A9F69B" w14:textId="7DDF31A6" w:rsidR="00412D77" w:rsidRPr="00FB2D03" w:rsidRDefault="01B55689" w:rsidP="01B55689">
      <w:pPr>
        <w:tabs>
          <w:tab w:val="left" w:pos="5616"/>
        </w:tabs>
        <w:rPr>
          <w:color w:val="000000" w:themeColor="text1"/>
          <w:lang w:val="en-AU"/>
        </w:rPr>
      </w:pPr>
      <w:r w:rsidRPr="00FB2D03">
        <w:rPr>
          <w:color w:val="000000" w:themeColor="text1"/>
          <w:lang w:val="en-AU"/>
        </w:rPr>
        <w:t>Scheffler, Eben. “Putting Qumran, Jesus and His Movement into Relief.” </w:t>
      </w:r>
      <w:r w:rsidRPr="00FB2D03">
        <w:rPr>
          <w:i/>
          <w:iCs/>
          <w:color w:val="000000" w:themeColor="text1"/>
          <w:lang w:val="en-AU"/>
        </w:rPr>
        <w:t xml:space="preserve">Hervormde </w:t>
      </w:r>
    </w:p>
    <w:p w14:paraId="21167779" w14:textId="447499A3" w:rsidR="00412D77" w:rsidRPr="00FB2D03" w:rsidRDefault="01B55689" w:rsidP="01B55689">
      <w:pPr>
        <w:tabs>
          <w:tab w:val="left" w:pos="5616"/>
        </w:tabs>
        <w:ind w:firstLine="720"/>
        <w:rPr>
          <w:color w:val="000000" w:themeColor="text1"/>
          <w:lang w:val="en-AU"/>
        </w:rPr>
      </w:pPr>
      <w:r w:rsidRPr="00FB2D03">
        <w:rPr>
          <w:i/>
          <w:iCs/>
          <w:color w:val="000000" w:themeColor="text1"/>
          <w:lang w:val="en-AU"/>
        </w:rPr>
        <w:t>Teologiese Studies</w:t>
      </w:r>
      <w:r w:rsidRPr="00FB2D03">
        <w:rPr>
          <w:color w:val="000000" w:themeColor="text1"/>
          <w:lang w:val="en-AU"/>
        </w:rPr>
        <w:t> 72 (2016): 1–10. </w:t>
      </w:r>
    </w:p>
    <w:p w14:paraId="75F20DE2" w14:textId="77777777" w:rsidR="00412D77" w:rsidRPr="00FB2D03" w:rsidRDefault="00412D77" w:rsidP="00412D77">
      <w:pPr>
        <w:tabs>
          <w:tab w:val="left" w:pos="5616"/>
        </w:tabs>
        <w:rPr>
          <w:color w:val="000000" w:themeColor="text1"/>
          <w:lang w:val="en-AU"/>
        </w:rPr>
      </w:pPr>
    </w:p>
    <w:p w14:paraId="3BA5868B" w14:textId="78DB4DFE" w:rsidR="0028187F" w:rsidRPr="00FB2D03" w:rsidRDefault="01B55689" w:rsidP="01B55689">
      <w:pPr>
        <w:tabs>
          <w:tab w:val="left" w:pos="5616"/>
        </w:tabs>
        <w:rPr>
          <w:color w:val="000000" w:themeColor="text1"/>
          <w:lang w:val="en-AU"/>
        </w:rPr>
      </w:pPr>
      <w:r w:rsidRPr="00FB2D03">
        <w:rPr>
          <w:color w:val="000000" w:themeColor="text1"/>
          <w:lang w:val="en-AU"/>
        </w:rPr>
        <w:t xml:space="preserve">Schlabach, Gerald W. “‘Confessional’ Nonviolence and the Unity of the Church: Can </w:t>
      </w:r>
    </w:p>
    <w:p w14:paraId="3BC7B0F1" w14:textId="17E3FCD2" w:rsidR="0028187F" w:rsidRPr="00FB2D03" w:rsidRDefault="01B55689" w:rsidP="01B55689">
      <w:pPr>
        <w:tabs>
          <w:tab w:val="left" w:pos="5616"/>
        </w:tabs>
        <w:ind w:firstLine="720"/>
        <w:rPr>
          <w:color w:val="000000" w:themeColor="text1"/>
          <w:lang w:val="en-AU"/>
        </w:rPr>
      </w:pPr>
      <w:r w:rsidRPr="00FB2D03">
        <w:rPr>
          <w:color w:val="000000" w:themeColor="text1"/>
          <w:lang w:val="en-AU"/>
        </w:rPr>
        <w:t>Christians Square the Circle?” </w:t>
      </w:r>
      <w:r w:rsidRPr="00FB2D03">
        <w:rPr>
          <w:i/>
          <w:iCs/>
          <w:color w:val="000000" w:themeColor="text1"/>
          <w:lang w:val="en-AU"/>
        </w:rPr>
        <w:t>Journal of the Society of Christian Ethics</w:t>
      </w:r>
      <w:r w:rsidRPr="00FB2D03">
        <w:rPr>
          <w:color w:val="000000" w:themeColor="text1"/>
          <w:lang w:val="en-AU"/>
        </w:rPr>
        <w:t xml:space="preserve"> 34 (2014): </w:t>
      </w:r>
    </w:p>
    <w:p w14:paraId="34BE63E2" w14:textId="16466E8B" w:rsidR="0028187F" w:rsidRPr="00FB2D03" w:rsidRDefault="01B55689" w:rsidP="01B55689">
      <w:pPr>
        <w:tabs>
          <w:tab w:val="left" w:pos="5616"/>
        </w:tabs>
        <w:ind w:firstLine="720"/>
        <w:rPr>
          <w:color w:val="000000" w:themeColor="text1"/>
          <w:lang w:val="en-AU"/>
        </w:rPr>
      </w:pPr>
      <w:r w:rsidRPr="00FB2D03">
        <w:rPr>
          <w:color w:val="000000" w:themeColor="text1"/>
          <w:lang w:val="en-AU"/>
        </w:rPr>
        <w:t>125–44. </w:t>
      </w:r>
    </w:p>
    <w:p w14:paraId="502153E6" w14:textId="538BE537" w:rsidR="01B55689" w:rsidRPr="00FB2D03" w:rsidRDefault="01B55689" w:rsidP="01B55689">
      <w:pPr>
        <w:tabs>
          <w:tab w:val="left" w:pos="5616"/>
        </w:tabs>
        <w:rPr>
          <w:lang w:val="en-AU"/>
        </w:rPr>
      </w:pPr>
    </w:p>
    <w:p w14:paraId="6996AD01" w14:textId="76A2AF57" w:rsidR="01B55689" w:rsidRPr="00FB2D03" w:rsidRDefault="01B55689" w:rsidP="01B55689">
      <w:pPr>
        <w:tabs>
          <w:tab w:val="left" w:pos="5616"/>
        </w:tabs>
        <w:rPr>
          <w:color w:val="000000" w:themeColor="text1"/>
          <w:lang w:val="en-AU"/>
        </w:rPr>
      </w:pPr>
      <w:r w:rsidRPr="00FB2D03">
        <w:rPr>
          <w:color w:val="000000" w:themeColor="text1"/>
          <w:lang w:val="en-AU"/>
        </w:rPr>
        <w:t xml:space="preserve">________. “A ‘Manual’ for Escaping Our Vicious Cycles: The Political </w:t>
      </w:r>
    </w:p>
    <w:p w14:paraId="68AD7616" w14:textId="79F16202" w:rsidR="01B55689" w:rsidRPr="00FB2D03" w:rsidRDefault="01B55689" w:rsidP="01B55689">
      <w:pPr>
        <w:tabs>
          <w:tab w:val="left" w:pos="5616"/>
        </w:tabs>
        <w:ind w:firstLine="720"/>
        <w:rPr>
          <w:lang w:val="en-AU"/>
        </w:rPr>
        <w:sectPr w:rsidR="01B55689" w:rsidRPr="00FB2D03" w:rsidSect="004B1E94">
          <w:pgSz w:w="11900" w:h="16840"/>
          <w:pgMar w:top="1440" w:right="1440" w:bottom="1440" w:left="1440" w:header="706" w:footer="706" w:gutter="0"/>
          <w:cols w:space="708"/>
          <w:docGrid w:linePitch="326"/>
        </w:sectPr>
      </w:pPr>
      <w:r w:rsidRPr="00FB2D03">
        <w:rPr>
          <w:color w:val="000000" w:themeColor="text1"/>
          <w:lang w:val="en-AU"/>
        </w:rPr>
        <w:t>Relevance of Enemy‐Love.” </w:t>
      </w:r>
      <w:r w:rsidRPr="00FB2D03">
        <w:rPr>
          <w:i/>
          <w:iCs/>
          <w:color w:val="000000" w:themeColor="text1"/>
          <w:lang w:val="en-AU"/>
        </w:rPr>
        <w:t>Modern Theology</w:t>
      </w:r>
      <w:r w:rsidRPr="00FB2D03">
        <w:rPr>
          <w:color w:val="000000" w:themeColor="text1"/>
          <w:lang w:val="en-AU"/>
        </w:rPr>
        <w:t> 36 (2020): 478–500.</w:t>
      </w:r>
    </w:p>
    <w:p w14:paraId="6F7C56BE" w14:textId="7A428A72" w:rsidR="00412D77" w:rsidRPr="00FB2D03" w:rsidRDefault="00412D77" w:rsidP="00412D77">
      <w:pPr>
        <w:tabs>
          <w:tab w:val="left" w:pos="5616"/>
        </w:tabs>
        <w:rPr>
          <w:color w:val="000000" w:themeColor="text1"/>
          <w:lang w:val="en-AU"/>
        </w:rPr>
      </w:pPr>
    </w:p>
    <w:p w14:paraId="65C63272" w14:textId="77777777" w:rsidR="0059280A" w:rsidRPr="00FB2D03" w:rsidRDefault="0059280A" w:rsidP="00412D77">
      <w:pPr>
        <w:tabs>
          <w:tab w:val="left" w:pos="5616"/>
        </w:tabs>
        <w:rPr>
          <w:color w:val="000000" w:themeColor="text1"/>
          <w:lang w:val="en-AU"/>
        </w:rPr>
      </w:pPr>
    </w:p>
    <w:p w14:paraId="58821674" w14:textId="77777777" w:rsidR="0028187F" w:rsidRPr="00FB2D03" w:rsidRDefault="00412D77" w:rsidP="00AD1181">
      <w:pPr>
        <w:tabs>
          <w:tab w:val="left" w:pos="5616"/>
        </w:tabs>
        <w:rPr>
          <w:i/>
          <w:color w:val="000000" w:themeColor="text1"/>
          <w:lang w:val="en-AU"/>
        </w:rPr>
      </w:pPr>
      <w:r w:rsidRPr="00FB2D03">
        <w:rPr>
          <w:color w:val="000000" w:themeColor="text1"/>
          <w:lang w:val="en-AU"/>
        </w:rPr>
        <w:t>Seevers, Boyd., and Josh. Seevers. </w:t>
      </w:r>
      <w:r w:rsidRPr="00FB2D03">
        <w:rPr>
          <w:i/>
          <w:color w:val="000000" w:themeColor="text1"/>
          <w:lang w:val="en-AU"/>
        </w:rPr>
        <w:t xml:space="preserve">Warfare in the Old Testament. The Organization, </w:t>
      </w:r>
    </w:p>
    <w:p w14:paraId="6E23C73E" w14:textId="47BBB079" w:rsidR="0028187F" w:rsidRPr="00FB2D03" w:rsidRDefault="00412D77" w:rsidP="0059280A">
      <w:pPr>
        <w:tabs>
          <w:tab w:val="left" w:pos="5616"/>
        </w:tabs>
        <w:ind w:left="720"/>
        <w:rPr>
          <w:color w:val="000000" w:themeColor="text1"/>
          <w:lang w:val="en-AU"/>
        </w:rPr>
      </w:pPr>
      <w:r w:rsidRPr="00FB2D03">
        <w:rPr>
          <w:i/>
          <w:color w:val="000000" w:themeColor="text1"/>
          <w:lang w:val="en-AU"/>
        </w:rPr>
        <w:t>Weapons, and Tactics of Ancient Armies</w:t>
      </w:r>
      <w:r w:rsidRPr="00FB2D03">
        <w:rPr>
          <w:color w:val="000000" w:themeColor="text1"/>
          <w:lang w:val="en-AU"/>
        </w:rPr>
        <w:t>. Grand Rapids: Kregel Publications, 2013.</w:t>
      </w:r>
    </w:p>
    <w:p w14:paraId="1B93C7ED" w14:textId="77777777" w:rsidR="00412D77" w:rsidRPr="00FB2D03" w:rsidRDefault="00412D77" w:rsidP="00412D77">
      <w:pPr>
        <w:tabs>
          <w:tab w:val="left" w:pos="5616"/>
        </w:tabs>
        <w:rPr>
          <w:color w:val="000000" w:themeColor="text1"/>
          <w:lang w:val="en-AU"/>
        </w:rPr>
      </w:pPr>
    </w:p>
    <w:p w14:paraId="2CBF91A1" w14:textId="77777777" w:rsidR="0028187F" w:rsidRPr="00FB2D03" w:rsidRDefault="00412D77" w:rsidP="00412D77">
      <w:pPr>
        <w:tabs>
          <w:tab w:val="left" w:pos="5616"/>
        </w:tabs>
        <w:rPr>
          <w:color w:val="000000" w:themeColor="text1"/>
          <w:lang w:val="en-AU"/>
        </w:rPr>
      </w:pPr>
      <w:r w:rsidRPr="00FB2D03">
        <w:rPr>
          <w:color w:val="000000" w:themeColor="text1"/>
          <w:lang w:val="en-AU"/>
        </w:rPr>
        <w:t xml:space="preserve">Seibert, Eric A. “Recent Research on Divine Violence in the Old Testament (with Special </w:t>
      </w:r>
    </w:p>
    <w:p w14:paraId="0F698CB1" w14:textId="43ABB15A" w:rsidR="00412D77" w:rsidRPr="00FB2D03" w:rsidRDefault="00412D77" w:rsidP="0059280A">
      <w:pPr>
        <w:tabs>
          <w:tab w:val="left" w:pos="5616"/>
        </w:tabs>
        <w:ind w:left="720"/>
        <w:rPr>
          <w:color w:val="000000" w:themeColor="text1"/>
          <w:lang w:val="en-AU"/>
        </w:rPr>
      </w:pPr>
      <w:r w:rsidRPr="00FB2D03">
        <w:rPr>
          <w:color w:val="000000" w:themeColor="text1"/>
          <w:lang w:val="en-AU"/>
        </w:rPr>
        <w:t>Attention to Christian Theological Perspectives).” </w:t>
      </w:r>
      <w:r w:rsidRPr="00FB2D03">
        <w:rPr>
          <w:i/>
          <w:color w:val="000000" w:themeColor="text1"/>
          <w:lang w:val="en-AU"/>
        </w:rPr>
        <w:t>Currents in Biblical Research</w:t>
      </w:r>
      <w:r w:rsidRPr="00FB2D03">
        <w:rPr>
          <w:color w:val="000000" w:themeColor="text1"/>
          <w:lang w:val="en-AU"/>
        </w:rPr>
        <w:t> 15, 2016): 8–40.</w:t>
      </w:r>
    </w:p>
    <w:p w14:paraId="51A6EBD8" w14:textId="42637179" w:rsidR="00412D77" w:rsidRPr="00FB2D03" w:rsidRDefault="00412D77" w:rsidP="01B55689">
      <w:pPr>
        <w:tabs>
          <w:tab w:val="left" w:pos="5616"/>
        </w:tabs>
        <w:rPr>
          <w:color w:val="000000" w:themeColor="text1"/>
          <w:lang w:val="en-AU"/>
        </w:rPr>
      </w:pPr>
    </w:p>
    <w:p w14:paraId="014D20CC" w14:textId="77777777" w:rsidR="0028187F" w:rsidRPr="00FB2D03" w:rsidRDefault="00412D77" w:rsidP="00412D77">
      <w:pPr>
        <w:tabs>
          <w:tab w:val="left" w:pos="5616"/>
        </w:tabs>
        <w:rPr>
          <w:color w:val="000000" w:themeColor="text1"/>
          <w:lang w:val="en-AU"/>
        </w:rPr>
      </w:pPr>
      <w:r w:rsidRPr="00FB2D03">
        <w:rPr>
          <w:color w:val="000000" w:themeColor="text1"/>
          <w:lang w:val="en-AU"/>
        </w:rPr>
        <w:t xml:space="preserve">Schneider, Christian. “Divine Wisdom: The Christological Interpretation of Sapientia in </w:t>
      </w:r>
    </w:p>
    <w:p w14:paraId="0BB2A087" w14:textId="4B867BED" w:rsidR="00412D77" w:rsidRPr="00FB2D03" w:rsidRDefault="00412D77" w:rsidP="0059280A">
      <w:pPr>
        <w:tabs>
          <w:tab w:val="left" w:pos="5616"/>
        </w:tabs>
        <w:ind w:left="720"/>
        <w:rPr>
          <w:color w:val="000000" w:themeColor="text1"/>
          <w:lang w:val="en-AU"/>
        </w:rPr>
      </w:pPr>
      <w:r w:rsidRPr="00FB2D03">
        <w:rPr>
          <w:color w:val="000000" w:themeColor="text1"/>
          <w:lang w:val="en-AU"/>
        </w:rPr>
        <w:t xml:space="preserve">Johannes von Tepl’s </w:t>
      </w:r>
      <w:proofErr w:type="gramStart"/>
      <w:r w:rsidRPr="00FB2D03">
        <w:rPr>
          <w:color w:val="000000" w:themeColor="text1"/>
          <w:lang w:val="en-AU"/>
        </w:rPr>
        <w:t>Der</w:t>
      </w:r>
      <w:proofErr w:type="gramEnd"/>
      <w:r w:rsidRPr="00FB2D03">
        <w:rPr>
          <w:color w:val="000000" w:themeColor="text1"/>
          <w:lang w:val="en-AU"/>
        </w:rPr>
        <w:t xml:space="preserve"> Ackermann.” </w:t>
      </w:r>
      <w:r w:rsidRPr="00FB2D03">
        <w:rPr>
          <w:i/>
          <w:color w:val="000000" w:themeColor="text1"/>
          <w:lang w:val="en-AU"/>
        </w:rPr>
        <w:t>The German Quarterly</w:t>
      </w:r>
      <w:r w:rsidRPr="00FB2D03">
        <w:rPr>
          <w:color w:val="000000" w:themeColor="text1"/>
          <w:lang w:val="en-AU"/>
        </w:rPr>
        <w:t> 87 (2014): 277–96. </w:t>
      </w:r>
    </w:p>
    <w:p w14:paraId="5EC51376" w14:textId="77777777" w:rsidR="00412D77" w:rsidRPr="00FB2D03" w:rsidRDefault="00412D77" w:rsidP="00412D77">
      <w:pPr>
        <w:tabs>
          <w:tab w:val="left" w:pos="5616"/>
        </w:tabs>
        <w:rPr>
          <w:color w:val="000000" w:themeColor="text1"/>
          <w:lang w:val="en-AU"/>
        </w:rPr>
      </w:pPr>
    </w:p>
    <w:p w14:paraId="3BE828AD" w14:textId="77777777" w:rsidR="0028187F" w:rsidRPr="00FB2D03" w:rsidRDefault="00412D77" w:rsidP="00412D77">
      <w:pPr>
        <w:tabs>
          <w:tab w:val="left" w:pos="5616"/>
        </w:tabs>
        <w:rPr>
          <w:color w:val="000000" w:themeColor="text1"/>
          <w:lang w:val="en-AU"/>
        </w:rPr>
      </w:pPr>
      <w:r w:rsidRPr="00FB2D03">
        <w:rPr>
          <w:color w:val="000000" w:themeColor="text1"/>
          <w:lang w:val="en-AU"/>
        </w:rPr>
        <w:t xml:space="preserve">Schneider, Johannes. </w:t>
      </w:r>
      <w:r w:rsidRPr="00FB2D03">
        <w:rPr>
          <w:i/>
          <w:color w:val="000000" w:themeColor="text1"/>
          <w:lang w:val="en-AU"/>
        </w:rPr>
        <w:t>Baptism and Church in The New Testament</w:t>
      </w:r>
      <w:r w:rsidRPr="00FB2D03">
        <w:rPr>
          <w:color w:val="000000" w:themeColor="text1"/>
          <w:lang w:val="en-AU"/>
        </w:rPr>
        <w:t xml:space="preserve">. London: Carey Kingsgate </w:t>
      </w:r>
    </w:p>
    <w:p w14:paraId="49888D74" w14:textId="61C0C8E7" w:rsidR="00412D77" w:rsidRPr="00FB2D03" w:rsidRDefault="00412D77" w:rsidP="0059280A">
      <w:pPr>
        <w:tabs>
          <w:tab w:val="left" w:pos="5616"/>
        </w:tabs>
        <w:ind w:left="720"/>
        <w:rPr>
          <w:color w:val="000000" w:themeColor="text1"/>
          <w:lang w:val="en-AU"/>
        </w:rPr>
      </w:pPr>
      <w:r w:rsidRPr="00FB2D03">
        <w:rPr>
          <w:color w:val="000000" w:themeColor="text1"/>
          <w:lang w:val="en-AU"/>
        </w:rPr>
        <w:t xml:space="preserve">Press, 1963. </w:t>
      </w:r>
    </w:p>
    <w:p w14:paraId="16A77116" w14:textId="77777777" w:rsidR="00412D77" w:rsidRPr="00FB2D03" w:rsidRDefault="00412D77" w:rsidP="00412D77">
      <w:pPr>
        <w:tabs>
          <w:tab w:val="left" w:pos="5616"/>
        </w:tabs>
        <w:rPr>
          <w:color w:val="000000" w:themeColor="text1"/>
          <w:lang w:val="en-AU"/>
        </w:rPr>
      </w:pPr>
    </w:p>
    <w:p w14:paraId="2F2AF2C0" w14:textId="77777777" w:rsidR="0028187F" w:rsidRPr="00FB2D03" w:rsidRDefault="00412D77" w:rsidP="00412D77">
      <w:pPr>
        <w:tabs>
          <w:tab w:val="left" w:pos="5616"/>
        </w:tabs>
        <w:rPr>
          <w:i/>
          <w:color w:val="000000" w:themeColor="text1"/>
          <w:lang w:val="en-AU"/>
        </w:rPr>
      </w:pPr>
      <w:r w:rsidRPr="00FB2D03">
        <w:rPr>
          <w:color w:val="000000" w:themeColor="text1"/>
          <w:lang w:val="en-AU"/>
        </w:rPr>
        <w:t xml:space="preserve">Schoors, Antoon. </w:t>
      </w:r>
      <w:r w:rsidRPr="00FB2D03">
        <w:rPr>
          <w:i/>
          <w:color w:val="000000" w:themeColor="text1"/>
          <w:lang w:val="en-AU"/>
        </w:rPr>
        <w:t xml:space="preserve">I Am God Your Saviour: A Form–Critical Study of the Main Genres in ls. </w:t>
      </w:r>
    </w:p>
    <w:p w14:paraId="30AA1995" w14:textId="3FFB8505" w:rsidR="00412D77" w:rsidRPr="00FB2D03" w:rsidRDefault="00412D77" w:rsidP="0059280A">
      <w:pPr>
        <w:tabs>
          <w:tab w:val="left" w:pos="5616"/>
        </w:tabs>
        <w:ind w:left="720"/>
        <w:rPr>
          <w:color w:val="000000" w:themeColor="text1"/>
          <w:lang w:val="en-AU"/>
        </w:rPr>
      </w:pPr>
      <w:r w:rsidRPr="00FB2D03">
        <w:rPr>
          <w:i/>
          <w:color w:val="000000" w:themeColor="text1"/>
          <w:lang w:val="en-AU"/>
        </w:rPr>
        <w:t>XL–LV</w:t>
      </w:r>
      <w:r w:rsidRPr="00FB2D03">
        <w:rPr>
          <w:color w:val="000000" w:themeColor="text1"/>
          <w:lang w:val="en-AU"/>
        </w:rPr>
        <w:t>. Leiden: Brill, 1973.</w:t>
      </w:r>
    </w:p>
    <w:p w14:paraId="08A432A3" w14:textId="77777777" w:rsidR="00412D77" w:rsidRPr="00FB2D03" w:rsidRDefault="00412D77" w:rsidP="00412D77">
      <w:pPr>
        <w:tabs>
          <w:tab w:val="left" w:pos="5616"/>
        </w:tabs>
        <w:rPr>
          <w:color w:val="000000" w:themeColor="text1"/>
          <w:lang w:val="en-AU"/>
        </w:rPr>
      </w:pPr>
    </w:p>
    <w:p w14:paraId="1E3751F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Shapiro, Rami. </w:t>
      </w:r>
      <w:r w:rsidRPr="00FB2D03">
        <w:rPr>
          <w:i/>
          <w:color w:val="000000" w:themeColor="text1"/>
          <w:lang w:val="en-AU"/>
        </w:rPr>
        <w:t xml:space="preserve">Ethics of the Sages. </w:t>
      </w:r>
      <w:r w:rsidRPr="00FB2D03">
        <w:rPr>
          <w:color w:val="000000" w:themeColor="text1"/>
          <w:lang w:val="en-AU"/>
        </w:rPr>
        <w:t>Woodstock: Skylight Paths, 2006.</w:t>
      </w:r>
    </w:p>
    <w:p w14:paraId="4B500D6D" w14:textId="77777777" w:rsidR="00412D77" w:rsidRPr="00FB2D03" w:rsidRDefault="00412D77" w:rsidP="00412D77">
      <w:pPr>
        <w:tabs>
          <w:tab w:val="left" w:pos="5616"/>
        </w:tabs>
        <w:rPr>
          <w:color w:val="000000" w:themeColor="text1"/>
          <w:lang w:val="en-AU"/>
        </w:rPr>
      </w:pPr>
    </w:p>
    <w:p w14:paraId="510D8499" w14:textId="77777777" w:rsidR="0028187F" w:rsidRPr="00FB2D03" w:rsidRDefault="00412D77" w:rsidP="00412D77">
      <w:pPr>
        <w:tabs>
          <w:tab w:val="left" w:pos="5616"/>
        </w:tabs>
        <w:rPr>
          <w:color w:val="000000" w:themeColor="text1"/>
          <w:lang w:val="en-AU"/>
        </w:rPr>
      </w:pPr>
      <w:r w:rsidRPr="00FB2D03">
        <w:rPr>
          <w:color w:val="000000" w:themeColor="text1"/>
          <w:lang w:val="en-AU"/>
        </w:rPr>
        <w:t xml:space="preserve">Shaw, Ian. </w:t>
      </w:r>
      <w:r w:rsidRPr="00FB2D03">
        <w:rPr>
          <w:i/>
          <w:color w:val="000000" w:themeColor="text1"/>
          <w:lang w:val="en-AU"/>
        </w:rPr>
        <w:t>Egyptian Warfare and Weapons, Shire Egyptology</w:t>
      </w:r>
      <w:r w:rsidRPr="00FB2D03">
        <w:rPr>
          <w:color w:val="000000" w:themeColor="text1"/>
          <w:lang w:val="en-AU"/>
        </w:rPr>
        <w:t xml:space="preserve">. Buckinghamshire: Shire, </w:t>
      </w:r>
    </w:p>
    <w:p w14:paraId="591FFE3D" w14:textId="44F6F478" w:rsidR="00412D77" w:rsidRPr="00FB2D03" w:rsidRDefault="00412D77" w:rsidP="0059280A">
      <w:pPr>
        <w:tabs>
          <w:tab w:val="left" w:pos="5616"/>
        </w:tabs>
        <w:ind w:left="720"/>
        <w:rPr>
          <w:color w:val="000000" w:themeColor="text1"/>
          <w:lang w:val="en-AU"/>
        </w:rPr>
      </w:pPr>
      <w:r w:rsidRPr="00FB2D03">
        <w:rPr>
          <w:color w:val="000000" w:themeColor="text1"/>
          <w:lang w:val="en-AU"/>
        </w:rPr>
        <w:t>1991.</w:t>
      </w:r>
    </w:p>
    <w:p w14:paraId="3B695CBA" w14:textId="77777777" w:rsidR="00412D77" w:rsidRPr="00FB2D03" w:rsidRDefault="00412D77" w:rsidP="00412D77">
      <w:pPr>
        <w:tabs>
          <w:tab w:val="left" w:pos="5616"/>
        </w:tabs>
        <w:rPr>
          <w:color w:val="000000" w:themeColor="text1"/>
          <w:lang w:val="en-AU"/>
        </w:rPr>
      </w:pPr>
    </w:p>
    <w:p w14:paraId="2EDD483D" w14:textId="77777777" w:rsidR="0028187F" w:rsidRPr="00FB2D03" w:rsidRDefault="00412D77" w:rsidP="00412D77">
      <w:pPr>
        <w:tabs>
          <w:tab w:val="left" w:pos="5616"/>
        </w:tabs>
        <w:rPr>
          <w:i/>
          <w:color w:val="000000" w:themeColor="text1"/>
          <w:lang w:val="en-AU"/>
        </w:rPr>
      </w:pPr>
      <w:r w:rsidRPr="00FB2D03">
        <w:rPr>
          <w:color w:val="000000" w:themeColor="text1"/>
          <w:lang w:val="en-AU"/>
        </w:rPr>
        <w:t>Scheffler, Eben. “Putting Qumran, Jesus and His Movement into Relief.”</w:t>
      </w:r>
      <w:r w:rsidRPr="00FB2D03">
        <w:rPr>
          <w:i/>
          <w:color w:val="000000" w:themeColor="text1"/>
          <w:lang w:val="en-AU"/>
        </w:rPr>
        <w:t xml:space="preserve"> Hervormde </w:t>
      </w:r>
    </w:p>
    <w:p w14:paraId="54171AFE" w14:textId="2DFBC5BA" w:rsidR="00412D77" w:rsidRPr="00FB2D03" w:rsidRDefault="00412D77" w:rsidP="0059280A">
      <w:pPr>
        <w:tabs>
          <w:tab w:val="left" w:pos="5616"/>
        </w:tabs>
        <w:ind w:left="720"/>
        <w:rPr>
          <w:color w:val="000000" w:themeColor="text1"/>
          <w:lang w:val="en-AU"/>
        </w:rPr>
      </w:pPr>
      <w:r w:rsidRPr="00FB2D03">
        <w:rPr>
          <w:i/>
          <w:color w:val="000000" w:themeColor="text1"/>
          <w:lang w:val="en-AU"/>
        </w:rPr>
        <w:t>Teologiese Studies / Theological Studies</w:t>
      </w:r>
      <w:r w:rsidRPr="00FB2D03">
        <w:rPr>
          <w:color w:val="000000" w:themeColor="text1"/>
          <w:lang w:val="en-AU"/>
        </w:rPr>
        <w:t> 72 (2016): 2–3.</w:t>
      </w:r>
    </w:p>
    <w:p w14:paraId="157370CC" w14:textId="77777777" w:rsidR="00412D77" w:rsidRPr="00FB2D03" w:rsidRDefault="00412D77" w:rsidP="00412D77">
      <w:pPr>
        <w:tabs>
          <w:tab w:val="left" w:pos="5616"/>
        </w:tabs>
        <w:rPr>
          <w:color w:val="000000" w:themeColor="text1"/>
          <w:lang w:val="en-AU"/>
        </w:rPr>
      </w:pPr>
    </w:p>
    <w:p w14:paraId="2E20A266" w14:textId="77777777" w:rsidR="0028187F" w:rsidRPr="00FB2D03" w:rsidRDefault="00412D77" w:rsidP="00412D77">
      <w:pPr>
        <w:tabs>
          <w:tab w:val="left" w:pos="5616"/>
        </w:tabs>
        <w:rPr>
          <w:color w:val="000000" w:themeColor="text1"/>
          <w:lang w:val="en-AU"/>
        </w:rPr>
      </w:pPr>
      <w:r w:rsidRPr="00FB2D03">
        <w:rPr>
          <w:color w:val="000000" w:themeColor="text1"/>
          <w:lang w:val="en-AU"/>
        </w:rPr>
        <w:t xml:space="preserve">Shenvald, Eliezer. ed. </w:t>
      </w:r>
      <w:r w:rsidRPr="00FB2D03">
        <w:rPr>
          <w:i/>
          <w:color w:val="000000" w:themeColor="text1"/>
          <w:lang w:val="en-AU"/>
        </w:rPr>
        <w:t xml:space="preserve">Sefer Harel: Tsvaiyut Israelit BeAspaklaria Toranit. </w:t>
      </w:r>
      <w:r w:rsidRPr="00FB2D03">
        <w:rPr>
          <w:color w:val="000000" w:themeColor="text1"/>
          <w:lang w:val="en-AU"/>
        </w:rPr>
        <w:t xml:space="preserve">Hispin: Yeshivat </w:t>
      </w:r>
    </w:p>
    <w:p w14:paraId="08BAF284" w14:textId="10E4A1D2" w:rsidR="00412D77" w:rsidRPr="00FB2D03" w:rsidRDefault="00412D77" w:rsidP="0059280A">
      <w:pPr>
        <w:tabs>
          <w:tab w:val="left" w:pos="5616"/>
        </w:tabs>
        <w:ind w:left="720"/>
        <w:rPr>
          <w:color w:val="000000" w:themeColor="text1"/>
          <w:lang w:val="en-AU"/>
        </w:rPr>
      </w:pPr>
      <w:r w:rsidRPr="00FB2D03">
        <w:rPr>
          <w:color w:val="000000" w:themeColor="text1"/>
          <w:lang w:val="en-AU"/>
        </w:rPr>
        <w:t>HaGolan, 2000.</w:t>
      </w:r>
    </w:p>
    <w:p w14:paraId="06F67278" w14:textId="77777777" w:rsidR="00412D77" w:rsidRPr="00FB2D03" w:rsidRDefault="00412D77" w:rsidP="00412D77">
      <w:pPr>
        <w:tabs>
          <w:tab w:val="left" w:pos="5616"/>
        </w:tabs>
        <w:rPr>
          <w:color w:val="000000" w:themeColor="text1"/>
          <w:lang w:val="en-AU"/>
        </w:rPr>
      </w:pPr>
    </w:p>
    <w:p w14:paraId="106AC1BE" w14:textId="77777777" w:rsidR="0028187F" w:rsidRPr="00FB2D03" w:rsidRDefault="00412D77" w:rsidP="00412D77">
      <w:pPr>
        <w:tabs>
          <w:tab w:val="left" w:pos="5616"/>
        </w:tabs>
        <w:rPr>
          <w:color w:val="000000" w:themeColor="text1"/>
          <w:lang w:val="en-AU"/>
        </w:rPr>
      </w:pPr>
      <w:r w:rsidRPr="00FB2D03">
        <w:rPr>
          <w:color w:val="000000" w:themeColor="text1"/>
          <w:lang w:val="en-AU"/>
        </w:rPr>
        <w:t xml:space="preserve">Schiffman, Lawrence H. “Community without Temple: The Qumran Community’s </w:t>
      </w:r>
    </w:p>
    <w:p w14:paraId="37922822" w14:textId="4B3020E5" w:rsidR="00412D77" w:rsidRPr="00FB2D03" w:rsidRDefault="00412D77" w:rsidP="0059280A">
      <w:pPr>
        <w:tabs>
          <w:tab w:val="left" w:pos="5616"/>
        </w:tabs>
        <w:ind w:left="720"/>
        <w:rPr>
          <w:color w:val="000000" w:themeColor="text1"/>
          <w:lang w:val="en-AU"/>
        </w:rPr>
      </w:pPr>
      <w:r w:rsidRPr="00FB2D03">
        <w:rPr>
          <w:color w:val="000000" w:themeColor="text1"/>
          <w:lang w:val="en-AU"/>
        </w:rPr>
        <w:t xml:space="preserve">Withdrawal from the Jerusalem Temple.” In </w:t>
      </w:r>
      <w:r w:rsidRPr="00FB2D03">
        <w:rPr>
          <w:i/>
          <w:color w:val="000000" w:themeColor="text1"/>
          <w:lang w:val="en-AU"/>
        </w:rPr>
        <w:t>Gemeinde ohne Tempel/Community without Temple: Zur Substituierung und Transformation des Jerusalemer Tempels und seines Kults im Alten Testament, antiken Judentum und frühen Christentum</w:t>
      </w:r>
      <w:r w:rsidRPr="00FB2D03">
        <w:rPr>
          <w:color w:val="000000" w:themeColor="text1"/>
          <w:lang w:val="en-AU"/>
        </w:rPr>
        <w:t>, ed. Beate Ego, Armin Lange and Peter Pilhofer, 267–284. Wissenschaftliche Untersuchungen zum Neuen Testament 118. Tübingen: J. C. B. Mohr (Paul Siebeck), 1999.</w:t>
      </w:r>
    </w:p>
    <w:p w14:paraId="7D1A5F37" w14:textId="77777777" w:rsidR="00412D77" w:rsidRPr="00FB2D03" w:rsidRDefault="00412D77" w:rsidP="00412D77">
      <w:pPr>
        <w:tabs>
          <w:tab w:val="left" w:pos="5616"/>
        </w:tabs>
        <w:rPr>
          <w:color w:val="000000" w:themeColor="text1"/>
          <w:lang w:val="en-AU"/>
        </w:rPr>
      </w:pPr>
    </w:p>
    <w:p w14:paraId="58662981" w14:textId="77777777" w:rsidR="0028187F" w:rsidRPr="00FB2D03" w:rsidRDefault="00412D77" w:rsidP="00412D77">
      <w:pPr>
        <w:tabs>
          <w:tab w:val="left" w:pos="5616"/>
        </w:tabs>
        <w:rPr>
          <w:i/>
          <w:color w:val="000000" w:themeColor="text1"/>
          <w:lang w:val="en-AU"/>
        </w:rPr>
      </w:pPr>
      <w:r w:rsidRPr="00FB2D03">
        <w:rPr>
          <w:color w:val="000000" w:themeColor="text1"/>
          <w:lang w:val="en-AU"/>
        </w:rPr>
        <w:lastRenderedPageBreak/>
        <w:t>________. “Jewish Law in the Gospels in Light of the Dead Sea Scrolls.” </w:t>
      </w:r>
      <w:r w:rsidRPr="00FB2D03">
        <w:rPr>
          <w:i/>
          <w:color w:val="000000" w:themeColor="text1"/>
          <w:lang w:val="en-AU"/>
        </w:rPr>
        <w:t xml:space="preserve">Biblical Theology </w:t>
      </w:r>
    </w:p>
    <w:p w14:paraId="77C3AA07" w14:textId="6B91C0C1" w:rsidR="00412D77" w:rsidRPr="00FB2D03" w:rsidRDefault="00412D77" w:rsidP="0059280A">
      <w:pPr>
        <w:tabs>
          <w:tab w:val="left" w:pos="5616"/>
        </w:tabs>
        <w:ind w:left="720"/>
        <w:rPr>
          <w:color w:val="000000" w:themeColor="text1"/>
          <w:lang w:val="en-AU"/>
        </w:rPr>
      </w:pPr>
      <w:r w:rsidRPr="00FB2D03">
        <w:rPr>
          <w:i/>
          <w:color w:val="000000" w:themeColor="text1"/>
          <w:lang w:val="en-AU"/>
        </w:rPr>
        <w:t>Bulletin</w:t>
      </w:r>
      <w:r w:rsidRPr="00FB2D03">
        <w:rPr>
          <w:color w:val="000000" w:themeColor="text1"/>
          <w:lang w:val="en-AU"/>
        </w:rPr>
        <w:t> 51 (2021): 226–33.</w:t>
      </w:r>
    </w:p>
    <w:p w14:paraId="285EC1DC" w14:textId="77777777" w:rsidR="00412D77" w:rsidRPr="00FB2D03" w:rsidRDefault="00412D77" w:rsidP="00412D77">
      <w:pPr>
        <w:tabs>
          <w:tab w:val="left" w:pos="5616"/>
        </w:tabs>
        <w:rPr>
          <w:color w:val="000000" w:themeColor="text1"/>
          <w:lang w:val="en-AU"/>
        </w:rPr>
      </w:pPr>
    </w:p>
    <w:p w14:paraId="2C51CDAD" w14:textId="77777777" w:rsidR="0028187F" w:rsidRPr="00FB2D03" w:rsidRDefault="00412D77" w:rsidP="00412D77">
      <w:pPr>
        <w:tabs>
          <w:tab w:val="left" w:pos="5616"/>
        </w:tabs>
        <w:rPr>
          <w:i/>
          <w:color w:val="000000" w:themeColor="text1"/>
          <w:lang w:val="en-AU"/>
        </w:rPr>
      </w:pPr>
      <w:r w:rsidRPr="00FB2D03">
        <w:rPr>
          <w:color w:val="000000" w:themeColor="text1"/>
          <w:lang w:val="en-AU"/>
        </w:rPr>
        <w:t xml:space="preserve">________. “Messianism and Apocalypticism in Rabbinic Literature.” In </w:t>
      </w:r>
      <w:r w:rsidRPr="00FB2D03">
        <w:rPr>
          <w:i/>
          <w:color w:val="000000" w:themeColor="text1"/>
          <w:lang w:val="en-AU"/>
        </w:rPr>
        <w:t xml:space="preserve">The Cambridge </w:t>
      </w:r>
    </w:p>
    <w:p w14:paraId="563FDD60" w14:textId="2D944618" w:rsidR="00412D77" w:rsidRPr="00FB2D03" w:rsidRDefault="00412D77" w:rsidP="0059280A">
      <w:pPr>
        <w:tabs>
          <w:tab w:val="left" w:pos="5616"/>
        </w:tabs>
        <w:ind w:left="720"/>
        <w:rPr>
          <w:color w:val="000000" w:themeColor="text1"/>
          <w:lang w:val="en-AU"/>
        </w:rPr>
      </w:pPr>
      <w:r w:rsidRPr="00FB2D03">
        <w:rPr>
          <w:i/>
          <w:color w:val="000000" w:themeColor="text1"/>
          <w:lang w:val="en-AU"/>
        </w:rPr>
        <w:t>History of Judaism</w:t>
      </w:r>
      <w:r w:rsidRPr="00FB2D03">
        <w:rPr>
          <w:color w:val="000000" w:themeColor="text1"/>
          <w:lang w:val="en-AU"/>
        </w:rPr>
        <w:t xml:space="preserve"> IV. Vol. 4: The Late Roman –Rabbinic Period. ed. Steven T. Katz, 1053-1072. Cambridge: Cambridge University Press, 2006. </w:t>
      </w:r>
    </w:p>
    <w:p w14:paraId="6B1C9E83" w14:textId="77777777" w:rsidR="00412D77" w:rsidRPr="00FB2D03" w:rsidRDefault="00412D77" w:rsidP="00412D77">
      <w:pPr>
        <w:tabs>
          <w:tab w:val="left" w:pos="5616"/>
        </w:tabs>
        <w:rPr>
          <w:color w:val="000000" w:themeColor="text1"/>
          <w:lang w:val="en-AU"/>
        </w:rPr>
      </w:pPr>
    </w:p>
    <w:p w14:paraId="43FA0458" w14:textId="49F9E9F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“The House of the Laver in the Temple Scroll.” </w:t>
      </w:r>
      <w:r w:rsidRPr="00FB2D03">
        <w:rPr>
          <w:i/>
          <w:color w:val="000000" w:themeColor="text1"/>
          <w:lang w:val="en-AU"/>
        </w:rPr>
        <w:t>Eretz–Israel</w:t>
      </w:r>
      <w:r w:rsidRPr="00FB2D03">
        <w:rPr>
          <w:color w:val="000000" w:themeColor="text1"/>
          <w:lang w:val="en-AU"/>
        </w:rPr>
        <w:t xml:space="preserve"> 26 (1999)</w:t>
      </w:r>
      <w:r w:rsidR="001606AD" w:rsidRPr="00FB2D03">
        <w:rPr>
          <w:color w:val="000000" w:themeColor="text1"/>
          <w:lang w:val="en-AU"/>
        </w:rPr>
        <w:t>:</w:t>
      </w:r>
      <w:r w:rsidRPr="00FB2D03">
        <w:rPr>
          <w:color w:val="000000" w:themeColor="text1"/>
          <w:lang w:val="en-AU"/>
        </w:rPr>
        <w:t xml:space="preserve"> 169–75.</w:t>
      </w:r>
    </w:p>
    <w:p w14:paraId="69858E71" w14:textId="77777777" w:rsidR="00412D77" w:rsidRPr="00FB2D03" w:rsidRDefault="00412D77" w:rsidP="00412D77">
      <w:pPr>
        <w:tabs>
          <w:tab w:val="left" w:pos="5616"/>
        </w:tabs>
        <w:rPr>
          <w:color w:val="000000" w:themeColor="text1"/>
          <w:lang w:val="en-AU"/>
        </w:rPr>
      </w:pPr>
    </w:p>
    <w:p w14:paraId="10F347E0" w14:textId="77777777" w:rsidR="0028187F" w:rsidRPr="00FB2D03" w:rsidRDefault="00412D77" w:rsidP="00412D77">
      <w:pPr>
        <w:tabs>
          <w:tab w:val="left" w:pos="5616"/>
        </w:tabs>
        <w:rPr>
          <w:color w:val="000000" w:themeColor="text1"/>
          <w:lang w:val="en-AU"/>
        </w:rPr>
      </w:pPr>
      <w:r w:rsidRPr="00FB2D03">
        <w:rPr>
          <w:color w:val="000000" w:themeColor="text1"/>
          <w:lang w:val="en-AU"/>
        </w:rPr>
        <w:t xml:space="preserve">________. “The New Halakhic letter (4QMMT) and the Origins of the Dead Sea Sect.” </w:t>
      </w:r>
    </w:p>
    <w:p w14:paraId="43B66329" w14:textId="2FBA1639" w:rsidR="00412D77" w:rsidRPr="00FB2D03" w:rsidRDefault="00412D77" w:rsidP="0059280A">
      <w:pPr>
        <w:tabs>
          <w:tab w:val="left" w:pos="5616"/>
        </w:tabs>
        <w:ind w:left="720"/>
        <w:rPr>
          <w:color w:val="000000" w:themeColor="text1"/>
          <w:lang w:val="en-AU"/>
        </w:rPr>
      </w:pPr>
      <w:r w:rsidRPr="00FB2D03">
        <w:rPr>
          <w:i/>
          <w:color w:val="000000" w:themeColor="text1"/>
          <w:lang w:val="en-AU"/>
        </w:rPr>
        <w:t>Biblical Archaeologist</w:t>
      </w:r>
      <w:r w:rsidRPr="00FB2D03">
        <w:rPr>
          <w:color w:val="000000" w:themeColor="text1"/>
          <w:lang w:val="en-AU"/>
        </w:rPr>
        <w:t xml:space="preserve"> 53 (1990), 64–73.</w:t>
      </w:r>
    </w:p>
    <w:p w14:paraId="4706FB21" w14:textId="77777777" w:rsidR="00412D77" w:rsidRPr="00FB2D03" w:rsidRDefault="00412D77" w:rsidP="00412D77">
      <w:pPr>
        <w:tabs>
          <w:tab w:val="left" w:pos="5616"/>
        </w:tabs>
        <w:rPr>
          <w:color w:val="000000" w:themeColor="text1"/>
          <w:lang w:val="en-AU"/>
        </w:rPr>
      </w:pPr>
    </w:p>
    <w:p w14:paraId="41119610" w14:textId="77777777" w:rsidR="0028187F" w:rsidRPr="00FB2D03" w:rsidRDefault="00412D77" w:rsidP="00412D77">
      <w:pPr>
        <w:tabs>
          <w:tab w:val="left" w:pos="5616"/>
        </w:tabs>
        <w:rPr>
          <w:color w:val="000000" w:themeColor="text1"/>
          <w:lang w:val="en-AU"/>
        </w:rPr>
      </w:pPr>
      <w:r w:rsidRPr="00FB2D03">
        <w:rPr>
          <w:color w:val="000000" w:themeColor="text1"/>
          <w:lang w:val="en-AU"/>
        </w:rPr>
        <w:t xml:space="preserve">________. “The Temple Scroll and the Halakhic Pseudepigrapha of the Second Temple </w:t>
      </w:r>
    </w:p>
    <w:p w14:paraId="71DCF5A8" w14:textId="510828C9" w:rsidR="00412D77" w:rsidRPr="00FB2D03" w:rsidRDefault="00412D77" w:rsidP="0059280A">
      <w:pPr>
        <w:tabs>
          <w:tab w:val="left" w:pos="5616"/>
        </w:tabs>
        <w:ind w:left="720"/>
        <w:rPr>
          <w:color w:val="000000" w:themeColor="text1"/>
          <w:lang w:val="en-AU"/>
        </w:rPr>
      </w:pPr>
      <w:r w:rsidRPr="00FB2D03">
        <w:rPr>
          <w:color w:val="000000" w:themeColor="text1"/>
          <w:lang w:val="en-AU"/>
        </w:rPr>
        <w:t xml:space="preserve">Period.” In </w:t>
      </w:r>
      <w:r w:rsidRPr="00FB2D03">
        <w:rPr>
          <w:i/>
          <w:color w:val="000000" w:themeColor="text1"/>
          <w:lang w:val="en-AU"/>
        </w:rPr>
        <w:t xml:space="preserve">Pseudepigraphic Perspectives: The Apocrypha and Pseudepigrapha </w:t>
      </w:r>
      <w:proofErr w:type="gramStart"/>
      <w:r w:rsidRPr="00FB2D03">
        <w:rPr>
          <w:i/>
          <w:color w:val="000000" w:themeColor="text1"/>
          <w:lang w:val="en-AU"/>
        </w:rPr>
        <w:t>in Light of</w:t>
      </w:r>
      <w:proofErr w:type="gramEnd"/>
      <w:r w:rsidRPr="00FB2D03">
        <w:rPr>
          <w:i/>
          <w:color w:val="000000" w:themeColor="text1"/>
          <w:lang w:val="en-AU"/>
        </w:rPr>
        <w:t xml:space="preserve"> the Dead Sea Scrolls. Proceedings of the [Second] International Symposium of the Orion Center for the Study of the Dead Sea Scrolls and Associated Literature, 12–14 January 1997</w:t>
      </w:r>
      <w:r w:rsidRPr="00FB2D03">
        <w:rPr>
          <w:color w:val="000000" w:themeColor="text1"/>
          <w:lang w:val="en-AU"/>
        </w:rPr>
        <w:t>, ed. Esther G. Chazon and Michael E. Stone, 121–31. Studies on the Texts of the Desert of Judah 31. Leiden: Brill, 1999.</w:t>
      </w:r>
    </w:p>
    <w:p w14:paraId="44C9119C" w14:textId="77777777" w:rsidR="00412D77" w:rsidRPr="00FB2D03" w:rsidRDefault="00412D77" w:rsidP="00412D77">
      <w:pPr>
        <w:tabs>
          <w:tab w:val="left" w:pos="5616"/>
        </w:tabs>
        <w:rPr>
          <w:color w:val="000000" w:themeColor="text1"/>
          <w:lang w:val="en-AU"/>
        </w:rPr>
      </w:pPr>
    </w:p>
    <w:p w14:paraId="778F06BF" w14:textId="77777777" w:rsidR="0028187F" w:rsidRPr="00FB2D03" w:rsidRDefault="00412D77" w:rsidP="00412D77">
      <w:pPr>
        <w:tabs>
          <w:tab w:val="left" w:pos="5616"/>
        </w:tabs>
        <w:rPr>
          <w:i/>
          <w:color w:val="000000" w:themeColor="text1"/>
          <w:lang w:val="en-AU"/>
        </w:rPr>
      </w:pPr>
      <w:r w:rsidRPr="00FB2D03">
        <w:rPr>
          <w:color w:val="000000" w:themeColor="text1"/>
          <w:lang w:val="en-AU"/>
        </w:rPr>
        <w:t xml:space="preserve">________. “The Qumran Scrolls and Rabbinic Judaism.” In </w:t>
      </w:r>
      <w:r w:rsidRPr="00FB2D03">
        <w:rPr>
          <w:i/>
          <w:color w:val="000000" w:themeColor="text1"/>
          <w:lang w:val="en-AU"/>
        </w:rPr>
        <w:t xml:space="preserve">The Dead Sea Scrolls after Fifty </w:t>
      </w:r>
    </w:p>
    <w:p w14:paraId="70B576F2" w14:textId="3E950FE1" w:rsidR="00412D77" w:rsidRPr="00FB2D03" w:rsidRDefault="00412D77" w:rsidP="0059280A">
      <w:pPr>
        <w:tabs>
          <w:tab w:val="left" w:pos="5616"/>
        </w:tabs>
        <w:ind w:left="720"/>
        <w:rPr>
          <w:color w:val="000000" w:themeColor="text1"/>
          <w:lang w:val="en-AU"/>
        </w:rPr>
      </w:pPr>
      <w:r w:rsidRPr="00FB2D03">
        <w:rPr>
          <w:i/>
          <w:color w:val="000000" w:themeColor="text1"/>
          <w:lang w:val="en-AU"/>
        </w:rPr>
        <w:t>Years: A Comprehensive Assessment</w:t>
      </w:r>
      <w:r w:rsidRPr="00FB2D03">
        <w:rPr>
          <w:color w:val="000000" w:themeColor="text1"/>
          <w:lang w:val="en-AU"/>
        </w:rPr>
        <w:t>, ed. Peter W. Flint and James C. VanderKam, 2:552–71. Leiden: Brill, 1998–1999.</w:t>
      </w:r>
    </w:p>
    <w:p w14:paraId="7CA1039E" w14:textId="77777777" w:rsidR="00412D77" w:rsidRPr="00FB2D03" w:rsidRDefault="00412D77" w:rsidP="00412D77">
      <w:pPr>
        <w:tabs>
          <w:tab w:val="left" w:pos="5616"/>
        </w:tabs>
        <w:rPr>
          <w:color w:val="000000" w:themeColor="text1"/>
          <w:lang w:val="en-AU"/>
        </w:rPr>
      </w:pPr>
    </w:p>
    <w:p w14:paraId="2D651F8D" w14:textId="77777777" w:rsidR="0028187F" w:rsidRPr="00FB2D03" w:rsidRDefault="00412D77" w:rsidP="00412D77">
      <w:pPr>
        <w:tabs>
          <w:tab w:val="left" w:pos="5616"/>
        </w:tabs>
        <w:rPr>
          <w:i/>
          <w:color w:val="000000" w:themeColor="text1"/>
          <w:lang w:val="en-AU"/>
        </w:rPr>
      </w:pPr>
      <w:r w:rsidRPr="00FB2D03">
        <w:rPr>
          <w:color w:val="000000" w:themeColor="text1"/>
          <w:lang w:val="en-AU"/>
        </w:rPr>
        <w:t xml:space="preserve">________. “Priestly and Levitical Gifts in the Temple Scroll.” In </w:t>
      </w:r>
      <w:r w:rsidRPr="00FB2D03">
        <w:rPr>
          <w:i/>
          <w:color w:val="000000" w:themeColor="text1"/>
          <w:lang w:val="en-AU"/>
        </w:rPr>
        <w:t xml:space="preserve">The Provo International </w:t>
      </w:r>
    </w:p>
    <w:p w14:paraId="4814BF35" w14:textId="7CF71171" w:rsidR="00412D77" w:rsidRPr="00FB2D03" w:rsidRDefault="00412D77" w:rsidP="0059280A">
      <w:pPr>
        <w:tabs>
          <w:tab w:val="left" w:pos="5616"/>
        </w:tabs>
        <w:ind w:left="720"/>
        <w:rPr>
          <w:color w:val="000000" w:themeColor="text1"/>
          <w:lang w:val="en-AU"/>
        </w:rPr>
      </w:pPr>
      <w:r w:rsidRPr="00FB2D03">
        <w:rPr>
          <w:i/>
          <w:color w:val="000000" w:themeColor="text1"/>
          <w:lang w:val="en-AU"/>
        </w:rPr>
        <w:t>Conference on the Dead Sea Scrolls: Technological Innovations, New Texts, and Reformulated Issues</w:t>
      </w:r>
      <w:r w:rsidRPr="00FB2D03">
        <w:rPr>
          <w:color w:val="000000" w:themeColor="text1"/>
          <w:lang w:val="en-AU"/>
        </w:rPr>
        <w:t>, ed. Donald W. Parry and Eugene C. Ulrich, 480–96. Studies on the Texts of the Desert of Judah 30. Leiden: Brill, 1999.</w:t>
      </w:r>
    </w:p>
    <w:p w14:paraId="5EF82301" w14:textId="77777777" w:rsidR="00412D77" w:rsidRPr="00FB2D03" w:rsidRDefault="00412D77" w:rsidP="00412D77">
      <w:pPr>
        <w:tabs>
          <w:tab w:val="left" w:pos="5616"/>
        </w:tabs>
        <w:rPr>
          <w:color w:val="000000" w:themeColor="text1"/>
          <w:lang w:val="en-AU"/>
        </w:rPr>
      </w:pPr>
    </w:p>
    <w:p w14:paraId="7063B387" w14:textId="77777777" w:rsidR="00412D77" w:rsidRPr="00FB2D03" w:rsidRDefault="00412D77" w:rsidP="00412D77">
      <w:pPr>
        <w:tabs>
          <w:tab w:val="left" w:pos="5616"/>
        </w:tabs>
        <w:rPr>
          <w:i/>
          <w:color w:val="000000" w:themeColor="text1"/>
          <w:lang w:val="en-AU"/>
        </w:rPr>
      </w:pPr>
    </w:p>
    <w:p w14:paraId="6AF5AC19" w14:textId="77777777" w:rsidR="0028187F" w:rsidRPr="00FB2D03" w:rsidRDefault="00412D77" w:rsidP="00412D77">
      <w:pPr>
        <w:tabs>
          <w:tab w:val="left" w:pos="5616"/>
        </w:tabs>
        <w:rPr>
          <w:i/>
          <w:color w:val="000000" w:themeColor="text1"/>
          <w:lang w:val="en-AU"/>
        </w:rPr>
      </w:pPr>
      <w:r w:rsidRPr="00FB2D03">
        <w:rPr>
          <w:color w:val="000000" w:themeColor="text1"/>
          <w:lang w:val="en-AU"/>
        </w:rPr>
        <w:t xml:space="preserve">________. </w:t>
      </w:r>
      <w:r w:rsidRPr="00FB2D03">
        <w:rPr>
          <w:i/>
          <w:color w:val="000000" w:themeColor="text1"/>
          <w:lang w:val="en-AU"/>
        </w:rPr>
        <w:t xml:space="preserve">Qumran and Jerusalem: Studies in the Dead Sea Scrolls and the History of </w:t>
      </w:r>
    </w:p>
    <w:p w14:paraId="3BEB3DE6" w14:textId="4D95128E" w:rsidR="00412D77" w:rsidRPr="00FB2D03" w:rsidRDefault="00412D77" w:rsidP="0059280A">
      <w:pPr>
        <w:tabs>
          <w:tab w:val="left" w:pos="5616"/>
        </w:tabs>
        <w:ind w:left="720"/>
        <w:rPr>
          <w:color w:val="000000" w:themeColor="text1"/>
          <w:lang w:val="en-AU"/>
        </w:rPr>
      </w:pPr>
      <w:r w:rsidRPr="00FB2D03">
        <w:rPr>
          <w:i/>
          <w:color w:val="000000" w:themeColor="text1"/>
          <w:lang w:val="en-AU"/>
        </w:rPr>
        <w:t>Judaism.</w:t>
      </w:r>
      <w:r w:rsidRPr="00FB2D03">
        <w:rPr>
          <w:color w:val="000000" w:themeColor="text1"/>
          <w:lang w:val="en-AU"/>
        </w:rPr>
        <w:t xml:space="preserve"> Grand Rapids: Eerdmans, 2010.</w:t>
      </w:r>
    </w:p>
    <w:p w14:paraId="4AB28422" w14:textId="77777777" w:rsidR="00412D77" w:rsidRPr="00FB2D03" w:rsidRDefault="00412D77" w:rsidP="00412D77">
      <w:pPr>
        <w:tabs>
          <w:tab w:val="left" w:pos="5616"/>
        </w:tabs>
        <w:rPr>
          <w:color w:val="000000" w:themeColor="text1"/>
          <w:lang w:val="en-AU"/>
        </w:rPr>
      </w:pPr>
    </w:p>
    <w:p w14:paraId="2B100B8F" w14:textId="77777777" w:rsidR="0028187F" w:rsidRPr="00FB2D03" w:rsidRDefault="00412D77" w:rsidP="00412D77">
      <w:pPr>
        <w:tabs>
          <w:tab w:val="left" w:pos="5616"/>
        </w:tabs>
        <w:rPr>
          <w:color w:val="000000" w:themeColor="text1"/>
          <w:lang w:val="en-AU"/>
        </w:rPr>
      </w:pPr>
      <w:r w:rsidRPr="00FB2D03">
        <w:rPr>
          <w:color w:val="000000" w:themeColor="text1"/>
          <w:lang w:val="en-AU"/>
        </w:rPr>
        <w:t>________. “</w:t>
      </w:r>
      <w:r w:rsidRPr="00FB2D03">
        <w:rPr>
          <w:color w:val="000000" w:themeColor="text1"/>
          <w:rtl/>
          <w:lang w:val="en-AU"/>
        </w:rPr>
        <w:t>מחלוקות בספרות התנאים לאור מגילות מדבר יהודה</w:t>
      </w:r>
      <w:r w:rsidRPr="00FB2D03">
        <w:rPr>
          <w:color w:val="000000" w:themeColor="text1"/>
          <w:lang w:val="en-AU"/>
        </w:rPr>
        <w:t xml:space="preserve"> [Tannaitic Disputes </w:t>
      </w:r>
      <w:proofErr w:type="gramStart"/>
      <w:r w:rsidRPr="00FB2D03">
        <w:rPr>
          <w:color w:val="000000" w:themeColor="text1"/>
          <w:lang w:val="en-AU"/>
        </w:rPr>
        <w:t>in Light of</w:t>
      </w:r>
      <w:proofErr w:type="gramEnd"/>
      <w:r w:rsidRPr="00FB2D03">
        <w:rPr>
          <w:color w:val="000000" w:themeColor="text1"/>
          <w:lang w:val="en-AU"/>
        </w:rPr>
        <w:t xml:space="preserve"> the </w:t>
      </w:r>
    </w:p>
    <w:p w14:paraId="3D83F58D" w14:textId="5CB6B3D7" w:rsidR="00412D77" w:rsidRPr="00FB2D03" w:rsidRDefault="00412D77" w:rsidP="0059280A">
      <w:pPr>
        <w:tabs>
          <w:tab w:val="left" w:pos="5616"/>
        </w:tabs>
        <w:ind w:left="720"/>
        <w:rPr>
          <w:i/>
          <w:color w:val="000000" w:themeColor="text1"/>
          <w:lang w:val="en-AU"/>
        </w:rPr>
      </w:pPr>
      <w:r w:rsidRPr="00FB2D03">
        <w:rPr>
          <w:color w:val="000000" w:themeColor="text1"/>
          <w:lang w:val="en-AU"/>
        </w:rPr>
        <w:t xml:space="preserve">Dead Sea Scrolls].” In </w:t>
      </w:r>
      <w:r w:rsidRPr="00FB2D03">
        <w:rPr>
          <w:i/>
          <w:color w:val="000000" w:themeColor="text1"/>
          <w:lang w:val="en-AU"/>
        </w:rPr>
        <w:t>Ki Baruch Hu: Ancient Near Eastern, Biblical and Judaic Studies in Honor of Baruch A. Levine,</w:t>
      </w:r>
      <w:r w:rsidRPr="00FB2D03">
        <w:rPr>
          <w:color w:val="000000" w:themeColor="text1"/>
          <w:lang w:val="en-AU"/>
        </w:rPr>
        <w:t xml:space="preserve"> ed. Robert Chazan, William W. Hallo and Lawrence H. Schiffman, 43–52. Winona Lake: Eisenbrauns, 1999.</w:t>
      </w:r>
    </w:p>
    <w:p w14:paraId="0A6FFCF7" w14:textId="77777777" w:rsidR="00412D77" w:rsidRPr="00FB2D03" w:rsidRDefault="00412D77" w:rsidP="00412D77">
      <w:pPr>
        <w:tabs>
          <w:tab w:val="left" w:pos="5616"/>
        </w:tabs>
        <w:rPr>
          <w:color w:val="000000" w:themeColor="text1"/>
          <w:lang w:val="en-AU"/>
        </w:rPr>
      </w:pPr>
    </w:p>
    <w:p w14:paraId="6D610751" w14:textId="77777777" w:rsidR="0028187F" w:rsidRPr="00FB2D03" w:rsidRDefault="00412D77" w:rsidP="00412D77">
      <w:pPr>
        <w:tabs>
          <w:tab w:val="left" w:pos="5616"/>
        </w:tabs>
        <w:rPr>
          <w:color w:val="000000" w:themeColor="text1"/>
          <w:lang w:val="en-AU"/>
        </w:rPr>
      </w:pPr>
      <w:r w:rsidRPr="00FB2D03">
        <w:rPr>
          <w:color w:val="000000" w:themeColor="text1"/>
          <w:lang w:val="en-AU"/>
        </w:rPr>
        <w:t xml:space="preserve">Schiffman, Lawrence H., and Marlene Schiffman. “And It Shall Come to Pass in the End of </w:t>
      </w:r>
    </w:p>
    <w:p w14:paraId="054841F0" w14:textId="7FBF6A61" w:rsidR="00412D77" w:rsidRPr="00FB2D03" w:rsidRDefault="00412D77" w:rsidP="0059280A">
      <w:pPr>
        <w:tabs>
          <w:tab w:val="left" w:pos="5616"/>
        </w:tabs>
        <w:ind w:left="720"/>
        <w:rPr>
          <w:color w:val="000000" w:themeColor="text1"/>
          <w:lang w:val="en-AU"/>
        </w:rPr>
      </w:pPr>
      <w:r w:rsidRPr="00FB2D03">
        <w:rPr>
          <w:color w:val="000000" w:themeColor="text1"/>
          <w:lang w:val="en-AU"/>
        </w:rPr>
        <w:t>Days: An Agenda for the Future.” In</w:t>
      </w:r>
      <w:r w:rsidRPr="00FB2D03">
        <w:rPr>
          <w:i/>
          <w:color w:val="000000" w:themeColor="text1"/>
          <w:lang w:val="en-AU"/>
        </w:rPr>
        <w:t xml:space="preserve"> The Dead Sea Scrolls at Fifty: Proceedings of the 1997 Society of Biblical Literature Qumran Section Meetings</w:t>
      </w:r>
      <w:r w:rsidRPr="00FB2D03">
        <w:rPr>
          <w:color w:val="000000" w:themeColor="text1"/>
          <w:lang w:val="en-AU"/>
        </w:rPr>
        <w:t>, ed. Robert A. Kugler and Eileen M. Schuller, 205–211. Early Judaism and Its Literature 15. Atlanta: Society of Biblical Literature, 1999.</w:t>
      </w:r>
    </w:p>
    <w:p w14:paraId="40163C20" w14:textId="77777777" w:rsidR="00412D77" w:rsidRPr="00FB2D03" w:rsidRDefault="00412D77" w:rsidP="00412D77">
      <w:pPr>
        <w:tabs>
          <w:tab w:val="left" w:pos="5616"/>
        </w:tabs>
        <w:rPr>
          <w:color w:val="000000" w:themeColor="text1"/>
          <w:lang w:val="en-AU"/>
        </w:rPr>
      </w:pPr>
    </w:p>
    <w:p w14:paraId="1B60A1D3" w14:textId="77777777" w:rsidR="0028187F" w:rsidRPr="00FB2D03" w:rsidRDefault="00412D77" w:rsidP="00412D77">
      <w:pPr>
        <w:tabs>
          <w:tab w:val="left" w:pos="5616"/>
        </w:tabs>
        <w:rPr>
          <w:color w:val="000000" w:themeColor="text1"/>
          <w:lang w:val="en-AU"/>
        </w:rPr>
      </w:pPr>
      <w:r w:rsidRPr="00FB2D03">
        <w:rPr>
          <w:color w:val="000000" w:themeColor="text1"/>
          <w:lang w:val="en-AU"/>
        </w:rPr>
        <w:t>Schiffman, Lawrence H, and Joel B Wolowelsky. </w:t>
      </w:r>
      <w:r w:rsidRPr="00FB2D03">
        <w:rPr>
          <w:i/>
          <w:color w:val="000000" w:themeColor="text1"/>
          <w:lang w:val="en-AU"/>
        </w:rPr>
        <w:t>War and Peace in the Jewish Tradition</w:t>
      </w:r>
      <w:r w:rsidRPr="00FB2D03">
        <w:rPr>
          <w:color w:val="000000" w:themeColor="text1"/>
          <w:lang w:val="en-AU"/>
        </w:rPr>
        <w:t xml:space="preserve">. </w:t>
      </w:r>
    </w:p>
    <w:p w14:paraId="300D6A59" w14:textId="266F6ACB" w:rsidR="00412D77" w:rsidRPr="00FB2D03" w:rsidRDefault="00412D77" w:rsidP="0059280A">
      <w:pPr>
        <w:tabs>
          <w:tab w:val="left" w:pos="5616"/>
        </w:tabs>
        <w:ind w:left="720"/>
        <w:rPr>
          <w:color w:val="000000" w:themeColor="text1"/>
          <w:lang w:val="en-AU"/>
        </w:rPr>
      </w:pPr>
      <w:r w:rsidRPr="00FB2D03">
        <w:rPr>
          <w:color w:val="000000" w:themeColor="text1"/>
          <w:lang w:val="en-AU"/>
        </w:rPr>
        <w:t>New York: Michael Scharf Publication Trust of the Yeshiva University Press, 2007.</w:t>
      </w:r>
    </w:p>
    <w:p w14:paraId="0DB5A031" w14:textId="77777777" w:rsidR="00412D77" w:rsidRPr="00FB2D03" w:rsidRDefault="00412D77" w:rsidP="00412D77">
      <w:pPr>
        <w:tabs>
          <w:tab w:val="left" w:pos="5616"/>
        </w:tabs>
        <w:rPr>
          <w:color w:val="000000" w:themeColor="text1"/>
          <w:lang w:val="en-AU"/>
        </w:rPr>
      </w:pPr>
    </w:p>
    <w:p w14:paraId="59994F33" w14:textId="77777777" w:rsidR="0028187F" w:rsidRPr="00FB2D03" w:rsidRDefault="00412D77" w:rsidP="00412D77">
      <w:pPr>
        <w:tabs>
          <w:tab w:val="left" w:pos="5616"/>
        </w:tabs>
        <w:rPr>
          <w:i/>
          <w:color w:val="000000" w:themeColor="text1"/>
          <w:lang w:val="en-AU"/>
        </w:rPr>
      </w:pPr>
      <w:r w:rsidRPr="00FB2D03">
        <w:rPr>
          <w:color w:val="000000" w:themeColor="text1"/>
          <w:lang w:val="en-AU"/>
        </w:rPr>
        <w:t xml:space="preserve">Schleiermacher, Friedrich. </w:t>
      </w:r>
      <w:r w:rsidRPr="00FB2D03">
        <w:rPr>
          <w:i/>
          <w:color w:val="000000" w:themeColor="text1"/>
          <w:lang w:val="en-AU"/>
        </w:rPr>
        <w:t xml:space="preserve">Der Christliche Glaube nach den Grundsätzen der evangelischen </w:t>
      </w:r>
    </w:p>
    <w:p w14:paraId="0BCF32B3" w14:textId="3E76409B" w:rsidR="00412D77" w:rsidRPr="00FB2D03" w:rsidRDefault="00412D77" w:rsidP="0059280A">
      <w:pPr>
        <w:tabs>
          <w:tab w:val="left" w:pos="5616"/>
        </w:tabs>
        <w:ind w:left="720"/>
        <w:rPr>
          <w:color w:val="000000" w:themeColor="text1"/>
          <w:lang w:val="en-AU"/>
        </w:rPr>
      </w:pPr>
      <w:r w:rsidRPr="00FB2D03">
        <w:rPr>
          <w:i/>
          <w:color w:val="000000" w:themeColor="text1"/>
          <w:lang w:val="en-AU"/>
        </w:rPr>
        <w:t>Kirche im Zusammenhang dargestellt</w:t>
      </w:r>
      <w:r w:rsidRPr="00FB2D03">
        <w:rPr>
          <w:color w:val="000000" w:themeColor="text1"/>
          <w:lang w:val="en-AU"/>
        </w:rPr>
        <w:t>. Berlin: de Gruyter, 1960.</w:t>
      </w:r>
    </w:p>
    <w:p w14:paraId="26D8A7AA" w14:textId="77777777" w:rsidR="00412D77" w:rsidRPr="00FB2D03" w:rsidRDefault="00412D77" w:rsidP="00412D77">
      <w:pPr>
        <w:tabs>
          <w:tab w:val="left" w:pos="5616"/>
        </w:tabs>
        <w:rPr>
          <w:color w:val="000000" w:themeColor="text1"/>
          <w:lang w:val="en-AU"/>
        </w:rPr>
      </w:pPr>
    </w:p>
    <w:p w14:paraId="0F65285E" w14:textId="77777777" w:rsidR="0028187F" w:rsidRPr="00FB2D03" w:rsidRDefault="00412D77" w:rsidP="00412D77">
      <w:pPr>
        <w:tabs>
          <w:tab w:val="left" w:pos="5616"/>
        </w:tabs>
        <w:rPr>
          <w:i/>
          <w:color w:val="000000" w:themeColor="text1"/>
          <w:lang w:val="en-AU"/>
        </w:rPr>
      </w:pPr>
      <w:r w:rsidRPr="00FB2D03">
        <w:rPr>
          <w:color w:val="000000" w:themeColor="text1"/>
          <w:lang w:val="en-AU"/>
        </w:rPr>
        <w:t>Schnabel, Eckhard J. “Biblical Theology from a New Testament Perspective.” </w:t>
      </w:r>
      <w:r w:rsidRPr="00FB2D03">
        <w:rPr>
          <w:i/>
          <w:color w:val="000000" w:themeColor="text1"/>
          <w:lang w:val="en-AU"/>
        </w:rPr>
        <w:t xml:space="preserve">Journal of The </w:t>
      </w:r>
    </w:p>
    <w:p w14:paraId="60A4E5CB" w14:textId="52768476" w:rsidR="00412D77" w:rsidRPr="00FB2D03" w:rsidRDefault="00412D77" w:rsidP="0059280A">
      <w:pPr>
        <w:tabs>
          <w:tab w:val="left" w:pos="5616"/>
        </w:tabs>
        <w:ind w:left="720"/>
        <w:rPr>
          <w:color w:val="000000" w:themeColor="text1"/>
          <w:lang w:val="en-AU"/>
        </w:rPr>
      </w:pPr>
      <w:r w:rsidRPr="00FB2D03">
        <w:rPr>
          <w:i/>
          <w:color w:val="000000" w:themeColor="text1"/>
          <w:lang w:val="en-AU"/>
        </w:rPr>
        <w:lastRenderedPageBreak/>
        <w:t>Evangelical Theological Society</w:t>
      </w:r>
      <w:r w:rsidRPr="00FB2D03">
        <w:rPr>
          <w:color w:val="000000" w:themeColor="text1"/>
          <w:lang w:val="en-AU"/>
        </w:rPr>
        <w:t> 2 (2019): 225–49.</w:t>
      </w:r>
    </w:p>
    <w:p w14:paraId="31109010" w14:textId="77777777" w:rsidR="00412D77" w:rsidRPr="00FB2D03" w:rsidRDefault="00412D77" w:rsidP="00412D77">
      <w:pPr>
        <w:tabs>
          <w:tab w:val="left" w:pos="5616"/>
        </w:tabs>
        <w:rPr>
          <w:color w:val="000000" w:themeColor="text1"/>
          <w:lang w:val="en-AU"/>
        </w:rPr>
      </w:pPr>
    </w:p>
    <w:p w14:paraId="57CC0213" w14:textId="77777777" w:rsidR="0028187F" w:rsidRPr="00FB2D03" w:rsidRDefault="00412D77" w:rsidP="00412D77">
      <w:pPr>
        <w:tabs>
          <w:tab w:val="left" w:pos="5616"/>
        </w:tabs>
        <w:rPr>
          <w:color w:val="000000" w:themeColor="text1"/>
          <w:lang w:val="en-AU"/>
        </w:rPr>
      </w:pPr>
      <w:r w:rsidRPr="00FB2D03">
        <w:rPr>
          <w:color w:val="000000" w:themeColor="text1"/>
          <w:lang w:val="en-AU"/>
        </w:rPr>
        <w:t>Schneider, Johannes. </w:t>
      </w:r>
      <w:r w:rsidRPr="00FB2D03">
        <w:rPr>
          <w:i/>
          <w:color w:val="000000" w:themeColor="text1"/>
          <w:lang w:val="en-AU"/>
        </w:rPr>
        <w:t>Baptism and Church in the New Testament</w:t>
      </w:r>
      <w:r w:rsidRPr="00FB2D03">
        <w:rPr>
          <w:color w:val="000000" w:themeColor="text1"/>
          <w:lang w:val="en-AU"/>
        </w:rPr>
        <w:t xml:space="preserve">. London: Carey Kingsgate </w:t>
      </w:r>
    </w:p>
    <w:p w14:paraId="63737E31" w14:textId="205E2C08" w:rsidR="00412D77" w:rsidRPr="00FB2D03" w:rsidRDefault="00412D77" w:rsidP="0059280A">
      <w:pPr>
        <w:tabs>
          <w:tab w:val="left" w:pos="5616"/>
        </w:tabs>
        <w:ind w:left="720"/>
        <w:rPr>
          <w:color w:val="000000" w:themeColor="text1"/>
          <w:lang w:val="en-AU"/>
        </w:rPr>
      </w:pPr>
      <w:r w:rsidRPr="00FB2D03">
        <w:rPr>
          <w:color w:val="000000" w:themeColor="text1"/>
          <w:lang w:val="en-AU"/>
        </w:rPr>
        <w:t>Press, 1963.</w:t>
      </w:r>
    </w:p>
    <w:p w14:paraId="60BD0979" w14:textId="77777777" w:rsidR="00412D77" w:rsidRPr="00FB2D03" w:rsidRDefault="00412D77" w:rsidP="00412D77">
      <w:pPr>
        <w:tabs>
          <w:tab w:val="left" w:pos="5616"/>
        </w:tabs>
        <w:rPr>
          <w:color w:val="000000" w:themeColor="text1"/>
          <w:lang w:val="en-AU"/>
        </w:rPr>
      </w:pPr>
    </w:p>
    <w:p w14:paraId="28B54926" w14:textId="77777777" w:rsidR="0028187F" w:rsidRPr="00FB2D03" w:rsidRDefault="00412D77" w:rsidP="00412D77">
      <w:pPr>
        <w:tabs>
          <w:tab w:val="left" w:pos="5616"/>
        </w:tabs>
        <w:rPr>
          <w:color w:val="000000" w:themeColor="text1"/>
          <w:lang w:val="en-AU"/>
        </w:rPr>
      </w:pPr>
      <w:r w:rsidRPr="00FB2D03">
        <w:rPr>
          <w:color w:val="000000" w:themeColor="text1"/>
          <w:lang w:val="en-AU"/>
        </w:rPr>
        <w:t xml:space="preserve">Schniedewind, William M. “Qumran Hebrew as an Antilanguage.” Journal of Biblical </w:t>
      </w:r>
    </w:p>
    <w:p w14:paraId="4F214178" w14:textId="28607EC7" w:rsidR="00412D77" w:rsidRPr="00FB2D03" w:rsidRDefault="00412D77" w:rsidP="0059280A">
      <w:pPr>
        <w:tabs>
          <w:tab w:val="left" w:pos="5616"/>
        </w:tabs>
        <w:ind w:left="720"/>
        <w:rPr>
          <w:color w:val="000000" w:themeColor="text1"/>
          <w:lang w:val="en-AU"/>
        </w:rPr>
      </w:pPr>
      <w:r w:rsidRPr="00FB2D03">
        <w:rPr>
          <w:color w:val="000000" w:themeColor="text1"/>
          <w:lang w:val="en-AU"/>
        </w:rPr>
        <w:t>Literature 118 (1999)</w:t>
      </w:r>
      <w:r w:rsidR="00013BF9" w:rsidRPr="00FB2D03">
        <w:rPr>
          <w:color w:val="000000" w:themeColor="text1"/>
          <w:lang w:val="en-AU"/>
        </w:rPr>
        <w:t>:</w:t>
      </w:r>
      <w:r w:rsidRPr="00FB2D03">
        <w:rPr>
          <w:color w:val="000000" w:themeColor="text1"/>
          <w:lang w:val="en-AU"/>
        </w:rPr>
        <w:t xml:space="preserve"> 235–52.</w:t>
      </w:r>
    </w:p>
    <w:p w14:paraId="49D9829E" w14:textId="77777777" w:rsidR="00412D77" w:rsidRPr="00FB2D03" w:rsidRDefault="00412D77" w:rsidP="00412D77">
      <w:pPr>
        <w:tabs>
          <w:tab w:val="left" w:pos="5616"/>
        </w:tabs>
        <w:rPr>
          <w:color w:val="000000" w:themeColor="text1"/>
          <w:lang w:val="en-AU"/>
        </w:rPr>
      </w:pPr>
    </w:p>
    <w:p w14:paraId="038D67A0" w14:textId="77777777" w:rsidR="0028187F" w:rsidRPr="00FB2D03" w:rsidRDefault="00412D77" w:rsidP="00412D77">
      <w:pPr>
        <w:tabs>
          <w:tab w:val="left" w:pos="5616"/>
        </w:tabs>
        <w:rPr>
          <w:i/>
          <w:color w:val="000000" w:themeColor="text1"/>
          <w:lang w:val="en-AU"/>
        </w:rPr>
      </w:pPr>
      <w:r w:rsidRPr="00FB2D03">
        <w:rPr>
          <w:color w:val="000000" w:themeColor="text1"/>
          <w:lang w:val="en-AU"/>
        </w:rPr>
        <w:t xml:space="preserve">________. “Structural Aspects of Qumran Messianism in the Damascus Document.” In </w:t>
      </w:r>
      <w:r w:rsidRPr="00FB2D03">
        <w:rPr>
          <w:i/>
          <w:color w:val="000000" w:themeColor="text1"/>
          <w:lang w:val="en-AU"/>
        </w:rPr>
        <w:t xml:space="preserve">The </w:t>
      </w:r>
    </w:p>
    <w:p w14:paraId="3874C210" w14:textId="1DC75826" w:rsidR="00412D77" w:rsidRPr="00FB2D03" w:rsidRDefault="00412D77" w:rsidP="0059280A">
      <w:pPr>
        <w:tabs>
          <w:tab w:val="left" w:pos="5616"/>
        </w:tabs>
        <w:ind w:left="720"/>
        <w:rPr>
          <w:color w:val="000000" w:themeColor="text1"/>
          <w:lang w:val="en-AU"/>
        </w:rPr>
      </w:pPr>
      <w:r w:rsidRPr="00FB2D03">
        <w:rPr>
          <w:i/>
          <w:color w:val="000000" w:themeColor="text1"/>
          <w:lang w:val="en-AU"/>
        </w:rPr>
        <w:t>Provo International Conference on the Dead Sea Scrolls: Technological Innovations, New Texts, and Reformulated Issues</w:t>
      </w:r>
      <w:r w:rsidRPr="00FB2D03">
        <w:rPr>
          <w:color w:val="000000" w:themeColor="text1"/>
          <w:lang w:val="en-AU"/>
        </w:rPr>
        <w:t>, ed. Donald W. Parry and Eugene C. Ulrich, 523–536. Studies on the Texts of the Desert of Judah 30. Leiden: Brill, 1999.</w:t>
      </w:r>
    </w:p>
    <w:p w14:paraId="7245B168" w14:textId="77777777" w:rsidR="00412D77" w:rsidRPr="00FB2D03" w:rsidRDefault="00412D77" w:rsidP="00412D77">
      <w:pPr>
        <w:tabs>
          <w:tab w:val="left" w:pos="5616"/>
        </w:tabs>
        <w:rPr>
          <w:color w:val="000000" w:themeColor="text1"/>
          <w:lang w:val="en-AU"/>
        </w:rPr>
      </w:pPr>
    </w:p>
    <w:p w14:paraId="3F4B4985"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Schofield, </w:t>
      </w:r>
      <w:proofErr w:type="gramStart"/>
      <w:r w:rsidRPr="00FB2D03">
        <w:rPr>
          <w:color w:val="000000" w:themeColor="text1"/>
          <w:lang w:val="en-AU"/>
        </w:rPr>
        <w:t>Alison</w:t>
      </w:r>
      <w:proofErr w:type="gramEnd"/>
      <w:r w:rsidRPr="00FB2D03">
        <w:rPr>
          <w:color w:val="000000" w:themeColor="text1"/>
          <w:lang w:val="en-AU"/>
        </w:rPr>
        <w:t xml:space="preserve"> and James C. Vanderkam, “Were the Hasmoneans Zadokites?” </w:t>
      </w:r>
      <w:r w:rsidRPr="00FB2D03">
        <w:rPr>
          <w:i/>
          <w:color w:val="000000" w:themeColor="text1"/>
          <w:lang w:val="en-AU"/>
        </w:rPr>
        <w:t xml:space="preserve">Journal of </w:t>
      </w:r>
    </w:p>
    <w:p w14:paraId="76B3DB90" w14:textId="4268FB48" w:rsidR="00412D77" w:rsidRPr="00FB2D03" w:rsidRDefault="00412D77" w:rsidP="00E56DFF">
      <w:pPr>
        <w:tabs>
          <w:tab w:val="left" w:pos="5616"/>
        </w:tabs>
        <w:ind w:left="720"/>
        <w:rPr>
          <w:color w:val="000000" w:themeColor="text1"/>
          <w:lang w:val="en-AU"/>
        </w:rPr>
      </w:pPr>
      <w:r w:rsidRPr="00FB2D03">
        <w:rPr>
          <w:i/>
          <w:color w:val="000000" w:themeColor="text1"/>
          <w:lang w:val="en-AU"/>
        </w:rPr>
        <w:t>Biblical Literature</w:t>
      </w:r>
      <w:r w:rsidRPr="00FB2D03">
        <w:rPr>
          <w:color w:val="000000" w:themeColor="text1"/>
          <w:lang w:val="en-AU"/>
        </w:rPr>
        <w:t xml:space="preserve"> 124 (2005)</w:t>
      </w:r>
      <w:r w:rsidR="00013BF9" w:rsidRPr="00FB2D03">
        <w:rPr>
          <w:color w:val="000000" w:themeColor="text1"/>
          <w:lang w:val="en-AU"/>
        </w:rPr>
        <w:t>:</w:t>
      </w:r>
      <w:r w:rsidRPr="00FB2D03">
        <w:rPr>
          <w:color w:val="000000" w:themeColor="text1"/>
          <w:lang w:val="en-AU"/>
        </w:rPr>
        <w:t xml:space="preserve"> 73.</w:t>
      </w:r>
    </w:p>
    <w:p w14:paraId="6CFB1C05" w14:textId="77777777" w:rsidR="00412D77" w:rsidRPr="00FB2D03" w:rsidRDefault="00412D77" w:rsidP="00412D77">
      <w:pPr>
        <w:tabs>
          <w:tab w:val="left" w:pos="5616"/>
        </w:tabs>
        <w:rPr>
          <w:color w:val="000000" w:themeColor="text1"/>
          <w:lang w:val="en-AU"/>
        </w:rPr>
      </w:pPr>
    </w:p>
    <w:p w14:paraId="09139BD8"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Schori, Katharine Jefferts. “The Pursuit of Happiness in the Christian Tradition: Goal and </w:t>
      </w:r>
    </w:p>
    <w:p w14:paraId="786EDDA1" w14:textId="7AFE4E6D" w:rsidR="00412D77" w:rsidRPr="00FB2D03" w:rsidRDefault="00412D77" w:rsidP="00E56DFF">
      <w:pPr>
        <w:tabs>
          <w:tab w:val="left" w:pos="5616"/>
        </w:tabs>
        <w:ind w:left="720"/>
        <w:rPr>
          <w:color w:val="000000" w:themeColor="text1"/>
          <w:lang w:val="en-AU"/>
        </w:rPr>
      </w:pPr>
      <w:r w:rsidRPr="00FB2D03">
        <w:rPr>
          <w:color w:val="000000" w:themeColor="text1"/>
          <w:lang w:val="en-AU"/>
        </w:rPr>
        <w:t>Journey.” </w:t>
      </w:r>
      <w:r w:rsidRPr="00FB2D03">
        <w:rPr>
          <w:i/>
          <w:color w:val="000000" w:themeColor="text1"/>
          <w:lang w:val="en-AU"/>
        </w:rPr>
        <w:t>Journal of Law and Religion</w:t>
      </w:r>
      <w:r w:rsidRPr="00FB2D03">
        <w:rPr>
          <w:color w:val="000000" w:themeColor="text1"/>
          <w:lang w:val="en-AU"/>
        </w:rPr>
        <w:t> 29 (2014): 26.</w:t>
      </w:r>
    </w:p>
    <w:p w14:paraId="50396665" w14:textId="77777777" w:rsidR="00412D77" w:rsidRPr="00FB2D03" w:rsidRDefault="00412D77" w:rsidP="00412D77">
      <w:pPr>
        <w:tabs>
          <w:tab w:val="left" w:pos="5616"/>
        </w:tabs>
        <w:rPr>
          <w:color w:val="000000" w:themeColor="text1"/>
          <w:lang w:val="en-AU"/>
        </w:rPr>
      </w:pPr>
    </w:p>
    <w:p w14:paraId="4E3AFD84" w14:textId="77777777" w:rsidR="00E56DFF" w:rsidRPr="00FB2D03" w:rsidRDefault="00412D77" w:rsidP="00412D77">
      <w:pPr>
        <w:tabs>
          <w:tab w:val="left" w:pos="5616"/>
        </w:tabs>
        <w:rPr>
          <w:color w:val="000000" w:themeColor="text1"/>
          <w:lang w:val="en-AU"/>
        </w:rPr>
      </w:pPr>
      <w:r w:rsidRPr="00FB2D03">
        <w:rPr>
          <w:color w:val="000000" w:themeColor="text1"/>
          <w:lang w:val="en-AU"/>
        </w:rPr>
        <w:t>Schreiber, Aaron M. </w:t>
      </w:r>
      <w:r w:rsidRPr="00FB2D03">
        <w:rPr>
          <w:i/>
          <w:color w:val="000000" w:themeColor="text1"/>
          <w:lang w:val="en-AU"/>
        </w:rPr>
        <w:t xml:space="preserve">Jewish </w:t>
      </w:r>
      <w:proofErr w:type="gramStart"/>
      <w:r w:rsidRPr="00FB2D03">
        <w:rPr>
          <w:i/>
          <w:color w:val="000000" w:themeColor="text1"/>
          <w:lang w:val="en-AU"/>
        </w:rPr>
        <w:t>Law</w:t>
      </w:r>
      <w:proofErr w:type="gramEnd"/>
      <w:r w:rsidRPr="00FB2D03">
        <w:rPr>
          <w:i/>
          <w:color w:val="000000" w:themeColor="text1"/>
          <w:lang w:val="en-AU"/>
        </w:rPr>
        <w:t xml:space="preserve"> and Decision–Making</w:t>
      </w:r>
      <w:r w:rsidRPr="00FB2D03">
        <w:rPr>
          <w:color w:val="000000" w:themeColor="text1"/>
          <w:lang w:val="en-AU"/>
        </w:rPr>
        <w:t xml:space="preserve">. Philadelphia: Temple University </w:t>
      </w:r>
    </w:p>
    <w:p w14:paraId="451A02BD" w14:textId="06FA5FD4" w:rsidR="00412D77" w:rsidRPr="00FB2D03" w:rsidRDefault="00412D77" w:rsidP="00E56DFF">
      <w:pPr>
        <w:tabs>
          <w:tab w:val="left" w:pos="5616"/>
        </w:tabs>
        <w:ind w:left="720"/>
        <w:rPr>
          <w:color w:val="000000" w:themeColor="text1"/>
          <w:lang w:val="en-AU"/>
        </w:rPr>
      </w:pPr>
      <w:r w:rsidRPr="00FB2D03">
        <w:rPr>
          <w:color w:val="000000" w:themeColor="text1"/>
          <w:lang w:val="en-AU"/>
        </w:rPr>
        <w:t>Press, 1979.</w:t>
      </w:r>
    </w:p>
    <w:p w14:paraId="11E7E288" w14:textId="77777777" w:rsidR="00412D77" w:rsidRPr="00FB2D03" w:rsidRDefault="00412D77" w:rsidP="00412D77">
      <w:pPr>
        <w:tabs>
          <w:tab w:val="left" w:pos="5616"/>
        </w:tabs>
        <w:rPr>
          <w:color w:val="000000" w:themeColor="text1"/>
          <w:lang w:val="en-AU"/>
        </w:rPr>
      </w:pPr>
    </w:p>
    <w:p w14:paraId="39E5B116"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Schremer, Adiel. </w:t>
      </w:r>
      <w:r w:rsidRPr="00FB2D03">
        <w:rPr>
          <w:i/>
          <w:color w:val="000000" w:themeColor="text1"/>
          <w:lang w:val="en-AU"/>
        </w:rPr>
        <w:t xml:space="preserve">Brothers Estranged: Heresy, Christianity, and Jewish Identity in Late </w:t>
      </w:r>
    </w:p>
    <w:p w14:paraId="07EA3508" w14:textId="4FA2F6DF" w:rsidR="00412D77" w:rsidRPr="00FB2D03" w:rsidRDefault="00412D77" w:rsidP="00E56DFF">
      <w:pPr>
        <w:tabs>
          <w:tab w:val="left" w:pos="5616"/>
        </w:tabs>
        <w:ind w:left="720"/>
        <w:rPr>
          <w:color w:val="000000" w:themeColor="text1"/>
          <w:lang w:val="en-AU"/>
        </w:rPr>
      </w:pPr>
      <w:r w:rsidRPr="00FB2D03">
        <w:rPr>
          <w:i/>
          <w:color w:val="000000" w:themeColor="text1"/>
          <w:lang w:val="en-AU"/>
        </w:rPr>
        <w:t>Antiquity.</w:t>
      </w:r>
      <w:r w:rsidRPr="00FB2D03">
        <w:rPr>
          <w:color w:val="000000" w:themeColor="text1"/>
          <w:lang w:val="en-AU"/>
        </w:rPr>
        <w:t xml:space="preserve"> Oxford: Oxford University Press, 2009. </w:t>
      </w:r>
    </w:p>
    <w:p w14:paraId="3F011B2B" w14:textId="77777777" w:rsidR="00412D77" w:rsidRPr="00FB2D03" w:rsidRDefault="00412D77" w:rsidP="00412D77">
      <w:pPr>
        <w:tabs>
          <w:tab w:val="left" w:pos="5616"/>
        </w:tabs>
        <w:rPr>
          <w:color w:val="000000" w:themeColor="text1"/>
          <w:lang w:val="en-AU"/>
        </w:rPr>
      </w:pPr>
    </w:p>
    <w:p w14:paraId="6DB948E2"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Schwartz, Seth. </w:t>
      </w:r>
      <w:r w:rsidRPr="00FB2D03">
        <w:rPr>
          <w:i/>
          <w:color w:val="000000" w:themeColor="text1"/>
          <w:lang w:val="en-AU"/>
        </w:rPr>
        <w:t>Imperialism and Jewish Society: 200 BCE to 640 CE</w:t>
      </w:r>
      <w:r w:rsidRPr="00FB2D03">
        <w:rPr>
          <w:color w:val="000000" w:themeColor="text1"/>
          <w:lang w:val="en-AU"/>
        </w:rPr>
        <w:t xml:space="preserve">. Princeton: Princeton </w:t>
      </w:r>
    </w:p>
    <w:p w14:paraId="287C215B" w14:textId="245F0E6E" w:rsidR="00412D77" w:rsidRPr="00FB2D03" w:rsidRDefault="00412D77" w:rsidP="00E56DFF">
      <w:pPr>
        <w:tabs>
          <w:tab w:val="left" w:pos="5616"/>
        </w:tabs>
        <w:ind w:left="720"/>
        <w:rPr>
          <w:color w:val="000000" w:themeColor="text1"/>
          <w:lang w:val="en-AU"/>
        </w:rPr>
      </w:pPr>
      <w:r w:rsidRPr="00FB2D03">
        <w:rPr>
          <w:color w:val="000000" w:themeColor="text1"/>
          <w:lang w:val="en-AU"/>
        </w:rPr>
        <w:t>University Press, 2001.</w:t>
      </w:r>
    </w:p>
    <w:p w14:paraId="3D1866A4" w14:textId="77777777" w:rsidR="00412D77" w:rsidRPr="00FB2D03" w:rsidRDefault="00412D77" w:rsidP="00412D77">
      <w:pPr>
        <w:tabs>
          <w:tab w:val="left" w:pos="5616"/>
        </w:tabs>
        <w:rPr>
          <w:color w:val="000000" w:themeColor="text1"/>
          <w:lang w:val="en-AU"/>
        </w:rPr>
      </w:pPr>
    </w:p>
    <w:p w14:paraId="6C267F7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Schulmann, Max. </w:t>
      </w:r>
      <w:r w:rsidRPr="00FB2D03">
        <w:rPr>
          <w:i/>
          <w:color w:val="000000" w:themeColor="text1"/>
          <w:lang w:val="en-AU"/>
        </w:rPr>
        <w:t>Wehrgedanke im Staatszionismus</w:t>
      </w:r>
      <w:r w:rsidRPr="00FB2D03">
        <w:rPr>
          <w:color w:val="000000" w:themeColor="text1"/>
          <w:lang w:val="en-AU"/>
        </w:rPr>
        <w:t>. Berlin: Max Schulmann, 1934.</w:t>
      </w:r>
    </w:p>
    <w:p w14:paraId="1BF4C290" w14:textId="77777777" w:rsidR="00412D77" w:rsidRPr="00FB2D03" w:rsidRDefault="00412D77" w:rsidP="00412D77">
      <w:pPr>
        <w:tabs>
          <w:tab w:val="left" w:pos="5616"/>
        </w:tabs>
        <w:rPr>
          <w:color w:val="000000" w:themeColor="text1"/>
          <w:lang w:val="en-AU"/>
        </w:rPr>
      </w:pPr>
    </w:p>
    <w:p w14:paraId="4C151168"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Schürer, Emil. </w:t>
      </w:r>
      <w:r w:rsidRPr="00FB2D03">
        <w:rPr>
          <w:i/>
          <w:color w:val="000000" w:themeColor="text1"/>
          <w:lang w:val="en-AU"/>
        </w:rPr>
        <w:t>The History of the Jewish People in the Age of Jesus Christ</w:t>
      </w:r>
      <w:r w:rsidRPr="00FB2D03">
        <w:rPr>
          <w:color w:val="000000" w:themeColor="text1"/>
          <w:lang w:val="en-AU"/>
        </w:rPr>
        <w:t xml:space="preserve">. ed. Geza Vermes, </w:t>
      </w:r>
    </w:p>
    <w:p w14:paraId="17D8C8FC" w14:textId="05B000A3" w:rsidR="00412D77" w:rsidRPr="00FB2D03" w:rsidRDefault="00412D77" w:rsidP="00E56DFF">
      <w:pPr>
        <w:tabs>
          <w:tab w:val="left" w:pos="5616"/>
        </w:tabs>
        <w:ind w:left="720"/>
        <w:rPr>
          <w:color w:val="000000" w:themeColor="text1"/>
          <w:lang w:val="en-AU"/>
        </w:rPr>
      </w:pPr>
      <w:r w:rsidRPr="00FB2D03">
        <w:rPr>
          <w:color w:val="000000" w:themeColor="text1"/>
          <w:lang w:val="en-AU"/>
        </w:rPr>
        <w:t>Fergus Millar, and Matthew Black. Edinburgh: T &amp; T Clark, 1979.</w:t>
      </w:r>
    </w:p>
    <w:p w14:paraId="72A327A3" w14:textId="77777777" w:rsidR="00412D77" w:rsidRPr="00FB2D03" w:rsidRDefault="00412D77" w:rsidP="00412D77">
      <w:pPr>
        <w:tabs>
          <w:tab w:val="left" w:pos="5616"/>
        </w:tabs>
        <w:rPr>
          <w:color w:val="000000" w:themeColor="text1"/>
          <w:lang w:val="en-AU"/>
        </w:rPr>
      </w:pPr>
    </w:p>
    <w:p w14:paraId="060C5DE7" w14:textId="1D578A00" w:rsidR="00E56DFF" w:rsidRPr="00FB2D03" w:rsidRDefault="00412D77" w:rsidP="00412D77">
      <w:pPr>
        <w:tabs>
          <w:tab w:val="left" w:pos="5616"/>
        </w:tabs>
        <w:rPr>
          <w:i/>
          <w:color w:val="000000" w:themeColor="text1"/>
          <w:lang w:val="en-AU"/>
        </w:rPr>
      </w:pPr>
      <w:r w:rsidRPr="00FB2D03">
        <w:rPr>
          <w:color w:val="000000" w:themeColor="text1"/>
          <w:lang w:val="en-AU"/>
        </w:rPr>
        <w:t>Schürer, Emil, Geźa Vermes, and Fergus Millar. </w:t>
      </w:r>
      <w:r w:rsidRPr="00FB2D03">
        <w:rPr>
          <w:i/>
          <w:color w:val="000000" w:themeColor="text1"/>
          <w:lang w:val="en-AU"/>
        </w:rPr>
        <w:t xml:space="preserve">The History of the Jewish People in </w:t>
      </w:r>
      <w:r w:rsidR="00DF2BEE">
        <w:rPr>
          <w:i/>
          <w:color w:val="000000" w:themeColor="text1"/>
          <w:lang w:val="en-AU"/>
        </w:rPr>
        <w:t>t</w:t>
      </w:r>
      <w:r w:rsidRPr="00FB2D03">
        <w:rPr>
          <w:i/>
          <w:color w:val="000000" w:themeColor="text1"/>
          <w:lang w:val="en-AU"/>
        </w:rPr>
        <w:t xml:space="preserve">he Age </w:t>
      </w:r>
    </w:p>
    <w:p w14:paraId="78348BFA" w14:textId="72A940D7" w:rsidR="00412D77" w:rsidRPr="00FB2D03" w:rsidRDefault="00DF2BEE" w:rsidP="00E56DFF">
      <w:pPr>
        <w:tabs>
          <w:tab w:val="left" w:pos="5616"/>
        </w:tabs>
        <w:ind w:left="720"/>
        <w:rPr>
          <w:color w:val="000000" w:themeColor="text1"/>
          <w:lang w:val="en-AU"/>
        </w:rPr>
      </w:pPr>
      <w:r>
        <w:rPr>
          <w:i/>
          <w:color w:val="000000" w:themeColor="text1"/>
          <w:lang w:val="en-AU"/>
        </w:rPr>
        <w:t>o</w:t>
      </w:r>
      <w:r w:rsidR="00412D77" w:rsidRPr="00FB2D03">
        <w:rPr>
          <w:i/>
          <w:color w:val="000000" w:themeColor="text1"/>
          <w:lang w:val="en-AU"/>
        </w:rPr>
        <w:t>f Jesus Christ A.D. 135</w:t>
      </w:r>
      <w:r w:rsidR="00412D77" w:rsidRPr="00FB2D03">
        <w:rPr>
          <w:color w:val="000000" w:themeColor="text1"/>
          <w:lang w:val="en-AU"/>
        </w:rPr>
        <w:t>. Edinburgh: T &amp; T Clark, 1973.</w:t>
      </w:r>
    </w:p>
    <w:p w14:paraId="12EAE817" w14:textId="77777777" w:rsidR="00412D77" w:rsidRPr="00FB2D03" w:rsidRDefault="00412D77" w:rsidP="00412D77">
      <w:pPr>
        <w:tabs>
          <w:tab w:val="left" w:pos="5616"/>
        </w:tabs>
        <w:rPr>
          <w:i/>
          <w:color w:val="000000" w:themeColor="text1"/>
          <w:lang w:val="en-AU"/>
        </w:rPr>
      </w:pPr>
    </w:p>
    <w:p w14:paraId="3B8DE531"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Schürer, Emil, Geźa Vermes, Fergus Millar, Pamela Vermes, Matthew Black and Martin </w:t>
      </w:r>
    </w:p>
    <w:p w14:paraId="58D66DFB" w14:textId="30189EB9" w:rsidR="00412D77" w:rsidRPr="00FB2D03" w:rsidRDefault="00412D77" w:rsidP="00E56DFF">
      <w:pPr>
        <w:tabs>
          <w:tab w:val="left" w:pos="5616"/>
        </w:tabs>
        <w:ind w:left="720"/>
        <w:rPr>
          <w:color w:val="000000" w:themeColor="text1"/>
          <w:lang w:val="en-AU"/>
        </w:rPr>
      </w:pPr>
      <w:r w:rsidRPr="00FB2D03">
        <w:rPr>
          <w:color w:val="000000" w:themeColor="text1"/>
          <w:lang w:val="en-AU"/>
        </w:rPr>
        <w:t>Goodman. </w:t>
      </w:r>
      <w:r w:rsidRPr="00FB2D03">
        <w:rPr>
          <w:i/>
          <w:color w:val="000000" w:themeColor="text1"/>
          <w:lang w:val="en-AU"/>
        </w:rPr>
        <w:t>The History of the Jewish People in the Age of Jesus Christ</w:t>
      </w:r>
      <w:r w:rsidRPr="00FB2D03">
        <w:rPr>
          <w:color w:val="000000" w:themeColor="text1"/>
          <w:lang w:val="en-AU"/>
        </w:rPr>
        <w:t>. Edinburgh: Clark, 1987.</w:t>
      </w:r>
    </w:p>
    <w:p w14:paraId="354615CB" w14:textId="77777777" w:rsidR="00412D77" w:rsidRPr="00FB2D03" w:rsidRDefault="00412D77" w:rsidP="00412D77">
      <w:pPr>
        <w:tabs>
          <w:tab w:val="left" w:pos="5616"/>
        </w:tabs>
        <w:rPr>
          <w:color w:val="000000" w:themeColor="text1"/>
          <w:lang w:val="en-AU"/>
        </w:rPr>
      </w:pPr>
    </w:p>
    <w:p w14:paraId="2E9DC5D0"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Scott, Julius J. </w:t>
      </w:r>
      <w:r w:rsidRPr="00FB2D03">
        <w:rPr>
          <w:i/>
          <w:color w:val="000000" w:themeColor="text1"/>
          <w:lang w:val="en-AU"/>
        </w:rPr>
        <w:t xml:space="preserve">Jewish Backgrounds of the New Testament. </w:t>
      </w:r>
      <w:r w:rsidRPr="00FB2D03">
        <w:rPr>
          <w:color w:val="000000" w:themeColor="text1"/>
          <w:lang w:val="en-AU"/>
        </w:rPr>
        <w:t xml:space="preserve">Grand Rapids: Baker Academic, </w:t>
      </w:r>
    </w:p>
    <w:p w14:paraId="5CBEDDE4" w14:textId="518D23A8" w:rsidR="00412D77" w:rsidRPr="00FB2D03" w:rsidRDefault="00412D77" w:rsidP="00E56DFF">
      <w:pPr>
        <w:tabs>
          <w:tab w:val="left" w:pos="5616"/>
        </w:tabs>
        <w:ind w:left="720"/>
        <w:rPr>
          <w:color w:val="000000" w:themeColor="text1"/>
          <w:lang w:val="en-AU"/>
        </w:rPr>
      </w:pPr>
      <w:r w:rsidRPr="00FB2D03">
        <w:rPr>
          <w:color w:val="000000" w:themeColor="text1"/>
          <w:lang w:val="en-AU"/>
        </w:rPr>
        <w:t>2000.</w:t>
      </w:r>
    </w:p>
    <w:p w14:paraId="2153692B" w14:textId="77777777" w:rsidR="00412D77" w:rsidRPr="00FB2D03" w:rsidRDefault="00412D77" w:rsidP="00412D77">
      <w:pPr>
        <w:tabs>
          <w:tab w:val="left" w:pos="5616"/>
        </w:tabs>
        <w:rPr>
          <w:i/>
          <w:color w:val="000000" w:themeColor="text1"/>
          <w:lang w:val="en-AU"/>
        </w:rPr>
      </w:pPr>
    </w:p>
    <w:p w14:paraId="532EB1B1"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Scott, S. P. </w:t>
      </w:r>
      <w:r w:rsidRPr="00FB2D03">
        <w:rPr>
          <w:i/>
          <w:color w:val="000000" w:themeColor="text1"/>
          <w:lang w:val="en-AU"/>
        </w:rPr>
        <w:t xml:space="preserve">The Civil Law—Including the Twelve Tables, The Institutes of Gaius, The Rules </w:t>
      </w:r>
    </w:p>
    <w:p w14:paraId="17F65B55" w14:textId="350D1D6D" w:rsidR="00412D77" w:rsidRPr="00FB2D03" w:rsidRDefault="00412D77" w:rsidP="00E56DFF">
      <w:pPr>
        <w:tabs>
          <w:tab w:val="left" w:pos="5616"/>
        </w:tabs>
        <w:ind w:left="720"/>
        <w:rPr>
          <w:color w:val="000000" w:themeColor="text1"/>
          <w:lang w:val="en-AU"/>
        </w:rPr>
      </w:pPr>
      <w:r w:rsidRPr="00FB2D03">
        <w:rPr>
          <w:i/>
          <w:color w:val="000000" w:themeColor="text1"/>
          <w:lang w:val="en-AU"/>
        </w:rPr>
        <w:t xml:space="preserve">of Ulpian, The Opinions of Paulus, The Enactments of Justinian, and the Constitutions of Leo: Translated from the Original Latin, Edited, and Compared with All Accessible Systems of Jurisprudence Ancient and Modern, </w:t>
      </w:r>
      <w:r w:rsidRPr="00FB2D03">
        <w:rPr>
          <w:color w:val="000000" w:themeColor="text1"/>
          <w:lang w:val="en-AU"/>
        </w:rPr>
        <w:t>Vol. 1. Cincinnati: Central Trust Company Publishers, 1932.</w:t>
      </w:r>
    </w:p>
    <w:p w14:paraId="611A9502" w14:textId="77777777" w:rsidR="00412D77" w:rsidRPr="00FB2D03" w:rsidRDefault="00412D77" w:rsidP="00412D77">
      <w:pPr>
        <w:tabs>
          <w:tab w:val="left" w:pos="5616"/>
        </w:tabs>
        <w:rPr>
          <w:i/>
          <w:color w:val="000000" w:themeColor="text1"/>
          <w:lang w:val="en-AU"/>
        </w:rPr>
      </w:pPr>
    </w:p>
    <w:p w14:paraId="748386C5" w14:textId="77777777" w:rsidR="00E56DFF" w:rsidRPr="00FB2D03" w:rsidRDefault="00412D77" w:rsidP="00412D77">
      <w:pPr>
        <w:tabs>
          <w:tab w:val="left" w:pos="5616"/>
        </w:tabs>
        <w:rPr>
          <w:i/>
          <w:color w:val="000000" w:themeColor="text1"/>
          <w:lang w:val="en-AU"/>
        </w:rPr>
      </w:pPr>
      <w:r w:rsidRPr="00FB2D03">
        <w:rPr>
          <w:color w:val="000000" w:themeColor="text1"/>
          <w:lang w:val="en-AU"/>
        </w:rPr>
        <w:t>Segal, Alan. “Matthew’s Jewish Voice.” in </w:t>
      </w:r>
      <w:r w:rsidRPr="00FB2D03">
        <w:rPr>
          <w:i/>
          <w:color w:val="000000" w:themeColor="text1"/>
          <w:lang w:val="en-AU"/>
        </w:rPr>
        <w:t xml:space="preserve">Social History of the Matthean Community: </w:t>
      </w:r>
    </w:p>
    <w:p w14:paraId="53D3525B" w14:textId="6B4C9881" w:rsidR="00412D77" w:rsidRPr="00FB2D03" w:rsidRDefault="00412D77" w:rsidP="00E56DFF">
      <w:pPr>
        <w:tabs>
          <w:tab w:val="left" w:pos="5616"/>
        </w:tabs>
        <w:ind w:left="720"/>
        <w:rPr>
          <w:color w:val="000000" w:themeColor="text1"/>
          <w:lang w:val="en-AU"/>
        </w:rPr>
      </w:pPr>
      <w:r w:rsidRPr="00FB2D03">
        <w:rPr>
          <w:i/>
          <w:color w:val="000000" w:themeColor="text1"/>
          <w:lang w:val="en-AU"/>
        </w:rPr>
        <w:lastRenderedPageBreak/>
        <w:t>Cross–Disciplinary Approaches</w:t>
      </w:r>
      <w:r w:rsidRPr="00FB2D03">
        <w:rPr>
          <w:color w:val="000000" w:themeColor="text1"/>
          <w:lang w:val="en-AU"/>
        </w:rPr>
        <w:t>, ed. D. L. Balch, 3-37. Minneapolis: Fortress, 1991.</w:t>
      </w:r>
    </w:p>
    <w:p w14:paraId="6D0B44B9" w14:textId="77777777" w:rsidR="00412D77" w:rsidRPr="00FB2D03" w:rsidRDefault="00412D77" w:rsidP="00412D77">
      <w:pPr>
        <w:tabs>
          <w:tab w:val="left" w:pos="5616"/>
        </w:tabs>
        <w:rPr>
          <w:color w:val="000000" w:themeColor="text1"/>
          <w:lang w:val="en-AU"/>
        </w:rPr>
      </w:pPr>
    </w:p>
    <w:p w14:paraId="13DDA878"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Senior, Donald. “Viewing the Jewish Jesus of History through the Lens of Matthew’s </w:t>
      </w:r>
    </w:p>
    <w:p w14:paraId="64585AFA" w14:textId="026FBE21" w:rsidR="00412D77" w:rsidRPr="00FB2D03" w:rsidRDefault="00412D77" w:rsidP="00E56DFF">
      <w:pPr>
        <w:tabs>
          <w:tab w:val="left" w:pos="5616"/>
        </w:tabs>
        <w:ind w:left="720"/>
        <w:rPr>
          <w:color w:val="000000" w:themeColor="text1"/>
          <w:lang w:val="en-AU"/>
        </w:rPr>
      </w:pPr>
      <w:r w:rsidRPr="00FB2D03">
        <w:rPr>
          <w:color w:val="000000" w:themeColor="text1"/>
          <w:lang w:val="en-AU"/>
        </w:rPr>
        <w:t xml:space="preserve">Gospel.” In </w:t>
      </w:r>
      <w:r w:rsidRPr="00FB2D03">
        <w:rPr>
          <w:i/>
          <w:color w:val="000000" w:themeColor="text1"/>
          <w:lang w:val="en-AU"/>
        </w:rPr>
        <w:t>Soundings in the Religion of Jesus: Perspectives and Methods in Jewish and Christian Scholarship</w:t>
      </w:r>
      <w:r w:rsidRPr="00FB2D03">
        <w:rPr>
          <w:color w:val="000000" w:themeColor="text1"/>
          <w:lang w:val="en-AU"/>
        </w:rPr>
        <w:t xml:space="preserve">, ed. by Bruce Chilton, Anthony Le </w:t>
      </w:r>
      <w:proofErr w:type="gramStart"/>
      <w:r w:rsidRPr="00FB2D03">
        <w:rPr>
          <w:color w:val="000000" w:themeColor="text1"/>
          <w:lang w:val="en-AU"/>
        </w:rPr>
        <w:t>Donne</w:t>
      </w:r>
      <w:proofErr w:type="gramEnd"/>
      <w:r w:rsidRPr="00FB2D03">
        <w:rPr>
          <w:color w:val="000000" w:themeColor="text1"/>
          <w:lang w:val="en-AU"/>
        </w:rPr>
        <w:t xml:space="preserve"> and Jacob Neusnera, 81-95. Minneapolis: Fortress, 2012.</w:t>
      </w:r>
    </w:p>
    <w:p w14:paraId="2CA706B5" w14:textId="77777777" w:rsidR="00412D77" w:rsidRPr="00FB2D03" w:rsidRDefault="00412D77" w:rsidP="00412D77">
      <w:pPr>
        <w:tabs>
          <w:tab w:val="left" w:pos="5616"/>
        </w:tabs>
        <w:rPr>
          <w:color w:val="000000" w:themeColor="text1"/>
          <w:lang w:val="en-AU"/>
        </w:rPr>
      </w:pPr>
    </w:p>
    <w:p w14:paraId="1818E5FA" w14:textId="77777777" w:rsidR="00E56DFF" w:rsidRPr="00FB2D03" w:rsidRDefault="00412D77" w:rsidP="00412D77">
      <w:pPr>
        <w:tabs>
          <w:tab w:val="left" w:pos="5616"/>
        </w:tabs>
        <w:rPr>
          <w:i/>
          <w:color w:val="000000" w:themeColor="text1"/>
          <w:lang w:val="en-AU"/>
        </w:rPr>
      </w:pPr>
      <w:r w:rsidRPr="00FB2D03">
        <w:rPr>
          <w:color w:val="000000" w:themeColor="text1"/>
          <w:lang w:val="en-AU"/>
        </w:rPr>
        <w:t>Seevers, Boyd.</w:t>
      </w:r>
      <w:r w:rsidRPr="00FB2D03">
        <w:rPr>
          <w:i/>
          <w:color w:val="000000" w:themeColor="text1"/>
          <w:lang w:val="en-AU"/>
        </w:rPr>
        <w:t xml:space="preserve"> Warfare in the Old Testament: The Organization, Weapons, and Tactics of </w:t>
      </w:r>
    </w:p>
    <w:p w14:paraId="1EB91816" w14:textId="1170311D" w:rsidR="00412D77" w:rsidRPr="00FB2D03" w:rsidRDefault="00412D77" w:rsidP="00E56DFF">
      <w:pPr>
        <w:tabs>
          <w:tab w:val="left" w:pos="5616"/>
        </w:tabs>
        <w:ind w:left="720"/>
        <w:rPr>
          <w:color w:val="000000" w:themeColor="text1"/>
          <w:lang w:val="en-AU"/>
        </w:rPr>
      </w:pPr>
      <w:r w:rsidRPr="00FB2D03">
        <w:rPr>
          <w:i/>
          <w:color w:val="000000" w:themeColor="text1"/>
          <w:lang w:val="en-AU"/>
        </w:rPr>
        <w:t>Ancient Near Eastern Armies</w:t>
      </w:r>
      <w:r w:rsidRPr="00FB2D03">
        <w:rPr>
          <w:color w:val="000000" w:themeColor="text1"/>
          <w:lang w:val="en-AU"/>
        </w:rPr>
        <w:t>. Grand Rapids: Kregel, 2013.</w:t>
      </w:r>
    </w:p>
    <w:p w14:paraId="3DDDBEA9" w14:textId="77777777" w:rsidR="00412D77" w:rsidRPr="00FB2D03" w:rsidRDefault="00412D77" w:rsidP="00412D77">
      <w:pPr>
        <w:tabs>
          <w:tab w:val="left" w:pos="5616"/>
        </w:tabs>
        <w:rPr>
          <w:color w:val="000000" w:themeColor="text1"/>
          <w:lang w:val="en-AU"/>
        </w:rPr>
      </w:pPr>
    </w:p>
    <w:p w14:paraId="48799D03" w14:textId="77777777" w:rsidR="00F91100" w:rsidRPr="00FB2D03" w:rsidRDefault="00412D77" w:rsidP="00412D77">
      <w:pPr>
        <w:tabs>
          <w:tab w:val="left" w:pos="5616"/>
        </w:tabs>
        <w:rPr>
          <w:color w:val="000000" w:themeColor="text1"/>
          <w:lang w:val="en-AU"/>
        </w:rPr>
      </w:pPr>
      <w:r w:rsidRPr="00FB2D03">
        <w:rPr>
          <w:color w:val="000000" w:themeColor="text1"/>
          <w:lang w:val="en-AU"/>
        </w:rPr>
        <w:t>Sgonnova, A. “Messiah, King, Prophet: Priestly Ideology in the Jewish War by Josephus</w:t>
      </w:r>
    </w:p>
    <w:p w14:paraId="7EE83BD9" w14:textId="0263C498" w:rsidR="00412D77" w:rsidRPr="00FB2D03" w:rsidRDefault="00412D77" w:rsidP="00F91100">
      <w:pPr>
        <w:tabs>
          <w:tab w:val="left" w:pos="5616"/>
        </w:tabs>
        <w:ind w:left="720"/>
        <w:rPr>
          <w:color w:val="000000" w:themeColor="text1"/>
          <w:lang w:val="en-AU"/>
        </w:rPr>
      </w:pPr>
      <w:r w:rsidRPr="00FB2D03">
        <w:rPr>
          <w:color w:val="000000" w:themeColor="text1"/>
          <w:lang w:val="en-AU"/>
        </w:rPr>
        <w:t xml:space="preserve"> Flavius and in Intertestamental Literature.” </w:t>
      </w:r>
      <w:r w:rsidRPr="00FB2D03">
        <w:rPr>
          <w:i/>
          <w:color w:val="000000" w:themeColor="text1"/>
          <w:lang w:val="en-AU"/>
        </w:rPr>
        <w:t>Vestnik Pravoslavnogo Sviato-Tikhonovskogo Gumanitarnogo Universiteta, Seria I. Bogoslovie, Filosofia, Religiovedenie</w:t>
      </w:r>
      <w:r w:rsidRPr="00FB2D03">
        <w:rPr>
          <w:color w:val="000000" w:themeColor="text1"/>
          <w:lang w:val="en-AU"/>
        </w:rPr>
        <w:t xml:space="preserve"> 81 (2019). </w:t>
      </w:r>
    </w:p>
    <w:p w14:paraId="2E4CE799" w14:textId="77777777" w:rsidR="00412D77" w:rsidRPr="00FB2D03" w:rsidRDefault="00412D77" w:rsidP="00412D77">
      <w:pPr>
        <w:tabs>
          <w:tab w:val="left" w:pos="5616"/>
        </w:tabs>
        <w:rPr>
          <w:color w:val="000000" w:themeColor="text1"/>
          <w:lang w:val="en-AU"/>
        </w:rPr>
      </w:pPr>
    </w:p>
    <w:p w14:paraId="575DA47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Shapiro, Rami. </w:t>
      </w:r>
      <w:r w:rsidRPr="00FB2D03">
        <w:rPr>
          <w:i/>
          <w:color w:val="000000" w:themeColor="text1"/>
          <w:lang w:val="en-AU"/>
        </w:rPr>
        <w:t>Ethics of the Sages</w:t>
      </w:r>
      <w:r w:rsidRPr="00FB2D03">
        <w:rPr>
          <w:color w:val="000000" w:themeColor="text1"/>
          <w:lang w:val="en-AU"/>
        </w:rPr>
        <w:t>. Woodstock: Skylight Paths, 2006.</w:t>
      </w:r>
    </w:p>
    <w:p w14:paraId="3E7C02F6" w14:textId="77777777" w:rsidR="00412D77" w:rsidRPr="00FB2D03" w:rsidRDefault="00412D77" w:rsidP="00412D77">
      <w:pPr>
        <w:tabs>
          <w:tab w:val="left" w:pos="5616"/>
        </w:tabs>
        <w:rPr>
          <w:color w:val="000000" w:themeColor="text1"/>
          <w:lang w:val="en-AU"/>
        </w:rPr>
      </w:pPr>
    </w:p>
    <w:p w14:paraId="2D3C06D8"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Shaw, Ian. </w:t>
      </w:r>
      <w:r w:rsidRPr="00FB2D03">
        <w:rPr>
          <w:i/>
          <w:color w:val="000000" w:themeColor="text1"/>
          <w:lang w:val="en-AU"/>
        </w:rPr>
        <w:t>Egyptian Warfare and Weapons, Shire Egyptology</w:t>
      </w:r>
      <w:r w:rsidRPr="00FB2D03">
        <w:rPr>
          <w:color w:val="000000" w:themeColor="text1"/>
          <w:lang w:val="en-AU"/>
        </w:rPr>
        <w:t xml:space="preserve">. Buckinghamshire: Shire, </w:t>
      </w:r>
    </w:p>
    <w:p w14:paraId="368A7002" w14:textId="3764B337" w:rsidR="00412D77" w:rsidRPr="00FB2D03" w:rsidRDefault="00412D77" w:rsidP="00E56DFF">
      <w:pPr>
        <w:tabs>
          <w:tab w:val="left" w:pos="5616"/>
        </w:tabs>
        <w:ind w:left="720"/>
        <w:rPr>
          <w:color w:val="000000" w:themeColor="text1"/>
          <w:lang w:val="en-AU"/>
        </w:rPr>
      </w:pPr>
      <w:r w:rsidRPr="00FB2D03">
        <w:rPr>
          <w:color w:val="000000" w:themeColor="text1"/>
          <w:lang w:val="en-AU"/>
        </w:rPr>
        <w:t>1991.</w:t>
      </w:r>
    </w:p>
    <w:p w14:paraId="77F7D1FE" w14:textId="77777777" w:rsidR="00412D77" w:rsidRPr="00FB2D03" w:rsidRDefault="00412D77" w:rsidP="00412D77">
      <w:pPr>
        <w:tabs>
          <w:tab w:val="left" w:pos="5616"/>
        </w:tabs>
        <w:rPr>
          <w:color w:val="000000" w:themeColor="text1"/>
          <w:lang w:val="en-AU"/>
        </w:rPr>
      </w:pPr>
    </w:p>
    <w:p w14:paraId="4A3F89AB"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Shemaryahu Talmon, “Yom Hakippurim in the Habakkuk Scroll.” </w:t>
      </w:r>
      <w:r w:rsidRPr="00FB2D03">
        <w:rPr>
          <w:i/>
          <w:color w:val="000000" w:themeColor="text1"/>
          <w:lang w:val="en-AU"/>
        </w:rPr>
        <w:t xml:space="preserve">Biblica </w:t>
      </w:r>
      <w:r w:rsidRPr="00FB2D03">
        <w:rPr>
          <w:color w:val="000000" w:themeColor="text1"/>
          <w:lang w:val="en-AU"/>
        </w:rPr>
        <w:t>32 (1951): 549–</w:t>
      </w:r>
    </w:p>
    <w:p w14:paraId="793FF23C" w14:textId="6510A2B9" w:rsidR="00412D77" w:rsidRPr="00FB2D03" w:rsidRDefault="00412D77" w:rsidP="00E56DFF">
      <w:pPr>
        <w:tabs>
          <w:tab w:val="left" w:pos="5616"/>
        </w:tabs>
        <w:ind w:left="720"/>
        <w:rPr>
          <w:color w:val="000000" w:themeColor="text1"/>
          <w:lang w:val="en-AU"/>
        </w:rPr>
      </w:pPr>
      <w:r w:rsidRPr="00FB2D03">
        <w:rPr>
          <w:color w:val="000000" w:themeColor="text1"/>
          <w:lang w:val="en-AU"/>
        </w:rPr>
        <w:t>63.</w:t>
      </w:r>
    </w:p>
    <w:p w14:paraId="253CD678" w14:textId="77777777" w:rsidR="00412D77" w:rsidRPr="00FB2D03" w:rsidRDefault="00412D77" w:rsidP="00412D77">
      <w:pPr>
        <w:tabs>
          <w:tab w:val="left" w:pos="5616"/>
        </w:tabs>
        <w:rPr>
          <w:color w:val="000000" w:themeColor="text1"/>
          <w:lang w:val="en-AU"/>
        </w:rPr>
      </w:pPr>
    </w:p>
    <w:p w14:paraId="66732D00" w14:textId="77777777" w:rsidR="00E56DFF" w:rsidRPr="00FB2D03" w:rsidRDefault="00412D77" w:rsidP="00412D77">
      <w:pPr>
        <w:tabs>
          <w:tab w:val="left" w:pos="5616"/>
        </w:tabs>
        <w:rPr>
          <w:i/>
          <w:color w:val="000000" w:themeColor="text1"/>
          <w:lang w:val="en-AU"/>
        </w:rPr>
      </w:pPr>
      <w:r w:rsidRPr="00FB2D03">
        <w:rPr>
          <w:color w:val="000000" w:themeColor="text1"/>
          <w:lang w:val="en-AU"/>
        </w:rPr>
        <w:t>Shinan, Avigdor. </w:t>
      </w:r>
      <w:r w:rsidRPr="00FB2D03">
        <w:rPr>
          <w:i/>
          <w:color w:val="000000" w:themeColor="text1"/>
          <w:lang w:val="en-AU"/>
        </w:rPr>
        <w:t xml:space="preserve">The Aggadah in the Aramaic Targums to the Pentateuch. Literary Analysis </w:t>
      </w:r>
    </w:p>
    <w:p w14:paraId="29FC7803" w14:textId="2C522571" w:rsidR="00412D77" w:rsidRPr="00FB2D03" w:rsidRDefault="00412D77" w:rsidP="00E56DFF">
      <w:pPr>
        <w:tabs>
          <w:tab w:val="left" w:pos="5616"/>
        </w:tabs>
        <w:ind w:left="720"/>
        <w:rPr>
          <w:color w:val="000000" w:themeColor="text1"/>
          <w:lang w:val="en-AU"/>
        </w:rPr>
      </w:pPr>
      <w:r w:rsidRPr="00FB2D03">
        <w:rPr>
          <w:i/>
          <w:color w:val="000000" w:themeColor="text1"/>
          <w:lang w:val="en-AU"/>
        </w:rPr>
        <w:t xml:space="preserve">and Description of the Aggadic Material Contained in the </w:t>
      </w:r>
      <w:proofErr w:type="gramStart"/>
      <w:r w:rsidRPr="00FB2D03">
        <w:rPr>
          <w:i/>
          <w:color w:val="000000" w:themeColor="text1"/>
          <w:lang w:val="en-AU"/>
        </w:rPr>
        <w:t>So–Called</w:t>
      </w:r>
      <w:proofErr w:type="gramEnd"/>
      <w:r w:rsidRPr="00FB2D03">
        <w:rPr>
          <w:i/>
          <w:color w:val="000000" w:themeColor="text1"/>
          <w:lang w:val="en-AU"/>
        </w:rPr>
        <w:t xml:space="preserve"> “Palestinian” Targums to All Five Books of the Pentateuch, With Examination of this Genre Against its Background</w:t>
      </w:r>
      <w:r w:rsidRPr="00FB2D03">
        <w:rPr>
          <w:color w:val="000000" w:themeColor="text1"/>
          <w:lang w:val="en-AU"/>
        </w:rPr>
        <w:t>. Jerusalem: Makor, 1979.</w:t>
      </w:r>
    </w:p>
    <w:p w14:paraId="5594CA54" w14:textId="77777777" w:rsidR="00412D77" w:rsidRPr="00FB2D03" w:rsidRDefault="00412D77" w:rsidP="00412D77">
      <w:pPr>
        <w:tabs>
          <w:tab w:val="left" w:pos="5616"/>
        </w:tabs>
        <w:rPr>
          <w:color w:val="000000" w:themeColor="text1"/>
          <w:lang w:val="en-AU"/>
        </w:rPr>
      </w:pPr>
    </w:p>
    <w:p w14:paraId="236025CA" w14:textId="77777777" w:rsidR="00E56DFF" w:rsidRPr="00FB2D03" w:rsidRDefault="00412D77" w:rsidP="00412D77">
      <w:pPr>
        <w:tabs>
          <w:tab w:val="left" w:pos="5616"/>
        </w:tabs>
        <w:rPr>
          <w:i/>
          <w:color w:val="000000" w:themeColor="text1"/>
          <w:lang w:val="en-AU"/>
        </w:rPr>
      </w:pPr>
      <w:r w:rsidRPr="00FB2D03">
        <w:rPr>
          <w:color w:val="000000" w:themeColor="text1"/>
          <w:lang w:val="en-AU"/>
        </w:rPr>
        <w:t>Sickinger, Raymond L. “Apocalypse Now: Magic and the Millennium.” </w:t>
      </w:r>
      <w:r w:rsidRPr="00FB2D03">
        <w:rPr>
          <w:i/>
          <w:color w:val="000000" w:themeColor="text1"/>
          <w:lang w:val="en-AU"/>
        </w:rPr>
        <w:t xml:space="preserve">Journal of Popular </w:t>
      </w:r>
    </w:p>
    <w:p w14:paraId="4822DE0B" w14:textId="032AFE08" w:rsidR="00412D77" w:rsidRPr="00FB2D03" w:rsidRDefault="00412D77" w:rsidP="00E56DFF">
      <w:pPr>
        <w:tabs>
          <w:tab w:val="left" w:pos="5616"/>
        </w:tabs>
        <w:ind w:left="720"/>
        <w:rPr>
          <w:color w:val="000000" w:themeColor="text1"/>
          <w:lang w:val="en-AU"/>
        </w:rPr>
      </w:pPr>
      <w:r w:rsidRPr="00FB2D03">
        <w:rPr>
          <w:i/>
          <w:color w:val="000000" w:themeColor="text1"/>
          <w:lang w:val="en-AU"/>
        </w:rPr>
        <w:t>Culture</w:t>
      </w:r>
      <w:r w:rsidRPr="00FB2D03">
        <w:rPr>
          <w:color w:val="000000" w:themeColor="text1"/>
          <w:lang w:val="en-AU"/>
        </w:rPr>
        <w:t> 34 (2001): 183.</w:t>
      </w:r>
    </w:p>
    <w:p w14:paraId="7CAD2A8D" w14:textId="77777777" w:rsidR="00412D77" w:rsidRPr="00FB2D03" w:rsidRDefault="00412D77" w:rsidP="00412D77">
      <w:pPr>
        <w:tabs>
          <w:tab w:val="left" w:pos="5616"/>
        </w:tabs>
        <w:rPr>
          <w:color w:val="000000" w:themeColor="text1"/>
          <w:lang w:val="en-AU"/>
        </w:rPr>
      </w:pPr>
    </w:p>
    <w:p w14:paraId="72B5B08B"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Sicker, Martin. “A political metaphor in Biblical and Rabbinic Literature.” </w:t>
      </w:r>
      <w:r w:rsidRPr="00FB2D03">
        <w:rPr>
          <w:i/>
          <w:color w:val="000000" w:themeColor="text1"/>
          <w:lang w:val="en-AU"/>
        </w:rPr>
        <w:t>Judaism</w:t>
      </w:r>
      <w:r w:rsidRPr="00FB2D03">
        <w:rPr>
          <w:color w:val="000000" w:themeColor="text1"/>
          <w:lang w:val="en-AU"/>
        </w:rPr>
        <w:t xml:space="preserve"> 40 </w:t>
      </w:r>
    </w:p>
    <w:p w14:paraId="1A466C45" w14:textId="0CD7B707" w:rsidR="00412D77" w:rsidRPr="00FB2D03" w:rsidRDefault="00412D77" w:rsidP="00E56DFF">
      <w:pPr>
        <w:tabs>
          <w:tab w:val="left" w:pos="5616"/>
        </w:tabs>
        <w:ind w:left="720"/>
        <w:rPr>
          <w:color w:val="000000" w:themeColor="text1"/>
          <w:lang w:val="en-AU"/>
        </w:rPr>
      </w:pPr>
      <w:r w:rsidRPr="00FB2D03">
        <w:rPr>
          <w:color w:val="000000" w:themeColor="text1"/>
          <w:lang w:val="en-AU"/>
        </w:rPr>
        <w:t>(1991): 208–14. </w:t>
      </w:r>
    </w:p>
    <w:p w14:paraId="1AB44F16" w14:textId="77777777" w:rsidR="00412D77" w:rsidRPr="00FB2D03" w:rsidRDefault="00412D77" w:rsidP="00412D77">
      <w:pPr>
        <w:tabs>
          <w:tab w:val="left" w:pos="5616"/>
        </w:tabs>
        <w:rPr>
          <w:color w:val="000000" w:themeColor="text1"/>
          <w:lang w:val="en-AU"/>
        </w:rPr>
      </w:pPr>
    </w:p>
    <w:p w14:paraId="0F52A6FE"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Siegal, Michal Bar-Asher. “Matthew 5:22: The Insult ‘Fool’ and the Interpretation of the Law </w:t>
      </w:r>
    </w:p>
    <w:p w14:paraId="124AC56E" w14:textId="0BA68BEC" w:rsidR="00412D77" w:rsidRPr="00FB2D03" w:rsidRDefault="00412D77" w:rsidP="00E56DFF">
      <w:pPr>
        <w:tabs>
          <w:tab w:val="left" w:pos="5616"/>
        </w:tabs>
        <w:ind w:left="720"/>
        <w:rPr>
          <w:color w:val="000000" w:themeColor="text1"/>
          <w:lang w:val="en-AU"/>
        </w:rPr>
      </w:pPr>
      <w:r w:rsidRPr="00FB2D03">
        <w:rPr>
          <w:color w:val="000000" w:themeColor="text1"/>
          <w:lang w:val="en-AU"/>
        </w:rPr>
        <w:t>in Christian and Rabbinic Sources.” </w:t>
      </w:r>
      <w:r w:rsidRPr="00FB2D03">
        <w:rPr>
          <w:i/>
          <w:color w:val="000000" w:themeColor="text1"/>
          <w:lang w:val="en-AU"/>
        </w:rPr>
        <w:t>Revue de l’histoire Des Religions</w:t>
      </w:r>
      <w:r w:rsidRPr="00FB2D03">
        <w:rPr>
          <w:color w:val="000000" w:themeColor="text1"/>
          <w:lang w:val="en-AU"/>
        </w:rPr>
        <w:t> 234 (2017): 5–23.</w:t>
      </w:r>
    </w:p>
    <w:p w14:paraId="5984B68B" w14:textId="77777777" w:rsidR="00412D77" w:rsidRPr="00FB2D03" w:rsidRDefault="00412D77" w:rsidP="00412D77">
      <w:pPr>
        <w:tabs>
          <w:tab w:val="left" w:pos="5616"/>
        </w:tabs>
        <w:rPr>
          <w:color w:val="000000" w:themeColor="text1"/>
          <w:lang w:val="en-AU"/>
        </w:rPr>
      </w:pPr>
    </w:p>
    <w:p w14:paraId="15E478A5"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Sigal, Phillip. </w:t>
      </w:r>
      <w:r w:rsidRPr="00FB2D03">
        <w:rPr>
          <w:i/>
          <w:color w:val="000000" w:themeColor="text1"/>
          <w:lang w:val="en-AU"/>
        </w:rPr>
        <w:t xml:space="preserve">The Halakhah of Jesus of Nazareth According to the Gospel of Matthew. </w:t>
      </w:r>
    </w:p>
    <w:p w14:paraId="535BEB6E" w14:textId="1367F310" w:rsidR="00412D77" w:rsidRPr="00FB2D03" w:rsidRDefault="00412D77" w:rsidP="00E56DFF">
      <w:pPr>
        <w:tabs>
          <w:tab w:val="left" w:pos="5616"/>
        </w:tabs>
        <w:ind w:left="720"/>
        <w:rPr>
          <w:color w:val="000000" w:themeColor="text1"/>
          <w:lang w:val="en-AU"/>
        </w:rPr>
      </w:pPr>
      <w:r w:rsidRPr="00FB2D03">
        <w:rPr>
          <w:color w:val="000000" w:themeColor="text1"/>
          <w:lang w:val="en-AU"/>
        </w:rPr>
        <w:t>Atlanta: Society of Biblical Literature, 2007.</w:t>
      </w:r>
    </w:p>
    <w:p w14:paraId="0863BB3F" w14:textId="77777777" w:rsidR="00412D77" w:rsidRPr="00FB2D03" w:rsidRDefault="00412D77" w:rsidP="00412D77">
      <w:pPr>
        <w:tabs>
          <w:tab w:val="left" w:pos="5616"/>
        </w:tabs>
        <w:rPr>
          <w:color w:val="000000" w:themeColor="text1"/>
          <w:lang w:val="en-AU"/>
        </w:rPr>
      </w:pPr>
    </w:p>
    <w:p w14:paraId="75132305"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Silbiger, Steven. </w:t>
      </w:r>
      <w:r w:rsidRPr="00FB2D03">
        <w:rPr>
          <w:i/>
          <w:color w:val="000000" w:themeColor="text1"/>
          <w:lang w:val="en-AU"/>
        </w:rPr>
        <w:t>The Jewish Phenomenon</w:t>
      </w:r>
      <w:r w:rsidRPr="00FB2D03">
        <w:rPr>
          <w:color w:val="000000" w:themeColor="text1"/>
          <w:lang w:val="en-AU"/>
        </w:rPr>
        <w:t>. Lanham: M. Evans, 2009.</w:t>
      </w:r>
    </w:p>
    <w:p w14:paraId="7A336D6D" w14:textId="77777777" w:rsidR="00412D77" w:rsidRPr="00FB2D03" w:rsidRDefault="00412D77" w:rsidP="00412D77">
      <w:pPr>
        <w:tabs>
          <w:tab w:val="left" w:pos="5616"/>
        </w:tabs>
        <w:rPr>
          <w:color w:val="000000" w:themeColor="text1"/>
          <w:lang w:val="en-AU"/>
        </w:rPr>
      </w:pPr>
    </w:p>
    <w:p w14:paraId="4129A46A"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Sim, David. </w:t>
      </w:r>
      <w:r w:rsidRPr="00FB2D03">
        <w:rPr>
          <w:i/>
          <w:color w:val="000000" w:themeColor="text1"/>
          <w:lang w:val="en-AU"/>
        </w:rPr>
        <w:t>Apocalyptic Eschatology in the Gospel of Matthew</w:t>
      </w:r>
      <w:r w:rsidRPr="00FB2D03">
        <w:rPr>
          <w:color w:val="000000" w:themeColor="text1"/>
          <w:lang w:val="en-AU"/>
        </w:rPr>
        <w:t xml:space="preserve">. Cambridge: Cambridge </w:t>
      </w:r>
    </w:p>
    <w:p w14:paraId="21F9DD1E" w14:textId="5A59C6BA" w:rsidR="00412D77" w:rsidRPr="00FB2D03" w:rsidRDefault="00412D77" w:rsidP="00E56DFF">
      <w:pPr>
        <w:tabs>
          <w:tab w:val="left" w:pos="5616"/>
        </w:tabs>
        <w:ind w:left="720"/>
        <w:rPr>
          <w:color w:val="000000" w:themeColor="text1"/>
          <w:lang w:val="en-AU"/>
        </w:rPr>
      </w:pPr>
      <w:r w:rsidRPr="00FB2D03">
        <w:rPr>
          <w:color w:val="000000" w:themeColor="text1"/>
          <w:lang w:val="en-AU"/>
        </w:rPr>
        <w:t>University Press, 1996.</w:t>
      </w:r>
    </w:p>
    <w:p w14:paraId="09A49EBE" w14:textId="77777777" w:rsidR="00412D77" w:rsidRPr="00FB2D03" w:rsidRDefault="00412D77" w:rsidP="00412D77">
      <w:pPr>
        <w:tabs>
          <w:tab w:val="left" w:pos="5616"/>
        </w:tabs>
        <w:rPr>
          <w:color w:val="000000" w:themeColor="text1"/>
          <w:lang w:val="en-AU"/>
        </w:rPr>
      </w:pPr>
    </w:p>
    <w:p w14:paraId="6FD0E0ED"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_________. “The Gospel of Matthew and the Gentiles.” </w:t>
      </w:r>
      <w:r w:rsidRPr="00FB2D03">
        <w:rPr>
          <w:i/>
          <w:color w:val="000000" w:themeColor="text1"/>
          <w:lang w:val="en-AU"/>
        </w:rPr>
        <w:t xml:space="preserve">Journal for the Study of the New </w:t>
      </w:r>
    </w:p>
    <w:p w14:paraId="0B6AA682" w14:textId="777F75A3" w:rsidR="00412D77" w:rsidRPr="00FB2D03" w:rsidRDefault="00412D77" w:rsidP="00E56DFF">
      <w:pPr>
        <w:tabs>
          <w:tab w:val="left" w:pos="5616"/>
        </w:tabs>
        <w:ind w:left="720"/>
        <w:rPr>
          <w:color w:val="000000" w:themeColor="text1"/>
          <w:lang w:val="en-AU"/>
        </w:rPr>
      </w:pPr>
      <w:r w:rsidRPr="00FB2D03">
        <w:rPr>
          <w:i/>
          <w:color w:val="000000" w:themeColor="text1"/>
          <w:lang w:val="en-AU"/>
        </w:rPr>
        <w:t>Testament</w:t>
      </w:r>
      <w:r w:rsidRPr="00FB2D03">
        <w:rPr>
          <w:color w:val="000000" w:themeColor="text1"/>
          <w:lang w:val="en-AU"/>
        </w:rPr>
        <w:t xml:space="preserve"> 57 (1995): 19–48. </w:t>
      </w:r>
    </w:p>
    <w:p w14:paraId="158287A5" w14:textId="77777777" w:rsidR="00412D77" w:rsidRPr="00FB2D03" w:rsidRDefault="00412D77" w:rsidP="00412D77">
      <w:pPr>
        <w:tabs>
          <w:tab w:val="left" w:pos="5616"/>
        </w:tabs>
        <w:rPr>
          <w:color w:val="000000" w:themeColor="text1"/>
          <w:lang w:val="en-AU"/>
        </w:rPr>
      </w:pPr>
    </w:p>
    <w:p w14:paraId="6A396C76" w14:textId="77777777" w:rsidR="00E56DFF" w:rsidRPr="00FB2D03" w:rsidRDefault="00412D77" w:rsidP="00412D77">
      <w:pPr>
        <w:tabs>
          <w:tab w:val="left" w:pos="5616"/>
        </w:tabs>
        <w:rPr>
          <w:i/>
          <w:color w:val="000000" w:themeColor="text1"/>
          <w:lang w:val="en-AU"/>
        </w:rPr>
      </w:pPr>
      <w:r w:rsidRPr="00FB2D03">
        <w:rPr>
          <w:i/>
          <w:color w:val="000000" w:themeColor="text1"/>
          <w:lang w:val="en-AU"/>
        </w:rPr>
        <w:t xml:space="preserve">_________. The Gospel of Matthew and Christian Judaism: The History and Social Setting </w:t>
      </w:r>
    </w:p>
    <w:p w14:paraId="4B9A842E" w14:textId="7941BE96" w:rsidR="00412D77" w:rsidRPr="00FB2D03" w:rsidRDefault="00412D77" w:rsidP="00E56DFF">
      <w:pPr>
        <w:tabs>
          <w:tab w:val="left" w:pos="5616"/>
        </w:tabs>
        <w:ind w:left="720"/>
        <w:rPr>
          <w:color w:val="000000" w:themeColor="text1"/>
          <w:lang w:val="en-AU"/>
        </w:rPr>
      </w:pPr>
      <w:r w:rsidRPr="00FB2D03">
        <w:rPr>
          <w:i/>
          <w:color w:val="000000" w:themeColor="text1"/>
          <w:lang w:val="en-AU"/>
        </w:rPr>
        <w:lastRenderedPageBreak/>
        <w:t>of the Matthean Community</w:t>
      </w:r>
      <w:r w:rsidRPr="00FB2D03">
        <w:rPr>
          <w:color w:val="000000" w:themeColor="text1"/>
          <w:lang w:val="en-AU"/>
        </w:rPr>
        <w:t>. Edinburgh: T &amp; T Clark, 1998.</w:t>
      </w:r>
    </w:p>
    <w:p w14:paraId="01CDBE3E" w14:textId="77777777" w:rsidR="00412D77" w:rsidRPr="00FB2D03" w:rsidRDefault="00412D77" w:rsidP="00412D77">
      <w:pPr>
        <w:tabs>
          <w:tab w:val="left" w:pos="5616"/>
        </w:tabs>
        <w:rPr>
          <w:color w:val="000000" w:themeColor="text1"/>
          <w:lang w:val="en-AU"/>
        </w:rPr>
      </w:pPr>
    </w:p>
    <w:p w14:paraId="47E34F45"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________. “The Social Setting of the Matthean Community: New Paths for an Old Journey.” </w:t>
      </w:r>
    </w:p>
    <w:p w14:paraId="4D0808B8" w14:textId="30BAE45E" w:rsidR="00412D77" w:rsidRPr="00FB2D03" w:rsidRDefault="00412D77" w:rsidP="00E56DFF">
      <w:pPr>
        <w:tabs>
          <w:tab w:val="left" w:pos="5616"/>
        </w:tabs>
        <w:ind w:left="720"/>
        <w:rPr>
          <w:color w:val="000000" w:themeColor="text1"/>
          <w:lang w:val="en-AU"/>
        </w:rPr>
      </w:pPr>
      <w:r w:rsidRPr="00FB2D03">
        <w:rPr>
          <w:i/>
          <w:color w:val="000000" w:themeColor="text1"/>
          <w:lang w:val="en-AU"/>
        </w:rPr>
        <w:t>Hervormde Teologiese Studies</w:t>
      </w:r>
      <w:r w:rsidRPr="00FB2D03">
        <w:rPr>
          <w:color w:val="000000" w:themeColor="text1"/>
          <w:lang w:val="en-AU"/>
        </w:rPr>
        <w:t xml:space="preserve"> 57 (2001): 268–80.</w:t>
      </w:r>
    </w:p>
    <w:p w14:paraId="48435D87" w14:textId="77777777" w:rsidR="00412D77" w:rsidRPr="00FB2D03" w:rsidRDefault="00412D77" w:rsidP="00412D77">
      <w:pPr>
        <w:tabs>
          <w:tab w:val="left" w:pos="5616"/>
        </w:tabs>
        <w:rPr>
          <w:color w:val="000000" w:themeColor="text1"/>
          <w:lang w:val="en-AU"/>
        </w:rPr>
      </w:pPr>
    </w:p>
    <w:p w14:paraId="4CE1F5AF"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Simon, Marcel. </w:t>
      </w:r>
      <w:r w:rsidRPr="00FB2D03">
        <w:rPr>
          <w:i/>
          <w:color w:val="000000" w:themeColor="text1"/>
          <w:lang w:val="en-AU"/>
        </w:rPr>
        <w:t>Verus Israel; Jews and Christians: The Parting of the Ways, A.D. 70 to 135</w:t>
      </w:r>
      <w:r w:rsidRPr="00FB2D03">
        <w:rPr>
          <w:color w:val="000000" w:themeColor="text1"/>
          <w:lang w:val="en-AU"/>
        </w:rPr>
        <w:t xml:space="preserve">. </w:t>
      </w:r>
    </w:p>
    <w:p w14:paraId="5B67D6FD" w14:textId="5399C330" w:rsidR="00412D77" w:rsidRPr="00FB2D03" w:rsidRDefault="00412D77" w:rsidP="00E56DFF">
      <w:pPr>
        <w:tabs>
          <w:tab w:val="left" w:pos="5616"/>
        </w:tabs>
        <w:ind w:left="720"/>
        <w:rPr>
          <w:color w:val="000000" w:themeColor="text1"/>
          <w:lang w:val="en-AU"/>
        </w:rPr>
      </w:pPr>
      <w:r w:rsidRPr="00FB2D03">
        <w:rPr>
          <w:color w:val="000000" w:themeColor="text1"/>
          <w:lang w:val="en-AU"/>
        </w:rPr>
        <w:t>Tübingen: J.C.B. Mohr, 1992.</w:t>
      </w:r>
    </w:p>
    <w:p w14:paraId="39AF84AC" w14:textId="77777777" w:rsidR="00412D77" w:rsidRPr="00FB2D03" w:rsidRDefault="00412D77" w:rsidP="00412D77">
      <w:pPr>
        <w:tabs>
          <w:tab w:val="left" w:pos="5616"/>
        </w:tabs>
        <w:rPr>
          <w:color w:val="000000" w:themeColor="text1"/>
          <w:lang w:val="en-AU"/>
        </w:rPr>
      </w:pPr>
    </w:p>
    <w:p w14:paraId="4ECE2C1C"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A Study of the Relations between Christians and Jews in the Roman Empire</w:t>
      </w:r>
      <w:r w:rsidRPr="00FB2D03">
        <w:rPr>
          <w:color w:val="000000" w:themeColor="text1"/>
          <w:lang w:val="en-AU"/>
        </w:rPr>
        <w:t xml:space="preserve">. New </w:t>
      </w:r>
    </w:p>
    <w:p w14:paraId="1D818F61" w14:textId="1C359628" w:rsidR="00412D77" w:rsidRPr="00FB2D03" w:rsidRDefault="00412D77" w:rsidP="00E56DFF">
      <w:pPr>
        <w:tabs>
          <w:tab w:val="left" w:pos="5616"/>
        </w:tabs>
        <w:ind w:left="720"/>
        <w:rPr>
          <w:color w:val="000000" w:themeColor="text1"/>
          <w:lang w:val="en-AU"/>
        </w:rPr>
      </w:pPr>
      <w:r w:rsidRPr="00FB2D03">
        <w:rPr>
          <w:color w:val="000000" w:themeColor="text1"/>
          <w:lang w:val="en-AU"/>
        </w:rPr>
        <w:t>York: Oxford University Press, 1986.</w:t>
      </w:r>
    </w:p>
    <w:p w14:paraId="0E664E5D" w14:textId="77777777" w:rsidR="00412D77" w:rsidRPr="00FB2D03" w:rsidRDefault="00412D77" w:rsidP="00412D77">
      <w:pPr>
        <w:tabs>
          <w:tab w:val="left" w:pos="5616"/>
        </w:tabs>
        <w:rPr>
          <w:color w:val="000000" w:themeColor="text1"/>
          <w:lang w:val="en-AU"/>
        </w:rPr>
      </w:pPr>
    </w:p>
    <w:p w14:paraId="0B407B3C"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Simon-Shoshan, Moshe. “Did the Rabbis Believe in Agreus Pan? Rabbinic Relationships </w:t>
      </w:r>
    </w:p>
    <w:p w14:paraId="05D8FC43" w14:textId="47D681DB" w:rsidR="00412D77" w:rsidRPr="00FB2D03" w:rsidRDefault="00412D77" w:rsidP="00E56DFF">
      <w:pPr>
        <w:tabs>
          <w:tab w:val="left" w:pos="5616"/>
        </w:tabs>
        <w:ind w:left="720"/>
        <w:rPr>
          <w:color w:val="000000" w:themeColor="text1"/>
          <w:lang w:val="en-AU"/>
        </w:rPr>
      </w:pPr>
      <w:r w:rsidRPr="00FB2D03">
        <w:rPr>
          <w:color w:val="000000" w:themeColor="text1"/>
          <w:lang w:val="en-AU"/>
        </w:rPr>
        <w:t xml:space="preserve">with Roman Power, Culture, and Religion in Genesis Rabbah 63.” </w:t>
      </w:r>
      <w:r w:rsidRPr="00FB2D03">
        <w:rPr>
          <w:i/>
          <w:color w:val="000000" w:themeColor="text1"/>
          <w:lang w:val="en-AU"/>
        </w:rPr>
        <w:t>Harvard Theological Review</w:t>
      </w:r>
      <w:r w:rsidRPr="00FB2D03">
        <w:rPr>
          <w:color w:val="000000" w:themeColor="text1"/>
          <w:lang w:val="en-AU"/>
        </w:rPr>
        <w:t xml:space="preserve"> 111 (2018): 425–50. </w:t>
      </w:r>
    </w:p>
    <w:p w14:paraId="70524BD6" w14:textId="77777777" w:rsidR="00412D77" w:rsidRPr="00FB2D03" w:rsidRDefault="00412D77" w:rsidP="00412D77">
      <w:pPr>
        <w:tabs>
          <w:tab w:val="left" w:pos="5616"/>
        </w:tabs>
        <w:rPr>
          <w:color w:val="000000" w:themeColor="text1"/>
          <w:lang w:val="en-AU"/>
        </w:rPr>
      </w:pPr>
    </w:p>
    <w:p w14:paraId="6502D938"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Smallwood, E. M. </w:t>
      </w:r>
      <w:r w:rsidRPr="00FB2D03">
        <w:rPr>
          <w:i/>
          <w:color w:val="000000" w:themeColor="text1"/>
          <w:lang w:val="en-AU"/>
        </w:rPr>
        <w:t xml:space="preserve">The Jews under Roman Rule from Pompey to Diocletian: A Study in </w:t>
      </w:r>
    </w:p>
    <w:p w14:paraId="2034451C" w14:textId="15186C63" w:rsidR="00412D77" w:rsidRPr="00FB2D03" w:rsidRDefault="00412D77" w:rsidP="00E56DFF">
      <w:pPr>
        <w:tabs>
          <w:tab w:val="left" w:pos="5616"/>
        </w:tabs>
        <w:ind w:left="720"/>
        <w:rPr>
          <w:color w:val="000000" w:themeColor="text1"/>
          <w:lang w:val="en-AU"/>
        </w:rPr>
      </w:pPr>
      <w:r w:rsidRPr="00FB2D03">
        <w:rPr>
          <w:i/>
          <w:color w:val="000000" w:themeColor="text1"/>
          <w:lang w:val="en-AU"/>
        </w:rPr>
        <w:t>Political Relations</w:t>
      </w:r>
      <w:r w:rsidRPr="00FB2D03">
        <w:rPr>
          <w:color w:val="000000" w:themeColor="text1"/>
          <w:lang w:val="en-AU"/>
        </w:rPr>
        <w:t>. Leiden: Brill, 1976.</w:t>
      </w:r>
    </w:p>
    <w:p w14:paraId="104BFA19" w14:textId="77777777" w:rsidR="00412D77" w:rsidRPr="00FB2D03" w:rsidRDefault="00412D77" w:rsidP="00412D77">
      <w:pPr>
        <w:tabs>
          <w:tab w:val="left" w:pos="5616"/>
        </w:tabs>
        <w:rPr>
          <w:color w:val="000000" w:themeColor="text1"/>
          <w:lang w:val="en-AU"/>
        </w:rPr>
      </w:pPr>
    </w:p>
    <w:p w14:paraId="2FA21005"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Smend, Rudolph. </w:t>
      </w:r>
      <w:r w:rsidRPr="00FB2D03">
        <w:rPr>
          <w:i/>
          <w:color w:val="000000" w:themeColor="text1"/>
          <w:lang w:val="en-AU"/>
        </w:rPr>
        <w:t xml:space="preserve">Jahwekrieg und Stämmebund: Erwägungen zur ältesten Geschichte Israels. </w:t>
      </w:r>
    </w:p>
    <w:p w14:paraId="4DC64A07" w14:textId="690741C0" w:rsidR="00412D77" w:rsidRPr="00FB2D03" w:rsidRDefault="00412D77" w:rsidP="00E56DFF">
      <w:pPr>
        <w:tabs>
          <w:tab w:val="left" w:pos="5616"/>
        </w:tabs>
        <w:ind w:left="720"/>
        <w:rPr>
          <w:color w:val="000000" w:themeColor="text1"/>
          <w:lang w:val="en-AU"/>
        </w:rPr>
      </w:pPr>
      <w:r w:rsidRPr="00FB2D03">
        <w:rPr>
          <w:color w:val="000000" w:themeColor="text1"/>
          <w:lang w:val="en-AU"/>
        </w:rPr>
        <w:t>Göttingen:</w:t>
      </w:r>
      <w:r w:rsidR="00E56DFF" w:rsidRPr="00FB2D03">
        <w:rPr>
          <w:color w:val="000000" w:themeColor="text1"/>
          <w:lang w:val="en-AU"/>
        </w:rPr>
        <w:t xml:space="preserve"> </w:t>
      </w:r>
      <w:r w:rsidRPr="00FB2D03">
        <w:rPr>
          <w:color w:val="000000" w:themeColor="text1"/>
          <w:lang w:val="en-AU"/>
        </w:rPr>
        <w:t>Vandenhoeck &amp; Ruprecht, 1963.</w:t>
      </w:r>
    </w:p>
    <w:p w14:paraId="4B12CA2E" w14:textId="77777777" w:rsidR="00412D77" w:rsidRPr="00FB2D03" w:rsidRDefault="00412D77" w:rsidP="00412D77">
      <w:pPr>
        <w:tabs>
          <w:tab w:val="left" w:pos="5616"/>
        </w:tabs>
        <w:rPr>
          <w:color w:val="000000" w:themeColor="text1"/>
          <w:lang w:val="en-AU"/>
        </w:rPr>
      </w:pPr>
    </w:p>
    <w:p w14:paraId="2AE3262C" w14:textId="77777777" w:rsidR="00412D77" w:rsidRPr="00FB2D03" w:rsidRDefault="00412D77" w:rsidP="00412D77">
      <w:pPr>
        <w:tabs>
          <w:tab w:val="left" w:pos="5616"/>
        </w:tabs>
        <w:rPr>
          <w:color w:val="000000" w:themeColor="text1"/>
          <w:lang w:val="en-AU"/>
        </w:rPr>
      </w:pPr>
      <w:r w:rsidRPr="00FB2D03">
        <w:rPr>
          <w:color w:val="000000" w:themeColor="text1"/>
          <w:lang w:val="en-AU"/>
        </w:rPr>
        <w:t>Smith, Anthony David. </w:t>
      </w:r>
      <w:r w:rsidRPr="00FB2D03">
        <w:rPr>
          <w:i/>
          <w:color w:val="000000" w:themeColor="text1"/>
          <w:lang w:val="en-AU"/>
        </w:rPr>
        <w:t>Chosen Peoples</w:t>
      </w:r>
      <w:r w:rsidRPr="00FB2D03">
        <w:rPr>
          <w:color w:val="000000" w:themeColor="text1"/>
          <w:lang w:val="en-AU"/>
        </w:rPr>
        <w:t>. Oxford: Oxford University Press, 2008.</w:t>
      </w:r>
    </w:p>
    <w:p w14:paraId="673C2931" w14:textId="77777777" w:rsidR="00412D77" w:rsidRPr="00FB2D03" w:rsidRDefault="00412D77" w:rsidP="00412D77">
      <w:pPr>
        <w:tabs>
          <w:tab w:val="left" w:pos="5616"/>
        </w:tabs>
        <w:rPr>
          <w:color w:val="000000" w:themeColor="text1"/>
          <w:lang w:val="en-AU"/>
        </w:rPr>
      </w:pPr>
    </w:p>
    <w:p w14:paraId="75145163" w14:textId="77777777" w:rsidR="00E56DFF" w:rsidRPr="00FB2D03" w:rsidRDefault="00412D77" w:rsidP="00412D77">
      <w:pPr>
        <w:tabs>
          <w:tab w:val="left" w:pos="5616"/>
        </w:tabs>
        <w:rPr>
          <w:i/>
          <w:color w:val="000000" w:themeColor="text1"/>
          <w:lang w:val="en-AU"/>
        </w:rPr>
      </w:pPr>
      <w:r w:rsidRPr="00FB2D03">
        <w:rPr>
          <w:color w:val="000000" w:themeColor="text1"/>
          <w:lang w:val="en-AU"/>
        </w:rPr>
        <w:t>Smith, Elizabeth. “Himations and Fancy Hairdos: A Note on 1 Peter 3.3.” </w:t>
      </w:r>
      <w:r w:rsidRPr="00FB2D03">
        <w:rPr>
          <w:i/>
          <w:color w:val="000000" w:themeColor="text1"/>
          <w:lang w:val="en-AU"/>
        </w:rPr>
        <w:t xml:space="preserve">Journal for the </w:t>
      </w:r>
    </w:p>
    <w:p w14:paraId="0A053A62" w14:textId="589F5F35" w:rsidR="00412D77" w:rsidRPr="00FB2D03" w:rsidRDefault="00412D77" w:rsidP="00E56DFF">
      <w:pPr>
        <w:tabs>
          <w:tab w:val="left" w:pos="5616"/>
        </w:tabs>
        <w:ind w:left="720"/>
        <w:rPr>
          <w:color w:val="000000" w:themeColor="text1"/>
          <w:lang w:val="en-AU"/>
        </w:rPr>
      </w:pPr>
      <w:r w:rsidRPr="00FB2D03">
        <w:rPr>
          <w:i/>
          <w:color w:val="000000" w:themeColor="text1"/>
          <w:lang w:val="en-AU"/>
        </w:rPr>
        <w:t>Study of the New Testament</w:t>
      </w:r>
      <w:r w:rsidRPr="00FB2D03">
        <w:rPr>
          <w:color w:val="000000" w:themeColor="text1"/>
          <w:lang w:val="en-AU"/>
        </w:rPr>
        <w:t> 42 (2019): 237–41.</w:t>
      </w:r>
    </w:p>
    <w:p w14:paraId="059D8591" w14:textId="77777777" w:rsidR="00412D77" w:rsidRPr="00FB2D03" w:rsidRDefault="00412D77" w:rsidP="00412D77">
      <w:pPr>
        <w:tabs>
          <w:tab w:val="left" w:pos="5616"/>
        </w:tabs>
        <w:rPr>
          <w:color w:val="000000" w:themeColor="text1"/>
          <w:lang w:val="en-AU"/>
        </w:rPr>
      </w:pPr>
    </w:p>
    <w:p w14:paraId="684B2B4A" w14:textId="77777777" w:rsidR="00E56DFF" w:rsidRPr="00FB2D03" w:rsidRDefault="00412D77" w:rsidP="00412D77">
      <w:pPr>
        <w:tabs>
          <w:tab w:val="left" w:pos="5616"/>
        </w:tabs>
        <w:rPr>
          <w:i/>
          <w:color w:val="000000" w:themeColor="text1"/>
          <w:lang w:val="en-AU"/>
        </w:rPr>
      </w:pPr>
      <w:r w:rsidRPr="00FB2D03">
        <w:rPr>
          <w:color w:val="000000" w:themeColor="text1"/>
          <w:lang w:val="en-AU"/>
        </w:rPr>
        <w:t>Smith, Mark S. </w:t>
      </w:r>
      <w:r w:rsidRPr="00FB2D03">
        <w:rPr>
          <w:i/>
          <w:color w:val="000000" w:themeColor="text1"/>
          <w:lang w:val="en-AU"/>
        </w:rPr>
        <w:t>The Origins of Biblical Monotheism</w:t>
      </w:r>
      <w:r w:rsidRPr="00FB2D03">
        <w:rPr>
          <w:color w:val="000000" w:themeColor="text1"/>
          <w:lang w:val="en-AU"/>
        </w:rPr>
        <w:t xml:space="preserve">: </w:t>
      </w:r>
      <w:r w:rsidRPr="00FB2D03">
        <w:rPr>
          <w:i/>
          <w:color w:val="000000" w:themeColor="text1"/>
          <w:lang w:val="en-AU"/>
        </w:rPr>
        <w:t xml:space="preserve">Israel’s Polytheistic Background and </w:t>
      </w:r>
    </w:p>
    <w:p w14:paraId="0719B57D" w14:textId="464F3904" w:rsidR="00412D77" w:rsidRPr="00FB2D03" w:rsidRDefault="00412D77" w:rsidP="00E56DFF">
      <w:pPr>
        <w:tabs>
          <w:tab w:val="left" w:pos="5616"/>
        </w:tabs>
        <w:ind w:left="720"/>
        <w:rPr>
          <w:color w:val="000000" w:themeColor="text1"/>
          <w:lang w:val="en-AU"/>
        </w:rPr>
      </w:pPr>
      <w:r w:rsidRPr="00FB2D03">
        <w:rPr>
          <w:i/>
          <w:color w:val="000000" w:themeColor="text1"/>
          <w:lang w:val="en-AU"/>
        </w:rPr>
        <w:t>the Ugaritic Text.</w:t>
      </w:r>
      <w:r w:rsidRPr="00FB2D03">
        <w:rPr>
          <w:color w:val="000000" w:themeColor="text1"/>
          <w:lang w:val="en-AU"/>
        </w:rPr>
        <w:t xml:space="preserve"> Oxford: Oxford University Press, 2003.</w:t>
      </w:r>
    </w:p>
    <w:p w14:paraId="00543D87" w14:textId="77777777" w:rsidR="00412D77" w:rsidRPr="00FB2D03" w:rsidRDefault="00412D77" w:rsidP="00412D77">
      <w:pPr>
        <w:tabs>
          <w:tab w:val="left" w:pos="5616"/>
        </w:tabs>
        <w:rPr>
          <w:color w:val="000000" w:themeColor="text1"/>
          <w:lang w:val="en-AU"/>
        </w:rPr>
      </w:pPr>
    </w:p>
    <w:p w14:paraId="3AC9119A"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Smith, Pinhas. </w:t>
      </w:r>
      <w:r w:rsidRPr="00FB2D03">
        <w:rPr>
          <w:i/>
          <w:color w:val="000000" w:themeColor="text1"/>
          <w:lang w:val="en-AU"/>
        </w:rPr>
        <w:t>Sefer Briti Shalom</w:t>
      </w:r>
      <w:r w:rsidRPr="00FB2D03">
        <w:rPr>
          <w:color w:val="000000" w:themeColor="text1"/>
          <w:lang w:val="en-AU"/>
        </w:rPr>
        <w:t xml:space="preserve">. Lakewood: Mechon Sofrim, 2013. </w:t>
      </w:r>
    </w:p>
    <w:p w14:paraId="4EB50535" w14:textId="77777777" w:rsidR="00412D77" w:rsidRPr="00FB2D03" w:rsidRDefault="00412D77" w:rsidP="00412D77">
      <w:pPr>
        <w:tabs>
          <w:tab w:val="left" w:pos="5616"/>
        </w:tabs>
        <w:rPr>
          <w:color w:val="000000" w:themeColor="text1"/>
          <w:lang w:val="en-AU"/>
        </w:rPr>
      </w:pPr>
    </w:p>
    <w:p w14:paraId="59C1E8B5"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Soulen, R. Kendall. </w:t>
      </w:r>
      <w:r w:rsidRPr="00FB2D03">
        <w:rPr>
          <w:i/>
          <w:color w:val="000000" w:themeColor="text1"/>
          <w:lang w:val="en-AU"/>
        </w:rPr>
        <w:t>The God of Israel and Christian Theology</w:t>
      </w:r>
      <w:r w:rsidRPr="00FB2D03">
        <w:rPr>
          <w:color w:val="000000" w:themeColor="text1"/>
          <w:lang w:val="en-AU"/>
        </w:rPr>
        <w:t xml:space="preserve">. Minneapolis: Fortress Press, </w:t>
      </w:r>
    </w:p>
    <w:p w14:paraId="11959654" w14:textId="61D594FF" w:rsidR="00412D77" w:rsidRPr="00FB2D03" w:rsidRDefault="00412D77" w:rsidP="00E56DFF">
      <w:pPr>
        <w:tabs>
          <w:tab w:val="left" w:pos="5616"/>
        </w:tabs>
        <w:ind w:left="720"/>
        <w:rPr>
          <w:color w:val="000000" w:themeColor="text1"/>
          <w:lang w:val="en-AU"/>
        </w:rPr>
      </w:pPr>
      <w:r w:rsidRPr="00FB2D03">
        <w:rPr>
          <w:color w:val="000000" w:themeColor="text1"/>
          <w:lang w:val="en-AU"/>
        </w:rPr>
        <w:t>1996.</w:t>
      </w:r>
    </w:p>
    <w:p w14:paraId="32B4C05A" w14:textId="77777777" w:rsidR="00412D77" w:rsidRPr="00FB2D03" w:rsidRDefault="00412D77" w:rsidP="00412D77">
      <w:pPr>
        <w:tabs>
          <w:tab w:val="left" w:pos="5616"/>
        </w:tabs>
        <w:rPr>
          <w:color w:val="000000" w:themeColor="text1"/>
          <w:lang w:val="en-AU"/>
        </w:rPr>
      </w:pPr>
    </w:p>
    <w:p w14:paraId="5B43FA23"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Sproul, R.C. </w:t>
      </w:r>
      <w:r w:rsidRPr="00FB2D03">
        <w:rPr>
          <w:i/>
          <w:color w:val="000000" w:themeColor="text1"/>
          <w:lang w:val="en-AU"/>
        </w:rPr>
        <w:t>Knowing Scripture</w:t>
      </w:r>
      <w:r w:rsidRPr="00FB2D03">
        <w:rPr>
          <w:color w:val="000000" w:themeColor="text1"/>
          <w:lang w:val="en-AU"/>
        </w:rPr>
        <w:t>. Downers Grove: InterVarsity Press, 1977.</w:t>
      </w:r>
    </w:p>
    <w:p w14:paraId="59DFE874" w14:textId="77777777" w:rsidR="00412D77" w:rsidRPr="00FB2D03" w:rsidRDefault="00412D77" w:rsidP="00412D77">
      <w:pPr>
        <w:tabs>
          <w:tab w:val="left" w:pos="5616"/>
        </w:tabs>
        <w:rPr>
          <w:color w:val="000000" w:themeColor="text1"/>
          <w:lang w:val="en-AU"/>
        </w:rPr>
      </w:pPr>
    </w:p>
    <w:p w14:paraId="7DBC8F88" w14:textId="77777777" w:rsidR="00E56DFF" w:rsidRPr="00FB2D03" w:rsidRDefault="00412D77" w:rsidP="00412D77">
      <w:pPr>
        <w:tabs>
          <w:tab w:val="left" w:pos="5616"/>
        </w:tabs>
        <w:rPr>
          <w:i/>
          <w:color w:val="000000" w:themeColor="text1"/>
          <w:lang w:val="en-AU"/>
        </w:rPr>
      </w:pPr>
      <w:r w:rsidRPr="00FB2D03">
        <w:rPr>
          <w:color w:val="000000" w:themeColor="text1"/>
          <w:lang w:val="en-AU"/>
        </w:rPr>
        <w:t>Stackle, Erin. “Aristotle’s Phronimos Should Also Turn the Other Cheek.” </w:t>
      </w:r>
      <w:r w:rsidRPr="00FB2D03">
        <w:rPr>
          <w:i/>
          <w:color w:val="000000" w:themeColor="text1"/>
          <w:lang w:val="en-AU"/>
        </w:rPr>
        <w:t xml:space="preserve">Philosophy &amp; </w:t>
      </w:r>
    </w:p>
    <w:p w14:paraId="7DE59EE0" w14:textId="2AFE6D87" w:rsidR="00412D77" w:rsidRPr="00FB2D03" w:rsidRDefault="00412D77" w:rsidP="00E56DFF">
      <w:pPr>
        <w:tabs>
          <w:tab w:val="left" w:pos="5616"/>
        </w:tabs>
        <w:ind w:left="720"/>
        <w:rPr>
          <w:color w:val="000000" w:themeColor="text1"/>
          <w:lang w:val="en-AU"/>
        </w:rPr>
      </w:pPr>
      <w:r w:rsidRPr="00FB2D03">
        <w:rPr>
          <w:i/>
          <w:color w:val="000000" w:themeColor="text1"/>
          <w:lang w:val="en-AU"/>
        </w:rPr>
        <w:t>Theology</w:t>
      </w:r>
      <w:r w:rsidRPr="00FB2D03">
        <w:rPr>
          <w:color w:val="000000" w:themeColor="text1"/>
          <w:lang w:val="en-AU"/>
        </w:rPr>
        <w:t xml:space="preserve"> 29 (2017): 3–15. </w:t>
      </w:r>
    </w:p>
    <w:p w14:paraId="6D0CF76D" w14:textId="77777777" w:rsidR="00412D77" w:rsidRPr="00FB2D03" w:rsidRDefault="00412D77" w:rsidP="00412D77">
      <w:pPr>
        <w:tabs>
          <w:tab w:val="left" w:pos="5616"/>
        </w:tabs>
        <w:rPr>
          <w:color w:val="000000" w:themeColor="text1"/>
          <w:lang w:val="en-AU"/>
        </w:rPr>
      </w:pPr>
    </w:p>
    <w:p w14:paraId="257CFAC6" w14:textId="77777777" w:rsidR="00412D77" w:rsidRPr="00FB2D03" w:rsidRDefault="00412D77" w:rsidP="00412D77">
      <w:pPr>
        <w:tabs>
          <w:tab w:val="left" w:pos="5616"/>
        </w:tabs>
        <w:rPr>
          <w:color w:val="000000" w:themeColor="text1"/>
          <w:lang w:val="en-AU"/>
        </w:rPr>
      </w:pPr>
      <w:r w:rsidRPr="00FB2D03">
        <w:rPr>
          <w:color w:val="000000" w:themeColor="text1"/>
          <w:lang w:val="en-AU"/>
        </w:rPr>
        <w:t>Stanton, Graham N. </w:t>
      </w:r>
      <w:r w:rsidRPr="00FB2D03">
        <w:rPr>
          <w:i/>
          <w:color w:val="000000" w:themeColor="text1"/>
          <w:lang w:val="en-AU"/>
        </w:rPr>
        <w:t>A Gospel for a New People</w:t>
      </w:r>
      <w:r w:rsidRPr="00FB2D03">
        <w:rPr>
          <w:color w:val="000000" w:themeColor="text1"/>
          <w:lang w:val="en-AU"/>
        </w:rPr>
        <w:t>. Edinburgh: T &amp; T Clark, 1993.</w:t>
      </w:r>
    </w:p>
    <w:p w14:paraId="46AD403E" w14:textId="77777777" w:rsidR="00412D77" w:rsidRPr="00FB2D03" w:rsidRDefault="00412D77" w:rsidP="00412D77">
      <w:pPr>
        <w:tabs>
          <w:tab w:val="left" w:pos="5616"/>
        </w:tabs>
        <w:rPr>
          <w:color w:val="000000" w:themeColor="text1"/>
          <w:lang w:val="en-AU"/>
        </w:rPr>
      </w:pPr>
    </w:p>
    <w:p w14:paraId="07A9D519"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Stassen, Glen H. “The Fourteen Triads of the Sermon on the Mount (Matthew 5:21–7:12).” </w:t>
      </w:r>
    </w:p>
    <w:p w14:paraId="7F865AD8" w14:textId="7325AEA5" w:rsidR="00412D77" w:rsidRPr="00FB2D03" w:rsidRDefault="00412D77" w:rsidP="00E56DFF">
      <w:pPr>
        <w:tabs>
          <w:tab w:val="left" w:pos="5616"/>
        </w:tabs>
        <w:ind w:left="720"/>
        <w:rPr>
          <w:color w:val="000000" w:themeColor="text1"/>
          <w:lang w:val="en-AU"/>
        </w:rPr>
      </w:pPr>
      <w:r w:rsidRPr="00FB2D03">
        <w:rPr>
          <w:i/>
          <w:color w:val="000000" w:themeColor="text1"/>
          <w:lang w:val="en-AU"/>
        </w:rPr>
        <w:t xml:space="preserve">Journal of Biblical Literature </w:t>
      </w:r>
      <w:r w:rsidRPr="00FB2D03">
        <w:rPr>
          <w:color w:val="000000" w:themeColor="text1"/>
          <w:lang w:val="en-AU"/>
        </w:rPr>
        <w:t>122 (2003): 267–308.</w:t>
      </w:r>
    </w:p>
    <w:p w14:paraId="605805E1" w14:textId="77777777" w:rsidR="00412D77" w:rsidRPr="00FB2D03" w:rsidRDefault="00412D77" w:rsidP="00412D77">
      <w:pPr>
        <w:tabs>
          <w:tab w:val="left" w:pos="5616"/>
        </w:tabs>
        <w:rPr>
          <w:color w:val="000000" w:themeColor="text1"/>
          <w:lang w:val="en-AU"/>
        </w:rPr>
      </w:pPr>
    </w:p>
    <w:p w14:paraId="1C798C37"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Just Peacemaking: Transforming Initiatives of Justice and Peace</w:t>
      </w:r>
      <w:r w:rsidRPr="00FB2D03">
        <w:rPr>
          <w:color w:val="000000" w:themeColor="text1"/>
          <w:lang w:val="en-AU"/>
        </w:rPr>
        <w:t xml:space="preserve">. Philadelphia: </w:t>
      </w:r>
    </w:p>
    <w:p w14:paraId="2BE67ADB" w14:textId="6B4A4D04" w:rsidR="00412D77" w:rsidRPr="00FB2D03" w:rsidRDefault="00412D77" w:rsidP="00E56DFF">
      <w:pPr>
        <w:tabs>
          <w:tab w:val="left" w:pos="5616"/>
        </w:tabs>
        <w:ind w:left="720"/>
        <w:rPr>
          <w:color w:val="000000" w:themeColor="text1"/>
          <w:lang w:val="en-AU"/>
        </w:rPr>
      </w:pPr>
      <w:r w:rsidRPr="00FB2D03">
        <w:rPr>
          <w:color w:val="000000" w:themeColor="text1"/>
          <w:lang w:val="en-AU"/>
        </w:rPr>
        <w:t>Westminster John Knox Press, 1992. </w:t>
      </w:r>
    </w:p>
    <w:p w14:paraId="4403EF89" w14:textId="77777777" w:rsidR="00412D77" w:rsidRPr="00FB2D03" w:rsidRDefault="00412D77" w:rsidP="00412D77">
      <w:pPr>
        <w:tabs>
          <w:tab w:val="left" w:pos="5616"/>
        </w:tabs>
        <w:rPr>
          <w:color w:val="000000" w:themeColor="text1"/>
          <w:lang w:val="en-AU"/>
        </w:rPr>
      </w:pPr>
    </w:p>
    <w:p w14:paraId="66093BA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Stassen, Glen H., and David P Gushee. </w:t>
      </w:r>
      <w:r w:rsidRPr="00FB2D03">
        <w:rPr>
          <w:i/>
          <w:color w:val="000000" w:themeColor="text1"/>
          <w:lang w:val="en-AU"/>
        </w:rPr>
        <w:t>Kingdom Ethics</w:t>
      </w:r>
      <w:r w:rsidRPr="00FB2D03">
        <w:rPr>
          <w:color w:val="000000" w:themeColor="text1"/>
          <w:lang w:val="en-AU"/>
        </w:rPr>
        <w:t>. Downers Grove: Intervarsity, 2003.</w:t>
      </w:r>
    </w:p>
    <w:p w14:paraId="0B424A31" w14:textId="77777777" w:rsidR="00412D77" w:rsidRPr="00FB2D03" w:rsidRDefault="00412D77" w:rsidP="00412D77">
      <w:pPr>
        <w:tabs>
          <w:tab w:val="left" w:pos="5616"/>
        </w:tabs>
        <w:rPr>
          <w:color w:val="000000" w:themeColor="text1"/>
          <w:lang w:val="en-AU"/>
        </w:rPr>
      </w:pPr>
    </w:p>
    <w:p w14:paraId="37F9412B"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Stein, Robert H. </w:t>
      </w:r>
      <w:r w:rsidRPr="00FB2D03">
        <w:rPr>
          <w:i/>
          <w:color w:val="000000" w:themeColor="text1"/>
          <w:lang w:val="en-AU"/>
        </w:rPr>
        <w:t xml:space="preserve">Difficult Sayings in the Gospels: Jesus’ Use of Overstatement and </w:t>
      </w:r>
    </w:p>
    <w:p w14:paraId="0924E916" w14:textId="4950B33F" w:rsidR="00412D77" w:rsidRPr="00FB2D03" w:rsidRDefault="00412D77" w:rsidP="00E56DFF">
      <w:pPr>
        <w:tabs>
          <w:tab w:val="left" w:pos="5616"/>
        </w:tabs>
        <w:ind w:left="720"/>
        <w:rPr>
          <w:color w:val="000000" w:themeColor="text1"/>
          <w:lang w:val="en-AU"/>
        </w:rPr>
      </w:pPr>
      <w:r w:rsidRPr="00FB2D03">
        <w:rPr>
          <w:i/>
          <w:color w:val="000000" w:themeColor="text1"/>
          <w:lang w:val="en-AU"/>
        </w:rPr>
        <w:lastRenderedPageBreak/>
        <w:t xml:space="preserve">Hyperbole. </w:t>
      </w:r>
      <w:r w:rsidRPr="00FB2D03">
        <w:rPr>
          <w:color w:val="000000" w:themeColor="text1"/>
          <w:lang w:val="en-AU"/>
        </w:rPr>
        <w:t xml:space="preserve">Grand Rapids: Baker, 1985. </w:t>
      </w:r>
    </w:p>
    <w:p w14:paraId="680E95B4" w14:textId="77777777" w:rsidR="00412D77" w:rsidRPr="00FB2D03" w:rsidRDefault="00412D77" w:rsidP="00412D77">
      <w:pPr>
        <w:tabs>
          <w:tab w:val="left" w:pos="5616"/>
        </w:tabs>
        <w:rPr>
          <w:color w:val="000000" w:themeColor="text1"/>
          <w:lang w:val="en-AU"/>
        </w:rPr>
      </w:pPr>
    </w:p>
    <w:p w14:paraId="3CDD5C6B" w14:textId="77777777" w:rsidR="00E56DFF" w:rsidRPr="00FB2D03" w:rsidRDefault="00412D77" w:rsidP="00412D77">
      <w:pPr>
        <w:tabs>
          <w:tab w:val="left" w:pos="5616"/>
        </w:tabs>
        <w:rPr>
          <w:i/>
          <w:color w:val="000000" w:themeColor="text1"/>
          <w:lang w:val="en-AU"/>
        </w:rPr>
      </w:pPr>
      <w:r w:rsidRPr="00FB2D03">
        <w:rPr>
          <w:color w:val="000000" w:themeColor="text1"/>
          <w:lang w:val="en-AU"/>
        </w:rPr>
        <w:t>Stern, Philip D. “1 Samuel 15: Towards an Ancient View of the War-Herem.” </w:t>
      </w:r>
      <w:r w:rsidRPr="00FB2D03">
        <w:rPr>
          <w:i/>
          <w:color w:val="000000" w:themeColor="text1"/>
          <w:lang w:val="en-AU"/>
        </w:rPr>
        <w:t>Ugarit-</w:t>
      </w:r>
    </w:p>
    <w:p w14:paraId="12921ABF" w14:textId="3AD29CFD" w:rsidR="00412D77" w:rsidRPr="00FB2D03" w:rsidRDefault="00412D77" w:rsidP="00E56DFF">
      <w:pPr>
        <w:tabs>
          <w:tab w:val="left" w:pos="5616"/>
        </w:tabs>
        <w:ind w:left="720"/>
        <w:rPr>
          <w:color w:val="000000" w:themeColor="text1"/>
          <w:lang w:val="en-AU"/>
        </w:rPr>
      </w:pPr>
      <w:r w:rsidRPr="00FB2D03">
        <w:rPr>
          <w:i/>
          <w:color w:val="000000" w:themeColor="text1"/>
          <w:lang w:val="en-AU"/>
        </w:rPr>
        <w:t>Forschungen</w:t>
      </w:r>
      <w:r w:rsidRPr="00FB2D03">
        <w:rPr>
          <w:color w:val="000000" w:themeColor="text1"/>
          <w:lang w:val="en-AU"/>
        </w:rPr>
        <w:t> 21 (1989): 413–20.</w:t>
      </w:r>
    </w:p>
    <w:p w14:paraId="0A18CAA3" w14:textId="77777777" w:rsidR="00412D77" w:rsidRPr="00FB2D03" w:rsidRDefault="00412D77" w:rsidP="00412D77">
      <w:pPr>
        <w:tabs>
          <w:tab w:val="left" w:pos="5616"/>
        </w:tabs>
        <w:rPr>
          <w:color w:val="000000" w:themeColor="text1"/>
          <w:lang w:val="en-AU"/>
        </w:rPr>
      </w:pPr>
    </w:p>
    <w:p w14:paraId="0BE980EC" w14:textId="77777777" w:rsidR="00E56DFF" w:rsidRPr="00FB2D03" w:rsidRDefault="00412D77" w:rsidP="00412D77">
      <w:pPr>
        <w:tabs>
          <w:tab w:val="left" w:pos="5616"/>
        </w:tabs>
        <w:rPr>
          <w:i/>
          <w:color w:val="000000" w:themeColor="text1"/>
          <w:lang w:val="en-AU"/>
        </w:rPr>
      </w:pPr>
      <w:r w:rsidRPr="00FB2D03">
        <w:rPr>
          <w:color w:val="000000" w:themeColor="text1"/>
          <w:lang w:val="en-AU"/>
        </w:rPr>
        <w:t>Stemberger, Günter. “Scribes, Sages and Seers in Rabbinic Judaism, in</w:t>
      </w:r>
      <w:r w:rsidRPr="00FB2D03">
        <w:rPr>
          <w:i/>
          <w:color w:val="000000" w:themeColor="text1"/>
          <w:lang w:val="en-AU"/>
        </w:rPr>
        <w:t xml:space="preserve"> Scribes, Sages, and </w:t>
      </w:r>
    </w:p>
    <w:p w14:paraId="742279FF" w14:textId="511774D2" w:rsidR="00412D77" w:rsidRPr="00FB2D03" w:rsidRDefault="00412D77" w:rsidP="00E56DFF">
      <w:pPr>
        <w:tabs>
          <w:tab w:val="left" w:pos="5616"/>
        </w:tabs>
        <w:ind w:left="720"/>
        <w:rPr>
          <w:color w:val="000000" w:themeColor="text1"/>
          <w:lang w:val="en-AU"/>
        </w:rPr>
      </w:pPr>
      <w:r w:rsidRPr="00FB2D03">
        <w:rPr>
          <w:i/>
          <w:color w:val="000000" w:themeColor="text1"/>
          <w:lang w:val="en-AU"/>
        </w:rPr>
        <w:t>Seers: The Sage in the Eastern Mediterranean World</w:t>
      </w:r>
      <w:r w:rsidRPr="00FB2D03">
        <w:rPr>
          <w:color w:val="000000" w:themeColor="text1"/>
          <w:lang w:val="en-AU"/>
        </w:rPr>
        <w:t>, ed. Leo G. Perdue, 295–319. Göttingen: Vandenhoeck &amp; Ruprecht, 2008.</w:t>
      </w:r>
    </w:p>
    <w:p w14:paraId="69AF20F9" w14:textId="3513B12D" w:rsidR="00412D77" w:rsidRDefault="00412D77" w:rsidP="00412D77">
      <w:pPr>
        <w:tabs>
          <w:tab w:val="left" w:pos="5616"/>
        </w:tabs>
        <w:rPr>
          <w:color w:val="000000" w:themeColor="text1"/>
          <w:lang w:val="en-AU"/>
        </w:rPr>
      </w:pPr>
    </w:p>
    <w:p w14:paraId="15110204" w14:textId="77777777" w:rsidR="0059088D" w:rsidRDefault="0059088D" w:rsidP="00412D77">
      <w:pPr>
        <w:tabs>
          <w:tab w:val="left" w:pos="5616"/>
        </w:tabs>
        <w:rPr>
          <w:lang w:val="en-AU"/>
        </w:rPr>
      </w:pPr>
      <w:r w:rsidRPr="00FB2D03">
        <w:rPr>
          <w:color w:val="000000" w:themeColor="text1"/>
          <w:lang w:val="en-AU"/>
        </w:rPr>
        <w:t>_______.</w:t>
      </w:r>
      <w:r>
        <w:rPr>
          <w:lang w:val="en-AU"/>
        </w:rPr>
        <w:t xml:space="preserve"> “Mischna Avot:  Fruhe Weisheitsschrift, Pharisaisches Erbe order spatrabbinische </w:t>
      </w:r>
    </w:p>
    <w:p w14:paraId="4F80E99B" w14:textId="4887001C" w:rsidR="0059088D" w:rsidRDefault="0059088D" w:rsidP="00ED0F6A">
      <w:pPr>
        <w:tabs>
          <w:tab w:val="left" w:pos="5616"/>
        </w:tabs>
        <w:ind w:left="720"/>
        <w:rPr>
          <w:lang w:val="en-AU"/>
        </w:rPr>
      </w:pPr>
      <w:proofErr w:type="gramStart"/>
      <w:r>
        <w:rPr>
          <w:lang w:val="en-AU"/>
        </w:rPr>
        <w:t>Bildung?,</w:t>
      </w:r>
      <w:proofErr w:type="gramEnd"/>
      <w:r>
        <w:rPr>
          <w:lang w:val="en-AU"/>
        </w:rPr>
        <w:t xml:space="preserve">” </w:t>
      </w:r>
      <w:r>
        <w:rPr>
          <w:i/>
          <w:iCs/>
          <w:lang w:val="en-AU"/>
        </w:rPr>
        <w:t xml:space="preserve">Zetschrift fur die neutestamentliche wissenschaft und die Kunde der Alteren Kirche </w:t>
      </w:r>
      <w:r>
        <w:rPr>
          <w:lang w:val="en-AU"/>
        </w:rPr>
        <w:t>96 (2005): 243-58.</w:t>
      </w:r>
    </w:p>
    <w:p w14:paraId="7E1C15E6" w14:textId="77777777" w:rsidR="0059088D" w:rsidRPr="00FB2D03" w:rsidRDefault="0059088D" w:rsidP="00412D77">
      <w:pPr>
        <w:tabs>
          <w:tab w:val="left" w:pos="5616"/>
        </w:tabs>
        <w:rPr>
          <w:color w:val="000000" w:themeColor="text1"/>
          <w:lang w:val="en-AU"/>
        </w:rPr>
      </w:pPr>
    </w:p>
    <w:p w14:paraId="7E90DBA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Stern, David. </w:t>
      </w:r>
      <w:r w:rsidRPr="00FB2D03">
        <w:rPr>
          <w:i/>
          <w:color w:val="000000" w:themeColor="text1"/>
          <w:lang w:val="en-AU"/>
        </w:rPr>
        <w:t>Complete Jewish Bible</w:t>
      </w:r>
      <w:r w:rsidRPr="00FB2D03">
        <w:rPr>
          <w:color w:val="000000" w:themeColor="text1"/>
          <w:lang w:val="en-AU"/>
        </w:rPr>
        <w:t>. Clarksville: Jewish New Testament Publications, 1998.</w:t>
      </w:r>
    </w:p>
    <w:p w14:paraId="16487948" w14:textId="77777777" w:rsidR="00412D77" w:rsidRPr="00FB2D03" w:rsidRDefault="00412D77" w:rsidP="00412D77">
      <w:pPr>
        <w:tabs>
          <w:tab w:val="left" w:pos="5616"/>
        </w:tabs>
        <w:rPr>
          <w:color w:val="000000" w:themeColor="text1"/>
          <w:lang w:val="en-AU"/>
        </w:rPr>
      </w:pPr>
    </w:p>
    <w:p w14:paraId="75617554" w14:textId="77777777" w:rsidR="00412D77" w:rsidRPr="00FB2D03" w:rsidRDefault="00412D77" w:rsidP="00412D77">
      <w:pPr>
        <w:tabs>
          <w:tab w:val="left" w:pos="5616"/>
        </w:tabs>
        <w:rPr>
          <w:color w:val="000000" w:themeColor="text1"/>
          <w:lang w:val="en-AU"/>
        </w:rPr>
      </w:pPr>
      <w:r w:rsidRPr="00FB2D03">
        <w:rPr>
          <w:color w:val="000000" w:themeColor="text1"/>
          <w:lang w:val="en-AU"/>
        </w:rPr>
        <w:t>_______. </w:t>
      </w:r>
      <w:r w:rsidRPr="00FB2D03">
        <w:rPr>
          <w:i/>
          <w:color w:val="000000" w:themeColor="text1"/>
          <w:lang w:val="en-AU"/>
        </w:rPr>
        <w:t>The Complete Jewish Study Bible</w:t>
      </w:r>
      <w:r w:rsidRPr="00FB2D03">
        <w:rPr>
          <w:color w:val="000000" w:themeColor="text1"/>
          <w:lang w:val="en-AU"/>
        </w:rPr>
        <w:t>. Peabody: Hendrickson Bibles, 2016.</w:t>
      </w:r>
    </w:p>
    <w:p w14:paraId="36DEFDDE" w14:textId="77777777" w:rsidR="00412D77" w:rsidRPr="00FB2D03" w:rsidRDefault="00412D77" w:rsidP="00412D77">
      <w:pPr>
        <w:tabs>
          <w:tab w:val="left" w:pos="5616"/>
        </w:tabs>
        <w:rPr>
          <w:color w:val="000000" w:themeColor="text1"/>
          <w:lang w:val="en-AU"/>
        </w:rPr>
      </w:pPr>
    </w:p>
    <w:p w14:paraId="457A5782" w14:textId="77777777" w:rsidR="00E56DFF" w:rsidRPr="00FB2D03" w:rsidRDefault="00412D77" w:rsidP="00412D77">
      <w:pPr>
        <w:tabs>
          <w:tab w:val="left" w:pos="5616"/>
        </w:tabs>
        <w:rPr>
          <w:color w:val="000000" w:themeColor="text1"/>
          <w:lang w:val="en-AU"/>
        </w:rPr>
      </w:pPr>
      <w:r w:rsidRPr="00FB2D03">
        <w:rPr>
          <w:color w:val="000000" w:themeColor="text1"/>
          <w:lang w:val="en-AU"/>
        </w:rPr>
        <w:t>_______. </w:t>
      </w:r>
      <w:r w:rsidRPr="00FB2D03">
        <w:rPr>
          <w:i/>
          <w:color w:val="000000" w:themeColor="text1"/>
          <w:lang w:val="en-AU"/>
        </w:rPr>
        <w:t>Jewish New Testament Commentary</w:t>
      </w:r>
      <w:r w:rsidRPr="00FB2D03">
        <w:rPr>
          <w:color w:val="000000" w:themeColor="text1"/>
          <w:lang w:val="en-AU"/>
        </w:rPr>
        <w:t xml:space="preserve">. Clarksville: Jewish New Testament </w:t>
      </w:r>
    </w:p>
    <w:p w14:paraId="23BE0C49" w14:textId="0E82A82C" w:rsidR="00412D77" w:rsidRPr="00FB2D03" w:rsidRDefault="00412D77" w:rsidP="00E56DFF">
      <w:pPr>
        <w:tabs>
          <w:tab w:val="left" w:pos="5616"/>
        </w:tabs>
        <w:ind w:left="720"/>
        <w:rPr>
          <w:color w:val="000000" w:themeColor="text1"/>
          <w:lang w:val="en-AU"/>
        </w:rPr>
      </w:pPr>
      <w:r w:rsidRPr="00FB2D03">
        <w:rPr>
          <w:color w:val="000000" w:themeColor="text1"/>
          <w:lang w:val="en-AU"/>
        </w:rPr>
        <w:t>Publications, 1999.</w:t>
      </w:r>
    </w:p>
    <w:p w14:paraId="4CEA0FCE" w14:textId="77777777" w:rsidR="00412D77" w:rsidRPr="00FB2D03" w:rsidRDefault="00412D77" w:rsidP="00412D77">
      <w:pPr>
        <w:tabs>
          <w:tab w:val="left" w:pos="5616"/>
        </w:tabs>
        <w:rPr>
          <w:color w:val="000000" w:themeColor="text1"/>
          <w:lang w:val="en-AU"/>
        </w:rPr>
      </w:pPr>
    </w:p>
    <w:p w14:paraId="6168307C"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Stern, Sacha. “Qumran Calendars and Sectarianism.” In </w:t>
      </w:r>
      <w:r w:rsidRPr="00FB2D03">
        <w:rPr>
          <w:i/>
          <w:color w:val="000000" w:themeColor="text1"/>
          <w:lang w:val="en-AU"/>
        </w:rPr>
        <w:t xml:space="preserve">The Oxford Handbook of the Dead </w:t>
      </w:r>
    </w:p>
    <w:p w14:paraId="4A6D3005" w14:textId="533CDFF2" w:rsidR="00412D77" w:rsidRPr="00FB2D03" w:rsidRDefault="00412D77" w:rsidP="00E56DFF">
      <w:pPr>
        <w:tabs>
          <w:tab w:val="left" w:pos="5616"/>
        </w:tabs>
        <w:ind w:left="720"/>
        <w:rPr>
          <w:color w:val="000000" w:themeColor="text1"/>
          <w:lang w:val="en-AU"/>
        </w:rPr>
      </w:pPr>
      <w:r w:rsidRPr="00FB2D03">
        <w:rPr>
          <w:i/>
          <w:color w:val="000000" w:themeColor="text1"/>
          <w:lang w:val="en-AU"/>
        </w:rPr>
        <w:t>Sea Scrolls</w:t>
      </w:r>
      <w:r w:rsidRPr="00FB2D03">
        <w:rPr>
          <w:color w:val="000000" w:themeColor="text1"/>
          <w:lang w:val="en-AU"/>
        </w:rPr>
        <w:t>, ed. John J. Collins and Timothy H. Lim, 232-53. Oxford: Oxford University Press, 2010.</w:t>
      </w:r>
    </w:p>
    <w:p w14:paraId="59D81604" w14:textId="77777777" w:rsidR="00412D77" w:rsidRPr="00FB2D03" w:rsidRDefault="00412D77" w:rsidP="00412D77">
      <w:pPr>
        <w:tabs>
          <w:tab w:val="left" w:pos="5616"/>
        </w:tabs>
        <w:rPr>
          <w:color w:val="000000" w:themeColor="text1"/>
          <w:lang w:val="en-AU"/>
        </w:rPr>
      </w:pPr>
    </w:p>
    <w:p w14:paraId="4191706B"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Stewart, Alexander E. “The Temporary Messianic Kingdom in Second Temple Judaism and </w:t>
      </w:r>
    </w:p>
    <w:p w14:paraId="51D18E5D" w14:textId="06C7FF15" w:rsidR="00412D77" w:rsidRPr="00FB2D03" w:rsidRDefault="00412D77" w:rsidP="00E56DFF">
      <w:pPr>
        <w:tabs>
          <w:tab w:val="left" w:pos="5616"/>
        </w:tabs>
        <w:ind w:left="720"/>
        <w:rPr>
          <w:color w:val="000000" w:themeColor="text1"/>
          <w:lang w:val="en-AU"/>
        </w:rPr>
      </w:pPr>
      <w:r w:rsidRPr="00FB2D03">
        <w:rPr>
          <w:color w:val="000000" w:themeColor="text1"/>
          <w:lang w:val="en-AU"/>
        </w:rPr>
        <w:t>the Delay of the Parousia: Psalm 110:1 and the Development of Early Christian Inaugurated Eschatology.” </w:t>
      </w:r>
      <w:r w:rsidRPr="00FB2D03">
        <w:rPr>
          <w:i/>
          <w:color w:val="000000" w:themeColor="text1"/>
          <w:lang w:val="en-AU"/>
        </w:rPr>
        <w:t>Journal of the Evangelical Theological Society</w:t>
      </w:r>
      <w:r w:rsidRPr="00FB2D03">
        <w:rPr>
          <w:color w:val="000000" w:themeColor="text1"/>
          <w:lang w:val="en-AU"/>
        </w:rPr>
        <w:t> 59 (2016): 255–70.</w:t>
      </w:r>
    </w:p>
    <w:p w14:paraId="6F4F69BD" w14:textId="77777777" w:rsidR="00412D77" w:rsidRPr="00FB2D03" w:rsidRDefault="00412D77" w:rsidP="00412D77">
      <w:pPr>
        <w:tabs>
          <w:tab w:val="left" w:pos="5616"/>
        </w:tabs>
        <w:rPr>
          <w:color w:val="000000" w:themeColor="text1"/>
          <w:lang w:val="en-AU"/>
        </w:rPr>
      </w:pPr>
    </w:p>
    <w:p w14:paraId="49C5844B" w14:textId="6AABCF72" w:rsidR="00E56DFF" w:rsidRPr="00FB2D03" w:rsidRDefault="00412D77" w:rsidP="00412D77">
      <w:pPr>
        <w:tabs>
          <w:tab w:val="left" w:pos="5616"/>
        </w:tabs>
        <w:rPr>
          <w:color w:val="000000" w:themeColor="text1"/>
          <w:lang w:val="en-AU"/>
        </w:rPr>
      </w:pPr>
      <w:r w:rsidRPr="00FB2D03">
        <w:rPr>
          <w:color w:val="000000" w:themeColor="text1"/>
          <w:lang w:val="en-AU"/>
        </w:rPr>
        <w:t xml:space="preserve">Stone, Michael E. “Coherence and Inconsistency in The Apocalypses: The Case </w:t>
      </w:r>
      <w:r w:rsidR="00DF2BEE">
        <w:rPr>
          <w:color w:val="000000" w:themeColor="text1"/>
          <w:lang w:val="en-AU"/>
        </w:rPr>
        <w:t>o</w:t>
      </w:r>
      <w:r w:rsidRPr="00FB2D03">
        <w:rPr>
          <w:color w:val="000000" w:themeColor="text1"/>
          <w:lang w:val="en-AU"/>
        </w:rPr>
        <w:t xml:space="preserve">f ‘The </w:t>
      </w:r>
    </w:p>
    <w:p w14:paraId="54985D56" w14:textId="73C95F83" w:rsidR="00412D77" w:rsidRDefault="00412D77" w:rsidP="00E56DFF">
      <w:pPr>
        <w:tabs>
          <w:tab w:val="left" w:pos="5616"/>
        </w:tabs>
        <w:ind w:left="720"/>
        <w:rPr>
          <w:color w:val="000000" w:themeColor="text1"/>
          <w:lang w:val="en-AU"/>
        </w:rPr>
      </w:pPr>
      <w:r w:rsidRPr="00FB2D03">
        <w:rPr>
          <w:color w:val="000000" w:themeColor="text1"/>
          <w:lang w:val="en-AU"/>
        </w:rPr>
        <w:t xml:space="preserve">End’ </w:t>
      </w:r>
      <w:r w:rsidR="00DF2BEE">
        <w:rPr>
          <w:color w:val="000000" w:themeColor="text1"/>
          <w:lang w:val="en-AU"/>
        </w:rPr>
        <w:t>i</w:t>
      </w:r>
      <w:r w:rsidRPr="00FB2D03">
        <w:rPr>
          <w:color w:val="000000" w:themeColor="text1"/>
          <w:lang w:val="en-AU"/>
        </w:rPr>
        <w:t>n 4 Ezra.” </w:t>
      </w:r>
      <w:r w:rsidRPr="00FB2D03">
        <w:rPr>
          <w:i/>
          <w:color w:val="000000" w:themeColor="text1"/>
          <w:lang w:val="en-AU"/>
        </w:rPr>
        <w:t>Journal of Biblical Literature</w:t>
      </w:r>
      <w:r w:rsidRPr="00FB2D03">
        <w:rPr>
          <w:color w:val="000000" w:themeColor="text1"/>
          <w:lang w:val="en-AU"/>
        </w:rPr>
        <w:t> 102 (1983): 232.</w:t>
      </w:r>
    </w:p>
    <w:p w14:paraId="0719BBBA" w14:textId="0143823D" w:rsidR="00A059AD" w:rsidRDefault="00A059AD" w:rsidP="00A059AD">
      <w:pPr>
        <w:tabs>
          <w:tab w:val="left" w:pos="5616"/>
        </w:tabs>
        <w:rPr>
          <w:color w:val="000000" w:themeColor="text1"/>
          <w:lang w:val="en-AU"/>
        </w:rPr>
      </w:pPr>
    </w:p>
    <w:p w14:paraId="704FA534" w14:textId="79F1D1F5" w:rsidR="00A059AD" w:rsidRDefault="00A059AD" w:rsidP="00A059AD">
      <w:pPr>
        <w:tabs>
          <w:tab w:val="left" w:pos="5616"/>
        </w:tabs>
        <w:rPr>
          <w:lang w:val="en-AU"/>
        </w:rPr>
      </w:pPr>
      <w:r>
        <w:rPr>
          <w:lang w:val="en-AU"/>
        </w:rPr>
        <w:t xml:space="preserve">Strack, H. L. and Gunter Stemberger. </w:t>
      </w:r>
      <w:r>
        <w:rPr>
          <w:i/>
          <w:iCs/>
          <w:lang w:val="en-AU"/>
        </w:rPr>
        <w:t xml:space="preserve">Introduction to Talmud and Midrash, </w:t>
      </w:r>
      <w:proofErr w:type="gramStart"/>
      <w:r>
        <w:rPr>
          <w:lang w:val="en-AU"/>
        </w:rPr>
        <w:t>trans.</w:t>
      </w:r>
      <w:proofErr w:type="gramEnd"/>
      <w:r>
        <w:rPr>
          <w:lang w:val="en-AU"/>
        </w:rPr>
        <w:t xml:space="preserve"> </w:t>
      </w:r>
      <w:r w:rsidR="00DF2BEE">
        <w:rPr>
          <w:lang w:val="en-AU"/>
        </w:rPr>
        <w:t>a</w:t>
      </w:r>
      <w:r>
        <w:rPr>
          <w:lang w:val="en-AU"/>
        </w:rPr>
        <w:t xml:space="preserve">nd ed. </w:t>
      </w:r>
      <w:r w:rsidR="00DF2BEE">
        <w:rPr>
          <w:lang w:val="en-AU"/>
        </w:rPr>
        <w:t>b</w:t>
      </w:r>
      <w:r>
        <w:rPr>
          <w:lang w:val="en-AU"/>
        </w:rPr>
        <w:t xml:space="preserve">y </w:t>
      </w:r>
    </w:p>
    <w:p w14:paraId="15E807B6" w14:textId="2FB5E645" w:rsidR="00A059AD" w:rsidRPr="00FB2D03" w:rsidRDefault="00A059AD" w:rsidP="00A059AD">
      <w:pPr>
        <w:tabs>
          <w:tab w:val="left" w:pos="5616"/>
        </w:tabs>
        <w:ind w:left="720"/>
        <w:rPr>
          <w:color w:val="000000" w:themeColor="text1"/>
          <w:lang w:val="en-AU"/>
        </w:rPr>
      </w:pPr>
      <w:r>
        <w:rPr>
          <w:lang w:val="en-AU"/>
        </w:rPr>
        <w:t>Markus Bockmuchl. Minneapolis: Fortress Press, 1992.</w:t>
      </w:r>
    </w:p>
    <w:p w14:paraId="744198CF" w14:textId="77777777" w:rsidR="00412D77" w:rsidRPr="00FB2D03" w:rsidRDefault="00412D77" w:rsidP="00412D77">
      <w:pPr>
        <w:tabs>
          <w:tab w:val="left" w:pos="5616"/>
        </w:tabs>
        <w:rPr>
          <w:color w:val="000000" w:themeColor="text1"/>
          <w:lang w:val="en-AU"/>
        </w:rPr>
      </w:pPr>
    </w:p>
    <w:p w14:paraId="55410F1F" w14:textId="77777777" w:rsidR="00E56DFF" w:rsidRPr="00FB2D03" w:rsidRDefault="00412D77" w:rsidP="00412D77">
      <w:pPr>
        <w:tabs>
          <w:tab w:val="left" w:pos="5616"/>
        </w:tabs>
        <w:rPr>
          <w:color w:val="000000" w:themeColor="text1"/>
          <w:lang w:val="en-AU"/>
        </w:rPr>
      </w:pPr>
      <w:r w:rsidRPr="00FB2D03">
        <w:rPr>
          <w:color w:val="000000" w:themeColor="text1"/>
          <w:lang w:val="en-AU"/>
        </w:rPr>
        <w:t>Strecker, Georg.</w:t>
      </w:r>
      <w:r w:rsidRPr="00FB2D03">
        <w:rPr>
          <w:i/>
          <w:color w:val="000000" w:themeColor="text1"/>
          <w:lang w:val="en-AU"/>
        </w:rPr>
        <w:t xml:space="preserve"> Der Weg der Gerechtigkeit: Untersuchung zur Theologie des Matthäus</w:t>
      </w:r>
      <w:r w:rsidRPr="00FB2D03">
        <w:rPr>
          <w:color w:val="000000" w:themeColor="text1"/>
          <w:lang w:val="en-AU"/>
        </w:rPr>
        <w:t xml:space="preserve">. </w:t>
      </w:r>
    </w:p>
    <w:p w14:paraId="139044F9" w14:textId="40CB607A" w:rsidR="00412D77" w:rsidRPr="00FB2D03" w:rsidRDefault="00412D77" w:rsidP="00E56DFF">
      <w:pPr>
        <w:tabs>
          <w:tab w:val="left" w:pos="5616"/>
        </w:tabs>
        <w:ind w:left="720"/>
        <w:rPr>
          <w:color w:val="000000" w:themeColor="text1"/>
          <w:lang w:val="en-AU"/>
        </w:rPr>
      </w:pPr>
      <w:r w:rsidRPr="00FB2D03">
        <w:rPr>
          <w:color w:val="000000" w:themeColor="text1"/>
          <w:lang w:val="en-AU"/>
        </w:rPr>
        <w:t>Göttingen: Vandenhoeck &amp; Ruprecht, 1971.</w:t>
      </w:r>
    </w:p>
    <w:p w14:paraId="20B2BD08" w14:textId="77777777" w:rsidR="00412D77" w:rsidRPr="00FB2D03" w:rsidRDefault="00412D77" w:rsidP="00412D77">
      <w:pPr>
        <w:tabs>
          <w:tab w:val="left" w:pos="5616"/>
        </w:tabs>
        <w:rPr>
          <w:color w:val="000000" w:themeColor="text1"/>
          <w:lang w:val="en-AU"/>
        </w:rPr>
      </w:pPr>
    </w:p>
    <w:p w14:paraId="495060ED" w14:textId="77777777" w:rsidR="00D86BBD" w:rsidRPr="00FB2D03" w:rsidRDefault="00412D77" w:rsidP="00D86BBD">
      <w:pPr>
        <w:tabs>
          <w:tab w:val="left" w:pos="5616"/>
        </w:tabs>
        <w:rPr>
          <w:color w:val="000000" w:themeColor="text1"/>
          <w:lang w:val="en-AU"/>
        </w:rPr>
      </w:pPr>
      <w:r w:rsidRPr="00FB2D03">
        <w:rPr>
          <w:color w:val="000000" w:themeColor="text1"/>
          <w:lang w:val="en-AU"/>
        </w:rPr>
        <w:t xml:space="preserve">________. “Die Makarismen der Bergpredigt.” </w:t>
      </w:r>
      <w:r w:rsidRPr="00FB2D03">
        <w:rPr>
          <w:i/>
          <w:color w:val="000000" w:themeColor="text1"/>
          <w:lang w:val="en-AU"/>
        </w:rPr>
        <w:t>New Testament Studies</w:t>
      </w:r>
      <w:r w:rsidRPr="00FB2D03">
        <w:rPr>
          <w:color w:val="000000" w:themeColor="text1"/>
          <w:lang w:val="en-AU"/>
        </w:rPr>
        <w:t xml:space="preserve"> 17 (1970−1971): </w:t>
      </w:r>
    </w:p>
    <w:p w14:paraId="040A94B5" w14:textId="21049EE4" w:rsidR="00412D77" w:rsidRPr="00FB2D03" w:rsidRDefault="00412D77" w:rsidP="00D86BBD">
      <w:pPr>
        <w:tabs>
          <w:tab w:val="left" w:pos="5616"/>
        </w:tabs>
        <w:ind w:left="720"/>
        <w:rPr>
          <w:color w:val="000000" w:themeColor="text1"/>
          <w:lang w:val="en-AU"/>
        </w:rPr>
      </w:pPr>
      <w:r w:rsidRPr="00FB2D03">
        <w:rPr>
          <w:color w:val="000000" w:themeColor="text1"/>
          <w:lang w:val="en-AU"/>
        </w:rPr>
        <w:t>255−75.</w:t>
      </w:r>
    </w:p>
    <w:p w14:paraId="24F78B18" w14:textId="77777777" w:rsidR="00412D77" w:rsidRPr="00FB2D03" w:rsidRDefault="00412D77" w:rsidP="00412D77">
      <w:pPr>
        <w:tabs>
          <w:tab w:val="left" w:pos="5616"/>
        </w:tabs>
        <w:rPr>
          <w:color w:val="000000" w:themeColor="text1"/>
          <w:lang w:val="en-AU"/>
        </w:rPr>
      </w:pPr>
    </w:p>
    <w:p w14:paraId="479FD90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Strong, James. </w:t>
      </w:r>
      <w:r w:rsidRPr="00FB2D03">
        <w:rPr>
          <w:i/>
          <w:color w:val="000000" w:themeColor="text1"/>
          <w:lang w:val="en-AU"/>
        </w:rPr>
        <w:t>Strong’s Exhaustive Concordance of the Bible</w:t>
      </w:r>
      <w:r w:rsidRPr="00FB2D03">
        <w:rPr>
          <w:color w:val="000000" w:themeColor="text1"/>
          <w:lang w:val="en-AU"/>
        </w:rPr>
        <w:t>. Nashville: Royal, 2010.</w:t>
      </w:r>
    </w:p>
    <w:p w14:paraId="5A56D6E9" w14:textId="77777777" w:rsidR="00412D77" w:rsidRPr="00FB2D03" w:rsidRDefault="00412D77" w:rsidP="00412D77">
      <w:pPr>
        <w:tabs>
          <w:tab w:val="left" w:pos="5616"/>
        </w:tabs>
        <w:rPr>
          <w:color w:val="000000" w:themeColor="text1"/>
          <w:lang w:val="en-AU"/>
        </w:rPr>
      </w:pPr>
    </w:p>
    <w:p w14:paraId="3EBA936B" w14:textId="77777777" w:rsidR="00E56DFF" w:rsidRPr="00FB2D03" w:rsidRDefault="00412D77" w:rsidP="00412D77">
      <w:pPr>
        <w:tabs>
          <w:tab w:val="left" w:pos="5616"/>
        </w:tabs>
        <w:rPr>
          <w:i/>
          <w:color w:val="000000" w:themeColor="text1"/>
          <w:lang w:val="en-AU"/>
        </w:rPr>
      </w:pPr>
      <w:r w:rsidRPr="00FB2D03">
        <w:rPr>
          <w:color w:val="000000" w:themeColor="text1"/>
          <w:lang w:val="en-AU"/>
        </w:rPr>
        <w:t>Stylianopoulos, Theodore. “New Testament Issues in Jewish–Christian Relations</w:t>
      </w:r>
      <w:r w:rsidRPr="00FB2D03">
        <w:rPr>
          <w:i/>
          <w:color w:val="000000" w:themeColor="text1"/>
          <w:lang w:val="en-AU"/>
        </w:rPr>
        <w:t xml:space="preserve">.” Journal </w:t>
      </w:r>
    </w:p>
    <w:p w14:paraId="507F86E7" w14:textId="51BF9B6D" w:rsidR="00412D77" w:rsidRPr="00FB2D03" w:rsidRDefault="00412D77" w:rsidP="00E56DFF">
      <w:pPr>
        <w:tabs>
          <w:tab w:val="left" w:pos="5616"/>
        </w:tabs>
        <w:ind w:left="720"/>
        <w:rPr>
          <w:color w:val="000000" w:themeColor="text1"/>
          <w:lang w:val="en-AU"/>
        </w:rPr>
      </w:pPr>
      <w:r w:rsidRPr="00FB2D03">
        <w:rPr>
          <w:i/>
          <w:color w:val="000000" w:themeColor="text1"/>
          <w:lang w:val="en-AU"/>
        </w:rPr>
        <w:t>of Ecumenical Studies</w:t>
      </w:r>
      <w:r w:rsidRPr="00FB2D03">
        <w:rPr>
          <w:color w:val="000000" w:themeColor="text1"/>
          <w:lang w:val="en-AU"/>
        </w:rPr>
        <w:t xml:space="preserve"> 13 (1976): 586–94.</w:t>
      </w:r>
    </w:p>
    <w:p w14:paraId="47673917" w14:textId="77777777" w:rsidR="00412D77" w:rsidRPr="00FB2D03" w:rsidRDefault="00412D77" w:rsidP="00412D77">
      <w:pPr>
        <w:tabs>
          <w:tab w:val="left" w:pos="5616"/>
        </w:tabs>
        <w:rPr>
          <w:color w:val="000000" w:themeColor="text1"/>
          <w:lang w:val="en-AU"/>
        </w:rPr>
      </w:pPr>
    </w:p>
    <w:p w14:paraId="359068E0" w14:textId="77777777" w:rsidR="00E56DFF" w:rsidRPr="00FB2D03" w:rsidRDefault="00412D77" w:rsidP="00412D77">
      <w:pPr>
        <w:tabs>
          <w:tab w:val="left" w:pos="5616"/>
        </w:tabs>
        <w:rPr>
          <w:color w:val="000000" w:themeColor="text1"/>
          <w:lang w:val="en-AU"/>
        </w:rPr>
      </w:pPr>
      <w:r w:rsidRPr="00FB2D03">
        <w:rPr>
          <w:color w:val="000000" w:themeColor="text1"/>
          <w:lang w:val="en-AU"/>
        </w:rPr>
        <w:t>Sukenik, Eleazar Lipa, ed., </w:t>
      </w:r>
      <w:r w:rsidRPr="00FB2D03">
        <w:rPr>
          <w:i/>
          <w:color w:val="000000" w:themeColor="text1"/>
          <w:lang w:val="en-AU"/>
        </w:rPr>
        <w:t>The Dead Sea Scrolls of The Hebrew University</w:t>
      </w:r>
      <w:r w:rsidRPr="00FB2D03">
        <w:rPr>
          <w:color w:val="000000" w:themeColor="text1"/>
          <w:lang w:val="en-AU"/>
        </w:rPr>
        <w:t xml:space="preserve">. Jerusalem: The </w:t>
      </w:r>
    </w:p>
    <w:p w14:paraId="5E05F3C8" w14:textId="5A882F6E" w:rsidR="00412D77" w:rsidRPr="00FB2D03" w:rsidRDefault="00412D77" w:rsidP="00E56DFF">
      <w:pPr>
        <w:tabs>
          <w:tab w:val="left" w:pos="5616"/>
        </w:tabs>
        <w:ind w:left="720"/>
        <w:rPr>
          <w:color w:val="000000" w:themeColor="text1"/>
          <w:lang w:val="en-AU"/>
        </w:rPr>
      </w:pPr>
      <w:r w:rsidRPr="00FB2D03">
        <w:rPr>
          <w:color w:val="000000" w:themeColor="text1"/>
          <w:lang w:val="en-AU"/>
        </w:rPr>
        <w:t>Magnes Press, 1955.</w:t>
      </w:r>
    </w:p>
    <w:p w14:paraId="256623FD" w14:textId="77777777" w:rsidR="00412D77" w:rsidRPr="00FB2D03" w:rsidRDefault="00412D77" w:rsidP="00412D77">
      <w:pPr>
        <w:tabs>
          <w:tab w:val="left" w:pos="5616"/>
        </w:tabs>
        <w:rPr>
          <w:color w:val="000000" w:themeColor="text1"/>
          <w:lang w:val="en-AU"/>
        </w:rPr>
      </w:pPr>
    </w:p>
    <w:p w14:paraId="2C39C013"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Swartley, William. </w:t>
      </w:r>
      <w:r w:rsidRPr="00FB2D03">
        <w:rPr>
          <w:i/>
          <w:color w:val="000000" w:themeColor="text1"/>
          <w:lang w:val="en-AU"/>
        </w:rPr>
        <w:t xml:space="preserve">Covenant of Peace: The Missing Peace in New Testament Theology and </w:t>
      </w:r>
    </w:p>
    <w:p w14:paraId="5A7F5CB4" w14:textId="26126F04" w:rsidR="00412D77" w:rsidRPr="00FB2D03" w:rsidRDefault="00412D77" w:rsidP="00E56DFF">
      <w:pPr>
        <w:tabs>
          <w:tab w:val="left" w:pos="5616"/>
        </w:tabs>
        <w:ind w:left="720"/>
        <w:rPr>
          <w:color w:val="000000" w:themeColor="text1"/>
          <w:lang w:val="en-AU"/>
        </w:rPr>
      </w:pPr>
      <w:r w:rsidRPr="00FB2D03">
        <w:rPr>
          <w:i/>
          <w:color w:val="000000" w:themeColor="text1"/>
          <w:lang w:val="en-AU"/>
        </w:rPr>
        <w:lastRenderedPageBreak/>
        <w:t>Ethics</w:t>
      </w:r>
      <w:r w:rsidRPr="00FB2D03">
        <w:rPr>
          <w:color w:val="000000" w:themeColor="text1"/>
          <w:lang w:val="en-AU"/>
        </w:rPr>
        <w:t>. Grand Rapids: Eerdmans, 2006.</w:t>
      </w:r>
    </w:p>
    <w:p w14:paraId="63143D48" w14:textId="77777777" w:rsidR="00412D77" w:rsidRPr="00FB2D03" w:rsidRDefault="00412D77" w:rsidP="00412D77">
      <w:pPr>
        <w:tabs>
          <w:tab w:val="left" w:pos="5616"/>
        </w:tabs>
        <w:rPr>
          <w:color w:val="000000" w:themeColor="text1"/>
          <w:lang w:val="en-AU"/>
        </w:rPr>
      </w:pPr>
    </w:p>
    <w:p w14:paraId="548F5DAB"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Slavery, Sabbath, War and Women: Case Issues in Biblical Interpretation.</w:t>
      </w:r>
      <w:r w:rsidRPr="00FB2D03">
        <w:rPr>
          <w:color w:val="000000" w:themeColor="text1"/>
          <w:lang w:val="en-AU"/>
        </w:rPr>
        <w:t xml:space="preserve"> </w:t>
      </w:r>
    </w:p>
    <w:p w14:paraId="1A7FCF78" w14:textId="4A55B1B6" w:rsidR="00412D77" w:rsidRPr="00FB2D03" w:rsidRDefault="00412D77" w:rsidP="00E56DFF">
      <w:pPr>
        <w:tabs>
          <w:tab w:val="left" w:pos="5616"/>
        </w:tabs>
        <w:ind w:left="720"/>
        <w:rPr>
          <w:color w:val="000000" w:themeColor="text1"/>
          <w:lang w:val="en-AU"/>
        </w:rPr>
      </w:pPr>
      <w:r w:rsidRPr="00FB2D03">
        <w:rPr>
          <w:color w:val="000000" w:themeColor="text1"/>
          <w:lang w:val="en-AU"/>
        </w:rPr>
        <w:t>Scottdale: Herald Press, 1983.</w:t>
      </w:r>
    </w:p>
    <w:p w14:paraId="3447000B" w14:textId="77777777" w:rsidR="00412D77" w:rsidRPr="00FB2D03" w:rsidRDefault="00412D77" w:rsidP="00412D77">
      <w:pPr>
        <w:tabs>
          <w:tab w:val="left" w:pos="5616"/>
        </w:tabs>
        <w:rPr>
          <w:color w:val="000000" w:themeColor="text1"/>
          <w:lang w:val="en-AU"/>
        </w:rPr>
      </w:pPr>
    </w:p>
    <w:p w14:paraId="193AB872"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Sweeney, Marvin A. “The Reconceptualization of the Davidic Covenant in Isaiah.” In </w:t>
      </w:r>
      <w:r w:rsidRPr="00FB2D03">
        <w:rPr>
          <w:i/>
          <w:color w:val="000000" w:themeColor="text1"/>
          <w:lang w:val="en-AU"/>
        </w:rPr>
        <w:t xml:space="preserve">Studies </w:t>
      </w:r>
    </w:p>
    <w:p w14:paraId="22D96A7C" w14:textId="09158277" w:rsidR="00412D77" w:rsidRPr="00FB2D03" w:rsidRDefault="00412D77" w:rsidP="00E56DFF">
      <w:pPr>
        <w:tabs>
          <w:tab w:val="left" w:pos="5616"/>
        </w:tabs>
        <w:ind w:left="720"/>
        <w:rPr>
          <w:color w:val="000000" w:themeColor="text1"/>
          <w:lang w:val="en-AU"/>
        </w:rPr>
      </w:pPr>
      <w:r w:rsidRPr="00FB2D03">
        <w:rPr>
          <w:i/>
          <w:color w:val="000000" w:themeColor="text1"/>
          <w:lang w:val="en-AU"/>
        </w:rPr>
        <w:t xml:space="preserve">in the Book of Isaiah: Festschrift Willem A. M. Beuken, </w:t>
      </w:r>
      <w:r w:rsidRPr="00FB2D03">
        <w:rPr>
          <w:color w:val="000000" w:themeColor="text1"/>
          <w:lang w:val="en-AU"/>
        </w:rPr>
        <w:t>ed. J.T.A.G.M. van Ruiten and Marc Vervenne, 41-61. Leuven: Leuven University Press, 1997.</w:t>
      </w:r>
    </w:p>
    <w:p w14:paraId="09D6CB47" w14:textId="77777777" w:rsidR="00412D77" w:rsidRPr="00FB2D03" w:rsidRDefault="00412D77" w:rsidP="00412D77">
      <w:pPr>
        <w:tabs>
          <w:tab w:val="left" w:pos="5616"/>
        </w:tabs>
        <w:rPr>
          <w:color w:val="000000" w:themeColor="text1"/>
          <w:lang w:val="en-AU"/>
        </w:rPr>
      </w:pPr>
    </w:p>
    <w:p w14:paraId="10410710"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Szlechter, Emile. </w:t>
      </w:r>
      <w:r w:rsidRPr="00FB2D03">
        <w:rPr>
          <w:i/>
          <w:color w:val="000000" w:themeColor="text1"/>
          <w:lang w:val="en-AU"/>
        </w:rPr>
        <w:t xml:space="preserve">Les Lois d’Eshnunna. </w:t>
      </w:r>
      <w:r w:rsidRPr="00FB2D03">
        <w:rPr>
          <w:color w:val="000000" w:themeColor="text1"/>
          <w:lang w:val="en-AU"/>
        </w:rPr>
        <w:t>Paris: Recueil Sirey, 1954.</w:t>
      </w:r>
    </w:p>
    <w:p w14:paraId="29B8A0FE" w14:textId="77777777" w:rsidR="00412D77" w:rsidRPr="00FB2D03" w:rsidRDefault="00412D77" w:rsidP="00412D77">
      <w:pPr>
        <w:tabs>
          <w:tab w:val="left" w:pos="5616"/>
        </w:tabs>
        <w:rPr>
          <w:color w:val="000000" w:themeColor="text1"/>
          <w:lang w:val="en-AU"/>
        </w:rPr>
      </w:pPr>
    </w:p>
    <w:p w14:paraId="4F6186BB"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Talbert, Andrew R. “The Synonymous Rendering of Aristotelian Φιλέω with Ἀγαπάω in the </w:t>
      </w:r>
    </w:p>
    <w:p w14:paraId="2B05023F" w14:textId="17165903" w:rsidR="00412D77" w:rsidRPr="00FB2D03" w:rsidRDefault="00412D77" w:rsidP="00E56DFF">
      <w:pPr>
        <w:tabs>
          <w:tab w:val="left" w:pos="5616"/>
        </w:tabs>
        <w:ind w:left="720"/>
        <w:rPr>
          <w:color w:val="000000" w:themeColor="text1"/>
          <w:lang w:val="en-AU"/>
        </w:rPr>
      </w:pPr>
      <w:r w:rsidRPr="00FB2D03">
        <w:rPr>
          <w:color w:val="000000" w:themeColor="text1"/>
          <w:lang w:val="en-AU"/>
        </w:rPr>
        <w:t>Gospel of John.” </w:t>
      </w:r>
      <w:r w:rsidRPr="00FB2D03">
        <w:rPr>
          <w:i/>
          <w:color w:val="000000" w:themeColor="text1"/>
          <w:lang w:val="en-AU"/>
        </w:rPr>
        <w:t>Journal of Greco-Roman Christianity and Judaism</w:t>
      </w:r>
      <w:r w:rsidRPr="00FB2D03">
        <w:rPr>
          <w:color w:val="000000" w:themeColor="text1"/>
          <w:lang w:val="en-AU"/>
        </w:rPr>
        <w:t> 16 (2020): 9–29. </w:t>
      </w:r>
    </w:p>
    <w:p w14:paraId="7A33F9C8" w14:textId="77777777" w:rsidR="00412D77" w:rsidRPr="00FB2D03" w:rsidRDefault="00412D77" w:rsidP="00412D77">
      <w:pPr>
        <w:tabs>
          <w:tab w:val="left" w:pos="5616"/>
        </w:tabs>
        <w:rPr>
          <w:color w:val="000000" w:themeColor="text1"/>
          <w:lang w:val="en-AU"/>
        </w:rPr>
      </w:pPr>
    </w:p>
    <w:p w14:paraId="37027820" w14:textId="6D53903D" w:rsidR="00412D77" w:rsidRPr="00FB2D03" w:rsidRDefault="00412D77" w:rsidP="00412D77">
      <w:pPr>
        <w:tabs>
          <w:tab w:val="left" w:pos="5616"/>
        </w:tabs>
        <w:rPr>
          <w:color w:val="000000" w:themeColor="text1"/>
          <w:lang w:val="en-AU"/>
        </w:rPr>
      </w:pPr>
      <w:r w:rsidRPr="00FB2D03">
        <w:rPr>
          <w:color w:val="000000" w:themeColor="text1"/>
          <w:lang w:val="en-AU"/>
        </w:rPr>
        <w:t>Talbert, Charles H. “Matthew 11:2–24.” </w:t>
      </w:r>
      <w:r w:rsidRPr="00FB2D03">
        <w:rPr>
          <w:i/>
          <w:color w:val="000000" w:themeColor="text1"/>
          <w:lang w:val="en-AU"/>
        </w:rPr>
        <w:t>Interpretation</w:t>
      </w:r>
      <w:r w:rsidRPr="00FB2D03">
        <w:rPr>
          <w:color w:val="000000" w:themeColor="text1"/>
          <w:lang w:val="en-AU"/>
        </w:rPr>
        <w:t> 64 (2010): 406–08.</w:t>
      </w:r>
    </w:p>
    <w:p w14:paraId="74C730E0" w14:textId="77777777" w:rsidR="00412D77" w:rsidRPr="00FB2D03" w:rsidRDefault="00412D77" w:rsidP="00412D77">
      <w:pPr>
        <w:tabs>
          <w:tab w:val="left" w:pos="5616"/>
        </w:tabs>
        <w:rPr>
          <w:color w:val="000000" w:themeColor="text1"/>
          <w:lang w:val="en-AU"/>
        </w:rPr>
      </w:pPr>
    </w:p>
    <w:p w14:paraId="18AAE5A2" w14:textId="77777777" w:rsidR="00412D77" w:rsidRPr="00FB2D03" w:rsidRDefault="00412D77" w:rsidP="00412D77">
      <w:pPr>
        <w:tabs>
          <w:tab w:val="left" w:pos="5616"/>
        </w:tabs>
        <w:rPr>
          <w:color w:val="000000" w:themeColor="text1"/>
          <w:lang w:val="en-AU"/>
        </w:rPr>
      </w:pPr>
      <w:r w:rsidRPr="00FB2D03">
        <w:rPr>
          <w:color w:val="000000" w:themeColor="text1"/>
          <w:lang w:val="en-AU"/>
        </w:rPr>
        <w:t>________. </w:t>
      </w:r>
      <w:r w:rsidRPr="00FB2D03">
        <w:rPr>
          <w:i/>
          <w:color w:val="000000" w:themeColor="text1"/>
          <w:lang w:val="en-AU"/>
        </w:rPr>
        <w:t>Reading the Sermon on the Mount</w:t>
      </w:r>
      <w:r w:rsidRPr="00FB2D03">
        <w:rPr>
          <w:color w:val="000000" w:themeColor="text1"/>
          <w:lang w:val="en-AU"/>
        </w:rPr>
        <w:t>. Grand Rapids: Baker Academic, 2006.</w:t>
      </w:r>
    </w:p>
    <w:p w14:paraId="6F382CD3" w14:textId="77777777" w:rsidR="00412D77" w:rsidRPr="00FB2D03" w:rsidRDefault="00412D77" w:rsidP="00412D77">
      <w:pPr>
        <w:tabs>
          <w:tab w:val="left" w:pos="5616"/>
        </w:tabs>
        <w:rPr>
          <w:color w:val="000000" w:themeColor="text1"/>
          <w:lang w:val="en-AU"/>
        </w:rPr>
      </w:pPr>
    </w:p>
    <w:p w14:paraId="591C849A" w14:textId="77777777" w:rsidR="00412D77" w:rsidRPr="00FB2D03" w:rsidRDefault="00412D77" w:rsidP="00412D77">
      <w:pPr>
        <w:tabs>
          <w:tab w:val="left" w:pos="5616"/>
        </w:tabs>
        <w:rPr>
          <w:color w:val="000000" w:themeColor="text1"/>
          <w:lang w:val="en-AU"/>
        </w:rPr>
      </w:pPr>
      <w:r w:rsidRPr="00FB2D03">
        <w:rPr>
          <w:color w:val="000000" w:themeColor="text1"/>
          <w:lang w:val="en-AU"/>
        </w:rPr>
        <w:t>Tamari, Meir</w:t>
      </w:r>
      <w:r w:rsidRPr="00FB2D03">
        <w:rPr>
          <w:i/>
          <w:color w:val="000000" w:themeColor="text1"/>
          <w:lang w:val="en-AU"/>
        </w:rPr>
        <w:t>. With All Your Possessions</w:t>
      </w:r>
      <w:r w:rsidRPr="00FB2D03">
        <w:rPr>
          <w:color w:val="000000" w:themeColor="text1"/>
          <w:lang w:val="en-AU"/>
        </w:rPr>
        <w:t>. Northvale: Jason Aronson, 1998.</w:t>
      </w:r>
    </w:p>
    <w:p w14:paraId="3617DBCA" w14:textId="77777777" w:rsidR="00412D77" w:rsidRPr="00FB2D03" w:rsidRDefault="00412D77" w:rsidP="00412D77">
      <w:pPr>
        <w:tabs>
          <w:tab w:val="left" w:pos="5616"/>
        </w:tabs>
        <w:rPr>
          <w:color w:val="000000" w:themeColor="text1"/>
          <w:lang w:val="en-AU"/>
        </w:rPr>
      </w:pPr>
    </w:p>
    <w:p w14:paraId="4C57B809"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Al Chet: Sins in the Market Place</w:t>
      </w:r>
      <w:r w:rsidRPr="00FB2D03">
        <w:rPr>
          <w:color w:val="000000" w:themeColor="text1"/>
          <w:lang w:val="en-AU"/>
        </w:rPr>
        <w:t>. Brooklyn: The Judaica Press, 1996.</w:t>
      </w:r>
    </w:p>
    <w:p w14:paraId="5C3C2170" w14:textId="77777777" w:rsidR="00412D77" w:rsidRPr="00FB2D03" w:rsidRDefault="00412D77" w:rsidP="00412D77">
      <w:pPr>
        <w:tabs>
          <w:tab w:val="left" w:pos="5616"/>
        </w:tabs>
        <w:rPr>
          <w:color w:val="000000" w:themeColor="text1"/>
          <w:lang w:val="en-AU"/>
        </w:rPr>
      </w:pPr>
    </w:p>
    <w:p w14:paraId="09DB9C4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Tannehill, Robert C. </w:t>
      </w:r>
      <w:r w:rsidRPr="00FB2D03">
        <w:rPr>
          <w:i/>
          <w:color w:val="000000" w:themeColor="text1"/>
          <w:lang w:val="en-AU"/>
        </w:rPr>
        <w:t>The Sword of His Mouth</w:t>
      </w:r>
      <w:r w:rsidRPr="00FB2D03">
        <w:rPr>
          <w:color w:val="000000" w:themeColor="text1"/>
          <w:lang w:val="en-AU"/>
        </w:rPr>
        <w:t>. Philadelphia: Fortress Press, 1981.</w:t>
      </w:r>
    </w:p>
    <w:p w14:paraId="49083547" w14:textId="77777777" w:rsidR="00412D77" w:rsidRPr="00FB2D03" w:rsidRDefault="00412D77" w:rsidP="00412D77">
      <w:pPr>
        <w:tabs>
          <w:tab w:val="left" w:pos="5616"/>
        </w:tabs>
        <w:rPr>
          <w:color w:val="000000" w:themeColor="text1"/>
          <w:lang w:val="en-AU"/>
        </w:rPr>
      </w:pPr>
    </w:p>
    <w:p w14:paraId="3EABACA7"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Tantelvskij, Igor R. “Etymology of ‘Essenes’ in the Light of Qumran Messianic </w:t>
      </w:r>
    </w:p>
    <w:p w14:paraId="5AF0AF92" w14:textId="4F81B939" w:rsidR="00412D77" w:rsidRPr="00FB2D03" w:rsidRDefault="00412D77" w:rsidP="00E56DFF">
      <w:pPr>
        <w:tabs>
          <w:tab w:val="left" w:pos="5616"/>
        </w:tabs>
        <w:ind w:left="720"/>
        <w:rPr>
          <w:color w:val="000000" w:themeColor="text1"/>
          <w:lang w:val="en-AU"/>
        </w:rPr>
      </w:pPr>
      <w:r w:rsidRPr="00FB2D03">
        <w:rPr>
          <w:color w:val="000000" w:themeColor="text1"/>
          <w:lang w:val="en-AU"/>
        </w:rPr>
        <w:t>Expectation.” </w:t>
      </w:r>
      <w:r w:rsidRPr="00FB2D03">
        <w:rPr>
          <w:i/>
          <w:color w:val="000000" w:themeColor="text1"/>
          <w:lang w:val="en-AU"/>
        </w:rPr>
        <w:t>Qumran Chronicle</w:t>
      </w:r>
      <w:r w:rsidRPr="00FB2D03">
        <w:rPr>
          <w:color w:val="000000" w:themeColor="text1"/>
          <w:lang w:val="en-AU"/>
        </w:rPr>
        <w:t> 8 (1999): 195–212.</w:t>
      </w:r>
    </w:p>
    <w:p w14:paraId="5E8C5884" w14:textId="77777777" w:rsidR="00412D77" w:rsidRPr="00FB2D03" w:rsidRDefault="00412D77" w:rsidP="00412D77">
      <w:pPr>
        <w:tabs>
          <w:tab w:val="left" w:pos="5616"/>
        </w:tabs>
        <w:rPr>
          <w:color w:val="000000" w:themeColor="text1"/>
          <w:lang w:val="en-AU"/>
        </w:rPr>
      </w:pPr>
    </w:p>
    <w:p w14:paraId="51A7169D"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Tassin, Claude. “Qumrân et Jésus: quelle comparaison?” In </w:t>
      </w:r>
      <w:r w:rsidRPr="00FB2D03">
        <w:rPr>
          <w:i/>
          <w:color w:val="000000" w:themeColor="text1"/>
          <w:lang w:val="en-AU"/>
        </w:rPr>
        <w:t xml:space="preserve">Jésus de Qumrân à l’évangile de </w:t>
      </w:r>
    </w:p>
    <w:p w14:paraId="492CB00C" w14:textId="2C8050C3" w:rsidR="00412D77" w:rsidRPr="00FB2D03" w:rsidRDefault="00412D77" w:rsidP="00E56DFF">
      <w:pPr>
        <w:tabs>
          <w:tab w:val="left" w:pos="5616"/>
        </w:tabs>
        <w:ind w:left="720"/>
        <w:rPr>
          <w:color w:val="000000" w:themeColor="text1"/>
          <w:lang w:val="en-AU"/>
        </w:rPr>
      </w:pPr>
      <w:r w:rsidRPr="00FB2D03">
        <w:rPr>
          <w:i/>
          <w:color w:val="000000" w:themeColor="text1"/>
          <w:lang w:val="en-AU"/>
        </w:rPr>
        <w:t>Thomas</w:t>
      </w:r>
      <w:r w:rsidRPr="00FB2D03">
        <w:rPr>
          <w:color w:val="000000" w:themeColor="text1"/>
          <w:lang w:val="en-AU"/>
        </w:rPr>
        <w:t>, ed. Alain Houziaux, 95–110. Paris: Bayard, 1999.</w:t>
      </w:r>
    </w:p>
    <w:p w14:paraId="526A8C02" w14:textId="77777777" w:rsidR="00412D77" w:rsidRPr="00FB2D03" w:rsidRDefault="00412D77" w:rsidP="00412D77">
      <w:pPr>
        <w:tabs>
          <w:tab w:val="left" w:pos="5616"/>
        </w:tabs>
        <w:rPr>
          <w:color w:val="000000" w:themeColor="text1"/>
          <w:lang w:val="en-AU"/>
        </w:rPr>
      </w:pPr>
    </w:p>
    <w:p w14:paraId="08B31FE1"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Taylor, Joan E. </w:t>
      </w:r>
      <w:r w:rsidRPr="00FB2D03">
        <w:rPr>
          <w:i/>
          <w:color w:val="000000" w:themeColor="text1"/>
          <w:lang w:val="en-AU"/>
        </w:rPr>
        <w:t>The Essenes, the Scrolls, and the Dead Sea</w:t>
      </w:r>
      <w:r w:rsidRPr="00FB2D03">
        <w:rPr>
          <w:color w:val="000000" w:themeColor="text1"/>
          <w:lang w:val="en-AU"/>
        </w:rPr>
        <w:t xml:space="preserve">. Oxford: Oxford University Press, </w:t>
      </w:r>
    </w:p>
    <w:p w14:paraId="5C8A05C9" w14:textId="1EE31541" w:rsidR="00412D77" w:rsidRPr="00FB2D03" w:rsidRDefault="00412D77" w:rsidP="00E56DFF">
      <w:pPr>
        <w:tabs>
          <w:tab w:val="left" w:pos="5616"/>
        </w:tabs>
        <w:ind w:left="720"/>
        <w:rPr>
          <w:color w:val="000000" w:themeColor="text1"/>
          <w:lang w:val="en-AU"/>
        </w:rPr>
      </w:pPr>
      <w:r w:rsidRPr="00FB2D03">
        <w:rPr>
          <w:color w:val="000000" w:themeColor="text1"/>
          <w:lang w:val="en-AU"/>
        </w:rPr>
        <w:t xml:space="preserve">2012. </w:t>
      </w:r>
    </w:p>
    <w:p w14:paraId="360CE0CA" w14:textId="77777777" w:rsidR="00412D77" w:rsidRPr="00FB2D03" w:rsidRDefault="00412D77" w:rsidP="00412D77">
      <w:pPr>
        <w:tabs>
          <w:tab w:val="left" w:pos="5616"/>
        </w:tabs>
        <w:rPr>
          <w:color w:val="000000" w:themeColor="text1"/>
          <w:lang w:val="en-AU"/>
        </w:rPr>
      </w:pPr>
    </w:p>
    <w:p w14:paraId="2718670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Immerser</w:t>
      </w:r>
      <w:r w:rsidRPr="00FB2D03">
        <w:rPr>
          <w:color w:val="000000" w:themeColor="text1"/>
          <w:lang w:val="en-AU"/>
        </w:rPr>
        <w:t xml:space="preserve">. Grand Rapids: Eerdmands, 1997. </w:t>
      </w:r>
    </w:p>
    <w:p w14:paraId="6E350926" w14:textId="77777777" w:rsidR="00412D77" w:rsidRPr="00FB2D03" w:rsidRDefault="00412D77" w:rsidP="00412D77">
      <w:pPr>
        <w:tabs>
          <w:tab w:val="left" w:pos="5616"/>
        </w:tabs>
        <w:rPr>
          <w:color w:val="000000" w:themeColor="text1"/>
          <w:lang w:val="en-AU"/>
        </w:rPr>
      </w:pPr>
    </w:p>
    <w:p w14:paraId="03ACEAF3"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“John the Baptist and the Essenes.” </w:t>
      </w:r>
      <w:r w:rsidRPr="00FB2D03">
        <w:rPr>
          <w:i/>
          <w:color w:val="000000" w:themeColor="text1"/>
          <w:lang w:val="en-AU"/>
        </w:rPr>
        <w:t>Journal of Jewish Studies</w:t>
      </w:r>
      <w:r w:rsidRPr="00FB2D03">
        <w:rPr>
          <w:color w:val="000000" w:themeColor="text1"/>
          <w:lang w:val="en-AU"/>
        </w:rPr>
        <w:t xml:space="preserve"> 47 (1996): 278.</w:t>
      </w:r>
    </w:p>
    <w:p w14:paraId="1BBE0E5F" w14:textId="77777777" w:rsidR="00412D77" w:rsidRPr="00FB2D03" w:rsidRDefault="00412D77" w:rsidP="00412D77">
      <w:pPr>
        <w:tabs>
          <w:tab w:val="left" w:pos="5616"/>
        </w:tabs>
        <w:rPr>
          <w:color w:val="000000" w:themeColor="text1"/>
          <w:lang w:val="en-AU"/>
        </w:rPr>
      </w:pPr>
    </w:p>
    <w:p w14:paraId="02BC9429"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________. “The Cemeteries of Khirbet Qumran and Women’s Presence at the Site.” </w:t>
      </w:r>
      <w:r w:rsidRPr="00FB2D03">
        <w:rPr>
          <w:i/>
          <w:color w:val="000000" w:themeColor="text1"/>
          <w:lang w:val="en-AU"/>
        </w:rPr>
        <w:t xml:space="preserve">Dead </w:t>
      </w:r>
    </w:p>
    <w:p w14:paraId="653A1EC9" w14:textId="694F75A1" w:rsidR="00412D77" w:rsidRPr="00FB2D03" w:rsidRDefault="00412D77" w:rsidP="00E56DFF">
      <w:pPr>
        <w:tabs>
          <w:tab w:val="left" w:pos="5616"/>
        </w:tabs>
        <w:ind w:left="720"/>
        <w:rPr>
          <w:color w:val="000000" w:themeColor="text1"/>
          <w:lang w:val="en-AU"/>
        </w:rPr>
      </w:pPr>
      <w:r w:rsidRPr="00FB2D03">
        <w:rPr>
          <w:i/>
          <w:color w:val="000000" w:themeColor="text1"/>
          <w:lang w:val="en-AU"/>
        </w:rPr>
        <w:t>Sea Discoveries</w:t>
      </w:r>
      <w:r w:rsidRPr="00FB2D03">
        <w:rPr>
          <w:color w:val="000000" w:themeColor="text1"/>
          <w:lang w:val="en-AU"/>
        </w:rPr>
        <w:t xml:space="preserve"> 6 (1999)</w:t>
      </w:r>
      <w:r w:rsidR="00013BF9" w:rsidRPr="00FB2D03">
        <w:rPr>
          <w:color w:val="000000" w:themeColor="text1"/>
          <w:lang w:val="en-AU"/>
        </w:rPr>
        <w:t>:</w:t>
      </w:r>
      <w:r w:rsidRPr="00FB2D03">
        <w:rPr>
          <w:color w:val="000000" w:themeColor="text1"/>
          <w:lang w:val="en-AU"/>
        </w:rPr>
        <w:t xml:space="preserve"> 285–323.</w:t>
      </w:r>
    </w:p>
    <w:p w14:paraId="01BC01C7" w14:textId="77777777" w:rsidR="00412D77" w:rsidRPr="00FB2D03" w:rsidRDefault="00412D77" w:rsidP="00412D77">
      <w:pPr>
        <w:tabs>
          <w:tab w:val="left" w:pos="5616"/>
        </w:tabs>
        <w:rPr>
          <w:color w:val="000000" w:themeColor="text1"/>
          <w:lang w:val="en-AU"/>
        </w:rPr>
      </w:pPr>
    </w:p>
    <w:p w14:paraId="249CF354"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Telushkin, Joseph. </w:t>
      </w:r>
      <w:r w:rsidRPr="00FB2D03">
        <w:rPr>
          <w:i/>
          <w:color w:val="000000" w:themeColor="text1"/>
          <w:lang w:val="en-AU"/>
        </w:rPr>
        <w:t>A Code of Jewish Ethics</w:t>
      </w:r>
      <w:r w:rsidRPr="00FB2D03">
        <w:rPr>
          <w:color w:val="000000" w:themeColor="text1"/>
          <w:lang w:val="en-AU"/>
        </w:rPr>
        <w:t>. Vols. 1 and 2. New York: Bell Tower, 2009.</w:t>
      </w:r>
    </w:p>
    <w:p w14:paraId="342FB4A9" w14:textId="77777777" w:rsidR="00412D77" w:rsidRPr="00FB2D03" w:rsidRDefault="00412D77" w:rsidP="00412D77">
      <w:pPr>
        <w:tabs>
          <w:tab w:val="left" w:pos="5616"/>
        </w:tabs>
        <w:rPr>
          <w:color w:val="000000" w:themeColor="text1"/>
          <w:lang w:val="en-AU"/>
        </w:rPr>
      </w:pPr>
    </w:p>
    <w:p w14:paraId="43C2B50F"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Thayer, Joseph H. </w:t>
      </w:r>
      <w:r w:rsidRPr="00FB2D03">
        <w:rPr>
          <w:i/>
          <w:color w:val="000000" w:themeColor="text1"/>
          <w:lang w:val="en-AU"/>
        </w:rPr>
        <w:t>Thayer’s Greek–English Lexicon of the New Testament</w:t>
      </w:r>
      <w:r w:rsidRPr="00FB2D03">
        <w:rPr>
          <w:color w:val="000000" w:themeColor="text1"/>
          <w:lang w:val="en-AU"/>
        </w:rPr>
        <w:t xml:space="preserve">. Peabody: </w:t>
      </w:r>
    </w:p>
    <w:p w14:paraId="25328B64" w14:textId="4E4B8F3B" w:rsidR="00412D77" w:rsidRPr="00FB2D03" w:rsidRDefault="00412D77" w:rsidP="00E56DFF">
      <w:pPr>
        <w:tabs>
          <w:tab w:val="left" w:pos="5616"/>
        </w:tabs>
        <w:ind w:left="720"/>
        <w:rPr>
          <w:color w:val="000000" w:themeColor="text1"/>
          <w:lang w:val="en-AU"/>
        </w:rPr>
      </w:pPr>
      <w:r w:rsidRPr="00FB2D03">
        <w:rPr>
          <w:color w:val="000000" w:themeColor="text1"/>
          <w:lang w:val="en-AU"/>
        </w:rPr>
        <w:t>Hendrickson, 2009.</w:t>
      </w:r>
    </w:p>
    <w:p w14:paraId="1F1A468F" w14:textId="77777777" w:rsidR="00412D77" w:rsidRPr="00FB2D03" w:rsidRDefault="00412D77" w:rsidP="00412D77">
      <w:pPr>
        <w:tabs>
          <w:tab w:val="left" w:pos="5616"/>
        </w:tabs>
        <w:rPr>
          <w:color w:val="000000" w:themeColor="text1"/>
          <w:lang w:val="en-AU"/>
        </w:rPr>
      </w:pPr>
    </w:p>
    <w:p w14:paraId="3E0F1A5B" w14:textId="77777777" w:rsidR="00E56DFF" w:rsidRPr="00FB2D03" w:rsidRDefault="00412D77" w:rsidP="00412D77">
      <w:pPr>
        <w:tabs>
          <w:tab w:val="left" w:pos="5616"/>
        </w:tabs>
        <w:rPr>
          <w:color w:val="000000" w:themeColor="text1"/>
          <w:lang w:val="en-AU"/>
        </w:rPr>
      </w:pPr>
      <w:r w:rsidRPr="00FB2D03">
        <w:rPr>
          <w:color w:val="000000" w:themeColor="text1"/>
          <w:lang w:val="en-AU"/>
        </w:rPr>
        <w:t>Thiessen, Matthew. “Jesus and Ritual Impurity.” </w:t>
      </w:r>
      <w:r w:rsidRPr="00FB2D03">
        <w:rPr>
          <w:i/>
          <w:color w:val="000000" w:themeColor="text1"/>
          <w:lang w:val="en-AU"/>
        </w:rPr>
        <w:t>Biblical Archaeology Review</w:t>
      </w:r>
      <w:r w:rsidRPr="00FB2D03">
        <w:rPr>
          <w:color w:val="000000" w:themeColor="text1"/>
          <w:lang w:val="en-AU"/>
        </w:rPr>
        <w:t xml:space="preserve"> 47 (2021): </w:t>
      </w:r>
    </w:p>
    <w:p w14:paraId="4E119D83" w14:textId="41B0FE0D" w:rsidR="00412D77" w:rsidRPr="00FB2D03" w:rsidRDefault="00412D77" w:rsidP="00E56DFF">
      <w:pPr>
        <w:tabs>
          <w:tab w:val="left" w:pos="5616"/>
        </w:tabs>
        <w:ind w:left="720"/>
        <w:rPr>
          <w:color w:val="000000" w:themeColor="text1"/>
          <w:lang w:val="en-AU"/>
        </w:rPr>
      </w:pPr>
      <w:r w:rsidRPr="00FB2D03">
        <w:rPr>
          <w:color w:val="000000" w:themeColor="text1"/>
          <w:lang w:val="en-AU"/>
        </w:rPr>
        <w:t>66–68.</w:t>
      </w:r>
    </w:p>
    <w:p w14:paraId="14D481F6" w14:textId="77777777" w:rsidR="00412D77" w:rsidRPr="00FB2D03" w:rsidRDefault="00412D77" w:rsidP="00412D77">
      <w:pPr>
        <w:tabs>
          <w:tab w:val="left" w:pos="5616"/>
        </w:tabs>
        <w:rPr>
          <w:color w:val="000000" w:themeColor="text1"/>
          <w:lang w:val="en-AU"/>
        </w:rPr>
      </w:pPr>
    </w:p>
    <w:p w14:paraId="4FCA264A"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Thomas, Heath A., Evans, Jeremy A., Copan, Paul, eds. </w:t>
      </w:r>
      <w:r w:rsidRPr="00FB2D03">
        <w:rPr>
          <w:i/>
          <w:color w:val="000000" w:themeColor="text1"/>
          <w:lang w:val="en-AU"/>
        </w:rPr>
        <w:t xml:space="preserve">Holy War in the Bible: Christian </w:t>
      </w:r>
    </w:p>
    <w:p w14:paraId="378A65E7" w14:textId="775D426C" w:rsidR="00412D77" w:rsidRPr="00FB2D03" w:rsidRDefault="00412D77" w:rsidP="00E56DFF">
      <w:pPr>
        <w:tabs>
          <w:tab w:val="left" w:pos="5616"/>
        </w:tabs>
        <w:ind w:left="720"/>
        <w:rPr>
          <w:color w:val="000000" w:themeColor="text1"/>
          <w:lang w:val="en-AU"/>
        </w:rPr>
      </w:pPr>
      <w:r w:rsidRPr="00FB2D03">
        <w:rPr>
          <w:i/>
          <w:color w:val="000000" w:themeColor="text1"/>
          <w:lang w:val="en-AU"/>
        </w:rPr>
        <w:lastRenderedPageBreak/>
        <w:t>Morality and an Old Testament Problem</w:t>
      </w:r>
      <w:r w:rsidRPr="00FB2D03">
        <w:rPr>
          <w:color w:val="000000" w:themeColor="text1"/>
          <w:lang w:val="en-AU"/>
        </w:rPr>
        <w:t xml:space="preserve">. Downers Grove: InterVarsity Press, 2013. </w:t>
      </w:r>
    </w:p>
    <w:p w14:paraId="537416D9" w14:textId="77777777" w:rsidR="00412D77" w:rsidRPr="00FB2D03" w:rsidRDefault="00412D77" w:rsidP="00412D77">
      <w:pPr>
        <w:tabs>
          <w:tab w:val="left" w:pos="5616"/>
        </w:tabs>
        <w:rPr>
          <w:color w:val="000000" w:themeColor="text1"/>
          <w:lang w:val="en-AU"/>
        </w:rPr>
      </w:pPr>
    </w:p>
    <w:p w14:paraId="6B03820D"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Thompson, J. A. </w:t>
      </w:r>
      <w:r w:rsidRPr="00FB2D03">
        <w:rPr>
          <w:i/>
          <w:color w:val="000000" w:themeColor="text1"/>
          <w:lang w:val="en-AU"/>
        </w:rPr>
        <w:t>Deuteronomy: An Introduction and Commentary</w:t>
      </w:r>
      <w:r w:rsidRPr="00FB2D03">
        <w:rPr>
          <w:color w:val="000000" w:themeColor="text1"/>
          <w:lang w:val="en-AU"/>
        </w:rPr>
        <w:t xml:space="preserve">. Leicester: InterVarsity, </w:t>
      </w:r>
    </w:p>
    <w:p w14:paraId="279D6B0F" w14:textId="714479DA" w:rsidR="00412D77" w:rsidRPr="00FB2D03" w:rsidRDefault="00412D77" w:rsidP="00E56DFF">
      <w:pPr>
        <w:tabs>
          <w:tab w:val="left" w:pos="5616"/>
        </w:tabs>
        <w:ind w:left="720"/>
        <w:rPr>
          <w:color w:val="000000" w:themeColor="text1"/>
          <w:lang w:val="en-AU"/>
        </w:rPr>
      </w:pPr>
      <w:r w:rsidRPr="00FB2D03">
        <w:rPr>
          <w:color w:val="000000" w:themeColor="text1"/>
          <w:lang w:val="en-AU"/>
        </w:rPr>
        <w:t>1974.</w:t>
      </w:r>
    </w:p>
    <w:p w14:paraId="5D20EB53" w14:textId="77777777" w:rsidR="00412D77" w:rsidRPr="00FB2D03" w:rsidRDefault="00412D77" w:rsidP="00412D77">
      <w:pPr>
        <w:tabs>
          <w:tab w:val="left" w:pos="5616"/>
        </w:tabs>
        <w:rPr>
          <w:i/>
          <w:color w:val="000000" w:themeColor="text1"/>
          <w:lang w:val="en-AU"/>
        </w:rPr>
      </w:pPr>
    </w:p>
    <w:p w14:paraId="52F0B6E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Tilborg, Sjef van. </w:t>
      </w:r>
      <w:r w:rsidRPr="00FB2D03">
        <w:rPr>
          <w:i/>
          <w:color w:val="000000" w:themeColor="text1"/>
          <w:lang w:val="en-AU"/>
        </w:rPr>
        <w:t>The Jewish Leaders in Matthew</w:t>
      </w:r>
      <w:r w:rsidRPr="00FB2D03">
        <w:rPr>
          <w:color w:val="000000" w:themeColor="text1"/>
          <w:lang w:val="en-AU"/>
        </w:rPr>
        <w:t xml:space="preserve">. Leiden: Brill, 1972. </w:t>
      </w:r>
    </w:p>
    <w:p w14:paraId="77A691E3" w14:textId="77777777" w:rsidR="00412D77" w:rsidRPr="00FB2D03" w:rsidRDefault="00412D77" w:rsidP="00412D77">
      <w:pPr>
        <w:tabs>
          <w:tab w:val="left" w:pos="5616"/>
        </w:tabs>
        <w:rPr>
          <w:color w:val="000000" w:themeColor="text1"/>
          <w:lang w:val="en-AU"/>
        </w:rPr>
      </w:pPr>
    </w:p>
    <w:p w14:paraId="61A2A05E"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Tilling, Fabian. “‘It Is Right to Keep the Secret of a King’ (Tobit 12:7)—the King’s Secret as </w:t>
      </w:r>
    </w:p>
    <w:p w14:paraId="4C37B1F7" w14:textId="1694B2F8" w:rsidR="00412D77" w:rsidRPr="00FB2D03" w:rsidRDefault="00412D77" w:rsidP="00E56DFF">
      <w:pPr>
        <w:tabs>
          <w:tab w:val="left" w:pos="5616"/>
        </w:tabs>
        <w:ind w:left="720"/>
        <w:rPr>
          <w:color w:val="000000" w:themeColor="text1"/>
          <w:lang w:val="en-AU"/>
        </w:rPr>
      </w:pPr>
      <w:r w:rsidRPr="00FB2D03">
        <w:rPr>
          <w:color w:val="000000" w:themeColor="text1"/>
          <w:lang w:val="en-AU"/>
        </w:rPr>
        <w:t>a Metaphor for the Mysterium Dei in Origen.” </w:t>
      </w:r>
      <w:r w:rsidRPr="00FB2D03">
        <w:rPr>
          <w:i/>
          <w:color w:val="000000" w:themeColor="text1"/>
          <w:lang w:val="en-AU"/>
        </w:rPr>
        <w:t>Zeitschrift Für Antikes Christentum / Journal of Ancient Christianity</w:t>
      </w:r>
      <w:r w:rsidRPr="00FB2D03">
        <w:rPr>
          <w:color w:val="000000" w:themeColor="text1"/>
          <w:lang w:val="en-AU"/>
        </w:rPr>
        <w:t> 23 (2019): 101–13.</w:t>
      </w:r>
    </w:p>
    <w:p w14:paraId="0FB33E5B" w14:textId="77777777" w:rsidR="00412D77" w:rsidRPr="00FB2D03" w:rsidRDefault="00412D77" w:rsidP="00412D77">
      <w:pPr>
        <w:tabs>
          <w:tab w:val="left" w:pos="5616"/>
        </w:tabs>
        <w:rPr>
          <w:color w:val="000000" w:themeColor="text1"/>
          <w:lang w:val="en-AU"/>
        </w:rPr>
      </w:pPr>
    </w:p>
    <w:p w14:paraId="6C053535"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Torrance, Alan J. “Forgiveness and Christian Character: Reconciliation, Exemplarism and the </w:t>
      </w:r>
    </w:p>
    <w:p w14:paraId="6A6BD291" w14:textId="2A2F1A00" w:rsidR="00412D77" w:rsidRPr="00FB2D03" w:rsidRDefault="00412D77" w:rsidP="00E56DFF">
      <w:pPr>
        <w:tabs>
          <w:tab w:val="left" w:pos="5616"/>
        </w:tabs>
        <w:ind w:left="720"/>
        <w:rPr>
          <w:color w:val="000000" w:themeColor="text1"/>
          <w:lang w:val="en-AU"/>
        </w:rPr>
      </w:pPr>
      <w:r w:rsidRPr="00FB2D03">
        <w:rPr>
          <w:color w:val="000000" w:themeColor="text1"/>
          <w:lang w:val="en-AU"/>
        </w:rPr>
        <w:t>Shape of Moral Theology.” </w:t>
      </w:r>
      <w:r w:rsidRPr="00FB2D03">
        <w:rPr>
          <w:i/>
          <w:color w:val="000000" w:themeColor="text1"/>
          <w:lang w:val="en-AU"/>
        </w:rPr>
        <w:t>Studies in Christian Ethics</w:t>
      </w:r>
      <w:r w:rsidRPr="00FB2D03">
        <w:rPr>
          <w:color w:val="000000" w:themeColor="text1"/>
          <w:lang w:val="en-AU"/>
        </w:rPr>
        <w:t xml:space="preserve"> 30 (2017): 293–313. </w:t>
      </w:r>
    </w:p>
    <w:p w14:paraId="4579F6A4" w14:textId="77777777" w:rsidR="00412D77" w:rsidRPr="00FB2D03" w:rsidRDefault="00412D77" w:rsidP="00412D77">
      <w:pPr>
        <w:tabs>
          <w:tab w:val="left" w:pos="5616"/>
        </w:tabs>
        <w:rPr>
          <w:color w:val="000000" w:themeColor="text1"/>
          <w:lang w:val="en-AU"/>
        </w:rPr>
      </w:pPr>
    </w:p>
    <w:p w14:paraId="72F7D5FB" w14:textId="77777777" w:rsidR="00412D77" w:rsidRPr="00FB2D03" w:rsidRDefault="00412D77" w:rsidP="00412D77">
      <w:pPr>
        <w:tabs>
          <w:tab w:val="left" w:pos="5616"/>
        </w:tabs>
        <w:rPr>
          <w:color w:val="000000" w:themeColor="text1"/>
          <w:lang w:val="en-AU"/>
        </w:rPr>
      </w:pPr>
      <w:r w:rsidRPr="00FB2D03">
        <w:rPr>
          <w:color w:val="000000" w:themeColor="text1"/>
          <w:lang w:val="en-AU"/>
        </w:rPr>
        <w:t>Touger, Eliyahu.</w:t>
      </w:r>
      <w:r w:rsidRPr="00FB2D03">
        <w:rPr>
          <w:i/>
          <w:color w:val="000000" w:themeColor="text1"/>
          <w:lang w:val="en-AU"/>
        </w:rPr>
        <w:t xml:space="preserve"> Maimonides Pirkei Avot</w:t>
      </w:r>
      <w:r w:rsidRPr="00FB2D03">
        <w:rPr>
          <w:color w:val="000000" w:themeColor="text1"/>
          <w:lang w:val="en-AU"/>
        </w:rPr>
        <w:t>. New York: Moznaim, 1994.</w:t>
      </w:r>
    </w:p>
    <w:p w14:paraId="28D8E74F" w14:textId="77777777" w:rsidR="00412D77" w:rsidRPr="00FB2D03" w:rsidRDefault="00412D77" w:rsidP="00412D77">
      <w:pPr>
        <w:tabs>
          <w:tab w:val="left" w:pos="5616"/>
        </w:tabs>
        <w:rPr>
          <w:color w:val="000000" w:themeColor="text1"/>
          <w:lang w:val="en-AU"/>
        </w:rPr>
      </w:pPr>
    </w:p>
    <w:p w14:paraId="242E958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 </w:t>
      </w:r>
      <w:r w:rsidRPr="00FB2D03">
        <w:rPr>
          <w:i/>
          <w:color w:val="000000" w:themeColor="text1"/>
          <w:lang w:val="en-AU"/>
        </w:rPr>
        <w:t>Pirkei Avot</w:t>
      </w:r>
      <w:r w:rsidRPr="00FB2D03">
        <w:rPr>
          <w:color w:val="000000" w:themeColor="text1"/>
          <w:lang w:val="en-AU"/>
        </w:rPr>
        <w:t>. New York: Moznaim, 1994.</w:t>
      </w:r>
    </w:p>
    <w:p w14:paraId="2A2BD927" w14:textId="77777777" w:rsidR="00412D77" w:rsidRPr="00FB2D03" w:rsidRDefault="00412D77" w:rsidP="00412D77">
      <w:pPr>
        <w:tabs>
          <w:tab w:val="left" w:pos="5616"/>
        </w:tabs>
        <w:rPr>
          <w:color w:val="000000" w:themeColor="text1"/>
          <w:lang w:val="en-AU"/>
        </w:rPr>
      </w:pPr>
    </w:p>
    <w:p w14:paraId="2FAC8E5D"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Travis, Stephen H. </w:t>
      </w:r>
      <w:proofErr w:type="gramStart"/>
      <w:r w:rsidRPr="00FB2D03">
        <w:rPr>
          <w:i/>
          <w:color w:val="000000" w:themeColor="text1"/>
          <w:lang w:val="en-AU"/>
        </w:rPr>
        <w:t>Christ</w:t>
      </w:r>
      <w:proofErr w:type="gramEnd"/>
      <w:r w:rsidRPr="00FB2D03">
        <w:rPr>
          <w:i/>
          <w:color w:val="000000" w:themeColor="text1"/>
          <w:lang w:val="en-AU"/>
        </w:rPr>
        <w:t xml:space="preserve"> and the Judgment of God: The Limits of Divine Retribution in New </w:t>
      </w:r>
    </w:p>
    <w:p w14:paraId="6F3676F8" w14:textId="4DE04464" w:rsidR="00412D77" w:rsidRPr="00FB2D03" w:rsidRDefault="00412D77" w:rsidP="00E56DFF">
      <w:pPr>
        <w:tabs>
          <w:tab w:val="left" w:pos="5616"/>
        </w:tabs>
        <w:ind w:left="720"/>
        <w:rPr>
          <w:color w:val="000000" w:themeColor="text1"/>
          <w:lang w:val="en-AU"/>
        </w:rPr>
      </w:pPr>
      <w:r w:rsidRPr="00FB2D03">
        <w:rPr>
          <w:i/>
          <w:color w:val="000000" w:themeColor="text1"/>
          <w:lang w:val="en-AU"/>
        </w:rPr>
        <w:t xml:space="preserve">Testament Thought. </w:t>
      </w:r>
      <w:r w:rsidRPr="00FB2D03">
        <w:rPr>
          <w:color w:val="000000" w:themeColor="text1"/>
          <w:lang w:val="en-AU"/>
        </w:rPr>
        <w:t xml:space="preserve">Colorado Springs: Paternoster, 2009. </w:t>
      </w:r>
    </w:p>
    <w:p w14:paraId="177F0514" w14:textId="77777777" w:rsidR="00412D77" w:rsidRPr="00FB2D03" w:rsidRDefault="00412D77" w:rsidP="00412D77">
      <w:pPr>
        <w:tabs>
          <w:tab w:val="left" w:pos="5616"/>
        </w:tabs>
        <w:rPr>
          <w:color w:val="000000" w:themeColor="text1"/>
          <w:lang w:val="en-AU"/>
        </w:rPr>
      </w:pPr>
    </w:p>
    <w:p w14:paraId="370EEA69" w14:textId="77777777" w:rsidR="00E56DFF" w:rsidRPr="00FB2D03" w:rsidRDefault="00412D77" w:rsidP="00412D77">
      <w:pPr>
        <w:tabs>
          <w:tab w:val="left" w:pos="5616"/>
        </w:tabs>
        <w:rPr>
          <w:i/>
          <w:color w:val="000000" w:themeColor="text1"/>
          <w:lang w:val="en-AU"/>
        </w:rPr>
      </w:pPr>
      <w:r w:rsidRPr="00FB2D03">
        <w:rPr>
          <w:color w:val="000000" w:themeColor="text1"/>
          <w:lang w:val="en-AU"/>
        </w:rPr>
        <w:t>Trout, Bradley. “Matthew 5:17 and Matthew’s Community.” </w:t>
      </w:r>
      <w:r w:rsidRPr="00FB2D03">
        <w:rPr>
          <w:i/>
          <w:color w:val="000000" w:themeColor="text1"/>
          <w:lang w:val="en-AU"/>
        </w:rPr>
        <w:t xml:space="preserve">Hervormde Teologiese </w:t>
      </w:r>
    </w:p>
    <w:p w14:paraId="7EF282D7" w14:textId="0C5514E2" w:rsidR="00412D77" w:rsidRPr="00FB2D03" w:rsidRDefault="00412D77" w:rsidP="00E56DFF">
      <w:pPr>
        <w:tabs>
          <w:tab w:val="left" w:pos="5616"/>
        </w:tabs>
        <w:ind w:left="720"/>
        <w:rPr>
          <w:color w:val="000000" w:themeColor="text1"/>
          <w:lang w:val="en-AU"/>
        </w:rPr>
      </w:pPr>
      <w:r w:rsidRPr="00FB2D03">
        <w:rPr>
          <w:i/>
          <w:color w:val="000000" w:themeColor="text1"/>
          <w:lang w:val="en-AU"/>
        </w:rPr>
        <w:t>Studies</w:t>
      </w:r>
      <w:r w:rsidRPr="00FB2D03">
        <w:rPr>
          <w:color w:val="000000" w:themeColor="text1"/>
          <w:lang w:val="en-AU"/>
        </w:rPr>
        <w:t> 72 (2016): 1–6.</w:t>
      </w:r>
    </w:p>
    <w:p w14:paraId="3892633F" w14:textId="77777777" w:rsidR="00412D77" w:rsidRPr="00FB2D03" w:rsidRDefault="00412D77" w:rsidP="00412D77">
      <w:pPr>
        <w:tabs>
          <w:tab w:val="left" w:pos="5616"/>
        </w:tabs>
        <w:rPr>
          <w:color w:val="000000" w:themeColor="text1"/>
          <w:lang w:val="en-AU"/>
        </w:rPr>
      </w:pPr>
    </w:p>
    <w:p w14:paraId="039558D0"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Tropper, Amram. ‘‘Tractate Avot and Early Christian Succession Lists,’’ in </w:t>
      </w:r>
      <w:r w:rsidRPr="00FB2D03">
        <w:rPr>
          <w:i/>
          <w:color w:val="000000" w:themeColor="text1"/>
          <w:lang w:val="en-AU"/>
        </w:rPr>
        <w:t xml:space="preserve">The Ways That </w:t>
      </w:r>
    </w:p>
    <w:p w14:paraId="62F64C83" w14:textId="73A45D1F" w:rsidR="00412D77" w:rsidRPr="00FB2D03" w:rsidRDefault="00412D77" w:rsidP="00E56DFF">
      <w:pPr>
        <w:tabs>
          <w:tab w:val="left" w:pos="5616"/>
        </w:tabs>
        <w:ind w:left="720"/>
        <w:rPr>
          <w:color w:val="000000" w:themeColor="text1"/>
          <w:lang w:val="en-AU"/>
        </w:rPr>
      </w:pPr>
      <w:r w:rsidRPr="00FB2D03">
        <w:rPr>
          <w:i/>
          <w:color w:val="000000" w:themeColor="text1"/>
          <w:lang w:val="en-AU"/>
        </w:rPr>
        <w:t xml:space="preserve">Never Parted: Jews and Christians in Late Antiquity and the Early Middle Ages, </w:t>
      </w:r>
      <w:r w:rsidRPr="00FB2D03">
        <w:rPr>
          <w:color w:val="000000" w:themeColor="text1"/>
          <w:lang w:val="en-AU"/>
        </w:rPr>
        <w:t>ed. Adam H. Becker and Annette Yoshiko Reed 161-62. Tübingen: J. C. B. Mohr, 2003.</w:t>
      </w:r>
    </w:p>
    <w:p w14:paraId="1DE23B9F" w14:textId="77777777" w:rsidR="00412D77" w:rsidRPr="00FB2D03" w:rsidRDefault="00412D77" w:rsidP="00412D77">
      <w:pPr>
        <w:tabs>
          <w:tab w:val="left" w:pos="5616"/>
        </w:tabs>
        <w:rPr>
          <w:color w:val="000000" w:themeColor="text1"/>
          <w:lang w:val="en-AU"/>
        </w:rPr>
      </w:pPr>
    </w:p>
    <w:p w14:paraId="0B160A2C" w14:textId="77777777" w:rsidR="00412D77" w:rsidRPr="00FB2D03" w:rsidRDefault="00412D77" w:rsidP="00412D77">
      <w:pPr>
        <w:tabs>
          <w:tab w:val="left" w:pos="5616"/>
        </w:tabs>
        <w:rPr>
          <w:color w:val="000000" w:themeColor="text1"/>
          <w:lang w:val="en-AU"/>
        </w:rPr>
      </w:pPr>
      <w:r w:rsidRPr="00FB2D03">
        <w:rPr>
          <w:color w:val="000000" w:themeColor="text1"/>
          <w:lang w:val="en-AU"/>
        </w:rPr>
        <w:t>________. </w:t>
      </w:r>
      <w:r w:rsidRPr="00FB2D03">
        <w:rPr>
          <w:i/>
          <w:color w:val="000000" w:themeColor="text1"/>
          <w:lang w:val="en-AU"/>
        </w:rPr>
        <w:t>Wisdom, Politics, and Historiography</w:t>
      </w:r>
      <w:r w:rsidRPr="00FB2D03">
        <w:rPr>
          <w:color w:val="000000" w:themeColor="text1"/>
          <w:lang w:val="en-AU"/>
        </w:rPr>
        <w:t>. Oxford: Oxford University Press, 2004.</w:t>
      </w:r>
    </w:p>
    <w:p w14:paraId="6790F16E" w14:textId="77777777" w:rsidR="00412D77" w:rsidRPr="00FB2D03" w:rsidRDefault="00412D77" w:rsidP="00412D77">
      <w:pPr>
        <w:tabs>
          <w:tab w:val="left" w:pos="5616"/>
        </w:tabs>
        <w:rPr>
          <w:color w:val="000000" w:themeColor="text1"/>
          <w:lang w:val="en-AU"/>
        </w:rPr>
      </w:pPr>
    </w:p>
    <w:p w14:paraId="3E8AF2AF"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Tertullian, </w:t>
      </w:r>
      <w:r w:rsidRPr="00FB2D03">
        <w:rPr>
          <w:i/>
          <w:color w:val="000000" w:themeColor="text1"/>
          <w:lang w:val="en-AU"/>
        </w:rPr>
        <w:t>De Corona Militis. The Ante–Nicene Fathers</w:t>
      </w:r>
      <w:r w:rsidRPr="00FB2D03">
        <w:rPr>
          <w:color w:val="000000" w:themeColor="text1"/>
          <w:lang w:val="en-AU"/>
        </w:rPr>
        <w:t>. Grand Rapids: Eerdmans, 1885.</w:t>
      </w:r>
    </w:p>
    <w:p w14:paraId="738D08B9" w14:textId="77777777" w:rsidR="00412D77" w:rsidRPr="00FB2D03" w:rsidRDefault="00412D77" w:rsidP="00412D77">
      <w:pPr>
        <w:tabs>
          <w:tab w:val="left" w:pos="5616"/>
        </w:tabs>
        <w:rPr>
          <w:color w:val="000000" w:themeColor="text1"/>
          <w:lang w:val="en-AU"/>
        </w:rPr>
      </w:pPr>
    </w:p>
    <w:p w14:paraId="69AEC41B"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Troeltsch, Ernst. </w:t>
      </w:r>
      <w:r w:rsidRPr="00FB2D03">
        <w:rPr>
          <w:i/>
          <w:color w:val="000000" w:themeColor="text1"/>
          <w:lang w:val="en-AU"/>
        </w:rPr>
        <w:t>The Social Teaching of the Christian Churches</w:t>
      </w:r>
      <w:r w:rsidRPr="00FB2D03">
        <w:rPr>
          <w:color w:val="000000" w:themeColor="text1"/>
          <w:lang w:val="en-AU"/>
        </w:rPr>
        <w:t xml:space="preserve">. Westminster: John Knox </w:t>
      </w:r>
    </w:p>
    <w:p w14:paraId="0494A9A8" w14:textId="53A12FAC" w:rsidR="00412D77" w:rsidRPr="00FB2D03" w:rsidRDefault="00412D77" w:rsidP="00E56DFF">
      <w:pPr>
        <w:tabs>
          <w:tab w:val="left" w:pos="5616"/>
        </w:tabs>
        <w:ind w:left="720"/>
        <w:rPr>
          <w:color w:val="000000" w:themeColor="text1"/>
          <w:lang w:val="en-AU"/>
        </w:rPr>
      </w:pPr>
      <w:r w:rsidRPr="00FB2D03">
        <w:rPr>
          <w:color w:val="000000" w:themeColor="text1"/>
          <w:lang w:val="en-AU"/>
        </w:rPr>
        <w:t xml:space="preserve">Press, 1992. </w:t>
      </w:r>
    </w:p>
    <w:p w14:paraId="563D3CAA" w14:textId="77777777" w:rsidR="00412D77" w:rsidRPr="00FB2D03" w:rsidRDefault="00412D77" w:rsidP="00412D77">
      <w:pPr>
        <w:tabs>
          <w:tab w:val="left" w:pos="5616"/>
        </w:tabs>
        <w:rPr>
          <w:color w:val="000000" w:themeColor="text1"/>
          <w:lang w:val="en-AU"/>
        </w:rPr>
      </w:pPr>
    </w:p>
    <w:p w14:paraId="21BB690A"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Tukasi, Emmanuel O. </w:t>
      </w:r>
      <w:r w:rsidRPr="00FB2D03">
        <w:rPr>
          <w:i/>
          <w:color w:val="000000" w:themeColor="text1"/>
          <w:lang w:val="en-AU"/>
        </w:rPr>
        <w:t>Determinism and Petitionary Prayer in John and the Dead Sea Scrolls</w:t>
      </w:r>
      <w:r w:rsidRPr="00FB2D03">
        <w:rPr>
          <w:color w:val="000000" w:themeColor="text1"/>
          <w:lang w:val="en-AU"/>
        </w:rPr>
        <w:t xml:space="preserve">. </w:t>
      </w:r>
    </w:p>
    <w:p w14:paraId="064D2D2A" w14:textId="028E2202" w:rsidR="00412D77" w:rsidRPr="00FB2D03" w:rsidRDefault="00412D77" w:rsidP="00E56DFF">
      <w:pPr>
        <w:tabs>
          <w:tab w:val="left" w:pos="5616"/>
        </w:tabs>
        <w:ind w:left="720"/>
        <w:rPr>
          <w:color w:val="000000" w:themeColor="text1"/>
          <w:lang w:val="en-AU"/>
        </w:rPr>
      </w:pPr>
      <w:r w:rsidRPr="00FB2D03">
        <w:rPr>
          <w:color w:val="000000" w:themeColor="text1"/>
          <w:lang w:val="en-AU"/>
        </w:rPr>
        <w:t>London: T &amp; T Clark, 2008.</w:t>
      </w:r>
    </w:p>
    <w:p w14:paraId="59CA4AD8" w14:textId="77777777" w:rsidR="00412D77" w:rsidRPr="00FB2D03" w:rsidRDefault="00412D77" w:rsidP="00412D77">
      <w:pPr>
        <w:tabs>
          <w:tab w:val="left" w:pos="5616"/>
        </w:tabs>
        <w:rPr>
          <w:color w:val="000000" w:themeColor="text1"/>
          <w:lang w:val="en-AU"/>
        </w:rPr>
      </w:pPr>
    </w:p>
    <w:p w14:paraId="15B6C712"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Turan, Sinai (Tamas). “A Neglected Rabbinic Parallel to the Sermon on the Mount (Matthew </w:t>
      </w:r>
    </w:p>
    <w:p w14:paraId="40A62F37" w14:textId="51ADDAFC" w:rsidR="00412D77" w:rsidRPr="00FB2D03" w:rsidRDefault="00412D77" w:rsidP="00E56DFF">
      <w:pPr>
        <w:tabs>
          <w:tab w:val="left" w:pos="5616"/>
        </w:tabs>
        <w:ind w:left="720"/>
        <w:rPr>
          <w:color w:val="000000" w:themeColor="text1"/>
          <w:lang w:val="en-AU"/>
        </w:rPr>
      </w:pPr>
      <w:r w:rsidRPr="00FB2D03">
        <w:rPr>
          <w:color w:val="000000" w:themeColor="text1"/>
          <w:lang w:val="en-AU"/>
        </w:rPr>
        <w:t>6:22-23; Luke 11:34-36).” </w:t>
      </w:r>
      <w:r w:rsidRPr="00FB2D03">
        <w:rPr>
          <w:i/>
          <w:color w:val="000000" w:themeColor="text1"/>
          <w:lang w:val="en-AU"/>
        </w:rPr>
        <w:t>Journal of Biblical Literature</w:t>
      </w:r>
      <w:r w:rsidRPr="00FB2D03">
        <w:rPr>
          <w:color w:val="000000" w:themeColor="text1"/>
          <w:lang w:val="en-AU"/>
        </w:rPr>
        <w:t xml:space="preserve"> 127 (2008): 81–93. </w:t>
      </w:r>
    </w:p>
    <w:p w14:paraId="426E164A" w14:textId="77777777" w:rsidR="00412D77" w:rsidRPr="00FB2D03" w:rsidRDefault="00412D77" w:rsidP="00412D77">
      <w:pPr>
        <w:tabs>
          <w:tab w:val="left" w:pos="5616"/>
        </w:tabs>
        <w:rPr>
          <w:color w:val="000000" w:themeColor="text1"/>
          <w:lang w:val="en-AU"/>
        </w:rPr>
      </w:pPr>
    </w:p>
    <w:p w14:paraId="39F64CFF" w14:textId="77777777" w:rsidR="00E56DFF" w:rsidRPr="00FB2D03" w:rsidRDefault="00412D77" w:rsidP="00412D77">
      <w:pPr>
        <w:tabs>
          <w:tab w:val="left" w:pos="5616"/>
        </w:tabs>
        <w:rPr>
          <w:i/>
          <w:color w:val="000000" w:themeColor="text1"/>
          <w:lang w:val="en-AU"/>
        </w:rPr>
      </w:pPr>
      <w:r w:rsidRPr="00FB2D03">
        <w:rPr>
          <w:color w:val="000000" w:themeColor="text1"/>
          <w:lang w:val="en-AU"/>
        </w:rPr>
        <w:t>Turner, J Scott. “Living by the Word: Reflections on the Lectionary [Nov 5, 2017].” </w:t>
      </w:r>
      <w:r w:rsidRPr="00FB2D03">
        <w:rPr>
          <w:i/>
          <w:color w:val="000000" w:themeColor="text1"/>
          <w:lang w:val="en-AU"/>
        </w:rPr>
        <w:t xml:space="preserve">The </w:t>
      </w:r>
    </w:p>
    <w:p w14:paraId="1459EF66" w14:textId="044EEC85" w:rsidR="00412D77" w:rsidRPr="00FB2D03" w:rsidRDefault="00412D77" w:rsidP="00E56DFF">
      <w:pPr>
        <w:tabs>
          <w:tab w:val="left" w:pos="5616"/>
        </w:tabs>
        <w:ind w:left="720"/>
        <w:rPr>
          <w:color w:val="000000" w:themeColor="text1"/>
          <w:lang w:val="en-AU"/>
        </w:rPr>
      </w:pPr>
      <w:r w:rsidRPr="00FB2D03">
        <w:rPr>
          <w:i/>
          <w:color w:val="000000" w:themeColor="text1"/>
          <w:lang w:val="en-AU"/>
        </w:rPr>
        <w:t>Christian Century</w:t>
      </w:r>
      <w:r w:rsidRPr="00FB2D03">
        <w:rPr>
          <w:color w:val="000000" w:themeColor="text1"/>
          <w:lang w:val="en-AU"/>
        </w:rPr>
        <w:t> 134 (2017): 25.</w:t>
      </w:r>
    </w:p>
    <w:p w14:paraId="5941DFB7" w14:textId="77777777" w:rsidR="00412D77" w:rsidRPr="00FB2D03" w:rsidRDefault="00412D77" w:rsidP="00412D77">
      <w:pPr>
        <w:tabs>
          <w:tab w:val="left" w:pos="5616"/>
        </w:tabs>
        <w:rPr>
          <w:color w:val="000000" w:themeColor="text1"/>
          <w:lang w:val="en-AU"/>
        </w:rPr>
      </w:pPr>
    </w:p>
    <w:p w14:paraId="280CE4AB" w14:textId="77777777" w:rsidR="00E56DFF" w:rsidRPr="00FB2D03" w:rsidRDefault="00412D77" w:rsidP="00412D77">
      <w:pPr>
        <w:tabs>
          <w:tab w:val="left" w:pos="5616"/>
        </w:tabs>
        <w:rPr>
          <w:i/>
          <w:color w:val="000000" w:themeColor="text1"/>
          <w:lang w:val="en-AU"/>
        </w:rPr>
      </w:pPr>
      <w:r w:rsidRPr="00FB2D03">
        <w:rPr>
          <w:color w:val="000000" w:themeColor="text1"/>
          <w:lang w:val="en-AU"/>
        </w:rPr>
        <w:t>Udoh, Fabian E. </w:t>
      </w:r>
      <w:r w:rsidRPr="00FB2D03">
        <w:rPr>
          <w:i/>
          <w:color w:val="000000" w:themeColor="text1"/>
          <w:lang w:val="en-AU"/>
        </w:rPr>
        <w:t>To Caesar What Is Caesar’s</w:t>
      </w:r>
      <w:r w:rsidRPr="00FB2D03">
        <w:rPr>
          <w:color w:val="000000" w:themeColor="text1"/>
          <w:lang w:val="en-AU"/>
        </w:rPr>
        <w:t xml:space="preserve">: </w:t>
      </w:r>
      <w:r w:rsidRPr="00FB2D03">
        <w:rPr>
          <w:i/>
          <w:color w:val="000000" w:themeColor="text1"/>
          <w:lang w:val="en-AU"/>
        </w:rPr>
        <w:t xml:space="preserve">Tribute, Taxes, and Imperial Administration in </w:t>
      </w:r>
    </w:p>
    <w:p w14:paraId="4F304A25" w14:textId="4069707B" w:rsidR="00412D77" w:rsidRPr="00FB2D03" w:rsidRDefault="00412D77" w:rsidP="00E56DFF">
      <w:pPr>
        <w:tabs>
          <w:tab w:val="left" w:pos="5616"/>
        </w:tabs>
        <w:ind w:left="720"/>
        <w:rPr>
          <w:color w:val="000000" w:themeColor="text1"/>
          <w:lang w:val="en-AU"/>
        </w:rPr>
      </w:pPr>
      <w:r w:rsidRPr="00FB2D03">
        <w:rPr>
          <w:i/>
          <w:color w:val="000000" w:themeColor="text1"/>
          <w:lang w:val="en-AU"/>
        </w:rPr>
        <w:t>Early Roman Palestine (63 B.C.E.–70 C.E.).</w:t>
      </w:r>
      <w:r w:rsidRPr="00FB2D03">
        <w:rPr>
          <w:color w:val="000000" w:themeColor="text1"/>
          <w:lang w:val="en-AU"/>
        </w:rPr>
        <w:t xml:space="preserve"> Providence: Brown Judaic Studies, 2006.</w:t>
      </w:r>
    </w:p>
    <w:p w14:paraId="0A993F0B" w14:textId="77777777" w:rsidR="00412D77" w:rsidRPr="00FB2D03" w:rsidRDefault="00412D77" w:rsidP="00412D77">
      <w:pPr>
        <w:tabs>
          <w:tab w:val="left" w:pos="5616"/>
        </w:tabs>
        <w:rPr>
          <w:color w:val="000000" w:themeColor="text1"/>
          <w:lang w:val="en-AU"/>
        </w:rPr>
      </w:pPr>
    </w:p>
    <w:p w14:paraId="3A11B9C0" w14:textId="77777777" w:rsidR="00E56DFF" w:rsidRPr="00FB2D03" w:rsidRDefault="00412D77" w:rsidP="00412D77">
      <w:pPr>
        <w:tabs>
          <w:tab w:val="left" w:pos="5616"/>
        </w:tabs>
        <w:rPr>
          <w:i/>
          <w:color w:val="000000" w:themeColor="text1"/>
          <w:lang w:val="en-AU"/>
        </w:rPr>
      </w:pPr>
      <w:r w:rsidRPr="00FB2D03">
        <w:rPr>
          <w:color w:val="000000" w:themeColor="text1"/>
          <w:lang w:val="en-AU"/>
        </w:rPr>
        <w:t>Ulmer, Rivka. “The Contours of The Messiah in Pesiqta Rabbati.” </w:t>
      </w:r>
      <w:r w:rsidRPr="00FB2D03">
        <w:rPr>
          <w:i/>
          <w:color w:val="000000" w:themeColor="text1"/>
          <w:lang w:val="en-AU"/>
        </w:rPr>
        <w:t xml:space="preserve">Harvard Theological </w:t>
      </w:r>
    </w:p>
    <w:p w14:paraId="3414350E" w14:textId="0C051560" w:rsidR="00412D77" w:rsidRPr="00FB2D03" w:rsidRDefault="00412D77" w:rsidP="00E56DFF">
      <w:pPr>
        <w:tabs>
          <w:tab w:val="left" w:pos="5616"/>
        </w:tabs>
        <w:ind w:left="720"/>
        <w:rPr>
          <w:color w:val="000000" w:themeColor="text1"/>
          <w:lang w:val="en-AU"/>
        </w:rPr>
      </w:pPr>
      <w:r w:rsidRPr="00FB2D03">
        <w:rPr>
          <w:i/>
          <w:color w:val="000000" w:themeColor="text1"/>
          <w:lang w:val="en-AU"/>
        </w:rPr>
        <w:t>Review</w:t>
      </w:r>
      <w:r w:rsidRPr="00FB2D03">
        <w:rPr>
          <w:color w:val="000000" w:themeColor="text1"/>
          <w:lang w:val="en-AU"/>
        </w:rPr>
        <w:t> 106 (2013): 115–144.</w:t>
      </w:r>
    </w:p>
    <w:p w14:paraId="06442C70" w14:textId="77777777" w:rsidR="00412D77" w:rsidRPr="00FB2D03" w:rsidRDefault="00412D77" w:rsidP="00412D77">
      <w:pPr>
        <w:tabs>
          <w:tab w:val="left" w:pos="5616"/>
        </w:tabs>
        <w:rPr>
          <w:color w:val="000000" w:themeColor="text1"/>
          <w:lang w:val="en-AU"/>
        </w:rPr>
      </w:pPr>
    </w:p>
    <w:p w14:paraId="258899C7"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Ulmer, Rivka. “Apocalypticism in the Homiletic Text of Pesiqta Rabbati: Catastrophic </w:t>
      </w:r>
    </w:p>
    <w:p w14:paraId="006969B5" w14:textId="67961921" w:rsidR="00412D77" w:rsidRPr="00FB2D03" w:rsidRDefault="00412D77" w:rsidP="00E56DFF">
      <w:pPr>
        <w:tabs>
          <w:tab w:val="left" w:pos="5616"/>
        </w:tabs>
        <w:ind w:left="720"/>
        <w:rPr>
          <w:color w:val="000000" w:themeColor="text1"/>
          <w:lang w:val="en-AU"/>
        </w:rPr>
      </w:pPr>
      <w:r w:rsidRPr="00FB2D03">
        <w:rPr>
          <w:color w:val="000000" w:themeColor="text1"/>
          <w:lang w:val="en-AU"/>
        </w:rPr>
        <w:t>Events at the End of Time.” </w:t>
      </w:r>
      <w:r w:rsidRPr="00FB2D03">
        <w:rPr>
          <w:i/>
          <w:color w:val="000000" w:themeColor="text1"/>
          <w:lang w:val="en-AU"/>
        </w:rPr>
        <w:t>Journal for the Study of Judaism: In the Persian Hellenistic &amp; Roman Period</w:t>
      </w:r>
      <w:r w:rsidRPr="00FB2D03">
        <w:rPr>
          <w:color w:val="000000" w:themeColor="text1"/>
          <w:lang w:val="en-AU"/>
        </w:rPr>
        <w:t> 50 (2019): 101–39.</w:t>
      </w:r>
    </w:p>
    <w:p w14:paraId="6708EDE3" w14:textId="77777777" w:rsidR="00412D77" w:rsidRPr="00FB2D03" w:rsidRDefault="00412D77" w:rsidP="00412D77">
      <w:pPr>
        <w:tabs>
          <w:tab w:val="left" w:pos="5616"/>
        </w:tabs>
        <w:rPr>
          <w:color w:val="000000" w:themeColor="text1"/>
          <w:lang w:val="en-AU"/>
        </w:rPr>
      </w:pPr>
    </w:p>
    <w:p w14:paraId="3A7A4404"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Ulmer, Rivka and Pesiqta Rabbati: </w:t>
      </w:r>
      <w:r w:rsidRPr="00FB2D03">
        <w:rPr>
          <w:i/>
          <w:color w:val="000000" w:themeColor="text1"/>
          <w:lang w:val="en-AU"/>
        </w:rPr>
        <w:t xml:space="preserve">A Synoptic Edition of Pesiqta Rabbati Based upon all </w:t>
      </w:r>
    </w:p>
    <w:p w14:paraId="5C9B12F4" w14:textId="7F1DEF82" w:rsidR="00412D77" w:rsidRPr="00FB2D03" w:rsidRDefault="00412D77" w:rsidP="00E56DFF">
      <w:pPr>
        <w:tabs>
          <w:tab w:val="left" w:pos="5616"/>
        </w:tabs>
        <w:ind w:left="720"/>
        <w:rPr>
          <w:color w:val="000000" w:themeColor="text1"/>
          <w:lang w:val="en-AU"/>
        </w:rPr>
      </w:pPr>
      <w:r w:rsidRPr="00FB2D03">
        <w:rPr>
          <w:i/>
          <w:color w:val="000000" w:themeColor="text1"/>
          <w:lang w:val="en-AU"/>
        </w:rPr>
        <w:t>Extant Hebrew Manuscripts and the Editio Princeps</w:t>
      </w:r>
      <w:r w:rsidRPr="00FB2D03">
        <w:rPr>
          <w:color w:val="000000" w:themeColor="text1"/>
          <w:lang w:val="en-AU"/>
        </w:rPr>
        <w:t>, Vol. 1. ed. Jacob Neusner. Atlanta: Scholars, 1997.</w:t>
      </w:r>
    </w:p>
    <w:p w14:paraId="4432FBAC" w14:textId="77777777" w:rsidR="00412D77" w:rsidRPr="00FB2D03" w:rsidRDefault="00412D77" w:rsidP="00412D77">
      <w:pPr>
        <w:tabs>
          <w:tab w:val="left" w:pos="5616"/>
        </w:tabs>
        <w:rPr>
          <w:color w:val="000000" w:themeColor="text1"/>
          <w:lang w:val="en-AU"/>
        </w:rPr>
      </w:pPr>
    </w:p>
    <w:p w14:paraId="2C352B42"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________. </w:t>
      </w:r>
      <w:r w:rsidRPr="00FB2D03">
        <w:rPr>
          <w:i/>
          <w:color w:val="000000" w:themeColor="text1"/>
          <w:lang w:val="en-AU"/>
        </w:rPr>
        <w:t xml:space="preserve">A Synoptic Edition of Pesiqta Rabbati Based upon all Extant Hebrew Manuscripts </w:t>
      </w:r>
    </w:p>
    <w:p w14:paraId="72EDD7F0" w14:textId="09480D5C" w:rsidR="00412D77" w:rsidRPr="00FB2D03" w:rsidRDefault="00412D77" w:rsidP="00E56DFF">
      <w:pPr>
        <w:tabs>
          <w:tab w:val="left" w:pos="5616"/>
        </w:tabs>
        <w:ind w:left="720"/>
        <w:rPr>
          <w:color w:val="000000" w:themeColor="text1"/>
          <w:lang w:val="en-AU"/>
        </w:rPr>
      </w:pPr>
      <w:r w:rsidRPr="00FB2D03">
        <w:rPr>
          <w:i/>
          <w:color w:val="000000" w:themeColor="text1"/>
          <w:lang w:val="en-AU"/>
        </w:rPr>
        <w:t xml:space="preserve">and the Editio Princeps, </w:t>
      </w:r>
      <w:r w:rsidRPr="00FB2D03">
        <w:rPr>
          <w:color w:val="000000" w:themeColor="text1"/>
          <w:lang w:val="en-AU"/>
        </w:rPr>
        <w:t xml:space="preserve">Vol. 2. Atlanta: Scholars, 1999. </w:t>
      </w:r>
    </w:p>
    <w:p w14:paraId="298205F4" w14:textId="77777777" w:rsidR="00412D77" w:rsidRPr="00FB2D03" w:rsidRDefault="00412D77" w:rsidP="00412D77">
      <w:pPr>
        <w:tabs>
          <w:tab w:val="left" w:pos="5616"/>
        </w:tabs>
        <w:rPr>
          <w:i/>
          <w:color w:val="000000" w:themeColor="text1"/>
          <w:lang w:val="en-AU"/>
        </w:rPr>
      </w:pPr>
    </w:p>
    <w:p w14:paraId="5A191134"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________. </w:t>
      </w:r>
      <w:r w:rsidRPr="00FB2D03">
        <w:rPr>
          <w:i/>
          <w:color w:val="000000" w:themeColor="text1"/>
          <w:lang w:val="en-AU"/>
        </w:rPr>
        <w:t xml:space="preserve">A Synoptic Edition of Pesiqta Rabbati Based upon all Extant Hebrew Manuscripts </w:t>
      </w:r>
    </w:p>
    <w:p w14:paraId="7C2B2D8A" w14:textId="417FACE8" w:rsidR="00412D77" w:rsidRPr="00FB2D03" w:rsidRDefault="00412D77" w:rsidP="00E56DFF">
      <w:pPr>
        <w:tabs>
          <w:tab w:val="left" w:pos="5616"/>
        </w:tabs>
        <w:ind w:left="720"/>
        <w:rPr>
          <w:color w:val="000000" w:themeColor="text1"/>
          <w:lang w:val="en-AU"/>
        </w:rPr>
      </w:pPr>
      <w:r w:rsidRPr="00FB2D03">
        <w:rPr>
          <w:i/>
          <w:color w:val="000000" w:themeColor="text1"/>
          <w:lang w:val="en-AU"/>
        </w:rPr>
        <w:t>and the Editio Princeps</w:t>
      </w:r>
      <w:r w:rsidRPr="00FB2D03">
        <w:rPr>
          <w:color w:val="000000" w:themeColor="text1"/>
          <w:lang w:val="en-AU"/>
        </w:rPr>
        <w:t>, Vol. 3. Lanham: University Press of America, 2002.</w:t>
      </w:r>
    </w:p>
    <w:p w14:paraId="1F7F076A" w14:textId="7320BFF2" w:rsidR="00412D77" w:rsidRPr="00FB2D03" w:rsidRDefault="00412D77" w:rsidP="00412D77">
      <w:pPr>
        <w:tabs>
          <w:tab w:val="left" w:pos="5616"/>
        </w:tabs>
        <w:rPr>
          <w:i/>
          <w:color w:val="000000" w:themeColor="text1"/>
          <w:lang w:val="en-AU"/>
        </w:rPr>
      </w:pPr>
    </w:p>
    <w:p w14:paraId="4A709D86" w14:textId="77777777" w:rsidR="00872F30" w:rsidRPr="00FB2D03" w:rsidRDefault="00872F30" w:rsidP="00412D77">
      <w:pPr>
        <w:tabs>
          <w:tab w:val="left" w:pos="5616"/>
        </w:tabs>
        <w:rPr>
          <w:i/>
          <w:color w:val="000000" w:themeColor="text1"/>
          <w:lang w:val="en-AU"/>
        </w:rPr>
      </w:pPr>
    </w:p>
    <w:p w14:paraId="11575F74" w14:textId="77777777" w:rsidR="00E56DFF" w:rsidRPr="00FB2D03" w:rsidRDefault="00412D77" w:rsidP="00412D77">
      <w:pPr>
        <w:tabs>
          <w:tab w:val="left" w:pos="5616"/>
        </w:tabs>
        <w:rPr>
          <w:color w:val="000000" w:themeColor="text1"/>
          <w:lang w:val="en-AU"/>
        </w:rPr>
      </w:pPr>
      <w:r w:rsidRPr="00FB2D03">
        <w:rPr>
          <w:color w:val="000000" w:themeColor="text1"/>
          <w:lang w:val="en-AU"/>
        </w:rPr>
        <w:t>Urbach, Ephraim Elimelech. </w:t>
      </w:r>
      <w:r w:rsidRPr="00FB2D03">
        <w:rPr>
          <w:i/>
          <w:color w:val="000000" w:themeColor="text1"/>
          <w:lang w:val="en-AU"/>
        </w:rPr>
        <w:t>The Sages: Their Concepts and Beliefs</w:t>
      </w:r>
      <w:r w:rsidRPr="00FB2D03">
        <w:rPr>
          <w:color w:val="000000" w:themeColor="text1"/>
          <w:lang w:val="en-AU"/>
        </w:rPr>
        <w:t xml:space="preserve">. Jerusalem: Magnes, </w:t>
      </w:r>
    </w:p>
    <w:p w14:paraId="674C1FC8" w14:textId="38402EFD" w:rsidR="00412D77" w:rsidRPr="00FB2D03" w:rsidRDefault="00412D77" w:rsidP="00E56DFF">
      <w:pPr>
        <w:tabs>
          <w:tab w:val="left" w:pos="5616"/>
        </w:tabs>
        <w:ind w:left="720"/>
        <w:rPr>
          <w:color w:val="000000" w:themeColor="text1"/>
          <w:lang w:val="en-AU"/>
        </w:rPr>
      </w:pPr>
      <w:r w:rsidRPr="00FB2D03">
        <w:rPr>
          <w:color w:val="000000" w:themeColor="text1"/>
          <w:lang w:val="en-AU"/>
        </w:rPr>
        <w:t>1975.</w:t>
      </w:r>
    </w:p>
    <w:p w14:paraId="6E6C3749" w14:textId="538F8A76" w:rsidR="00412D77" w:rsidRPr="00FB2D03" w:rsidRDefault="00412D77" w:rsidP="00412D77">
      <w:pPr>
        <w:tabs>
          <w:tab w:val="left" w:pos="5616"/>
        </w:tabs>
        <w:rPr>
          <w:color w:val="000000" w:themeColor="text1"/>
          <w:lang w:val="en-AU"/>
        </w:rPr>
      </w:pPr>
    </w:p>
    <w:p w14:paraId="6477E872" w14:textId="77777777" w:rsidR="00FF13C3" w:rsidRPr="00FB2D03" w:rsidRDefault="00FF13C3" w:rsidP="00FF13C3">
      <w:pPr>
        <w:tabs>
          <w:tab w:val="left" w:pos="5616"/>
        </w:tabs>
        <w:rPr>
          <w:color w:val="000000" w:themeColor="text1"/>
          <w:lang w:val="en-AU"/>
        </w:rPr>
      </w:pPr>
      <w:r w:rsidRPr="00FB2D03">
        <w:rPr>
          <w:color w:val="000000" w:themeColor="text1"/>
          <w:lang w:val="en-AU"/>
        </w:rPr>
        <w:t xml:space="preserve">Varso, Miroslav. “Interest (Usury) and its Variations in the Biblical Law Codices.” </w:t>
      </w:r>
    </w:p>
    <w:p w14:paraId="59BB0611" w14:textId="6C07CECB" w:rsidR="00FF13C3" w:rsidRPr="00FB2D03" w:rsidRDefault="00FF13C3" w:rsidP="00FF13C3">
      <w:pPr>
        <w:tabs>
          <w:tab w:val="left" w:pos="5616"/>
        </w:tabs>
        <w:ind w:left="720"/>
        <w:rPr>
          <w:color w:val="000000" w:themeColor="text1"/>
          <w:lang w:val="en-AU"/>
        </w:rPr>
      </w:pPr>
      <w:r w:rsidRPr="00FB2D03">
        <w:rPr>
          <w:i/>
          <w:iCs/>
          <w:color w:val="000000" w:themeColor="text1"/>
          <w:lang w:val="en-AU"/>
        </w:rPr>
        <w:t>Communio Viatorum</w:t>
      </w:r>
      <w:r w:rsidRPr="00FB2D03">
        <w:rPr>
          <w:color w:val="000000" w:themeColor="text1"/>
          <w:lang w:val="en-AU"/>
        </w:rPr>
        <w:t xml:space="preserve"> 50 (2008): 323-38.</w:t>
      </w:r>
    </w:p>
    <w:p w14:paraId="44BFB44C" w14:textId="77777777" w:rsidR="006F3681" w:rsidRPr="00FB2D03" w:rsidRDefault="006F3681" w:rsidP="00412D77">
      <w:pPr>
        <w:tabs>
          <w:tab w:val="left" w:pos="5616"/>
        </w:tabs>
        <w:rPr>
          <w:color w:val="000000" w:themeColor="text1"/>
          <w:lang w:val="en-AU"/>
        </w:rPr>
      </w:pPr>
    </w:p>
    <w:p w14:paraId="73B1FD37"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van der Schoor, Hanneke. “The Assessment of Variation: The Case of the Aramaic Levi </w:t>
      </w:r>
    </w:p>
    <w:p w14:paraId="4891E07B" w14:textId="676DA078" w:rsidR="00412D77" w:rsidRPr="00FB2D03" w:rsidRDefault="00412D77" w:rsidP="00E56DFF">
      <w:pPr>
        <w:tabs>
          <w:tab w:val="left" w:pos="5616"/>
        </w:tabs>
        <w:ind w:left="720"/>
        <w:rPr>
          <w:color w:val="000000" w:themeColor="text1"/>
          <w:lang w:val="en-AU"/>
        </w:rPr>
      </w:pPr>
      <w:r w:rsidRPr="00FB2D03">
        <w:rPr>
          <w:color w:val="000000" w:themeColor="text1"/>
          <w:lang w:val="en-AU"/>
        </w:rPr>
        <w:t>Document.” </w:t>
      </w:r>
      <w:r w:rsidRPr="00FB2D03">
        <w:rPr>
          <w:i/>
          <w:color w:val="000000" w:themeColor="text1"/>
          <w:lang w:val="en-AU"/>
        </w:rPr>
        <w:t>Dead Sea Discoveries</w:t>
      </w:r>
      <w:r w:rsidRPr="00FB2D03">
        <w:rPr>
          <w:color w:val="000000" w:themeColor="text1"/>
          <w:lang w:val="en-AU"/>
        </w:rPr>
        <w:t> 28 (2021): 179–206.</w:t>
      </w:r>
    </w:p>
    <w:p w14:paraId="1F5DBD5B" w14:textId="77777777" w:rsidR="00412D77" w:rsidRPr="00FB2D03" w:rsidRDefault="00412D77" w:rsidP="00412D77">
      <w:pPr>
        <w:tabs>
          <w:tab w:val="left" w:pos="5616"/>
        </w:tabs>
        <w:rPr>
          <w:color w:val="000000" w:themeColor="text1"/>
          <w:lang w:val="en-AU"/>
        </w:rPr>
      </w:pPr>
    </w:p>
    <w:p w14:paraId="291CCA99"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van der Woude, Adam S., </w:t>
      </w:r>
      <w:r w:rsidRPr="00FB2D03">
        <w:rPr>
          <w:i/>
          <w:color w:val="000000" w:themeColor="text1"/>
          <w:lang w:val="en-AU"/>
        </w:rPr>
        <w:t>Die messianischen Vorstellungen der Gemeinde von Qumran</w:t>
      </w:r>
      <w:r w:rsidRPr="00FB2D03">
        <w:rPr>
          <w:color w:val="000000" w:themeColor="text1"/>
          <w:lang w:val="en-AU"/>
        </w:rPr>
        <w:t xml:space="preserve">. </w:t>
      </w:r>
    </w:p>
    <w:p w14:paraId="6A360A66" w14:textId="7C216B42" w:rsidR="00412D77" w:rsidRPr="00FB2D03" w:rsidRDefault="00412D77" w:rsidP="00E56DFF">
      <w:pPr>
        <w:tabs>
          <w:tab w:val="left" w:pos="5616"/>
        </w:tabs>
        <w:ind w:left="720"/>
        <w:rPr>
          <w:color w:val="000000" w:themeColor="text1"/>
          <w:lang w:val="en-AU"/>
        </w:rPr>
      </w:pPr>
      <w:r w:rsidRPr="00FB2D03">
        <w:rPr>
          <w:color w:val="000000" w:themeColor="text1"/>
          <w:lang w:val="en-AU"/>
        </w:rPr>
        <w:t>Assen: Van Gorcum, 1957.</w:t>
      </w:r>
    </w:p>
    <w:p w14:paraId="3639C9B1" w14:textId="77777777" w:rsidR="00412D77" w:rsidRPr="00FB2D03" w:rsidRDefault="00412D77" w:rsidP="00412D77">
      <w:pPr>
        <w:tabs>
          <w:tab w:val="left" w:pos="5616"/>
        </w:tabs>
        <w:rPr>
          <w:color w:val="000000" w:themeColor="text1"/>
          <w:lang w:val="en-AU"/>
        </w:rPr>
      </w:pPr>
    </w:p>
    <w:p w14:paraId="308CFB1F"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Van Zile, Matthew P. “The Sons of Noah and the Sons of Abraham: The Origins of Noahide </w:t>
      </w:r>
    </w:p>
    <w:p w14:paraId="61FB4E96" w14:textId="64CB9B5B" w:rsidR="00412D77" w:rsidRPr="00FB2D03" w:rsidRDefault="00412D77" w:rsidP="00E56DFF">
      <w:pPr>
        <w:tabs>
          <w:tab w:val="left" w:pos="5616"/>
        </w:tabs>
        <w:ind w:left="720"/>
        <w:rPr>
          <w:color w:val="000000" w:themeColor="text1"/>
          <w:lang w:val="en-AU"/>
        </w:rPr>
      </w:pPr>
      <w:r w:rsidRPr="00FB2D03">
        <w:rPr>
          <w:color w:val="000000" w:themeColor="text1"/>
          <w:lang w:val="en-AU"/>
        </w:rPr>
        <w:t>Law.” </w:t>
      </w:r>
      <w:r w:rsidRPr="00FB2D03">
        <w:rPr>
          <w:i/>
          <w:color w:val="000000" w:themeColor="text1"/>
          <w:lang w:val="en-AU"/>
        </w:rPr>
        <w:t>Journal for the Study of Judaism: In the Persian Hellenistic &amp; Roman Period</w:t>
      </w:r>
      <w:r w:rsidRPr="00FB2D03">
        <w:rPr>
          <w:color w:val="000000" w:themeColor="text1"/>
          <w:lang w:val="en-AU"/>
        </w:rPr>
        <w:t xml:space="preserve"> 48 </w:t>
      </w:r>
      <w:r w:rsidR="00E56DFF" w:rsidRPr="00FB2D03">
        <w:rPr>
          <w:color w:val="000000" w:themeColor="text1"/>
          <w:lang w:val="en-AU"/>
        </w:rPr>
        <w:t>(2017</w:t>
      </w:r>
      <w:r w:rsidRPr="00FB2D03">
        <w:rPr>
          <w:color w:val="000000" w:themeColor="text1"/>
          <w:lang w:val="en-AU"/>
        </w:rPr>
        <w:t xml:space="preserve">): 386–417. </w:t>
      </w:r>
    </w:p>
    <w:p w14:paraId="0102AEAE" w14:textId="77777777" w:rsidR="00412D77" w:rsidRPr="00FB2D03" w:rsidRDefault="00412D77" w:rsidP="00412D77">
      <w:pPr>
        <w:tabs>
          <w:tab w:val="left" w:pos="5616"/>
        </w:tabs>
        <w:rPr>
          <w:color w:val="000000" w:themeColor="text1"/>
          <w:lang w:val="en-AU"/>
        </w:rPr>
      </w:pPr>
    </w:p>
    <w:p w14:paraId="7BA72712"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VanderKam, James C. “The Dead Sea Scrolls and Christianity.” In </w:t>
      </w:r>
      <w:r w:rsidRPr="00FB2D03">
        <w:rPr>
          <w:i/>
          <w:color w:val="000000" w:themeColor="text1"/>
          <w:lang w:val="en-AU"/>
        </w:rPr>
        <w:t xml:space="preserve">Understanding the Dead </w:t>
      </w:r>
    </w:p>
    <w:p w14:paraId="5EF4090C" w14:textId="3D442E0B" w:rsidR="00412D77" w:rsidRPr="00FB2D03" w:rsidRDefault="00412D77" w:rsidP="00E56DFF">
      <w:pPr>
        <w:tabs>
          <w:tab w:val="left" w:pos="5616"/>
        </w:tabs>
        <w:ind w:left="720"/>
        <w:rPr>
          <w:color w:val="000000" w:themeColor="text1"/>
          <w:lang w:val="en-AU"/>
        </w:rPr>
      </w:pPr>
      <w:r w:rsidRPr="00FB2D03">
        <w:rPr>
          <w:i/>
          <w:color w:val="000000" w:themeColor="text1"/>
          <w:lang w:val="en-AU"/>
        </w:rPr>
        <w:t>Sea Scrolls</w:t>
      </w:r>
      <w:r w:rsidRPr="00FB2D03">
        <w:rPr>
          <w:color w:val="000000" w:themeColor="text1"/>
          <w:lang w:val="en-AU"/>
        </w:rPr>
        <w:t>. New York: Random House, 1992:196.</w:t>
      </w:r>
    </w:p>
    <w:p w14:paraId="530C0845" w14:textId="77777777" w:rsidR="00412D77" w:rsidRPr="00FB2D03" w:rsidRDefault="00412D77" w:rsidP="00412D77">
      <w:pPr>
        <w:tabs>
          <w:tab w:val="left" w:pos="5616"/>
        </w:tabs>
        <w:rPr>
          <w:color w:val="000000" w:themeColor="text1"/>
          <w:lang w:val="en-AU"/>
        </w:rPr>
      </w:pPr>
    </w:p>
    <w:p w14:paraId="0FA62E7D" w14:textId="77777777" w:rsidR="00412D77" w:rsidRPr="00FB2D03" w:rsidRDefault="00412D77" w:rsidP="00412D77">
      <w:pPr>
        <w:tabs>
          <w:tab w:val="left" w:pos="5616"/>
        </w:tabs>
        <w:rPr>
          <w:color w:val="000000" w:themeColor="text1"/>
          <w:lang w:val="en-AU"/>
        </w:rPr>
      </w:pPr>
      <w:r w:rsidRPr="00FB2D03">
        <w:rPr>
          <w:i/>
          <w:color w:val="000000" w:themeColor="text1"/>
          <w:lang w:val="en-AU"/>
        </w:rPr>
        <w:t>_______. Textual and Historical Studies in the Book of Jubilees</w:t>
      </w:r>
      <w:r w:rsidRPr="00FB2D03">
        <w:rPr>
          <w:color w:val="000000" w:themeColor="text1"/>
          <w:lang w:val="en-AU"/>
        </w:rPr>
        <w:t>. Missoula: Scholars, 1977.</w:t>
      </w:r>
    </w:p>
    <w:p w14:paraId="755228B4" w14:textId="77777777" w:rsidR="00412D77" w:rsidRPr="00FB2D03" w:rsidRDefault="00412D77" w:rsidP="00412D77">
      <w:pPr>
        <w:tabs>
          <w:tab w:val="left" w:pos="5616"/>
        </w:tabs>
        <w:rPr>
          <w:color w:val="000000" w:themeColor="text1"/>
          <w:lang w:val="en-AU"/>
        </w:rPr>
      </w:pPr>
    </w:p>
    <w:p w14:paraId="6BF0838A"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Vatter, Miguel. “Roman Civil Religion and the Question of Jewish Politics in </w:t>
      </w:r>
    </w:p>
    <w:p w14:paraId="04F3329B" w14:textId="0A0F51DE" w:rsidR="00412D77" w:rsidRPr="00FB2D03" w:rsidRDefault="00412D77" w:rsidP="00E56DFF">
      <w:pPr>
        <w:tabs>
          <w:tab w:val="left" w:pos="5616"/>
        </w:tabs>
        <w:ind w:left="720"/>
        <w:rPr>
          <w:color w:val="000000" w:themeColor="text1"/>
          <w:lang w:val="en-AU"/>
        </w:rPr>
      </w:pPr>
      <w:r w:rsidRPr="00FB2D03">
        <w:rPr>
          <w:color w:val="000000" w:themeColor="text1"/>
          <w:lang w:val="en-AU"/>
        </w:rPr>
        <w:t>Arendt.” </w:t>
      </w:r>
      <w:r w:rsidRPr="00FB2D03">
        <w:rPr>
          <w:i/>
          <w:color w:val="000000" w:themeColor="text1"/>
          <w:lang w:val="en-AU"/>
        </w:rPr>
        <w:t>Philosophy Today</w:t>
      </w:r>
      <w:r w:rsidRPr="00FB2D03">
        <w:rPr>
          <w:color w:val="000000" w:themeColor="text1"/>
          <w:lang w:val="en-AU"/>
        </w:rPr>
        <w:t> 62 (2018): 573–606.</w:t>
      </w:r>
    </w:p>
    <w:p w14:paraId="00E92653" w14:textId="77777777" w:rsidR="00412D77" w:rsidRPr="00FB2D03" w:rsidRDefault="00412D77" w:rsidP="00412D77">
      <w:pPr>
        <w:tabs>
          <w:tab w:val="left" w:pos="5616"/>
        </w:tabs>
        <w:rPr>
          <w:color w:val="000000" w:themeColor="text1"/>
          <w:lang w:val="en-AU"/>
        </w:rPr>
      </w:pPr>
    </w:p>
    <w:p w14:paraId="0B6FF29B" w14:textId="51305E10" w:rsidR="00412D77" w:rsidRPr="00FB2D03" w:rsidRDefault="00412D77" w:rsidP="00412D77">
      <w:pPr>
        <w:tabs>
          <w:tab w:val="left" w:pos="5616"/>
        </w:tabs>
        <w:rPr>
          <w:color w:val="000000" w:themeColor="text1"/>
          <w:lang w:val="en-AU"/>
        </w:rPr>
      </w:pPr>
      <w:r w:rsidRPr="00FB2D03">
        <w:rPr>
          <w:color w:val="000000" w:themeColor="text1"/>
          <w:lang w:val="en-AU"/>
        </w:rPr>
        <w:t xml:space="preserve">Vermès, Géza. </w:t>
      </w:r>
      <w:r w:rsidRPr="00FB2D03">
        <w:rPr>
          <w:i/>
          <w:color w:val="000000" w:themeColor="text1"/>
          <w:lang w:val="en-AU"/>
        </w:rPr>
        <w:t xml:space="preserve">The Religion </w:t>
      </w:r>
      <w:r w:rsidR="00DF2BEE">
        <w:rPr>
          <w:i/>
          <w:color w:val="000000" w:themeColor="text1"/>
          <w:lang w:val="en-AU"/>
        </w:rPr>
        <w:t>o</w:t>
      </w:r>
      <w:r w:rsidRPr="00FB2D03">
        <w:rPr>
          <w:i/>
          <w:color w:val="000000" w:themeColor="text1"/>
          <w:lang w:val="en-AU"/>
        </w:rPr>
        <w:t xml:space="preserve">f Jesus </w:t>
      </w:r>
      <w:r w:rsidR="00DF2BEE">
        <w:rPr>
          <w:i/>
          <w:color w:val="000000" w:themeColor="text1"/>
          <w:lang w:val="en-AU"/>
        </w:rPr>
        <w:t>t</w:t>
      </w:r>
      <w:r w:rsidRPr="00FB2D03">
        <w:rPr>
          <w:i/>
          <w:color w:val="000000" w:themeColor="text1"/>
          <w:lang w:val="en-AU"/>
        </w:rPr>
        <w:t>he Jew</w:t>
      </w:r>
      <w:r w:rsidRPr="00FB2D03">
        <w:rPr>
          <w:color w:val="000000" w:themeColor="text1"/>
          <w:lang w:val="en-AU"/>
        </w:rPr>
        <w:t>. Minneapolis: Fortress Press, 1993.</w:t>
      </w:r>
    </w:p>
    <w:p w14:paraId="60BADD7A" w14:textId="77777777" w:rsidR="00412D77" w:rsidRPr="00FB2D03" w:rsidRDefault="00412D77" w:rsidP="00412D77">
      <w:pPr>
        <w:tabs>
          <w:tab w:val="left" w:pos="5616"/>
        </w:tabs>
        <w:rPr>
          <w:color w:val="000000" w:themeColor="text1"/>
          <w:lang w:val="en-AU"/>
        </w:rPr>
      </w:pPr>
    </w:p>
    <w:p w14:paraId="7BCF8D5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“From Jewish to Gentile.” </w:t>
      </w:r>
      <w:r w:rsidRPr="00FB2D03">
        <w:rPr>
          <w:i/>
          <w:color w:val="000000" w:themeColor="text1"/>
          <w:lang w:val="en-AU"/>
        </w:rPr>
        <w:t>Biblical Archaeology Review</w:t>
      </w:r>
      <w:r w:rsidRPr="00FB2D03">
        <w:rPr>
          <w:color w:val="000000" w:themeColor="text1"/>
          <w:lang w:val="en-AU"/>
        </w:rPr>
        <w:t xml:space="preserve"> (2012).</w:t>
      </w:r>
    </w:p>
    <w:p w14:paraId="646F0A7D" w14:textId="77777777" w:rsidR="00412D77" w:rsidRPr="00FB2D03" w:rsidRDefault="00412D77" w:rsidP="00412D77">
      <w:pPr>
        <w:tabs>
          <w:tab w:val="left" w:pos="5616"/>
        </w:tabs>
        <w:rPr>
          <w:color w:val="000000" w:themeColor="text1"/>
          <w:lang w:val="en-AU"/>
        </w:rPr>
      </w:pPr>
    </w:p>
    <w:p w14:paraId="62EFDB2E"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Christian Beginnings from Nazareth to Nicaea, AD 30 – 325</w:t>
      </w:r>
      <w:r w:rsidRPr="00FB2D03">
        <w:rPr>
          <w:color w:val="000000" w:themeColor="text1"/>
          <w:lang w:val="en-AU"/>
        </w:rPr>
        <w:t xml:space="preserve">. London: Penguin, </w:t>
      </w:r>
    </w:p>
    <w:p w14:paraId="12F25838" w14:textId="6BA98F6B" w:rsidR="00412D77" w:rsidRPr="00FB2D03" w:rsidRDefault="00412D77" w:rsidP="00E56DFF">
      <w:pPr>
        <w:tabs>
          <w:tab w:val="left" w:pos="5616"/>
        </w:tabs>
        <w:ind w:left="720"/>
        <w:rPr>
          <w:color w:val="000000" w:themeColor="text1"/>
          <w:lang w:val="en-AU"/>
        </w:rPr>
      </w:pPr>
      <w:r w:rsidRPr="00FB2D03">
        <w:rPr>
          <w:color w:val="000000" w:themeColor="text1"/>
          <w:lang w:val="en-AU"/>
        </w:rPr>
        <w:t>2012.</w:t>
      </w:r>
    </w:p>
    <w:p w14:paraId="762F2B04" w14:textId="77777777" w:rsidR="00412D77" w:rsidRPr="00FB2D03" w:rsidRDefault="00412D77" w:rsidP="00412D77">
      <w:pPr>
        <w:tabs>
          <w:tab w:val="left" w:pos="5616"/>
        </w:tabs>
        <w:rPr>
          <w:color w:val="000000" w:themeColor="text1"/>
          <w:lang w:val="en-AU"/>
        </w:rPr>
      </w:pPr>
    </w:p>
    <w:p w14:paraId="0E690693"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________. “Manual of Discipline 1QS.” </w:t>
      </w:r>
      <w:r w:rsidRPr="00FB2D03">
        <w:rPr>
          <w:i/>
          <w:color w:val="000000" w:themeColor="text1"/>
          <w:lang w:val="en-AU"/>
        </w:rPr>
        <w:t>The Complete Dead Sea Scrolls in English</w:t>
      </w:r>
      <w:r w:rsidRPr="00FB2D03">
        <w:rPr>
          <w:color w:val="000000" w:themeColor="text1"/>
          <w:lang w:val="en-AU"/>
        </w:rPr>
        <w:t xml:space="preserve">. London: </w:t>
      </w:r>
    </w:p>
    <w:p w14:paraId="0A922E05" w14:textId="0E41D3DA" w:rsidR="00412D77" w:rsidRPr="00FB2D03" w:rsidRDefault="00412D77" w:rsidP="00E56DFF">
      <w:pPr>
        <w:tabs>
          <w:tab w:val="left" w:pos="5616"/>
        </w:tabs>
        <w:ind w:left="720"/>
        <w:rPr>
          <w:color w:val="000000" w:themeColor="text1"/>
          <w:lang w:val="en-AU"/>
        </w:rPr>
      </w:pPr>
      <w:r w:rsidRPr="00FB2D03">
        <w:rPr>
          <w:color w:val="000000" w:themeColor="text1"/>
          <w:lang w:val="en-AU"/>
        </w:rPr>
        <w:t xml:space="preserve">Penguin, 2004. </w:t>
      </w:r>
    </w:p>
    <w:p w14:paraId="24FC2925" w14:textId="77777777" w:rsidR="00412D77" w:rsidRPr="00FB2D03" w:rsidRDefault="00412D77" w:rsidP="00412D77">
      <w:pPr>
        <w:tabs>
          <w:tab w:val="left" w:pos="5616"/>
        </w:tabs>
        <w:rPr>
          <w:color w:val="000000" w:themeColor="text1"/>
          <w:lang w:val="en-AU"/>
        </w:rPr>
      </w:pPr>
    </w:p>
    <w:p w14:paraId="78C3342C" w14:textId="77777777" w:rsidR="00412D77" w:rsidRPr="00FB2D03" w:rsidRDefault="00412D77" w:rsidP="00412D77">
      <w:pPr>
        <w:tabs>
          <w:tab w:val="left" w:pos="5616"/>
        </w:tabs>
        <w:rPr>
          <w:color w:val="000000" w:themeColor="text1"/>
          <w:lang w:val="en-AU"/>
        </w:rPr>
      </w:pPr>
      <w:r w:rsidRPr="00FB2D03">
        <w:rPr>
          <w:color w:val="000000" w:themeColor="text1"/>
          <w:lang w:val="en-AU"/>
        </w:rPr>
        <w:lastRenderedPageBreak/>
        <w:t xml:space="preserve">________. </w:t>
      </w:r>
      <w:r w:rsidRPr="00FB2D03">
        <w:rPr>
          <w:i/>
          <w:color w:val="000000" w:themeColor="text1"/>
          <w:lang w:val="en-AU"/>
        </w:rPr>
        <w:t>The Real Jesus</w:t>
      </w:r>
      <w:r w:rsidRPr="00FB2D03">
        <w:rPr>
          <w:color w:val="000000" w:themeColor="text1"/>
          <w:lang w:val="en-AU"/>
        </w:rPr>
        <w:t>. London: Student Christian Movement Press, 2009.</w:t>
      </w:r>
    </w:p>
    <w:p w14:paraId="73B583FA" w14:textId="77777777" w:rsidR="00412D77" w:rsidRPr="00FB2D03" w:rsidRDefault="00412D77" w:rsidP="00412D77">
      <w:pPr>
        <w:tabs>
          <w:tab w:val="left" w:pos="5616"/>
        </w:tabs>
        <w:rPr>
          <w:color w:val="000000" w:themeColor="text1"/>
          <w:lang w:val="en-AU"/>
        </w:rPr>
      </w:pPr>
    </w:p>
    <w:p w14:paraId="159501BD"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Complete Dead Scrolls in English</w:t>
      </w:r>
      <w:r w:rsidRPr="00FB2D03">
        <w:rPr>
          <w:color w:val="000000" w:themeColor="text1"/>
          <w:lang w:val="en-AU"/>
        </w:rPr>
        <w:t>. London: Penguin Books, 2004.</w:t>
      </w:r>
    </w:p>
    <w:p w14:paraId="10706324" w14:textId="77777777" w:rsidR="00412D77" w:rsidRPr="00FB2D03" w:rsidRDefault="00412D77" w:rsidP="00412D77">
      <w:pPr>
        <w:tabs>
          <w:tab w:val="left" w:pos="5616"/>
        </w:tabs>
        <w:rPr>
          <w:color w:val="000000" w:themeColor="text1"/>
          <w:lang w:val="en-AU"/>
        </w:rPr>
      </w:pPr>
    </w:p>
    <w:p w14:paraId="42980763" w14:textId="77777777" w:rsidR="00412D77" w:rsidRPr="00FB2D03" w:rsidRDefault="00412D77" w:rsidP="00412D77">
      <w:pPr>
        <w:tabs>
          <w:tab w:val="left" w:pos="5616"/>
        </w:tabs>
        <w:rPr>
          <w:color w:val="000000" w:themeColor="text1"/>
          <w:lang w:val="en-AU"/>
        </w:rPr>
      </w:pPr>
    </w:p>
    <w:p w14:paraId="044B165B" w14:textId="7213D8EF" w:rsidR="00E56DFF" w:rsidRPr="00FB2D03" w:rsidRDefault="00412D77" w:rsidP="00412D77">
      <w:pPr>
        <w:tabs>
          <w:tab w:val="left" w:pos="5616"/>
        </w:tabs>
        <w:rPr>
          <w:color w:val="000000" w:themeColor="text1"/>
          <w:lang w:val="en-AU"/>
        </w:rPr>
      </w:pPr>
      <w:r w:rsidRPr="00FB2D03">
        <w:rPr>
          <w:color w:val="000000" w:themeColor="text1"/>
          <w:lang w:val="en-AU"/>
        </w:rPr>
        <w:t>Vermès, Géza. “The Leadership of the Qumran Community: Sons of Zadok--Priests</w:t>
      </w:r>
      <w:r w:rsidR="00E56DFF" w:rsidRPr="00FB2D03">
        <w:rPr>
          <w:color w:val="000000" w:themeColor="text1"/>
          <w:lang w:val="en-AU"/>
        </w:rPr>
        <w:t>—</w:t>
      </w:r>
    </w:p>
    <w:p w14:paraId="5D603A5A" w14:textId="6BEFFEA8" w:rsidR="00412D77" w:rsidRPr="00FB2D03" w:rsidRDefault="00412D77" w:rsidP="00E56DFF">
      <w:pPr>
        <w:tabs>
          <w:tab w:val="left" w:pos="5616"/>
        </w:tabs>
        <w:ind w:left="720"/>
        <w:rPr>
          <w:color w:val="000000" w:themeColor="text1"/>
          <w:lang w:val="en-AU"/>
        </w:rPr>
      </w:pPr>
      <w:r w:rsidRPr="00FB2D03">
        <w:rPr>
          <w:color w:val="000000" w:themeColor="text1"/>
          <w:lang w:val="en-AU"/>
        </w:rPr>
        <w:t xml:space="preserve">Congregation.” In </w:t>
      </w:r>
      <w:r w:rsidRPr="00DF2BEE">
        <w:rPr>
          <w:i/>
          <w:iCs/>
          <w:color w:val="000000" w:themeColor="text1"/>
          <w:lang w:val="en-AU"/>
        </w:rPr>
        <w:t>Geschichte</w:t>
      </w:r>
      <w:r w:rsidR="00DF2BEE">
        <w:rPr>
          <w:i/>
          <w:iCs/>
          <w:color w:val="000000" w:themeColor="text1"/>
          <w:lang w:val="en-AU"/>
        </w:rPr>
        <w:t>—</w:t>
      </w:r>
      <w:r w:rsidRPr="00DF2BEE">
        <w:rPr>
          <w:i/>
          <w:iCs/>
          <w:color w:val="000000" w:themeColor="text1"/>
          <w:lang w:val="en-AU"/>
        </w:rPr>
        <w:t>Tradition</w:t>
      </w:r>
      <w:r w:rsidR="00DF2BEE">
        <w:rPr>
          <w:i/>
          <w:iCs/>
          <w:color w:val="000000" w:themeColor="text1"/>
          <w:lang w:val="en-AU"/>
        </w:rPr>
        <w:t>—</w:t>
      </w:r>
      <w:r w:rsidRPr="00DF2BEE">
        <w:rPr>
          <w:i/>
          <w:iCs/>
          <w:color w:val="000000" w:themeColor="text1"/>
          <w:lang w:val="en-AU"/>
        </w:rPr>
        <w:t>Reflexion</w:t>
      </w:r>
      <w:r w:rsidR="00DF2BEE">
        <w:rPr>
          <w:i/>
          <w:iCs/>
          <w:color w:val="000000" w:themeColor="text1"/>
          <w:lang w:val="en-AU"/>
        </w:rPr>
        <w:t xml:space="preserve">: </w:t>
      </w:r>
      <w:r w:rsidRPr="00DF2BEE">
        <w:rPr>
          <w:i/>
          <w:iCs/>
          <w:color w:val="000000" w:themeColor="text1"/>
          <w:lang w:val="en-AU"/>
        </w:rPr>
        <w:t>Festschrift Für Martin Hengel Zum 70 Geburtstag</w:t>
      </w:r>
      <w:r w:rsidRPr="00FB2D03">
        <w:rPr>
          <w:color w:val="000000" w:themeColor="text1"/>
          <w:lang w:val="en-AU"/>
        </w:rPr>
        <w:t>, Bd 1: Judentum, 375–84. Tubingen, 1996</w:t>
      </w:r>
    </w:p>
    <w:p w14:paraId="4FAB8348" w14:textId="77777777" w:rsidR="00412D77" w:rsidRPr="00FB2D03" w:rsidRDefault="00412D77" w:rsidP="00412D77">
      <w:pPr>
        <w:tabs>
          <w:tab w:val="left" w:pos="5616"/>
        </w:tabs>
        <w:rPr>
          <w:color w:val="000000" w:themeColor="text1"/>
          <w:lang w:val="en-AU"/>
        </w:rPr>
      </w:pPr>
    </w:p>
    <w:p w14:paraId="2B07A536" w14:textId="7E763D2F" w:rsidR="00E56DFF" w:rsidRPr="00FB2D03" w:rsidRDefault="00412D77" w:rsidP="00412D77">
      <w:pPr>
        <w:tabs>
          <w:tab w:val="left" w:pos="5616"/>
        </w:tabs>
        <w:rPr>
          <w:color w:val="000000" w:themeColor="text1"/>
          <w:lang w:val="en-AU"/>
        </w:rPr>
      </w:pPr>
      <w:r w:rsidRPr="00FB2D03">
        <w:rPr>
          <w:color w:val="000000" w:themeColor="text1"/>
          <w:lang w:val="en-AU"/>
        </w:rPr>
        <w:t>Vermès, Géza. “The Leadership of the Qumran Community: Sons of Zadok--Priests</w:t>
      </w:r>
      <w:r w:rsidR="00E56DFF" w:rsidRPr="00FB2D03">
        <w:rPr>
          <w:color w:val="000000" w:themeColor="text1"/>
          <w:lang w:val="en-AU"/>
        </w:rPr>
        <w:t>—</w:t>
      </w:r>
    </w:p>
    <w:p w14:paraId="01D85347" w14:textId="3AB41EA0" w:rsidR="00412D77" w:rsidRPr="00FB2D03" w:rsidRDefault="00412D77" w:rsidP="00E56DFF">
      <w:pPr>
        <w:tabs>
          <w:tab w:val="left" w:pos="5616"/>
        </w:tabs>
        <w:ind w:left="720"/>
        <w:rPr>
          <w:color w:val="000000" w:themeColor="text1"/>
          <w:lang w:val="en-AU"/>
        </w:rPr>
      </w:pPr>
      <w:r w:rsidRPr="00FB2D03">
        <w:rPr>
          <w:color w:val="000000" w:themeColor="text1"/>
          <w:lang w:val="en-AU"/>
        </w:rPr>
        <w:t xml:space="preserve">Congregation.” In </w:t>
      </w:r>
      <w:r w:rsidRPr="00FB2D03">
        <w:rPr>
          <w:i/>
          <w:color w:val="000000" w:themeColor="text1"/>
          <w:lang w:val="en-AU"/>
        </w:rPr>
        <w:t>Geschichte--Tradition--ReflexionFestschrift Für Martin Hengel Zum 70 Geburtstag, Bd 1: Judentum</w:t>
      </w:r>
      <w:r w:rsidRPr="00FB2D03">
        <w:rPr>
          <w:color w:val="000000" w:themeColor="text1"/>
          <w:lang w:val="en-AU"/>
        </w:rPr>
        <w:t>, 375–84. Tubingen, 1996</w:t>
      </w:r>
    </w:p>
    <w:p w14:paraId="62FF7068" w14:textId="77777777" w:rsidR="00412D77" w:rsidRPr="00FB2D03" w:rsidRDefault="00412D77" w:rsidP="00412D77">
      <w:pPr>
        <w:tabs>
          <w:tab w:val="left" w:pos="5616"/>
        </w:tabs>
        <w:rPr>
          <w:color w:val="000000" w:themeColor="text1"/>
          <w:lang w:val="en-AU"/>
        </w:rPr>
      </w:pPr>
    </w:p>
    <w:p w14:paraId="553CCE4A"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Viljoen, Francois P. “Jesus’ Teaching on the Torah in the Sermon on the </w:t>
      </w:r>
    </w:p>
    <w:p w14:paraId="7C8826AA" w14:textId="41C24779" w:rsidR="00412D77" w:rsidRPr="00FB2D03" w:rsidRDefault="00412D77" w:rsidP="00E56DFF">
      <w:pPr>
        <w:tabs>
          <w:tab w:val="left" w:pos="5616"/>
        </w:tabs>
        <w:ind w:left="720"/>
        <w:rPr>
          <w:color w:val="000000" w:themeColor="text1"/>
          <w:lang w:val="en-AU"/>
        </w:rPr>
      </w:pPr>
      <w:r w:rsidRPr="00FB2D03">
        <w:rPr>
          <w:color w:val="000000" w:themeColor="text1"/>
          <w:lang w:val="en-AU"/>
        </w:rPr>
        <w:t>Mount.” </w:t>
      </w:r>
      <w:r w:rsidRPr="00FB2D03">
        <w:rPr>
          <w:i/>
          <w:color w:val="000000" w:themeColor="text1"/>
          <w:lang w:val="en-AU"/>
        </w:rPr>
        <w:t>Neotestamentica</w:t>
      </w:r>
      <w:r w:rsidRPr="00FB2D03">
        <w:rPr>
          <w:color w:val="000000" w:themeColor="text1"/>
          <w:lang w:val="en-AU"/>
        </w:rPr>
        <w:t> 40 (2006): 135–55.</w:t>
      </w:r>
    </w:p>
    <w:p w14:paraId="0E403349" w14:textId="77777777" w:rsidR="00412D77" w:rsidRPr="00FB2D03" w:rsidRDefault="00412D77" w:rsidP="00412D77">
      <w:pPr>
        <w:tabs>
          <w:tab w:val="left" w:pos="5616"/>
        </w:tabs>
        <w:rPr>
          <w:color w:val="000000" w:themeColor="text1"/>
          <w:lang w:val="en-AU"/>
        </w:rPr>
      </w:pPr>
    </w:p>
    <w:p w14:paraId="727563ED"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Viljoen, Francois P. “Jesus’s Halakhic Argumentation on the True Intention of The Law In </w:t>
      </w:r>
    </w:p>
    <w:p w14:paraId="4FFC1DCF" w14:textId="72F66B0A" w:rsidR="00412D77" w:rsidRPr="00FB2D03" w:rsidRDefault="00412D77" w:rsidP="00E56DFF">
      <w:pPr>
        <w:tabs>
          <w:tab w:val="left" w:pos="5616"/>
        </w:tabs>
        <w:ind w:left="720"/>
        <w:rPr>
          <w:color w:val="000000" w:themeColor="text1"/>
          <w:lang w:val="en-AU"/>
        </w:rPr>
      </w:pPr>
      <w:r w:rsidRPr="00FB2D03">
        <w:rPr>
          <w:color w:val="000000" w:themeColor="text1"/>
          <w:lang w:val="en-AU"/>
        </w:rPr>
        <w:t>Matthew 5:21.” </w:t>
      </w:r>
      <w:r w:rsidRPr="00FB2D03">
        <w:rPr>
          <w:i/>
          <w:color w:val="000000" w:themeColor="text1"/>
          <w:lang w:val="en-AU"/>
        </w:rPr>
        <w:t>Verbum et Ecclesia</w:t>
      </w:r>
      <w:r w:rsidRPr="00FB2D03">
        <w:rPr>
          <w:color w:val="000000" w:themeColor="text1"/>
          <w:lang w:val="en-AU"/>
        </w:rPr>
        <w:t> 34 (2013).</w:t>
      </w:r>
    </w:p>
    <w:p w14:paraId="16106113" w14:textId="77777777" w:rsidR="00412D77" w:rsidRPr="00FB2D03" w:rsidRDefault="00412D77" w:rsidP="00412D77">
      <w:pPr>
        <w:tabs>
          <w:tab w:val="left" w:pos="5616"/>
        </w:tabs>
        <w:rPr>
          <w:color w:val="000000" w:themeColor="text1"/>
          <w:lang w:val="en-AU"/>
        </w:rPr>
      </w:pPr>
    </w:p>
    <w:p w14:paraId="0FB20EF2" w14:textId="77777777" w:rsidR="00E56DFF" w:rsidRPr="00FB2D03" w:rsidRDefault="00412D77" w:rsidP="00412D77">
      <w:pPr>
        <w:tabs>
          <w:tab w:val="left" w:pos="5616"/>
        </w:tabs>
        <w:rPr>
          <w:i/>
          <w:color w:val="000000" w:themeColor="text1"/>
          <w:lang w:val="en-AU"/>
        </w:rPr>
      </w:pPr>
      <w:r w:rsidRPr="00FB2D03">
        <w:rPr>
          <w:color w:val="000000" w:themeColor="text1"/>
          <w:lang w:val="en-AU"/>
        </w:rPr>
        <w:t>________. “A Call for Peacemaking: A Perspective from the Sermon on the Mount.”</w:t>
      </w:r>
      <w:r w:rsidRPr="00FB2D03">
        <w:rPr>
          <w:i/>
          <w:color w:val="000000" w:themeColor="text1"/>
          <w:lang w:val="en-AU"/>
        </w:rPr>
        <w:t xml:space="preserve"> In Die </w:t>
      </w:r>
    </w:p>
    <w:p w14:paraId="0D68C556" w14:textId="0BCB4210" w:rsidR="00412D77" w:rsidRPr="00FB2D03" w:rsidRDefault="00412D77" w:rsidP="00E56DFF">
      <w:pPr>
        <w:tabs>
          <w:tab w:val="left" w:pos="5616"/>
        </w:tabs>
        <w:ind w:left="720"/>
        <w:rPr>
          <w:color w:val="000000" w:themeColor="text1"/>
          <w:lang w:val="en-AU"/>
        </w:rPr>
      </w:pPr>
      <w:r w:rsidRPr="00FB2D03">
        <w:rPr>
          <w:i/>
          <w:color w:val="000000" w:themeColor="text1"/>
          <w:lang w:val="en-AU"/>
        </w:rPr>
        <w:t>Skriflig</w:t>
      </w:r>
      <w:r w:rsidRPr="00FB2D03">
        <w:rPr>
          <w:color w:val="000000" w:themeColor="text1"/>
          <w:lang w:val="en-AU"/>
        </w:rPr>
        <w:t xml:space="preserve"> 55 (2021): 1–8. </w:t>
      </w:r>
    </w:p>
    <w:p w14:paraId="076726E6" w14:textId="77777777" w:rsidR="00412D77" w:rsidRPr="00FB2D03" w:rsidRDefault="00412D77" w:rsidP="00412D77">
      <w:pPr>
        <w:tabs>
          <w:tab w:val="left" w:pos="5616"/>
        </w:tabs>
        <w:rPr>
          <w:color w:val="000000" w:themeColor="text1"/>
          <w:lang w:val="en-AU"/>
        </w:rPr>
      </w:pPr>
    </w:p>
    <w:p w14:paraId="2CE74F45"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Visotzky, Burton L. “Midrash Proverbs 25.” </w:t>
      </w:r>
      <w:r w:rsidRPr="00FB2D03">
        <w:rPr>
          <w:i/>
          <w:color w:val="000000" w:themeColor="text1"/>
          <w:lang w:val="en-AU"/>
        </w:rPr>
        <w:t>Midrash on Proverbs</w:t>
      </w:r>
      <w:r w:rsidRPr="00FB2D03">
        <w:rPr>
          <w:color w:val="000000" w:themeColor="text1"/>
          <w:lang w:val="en-AU"/>
        </w:rPr>
        <w:t xml:space="preserve">. New Haven: Yale </w:t>
      </w:r>
    </w:p>
    <w:p w14:paraId="1B4BF0F1" w14:textId="3CDAB1E4" w:rsidR="00412D77" w:rsidRPr="00FB2D03" w:rsidRDefault="00412D77" w:rsidP="00E56DFF">
      <w:pPr>
        <w:tabs>
          <w:tab w:val="left" w:pos="5616"/>
        </w:tabs>
        <w:ind w:left="720"/>
        <w:rPr>
          <w:color w:val="000000" w:themeColor="text1"/>
          <w:lang w:val="en-AU"/>
        </w:rPr>
      </w:pPr>
      <w:r w:rsidRPr="00FB2D03">
        <w:rPr>
          <w:color w:val="000000" w:themeColor="text1"/>
          <w:lang w:val="en-AU"/>
        </w:rPr>
        <w:t>University, 1992.</w:t>
      </w:r>
    </w:p>
    <w:p w14:paraId="4B67078B" w14:textId="3973C48E" w:rsidR="00412D77" w:rsidRDefault="00412D77" w:rsidP="00412D77">
      <w:pPr>
        <w:tabs>
          <w:tab w:val="left" w:pos="5616"/>
        </w:tabs>
        <w:rPr>
          <w:color w:val="000000" w:themeColor="text1"/>
          <w:lang w:val="en-AU"/>
        </w:rPr>
      </w:pPr>
    </w:p>
    <w:p w14:paraId="50AB2341" w14:textId="77777777" w:rsidR="00446A42" w:rsidRDefault="00446A42" w:rsidP="00412D77">
      <w:pPr>
        <w:tabs>
          <w:tab w:val="left" w:pos="5616"/>
        </w:tabs>
        <w:rPr>
          <w:i/>
          <w:iCs/>
          <w:color w:val="000000" w:themeColor="text1"/>
          <w:lang w:val="en-AU"/>
        </w:rPr>
      </w:pPr>
      <w:r w:rsidRPr="00FB2D03">
        <w:rPr>
          <w:color w:val="000000" w:themeColor="text1"/>
          <w:lang w:val="en-AU"/>
        </w:rPr>
        <w:t>________.</w:t>
      </w:r>
      <w:r>
        <w:rPr>
          <w:color w:val="000000" w:themeColor="text1"/>
          <w:lang w:val="en-AU"/>
        </w:rPr>
        <w:t xml:space="preserve"> </w:t>
      </w:r>
      <w:r>
        <w:rPr>
          <w:i/>
          <w:iCs/>
          <w:color w:val="000000" w:themeColor="text1"/>
          <w:lang w:val="en-AU"/>
        </w:rPr>
        <w:t xml:space="preserve">Aphrodite and the Rabbis:  How the Jews Adapted Roman Culture to Create </w:t>
      </w:r>
    </w:p>
    <w:p w14:paraId="29485068" w14:textId="4BD54B00" w:rsidR="00446A42" w:rsidRPr="00446A42" w:rsidRDefault="00446A42" w:rsidP="00ED0F6A">
      <w:pPr>
        <w:tabs>
          <w:tab w:val="left" w:pos="5616"/>
        </w:tabs>
        <w:ind w:left="720"/>
        <w:rPr>
          <w:color w:val="000000" w:themeColor="text1"/>
          <w:lang w:val="en-AU"/>
        </w:rPr>
      </w:pPr>
      <w:r>
        <w:rPr>
          <w:i/>
          <w:iCs/>
          <w:color w:val="000000" w:themeColor="text1"/>
          <w:lang w:val="en-AU"/>
        </w:rPr>
        <w:t xml:space="preserve">Judaism as We Know It. </w:t>
      </w:r>
      <w:r>
        <w:rPr>
          <w:color w:val="000000" w:themeColor="text1"/>
          <w:lang w:val="en-AU"/>
        </w:rPr>
        <w:t>New York: St. Martin’s Press, 2016.</w:t>
      </w:r>
    </w:p>
    <w:p w14:paraId="4F321125" w14:textId="77777777" w:rsidR="00446A42" w:rsidRPr="00FB2D03" w:rsidRDefault="00446A42" w:rsidP="00412D77">
      <w:pPr>
        <w:tabs>
          <w:tab w:val="left" w:pos="5616"/>
        </w:tabs>
        <w:rPr>
          <w:color w:val="000000" w:themeColor="text1"/>
          <w:lang w:val="en-AU"/>
        </w:rPr>
      </w:pPr>
    </w:p>
    <w:p w14:paraId="7E1BDBE2" w14:textId="77777777" w:rsidR="00E56DFF" w:rsidRPr="00FB2D03" w:rsidRDefault="00412D77" w:rsidP="00412D77">
      <w:pPr>
        <w:tabs>
          <w:tab w:val="left" w:pos="5616"/>
        </w:tabs>
        <w:rPr>
          <w:i/>
          <w:color w:val="000000" w:themeColor="text1"/>
          <w:lang w:val="en-AU"/>
        </w:rPr>
      </w:pPr>
      <w:r w:rsidRPr="00FB2D03">
        <w:rPr>
          <w:color w:val="000000" w:themeColor="text1"/>
          <w:lang w:val="en-AU"/>
        </w:rPr>
        <w:t>Villiers, Gerda de. “The ‘Foreigner in Our Midst’ and The Hebrew Bible.” </w:t>
      </w:r>
      <w:r w:rsidRPr="00FB2D03">
        <w:rPr>
          <w:i/>
          <w:color w:val="000000" w:themeColor="text1"/>
          <w:lang w:val="en-AU"/>
        </w:rPr>
        <w:t xml:space="preserve">Hervormde </w:t>
      </w:r>
    </w:p>
    <w:p w14:paraId="4A994FF7" w14:textId="35D20E87" w:rsidR="00412D77" w:rsidRPr="00FB2D03" w:rsidRDefault="00412D77" w:rsidP="00E56DFF">
      <w:pPr>
        <w:tabs>
          <w:tab w:val="left" w:pos="5616"/>
        </w:tabs>
        <w:ind w:left="720"/>
        <w:rPr>
          <w:color w:val="000000" w:themeColor="text1"/>
          <w:lang w:val="en-AU"/>
        </w:rPr>
      </w:pPr>
      <w:r w:rsidRPr="00FB2D03">
        <w:rPr>
          <w:i/>
          <w:color w:val="000000" w:themeColor="text1"/>
          <w:lang w:val="en-AU"/>
        </w:rPr>
        <w:t>Teologiese Studies / Theological Studies</w:t>
      </w:r>
      <w:r w:rsidRPr="00FB2D03">
        <w:rPr>
          <w:color w:val="000000" w:themeColor="text1"/>
          <w:lang w:val="en-AU"/>
        </w:rPr>
        <w:t> 75 (2019): 1.</w:t>
      </w:r>
    </w:p>
    <w:p w14:paraId="5684171A" w14:textId="247713EB" w:rsidR="000C7C50" w:rsidRPr="00FB2D03" w:rsidRDefault="000C7C50" w:rsidP="000C7C50">
      <w:pPr>
        <w:tabs>
          <w:tab w:val="left" w:pos="5616"/>
        </w:tabs>
        <w:rPr>
          <w:i/>
          <w:color w:val="000000" w:themeColor="text1"/>
          <w:lang w:val="en-AU"/>
        </w:rPr>
      </w:pPr>
    </w:p>
    <w:p w14:paraId="6CB318CE" w14:textId="4921D3AD" w:rsidR="00BD1C3D" w:rsidRPr="00FB2D03" w:rsidRDefault="000C7C50" w:rsidP="000C7C50">
      <w:pPr>
        <w:tabs>
          <w:tab w:val="left" w:pos="5616"/>
        </w:tabs>
        <w:rPr>
          <w:color w:val="000000" w:themeColor="text1"/>
          <w:lang w:val="en-AU"/>
        </w:rPr>
      </w:pPr>
      <w:r w:rsidRPr="00FB2D03">
        <w:rPr>
          <w:color w:val="000000" w:themeColor="text1"/>
          <w:lang w:val="en-AU"/>
        </w:rPr>
        <w:t>von Mut</w:t>
      </w:r>
      <w:r w:rsidR="0066182C" w:rsidRPr="00FB2D03">
        <w:rPr>
          <w:color w:val="000000" w:themeColor="text1"/>
          <w:lang w:val="en-AU"/>
        </w:rPr>
        <w:t>ius</w:t>
      </w:r>
      <w:r w:rsidRPr="00FB2D03">
        <w:rPr>
          <w:color w:val="000000" w:themeColor="text1"/>
          <w:lang w:val="en-AU"/>
        </w:rPr>
        <w:t xml:space="preserve">, Hans-Georg. “Die Zinsgestezgebung in der Septuaginta zu Deuteronomium </w:t>
      </w:r>
    </w:p>
    <w:p w14:paraId="769D82DB" w14:textId="5D309209" w:rsidR="00412D77" w:rsidRPr="00FB2D03" w:rsidRDefault="00BD1C3D" w:rsidP="00BD1C3D">
      <w:pPr>
        <w:tabs>
          <w:tab w:val="left" w:pos="5616"/>
        </w:tabs>
        <w:ind w:left="720"/>
        <w:rPr>
          <w:color w:val="000000" w:themeColor="text1"/>
          <w:lang w:val="en-AU"/>
        </w:rPr>
      </w:pPr>
      <w:r w:rsidRPr="00FB2D03">
        <w:rPr>
          <w:color w:val="000000" w:themeColor="text1"/>
          <w:lang w:val="en-AU"/>
        </w:rPr>
        <w:t xml:space="preserve">23,21—Ubersetzungs- und Sachprobleme aus nicht drittmittelgestutzer Forschungsperspektive.” </w:t>
      </w:r>
      <w:r w:rsidRPr="00FB2D03">
        <w:rPr>
          <w:i/>
          <w:iCs/>
          <w:color w:val="000000" w:themeColor="text1"/>
          <w:lang w:val="en-AU"/>
        </w:rPr>
        <w:t>BN NF</w:t>
      </w:r>
      <w:r w:rsidRPr="00FB2D03">
        <w:rPr>
          <w:color w:val="000000" w:themeColor="text1"/>
          <w:lang w:val="en-AU"/>
        </w:rPr>
        <w:t xml:space="preserve"> (2014): 19-24.</w:t>
      </w:r>
    </w:p>
    <w:p w14:paraId="64E79C1E" w14:textId="77777777" w:rsidR="000C7C50" w:rsidRPr="00FB2D03" w:rsidRDefault="000C7C50" w:rsidP="000C7C50">
      <w:pPr>
        <w:tabs>
          <w:tab w:val="left" w:pos="5616"/>
        </w:tabs>
        <w:rPr>
          <w:color w:val="000000" w:themeColor="text1"/>
          <w:lang w:val="en-AU"/>
        </w:rPr>
      </w:pPr>
    </w:p>
    <w:p w14:paraId="1917C5EF" w14:textId="77777777" w:rsidR="00E56DFF" w:rsidRPr="00FB2D03" w:rsidRDefault="00412D77" w:rsidP="00412D77">
      <w:pPr>
        <w:tabs>
          <w:tab w:val="left" w:pos="5616"/>
        </w:tabs>
        <w:rPr>
          <w:color w:val="000000" w:themeColor="text1"/>
          <w:lang w:val="en-AU"/>
        </w:rPr>
      </w:pPr>
      <w:r w:rsidRPr="00FB2D03">
        <w:rPr>
          <w:color w:val="000000" w:themeColor="text1"/>
          <w:lang w:val="en-AU"/>
        </w:rPr>
        <w:t>Vriezen, T. C. &amp; A. S. van der Woude. </w:t>
      </w:r>
      <w:r w:rsidRPr="00FB2D03">
        <w:rPr>
          <w:i/>
          <w:color w:val="000000" w:themeColor="text1"/>
          <w:lang w:val="en-AU"/>
        </w:rPr>
        <w:t>Ancient Israelite and Early Jewish Literature</w:t>
      </w:r>
      <w:r w:rsidRPr="00FB2D03">
        <w:rPr>
          <w:color w:val="000000" w:themeColor="text1"/>
          <w:lang w:val="en-AU"/>
        </w:rPr>
        <w:t xml:space="preserve">. </w:t>
      </w:r>
    </w:p>
    <w:p w14:paraId="13B1FA61" w14:textId="6E3C445E" w:rsidR="00412D77" w:rsidRPr="00FB2D03" w:rsidRDefault="00412D77" w:rsidP="00E56DFF">
      <w:pPr>
        <w:tabs>
          <w:tab w:val="left" w:pos="5616"/>
        </w:tabs>
        <w:ind w:left="720"/>
        <w:rPr>
          <w:color w:val="000000" w:themeColor="text1"/>
          <w:lang w:val="en-AU"/>
        </w:rPr>
      </w:pPr>
      <w:r w:rsidRPr="00FB2D03">
        <w:rPr>
          <w:color w:val="000000" w:themeColor="text1"/>
          <w:lang w:val="en-AU"/>
        </w:rPr>
        <w:t>Translated by Brian Doyle. Leiden, Germany: Brill, 2005.</w:t>
      </w:r>
    </w:p>
    <w:p w14:paraId="2DDF2797" w14:textId="77777777" w:rsidR="00412D77" w:rsidRPr="00FB2D03" w:rsidRDefault="00412D77" w:rsidP="00412D77">
      <w:pPr>
        <w:tabs>
          <w:tab w:val="left" w:pos="5616"/>
        </w:tabs>
        <w:rPr>
          <w:color w:val="000000" w:themeColor="text1"/>
          <w:lang w:val="en-AU"/>
        </w:rPr>
      </w:pPr>
    </w:p>
    <w:p w14:paraId="64FEA937" w14:textId="77777777" w:rsidR="00412D77" w:rsidRPr="00FB2D03" w:rsidRDefault="00412D77" w:rsidP="00412D77">
      <w:pPr>
        <w:tabs>
          <w:tab w:val="left" w:pos="5616"/>
        </w:tabs>
        <w:rPr>
          <w:i/>
          <w:color w:val="000000" w:themeColor="text1"/>
          <w:lang w:val="en-AU"/>
        </w:rPr>
      </w:pPr>
      <w:r w:rsidRPr="00FB2D03">
        <w:rPr>
          <w:color w:val="000000" w:themeColor="text1"/>
          <w:lang w:val="en-AU"/>
        </w:rPr>
        <w:t xml:space="preserve">Wallace, Daniel B. </w:t>
      </w:r>
      <w:r w:rsidRPr="00FB2D03">
        <w:rPr>
          <w:i/>
          <w:color w:val="000000" w:themeColor="text1"/>
          <w:lang w:val="en-AU"/>
        </w:rPr>
        <w:t xml:space="preserve">Greek Grammar Beyond the Basics: An Exegetical Syntax of the New </w:t>
      </w:r>
    </w:p>
    <w:p w14:paraId="18AE8943" w14:textId="5ACE8FEE" w:rsidR="00412D77" w:rsidRPr="00FB2D03" w:rsidRDefault="00412D77" w:rsidP="00E56DFF">
      <w:pPr>
        <w:tabs>
          <w:tab w:val="left" w:pos="5616"/>
        </w:tabs>
        <w:ind w:left="720"/>
        <w:rPr>
          <w:color w:val="000000" w:themeColor="text1"/>
          <w:lang w:val="en-AU"/>
        </w:rPr>
      </w:pPr>
      <w:r w:rsidRPr="00FB2D03">
        <w:rPr>
          <w:i/>
          <w:color w:val="000000" w:themeColor="text1"/>
          <w:lang w:val="en-AU"/>
        </w:rPr>
        <w:t>Testament with Scripture, Subject, and Greek Word Indexes</w:t>
      </w:r>
      <w:r w:rsidRPr="00FB2D03">
        <w:rPr>
          <w:color w:val="000000" w:themeColor="text1"/>
          <w:lang w:val="en-AU"/>
        </w:rPr>
        <w:t xml:space="preserve">. Grand Rapids: </w:t>
      </w:r>
    </w:p>
    <w:p w14:paraId="7AD4807D" w14:textId="77777777" w:rsidR="00412D77" w:rsidRPr="00FB2D03" w:rsidRDefault="00412D77" w:rsidP="00E56DFF">
      <w:pPr>
        <w:tabs>
          <w:tab w:val="left" w:pos="5616"/>
        </w:tabs>
        <w:ind w:left="720"/>
        <w:rPr>
          <w:color w:val="000000" w:themeColor="text1"/>
          <w:lang w:val="en-AU"/>
        </w:rPr>
      </w:pPr>
      <w:r w:rsidRPr="00FB2D03">
        <w:rPr>
          <w:color w:val="000000" w:themeColor="text1"/>
          <w:lang w:val="en-AU"/>
        </w:rPr>
        <w:t>Zondervan, 1996.</w:t>
      </w:r>
    </w:p>
    <w:p w14:paraId="4552419B" w14:textId="77777777" w:rsidR="00412D77" w:rsidRPr="00FB2D03" w:rsidRDefault="00412D77" w:rsidP="00412D77">
      <w:pPr>
        <w:tabs>
          <w:tab w:val="left" w:pos="5616"/>
        </w:tabs>
        <w:rPr>
          <w:color w:val="000000" w:themeColor="text1"/>
          <w:lang w:val="en-AU"/>
        </w:rPr>
      </w:pPr>
    </w:p>
    <w:p w14:paraId="31C1F7BF" w14:textId="77777777" w:rsidR="00E56DFF" w:rsidRPr="00FB2D03" w:rsidRDefault="00412D77" w:rsidP="00412D77">
      <w:pPr>
        <w:tabs>
          <w:tab w:val="left" w:pos="5616"/>
        </w:tabs>
        <w:rPr>
          <w:i/>
          <w:color w:val="000000" w:themeColor="text1"/>
          <w:lang w:val="en-AU"/>
        </w:rPr>
      </w:pPr>
      <w:r w:rsidRPr="00FB2D03">
        <w:rPr>
          <w:color w:val="000000" w:themeColor="text1"/>
          <w:lang w:val="en-AU"/>
        </w:rPr>
        <w:t>Walter Scheidel. “Free-Born and Manumitted Bailiffs in the Graeco-Roman World.” </w:t>
      </w:r>
      <w:r w:rsidRPr="00FB2D03">
        <w:rPr>
          <w:i/>
          <w:color w:val="000000" w:themeColor="text1"/>
          <w:lang w:val="en-AU"/>
        </w:rPr>
        <w:t xml:space="preserve">The </w:t>
      </w:r>
    </w:p>
    <w:p w14:paraId="7FABBD6F" w14:textId="6CC08BD9" w:rsidR="00412D77" w:rsidRPr="00FB2D03" w:rsidRDefault="00412D77" w:rsidP="00E56DFF">
      <w:pPr>
        <w:tabs>
          <w:tab w:val="left" w:pos="5616"/>
        </w:tabs>
        <w:ind w:left="720"/>
        <w:rPr>
          <w:color w:val="000000" w:themeColor="text1"/>
          <w:lang w:val="en-AU"/>
        </w:rPr>
      </w:pPr>
      <w:r w:rsidRPr="00FB2D03">
        <w:rPr>
          <w:i/>
          <w:color w:val="000000" w:themeColor="text1"/>
          <w:lang w:val="en-AU"/>
        </w:rPr>
        <w:t>Classical Quarterly</w:t>
      </w:r>
      <w:r w:rsidRPr="00FB2D03">
        <w:rPr>
          <w:color w:val="000000" w:themeColor="text1"/>
          <w:lang w:val="en-AU"/>
        </w:rPr>
        <w:t xml:space="preserve"> 40 (1990): 591–93. </w:t>
      </w:r>
    </w:p>
    <w:p w14:paraId="7A8F3B44" w14:textId="77777777" w:rsidR="00412D77" w:rsidRPr="00FB2D03" w:rsidRDefault="00412D77" w:rsidP="00412D77">
      <w:pPr>
        <w:tabs>
          <w:tab w:val="left" w:pos="5616"/>
        </w:tabs>
        <w:rPr>
          <w:color w:val="000000" w:themeColor="text1"/>
          <w:lang w:val="en-AU"/>
        </w:rPr>
      </w:pPr>
    </w:p>
    <w:p w14:paraId="144248C5" w14:textId="77777777" w:rsidR="00E56DFF" w:rsidRPr="00FB2D03" w:rsidRDefault="00412D77" w:rsidP="00412D77">
      <w:pPr>
        <w:tabs>
          <w:tab w:val="left" w:pos="5616"/>
        </w:tabs>
        <w:rPr>
          <w:color w:val="000000" w:themeColor="text1"/>
          <w:lang w:val="en-AU"/>
        </w:rPr>
      </w:pPr>
      <w:r w:rsidRPr="00FB2D03">
        <w:rPr>
          <w:color w:val="000000" w:themeColor="text1"/>
          <w:lang w:val="en-AU"/>
        </w:rPr>
        <w:t>Walton, John H. </w:t>
      </w:r>
      <w:r w:rsidRPr="00FB2D03">
        <w:rPr>
          <w:i/>
          <w:color w:val="000000" w:themeColor="text1"/>
          <w:lang w:val="en-AU"/>
        </w:rPr>
        <w:t>Lost World of Genesis One: Ancient Cosmology and the Origins of Debate</w:t>
      </w:r>
      <w:r w:rsidRPr="00FB2D03">
        <w:rPr>
          <w:color w:val="000000" w:themeColor="text1"/>
          <w:lang w:val="en-AU"/>
        </w:rPr>
        <w:t xml:space="preserve">. </w:t>
      </w:r>
    </w:p>
    <w:p w14:paraId="63E187ED" w14:textId="64DD2E33" w:rsidR="00412D77" w:rsidRPr="00FB2D03" w:rsidRDefault="00412D77" w:rsidP="00E56DFF">
      <w:pPr>
        <w:tabs>
          <w:tab w:val="left" w:pos="5616"/>
        </w:tabs>
        <w:ind w:left="720"/>
        <w:rPr>
          <w:color w:val="000000" w:themeColor="text1"/>
          <w:lang w:val="en-AU"/>
        </w:rPr>
      </w:pPr>
      <w:r w:rsidRPr="00FB2D03">
        <w:rPr>
          <w:color w:val="000000" w:themeColor="text1"/>
          <w:lang w:val="en-AU"/>
        </w:rPr>
        <w:t>Downers Grove: InterVarsity Press Academic, 2009.</w:t>
      </w:r>
    </w:p>
    <w:p w14:paraId="5E288269" w14:textId="77777777" w:rsidR="00412D77" w:rsidRPr="00FB2D03" w:rsidRDefault="00412D77" w:rsidP="00412D77">
      <w:pPr>
        <w:tabs>
          <w:tab w:val="left" w:pos="5616"/>
        </w:tabs>
        <w:rPr>
          <w:color w:val="000000" w:themeColor="text1"/>
          <w:lang w:val="en-AU"/>
        </w:rPr>
      </w:pPr>
    </w:p>
    <w:p w14:paraId="3688B62F"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Waltzer, Michael. “War and Peace in the Jewish Tradition.” In </w:t>
      </w:r>
      <w:r w:rsidRPr="00FB2D03">
        <w:rPr>
          <w:i/>
          <w:color w:val="000000" w:themeColor="text1"/>
          <w:lang w:val="en-AU"/>
        </w:rPr>
        <w:t>The Ethics of War and Peace</w:t>
      </w:r>
      <w:r w:rsidRPr="00FB2D03">
        <w:rPr>
          <w:color w:val="000000" w:themeColor="text1"/>
          <w:lang w:val="en-AU"/>
        </w:rPr>
        <w:t xml:space="preserve">, </w:t>
      </w:r>
    </w:p>
    <w:p w14:paraId="531FE4E3" w14:textId="4A1C30CB" w:rsidR="00412D77" w:rsidRPr="00FB2D03" w:rsidRDefault="00412D77" w:rsidP="00E56DFF">
      <w:pPr>
        <w:tabs>
          <w:tab w:val="left" w:pos="5616"/>
        </w:tabs>
        <w:ind w:left="720"/>
        <w:rPr>
          <w:color w:val="000000" w:themeColor="text1"/>
          <w:lang w:val="en-AU"/>
        </w:rPr>
      </w:pPr>
      <w:r w:rsidRPr="00FB2D03">
        <w:rPr>
          <w:color w:val="000000" w:themeColor="text1"/>
          <w:lang w:val="en-AU"/>
        </w:rPr>
        <w:t>ed. Terry Nardin, 95-114. Princeton: Princeton University Press, 1996.</w:t>
      </w:r>
    </w:p>
    <w:p w14:paraId="099CC424" w14:textId="77777777" w:rsidR="00412D77" w:rsidRPr="00FB2D03" w:rsidRDefault="00412D77" w:rsidP="00412D77">
      <w:pPr>
        <w:tabs>
          <w:tab w:val="left" w:pos="5616"/>
        </w:tabs>
        <w:rPr>
          <w:color w:val="000000" w:themeColor="text1"/>
          <w:lang w:val="en-AU"/>
        </w:rPr>
      </w:pPr>
    </w:p>
    <w:p w14:paraId="648A77E6" w14:textId="77777777" w:rsidR="00E56DFF" w:rsidRPr="00FB2D03" w:rsidRDefault="00412D77" w:rsidP="00412D77">
      <w:pPr>
        <w:tabs>
          <w:tab w:val="left" w:pos="5616"/>
        </w:tabs>
        <w:rPr>
          <w:i/>
          <w:color w:val="000000" w:themeColor="text1"/>
          <w:lang w:val="en-AU"/>
        </w:rPr>
      </w:pPr>
      <w:r w:rsidRPr="00FB2D03">
        <w:rPr>
          <w:color w:val="000000" w:themeColor="text1"/>
          <w:lang w:val="en-AU"/>
        </w:rPr>
        <w:t>Wardle, Timothy. “Jesus and the Temple: The Crucifixion in its Jewish Context.” </w:t>
      </w:r>
      <w:r w:rsidRPr="00FB2D03">
        <w:rPr>
          <w:i/>
          <w:color w:val="000000" w:themeColor="text1"/>
          <w:lang w:val="en-AU"/>
        </w:rPr>
        <w:t xml:space="preserve">Journal of </w:t>
      </w:r>
    </w:p>
    <w:p w14:paraId="5E1D4D3A" w14:textId="51EBF7B3" w:rsidR="00412D77" w:rsidRPr="00FB2D03" w:rsidRDefault="00412D77" w:rsidP="00E56DFF">
      <w:pPr>
        <w:tabs>
          <w:tab w:val="left" w:pos="5616"/>
        </w:tabs>
        <w:ind w:left="720"/>
        <w:rPr>
          <w:color w:val="000000" w:themeColor="text1"/>
          <w:lang w:val="en-AU"/>
        </w:rPr>
      </w:pPr>
      <w:r w:rsidRPr="00FB2D03">
        <w:rPr>
          <w:i/>
          <w:color w:val="000000" w:themeColor="text1"/>
          <w:lang w:val="en-AU"/>
        </w:rPr>
        <w:t>the Evangelical Theological Society</w:t>
      </w:r>
      <w:r w:rsidRPr="00FB2D03">
        <w:rPr>
          <w:color w:val="000000" w:themeColor="text1"/>
          <w:lang w:val="en-AU"/>
        </w:rPr>
        <w:t> 60 (2017): 409––11.</w:t>
      </w:r>
    </w:p>
    <w:p w14:paraId="25289419" w14:textId="77777777" w:rsidR="00412D77" w:rsidRPr="00FB2D03" w:rsidRDefault="00412D77" w:rsidP="00412D77">
      <w:pPr>
        <w:tabs>
          <w:tab w:val="left" w:pos="5616"/>
        </w:tabs>
        <w:rPr>
          <w:color w:val="000000" w:themeColor="text1"/>
          <w:lang w:val="en-AU"/>
        </w:rPr>
      </w:pPr>
    </w:p>
    <w:p w14:paraId="2237B84D" w14:textId="77777777" w:rsidR="00872F30" w:rsidRPr="00FB2D03" w:rsidRDefault="00412D77" w:rsidP="00412D77">
      <w:pPr>
        <w:tabs>
          <w:tab w:val="left" w:pos="5616"/>
        </w:tabs>
        <w:rPr>
          <w:color w:val="000000" w:themeColor="text1"/>
          <w:lang w:val="en-AU"/>
        </w:rPr>
      </w:pPr>
      <w:r w:rsidRPr="00FB2D03">
        <w:rPr>
          <w:color w:val="000000" w:themeColor="text1"/>
          <w:lang w:val="en-AU"/>
        </w:rPr>
        <w:t>Warmington</w:t>
      </w:r>
      <w:r w:rsidRPr="00FB2D03">
        <w:rPr>
          <w:i/>
          <w:color w:val="000000" w:themeColor="text1"/>
          <w:lang w:val="en-AU"/>
        </w:rPr>
        <w:t xml:space="preserve">, </w:t>
      </w:r>
      <w:r w:rsidRPr="00FB2D03">
        <w:rPr>
          <w:color w:val="000000" w:themeColor="text1"/>
          <w:lang w:val="en-AU"/>
        </w:rPr>
        <w:t xml:space="preserve">E. H. </w:t>
      </w:r>
      <w:r w:rsidRPr="00FB2D03">
        <w:rPr>
          <w:i/>
          <w:color w:val="000000" w:themeColor="text1"/>
          <w:lang w:val="en-AU"/>
        </w:rPr>
        <w:t>Remains of Old Latin, Loeb Classical Library</w:t>
      </w:r>
      <w:r w:rsidRPr="00FB2D03">
        <w:rPr>
          <w:color w:val="000000" w:themeColor="text1"/>
          <w:lang w:val="en-AU"/>
        </w:rPr>
        <w:t xml:space="preserve">. Cambridge: Harvard </w:t>
      </w:r>
    </w:p>
    <w:p w14:paraId="20C63762" w14:textId="197E6D67" w:rsidR="00412D77" w:rsidRPr="00FB2D03" w:rsidRDefault="00412D77" w:rsidP="00872F30">
      <w:pPr>
        <w:tabs>
          <w:tab w:val="left" w:pos="5616"/>
        </w:tabs>
        <w:ind w:left="720"/>
        <w:rPr>
          <w:color w:val="000000" w:themeColor="text1"/>
          <w:lang w:val="en-AU"/>
        </w:rPr>
      </w:pPr>
      <w:r w:rsidRPr="00FB2D03">
        <w:rPr>
          <w:color w:val="000000" w:themeColor="text1"/>
          <w:lang w:val="en-AU"/>
        </w:rPr>
        <w:t>University Press, 1969.</w:t>
      </w:r>
    </w:p>
    <w:p w14:paraId="6F477C32" w14:textId="77777777" w:rsidR="00412D77" w:rsidRPr="00FB2D03" w:rsidRDefault="00412D77" w:rsidP="00412D77">
      <w:pPr>
        <w:tabs>
          <w:tab w:val="left" w:pos="5616"/>
        </w:tabs>
        <w:rPr>
          <w:color w:val="000000" w:themeColor="text1"/>
          <w:lang w:val="en-AU"/>
        </w:rPr>
      </w:pPr>
    </w:p>
    <w:p w14:paraId="7444D318"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Watson, Alan. “Personal Injuries in the XII Tables.” </w:t>
      </w:r>
      <w:r w:rsidRPr="00FB2D03">
        <w:rPr>
          <w:i/>
          <w:color w:val="000000" w:themeColor="text1"/>
          <w:lang w:val="en-AU"/>
        </w:rPr>
        <w:t>Tijdschrift voor Rechtsgeschiedenis</w:t>
      </w:r>
      <w:r w:rsidRPr="00FB2D03">
        <w:rPr>
          <w:color w:val="000000" w:themeColor="text1"/>
          <w:lang w:val="en-AU"/>
        </w:rPr>
        <w:t xml:space="preserve"> 43 </w:t>
      </w:r>
    </w:p>
    <w:p w14:paraId="247482F3" w14:textId="4E1E1CD4" w:rsidR="00412D77" w:rsidRPr="00FB2D03" w:rsidRDefault="00412D77" w:rsidP="00E56DFF">
      <w:pPr>
        <w:tabs>
          <w:tab w:val="left" w:pos="5616"/>
        </w:tabs>
        <w:ind w:left="720"/>
        <w:rPr>
          <w:color w:val="000000" w:themeColor="text1"/>
          <w:lang w:val="en-AU"/>
        </w:rPr>
      </w:pPr>
      <w:r w:rsidRPr="00FB2D03">
        <w:rPr>
          <w:color w:val="000000" w:themeColor="text1"/>
          <w:lang w:val="en-AU"/>
        </w:rPr>
        <w:t>(1975): 213.</w:t>
      </w:r>
    </w:p>
    <w:p w14:paraId="24D076A0" w14:textId="77777777" w:rsidR="00412D77" w:rsidRPr="00FB2D03" w:rsidRDefault="00412D77" w:rsidP="00412D77">
      <w:pPr>
        <w:tabs>
          <w:tab w:val="left" w:pos="5616"/>
        </w:tabs>
        <w:rPr>
          <w:color w:val="000000" w:themeColor="text1"/>
          <w:lang w:val="en-AU"/>
        </w:rPr>
      </w:pPr>
    </w:p>
    <w:p w14:paraId="6C63A380"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Watson, G. R. </w:t>
      </w:r>
      <w:r w:rsidRPr="00FB2D03">
        <w:rPr>
          <w:i/>
          <w:color w:val="000000" w:themeColor="text1"/>
          <w:lang w:val="en-AU"/>
        </w:rPr>
        <w:t>The Roman Soldier</w:t>
      </w:r>
      <w:r w:rsidRPr="00FB2D03">
        <w:rPr>
          <w:color w:val="000000" w:themeColor="text1"/>
          <w:lang w:val="en-AU"/>
        </w:rPr>
        <w:t>. London: Thames and Hudson, 1969.</w:t>
      </w:r>
    </w:p>
    <w:p w14:paraId="45845B5D" w14:textId="77777777" w:rsidR="00412D77" w:rsidRPr="00FB2D03" w:rsidRDefault="00412D77" w:rsidP="00412D77">
      <w:pPr>
        <w:tabs>
          <w:tab w:val="left" w:pos="5616"/>
        </w:tabs>
        <w:rPr>
          <w:color w:val="000000" w:themeColor="text1"/>
          <w:lang w:val="en-AU"/>
        </w:rPr>
      </w:pPr>
    </w:p>
    <w:p w14:paraId="54F649EC" w14:textId="77777777" w:rsidR="00872F30" w:rsidRPr="00FB2D03" w:rsidRDefault="00412D77" w:rsidP="00412D77">
      <w:pPr>
        <w:tabs>
          <w:tab w:val="left" w:pos="5616"/>
        </w:tabs>
        <w:rPr>
          <w:color w:val="000000" w:themeColor="text1"/>
          <w:lang w:val="en-AU"/>
        </w:rPr>
      </w:pPr>
      <w:r w:rsidRPr="00FB2D03">
        <w:rPr>
          <w:color w:val="000000" w:themeColor="text1"/>
          <w:lang w:val="en-AU"/>
        </w:rPr>
        <w:t xml:space="preserve">________. “The Pay of the Roman Army: Suetonius, Dio and the quartum stipendium”, </w:t>
      </w:r>
    </w:p>
    <w:p w14:paraId="01B1CDFD" w14:textId="1A0F6F61" w:rsidR="00412D77" w:rsidRPr="00FB2D03" w:rsidRDefault="00412D77" w:rsidP="00872F30">
      <w:pPr>
        <w:tabs>
          <w:tab w:val="left" w:pos="5616"/>
        </w:tabs>
        <w:ind w:left="720"/>
        <w:rPr>
          <w:color w:val="000000" w:themeColor="text1"/>
          <w:lang w:val="en-AU"/>
        </w:rPr>
      </w:pPr>
      <w:r w:rsidRPr="00FB2D03">
        <w:rPr>
          <w:i/>
          <w:color w:val="000000" w:themeColor="text1"/>
          <w:lang w:val="en-AU"/>
        </w:rPr>
        <w:t>Historia</w:t>
      </w:r>
      <w:r w:rsidRPr="00FB2D03">
        <w:rPr>
          <w:color w:val="000000" w:themeColor="text1"/>
          <w:lang w:val="en-AU"/>
        </w:rPr>
        <w:t xml:space="preserve"> 5 (1956): 332–40.</w:t>
      </w:r>
    </w:p>
    <w:p w14:paraId="1D38162A" w14:textId="77777777" w:rsidR="00412D77" w:rsidRPr="00FB2D03" w:rsidRDefault="00412D77" w:rsidP="00412D77">
      <w:pPr>
        <w:tabs>
          <w:tab w:val="left" w:pos="5616"/>
        </w:tabs>
        <w:rPr>
          <w:color w:val="000000" w:themeColor="text1"/>
          <w:lang w:val="en-AU"/>
        </w:rPr>
      </w:pPr>
    </w:p>
    <w:p w14:paraId="12BA9410" w14:textId="77777777" w:rsidR="00E56DFF" w:rsidRPr="00FB2D03" w:rsidRDefault="00412D77" w:rsidP="00412D77">
      <w:pPr>
        <w:tabs>
          <w:tab w:val="left" w:pos="5616"/>
        </w:tabs>
        <w:rPr>
          <w:i/>
          <w:color w:val="000000" w:themeColor="text1"/>
          <w:lang w:val="en-AU"/>
        </w:rPr>
      </w:pPr>
      <w:r w:rsidRPr="00FB2D03">
        <w:rPr>
          <w:color w:val="000000" w:themeColor="text1"/>
          <w:lang w:val="en-AU"/>
        </w:rPr>
        <w:t>Wassen, Cecilia. “Jesus’ Table Fellowship with ‘Toll Collectors and Sinners.’” </w:t>
      </w:r>
      <w:r w:rsidRPr="00FB2D03">
        <w:rPr>
          <w:i/>
          <w:color w:val="000000" w:themeColor="text1"/>
          <w:lang w:val="en-AU"/>
        </w:rPr>
        <w:t xml:space="preserve">Journal for </w:t>
      </w:r>
    </w:p>
    <w:p w14:paraId="0BB70608" w14:textId="5D1BE8B0" w:rsidR="00412D77" w:rsidRPr="00FB2D03" w:rsidRDefault="00412D77" w:rsidP="00E56DFF">
      <w:pPr>
        <w:tabs>
          <w:tab w:val="left" w:pos="5616"/>
        </w:tabs>
        <w:ind w:left="720"/>
        <w:rPr>
          <w:color w:val="000000" w:themeColor="text1"/>
          <w:lang w:val="en-AU"/>
        </w:rPr>
      </w:pPr>
      <w:r w:rsidRPr="00FB2D03">
        <w:rPr>
          <w:i/>
          <w:color w:val="000000" w:themeColor="text1"/>
          <w:lang w:val="en-AU"/>
        </w:rPr>
        <w:t>the Study of the Historical Jesus</w:t>
      </w:r>
      <w:r w:rsidRPr="00FB2D03">
        <w:rPr>
          <w:color w:val="000000" w:themeColor="text1"/>
          <w:lang w:val="en-AU"/>
        </w:rPr>
        <w:t xml:space="preserve"> 14 (May 2016): 137–57. </w:t>
      </w:r>
    </w:p>
    <w:p w14:paraId="076F10F0" w14:textId="77777777" w:rsidR="00412D77" w:rsidRPr="00FB2D03" w:rsidRDefault="00412D77" w:rsidP="00412D77">
      <w:pPr>
        <w:tabs>
          <w:tab w:val="left" w:pos="5616"/>
        </w:tabs>
        <w:rPr>
          <w:color w:val="000000" w:themeColor="text1"/>
          <w:lang w:val="en-AU"/>
        </w:rPr>
      </w:pPr>
    </w:p>
    <w:p w14:paraId="14D8717E"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Watt, Jonathan M. “Of Gutterals and Galileans: The Two Slurs of Matthew 26.73.” </w:t>
      </w:r>
    </w:p>
    <w:p w14:paraId="4AE98B39" w14:textId="13FABAAE" w:rsidR="00412D77" w:rsidRPr="00FB2D03" w:rsidRDefault="00412D77" w:rsidP="00E56DFF">
      <w:pPr>
        <w:tabs>
          <w:tab w:val="left" w:pos="5616"/>
        </w:tabs>
        <w:ind w:left="720"/>
        <w:rPr>
          <w:color w:val="000000" w:themeColor="text1"/>
          <w:lang w:val="en-AU"/>
        </w:rPr>
      </w:pPr>
      <w:r w:rsidRPr="00FB2D03">
        <w:rPr>
          <w:color w:val="000000" w:themeColor="text1"/>
          <w:lang w:val="en-AU"/>
        </w:rPr>
        <w:t>In </w:t>
      </w:r>
      <w:r w:rsidRPr="00FB2D03">
        <w:rPr>
          <w:i/>
          <w:color w:val="000000" w:themeColor="text1"/>
          <w:lang w:val="en-AU"/>
        </w:rPr>
        <w:t>Diglossia and Other Topics in New Testament Linguistics</w:t>
      </w:r>
      <w:r w:rsidRPr="00FB2D03">
        <w:rPr>
          <w:color w:val="000000" w:themeColor="text1"/>
          <w:lang w:val="en-AU"/>
        </w:rPr>
        <w:t>, ed. Stanley Porter, 107–20. Sheffield: Sheffield Academic Press, 2000. </w:t>
      </w:r>
    </w:p>
    <w:p w14:paraId="7C8EE0D8" w14:textId="77777777" w:rsidR="00412D77" w:rsidRPr="00FB2D03" w:rsidRDefault="00412D77" w:rsidP="00412D77">
      <w:pPr>
        <w:tabs>
          <w:tab w:val="left" w:pos="5616"/>
        </w:tabs>
        <w:rPr>
          <w:color w:val="000000" w:themeColor="text1"/>
          <w:lang w:val="en-AU"/>
        </w:rPr>
      </w:pPr>
    </w:p>
    <w:p w14:paraId="0B3A8FE7"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Weaver, Dorothy Jean. “Transforming Nonresistance: From Lex Talionis to ‘Do Not Resist </w:t>
      </w:r>
    </w:p>
    <w:p w14:paraId="1054C831" w14:textId="2DC21F61" w:rsidR="00412D77" w:rsidRPr="00FB2D03" w:rsidRDefault="00412D77" w:rsidP="00E56DFF">
      <w:pPr>
        <w:tabs>
          <w:tab w:val="left" w:pos="5616"/>
        </w:tabs>
        <w:ind w:left="720"/>
        <w:rPr>
          <w:color w:val="000000" w:themeColor="text1"/>
          <w:lang w:val="en-AU"/>
        </w:rPr>
      </w:pPr>
      <w:r w:rsidRPr="00FB2D03">
        <w:rPr>
          <w:color w:val="000000" w:themeColor="text1"/>
          <w:lang w:val="en-AU"/>
        </w:rPr>
        <w:t xml:space="preserve">the Evil One,’” in </w:t>
      </w:r>
      <w:r w:rsidRPr="00FB2D03">
        <w:rPr>
          <w:i/>
          <w:color w:val="000000" w:themeColor="text1"/>
          <w:lang w:val="en-AU"/>
        </w:rPr>
        <w:t>The Love of Enemy and Nonretaliation in the New Testament</w:t>
      </w:r>
      <w:r w:rsidRPr="00FB2D03">
        <w:rPr>
          <w:color w:val="000000" w:themeColor="text1"/>
          <w:lang w:val="en-AU"/>
        </w:rPr>
        <w:t>, ed. William Swartly, 32-71. Louisville: Westminster/John Knox, 1992.</w:t>
      </w:r>
    </w:p>
    <w:p w14:paraId="1F90ADE2" w14:textId="77777777" w:rsidR="00412D77" w:rsidRPr="00FB2D03" w:rsidRDefault="00412D77" w:rsidP="00412D77">
      <w:pPr>
        <w:tabs>
          <w:tab w:val="left" w:pos="5616"/>
        </w:tabs>
        <w:rPr>
          <w:color w:val="000000" w:themeColor="text1"/>
          <w:lang w:val="en-AU"/>
        </w:rPr>
      </w:pPr>
    </w:p>
    <w:p w14:paraId="256575F2" w14:textId="77777777" w:rsidR="00872F30" w:rsidRPr="00FB2D03" w:rsidRDefault="00412D77" w:rsidP="00412D77">
      <w:pPr>
        <w:tabs>
          <w:tab w:val="left" w:pos="5616"/>
        </w:tabs>
        <w:rPr>
          <w:color w:val="000000" w:themeColor="text1"/>
          <w:lang w:val="en-AU"/>
        </w:rPr>
      </w:pPr>
      <w:r w:rsidRPr="00FB2D03">
        <w:rPr>
          <w:color w:val="000000" w:themeColor="text1"/>
          <w:lang w:val="en-AU"/>
        </w:rPr>
        <w:t xml:space="preserve">________. “‘Suffering Violence’ and the Kingdom of Heaven (Mt 11:12): A Matthean </w:t>
      </w:r>
    </w:p>
    <w:p w14:paraId="0C6B85C8" w14:textId="077EC558" w:rsidR="00412D77" w:rsidRPr="00FB2D03" w:rsidRDefault="00412D77" w:rsidP="00872F30">
      <w:pPr>
        <w:tabs>
          <w:tab w:val="left" w:pos="5616"/>
        </w:tabs>
        <w:ind w:left="720"/>
        <w:rPr>
          <w:color w:val="000000" w:themeColor="text1"/>
          <w:lang w:val="en-AU"/>
        </w:rPr>
      </w:pPr>
      <w:r w:rsidRPr="00FB2D03">
        <w:rPr>
          <w:color w:val="000000" w:themeColor="text1"/>
          <w:lang w:val="en-AU"/>
        </w:rPr>
        <w:t>Manual for Life in a Time of War.”</w:t>
      </w:r>
      <w:r w:rsidRPr="00FB2D03">
        <w:rPr>
          <w:i/>
          <w:color w:val="000000" w:themeColor="text1"/>
          <w:lang w:val="en-AU"/>
        </w:rPr>
        <w:t> Hervormde Teologiese Studies</w:t>
      </w:r>
      <w:r w:rsidRPr="00FB2D03">
        <w:rPr>
          <w:color w:val="000000" w:themeColor="text1"/>
          <w:lang w:val="en-AU"/>
        </w:rPr>
        <w:t> 67 (2011).</w:t>
      </w:r>
    </w:p>
    <w:p w14:paraId="13F7F27F" w14:textId="77777777" w:rsidR="00412D77" w:rsidRPr="00FB2D03" w:rsidRDefault="00412D77" w:rsidP="00412D77">
      <w:pPr>
        <w:tabs>
          <w:tab w:val="left" w:pos="5616"/>
        </w:tabs>
        <w:rPr>
          <w:color w:val="000000" w:themeColor="text1"/>
          <w:lang w:val="en-AU"/>
        </w:rPr>
      </w:pPr>
    </w:p>
    <w:p w14:paraId="18F19298" w14:textId="77777777" w:rsidR="0059280A" w:rsidRPr="00FB2D03" w:rsidRDefault="00412D77" w:rsidP="00412D77">
      <w:pPr>
        <w:tabs>
          <w:tab w:val="left" w:pos="5616"/>
        </w:tabs>
        <w:rPr>
          <w:color w:val="000000" w:themeColor="text1"/>
          <w:lang w:val="en-AU"/>
        </w:rPr>
      </w:pPr>
      <w:r w:rsidRPr="00FB2D03">
        <w:rPr>
          <w:color w:val="000000" w:themeColor="text1"/>
          <w:lang w:val="en-AU"/>
        </w:rPr>
        <w:t>Weinfeld</w:t>
      </w:r>
      <w:r w:rsidRPr="00FB2D03">
        <w:rPr>
          <w:i/>
          <w:color w:val="000000" w:themeColor="text1"/>
          <w:lang w:val="en-AU"/>
        </w:rPr>
        <w:t xml:space="preserve">, </w:t>
      </w:r>
      <w:r w:rsidRPr="00FB2D03">
        <w:rPr>
          <w:color w:val="000000" w:themeColor="text1"/>
          <w:lang w:val="en-AU"/>
        </w:rPr>
        <w:t>Moshe.</w:t>
      </w:r>
      <w:r w:rsidRPr="00FB2D03">
        <w:rPr>
          <w:i/>
          <w:color w:val="000000" w:themeColor="text1"/>
          <w:lang w:val="en-AU"/>
        </w:rPr>
        <w:t xml:space="preserve"> Social Justice in Ancient Israel and in the Ancient Near East</w:t>
      </w:r>
      <w:r w:rsidRPr="00FB2D03">
        <w:rPr>
          <w:color w:val="000000" w:themeColor="text1"/>
          <w:lang w:val="en-AU"/>
        </w:rPr>
        <w:t xml:space="preserve">. Jerusalem: </w:t>
      </w:r>
    </w:p>
    <w:p w14:paraId="2A1EA564" w14:textId="1DF69CFF" w:rsidR="00412D77" w:rsidRPr="00FB2D03" w:rsidRDefault="00412D77" w:rsidP="00E56DFF">
      <w:pPr>
        <w:tabs>
          <w:tab w:val="left" w:pos="5616"/>
        </w:tabs>
        <w:ind w:left="720"/>
        <w:rPr>
          <w:color w:val="000000" w:themeColor="text1"/>
          <w:lang w:val="en-AU"/>
        </w:rPr>
      </w:pPr>
      <w:r w:rsidRPr="00FB2D03">
        <w:rPr>
          <w:color w:val="000000" w:themeColor="text1"/>
          <w:lang w:val="en-AU"/>
        </w:rPr>
        <w:t>Magnes and Fortress, 1995.</w:t>
      </w:r>
    </w:p>
    <w:p w14:paraId="74BBAA18" w14:textId="77777777" w:rsidR="00412D77" w:rsidRPr="00FB2D03" w:rsidRDefault="00412D77" w:rsidP="00412D77">
      <w:pPr>
        <w:tabs>
          <w:tab w:val="left" w:pos="5616"/>
        </w:tabs>
        <w:rPr>
          <w:color w:val="000000" w:themeColor="text1"/>
          <w:lang w:val="en-AU"/>
        </w:rPr>
      </w:pPr>
    </w:p>
    <w:p w14:paraId="23D16653"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Weingart, Kristin. “‘My Father, My Father! Chariot of Israel and Its Horses!’ (2 Kings 2:12 // </w:t>
      </w:r>
    </w:p>
    <w:p w14:paraId="5E794078" w14:textId="091FCB92" w:rsidR="00412D77" w:rsidRPr="00FB2D03" w:rsidRDefault="00412D77" w:rsidP="00E56DFF">
      <w:pPr>
        <w:tabs>
          <w:tab w:val="left" w:pos="5616"/>
        </w:tabs>
        <w:ind w:left="720"/>
        <w:rPr>
          <w:color w:val="000000" w:themeColor="text1"/>
          <w:lang w:val="en-AU"/>
        </w:rPr>
      </w:pPr>
      <w:r w:rsidRPr="00FB2D03">
        <w:rPr>
          <w:color w:val="000000" w:themeColor="text1"/>
          <w:lang w:val="en-AU"/>
        </w:rPr>
        <w:t>13:14): Elisha’s or Elijah’s Title?” </w:t>
      </w:r>
      <w:r w:rsidRPr="00FB2D03">
        <w:rPr>
          <w:i/>
          <w:color w:val="000000" w:themeColor="text1"/>
          <w:lang w:val="en-AU"/>
        </w:rPr>
        <w:t>Journal of Biblical Literature</w:t>
      </w:r>
      <w:r w:rsidRPr="00FB2D03">
        <w:rPr>
          <w:color w:val="000000" w:themeColor="text1"/>
          <w:lang w:val="en-AU"/>
        </w:rPr>
        <w:t> 137 (2018): 257–70.</w:t>
      </w:r>
    </w:p>
    <w:p w14:paraId="6CAB2F35" w14:textId="77777777" w:rsidR="00412D77" w:rsidRPr="00FB2D03" w:rsidRDefault="00412D77" w:rsidP="00412D77">
      <w:pPr>
        <w:tabs>
          <w:tab w:val="left" w:pos="5616"/>
        </w:tabs>
        <w:rPr>
          <w:color w:val="000000" w:themeColor="text1"/>
          <w:lang w:val="en-AU"/>
        </w:rPr>
      </w:pPr>
    </w:p>
    <w:p w14:paraId="4DA198DA"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Weiss, Alexander. “In the Crucible of Empire. The Impact of Roman Citizenship upon </w:t>
      </w:r>
    </w:p>
    <w:p w14:paraId="7E3EE881" w14:textId="5B866370" w:rsidR="00412D77" w:rsidRPr="00FB2D03" w:rsidRDefault="00412D77" w:rsidP="00E56DFF">
      <w:pPr>
        <w:tabs>
          <w:tab w:val="left" w:pos="5616"/>
        </w:tabs>
        <w:ind w:left="720"/>
        <w:rPr>
          <w:color w:val="000000" w:themeColor="text1"/>
          <w:lang w:val="en-AU"/>
        </w:rPr>
      </w:pPr>
      <w:r w:rsidRPr="00FB2D03">
        <w:rPr>
          <w:color w:val="000000" w:themeColor="text1"/>
          <w:lang w:val="en-AU"/>
        </w:rPr>
        <w:t xml:space="preserve">Greeks, </w:t>
      </w:r>
      <w:proofErr w:type="gramStart"/>
      <w:r w:rsidRPr="00FB2D03">
        <w:rPr>
          <w:color w:val="000000" w:themeColor="text1"/>
          <w:lang w:val="en-AU"/>
        </w:rPr>
        <w:t>Jews</w:t>
      </w:r>
      <w:proofErr w:type="gramEnd"/>
      <w:r w:rsidRPr="00FB2D03">
        <w:rPr>
          <w:color w:val="000000" w:themeColor="text1"/>
          <w:lang w:val="en-AU"/>
        </w:rPr>
        <w:t xml:space="preserve"> and Christians.” </w:t>
      </w:r>
      <w:r w:rsidRPr="00FB2D03">
        <w:rPr>
          <w:i/>
          <w:color w:val="000000" w:themeColor="text1"/>
          <w:lang w:val="en-AU"/>
        </w:rPr>
        <w:t>Historische Zeitschrift</w:t>
      </w:r>
      <w:r w:rsidRPr="00FB2D03">
        <w:rPr>
          <w:color w:val="000000" w:themeColor="text1"/>
          <w:lang w:val="en-AU"/>
        </w:rPr>
        <w:t xml:space="preserve"> 311 (2020): 183–84. </w:t>
      </w:r>
    </w:p>
    <w:p w14:paraId="4E6A9E90" w14:textId="77777777" w:rsidR="00412D77" w:rsidRPr="00FB2D03" w:rsidRDefault="00412D77" w:rsidP="00412D77">
      <w:pPr>
        <w:tabs>
          <w:tab w:val="left" w:pos="5616"/>
        </w:tabs>
        <w:rPr>
          <w:color w:val="000000" w:themeColor="text1"/>
          <w:lang w:val="en-AU"/>
        </w:rPr>
      </w:pPr>
    </w:p>
    <w:p w14:paraId="743DE061"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Weiss, Daniel H. “Christians as Levites: Rethinking Early Christian Attitudes toward War </w:t>
      </w:r>
    </w:p>
    <w:p w14:paraId="6B51E455" w14:textId="7B7C8D19" w:rsidR="00412D77" w:rsidRPr="00FB2D03" w:rsidRDefault="00412D77" w:rsidP="00E56DFF">
      <w:pPr>
        <w:tabs>
          <w:tab w:val="left" w:pos="5616"/>
        </w:tabs>
        <w:ind w:left="720"/>
        <w:rPr>
          <w:color w:val="000000" w:themeColor="text1"/>
          <w:lang w:val="en-AU"/>
        </w:rPr>
      </w:pPr>
      <w:r w:rsidRPr="00FB2D03">
        <w:rPr>
          <w:color w:val="000000" w:themeColor="text1"/>
          <w:lang w:val="en-AU"/>
        </w:rPr>
        <w:t>and Bloodshed via Origen, Tertullian, and Augustine.” </w:t>
      </w:r>
      <w:r w:rsidRPr="00FB2D03">
        <w:rPr>
          <w:i/>
          <w:color w:val="000000" w:themeColor="text1"/>
          <w:lang w:val="en-AU"/>
        </w:rPr>
        <w:t>Harvard Theological Review </w:t>
      </w:r>
      <w:r w:rsidRPr="00FB2D03">
        <w:rPr>
          <w:color w:val="000000" w:themeColor="text1"/>
          <w:lang w:val="en-AU"/>
        </w:rPr>
        <w:t>112 (2019): 491–516.</w:t>
      </w:r>
    </w:p>
    <w:p w14:paraId="3FB191E8" w14:textId="77777777" w:rsidR="00412D77" w:rsidRPr="00FB2D03" w:rsidRDefault="00412D77" w:rsidP="00412D77">
      <w:pPr>
        <w:tabs>
          <w:tab w:val="left" w:pos="5616"/>
        </w:tabs>
        <w:rPr>
          <w:color w:val="000000" w:themeColor="text1"/>
          <w:lang w:val="en-AU"/>
        </w:rPr>
      </w:pPr>
    </w:p>
    <w:p w14:paraId="1A374308" w14:textId="046DD081" w:rsidR="00412D77" w:rsidRPr="00FB2D03" w:rsidRDefault="00412D77" w:rsidP="00412D77">
      <w:pPr>
        <w:tabs>
          <w:tab w:val="left" w:pos="5616"/>
        </w:tabs>
        <w:rPr>
          <w:color w:val="000000" w:themeColor="text1"/>
          <w:lang w:val="en-AU"/>
        </w:rPr>
      </w:pPr>
      <w:r w:rsidRPr="00FB2D03">
        <w:rPr>
          <w:color w:val="000000" w:themeColor="text1"/>
          <w:lang w:val="en-AU"/>
        </w:rPr>
        <w:t xml:space="preserve">Weiss, Isaac Hirsch. </w:t>
      </w:r>
      <w:r w:rsidRPr="00FB2D03">
        <w:rPr>
          <w:i/>
          <w:color w:val="000000" w:themeColor="text1"/>
          <w:lang w:val="en-AU"/>
        </w:rPr>
        <w:t>Dor Dor Vedorshaiv</w:t>
      </w:r>
      <w:r w:rsidRPr="00FB2D03">
        <w:rPr>
          <w:color w:val="000000" w:themeColor="text1"/>
          <w:lang w:val="en-AU"/>
        </w:rPr>
        <w:t>. Berlin: Platt &amp; Minkus, 1923.</w:t>
      </w:r>
    </w:p>
    <w:p w14:paraId="551343E6" w14:textId="77777777" w:rsidR="00412D77" w:rsidRPr="00FB2D03" w:rsidRDefault="00412D77" w:rsidP="00412D77">
      <w:pPr>
        <w:tabs>
          <w:tab w:val="left" w:pos="5616"/>
        </w:tabs>
        <w:rPr>
          <w:color w:val="000000" w:themeColor="text1"/>
          <w:lang w:val="en-AU"/>
        </w:rPr>
      </w:pPr>
    </w:p>
    <w:p w14:paraId="5F20BF05"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Weiss, Yasaif Asher. </w:t>
      </w:r>
      <w:r w:rsidRPr="00FB2D03">
        <w:rPr>
          <w:i/>
          <w:color w:val="000000" w:themeColor="text1"/>
          <w:lang w:val="en-AU"/>
        </w:rPr>
        <w:t xml:space="preserve">Talmud </w:t>
      </w:r>
      <w:r w:rsidRPr="00FB2D03">
        <w:rPr>
          <w:color w:val="000000" w:themeColor="text1"/>
          <w:lang w:val="en-AU"/>
        </w:rPr>
        <w:t>Bavli. Brooklyn: Mesorah, 2009.</w:t>
      </w:r>
    </w:p>
    <w:p w14:paraId="064D1550" w14:textId="77777777" w:rsidR="00412D77" w:rsidRPr="00FB2D03" w:rsidRDefault="00412D77" w:rsidP="00412D77">
      <w:pPr>
        <w:tabs>
          <w:tab w:val="left" w:pos="5616"/>
        </w:tabs>
        <w:rPr>
          <w:color w:val="000000" w:themeColor="text1"/>
          <w:lang w:val="en-AU"/>
        </w:rPr>
      </w:pPr>
    </w:p>
    <w:p w14:paraId="21E4EA32"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Weitzman, Steven. “Warring against Terror: The War Scroll and the Mobilization of </w:t>
      </w:r>
    </w:p>
    <w:p w14:paraId="56374027" w14:textId="29245845" w:rsidR="00412D77" w:rsidRPr="00FB2D03" w:rsidRDefault="00412D77" w:rsidP="00E56DFF">
      <w:pPr>
        <w:tabs>
          <w:tab w:val="left" w:pos="5616"/>
        </w:tabs>
        <w:ind w:left="720"/>
        <w:rPr>
          <w:color w:val="000000" w:themeColor="text1"/>
          <w:lang w:val="en-AU"/>
        </w:rPr>
      </w:pPr>
      <w:r w:rsidRPr="00FB2D03">
        <w:rPr>
          <w:color w:val="000000" w:themeColor="text1"/>
          <w:lang w:val="en-AU"/>
        </w:rPr>
        <w:t xml:space="preserve">Emotion.” </w:t>
      </w:r>
      <w:r w:rsidRPr="00FB2D03">
        <w:rPr>
          <w:i/>
          <w:color w:val="000000" w:themeColor="text1"/>
          <w:lang w:val="en-AU"/>
        </w:rPr>
        <w:t xml:space="preserve">Journal for the Study of Judaism in the Persian, </w:t>
      </w:r>
      <w:proofErr w:type="gramStart"/>
      <w:r w:rsidRPr="00FB2D03">
        <w:rPr>
          <w:i/>
          <w:color w:val="000000" w:themeColor="text1"/>
          <w:lang w:val="en-AU"/>
        </w:rPr>
        <w:t>Hellenistic</w:t>
      </w:r>
      <w:proofErr w:type="gramEnd"/>
      <w:r w:rsidRPr="00FB2D03">
        <w:rPr>
          <w:i/>
          <w:color w:val="000000" w:themeColor="text1"/>
          <w:lang w:val="en-AU"/>
        </w:rPr>
        <w:t xml:space="preserve"> and Roman Period </w:t>
      </w:r>
      <w:r w:rsidRPr="00FB2D03">
        <w:rPr>
          <w:color w:val="000000" w:themeColor="text1"/>
          <w:lang w:val="en-AU"/>
        </w:rPr>
        <w:t xml:space="preserve">40 (2009): 213–41. </w:t>
      </w:r>
    </w:p>
    <w:p w14:paraId="20A50ACF" w14:textId="77777777" w:rsidR="00412D77" w:rsidRPr="00FB2D03" w:rsidRDefault="00412D77" w:rsidP="00412D77">
      <w:pPr>
        <w:tabs>
          <w:tab w:val="left" w:pos="5616"/>
        </w:tabs>
        <w:rPr>
          <w:color w:val="000000" w:themeColor="text1"/>
          <w:lang w:val="en-AU"/>
        </w:rPr>
      </w:pPr>
    </w:p>
    <w:p w14:paraId="769C7D97" w14:textId="725B0875" w:rsidR="00412D77" w:rsidRPr="00FB2D03" w:rsidRDefault="00412D77" w:rsidP="00412D77">
      <w:pPr>
        <w:tabs>
          <w:tab w:val="left" w:pos="5616"/>
        </w:tabs>
        <w:rPr>
          <w:color w:val="000000" w:themeColor="text1"/>
          <w:lang w:val="en-AU"/>
        </w:rPr>
      </w:pPr>
      <w:r w:rsidRPr="00FB2D03">
        <w:rPr>
          <w:color w:val="000000" w:themeColor="text1"/>
          <w:lang w:val="en-AU"/>
        </w:rPr>
        <w:lastRenderedPageBreak/>
        <w:t xml:space="preserve">Wells, Bruce. “What is Biblical Law?” </w:t>
      </w:r>
      <w:r w:rsidRPr="00FB2D03">
        <w:rPr>
          <w:i/>
          <w:color w:val="000000" w:themeColor="text1"/>
          <w:lang w:val="en-AU"/>
        </w:rPr>
        <w:t xml:space="preserve">The Catholic Biblical Quarterly </w:t>
      </w:r>
      <w:r w:rsidRPr="00FB2D03">
        <w:rPr>
          <w:color w:val="000000" w:themeColor="text1"/>
          <w:lang w:val="en-AU"/>
        </w:rPr>
        <w:t>70 (2008): 223–43.</w:t>
      </w:r>
    </w:p>
    <w:p w14:paraId="6C8AF440" w14:textId="77777777" w:rsidR="00412D77" w:rsidRPr="00FB2D03" w:rsidRDefault="00412D77" w:rsidP="00412D77">
      <w:pPr>
        <w:tabs>
          <w:tab w:val="left" w:pos="5616"/>
        </w:tabs>
        <w:rPr>
          <w:color w:val="000000" w:themeColor="text1"/>
          <w:lang w:val="en-AU"/>
        </w:rPr>
      </w:pPr>
    </w:p>
    <w:p w14:paraId="3D5C5837" w14:textId="77777777" w:rsidR="00E56DFF" w:rsidRPr="00FB2D03" w:rsidRDefault="00412D77" w:rsidP="00412D77">
      <w:pPr>
        <w:tabs>
          <w:tab w:val="left" w:pos="5616"/>
        </w:tabs>
        <w:rPr>
          <w:color w:val="000000" w:themeColor="text1"/>
          <w:lang w:val="en-AU"/>
        </w:rPr>
      </w:pPr>
      <w:r w:rsidRPr="00FB2D03">
        <w:rPr>
          <w:color w:val="000000" w:themeColor="text1"/>
          <w:lang w:val="en-AU"/>
        </w:rPr>
        <w:t>Wellhausen, Julius. </w:t>
      </w:r>
      <w:r w:rsidRPr="00FB2D03">
        <w:rPr>
          <w:i/>
          <w:color w:val="000000" w:themeColor="text1"/>
          <w:lang w:val="en-AU"/>
        </w:rPr>
        <w:t>Prolegomena Zur Geschichte Israels</w:t>
      </w:r>
      <w:r w:rsidRPr="00FB2D03">
        <w:rPr>
          <w:color w:val="000000" w:themeColor="text1"/>
          <w:lang w:val="en-AU"/>
        </w:rPr>
        <w:t xml:space="preserve">. Norderstedt: Hansebooks, 2016 </w:t>
      </w:r>
    </w:p>
    <w:p w14:paraId="29C938C2" w14:textId="2F99E113" w:rsidR="00412D77" w:rsidRPr="00FB2D03" w:rsidRDefault="00412D77" w:rsidP="00E56DFF">
      <w:pPr>
        <w:tabs>
          <w:tab w:val="left" w:pos="5616"/>
        </w:tabs>
        <w:ind w:left="720"/>
        <w:rPr>
          <w:color w:val="000000" w:themeColor="text1"/>
          <w:lang w:val="en-AU"/>
        </w:rPr>
      </w:pPr>
      <w:r w:rsidRPr="00FB2D03">
        <w:rPr>
          <w:color w:val="000000" w:themeColor="text1"/>
          <w:lang w:val="en-AU"/>
        </w:rPr>
        <w:t>[1878].</w:t>
      </w:r>
    </w:p>
    <w:p w14:paraId="2793278C" w14:textId="77777777" w:rsidR="00412D77" w:rsidRPr="00FB2D03" w:rsidRDefault="00412D77" w:rsidP="00412D77">
      <w:pPr>
        <w:tabs>
          <w:tab w:val="left" w:pos="5616"/>
        </w:tabs>
        <w:rPr>
          <w:color w:val="000000" w:themeColor="text1"/>
          <w:lang w:val="en-AU"/>
        </w:rPr>
      </w:pPr>
    </w:p>
    <w:p w14:paraId="0DC8C536"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Weren, W.J.C. “Messianic Peacemakers: Intertextual Relationships between Zechariah 9-14 </w:t>
      </w:r>
    </w:p>
    <w:p w14:paraId="5360DAC2" w14:textId="259CDCA1" w:rsidR="00412D77" w:rsidRPr="00FB2D03" w:rsidRDefault="00412D77" w:rsidP="00E56DFF">
      <w:pPr>
        <w:tabs>
          <w:tab w:val="left" w:pos="5616"/>
        </w:tabs>
        <w:ind w:left="720"/>
        <w:rPr>
          <w:color w:val="000000" w:themeColor="text1"/>
          <w:lang w:val="en-AU"/>
        </w:rPr>
      </w:pPr>
      <w:r w:rsidRPr="00FB2D03">
        <w:rPr>
          <w:color w:val="000000" w:themeColor="text1"/>
          <w:lang w:val="en-AU"/>
        </w:rPr>
        <w:t>and the Gospel of Matthew.” </w:t>
      </w:r>
      <w:r w:rsidRPr="00FB2D03">
        <w:rPr>
          <w:i/>
          <w:color w:val="000000" w:themeColor="text1"/>
          <w:lang w:val="en-AU"/>
        </w:rPr>
        <w:t>Hervormde Teologiese Studies / Theological Studies</w:t>
      </w:r>
      <w:r w:rsidRPr="00FB2D03">
        <w:rPr>
          <w:color w:val="000000" w:themeColor="text1"/>
          <w:lang w:val="en-AU"/>
        </w:rPr>
        <w:t> 71 (2015): 11.</w:t>
      </w:r>
    </w:p>
    <w:p w14:paraId="45B52775" w14:textId="77777777" w:rsidR="00412D77" w:rsidRPr="00FB2D03" w:rsidRDefault="00412D77" w:rsidP="00412D77">
      <w:pPr>
        <w:tabs>
          <w:tab w:val="left" w:pos="5616"/>
        </w:tabs>
        <w:rPr>
          <w:color w:val="000000" w:themeColor="text1"/>
          <w:lang w:val="en-AU"/>
        </w:rPr>
      </w:pPr>
    </w:p>
    <w:p w14:paraId="252DEF59" w14:textId="77777777" w:rsidR="00E56DFF" w:rsidRPr="00FB2D03" w:rsidRDefault="00412D77" w:rsidP="00412D77">
      <w:pPr>
        <w:tabs>
          <w:tab w:val="left" w:pos="5616"/>
        </w:tabs>
        <w:rPr>
          <w:i/>
          <w:color w:val="000000" w:themeColor="text1"/>
          <w:lang w:val="en-AU"/>
        </w:rPr>
      </w:pPr>
      <w:r w:rsidRPr="00FB2D03">
        <w:rPr>
          <w:color w:val="000000" w:themeColor="text1"/>
          <w:lang w:val="en-AU"/>
        </w:rPr>
        <w:t>Werpehowski, William. “Reinhold Niebuhr.” In </w:t>
      </w:r>
      <w:r w:rsidRPr="00FB2D03">
        <w:rPr>
          <w:i/>
          <w:color w:val="000000" w:themeColor="text1"/>
          <w:lang w:val="en-AU"/>
        </w:rPr>
        <w:t xml:space="preserve">The Wiley Blackwell Companion to Political </w:t>
      </w:r>
    </w:p>
    <w:p w14:paraId="51B78B52" w14:textId="0C68A27B" w:rsidR="00412D77" w:rsidRPr="00FB2D03" w:rsidRDefault="00412D77" w:rsidP="00E56DFF">
      <w:pPr>
        <w:tabs>
          <w:tab w:val="left" w:pos="5616"/>
        </w:tabs>
        <w:ind w:left="720"/>
        <w:rPr>
          <w:color w:val="000000" w:themeColor="text1"/>
          <w:lang w:val="en-AU"/>
        </w:rPr>
      </w:pPr>
      <w:r w:rsidRPr="00FB2D03">
        <w:rPr>
          <w:i/>
          <w:color w:val="000000" w:themeColor="text1"/>
          <w:lang w:val="en-AU"/>
        </w:rPr>
        <w:t>Theology</w:t>
      </w:r>
      <w:r w:rsidRPr="00FB2D03">
        <w:rPr>
          <w:color w:val="000000" w:themeColor="text1"/>
          <w:lang w:val="en-AU"/>
        </w:rPr>
        <w:t>, eds. Peter Scott and William T. Cavanaugh, 178–91. West Sussex: Blackwell Publishing, 2019.</w:t>
      </w:r>
    </w:p>
    <w:p w14:paraId="09689E23" w14:textId="77777777" w:rsidR="00412D77" w:rsidRPr="00FB2D03" w:rsidRDefault="00412D77" w:rsidP="00412D77">
      <w:pPr>
        <w:tabs>
          <w:tab w:val="left" w:pos="5616"/>
        </w:tabs>
        <w:rPr>
          <w:color w:val="000000" w:themeColor="text1"/>
          <w:lang w:val="en-AU"/>
        </w:rPr>
      </w:pPr>
    </w:p>
    <w:p w14:paraId="6DA811C1" w14:textId="191637BA" w:rsidR="00E56DFF" w:rsidRPr="00FB2D03" w:rsidRDefault="00412D77" w:rsidP="00E56DFF">
      <w:pPr>
        <w:tabs>
          <w:tab w:val="left" w:pos="5616"/>
        </w:tabs>
        <w:rPr>
          <w:color w:val="000000" w:themeColor="text1"/>
          <w:lang w:val="en-AU"/>
        </w:rPr>
      </w:pPr>
      <w:r w:rsidRPr="00FB2D03">
        <w:rPr>
          <w:color w:val="000000" w:themeColor="text1"/>
          <w:lang w:val="en-AU"/>
        </w:rPr>
        <w:t xml:space="preserve">Westbrook, Raymond. “The Development of Law in the Ancient Near East: Martha T. Roth, </w:t>
      </w:r>
    </w:p>
    <w:p w14:paraId="1BAB48D9" w14:textId="5956AFEE" w:rsidR="00412D77" w:rsidRPr="00FB2D03" w:rsidRDefault="00412D77" w:rsidP="00E56DFF">
      <w:pPr>
        <w:tabs>
          <w:tab w:val="left" w:pos="5616"/>
        </w:tabs>
        <w:ind w:left="720"/>
        <w:rPr>
          <w:color w:val="000000" w:themeColor="text1"/>
          <w:lang w:val="en-AU"/>
        </w:rPr>
      </w:pPr>
      <w:r w:rsidRPr="00FB2D03">
        <w:rPr>
          <w:color w:val="000000" w:themeColor="text1"/>
          <w:lang w:val="en-AU"/>
        </w:rPr>
        <w:t xml:space="preserve">“The Law Collection of King Hammurabi: Toward an Understanding of Codification and Text.” In </w:t>
      </w:r>
      <w:r w:rsidRPr="00FB2D03">
        <w:rPr>
          <w:i/>
          <w:color w:val="000000" w:themeColor="text1"/>
          <w:lang w:val="en-AU"/>
        </w:rPr>
        <w:t>La Codification des Lois dans L’Antiquité: Actes du Colloque de Strasbourg</w:t>
      </w:r>
      <w:r w:rsidRPr="00FB2D03">
        <w:rPr>
          <w:color w:val="000000" w:themeColor="text1"/>
          <w:lang w:val="en-AU"/>
        </w:rPr>
        <w:t xml:space="preserve"> 27–29 Novembre 1997. Paris: De Boccard, 2000.</w:t>
      </w:r>
    </w:p>
    <w:p w14:paraId="15166495" w14:textId="77777777" w:rsidR="00412D77" w:rsidRPr="00FB2D03" w:rsidRDefault="00412D77" w:rsidP="00412D77">
      <w:pPr>
        <w:tabs>
          <w:tab w:val="left" w:pos="5616"/>
        </w:tabs>
        <w:rPr>
          <w:color w:val="000000" w:themeColor="text1"/>
          <w:lang w:val="en-AU"/>
        </w:rPr>
      </w:pPr>
    </w:p>
    <w:p w14:paraId="171D6101"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Westerholm, S. </w:t>
      </w:r>
      <w:r w:rsidRPr="00FB2D03">
        <w:rPr>
          <w:i/>
          <w:color w:val="000000" w:themeColor="text1"/>
          <w:lang w:val="en-AU"/>
        </w:rPr>
        <w:t>Jesus and Scribal Authority</w:t>
      </w:r>
      <w:r w:rsidRPr="00FB2D03">
        <w:rPr>
          <w:color w:val="000000" w:themeColor="text1"/>
          <w:lang w:val="en-AU"/>
        </w:rPr>
        <w:t>. Lund: Gleerup, 1978.</w:t>
      </w:r>
    </w:p>
    <w:p w14:paraId="5D1F11AB" w14:textId="77777777" w:rsidR="00412D77" w:rsidRPr="00FB2D03" w:rsidRDefault="00412D77" w:rsidP="00412D77">
      <w:pPr>
        <w:tabs>
          <w:tab w:val="left" w:pos="5616"/>
        </w:tabs>
        <w:rPr>
          <w:color w:val="000000" w:themeColor="text1"/>
          <w:lang w:val="en-AU"/>
        </w:rPr>
      </w:pPr>
    </w:p>
    <w:p w14:paraId="6C7CAA28"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White, Benjamin L. “Justin between Paul and the Heretics: The Salvation of Christian </w:t>
      </w:r>
    </w:p>
    <w:p w14:paraId="0BF5B0B4" w14:textId="0295319E" w:rsidR="00412D77" w:rsidRPr="00FB2D03" w:rsidRDefault="00412D77" w:rsidP="00E56DFF">
      <w:pPr>
        <w:tabs>
          <w:tab w:val="left" w:pos="5616"/>
        </w:tabs>
        <w:ind w:left="720"/>
        <w:rPr>
          <w:color w:val="000000" w:themeColor="text1"/>
          <w:lang w:val="en-AU"/>
        </w:rPr>
      </w:pPr>
      <w:r w:rsidRPr="00FB2D03">
        <w:rPr>
          <w:color w:val="000000" w:themeColor="text1"/>
          <w:lang w:val="en-AU"/>
        </w:rPr>
        <w:t>Judaizers in the Dialogue with Trypho.” </w:t>
      </w:r>
      <w:r w:rsidRPr="00FB2D03">
        <w:rPr>
          <w:i/>
          <w:color w:val="000000" w:themeColor="text1"/>
          <w:lang w:val="en-AU"/>
        </w:rPr>
        <w:t>Journal of Early Christian Studies</w:t>
      </w:r>
      <w:r w:rsidRPr="00FB2D03">
        <w:rPr>
          <w:color w:val="000000" w:themeColor="text1"/>
          <w:lang w:val="en-AU"/>
        </w:rPr>
        <w:t> 26 (2018): 163–89.</w:t>
      </w:r>
    </w:p>
    <w:p w14:paraId="6B88AC39" w14:textId="77777777" w:rsidR="00412D77" w:rsidRPr="00FB2D03" w:rsidRDefault="00412D77" w:rsidP="00412D77">
      <w:pPr>
        <w:tabs>
          <w:tab w:val="left" w:pos="5616"/>
        </w:tabs>
        <w:rPr>
          <w:color w:val="000000" w:themeColor="text1"/>
          <w:lang w:val="en-AU"/>
        </w:rPr>
      </w:pPr>
    </w:p>
    <w:p w14:paraId="6B99AF58" w14:textId="77777777" w:rsidR="00E56DFF" w:rsidRPr="00FB2D03" w:rsidRDefault="00412D77" w:rsidP="00412D77">
      <w:pPr>
        <w:tabs>
          <w:tab w:val="left" w:pos="5616"/>
        </w:tabs>
        <w:rPr>
          <w:color w:val="000000" w:themeColor="text1"/>
          <w:lang w:val="en-AU"/>
        </w:rPr>
      </w:pPr>
      <w:r w:rsidRPr="00FB2D03">
        <w:rPr>
          <w:color w:val="000000" w:themeColor="text1"/>
          <w:lang w:val="en-AU"/>
        </w:rPr>
        <w:t xml:space="preserve">Wilfand, Yael. “‘How Great Is Peace’: Tannaitic Thinking on Shalom and the Pax </w:t>
      </w:r>
    </w:p>
    <w:p w14:paraId="754407CE" w14:textId="241C4542" w:rsidR="00412D77" w:rsidRPr="00FB2D03" w:rsidRDefault="00412D77" w:rsidP="00E56DFF">
      <w:pPr>
        <w:tabs>
          <w:tab w:val="left" w:pos="5616"/>
        </w:tabs>
        <w:ind w:left="720"/>
        <w:rPr>
          <w:color w:val="000000" w:themeColor="text1"/>
          <w:lang w:val="en-AU"/>
        </w:rPr>
      </w:pPr>
      <w:r w:rsidRPr="00FB2D03">
        <w:rPr>
          <w:color w:val="000000" w:themeColor="text1"/>
          <w:lang w:val="en-AU"/>
        </w:rPr>
        <w:t>Romana.” </w:t>
      </w:r>
      <w:r w:rsidRPr="00FB2D03">
        <w:rPr>
          <w:i/>
          <w:color w:val="000000" w:themeColor="text1"/>
          <w:lang w:val="en-AU"/>
        </w:rPr>
        <w:t>Journal for the Study of Judaism: In the Persian Hellenistic &amp; Roman Period</w:t>
      </w:r>
      <w:r w:rsidRPr="00FB2D03">
        <w:rPr>
          <w:color w:val="000000" w:themeColor="text1"/>
          <w:lang w:val="en-AU"/>
        </w:rPr>
        <w:t> 50 (2019): 223–51. </w:t>
      </w:r>
    </w:p>
    <w:p w14:paraId="4DEC68D7" w14:textId="77777777" w:rsidR="00412D77" w:rsidRPr="00FB2D03" w:rsidRDefault="00412D77" w:rsidP="00412D77">
      <w:pPr>
        <w:tabs>
          <w:tab w:val="left" w:pos="5616"/>
        </w:tabs>
        <w:rPr>
          <w:color w:val="000000" w:themeColor="text1"/>
          <w:lang w:val="en-AU"/>
        </w:rPr>
      </w:pPr>
    </w:p>
    <w:p w14:paraId="195F6375" w14:textId="77777777" w:rsidR="00E56DFF" w:rsidRPr="00FB2D03" w:rsidRDefault="00412D77" w:rsidP="00412D77">
      <w:pPr>
        <w:tabs>
          <w:tab w:val="left" w:pos="5616"/>
        </w:tabs>
        <w:rPr>
          <w:i/>
          <w:color w:val="000000" w:themeColor="text1"/>
          <w:lang w:val="en-AU"/>
        </w:rPr>
      </w:pPr>
      <w:r w:rsidRPr="00FB2D03">
        <w:rPr>
          <w:color w:val="000000" w:themeColor="text1"/>
          <w:lang w:val="en-AU"/>
        </w:rPr>
        <w:t xml:space="preserve">Wieder, N. </w:t>
      </w:r>
      <w:r w:rsidRPr="00FB2D03">
        <w:rPr>
          <w:i/>
          <w:color w:val="000000" w:themeColor="text1"/>
          <w:lang w:val="en-AU"/>
        </w:rPr>
        <w:t xml:space="preserve">The Judean Scrolls and Karaism: A Reproduction of the First Edition with </w:t>
      </w:r>
    </w:p>
    <w:p w14:paraId="017ED574" w14:textId="52942BC1" w:rsidR="00412D77" w:rsidRPr="00FB2D03" w:rsidRDefault="00412D77" w:rsidP="00E56DFF">
      <w:pPr>
        <w:tabs>
          <w:tab w:val="left" w:pos="5616"/>
        </w:tabs>
        <w:ind w:left="720"/>
        <w:rPr>
          <w:color w:val="000000" w:themeColor="text1"/>
          <w:lang w:val="en-AU"/>
        </w:rPr>
      </w:pPr>
      <w:r w:rsidRPr="00FB2D03">
        <w:rPr>
          <w:i/>
          <w:color w:val="000000" w:themeColor="text1"/>
          <w:lang w:val="en-AU"/>
        </w:rPr>
        <w:t>Addenda, Corrigenda and Supplementary Articles</w:t>
      </w:r>
      <w:r w:rsidRPr="00FB2D03">
        <w:rPr>
          <w:color w:val="000000" w:themeColor="text1"/>
          <w:lang w:val="en-AU"/>
        </w:rPr>
        <w:t>. Jerusalem: Ben–Zvi Institute, 2005.</w:t>
      </w:r>
    </w:p>
    <w:p w14:paraId="79CF7258" w14:textId="77777777" w:rsidR="00412D77" w:rsidRPr="00FB2D03" w:rsidRDefault="00412D77" w:rsidP="00412D77">
      <w:pPr>
        <w:tabs>
          <w:tab w:val="left" w:pos="5616"/>
        </w:tabs>
        <w:rPr>
          <w:color w:val="000000" w:themeColor="text1"/>
          <w:lang w:val="en-AU"/>
        </w:rPr>
      </w:pPr>
    </w:p>
    <w:p w14:paraId="26628472" w14:textId="77777777" w:rsidR="00412D77" w:rsidRPr="00FB2D03" w:rsidRDefault="00412D77" w:rsidP="00412D77">
      <w:pPr>
        <w:tabs>
          <w:tab w:val="left" w:pos="5616"/>
        </w:tabs>
        <w:rPr>
          <w:color w:val="000000" w:themeColor="text1"/>
          <w:lang w:val="en-AU"/>
        </w:rPr>
      </w:pPr>
      <w:r w:rsidRPr="00FB2D03">
        <w:rPr>
          <w:color w:val="000000" w:themeColor="text1"/>
          <w:lang w:val="en-AU"/>
        </w:rPr>
        <w:t>Wierzbicka, Anna. </w:t>
      </w:r>
      <w:r w:rsidRPr="00FB2D03">
        <w:rPr>
          <w:i/>
          <w:color w:val="000000" w:themeColor="text1"/>
          <w:lang w:val="en-AU"/>
        </w:rPr>
        <w:t>What Did Jesus Mean?</w:t>
      </w:r>
      <w:r w:rsidRPr="00FB2D03">
        <w:rPr>
          <w:color w:val="000000" w:themeColor="text1"/>
          <w:lang w:val="en-AU"/>
        </w:rPr>
        <w:t xml:space="preserve"> Oxford: Oxford University Press, 2004.</w:t>
      </w:r>
    </w:p>
    <w:p w14:paraId="2C7FCCC7" w14:textId="77777777" w:rsidR="00412D77" w:rsidRPr="00FB2D03" w:rsidRDefault="00412D77" w:rsidP="00412D77">
      <w:pPr>
        <w:tabs>
          <w:tab w:val="left" w:pos="5616"/>
        </w:tabs>
        <w:rPr>
          <w:color w:val="000000" w:themeColor="text1"/>
          <w:lang w:val="en-AU"/>
        </w:rPr>
      </w:pPr>
    </w:p>
    <w:p w14:paraId="70C4622D" w14:textId="77777777" w:rsidR="0059280A" w:rsidRPr="00FB2D03" w:rsidRDefault="00412D77" w:rsidP="00412D77">
      <w:pPr>
        <w:tabs>
          <w:tab w:val="left" w:pos="5616"/>
        </w:tabs>
        <w:rPr>
          <w:color w:val="000000" w:themeColor="text1"/>
          <w:lang w:val="en-AU"/>
        </w:rPr>
      </w:pPr>
      <w:r w:rsidRPr="00FB2D03">
        <w:rPr>
          <w:color w:val="000000" w:themeColor="text1"/>
          <w:lang w:val="en-AU"/>
        </w:rPr>
        <w:t xml:space="preserve">Wildberger, H. “Die Thronnamen des Messias, Jes. 9,5b.” </w:t>
      </w:r>
      <w:r w:rsidRPr="00FB2D03">
        <w:rPr>
          <w:i/>
          <w:color w:val="000000" w:themeColor="text1"/>
          <w:lang w:val="en-AU"/>
        </w:rPr>
        <w:t xml:space="preserve">Theologische Zeitschrift </w:t>
      </w:r>
      <w:r w:rsidRPr="00FB2D03">
        <w:rPr>
          <w:color w:val="000000" w:themeColor="text1"/>
          <w:lang w:val="en-AU"/>
        </w:rPr>
        <w:t xml:space="preserve">16 </w:t>
      </w:r>
    </w:p>
    <w:p w14:paraId="3DDFAD15" w14:textId="36B249C2" w:rsidR="00412D77" w:rsidRPr="00FB2D03" w:rsidRDefault="00412D77" w:rsidP="00E56DFF">
      <w:pPr>
        <w:tabs>
          <w:tab w:val="left" w:pos="5616"/>
        </w:tabs>
        <w:ind w:left="720"/>
        <w:rPr>
          <w:color w:val="000000" w:themeColor="text1"/>
          <w:lang w:val="en-AU"/>
        </w:rPr>
      </w:pPr>
      <w:r w:rsidRPr="00FB2D03">
        <w:rPr>
          <w:color w:val="000000" w:themeColor="text1"/>
          <w:lang w:val="en-AU"/>
        </w:rPr>
        <w:t>(1960): 314–32.</w:t>
      </w:r>
    </w:p>
    <w:p w14:paraId="48FFE0B6" w14:textId="77777777" w:rsidR="00412D77" w:rsidRPr="00FB2D03" w:rsidRDefault="00412D77" w:rsidP="00412D77">
      <w:pPr>
        <w:tabs>
          <w:tab w:val="left" w:pos="5616"/>
        </w:tabs>
        <w:rPr>
          <w:color w:val="000000" w:themeColor="text1"/>
          <w:lang w:val="en-AU"/>
        </w:rPr>
      </w:pPr>
    </w:p>
    <w:p w14:paraId="2AF6213B" w14:textId="77777777" w:rsidR="0059280A" w:rsidRPr="00FB2D03" w:rsidRDefault="00412D77" w:rsidP="00412D77">
      <w:pPr>
        <w:tabs>
          <w:tab w:val="left" w:pos="5616"/>
        </w:tabs>
        <w:rPr>
          <w:i/>
          <w:color w:val="000000" w:themeColor="text1"/>
          <w:lang w:val="en-AU"/>
        </w:rPr>
      </w:pPr>
      <w:r w:rsidRPr="00FB2D03">
        <w:rPr>
          <w:color w:val="000000" w:themeColor="text1"/>
          <w:lang w:val="en-AU"/>
        </w:rPr>
        <w:t>Wilhelm, Wille. “Ambivalence in the Christian Attitude to War and Peace.” </w:t>
      </w:r>
      <w:r w:rsidRPr="00FB2D03">
        <w:rPr>
          <w:i/>
          <w:color w:val="000000" w:themeColor="text1"/>
          <w:lang w:val="en-AU"/>
        </w:rPr>
        <w:t xml:space="preserve">International </w:t>
      </w:r>
    </w:p>
    <w:p w14:paraId="1B5C770B" w14:textId="23706C44" w:rsidR="00412D77" w:rsidRPr="00FB2D03" w:rsidRDefault="00412D77" w:rsidP="00E56DFF">
      <w:pPr>
        <w:tabs>
          <w:tab w:val="left" w:pos="5616"/>
        </w:tabs>
        <w:ind w:left="720"/>
        <w:rPr>
          <w:color w:val="000000" w:themeColor="text1"/>
          <w:lang w:val="en-AU"/>
        </w:rPr>
      </w:pPr>
      <w:r w:rsidRPr="00FB2D03">
        <w:rPr>
          <w:i/>
          <w:color w:val="000000" w:themeColor="text1"/>
          <w:lang w:val="en-AU"/>
        </w:rPr>
        <w:t>Review of Psychiatry</w:t>
      </w:r>
      <w:r w:rsidRPr="00FB2D03">
        <w:rPr>
          <w:color w:val="000000" w:themeColor="text1"/>
          <w:lang w:val="en-AU"/>
        </w:rPr>
        <w:t> 19 (2007): 235–42.</w:t>
      </w:r>
    </w:p>
    <w:p w14:paraId="454F9B11" w14:textId="77777777" w:rsidR="00412D77" w:rsidRPr="00FB2D03" w:rsidRDefault="00412D77" w:rsidP="00412D77">
      <w:pPr>
        <w:tabs>
          <w:tab w:val="left" w:pos="5616"/>
        </w:tabs>
        <w:rPr>
          <w:color w:val="000000" w:themeColor="text1"/>
          <w:lang w:val="en-AU"/>
        </w:rPr>
      </w:pPr>
    </w:p>
    <w:p w14:paraId="1D73F60C" w14:textId="77777777" w:rsidR="0059280A" w:rsidRPr="00FB2D03" w:rsidRDefault="00412D77" w:rsidP="00412D77">
      <w:pPr>
        <w:tabs>
          <w:tab w:val="left" w:pos="5616"/>
        </w:tabs>
        <w:rPr>
          <w:color w:val="000000" w:themeColor="text1"/>
          <w:lang w:val="en-AU"/>
        </w:rPr>
      </w:pPr>
      <w:r w:rsidRPr="00FB2D03">
        <w:rPr>
          <w:color w:val="000000" w:themeColor="text1"/>
          <w:lang w:val="en-AU"/>
        </w:rPr>
        <w:t xml:space="preserve">Williams, David S. “Josephus and the Authorship of War 2. 119-161 (On the </w:t>
      </w:r>
    </w:p>
    <w:p w14:paraId="19FCAC40" w14:textId="095859A6" w:rsidR="00412D77" w:rsidRPr="00FB2D03" w:rsidRDefault="00412D77" w:rsidP="00E56DFF">
      <w:pPr>
        <w:tabs>
          <w:tab w:val="left" w:pos="5616"/>
        </w:tabs>
        <w:ind w:left="720"/>
        <w:rPr>
          <w:color w:val="000000" w:themeColor="text1"/>
          <w:lang w:val="en-AU"/>
        </w:rPr>
      </w:pPr>
      <w:r w:rsidRPr="00FB2D03">
        <w:rPr>
          <w:color w:val="000000" w:themeColor="text1"/>
          <w:lang w:val="en-AU"/>
        </w:rPr>
        <w:t>Essenes).”</w:t>
      </w:r>
      <w:r w:rsidRPr="00FB2D03">
        <w:rPr>
          <w:i/>
          <w:color w:val="000000" w:themeColor="text1"/>
          <w:lang w:val="en-AU"/>
        </w:rPr>
        <w:t> Journal for the Study of Judaism in the Persian, Hellenistic, and Roman Period</w:t>
      </w:r>
      <w:r w:rsidRPr="00FB2D03">
        <w:rPr>
          <w:color w:val="000000" w:themeColor="text1"/>
          <w:lang w:val="en-AU"/>
        </w:rPr>
        <w:t> 25 (1994): 207–21.</w:t>
      </w:r>
    </w:p>
    <w:p w14:paraId="0D68DB42" w14:textId="77777777" w:rsidR="00412D77" w:rsidRPr="00FB2D03" w:rsidRDefault="00412D77" w:rsidP="00412D77">
      <w:pPr>
        <w:tabs>
          <w:tab w:val="left" w:pos="5616"/>
        </w:tabs>
        <w:rPr>
          <w:color w:val="000000" w:themeColor="text1"/>
          <w:lang w:val="en-AU"/>
        </w:rPr>
      </w:pPr>
    </w:p>
    <w:p w14:paraId="1908B943" w14:textId="77777777" w:rsidR="0059280A" w:rsidRPr="00FB2D03" w:rsidRDefault="00412D77" w:rsidP="00412D77">
      <w:pPr>
        <w:tabs>
          <w:tab w:val="left" w:pos="5616"/>
        </w:tabs>
        <w:rPr>
          <w:i/>
          <w:color w:val="000000" w:themeColor="text1"/>
          <w:lang w:val="en-AU"/>
        </w:rPr>
      </w:pPr>
      <w:r w:rsidRPr="00FB2D03">
        <w:rPr>
          <w:color w:val="000000" w:themeColor="text1"/>
          <w:lang w:val="en-AU"/>
        </w:rPr>
        <w:t xml:space="preserve">Wilson, Robert R. “The Community of the Second Isaiah.” In </w:t>
      </w:r>
      <w:r w:rsidRPr="00FB2D03">
        <w:rPr>
          <w:i/>
          <w:color w:val="000000" w:themeColor="text1"/>
          <w:lang w:val="en-AU"/>
        </w:rPr>
        <w:t xml:space="preserve">Reading and Preaching the </w:t>
      </w:r>
    </w:p>
    <w:p w14:paraId="0AB03BCF" w14:textId="35910F67" w:rsidR="00412D77" w:rsidRPr="00FB2D03" w:rsidRDefault="00412D77" w:rsidP="00E56DFF">
      <w:pPr>
        <w:tabs>
          <w:tab w:val="left" w:pos="5616"/>
        </w:tabs>
        <w:ind w:left="720"/>
        <w:rPr>
          <w:color w:val="000000" w:themeColor="text1"/>
          <w:lang w:val="en-AU"/>
        </w:rPr>
      </w:pPr>
      <w:r w:rsidRPr="00FB2D03">
        <w:rPr>
          <w:i/>
          <w:color w:val="000000" w:themeColor="text1"/>
          <w:lang w:val="en-AU"/>
        </w:rPr>
        <w:t>Book of Isaiah</w:t>
      </w:r>
      <w:r w:rsidRPr="00FB2D03">
        <w:rPr>
          <w:color w:val="000000" w:themeColor="text1"/>
          <w:lang w:val="en-AU"/>
        </w:rPr>
        <w:t>. ed. Christopher R. Seitz, 53-17. Philadelphia: Fortress, 1988.</w:t>
      </w:r>
    </w:p>
    <w:p w14:paraId="25F33CF5" w14:textId="77777777" w:rsidR="00412D77" w:rsidRPr="00FB2D03" w:rsidRDefault="00412D77" w:rsidP="00412D77">
      <w:pPr>
        <w:tabs>
          <w:tab w:val="left" w:pos="5616"/>
        </w:tabs>
        <w:rPr>
          <w:color w:val="000000" w:themeColor="text1"/>
          <w:lang w:val="en-AU"/>
        </w:rPr>
      </w:pPr>
    </w:p>
    <w:p w14:paraId="4EF0F35D" w14:textId="77777777" w:rsidR="0059280A" w:rsidRPr="00FB2D03" w:rsidRDefault="00412D77" w:rsidP="00412D77">
      <w:pPr>
        <w:tabs>
          <w:tab w:val="left" w:pos="5616"/>
        </w:tabs>
        <w:rPr>
          <w:color w:val="000000" w:themeColor="text1"/>
          <w:lang w:val="en-AU"/>
        </w:rPr>
      </w:pPr>
      <w:r w:rsidRPr="00FB2D03">
        <w:rPr>
          <w:color w:val="000000" w:themeColor="text1"/>
          <w:lang w:val="en-AU"/>
        </w:rPr>
        <w:t xml:space="preserve">Wilson, Walter T. “A Third Form of Righteousness: The Theme and Contribution of </w:t>
      </w:r>
    </w:p>
    <w:p w14:paraId="7F7644CA" w14:textId="20F0BF8B" w:rsidR="00412D77" w:rsidRPr="00FB2D03" w:rsidRDefault="00412D77" w:rsidP="00E56DFF">
      <w:pPr>
        <w:tabs>
          <w:tab w:val="left" w:pos="5616"/>
        </w:tabs>
        <w:ind w:left="720"/>
        <w:rPr>
          <w:color w:val="000000" w:themeColor="text1"/>
          <w:lang w:val="en-AU"/>
        </w:rPr>
      </w:pPr>
      <w:r w:rsidRPr="00FB2D03">
        <w:rPr>
          <w:color w:val="000000" w:themeColor="text1"/>
          <w:lang w:val="en-AU"/>
        </w:rPr>
        <w:t>Matthew 6.19-7.12 in the Sermon on the Mount.” </w:t>
      </w:r>
      <w:r w:rsidRPr="00FB2D03">
        <w:rPr>
          <w:i/>
          <w:color w:val="000000" w:themeColor="text1"/>
          <w:lang w:val="en-AU"/>
        </w:rPr>
        <w:t>New Testament Studies</w:t>
      </w:r>
      <w:r w:rsidRPr="00FB2D03">
        <w:rPr>
          <w:color w:val="000000" w:themeColor="text1"/>
          <w:lang w:val="en-AU"/>
        </w:rPr>
        <w:t xml:space="preserve"> 53 (2007): 303–24. </w:t>
      </w:r>
    </w:p>
    <w:p w14:paraId="7739E5A7" w14:textId="77777777" w:rsidR="00412D77" w:rsidRPr="00FB2D03" w:rsidRDefault="00412D77" w:rsidP="00412D77">
      <w:pPr>
        <w:tabs>
          <w:tab w:val="left" w:pos="5616"/>
        </w:tabs>
        <w:rPr>
          <w:color w:val="000000" w:themeColor="text1"/>
          <w:lang w:val="en-AU"/>
        </w:rPr>
      </w:pPr>
    </w:p>
    <w:p w14:paraId="0CE2C54B" w14:textId="77777777" w:rsidR="0059280A" w:rsidRPr="00FB2D03" w:rsidRDefault="00412D77" w:rsidP="00412D77">
      <w:pPr>
        <w:tabs>
          <w:tab w:val="left" w:pos="5616"/>
        </w:tabs>
        <w:rPr>
          <w:i/>
          <w:color w:val="000000" w:themeColor="text1"/>
          <w:lang w:val="en-AU"/>
        </w:rPr>
      </w:pPr>
      <w:r w:rsidRPr="00FB2D03">
        <w:rPr>
          <w:color w:val="000000" w:themeColor="text1"/>
          <w:lang w:val="en-AU"/>
        </w:rPr>
        <w:t>Wills, Lawrence M. “Scribal Methods in Matthew and Mishnah Abot.” </w:t>
      </w:r>
      <w:r w:rsidRPr="00FB2D03">
        <w:rPr>
          <w:i/>
          <w:color w:val="000000" w:themeColor="text1"/>
          <w:lang w:val="en-AU"/>
        </w:rPr>
        <w:t xml:space="preserve">The Catholic Biblical </w:t>
      </w:r>
    </w:p>
    <w:p w14:paraId="032C23A5" w14:textId="3F03B926" w:rsidR="00412D77" w:rsidRPr="00FB2D03" w:rsidRDefault="00412D77" w:rsidP="00E56DFF">
      <w:pPr>
        <w:tabs>
          <w:tab w:val="left" w:pos="5616"/>
        </w:tabs>
        <w:ind w:left="720"/>
        <w:rPr>
          <w:color w:val="000000" w:themeColor="text1"/>
          <w:lang w:val="en-AU"/>
        </w:rPr>
      </w:pPr>
      <w:r w:rsidRPr="00FB2D03">
        <w:rPr>
          <w:i/>
          <w:color w:val="000000" w:themeColor="text1"/>
          <w:lang w:val="en-AU"/>
        </w:rPr>
        <w:t>Quarterly</w:t>
      </w:r>
      <w:r w:rsidRPr="00FB2D03">
        <w:rPr>
          <w:color w:val="000000" w:themeColor="text1"/>
          <w:lang w:val="en-AU"/>
        </w:rPr>
        <w:t xml:space="preserve"> 63 (2001): 241–57.</w:t>
      </w:r>
    </w:p>
    <w:p w14:paraId="4F601AAD" w14:textId="77777777" w:rsidR="00412D77" w:rsidRPr="00FB2D03" w:rsidRDefault="00412D77" w:rsidP="00412D77">
      <w:pPr>
        <w:tabs>
          <w:tab w:val="left" w:pos="5616"/>
        </w:tabs>
        <w:rPr>
          <w:color w:val="000000" w:themeColor="text1"/>
          <w:lang w:val="en-AU"/>
        </w:rPr>
      </w:pPr>
    </w:p>
    <w:p w14:paraId="66353281" w14:textId="77777777" w:rsidR="0059280A" w:rsidRPr="00FB2D03" w:rsidRDefault="00412D77" w:rsidP="00412D77">
      <w:pPr>
        <w:tabs>
          <w:tab w:val="left" w:pos="5616"/>
        </w:tabs>
        <w:rPr>
          <w:i/>
          <w:color w:val="000000" w:themeColor="text1"/>
          <w:lang w:val="en-AU"/>
        </w:rPr>
      </w:pPr>
      <w:r w:rsidRPr="00FB2D03">
        <w:rPr>
          <w:color w:val="000000" w:themeColor="text1"/>
          <w:lang w:val="en-AU"/>
        </w:rPr>
        <w:t xml:space="preserve">Williamson, H. G. M. “Messianic Texts in Isaiah 1–39.” In </w:t>
      </w:r>
      <w:r w:rsidRPr="00FB2D03">
        <w:rPr>
          <w:i/>
          <w:color w:val="000000" w:themeColor="text1"/>
          <w:lang w:val="en-AU"/>
        </w:rPr>
        <w:t xml:space="preserve">King and Messiah in Israel and </w:t>
      </w:r>
    </w:p>
    <w:p w14:paraId="34EC3F5C" w14:textId="27544058" w:rsidR="00412D77" w:rsidRPr="00FB2D03" w:rsidRDefault="00412D77" w:rsidP="00E56DFF">
      <w:pPr>
        <w:tabs>
          <w:tab w:val="left" w:pos="5616"/>
        </w:tabs>
        <w:ind w:left="720"/>
        <w:rPr>
          <w:color w:val="000000" w:themeColor="text1"/>
          <w:lang w:val="en-AU"/>
        </w:rPr>
      </w:pPr>
      <w:r w:rsidRPr="00FB2D03">
        <w:rPr>
          <w:i/>
          <w:color w:val="000000" w:themeColor="text1"/>
          <w:lang w:val="en-AU"/>
        </w:rPr>
        <w:t>the Ancient Near East: Proceedings of the Oxford Old Testament Seminar</w:t>
      </w:r>
      <w:r w:rsidRPr="00FB2D03">
        <w:rPr>
          <w:color w:val="000000" w:themeColor="text1"/>
          <w:lang w:val="en-AU"/>
        </w:rPr>
        <w:t xml:space="preserve">. Sheffield: Sheffield Academic Press, 1998. </w:t>
      </w:r>
    </w:p>
    <w:p w14:paraId="6647751A" w14:textId="77777777" w:rsidR="00412D77" w:rsidRPr="00FB2D03" w:rsidRDefault="00412D77" w:rsidP="00412D77">
      <w:pPr>
        <w:tabs>
          <w:tab w:val="left" w:pos="5616"/>
        </w:tabs>
        <w:rPr>
          <w:color w:val="000000" w:themeColor="text1"/>
          <w:lang w:val="en-AU"/>
        </w:rPr>
      </w:pPr>
    </w:p>
    <w:p w14:paraId="045DF106" w14:textId="77777777" w:rsidR="0059280A" w:rsidRPr="00FB2D03" w:rsidRDefault="00412D77" w:rsidP="00412D77">
      <w:pPr>
        <w:tabs>
          <w:tab w:val="left" w:pos="5616"/>
        </w:tabs>
        <w:rPr>
          <w:i/>
          <w:color w:val="000000" w:themeColor="text1"/>
          <w:lang w:val="en-AU"/>
        </w:rPr>
      </w:pPr>
      <w:r w:rsidRPr="00FB2D03">
        <w:rPr>
          <w:color w:val="000000" w:themeColor="text1"/>
          <w:lang w:val="en-AU"/>
        </w:rPr>
        <w:t xml:space="preserve">Wines, Enoch Cobb. </w:t>
      </w:r>
      <w:r w:rsidRPr="00FB2D03">
        <w:rPr>
          <w:i/>
          <w:color w:val="000000" w:themeColor="text1"/>
          <w:lang w:val="en-AU"/>
        </w:rPr>
        <w:t xml:space="preserve">Commentaries on the Laws of the Ancient Hebrews: With an </w:t>
      </w:r>
    </w:p>
    <w:p w14:paraId="5E6447A0" w14:textId="5C8C1066" w:rsidR="00412D77" w:rsidRPr="00FB2D03" w:rsidRDefault="00412D77" w:rsidP="00E56DFF">
      <w:pPr>
        <w:tabs>
          <w:tab w:val="left" w:pos="5616"/>
        </w:tabs>
        <w:ind w:left="720"/>
        <w:rPr>
          <w:color w:val="000000" w:themeColor="text1"/>
          <w:lang w:val="en-AU"/>
        </w:rPr>
      </w:pPr>
      <w:r w:rsidRPr="00FB2D03">
        <w:rPr>
          <w:i/>
          <w:color w:val="000000" w:themeColor="text1"/>
          <w:lang w:val="en-AU"/>
        </w:rPr>
        <w:t>Introductory Essay on Civil Society and Government</w:t>
      </w:r>
      <w:r w:rsidRPr="00FB2D03">
        <w:rPr>
          <w:color w:val="000000" w:themeColor="text1"/>
          <w:lang w:val="en-AU"/>
        </w:rPr>
        <w:t>. New York: G. P. Putnam, 1855.</w:t>
      </w:r>
    </w:p>
    <w:p w14:paraId="481CB584" w14:textId="77777777" w:rsidR="00412D77" w:rsidRPr="00FB2D03" w:rsidRDefault="00412D77" w:rsidP="00412D77">
      <w:pPr>
        <w:tabs>
          <w:tab w:val="left" w:pos="5616"/>
        </w:tabs>
        <w:rPr>
          <w:color w:val="000000" w:themeColor="text1"/>
          <w:lang w:val="en-AU"/>
        </w:rPr>
      </w:pPr>
    </w:p>
    <w:p w14:paraId="106C747A" w14:textId="309D3538" w:rsidR="00412D77" w:rsidRPr="00FB2D03" w:rsidRDefault="00412D77" w:rsidP="00412D77">
      <w:pPr>
        <w:tabs>
          <w:tab w:val="left" w:pos="5616"/>
        </w:tabs>
        <w:rPr>
          <w:color w:val="000000" w:themeColor="text1"/>
          <w:lang w:val="en-AU"/>
        </w:rPr>
      </w:pPr>
      <w:r w:rsidRPr="00FB2D03">
        <w:rPr>
          <w:color w:val="000000" w:themeColor="text1"/>
          <w:lang w:val="en-AU"/>
        </w:rPr>
        <w:t xml:space="preserve">Winger, Michael. “Hard Sayings.” </w:t>
      </w:r>
      <w:r w:rsidRPr="00FB2D03">
        <w:rPr>
          <w:i/>
          <w:color w:val="000000" w:themeColor="text1"/>
          <w:lang w:val="en-AU"/>
        </w:rPr>
        <w:t>Expository Times</w:t>
      </w:r>
      <w:r w:rsidRPr="00FB2D03">
        <w:rPr>
          <w:color w:val="000000" w:themeColor="text1"/>
          <w:lang w:val="en-AU"/>
        </w:rPr>
        <w:t xml:space="preserve"> 115 (2004): 266–73.</w:t>
      </w:r>
    </w:p>
    <w:p w14:paraId="2BBD38E6" w14:textId="77777777" w:rsidR="00412D77" w:rsidRPr="00FB2D03" w:rsidRDefault="00412D77" w:rsidP="00412D77">
      <w:pPr>
        <w:tabs>
          <w:tab w:val="left" w:pos="5616"/>
        </w:tabs>
        <w:rPr>
          <w:color w:val="000000" w:themeColor="text1"/>
          <w:lang w:val="en-AU"/>
        </w:rPr>
      </w:pPr>
    </w:p>
    <w:p w14:paraId="153C9B76" w14:textId="77777777" w:rsidR="00412D77" w:rsidRPr="00FB2D03" w:rsidRDefault="00412D77" w:rsidP="00412D77">
      <w:pPr>
        <w:tabs>
          <w:tab w:val="left" w:pos="5616"/>
        </w:tabs>
        <w:rPr>
          <w:color w:val="000000" w:themeColor="text1"/>
          <w:lang w:val="en-AU"/>
        </w:rPr>
      </w:pPr>
      <w:r w:rsidRPr="00FB2D03">
        <w:rPr>
          <w:color w:val="000000" w:themeColor="text1"/>
          <w:lang w:val="en-AU"/>
        </w:rPr>
        <w:t>Wink, Walter. </w:t>
      </w:r>
      <w:r w:rsidRPr="00FB2D03">
        <w:rPr>
          <w:i/>
          <w:color w:val="000000" w:themeColor="text1"/>
          <w:lang w:val="en-AU"/>
        </w:rPr>
        <w:t>Jesus and Nonviolence</w:t>
      </w:r>
      <w:r w:rsidRPr="00FB2D03">
        <w:rPr>
          <w:color w:val="000000" w:themeColor="text1"/>
          <w:lang w:val="en-AU"/>
        </w:rPr>
        <w:t xml:space="preserve">: </w:t>
      </w:r>
      <w:r w:rsidRPr="00FB2D03">
        <w:rPr>
          <w:i/>
          <w:color w:val="000000" w:themeColor="text1"/>
          <w:lang w:val="en-AU"/>
        </w:rPr>
        <w:t>A Third Way.</w:t>
      </w:r>
      <w:r w:rsidRPr="00FB2D03">
        <w:rPr>
          <w:color w:val="000000" w:themeColor="text1"/>
          <w:lang w:val="en-AU"/>
        </w:rPr>
        <w:t xml:space="preserve"> Minneapolis: Fortress, 2003.</w:t>
      </w:r>
    </w:p>
    <w:p w14:paraId="5124B16B" w14:textId="77777777" w:rsidR="00412D77" w:rsidRPr="00FB2D03" w:rsidRDefault="00412D77" w:rsidP="00412D77">
      <w:pPr>
        <w:tabs>
          <w:tab w:val="left" w:pos="5616"/>
        </w:tabs>
        <w:rPr>
          <w:color w:val="000000" w:themeColor="text1"/>
          <w:lang w:val="en-AU"/>
        </w:rPr>
      </w:pPr>
    </w:p>
    <w:p w14:paraId="1D664A9E" w14:textId="77777777" w:rsidR="0059280A" w:rsidRPr="00FB2D03" w:rsidRDefault="00412D77" w:rsidP="00412D77">
      <w:pPr>
        <w:tabs>
          <w:tab w:val="left" w:pos="5616"/>
        </w:tabs>
        <w:rPr>
          <w:i/>
          <w:color w:val="000000" w:themeColor="text1"/>
          <w:lang w:val="en-AU"/>
        </w:rPr>
      </w:pPr>
      <w:r w:rsidRPr="00FB2D03">
        <w:rPr>
          <w:color w:val="000000" w:themeColor="text1"/>
          <w:lang w:val="en-AU"/>
        </w:rPr>
        <w:t xml:space="preserve">_______. “Neither Passivity nor Violence: Jesus’ Third Way.” In </w:t>
      </w:r>
      <w:r w:rsidRPr="00FB2D03">
        <w:rPr>
          <w:i/>
          <w:color w:val="000000" w:themeColor="text1"/>
          <w:lang w:val="en-AU"/>
        </w:rPr>
        <w:t xml:space="preserve">The Love of Enemy and </w:t>
      </w:r>
    </w:p>
    <w:p w14:paraId="07B72E84" w14:textId="5387D795" w:rsidR="00412D77" w:rsidRPr="00FB2D03" w:rsidRDefault="00412D77" w:rsidP="00E56DFF">
      <w:pPr>
        <w:tabs>
          <w:tab w:val="left" w:pos="5616"/>
        </w:tabs>
        <w:ind w:left="720"/>
        <w:rPr>
          <w:color w:val="000000" w:themeColor="text1"/>
          <w:lang w:val="en-AU"/>
        </w:rPr>
      </w:pPr>
      <w:r w:rsidRPr="00FB2D03">
        <w:rPr>
          <w:i/>
          <w:color w:val="000000" w:themeColor="text1"/>
          <w:lang w:val="en-AU"/>
        </w:rPr>
        <w:t>Nonretaliation in the New Testament</w:t>
      </w:r>
      <w:r w:rsidRPr="00FB2D03">
        <w:rPr>
          <w:color w:val="000000" w:themeColor="text1"/>
          <w:lang w:val="en-AU"/>
        </w:rPr>
        <w:t>. ed. Willard Swartly, 105. Louisville: John Knox, 1992.</w:t>
      </w:r>
    </w:p>
    <w:p w14:paraId="19802CDC" w14:textId="77777777" w:rsidR="00412D77" w:rsidRPr="00FB2D03" w:rsidRDefault="00412D77" w:rsidP="00412D77">
      <w:pPr>
        <w:tabs>
          <w:tab w:val="left" w:pos="5616"/>
        </w:tabs>
        <w:rPr>
          <w:color w:val="000000" w:themeColor="text1"/>
          <w:lang w:val="en-AU"/>
        </w:rPr>
      </w:pPr>
    </w:p>
    <w:p w14:paraId="52036A32" w14:textId="77777777" w:rsidR="00872F30" w:rsidRPr="00FB2D03" w:rsidRDefault="00412D77" w:rsidP="00412D77">
      <w:pPr>
        <w:tabs>
          <w:tab w:val="left" w:pos="5616"/>
        </w:tabs>
        <w:rPr>
          <w:color w:val="000000" w:themeColor="text1"/>
          <w:lang w:val="en-AU"/>
        </w:rPr>
      </w:pPr>
      <w:r w:rsidRPr="00FB2D03">
        <w:rPr>
          <w:color w:val="000000" w:themeColor="text1"/>
          <w:lang w:val="en-AU"/>
        </w:rPr>
        <w:t xml:space="preserve">_______. </w:t>
      </w:r>
      <w:r w:rsidRPr="00FB2D03">
        <w:rPr>
          <w:i/>
          <w:color w:val="000000" w:themeColor="text1"/>
          <w:lang w:val="en-AU"/>
        </w:rPr>
        <w:t>The Powers That Be: Theology for a New Millennium</w:t>
      </w:r>
      <w:r w:rsidRPr="00FB2D03">
        <w:rPr>
          <w:color w:val="000000" w:themeColor="text1"/>
          <w:lang w:val="en-AU"/>
        </w:rPr>
        <w:t xml:space="preserve">. New York: Doubleday, </w:t>
      </w:r>
    </w:p>
    <w:p w14:paraId="6545C285" w14:textId="406A8880" w:rsidR="00412D77" w:rsidRPr="00FB2D03" w:rsidRDefault="00412D77" w:rsidP="00872F30">
      <w:pPr>
        <w:tabs>
          <w:tab w:val="left" w:pos="5616"/>
        </w:tabs>
        <w:ind w:left="720"/>
        <w:rPr>
          <w:color w:val="000000" w:themeColor="text1"/>
          <w:lang w:val="en-AU"/>
        </w:rPr>
      </w:pPr>
      <w:r w:rsidRPr="00FB2D03">
        <w:rPr>
          <w:color w:val="000000" w:themeColor="text1"/>
          <w:lang w:val="en-AU"/>
        </w:rPr>
        <w:t>1998.</w:t>
      </w:r>
    </w:p>
    <w:p w14:paraId="404456E9" w14:textId="77777777" w:rsidR="00412D77" w:rsidRPr="00FB2D03" w:rsidRDefault="00412D77" w:rsidP="00412D77">
      <w:pPr>
        <w:tabs>
          <w:tab w:val="left" w:pos="5616"/>
        </w:tabs>
        <w:rPr>
          <w:color w:val="000000" w:themeColor="text1"/>
          <w:lang w:val="en-AU"/>
        </w:rPr>
      </w:pPr>
    </w:p>
    <w:p w14:paraId="18C7066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Wislitsky, Elisha. </w:t>
      </w:r>
      <w:r w:rsidRPr="00FB2D03">
        <w:rPr>
          <w:i/>
          <w:color w:val="000000" w:themeColor="text1"/>
          <w:lang w:val="en-AU"/>
        </w:rPr>
        <w:t>Sugyat HaKriah LeShalom BaMilhama</w:t>
      </w:r>
      <w:r w:rsidRPr="00FB2D03">
        <w:rPr>
          <w:color w:val="000000" w:themeColor="text1"/>
          <w:lang w:val="en-AU"/>
        </w:rPr>
        <w:t>. Jerusalem: Merhavim, 1993.</w:t>
      </w:r>
    </w:p>
    <w:p w14:paraId="264C99FF" w14:textId="77777777" w:rsidR="00412D77" w:rsidRPr="00FB2D03" w:rsidRDefault="00412D77" w:rsidP="00412D77">
      <w:pPr>
        <w:tabs>
          <w:tab w:val="left" w:pos="5616"/>
        </w:tabs>
        <w:rPr>
          <w:color w:val="000000" w:themeColor="text1"/>
          <w:lang w:val="en-AU"/>
        </w:rPr>
      </w:pPr>
    </w:p>
    <w:p w14:paraId="63BC8E8C" w14:textId="77777777" w:rsidR="00412D77" w:rsidRPr="00FB2D03" w:rsidRDefault="00412D77" w:rsidP="00412D77">
      <w:pPr>
        <w:tabs>
          <w:tab w:val="left" w:pos="5616"/>
        </w:tabs>
        <w:rPr>
          <w:color w:val="000000" w:themeColor="text1"/>
          <w:lang w:val="en-AU"/>
        </w:rPr>
      </w:pPr>
      <w:r w:rsidRPr="00FB2D03">
        <w:rPr>
          <w:color w:val="000000" w:themeColor="text1"/>
          <w:lang w:val="en-AU"/>
        </w:rPr>
        <w:t>Worth, Roland H. </w:t>
      </w:r>
      <w:r w:rsidRPr="00FB2D03">
        <w:rPr>
          <w:i/>
          <w:color w:val="000000" w:themeColor="text1"/>
          <w:lang w:val="en-AU"/>
        </w:rPr>
        <w:t>The Sermon on the Mount</w:t>
      </w:r>
      <w:r w:rsidRPr="00FB2D03">
        <w:rPr>
          <w:color w:val="000000" w:themeColor="text1"/>
          <w:lang w:val="en-AU"/>
        </w:rPr>
        <w:t>. New York: Paulist Press, 1997.</w:t>
      </w:r>
    </w:p>
    <w:p w14:paraId="53B57291" w14:textId="77777777" w:rsidR="00412D77" w:rsidRPr="00FB2D03" w:rsidRDefault="00412D77" w:rsidP="00412D77">
      <w:pPr>
        <w:tabs>
          <w:tab w:val="left" w:pos="5616"/>
        </w:tabs>
        <w:rPr>
          <w:color w:val="000000" w:themeColor="text1"/>
          <w:lang w:val="en-AU"/>
        </w:rPr>
      </w:pPr>
    </w:p>
    <w:p w14:paraId="2E92CACA" w14:textId="77777777" w:rsidR="0059280A" w:rsidRPr="00FB2D03" w:rsidRDefault="00412D77" w:rsidP="00412D77">
      <w:pPr>
        <w:tabs>
          <w:tab w:val="left" w:pos="5616"/>
        </w:tabs>
        <w:rPr>
          <w:color w:val="000000" w:themeColor="text1"/>
          <w:lang w:val="en-AU"/>
        </w:rPr>
      </w:pPr>
      <w:r w:rsidRPr="00FB2D03">
        <w:rPr>
          <w:color w:val="000000" w:themeColor="text1"/>
          <w:lang w:val="en-AU"/>
        </w:rPr>
        <w:t xml:space="preserve">Wróbel, Mirosław Stanisław. “The Eschatological Spirituality of ‘the Sons of Light’ in </w:t>
      </w:r>
    </w:p>
    <w:p w14:paraId="72F8F91E" w14:textId="2A9B9AEA" w:rsidR="00412D77" w:rsidRPr="00FB2D03" w:rsidRDefault="00412D77" w:rsidP="00E56DFF">
      <w:pPr>
        <w:tabs>
          <w:tab w:val="left" w:pos="5616"/>
        </w:tabs>
        <w:ind w:left="720"/>
        <w:rPr>
          <w:color w:val="000000" w:themeColor="text1"/>
          <w:lang w:val="en-AU"/>
        </w:rPr>
      </w:pPr>
      <w:r w:rsidRPr="00FB2D03">
        <w:rPr>
          <w:color w:val="000000" w:themeColor="text1"/>
          <w:lang w:val="en-AU"/>
        </w:rPr>
        <w:t>Qumran.” </w:t>
      </w:r>
      <w:r w:rsidRPr="00FB2D03">
        <w:rPr>
          <w:i/>
          <w:color w:val="000000" w:themeColor="text1"/>
          <w:lang w:val="en-AU"/>
        </w:rPr>
        <w:t>Verbum Vitae</w:t>
      </w:r>
      <w:r w:rsidRPr="00FB2D03">
        <w:rPr>
          <w:color w:val="000000" w:themeColor="text1"/>
          <w:lang w:val="en-AU"/>
        </w:rPr>
        <w:t> 37 (2020): 347–63.</w:t>
      </w:r>
    </w:p>
    <w:p w14:paraId="5479E8EF" w14:textId="77777777" w:rsidR="00412D77" w:rsidRPr="00FB2D03" w:rsidRDefault="00412D77" w:rsidP="00412D77">
      <w:pPr>
        <w:tabs>
          <w:tab w:val="left" w:pos="5616"/>
        </w:tabs>
        <w:rPr>
          <w:color w:val="000000" w:themeColor="text1"/>
          <w:lang w:val="en-AU"/>
        </w:rPr>
      </w:pPr>
    </w:p>
    <w:p w14:paraId="332864AF" w14:textId="77777777" w:rsidR="0059280A" w:rsidRPr="00FB2D03" w:rsidRDefault="00412D77" w:rsidP="00412D77">
      <w:pPr>
        <w:tabs>
          <w:tab w:val="left" w:pos="5616"/>
        </w:tabs>
        <w:rPr>
          <w:color w:val="000000" w:themeColor="text1"/>
          <w:lang w:val="en-AU"/>
        </w:rPr>
      </w:pPr>
      <w:r w:rsidRPr="00FB2D03">
        <w:rPr>
          <w:color w:val="000000" w:themeColor="text1"/>
          <w:lang w:val="en-AU"/>
        </w:rPr>
        <w:t xml:space="preserve">Wright, III, B. G. “Qumran Pseudepigrapha and Early Christianity: Is 1 Clement 50:4 a </w:t>
      </w:r>
    </w:p>
    <w:p w14:paraId="63EA0E89" w14:textId="41ECC402" w:rsidR="00412D77" w:rsidRPr="00FB2D03" w:rsidRDefault="00412D77" w:rsidP="00E56DFF">
      <w:pPr>
        <w:tabs>
          <w:tab w:val="left" w:pos="5616"/>
        </w:tabs>
        <w:ind w:left="720"/>
        <w:rPr>
          <w:color w:val="000000" w:themeColor="text1"/>
          <w:lang w:val="en-AU"/>
        </w:rPr>
      </w:pPr>
      <w:r w:rsidRPr="00FB2D03">
        <w:rPr>
          <w:color w:val="000000" w:themeColor="text1"/>
          <w:lang w:val="en-AU"/>
        </w:rPr>
        <w:t>Citation of 4QPseudo–Ezekiel (4Q385 12)?”</w:t>
      </w:r>
      <w:r w:rsidRPr="00FB2D03">
        <w:rPr>
          <w:i/>
          <w:color w:val="000000" w:themeColor="text1"/>
          <w:lang w:val="en-AU"/>
        </w:rPr>
        <w:t xml:space="preserve"> </w:t>
      </w:r>
      <w:r w:rsidRPr="00FB2D03">
        <w:rPr>
          <w:color w:val="000000" w:themeColor="text1"/>
          <w:lang w:val="en-AU"/>
        </w:rPr>
        <w:t xml:space="preserve">in </w:t>
      </w:r>
      <w:r w:rsidRPr="00FB2D03">
        <w:rPr>
          <w:i/>
          <w:color w:val="000000" w:themeColor="text1"/>
          <w:lang w:val="en-AU"/>
        </w:rPr>
        <w:t xml:space="preserve">Pseudepigraphic Perspectives: The Apocrypha and Pseudepigrapha </w:t>
      </w:r>
      <w:proofErr w:type="gramStart"/>
      <w:r w:rsidRPr="00FB2D03">
        <w:rPr>
          <w:i/>
          <w:color w:val="000000" w:themeColor="text1"/>
          <w:lang w:val="en-AU"/>
        </w:rPr>
        <w:t>in Light of</w:t>
      </w:r>
      <w:proofErr w:type="gramEnd"/>
      <w:r w:rsidRPr="00FB2D03">
        <w:rPr>
          <w:i/>
          <w:color w:val="000000" w:themeColor="text1"/>
          <w:lang w:val="en-AU"/>
        </w:rPr>
        <w:t xml:space="preserve"> the Dead Sea Scrolls </w:t>
      </w:r>
      <w:r w:rsidRPr="00FB2D03">
        <w:rPr>
          <w:color w:val="000000" w:themeColor="text1"/>
          <w:lang w:val="en-AU"/>
        </w:rPr>
        <w:t>(Studies on the Texts of the Desert of Judah 31; ed. M. E. Stone and E. G. Chazon; Leiden: Brill, 1999), 183–93</w:t>
      </w:r>
      <w:r w:rsidRPr="00FB2D03">
        <w:rPr>
          <w:i/>
          <w:color w:val="000000" w:themeColor="text1"/>
          <w:lang w:val="en-AU"/>
        </w:rPr>
        <w:t>.</w:t>
      </w:r>
    </w:p>
    <w:p w14:paraId="253C8553" w14:textId="77777777" w:rsidR="00412D77" w:rsidRPr="00FB2D03" w:rsidRDefault="00412D77" w:rsidP="00412D77">
      <w:pPr>
        <w:tabs>
          <w:tab w:val="left" w:pos="5616"/>
        </w:tabs>
        <w:rPr>
          <w:color w:val="000000" w:themeColor="text1"/>
          <w:lang w:val="en-AU"/>
        </w:rPr>
      </w:pPr>
    </w:p>
    <w:p w14:paraId="1DD375AE" w14:textId="77777777" w:rsidR="00412D77" w:rsidRPr="00FB2D03" w:rsidRDefault="00412D77" w:rsidP="00412D77">
      <w:pPr>
        <w:tabs>
          <w:tab w:val="left" w:pos="5616"/>
        </w:tabs>
        <w:rPr>
          <w:color w:val="000000" w:themeColor="text1"/>
          <w:lang w:val="en-AU"/>
        </w:rPr>
      </w:pPr>
      <w:r w:rsidRPr="00FB2D03">
        <w:rPr>
          <w:color w:val="000000" w:themeColor="text1"/>
          <w:lang w:val="en-AU"/>
        </w:rPr>
        <w:t>Wright, N. T. </w:t>
      </w:r>
      <w:r w:rsidRPr="00FB2D03">
        <w:rPr>
          <w:i/>
          <w:color w:val="000000" w:themeColor="text1"/>
          <w:lang w:val="en-AU"/>
        </w:rPr>
        <w:t>The New Testament and the People of God</w:t>
      </w:r>
      <w:r w:rsidRPr="00FB2D03">
        <w:rPr>
          <w:color w:val="000000" w:themeColor="text1"/>
          <w:lang w:val="en-AU"/>
        </w:rPr>
        <w:t>. Minneapolis: Fortress, 1992.</w:t>
      </w:r>
    </w:p>
    <w:p w14:paraId="54565459" w14:textId="77777777" w:rsidR="00412D77" w:rsidRPr="00FB2D03" w:rsidRDefault="00412D77" w:rsidP="00412D77">
      <w:pPr>
        <w:tabs>
          <w:tab w:val="left" w:pos="5616"/>
        </w:tabs>
        <w:rPr>
          <w:color w:val="000000" w:themeColor="text1"/>
          <w:lang w:val="en-AU"/>
        </w:rPr>
      </w:pPr>
    </w:p>
    <w:p w14:paraId="0EEEC6C2"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 </w:t>
      </w:r>
      <w:r w:rsidRPr="00FB2D03">
        <w:rPr>
          <w:i/>
          <w:color w:val="000000" w:themeColor="text1"/>
          <w:lang w:val="en-AU"/>
        </w:rPr>
        <w:t>Paul and the Faithfulness of God</w:t>
      </w:r>
      <w:r w:rsidRPr="00FB2D03">
        <w:rPr>
          <w:color w:val="000000" w:themeColor="text1"/>
          <w:lang w:val="en-AU"/>
        </w:rPr>
        <w:t xml:space="preserve">. Minneapolis: Fortress, 2013. </w:t>
      </w:r>
    </w:p>
    <w:p w14:paraId="794BAD95" w14:textId="77777777" w:rsidR="00412D77" w:rsidRPr="00FB2D03" w:rsidRDefault="00412D77" w:rsidP="00412D77">
      <w:pPr>
        <w:tabs>
          <w:tab w:val="left" w:pos="5616"/>
        </w:tabs>
        <w:rPr>
          <w:color w:val="000000" w:themeColor="text1"/>
          <w:lang w:val="en-AU"/>
        </w:rPr>
      </w:pPr>
    </w:p>
    <w:p w14:paraId="674F144E" w14:textId="77777777" w:rsidR="00412D77" w:rsidRPr="00FB2D03" w:rsidRDefault="00412D77" w:rsidP="00412D77">
      <w:pPr>
        <w:tabs>
          <w:tab w:val="left" w:pos="5616"/>
        </w:tabs>
        <w:rPr>
          <w:color w:val="000000" w:themeColor="text1"/>
          <w:lang w:val="en-AU"/>
        </w:rPr>
      </w:pPr>
      <w:r w:rsidRPr="00FB2D03">
        <w:rPr>
          <w:color w:val="000000" w:themeColor="text1"/>
          <w:lang w:val="en-AU"/>
        </w:rPr>
        <w:t>Wylen, Stephen M. </w:t>
      </w:r>
      <w:r w:rsidRPr="00FB2D03">
        <w:rPr>
          <w:i/>
          <w:color w:val="000000" w:themeColor="text1"/>
          <w:lang w:val="en-AU"/>
        </w:rPr>
        <w:t>Jews in the Time of Jesus</w:t>
      </w:r>
      <w:r w:rsidRPr="00FB2D03">
        <w:rPr>
          <w:color w:val="000000" w:themeColor="text1"/>
          <w:lang w:val="en-AU"/>
        </w:rPr>
        <w:t>. Mahwah: Paulist Press, 2014.</w:t>
      </w:r>
    </w:p>
    <w:p w14:paraId="5FCAD2D2" w14:textId="77777777" w:rsidR="00412D77" w:rsidRPr="00FB2D03" w:rsidRDefault="00412D77" w:rsidP="00412D77">
      <w:pPr>
        <w:tabs>
          <w:tab w:val="left" w:pos="5616"/>
        </w:tabs>
        <w:rPr>
          <w:color w:val="000000" w:themeColor="text1"/>
          <w:lang w:val="en-AU"/>
        </w:rPr>
      </w:pPr>
    </w:p>
    <w:p w14:paraId="5BC5C246" w14:textId="77777777" w:rsidR="0059280A" w:rsidRPr="00FB2D03" w:rsidRDefault="00412D77" w:rsidP="00412D77">
      <w:pPr>
        <w:tabs>
          <w:tab w:val="left" w:pos="5616"/>
        </w:tabs>
        <w:rPr>
          <w:color w:val="000000" w:themeColor="text1"/>
          <w:lang w:val="en-AU"/>
        </w:rPr>
      </w:pPr>
      <w:r w:rsidRPr="00FB2D03">
        <w:rPr>
          <w:color w:val="000000" w:themeColor="text1"/>
          <w:lang w:val="en-AU"/>
        </w:rPr>
        <w:t xml:space="preserve">Wylie-Kellermann, Bill, and Henry French. “Book Review: Walter Wink: Collected </w:t>
      </w:r>
    </w:p>
    <w:p w14:paraId="03069E01" w14:textId="3EC662B6" w:rsidR="00412D77" w:rsidRPr="00FB2D03" w:rsidRDefault="00412D77" w:rsidP="00E56DFF">
      <w:pPr>
        <w:tabs>
          <w:tab w:val="left" w:pos="5616"/>
        </w:tabs>
        <w:ind w:left="720"/>
        <w:rPr>
          <w:color w:val="000000" w:themeColor="text1"/>
          <w:lang w:val="en-AU"/>
        </w:rPr>
      </w:pPr>
      <w:r w:rsidRPr="00FB2D03">
        <w:rPr>
          <w:color w:val="000000" w:themeColor="text1"/>
          <w:lang w:val="en-AU"/>
        </w:rPr>
        <w:t>Readings. ed. Henry French.” </w:t>
      </w:r>
      <w:r w:rsidRPr="00FB2D03">
        <w:rPr>
          <w:i/>
          <w:color w:val="000000" w:themeColor="text1"/>
          <w:lang w:val="en-AU"/>
        </w:rPr>
        <w:t>Theological Studies</w:t>
      </w:r>
      <w:r w:rsidRPr="00FB2D03">
        <w:rPr>
          <w:color w:val="000000" w:themeColor="text1"/>
          <w:lang w:val="en-AU"/>
        </w:rPr>
        <w:t> 76 (2015): 212–13. </w:t>
      </w:r>
    </w:p>
    <w:p w14:paraId="2FE84C6E" w14:textId="77777777" w:rsidR="00412D77" w:rsidRPr="00FB2D03" w:rsidRDefault="00412D77" w:rsidP="00412D77">
      <w:pPr>
        <w:tabs>
          <w:tab w:val="left" w:pos="5616"/>
        </w:tabs>
        <w:rPr>
          <w:color w:val="000000" w:themeColor="text1"/>
          <w:lang w:val="en-AU"/>
        </w:rPr>
      </w:pPr>
    </w:p>
    <w:p w14:paraId="592DDA9E" w14:textId="77777777" w:rsidR="0059280A" w:rsidRPr="00FB2D03" w:rsidRDefault="00412D77" w:rsidP="00412D77">
      <w:pPr>
        <w:tabs>
          <w:tab w:val="left" w:pos="5616"/>
        </w:tabs>
        <w:rPr>
          <w:i/>
          <w:color w:val="000000" w:themeColor="text1"/>
          <w:lang w:val="en-AU"/>
        </w:rPr>
      </w:pPr>
      <w:r w:rsidRPr="00FB2D03">
        <w:rPr>
          <w:color w:val="000000" w:themeColor="text1"/>
          <w:lang w:val="en-AU"/>
        </w:rPr>
        <w:t xml:space="preserve">Yerushalmi, Yosef Hayim. </w:t>
      </w:r>
      <w:r w:rsidRPr="00FB2D03">
        <w:rPr>
          <w:i/>
          <w:color w:val="000000" w:themeColor="text1"/>
          <w:lang w:val="en-AU"/>
        </w:rPr>
        <w:t xml:space="preserve">Zakhor: Jewish History and Jewish Memory: The Samuel and </w:t>
      </w:r>
    </w:p>
    <w:p w14:paraId="7DC8D70D" w14:textId="4A23C448" w:rsidR="00412D77" w:rsidRPr="00FB2D03" w:rsidRDefault="00412D77" w:rsidP="00E56DFF">
      <w:pPr>
        <w:tabs>
          <w:tab w:val="left" w:pos="5616"/>
        </w:tabs>
        <w:ind w:left="720"/>
        <w:rPr>
          <w:color w:val="000000" w:themeColor="text1"/>
          <w:lang w:val="en-AU"/>
        </w:rPr>
      </w:pPr>
      <w:r w:rsidRPr="00FB2D03">
        <w:rPr>
          <w:i/>
          <w:color w:val="000000" w:themeColor="text1"/>
          <w:lang w:val="en-AU"/>
        </w:rPr>
        <w:t>Althea Stroum Lectures in Jewish Studies</w:t>
      </w:r>
      <w:r w:rsidRPr="00FB2D03">
        <w:rPr>
          <w:color w:val="000000" w:themeColor="text1"/>
          <w:lang w:val="en-AU"/>
        </w:rPr>
        <w:t xml:space="preserve">. Seattle: University of Washington Press, 1996. </w:t>
      </w:r>
    </w:p>
    <w:p w14:paraId="1CEEFC52" w14:textId="77777777" w:rsidR="00412D77" w:rsidRPr="00FB2D03" w:rsidRDefault="00412D77" w:rsidP="00412D77">
      <w:pPr>
        <w:tabs>
          <w:tab w:val="left" w:pos="5616"/>
        </w:tabs>
        <w:rPr>
          <w:color w:val="000000" w:themeColor="text1"/>
          <w:lang w:val="en-AU"/>
        </w:rPr>
      </w:pPr>
    </w:p>
    <w:p w14:paraId="0DF09BDB" w14:textId="77777777" w:rsidR="0059280A" w:rsidRPr="00FB2D03" w:rsidRDefault="00412D77" w:rsidP="00412D77">
      <w:pPr>
        <w:tabs>
          <w:tab w:val="left" w:pos="5616"/>
        </w:tabs>
        <w:rPr>
          <w:i/>
          <w:color w:val="000000" w:themeColor="text1"/>
          <w:lang w:val="en-AU"/>
        </w:rPr>
      </w:pPr>
      <w:r w:rsidRPr="00FB2D03">
        <w:rPr>
          <w:color w:val="000000" w:themeColor="text1"/>
          <w:lang w:val="en-AU"/>
        </w:rPr>
        <w:t>Yoder, John Howard. “How Many Ways Are There to Think Morally About War?” </w:t>
      </w:r>
      <w:r w:rsidRPr="00FB2D03">
        <w:rPr>
          <w:i/>
          <w:color w:val="000000" w:themeColor="text1"/>
          <w:lang w:val="en-AU"/>
        </w:rPr>
        <w:t xml:space="preserve">Journal </w:t>
      </w:r>
    </w:p>
    <w:p w14:paraId="17528D2A" w14:textId="50BA1626" w:rsidR="00412D77" w:rsidRPr="00FB2D03" w:rsidRDefault="00412D77" w:rsidP="00E56DFF">
      <w:pPr>
        <w:tabs>
          <w:tab w:val="left" w:pos="5616"/>
        </w:tabs>
        <w:ind w:left="720"/>
        <w:rPr>
          <w:color w:val="000000" w:themeColor="text1"/>
          <w:lang w:val="en-AU"/>
        </w:rPr>
      </w:pPr>
      <w:r w:rsidRPr="00FB2D03">
        <w:rPr>
          <w:i/>
          <w:color w:val="000000" w:themeColor="text1"/>
          <w:lang w:val="en-AU"/>
        </w:rPr>
        <w:t>of Law and Religion</w:t>
      </w:r>
      <w:r w:rsidRPr="00FB2D03">
        <w:rPr>
          <w:color w:val="000000" w:themeColor="text1"/>
          <w:lang w:val="en-AU"/>
        </w:rPr>
        <w:t> 11 (1995): 83.</w:t>
      </w:r>
    </w:p>
    <w:p w14:paraId="54FE40A6" w14:textId="77777777" w:rsidR="00412D77" w:rsidRPr="00FB2D03" w:rsidRDefault="00412D77" w:rsidP="00412D77">
      <w:pPr>
        <w:tabs>
          <w:tab w:val="left" w:pos="5616"/>
        </w:tabs>
        <w:rPr>
          <w:color w:val="000000" w:themeColor="text1"/>
          <w:lang w:val="en-AU"/>
        </w:rPr>
      </w:pPr>
    </w:p>
    <w:p w14:paraId="230AAF5A" w14:textId="77777777" w:rsidR="0059280A"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Christian Attitudes to War, Peace, and Revolution</w:t>
      </w:r>
      <w:r w:rsidRPr="00FB2D03">
        <w:rPr>
          <w:color w:val="000000" w:themeColor="text1"/>
          <w:lang w:val="en-AU"/>
        </w:rPr>
        <w:t xml:space="preserve">. Grand Rapids: Brazos Press, </w:t>
      </w:r>
    </w:p>
    <w:p w14:paraId="39030994" w14:textId="440C32EE" w:rsidR="00412D77" w:rsidRPr="00FB2D03" w:rsidRDefault="00412D77" w:rsidP="00E56DFF">
      <w:pPr>
        <w:tabs>
          <w:tab w:val="left" w:pos="5616"/>
        </w:tabs>
        <w:ind w:left="720"/>
        <w:rPr>
          <w:color w:val="000000" w:themeColor="text1"/>
          <w:lang w:val="en-AU"/>
        </w:rPr>
      </w:pPr>
      <w:r w:rsidRPr="00FB2D03">
        <w:rPr>
          <w:color w:val="000000" w:themeColor="text1"/>
          <w:lang w:val="en-AU"/>
        </w:rPr>
        <w:t>2009.</w:t>
      </w:r>
    </w:p>
    <w:p w14:paraId="44935479" w14:textId="77777777" w:rsidR="00412D77" w:rsidRPr="00FB2D03" w:rsidRDefault="00412D77" w:rsidP="00412D77">
      <w:pPr>
        <w:tabs>
          <w:tab w:val="left" w:pos="5616"/>
        </w:tabs>
        <w:rPr>
          <w:color w:val="000000" w:themeColor="text1"/>
          <w:lang w:val="en-AU"/>
        </w:rPr>
      </w:pPr>
    </w:p>
    <w:p w14:paraId="631C7A66"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The Politics of Jesus</w:t>
      </w:r>
      <w:r w:rsidRPr="00FB2D03">
        <w:rPr>
          <w:color w:val="000000" w:themeColor="text1"/>
          <w:lang w:val="en-AU"/>
        </w:rPr>
        <w:t>. Grand Rapids: Eerdmans, 1994.</w:t>
      </w:r>
    </w:p>
    <w:p w14:paraId="56909017" w14:textId="77777777" w:rsidR="00412D77" w:rsidRPr="00FB2D03" w:rsidRDefault="00412D77" w:rsidP="00412D77">
      <w:pPr>
        <w:tabs>
          <w:tab w:val="left" w:pos="5616"/>
        </w:tabs>
        <w:rPr>
          <w:color w:val="000000" w:themeColor="text1"/>
          <w:lang w:val="en-AU"/>
        </w:rPr>
      </w:pPr>
    </w:p>
    <w:p w14:paraId="02F4B7EC"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Varieties of Christian Pacifism</w:t>
      </w:r>
      <w:r w:rsidRPr="00FB2D03">
        <w:rPr>
          <w:color w:val="000000" w:themeColor="text1"/>
          <w:lang w:val="en-AU"/>
        </w:rPr>
        <w:t xml:space="preserve">. Scottdale: Herald, 1992. </w:t>
      </w:r>
    </w:p>
    <w:p w14:paraId="01408BFD" w14:textId="77777777" w:rsidR="00412D77" w:rsidRPr="00FB2D03" w:rsidRDefault="00412D77" w:rsidP="00412D77">
      <w:pPr>
        <w:tabs>
          <w:tab w:val="left" w:pos="5616"/>
        </w:tabs>
        <w:rPr>
          <w:color w:val="000000" w:themeColor="text1"/>
          <w:lang w:val="en-AU"/>
        </w:rPr>
      </w:pPr>
    </w:p>
    <w:p w14:paraId="244725AE" w14:textId="77777777" w:rsidR="00412D77" w:rsidRPr="00FB2D03" w:rsidRDefault="00412D77" w:rsidP="00412D77">
      <w:pPr>
        <w:tabs>
          <w:tab w:val="left" w:pos="5616"/>
        </w:tabs>
        <w:rPr>
          <w:color w:val="000000" w:themeColor="text1"/>
          <w:lang w:val="en-AU"/>
        </w:rPr>
      </w:pPr>
      <w:r w:rsidRPr="00FB2D03">
        <w:rPr>
          <w:color w:val="000000" w:themeColor="text1"/>
          <w:lang w:val="en-AU"/>
        </w:rPr>
        <w:t xml:space="preserve">________. </w:t>
      </w:r>
      <w:r w:rsidRPr="00FB2D03">
        <w:rPr>
          <w:i/>
          <w:color w:val="000000" w:themeColor="text1"/>
          <w:lang w:val="en-AU"/>
        </w:rPr>
        <w:t>When War Is Unjust</w:t>
      </w:r>
      <w:r w:rsidRPr="00FB2D03">
        <w:rPr>
          <w:color w:val="000000" w:themeColor="text1"/>
          <w:lang w:val="en-AU"/>
        </w:rPr>
        <w:t>. Eugene: Wipf and Stock, 2001.</w:t>
      </w:r>
    </w:p>
    <w:p w14:paraId="587D5A99" w14:textId="77777777" w:rsidR="00412D77" w:rsidRPr="00FB2D03" w:rsidRDefault="00412D77" w:rsidP="00412D77">
      <w:pPr>
        <w:tabs>
          <w:tab w:val="left" w:pos="5616"/>
        </w:tabs>
        <w:rPr>
          <w:color w:val="000000" w:themeColor="text1"/>
          <w:lang w:val="en-AU"/>
        </w:rPr>
      </w:pPr>
    </w:p>
    <w:p w14:paraId="59F02479" w14:textId="77777777" w:rsidR="0059280A" w:rsidRPr="00FB2D03" w:rsidRDefault="00412D77" w:rsidP="00412D77">
      <w:pPr>
        <w:tabs>
          <w:tab w:val="left" w:pos="5616"/>
        </w:tabs>
        <w:rPr>
          <w:i/>
          <w:color w:val="000000" w:themeColor="text1"/>
          <w:lang w:val="en-AU"/>
        </w:rPr>
      </w:pPr>
      <w:r w:rsidRPr="00FB2D03">
        <w:rPr>
          <w:color w:val="000000" w:themeColor="text1"/>
          <w:lang w:val="en-AU"/>
        </w:rPr>
        <w:t>Yoder, John Howard, Ted Koontz, and Andy Alexis–Baker. </w:t>
      </w:r>
      <w:r w:rsidRPr="00FB2D03">
        <w:rPr>
          <w:i/>
          <w:color w:val="000000" w:themeColor="text1"/>
          <w:lang w:val="en-AU"/>
        </w:rPr>
        <w:t xml:space="preserve">Christian Attitudes to War, </w:t>
      </w:r>
    </w:p>
    <w:p w14:paraId="5C0976D6" w14:textId="7E1A81BD" w:rsidR="00412D77" w:rsidRPr="00FB2D03" w:rsidRDefault="00412D77" w:rsidP="00E56DFF">
      <w:pPr>
        <w:tabs>
          <w:tab w:val="left" w:pos="5616"/>
        </w:tabs>
        <w:ind w:left="720"/>
        <w:rPr>
          <w:color w:val="000000" w:themeColor="text1"/>
          <w:lang w:val="en-AU"/>
        </w:rPr>
      </w:pPr>
      <w:r w:rsidRPr="00FB2D03">
        <w:rPr>
          <w:i/>
          <w:color w:val="000000" w:themeColor="text1"/>
          <w:lang w:val="en-AU"/>
        </w:rPr>
        <w:t>Peace, And Revolution</w:t>
      </w:r>
      <w:r w:rsidRPr="00FB2D03">
        <w:rPr>
          <w:color w:val="000000" w:themeColor="text1"/>
          <w:lang w:val="en-AU"/>
        </w:rPr>
        <w:t>. Grand Rapids: Brazos Press, 2009.</w:t>
      </w:r>
    </w:p>
    <w:p w14:paraId="7220CA67" w14:textId="77777777" w:rsidR="00412D77" w:rsidRPr="00FB2D03" w:rsidRDefault="00412D77" w:rsidP="00412D77">
      <w:pPr>
        <w:tabs>
          <w:tab w:val="left" w:pos="5616"/>
        </w:tabs>
        <w:rPr>
          <w:color w:val="000000" w:themeColor="text1"/>
          <w:lang w:val="en-AU"/>
        </w:rPr>
      </w:pPr>
    </w:p>
    <w:p w14:paraId="6F01C960" w14:textId="77777777" w:rsidR="00412D77" w:rsidRPr="00FB2D03" w:rsidRDefault="00412D77" w:rsidP="00412D77">
      <w:pPr>
        <w:tabs>
          <w:tab w:val="left" w:pos="5616"/>
        </w:tabs>
        <w:rPr>
          <w:color w:val="000000" w:themeColor="text1"/>
          <w:lang w:val="en-AU"/>
        </w:rPr>
      </w:pPr>
      <w:r w:rsidRPr="00FB2D03">
        <w:rPr>
          <w:color w:val="000000" w:themeColor="text1"/>
          <w:lang w:val="en-AU"/>
        </w:rPr>
        <w:t>Young, Brad H. </w:t>
      </w:r>
      <w:r w:rsidRPr="00FB2D03">
        <w:rPr>
          <w:i/>
          <w:color w:val="000000" w:themeColor="text1"/>
          <w:lang w:val="en-AU"/>
        </w:rPr>
        <w:t>Meet the Rabbis</w:t>
      </w:r>
      <w:r w:rsidRPr="00FB2D03">
        <w:rPr>
          <w:color w:val="000000" w:themeColor="text1"/>
          <w:lang w:val="en-AU"/>
        </w:rPr>
        <w:t>. Peabody: Hendrickson Publishers, 2007.</w:t>
      </w:r>
    </w:p>
    <w:p w14:paraId="329760BC" w14:textId="77777777" w:rsidR="00412D77" w:rsidRPr="00FB2D03" w:rsidRDefault="00412D77" w:rsidP="00412D77">
      <w:pPr>
        <w:tabs>
          <w:tab w:val="left" w:pos="5616"/>
        </w:tabs>
        <w:rPr>
          <w:color w:val="000000" w:themeColor="text1"/>
          <w:lang w:val="en-AU"/>
        </w:rPr>
      </w:pPr>
    </w:p>
    <w:p w14:paraId="3F7439D9" w14:textId="77777777" w:rsidR="0059280A" w:rsidRPr="00FB2D03" w:rsidRDefault="00412D77" w:rsidP="00412D77">
      <w:pPr>
        <w:tabs>
          <w:tab w:val="left" w:pos="5616"/>
        </w:tabs>
        <w:rPr>
          <w:color w:val="000000" w:themeColor="text1"/>
          <w:lang w:val="en-AU"/>
        </w:rPr>
      </w:pPr>
      <w:r w:rsidRPr="00FB2D03">
        <w:rPr>
          <w:color w:val="000000" w:themeColor="text1"/>
          <w:lang w:val="en-AU"/>
        </w:rPr>
        <w:t xml:space="preserve">Young, Norman. H. “Jesus and the Sinners.” </w:t>
      </w:r>
      <w:r w:rsidRPr="00FB2D03">
        <w:rPr>
          <w:i/>
          <w:color w:val="000000" w:themeColor="text1"/>
          <w:lang w:val="en-AU"/>
        </w:rPr>
        <w:t>Studies on the Texts of the Desert of Judah</w:t>
      </w:r>
      <w:r w:rsidRPr="00FB2D03">
        <w:rPr>
          <w:color w:val="000000" w:themeColor="text1"/>
          <w:lang w:val="en-AU"/>
        </w:rPr>
        <w:t xml:space="preserve"> 24 </w:t>
      </w:r>
    </w:p>
    <w:p w14:paraId="7466E5AF" w14:textId="4BECE7B7" w:rsidR="00412D77" w:rsidRPr="00FB2D03" w:rsidRDefault="00412D77" w:rsidP="00E56DFF">
      <w:pPr>
        <w:tabs>
          <w:tab w:val="left" w:pos="5616"/>
        </w:tabs>
        <w:ind w:left="720"/>
        <w:rPr>
          <w:color w:val="000000" w:themeColor="text1"/>
          <w:lang w:val="en-AU"/>
        </w:rPr>
      </w:pPr>
      <w:r w:rsidRPr="00FB2D03">
        <w:rPr>
          <w:color w:val="000000" w:themeColor="text1"/>
          <w:lang w:val="en-AU"/>
        </w:rPr>
        <w:t>(1985): 73–</w:t>
      </w:r>
      <w:r w:rsidR="00CF6105" w:rsidRPr="00FB2D03">
        <w:rPr>
          <w:color w:val="000000" w:themeColor="text1"/>
          <w:lang w:val="en-AU"/>
        </w:rPr>
        <w:t>7</w:t>
      </w:r>
      <w:r w:rsidRPr="00FB2D03">
        <w:rPr>
          <w:color w:val="000000" w:themeColor="text1"/>
          <w:lang w:val="en-AU"/>
        </w:rPr>
        <w:t>5.</w:t>
      </w:r>
    </w:p>
    <w:p w14:paraId="2A865F2A" w14:textId="77777777" w:rsidR="00412D77" w:rsidRPr="00FB2D03" w:rsidRDefault="00412D77" w:rsidP="00412D77">
      <w:pPr>
        <w:tabs>
          <w:tab w:val="left" w:pos="5616"/>
        </w:tabs>
        <w:rPr>
          <w:color w:val="000000" w:themeColor="text1"/>
          <w:lang w:val="en-AU"/>
        </w:rPr>
      </w:pPr>
    </w:p>
    <w:p w14:paraId="1DE5B2DD" w14:textId="77777777" w:rsidR="0059280A" w:rsidRPr="00FB2D03" w:rsidRDefault="00412D77" w:rsidP="00412D77">
      <w:pPr>
        <w:tabs>
          <w:tab w:val="left" w:pos="5616"/>
        </w:tabs>
        <w:rPr>
          <w:color w:val="000000" w:themeColor="text1"/>
          <w:lang w:val="en-AU"/>
        </w:rPr>
      </w:pPr>
      <w:r w:rsidRPr="00FB2D03">
        <w:rPr>
          <w:color w:val="000000" w:themeColor="text1"/>
          <w:lang w:val="en-AU"/>
        </w:rPr>
        <w:t xml:space="preserve">Zanella, Francesco, “Defining Identity through Divine Retribution in Tannaitic </w:t>
      </w:r>
    </w:p>
    <w:p w14:paraId="7FFD9A02" w14:textId="14EE880A" w:rsidR="00412D77" w:rsidRPr="00FB2D03" w:rsidRDefault="00412D77" w:rsidP="00E56DFF">
      <w:pPr>
        <w:tabs>
          <w:tab w:val="left" w:pos="5616"/>
        </w:tabs>
        <w:ind w:left="720"/>
        <w:rPr>
          <w:i/>
          <w:color w:val="000000" w:themeColor="text1"/>
          <w:lang w:val="en-AU"/>
        </w:rPr>
      </w:pPr>
      <w:r w:rsidRPr="00FB2D03">
        <w:rPr>
          <w:color w:val="000000" w:themeColor="text1"/>
          <w:lang w:val="en-AU"/>
        </w:rPr>
        <w:t>Judaism.” </w:t>
      </w:r>
      <w:r w:rsidRPr="00FB2D03">
        <w:rPr>
          <w:i/>
          <w:color w:val="000000" w:themeColor="text1"/>
          <w:lang w:val="en-AU"/>
        </w:rPr>
        <w:t>Review of Rabbinic Judaism</w:t>
      </w:r>
      <w:r w:rsidRPr="00FB2D03">
        <w:rPr>
          <w:color w:val="000000" w:themeColor="text1"/>
          <w:lang w:val="en-AU"/>
        </w:rPr>
        <w:t xml:space="preserve"> 23 (2020): 1–18. </w:t>
      </w:r>
    </w:p>
    <w:p w14:paraId="3F0A3111" w14:textId="77777777" w:rsidR="00412D77" w:rsidRPr="00FB2D03" w:rsidRDefault="00412D77" w:rsidP="00412D77">
      <w:pPr>
        <w:tabs>
          <w:tab w:val="left" w:pos="5616"/>
        </w:tabs>
        <w:rPr>
          <w:i/>
          <w:color w:val="000000" w:themeColor="text1"/>
          <w:lang w:val="en-AU"/>
        </w:rPr>
      </w:pPr>
    </w:p>
    <w:p w14:paraId="2C94178E" w14:textId="77777777" w:rsidR="0059280A" w:rsidRPr="00FB2D03" w:rsidRDefault="00412D77" w:rsidP="00412D77">
      <w:pPr>
        <w:tabs>
          <w:tab w:val="left" w:pos="5616"/>
        </w:tabs>
        <w:rPr>
          <w:color w:val="000000" w:themeColor="text1"/>
          <w:lang w:val="en-AU"/>
        </w:rPr>
      </w:pPr>
      <w:r w:rsidRPr="00FB2D03">
        <w:rPr>
          <w:color w:val="000000" w:themeColor="text1"/>
          <w:lang w:val="en-AU"/>
        </w:rPr>
        <w:t>Zangenberg, Attridge, and Martin, </w:t>
      </w:r>
      <w:r w:rsidRPr="00FB2D03">
        <w:rPr>
          <w:i/>
          <w:color w:val="000000" w:themeColor="text1"/>
          <w:lang w:val="en-AU"/>
        </w:rPr>
        <w:t xml:space="preserve">Religion, </w:t>
      </w:r>
      <w:proofErr w:type="gramStart"/>
      <w:r w:rsidRPr="00FB2D03">
        <w:rPr>
          <w:i/>
          <w:color w:val="000000" w:themeColor="text1"/>
          <w:lang w:val="en-AU"/>
        </w:rPr>
        <w:t>Ethnicity</w:t>
      </w:r>
      <w:proofErr w:type="gramEnd"/>
      <w:r w:rsidRPr="00FB2D03">
        <w:rPr>
          <w:i/>
          <w:color w:val="000000" w:themeColor="text1"/>
          <w:lang w:val="en-AU"/>
        </w:rPr>
        <w:t xml:space="preserve"> and Identity in Ancient Galilee</w:t>
      </w:r>
      <w:r w:rsidRPr="00FB2D03">
        <w:rPr>
          <w:color w:val="000000" w:themeColor="text1"/>
          <w:lang w:val="en-AU"/>
        </w:rPr>
        <w:t xml:space="preserve">. ed. </w:t>
      </w:r>
    </w:p>
    <w:p w14:paraId="05093A36" w14:textId="6E28C17F" w:rsidR="00412D77" w:rsidRPr="00FB2D03" w:rsidRDefault="00412D77" w:rsidP="00E56DFF">
      <w:pPr>
        <w:tabs>
          <w:tab w:val="left" w:pos="5616"/>
        </w:tabs>
        <w:ind w:left="720"/>
        <w:rPr>
          <w:color w:val="000000" w:themeColor="text1"/>
          <w:lang w:val="en-AU"/>
        </w:rPr>
      </w:pPr>
      <w:r w:rsidRPr="00FB2D03">
        <w:rPr>
          <w:color w:val="000000" w:themeColor="text1"/>
          <w:lang w:val="en-AU"/>
        </w:rPr>
        <w:t>Jürgen K. Zangenberg, Harold W. Attridge, and Dale B. Martin. Tübingen: Mohr Siebeck, 2012.</w:t>
      </w:r>
    </w:p>
    <w:p w14:paraId="4E0AE5B6" w14:textId="77777777" w:rsidR="00412D77" w:rsidRPr="00FB2D03" w:rsidRDefault="00412D77" w:rsidP="00412D77">
      <w:pPr>
        <w:tabs>
          <w:tab w:val="left" w:pos="5616"/>
        </w:tabs>
        <w:rPr>
          <w:color w:val="000000" w:themeColor="text1"/>
          <w:lang w:val="en-AU"/>
        </w:rPr>
      </w:pPr>
    </w:p>
    <w:p w14:paraId="587350AA" w14:textId="77777777" w:rsidR="0059280A" w:rsidRPr="00FB2D03" w:rsidRDefault="00412D77" w:rsidP="00412D77">
      <w:pPr>
        <w:tabs>
          <w:tab w:val="left" w:pos="5616"/>
        </w:tabs>
        <w:rPr>
          <w:color w:val="000000" w:themeColor="text1"/>
          <w:lang w:val="en-AU"/>
        </w:rPr>
      </w:pPr>
      <w:r w:rsidRPr="00FB2D03">
        <w:rPr>
          <w:color w:val="000000" w:themeColor="text1"/>
          <w:lang w:val="en-AU"/>
        </w:rPr>
        <w:t xml:space="preserve">Zellentin, Holger. “Rabbinizing Jesus, Christianizing the Son of David: The Bavli’s </w:t>
      </w:r>
    </w:p>
    <w:p w14:paraId="131B4485" w14:textId="522B0BDF" w:rsidR="00412D77" w:rsidRPr="00FB2D03" w:rsidRDefault="00412D77" w:rsidP="00E56DFF">
      <w:pPr>
        <w:tabs>
          <w:tab w:val="left" w:pos="5616"/>
        </w:tabs>
        <w:ind w:left="720"/>
        <w:rPr>
          <w:color w:val="000000" w:themeColor="text1"/>
          <w:lang w:val="en-AU"/>
        </w:rPr>
      </w:pPr>
      <w:r w:rsidRPr="00FB2D03">
        <w:rPr>
          <w:color w:val="000000" w:themeColor="text1"/>
          <w:lang w:val="en-AU"/>
        </w:rPr>
        <w:t xml:space="preserve">Approach to the Secondary Messiah Traditions.” In </w:t>
      </w:r>
      <w:r w:rsidRPr="00FB2D03">
        <w:rPr>
          <w:i/>
          <w:color w:val="000000" w:themeColor="text1"/>
          <w:lang w:val="en-AU"/>
        </w:rPr>
        <w:t>Discussing Cultural Influences: Text, Context, and Non–Text in Rabbinic Judaism</w:t>
      </w:r>
      <w:r w:rsidRPr="00FB2D03">
        <w:rPr>
          <w:color w:val="000000" w:themeColor="text1"/>
          <w:lang w:val="en-AU"/>
        </w:rPr>
        <w:t>, ed. Rikva Ulmer, 99-127</w:t>
      </w:r>
      <w:r w:rsidRPr="00FB2D03">
        <w:rPr>
          <w:i/>
          <w:color w:val="000000" w:themeColor="text1"/>
          <w:lang w:val="en-AU"/>
        </w:rPr>
        <w:t xml:space="preserve">. </w:t>
      </w:r>
      <w:r w:rsidRPr="00FB2D03">
        <w:rPr>
          <w:color w:val="000000" w:themeColor="text1"/>
          <w:lang w:val="en-AU"/>
        </w:rPr>
        <w:t xml:space="preserve">Lanham: University Press of America, 2007. </w:t>
      </w:r>
    </w:p>
    <w:p w14:paraId="18206E26" w14:textId="77777777" w:rsidR="00412D77" w:rsidRPr="00FB2D03" w:rsidRDefault="00412D77" w:rsidP="00412D77">
      <w:pPr>
        <w:tabs>
          <w:tab w:val="left" w:pos="5616"/>
        </w:tabs>
        <w:rPr>
          <w:color w:val="000000" w:themeColor="text1"/>
          <w:lang w:val="en-AU"/>
        </w:rPr>
      </w:pPr>
    </w:p>
    <w:p w14:paraId="1C4FF3D3" w14:textId="77777777" w:rsidR="0059280A" w:rsidRPr="00FB2D03" w:rsidRDefault="00412D77" w:rsidP="00412D77">
      <w:pPr>
        <w:tabs>
          <w:tab w:val="left" w:pos="5616"/>
        </w:tabs>
        <w:rPr>
          <w:color w:val="000000" w:themeColor="text1"/>
          <w:lang w:val="en-AU"/>
        </w:rPr>
      </w:pPr>
      <w:r w:rsidRPr="00FB2D03">
        <w:rPr>
          <w:color w:val="000000" w:themeColor="text1"/>
          <w:lang w:val="en-AU"/>
        </w:rPr>
        <w:t>Zerbe, Gordon. </w:t>
      </w:r>
      <w:r w:rsidRPr="00FB2D03">
        <w:rPr>
          <w:i/>
          <w:color w:val="000000" w:themeColor="text1"/>
          <w:lang w:val="en-AU"/>
        </w:rPr>
        <w:t>Non–Retaliation in Early Judaism and New Testament Texts</w:t>
      </w:r>
      <w:r w:rsidRPr="00FB2D03">
        <w:rPr>
          <w:color w:val="000000" w:themeColor="text1"/>
          <w:lang w:val="en-AU"/>
        </w:rPr>
        <w:t xml:space="preserve">. Sheffield: </w:t>
      </w:r>
    </w:p>
    <w:p w14:paraId="2F2E5463" w14:textId="504C5B1B" w:rsidR="00412D77" w:rsidRPr="00FB2D03" w:rsidRDefault="00412D77" w:rsidP="00E56DFF">
      <w:pPr>
        <w:tabs>
          <w:tab w:val="left" w:pos="5616"/>
        </w:tabs>
        <w:ind w:left="720"/>
        <w:rPr>
          <w:color w:val="000000" w:themeColor="text1"/>
          <w:lang w:val="en-AU"/>
        </w:rPr>
      </w:pPr>
      <w:r w:rsidRPr="00FB2D03">
        <w:rPr>
          <w:color w:val="000000" w:themeColor="text1"/>
          <w:lang w:val="en-AU"/>
        </w:rPr>
        <w:t>Sheffield Academic Press, 1993.</w:t>
      </w:r>
    </w:p>
    <w:p w14:paraId="1F6836BA" w14:textId="77777777" w:rsidR="00412D77" w:rsidRPr="00FB2D03" w:rsidRDefault="00412D77" w:rsidP="00412D77">
      <w:pPr>
        <w:tabs>
          <w:tab w:val="left" w:pos="5616"/>
        </w:tabs>
        <w:rPr>
          <w:color w:val="000000" w:themeColor="text1"/>
          <w:lang w:val="en-AU"/>
        </w:rPr>
      </w:pPr>
    </w:p>
    <w:p w14:paraId="5E1D22DC" w14:textId="77777777" w:rsidR="0059280A" w:rsidRPr="00FB2D03" w:rsidRDefault="00412D77" w:rsidP="00412D77">
      <w:pPr>
        <w:tabs>
          <w:tab w:val="left" w:pos="5616"/>
        </w:tabs>
        <w:rPr>
          <w:i/>
          <w:color w:val="000000" w:themeColor="text1"/>
          <w:lang w:val="en-AU"/>
        </w:rPr>
      </w:pPr>
      <w:r w:rsidRPr="00FB2D03">
        <w:rPr>
          <w:color w:val="000000" w:themeColor="text1"/>
          <w:lang w:val="en-AU"/>
        </w:rPr>
        <w:t xml:space="preserve">Zimmermann, R. </w:t>
      </w:r>
      <w:r w:rsidRPr="00FB2D03">
        <w:rPr>
          <w:i/>
          <w:color w:val="000000" w:themeColor="text1"/>
          <w:lang w:val="en-AU"/>
        </w:rPr>
        <w:t xml:space="preserve">Messianische Texte aus Qumran: Königliche, Priesterliche und </w:t>
      </w:r>
    </w:p>
    <w:p w14:paraId="7C085276" w14:textId="1A8E3F3F" w:rsidR="00412D77" w:rsidRPr="00FB2D03" w:rsidRDefault="00412D77" w:rsidP="00E56DFF">
      <w:pPr>
        <w:tabs>
          <w:tab w:val="left" w:pos="5616"/>
        </w:tabs>
        <w:ind w:left="720"/>
        <w:rPr>
          <w:color w:val="000000" w:themeColor="text1"/>
          <w:lang w:val="en-AU"/>
        </w:rPr>
      </w:pPr>
      <w:r w:rsidRPr="00FB2D03">
        <w:rPr>
          <w:i/>
          <w:color w:val="000000" w:themeColor="text1"/>
          <w:lang w:val="en-AU"/>
        </w:rPr>
        <w:t>Prophetische Messiasvorstellungen in den Schriftfunden von Qumran</w:t>
      </w:r>
      <w:r w:rsidRPr="00FB2D03">
        <w:rPr>
          <w:color w:val="000000" w:themeColor="text1"/>
          <w:lang w:val="en-AU"/>
        </w:rPr>
        <w:t xml:space="preserve">. Tübingen: Mohr Siebeck, 1998. </w:t>
      </w:r>
    </w:p>
    <w:p w14:paraId="6650715A" w14:textId="77777777" w:rsidR="00412D77" w:rsidRPr="00FB2D03" w:rsidRDefault="00412D77" w:rsidP="00412D77">
      <w:pPr>
        <w:tabs>
          <w:tab w:val="left" w:pos="5616"/>
        </w:tabs>
        <w:rPr>
          <w:color w:val="000000" w:themeColor="text1"/>
          <w:lang w:val="en-AU"/>
        </w:rPr>
      </w:pPr>
    </w:p>
    <w:p w14:paraId="76AEDA1B" w14:textId="77777777" w:rsidR="0059280A" w:rsidRPr="00FB2D03" w:rsidRDefault="00412D77" w:rsidP="00412D77">
      <w:pPr>
        <w:tabs>
          <w:tab w:val="left" w:pos="5616"/>
        </w:tabs>
        <w:rPr>
          <w:i/>
          <w:color w:val="000000" w:themeColor="text1"/>
          <w:lang w:val="en-AU"/>
        </w:rPr>
      </w:pPr>
      <w:r w:rsidRPr="00FB2D03">
        <w:rPr>
          <w:color w:val="000000" w:themeColor="text1"/>
          <w:lang w:val="en-AU"/>
        </w:rPr>
        <w:t xml:space="preserve">Zissu, Boaz. “Odd Tomb Out: Has Jerusalem’s Essene Cemetery Been Found?” </w:t>
      </w:r>
      <w:r w:rsidRPr="00FB2D03">
        <w:rPr>
          <w:i/>
          <w:color w:val="000000" w:themeColor="text1"/>
          <w:lang w:val="en-AU"/>
        </w:rPr>
        <w:t xml:space="preserve">Biblical </w:t>
      </w:r>
    </w:p>
    <w:p w14:paraId="37196688" w14:textId="5A822FE5" w:rsidR="00412D77" w:rsidRPr="00FB2D03" w:rsidRDefault="00412D77" w:rsidP="00E56DFF">
      <w:pPr>
        <w:tabs>
          <w:tab w:val="left" w:pos="5616"/>
        </w:tabs>
        <w:ind w:left="720"/>
        <w:rPr>
          <w:color w:val="000000" w:themeColor="text1"/>
          <w:lang w:val="en-AU"/>
        </w:rPr>
      </w:pPr>
      <w:r w:rsidRPr="00FB2D03">
        <w:rPr>
          <w:i/>
          <w:color w:val="000000" w:themeColor="text1"/>
          <w:lang w:val="en-AU"/>
        </w:rPr>
        <w:t>Archaeology Review</w:t>
      </w:r>
      <w:r w:rsidRPr="00FB2D03">
        <w:rPr>
          <w:color w:val="000000" w:themeColor="text1"/>
          <w:lang w:val="en-AU"/>
        </w:rPr>
        <w:t xml:space="preserve"> 25 (1999)</w:t>
      </w:r>
      <w:r w:rsidR="00CF6105" w:rsidRPr="00FB2D03">
        <w:rPr>
          <w:color w:val="000000" w:themeColor="text1"/>
          <w:lang w:val="en-AU"/>
        </w:rPr>
        <w:t>:</w:t>
      </w:r>
      <w:r w:rsidRPr="00FB2D03">
        <w:rPr>
          <w:color w:val="000000" w:themeColor="text1"/>
          <w:lang w:val="en-AU"/>
        </w:rPr>
        <w:t xml:space="preserve"> 50–55, 62.</w:t>
      </w:r>
    </w:p>
    <w:p w14:paraId="647F4B44" w14:textId="77777777" w:rsidR="00412D77" w:rsidRPr="00FB2D03" w:rsidRDefault="00412D77" w:rsidP="00412D77">
      <w:pPr>
        <w:tabs>
          <w:tab w:val="left" w:pos="5616"/>
        </w:tabs>
        <w:rPr>
          <w:color w:val="000000" w:themeColor="text1"/>
          <w:lang w:val="en-AU"/>
        </w:rPr>
      </w:pPr>
    </w:p>
    <w:p w14:paraId="555B19CA" w14:textId="77777777" w:rsidR="0059280A" w:rsidRPr="00FB2D03" w:rsidRDefault="00412D77" w:rsidP="00412D77">
      <w:pPr>
        <w:tabs>
          <w:tab w:val="left" w:pos="5616"/>
        </w:tabs>
        <w:rPr>
          <w:color w:val="000000" w:themeColor="text1"/>
          <w:lang w:val="en-AU"/>
        </w:rPr>
      </w:pPr>
      <w:r w:rsidRPr="00FB2D03">
        <w:rPr>
          <w:color w:val="000000" w:themeColor="text1"/>
          <w:lang w:val="en-AU"/>
        </w:rPr>
        <w:t xml:space="preserve">Zissu, Boaz, and Amir Ganor. “Horvat ’Ethri—A Jewish Village from the Second Temple </w:t>
      </w:r>
    </w:p>
    <w:p w14:paraId="02776412" w14:textId="05F2F985" w:rsidR="00412D77" w:rsidRPr="00FB2D03" w:rsidRDefault="00412D77" w:rsidP="00E56DFF">
      <w:pPr>
        <w:tabs>
          <w:tab w:val="left" w:pos="5616"/>
        </w:tabs>
        <w:ind w:left="720"/>
        <w:rPr>
          <w:color w:val="000000" w:themeColor="text1"/>
          <w:lang w:val="en-AU"/>
        </w:rPr>
      </w:pPr>
      <w:r w:rsidRPr="00FB2D03">
        <w:rPr>
          <w:color w:val="000000" w:themeColor="text1"/>
          <w:lang w:val="en-AU"/>
        </w:rPr>
        <w:t>Period and the Bar Kokhba Revolt in the Judean Foothills.” </w:t>
      </w:r>
      <w:r w:rsidRPr="00FB2D03">
        <w:rPr>
          <w:i/>
          <w:color w:val="000000" w:themeColor="text1"/>
          <w:lang w:val="en-AU"/>
        </w:rPr>
        <w:t>Journal of Jewish Studies</w:t>
      </w:r>
      <w:r w:rsidRPr="00FB2D03">
        <w:rPr>
          <w:color w:val="000000" w:themeColor="text1"/>
          <w:lang w:val="en-AU"/>
        </w:rPr>
        <w:t> 60 (2009): 90–136. </w:t>
      </w:r>
    </w:p>
    <w:p w14:paraId="3946BD63" w14:textId="77777777" w:rsidR="00412D77" w:rsidRPr="00412D77" w:rsidRDefault="00412D77" w:rsidP="00412D77">
      <w:pPr>
        <w:tabs>
          <w:tab w:val="left" w:pos="5616"/>
        </w:tabs>
        <w:rPr>
          <w:color w:val="000000" w:themeColor="text1"/>
        </w:rPr>
      </w:pPr>
    </w:p>
    <w:p w14:paraId="69DC574E" w14:textId="77777777" w:rsidR="00412D77" w:rsidRPr="00412D77" w:rsidRDefault="00412D77" w:rsidP="00412D77">
      <w:pPr>
        <w:tabs>
          <w:tab w:val="left" w:pos="5616"/>
        </w:tabs>
        <w:rPr>
          <w:color w:val="000000" w:themeColor="text1"/>
        </w:rPr>
      </w:pPr>
    </w:p>
    <w:p w14:paraId="450E4219" w14:textId="77777777" w:rsidR="00412D77" w:rsidRPr="00412D77" w:rsidRDefault="00412D77" w:rsidP="00412D77">
      <w:pPr>
        <w:tabs>
          <w:tab w:val="left" w:pos="5616"/>
        </w:tabs>
        <w:rPr>
          <w:color w:val="000000" w:themeColor="text1"/>
        </w:rPr>
      </w:pPr>
    </w:p>
    <w:p w14:paraId="69BFC4C6" w14:textId="77777777" w:rsidR="00412D77" w:rsidRPr="009E7B69" w:rsidRDefault="00412D77" w:rsidP="00412D77">
      <w:pPr>
        <w:tabs>
          <w:tab w:val="left" w:pos="5616"/>
        </w:tabs>
        <w:rPr>
          <w:color w:val="000000" w:themeColor="text1"/>
        </w:rPr>
      </w:pPr>
    </w:p>
    <w:sectPr w:rsidR="00412D77" w:rsidRPr="009E7B69" w:rsidSect="0020742E">
      <w:type w:val="continuous"/>
      <w:pgSz w:w="11900" w:h="16840"/>
      <w:pgMar w:top="1440" w:right="1440" w:bottom="1440" w:left="1440" w:header="706" w:footer="706"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7D429" w14:textId="77777777" w:rsidR="00C4148E" w:rsidRDefault="00C4148E">
      <w:r>
        <w:separator/>
      </w:r>
    </w:p>
  </w:endnote>
  <w:endnote w:type="continuationSeparator" w:id="0">
    <w:p w14:paraId="5AB40C34" w14:textId="77777777" w:rsidR="00C4148E" w:rsidRDefault="00C4148E">
      <w:r>
        <w:continuationSeparator/>
      </w:r>
    </w:p>
  </w:endnote>
  <w:endnote w:type="continuationNotice" w:id="1">
    <w:p w14:paraId="1BEBE414" w14:textId="77777777" w:rsidR="00C4148E" w:rsidRDefault="00C414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mo">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3A987" w14:textId="77777777" w:rsidR="00194C28" w:rsidRDefault="00194C28" w:rsidP="008D4202">
    <w:pPr>
      <w:pStyle w:val="Footer"/>
      <w:framePr w:wrap="around" w:vAnchor="text" w:hAnchor="margin" w:xAlign="center" w:y="1"/>
      <w:rPr>
        <w:rStyle w:val="PageNumber"/>
        <w:sz w:val="24"/>
        <w:szCs w:val="24"/>
        <w:lang w:val="en-US"/>
      </w:rPr>
    </w:pPr>
    <w:r w:rsidRPr="01B55689">
      <w:rPr>
        <w:rStyle w:val="PageNumber"/>
      </w:rPr>
      <w:fldChar w:fldCharType="begin"/>
    </w:r>
    <w:r w:rsidRPr="01B55689">
      <w:rPr>
        <w:rStyle w:val="PageNumber"/>
      </w:rPr>
      <w:instrText xml:space="preserve">PAGE  </w:instrText>
    </w:r>
    <w:r w:rsidRPr="01B55689">
      <w:rPr>
        <w:rStyle w:val="PageNumber"/>
      </w:rPr>
      <w:fldChar w:fldCharType="end"/>
    </w:r>
  </w:p>
  <w:p w14:paraId="643B644D" w14:textId="77777777" w:rsidR="00194C28" w:rsidRDefault="00194C28" w:rsidP="008D42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AF29F" w14:textId="484DDF46" w:rsidR="00194C28" w:rsidRPr="00AA5677" w:rsidRDefault="00194C28" w:rsidP="00AA5677">
    <w:pPr>
      <w:pStyle w:val="Footer"/>
      <w:numPr>
        <w:ilvl w:val="0"/>
        <w:numId w:val="0"/>
      </w:numPr>
      <w:jc w:val="center"/>
      <w:rPr>
        <w:rFonts w:ascii="Arial" w:hAnsi="Arial"/>
        <w:sz w:val="24"/>
        <w:szCs w:val="24"/>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3A6D7" w14:textId="77777777" w:rsidR="004A3112" w:rsidRDefault="004A3112" w:rsidP="004A3112">
    <w:pPr>
      <w:pStyle w:val="Footer"/>
      <w:numPr>
        <w:ilvl w:val="0"/>
        <w:numId w:val="0"/>
      </w:numPr>
      <w:ind w:left="226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B9FCF" w14:textId="77777777" w:rsidR="00C4148E" w:rsidRDefault="00C4148E"/>
    <w:p w14:paraId="649EAE1A" w14:textId="77777777" w:rsidR="00C4148E" w:rsidRDefault="00C4148E">
      <w:r>
        <w:separator/>
      </w:r>
    </w:p>
  </w:footnote>
  <w:footnote w:type="continuationSeparator" w:id="0">
    <w:p w14:paraId="65C1C11F" w14:textId="77777777" w:rsidR="00C4148E" w:rsidRDefault="00C4148E">
      <w:r>
        <w:continuationSeparator/>
      </w:r>
    </w:p>
  </w:footnote>
  <w:footnote w:type="continuationNotice" w:id="1">
    <w:p w14:paraId="7A701144" w14:textId="77777777" w:rsidR="00C4148E" w:rsidRDefault="00C4148E"/>
  </w:footnote>
  <w:footnote w:id="2">
    <w:p w14:paraId="3FCB01E9" w14:textId="3BFF839D" w:rsidR="00363A8D" w:rsidRPr="0072758C" w:rsidRDefault="00363A8D" w:rsidP="00AB7CAD">
      <w:pPr>
        <w:pStyle w:val="EndnoteText"/>
        <w:ind w:firstLine="720"/>
        <w:rPr>
          <w:shd w:val="clear" w:color="auto" w:fill="FFFFFF"/>
          <w:lang w:val="en-AU"/>
        </w:rPr>
      </w:pPr>
      <w:r w:rsidRPr="0072758C">
        <w:rPr>
          <w:rStyle w:val="FootnoteReference"/>
          <w:lang w:val="en-AU"/>
        </w:rPr>
        <w:footnoteRef/>
      </w:r>
      <w:r w:rsidRPr="0072758C">
        <w:rPr>
          <w:lang w:val="en-AU"/>
        </w:rPr>
        <w:t xml:space="preserve"> </w:t>
      </w:r>
      <w:r w:rsidRPr="0072758C">
        <w:rPr>
          <w:shd w:val="clear" w:color="auto" w:fill="FFFFFF"/>
          <w:lang w:val="en-AU"/>
        </w:rPr>
        <w:t xml:space="preserve">Roger Ewald Lang, Jr.  </w:t>
      </w:r>
      <w:r w:rsidR="00863B47" w:rsidRPr="0072758C">
        <w:rPr>
          <w:shd w:val="clear" w:color="auto" w:fill="FFFFFF"/>
          <w:lang w:val="en-AU"/>
        </w:rPr>
        <w:t>“</w:t>
      </w:r>
      <w:r w:rsidRPr="0072758C">
        <w:rPr>
          <w:shd w:val="clear" w:color="auto" w:fill="FFFFFF"/>
          <w:lang w:val="en-AU"/>
        </w:rPr>
        <w:t>Those who heard it first: The political implications of the sermon on the mount to Jesus</w:t>
      </w:r>
      <w:r w:rsidR="005C71CB" w:rsidRPr="0072758C">
        <w:rPr>
          <w:shd w:val="clear" w:color="auto" w:fill="FFFFFF"/>
          <w:lang w:val="en-AU"/>
        </w:rPr>
        <w:t>’</w:t>
      </w:r>
      <w:r w:rsidRPr="0072758C">
        <w:rPr>
          <w:shd w:val="clear" w:color="auto" w:fill="FFFFFF"/>
          <w:lang w:val="en-AU"/>
        </w:rPr>
        <w:t xml:space="preserve"> Jewish audience</w:t>
      </w:r>
      <w:r w:rsidR="00863B47" w:rsidRPr="0072758C">
        <w:rPr>
          <w:shd w:val="clear" w:color="auto" w:fill="FFFFFF"/>
          <w:lang w:val="en-AU"/>
        </w:rPr>
        <w:t>”</w:t>
      </w:r>
      <w:r w:rsidRPr="0072758C">
        <w:rPr>
          <w:shd w:val="clear" w:color="auto" w:fill="FFFFFF"/>
          <w:lang w:val="en-AU"/>
        </w:rPr>
        <w:t xml:space="preserve"> (M.A., University of Waikato, Hamilton, New Zealand, 2013). Retrieved from https://hdl.handle.net/10289/8465. This Master of Arts in Political Science thesis provided a basis for peace studies; however, further research by Roger Lang</w:t>
      </w:r>
      <w:r w:rsidR="005C71CB" w:rsidRPr="0072758C">
        <w:rPr>
          <w:shd w:val="clear" w:color="auto" w:fill="FFFFFF"/>
          <w:lang w:val="en-AU"/>
        </w:rPr>
        <w:t>’</w:t>
      </w:r>
      <w:r w:rsidRPr="0072758C">
        <w:rPr>
          <w:shd w:val="clear" w:color="auto" w:fill="FFFFFF"/>
          <w:lang w:val="en-AU"/>
        </w:rPr>
        <w:t xml:space="preserve">s supervisor, Dr. Colm McKeogh, regarding the field of peace studies and the Sermon was published by C. McKeogh, </w:t>
      </w:r>
      <w:r w:rsidRPr="0072758C">
        <w:rPr>
          <w:i/>
          <w:iCs/>
          <w:shd w:val="clear" w:color="auto" w:fill="FFFFFF"/>
          <w:lang w:val="en-AU"/>
        </w:rPr>
        <w:t>Why Peace, Quaker?</w:t>
      </w:r>
      <w:r w:rsidRPr="0072758C">
        <w:rPr>
          <w:shd w:val="clear" w:color="auto" w:fill="FFFFFF"/>
          <w:lang w:val="en-AU"/>
        </w:rPr>
        <w:t xml:space="preserve"> (Hamilton: Logo Express, 2015).  </w:t>
      </w:r>
    </w:p>
    <w:p w14:paraId="6A15175E" w14:textId="77777777" w:rsidR="00363A8D" w:rsidRPr="0072758C" w:rsidRDefault="00363A8D" w:rsidP="00AB7CAD">
      <w:pPr>
        <w:pStyle w:val="EndnoteText"/>
        <w:rPr>
          <w:lang w:val="en-AU"/>
        </w:rPr>
      </w:pPr>
    </w:p>
    <w:p w14:paraId="462E552D" w14:textId="77777777" w:rsidR="00363A8D" w:rsidRPr="0072758C" w:rsidRDefault="00363A8D" w:rsidP="00AB7CAD">
      <w:pPr>
        <w:pStyle w:val="EndnoteText"/>
        <w:rPr>
          <w:lang w:val="en-AU"/>
        </w:rPr>
      </w:pPr>
    </w:p>
  </w:footnote>
  <w:footnote w:id="3">
    <w:p w14:paraId="6E1D6AAF" w14:textId="1A43186B" w:rsidR="00035954" w:rsidRPr="0072758C" w:rsidRDefault="00035954" w:rsidP="00BC7015">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Avot</w:t>
      </w:r>
      <w:r w:rsidRPr="0072758C">
        <w:rPr>
          <w:lang w:val="en-AU"/>
        </w:rPr>
        <w:t xml:space="preserve"> is a tractate found in the order of </w:t>
      </w:r>
      <w:r w:rsidRPr="0072758C">
        <w:rPr>
          <w:i/>
          <w:iCs/>
          <w:lang w:val="en-AU"/>
        </w:rPr>
        <w:t>Nezkim</w:t>
      </w:r>
      <w:r w:rsidRPr="0072758C">
        <w:rPr>
          <w:lang w:val="en-AU"/>
        </w:rPr>
        <w:t xml:space="preserve"> in the </w:t>
      </w:r>
      <w:r w:rsidRPr="0072758C">
        <w:rPr>
          <w:i/>
          <w:iCs/>
          <w:lang w:val="en-AU"/>
        </w:rPr>
        <w:t>Mishnah.</w:t>
      </w:r>
      <w:r w:rsidRPr="0072758C">
        <w:rPr>
          <w:lang w:val="en-AU"/>
        </w:rPr>
        <w:t xml:space="preserve"> </w:t>
      </w:r>
      <w:r w:rsidRPr="0072758C">
        <w:rPr>
          <w:i/>
          <w:iCs/>
          <w:lang w:val="en-AU"/>
        </w:rPr>
        <w:t>Mishnah Avot</w:t>
      </w:r>
      <w:r w:rsidRPr="0072758C">
        <w:rPr>
          <w:lang w:val="en-AU"/>
        </w:rPr>
        <w:t xml:space="preserve"> is commonly called </w:t>
      </w:r>
      <w:r w:rsidRPr="0072758C">
        <w:rPr>
          <w:i/>
          <w:iCs/>
          <w:lang w:val="en-AU"/>
        </w:rPr>
        <w:t>Pirkei Avot</w:t>
      </w:r>
      <w:r w:rsidRPr="0072758C">
        <w:rPr>
          <w:lang w:val="en-AU"/>
        </w:rPr>
        <w:t>, which loosely translates as either “Chapters of the Fathers” or “Ethics of our Fathers.”</w:t>
      </w:r>
    </w:p>
  </w:footnote>
  <w:footnote w:id="4">
    <w:p w14:paraId="6B4151EA" w14:textId="407A3B60" w:rsidR="00194C28" w:rsidRPr="0072758C" w:rsidRDefault="00BC7015" w:rsidP="00BC7015">
      <w:pPr>
        <w:pStyle w:val="EndnoteText"/>
        <w:rPr>
          <w:lang w:val="en-AU"/>
        </w:rPr>
      </w:pPr>
      <w:r w:rsidRPr="0072758C">
        <w:rPr>
          <w:lang w:val="en-AU"/>
        </w:rPr>
        <w:tab/>
      </w:r>
      <w:r w:rsidR="00194C28" w:rsidRPr="0072758C">
        <w:rPr>
          <w:rStyle w:val="FootnoteReference"/>
          <w:lang w:val="en-AU"/>
        </w:rPr>
        <w:footnoteRef/>
      </w:r>
      <w:r w:rsidR="00194C28" w:rsidRPr="0072758C">
        <w:rPr>
          <w:lang w:val="en-AU"/>
        </w:rPr>
        <w:t xml:space="preserve"> </w:t>
      </w:r>
      <w:r w:rsidR="00194C28" w:rsidRPr="0072758C">
        <w:rPr>
          <w:i/>
          <w:iCs/>
          <w:lang w:val="en-AU"/>
        </w:rPr>
        <w:t xml:space="preserve">See </w:t>
      </w:r>
      <w:r w:rsidR="00194C28" w:rsidRPr="0072758C">
        <w:rPr>
          <w:lang w:val="en-AU"/>
        </w:rPr>
        <w:t>on reception history</w:t>
      </w:r>
      <w:r w:rsidR="00194C28" w:rsidRPr="0072758C">
        <w:rPr>
          <w:i/>
          <w:iCs/>
          <w:lang w:val="en-AU"/>
        </w:rPr>
        <w:t xml:space="preserve"> </w:t>
      </w:r>
      <w:r w:rsidR="00194C28" w:rsidRPr="0072758C">
        <w:rPr>
          <w:lang w:val="en-AU"/>
        </w:rPr>
        <w:t xml:space="preserve">John Riches, </w:t>
      </w:r>
      <w:r w:rsidR="00863B47" w:rsidRPr="0072758C">
        <w:rPr>
          <w:lang w:val="en-AU"/>
        </w:rPr>
        <w:t>“</w:t>
      </w:r>
      <w:r w:rsidR="00194C28" w:rsidRPr="0072758C">
        <w:rPr>
          <w:lang w:val="en-AU"/>
        </w:rPr>
        <w:t>Reception History as a Challenge to Biblical Theology</w:t>
      </w:r>
      <w:r w:rsidR="001F2FC4" w:rsidRPr="0072758C">
        <w:rPr>
          <w:lang w:val="en-AU"/>
        </w:rPr>
        <w:t>,</w:t>
      </w:r>
      <w:r w:rsidR="00863B47" w:rsidRPr="0072758C">
        <w:rPr>
          <w:lang w:val="en-AU"/>
        </w:rPr>
        <w:t>”</w:t>
      </w:r>
      <w:r w:rsidR="00194C28" w:rsidRPr="0072758C">
        <w:rPr>
          <w:lang w:val="en-AU"/>
        </w:rPr>
        <w:t xml:space="preserve"> </w:t>
      </w:r>
      <w:r w:rsidR="00194C28" w:rsidRPr="0072758C">
        <w:rPr>
          <w:i/>
          <w:iCs/>
          <w:lang w:val="en-AU"/>
        </w:rPr>
        <w:t>Journal of Theological Interpretation</w:t>
      </w:r>
      <w:r w:rsidR="00194C28" w:rsidRPr="0072758C">
        <w:rPr>
          <w:lang w:val="en-AU"/>
        </w:rPr>
        <w:t xml:space="preserve"> </w:t>
      </w:r>
      <w:r w:rsidR="00D03314" w:rsidRPr="0072758C">
        <w:rPr>
          <w:lang w:val="en-AU"/>
        </w:rPr>
        <w:t xml:space="preserve">7 (2013): 171–185; and </w:t>
      </w:r>
      <w:r w:rsidR="00D03314" w:rsidRPr="0072758C">
        <w:rPr>
          <w:i/>
          <w:iCs/>
          <w:lang w:val="en-AU"/>
        </w:rPr>
        <w:t>idem,</w:t>
      </w:r>
      <w:r w:rsidR="00D03314" w:rsidRPr="0072758C">
        <w:rPr>
          <w:lang w:val="en-AU"/>
        </w:rPr>
        <w:t xml:space="preserve"> </w:t>
      </w:r>
      <w:r w:rsidR="00194C28" w:rsidRPr="0072758C">
        <w:rPr>
          <w:lang w:val="en-AU"/>
        </w:rPr>
        <w:t>Why Write a Reception-Historical Commentary?</w:t>
      </w:r>
      <w:r w:rsidR="00863B47" w:rsidRPr="0072758C">
        <w:rPr>
          <w:lang w:val="en-AU"/>
        </w:rPr>
        <w:t>”</w:t>
      </w:r>
      <w:r w:rsidR="00340D54" w:rsidRPr="0072758C">
        <w:rPr>
          <w:lang w:val="en-AU"/>
        </w:rPr>
        <w:t xml:space="preserve"> </w:t>
      </w:r>
      <w:r w:rsidR="00340D54" w:rsidRPr="0072758C">
        <w:rPr>
          <w:i/>
          <w:iCs/>
          <w:lang w:val="en-AU"/>
        </w:rPr>
        <w:t xml:space="preserve">JSNT </w:t>
      </w:r>
      <w:r w:rsidR="00194C28" w:rsidRPr="0072758C">
        <w:rPr>
          <w:lang w:val="en-AU"/>
        </w:rPr>
        <w:t>7 (2012): 171</w:t>
      </w:r>
      <w:r w:rsidR="00504DF1" w:rsidRPr="0072758C">
        <w:rPr>
          <w:lang w:val="en-AU"/>
        </w:rPr>
        <w:t>–</w:t>
      </w:r>
      <w:r w:rsidR="00194C28" w:rsidRPr="0072758C">
        <w:rPr>
          <w:lang w:val="en-AU"/>
        </w:rPr>
        <w:t>185</w:t>
      </w:r>
      <w:r w:rsidR="006E1955" w:rsidRPr="0072758C">
        <w:rPr>
          <w:lang w:val="en-AU"/>
        </w:rPr>
        <w:t>; Jonathan Rowlands. “Reception History, Theological Interpretation, and the Future of New Testament Studies</w:t>
      </w:r>
      <w:r w:rsidR="001F2FC4" w:rsidRPr="0072758C">
        <w:rPr>
          <w:lang w:val="en-AU"/>
        </w:rPr>
        <w:t>,</w:t>
      </w:r>
      <w:r w:rsidR="006E1955" w:rsidRPr="0072758C">
        <w:rPr>
          <w:lang w:val="en-AU"/>
        </w:rPr>
        <w:t>” </w:t>
      </w:r>
      <w:r w:rsidR="006E1955" w:rsidRPr="0072758C">
        <w:rPr>
          <w:i/>
          <w:iCs/>
          <w:lang w:val="en-AU"/>
        </w:rPr>
        <w:t>Journal of Theological Interpretation</w:t>
      </w:r>
      <w:r w:rsidR="006E1955" w:rsidRPr="0072758C">
        <w:rPr>
          <w:lang w:val="en-AU"/>
        </w:rPr>
        <w:t> 13</w:t>
      </w:r>
      <w:r w:rsidR="0089234E" w:rsidRPr="0072758C">
        <w:rPr>
          <w:lang w:val="en-AU"/>
        </w:rPr>
        <w:t xml:space="preserve"> </w:t>
      </w:r>
      <w:r w:rsidR="006E1955" w:rsidRPr="0072758C">
        <w:rPr>
          <w:lang w:val="en-AU"/>
        </w:rPr>
        <w:t xml:space="preserve">(2019): 147–67. </w:t>
      </w:r>
      <w:r w:rsidR="00194C28" w:rsidRPr="0072758C">
        <w:rPr>
          <w:lang w:val="en-AU"/>
        </w:rPr>
        <w:t>For generali</w:t>
      </w:r>
      <w:r w:rsidR="006F59A5" w:rsidRPr="0072758C">
        <w:rPr>
          <w:lang w:val="en-AU"/>
        </w:rPr>
        <w:t>s</w:t>
      </w:r>
      <w:r w:rsidR="00194C28" w:rsidRPr="0072758C">
        <w:rPr>
          <w:lang w:val="en-AU"/>
        </w:rPr>
        <w:t>ed scholarship supporting how reception history supports an understanding of how the Bible influence</w:t>
      </w:r>
      <w:r w:rsidR="00CB1492" w:rsidRPr="0072758C">
        <w:rPr>
          <w:lang w:val="en-AU"/>
        </w:rPr>
        <w:t>d</w:t>
      </w:r>
      <w:r w:rsidR="00194C28" w:rsidRPr="0072758C">
        <w:rPr>
          <w:lang w:val="en-AU"/>
        </w:rPr>
        <w:t xml:space="preserve"> communities and different cultures, see</w:t>
      </w:r>
      <w:r w:rsidR="00194C28" w:rsidRPr="0072758C">
        <w:rPr>
          <w:i/>
          <w:iCs/>
          <w:lang w:val="en-AU"/>
        </w:rPr>
        <w:t xml:space="preserve"> </w:t>
      </w:r>
      <w:r w:rsidR="00194C28" w:rsidRPr="0072758C">
        <w:rPr>
          <w:lang w:val="en-AU"/>
        </w:rPr>
        <w:t xml:space="preserve">J. F. A. Sawyer, </w:t>
      </w:r>
      <w:r w:rsidR="00194C28" w:rsidRPr="0072758C">
        <w:rPr>
          <w:i/>
          <w:iCs/>
          <w:lang w:val="en-AU"/>
        </w:rPr>
        <w:t>Sacred Language and Sacred Texts</w:t>
      </w:r>
      <w:r w:rsidR="00194C28" w:rsidRPr="0072758C">
        <w:rPr>
          <w:lang w:val="en-AU"/>
        </w:rPr>
        <w:t xml:space="preserve"> (London: Routledge, 1999), 2; </w:t>
      </w:r>
      <w:r w:rsidR="008B3088" w:rsidRPr="0072758C">
        <w:rPr>
          <w:lang w:val="en-AU"/>
        </w:rPr>
        <w:t>Furthermore, J.</w:t>
      </w:r>
      <w:r w:rsidR="00194C28" w:rsidRPr="0072758C">
        <w:rPr>
          <w:lang w:val="en-AU"/>
        </w:rPr>
        <w:t xml:space="preserve"> Muilenberg contends that this form of influence will remain in academia, see</w:t>
      </w:r>
      <w:r w:rsidR="00194C28" w:rsidRPr="0072758C">
        <w:rPr>
          <w:i/>
          <w:iCs/>
          <w:lang w:val="en-AU"/>
        </w:rPr>
        <w:t xml:space="preserve"> </w:t>
      </w:r>
      <w:r w:rsidR="00194C28" w:rsidRPr="0072758C">
        <w:rPr>
          <w:lang w:val="en-AU"/>
        </w:rPr>
        <w:t xml:space="preserve">J. Muilenberg, </w:t>
      </w:r>
      <w:r w:rsidR="00863B47" w:rsidRPr="0072758C">
        <w:rPr>
          <w:lang w:val="en-AU"/>
        </w:rPr>
        <w:t>“</w:t>
      </w:r>
      <w:r w:rsidR="00194C28" w:rsidRPr="0072758C">
        <w:rPr>
          <w:lang w:val="en-AU"/>
        </w:rPr>
        <w:t>Form Criticism and Beyond,</w:t>
      </w:r>
      <w:r w:rsidR="00863B47" w:rsidRPr="0072758C">
        <w:rPr>
          <w:lang w:val="en-AU"/>
        </w:rPr>
        <w:t>”</w:t>
      </w:r>
      <w:r w:rsidR="00194C28" w:rsidRPr="0072758C">
        <w:rPr>
          <w:lang w:val="en-AU"/>
        </w:rPr>
        <w:t xml:space="preserve"> </w:t>
      </w:r>
      <w:r w:rsidR="00194C28" w:rsidRPr="0072758C">
        <w:rPr>
          <w:i/>
          <w:iCs/>
          <w:lang w:val="en-AU"/>
        </w:rPr>
        <w:t>Journal of Biblical Literature</w:t>
      </w:r>
      <w:r w:rsidR="00194C28" w:rsidRPr="0072758C">
        <w:rPr>
          <w:lang w:val="en-AU"/>
        </w:rPr>
        <w:t xml:space="preserve"> 88 (1969): 1</w:t>
      </w:r>
      <w:r w:rsidR="00504DF1" w:rsidRPr="0072758C">
        <w:rPr>
          <w:lang w:val="en-AU"/>
        </w:rPr>
        <w:t>–</w:t>
      </w:r>
      <w:r w:rsidR="00194C28" w:rsidRPr="0072758C">
        <w:rPr>
          <w:lang w:val="en-AU"/>
        </w:rPr>
        <w:t>18.</w:t>
      </w:r>
    </w:p>
    <w:p w14:paraId="1ECB6118" w14:textId="77777777" w:rsidR="00194C28" w:rsidRPr="0072758C" w:rsidRDefault="00194C28" w:rsidP="00BC7015">
      <w:pPr>
        <w:pStyle w:val="EndnoteText"/>
        <w:rPr>
          <w:lang w:val="en-AU"/>
        </w:rPr>
      </w:pPr>
    </w:p>
  </w:footnote>
  <w:footnote w:id="5">
    <w:p w14:paraId="5AC3D0E3" w14:textId="13E9182B" w:rsidR="00BC7015" w:rsidRPr="0072758C" w:rsidRDefault="00E56258" w:rsidP="00BC7015">
      <w:pPr>
        <w:pStyle w:val="EndnoteText"/>
        <w:ind w:firstLine="720"/>
        <w:rPr>
          <w:lang w:val="en-AU"/>
        </w:rPr>
      </w:pPr>
      <w:r w:rsidRPr="0072758C">
        <w:rPr>
          <w:rStyle w:val="FootnoteReference"/>
          <w:lang w:val="en-AU"/>
        </w:rPr>
        <w:footnoteRef/>
      </w:r>
      <w:r w:rsidRPr="0072758C">
        <w:rPr>
          <w:lang w:val="en-AU"/>
        </w:rPr>
        <w:t xml:space="preserve"> </w:t>
      </w:r>
      <w:bookmarkStart w:id="28" w:name="_Hlk81576992"/>
      <w:r w:rsidRPr="0072758C">
        <w:rPr>
          <w:lang w:val="en-AU"/>
        </w:rPr>
        <w:t xml:space="preserve">Fred Skolnik and Michael Berenbaum, ed., </w:t>
      </w:r>
      <w:r w:rsidRPr="0072758C">
        <w:rPr>
          <w:i/>
          <w:iCs/>
          <w:lang w:val="en-AU"/>
        </w:rPr>
        <w:t>Encyclopaedia Judaica,</w:t>
      </w:r>
      <w:r w:rsidRPr="0072758C">
        <w:rPr>
          <w:lang w:val="en-AU"/>
        </w:rPr>
        <w:t xml:space="preserve"> 2 ed. (Jerusalem: Keter, 2007) s.v. “Mishnah.”</w:t>
      </w:r>
      <w:bookmarkEnd w:id="28"/>
      <w:r w:rsidR="00AF0A9B" w:rsidRPr="0072758C">
        <w:rPr>
          <w:lang w:val="en-AU"/>
        </w:rPr>
        <w:t xml:space="preserve"> </w:t>
      </w:r>
      <w:r w:rsidR="00950607" w:rsidRPr="0072758C">
        <w:rPr>
          <w:lang w:val="en-AU"/>
        </w:rPr>
        <w:t xml:space="preserve">For further scholarship on development of </w:t>
      </w:r>
      <w:r w:rsidR="00950607" w:rsidRPr="0072758C">
        <w:rPr>
          <w:i/>
          <w:iCs/>
          <w:lang w:val="en-AU"/>
        </w:rPr>
        <w:t>Mishna</w:t>
      </w:r>
      <w:r w:rsidR="00950607" w:rsidRPr="0072758C">
        <w:rPr>
          <w:lang w:val="en-AU"/>
        </w:rPr>
        <w:t xml:space="preserve"> see </w:t>
      </w:r>
      <w:r w:rsidR="00950607" w:rsidRPr="0072758C">
        <w:rPr>
          <w:rFonts w:eastAsiaTheme="minorEastAsia"/>
          <w:lang w:val="en-AU"/>
        </w:rPr>
        <w:t>Aharon</w:t>
      </w:r>
      <w:r w:rsidR="00950607" w:rsidRPr="0072758C">
        <w:rPr>
          <w:lang w:val="en-AU"/>
        </w:rPr>
        <w:t xml:space="preserve"> </w:t>
      </w:r>
      <w:r w:rsidR="00950607" w:rsidRPr="0072758C">
        <w:rPr>
          <w:rFonts w:eastAsiaTheme="minorEastAsia"/>
          <w:lang w:val="en-AU"/>
        </w:rPr>
        <w:t>Oppenheimer, </w:t>
      </w:r>
      <w:r w:rsidR="00950607" w:rsidRPr="0072758C">
        <w:rPr>
          <w:rFonts w:eastAsiaTheme="minorEastAsia"/>
          <w:i/>
          <w:iCs/>
          <w:lang w:val="en-AU"/>
        </w:rPr>
        <w:t xml:space="preserve">Rabbi Judah Ha-Nasi: Statesman, Reformer, and Redactor of the Mishnah </w:t>
      </w:r>
      <w:r w:rsidR="00950607" w:rsidRPr="0072758C">
        <w:rPr>
          <w:rFonts w:eastAsiaTheme="minorEastAsia"/>
          <w:lang w:val="en-AU"/>
        </w:rPr>
        <w:t>(Tübingen: Mohr Siebeck, 2017)</w:t>
      </w:r>
      <w:r w:rsidR="00D23756" w:rsidRPr="0072758C">
        <w:rPr>
          <w:lang w:val="en-AU"/>
        </w:rPr>
        <w:t xml:space="preserve">. </w:t>
      </w:r>
      <w:r w:rsidR="00532E10" w:rsidRPr="0072758C">
        <w:rPr>
          <w:lang w:val="en-AU"/>
        </w:rPr>
        <w:t xml:space="preserve">Brandes illustrates that it is commonly viewed that the sources were compiled in a traditional view; however, some scholars say that the development of </w:t>
      </w:r>
      <w:r w:rsidR="00532E10" w:rsidRPr="0072758C">
        <w:rPr>
          <w:i/>
          <w:iCs/>
          <w:lang w:val="en-AU"/>
        </w:rPr>
        <w:t xml:space="preserve">Mishna </w:t>
      </w:r>
      <w:r w:rsidR="00532E10" w:rsidRPr="0072758C">
        <w:rPr>
          <w:lang w:val="en-AU"/>
        </w:rPr>
        <w:t xml:space="preserve">represents future rabbis amending earlier Tannaitic literature in the </w:t>
      </w:r>
      <w:r w:rsidR="00532E10" w:rsidRPr="0072758C">
        <w:rPr>
          <w:i/>
          <w:iCs/>
          <w:lang w:val="en-AU"/>
        </w:rPr>
        <w:t>Gemara.</w:t>
      </w:r>
      <w:r w:rsidR="00532E10" w:rsidRPr="0072758C">
        <w:rPr>
          <w:lang w:val="en-AU"/>
        </w:rPr>
        <w:t xml:space="preserve"> See Yehuda </w:t>
      </w:r>
      <w:r w:rsidR="006E1955" w:rsidRPr="0072758C">
        <w:rPr>
          <w:rFonts w:eastAsiaTheme="minorEastAsia"/>
          <w:lang w:val="en-AU"/>
        </w:rPr>
        <w:t>Brandes</w:t>
      </w:r>
      <w:r w:rsidR="006E1955" w:rsidRPr="0072758C">
        <w:rPr>
          <w:lang w:val="en-AU"/>
        </w:rPr>
        <w:t xml:space="preserve">, </w:t>
      </w:r>
      <w:r w:rsidR="006E1955" w:rsidRPr="0072758C">
        <w:rPr>
          <w:rFonts w:eastAsiaTheme="minorEastAsia"/>
          <w:lang w:val="en-AU"/>
        </w:rPr>
        <w:t>“</w:t>
      </w:r>
      <w:r w:rsidR="00532E10" w:rsidRPr="0072758C">
        <w:rPr>
          <w:rFonts w:eastAsiaTheme="minorEastAsia"/>
          <w:lang w:val="en-AU"/>
        </w:rPr>
        <w:t>The Canonization of the Mishnah</w:t>
      </w:r>
      <w:r w:rsidR="001E1B98" w:rsidRPr="0072758C">
        <w:rPr>
          <w:rFonts w:eastAsiaTheme="minorEastAsia"/>
          <w:lang w:val="en-AU"/>
        </w:rPr>
        <w:t>,</w:t>
      </w:r>
      <w:r w:rsidR="00532E10" w:rsidRPr="0072758C">
        <w:rPr>
          <w:rFonts w:eastAsiaTheme="minorEastAsia"/>
          <w:lang w:val="en-AU"/>
        </w:rPr>
        <w:t>” </w:t>
      </w:r>
      <w:r w:rsidR="00532E10" w:rsidRPr="0072758C">
        <w:rPr>
          <w:rFonts w:eastAsiaTheme="minorEastAsia"/>
          <w:i/>
          <w:iCs/>
          <w:lang w:val="en-AU"/>
        </w:rPr>
        <w:t>Journal of Ancient Judaism</w:t>
      </w:r>
      <w:r w:rsidR="00532E10" w:rsidRPr="0072758C">
        <w:rPr>
          <w:rFonts w:eastAsiaTheme="minorEastAsia"/>
          <w:lang w:val="en-AU"/>
        </w:rPr>
        <w:t xml:space="preserve"> 10 (2019): </w:t>
      </w:r>
      <w:r w:rsidR="00532E10" w:rsidRPr="0072758C">
        <w:rPr>
          <w:lang w:val="en-AU"/>
        </w:rPr>
        <w:t xml:space="preserve">145–80. </w:t>
      </w:r>
      <w:r w:rsidR="008A3FDC" w:rsidRPr="0072758C">
        <w:rPr>
          <w:lang w:val="en-AU"/>
        </w:rPr>
        <w:t>See Miller for more on the connection of Judah Ha-Nasi and Christian overlap in Sepphoris</w:t>
      </w:r>
      <w:r w:rsidR="00BE5EB7" w:rsidRPr="0072758C">
        <w:rPr>
          <w:lang w:val="en-AU"/>
        </w:rPr>
        <w:t>.</w:t>
      </w:r>
      <w:r w:rsidR="008A3FDC" w:rsidRPr="0072758C">
        <w:rPr>
          <w:lang w:val="en-AU"/>
        </w:rPr>
        <w:t xml:space="preserve"> </w:t>
      </w:r>
      <w:r w:rsidR="00BE5EB7" w:rsidRPr="0072758C">
        <w:rPr>
          <w:lang w:val="en-AU"/>
        </w:rPr>
        <w:t>S</w:t>
      </w:r>
      <w:r w:rsidR="008A3FDC" w:rsidRPr="0072758C">
        <w:rPr>
          <w:lang w:val="en-AU"/>
        </w:rPr>
        <w:t>ee Stuart S</w:t>
      </w:r>
      <w:r w:rsidR="00BE5EB7" w:rsidRPr="0072758C">
        <w:rPr>
          <w:lang w:val="en-AU"/>
        </w:rPr>
        <w:t>.</w:t>
      </w:r>
      <w:r w:rsidR="008A3FDC" w:rsidRPr="0072758C">
        <w:rPr>
          <w:lang w:val="en-AU"/>
        </w:rPr>
        <w:t xml:space="preserve"> Miller, “Mary and Rabbi Judah Ha-Nasi at Sepphoris</w:t>
      </w:r>
      <w:r w:rsidR="001E1B98" w:rsidRPr="0072758C">
        <w:rPr>
          <w:lang w:val="en-AU"/>
        </w:rPr>
        <w:t>,</w:t>
      </w:r>
      <w:r w:rsidR="008A3FDC" w:rsidRPr="0072758C">
        <w:rPr>
          <w:lang w:val="en-AU"/>
        </w:rPr>
        <w:t>” </w:t>
      </w:r>
      <w:r w:rsidR="008A3FDC" w:rsidRPr="0072758C">
        <w:rPr>
          <w:i/>
          <w:iCs/>
          <w:lang w:val="en-AU"/>
        </w:rPr>
        <w:t>Henoch</w:t>
      </w:r>
      <w:r w:rsidR="008A3FDC" w:rsidRPr="0072758C">
        <w:rPr>
          <w:lang w:val="en-AU"/>
        </w:rPr>
        <w:t> 38</w:t>
      </w:r>
      <w:r w:rsidR="00500A6D" w:rsidRPr="0072758C">
        <w:rPr>
          <w:lang w:val="en-AU"/>
        </w:rPr>
        <w:t xml:space="preserve"> </w:t>
      </w:r>
      <w:r w:rsidR="008A3FDC" w:rsidRPr="0072758C">
        <w:rPr>
          <w:lang w:val="en-AU"/>
        </w:rPr>
        <w:t>(2016): 383–412</w:t>
      </w:r>
      <w:r w:rsidR="00950607" w:rsidRPr="0072758C">
        <w:rPr>
          <w:lang w:val="en-AU"/>
        </w:rPr>
        <w:t xml:space="preserve">. </w:t>
      </w:r>
      <w:r w:rsidR="007356CD">
        <w:rPr>
          <w:lang w:val="en-AU"/>
        </w:rPr>
        <w:t xml:space="preserve">Although Stemberger believes in a much later dating of 800 C.E., this dissertation does not agree and supports more contemporary scholarship for an earlier date:  see Gunter Stemberger, “Mischna Avot:  Fruhe Weisheitsschrift, Pharisaisches Erbe order spatrabbinische </w:t>
      </w:r>
      <w:proofErr w:type="gramStart"/>
      <w:r w:rsidR="007356CD">
        <w:rPr>
          <w:lang w:val="en-AU"/>
        </w:rPr>
        <w:t>Bildung?,</w:t>
      </w:r>
      <w:proofErr w:type="gramEnd"/>
      <w:r w:rsidR="007356CD">
        <w:rPr>
          <w:lang w:val="en-AU"/>
        </w:rPr>
        <w:t xml:space="preserve">” </w:t>
      </w:r>
      <w:r w:rsidR="007356CD">
        <w:rPr>
          <w:i/>
          <w:iCs/>
          <w:lang w:val="en-AU"/>
        </w:rPr>
        <w:t xml:space="preserve">Zetschrift fur die neutestamentliche wissenschaft und die Kunde der Alteren Kirche </w:t>
      </w:r>
      <w:r w:rsidR="007356CD">
        <w:rPr>
          <w:lang w:val="en-AU"/>
        </w:rPr>
        <w:t xml:space="preserve">96 (2005): 243-58. </w:t>
      </w:r>
      <w:r w:rsidR="00950607" w:rsidRPr="0072758C">
        <w:rPr>
          <w:lang w:val="en-AU"/>
        </w:rPr>
        <w:t xml:space="preserve">For a study on the development of Ha-Nasi and his decedents as applied to development of the Oral Tradition, see Alan </w:t>
      </w:r>
      <w:r w:rsidR="00950607" w:rsidRPr="0072758C">
        <w:rPr>
          <w:rFonts w:eastAsiaTheme="minorEastAsia"/>
          <w:lang w:val="en-AU"/>
        </w:rPr>
        <w:t>Appelbaum, “Rabbi’s Successors: The Later Jewish Patriarchs of the Third Century</w:t>
      </w:r>
      <w:r w:rsidR="001E1B98" w:rsidRPr="0072758C">
        <w:rPr>
          <w:rFonts w:eastAsiaTheme="minorEastAsia"/>
          <w:lang w:val="en-AU"/>
        </w:rPr>
        <w:t>,</w:t>
      </w:r>
      <w:r w:rsidR="00950607" w:rsidRPr="0072758C">
        <w:rPr>
          <w:rFonts w:eastAsiaTheme="minorEastAsia"/>
          <w:lang w:val="en-AU"/>
        </w:rPr>
        <w:t>” </w:t>
      </w:r>
      <w:r w:rsidR="00950607" w:rsidRPr="0072758C">
        <w:rPr>
          <w:rFonts w:eastAsiaTheme="minorEastAsia"/>
          <w:i/>
          <w:iCs/>
          <w:lang w:val="en-AU"/>
        </w:rPr>
        <w:t>Journal of Jewish Studies</w:t>
      </w:r>
      <w:r w:rsidR="00950607" w:rsidRPr="0072758C">
        <w:rPr>
          <w:rFonts w:eastAsiaTheme="minorEastAsia"/>
          <w:lang w:val="en-AU"/>
        </w:rPr>
        <w:t> 63 (2012): 1–21</w:t>
      </w:r>
      <w:r w:rsidR="00D23756" w:rsidRPr="0072758C">
        <w:rPr>
          <w:rFonts w:eastAsiaTheme="minorEastAsia"/>
          <w:lang w:val="en-AU"/>
        </w:rPr>
        <w:t>.</w:t>
      </w:r>
      <w:r w:rsidR="005A1B14">
        <w:rPr>
          <w:rFonts w:eastAsiaTheme="minorEastAsia"/>
          <w:lang w:val="en-AU"/>
        </w:rPr>
        <w:t xml:space="preserve"> Joslyn-Siemiatkoski supports the theory that each individual saying </w:t>
      </w:r>
      <w:r w:rsidR="007356CD">
        <w:rPr>
          <w:rFonts w:eastAsiaTheme="minorEastAsia"/>
          <w:lang w:val="en-AU"/>
        </w:rPr>
        <w:t xml:space="preserve">is attributed to a particular sage accurately, see Joslyn-Siemiatkoski, 5. </w:t>
      </w:r>
    </w:p>
    <w:p w14:paraId="7BEA61DE" w14:textId="77777777" w:rsidR="001A7E7C" w:rsidRPr="0072758C" w:rsidRDefault="001A7E7C" w:rsidP="00BC7015">
      <w:pPr>
        <w:pStyle w:val="EndnoteText"/>
        <w:ind w:firstLine="720"/>
        <w:rPr>
          <w:rFonts w:eastAsiaTheme="minorHAnsi"/>
          <w:lang w:val="en-AU"/>
        </w:rPr>
      </w:pPr>
    </w:p>
  </w:footnote>
  <w:footnote w:id="6">
    <w:p w14:paraId="63A7C679" w14:textId="659DCB44" w:rsidR="00BC7015" w:rsidRPr="0072758C" w:rsidRDefault="00E56258" w:rsidP="00BC7015">
      <w:pPr>
        <w:pStyle w:val="EndnoteText"/>
        <w:ind w:firstLine="720"/>
        <w:rPr>
          <w:lang w:val="en-AU"/>
        </w:rPr>
      </w:pPr>
      <w:r w:rsidRPr="0072758C">
        <w:rPr>
          <w:rStyle w:val="FootnoteReference"/>
          <w:lang w:val="en-AU"/>
        </w:rPr>
        <w:footnoteRef/>
      </w:r>
      <w:r w:rsidRPr="0072758C">
        <w:rPr>
          <w:lang w:val="en-AU"/>
        </w:rPr>
        <w:t xml:space="preserve"> </w:t>
      </w:r>
      <w:r w:rsidR="00A03504">
        <w:rPr>
          <w:lang w:val="en-AU"/>
        </w:rPr>
        <w:t xml:space="preserve">Daniel Joslyn-Siemiatkoski suggests that Avot is an early witness to rabbinic thought and values and that </w:t>
      </w:r>
      <w:r w:rsidR="00EB22E4">
        <w:rPr>
          <w:lang w:val="en-AU"/>
        </w:rPr>
        <w:t xml:space="preserve">of </w:t>
      </w:r>
      <w:r w:rsidR="00A03504">
        <w:rPr>
          <w:lang w:val="en-AU"/>
        </w:rPr>
        <w:t xml:space="preserve">the early rabbis and proto-rabbinic sages: see </w:t>
      </w:r>
      <w:r w:rsidR="00EB22E4">
        <w:rPr>
          <w:lang w:val="en-AU"/>
        </w:rPr>
        <w:t xml:space="preserve">Daniel Joslyn-Siemiatkoski, </w:t>
      </w:r>
      <w:r w:rsidR="00EB22E4">
        <w:rPr>
          <w:i/>
          <w:iCs/>
          <w:lang w:val="en-AU"/>
        </w:rPr>
        <w:t xml:space="preserve">The More Torah, The More Life:  A Christian Commentary on Mishnah Avot </w:t>
      </w:r>
      <w:r w:rsidR="00EB22E4">
        <w:rPr>
          <w:lang w:val="en-AU"/>
        </w:rPr>
        <w:t xml:space="preserve">(Leuven: Peeters, 2018). </w:t>
      </w:r>
      <w:r w:rsidR="005F1E45" w:rsidRPr="0072758C">
        <w:rPr>
          <w:lang w:val="en-AU"/>
        </w:rPr>
        <w:t xml:space="preserve">Because of </w:t>
      </w:r>
      <w:r w:rsidR="000B7279" w:rsidRPr="0072758C">
        <w:rPr>
          <w:lang w:val="en-AU"/>
        </w:rPr>
        <w:t>their</w:t>
      </w:r>
      <w:r w:rsidR="005F1E45" w:rsidRPr="0072758C">
        <w:rPr>
          <w:lang w:val="en-AU"/>
        </w:rPr>
        <w:t xml:space="preserve"> earlier date, t</w:t>
      </w:r>
      <w:r w:rsidRPr="0072758C">
        <w:rPr>
          <w:lang w:val="en-AU"/>
        </w:rPr>
        <w:t xml:space="preserve">he </w:t>
      </w:r>
      <w:r w:rsidR="000B7279" w:rsidRPr="0072758C">
        <w:rPr>
          <w:lang w:val="en-AU"/>
        </w:rPr>
        <w:t xml:space="preserve">traditions of </w:t>
      </w:r>
      <w:r w:rsidR="00EC448F" w:rsidRPr="0072758C">
        <w:rPr>
          <w:lang w:val="en-AU"/>
        </w:rPr>
        <w:t xml:space="preserve">the </w:t>
      </w:r>
      <w:r w:rsidRPr="0072758C">
        <w:rPr>
          <w:lang w:val="en-AU"/>
        </w:rPr>
        <w:t xml:space="preserve">Tannaitic literature </w:t>
      </w:r>
      <w:r w:rsidR="000B7279" w:rsidRPr="0072758C">
        <w:rPr>
          <w:lang w:val="en-AU"/>
        </w:rPr>
        <w:t xml:space="preserve">which are embedded in </w:t>
      </w:r>
      <w:r w:rsidRPr="0072758C">
        <w:rPr>
          <w:lang w:val="en-AU"/>
        </w:rPr>
        <w:t xml:space="preserve">the </w:t>
      </w:r>
      <w:r w:rsidRPr="0072758C">
        <w:rPr>
          <w:i/>
          <w:iCs/>
          <w:lang w:val="en-AU"/>
        </w:rPr>
        <w:t>Mishna,</w:t>
      </w:r>
      <w:r w:rsidRPr="0072758C">
        <w:rPr>
          <w:lang w:val="en-AU"/>
        </w:rPr>
        <w:t xml:space="preserve"> are considered more reliable in depicting the history</w:t>
      </w:r>
      <w:r w:rsidR="00DD587B" w:rsidRPr="0072758C">
        <w:rPr>
          <w:lang w:val="en-AU"/>
        </w:rPr>
        <w:t xml:space="preserve"> </w:t>
      </w:r>
      <w:r w:rsidRPr="0072758C">
        <w:rPr>
          <w:lang w:val="en-AU"/>
        </w:rPr>
        <w:t>of the first centuries CE than other later rabbinic literature</w:t>
      </w:r>
      <w:r w:rsidR="00BE5EB7" w:rsidRPr="0072758C">
        <w:rPr>
          <w:lang w:val="en-AU"/>
        </w:rPr>
        <w:t>,</w:t>
      </w:r>
      <w:r w:rsidRPr="0072758C">
        <w:rPr>
          <w:lang w:val="en-AU"/>
        </w:rPr>
        <w:t xml:space="preserve"> such as the Babylonian Talmud. See </w:t>
      </w:r>
      <w:r w:rsidR="00255A1C" w:rsidRPr="0072758C">
        <w:rPr>
          <w:lang w:val="en-AU"/>
        </w:rPr>
        <w:t>Lee Levine</w:t>
      </w:r>
      <w:r w:rsidRPr="0072758C">
        <w:rPr>
          <w:lang w:val="en-AU"/>
        </w:rPr>
        <w:t xml:space="preserve">, </w:t>
      </w:r>
      <w:r w:rsidRPr="0072758C">
        <w:rPr>
          <w:i/>
          <w:iCs/>
          <w:lang w:val="en-AU"/>
        </w:rPr>
        <w:t xml:space="preserve">Jerusalem: Portrait of the City in the Second Temple Period </w:t>
      </w:r>
      <w:r w:rsidRPr="00EB22E4">
        <w:rPr>
          <w:i/>
          <w:iCs/>
          <w:lang w:val="en-AU"/>
        </w:rPr>
        <w:t>(538 B.C.E–70 C.E.)</w:t>
      </w:r>
      <w:r w:rsidR="00EB22E4">
        <w:rPr>
          <w:i/>
          <w:iCs/>
          <w:lang w:val="en-AU"/>
        </w:rPr>
        <w:t xml:space="preserve"> </w:t>
      </w:r>
      <w:r w:rsidR="001B2CB9" w:rsidRPr="0072758C">
        <w:rPr>
          <w:lang w:val="en-AU"/>
        </w:rPr>
        <w:t>(</w:t>
      </w:r>
      <w:r w:rsidR="003461E7" w:rsidRPr="0072758C">
        <w:rPr>
          <w:lang w:val="en-AU"/>
        </w:rPr>
        <w:t>Philadelphia</w:t>
      </w:r>
      <w:r w:rsidR="001B2CB9" w:rsidRPr="0072758C">
        <w:rPr>
          <w:lang w:val="en-AU"/>
        </w:rPr>
        <w:t>:</w:t>
      </w:r>
      <w:r w:rsidR="003461E7" w:rsidRPr="0072758C">
        <w:rPr>
          <w:lang w:val="en-AU"/>
        </w:rPr>
        <w:t xml:space="preserve"> </w:t>
      </w:r>
      <w:r w:rsidR="001B2CB9" w:rsidRPr="0072758C">
        <w:rPr>
          <w:lang w:val="en-AU"/>
        </w:rPr>
        <w:t xml:space="preserve">Jewish Publication Society, </w:t>
      </w:r>
      <w:r w:rsidRPr="0072758C">
        <w:rPr>
          <w:lang w:val="en-AU"/>
        </w:rPr>
        <w:t>200</w:t>
      </w:r>
      <w:r w:rsidR="001B2CB9" w:rsidRPr="0072758C">
        <w:rPr>
          <w:lang w:val="en-AU"/>
        </w:rPr>
        <w:t>2</w:t>
      </w:r>
      <w:r w:rsidRPr="0072758C">
        <w:rPr>
          <w:lang w:val="en-AU"/>
        </w:rPr>
        <w:t xml:space="preserve">). </w:t>
      </w:r>
      <w:r w:rsidR="00EB22E4">
        <w:rPr>
          <w:lang w:val="en-AU"/>
        </w:rPr>
        <w:t xml:space="preserve">For scholarship supporting the development of Mishna in this theory, see H. L. Strack and Gunter Stemberger, </w:t>
      </w:r>
      <w:r w:rsidR="00EB22E4">
        <w:rPr>
          <w:i/>
          <w:iCs/>
          <w:lang w:val="en-AU"/>
        </w:rPr>
        <w:t xml:space="preserve">Introduction to Talmud and Midrash, </w:t>
      </w:r>
      <w:r w:rsidR="00EB22E4">
        <w:rPr>
          <w:lang w:val="en-AU"/>
        </w:rPr>
        <w:t>trans. And ed. By Markus Bockmuchl</w:t>
      </w:r>
      <w:r w:rsidR="00A059AD">
        <w:rPr>
          <w:lang w:val="en-AU"/>
        </w:rPr>
        <w:t xml:space="preserve"> (Minneapolis: Fortress Press, 1992). </w:t>
      </w:r>
      <w:r w:rsidR="00DD587B" w:rsidRPr="0072758C">
        <w:rPr>
          <w:lang w:val="en-AU"/>
        </w:rPr>
        <w:t>In more recent works by Goldhill</w:t>
      </w:r>
      <w:r w:rsidR="007F6E09" w:rsidRPr="0072758C">
        <w:rPr>
          <w:lang w:val="en-AU"/>
        </w:rPr>
        <w:t xml:space="preserve">, the use of coins is explored to show how the </w:t>
      </w:r>
      <w:r w:rsidR="00AA176A" w:rsidRPr="0072758C">
        <w:rPr>
          <w:lang w:val="en-AU"/>
        </w:rPr>
        <w:t>archaeological</w:t>
      </w:r>
      <w:r w:rsidR="007F6E09" w:rsidRPr="0072758C">
        <w:rPr>
          <w:lang w:val="en-AU"/>
        </w:rPr>
        <w:t xml:space="preserve"> discovery of coins minted during the Tannaitic period </w:t>
      </w:r>
      <w:r w:rsidR="00BE5EB7" w:rsidRPr="0072758C">
        <w:rPr>
          <w:lang w:val="en-AU"/>
        </w:rPr>
        <w:t>show the</w:t>
      </w:r>
      <w:r w:rsidR="007F6E09" w:rsidRPr="0072758C">
        <w:rPr>
          <w:lang w:val="en-AU"/>
        </w:rPr>
        <w:t xml:space="preserve"> replac</w:t>
      </w:r>
      <w:r w:rsidR="00BE5EB7" w:rsidRPr="0072758C">
        <w:rPr>
          <w:lang w:val="en-AU"/>
        </w:rPr>
        <w:t>ement of</w:t>
      </w:r>
      <w:r w:rsidR="007F6E09" w:rsidRPr="0072758C">
        <w:rPr>
          <w:lang w:val="en-AU"/>
        </w:rPr>
        <w:t xml:space="preserve"> Roman faces with </w:t>
      </w:r>
      <w:r w:rsidR="00BE5EB7" w:rsidRPr="0072758C">
        <w:rPr>
          <w:lang w:val="en-AU"/>
        </w:rPr>
        <w:t xml:space="preserve">the </w:t>
      </w:r>
      <w:r w:rsidR="007F6E09" w:rsidRPr="0072758C">
        <w:rPr>
          <w:lang w:val="en-AU"/>
        </w:rPr>
        <w:t>approved imagery of the Jewish leaders of the time. This shows how the leaders of the Jewish people would use political resistance by giving to Caesar though the use of coins but also putting local rabbinical approvals on top of the Roman coin. See Amit Gvaryahu, “Roman Coinage and Its Early Rabbinic Users</w:t>
      </w:r>
      <w:r w:rsidR="001E1B98" w:rsidRPr="0072758C">
        <w:rPr>
          <w:lang w:val="en-AU"/>
        </w:rPr>
        <w:t>,</w:t>
      </w:r>
      <w:r w:rsidR="007F6E09" w:rsidRPr="0072758C">
        <w:rPr>
          <w:lang w:val="en-AU"/>
        </w:rPr>
        <w:t>” </w:t>
      </w:r>
      <w:r w:rsidR="007F6E09" w:rsidRPr="0072758C">
        <w:rPr>
          <w:i/>
          <w:iCs/>
          <w:lang w:val="en-AU"/>
        </w:rPr>
        <w:t>Jewish Quarterly Review</w:t>
      </w:r>
      <w:r w:rsidR="007F6E09" w:rsidRPr="0072758C">
        <w:rPr>
          <w:lang w:val="en-AU"/>
        </w:rPr>
        <w:t xml:space="preserve"> 111 (2021): 1–27. </w:t>
      </w:r>
      <w:r w:rsidR="008617B9" w:rsidRPr="0072758C">
        <w:rPr>
          <w:lang w:val="en-AU"/>
        </w:rPr>
        <w:t>Further</w:t>
      </w:r>
      <w:r w:rsidR="008E24DC" w:rsidRPr="0072758C">
        <w:rPr>
          <w:lang w:val="en-AU"/>
        </w:rPr>
        <w:t xml:space="preserve"> research by Rosen-Zi shows that the Tannaitic literature is the development period of the Jewish self-idea that an identity and rabbinical voice was being developed during this period that is different than later Jewish literature periods. See Ishav Rosen-Zvi, “The Rhetorical Self in Tannaitic Halakha,” </w:t>
      </w:r>
      <w:r w:rsidR="008E24DC" w:rsidRPr="0072758C">
        <w:rPr>
          <w:i/>
          <w:iCs/>
          <w:lang w:val="en-AU"/>
        </w:rPr>
        <w:t>Dead Sea Discoveries</w:t>
      </w:r>
      <w:r w:rsidR="008E24DC" w:rsidRPr="0072758C">
        <w:rPr>
          <w:lang w:val="en-AU"/>
        </w:rPr>
        <w:t> 28</w:t>
      </w:r>
      <w:r w:rsidR="0089234E" w:rsidRPr="0072758C">
        <w:rPr>
          <w:lang w:val="en-AU"/>
        </w:rPr>
        <w:t xml:space="preserve"> </w:t>
      </w:r>
      <w:r w:rsidR="008E24DC" w:rsidRPr="0072758C">
        <w:rPr>
          <w:lang w:val="en-AU"/>
        </w:rPr>
        <w:t>(2021): 341–66</w:t>
      </w:r>
      <w:r w:rsidR="000658DA" w:rsidRPr="0072758C">
        <w:rPr>
          <w:lang w:val="en-AU"/>
        </w:rPr>
        <w:t>; Anat Koplowitz-Breier, “‘Turn it Over and Over’ (Avot 5:22): American Jewish Women’s Poetry on Lot’s Wife</w:t>
      </w:r>
      <w:r w:rsidR="001E1B98" w:rsidRPr="0072758C">
        <w:rPr>
          <w:lang w:val="en-AU"/>
        </w:rPr>
        <w:t>,</w:t>
      </w:r>
      <w:r w:rsidR="000658DA" w:rsidRPr="0072758C">
        <w:rPr>
          <w:lang w:val="en-AU"/>
        </w:rPr>
        <w:t>” </w:t>
      </w:r>
      <w:r w:rsidR="000658DA" w:rsidRPr="0072758C">
        <w:rPr>
          <w:i/>
          <w:iCs/>
          <w:lang w:val="en-AU"/>
        </w:rPr>
        <w:t>Literature and Theology</w:t>
      </w:r>
      <w:r w:rsidR="000658DA" w:rsidRPr="0072758C">
        <w:rPr>
          <w:lang w:val="en-AU"/>
        </w:rPr>
        <w:t> 34</w:t>
      </w:r>
      <w:r w:rsidR="0089234E" w:rsidRPr="0072758C">
        <w:rPr>
          <w:lang w:val="en-AU"/>
        </w:rPr>
        <w:t xml:space="preserve"> </w:t>
      </w:r>
      <w:r w:rsidR="000658DA" w:rsidRPr="0072758C">
        <w:rPr>
          <w:lang w:val="en-AU"/>
        </w:rPr>
        <w:t>(2020): 206–27. </w:t>
      </w:r>
    </w:p>
    <w:p w14:paraId="0E1330A2" w14:textId="77777777" w:rsidR="00E56258" w:rsidRPr="0072758C" w:rsidRDefault="00E56258" w:rsidP="00BC7015">
      <w:pPr>
        <w:pStyle w:val="EndnoteText"/>
        <w:ind w:firstLine="720"/>
        <w:rPr>
          <w:lang w:val="en-AU"/>
        </w:rPr>
      </w:pPr>
    </w:p>
  </w:footnote>
  <w:footnote w:id="7">
    <w:p w14:paraId="59B14F66" w14:textId="4F7E480C" w:rsidR="00E932AF" w:rsidRPr="0072758C" w:rsidRDefault="00E932AF" w:rsidP="00BC7015">
      <w:pPr>
        <w:pStyle w:val="EndnoteText"/>
        <w:ind w:firstLine="720"/>
        <w:rPr>
          <w:lang w:val="en-AU"/>
        </w:rPr>
      </w:pPr>
      <w:r w:rsidRPr="0072758C">
        <w:rPr>
          <w:rStyle w:val="FootnoteReference"/>
          <w:lang w:val="en-AU"/>
        </w:rPr>
        <w:footnoteRef/>
      </w:r>
      <w:r w:rsidRPr="0072758C">
        <w:rPr>
          <w:lang w:val="en-AU"/>
        </w:rPr>
        <w:t xml:space="preserve"> Unlike the rest of the </w:t>
      </w:r>
      <w:r w:rsidRPr="0072758C">
        <w:rPr>
          <w:i/>
          <w:iCs/>
          <w:lang w:val="en-AU"/>
        </w:rPr>
        <w:t>Mishnah</w:t>
      </w:r>
      <w:r w:rsidRPr="0072758C">
        <w:rPr>
          <w:lang w:val="en-AU"/>
        </w:rPr>
        <w:t xml:space="preserve">, the </w:t>
      </w:r>
      <w:r w:rsidRPr="0072758C">
        <w:rPr>
          <w:i/>
          <w:iCs/>
          <w:lang w:val="en-AU"/>
        </w:rPr>
        <w:t>Avot</w:t>
      </w:r>
      <w:r w:rsidRPr="0072758C">
        <w:rPr>
          <w:lang w:val="en-AU"/>
        </w:rPr>
        <w:t xml:space="preserve"> is not a compilation of Jewish law, which is known as </w:t>
      </w:r>
      <w:r w:rsidRPr="0072758C">
        <w:rPr>
          <w:i/>
          <w:iCs/>
          <w:lang w:val="en-AU"/>
        </w:rPr>
        <w:t>halacha</w:t>
      </w:r>
      <w:r w:rsidRPr="0072758C">
        <w:rPr>
          <w:lang w:val="en-AU"/>
        </w:rPr>
        <w:t xml:space="preserve">, and it does not contain </w:t>
      </w:r>
      <w:r w:rsidRPr="0072758C">
        <w:rPr>
          <w:i/>
          <w:iCs/>
          <w:lang w:val="en-AU"/>
        </w:rPr>
        <w:t>aggadah</w:t>
      </w:r>
      <w:r w:rsidRPr="0072758C">
        <w:rPr>
          <w:lang w:val="en-AU"/>
        </w:rPr>
        <w:t>, which are traditional explanations of the Jewish Law.</w:t>
      </w:r>
    </w:p>
    <w:p w14:paraId="3A9EC56F" w14:textId="77777777" w:rsidR="00E932AF" w:rsidRPr="0072758C" w:rsidRDefault="00E932AF" w:rsidP="00BC7015">
      <w:pPr>
        <w:pStyle w:val="EndnoteText"/>
        <w:rPr>
          <w:lang w:val="en-AU"/>
        </w:rPr>
      </w:pPr>
    </w:p>
  </w:footnote>
  <w:footnote w:id="8">
    <w:p w14:paraId="4623A908" w14:textId="686A1A86" w:rsidR="00BC7015" w:rsidRPr="0072758C" w:rsidRDefault="00945CCD" w:rsidP="01B55689">
      <w:pPr>
        <w:pStyle w:val="EndnoteText"/>
        <w:ind w:firstLine="720"/>
        <w:rPr>
          <w:lang w:val="en-AU"/>
        </w:rPr>
      </w:pPr>
      <w:r w:rsidRPr="0072758C">
        <w:rPr>
          <w:rStyle w:val="FootnoteReference"/>
          <w:lang w:val="en-AU"/>
        </w:rPr>
        <w:footnoteRef/>
      </w:r>
      <w:r w:rsidRPr="0072758C">
        <w:rPr>
          <w:lang w:val="en-AU"/>
        </w:rPr>
        <w:t xml:space="preserve"> Rabbinic sages are grouped together in “periods,” beginning with the period of the </w:t>
      </w:r>
      <w:r w:rsidRPr="0072758C">
        <w:rPr>
          <w:i/>
          <w:iCs/>
          <w:lang w:val="en-AU"/>
        </w:rPr>
        <w:t>Zugoth</w:t>
      </w:r>
      <w:r w:rsidRPr="0072758C">
        <w:rPr>
          <w:lang w:val="en-AU"/>
        </w:rPr>
        <w:t xml:space="preserve"> (ca. 170 </w:t>
      </w:r>
      <w:r w:rsidRPr="0072758C">
        <w:rPr>
          <w:smallCaps/>
          <w:lang w:val="en-AU"/>
        </w:rPr>
        <w:t>BCE</w:t>
      </w:r>
      <w:r w:rsidRPr="0072758C">
        <w:rPr>
          <w:lang w:val="en-AU"/>
        </w:rPr>
        <w:t xml:space="preserve"> – 30 CE), the </w:t>
      </w:r>
      <w:r w:rsidRPr="0072758C">
        <w:rPr>
          <w:i/>
          <w:iCs/>
          <w:lang w:val="en-AU"/>
        </w:rPr>
        <w:t>Tannaim</w:t>
      </w:r>
      <w:r w:rsidRPr="0072758C">
        <w:rPr>
          <w:lang w:val="en-AU"/>
        </w:rPr>
        <w:t xml:space="preserve"> (ca. 10 – 220 CE), the </w:t>
      </w:r>
      <w:r w:rsidRPr="0072758C">
        <w:rPr>
          <w:i/>
          <w:iCs/>
          <w:lang w:val="en-AU"/>
        </w:rPr>
        <w:t>Amoraim</w:t>
      </w:r>
      <w:r w:rsidRPr="0072758C">
        <w:rPr>
          <w:lang w:val="en-AU"/>
        </w:rPr>
        <w:t xml:space="preserve"> (200 – 500 CE)</w:t>
      </w:r>
      <w:r w:rsidR="00554F8B" w:rsidRPr="0072758C">
        <w:rPr>
          <w:lang w:val="en-AU"/>
        </w:rPr>
        <w:t xml:space="preserve">, the </w:t>
      </w:r>
      <w:r w:rsidR="00554F8B" w:rsidRPr="0072758C">
        <w:rPr>
          <w:i/>
          <w:iCs/>
          <w:lang w:val="en-AU"/>
        </w:rPr>
        <w:t>Zavoraim</w:t>
      </w:r>
      <w:r w:rsidR="00554F8B" w:rsidRPr="0072758C">
        <w:rPr>
          <w:lang w:val="en-AU"/>
        </w:rPr>
        <w:t xml:space="preserve"> (500-600), the </w:t>
      </w:r>
      <w:r w:rsidR="00554F8B" w:rsidRPr="0072758C">
        <w:rPr>
          <w:i/>
          <w:iCs/>
          <w:lang w:val="en-AU"/>
        </w:rPr>
        <w:t>Geonim</w:t>
      </w:r>
      <w:r w:rsidR="00554F8B" w:rsidRPr="0072758C">
        <w:rPr>
          <w:lang w:val="en-AU"/>
        </w:rPr>
        <w:t xml:space="preserve"> (589 – 1038 CE), etc. </w:t>
      </w:r>
    </w:p>
    <w:p w14:paraId="3050AEFE" w14:textId="77777777" w:rsidR="00945CCD" w:rsidRPr="0072758C" w:rsidRDefault="00945CCD" w:rsidP="00BC7015">
      <w:pPr>
        <w:pStyle w:val="EndnoteText"/>
        <w:ind w:firstLine="720"/>
        <w:rPr>
          <w:lang w:val="en-AU"/>
        </w:rPr>
      </w:pPr>
    </w:p>
  </w:footnote>
  <w:footnote w:id="9">
    <w:p w14:paraId="1210039A" w14:textId="42A429A4" w:rsidR="001A7E7C" w:rsidRPr="0072758C" w:rsidRDefault="00F815AE" w:rsidP="00BC7015">
      <w:pPr>
        <w:pStyle w:val="EndnoteText"/>
        <w:ind w:firstLine="720"/>
        <w:rPr>
          <w:lang w:val="en-AU"/>
        </w:rPr>
      </w:pPr>
      <w:r w:rsidRPr="0072758C">
        <w:rPr>
          <w:rStyle w:val="FootnoteReference"/>
          <w:lang w:val="en-AU"/>
        </w:rPr>
        <w:footnoteRef/>
      </w:r>
      <w:r w:rsidRPr="0072758C">
        <w:rPr>
          <w:lang w:val="en-AU"/>
        </w:rPr>
        <w:t xml:space="preserve"> This dissertation will look at the connections between Matthew and Oral Tradition in later chapters.  For more information about the historical development of Matthew and the Sermon on the Mount, see Hans </w:t>
      </w:r>
      <w:r w:rsidR="004D0496" w:rsidRPr="0072758C">
        <w:rPr>
          <w:lang w:val="en-AU"/>
        </w:rPr>
        <w:t xml:space="preserve">Dieter </w:t>
      </w:r>
      <w:r w:rsidRPr="0072758C">
        <w:rPr>
          <w:lang w:val="en-AU"/>
        </w:rPr>
        <w:t xml:space="preserve">Betz, </w:t>
      </w:r>
      <w:r w:rsidRPr="0072758C">
        <w:rPr>
          <w:i/>
          <w:iCs/>
          <w:lang w:val="en-AU"/>
        </w:rPr>
        <w:t>The Sermon on the Mount, Hermenia–A Critical and Historical Commentary on the Bible</w:t>
      </w:r>
      <w:r w:rsidRPr="0072758C">
        <w:rPr>
          <w:lang w:val="en-AU"/>
        </w:rPr>
        <w:t xml:space="preserve"> (Minneapolis: Fortress Press, 1995)</w:t>
      </w:r>
      <w:r w:rsidR="001A7E7C" w:rsidRPr="0072758C">
        <w:rPr>
          <w:lang w:val="en-AU"/>
        </w:rPr>
        <w:t>; Paul Foster, “Matthew and the Mishnah</w:t>
      </w:r>
      <w:r w:rsidR="001E1B98" w:rsidRPr="0072758C">
        <w:rPr>
          <w:lang w:val="en-AU"/>
        </w:rPr>
        <w:t>,</w:t>
      </w:r>
      <w:r w:rsidR="001A7E7C" w:rsidRPr="0072758C">
        <w:rPr>
          <w:lang w:val="en-AU"/>
        </w:rPr>
        <w:t>” </w:t>
      </w:r>
      <w:r w:rsidR="001A7E7C" w:rsidRPr="0072758C">
        <w:rPr>
          <w:i/>
          <w:iCs/>
          <w:lang w:val="en-AU"/>
        </w:rPr>
        <w:t>Expository Times</w:t>
      </w:r>
      <w:r w:rsidR="001A7E7C" w:rsidRPr="0072758C">
        <w:rPr>
          <w:lang w:val="en-AU"/>
        </w:rPr>
        <w:t xml:space="preserve"> 128 </w:t>
      </w:r>
      <w:r w:rsidR="001E1B98" w:rsidRPr="0072758C">
        <w:rPr>
          <w:lang w:val="en-AU"/>
        </w:rPr>
        <w:t>(</w:t>
      </w:r>
      <w:r w:rsidR="001A7E7C" w:rsidRPr="0072758C">
        <w:rPr>
          <w:lang w:val="en-AU"/>
        </w:rPr>
        <w:t>2017): 305–6.</w:t>
      </w:r>
    </w:p>
    <w:p w14:paraId="098E855D" w14:textId="77777777" w:rsidR="0089234E" w:rsidRPr="0072758C" w:rsidRDefault="0089234E" w:rsidP="00BC7015">
      <w:pPr>
        <w:pStyle w:val="EndnoteText"/>
        <w:ind w:firstLine="720"/>
        <w:rPr>
          <w:lang w:val="en-AU"/>
        </w:rPr>
      </w:pPr>
    </w:p>
  </w:footnote>
  <w:footnote w:id="10">
    <w:p w14:paraId="0AC1478F" w14:textId="4FEEAC45" w:rsidR="007C4CFD" w:rsidRPr="0072758C" w:rsidRDefault="007C4CFD" w:rsidP="00BC7015">
      <w:pPr>
        <w:pStyle w:val="EndnoteText"/>
        <w:ind w:firstLine="720"/>
        <w:rPr>
          <w:lang w:val="en-AU"/>
        </w:rPr>
      </w:pPr>
      <w:r w:rsidRPr="0072758C">
        <w:rPr>
          <w:rStyle w:val="FootnoteReference"/>
          <w:lang w:val="en-AU"/>
        </w:rPr>
        <w:footnoteRef/>
      </w:r>
      <w:r w:rsidRPr="0072758C">
        <w:rPr>
          <w:lang w:val="en-AU"/>
        </w:rPr>
        <w:t xml:space="preserve"> David Weiss Halivni and Jeffrey L Rubenstein, </w:t>
      </w:r>
      <w:r w:rsidRPr="0072758C">
        <w:rPr>
          <w:i/>
          <w:iCs/>
          <w:lang w:val="en-AU"/>
        </w:rPr>
        <w:t>The Formation of the Babylonian Talmud</w:t>
      </w:r>
      <w:r w:rsidRPr="0072758C">
        <w:rPr>
          <w:lang w:val="en-AU"/>
        </w:rPr>
        <w:t> (Oxford: Oxford University Press, 2013), 4.</w:t>
      </w:r>
      <w:r w:rsidR="005D6B8F" w:rsidRPr="0072758C">
        <w:rPr>
          <w:lang w:val="en-AU"/>
        </w:rPr>
        <w:t xml:space="preserve"> Halivni </w:t>
      </w:r>
      <w:r w:rsidR="00E21246" w:rsidRPr="0072758C">
        <w:rPr>
          <w:lang w:val="en-AU"/>
        </w:rPr>
        <w:t xml:space="preserve">explains that the </w:t>
      </w:r>
      <w:r w:rsidR="00E21246" w:rsidRPr="0072758C">
        <w:rPr>
          <w:i/>
          <w:iCs/>
          <w:lang w:val="en-AU"/>
        </w:rPr>
        <w:t xml:space="preserve">Mishna </w:t>
      </w:r>
      <w:r w:rsidR="00E21246" w:rsidRPr="0072758C">
        <w:rPr>
          <w:lang w:val="en-AU"/>
        </w:rPr>
        <w:t>is</w:t>
      </w:r>
      <w:r w:rsidR="005D6B8F" w:rsidRPr="0072758C">
        <w:rPr>
          <w:lang w:val="en-AU"/>
        </w:rPr>
        <w:t xml:space="preserve"> “transferred material from one passage to another” </w:t>
      </w:r>
      <w:r w:rsidR="00E21246" w:rsidRPr="0072758C">
        <w:rPr>
          <w:lang w:val="en-AU"/>
        </w:rPr>
        <w:t>(Ibid.), 190</w:t>
      </w:r>
      <w:r w:rsidR="008E1D34" w:rsidRPr="0072758C">
        <w:rPr>
          <w:lang w:val="en-AU"/>
        </w:rPr>
        <w:t>.</w:t>
      </w:r>
    </w:p>
    <w:p w14:paraId="5D530AD0" w14:textId="77777777" w:rsidR="00BC7015" w:rsidRPr="0072758C" w:rsidRDefault="00BC7015" w:rsidP="00BC7015">
      <w:pPr>
        <w:pStyle w:val="EndnoteText"/>
        <w:ind w:firstLine="720"/>
        <w:rPr>
          <w:lang w:val="en-AU"/>
        </w:rPr>
      </w:pPr>
    </w:p>
  </w:footnote>
  <w:footnote w:id="11">
    <w:p w14:paraId="4170A41D" w14:textId="020864D3" w:rsidR="007C4CFD" w:rsidRPr="0072758C" w:rsidRDefault="007C4CFD" w:rsidP="01B55689">
      <w:pPr>
        <w:pStyle w:val="EndnoteText"/>
        <w:ind w:firstLine="720"/>
        <w:rPr>
          <w:i/>
          <w:iCs/>
          <w:color w:val="000000" w:themeColor="text1"/>
          <w:lang w:val="en-AU"/>
        </w:rPr>
      </w:pPr>
      <w:r w:rsidRPr="0072758C">
        <w:rPr>
          <w:rStyle w:val="FootnoteReference"/>
          <w:lang w:val="en-AU"/>
        </w:rPr>
        <w:footnoteRef/>
      </w:r>
      <w:r w:rsidRPr="0072758C">
        <w:rPr>
          <w:color w:val="000000" w:themeColor="text1"/>
          <w:lang w:val="en-AU"/>
        </w:rPr>
        <w:t xml:space="preserve"> Lawrence Schiffman, </w:t>
      </w:r>
      <w:proofErr w:type="gramStart"/>
      <w:r w:rsidRPr="0072758C">
        <w:rPr>
          <w:i/>
          <w:iCs/>
          <w:color w:val="000000" w:themeColor="text1"/>
          <w:lang w:val="en-AU"/>
        </w:rPr>
        <w:t>Qumran</w:t>
      </w:r>
      <w:proofErr w:type="gramEnd"/>
      <w:r w:rsidRPr="0072758C">
        <w:rPr>
          <w:i/>
          <w:iCs/>
          <w:color w:val="000000" w:themeColor="text1"/>
          <w:lang w:val="en-AU"/>
        </w:rPr>
        <w:t xml:space="preserve"> </w:t>
      </w:r>
      <w:r w:rsidR="00035AFA" w:rsidRPr="0072758C">
        <w:rPr>
          <w:i/>
          <w:iCs/>
          <w:color w:val="000000" w:themeColor="text1"/>
          <w:lang w:val="en-AU"/>
        </w:rPr>
        <w:t>and</w:t>
      </w:r>
      <w:r w:rsidRPr="0072758C">
        <w:rPr>
          <w:i/>
          <w:iCs/>
          <w:color w:val="000000" w:themeColor="text1"/>
          <w:lang w:val="en-AU"/>
        </w:rPr>
        <w:t xml:space="preserve"> Jerusalem: Studies </w:t>
      </w:r>
      <w:r w:rsidR="00DF2BEE">
        <w:rPr>
          <w:i/>
          <w:iCs/>
          <w:color w:val="000000" w:themeColor="text1"/>
          <w:lang w:val="en-AU"/>
        </w:rPr>
        <w:t>i</w:t>
      </w:r>
      <w:r w:rsidRPr="0072758C">
        <w:rPr>
          <w:i/>
          <w:iCs/>
          <w:color w:val="000000" w:themeColor="text1"/>
          <w:lang w:val="en-AU"/>
        </w:rPr>
        <w:t xml:space="preserve">n </w:t>
      </w:r>
      <w:r w:rsidR="00DF2BEE">
        <w:rPr>
          <w:i/>
          <w:iCs/>
          <w:color w:val="000000" w:themeColor="text1"/>
          <w:lang w:val="en-AU"/>
        </w:rPr>
        <w:t>t</w:t>
      </w:r>
      <w:r w:rsidRPr="0072758C">
        <w:rPr>
          <w:i/>
          <w:iCs/>
          <w:color w:val="000000" w:themeColor="text1"/>
          <w:lang w:val="en-AU"/>
        </w:rPr>
        <w:t xml:space="preserve">he Dead Sea Scroll </w:t>
      </w:r>
      <w:r w:rsidR="00DF2BEE">
        <w:rPr>
          <w:i/>
          <w:iCs/>
          <w:color w:val="000000" w:themeColor="text1"/>
          <w:lang w:val="en-AU"/>
        </w:rPr>
        <w:t>a</w:t>
      </w:r>
      <w:r w:rsidRPr="0072758C">
        <w:rPr>
          <w:i/>
          <w:iCs/>
          <w:color w:val="000000" w:themeColor="text1"/>
          <w:lang w:val="en-AU"/>
        </w:rPr>
        <w:t xml:space="preserve">nd </w:t>
      </w:r>
      <w:r w:rsidR="00DF2BEE">
        <w:rPr>
          <w:i/>
          <w:iCs/>
          <w:color w:val="000000" w:themeColor="text1"/>
          <w:lang w:val="en-AU"/>
        </w:rPr>
        <w:t>t</w:t>
      </w:r>
      <w:r w:rsidRPr="0072758C">
        <w:rPr>
          <w:i/>
          <w:iCs/>
          <w:color w:val="000000" w:themeColor="text1"/>
          <w:lang w:val="en-AU"/>
        </w:rPr>
        <w:t xml:space="preserve">he History </w:t>
      </w:r>
      <w:r w:rsidR="00DF2BEE">
        <w:rPr>
          <w:i/>
          <w:iCs/>
          <w:color w:val="000000" w:themeColor="text1"/>
          <w:lang w:val="en-AU"/>
        </w:rPr>
        <w:t>o</w:t>
      </w:r>
      <w:r w:rsidRPr="0072758C">
        <w:rPr>
          <w:i/>
          <w:iCs/>
          <w:color w:val="000000" w:themeColor="text1"/>
          <w:lang w:val="en-AU"/>
        </w:rPr>
        <w:t xml:space="preserve">f Judaism </w:t>
      </w:r>
      <w:r w:rsidRPr="0072758C">
        <w:rPr>
          <w:color w:val="000000" w:themeColor="text1"/>
          <w:lang w:val="en-AU"/>
        </w:rPr>
        <w:t>(Grand Rapids: Eerdmans, 2010), 1.</w:t>
      </w:r>
    </w:p>
  </w:footnote>
  <w:footnote w:id="12">
    <w:p w14:paraId="6D1D4B38" w14:textId="77777777" w:rsidR="00421DB9" w:rsidRPr="0072758C" w:rsidRDefault="00421DB9" w:rsidP="00CF0052">
      <w:pPr>
        <w:pStyle w:val="EndnoteText"/>
        <w:ind w:firstLine="720"/>
        <w:rPr>
          <w:lang w:val="en-AU"/>
        </w:rPr>
      </w:pPr>
    </w:p>
    <w:p w14:paraId="64FF865E" w14:textId="11490B37" w:rsidR="00DB2932" w:rsidRPr="0072758C" w:rsidRDefault="007C4CFD" w:rsidP="00CF0052">
      <w:pPr>
        <w:pStyle w:val="EndnoteText"/>
        <w:ind w:firstLine="720"/>
        <w:rPr>
          <w:lang w:val="en-AU"/>
        </w:rPr>
      </w:pPr>
      <w:r w:rsidRPr="0072758C">
        <w:rPr>
          <w:rStyle w:val="FootnoteReference"/>
          <w:lang w:val="en-AU"/>
        </w:rPr>
        <w:footnoteRef/>
      </w:r>
      <w:r w:rsidRPr="0072758C">
        <w:rPr>
          <w:lang w:val="en-AU"/>
        </w:rPr>
        <w:t xml:space="preserve"> </w:t>
      </w:r>
      <w:r w:rsidR="001F089D" w:rsidRPr="0072758C">
        <w:rPr>
          <w:i/>
          <w:iCs/>
          <w:lang w:val="en-AU"/>
        </w:rPr>
        <w:t xml:space="preserve">Ibid.  </w:t>
      </w:r>
      <w:r w:rsidR="001A35FB" w:rsidRPr="0072758C">
        <w:rPr>
          <w:lang w:val="en-AU"/>
        </w:rPr>
        <w:t>Fisch purports that a modern read of Romans 10:5-13 shows how Paul in the New Testament utili</w:t>
      </w:r>
      <w:r w:rsidR="006F59A5" w:rsidRPr="0072758C">
        <w:rPr>
          <w:lang w:val="en-AU"/>
        </w:rPr>
        <w:t>s</w:t>
      </w:r>
      <w:r w:rsidR="001A35FB" w:rsidRPr="0072758C">
        <w:rPr>
          <w:lang w:val="en-AU"/>
        </w:rPr>
        <w:t>es the oral and written Torah in his writings affirming that there is an overlap in the Jewish intellectual context at the time of writing the New Testament and Tannaitic writings. Yael Fisch, “The Origins of Oral Torah: A New Pauline Perspective</w:t>
      </w:r>
      <w:r w:rsidR="001E1B98" w:rsidRPr="0072758C">
        <w:rPr>
          <w:lang w:val="en-AU"/>
        </w:rPr>
        <w:t>,</w:t>
      </w:r>
      <w:r w:rsidR="001A35FB" w:rsidRPr="0072758C">
        <w:rPr>
          <w:lang w:val="en-AU"/>
        </w:rPr>
        <w:t>” </w:t>
      </w:r>
      <w:r w:rsidR="001A35FB" w:rsidRPr="0072758C">
        <w:rPr>
          <w:i/>
          <w:iCs/>
          <w:lang w:val="en-AU"/>
        </w:rPr>
        <w:t>Journal for the Study of Judaism: In the Persian Hellenistic &amp; Roman Period</w:t>
      </w:r>
      <w:r w:rsidR="001A35FB" w:rsidRPr="0072758C">
        <w:rPr>
          <w:lang w:val="en-AU"/>
        </w:rPr>
        <w:t> 51</w:t>
      </w:r>
      <w:r w:rsidR="00335392" w:rsidRPr="0072758C">
        <w:rPr>
          <w:lang w:val="en-AU"/>
        </w:rPr>
        <w:t xml:space="preserve"> </w:t>
      </w:r>
      <w:r w:rsidR="008F3DF1" w:rsidRPr="0072758C">
        <w:rPr>
          <w:lang w:val="en-AU"/>
        </w:rPr>
        <w:t>(</w:t>
      </w:r>
      <w:r w:rsidR="00335392" w:rsidRPr="0072758C">
        <w:rPr>
          <w:lang w:val="en-AU"/>
        </w:rPr>
        <w:t>2020</w:t>
      </w:r>
      <w:r w:rsidR="008F3DF1" w:rsidRPr="0072758C">
        <w:rPr>
          <w:lang w:val="en-AU"/>
        </w:rPr>
        <w:t>)</w:t>
      </w:r>
      <w:r w:rsidR="001A35FB" w:rsidRPr="0072758C">
        <w:rPr>
          <w:lang w:val="en-AU"/>
        </w:rPr>
        <w:t xml:space="preserve">: 43–66. </w:t>
      </w:r>
      <w:r w:rsidRPr="0072758C">
        <w:rPr>
          <w:lang w:val="en-AU"/>
        </w:rPr>
        <w:t xml:space="preserve">See </w:t>
      </w:r>
      <w:r w:rsidR="001F089D" w:rsidRPr="0072758C">
        <w:rPr>
          <w:lang w:val="en-AU"/>
        </w:rPr>
        <w:t xml:space="preserve">also </w:t>
      </w:r>
      <w:r w:rsidRPr="0072758C">
        <w:rPr>
          <w:lang w:val="en-AU"/>
        </w:rPr>
        <w:t xml:space="preserve">Amram Tropper, ‘‘Tractate Avot and Early Christian Succession Lists,’’ in </w:t>
      </w:r>
      <w:r w:rsidRPr="0072758C">
        <w:rPr>
          <w:i/>
          <w:iCs/>
          <w:lang w:val="en-AU"/>
        </w:rPr>
        <w:t xml:space="preserve">The Ways That Never Parted: Jews and Christians in Late Antiquity and the Early Middle Ages, </w:t>
      </w:r>
      <w:r w:rsidRPr="0072758C">
        <w:rPr>
          <w:lang w:val="en-AU"/>
        </w:rPr>
        <w:t>ed. Adam H. Becker and Annette Yoshiko Reed (Tübingen: J. C. B. Mohr, 2003), 161–62.</w:t>
      </w:r>
      <w:r w:rsidR="001F089D" w:rsidRPr="0072758C">
        <w:rPr>
          <w:lang w:val="en-AU"/>
        </w:rPr>
        <w:t xml:space="preserve">  Others may take a slightly different stance. For example, Jacob Neusner argues that the sayings of </w:t>
      </w:r>
      <w:r w:rsidR="001F089D" w:rsidRPr="0072758C">
        <w:rPr>
          <w:i/>
          <w:iCs/>
          <w:lang w:val="en-AU"/>
        </w:rPr>
        <w:t>Mishna Avot</w:t>
      </w:r>
      <w:r w:rsidR="001F089D" w:rsidRPr="0072758C">
        <w:rPr>
          <w:lang w:val="en-AU"/>
        </w:rPr>
        <w:t xml:space="preserve"> did not exist before the 3rd century, although not many adopt his position. Jacob Neusner, </w:t>
      </w:r>
      <w:r w:rsidR="001F089D" w:rsidRPr="0072758C">
        <w:rPr>
          <w:i/>
          <w:iCs/>
          <w:lang w:val="en-AU"/>
        </w:rPr>
        <w:t>The Rabbinic Traditions about the Pharisees before 70</w:t>
      </w:r>
      <w:r w:rsidR="001F089D" w:rsidRPr="0072758C">
        <w:rPr>
          <w:lang w:val="en-AU"/>
        </w:rPr>
        <w:t xml:space="preserve"> (Eugene: Wipf &amp; Stock, 2005), 3:185–86</w:t>
      </w:r>
      <w:r w:rsidR="00CF0052" w:rsidRPr="0072758C">
        <w:rPr>
          <w:lang w:val="en-AU"/>
        </w:rPr>
        <w:t>.</w:t>
      </w:r>
      <w:r w:rsidR="00DB2932" w:rsidRPr="0072758C">
        <w:rPr>
          <w:lang w:val="en-AU"/>
        </w:rPr>
        <w:t xml:space="preserve"> </w:t>
      </w:r>
    </w:p>
    <w:p w14:paraId="1954C148" w14:textId="39D2BA63" w:rsidR="007C4CFD" w:rsidRPr="0072758C" w:rsidRDefault="007C4CFD" w:rsidP="00BC7015">
      <w:pPr>
        <w:pStyle w:val="EndnoteText"/>
        <w:rPr>
          <w:lang w:val="en-AU"/>
        </w:rPr>
      </w:pPr>
    </w:p>
    <w:p w14:paraId="6387AB57" w14:textId="77777777" w:rsidR="007C4CFD" w:rsidRPr="0072758C" w:rsidRDefault="007C4CFD" w:rsidP="00BC7015">
      <w:pPr>
        <w:pStyle w:val="EndnoteText"/>
        <w:rPr>
          <w:lang w:val="en-AU"/>
        </w:rPr>
      </w:pPr>
    </w:p>
  </w:footnote>
  <w:footnote w:id="13">
    <w:p w14:paraId="78A92C67" w14:textId="0D01242C" w:rsidR="00F864FE" w:rsidRPr="0072758C" w:rsidRDefault="00F864FE" w:rsidP="00BC7015">
      <w:pPr>
        <w:pStyle w:val="FootnoteText"/>
        <w:ind w:firstLine="720"/>
        <w:rPr>
          <w:lang w:val="en-AU"/>
        </w:rPr>
      </w:pPr>
      <w:r w:rsidRPr="0072758C">
        <w:rPr>
          <w:rStyle w:val="FootnoteReference"/>
          <w:lang w:val="en-AU"/>
        </w:rPr>
        <w:footnoteRef/>
      </w:r>
      <w:r w:rsidR="00BC7015" w:rsidRPr="0072758C">
        <w:rPr>
          <w:lang w:val="en-AU"/>
        </w:rPr>
        <w:t xml:space="preserve"> </w:t>
      </w:r>
      <w:r w:rsidRPr="0072758C">
        <w:rPr>
          <w:rtl/>
          <w:lang w:val="en-AU"/>
        </w:rPr>
        <w:t>משֶׁה קִבֵּל תּוֹרָה מִסִּינַי, וּמְסָרָהּ לִיהוֹשֻׁעַ, וִיהוֹשֻׁעַ לִזְקֵנִים, וּזְקֵנִים לִנְבִיאִים, וּנְבִיאִים מְסָרוּהָ לְאַנְשֵׁי כְנֶסֶת הַגְּדוֹלָה</w:t>
      </w:r>
      <w:r w:rsidR="00BC7015" w:rsidRPr="0072758C">
        <w:rPr>
          <w:lang w:val="en-AU"/>
        </w:rPr>
        <w:t xml:space="preserve">  </w:t>
      </w:r>
      <w:r w:rsidRPr="0072758C">
        <w:rPr>
          <w:lang w:val="en-AU"/>
        </w:rPr>
        <w:t xml:space="preserve">   www.sefaria.org/Pirkei_Avot.1.1</w:t>
      </w:r>
      <w:r w:rsidR="00AA178E" w:rsidRPr="0072758C">
        <w:rPr>
          <w:lang w:val="en-AU"/>
        </w:rPr>
        <w:t>.</w:t>
      </w:r>
    </w:p>
  </w:footnote>
  <w:footnote w:id="14">
    <w:p w14:paraId="2FB553B6" w14:textId="77777777" w:rsidR="00194C28" w:rsidRPr="0072758C" w:rsidRDefault="00194C28" w:rsidP="00BC7015">
      <w:pPr>
        <w:pStyle w:val="EndnoteText"/>
        <w:rPr>
          <w:lang w:val="en-AU"/>
        </w:rPr>
      </w:pPr>
    </w:p>
    <w:p w14:paraId="2D9F5B34" w14:textId="66921476" w:rsidR="00E764AB" w:rsidRDefault="00194C28" w:rsidP="00BC7015">
      <w:pPr>
        <w:pStyle w:val="EndnoteText"/>
        <w:ind w:firstLine="720"/>
        <w:rPr>
          <w:lang w:val="en-AU"/>
        </w:rPr>
      </w:pPr>
      <w:r w:rsidRPr="0072758C">
        <w:rPr>
          <w:rStyle w:val="FootnoteReference"/>
          <w:lang w:val="en-AU"/>
        </w:rPr>
        <w:footnoteRef/>
      </w:r>
      <w:r w:rsidRPr="0072758C">
        <w:rPr>
          <w:lang w:val="en-AU"/>
        </w:rPr>
        <w:t xml:space="preserve"> See Menahem Kiste</w:t>
      </w:r>
      <w:r w:rsidR="003F1B96" w:rsidRPr="0072758C">
        <w:rPr>
          <w:lang w:val="en-AU"/>
        </w:rPr>
        <w:t xml:space="preserve">r, </w:t>
      </w:r>
      <w:r w:rsidR="00863B47" w:rsidRPr="0072758C">
        <w:rPr>
          <w:lang w:val="en-AU"/>
        </w:rPr>
        <w:t>“</w:t>
      </w:r>
      <w:r w:rsidRPr="0072758C">
        <w:rPr>
          <w:lang w:val="en-AU"/>
        </w:rPr>
        <w:t>Observations on Aspects of Exegesis, Tradition, and Theology in Midrash, Pseudepigrapha, and Other Jewish Writing,</w:t>
      </w:r>
      <w:r w:rsidR="00863B47" w:rsidRPr="0072758C">
        <w:rPr>
          <w:lang w:val="en-AU"/>
        </w:rPr>
        <w:t>”</w:t>
      </w:r>
      <w:r w:rsidRPr="0072758C">
        <w:rPr>
          <w:lang w:val="en-AU"/>
        </w:rPr>
        <w:t xml:space="preserve"> </w:t>
      </w:r>
      <w:r w:rsidRPr="0072758C">
        <w:rPr>
          <w:i/>
          <w:iCs/>
          <w:lang w:val="en-AU"/>
        </w:rPr>
        <w:t>Jewish Pseudepigrapha</w:t>
      </w:r>
      <w:r w:rsidRPr="0072758C">
        <w:rPr>
          <w:lang w:val="en-AU"/>
        </w:rPr>
        <w:t xml:space="preserve"> (Georgia: </w:t>
      </w:r>
      <w:r w:rsidRPr="0072758C">
        <w:rPr>
          <w:i/>
          <w:iCs/>
          <w:lang w:val="en-AU"/>
        </w:rPr>
        <w:t>Jewish Journal</w:t>
      </w:r>
      <w:r w:rsidRPr="0072758C">
        <w:rPr>
          <w:lang w:val="en-AU"/>
        </w:rPr>
        <w:t xml:space="preserve">, 1994), 1–34; David Weiss Halivni, </w:t>
      </w:r>
      <w:r w:rsidRPr="0072758C">
        <w:rPr>
          <w:i/>
          <w:iCs/>
          <w:lang w:val="en-AU"/>
        </w:rPr>
        <w:t>Revelation Restored – Divine Writ and Critical Responses</w:t>
      </w:r>
      <w:r w:rsidRPr="0072758C">
        <w:rPr>
          <w:lang w:val="en-AU"/>
        </w:rPr>
        <w:t xml:space="preserve"> (Oxford: Oxford University Press, 1997).</w:t>
      </w:r>
      <w:r w:rsidR="00E764AB" w:rsidRPr="0072758C">
        <w:rPr>
          <w:lang w:val="en-AU"/>
        </w:rPr>
        <w:t xml:space="preserve"> For discussions on preservation of oral history see Jonathan Klawans, “Josephus and the Rabbis, Written by Tal Ilan and Vered Noam, in Collaboration with Meir Ben Shahar, Daphne Baratz, and Yael Fisch</w:t>
      </w:r>
      <w:r w:rsidR="001E1B98" w:rsidRPr="0072758C">
        <w:rPr>
          <w:lang w:val="en-AU"/>
        </w:rPr>
        <w:t>,</w:t>
      </w:r>
      <w:r w:rsidR="00E764AB" w:rsidRPr="0072758C">
        <w:rPr>
          <w:lang w:val="en-AU"/>
        </w:rPr>
        <w:t>” </w:t>
      </w:r>
      <w:r w:rsidR="00E764AB" w:rsidRPr="0072758C">
        <w:rPr>
          <w:i/>
          <w:iCs/>
          <w:lang w:val="en-AU"/>
        </w:rPr>
        <w:t>Dead Sea Discoveries</w:t>
      </w:r>
      <w:r w:rsidR="00E764AB" w:rsidRPr="0072758C">
        <w:rPr>
          <w:lang w:val="en-AU"/>
        </w:rPr>
        <w:t> 26</w:t>
      </w:r>
      <w:r w:rsidR="0089234E" w:rsidRPr="0072758C">
        <w:rPr>
          <w:lang w:val="en-AU"/>
        </w:rPr>
        <w:t xml:space="preserve"> </w:t>
      </w:r>
      <w:r w:rsidR="00E764AB" w:rsidRPr="0072758C">
        <w:rPr>
          <w:lang w:val="en-AU"/>
        </w:rPr>
        <w:t>(2019): 270–72.</w:t>
      </w:r>
    </w:p>
    <w:p w14:paraId="0D27E641" w14:textId="77777777" w:rsidR="004E0148" w:rsidRPr="0072758C" w:rsidRDefault="004E0148" w:rsidP="00BC7015">
      <w:pPr>
        <w:pStyle w:val="EndnoteText"/>
        <w:ind w:firstLine="720"/>
        <w:rPr>
          <w:lang w:val="en-AU"/>
        </w:rPr>
      </w:pPr>
    </w:p>
  </w:footnote>
  <w:footnote w:id="15">
    <w:p w14:paraId="7EC68382" w14:textId="52A01BB8" w:rsidR="00CD5DF5" w:rsidRPr="0072758C" w:rsidRDefault="00194C28" w:rsidP="01B55689">
      <w:pPr>
        <w:pStyle w:val="EndnoteText"/>
        <w:ind w:firstLine="720"/>
        <w:rPr>
          <w:lang w:val="en-AU"/>
        </w:rPr>
      </w:pPr>
      <w:r w:rsidRPr="0072758C">
        <w:rPr>
          <w:rStyle w:val="FootnoteReference"/>
          <w:lang w:val="en-AU"/>
        </w:rPr>
        <w:footnoteRef/>
      </w:r>
      <w:r w:rsidRPr="0072758C">
        <w:rPr>
          <w:lang w:val="en-AU"/>
        </w:rPr>
        <w:t xml:space="preserve">  See Jacob N. Epstein: </w:t>
      </w:r>
      <w:r w:rsidRPr="0072758C">
        <w:rPr>
          <w:i/>
          <w:iCs/>
          <w:lang w:val="en-AU"/>
        </w:rPr>
        <w:t>Introduction to the Mishnaic Text</w:t>
      </w:r>
      <w:r w:rsidRPr="0072758C">
        <w:rPr>
          <w:lang w:val="en-AU"/>
        </w:rPr>
        <w:t xml:space="preserve"> (Jerusalem: Magnes, 1948), 692–706; Saul Lieberman, </w:t>
      </w:r>
      <w:r w:rsidRPr="0072758C">
        <w:rPr>
          <w:i/>
          <w:iCs/>
          <w:lang w:val="en-AU"/>
        </w:rPr>
        <w:t>Hellenism in Jewish Palestine</w:t>
      </w:r>
      <w:r w:rsidRPr="0072758C">
        <w:rPr>
          <w:lang w:val="en-AU"/>
        </w:rPr>
        <w:t xml:space="preserve"> (New York: Jewish Theological Seminar, 1950), 83–85</w:t>
      </w:r>
      <w:r w:rsidR="005201C7" w:rsidRPr="0072758C">
        <w:rPr>
          <w:lang w:val="en-AU"/>
        </w:rPr>
        <w:t xml:space="preserve">. </w:t>
      </w:r>
      <w:r w:rsidR="00590206" w:rsidRPr="0072758C">
        <w:rPr>
          <w:lang w:val="en-AU"/>
        </w:rPr>
        <w:t xml:space="preserve">Jacob Neusner developed a standing view that the sayings found in </w:t>
      </w:r>
      <w:r w:rsidR="00590206" w:rsidRPr="0072758C">
        <w:rPr>
          <w:i/>
          <w:iCs/>
          <w:lang w:val="en-AU"/>
        </w:rPr>
        <w:t>Mishna</w:t>
      </w:r>
      <w:r w:rsidR="00590206" w:rsidRPr="0072758C">
        <w:rPr>
          <w:lang w:val="en-AU"/>
        </w:rPr>
        <w:t xml:space="preserve"> were attributed to other authors. The foundation of the study of rabbinic law comes with the analysis of Mishna with these early Tannaitic parallels.  </w:t>
      </w:r>
      <w:r w:rsidR="01B55689" w:rsidRPr="0072758C">
        <w:rPr>
          <w:color w:val="000000" w:themeColor="text1"/>
          <w:lang w:val="en-AU"/>
        </w:rPr>
        <w:t xml:space="preserve">See Jacob Neusner, </w:t>
      </w:r>
      <w:r w:rsidR="01B55689" w:rsidRPr="0072758C">
        <w:rPr>
          <w:i/>
          <w:iCs/>
          <w:color w:val="000000" w:themeColor="text1"/>
          <w:lang w:val="en-AU"/>
        </w:rPr>
        <w:t xml:space="preserve">In Quest </w:t>
      </w:r>
      <w:r w:rsidR="00DF2BEE" w:rsidRPr="0072758C">
        <w:rPr>
          <w:i/>
          <w:iCs/>
          <w:color w:val="000000" w:themeColor="text1"/>
          <w:lang w:val="en-AU"/>
        </w:rPr>
        <w:t xml:space="preserve">of the </w:t>
      </w:r>
      <w:r w:rsidR="01B55689" w:rsidRPr="0072758C">
        <w:rPr>
          <w:i/>
          <w:iCs/>
          <w:color w:val="000000" w:themeColor="text1"/>
          <w:lang w:val="en-AU"/>
        </w:rPr>
        <w:t>Historical Pharisees</w:t>
      </w:r>
      <w:r w:rsidR="01B55689" w:rsidRPr="0072758C">
        <w:rPr>
          <w:color w:val="000000" w:themeColor="text1"/>
          <w:lang w:val="en-AU"/>
        </w:rPr>
        <w:t xml:space="preserve"> (Waco: Baylor University Press, 2007). </w:t>
      </w:r>
      <w:r w:rsidR="00590206" w:rsidRPr="0072758C">
        <w:rPr>
          <w:lang w:val="en-AU"/>
        </w:rPr>
        <w:t>For a contrary view to this, some scholars argue that much of the Gemara is not from older thoughts</w:t>
      </w:r>
      <w:r w:rsidR="00CD5DF5" w:rsidRPr="0072758C">
        <w:rPr>
          <w:lang w:val="en-AU"/>
        </w:rPr>
        <w:t xml:space="preserve">, see Yair Furstenberg, </w:t>
      </w:r>
      <w:proofErr w:type="gramStart"/>
      <w:r w:rsidR="00CD5DF5" w:rsidRPr="0072758C">
        <w:rPr>
          <w:i/>
          <w:iCs/>
          <w:lang w:val="en-AU"/>
        </w:rPr>
        <w:t>Purity</w:t>
      </w:r>
      <w:proofErr w:type="gramEnd"/>
      <w:r w:rsidR="00CD5DF5" w:rsidRPr="0072758C">
        <w:rPr>
          <w:i/>
          <w:iCs/>
          <w:lang w:val="en-AU"/>
        </w:rPr>
        <w:t xml:space="preserve"> and Community in Antiquity: Traditions of the Law from Second Temple Judaism to the Mishnah</w:t>
      </w:r>
      <w:r w:rsidR="00CD5DF5" w:rsidRPr="0072758C">
        <w:rPr>
          <w:lang w:val="en-AU"/>
        </w:rPr>
        <w:t xml:space="preserve"> [Hebrew] (Jerusalem: Magnes, 2016), 305–12. </w:t>
      </w:r>
    </w:p>
    <w:p w14:paraId="5DDB0F49" w14:textId="6417B4E6" w:rsidR="00194C28" w:rsidRPr="0072758C" w:rsidRDefault="00BC7015" w:rsidP="00BC7015">
      <w:pPr>
        <w:pStyle w:val="EndnoteText"/>
        <w:rPr>
          <w:lang w:val="en-AU"/>
        </w:rPr>
      </w:pPr>
      <w:r w:rsidRPr="0072758C">
        <w:rPr>
          <w:lang w:val="en-AU"/>
        </w:rPr>
        <w:tab/>
      </w:r>
    </w:p>
  </w:footnote>
  <w:footnote w:id="16">
    <w:p w14:paraId="25469575" w14:textId="17F540E9" w:rsidR="00327A5E"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Avigdor Shinan, </w:t>
      </w:r>
      <w:r w:rsidRPr="0072758C">
        <w:rPr>
          <w:i/>
          <w:iCs/>
          <w:lang w:val="en-AU"/>
        </w:rPr>
        <w:t xml:space="preserve">The Aggadah in the Aramaic Targums to the Pentateuch. Literary Analysis and Description of the Aggadic Material Contained in the So-Called </w:t>
      </w:r>
      <w:r w:rsidR="00863B47" w:rsidRPr="0072758C">
        <w:rPr>
          <w:i/>
          <w:iCs/>
          <w:lang w:val="en-AU"/>
        </w:rPr>
        <w:t>“</w:t>
      </w:r>
      <w:r w:rsidRPr="0072758C">
        <w:rPr>
          <w:i/>
          <w:iCs/>
          <w:lang w:val="en-AU"/>
        </w:rPr>
        <w:t>Palestinian</w:t>
      </w:r>
      <w:r w:rsidR="00863B47" w:rsidRPr="0072758C">
        <w:rPr>
          <w:i/>
          <w:iCs/>
          <w:lang w:val="en-AU"/>
        </w:rPr>
        <w:t>”</w:t>
      </w:r>
      <w:r w:rsidRPr="0072758C">
        <w:rPr>
          <w:i/>
          <w:iCs/>
          <w:lang w:val="en-AU"/>
        </w:rPr>
        <w:t xml:space="preserve"> Targums to All Five Books of the Pentateuch, With Examination of this Genre Against its Background</w:t>
      </w:r>
      <w:r w:rsidRPr="0072758C">
        <w:rPr>
          <w:lang w:val="en-AU"/>
        </w:rPr>
        <w:t> (Jerusalem: Makor, 1979), 44–66</w:t>
      </w:r>
      <w:r w:rsidR="00604E3A" w:rsidRPr="0072758C">
        <w:rPr>
          <w:lang w:val="en-AU"/>
        </w:rPr>
        <w:t xml:space="preserve">. </w:t>
      </w:r>
      <w:r w:rsidR="00327A5E" w:rsidRPr="0072758C">
        <w:rPr>
          <w:lang w:val="en-AU"/>
        </w:rPr>
        <w:t>For further discussion on how</w:t>
      </w:r>
      <w:r w:rsidR="008631C9" w:rsidRPr="0072758C">
        <w:rPr>
          <w:lang w:val="en-AU"/>
        </w:rPr>
        <w:t xml:space="preserve"> </w:t>
      </w:r>
      <w:r w:rsidR="00327A5E" w:rsidRPr="0072758C">
        <w:rPr>
          <w:lang w:val="en-AU"/>
        </w:rPr>
        <w:t>religious thought</w:t>
      </w:r>
      <w:r w:rsidR="008631C9" w:rsidRPr="0072758C">
        <w:rPr>
          <w:lang w:val="en-AU"/>
        </w:rPr>
        <w:t xml:space="preserve"> developed </w:t>
      </w:r>
      <w:r w:rsidR="00327A5E" w:rsidRPr="0072758C">
        <w:rPr>
          <w:lang w:val="en-AU"/>
        </w:rPr>
        <w:t>contemporary literary criticism</w:t>
      </w:r>
      <w:r w:rsidR="008631C9" w:rsidRPr="0072758C">
        <w:rPr>
          <w:lang w:val="en-AU"/>
        </w:rPr>
        <w:t>,</w:t>
      </w:r>
      <w:r w:rsidR="00327A5E" w:rsidRPr="0072758C">
        <w:rPr>
          <w:lang w:val="en-AU"/>
        </w:rPr>
        <w:t xml:space="preserve"> Handelman shows a </w:t>
      </w:r>
      <w:r w:rsidR="00CD5DF5" w:rsidRPr="0072758C">
        <w:rPr>
          <w:lang w:val="en-AU"/>
        </w:rPr>
        <w:t xml:space="preserve">crucial </w:t>
      </w:r>
      <w:r w:rsidR="004E0148">
        <w:rPr>
          <w:lang w:val="en-AU"/>
        </w:rPr>
        <w:t xml:space="preserve">connection within </w:t>
      </w:r>
      <w:r w:rsidR="00CD5DF5" w:rsidRPr="0072758C">
        <w:rPr>
          <w:lang w:val="en-AU"/>
        </w:rPr>
        <w:t xml:space="preserve">modern </w:t>
      </w:r>
      <w:r w:rsidR="004E0148">
        <w:rPr>
          <w:lang w:val="en-AU"/>
        </w:rPr>
        <w:t xml:space="preserve">textual interpretation </w:t>
      </w:r>
      <w:r w:rsidR="00CD5DF5" w:rsidRPr="0072758C">
        <w:rPr>
          <w:lang w:val="en-AU"/>
        </w:rPr>
        <w:t xml:space="preserve">theory </w:t>
      </w:r>
      <w:r w:rsidR="004E0148">
        <w:rPr>
          <w:lang w:val="en-AU"/>
        </w:rPr>
        <w:t>for Rabbinical hermeneutical thought</w:t>
      </w:r>
      <w:r w:rsidR="00327A5E" w:rsidRPr="0072758C">
        <w:rPr>
          <w:lang w:val="en-AU"/>
        </w:rPr>
        <w:t>.</w:t>
      </w:r>
      <w:r w:rsidR="008631C9" w:rsidRPr="0072758C">
        <w:rPr>
          <w:lang w:val="en-AU"/>
        </w:rPr>
        <w:t xml:space="preserve">  See </w:t>
      </w:r>
      <w:r w:rsidR="00327A5E" w:rsidRPr="0072758C">
        <w:rPr>
          <w:lang w:val="en-AU"/>
        </w:rPr>
        <w:t xml:space="preserve">Susan A Handelman, </w:t>
      </w:r>
      <w:r w:rsidR="00327A5E" w:rsidRPr="0072758C">
        <w:rPr>
          <w:i/>
          <w:iCs/>
          <w:lang w:val="en-AU"/>
        </w:rPr>
        <w:t>Slayers of Moses: The Emergence of Rabbinic Interpretation in Modern Literary Theory</w:t>
      </w:r>
      <w:r w:rsidR="00327A5E" w:rsidRPr="0072758C">
        <w:rPr>
          <w:lang w:val="en-AU"/>
        </w:rPr>
        <w:t xml:space="preserve"> (Albany: State University of New York Press, 1982).</w:t>
      </w:r>
    </w:p>
    <w:p w14:paraId="1BA96C19" w14:textId="77777777" w:rsidR="00194C28" w:rsidRPr="0072758C" w:rsidRDefault="00194C28" w:rsidP="00BC7015">
      <w:pPr>
        <w:pStyle w:val="EndnoteText"/>
        <w:rPr>
          <w:lang w:val="en-AU"/>
        </w:rPr>
      </w:pPr>
    </w:p>
  </w:footnote>
  <w:footnote w:id="17">
    <w:p w14:paraId="6E4D2DDD" w14:textId="25C9873B" w:rsidR="001F46FD"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Cyrus Gordon, </w:t>
      </w:r>
      <w:r w:rsidRPr="0072758C">
        <w:rPr>
          <w:i/>
          <w:iCs/>
          <w:lang w:val="en-AU"/>
        </w:rPr>
        <w:t>Jewish Reaction to Christian Borrowings</w:t>
      </w:r>
      <w:r w:rsidRPr="0072758C">
        <w:rPr>
          <w:lang w:val="en-AU"/>
        </w:rPr>
        <w:t xml:space="preserve">, in: </w:t>
      </w:r>
      <w:r w:rsidRPr="0072758C">
        <w:rPr>
          <w:i/>
          <w:iCs/>
          <w:lang w:val="en-AU"/>
        </w:rPr>
        <w:t>The Word of the Lord Shall Go Forth. Essays in Honor of David Noel Freedman in Celebration of his Sixtieth Birthday</w:t>
      </w:r>
      <w:r w:rsidRPr="0072758C">
        <w:rPr>
          <w:lang w:val="en-AU"/>
        </w:rPr>
        <w:t xml:space="preserve"> (Winona Lake: Eisenbrauns, 1983), 685–690.</w:t>
      </w:r>
    </w:p>
    <w:p w14:paraId="2CF75C6A" w14:textId="77777777" w:rsidR="00D71FE9" w:rsidRPr="0072758C" w:rsidRDefault="00D71FE9" w:rsidP="00BC7015">
      <w:pPr>
        <w:pStyle w:val="EndnoteText"/>
        <w:rPr>
          <w:lang w:val="en-AU"/>
        </w:rPr>
      </w:pPr>
    </w:p>
  </w:footnote>
  <w:footnote w:id="18">
    <w:p w14:paraId="66A5D61C" w14:textId="70925E1D" w:rsidR="00BE713C" w:rsidRPr="0072758C" w:rsidRDefault="00C17C75" w:rsidP="00BC7015">
      <w:pPr>
        <w:pStyle w:val="EndnoteText"/>
        <w:ind w:firstLine="720"/>
        <w:rPr>
          <w:lang w:val="en-AU"/>
        </w:rPr>
      </w:pPr>
      <w:r w:rsidRPr="0072758C">
        <w:rPr>
          <w:rStyle w:val="FootnoteReference"/>
          <w:lang w:val="en-AU"/>
        </w:rPr>
        <w:footnoteRef/>
      </w:r>
      <w:r w:rsidRPr="0072758C">
        <w:rPr>
          <w:lang w:val="en-AU"/>
        </w:rPr>
        <w:t xml:space="preserve"> In the Christian tradition, the concept of Jesus being a ‘Son of God’ and a part of the Trinity can be confusion for some </w:t>
      </w:r>
      <w:r w:rsidR="00147059" w:rsidRPr="0072758C">
        <w:rPr>
          <w:lang w:val="en-AU"/>
        </w:rPr>
        <w:t>wh</w:t>
      </w:r>
      <w:r w:rsidRPr="0072758C">
        <w:rPr>
          <w:lang w:val="en-AU"/>
        </w:rPr>
        <w:t xml:space="preserve">o acknowledge that Jesus was a Torah-observant Jewish person.  </w:t>
      </w:r>
      <w:r w:rsidR="000454D0" w:rsidRPr="0072758C">
        <w:rPr>
          <w:lang w:val="en-AU"/>
        </w:rPr>
        <w:t>A</w:t>
      </w:r>
      <w:r w:rsidRPr="0072758C">
        <w:rPr>
          <w:lang w:val="en-AU"/>
        </w:rPr>
        <w:t xml:space="preserve">s this dissertation does not deal with the Trinitarian doctrines, </w:t>
      </w:r>
      <w:r w:rsidR="000454D0" w:rsidRPr="0072758C">
        <w:rPr>
          <w:lang w:val="en-AU"/>
        </w:rPr>
        <w:t xml:space="preserve">for scholarship on this issue </w:t>
      </w:r>
      <w:r w:rsidRPr="0072758C">
        <w:rPr>
          <w:lang w:val="en-AU"/>
        </w:rPr>
        <w:t xml:space="preserve">see, John Pawlikowski, </w:t>
      </w:r>
      <w:r w:rsidRPr="0072758C">
        <w:rPr>
          <w:i/>
          <w:iCs/>
          <w:lang w:val="en-AU"/>
        </w:rPr>
        <w:t>Christ in the Light of the Christian-Jewish Dialogue</w:t>
      </w:r>
      <w:r w:rsidRPr="0072758C">
        <w:rPr>
          <w:lang w:val="en-AU"/>
        </w:rPr>
        <w:t xml:space="preserve"> (New York: Paulist Press, 1982). </w:t>
      </w:r>
      <w:r w:rsidR="00470CAC" w:rsidRPr="0072758C">
        <w:rPr>
          <w:lang w:val="en-AU"/>
        </w:rPr>
        <w:t xml:space="preserve">For scholarship on how the emergence Christianity was influenced broadly by Judaism, see Christine Hayes, </w:t>
      </w:r>
      <w:r w:rsidR="00470CAC" w:rsidRPr="0072758C">
        <w:rPr>
          <w:i/>
          <w:iCs/>
          <w:lang w:val="en-AU"/>
        </w:rPr>
        <w:t>The Emergence of Judaism: Classical Traditions in Contemporary Perspective</w:t>
      </w:r>
      <w:r w:rsidR="00470CAC" w:rsidRPr="0072758C">
        <w:rPr>
          <w:lang w:val="en-AU"/>
        </w:rPr>
        <w:t xml:space="preserve"> (Minneapolis: Fortress Press, 2011). </w:t>
      </w:r>
      <w:r w:rsidRPr="0072758C">
        <w:rPr>
          <w:lang w:val="en-AU"/>
        </w:rPr>
        <w:t xml:space="preserve">For scholarship that discusses when Christianity and Judaism began to separate and take different forms in identity, see Marcel Simon, </w:t>
      </w:r>
      <w:r w:rsidRPr="0072758C">
        <w:rPr>
          <w:i/>
          <w:iCs/>
          <w:lang w:val="en-AU"/>
        </w:rPr>
        <w:t>Verus Israel; Jews and Christians: The Parting of the Ways, A.D. 70 to 135</w:t>
      </w:r>
      <w:r w:rsidRPr="0072758C">
        <w:rPr>
          <w:lang w:val="en-AU"/>
        </w:rPr>
        <w:t xml:space="preserve"> (Tübingen: J.C.B. Mohr, 1992); William Horbury, </w:t>
      </w:r>
      <w:r w:rsidRPr="0072758C">
        <w:rPr>
          <w:i/>
          <w:iCs/>
          <w:lang w:val="en-AU"/>
        </w:rPr>
        <w:t>Jews and Christians in Contact and Controversy</w:t>
      </w:r>
      <w:r w:rsidRPr="0072758C">
        <w:rPr>
          <w:lang w:val="en-AU"/>
        </w:rPr>
        <w:t xml:space="preserve"> (Edinburgh: T&amp;T Clark, 1998); Judith Lieu, </w:t>
      </w:r>
      <w:r w:rsidRPr="0072758C">
        <w:rPr>
          <w:i/>
          <w:iCs/>
          <w:lang w:val="en-AU"/>
        </w:rPr>
        <w:t>Christian Identity in the Jewish and Graeco-Roman World</w:t>
      </w:r>
      <w:r w:rsidRPr="0072758C">
        <w:rPr>
          <w:lang w:val="en-AU"/>
        </w:rPr>
        <w:t xml:space="preserve"> (Oxford: Oxford University Press, 2004); Daniel Boyarín, </w:t>
      </w:r>
      <w:r w:rsidRPr="0072758C">
        <w:rPr>
          <w:i/>
          <w:iCs/>
          <w:lang w:val="en-AU"/>
        </w:rPr>
        <w:t>Border Lines: The Partition of Judaeo-Christianity</w:t>
      </w:r>
      <w:r w:rsidRPr="0072758C">
        <w:rPr>
          <w:lang w:val="en-AU"/>
        </w:rPr>
        <w:t xml:space="preserve"> (Philadelphia: University of Pennsylvania Press, 2004); and Daniel Boyarin, </w:t>
      </w:r>
      <w:r w:rsidRPr="0072758C">
        <w:rPr>
          <w:i/>
          <w:iCs/>
          <w:lang w:val="en-AU"/>
        </w:rPr>
        <w:t xml:space="preserve">The Ways That Never Parted: Jews and Christians in Late Antiquity and the Early Middle Ages </w:t>
      </w:r>
      <w:r w:rsidRPr="0072758C">
        <w:rPr>
          <w:lang w:val="en-AU"/>
        </w:rPr>
        <w:t xml:space="preserve">(Minneapolis: Fortress Press, 2007). There is good scholarship showing that in the </w:t>
      </w:r>
      <w:r w:rsidRPr="0072758C">
        <w:rPr>
          <w:i/>
          <w:iCs/>
          <w:lang w:val="en-AU"/>
        </w:rPr>
        <w:t>Epistle of Barnabas</w:t>
      </w:r>
      <w:r w:rsidRPr="0072758C">
        <w:rPr>
          <w:lang w:val="en-AU"/>
        </w:rPr>
        <w:t>, anti-Jewish sentiment in the Christian community, known as supersessionism, was evident in Alexandria in 130 CE.  For more information on the historical implications of the rise of supersessionism, see</w:t>
      </w:r>
      <w:r w:rsidRPr="0072758C">
        <w:rPr>
          <w:i/>
          <w:iCs/>
          <w:lang w:val="en-AU"/>
        </w:rPr>
        <w:t>,</w:t>
      </w:r>
      <w:r w:rsidRPr="0072758C">
        <w:rPr>
          <w:lang w:val="en-AU"/>
        </w:rPr>
        <w:t xml:space="preserve"> R. Kendall Soulen, </w:t>
      </w:r>
      <w:r w:rsidRPr="0072758C">
        <w:rPr>
          <w:i/>
          <w:iCs/>
          <w:lang w:val="en-AU"/>
        </w:rPr>
        <w:t xml:space="preserve">The God of </w:t>
      </w:r>
      <w:proofErr w:type="gramStart"/>
      <w:r w:rsidRPr="0072758C">
        <w:rPr>
          <w:i/>
          <w:iCs/>
          <w:lang w:val="en-AU"/>
        </w:rPr>
        <w:t>Israel</w:t>
      </w:r>
      <w:proofErr w:type="gramEnd"/>
      <w:r w:rsidRPr="0072758C">
        <w:rPr>
          <w:i/>
          <w:iCs/>
          <w:lang w:val="en-AU"/>
        </w:rPr>
        <w:t xml:space="preserve"> and Christian Theology</w:t>
      </w:r>
      <w:r w:rsidRPr="0072758C">
        <w:rPr>
          <w:lang w:val="en-AU"/>
        </w:rPr>
        <w:t xml:space="preserve"> (Minneapolis: Fortress Press, 1996); Scott Bader-Saye, </w:t>
      </w:r>
      <w:r w:rsidRPr="0072758C">
        <w:rPr>
          <w:i/>
          <w:iCs/>
          <w:lang w:val="en-AU"/>
        </w:rPr>
        <w:t>Church and Israel after Christendom: The Politics of Election</w:t>
      </w:r>
      <w:r w:rsidRPr="0072758C">
        <w:rPr>
          <w:lang w:val="en-AU"/>
        </w:rPr>
        <w:t xml:space="preserve"> (Boulder: Westview Press, 1999); and Peter C. Phan, </w:t>
      </w:r>
      <w:r w:rsidRPr="0072758C">
        <w:rPr>
          <w:i/>
          <w:iCs/>
          <w:lang w:val="en-AU"/>
        </w:rPr>
        <w:t>Being Religious Interreligiously: Asian Perspectives on Interfaith Dialogue</w:t>
      </w:r>
      <w:r w:rsidRPr="0072758C">
        <w:rPr>
          <w:lang w:val="en-AU"/>
        </w:rPr>
        <w:t xml:space="preserve"> (Maryknoll: Orbis, 2004), 147–185. Marcel Simon, </w:t>
      </w:r>
      <w:r w:rsidRPr="0072758C">
        <w:rPr>
          <w:i/>
          <w:iCs/>
          <w:lang w:val="en-AU"/>
        </w:rPr>
        <w:t xml:space="preserve">A Study of the Relations between </w:t>
      </w:r>
      <w:proofErr w:type="gramStart"/>
      <w:r w:rsidRPr="0072758C">
        <w:rPr>
          <w:i/>
          <w:iCs/>
          <w:lang w:val="en-AU"/>
        </w:rPr>
        <w:t>Christians</w:t>
      </w:r>
      <w:proofErr w:type="gramEnd"/>
      <w:r w:rsidRPr="0072758C">
        <w:rPr>
          <w:i/>
          <w:iCs/>
          <w:lang w:val="en-AU"/>
        </w:rPr>
        <w:t xml:space="preserve"> and Jews in the Roman Empire</w:t>
      </w:r>
      <w:r w:rsidRPr="0072758C">
        <w:rPr>
          <w:lang w:val="en-AU"/>
        </w:rPr>
        <w:t xml:space="preserve"> (New York: Oxford University Press, 1986); Leon Poliakov, </w:t>
      </w:r>
      <w:r w:rsidRPr="0072758C">
        <w:rPr>
          <w:i/>
          <w:iCs/>
          <w:lang w:val="en-AU"/>
        </w:rPr>
        <w:t>The History of Anti-Semitism</w:t>
      </w:r>
      <w:r w:rsidRPr="0072758C">
        <w:rPr>
          <w:lang w:val="en-AU"/>
        </w:rPr>
        <w:t xml:space="preserve">, 4 vols. (New York: Vanguard Press, 1965‒1985); and Edwin H. Flannery, </w:t>
      </w:r>
      <w:r w:rsidRPr="0072758C">
        <w:rPr>
          <w:i/>
          <w:iCs/>
          <w:lang w:val="en-AU"/>
        </w:rPr>
        <w:t>The Anguish of the Jews: Twenty-three Centuries of Anti-Semitism</w:t>
      </w:r>
      <w:r w:rsidRPr="0072758C">
        <w:rPr>
          <w:lang w:val="en-AU"/>
        </w:rPr>
        <w:t xml:space="preserve"> (New York: Macmillan, 1965).</w:t>
      </w:r>
      <w:r w:rsidR="0038732E" w:rsidRPr="0072758C">
        <w:rPr>
          <w:lang w:val="en-AU"/>
        </w:rPr>
        <w:t xml:space="preserve"> For</w:t>
      </w:r>
      <w:r w:rsidR="00831DD0" w:rsidRPr="0072758C">
        <w:rPr>
          <w:lang w:val="en-AU"/>
        </w:rPr>
        <w:t xml:space="preserve"> a modern discourse on explaining that Paul in the Pauline writings was trying to replace Jews through </w:t>
      </w:r>
      <w:proofErr w:type="gramStart"/>
      <w:r w:rsidR="00831DD0" w:rsidRPr="0072758C">
        <w:rPr>
          <w:lang w:val="en-AU"/>
        </w:rPr>
        <w:t>supersessionism</w:t>
      </w:r>
      <w:proofErr w:type="gramEnd"/>
      <w:r w:rsidR="00831DD0" w:rsidRPr="0072758C">
        <w:rPr>
          <w:lang w:val="en-AU"/>
        </w:rPr>
        <w:t xml:space="preserve"> but it was a critique on moral monotheism see Timothy P. Jackson, </w:t>
      </w:r>
      <w:r w:rsidR="00831DD0" w:rsidRPr="0072758C">
        <w:rPr>
          <w:i/>
          <w:iCs/>
          <w:lang w:val="en-AU"/>
        </w:rPr>
        <w:t>Mordecai Would Not Bow Down: Anti-Semitism, the Holocaust and Christian Supersessionism</w:t>
      </w:r>
      <w:r w:rsidR="0094234B" w:rsidRPr="0072758C">
        <w:rPr>
          <w:lang w:val="en-AU"/>
        </w:rPr>
        <w:t xml:space="preserve"> (</w:t>
      </w:r>
      <w:r w:rsidR="00831DD0" w:rsidRPr="0072758C">
        <w:rPr>
          <w:lang w:val="en-AU"/>
        </w:rPr>
        <w:t>Oxford University Press: New York, 2021</w:t>
      </w:r>
      <w:r w:rsidR="0094234B" w:rsidRPr="0072758C">
        <w:rPr>
          <w:lang w:val="en-AU"/>
        </w:rPr>
        <w:t>)</w:t>
      </w:r>
      <w:r w:rsidR="00BE713C" w:rsidRPr="0072758C">
        <w:rPr>
          <w:lang w:val="en-AU"/>
        </w:rPr>
        <w:t>; Ann Conway-Jones, “The New Testament: Jewish or Gentile?” </w:t>
      </w:r>
      <w:r w:rsidR="00BE713C" w:rsidRPr="0072758C">
        <w:rPr>
          <w:i/>
          <w:iCs/>
          <w:lang w:val="en-AU"/>
        </w:rPr>
        <w:t>Expository Times</w:t>
      </w:r>
      <w:r w:rsidR="00BE713C" w:rsidRPr="0072758C">
        <w:rPr>
          <w:lang w:val="en-AU"/>
        </w:rPr>
        <w:t> 130</w:t>
      </w:r>
      <w:r w:rsidR="0089234E" w:rsidRPr="0072758C">
        <w:rPr>
          <w:lang w:val="en-AU"/>
        </w:rPr>
        <w:t xml:space="preserve"> </w:t>
      </w:r>
      <w:r w:rsidR="00BE713C" w:rsidRPr="0072758C">
        <w:rPr>
          <w:lang w:val="en-AU"/>
        </w:rPr>
        <w:t>(2019): 237–42.</w:t>
      </w:r>
    </w:p>
    <w:p w14:paraId="75660775" w14:textId="77777777" w:rsidR="00C17C75" w:rsidRPr="0072758C" w:rsidRDefault="00C17C75" w:rsidP="00BC7015">
      <w:pPr>
        <w:pStyle w:val="EndnoteText"/>
        <w:rPr>
          <w:lang w:val="en-AU"/>
        </w:rPr>
      </w:pPr>
    </w:p>
  </w:footnote>
  <w:footnote w:id="19">
    <w:p w14:paraId="47A58516" w14:textId="155F429E" w:rsidR="005B3EEA" w:rsidRPr="0072758C" w:rsidRDefault="00C17C75" w:rsidP="00BC7015">
      <w:pPr>
        <w:pStyle w:val="EndnoteText"/>
        <w:ind w:firstLine="720"/>
        <w:rPr>
          <w:lang w:val="en-AU"/>
        </w:rPr>
      </w:pPr>
      <w:r w:rsidRPr="0072758C">
        <w:rPr>
          <w:vertAlign w:val="superscript"/>
          <w:lang w:val="en-AU"/>
        </w:rPr>
        <w:footnoteRef/>
      </w:r>
      <w:r w:rsidRPr="0072758C">
        <w:rPr>
          <w:vertAlign w:val="superscript"/>
          <w:lang w:val="en-AU"/>
        </w:rPr>
        <w:t xml:space="preserve"> </w:t>
      </w:r>
      <w:r w:rsidRPr="0072758C">
        <w:rPr>
          <w:lang w:val="en-AU"/>
        </w:rPr>
        <w:t xml:space="preserve"> </w:t>
      </w:r>
      <w:r w:rsidR="00BD51B9" w:rsidRPr="0072758C">
        <w:rPr>
          <w:lang w:val="en-AU"/>
        </w:rPr>
        <w:t>For a discussion on the Jewish Jesus, see David Rudolph, “Introduction to Messianic Judaism</w:t>
      </w:r>
      <w:r w:rsidR="001E1B98" w:rsidRPr="0072758C">
        <w:rPr>
          <w:lang w:val="en-AU"/>
        </w:rPr>
        <w:t>,</w:t>
      </w:r>
      <w:r w:rsidR="00BD51B9" w:rsidRPr="0072758C">
        <w:rPr>
          <w:lang w:val="en-AU"/>
        </w:rPr>
        <w:t>” </w:t>
      </w:r>
      <w:r w:rsidR="00BD51B9" w:rsidRPr="0072758C">
        <w:rPr>
          <w:i/>
          <w:iCs/>
          <w:lang w:val="en-AU"/>
        </w:rPr>
        <w:t>Hebrew Studies</w:t>
      </w:r>
      <w:r w:rsidR="00BD51B9" w:rsidRPr="0072758C">
        <w:rPr>
          <w:lang w:val="en-AU"/>
        </w:rPr>
        <w:t xml:space="preserve"> 57 (2016): 355–58; </w:t>
      </w:r>
      <w:r w:rsidR="002100F6" w:rsidRPr="0072758C">
        <w:rPr>
          <w:lang w:val="en-AU"/>
        </w:rPr>
        <w:t>Kathy Ehrensperger, “Jesus Der Jude: Beobachtungen Zu Den Jüdisch-Christlichen Beziehungen in Der Gegenwärtigen Forschung</w:t>
      </w:r>
      <w:r w:rsidR="001E1B98" w:rsidRPr="0072758C">
        <w:rPr>
          <w:lang w:val="en-AU"/>
        </w:rPr>
        <w:t>,</w:t>
      </w:r>
      <w:r w:rsidR="002100F6" w:rsidRPr="0072758C">
        <w:rPr>
          <w:lang w:val="en-AU"/>
        </w:rPr>
        <w:t>” </w:t>
      </w:r>
      <w:r w:rsidR="002100F6" w:rsidRPr="0072758C">
        <w:rPr>
          <w:i/>
          <w:iCs/>
          <w:lang w:val="en-AU"/>
        </w:rPr>
        <w:t>Theologische Literaturzeitung</w:t>
      </w:r>
      <w:r w:rsidR="002100F6" w:rsidRPr="0072758C">
        <w:rPr>
          <w:lang w:val="en-AU"/>
        </w:rPr>
        <w:t xml:space="preserve"> 146 (2021): 21–36; </w:t>
      </w:r>
      <w:r w:rsidR="001F221E" w:rsidRPr="0072758C">
        <w:rPr>
          <w:lang w:val="en-AU"/>
        </w:rPr>
        <w:t xml:space="preserve">Juan Marcos Bejarano Gutierrez, </w:t>
      </w:r>
      <w:r w:rsidR="001F221E" w:rsidRPr="0072758C">
        <w:rPr>
          <w:i/>
          <w:iCs/>
          <w:lang w:val="en-AU"/>
        </w:rPr>
        <w:t>Forgotten Origins: The Lost Jewish History of Jesus and Early Christianity</w:t>
      </w:r>
      <w:r w:rsidR="001F221E" w:rsidRPr="0072758C">
        <w:rPr>
          <w:lang w:val="en-AU"/>
        </w:rPr>
        <w:t xml:space="preserve"> (Grand Prairie, TX: Yaron Publishing, 2017). </w:t>
      </w:r>
      <w:r w:rsidR="00C04226" w:rsidRPr="0072758C">
        <w:rPr>
          <w:lang w:val="en-AU"/>
        </w:rPr>
        <w:t xml:space="preserve">Eugene </w:t>
      </w:r>
      <w:r w:rsidR="002F5927" w:rsidRPr="0072758C">
        <w:rPr>
          <w:lang w:val="en-AU"/>
        </w:rPr>
        <w:t>Fisher, “Forgotten Origins: The Lost Jewish History of Jesus and Early Christianity</w:t>
      </w:r>
      <w:r w:rsidR="001E1B98" w:rsidRPr="0072758C">
        <w:rPr>
          <w:lang w:val="en-AU"/>
        </w:rPr>
        <w:t>,</w:t>
      </w:r>
      <w:r w:rsidR="002F5927" w:rsidRPr="0072758C">
        <w:rPr>
          <w:lang w:val="en-AU"/>
        </w:rPr>
        <w:t>” </w:t>
      </w:r>
      <w:r w:rsidR="002F5927" w:rsidRPr="0072758C">
        <w:rPr>
          <w:i/>
          <w:iCs/>
          <w:lang w:val="en-AU"/>
        </w:rPr>
        <w:t>J</w:t>
      </w:r>
      <w:r w:rsidR="001E1B98" w:rsidRPr="0072758C">
        <w:rPr>
          <w:i/>
          <w:iCs/>
          <w:lang w:val="en-AU"/>
        </w:rPr>
        <w:t xml:space="preserve">ournal of Ecumenical Studies </w:t>
      </w:r>
      <w:r w:rsidR="002F5927" w:rsidRPr="0072758C">
        <w:rPr>
          <w:lang w:val="en-AU"/>
        </w:rPr>
        <w:t>56</w:t>
      </w:r>
      <w:r w:rsidR="00890ACA" w:rsidRPr="0072758C">
        <w:rPr>
          <w:lang w:val="en-AU"/>
        </w:rPr>
        <w:t xml:space="preserve"> </w:t>
      </w:r>
      <w:r w:rsidR="002F5927" w:rsidRPr="0072758C">
        <w:rPr>
          <w:lang w:val="en-AU"/>
        </w:rPr>
        <w:t>(2021): 152–53</w:t>
      </w:r>
      <w:r w:rsidR="00C04226" w:rsidRPr="0072758C">
        <w:rPr>
          <w:lang w:val="en-AU"/>
        </w:rPr>
        <w:t>; Anthony Giambrone, “When Christians Were Jews: The First Generation,” </w:t>
      </w:r>
      <w:r w:rsidR="00C04226" w:rsidRPr="0072758C">
        <w:rPr>
          <w:i/>
          <w:iCs/>
          <w:lang w:val="en-AU"/>
        </w:rPr>
        <w:t>Nova et Vetera (English Edition)</w:t>
      </w:r>
      <w:r w:rsidR="00C04226" w:rsidRPr="0072758C">
        <w:rPr>
          <w:lang w:val="en-AU"/>
        </w:rPr>
        <w:t> 19 (2021): 303–9.</w:t>
      </w:r>
      <w:r w:rsidR="00D56C46" w:rsidRPr="0072758C">
        <w:rPr>
          <w:lang w:val="en-AU"/>
        </w:rPr>
        <w:t xml:space="preserve"> </w:t>
      </w:r>
      <w:r w:rsidR="001F221E" w:rsidRPr="0072758C">
        <w:rPr>
          <w:lang w:val="en-AU"/>
        </w:rPr>
        <w:t>For a discussion regarding who the teachings of Jesus addressed, s</w:t>
      </w:r>
      <w:r w:rsidRPr="0072758C">
        <w:rPr>
          <w:lang w:val="en-AU"/>
        </w:rPr>
        <w:t xml:space="preserve">ee K. W. Clarke, “The Gentile Bias </w:t>
      </w:r>
      <w:r w:rsidRPr="0072758C">
        <w:rPr>
          <w:rFonts w:eastAsiaTheme="majorEastAsia"/>
          <w:lang w:val="en-AU"/>
        </w:rPr>
        <w:t>in</w:t>
      </w:r>
      <w:r w:rsidRPr="0072758C">
        <w:rPr>
          <w:lang w:val="en-AU"/>
        </w:rPr>
        <w:t xml:space="preserve"> </w:t>
      </w:r>
      <w:r w:rsidRPr="0072758C">
        <w:rPr>
          <w:rFonts w:eastAsiaTheme="majorEastAsia"/>
          <w:lang w:val="en-AU"/>
        </w:rPr>
        <w:t>Matthew</w:t>
      </w:r>
      <w:r w:rsidRPr="0072758C">
        <w:rPr>
          <w:lang w:val="en-AU"/>
        </w:rPr>
        <w:t xml:space="preserve">,” </w:t>
      </w:r>
      <w:r w:rsidRPr="0072758C">
        <w:rPr>
          <w:i/>
          <w:iCs/>
          <w:lang w:val="en-AU"/>
        </w:rPr>
        <w:t xml:space="preserve">Journal of Biblical Literature </w:t>
      </w:r>
      <w:r w:rsidRPr="0072758C">
        <w:rPr>
          <w:lang w:val="en-AU"/>
        </w:rPr>
        <w:t xml:space="preserve">66 (1947): 165–72; Samuel Sandmel, </w:t>
      </w:r>
      <w:r w:rsidRPr="0072758C">
        <w:rPr>
          <w:i/>
          <w:iCs/>
          <w:lang w:val="en-AU"/>
        </w:rPr>
        <w:t>A Jewish Understanding of the New Testament</w:t>
      </w:r>
      <w:r w:rsidRPr="0072758C">
        <w:rPr>
          <w:lang w:val="en-AU"/>
        </w:rPr>
        <w:t xml:space="preserve"> (Cincinnati: Hebrew Union College Press, 1956); Georg Strecker, </w:t>
      </w:r>
      <w:r w:rsidRPr="0072758C">
        <w:rPr>
          <w:i/>
          <w:iCs/>
          <w:lang w:val="en-AU"/>
        </w:rPr>
        <w:t>Der Weg der Gerechtigkeit: Untersuchung zur Theologie des Matthäus</w:t>
      </w:r>
      <w:r w:rsidRPr="0072758C">
        <w:rPr>
          <w:lang w:val="en-AU"/>
        </w:rPr>
        <w:t xml:space="preserve"> (</w:t>
      </w:r>
      <w:r w:rsidRPr="0072758C">
        <w:rPr>
          <w:i/>
          <w:iCs/>
          <w:lang w:val="en-AU"/>
        </w:rPr>
        <w:t>Göttingen: Vandenhoeck &amp; Ruprecht,</w:t>
      </w:r>
      <w:r w:rsidRPr="0072758C">
        <w:rPr>
          <w:lang w:val="en-AU"/>
        </w:rPr>
        <w:t xml:space="preserve"> 1971); Sjef van Tilborg, </w:t>
      </w:r>
      <w:r w:rsidRPr="0072758C">
        <w:rPr>
          <w:i/>
          <w:iCs/>
          <w:lang w:val="en-AU"/>
        </w:rPr>
        <w:t xml:space="preserve">The Jewish Leaders </w:t>
      </w:r>
      <w:r w:rsidRPr="0072758C">
        <w:rPr>
          <w:rFonts w:eastAsiaTheme="majorEastAsia"/>
          <w:i/>
          <w:iCs/>
          <w:lang w:val="en-AU"/>
        </w:rPr>
        <w:t>in</w:t>
      </w:r>
      <w:r w:rsidRPr="0072758C">
        <w:rPr>
          <w:i/>
          <w:iCs/>
          <w:lang w:val="en-AU"/>
        </w:rPr>
        <w:t xml:space="preserve"> </w:t>
      </w:r>
      <w:r w:rsidRPr="0072758C">
        <w:rPr>
          <w:rFonts w:eastAsiaTheme="majorEastAsia"/>
          <w:i/>
          <w:iCs/>
          <w:lang w:val="en-AU"/>
        </w:rPr>
        <w:t>Matthew</w:t>
      </w:r>
      <w:r w:rsidRPr="0072758C">
        <w:rPr>
          <w:lang w:val="en-AU"/>
        </w:rPr>
        <w:t xml:space="preserve"> (Leiden: Brill, 1972); John P. Meier, </w:t>
      </w:r>
      <w:r w:rsidRPr="0072758C">
        <w:rPr>
          <w:i/>
          <w:iCs/>
          <w:lang w:val="en-AU"/>
        </w:rPr>
        <w:t>The Vision of </w:t>
      </w:r>
      <w:r w:rsidRPr="0072758C">
        <w:rPr>
          <w:rFonts w:eastAsiaTheme="majorEastAsia"/>
          <w:i/>
          <w:iCs/>
          <w:lang w:val="en-AU"/>
        </w:rPr>
        <w:t>Matthew</w:t>
      </w:r>
      <w:r w:rsidRPr="0072758C">
        <w:rPr>
          <w:i/>
          <w:iCs/>
          <w:lang w:val="en-AU"/>
        </w:rPr>
        <w:t xml:space="preserve">: Christ, Church, and Morality </w:t>
      </w:r>
      <w:r w:rsidRPr="0072758C">
        <w:rPr>
          <w:rFonts w:eastAsiaTheme="majorEastAsia"/>
          <w:i/>
          <w:iCs/>
          <w:lang w:val="en-AU"/>
        </w:rPr>
        <w:t>in</w:t>
      </w:r>
      <w:r w:rsidRPr="0072758C">
        <w:rPr>
          <w:i/>
          <w:iCs/>
          <w:lang w:val="en-AU"/>
        </w:rPr>
        <w:t xml:space="preserve"> the First Gospel</w:t>
      </w:r>
      <w:r w:rsidRPr="0072758C">
        <w:rPr>
          <w:lang w:val="en-AU"/>
        </w:rPr>
        <w:t xml:space="preserve"> (New York: Paulist, 1979).</w:t>
      </w:r>
      <w:r w:rsidR="00935AC9" w:rsidRPr="0072758C">
        <w:rPr>
          <w:lang w:val="en-AU"/>
        </w:rPr>
        <w:t xml:space="preserve"> It is worth noting that John Martens suggests that Matthew often follows Mishnaic writings as a Jewish style, such as Matthew 19:3 when it seems probable that the Pharisees are seeking to see which side of current debates on divorce Jesus falls, as formulated in Mishnah Gittin 9:10 (Mishnah Gittin 9:10 is not compared in this dissertation</w:t>
      </w:r>
      <w:r w:rsidR="00AF7071" w:rsidRPr="0072758C">
        <w:rPr>
          <w:lang w:val="en-AU"/>
        </w:rPr>
        <w:t>)</w:t>
      </w:r>
      <w:r w:rsidR="00935AC9" w:rsidRPr="0072758C">
        <w:rPr>
          <w:lang w:val="en-AU"/>
        </w:rPr>
        <w:t>.</w:t>
      </w:r>
      <w:r w:rsidR="00AF7071" w:rsidRPr="0072758C">
        <w:rPr>
          <w:lang w:val="en-AU"/>
        </w:rPr>
        <w:t xml:space="preserve">  </w:t>
      </w:r>
      <w:r w:rsidR="005B3EEA" w:rsidRPr="0072758C">
        <w:rPr>
          <w:lang w:val="en-AU"/>
        </w:rPr>
        <w:t>For more discussion on the Jewish Apocalyptic read</w:t>
      </w:r>
      <w:r w:rsidR="004A2ADB" w:rsidRPr="0072758C">
        <w:rPr>
          <w:lang w:val="en-AU"/>
        </w:rPr>
        <w:t xml:space="preserve"> </w:t>
      </w:r>
      <w:r w:rsidR="005B3EEA" w:rsidRPr="0072758C">
        <w:rPr>
          <w:lang w:val="en-AU"/>
        </w:rPr>
        <w:t>on Jesus, s</w:t>
      </w:r>
      <w:r w:rsidR="00AF7071" w:rsidRPr="0072758C">
        <w:rPr>
          <w:lang w:val="en-AU"/>
        </w:rPr>
        <w:t xml:space="preserve">ee John W </w:t>
      </w:r>
      <w:r w:rsidR="00935AC9" w:rsidRPr="0072758C">
        <w:rPr>
          <w:lang w:val="en-AU"/>
        </w:rPr>
        <w:t>Martens, “‘But from the Beginning It Was Not so’: The Jewish Apocalyptic Context of Jesus’s Teaching on Marriage, Divorce, and Remarriage,” </w:t>
      </w:r>
      <w:r w:rsidR="00935AC9" w:rsidRPr="0072758C">
        <w:rPr>
          <w:i/>
          <w:iCs/>
          <w:lang w:val="en-AU"/>
        </w:rPr>
        <w:t>Journal of Moral Theology</w:t>
      </w:r>
      <w:r w:rsidR="00935AC9" w:rsidRPr="0072758C">
        <w:rPr>
          <w:lang w:val="en-AU"/>
        </w:rPr>
        <w:t> 10</w:t>
      </w:r>
      <w:r w:rsidR="0089234E" w:rsidRPr="0072758C">
        <w:rPr>
          <w:lang w:val="en-AU"/>
        </w:rPr>
        <w:t xml:space="preserve"> </w:t>
      </w:r>
      <w:r w:rsidR="00935AC9" w:rsidRPr="0072758C">
        <w:rPr>
          <w:lang w:val="en-AU"/>
        </w:rPr>
        <w:t>(2021): 5–33</w:t>
      </w:r>
      <w:r w:rsidR="005B3EEA" w:rsidRPr="0072758C">
        <w:rPr>
          <w:lang w:val="en-AU"/>
        </w:rPr>
        <w:t>.  For an understanding of the Jewish Ritual and Jesus, see Matthew Thiessen, “Jesus and Ritual Impurity,” </w:t>
      </w:r>
      <w:r w:rsidR="005B3EEA" w:rsidRPr="0072758C">
        <w:rPr>
          <w:i/>
          <w:iCs/>
          <w:lang w:val="en-AU"/>
        </w:rPr>
        <w:t>Biblical Archaeology Review</w:t>
      </w:r>
      <w:r w:rsidR="005B3EEA" w:rsidRPr="0072758C">
        <w:rPr>
          <w:lang w:val="en-AU"/>
        </w:rPr>
        <w:t> 47 (2021): 66–68.</w:t>
      </w:r>
    </w:p>
    <w:p w14:paraId="7BBAC907" w14:textId="47BEFA98" w:rsidR="005B3EEA" w:rsidRPr="0072758C" w:rsidRDefault="005B3EEA" w:rsidP="00BC7015">
      <w:pPr>
        <w:pStyle w:val="EndnoteText"/>
        <w:rPr>
          <w:lang w:val="en-AU"/>
        </w:rPr>
      </w:pPr>
    </w:p>
    <w:p w14:paraId="3D86F1F5" w14:textId="77777777" w:rsidR="005B3EEA" w:rsidRPr="0072758C" w:rsidRDefault="005B3EEA" w:rsidP="00BC7015">
      <w:pPr>
        <w:pStyle w:val="EndnoteText"/>
        <w:rPr>
          <w:lang w:val="en-AU"/>
        </w:rPr>
      </w:pPr>
    </w:p>
    <w:p w14:paraId="16CBBD24" w14:textId="77777777" w:rsidR="00935AC9" w:rsidRPr="0072758C" w:rsidRDefault="00935AC9" w:rsidP="00BC7015">
      <w:pPr>
        <w:pStyle w:val="EndnoteText"/>
        <w:rPr>
          <w:lang w:val="en-AU"/>
        </w:rPr>
      </w:pPr>
    </w:p>
    <w:p w14:paraId="1F1307EB" w14:textId="77777777" w:rsidR="00935AC9" w:rsidRPr="0072758C" w:rsidRDefault="00935AC9" w:rsidP="00BC7015">
      <w:pPr>
        <w:pStyle w:val="EndnoteText"/>
        <w:rPr>
          <w:shd w:val="clear" w:color="auto" w:fill="F5F5F5"/>
          <w:lang w:val="en-AU"/>
        </w:rPr>
      </w:pPr>
    </w:p>
    <w:p w14:paraId="32EA4437" w14:textId="77777777" w:rsidR="00C17C75" w:rsidRPr="0072758C" w:rsidRDefault="00C17C75" w:rsidP="00BC7015">
      <w:pPr>
        <w:pStyle w:val="EndnoteText"/>
        <w:rPr>
          <w:lang w:val="en-AU"/>
        </w:rPr>
      </w:pPr>
    </w:p>
  </w:footnote>
  <w:footnote w:id="20">
    <w:p w14:paraId="3DE1EEE3" w14:textId="013CE80D" w:rsidR="005A073E" w:rsidRPr="0072758C" w:rsidRDefault="005A073E" w:rsidP="005E6FAC">
      <w:pPr>
        <w:pStyle w:val="EndnoteText"/>
        <w:ind w:firstLine="720"/>
        <w:rPr>
          <w:lang w:val="en-AU"/>
        </w:rPr>
      </w:pPr>
      <w:r w:rsidRPr="0072758C">
        <w:rPr>
          <w:rStyle w:val="FootnoteReference"/>
          <w:lang w:val="en-AU"/>
        </w:rPr>
        <w:footnoteRef/>
      </w:r>
      <w:r w:rsidRPr="0072758C">
        <w:rPr>
          <w:lang w:val="en-AU"/>
        </w:rPr>
        <w:t xml:space="preserve"> In the </w:t>
      </w:r>
      <w:r w:rsidRPr="0072758C">
        <w:rPr>
          <w:i/>
          <w:iCs/>
          <w:lang w:val="en-AU"/>
        </w:rPr>
        <w:t>Tanakh</w:t>
      </w:r>
      <w:r w:rsidRPr="0072758C">
        <w:rPr>
          <w:lang w:val="en-AU"/>
        </w:rPr>
        <w:t xml:space="preserve">, there are examples of Yahweh as the God of War and stories of divine war.  One example is found in Exodus 4:24–26 in which immediately after commissioning Moses as his emissary to Egypt, Yahweh tries to kill him. Another story is when Nadab and Abihu (Lev 10) are killed to the hands of an angry Yahweh.  In the story of King David in 2 Samuel 24, Yahweh sends that kills 70,000 Israelites.  These stories do not form an ethos of war or a war ethic even though they are examples of war and killing attributed to Yahweh as a command toward for Israelites. </w:t>
      </w:r>
      <w:r w:rsidR="000C05FE" w:rsidRPr="0072758C">
        <w:rPr>
          <w:lang w:val="en-AU"/>
        </w:rPr>
        <w:t xml:space="preserve">Yahweh is depicted as having honour to </w:t>
      </w:r>
      <w:r w:rsidR="00432855" w:rsidRPr="0072758C">
        <w:rPr>
          <w:lang w:val="en-AU"/>
        </w:rPr>
        <w:t>defend</w:t>
      </w:r>
      <w:r w:rsidR="000C05FE" w:rsidRPr="0072758C">
        <w:rPr>
          <w:lang w:val="en-AU"/>
        </w:rPr>
        <w:t>, see David A Glatt-Gilad, “Yahweh’s Honor at Stake: A Divine Conundrum,” </w:t>
      </w:r>
      <w:r w:rsidR="000C05FE" w:rsidRPr="0072758C">
        <w:rPr>
          <w:i/>
          <w:iCs/>
          <w:lang w:val="en-AU"/>
        </w:rPr>
        <w:t>Journal for the Study of the Old Testament</w:t>
      </w:r>
      <w:r w:rsidR="000C05FE" w:rsidRPr="0072758C">
        <w:rPr>
          <w:lang w:val="en-AU"/>
        </w:rPr>
        <w:t xml:space="preserve"> 26 (2002): 63. </w:t>
      </w:r>
      <w:r w:rsidRPr="0072758C">
        <w:rPr>
          <w:lang w:val="en-AU"/>
        </w:rPr>
        <w:t>For more scholarship surrounding the concept of a Jewish War ethic and the ethics of war from a Jewish perspective, see</w:t>
      </w:r>
      <w:r w:rsidRPr="0072758C">
        <w:rPr>
          <w:i/>
          <w:iCs/>
          <w:lang w:val="en-AU"/>
        </w:rPr>
        <w:t xml:space="preserve"> </w:t>
      </w:r>
      <w:r w:rsidR="00A30EA5" w:rsidRPr="0072758C">
        <w:rPr>
          <w:lang w:val="en-AU"/>
        </w:rPr>
        <w:t xml:space="preserve">Doniwen Pietersen, </w:t>
      </w:r>
      <w:r w:rsidR="00A30EA5" w:rsidRPr="0072758C">
        <w:rPr>
          <w:i/>
          <w:iCs/>
          <w:lang w:val="en-AU"/>
        </w:rPr>
        <w:t>“</w:t>
      </w:r>
      <w:r w:rsidR="00A30EA5" w:rsidRPr="0072758C">
        <w:rPr>
          <w:lang w:val="en-AU"/>
        </w:rPr>
        <w:t>Yahwistic Incongruency and Enigma: A Challenge to Relinquish Violence</w:t>
      </w:r>
      <w:r w:rsidR="00A30EA5" w:rsidRPr="0072758C">
        <w:rPr>
          <w:i/>
          <w:iCs/>
          <w:lang w:val="en-AU"/>
        </w:rPr>
        <w:t>?” Hervormde Teologiese Studies </w:t>
      </w:r>
      <w:r w:rsidR="00A30EA5" w:rsidRPr="0072758C">
        <w:rPr>
          <w:lang w:val="en-AU"/>
        </w:rPr>
        <w:t xml:space="preserve">77 (2021): 1–6; </w:t>
      </w:r>
      <w:r w:rsidR="000C05FE" w:rsidRPr="0072758C">
        <w:rPr>
          <w:lang w:val="en-AU"/>
        </w:rPr>
        <w:t>Paul Copan, “Yahweh Wars and the Canaanites: Divinely Mandates Genocide or Corporate Capital Punishment? Responses to Critics.” </w:t>
      </w:r>
      <w:r w:rsidR="000C05FE" w:rsidRPr="0072758C">
        <w:rPr>
          <w:i/>
          <w:iCs/>
          <w:lang w:val="en-AU"/>
        </w:rPr>
        <w:t>Philosophia Christi </w:t>
      </w:r>
      <w:r w:rsidR="000C05FE" w:rsidRPr="0072758C">
        <w:rPr>
          <w:lang w:val="en-AU"/>
        </w:rPr>
        <w:t xml:space="preserve">11 (2009): 73–90; </w:t>
      </w:r>
      <w:r w:rsidRPr="0072758C">
        <w:rPr>
          <w:lang w:val="en-AU"/>
        </w:rPr>
        <w:t xml:space="preserve">Lawrence Schiffman and Wolowoleski, Joel, eds., </w:t>
      </w:r>
      <w:r w:rsidRPr="0072758C">
        <w:rPr>
          <w:i/>
          <w:iCs/>
          <w:lang w:val="en-AU"/>
        </w:rPr>
        <w:t>War and Peace in Jewish Tradition</w:t>
      </w:r>
      <w:r w:rsidRPr="0072758C">
        <w:rPr>
          <w:lang w:val="en-AU"/>
        </w:rPr>
        <w:t xml:space="preserve"> (New York: Yeshiva University Press/Ktav, 2007); Max Schulmann, </w:t>
      </w:r>
      <w:r w:rsidRPr="0072758C">
        <w:rPr>
          <w:i/>
          <w:iCs/>
          <w:lang w:val="en-AU"/>
        </w:rPr>
        <w:t>Wehrgedanke im Staatszionismus</w:t>
      </w:r>
      <w:r w:rsidRPr="0072758C">
        <w:rPr>
          <w:lang w:val="en-AU"/>
        </w:rPr>
        <w:t xml:space="preserve"> (Berlin: Max Schulmann, 1934); Eliezer Shenvald, </w:t>
      </w:r>
      <w:r w:rsidRPr="0072758C">
        <w:rPr>
          <w:i/>
          <w:iCs/>
          <w:lang w:val="en-AU"/>
        </w:rPr>
        <w:t>Sefer Harel: Tsvaiyut Israelit BeAspaklaria Toranit</w:t>
      </w:r>
      <w:r w:rsidRPr="0072758C">
        <w:rPr>
          <w:lang w:val="en-AU"/>
        </w:rPr>
        <w:t xml:space="preserve"> (Hispin: Yeshivat HaGolan, 2000); Rudolph Smend, </w:t>
      </w:r>
      <w:r w:rsidRPr="0072758C">
        <w:rPr>
          <w:i/>
          <w:iCs/>
          <w:lang w:val="en-AU"/>
        </w:rPr>
        <w:t>Jahwekrieg und Stämmebund</w:t>
      </w:r>
      <w:r w:rsidR="00E35B5C" w:rsidRPr="0072758C">
        <w:rPr>
          <w:i/>
          <w:iCs/>
          <w:lang w:val="en-AU"/>
        </w:rPr>
        <w:t>:</w:t>
      </w:r>
      <w:r w:rsidRPr="0072758C">
        <w:rPr>
          <w:i/>
          <w:iCs/>
          <w:lang w:val="en-AU"/>
        </w:rPr>
        <w:t xml:space="preserve"> Erwägungen zur ältesten Geschichte Israels</w:t>
      </w:r>
      <w:r w:rsidRPr="0072758C">
        <w:rPr>
          <w:lang w:val="en-AU"/>
        </w:rPr>
        <w:t xml:space="preserve"> (Göttingen</w:t>
      </w:r>
      <w:r w:rsidR="00E35B5C" w:rsidRPr="0072758C">
        <w:rPr>
          <w:lang w:val="en-AU"/>
        </w:rPr>
        <w:t>:</w:t>
      </w:r>
      <w:r w:rsidRPr="0072758C">
        <w:rPr>
          <w:lang w:val="en-AU"/>
        </w:rPr>
        <w:t xml:space="preserve"> Vandenhoeck &amp; Ruprecht,1963); Pinhas Smith, </w:t>
      </w:r>
      <w:r w:rsidRPr="0072758C">
        <w:rPr>
          <w:i/>
          <w:iCs/>
          <w:lang w:val="en-AU"/>
        </w:rPr>
        <w:t>Sefer Briti Shalom</w:t>
      </w:r>
      <w:r w:rsidRPr="0072758C">
        <w:rPr>
          <w:lang w:val="en-AU"/>
        </w:rPr>
        <w:t xml:space="preserve"> (Lakewood: Mechon Sofrim, 2013); Heath A Thomas, Jeremy Evans, and Paul Copan, </w:t>
      </w:r>
      <w:r w:rsidRPr="0072758C">
        <w:rPr>
          <w:i/>
          <w:iCs/>
          <w:lang w:val="en-AU"/>
        </w:rPr>
        <w:t>Holy War in the Bible: Christian Morality and an Old Testament Problem</w:t>
      </w:r>
      <w:r w:rsidRPr="0072758C">
        <w:rPr>
          <w:lang w:val="en-AU"/>
        </w:rPr>
        <w:t xml:space="preserve"> (Downers Grove: InterVarsity Press, 2013); </w:t>
      </w:r>
      <w:r w:rsidR="00432855" w:rsidRPr="0072758C">
        <w:rPr>
          <w:lang w:val="en-AU"/>
        </w:rPr>
        <w:t xml:space="preserve">Cat Quine, “Military Coups in Ancient Israel and Their Implications for Conceptions of YHWH’s Divine Army,” </w:t>
      </w:r>
      <w:r w:rsidR="00432855" w:rsidRPr="0072758C">
        <w:rPr>
          <w:i/>
          <w:iCs/>
          <w:lang w:val="en-AU"/>
        </w:rPr>
        <w:t>Scandinavian Journal of the Old Testament</w:t>
      </w:r>
      <w:r w:rsidR="00432855" w:rsidRPr="0072758C">
        <w:rPr>
          <w:lang w:val="en-AU"/>
        </w:rPr>
        <w:t xml:space="preserve"> 34 (2020): 30–42. </w:t>
      </w:r>
      <w:r w:rsidRPr="0072758C">
        <w:rPr>
          <w:lang w:val="en-AU"/>
        </w:rPr>
        <w:t>For scholarship about the biblical law for Jewish war when a city is surrounded in war, see</w:t>
      </w:r>
      <w:r w:rsidRPr="0072758C">
        <w:rPr>
          <w:i/>
          <w:iCs/>
          <w:lang w:val="en-AU"/>
        </w:rPr>
        <w:t xml:space="preserve"> </w:t>
      </w:r>
      <w:r w:rsidRPr="0072758C">
        <w:rPr>
          <w:lang w:val="en-AU"/>
        </w:rPr>
        <w:t xml:space="preserve">Elisha Wislitsky et. al, eds., </w:t>
      </w:r>
      <w:r w:rsidRPr="0072758C">
        <w:rPr>
          <w:i/>
          <w:iCs/>
          <w:lang w:val="en-AU"/>
        </w:rPr>
        <w:t>Sugyat HaKriah LeShalom BaMilhama</w:t>
      </w:r>
      <w:r w:rsidRPr="0072758C">
        <w:rPr>
          <w:lang w:val="en-AU"/>
        </w:rPr>
        <w:t xml:space="preserve"> (Jerusalem: Merhavim, 1993).  </w:t>
      </w:r>
    </w:p>
    <w:p w14:paraId="1F965BE0" w14:textId="77777777" w:rsidR="005A073E" w:rsidRPr="0072758C" w:rsidRDefault="005A073E" w:rsidP="00BC7015">
      <w:pPr>
        <w:pStyle w:val="EndnoteText"/>
        <w:rPr>
          <w:lang w:val="en-AU"/>
        </w:rPr>
      </w:pPr>
    </w:p>
  </w:footnote>
  <w:footnote w:id="21">
    <w:p w14:paraId="664F58F2" w14:textId="7DF78F00" w:rsidR="005A073E" w:rsidRPr="0072758C" w:rsidRDefault="005A073E" w:rsidP="00276F6A">
      <w:pPr>
        <w:pStyle w:val="EndnoteText"/>
        <w:ind w:firstLine="720"/>
        <w:rPr>
          <w:lang w:val="en-AU"/>
        </w:rPr>
      </w:pPr>
      <w:r w:rsidRPr="0072758C">
        <w:rPr>
          <w:rStyle w:val="FootnoteReference"/>
          <w:lang w:val="en-AU"/>
        </w:rPr>
        <w:footnoteRef/>
      </w:r>
      <w:r w:rsidRPr="0072758C">
        <w:rPr>
          <w:lang w:val="en-AU"/>
        </w:rPr>
        <w:t xml:space="preserve"> </w:t>
      </w:r>
      <w:r w:rsidR="00FB077A" w:rsidRPr="0072758C">
        <w:rPr>
          <w:lang w:val="en-AU"/>
        </w:rPr>
        <w:t>The Tanakh</w:t>
      </w:r>
      <w:r w:rsidR="000D7DA8" w:rsidRPr="0072758C">
        <w:rPr>
          <w:lang w:val="en-AU"/>
        </w:rPr>
        <w:t xml:space="preserve"> </w:t>
      </w:r>
      <w:r w:rsidR="00FB077A" w:rsidRPr="0072758C">
        <w:rPr>
          <w:lang w:val="en-AU"/>
        </w:rPr>
        <w:t>is an anacronym f</w:t>
      </w:r>
      <w:r w:rsidR="00276F6A">
        <w:rPr>
          <w:lang w:val="en-AU"/>
        </w:rPr>
        <w:t xml:space="preserve">or the Torah, </w:t>
      </w:r>
      <w:r w:rsidR="00276F6A" w:rsidRPr="00276F6A">
        <w:t>the Nevi'im</w:t>
      </w:r>
      <w:r w:rsidR="00276F6A">
        <w:t xml:space="preserve"> (Prophets)</w:t>
      </w:r>
      <w:r w:rsidR="00276F6A" w:rsidRPr="00276F6A">
        <w:t>, and the Ketuvim</w:t>
      </w:r>
      <w:r w:rsidR="00276F6A">
        <w:t xml:space="preserve"> (Writings). </w:t>
      </w:r>
      <w:r w:rsidRPr="0072758C">
        <w:rPr>
          <w:lang w:val="en-AU"/>
        </w:rPr>
        <w:t>For more information on the Ancient Israelites weapons and the trade of weapons as part of a war organization see</w:t>
      </w:r>
      <w:r w:rsidRPr="0072758C">
        <w:rPr>
          <w:i/>
          <w:iCs/>
          <w:lang w:val="en-AU"/>
        </w:rPr>
        <w:t xml:space="preserve"> </w:t>
      </w:r>
      <w:r w:rsidRPr="0072758C">
        <w:rPr>
          <w:lang w:val="en-AU"/>
        </w:rPr>
        <w:t>Boyd Seevers,</w:t>
      </w:r>
      <w:r w:rsidRPr="0072758C">
        <w:rPr>
          <w:i/>
          <w:iCs/>
          <w:lang w:val="en-AU"/>
        </w:rPr>
        <w:t xml:space="preserve"> Warfare in the Old Testament: The Organization, Weapons, and Tactics of Ancient Near Eastern Armies </w:t>
      </w:r>
      <w:r w:rsidRPr="0072758C">
        <w:rPr>
          <w:lang w:val="en-AU"/>
        </w:rPr>
        <w:t>(Grand Rapids: Kregel, 2013).</w:t>
      </w:r>
    </w:p>
    <w:p w14:paraId="0D141B14" w14:textId="77777777" w:rsidR="005A073E" w:rsidRPr="0072758C" w:rsidRDefault="005A073E" w:rsidP="00BC7015">
      <w:pPr>
        <w:pStyle w:val="EndnoteText"/>
        <w:rPr>
          <w:lang w:val="en-AU"/>
        </w:rPr>
      </w:pPr>
    </w:p>
  </w:footnote>
  <w:footnote w:id="22">
    <w:p w14:paraId="3A257AC7" w14:textId="17C99D78" w:rsidR="005A073E" w:rsidRPr="0072758C" w:rsidRDefault="005A073E" w:rsidP="00BC7015">
      <w:pPr>
        <w:pStyle w:val="EndnoteText"/>
        <w:ind w:firstLine="720"/>
        <w:rPr>
          <w:lang w:val="en-AU"/>
        </w:rPr>
      </w:pPr>
      <w:r w:rsidRPr="0072758C">
        <w:rPr>
          <w:rStyle w:val="FootnoteReference"/>
          <w:lang w:val="en-AU"/>
        </w:rPr>
        <w:footnoteRef/>
      </w:r>
      <w:r w:rsidRPr="0072758C">
        <w:rPr>
          <w:lang w:val="en-AU"/>
        </w:rPr>
        <w:t xml:space="preserve"> </w:t>
      </w:r>
      <w:r w:rsidR="00966CE0" w:rsidRPr="0072758C">
        <w:rPr>
          <w:lang w:val="en-AU"/>
        </w:rPr>
        <w:t xml:space="preserve">“Within biblical Judaism, there is no established ethic of warfare, as the Jewish texts advocate </w:t>
      </w:r>
      <w:r w:rsidR="000D7DA8" w:rsidRPr="0072758C">
        <w:rPr>
          <w:lang w:val="en-AU"/>
        </w:rPr>
        <w:t>self-preservation</w:t>
      </w:r>
      <w:r w:rsidR="00966CE0" w:rsidRPr="0072758C">
        <w:rPr>
          <w:lang w:val="en-AU"/>
        </w:rPr>
        <w:t xml:space="preserve">, for both the Israelites of the northern kingdom and the Judahites of the southern kingdom” Roger Ewald Lang, Jr., “Those Who Heard it First: The Political Implications of the Sermon on the Mount to Jesus’ Jewish Audience,” (M.A., University of Waikato, Hamilton, New Zealand, 2013);  https://researchcommons.waikato.ac.nz/bitstream/handle/10289/8465/thesis.pdf?sequence=3&amp;isAllowed=y; cf. Michael Waltzer, “War and Peace in the Jewish Tradition,” in </w:t>
      </w:r>
      <w:r w:rsidR="00966CE0" w:rsidRPr="0072758C">
        <w:rPr>
          <w:i/>
          <w:iCs/>
          <w:lang w:val="en-AU"/>
        </w:rPr>
        <w:t xml:space="preserve">The Ethics of War and Peace, </w:t>
      </w:r>
      <w:r w:rsidR="00966CE0" w:rsidRPr="0072758C">
        <w:rPr>
          <w:lang w:val="en-AU"/>
        </w:rPr>
        <w:t xml:space="preserve">ed. Terry Nardin, (Princeton, NJ: Princeton University Press, 1996), 96.  </w:t>
      </w:r>
      <w:r w:rsidRPr="0072758C">
        <w:rPr>
          <w:lang w:val="en-AU"/>
        </w:rPr>
        <w:t xml:space="preserve">The methods of warfare within the Biblical story are adapted from external styles and techniques of warfare from the surrounding countries; see John C. L. Gibson, </w:t>
      </w:r>
      <w:r w:rsidRPr="0072758C">
        <w:rPr>
          <w:i/>
          <w:iCs/>
          <w:lang w:val="en-AU"/>
        </w:rPr>
        <w:t xml:space="preserve">Aramaic Inscriptions, Including Inscriptions in the Dialect of Zenjirli, </w:t>
      </w:r>
      <w:r w:rsidRPr="0072758C">
        <w:rPr>
          <w:lang w:val="en-AU"/>
        </w:rPr>
        <w:t>Vol. 2 of Textbook of Syrian Semitic Inscriptions (Oxford: Clarendon, 1975), 8–9.</w:t>
      </w:r>
    </w:p>
    <w:p w14:paraId="4AE40673" w14:textId="77777777" w:rsidR="005A073E" w:rsidRPr="0072758C" w:rsidRDefault="005A073E" w:rsidP="00BC7015">
      <w:pPr>
        <w:pStyle w:val="EndnoteText"/>
        <w:rPr>
          <w:lang w:val="en-AU"/>
        </w:rPr>
      </w:pPr>
    </w:p>
  </w:footnote>
  <w:footnote w:id="23">
    <w:p w14:paraId="0D4F2965" w14:textId="5553DAEC" w:rsidR="0058190D" w:rsidRPr="0072758C" w:rsidRDefault="005A073E" w:rsidP="00BC7015">
      <w:pPr>
        <w:pStyle w:val="EndnoteText"/>
        <w:ind w:firstLine="720"/>
        <w:rPr>
          <w:lang w:val="en-AU"/>
        </w:rPr>
      </w:pPr>
      <w:r w:rsidRPr="0072758C">
        <w:rPr>
          <w:rStyle w:val="FootnoteReference"/>
          <w:lang w:val="en-AU"/>
        </w:rPr>
        <w:footnoteRef/>
      </w:r>
      <w:r w:rsidRPr="0072758C">
        <w:rPr>
          <w:lang w:val="en-AU"/>
        </w:rPr>
        <w:t xml:space="preserve"> For more discussion on the stranger and the roles in Jewish war please see</w:t>
      </w:r>
      <w:r w:rsidRPr="0072758C">
        <w:rPr>
          <w:i/>
          <w:iCs/>
          <w:lang w:val="en-AU"/>
        </w:rPr>
        <w:t xml:space="preserve"> </w:t>
      </w:r>
      <w:r w:rsidRPr="0072758C">
        <w:rPr>
          <w:lang w:val="en-AU"/>
        </w:rPr>
        <w:t xml:space="preserve">Brad Kelle, </w:t>
      </w:r>
      <w:r w:rsidRPr="0072758C">
        <w:rPr>
          <w:i/>
          <w:iCs/>
          <w:lang w:val="en-AU"/>
        </w:rPr>
        <w:t>Osprey Guide to Ancient Israel at War 853–586 BC</w:t>
      </w:r>
      <w:r w:rsidRPr="0072758C">
        <w:rPr>
          <w:lang w:val="en-AU"/>
        </w:rPr>
        <w:t xml:space="preserve"> (Oxford: Osprey, 2014)</w:t>
      </w:r>
      <w:r w:rsidR="0058190D" w:rsidRPr="0072758C">
        <w:rPr>
          <w:lang w:val="en-AU"/>
        </w:rPr>
        <w:t>; Aurélie Bischofberger, “Stranger in a Land: Late-Antique and Medieval Narratives on Foreigners and Exile,” </w:t>
      </w:r>
      <w:r w:rsidR="0058190D" w:rsidRPr="0072758C">
        <w:rPr>
          <w:i/>
          <w:iCs/>
          <w:lang w:val="en-AU"/>
        </w:rPr>
        <w:t>Collectanea Christiana Orientalia</w:t>
      </w:r>
      <w:r w:rsidR="0058190D" w:rsidRPr="0072758C">
        <w:rPr>
          <w:lang w:val="en-AU"/>
        </w:rPr>
        <w:t> 17 (2020): 299–310. </w:t>
      </w:r>
    </w:p>
    <w:p w14:paraId="0D13E5A6" w14:textId="77777777" w:rsidR="005A073E" w:rsidRPr="0072758C" w:rsidRDefault="005A073E" w:rsidP="00BC7015">
      <w:pPr>
        <w:pStyle w:val="EndnoteText"/>
        <w:rPr>
          <w:lang w:val="en-AU"/>
        </w:rPr>
      </w:pPr>
    </w:p>
  </w:footnote>
  <w:footnote w:id="24">
    <w:p w14:paraId="4F5DD20B" w14:textId="4E04A2FB" w:rsidR="005A073E" w:rsidRPr="0072758C" w:rsidRDefault="005A073E" w:rsidP="00BC7015">
      <w:pPr>
        <w:pStyle w:val="EndnoteText"/>
        <w:ind w:firstLine="720"/>
        <w:rPr>
          <w:lang w:val="en-AU"/>
        </w:rPr>
      </w:pPr>
      <w:r w:rsidRPr="0072758C">
        <w:rPr>
          <w:rStyle w:val="FootnoteReference"/>
          <w:lang w:val="en-AU"/>
        </w:rPr>
        <w:footnoteRef/>
      </w:r>
      <w:r w:rsidRPr="0072758C">
        <w:rPr>
          <w:lang w:val="en-AU"/>
        </w:rPr>
        <w:t xml:space="preserve"> Gerda de Villiers, “The ‘Foreigner in Our Midst’ and The Hebrew Bible</w:t>
      </w:r>
      <w:r w:rsidR="003C602D" w:rsidRPr="0072758C">
        <w:rPr>
          <w:lang w:val="en-AU"/>
        </w:rPr>
        <w:t>,</w:t>
      </w:r>
      <w:r w:rsidRPr="0072758C">
        <w:rPr>
          <w:lang w:val="en-AU"/>
        </w:rPr>
        <w:t>” </w:t>
      </w:r>
      <w:r w:rsidRPr="0072758C">
        <w:rPr>
          <w:i/>
          <w:iCs/>
          <w:lang w:val="en-AU"/>
        </w:rPr>
        <w:t>HTS Teologiese Studies / Theological Studies</w:t>
      </w:r>
      <w:r w:rsidRPr="0072758C">
        <w:rPr>
          <w:lang w:val="en-AU"/>
        </w:rPr>
        <w:t> 75 (2019), 1.</w:t>
      </w:r>
    </w:p>
    <w:p w14:paraId="5D4FC770" w14:textId="77777777" w:rsidR="005A073E" w:rsidRPr="0072758C" w:rsidRDefault="005A073E" w:rsidP="00BC7015">
      <w:pPr>
        <w:pStyle w:val="EndnoteText"/>
        <w:rPr>
          <w:lang w:val="en-AU"/>
        </w:rPr>
      </w:pPr>
    </w:p>
  </w:footnote>
  <w:footnote w:id="25">
    <w:p w14:paraId="58A2EC8D" w14:textId="77777777" w:rsidR="005A073E" w:rsidRPr="0072758C" w:rsidRDefault="005A073E" w:rsidP="00BC7015">
      <w:pPr>
        <w:pStyle w:val="EndnoteText"/>
        <w:ind w:firstLine="720"/>
        <w:rPr>
          <w:lang w:val="en-AU"/>
        </w:rPr>
      </w:pPr>
      <w:r w:rsidRPr="0072758C">
        <w:rPr>
          <w:rStyle w:val="FootnoteReference"/>
          <w:lang w:val="en-AU"/>
        </w:rPr>
        <w:footnoteRef/>
      </w:r>
      <w:r w:rsidRPr="0072758C">
        <w:rPr>
          <w:lang w:val="en-AU"/>
        </w:rPr>
        <w:t xml:space="preserve"> Michael Waltzer, “War and Peace in the Jewish Tradition,” in </w:t>
      </w:r>
      <w:r w:rsidRPr="0072758C">
        <w:rPr>
          <w:i/>
          <w:iCs/>
          <w:lang w:val="en-AU"/>
        </w:rPr>
        <w:t xml:space="preserve">The Ethics of War and Peace, </w:t>
      </w:r>
      <w:r w:rsidRPr="0072758C">
        <w:rPr>
          <w:lang w:val="en-AU"/>
        </w:rPr>
        <w:t>ed. Terry Nardin (Princeton: Princeton University Press, 1996), 96.</w:t>
      </w:r>
    </w:p>
  </w:footnote>
  <w:footnote w:id="26">
    <w:p w14:paraId="7D59C765" w14:textId="77777777" w:rsidR="005A073E" w:rsidRPr="0072758C" w:rsidRDefault="005A073E" w:rsidP="00BC7015">
      <w:pPr>
        <w:pStyle w:val="EndnoteText"/>
        <w:ind w:firstLine="720"/>
        <w:rPr>
          <w:lang w:val="en-AU"/>
        </w:rPr>
      </w:pPr>
      <w:r w:rsidRPr="0072758C">
        <w:rPr>
          <w:rStyle w:val="FootnoteReference"/>
          <w:lang w:val="en-AU"/>
        </w:rPr>
        <w:footnoteRef/>
      </w:r>
      <w:r w:rsidRPr="0072758C">
        <w:rPr>
          <w:lang w:val="en-AU"/>
        </w:rPr>
        <w:t xml:space="preserve"> Debra Scoggins Ballentine, </w:t>
      </w:r>
      <w:r w:rsidRPr="0072758C">
        <w:rPr>
          <w:i/>
          <w:iCs/>
          <w:lang w:val="en-AU"/>
        </w:rPr>
        <w:t>The Conflict Myth and the Biblical Tradition</w:t>
      </w:r>
      <w:r w:rsidRPr="0072758C">
        <w:rPr>
          <w:lang w:val="en-AU"/>
        </w:rPr>
        <w:t xml:space="preserve"> (Oxford: Oxford University Press, 2015), 73–108.</w:t>
      </w:r>
    </w:p>
    <w:p w14:paraId="7843564A" w14:textId="77777777" w:rsidR="005A073E" w:rsidRPr="0072758C" w:rsidRDefault="005A073E" w:rsidP="00BC7015">
      <w:pPr>
        <w:pStyle w:val="EndnoteText"/>
        <w:rPr>
          <w:lang w:val="en-AU"/>
        </w:rPr>
      </w:pPr>
    </w:p>
  </w:footnote>
  <w:footnote w:id="27">
    <w:p w14:paraId="4A52449A" w14:textId="6CB8A546" w:rsidR="005A073E" w:rsidRPr="0072758C" w:rsidRDefault="005A073E" w:rsidP="01B55689">
      <w:pPr>
        <w:pStyle w:val="EndnoteText"/>
        <w:ind w:firstLine="720"/>
        <w:rPr>
          <w:i/>
          <w:iCs/>
          <w:lang w:val="en-AU"/>
        </w:rPr>
      </w:pPr>
      <w:r w:rsidRPr="0072758C">
        <w:rPr>
          <w:rStyle w:val="FootnoteReference"/>
          <w:lang w:val="en-AU"/>
        </w:rPr>
        <w:footnoteRef/>
      </w:r>
      <w:r w:rsidRPr="0072758C">
        <w:rPr>
          <w:lang w:val="en-AU"/>
        </w:rPr>
        <w:t xml:space="preserve"> For a complete listing on the conquest and military history for the Jewish people in the Land of Israel, please see</w:t>
      </w:r>
      <w:r w:rsidRPr="0072758C">
        <w:rPr>
          <w:i/>
          <w:iCs/>
          <w:lang w:val="en-AU"/>
        </w:rPr>
        <w:t xml:space="preserve"> </w:t>
      </w:r>
      <w:r w:rsidRPr="0072758C">
        <w:rPr>
          <w:lang w:val="en-AU"/>
        </w:rPr>
        <w:t>Yaakov Liver</w:t>
      </w:r>
      <w:r w:rsidRPr="0072758C">
        <w:rPr>
          <w:i/>
          <w:iCs/>
          <w:lang w:val="en-AU"/>
        </w:rPr>
        <w:t xml:space="preserve">, Historia Tsvait Shel Eretz Israel BiTekufat Hamikra </w:t>
      </w:r>
      <w:r w:rsidRPr="0072758C">
        <w:rPr>
          <w:lang w:val="en-AU"/>
        </w:rPr>
        <w:t xml:space="preserve">(Tel-Aviv: Maarachot, 1964). </w:t>
      </w:r>
    </w:p>
    <w:p w14:paraId="511E9B31" w14:textId="77777777" w:rsidR="005A073E" w:rsidRPr="0072758C" w:rsidRDefault="005A073E" w:rsidP="00BC7015">
      <w:pPr>
        <w:pStyle w:val="EndnoteText"/>
        <w:rPr>
          <w:lang w:val="en-AU"/>
        </w:rPr>
      </w:pPr>
    </w:p>
  </w:footnote>
  <w:footnote w:id="28">
    <w:p w14:paraId="1E347913" w14:textId="7847AEC1" w:rsidR="005A073E" w:rsidRPr="0072758C" w:rsidRDefault="005A073E" w:rsidP="00BC7015">
      <w:pPr>
        <w:pStyle w:val="EndnoteText"/>
        <w:ind w:firstLine="720"/>
        <w:rPr>
          <w:lang w:val="en-AU"/>
        </w:rPr>
      </w:pPr>
      <w:r w:rsidRPr="0072758C">
        <w:rPr>
          <w:rStyle w:val="FootnoteReference"/>
          <w:lang w:val="en-AU"/>
        </w:rPr>
        <w:footnoteRef/>
      </w:r>
      <w:r w:rsidRPr="0072758C">
        <w:rPr>
          <w:lang w:val="en-AU"/>
        </w:rPr>
        <w:t xml:space="preserve"> Modern war ethicists Hauerwas and Levinas have examined peace in relation to violence.  Levinas holds that peace </w:t>
      </w:r>
      <w:r w:rsidRPr="0072758C">
        <w:rPr>
          <w:rFonts w:eastAsiaTheme="minorEastAsia"/>
          <w:lang w:val="en-AU"/>
        </w:rPr>
        <w:t>is a false state of mind only in the present in which war is inevitable. Hauerwas also holds that false peace does not substitute true peace. See</w:t>
      </w:r>
      <w:r w:rsidRPr="0072758C">
        <w:rPr>
          <w:rFonts w:eastAsiaTheme="minorEastAsia"/>
          <w:i/>
          <w:iCs/>
          <w:lang w:val="en-AU"/>
        </w:rPr>
        <w:t xml:space="preserve"> </w:t>
      </w:r>
      <w:r w:rsidRPr="0072758C">
        <w:rPr>
          <w:rFonts w:eastAsiaTheme="minorEastAsia"/>
          <w:lang w:val="en-AU"/>
        </w:rPr>
        <w:t>Jeffrey L Kosky, </w:t>
      </w:r>
      <w:r w:rsidRPr="0072758C">
        <w:rPr>
          <w:rFonts w:eastAsiaTheme="minorEastAsia"/>
          <w:i/>
          <w:iCs/>
          <w:lang w:val="en-AU"/>
        </w:rPr>
        <w:t>Levinas and The Philosophy of Religion</w:t>
      </w:r>
      <w:r w:rsidRPr="0072758C">
        <w:rPr>
          <w:rFonts w:eastAsiaTheme="minorEastAsia"/>
          <w:lang w:val="en-AU"/>
        </w:rPr>
        <w:t xml:space="preserve"> (Bloomington: Indiana University Press, 2001).  </w:t>
      </w:r>
      <w:r w:rsidRPr="0072758C">
        <w:rPr>
          <w:rFonts w:eastAsiaTheme="minorEastAsia"/>
          <w:i/>
          <w:iCs/>
          <w:lang w:val="en-AU"/>
        </w:rPr>
        <w:t xml:space="preserve">Levinas </w:t>
      </w:r>
      <w:r w:rsidRPr="0072758C">
        <w:rPr>
          <w:rFonts w:eastAsiaTheme="minorEastAsia"/>
          <w:lang w:val="en-AU"/>
        </w:rPr>
        <w:t>further contends that peace is inherent to humanity. Stanley Hauerwaus teaches that true peace would require people fully surrendering power over themselves.</w:t>
      </w:r>
      <w:r w:rsidRPr="0072758C">
        <w:rPr>
          <w:lang w:val="en-AU"/>
        </w:rPr>
        <w:t xml:space="preserve"> See Stanley Hauerwas, </w:t>
      </w:r>
      <w:r w:rsidRPr="0072758C">
        <w:rPr>
          <w:i/>
          <w:iCs/>
          <w:lang w:val="en-AU"/>
        </w:rPr>
        <w:t xml:space="preserve">The Peaceable Kingdom </w:t>
      </w:r>
      <w:r w:rsidRPr="0072758C">
        <w:rPr>
          <w:iCs/>
          <w:lang w:val="en-AU"/>
        </w:rPr>
        <w:t>(</w:t>
      </w:r>
      <w:r w:rsidRPr="0072758C">
        <w:rPr>
          <w:lang w:val="en-AU"/>
        </w:rPr>
        <w:t xml:space="preserve">Notre Dame: University of Notre Dame Press, 1983); Stanley Hauerwaus, </w:t>
      </w:r>
      <w:r w:rsidRPr="0072758C">
        <w:rPr>
          <w:i/>
          <w:iCs/>
          <w:lang w:val="en-AU"/>
        </w:rPr>
        <w:t xml:space="preserve">Should War Be Eliminated? Philosophical and Theological Investigations </w:t>
      </w:r>
      <w:r w:rsidRPr="0072758C">
        <w:rPr>
          <w:lang w:val="en-AU"/>
        </w:rPr>
        <w:t>(Milwaukee: Marquette University Press, 1984); Stanley Hauerwaus,</w:t>
      </w:r>
      <w:r w:rsidRPr="0072758C">
        <w:rPr>
          <w:i/>
          <w:iCs/>
          <w:highlight w:val="white"/>
          <w:lang w:val="en-AU"/>
        </w:rPr>
        <w:t xml:space="preserve"> Against the Nations: War and Survival in a Liberal Society </w:t>
      </w:r>
      <w:r w:rsidRPr="0072758C">
        <w:rPr>
          <w:highlight w:val="white"/>
          <w:lang w:val="en-AU"/>
        </w:rPr>
        <w:t xml:space="preserve">(New York:  HarperCollins, 1988); </w:t>
      </w:r>
      <w:r w:rsidRPr="0072758C">
        <w:rPr>
          <w:lang w:val="en-AU"/>
        </w:rPr>
        <w:t xml:space="preserve">Stanley Hauerwaus, </w:t>
      </w:r>
      <w:r w:rsidRPr="0072758C">
        <w:rPr>
          <w:i/>
          <w:iCs/>
          <w:lang w:val="en-AU"/>
        </w:rPr>
        <w:t xml:space="preserve">War and the American Difference: Theological Reflections on Violence and National Identity </w:t>
      </w:r>
      <w:r w:rsidRPr="0072758C">
        <w:rPr>
          <w:lang w:val="en-AU"/>
        </w:rPr>
        <w:t>(Grand Rapids:  Baker Publishing Group, 2011); for more studies on the Just War Theory in the context of Realism and pacifism, see</w:t>
      </w:r>
      <w:r w:rsidRPr="0072758C">
        <w:rPr>
          <w:i/>
          <w:iCs/>
          <w:lang w:val="en-AU"/>
        </w:rPr>
        <w:t xml:space="preserve"> </w:t>
      </w:r>
      <w:r w:rsidRPr="0072758C">
        <w:rPr>
          <w:lang w:val="en-AU"/>
        </w:rPr>
        <w:t xml:space="preserve">Robert Holmes, </w:t>
      </w:r>
      <w:r w:rsidRPr="0072758C">
        <w:rPr>
          <w:i/>
          <w:iCs/>
          <w:lang w:val="en-AU"/>
        </w:rPr>
        <w:t>On War and Morality (</w:t>
      </w:r>
      <w:r w:rsidRPr="0072758C">
        <w:rPr>
          <w:lang w:val="en-AU"/>
        </w:rPr>
        <w:t>Princeton:  Princeton University Press, 1989).  The ethics of war for self-preservation is important to acknowledge because the questions of theodicy arise</w:t>
      </w:r>
      <w:r w:rsidR="001323CA" w:rsidRPr="0072758C">
        <w:rPr>
          <w:lang w:val="en-AU"/>
        </w:rPr>
        <w:t>, see Philip D Stern, “1 Samuel 15: Towards an Ancient View of the War-Herem,” </w:t>
      </w:r>
      <w:r w:rsidR="001323CA" w:rsidRPr="0072758C">
        <w:rPr>
          <w:i/>
          <w:iCs/>
          <w:lang w:val="en-AU"/>
        </w:rPr>
        <w:t>Ugarit-Forschungen</w:t>
      </w:r>
      <w:r w:rsidR="001323CA" w:rsidRPr="0072758C">
        <w:rPr>
          <w:lang w:val="en-AU"/>
        </w:rPr>
        <w:t> 21 (1989): 413–20.</w:t>
      </w:r>
      <w:r w:rsidR="00125387" w:rsidRPr="0072758C">
        <w:rPr>
          <w:lang w:val="en-AU"/>
        </w:rPr>
        <w:t xml:space="preserve"> </w:t>
      </w:r>
      <w:r w:rsidRPr="0072758C">
        <w:rPr>
          <w:lang w:val="en-AU"/>
        </w:rPr>
        <w:t xml:space="preserve">Although, in this dissertation, I cannot completely define why God would allow some to die and others to live, I can focus on certain scenarios.  For more understanding of the ethics surrounding God and war, </w:t>
      </w:r>
      <w:r w:rsidRPr="0072758C">
        <w:rPr>
          <w:i/>
          <w:iCs/>
          <w:lang w:val="en-AU"/>
        </w:rPr>
        <w:t>see,</w:t>
      </w:r>
      <w:r w:rsidRPr="0072758C">
        <w:rPr>
          <w:lang w:val="en-AU"/>
        </w:rPr>
        <w:t xml:space="preserve"> Bertrand Russell, “The Ethics of War,” </w:t>
      </w:r>
      <w:r w:rsidRPr="0072758C">
        <w:rPr>
          <w:i/>
          <w:iCs/>
          <w:lang w:val="en-AU"/>
        </w:rPr>
        <w:t>International Journal of Ethics</w:t>
      </w:r>
      <w:r w:rsidRPr="0072758C">
        <w:rPr>
          <w:lang w:val="en-AU"/>
        </w:rPr>
        <w:t xml:space="preserve"> 25 (1915): 127–142; Bertrand Russell, “The Future of Pacifism,” </w:t>
      </w:r>
      <w:r w:rsidRPr="0072758C">
        <w:rPr>
          <w:i/>
          <w:iCs/>
          <w:lang w:val="en-AU"/>
        </w:rPr>
        <w:t>The American Scholar</w:t>
      </w:r>
      <w:r w:rsidRPr="0072758C">
        <w:rPr>
          <w:lang w:val="en-AU"/>
        </w:rPr>
        <w:t xml:space="preserve"> 13 (1943): 7–13; Glenn Stassen, </w:t>
      </w:r>
      <w:r w:rsidRPr="0072758C">
        <w:rPr>
          <w:i/>
          <w:iCs/>
          <w:lang w:val="en-AU"/>
        </w:rPr>
        <w:t>J</w:t>
      </w:r>
      <w:r w:rsidRPr="0072758C">
        <w:rPr>
          <w:i/>
          <w:iCs/>
          <w:highlight w:val="white"/>
          <w:lang w:val="en-AU"/>
        </w:rPr>
        <w:t xml:space="preserve">ust Peacemaking: Transforming Initiatives of Justice and Peace </w:t>
      </w:r>
      <w:r w:rsidRPr="0072758C">
        <w:rPr>
          <w:highlight w:val="white"/>
          <w:lang w:val="en-AU"/>
        </w:rPr>
        <w:t>(Philadelphia: Westminster/John Knox Press, 1992). </w:t>
      </w:r>
    </w:p>
    <w:p w14:paraId="5E15924F" w14:textId="77777777" w:rsidR="005A073E" w:rsidRPr="0072758C" w:rsidRDefault="005A073E" w:rsidP="00BC7015">
      <w:pPr>
        <w:pStyle w:val="EndnoteText"/>
        <w:rPr>
          <w:lang w:val="en-AU"/>
        </w:rPr>
      </w:pPr>
      <w:r w:rsidRPr="0072758C">
        <w:rPr>
          <w:rFonts w:eastAsia="Arimo"/>
          <w:highlight w:val="white"/>
          <w:lang w:val="en-AU"/>
        </w:rPr>
        <w:tab/>
      </w:r>
    </w:p>
  </w:footnote>
  <w:footnote w:id="29">
    <w:p w14:paraId="13119D19" w14:textId="20245B74" w:rsidR="00665BC9"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For further scholarship on the role that genocide has on the formation of the Jewish nation and the ethical responses for calls for genocide in the biblical narratives, see John J. Collins, </w:t>
      </w:r>
      <w:r w:rsidRPr="0072758C">
        <w:rPr>
          <w:i/>
          <w:iCs/>
          <w:lang w:val="en-AU"/>
        </w:rPr>
        <w:t xml:space="preserve">Does the Bible Justify Violence? </w:t>
      </w:r>
      <w:r w:rsidRPr="0072758C">
        <w:rPr>
          <w:lang w:val="en-AU"/>
        </w:rPr>
        <w:t xml:space="preserve">(Minneapolis: Fortress Press, 2004), 8–11. </w:t>
      </w:r>
      <w:r w:rsidR="0074439E" w:rsidRPr="0072758C">
        <w:rPr>
          <w:lang w:val="en-AU"/>
        </w:rPr>
        <w:t>For further understanding about genocide and how the destruction of the Amalekites is not a national ethos of war, see Gili Kugler, “Metaphysical Hatred and Sacred Genocide: The Questionable Role of Amalek in Biblical Literature,” </w:t>
      </w:r>
      <w:r w:rsidR="0074439E" w:rsidRPr="0072758C">
        <w:rPr>
          <w:i/>
          <w:iCs/>
          <w:lang w:val="en-AU"/>
        </w:rPr>
        <w:t>Journal of Genocide Research</w:t>
      </w:r>
      <w:r w:rsidR="0074439E" w:rsidRPr="0072758C">
        <w:rPr>
          <w:lang w:val="en-AU"/>
        </w:rPr>
        <w:t> 23 (2021): 1–16</w:t>
      </w:r>
      <w:r w:rsidR="00606167" w:rsidRPr="0072758C">
        <w:rPr>
          <w:lang w:val="en-AU"/>
        </w:rPr>
        <w:t>; John Allister, “The Amalekite Genocide,” </w:t>
      </w:r>
      <w:r w:rsidR="00606167" w:rsidRPr="0072758C">
        <w:rPr>
          <w:i/>
          <w:iCs/>
          <w:lang w:val="en-AU"/>
        </w:rPr>
        <w:t>Churchman</w:t>
      </w:r>
      <w:r w:rsidR="00606167" w:rsidRPr="0072758C">
        <w:rPr>
          <w:lang w:val="en-AU"/>
        </w:rPr>
        <w:t> 124 (2010): 217–26</w:t>
      </w:r>
      <w:r w:rsidR="003F5705">
        <w:rPr>
          <w:lang w:val="en-AU"/>
        </w:rPr>
        <w:t xml:space="preserve">. </w:t>
      </w:r>
      <w:r w:rsidR="0074439E" w:rsidRPr="0072758C">
        <w:rPr>
          <w:lang w:val="en-AU"/>
        </w:rPr>
        <w:t xml:space="preserve">For an understanding of </w:t>
      </w:r>
      <w:r w:rsidR="00665BC9" w:rsidRPr="0072758C">
        <w:rPr>
          <w:lang w:val="en-AU"/>
        </w:rPr>
        <w:t xml:space="preserve">a Christian view of Jewish divine violence and genocide, see </w:t>
      </w:r>
      <w:r w:rsidR="0074439E" w:rsidRPr="0072758C">
        <w:rPr>
          <w:lang w:val="en-AU"/>
        </w:rPr>
        <w:t>Eric A Seibert, “Recent Research on Divine Violence in the Old Testament (with Special Attention to Christian Theological Perspectives),” </w:t>
      </w:r>
      <w:r w:rsidR="0074439E" w:rsidRPr="0072758C">
        <w:rPr>
          <w:i/>
          <w:iCs/>
          <w:lang w:val="en-AU"/>
        </w:rPr>
        <w:t>Currents in Biblical Research</w:t>
      </w:r>
      <w:r w:rsidR="0074439E" w:rsidRPr="0072758C">
        <w:rPr>
          <w:lang w:val="en-AU"/>
        </w:rPr>
        <w:t xml:space="preserve"> 15 (2016): 8–40. </w:t>
      </w:r>
      <w:r w:rsidR="00665BC9" w:rsidRPr="0072758C">
        <w:rPr>
          <w:lang w:val="en-AU"/>
        </w:rPr>
        <w:t>For a broad study of genocide in both the Hebrew Bible and the New Testament, see Shawn Kelley, “Genocide, the Bible, and Biblical Scholarship,” </w:t>
      </w:r>
      <w:r w:rsidR="00665BC9" w:rsidRPr="0072758C">
        <w:rPr>
          <w:i/>
          <w:iCs/>
          <w:lang w:val="en-AU"/>
        </w:rPr>
        <w:t>Brill Research Perspectives in Biblical Interpretation</w:t>
      </w:r>
      <w:r w:rsidR="00665BC9" w:rsidRPr="0072758C">
        <w:rPr>
          <w:lang w:val="en-AU"/>
        </w:rPr>
        <w:t> 1</w:t>
      </w:r>
      <w:r w:rsidR="00CE7661" w:rsidRPr="0072758C">
        <w:rPr>
          <w:lang w:val="en-AU"/>
        </w:rPr>
        <w:t xml:space="preserve"> </w:t>
      </w:r>
      <w:r w:rsidR="00665BC9" w:rsidRPr="0072758C">
        <w:rPr>
          <w:lang w:val="en-AU"/>
        </w:rPr>
        <w:t>(2016): 1–71</w:t>
      </w:r>
      <w:r w:rsidR="00A5489E" w:rsidRPr="0072758C">
        <w:rPr>
          <w:lang w:val="en-AU"/>
        </w:rPr>
        <w:t>.</w:t>
      </w:r>
      <w:r w:rsidR="00630684" w:rsidRPr="0072758C">
        <w:rPr>
          <w:lang w:val="en-AU"/>
        </w:rPr>
        <w:t xml:space="preserve">  For a critique on the problems with biblical stories of genocide, especially with violence against women, see Caryn Reeder, “Deuteronomy 21.10-14 and/as Wartime Rape,” </w:t>
      </w:r>
      <w:r w:rsidR="00630684" w:rsidRPr="0072758C">
        <w:rPr>
          <w:i/>
          <w:iCs/>
          <w:lang w:val="en-AU"/>
        </w:rPr>
        <w:t>Journal for the Study of the Old Testament</w:t>
      </w:r>
      <w:r w:rsidR="00630684" w:rsidRPr="0072758C">
        <w:rPr>
          <w:lang w:val="en-AU"/>
        </w:rPr>
        <w:t> 41 (2017): 313–36; Ibid., “Wartime Rape, the Romans, and the First Jewish Revolt,” </w:t>
      </w:r>
      <w:r w:rsidR="00630684" w:rsidRPr="0072758C">
        <w:rPr>
          <w:i/>
          <w:iCs/>
          <w:lang w:val="en-AU"/>
        </w:rPr>
        <w:t xml:space="preserve">Journal for the Study of Judaism in the Persian, </w:t>
      </w:r>
      <w:proofErr w:type="gramStart"/>
      <w:r w:rsidR="00630684" w:rsidRPr="0072758C">
        <w:rPr>
          <w:i/>
          <w:iCs/>
          <w:lang w:val="en-AU"/>
        </w:rPr>
        <w:t>Hellenistic</w:t>
      </w:r>
      <w:proofErr w:type="gramEnd"/>
      <w:r w:rsidR="00630684" w:rsidRPr="0072758C">
        <w:rPr>
          <w:i/>
          <w:iCs/>
          <w:lang w:val="en-AU"/>
        </w:rPr>
        <w:t xml:space="preserve"> and Roman Period</w:t>
      </w:r>
      <w:r w:rsidR="00630684" w:rsidRPr="0072758C">
        <w:rPr>
          <w:lang w:val="en-AU"/>
        </w:rPr>
        <w:t> 48 (2017): 363–85.</w:t>
      </w:r>
      <w:r w:rsidR="00A05A4A" w:rsidRPr="0072758C">
        <w:rPr>
          <w:lang w:val="en-AU"/>
        </w:rPr>
        <w:t xml:space="preserve"> Genocide and war, in modern Christianity, often carry a level of </w:t>
      </w:r>
      <w:r w:rsidR="00FD5F44" w:rsidRPr="0072758C">
        <w:rPr>
          <w:lang w:val="en-AU"/>
        </w:rPr>
        <w:t>ambivalence</w:t>
      </w:r>
      <w:r w:rsidR="00A05A4A" w:rsidRPr="0072758C">
        <w:rPr>
          <w:lang w:val="en-AU"/>
        </w:rPr>
        <w:t xml:space="preserve"> due to </w:t>
      </w:r>
      <w:r w:rsidR="00FD5F44" w:rsidRPr="0072758C">
        <w:rPr>
          <w:lang w:val="en-AU"/>
        </w:rPr>
        <w:t>eschatology,</w:t>
      </w:r>
      <w:r w:rsidR="00A05A4A" w:rsidRPr="0072758C">
        <w:rPr>
          <w:lang w:val="en-AU"/>
        </w:rPr>
        <w:t xml:space="preserve"> and </w:t>
      </w:r>
      <w:proofErr w:type="gramStart"/>
      <w:r w:rsidR="00A05A4A" w:rsidRPr="0072758C">
        <w:rPr>
          <w:lang w:val="en-AU"/>
        </w:rPr>
        <w:t>this impacts</w:t>
      </w:r>
      <w:proofErr w:type="gramEnd"/>
      <w:r w:rsidR="00A05A4A" w:rsidRPr="0072758C">
        <w:rPr>
          <w:lang w:val="en-AU"/>
        </w:rPr>
        <w:t xml:space="preserve"> modern views of peace and war, see Wilhelm Wille, “Ambivalence in the Christian Attitude to War and Peace,” </w:t>
      </w:r>
      <w:r w:rsidR="00A05A4A" w:rsidRPr="0072758C">
        <w:rPr>
          <w:i/>
          <w:iCs/>
          <w:lang w:val="en-AU"/>
        </w:rPr>
        <w:t>International Review of Psychiatry</w:t>
      </w:r>
      <w:r w:rsidR="00A05A4A" w:rsidRPr="0072758C">
        <w:rPr>
          <w:lang w:val="en-AU"/>
        </w:rPr>
        <w:t> 19</w:t>
      </w:r>
      <w:r w:rsidR="00A037EF" w:rsidRPr="0072758C">
        <w:rPr>
          <w:lang w:val="en-AU"/>
        </w:rPr>
        <w:t xml:space="preserve"> </w:t>
      </w:r>
      <w:r w:rsidR="00A05A4A" w:rsidRPr="0072758C">
        <w:rPr>
          <w:lang w:val="en-AU"/>
        </w:rPr>
        <w:t xml:space="preserve">(2007): 235–42. </w:t>
      </w:r>
    </w:p>
    <w:p w14:paraId="5BC43A53" w14:textId="77777777" w:rsidR="005A073E" w:rsidRPr="0072758C" w:rsidRDefault="005A073E" w:rsidP="00EF3273">
      <w:pPr>
        <w:pStyle w:val="EndnoteText"/>
        <w:rPr>
          <w:lang w:val="en-AU"/>
        </w:rPr>
      </w:pPr>
    </w:p>
  </w:footnote>
  <w:footnote w:id="30">
    <w:p w14:paraId="11FE5866" w14:textId="46A02DD1" w:rsidR="005A073E"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There is a great amount of research that </w:t>
      </w:r>
      <w:proofErr w:type="gramStart"/>
      <w:r w:rsidRPr="0072758C">
        <w:rPr>
          <w:lang w:val="en-AU"/>
        </w:rPr>
        <w:t>looks into</w:t>
      </w:r>
      <w:proofErr w:type="gramEnd"/>
      <w:r w:rsidRPr="0072758C">
        <w:rPr>
          <w:lang w:val="en-AU"/>
        </w:rPr>
        <w:t xml:space="preserve"> the war ethos of Judaism during the time of the development of Israel. For more insight, see</w:t>
      </w:r>
      <w:r w:rsidRPr="0072758C">
        <w:rPr>
          <w:i/>
          <w:iCs/>
          <w:lang w:val="en-AU"/>
        </w:rPr>
        <w:t xml:space="preserve"> </w:t>
      </w:r>
      <w:r w:rsidRPr="0072758C">
        <w:rPr>
          <w:lang w:val="en-AU"/>
        </w:rPr>
        <w:t xml:space="preserve">Shmaryahu Arieli, </w:t>
      </w:r>
      <w:r w:rsidRPr="0072758C">
        <w:rPr>
          <w:i/>
          <w:iCs/>
          <w:lang w:val="en-AU"/>
        </w:rPr>
        <w:t>Mishpat HaMilhama: Beayot, Beirurim VeHidushim BeDinei Tzava UMilhama Be’Israel</w:t>
      </w:r>
      <w:r w:rsidRPr="0072758C">
        <w:rPr>
          <w:lang w:val="en-AU"/>
        </w:rPr>
        <w:t xml:space="preserve"> (Jerusalem: Revuen Mass, 1971); Christophe Batsch, </w:t>
      </w:r>
      <w:r w:rsidRPr="0072758C">
        <w:rPr>
          <w:i/>
          <w:iCs/>
          <w:lang w:val="en-AU"/>
        </w:rPr>
        <w:t xml:space="preserve">La guerre et les rites de guerre dans le judaïsme du deuxième Temple </w:t>
      </w:r>
      <w:r w:rsidRPr="0072758C">
        <w:rPr>
          <w:lang w:val="en-AU"/>
        </w:rPr>
        <w:t xml:space="preserve">(Leiden: Brill, 2005); Michael J. Broyde, </w:t>
      </w:r>
      <w:r w:rsidRPr="0072758C">
        <w:rPr>
          <w:i/>
          <w:iCs/>
          <w:lang w:val="en-AU"/>
        </w:rPr>
        <w:t>The Bounds of Wartime Military Conduct in Jewish Law: An Expansive Conception</w:t>
      </w:r>
      <w:r w:rsidRPr="0072758C">
        <w:rPr>
          <w:lang w:val="en-AU"/>
        </w:rPr>
        <w:t xml:space="preserve"> (Flushing: CUNY, 2006); Peter C. Craigie, </w:t>
      </w:r>
      <w:r w:rsidRPr="0072758C">
        <w:rPr>
          <w:i/>
          <w:iCs/>
          <w:lang w:val="en-AU"/>
        </w:rPr>
        <w:t>The Problem of War in the Old Testament</w:t>
      </w:r>
      <w:r w:rsidRPr="0072758C">
        <w:rPr>
          <w:lang w:val="en-AU"/>
        </w:rPr>
        <w:t xml:space="preserve"> (Grand Rapids: William B. Eenderman, 1978); Nethanel Eliashiv,</w:t>
      </w:r>
      <w:r w:rsidRPr="0072758C">
        <w:rPr>
          <w:i/>
          <w:iCs/>
          <w:lang w:val="en-AU"/>
        </w:rPr>
        <w:t xml:space="preserve"> LeEzrat Hashem BaGiborim: Pirkey Hadrakha VeLivuy LeSheirut Tzvai’I MeMushach</w:t>
      </w:r>
      <w:r w:rsidRPr="0072758C">
        <w:rPr>
          <w:lang w:val="en-AU"/>
        </w:rPr>
        <w:t xml:space="preserve"> (Jerusalem: Binyan Hatora, 2010); Reuven Firestone, </w:t>
      </w:r>
      <w:r w:rsidRPr="0072758C">
        <w:rPr>
          <w:i/>
          <w:iCs/>
          <w:lang w:val="en-AU"/>
        </w:rPr>
        <w:t xml:space="preserve">Holy War in Judaism: The Fall and Rise of a Controversial Idea </w:t>
      </w:r>
      <w:r w:rsidRPr="0072758C">
        <w:rPr>
          <w:lang w:val="en-AU"/>
        </w:rPr>
        <w:t xml:space="preserve">(Oxford: Oxford University Press, 2012); Yigal Levin and Amnon Shapira, </w:t>
      </w:r>
      <w:r w:rsidRPr="0072758C">
        <w:rPr>
          <w:i/>
          <w:iCs/>
          <w:lang w:val="en-AU"/>
        </w:rPr>
        <w:t>War and Peace in Jewish Tradition: From the Biblical World to the Present</w:t>
      </w:r>
      <w:r w:rsidRPr="0072758C">
        <w:rPr>
          <w:lang w:val="en-AU"/>
        </w:rPr>
        <w:t xml:space="preserve"> (New York: Routledge,1980); Yigal Levin and Amnon Shapira, </w:t>
      </w:r>
      <w:r w:rsidRPr="0072758C">
        <w:rPr>
          <w:i/>
          <w:iCs/>
          <w:lang w:val="en-AU"/>
        </w:rPr>
        <w:t>Yahweh Is a Warrior: The Theology of Warfare in Ancient Israel</w:t>
      </w:r>
      <w:r w:rsidRPr="0072758C">
        <w:rPr>
          <w:lang w:val="en-AU"/>
        </w:rPr>
        <w:t xml:space="preserve"> (Scottdale: Herald, 2003)</w:t>
      </w:r>
      <w:r w:rsidR="00AC6399" w:rsidRPr="0072758C">
        <w:rPr>
          <w:lang w:val="en-AU"/>
        </w:rPr>
        <w:t>.</w:t>
      </w:r>
      <w:r w:rsidRPr="0072758C">
        <w:rPr>
          <w:lang w:val="en-AU"/>
        </w:rPr>
        <w:t xml:space="preserve">  </w:t>
      </w:r>
    </w:p>
    <w:p w14:paraId="6591F727" w14:textId="77777777" w:rsidR="005A073E" w:rsidRPr="0072758C" w:rsidRDefault="005A073E" w:rsidP="00EF3273">
      <w:pPr>
        <w:pStyle w:val="EndnoteText"/>
        <w:rPr>
          <w:lang w:val="en-AU"/>
        </w:rPr>
      </w:pPr>
    </w:p>
  </w:footnote>
  <w:footnote w:id="31">
    <w:p w14:paraId="1C872AE1" w14:textId="792E2598" w:rsidR="00FD5F44"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For more scholarship in specific battles show how Torah limits the exercise of power in warfare, see Stephen Leston and Christopher Hudson, </w:t>
      </w:r>
      <w:r w:rsidRPr="0072758C">
        <w:rPr>
          <w:i/>
          <w:iCs/>
          <w:lang w:val="en-AU"/>
        </w:rPr>
        <w:t>Illustrated Guide to Bible Battles: The Background, Overview, Key Players, Weapons and Meaning of More Than 90 Scriptural Battles</w:t>
      </w:r>
      <w:r w:rsidRPr="0072758C">
        <w:rPr>
          <w:lang w:val="en-AU"/>
        </w:rPr>
        <w:t xml:space="preserve"> (Uhrichsville, OH: Barbour Books, 2014)</w:t>
      </w:r>
      <w:r w:rsidR="00FD5F44" w:rsidRPr="0072758C">
        <w:rPr>
          <w:lang w:val="en-AU"/>
        </w:rPr>
        <w:t xml:space="preserve">. </w:t>
      </w:r>
    </w:p>
    <w:p w14:paraId="42DD1BA5" w14:textId="77777777" w:rsidR="005A073E" w:rsidRPr="0072758C" w:rsidRDefault="005A073E" w:rsidP="00EF3273">
      <w:pPr>
        <w:pStyle w:val="EndnoteText"/>
        <w:rPr>
          <w:lang w:val="en-AU"/>
        </w:rPr>
      </w:pPr>
    </w:p>
  </w:footnote>
  <w:footnote w:id="32">
    <w:p w14:paraId="6C5F350F" w14:textId="0ABE09AE" w:rsidR="0052126B"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Thomas F Carney, </w:t>
      </w:r>
      <w:r w:rsidRPr="0072758C">
        <w:rPr>
          <w:i/>
          <w:iCs/>
          <w:lang w:val="en-AU"/>
        </w:rPr>
        <w:t>The Shape of the Past</w:t>
      </w:r>
      <w:r w:rsidRPr="0072758C">
        <w:rPr>
          <w:lang w:val="en-AU"/>
        </w:rPr>
        <w:t> (Lawrence: Coronado Press, 1975), 61</w:t>
      </w:r>
      <w:r w:rsidR="0052126B" w:rsidRPr="0072758C">
        <w:rPr>
          <w:lang w:val="en-AU"/>
        </w:rPr>
        <w:t>; David Flatto, “Constructing Justice: The Selective Use of Scripture in Formulating Early Jewish Accounts of the Courts,” </w:t>
      </w:r>
      <w:r w:rsidR="0052126B" w:rsidRPr="0072758C">
        <w:rPr>
          <w:i/>
          <w:iCs/>
          <w:lang w:val="en-AU"/>
        </w:rPr>
        <w:t>Harvard Theological Review</w:t>
      </w:r>
      <w:r w:rsidR="0052126B" w:rsidRPr="0072758C">
        <w:rPr>
          <w:lang w:val="en-AU"/>
        </w:rPr>
        <w:t xml:space="preserve"> 111 </w:t>
      </w:r>
      <w:r w:rsidR="00A037EF" w:rsidRPr="0072758C">
        <w:rPr>
          <w:lang w:val="en-AU"/>
        </w:rPr>
        <w:t>(</w:t>
      </w:r>
      <w:r w:rsidR="0052126B" w:rsidRPr="0072758C">
        <w:rPr>
          <w:lang w:val="en-AU"/>
        </w:rPr>
        <w:t>2018): 488–515.</w:t>
      </w:r>
    </w:p>
    <w:p w14:paraId="6C40AEEE" w14:textId="77777777" w:rsidR="005A073E" w:rsidRPr="0072758C" w:rsidRDefault="005A073E" w:rsidP="00EF3273">
      <w:pPr>
        <w:pStyle w:val="EndnoteText"/>
        <w:rPr>
          <w:lang w:val="en-AU"/>
        </w:rPr>
      </w:pPr>
    </w:p>
  </w:footnote>
  <w:footnote w:id="33">
    <w:p w14:paraId="64E606DE" w14:textId="378605B1" w:rsidR="00C7346A"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J. G McConville, </w:t>
      </w:r>
      <w:r w:rsidRPr="0072758C">
        <w:rPr>
          <w:i/>
          <w:iCs/>
          <w:lang w:val="en-AU"/>
        </w:rPr>
        <w:t>Law and Theology in Deuteronomy</w:t>
      </w:r>
      <w:r w:rsidRPr="0072758C">
        <w:rPr>
          <w:lang w:val="en-AU"/>
        </w:rPr>
        <w:t> (Eugene: Wipf &amp; Stock, 2005), 294</w:t>
      </w:r>
      <w:r w:rsidR="00C7346A" w:rsidRPr="0072758C">
        <w:rPr>
          <w:lang w:val="en-AU"/>
        </w:rPr>
        <w:t xml:space="preserve">; Kristin </w:t>
      </w:r>
      <w:r w:rsidR="00B97073" w:rsidRPr="0072758C">
        <w:rPr>
          <w:lang w:val="en-AU"/>
        </w:rPr>
        <w:t>Weingart, “</w:t>
      </w:r>
      <w:r w:rsidR="00C7346A" w:rsidRPr="0072758C">
        <w:rPr>
          <w:lang w:val="en-AU"/>
        </w:rPr>
        <w:t>‘My Father, My Father! Chariot of Israel and Its Horses!’ (2 Kings 2:12 // 13:14): Elisha’s or Elijah’s Title?” </w:t>
      </w:r>
      <w:r w:rsidR="00C7346A" w:rsidRPr="0072758C">
        <w:rPr>
          <w:i/>
          <w:iCs/>
          <w:lang w:val="en-AU"/>
        </w:rPr>
        <w:t>Journal of Biblical Literature</w:t>
      </w:r>
      <w:r w:rsidR="00C7346A" w:rsidRPr="0072758C">
        <w:rPr>
          <w:lang w:val="en-AU"/>
        </w:rPr>
        <w:t> 137</w:t>
      </w:r>
      <w:r w:rsidR="00A037EF" w:rsidRPr="0072758C">
        <w:rPr>
          <w:lang w:val="en-AU"/>
        </w:rPr>
        <w:t xml:space="preserve"> </w:t>
      </w:r>
      <w:r w:rsidR="00C7346A" w:rsidRPr="0072758C">
        <w:rPr>
          <w:lang w:val="en-AU"/>
        </w:rPr>
        <w:t>(2018): 257–70.</w:t>
      </w:r>
    </w:p>
    <w:p w14:paraId="4523B8F4" w14:textId="77777777" w:rsidR="005A073E" w:rsidRPr="0072758C" w:rsidRDefault="005A073E" w:rsidP="00EF3273">
      <w:pPr>
        <w:pStyle w:val="EndnoteText"/>
        <w:rPr>
          <w:lang w:val="en-AU"/>
        </w:rPr>
      </w:pPr>
    </w:p>
  </w:footnote>
  <w:footnote w:id="34">
    <w:p w14:paraId="26CDC54A" w14:textId="27353DB3" w:rsidR="00B97073"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Duane L Christensen, </w:t>
      </w:r>
      <w:r w:rsidRPr="0072758C">
        <w:rPr>
          <w:i/>
          <w:iCs/>
          <w:lang w:val="en-AU"/>
        </w:rPr>
        <w:t>Deuteronomy 1–21:9</w:t>
      </w:r>
      <w:r w:rsidRPr="0072758C">
        <w:rPr>
          <w:lang w:val="en-AU"/>
        </w:rPr>
        <w:t> (Nashville, TN: Thomas Nelson, 2001), 381</w:t>
      </w:r>
      <w:r w:rsidR="008876F8" w:rsidRPr="0072758C">
        <w:rPr>
          <w:lang w:val="en-AU"/>
        </w:rPr>
        <w:t>; For more information on the biblical harem restrictions, see Beverly Cushman, “The Politics of the Royal Harem and the Case of Bat-Sheba,” </w:t>
      </w:r>
      <w:r w:rsidR="008876F8" w:rsidRPr="0072758C">
        <w:rPr>
          <w:i/>
          <w:iCs/>
          <w:lang w:val="en-AU"/>
        </w:rPr>
        <w:t>Journal for the Study of the Old Testament</w:t>
      </w:r>
      <w:r w:rsidR="008876F8" w:rsidRPr="0072758C">
        <w:rPr>
          <w:lang w:val="en-AU"/>
        </w:rPr>
        <w:t> 30 (2006): 327–43</w:t>
      </w:r>
      <w:r w:rsidR="00B97073" w:rsidRPr="0072758C">
        <w:rPr>
          <w:lang w:val="en-AU"/>
        </w:rPr>
        <w:t>; Kristin Weingart, “‘My Father, My Father! Chariot of Israel and Its Horses!’ (2 Kings 2:12 // 13:14): Elisha’s or Elijah’s Title?” </w:t>
      </w:r>
      <w:r w:rsidR="00B97073" w:rsidRPr="0072758C">
        <w:rPr>
          <w:i/>
          <w:iCs/>
          <w:lang w:val="en-AU"/>
        </w:rPr>
        <w:t>Journal of Biblical Literature</w:t>
      </w:r>
      <w:r w:rsidR="00B97073" w:rsidRPr="0072758C">
        <w:rPr>
          <w:lang w:val="en-AU"/>
        </w:rPr>
        <w:t> 137</w:t>
      </w:r>
      <w:r w:rsidR="008D5C7D" w:rsidRPr="0072758C">
        <w:rPr>
          <w:lang w:val="en-AU"/>
        </w:rPr>
        <w:t xml:space="preserve"> </w:t>
      </w:r>
      <w:r w:rsidR="00B97073" w:rsidRPr="0072758C">
        <w:rPr>
          <w:lang w:val="en-AU"/>
        </w:rPr>
        <w:t>(2018): 257–70.</w:t>
      </w:r>
    </w:p>
    <w:p w14:paraId="43A943B9" w14:textId="77777777" w:rsidR="005A073E" w:rsidRPr="0072758C" w:rsidRDefault="005A073E" w:rsidP="00EF3273">
      <w:pPr>
        <w:pStyle w:val="EndnoteText"/>
        <w:rPr>
          <w:lang w:val="en-AU"/>
        </w:rPr>
      </w:pPr>
    </w:p>
  </w:footnote>
  <w:footnote w:id="35">
    <w:p w14:paraId="4F97F150" w14:textId="57571843" w:rsidR="005A073E"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Yoram Hazony, “The Biblical Case for A Limited Government,” </w:t>
      </w:r>
      <w:r w:rsidRPr="0072758C">
        <w:rPr>
          <w:i/>
          <w:iCs/>
          <w:lang w:val="en-AU"/>
        </w:rPr>
        <w:t>First Things: A Monthly Journal of Religion and Public Life</w:t>
      </w:r>
      <w:r w:rsidRPr="0072758C">
        <w:rPr>
          <w:lang w:val="en-AU"/>
        </w:rPr>
        <w:t xml:space="preserve"> 226 (2012)</w:t>
      </w:r>
      <w:r w:rsidR="00DD168B" w:rsidRPr="0072758C">
        <w:rPr>
          <w:lang w:val="en-AU"/>
        </w:rPr>
        <w:t>: 41</w:t>
      </w:r>
      <w:r w:rsidRPr="0072758C">
        <w:rPr>
          <w:lang w:val="en-AU"/>
        </w:rPr>
        <w:t>.</w:t>
      </w:r>
    </w:p>
    <w:p w14:paraId="1311737D" w14:textId="77777777" w:rsidR="005A073E" w:rsidRPr="0072758C" w:rsidRDefault="005A073E" w:rsidP="00EF3273">
      <w:pPr>
        <w:pStyle w:val="EndnoteText"/>
        <w:rPr>
          <w:lang w:val="en-AU"/>
        </w:rPr>
      </w:pPr>
    </w:p>
  </w:footnote>
  <w:footnote w:id="36">
    <w:p w14:paraId="1D709425" w14:textId="384D7378" w:rsidR="00B97073"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For a description of the introduction of horses and chariots into Egypt, as well as how chariots were constructed, see Robert B. Partridge, </w:t>
      </w:r>
      <w:r w:rsidRPr="0072758C">
        <w:rPr>
          <w:i/>
          <w:iCs/>
          <w:lang w:val="en-AU"/>
        </w:rPr>
        <w:t>Fighting Pharaohs</w:t>
      </w:r>
      <w:r w:rsidRPr="0072758C">
        <w:rPr>
          <w:lang w:val="en-AU"/>
        </w:rPr>
        <w:t xml:space="preserve"> (Manchester: Peartree, 2002), 60–74</w:t>
      </w:r>
      <w:r w:rsidR="00B97073" w:rsidRPr="0072758C">
        <w:rPr>
          <w:lang w:val="en-AU"/>
        </w:rPr>
        <w:t>; James Bowden, “‘Send the Archers’: Archery’s Primary Role in Canaanite-Levantine Military Thought,” </w:t>
      </w:r>
      <w:r w:rsidR="00B97073" w:rsidRPr="0072758C">
        <w:rPr>
          <w:i/>
          <w:iCs/>
          <w:lang w:val="en-AU"/>
        </w:rPr>
        <w:t>Revista Universitaria de Historia Militar</w:t>
      </w:r>
      <w:r w:rsidR="00B97073" w:rsidRPr="0072758C">
        <w:rPr>
          <w:lang w:val="en-AU"/>
        </w:rPr>
        <w:t> 9</w:t>
      </w:r>
      <w:r w:rsidR="0058535C" w:rsidRPr="0072758C">
        <w:rPr>
          <w:lang w:val="en-AU"/>
        </w:rPr>
        <w:t xml:space="preserve"> </w:t>
      </w:r>
      <w:r w:rsidR="00B97073" w:rsidRPr="0072758C">
        <w:rPr>
          <w:lang w:val="en-AU"/>
        </w:rPr>
        <w:t>(2020): 122–45; Mazzù et. al., “Dynamical Behaviour of Bronze Age War Chariots,” </w:t>
      </w:r>
      <w:r w:rsidR="00B97073" w:rsidRPr="0072758C">
        <w:rPr>
          <w:i/>
          <w:iCs/>
          <w:lang w:val="en-AU"/>
        </w:rPr>
        <w:t>Journal of Archaeological Science: Reports</w:t>
      </w:r>
      <w:r w:rsidR="00B97073" w:rsidRPr="0072758C">
        <w:rPr>
          <w:lang w:val="en-AU"/>
        </w:rPr>
        <w:t> 36 (2021)</w:t>
      </w:r>
      <w:r w:rsidR="004167B1" w:rsidRPr="0072758C">
        <w:rPr>
          <w:lang w:val="en-AU"/>
        </w:rPr>
        <w:t>: 1-15</w:t>
      </w:r>
      <w:r w:rsidR="00B97073" w:rsidRPr="0072758C">
        <w:rPr>
          <w:lang w:val="en-AU"/>
        </w:rPr>
        <w:t>.</w:t>
      </w:r>
    </w:p>
    <w:p w14:paraId="0D9EC63F" w14:textId="77777777" w:rsidR="00BA619F" w:rsidRPr="0072758C" w:rsidRDefault="00BA619F" w:rsidP="00EF3273">
      <w:pPr>
        <w:pStyle w:val="EndnoteText"/>
        <w:ind w:firstLine="720"/>
        <w:rPr>
          <w:lang w:val="en-AU"/>
        </w:rPr>
      </w:pPr>
    </w:p>
  </w:footnote>
  <w:footnote w:id="37">
    <w:p w14:paraId="24F6D14A" w14:textId="78747613" w:rsidR="005A073E"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Ian Shaw, </w:t>
      </w:r>
      <w:r w:rsidRPr="0072758C">
        <w:rPr>
          <w:i/>
          <w:iCs/>
          <w:lang w:val="en-AU"/>
        </w:rPr>
        <w:t>Egyptian Warfare and Weapons, Shire Egyptology</w:t>
      </w:r>
      <w:r w:rsidRPr="0072758C">
        <w:rPr>
          <w:lang w:val="en-AU"/>
        </w:rPr>
        <w:t xml:space="preserve"> (Buckinghamshire: Shire, 1991), 41;</w:t>
      </w:r>
      <w:r w:rsidR="00D27DDC" w:rsidRPr="0072758C">
        <w:rPr>
          <w:lang w:val="en-AU"/>
        </w:rPr>
        <w:t xml:space="preserve"> R. Cox, </w:t>
      </w:r>
      <w:r w:rsidR="01B55689" w:rsidRPr="0072758C">
        <w:rPr>
          <w:sz w:val="19"/>
          <w:szCs w:val="19"/>
          <w:lang w:val="en-AU"/>
        </w:rPr>
        <w:t>“E</w:t>
      </w:r>
      <w:r w:rsidR="01B55689" w:rsidRPr="0072758C">
        <w:rPr>
          <w:lang w:val="en-AU"/>
        </w:rPr>
        <w:t>xpanding the History of the Just War: The Ethics of War in Ancient Egypt,</w:t>
      </w:r>
      <w:r w:rsidR="01B55689" w:rsidRPr="0072758C">
        <w:rPr>
          <w:sz w:val="19"/>
          <w:szCs w:val="19"/>
          <w:lang w:val="en-AU"/>
        </w:rPr>
        <w:t>”</w:t>
      </w:r>
      <w:r w:rsidR="00D27DDC" w:rsidRPr="0072758C">
        <w:rPr>
          <w:lang w:val="en-AU"/>
        </w:rPr>
        <w:t xml:space="preserve"> </w:t>
      </w:r>
      <w:r w:rsidR="00D27DDC" w:rsidRPr="0072758C">
        <w:rPr>
          <w:i/>
          <w:iCs/>
          <w:lang w:val="en-AU"/>
        </w:rPr>
        <w:t>International Studies Quarterly</w:t>
      </w:r>
      <w:r w:rsidR="00644CB2" w:rsidRPr="0072758C">
        <w:rPr>
          <w:lang w:val="en-AU"/>
        </w:rPr>
        <w:t xml:space="preserve"> </w:t>
      </w:r>
      <w:r w:rsidR="00D27DDC" w:rsidRPr="0072758C">
        <w:rPr>
          <w:lang w:val="en-AU"/>
        </w:rPr>
        <w:t>61 (2017), 371-384; an</w:t>
      </w:r>
      <w:r w:rsidRPr="0072758C">
        <w:rPr>
          <w:lang w:val="en-AU"/>
        </w:rPr>
        <w:t xml:space="preserve"> example of a biblical story in which a chariot is used for but is not accumulated in excess is found in 2 Sam 15:1–6. Here the narrator presents Absalom’s rebellion in a remarkable way. Absalom surrounded himself with the symbolic military equipment of a ruler, but he did not do anything practical with it; he made no immediate move to gather elite supporters or build an army. Instead, he stationed himself at a point where he could control access to a resource that was apparently more important than wealth or soldiers—people hoping for judgment. He first asked them to identify themselves geographically, by city, but instead they identified themselves in terms of kinship, by tribe. It was only after the conversation had opened with this act of tribal identification that Absalom claimed to perceive the rightness of their case. Despite this the king does not provide them with a hearing.</w:t>
      </w:r>
    </w:p>
    <w:p w14:paraId="2BC7CC0A" w14:textId="77777777" w:rsidR="005A073E" w:rsidRPr="0072758C" w:rsidRDefault="005A073E" w:rsidP="00EF3273">
      <w:pPr>
        <w:pStyle w:val="EndnoteText"/>
        <w:rPr>
          <w:lang w:val="en-AU"/>
        </w:rPr>
      </w:pPr>
    </w:p>
  </w:footnote>
  <w:footnote w:id="38">
    <w:p w14:paraId="2AEB7267" w14:textId="77777777" w:rsidR="005A073E" w:rsidRPr="0072758C" w:rsidRDefault="005A073E" w:rsidP="01B55689">
      <w:pPr>
        <w:pStyle w:val="EndnoteText"/>
        <w:ind w:firstLine="720"/>
        <w:rPr>
          <w:i/>
          <w:iCs/>
          <w:lang w:val="en-AU"/>
        </w:rPr>
      </w:pPr>
      <w:r w:rsidRPr="0072758C">
        <w:rPr>
          <w:rStyle w:val="FootnoteReference"/>
          <w:lang w:val="en-AU"/>
        </w:rPr>
        <w:footnoteRef/>
      </w:r>
      <w:r w:rsidRPr="0072758C">
        <w:rPr>
          <w:lang w:val="en-AU"/>
        </w:rPr>
        <w:t xml:space="preserve"> After David, the book of Micah speaks of divine retribution against YHWH’s own people at the time of the devastating Assyrian campaigns, “Disaster from the Lord descended on the gate of Jerusalem” (1:12). The oracle of Micah 1:12 shows how YHWH does not defend the gates of the city. The Ugaritic prayer is similar, “When a strong foe attacks your gate, a warrior your walls, you shall lift your eyes to Baal [and say]: ‘O Baal, if you drive the strong one from our gate, the warrior from our walls, a bull, O Baal, we shall sanctify’; see</w:t>
      </w:r>
      <w:r w:rsidRPr="0072758C">
        <w:rPr>
          <w:i/>
          <w:iCs/>
          <w:lang w:val="en-AU"/>
        </w:rPr>
        <w:t xml:space="preserve"> </w:t>
      </w:r>
      <w:r w:rsidRPr="0072758C">
        <w:rPr>
          <w:lang w:val="en-AU"/>
        </w:rPr>
        <w:t>Dennis Pardee</w:t>
      </w:r>
      <w:r w:rsidRPr="0072758C">
        <w:rPr>
          <w:i/>
          <w:iCs/>
          <w:lang w:val="en-AU"/>
        </w:rPr>
        <w:t xml:space="preserve">, Ritual and Cult at Ugarit 10 </w:t>
      </w:r>
      <w:r w:rsidRPr="0072758C">
        <w:rPr>
          <w:lang w:val="en-AU"/>
        </w:rPr>
        <w:t>(Atlanta: Society of Biblical Literature, 2002), 149–50 for more information on the Ugarit cult.  In the book of Micah, it is stated: “In anger and wrath (YHWH shall) wreak vengeance” (5:15), but neither natural forces nor conventional weapons are invoked. Not blind to the political realities, the prophet acknowledged the threat from Assyria (5:4) (5:5) and Babylonia (4:10) but did not present their armies as YHWH’s conscripts and even foretold Israelite subjugation of Assyria and Nimrod, should Assyria attack (5:4–5).</w:t>
      </w:r>
    </w:p>
    <w:p w14:paraId="259099EF" w14:textId="77777777" w:rsidR="005A073E" w:rsidRPr="0072758C" w:rsidRDefault="005A073E" w:rsidP="00EF3273">
      <w:pPr>
        <w:pStyle w:val="EndnoteText"/>
        <w:rPr>
          <w:lang w:val="en-AU"/>
        </w:rPr>
      </w:pPr>
    </w:p>
  </w:footnote>
  <w:footnote w:id="39">
    <w:p w14:paraId="03084FB0" w14:textId="6EF92B8A" w:rsidR="00775484" w:rsidRPr="0072758C" w:rsidRDefault="005A073E" w:rsidP="00EF3273">
      <w:pPr>
        <w:pStyle w:val="EndnoteText"/>
        <w:ind w:firstLine="720"/>
        <w:rPr>
          <w:rFonts w:eastAsia="Arial Unicode MS"/>
          <w:color w:val="000000"/>
          <w:shd w:val="clear" w:color="auto" w:fill="FFFFFF"/>
          <w:lang w:val="en-AU"/>
        </w:rPr>
      </w:pPr>
      <w:r w:rsidRPr="0072758C">
        <w:rPr>
          <w:rStyle w:val="FootnoteReference"/>
          <w:lang w:val="en-AU"/>
        </w:rPr>
        <w:footnoteRef/>
      </w:r>
      <w:r w:rsidRPr="0072758C">
        <w:rPr>
          <w:lang w:val="en-AU"/>
        </w:rPr>
        <w:t xml:space="preserve"> J. A. Thompson, </w:t>
      </w:r>
      <w:r w:rsidRPr="0072758C">
        <w:rPr>
          <w:i/>
          <w:iCs/>
          <w:lang w:val="en-AU"/>
        </w:rPr>
        <w:t>Deuteronomy: An Introduction and Commentary</w:t>
      </w:r>
      <w:r w:rsidRPr="0072758C">
        <w:rPr>
          <w:lang w:val="en-AU"/>
        </w:rPr>
        <w:t xml:space="preserve"> (Leicester: InterVarsity, 1974), 205</w:t>
      </w:r>
      <w:r w:rsidR="00F75B8D" w:rsidRPr="0072758C">
        <w:rPr>
          <w:lang w:val="en-AU"/>
        </w:rPr>
        <w:t>.</w:t>
      </w:r>
    </w:p>
    <w:p w14:paraId="4AFD9A6B" w14:textId="77777777" w:rsidR="004E4A56" w:rsidRPr="0072758C" w:rsidRDefault="004E4A56" w:rsidP="00EF3273">
      <w:pPr>
        <w:pStyle w:val="EndnoteText"/>
        <w:rPr>
          <w:lang w:val="en-AU"/>
        </w:rPr>
      </w:pPr>
    </w:p>
  </w:footnote>
  <w:footnote w:id="40">
    <w:p w14:paraId="69CE0ABA" w14:textId="71FF5643" w:rsidR="005A073E"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J. M. Seltzer, </w:t>
      </w:r>
      <w:r w:rsidRPr="0072758C">
        <w:rPr>
          <w:i/>
          <w:iCs/>
          <w:lang w:val="en-AU"/>
        </w:rPr>
        <w:t>War and Peace in the Jewish Tradition</w:t>
      </w:r>
      <w:r w:rsidR="000A4F17" w:rsidRPr="0072758C">
        <w:rPr>
          <w:lang w:val="en-AU"/>
        </w:rPr>
        <w:t>,</w:t>
      </w:r>
      <w:r w:rsidRPr="0072758C">
        <w:rPr>
          <w:lang w:val="en-AU"/>
        </w:rPr>
        <w:t xml:space="preserve"> eds. Lawrence H. Schiffman and Joel B. Wolowelsky (New York: Michael Scharf Publication Trust of the Yeshiva University Press, 2007), 95.</w:t>
      </w:r>
    </w:p>
  </w:footnote>
  <w:footnote w:id="41">
    <w:p w14:paraId="5F71A061" w14:textId="35007207" w:rsidR="00E96EBC" w:rsidRPr="0072758C" w:rsidRDefault="00E96EBC" w:rsidP="00EF3273">
      <w:pPr>
        <w:pStyle w:val="EndnoteText"/>
        <w:ind w:firstLine="720"/>
        <w:rPr>
          <w:lang w:val="en-AU"/>
        </w:rPr>
      </w:pPr>
      <w:r w:rsidRPr="0072758C">
        <w:rPr>
          <w:rStyle w:val="FootnoteReference"/>
          <w:lang w:val="en-AU"/>
        </w:rPr>
        <w:footnoteRef/>
      </w:r>
      <w:r w:rsidRPr="0072758C">
        <w:rPr>
          <w:lang w:val="en-AU"/>
        </w:rPr>
        <w:t xml:space="preserve"> Elizabeth Bloch-Smith, “The Impact of Siege Warfare on Biblical Conceptualizations </w:t>
      </w:r>
      <w:r w:rsidR="00DF2BEE">
        <w:rPr>
          <w:lang w:val="en-AU"/>
        </w:rPr>
        <w:t>of</w:t>
      </w:r>
      <w:r w:rsidRPr="0072758C">
        <w:rPr>
          <w:lang w:val="en-AU"/>
        </w:rPr>
        <w:t xml:space="preserve"> YHWH,” </w:t>
      </w:r>
      <w:r w:rsidRPr="0072758C">
        <w:rPr>
          <w:i/>
          <w:iCs/>
          <w:lang w:val="en-AU"/>
        </w:rPr>
        <w:t>Journal of Biblical Literature</w:t>
      </w:r>
      <w:r w:rsidRPr="0072758C">
        <w:rPr>
          <w:lang w:val="en-AU"/>
        </w:rPr>
        <w:t> 137 (2018): 19.  For more understanding of the context for the military practice during 8</w:t>
      </w:r>
      <w:r w:rsidRPr="0072758C">
        <w:rPr>
          <w:vertAlign w:val="superscript"/>
          <w:lang w:val="en-AU"/>
        </w:rPr>
        <w:t>th</w:t>
      </w:r>
      <w:r w:rsidRPr="0072758C">
        <w:rPr>
          <w:lang w:val="en-AU"/>
        </w:rPr>
        <w:t xml:space="preserve"> century BCE, see Michael G. Hasel, </w:t>
      </w:r>
      <w:r w:rsidRPr="0072758C">
        <w:rPr>
          <w:i/>
          <w:iCs/>
          <w:lang w:val="en-AU"/>
        </w:rPr>
        <w:t>Military Practice and Polemic: Israel’s Laws of Warfare in Near Eastern Perspective</w:t>
      </w:r>
      <w:r w:rsidRPr="0072758C">
        <w:rPr>
          <w:lang w:val="en-AU"/>
        </w:rPr>
        <w:t xml:space="preserve"> (Berrien Springs, MI: Andrews University Press, 2005), 107. </w:t>
      </w:r>
    </w:p>
    <w:p w14:paraId="252298A9" w14:textId="77777777" w:rsidR="00E96EBC" w:rsidRPr="0072758C" w:rsidRDefault="00E96EBC" w:rsidP="00EF3273">
      <w:pPr>
        <w:pStyle w:val="EndnoteText"/>
        <w:rPr>
          <w:lang w:val="en-AU"/>
        </w:rPr>
      </w:pPr>
    </w:p>
  </w:footnote>
  <w:footnote w:id="42">
    <w:p w14:paraId="74133C96" w14:textId="30FE1BC6" w:rsidR="00CA0E95" w:rsidRPr="0072758C" w:rsidRDefault="00E96EBC" w:rsidP="00EF3273">
      <w:pPr>
        <w:pStyle w:val="EndnoteText"/>
        <w:ind w:firstLine="720"/>
        <w:rPr>
          <w:lang w:val="en-AU"/>
        </w:rPr>
      </w:pPr>
      <w:r w:rsidRPr="0072758C">
        <w:rPr>
          <w:rStyle w:val="FootnoteReference"/>
          <w:lang w:val="en-AU"/>
        </w:rPr>
        <w:footnoteRef/>
      </w:r>
      <w:r w:rsidRPr="0072758C">
        <w:rPr>
          <w:lang w:val="en-AU"/>
        </w:rPr>
        <w:t xml:space="preserve"> The need to show that YHWH was in control and the ruler of all foreign and domestic deities, the metaphor of YHWH is expressed as a heavenly warrior in the book of the Psalms. For more information on YHWH as a warrior metaphor in Psalms, see Martin Klingbeil, </w:t>
      </w:r>
      <w:r w:rsidRPr="0072758C">
        <w:rPr>
          <w:i/>
          <w:iCs/>
          <w:lang w:val="en-AU"/>
        </w:rPr>
        <w:t>Yahweh Fighting from Heaven: God as Warrior and as God of Heaven in the Hebrew Psalter and Ancient Near Eastern Iconography</w:t>
      </w:r>
      <w:r w:rsidR="00CF0052" w:rsidRPr="0072758C">
        <w:rPr>
          <w:lang w:val="en-AU"/>
        </w:rPr>
        <w:t xml:space="preserve"> </w:t>
      </w:r>
      <w:r w:rsidRPr="0072758C">
        <w:rPr>
          <w:lang w:val="en-AU"/>
        </w:rPr>
        <w:t>(Göttingen: Vandenhoeck &amp; Ruprecht, 1999)</w:t>
      </w:r>
      <w:r w:rsidR="00CA0E95" w:rsidRPr="0072758C">
        <w:rPr>
          <w:lang w:val="en-AU"/>
        </w:rPr>
        <w:t>. For a discussion on the role of YHWH and the Ark’s role in the act of war, see Thomas Roemer, “The Ark of Yhwh: From War to Alliance,” </w:t>
      </w:r>
      <w:r w:rsidR="00CA0E95" w:rsidRPr="0072758C">
        <w:rPr>
          <w:i/>
          <w:iCs/>
          <w:lang w:val="en-AU"/>
        </w:rPr>
        <w:t>Etudes Theologiques et Religieuses</w:t>
      </w:r>
      <w:r w:rsidR="00CA0E95" w:rsidRPr="0072758C">
        <w:rPr>
          <w:lang w:val="en-AU"/>
        </w:rPr>
        <w:t xml:space="preserve"> 94 (2019): 95–108. </w:t>
      </w:r>
    </w:p>
    <w:p w14:paraId="37D65C17" w14:textId="77777777" w:rsidR="00E96EBC" w:rsidRPr="0072758C" w:rsidRDefault="00E96EBC" w:rsidP="00EF3273">
      <w:pPr>
        <w:pStyle w:val="EndnoteText"/>
        <w:rPr>
          <w:lang w:val="en-AU"/>
        </w:rPr>
      </w:pPr>
    </w:p>
  </w:footnote>
  <w:footnote w:id="43">
    <w:p w14:paraId="0EEBB8EF" w14:textId="3BEA8C80" w:rsidR="0044275D" w:rsidRPr="0072758C" w:rsidRDefault="00FD5F44" w:rsidP="00C91D5B">
      <w:pPr>
        <w:pStyle w:val="EndnoteText"/>
        <w:ind w:firstLine="720"/>
        <w:rPr>
          <w:lang w:val="en-AU"/>
        </w:rPr>
      </w:pPr>
      <w:r w:rsidRPr="0072758C">
        <w:rPr>
          <w:rStyle w:val="FootnoteReference"/>
          <w:lang w:val="en-AU"/>
        </w:rPr>
        <w:footnoteRef/>
      </w:r>
      <w:r w:rsidRPr="0072758C">
        <w:rPr>
          <w:lang w:val="en-AU"/>
        </w:rPr>
        <w:t xml:space="preserve"> </w:t>
      </w:r>
      <w:r w:rsidR="0044275D" w:rsidRPr="0072758C">
        <w:rPr>
          <w:lang w:val="en-AU"/>
        </w:rPr>
        <w:t xml:space="preserve">Kingdoms such as the </w:t>
      </w:r>
      <w:r w:rsidR="00C91D5B" w:rsidRPr="0072758C">
        <w:rPr>
          <w:lang w:val="en-AU"/>
        </w:rPr>
        <w:t>Sumerians</w:t>
      </w:r>
      <w:r w:rsidR="0044275D" w:rsidRPr="0072758C">
        <w:rPr>
          <w:lang w:val="en-AU"/>
        </w:rPr>
        <w:t xml:space="preserve"> had</w:t>
      </w:r>
      <w:r w:rsidR="00C91D5B">
        <w:rPr>
          <w:lang w:val="en-AU"/>
        </w:rPr>
        <w:t xml:space="preserve"> stele inscribed, which is </w:t>
      </w:r>
      <w:r w:rsidR="00C91D5B" w:rsidRPr="00C91D5B">
        <w:t>a stone or wooden slab, generally taller than it is wide</w:t>
      </w:r>
      <w:r w:rsidR="00C91D5B">
        <w:t xml:space="preserve">, showing how the Sumerian state sponsored warfare. These dated to 2500 BCE.  They were found in Lagash (known also as Telloh and Ginsu). This is before the </w:t>
      </w:r>
      <w:r w:rsidR="0044275D" w:rsidRPr="0072758C">
        <w:rPr>
          <w:lang w:val="en-AU"/>
        </w:rPr>
        <w:t xml:space="preserve">Babylonian </w:t>
      </w:r>
      <w:r w:rsidR="00C91D5B">
        <w:rPr>
          <w:lang w:val="en-AU"/>
        </w:rPr>
        <w:t>K</w:t>
      </w:r>
      <w:r w:rsidR="0044275D" w:rsidRPr="0072758C">
        <w:rPr>
          <w:lang w:val="en-AU"/>
        </w:rPr>
        <w:t>ing Hammurabi (1792</w:t>
      </w:r>
      <w:r w:rsidR="00C91D5B">
        <w:rPr>
          <w:lang w:val="en-AU"/>
        </w:rPr>
        <w:t xml:space="preserve"> BCE</w:t>
      </w:r>
      <w:r w:rsidR="00AA176A">
        <w:rPr>
          <w:lang w:val="en-AU"/>
        </w:rPr>
        <w:t>–</w:t>
      </w:r>
      <w:r w:rsidR="0044275D" w:rsidRPr="0072758C">
        <w:rPr>
          <w:lang w:val="en-AU"/>
        </w:rPr>
        <w:t>1750 B</w:t>
      </w:r>
      <w:r w:rsidR="00C91D5B">
        <w:rPr>
          <w:lang w:val="en-AU"/>
        </w:rPr>
        <w:t>CE</w:t>
      </w:r>
      <w:r w:rsidR="0044275D" w:rsidRPr="0072758C">
        <w:rPr>
          <w:lang w:val="en-AU"/>
        </w:rPr>
        <w:t>) produc</w:t>
      </w:r>
      <w:r w:rsidR="00C91D5B">
        <w:rPr>
          <w:lang w:val="en-AU"/>
        </w:rPr>
        <w:t xml:space="preserve">ed </w:t>
      </w:r>
      <w:r w:rsidR="0044275D" w:rsidRPr="0072758C">
        <w:rPr>
          <w:lang w:val="en-AU"/>
        </w:rPr>
        <w:t xml:space="preserve">the Code of Hammurabi, which had laws for soldiers and fighting. </w:t>
      </w:r>
    </w:p>
  </w:footnote>
  <w:footnote w:id="44">
    <w:p w14:paraId="207E757D" w14:textId="77777777" w:rsidR="005A073E" w:rsidRPr="0072758C" w:rsidRDefault="005A073E" w:rsidP="00EF3273">
      <w:pPr>
        <w:pStyle w:val="EndnoteText"/>
        <w:rPr>
          <w:lang w:val="en-AU"/>
        </w:rPr>
      </w:pPr>
    </w:p>
    <w:p w14:paraId="68032073" w14:textId="25B46AB3" w:rsidR="00D649FE" w:rsidRPr="0072758C" w:rsidRDefault="005A073E" w:rsidP="00EF3273">
      <w:pPr>
        <w:pStyle w:val="EndnoteText"/>
        <w:ind w:firstLine="720"/>
        <w:rPr>
          <w:i/>
          <w:iCs/>
          <w:lang w:val="en-AU"/>
        </w:rPr>
      </w:pPr>
      <w:r w:rsidRPr="0072758C">
        <w:rPr>
          <w:rStyle w:val="FootnoteReference"/>
          <w:lang w:val="en-AU"/>
        </w:rPr>
        <w:footnoteRef/>
      </w:r>
      <w:r w:rsidRPr="0072758C">
        <w:rPr>
          <w:lang w:val="en-AU"/>
        </w:rPr>
        <w:t xml:space="preserve"> </w:t>
      </w:r>
      <w:r w:rsidR="0044275D" w:rsidRPr="0072758C">
        <w:rPr>
          <w:lang w:val="en-AU"/>
        </w:rPr>
        <w:t>Martin Klingbeil</w:t>
      </w:r>
      <w:r w:rsidRPr="0072758C">
        <w:rPr>
          <w:iCs/>
          <w:lang w:val="en-AU"/>
        </w:rPr>
        <w:t>,</w:t>
      </w:r>
      <w:r w:rsidR="00D649FE" w:rsidRPr="0072758C">
        <w:rPr>
          <w:iCs/>
          <w:lang w:val="en-AU"/>
        </w:rPr>
        <w:t xml:space="preserve"> </w:t>
      </w:r>
      <w:r w:rsidR="00D649FE" w:rsidRPr="0072758C">
        <w:rPr>
          <w:i/>
          <w:iCs/>
          <w:lang w:val="en-AU"/>
        </w:rPr>
        <w:t xml:space="preserve">Yahweh Fighting from Heaven: God as Warrior and as God of Heaven in the </w:t>
      </w:r>
    </w:p>
    <w:p w14:paraId="2E6DEFD0" w14:textId="70A66225" w:rsidR="005A073E" w:rsidRPr="0072758C" w:rsidRDefault="01B55689" w:rsidP="01B55689">
      <w:pPr>
        <w:pStyle w:val="EndnoteText"/>
        <w:rPr>
          <w:lang w:val="en-AU"/>
        </w:rPr>
      </w:pPr>
      <w:r w:rsidRPr="0072758C">
        <w:rPr>
          <w:i/>
          <w:iCs/>
          <w:lang w:val="en-AU"/>
        </w:rPr>
        <w:t>Hebrew Psalter and Ancient Near Eastern Iconography</w:t>
      </w:r>
      <w:r w:rsidRPr="0072758C">
        <w:rPr>
          <w:lang w:val="en-AU"/>
        </w:rPr>
        <w:t xml:space="preserve"> (Göttingen: Vandenhoeck &amp; Ruprecht, 1999), 95; Adia Mendelson Maoz, “Lives of Wars and Trauma,” </w:t>
      </w:r>
      <w:r w:rsidRPr="0072758C">
        <w:rPr>
          <w:i/>
          <w:iCs/>
          <w:lang w:val="en-AU"/>
        </w:rPr>
        <w:t>Hebrew Studies</w:t>
      </w:r>
      <w:r w:rsidRPr="0072758C">
        <w:rPr>
          <w:lang w:val="en-AU"/>
        </w:rPr>
        <w:t> 59 (2018): 421–30. </w:t>
      </w:r>
    </w:p>
    <w:p w14:paraId="4A95C944" w14:textId="77777777" w:rsidR="005A073E" w:rsidRPr="0072758C" w:rsidRDefault="005A073E" w:rsidP="00EF3273">
      <w:pPr>
        <w:pStyle w:val="EndnoteText"/>
        <w:rPr>
          <w:lang w:val="en-AU"/>
        </w:rPr>
      </w:pPr>
    </w:p>
  </w:footnote>
  <w:footnote w:id="45">
    <w:p w14:paraId="0DBB1D72" w14:textId="5B0633E9" w:rsidR="008825E8"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B. Albrektson, </w:t>
      </w:r>
      <w:r w:rsidRPr="0072758C">
        <w:rPr>
          <w:i/>
          <w:iCs/>
          <w:lang w:val="en-AU"/>
        </w:rPr>
        <w:t>History and the Gods</w:t>
      </w:r>
      <w:r w:rsidRPr="0072758C">
        <w:rPr>
          <w:lang w:val="en-AU"/>
        </w:rPr>
        <w:t> (Winona Lake: Eisenbrauns, 2011), 34–35</w:t>
      </w:r>
      <w:r w:rsidR="005062F1" w:rsidRPr="0072758C">
        <w:rPr>
          <w:lang w:val="en-AU"/>
        </w:rPr>
        <w:t>.</w:t>
      </w:r>
    </w:p>
    <w:p w14:paraId="7A88F2D4" w14:textId="77777777" w:rsidR="005A073E" w:rsidRPr="0072758C" w:rsidRDefault="005A073E" w:rsidP="00EF3273">
      <w:pPr>
        <w:pStyle w:val="EndnoteText"/>
        <w:rPr>
          <w:lang w:val="en-AU"/>
        </w:rPr>
      </w:pPr>
    </w:p>
  </w:footnote>
  <w:footnote w:id="46">
    <w:p w14:paraId="36F854E7" w14:textId="4A6A6C48" w:rsidR="004C3F11" w:rsidRDefault="004C3F11" w:rsidP="004C3F11">
      <w:pPr>
        <w:pStyle w:val="FootnoteText"/>
        <w:ind w:firstLine="720"/>
      </w:pPr>
      <w:r>
        <w:rPr>
          <w:rStyle w:val="FootnoteReference"/>
        </w:rPr>
        <w:footnoteRef/>
      </w:r>
      <w:r>
        <w:t xml:space="preserve"> Ibid.</w:t>
      </w:r>
    </w:p>
    <w:p w14:paraId="6FC8D4FA" w14:textId="77777777" w:rsidR="007B6532" w:rsidRPr="004C3F11" w:rsidRDefault="007B6532" w:rsidP="004C3F11">
      <w:pPr>
        <w:pStyle w:val="FootnoteText"/>
        <w:ind w:firstLine="720"/>
        <w:rPr>
          <w:lang w:val="en-US"/>
        </w:rPr>
      </w:pPr>
    </w:p>
  </w:footnote>
  <w:footnote w:id="47">
    <w:p w14:paraId="03BD2F70" w14:textId="67E9DC4C" w:rsidR="00674090"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James K. Hoffmeier, </w:t>
      </w:r>
      <w:r w:rsidRPr="0072758C">
        <w:rPr>
          <w:i/>
          <w:iCs/>
          <w:lang w:val="en-AU"/>
        </w:rPr>
        <w:t>Israel in Egypt</w:t>
      </w:r>
      <w:r w:rsidRPr="0072758C">
        <w:rPr>
          <w:lang w:val="en-AU"/>
        </w:rPr>
        <w:t xml:space="preserve"> (Oxford: Oxford University Press, 1996), 42</w:t>
      </w:r>
      <w:r w:rsidR="00674090" w:rsidRPr="0072758C">
        <w:rPr>
          <w:lang w:val="en-AU"/>
        </w:rPr>
        <w:t>; Paul Hinlicky, “The Theology of the Divine Warrior in the Book of Joshua,” </w:t>
      </w:r>
      <w:r w:rsidR="00674090" w:rsidRPr="0072758C">
        <w:rPr>
          <w:i/>
          <w:iCs/>
          <w:lang w:val="en-AU"/>
        </w:rPr>
        <w:t>Word &amp; World</w:t>
      </w:r>
      <w:r w:rsidR="00674090" w:rsidRPr="0072758C">
        <w:rPr>
          <w:lang w:val="en-AU"/>
        </w:rPr>
        <w:t> 37 (2017): 271–80.</w:t>
      </w:r>
    </w:p>
    <w:p w14:paraId="34D1161D" w14:textId="77777777" w:rsidR="00674090" w:rsidRPr="0072758C" w:rsidRDefault="00674090" w:rsidP="00F5340B">
      <w:pPr>
        <w:pStyle w:val="EndnoteText"/>
        <w:rPr>
          <w:lang w:val="en-AU"/>
        </w:rPr>
      </w:pPr>
    </w:p>
  </w:footnote>
  <w:footnote w:id="48">
    <w:p w14:paraId="7F9B6F17" w14:textId="11B084D0" w:rsidR="005A073E"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Waltzer, “War and Peace in the Jewish Tradition,” in </w:t>
      </w:r>
      <w:r w:rsidRPr="0072758C">
        <w:rPr>
          <w:i/>
          <w:iCs/>
          <w:lang w:val="en-AU"/>
        </w:rPr>
        <w:t>The Ethics of War and Peace</w:t>
      </w:r>
      <w:r w:rsidRPr="0072758C">
        <w:rPr>
          <w:lang w:val="en-AU"/>
        </w:rPr>
        <w:t>, ed. Terry Nardin, (Princeton: Princeton University Press, 1996)</w:t>
      </w:r>
      <w:r w:rsidR="00013BF9" w:rsidRPr="0072758C">
        <w:rPr>
          <w:lang w:val="en-AU"/>
        </w:rPr>
        <w:t>,</w:t>
      </w:r>
      <w:r w:rsidRPr="0072758C">
        <w:rPr>
          <w:lang w:val="en-AU"/>
        </w:rPr>
        <w:t xml:space="preserve"> 97.</w:t>
      </w:r>
    </w:p>
  </w:footnote>
  <w:footnote w:id="49">
    <w:p w14:paraId="0901D526" w14:textId="77777777" w:rsidR="005A073E" w:rsidRPr="0072758C" w:rsidRDefault="005A073E" w:rsidP="00EF3273">
      <w:pPr>
        <w:pStyle w:val="EndnoteText"/>
        <w:rPr>
          <w:lang w:val="en-AU"/>
        </w:rPr>
      </w:pPr>
    </w:p>
    <w:p w14:paraId="265AB5CC" w14:textId="77777777" w:rsidR="005A073E"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Julius Wellhausen, </w:t>
      </w:r>
      <w:r w:rsidRPr="0072758C">
        <w:rPr>
          <w:i/>
          <w:lang w:val="en-AU"/>
        </w:rPr>
        <w:t>Prolegomena Zur Geschichte Israels</w:t>
      </w:r>
      <w:r w:rsidRPr="0072758C">
        <w:rPr>
          <w:lang w:val="en-AU"/>
        </w:rPr>
        <w:t> (Norderstedt: Hansebooks, 2016).</w:t>
      </w:r>
    </w:p>
    <w:p w14:paraId="00FD2649" w14:textId="77777777" w:rsidR="005A073E" w:rsidRPr="0072758C" w:rsidRDefault="005A073E" w:rsidP="00EF3273">
      <w:pPr>
        <w:pStyle w:val="EndnoteText"/>
        <w:rPr>
          <w:lang w:val="en-AU"/>
        </w:rPr>
      </w:pPr>
    </w:p>
  </w:footnote>
  <w:footnote w:id="50">
    <w:p w14:paraId="0AB26376" w14:textId="77777777" w:rsidR="005A073E"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Anthony David Smith, </w:t>
      </w:r>
      <w:r w:rsidRPr="0072758C">
        <w:rPr>
          <w:i/>
          <w:iCs/>
          <w:lang w:val="en-AU"/>
        </w:rPr>
        <w:t>Chosen Peoples</w:t>
      </w:r>
      <w:r w:rsidRPr="0072758C">
        <w:rPr>
          <w:lang w:val="en-AU"/>
        </w:rPr>
        <w:t> (Oxford: Oxford University Press, 2008), 218–253.</w:t>
      </w:r>
    </w:p>
    <w:p w14:paraId="789E6E65" w14:textId="77777777" w:rsidR="005A073E" w:rsidRPr="0072758C" w:rsidRDefault="005A073E" w:rsidP="00EF3273">
      <w:pPr>
        <w:pStyle w:val="EndnoteText"/>
        <w:rPr>
          <w:lang w:val="en-AU"/>
        </w:rPr>
      </w:pPr>
    </w:p>
  </w:footnote>
  <w:footnote w:id="51">
    <w:p w14:paraId="70FE1DCD" w14:textId="77777777" w:rsidR="005A073E"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Some nations may use peace may be used by people </w:t>
      </w:r>
      <w:proofErr w:type="gramStart"/>
      <w:r w:rsidRPr="0072758C">
        <w:rPr>
          <w:lang w:val="en-AU"/>
        </w:rPr>
        <w:t>as a way to</w:t>
      </w:r>
      <w:proofErr w:type="gramEnd"/>
      <w:r w:rsidRPr="0072758C">
        <w:rPr>
          <w:lang w:val="en-AU"/>
        </w:rPr>
        <w:t xml:space="preserve"> disarm nations making them not capable of defensive measures within an attack.  </w:t>
      </w:r>
    </w:p>
    <w:p w14:paraId="5FCA2281" w14:textId="77777777" w:rsidR="005A073E" w:rsidRPr="0072758C" w:rsidRDefault="005A073E" w:rsidP="00EF3273">
      <w:pPr>
        <w:pStyle w:val="EndnoteText"/>
        <w:rPr>
          <w:lang w:val="en-AU"/>
        </w:rPr>
      </w:pPr>
    </w:p>
  </w:footnote>
  <w:footnote w:id="52">
    <w:p w14:paraId="2FDDDED1" w14:textId="5A5A14B9" w:rsidR="008825E8" w:rsidRPr="0072758C" w:rsidRDefault="005A073E" w:rsidP="00EF3273">
      <w:pPr>
        <w:pStyle w:val="EndnoteText"/>
        <w:ind w:firstLine="720"/>
        <w:rPr>
          <w:lang w:val="en-AU"/>
        </w:rPr>
      </w:pPr>
      <w:r w:rsidRPr="0072758C">
        <w:rPr>
          <w:rStyle w:val="FootnoteReference"/>
          <w:lang w:val="en-AU"/>
        </w:rPr>
        <w:footnoteRef/>
      </w:r>
      <w:r w:rsidRPr="0072758C">
        <w:rPr>
          <w:lang w:val="en-AU"/>
        </w:rPr>
        <w:t xml:space="preserve"> For more scholarship on the use of war as self-defence in Jewish thought, see Elliot N. Dorff, </w:t>
      </w:r>
      <w:r w:rsidRPr="0072758C">
        <w:rPr>
          <w:i/>
          <w:iCs/>
          <w:lang w:val="en-AU"/>
        </w:rPr>
        <w:t xml:space="preserve">To Do the Right and the Good: A Jewish Approach to Modern Social Ethics </w:t>
      </w:r>
      <w:r w:rsidRPr="0072758C">
        <w:rPr>
          <w:lang w:val="en-AU"/>
        </w:rPr>
        <w:t>(Philadelphia: Jewish 46 Publication Society, 2002), 174</w:t>
      </w:r>
      <w:r w:rsidR="008825E8" w:rsidRPr="0072758C">
        <w:rPr>
          <w:lang w:val="en-AU"/>
        </w:rPr>
        <w:t>; William Loader, “What Light Does Matthew’s Use of Mark in Matthew 1–4 Throw on Matthew’s Theological Location?” </w:t>
      </w:r>
      <w:r w:rsidR="008825E8" w:rsidRPr="0072758C">
        <w:rPr>
          <w:i/>
          <w:iCs/>
          <w:lang w:val="en-AU"/>
        </w:rPr>
        <w:t>Hervormde Teologiese Studies</w:t>
      </w:r>
      <w:r w:rsidR="008825E8" w:rsidRPr="0072758C">
        <w:rPr>
          <w:lang w:val="en-AU"/>
        </w:rPr>
        <w:t> 72 (2016): 1–11.</w:t>
      </w:r>
    </w:p>
  </w:footnote>
  <w:footnote w:id="53">
    <w:p w14:paraId="0CC8A410" w14:textId="77777777" w:rsidR="005A073E" w:rsidRPr="0072758C" w:rsidRDefault="005A073E" w:rsidP="00EF3273">
      <w:pPr>
        <w:pStyle w:val="EndnoteText"/>
        <w:rPr>
          <w:lang w:val="en-AU"/>
        </w:rPr>
      </w:pPr>
    </w:p>
    <w:p w14:paraId="084AC186" w14:textId="5596B8D6" w:rsidR="005A073E" w:rsidRPr="0072758C" w:rsidRDefault="005A073E" w:rsidP="00EF3273">
      <w:pPr>
        <w:pStyle w:val="EndnoteText"/>
        <w:ind w:firstLine="720"/>
        <w:rPr>
          <w:i/>
          <w:iCs/>
          <w:lang w:val="en-AU"/>
        </w:rPr>
      </w:pPr>
      <w:r w:rsidRPr="0072758C">
        <w:rPr>
          <w:rStyle w:val="FootnoteReference"/>
          <w:lang w:val="en-AU"/>
        </w:rPr>
        <w:footnoteRef/>
      </w:r>
      <w:r w:rsidRPr="0072758C">
        <w:rPr>
          <w:lang w:val="en-AU"/>
        </w:rPr>
        <w:t xml:space="preserve"> Scott, </w:t>
      </w:r>
      <w:r w:rsidRPr="0072758C">
        <w:rPr>
          <w:i/>
          <w:iCs/>
          <w:lang w:val="en-AU"/>
        </w:rPr>
        <w:t>Jewish Backgrounds of the New Testament</w:t>
      </w:r>
      <w:r w:rsidR="002110D8" w:rsidRPr="0072758C">
        <w:rPr>
          <w:i/>
          <w:iCs/>
          <w:lang w:val="en-AU"/>
        </w:rPr>
        <w:t xml:space="preserve"> </w:t>
      </w:r>
      <w:r w:rsidR="002110D8" w:rsidRPr="0072758C">
        <w:rPr>
          <w:lang w:val="en-AU"/>
        </w:rPr>
        <w:t>(Grand Rapids: Baker Academic, 2000),</w:t>
      </w:r>
      <w:r w:rsidRPr="0072758C">
        <w:rPr>
          <w:i/>
          <w:iCs/>
          <w:lang w:val="en-AU"/>
        </w:rPr>
        <w:t xml:space="preserve"> </w:t>
      </w:r>
      <w:r w:rsidRPr="0072758C">
        <w:rPr>
          <w:iCs/>
          <w:lang w:val="en-AU"/>
        </w:rPr>
        <w:t>311</w:t>
      </w:r>
      <w:r w:rsidRPr="0072758C">
        <w:rPr>
          <w:i/>
          <w:iCs/>
          <w:lang w:val="en-AU"/>
        </w:rPr>
        <w:t>.</w:t>
      </w:r>
    </w:p>
    <w:p w14:paraId="36EEDEA3" w14:textId="77777777" w:rsidR="005A073E" w:rsidRPr="0072758C" w:rsidRDefault="005A073E" w:rsidP="00EF3273">
      <w:pPr>
        <w:pStyle w:val="EndnoteText"/>
        <w:rPr>
          <w:lang w:val="en-AU"/>
        </w:rPr>
      </w:pPr>
    </w:p>
  </w:footnote>
  <w:footnote w:id="54">
    <w:p w14:paraId="76DF67F3" w14:textId="77777777" w:rsidR="00E77006" w:rsidRPr="0072758C" w:rsidRDefault="00E77006" w:rsidP="00EF3273">
      <w:pPr>
        <w:pStyle w:val="EndnoteText"/>
        <w:ind w:firstLine="720"/>
        <w:rPr>
          <w:lang w:val="en-AU"/>
        </w:rPr>
      </w:pPr>
      <w:r w:rsidRPr="0072758C">
        <w:rPr>
          <w:rStyle w:val="FootnoteReference"/>
          <w:lang w:val="en-AU"/>
        </w:rPr>
        <w:footnoteRef/>
      </w:r>
      <w:r w:rsidRPr="0072758C">
        <w:rPr>
          <w:lang w:val="en-AU"/>
        </w:rPr>
        <w:t xml:space="preserve"> Frank-Lothar Hossfeld and Erich Zenger, </w:t>
      </w:r>
      <w:r w:rsidRPr="0072758C">
        <w:rPr>
          <w:i/>
          <w:iCs/>
          <w:lang w:val="en-AU"/>
        </w:rPr>
        <w:t>Psalms 2: A Commentary on Psalms 51–100</w:t>
      </w:r>
      <w:r w:rsidRPr="0072758C">
        <w:rPr>
          <w:lang w:val="en-AU"/>
        </w:rPr>
        <w:t xml:space="preserve"> (Minneapolis: Fortress, 2005), 216. </w:t>
      </w:r>
    </w:p>
    <w:p w14:paraId="73A3BE2D" w14:textId="77777777" w:rsidR="00E77006" w:rsidRPr="0072758C" w:rsidRDefault="00E77006" w:rsidP="00EF3273">
      <w:pPr>
        <w:pStyle w:val="EndnoteText"/>
        <w:rPr>
          <w:lang w:val="en-AU"/>
        </w:rPr>
      </w:pPr>
    </w:p>
  </w:footnote>
  <w:footnote w:id="55">
    <w:p w14:paraId="6BC3A993" w14:textId="77777777" w:rsidR="00E77006" w:rsidRPr="0072758C" w:rsidRDefault="00E77006" w:rsidP="00EF3273">
      <w:pPr>
        <w:pStyle w:val="EndnoteText"/>
        <w:ind w:firstLine="720"/>
        <w:rPr>
          <w:lang w:val="en-AU"/>
        </w:rPr>
      </w:pPr>
      <w:r w:rsidRPr="0072758C">
        <w:rPr>
          <w:rStyle w:val="FootnoteReference"/>
          <w:lang w:val="en-AU"/>
        </w:rPr>
        <w:footnoteRef/>
      </w:r>
      <w:r w:rsidRPr="0072758C">
        <w:rPr>
          <w:lang w:val="en-AU"/>
        </w:rPr>
        <w:t xml:space="preserve"> John Goldingay, </w:t>
      </w:r>
      <w:r w:rsidRPr="0072758C">
        <w:rPr>
          <w:i/>
          <w:iCs/>
          <w:lang w:val="en-AU"/>
        </w:rPr>
        <w:t>Psalms</w:t>
      </w:r>
      <w:r w:rsidRPr="0072758C">
        <w:rPr>
          <w:lang w:val="en-AU"/>
        </w:rPr>
        <w:t xml:space="preserve"> (Grand Rapids: Baker, 2008), 2:388; Konrad Schaefer</w:t>
      </w:r>
      <w:r w:rsidRPr="0072758C">
        <w:rPr>
          <w:i/>
          <w:iCs/>
          <w:lang w:val="en-AU"/>
        </w:rPr>
        <w:t>, Psalms</w:t>
      </w:r>
      <w:r w:rsidRPr="0072758C">
        <w:rPr>
          <w:lang w:val="en-AU"/>
        </w:rPr>
        <w:t xml:space="preserve"> (Collegeville: The Liturgical Press, 2001), 174.</w:t>
      </w:r>
    </w:p>
    <w:p w14:paraId="4C4D5587" w14:textId="77777777" w:rsidR="00E77006" w:rsidRPr="0072758C" w:rsidRDefault="00E77006" w:rsidP="00EF3273">
      <w:pPr>
        <w:pStyle w:val="EndnoteText"/>
        <w:rPr>
          <w:lang w:val="en-AU"/>
        </w:rPr>
      </w:pPr>
    </w:p>
  </w:footnote>
  <w:footnote w:id="56">
    <w:p w14:paraId="447BCF10" w14:textId="4B46A701" w:rsidR="007764E7" w:rsidRPr="0072758C" w:rsidRDefault="00E77006" w:rsidP="00EF3273">
      <w:pPr>
        <w:pStyle w:val="EndnoteText"/>
        <w:ind w:firstLine="720"/>
        <w:rPr>
          <w:iCs/>
          <w:lang w:val="en-AU"/>
        </w:rPr>
      </w:pPr>
      <w:r w:rsidRPr="0072758C">
        <w:rPr>
          <w:rStyle w:val="FootnoteReference"/>
          <w:lang w:val="en-AU"/>
        </w:rPr>
        <w:footnoteRef/>
      </w:r>
      <w:r w:rsidRPr="0072758C">
        <w:rPr>
          <w:lang w:val="en-AU"/>
        </w:rPr>
        <w:t xml:space="preserve"> </w:t>
      </w:r>
      <w:r w:rsidR="002110D8" w:rsidRPr="0072758C">
        <w:rPr>
          <w:lang w:val="en-AU"/>
        </w:rPr>
        <w:t xml:space="preserve">Scott, </w:t>
      </w:r>
      <w:r w:rsidR="002110D8" w:rsidRPr="0072758C">
        <w:rPr>
          <w:i/>
          <w:iCs/>
          <w:lang w:val="en-AU"/>
        </w:rPr>
        <w:t xml:space="preserve">Jewish Backgrounds of the New Testament </w:t>
      </w:r>
      <w:r w:rsidR="002110D8" w:rsidRPr="0072758C">
        <w:rPr>
          <w:lang w:val="en-AU"/>
        </w:rPr>
        <w:t>(Grand Rapids: Baker Academic, 2000)</w:t>
      </w:r>
      <w:r w:rsidRPr="0072758C">
        <w:rPr>
          <w:i/>
          <w:iCs/>
          <w:lang w:val="en-AU"/>
        </w:rPr>
        <w:t xml:space="preserve">, </w:t>
      </w:r>
      <w:r w:rsidRPr="0072758C">
        <w:rPr>
          <w:iCs/>
          <w:lang w:val="en-AU"/>
        </w:rPr>
        <w:t>350</w:t>
      </w:r>
      <w:r w:rsidR="007764E7" w:rsidRPr="0072758C">
        <w:rPr>
          <w:iCs/>
          <w:lang w:val="en-AU"/>
        </w:rPr>
        <w:t xml:space="preserve">; Abernethy, Andrew T. </w:t>
      </w:r>
      <w:r w:rsidR="007764E7" w:rsidRPr="0072758C">
        <w:rPr>
          <w:i/>
          <w:lang w:val="en-AU"/>
        </w:rPr>
        <w:t xml:space="preserve">God's Messiah in the Old </w:t>
      </w:r>
      <w:r w:rsidR="00CA6253" w:rsidRPr="0072758C">
        <w:rPr>
          <w:i/>
          <w:lang w:val="en-AU"/>
        </w:rPr>
        <w:t>Testament:</w:t>
      </w:r>
      <w:r w:rsidR="007764E7" w:rsidRPr="0072758C">
        <w:rPr>
          <w:i/>
          <w:lang w:val="en-AU"/>
        </w:rPr>
        <w:t xml:space="preserve"> Expectations of a Coming King</w:t>
      </w:r>
      <w:r w:rsidR="007764E7" w:rsidRPr="0072758C">
        <w:rPr>
          <w:iCs/>
          <w:lang w:val="en-AU"/>
        </w:rPr>
        <w:t xml:space="preserve"> (Grand </w:t>
      </w:r>
      <w:r w:rsidR="006E5D7B" w:rsidRPr="0072758C">
        <w:rPr>
          <w:iCs/>
          <w:lang w:val="en-AU"/>
        </w:rPr>
        <w:t>Rapids:</w:t>
      </w:r>
      <w:r w:rsidR="007764E7" w:rsidRPr="0072758C">
        <w:rPr>
          <w:iCs/>
          <w:lang w:val="en-AU"/>
        </w:rPr>
        <w:t xml:space="preserve"> Baker Academic, 2020). </w:t>
      </w:r>
    </w:p>
    <w:p w14:paraId="49BDBB1F" w14:textId="5CC36DDB" w:rsidR="00E77006" w:rsidRPr="0072758C" w:rsidRDefault="00E77006" w:rsidP="00EF3273">
      <w:pPr>
        <w:pStyle w:val="EndnoteText"/>
        <w:rPr>
          <w:iCs/>
          <w:lang w:val="en-AU"/>
        </w:rPr>
      </w:pPr>
    </w:p>
  </w:footnote>
  <w:footnote w:id="57">
    <w:p w14:paraId="0EC05E12" w14:textId="77777777" w:rsidR="00E77006" w:rsidRPr="0072758C" w:rsidRDefault="00E77006" w:rsidP="00F5340B">
      <w:pPr>
        <w:pStyle w:val="EndnoteText"/>
        <w:ind w:firstLine="720"/>
        <w:rPr>
          <w:lang w:val="en-AU"/>
        </w:rPr>
      </w:pPr>
      <w:r w:rsidRPr="0072758C">
        <w:rPr>
          <w:rStyle w:val="FootnoteReference"/>
          <w:lang w:val="en-AU"/>
        </w:rPr>
        <w:footnoteRef/>
      </w:r>
      <w:r w:rsidRPr="0072758C">
        <w:rPr>
          <w:lang w:val="en-AU"/>
        </w:rPr>
        <w:t xml:space="preserve"> Adele Berlin and Marc Brettler, </w:t>
      </w:r>
      <w:r w:rsidRPr="0072758C">
        <w:rPr>
          <w:i/>
          <w:iCs/>
          <w:lang w:val="en-AU"/>
        </w:rPr>
        <w:t>The Jewish Study Bible</w:t>
      </w:r>
      <w:r w:rsidRPr="0072758C">
        <w:rPr>
          <w:lang w:val="en-AU"/>
        </w:rPr>
        <w:t xml:space="preserve"> (Oxford: Oxford University Press, 2014), 1199.</w:t>
      </w:r>
    </w:p>
    <w:p w14:paraId="04E588CC" w14:textId="77777777" w:rsidR="00E77006" w:rsidRPr="0072758C" w:rsidRDefault="00E77006" w:rsidP="00EF3273">
      <w:pPr>
        <w:pStyle w:val="EndnoteText"/>
        <w:rPr>
          <w:lang w:val="en-AU"/>
        </w:rPr>
      </w:pPr>
    </w:p>
  </w:footnote>
  <w:footnote w:id="58">
    <w:p w14:paraId="74BDACAF" w14:textId="4ABFB64D" w:rsidR="00E77006" w:rsidRPr="0072758C" w:rsidRDefault="00E77006" w:rsidP="00F5340B">
      <w:pPr>
        <w:pStyle w:val="EndnoteText"/>
        <w:ind w:firstLine="720"/>
        <w:rPr>
          <w:lang w:val="en-AU"/>
        </w:rPr>
      </w:pPr>
      <w:r w:rsidRPr="0072758C">
        <w:rPr>
          <w:rStyle w:val="FootnoteReference"/>
          <w:lang w:val="en-AU"/>
        </w:rPr>
        <w:footnoteRef/>
      </w:r>
      <w:r w:rsidRPr="0072758C">
        <w:rPr>
          <w:lang w:val="en-AU"/>
        </w:rPr>
        <w:t xml:space="preserve"> Joseph J. Fahey, </w:t>
      </w:r>
      <w:proofErr w:type="gramStart"/>
      <w:r w:rsidRPr="0072758C">
        <w:rPr>
          <w:i/>
          <w:iCs/>
          <w:lang w:val="en-AU"/>
        </w:rPr>
        <w:t>War</w:t>
      </w:r>
      <w:proofErr w:type="gramEnd"/>
      <w:r w:rsidRPr="0072758C">
        <w:rPr>
          <w:i/>
          <w:iCs/>
          <w:lang w:val="en-AU"/>
        </w:rPr>
        <w:t xml:space="preserve"> and the Christian Conscience</w:t>
      </w:r>
      <w:r w:rsidRPr="0072758C">
        <w:rPr>
          <w:lang w:val="en-AU"/>
        </w:rPr>
        <w:t xml:space="preserve"> (Maryknoll: Orbis, 2008), 32.</w:t>
      </w:r>
    </w:p>
    <w:p w14:paraId="37C18303" w14:textId="77777777" w:rsidR="00F5340B" w:rsidRPr="0072758C" w:rsidRDefault="00F5340B" w:rsidP="00EF3273">
      <w:pPr>
        <w:pStyle w:val="EndnoteText"/>
        <w:rPr>
          <w:lang w:val="en-AU"/>
        </w:rPr>
      </w:pPr>
    </w:p>
  </w:footnote>
  <w:footnote w:id="59">
    <w:p w14:paraId="0B4ACB11" w14:textId="30F991B8" w:rsidR="006E5D7B" w:rsidRPr="0072758C" w:rsidRDefault="00E77006" w:rsidP="00F5340B">
      <w:pPr>
        <w:pStyle w:val="EndnoteText"/>
        <w:ind w:firstLine="720"/>
        <w:rPr>
          <w:lang w:val="en-AU"/>
        </w:rPr>
      </w:pPr>
      <w:r w:rsidRPr="0072758C">
        <w:rPr>
          <w:rStyle w:val="FootnoteReference"/>
          <w:lang w:val="en-AU"/>
        </w:rPr>
        <w:footnoteRef/>
      </w:r>
      <w:r w:rsidRPr="0072758C">
        <w:rPr>
          <w:lang w:val="en-AU"/>
        </w:rPr>
        <w:t xml:space="preserve"> David H. Stern, </w:t>
      </w:r>
      <w:r w:rsidRPr="0072758C">
        <w:rPr>
          <w:i/>
          <w:iCs/>
          <w:lang w:val="en-AU"/>
        </w:rPr>
        <w:t>Jewish New Testament Commentary</w:t>
      </w:r>
      <w:r w:rsidRPr="0072758C">
        <w:rPr>
          <w:lang w:val="en-AU"/>
        </w:rPr>
        <w:t xml:space="preserve"> (Clarksville: Jewish New Testament Publications, 1992), 213.</w:t>
      </w:r>
      <w:r w:rsidR="006E5D7B" w:rsidRPr="0072758C">
        <w:rPr>
          <w:lang w:val="en-AU"/>
        </w:rPr>
        <w:t xml:space="preserve"> See also Fischer’s discussion of YHWH and Micah 4 regarding divine power, Irmtraud Fischer, “World Peace and ‘Holy War’ -- Two Sides of the Same Theological Concept: ‘YHWH as Sole Divine Power’ (A Canonical-Intertextual Reading of Isaiah 2:1-5, Joel 4:9-21, and Micah 4:1-5),” In </w:t>
      </w:r>
      <w:r w:rsidR="006E5D7B" w:rsidRPr="0072758C">
        <w:rPr>
          <w:i/>
          <w:iCs/>
          <w:lang w:val="en-AU"/>
        </w:rPr>
        <w:t>Isaiah’s Vision of Peace in Biblical and Modern International Relations: Swords into Plowshares</w:t>
      </w:r>
      <w:r w:rsidR="006E5D7B" w:rsidRPr="0072758C">
        <w:rPr>
          <w:lang w:val="en-AU"/>
        </w:rPr>
        <w:t>,</w:t>
      </w:r>
      <w:r w:rsidR="0031482D" w:rsidRPr="0072758C">
        <w:rPr>
          <w:lang w:val="en-AU"/>
        </w:rPr>
        <w:t xml:space="preserve"> ed. Raymond Cohen and </w:t>
      </w:r>
      <w:r w:rsidR="00C10E3B" w:rsidRPr="0072758C">
        <w:rPr>
          <w:lang w:val="en-AU"/>
        </w:rPr>
        <w:t xml:space="preserve">Raymond Westbrook </w:t>
      </w:r>
      <w:r w:rsidR="0031482D" w:rsidRPr="0072758C">
        <w:rPr>
          <w:lang w:val="en-AU"/>
        </w:rPr>
        <w:t>(New Yor</w:t>
      </w:r>
      <w:r w:rsidR="00C10E3B" w:rsidRPr="0072758C">
        <w:rPr>
          <w:lang w:val="en-AU"/>
        </w:rPr>
        <w:t>k:</w:t>
      </w:r>
      <w:r w:rsidR="0031482D" w:rsidRPr="0072758C">
        <w:rPr>
          <w:lang w:val="en-AU"/>
        </w:rPr>
        <w:t xml:space="preserve"> </w:t>
      </w:r>
      <w:r w:rsidR="00C10E3B" w:rsidRPr="0072758C">
        <w:rPr>
          <w:lang w:val="en-AU"/>
        </w:rPr>
        <w:t>Palgrave Macmillan,</w:t>
      </w:r>
      <w:r w:rsidR="006E5D7B" w:rsidRPr="0072758C">
        <w:rPr>
          <w:lang w:val="en-AU"/>
        </w:rPr>
        <w:t xml:space="preserve"> 2008</w:t>
      </w:r>
      <w:r w:rsidR="0031482D" w:rsidRPr="0072758C">
        <w:rPr>
          <w:lang w:val="en-AU"/>
        </w:rPr>
        <w:t>), 151-65</w:t>
      </w:r>
      <w:r w:rsidR="00C10E3B" w:rsidRPr="0072758C">
        <w:rPr>
          <w:lang w:val="en-AU"/>
        </w:rPr>
        <w:t>.</w:t>
      </w:r>
    </w:p>
    <w:p w14:paraId="4D869F1C" w14:textId="77777777" w:rsidR="00E77006" w:rsidRPr="0072758C" w:rsidRDefault="00E77006" w:rsidP="00EF3273">
      <w:pPr>
        <w:pStyle w:val="EndnoteText"/>
        <w:rPr>
          <w:lang w:val="en-AU"/>
        </w:rPr>
      </w:pPr>
    </w:p>
  </w:footnote>
  <w:footnote w:id="60">
    <w:p w14:paraId="4092CCD7" w14:textId="34DD6ED6" w:rsidR="00E77006" w:rsidRPr="0072758C" w:rsidRDefault="00E77006" w:rsidP="00F5340B">
      <w:pPr>
        <w:pStyle w:val="EndnoteText"/>
        <w:ind w:firstLine="720"/>
        <w:rPr>
          <w:lang w:val="en-AU"/>
        </w:rPr>
      </w:pPr>
      <w:r w:rsidRPr="0072758C">
        <w:rPr>
          <w:rStyle w:val="FootnoteReference"/>
          <w:lang w:val="en-AU"/>
        </w:rPr>
        <w:footnoteRef/>
      </w:r>
      <w:r w:rsidRPr="0072758C">
        <w:rPr>
          <w:lang w:val="en-AU"/>
        </w:rPr>
        <w:t xml:space="preserve"> Berlin and Brettler, </w:t>
      </w:r>
      <w:r w:rsidRPr="0072758C">
        <w:rPr>
          <w:i/>
          <w:iCs/>
          <w:lang w:val="en-AU"/>
        </w:rPr>
        <w:t>The Jewish Study Bible</w:t>
      </w:r>
      <w:r w:rsidR="00B545EF" w:rsidRPr="0072758C">
        <w:rPr>
          <w:lang w:val="en-AU"/>
        </w:rPr>
        <w:t xml:space="preserve">, </w:t>
      </w:r>
      <w:r w:rsidRPr="0072758C">
        <w:rPr>
          <w:lang w:val="en-AU"/>
        </w:rPr>
        <w:t>784.</w:t>
      </w:r>
    </w:p>
    <w:p w14:paraId="5AC91B83" w14:textId="77777777" w:rsidR="00E77006" w:rsidRPr="0072758C" w:rsidRDefault="00E77006" w:rsidP="00EF3273">
      <w:pPr>
        <w:pStyle w:val="EndnoteText"/>
        <w:rPr>
          <w:lang w:val="en-AU"/>
        </w:rPr>
      </w:pPr>
    </w:p>
  </w:footnote>
  <w:footnote w:id="61">
    <w:p w14:paraId="34DC6045" w14:textId="516D98E1" w:rsidR="00A663F2" w:rsidRPr="0072758C" w:rsidRDefault="00A663F2" w:rsidP="00610BBD">
      <w:pPr>
        <w:pStyle w:val="EndnoteText"/>
        <w:ind w:firstLine="720"/>
        <w:rPr>
          <w:iCs/>
          <w:lang w:val="en-AU"/>
        </w:rPr>
      </w:pPr>
      <w:r w:rsidRPr="0072758C">
        <w:rPr>
          <w:rStyle w:val="FootnoteReference"/>
          <w:lang w:val="en-AU"/>
        </w:rPr>
        <w:footnoteRef/>
      </w:r>
      <w:r w:rsidRPr="0072758C">
        <w:rPr>
          <w:lang w:val="en-AU"/>
        </w:rPr>
        <w:t xml:space="preserve"> Boyarin, </w:t>
      </w:r>
      <w:r w:rsidRPr="0072758C">
        <w:rPr>
          <w:i/>
          <w:iCs/>
          <w:lang w:val="en-AU"/>
        </w:rPr>
        <w:t>The Jewish Gospels</w:t>
      </w:r>
      <w:r w:rsidR="00F62C0C" w:rsidRPr="0072758C">
        <w:rPr>
          <w:i/>
          <w:iCs/>
          <w:lang w:val="en-AU"/>
        </w:rPr>
        <w:t xml:space="preserve"> </w:t>
      </w:r>
      <w:r w:rsidR="00F62C0C" w:rsidRPr="0072758C">
        <w:rPr>
          <w:lang w:val="en-AU"/>
        </w:rPr>
        <w:t>(New York: The New York Press, 2012),</w:t>
      </w:r>
      <w:r w:rsidRPr="0072758C">
        <w:rPr>
          <w:i/>
          <w:iCs/>
          <w:lang w:val="en-AU"/>
        </w:rPr>
        <w:t xml:space="preserve"> </w:t>
      </w:r>
      <w:r w:rsidRPr="0072758C">
        <w:rPr>
          <w:iCs/>
          <w:lang w:val="en-AU"/>
        </w:rPr>
        <w:t>72.</w:t>
      </w:r>
    </w:p>
    <w:p w14:paraId="05660838" w14:textId="77777777" w:rsidR="00A663F2" w:rsidRPr="0072758C" w:rsidRDefault="00A663F2" w:rsidP="00EF3273">
      <w:pPr>
        <w:pStyle w:val="EndnoteText"/>
        <w:rPr>
          <w:lang w:val="en-AU"/>
        </w:rPr>
      </w:pPr>
    </w:p>
  </w:footnote>
  <w:footnote w:id="62">
    <w:p w14:paraId="3655F4F5" w14:textId="020EDF31" w:rsidR="00A663F2" w:rsidRPr="0072758C" w:rsidRDefault="00A663F2" w:rsidP="00D77D1E">
      <w:pPr>
        <w:pStyle w:val="EndnoteText"/>
        <w:ind w:firstLine="720"/>
        <w:rPr>
          <w:lang w:val="en-AU"/>
        </w:rPr>
      </w:pPr>
      <w:r w:rsidRPr="0072758C">
        <w:rPr>
          <w:rStyle w:val="FootnoteReference"/>
          <w:lang w:val="en-AU"/>
        </w:rPr>
        <w:footnoteRef/>
      </w:r>
      <w:r w:rsidRPr="0072758C">
        <w:rPr>
          <w:lang w:val="en-AU"/>
        </w:rPr>
        <w:t xml:space="preserve"> H. Wildberger, “Die Thronnamen des Messias, Jes. 9,5b,” </w:t>
      </w:r>
      <w:r w:rsidR="00D77D1E" w:rsidRPr="0072758C">
        <w:rPr>
          <w:i/>
          <w:iCs/>
          <w:lang w:val="en-AU"/>
        </w:rPr>
        <w:t xml:space="preserve">Theologische Zeitschrift </w:t>
      </w:r>
      <w:r w:rsidRPr="0072758C">
        <w:rPr>
          <w:lang w:val="en-AU"/>
        </w:rPr>
        <w:t>16 (1960)</w:t>
      </w:r>
      <w:r w:rsidR="00013BF9" w:rsidRPr="0072758C">
        <w:rPr>
          <w:lang w:val="en-AU"/>
        </w:rPr>
        <w:t>:</w:t>
      </w:r>
      <w:r w:rsidRPr="0072758C">
        <w:rPr>
          <w:lang w:val="en-AU"/>
        </w:rPr>
        <w:t xml:space="preserve"> 314–32. There is research that shows how the authorship of biblical metaphors compares the earthly and divine kingship in such a way that the human descriptions of kings and messiah figures are metaphorical and exaggerated, see, Marc Zvi Brettler</w:t>
      </w:r>
      <w:r w:rsidR="00F62C0C" w:rsidRPr="0072758C">
        <w:rPr>
          <w:lang w:val="en-AU"/>
        </w:rPr>
        <w:t>,</w:t>
      </w:r>
      <w:r w:rsidRPr="0072758C">
        <w:rPr>
          <w:lang w:val="en-AU"/>
        </w:rPr>
        <w:t xml:space="preserve"> </w:t>
      </w:r>
      <w:r w:rsidRPr="0072758C">
        <w:rPr>
          <w:i/>
          <w:iCs/>
          <w:lang w:val="en-AU"/>
        </w:rPr>
        <w:t>God is King: Understanding an Israelite Metaphor</w:t>
      </w:r>
      <w:r w:rsidRPr="0072758C">
        <w:rPr>
          <w:lang w:val="en-AU"/>
        </w:rPr>
        <w:t xml:space="preserve"> (Sheffield: JSOT, 198</w:t>
      </w:r>
      <w:r w:rsidR="00285FFB" w:rsidRPr="0072758C">
        <w:rPr>
          <w:lang w:val="en-AU"/>
        </w:rPr>
        <w:t>9).</w:t>
      </w:r>
    </w:p>
    <w:p w14:paraId="1AA31FB7" w14:textId="77777777" w:rsidR="00A663F2" w:rsidRPr="0072758C" w:rsidRDefault="00A663F2" w:rsidP="00EF3273">
      <w:pPr>
        <w:pStyle w:val="EndnoteText"/>
        <w:rPr>
          <w:lang w:val="en-AU"/>
        </w:rPr>
      </w:pPr>
    </w:p>
  </w:footnote>
  <w:footnote w:id="63">
    <w:p w14:paraId="7F04789B" w14:textId="77777777" w:rsidR="00A663F2" w:rsidRPr="0072758C" w:rsidRDefault="00A663F2" w:rsidP="00610BBD">
      <w:pPr>
        <w:pStyle w:val="EndnoteText"/>
        <w:ind w:firstLine="720"/>
        <w:rPr>
          <w:i/>
          <w:lang w:val="en-AU"/>
        </w:rPr>
      </w:pPr>
      <w:r w:rsidRPr="0072758C">
        <w:rPr>
          <w:rStyle w:val="FootnoteReference"/>
          <w:lang w:val="en-AU"/>
        </w:rPr>
        <w:footnoteRef/>
      </w:r>
      <w:r w:rsidRPr="0072758C">
        <w:rPr>
          <w:lang w:val="en-AU"/>
        </w:rPr>
        <w:t xml:space="preserve"> In this dissertation the Jewish Publication Society Hebrew Scriptures translation is used throughout (except where otherwise indicated). </w:t>
      </w:r>
      <w:r w:rsidRPr="0072758C">
        <w:rPr>
          <w:iCs/>
          <w:lang w:val="en-AU"/>
        </w:rPr>
        <w:t>See</w:t>
      </w:r>
      <w:r w:rsidRPr="0072758C">
        <w:rPr>
          <w:i/>
          <w:lang w:val="en-AU"/>
        </w:rPr>
        <w:t xml:space="preserve"> </w:t>
      </w:r>
      <w:r w:rsidRPr="0072758C">
        <w:rPr>
          <w:iCs/>
          <w:lang w:val="en-AU"/>
        </w:rPr>
        <w:t>JPS</w:t>
      </w:r>
      <w:r w:rsidRPr="0072758C">
        <w:rPr>
          <w:i/>
          <w:lang w:val="en-AU"/>
        </w:rPr>
        <w:t xml:space="preserve"> Tanakh </w:t>
      </w:r>
      <w:r w:rsidRPr="0072758C">
        <w:rPr>
          <w:iCs/>
          <w:lang w:val="en-AU"/>
        </w:rPr>
        <w:t>(Philadelphia: Jewish Publication Society, 2008)</w:t>
      </w:r>
      <w:r w:rsidRPr="0072758C">
        <w:rPr>
          <w:i/>
          <w:lang w:val="en-AU"/>
        </w:rPr>
        <w:t>.</w:t>
      </w:r>
    </w:p>
    <w:p w14:paraId="6993DD4C" w14:textId="77777777" w:rsidR="00A663F2" w:rsidRPr="0072758C" w:rsidRDefault="00A663F2" w:rsidP="00EF3273">
      <w:pPr>
        <w:pStyle w:val="EndnoteText"/>
        <w:rPr>
          <w:lang w:val="en-AU"/>
        </w:rPr>
      </w:pPr>
      <w:r w:rsidRPr="0072758C">
        <w:rPr>
          <w:lang w:val="en-AU"/>
        </w:rPr>
        <w:tab/>
        <w:t xml:space="preserve"> </w:t>
      </w:r>
    </w:p>
  </w:footnote>
  <w:footnote w:id="64">
    <w:p w14:paraId="689DAAB6" w14:textId="26AB65C0" w:rsidR="00A663F2" w:rsidRPr="0072758C" w:rsidRDefault="00A663F2" w:rsidP="00610BBD">
      <w:pPr>
        <w:pStyle w:val="EndnoteText"/>
        <w:ind w:firstLine="720"/>
        <w:rPr>
          <w:iCs/>
          <w:lang w:val="en-AU"/>
        </w:rPr>
      </w:pPr>
      <w:r w:rsidRPr="0072758C">
        <w:rPr>
          <w:rStyle w:val="FootnoteReference"/>
          <w:lang w:val="en-AU"/>
        </w:rPr>
        <w:footnoteRef/>
      </w:r>
      <w:r w:rsidRPr="0072758C">
        <w:rPr>
          <w:lang w:val="en-AU"/>
        </w:rPr>
        <w:t xml:space="preserve"> Scott, </w:t>
      </w:r>
      <w:r w:rsidRPr="0072758C">
        <w:rPr>
          <w:i/>
          <w:iCs/>
          <w:lang w:val="en-AU"/>
        </w:rPr>
        <w:t xml:space="preserve">Jewish Backgrounds of the New Testament, </w:t>
      </w:r>
      <w:r w:rsidRPr="0072758C">
        <w:rPr>
          <w:iCs/>
          <w:lang w:val="en-AU"/>
        </w:rPr>
        <w:t>302</w:t>
      </w:r>
      <w:r w:rsidR="00256D4F" w:rsidRPr="0072758C">
        <w:rPr>
          <w:iCs/>
          <w:lang w:val="en-AU"/>
        </w:rPr>
        <w:t>; Michael Flowers “The Two Messiahs and Melchiedek in 11QMelchizedek</w:t>
      </w:r>
      <w:r w:rsidR="009C3826" w:rsidRPr="0072758C">
        <w:rPr>
          <w:iCs/>
          <w:lang w:val="en-AU"/>
        </w:rPr>
        <w:t>,</w:t>
      </w:r>
      <w:r w:rsidR="00256D4F" w:rsidRPr="0072758C">
        <w:rPr>
          <w:iCs/>
          <w:lang w:val="en-AU"/>
        </w:rPr>
        <w:t>” </w:t>
      </w:r>
      <w:r w:rsidR="00256D4F" w:rsidRPr="0072758C">
        <w:rPr>
          <w:i/>
          <w:iCs/>
          <w:lang w:val="en-AU"/>
        </w:rPr>
        <w:t>Journal of Ancient Judaism</w:t>
      </w:r>
      <w:r w:rsidR="00256D4F" w:rsidRPr="0072758C">
        <w:rPr>
          <w:iCs/>
          <w:lang w:val="en-AU"/>
        </w:rPr>
        <w:t> 7 (2016): 194–227; Greg Goswell, “The Shape of Messianism in Isaiah 9</w:t>
      </w:r>
      <w:r w:rsidR="009C3826" w:rsidRPr="0072758C">
        <w:rPr>
          <w:iCs/>
          <w:lang w:val="en-AU"/>
        </w:rPr>
        <w:t>,</w:t>
      </w:r>
      <w:r w:rsidR="00256D4F" w:rsidRPr="0072758C">
        <w:rPr>
          <w:iCs/>
          <w:lang w:val="en-AU"/>
        </w:rPr>
        <w:t>” </w:t>
      </w:r>
      <w:r w:rsidR="00256D4F" w:rsidRPr="0072758C">
        <w:rPr>
          <w:i/>
          <w:iCs/>
          <w:lang w:val="en-AU"/>
        </w:rPr>
        <w:t>The Westminster Theological Journal</w:t>
      </w:r>
      <w:r w:rsidR="00256D4F" w:rsidRPr="0072758C">
        <w:rPr>
          <w:iCs/>
          <w:lang w:val="en-AU"/>
        </w:rPr>
        <w:t> 77 (2015): 101–10</w:t>
      </w:r>
      <w:r w:rsidR="004F7634" w:rsidRPr="0072758C">
        <w:rPr>
          <w:iCs/>
          <w:lang w:val="en-AU"/>
        </w:rPr>
        <w:t>.</w:t>
      </w:r>
    </w:p>
    <w:p w14:paraId="03AAFCDC" w14:textId="77777777" w:rsidR="00A663F2" w:rsidRPr="0072758C" w:rsidRDefault="00A663F2" w:rsidP="00EF3273">
      <w:pPr>
        <w:pStyle w:val="EndnoteText"/>
        <w:rPr>
          <w:lang w:val="en-AU"/>
        </w:rPr>
      </w:pPr>
    </w:p>
  </w:footnote>
  <w:footnote w:id="65">
    <w:p w14:paraId="51B3373F" w14:textId="3C7CF9DD"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w:t>
      </w:r>
      <w:r w:rsidR="00A157F9" w:rsidRPr="0072758C">
        <w:rPr>
          <w:lang w:val="en-AU"/>
        </w:rPr>
        <w:t xml:space="preserve">Scott, </w:t>
      </w:r>
      <w:r w:rsidR="009C3826" w:rsidRPr="0072758C">
        <w:rPr>
          <w:i/>
          <w:iCs/>
          <w:lang w:val="en-AU"/>
        </w:rPr>
        <w:t>Jewish Backgrounds of the New Testament</w:t>
      </w:r>
      <w:r w:rsidR="009C3826" w:rsidRPr="0072758C">
        <w:rPr>
          <w:lang w:val="en-AU"/>
        </w:rPr>
        <w:t xml:space="preserve">, </w:t>
      </w:r>
      <w:r w:rsidR="00A157F9" w:rsidRPr="0072758C">
        <w:rPr>
          <w:lang w:val="en-AU"/>
        </w:rPr>
        <w:t>302.</w:t>
      </w:r>
    </w:p>
    <w:p w14:paraId="635B55FC" w14:textId="77777777" w:rsidR="00A663F2" w:rsidRPr="0072758C" w:rsidRDefault="00A663F2" w:rsidP="00EF3273">
      <w:pPr>
        <w:pStyle w:val="EndnoteText"/>
        <w:rPr>
          <w:lang w:val="en-AU"/>
        </w:rPr>
      </w:pPr>
    </w:p>
  </w:footnote>
  <w:footnote w:id="66">
    <w:p w14:paraId="41FE862E" w14:textId="77777777"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Mark Harold McEntire, </w:t>
      </w:r>
      <w:r w:rsidRPr="0072758C">
        <w:rPr>
          <w:i/>
          <w:iCs/>
          <w:lang w:val="en-AU"/>
        </w:rPr>
        <w:t>A Chorus of Prophetic Voices: Introducing the Prophetic Literature of Ancient Israel</w:t>
      </w:r>
      <w:r w:rsidRPr="0072758C">
        <w:rPr>
          <w:lang w:val="en-AU"/>
        </w:rPr>
        <w:t xml:space="preserve"> (Louisville: Westminster John Knox, 2015), 205–15.</w:t>
      </w:r>
    </w:p>
    <w:p w14:paraId="5C6E602F" w14:textId="77777777" w:rsidR="00A663F2" w:rsidRPr="0072758C" w:rsidRDefault="00A663F2" w:rsidP="00EF3273">
      <w:pPr>
        <w:pStyle w:val="EndnoteText"/>
        <w:rPr>
          <w:lang w:val="en-AU"/>
        </w:rPr>
      </w:pPr>
    </w:p>
  </w:footnote>
  <w:footnote w:id="67">
    <w:p w14:paraId="116CE43D" w14:textId="6D4E1537"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Joseph Blenkinsopp, </w:t>
      </w:r>
      <w:r w:rsidRPr="0072758C">
        <w:rPr>
          <w:i/>
          <w:lang w:val="en-AU"/>
        </w:rPr>
        <w:t>Isaiah 1–39</w:t>
      </w:r>
      <w:r w:rsidRPr="0072758C">
        <w:rPr>
          <w:lang w:val="en-AU"/>
        </w:rPr>
        <w:t xml:space="preserve">: </w:t>
      </w:r>
      <w:r w:rsidRPr="0072758C">
        <w:rPr>
          <w:i/>
          <w:iCs/>
          <w:lang w:val="en-AU"/>
        </w:rPr>
        <w:t>A New Translation with Introduction and Commentary</w:t>
      </w:r>
      <w:r w:rsidRPr="0072758C">
        <w:rPr>
          <w:lang w:val="en-AU"/>
        </w:rPr>
        <w:t xml:space="preserve">, Anchor Bible, (New York: Doubleday, 2000), 247–48; H. G. M. Williamson, “Messianic Texts in Isaiah 1–39,” in </w:t>
      </w:r>
      <w:r w:rsidRPr="0072758C">
        <w:rPr>
          <w:i/>
          <w:iCs/>
          <w:lang w:val="en-AU"/>
        </w:rPr>
        <w:t>King and Messiah in Israel and the Ancient Near East: Proceedings of the Oxford Old Testament Seminar</w:t>
      </w:r>
      <w:r w:rsidR="009C3826" w:rsidRPr="0072758C">
        <w:rPr>
          <w:lang w:val="en-AU"/>
        </w:rPr>
        <w:t>, ed.</w:t>
      </w:r>
      <w:r w:rsidR="00D74675" w:rsidRPr="0072758C">
        <w:rPr>
          <w:lang w:val="en-AU"/>
        </w:rPr>
        <w:t xml:space="preserve"> John Day</w:t>
      </w:r>
      <w:r w:rsidR="009C3826" w:rsidRPr="0072758C">
        <w:rPr>
          <w:i/>
          <w:iCs/>
          <w:lang w:val="en-AU"/>
        </w:rPr>
        <w:t xml:space="preserve"> </w:t>
      </w:r>
      <w:r w:rsidRPr="0072758C">
        <w:rPr>
          <w:lang w:val="en-AU"/>
        </w:rPr>
        <w:t>(Sheffield: Sheffield Academic Press, 1998)</w:t>
      </w:r>
      <w:r w:rsidR="004167B1" w:rsidRPr="0072758C">
        <w:rPr>
          <w:lang w:val="en-AU"/>
        </w:rPr>
        <w:t>,</w:t>
      </w:r>
      <w:r w:rsidR="004F7634" w:rsidRPr="0072758C">
        <w:rPr>
          <w:lang w:val="en-AU"/>
        </w:rPr>
        <w:t xml:space="preserve"> </w:t>
      </w:r>
      <w:r w:rsidRPr="0072758C">
        <w:rPr>
          <w:lang w:val="en-AU"/>
        </w:rPr>
        <w:t>257–58.</w:t>
      </w:r>
    </w:p>
    <w:p w14:paraId="197CA0A0" w14:textId="77777777" w:rsidR="00A663F2" w:rsidRPr="0072758C" w:rsidRDefault="00A663F2" w:rsidP="00EF3273">
      <w:pPr>
        <w:pStyle w:val="EndnoteText"/>
        <w:rPr>
          <w:lang w:val="en-AU"/>
        </w:rPr>
      </w:pPr>
    </w:p>
  </w:footnote>
  <w:footnote w:id="68">
    <w:p w14:paraId="5D2AD0E5" w14:textId="6A2AF2F1"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w:t>
      </w:r>
      <w:r w:rsidRPr="0072758C">
        <w:rPr>
          <w:iCs/>
          <w:lang w:val="en-AU"/>
        </w:rPr>
        <w:t>See</w:t>
      </w:r>
      <w:r w:rsidRPr="0072758C">
        <w:rPr>
          <w:lang w:val="en-AU"/>
        </w:rPr>
        <w:t xml:space="preserve"> Flavius Josephus, </w:t>
      </w:r>
      <w:r w:rsidRPr="0072758C">
        <w:rPr>
          <w:i/>
          <w:iCs/>
          <w:lang w:val="en-AU"/>
        </w:rPr>
        <w:t>Jewish Antiquities</w:t>
      </w:r>
      <w:r w:rsidRPr="0072758C">
        <w:rPr>
          <w:lang w:val="en-AU"/>
        </w:rPr>
        <w:t xml:space="preserve"> </w:t>
      </w:r>
      <w:r w:rsidR="00D74675" w:rsidRPr="0072758C">
        <w:rPr>
          <w:lang w:val="en-AU"/>
        </w:rPr>
        <w:t>(Cambridge: Harvard University Press, 2014)</w:t>
      </w:r>
      <w:r w:rsidR="001606AD" w:rsidRPr="0072758C">
        <w:rPr>
          <w:lang w:val="en-AU"/>
        </w:rPr>
        <w:t>,</w:t>
      </w:r>
      <w:r w:rsidR="00D74675" w:rsidRPr="0072758C">
        <w:rPr>
          <w:lang w:val="en-AU"/>
        </w:rPr>
        <w:t xml:space="preserve"> </w:t>
      </w:r>
      <w:r w:rsidRPr="0072758C">
        <w:rPr>
          <w:lang w:val="en-AU"/>
        </w:rPr>
        <w:t>17.278–284.</w:t>
      </w:r>
    </w:p>
  </w:footnote>
  <w:footnote w:id="69">
    <w:p w14:paraId="4E9CD8ED" w14:textId="77777777" w:rsidR="00A663F2" w:rsidRPr="0072758C" w:rsidRDefault="00A663F2" w:rsidP="00EF3273">
      <w:pPr>
        <w:pStyle w:val="EndnoteText"/>
        <w:rPr>
          <w:lang w:val="en-AU"/>
        </w:rPr>
      </w:pPr>
    </w:p>
    <w:p w14:paraId="13F27E36" w14:textId="14CF9168" w:rsidR="00A157F9" w:rsidRPr="0072758C" w:rsidRDefault="00A663F2" w:rsidP="00610BBD">
      <w:pPr>
        <w:pStyle w:val="EndnoteText"/>
        <w:ind w:firstLine="720"/>
        <w:rPr>
          <w:iCs/>
          <w:lang w:val="en-AU"/>
        </w:rPr>
      </w:pPr>
      <w:r w:rsidRPr="0072758C">
        <w:rPr>
          <w:rStyle w:val="FootnoteReference"/>
          <w:lang w:val="en-AU"/>
        </w:rPr>
        <w:footnoteRef/>
      </w:r>
      <w:r w:rsidRPr="0072758C">
        <w:rPr>
          <w:lang w:val="en-AU"/>
        </w:rPr>
        <w:t xml:space="preserve"> Scott, </w:t>
      </w:r>
      <w:r w:rsidRPr="0072758C">
        <w:rPr>
          <w:i/>
          <w:iCs/>
          <w:lang w:val="en-AU"/>
        </w:rPr>
        <w:t xml:space="preserve">Jewish Backgrounds of the New Testament, </w:t>
      </w:r>
      <w:r w:rsidRPr="0072758C">
        <w:rPr>
          <w:iCs/>
          <w:lang w:val="en-AU"/>
        </w:rPr>
        <w:t>310</w:t>
      </w:r>
      <w:r w:rsidR="00A157F9" w:rsidRPr="0072758C">
        <w:rPr>
          <w:iCs/>
          <w:lang w:val="en-AU"/>
        </w:rPr>
        <w:t xml:space="preserve">; </w:t>
      </w:r>
      <w:r w:rsidR="00A157F9" w:rsidRPr="0072758C">
        <w:rPr>
          <w:lang w:val="en-AU"/>
        </w:rPr>
        <w:t>Francois P Viljoen, “A Call for Peacemaking: A Perspective from the Sermon on the Mount</w:t>
      </w:r>
      <w:r w:rsidR="00D62FF1" w:rsidRPr="0072758C">
        <w:rPr>
          <w:lang w:val="en-AU"/>
        </w:rPr>
        <w:t>,</w:t>
      </w:r>
      <w:r w:rsidR="00A157F9" w:rsidRPr="0072758C">
        <w:rPr>
          <w:lang w:val="en-AU"/>
        </w:rPr>
        <w:t>” </w:t>
      </w:r>
      <w:r w:rsidR="00A157F9" w:rsidRPr="0072758C">
        <w:rPr>
          <w:i/>
          <w:iCs/>
          <w:lang w:val="en-AU"/>
        </w:rPr>
        <w:t>In Die Skriflig</w:t>
      </w:r>
      <w:r w:rsidR="00A157F9" w:rsidRPr="0072758C">
        <w:rPr>
          <w:lang w:val="en-AU"/>
        </w:rPr>
        <w:t> 55</w:t>
      </w:r>
      <w:r w:rsidR="00A037EF" w:rsidRPr="0072758C">
        <w:rPr>
          <w:lang w:val="en-AU"/>
        </w:rPr>
        <w:t xml:space="preserve"> </w:t>
      </w:r>
      <w:r w:rsidR="00A157F9" w:rsidRPr="0072758C">
        <w:rPr>
          <w:lang w:val="en-AU"/>
        </w:rPr>
        <w:t>(2021): 1–8.</w:t>
      </w:r>
    </w:p>
  </w:footnote>
  <w:footnote w:id="70">
    <w:p w14:paraId="57AF5887" w14:textId="77777777" w:rsidR="00A663F2" w:rsidRPr="0072758C" w:rsidRDefault="00A663F2" w:rsidP="00EF3273">
      <w:pPr>
        <w:pStyle w:val="EndnoteText"/>
        <w:rPr>
          <w:lang w:val="en-AU"/>
        </w:rPr>
      </w:pPr>
    </w:p>
    <w:p w14:paraId="7CE423A8" w14:textId="005FCB31"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w:t>
      </w:r>
      <w:r w:rsidR="0075048B" w:rsidRPr="0072758C">
        <w:rPr>
          <w:lang w:val="en-AU"/>
        </w:rPr>
        <w:t xml:space="preserve">Anthony J. </w:t>
      </w:r>
      <w:r w:rsidRPr="0072758C">
        <w:rPr>
          <w:lang w:val="en-AU"/>
        </w:rPr>
        <w:t xml:space="preserve">Saldarini, </w:t>
      </w:r>
      <w:r w:rsidRPr="0072758C">
        <w:rPr>
          <w:i/>
          <w:iCs/>
          <w:lang w:val="en-AU"/>
        </w:rPr>
        <w:t>Matthew’s Christian-Jewish Community</w:t>
      </w:r>
      <w:r w:rsidR="0075048B" w:rsidRPr="0072758C">
        <w:rPr>
          <w:lang w:val="en-AU"/>
        </w:rPr>
        <w:t xml:space="preserve"> (Chicago: University of Chicago Press, 1994), </w:t>
      </w:r>
      <w:r w:rsidRPr="0072758C">
        <w:rPr>
          <w:lang w:val="en-AU"/>
        </w:rPr>
        <w:t>168.</w:t>
      </w:r>
    </w:p>
    <w:p w14:paraId="5738E475" w14:textId="77777777" w:rsidR="00A663F2" w:rsidRPr="0072758C" w:rsidRDefault="00A663F2" w:rsidP="00EF3273">
      <w:pPr>
        <w:pStyle w:val="EndnoteText"/>
        <w:rPr>
          <w:lang w:val="en-AU"/>
        </w:rPr>
      </w:pPr>
    </w:p>
  </w:footnote>
  <w:footnote w:id="71">
    <w:p w14:paraId="40C762F7" w14:textId="3F845A0E" w:rsidR="00E7158E"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Andrew H. Bartelt, “The Centrality of Isaiah 6 (–8) within Isaiah 2–12,” </w:t>
      </w:r>
      <w:r w:rsidRPr="0072758C">
        <w:rPr>
          <w:i/>
          <w:iCs/>
          <w:lang w:val="en-AU"/>
        </w:rPr>
        <w:t>Concordia Journal</w:t>
      </w:r>
      <w:r w:rsidRPr="0072758C">
        <w:rPr>
          <w:lang w:val="en-AU"/>
        </w:rPr>
        <w:t xml:space="preserve"> 30 (2004): 316</w:t>
      </w:r>
      <w:r w:rsidR="00E7158E" w:rsidRPr="0072758C">
        <w:rPr>
          <w:lang w:val="en-AU"/>
        </w:rPr>
        <w:t>. For an examination on messianic expectations during the Second Temple period, see Hermann Lichtenberger, “Messianic Expectations and Messianic Figures in the Second Temple Period</w:t>
      </w:r>
      <w:r w:rsidR="0075048B" w:rsidRPr="0072758C">
        <w:rPr>
          <w:lang w:val="en-AU"/>
        </w:rPr>
        <w:t>,</w:t>
      </w:r>
      <w:r w:rsidR="00E7158E" w:rsidRPr="0072758C">
        <w:rPr>
          <w:lang w:val="en-AU"/>
        </w:rPr>
        <w:t>” In </w:t>
      </w:r>
      <w:r w:rsidR="00E7158E" w:rsidRPr="0072758C">
        <w:rPr>
          <w:i/>
          <w:iCs/>
          <w:lang w:val="en-AU"/>
        </w:rPr>
        <w:t>Qumran-Messianism: Studies on the Messianic Expectations in the Dead Sea Scrolls</w:t>
      </w:r>
      <w:r w:rsidR="0075048B" w:rsidRPr="0072758C">
        <w:rPr>
          <w:lang w:val="en-AU"/>
        </w:rPr>
        <w:t>, e</w:t>
      </w:r>
      <w:r w:rsidR="00343DC2" w:rsidRPr="0072758C">
        <w:rPr>
          <w:lang w:val="en-AU"/>
        </w:rPr>
        <w:t>d. J. H. Charlesworth et al. (Tubingen: Mohr Siebeck, 1998)</w:t>
      </w:r>
      <w:r w:rsidR="00E7158E" w:rsidRPr="0072758C">
        <w:rPr>
          <w:lang w:val="en-AU"/>
        </w:rPr>
        <w:t>, 9–20. For more information on early Christian eschatology, see Alexander Steward, “The Temporary Messianic Kingdom in Second Temple Judaism and the Delay of the Parousia: Psalm 110:1 and the Development of Early Christian Inaugurated Eschatology</w:t>
      </w:r>
      <w:r w:rsidR="0075048B" w:rsidRPr="0072758C">
        <w:rPr>
          <w:lang w:val="en-AU"/>
        </w:rPr>
        <w:t>,</w:t>
      </w:r>
      <w:r w:rsidR="00E7158E" w:rsidRPr="0072758C">
        <w:rPr>
          <w:lang w:val="en-AU"/>
        </w:rPr>
        <w:t>” </w:t>
      </w:r>
      <w:r w:rsidR="00E7158E" w:rsidRPr="0072758C">
        <w:rPr>
          <w:i/>
          <w:iCs/>
          <w:lang w:val="en-AU"/>
        </w:rPr>
        <w:t>Journal of the Evangelical Theological Society</w:t>
      </w:r>
      <w:r w:rsidR="00E7158E" w:rsidRPr="0072758C">
        <w:rPr>
          <w:lang w:val="en-AU"/>
        </w:rPr>
        <w:t> 59</w:t>
      </w:r>
      <w:r w:rsidR="00A037EF" w:rsidRPr="0072758C">
        <w:rPr>
          <w:lang w:val="en-AU"/>
        </w:rPr>
        <w:t xml:space="preserve"> </w:t>
      </w:r>
      <w:r w:rsidR="00E7158E" w:rsidRPr="0072758C">
        <w:rPr>
          <w:lang w:val="en-AU"/>
        </w:rPr>
        <w:t>(2016): 255–70.</w:t>
      </w:r>
    </w:p>
    <w:p w14:paraId="119D0966" w14:textId="77777777" w:rsidR="00A663F2" w:rsidRPr="0072758C" w:rsidRDefault="00A663F2" w:rsidP="00EF3273">
      <w:pPr>
        <w:pStyle w:val="EndnoteText"/>
        <w:rPr>
          <w:lang w:val="en-AU"/>
        </w:rPr>
      </w:pPr>
    </w:p>
  </w:footnote>
  <w:footnote w:id="72">
    <w:p w14:paraId="507E5529" w14:textId="745154D5"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N. T. Wright, </w:t>
      </w:r>
      <w:r w:rsidRPr="0072758C">
        <w:rPr>
          <w:i/>
          <w:iCs/>
          <w:lang w:val="en-AU"/>
        </w:rPr>
        <w:t xml:space="preserve">The New </w:t>
      </w:r>
      <w:proofErr w:type="gramStart"/>
      <w:r w:rsidRPr="0072758C">
        <w:rPr>
          <w:i/>
          <w:iCs/>
          <w:lang w:val="en-AU"/>
        </w:rPr>
        <w:t>Testament</w:t>
      </w:r>
      <w:proofErr w:type="gramEnd"/>
      <w:r w:rsidRPr="0072758C">
        <w:rPr>
          <w:i/>
          <w:iCs/>
          <w:lang w:val="en-AU"/>
        </w:rPr>
        <w:t xml:space="preserve"> and the People of God </w:t>
      </w:r>
      <w:r w:rsidRPr="0072758C">
        <w:rPr>
          <w:lang w:val="en-AU"/>
        </w:rPr>
        <w:t>(Minneapolis: Fortress, 1992)</w:t>
      </w:r>
      <w:r w:rsidR="00E0284E" w:rsidRPr="0072758C">
        <w:rPr>
          <w:lang w:val="en-AU"/>
        </w:rPr>
        <w:t>, 194.</w:t>
      </w:r>
    </w:p>
    <w:p w14:paraId="1995EE33" w14:textId="77777777" w:rsidR="00A663F2" w:rsidRPr="0072758C" w:rsidRDefault="00A663F2" w:rsidP="00EF3273">
      <w:pPr>
        <w:pStyle w:val="EndnoteText"/>
        <w:rPr>
          <w:lang w:val="en-AU"/>
        </w:rPr>
      </w:pPr>
    </w:p>
  </w:footnote>
  <w:footnote w:id="73">
    <w:p w14:paraId="768CB1D8" w14:textId="3867F56A" w:rsidR="00D40E67"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The research surrounding “Kingdom of God” discussions far exceeds the limits of this dissertation.  For research </w:t>
      </w:r>
      <w:proofErr w:type="gramStart"/>
      <w:r w:rsidRPr="0072758C">
        <w:rPr>
          <w:lang w:val="en-AU"/>
        </w:rPr>
        <w:t>in the area of</w:t>
      </w:r>
      <w:proofErr w:type="gramEnd"/>
      <w:r w:rsidRPr="0072758C">
        <w:rPr>
          <w:lang w:val="en-AU"/>
        </w:rPr>
        <w:t xml:space="preserve"> Kingdom of God and its meaning in relation to peace, </w:t>
      </w:r>
      <w:r w:rsidRPr="0072758C">
        <w:rPr>
          <w:i/>
          <w:iCs/>
          <w:lang w:val="en-AU"/>
        </w:rPr>
        <w:t>see</w:t>
      </w:r>
      <w:r w:rsidR="00C520B0" w:rsidRPr="0072758C">
        <w:rPr>
          <w:lang w:val="en-AU"/>
        </w:rPr>
        <w:t xml:space="preserve"> </w:t>
      </w:r>
      <w:r w:rsidRPr="0072758C">
        <w:rPr>
          <w:lang w:val="en-AU"/>
        </w:rPr>
        <w:t xml:space="preserve">L. D. Chrupcala, </w:t>
      </w:r>
      <w:r w:rsidRPr="0072758C">
        <w:rPr>
          <w:i/>
          <w:iCs/>
          <w:lang w:val="en-AU"/>
        </w:rPr>
        <w:t xml:space="preserve">The Kingdom of God </w:t>
      </w:r>
      <w:r w:rsidRPr="0072758C">
        <w:rPr>
          <w:lang w:val="en-AU"/>
        </w:rPr>
        <w:t>(Jerusalem: Franciscan Printing Press, 2007</w:t>
      </w:r>
      <w:r w:rsidR="0075048B" w:rsidRPr="0072758C">
        <w:rPr>
          <w:lang w:val="en-AU"/>
        </w:rPr>
        <w:t>)</w:t>
      </w:r>
      <w:r w:rsidR="00D9042C" w:rsidRPr="0072758C">
        <w:rPr>
          <w:lang w:val="en-AU"/>
        </w:rPr>
        <w:t>.</w:t>
      </w:r>
    </w:p>
    <w:p w14:paraId="4F08D861" w14:textId="77777777" w:rsidR="00A663F2" w:rsidRPr="0072758C" w:rsidRDefault="00A663F2" w:rsidP="00EF3273">
      <w:pPr>
        <w:pStyle w:val="EndnoteText"/>
        <w:rPr>
          <w:lang w:val="en-AU"/>
        </w:rPr>
      </w:pPr>
    </w:p>
  </w:footnote>
  <w:footnote w:id="74">
    <w:p w14:paraId="2161F168" w14:textId="225BE1DE"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w:t>
      </w:r>
      <w:r w:rsidR="00426266" w:rsidRPr="0072758C">
        <w:rPr>
          <w:lang w:val="en-AU"/>
        </w:rPr>
        <w:t xml:space="preserve">For information on the Kingdom of Heaven in terms of peace and pacifism in terms of the Sermon on the Mount, see </w:t>
      </w:r>
      <w:r w:rsidR="00932B90" w:rsidRPr="0072758C">
        <w:rPr>
          <w:lang w:val="en-AU"/>
        </w:rPr>
        <w:t>Philip Suciadi Chia, “The Word Ekklēsia in Matthew and Its Implication for Social Justice</w:t>
      </w:r>
      <w:r w:rsidR="00E0284E" w:rsidRPr="0072758C">
        <w:rPr>
          <w:lang w:val="en-AU"/>
        </w:rPr>
        <w:t>,</w:t>
      </w:r>
      <w:r w:rsidR="00932B90" w:rsidRPr="0072758C">
        <w:rPr>
          <w:lang w:val="en-AU"/>
        </w:rPr>
        <w:t>” </w:t>
      </w:r>
      <w:r w:rsidR="00932B90" w:rsidRPr="0072758C">
        <w:rPr>
          <w:i/>
          <w:iCs/>
          <w:lang w:val="en-AU"/>
        </w:rPr>
        <w:t>Biblical Theology Bulletin</w:t>
      </w:r>
      <w:r w:rsidR="00932B90" w:rsidRPr="0072758C">
        <w:rPr>
          <w:lang w:val="en-AU"/>
        </w:rPr>
        <w:t> 51</w:t>
      </w:r>
      <w:r w:rsidR="00E0284E" w:rsidRPr="0072758C">
        <w:rPr>
          <w:lang w:val="en-AU"/>
        </w:rPr>
        <w:t xml:space="preserve"> </w:t>
      </w:r>
      <w:r w:rsidR="00932B90" w:rsidRPr="0072758C">
        <w:rPr>
          <w:lang w:val="en-AU"/>
        </w:rPr>
        <w:t>(2021): 24–32</w:t>
      </w:r>
      <w:r w:rsidR="00F7625A" w:rsidRPr="0072758C">
        <w:rPr>
          <w:lang w:val="en-AU"/>
        </w:rPr>
        <w:t xml:space="preserve">; </w:t>
      </w:r>
      <w:r w:rsidR="00932B90" w:rsidRPr="0072758C">
        <w:rPr>
          <w:lang w:val="en-AU"/>
        </w:rPr>
        <w:t>Charles Nathan Ridlehoover, “The Logic of Matthew 6.19-7.12: Heavenly Priorities in the Kingdom of Earth</w:t>
      </w:r>
      <w:r w:rsidR="00D9042C" w:rsidRPr="0072758C">
        <w:rPr>
          <w:lang w:val="en-AU"/>
        </w:rPr>
        <w:t>,</w:t>
      </w:r>
      <w:r w:rsidR="00932B90" w:rsidRPr="0072758C">
        <w:rPr>
          <w:lang w:val="en-AU"/>
        </w:rPr>
        <w:t>” </w:t>
      </w:r>
      <w:r w:rsidR="00932B90" w:rsidRPr="0072758C">
        <w:rPr>
          <w:i/>
          <w:iCs/>
          <w:lang w:val="en-AU"/>
        </w:rPr>
        <w:t>New Testament Studies</w:t>
      </w:r>
      <w:r w:rsidR="00932B90" w:rsidRPr="0072758C">
        <w:rPr>
          <w:lang w:val="en-AU"/>
        </w:rPr>
        <w:t> 66</w:t>
      </w:r>
      <w:r w:rsidR="00A037EF" w:rsidRPr="0072758C">
        <w:rPr>
          <w:lang w:val="en-AU"/>
        </w:rPr>
        <w:t xml:space="preserve"> </w:t>
      </w:r>
      <w:r w:rsidR="00932B90" w:rsidRPr="0072758C">
        <w:rPr>
          <w:lang w:val="en-AU"/>
        </w:rPr>
        <w:t>(2020): 582–600</w:t>
      </w:r>
      <w:r w:rsidR="00F7625A" w:rsidRPr="0072758C">
        <w:rPr>
          <w:lang w:val="en-AU"/>
        </w:rPr>
        <w:t xml:space="preserve">; </w:t>
      </w:r>
      <w:r w:rsidR="00932B90" w:rsidRPr="0072758C">
        <w:rPr>
          <w:lang w:val="en-AU"/>
        </w:rPr>
        <w:t>Kent E. Brower, “The Secret of the Kingdom of God: The Literary and Theological Achievement of the Evangelist Mark</w:t>
      </w:r>
      <w:r w:rsidR="00E0284E" w:rsidRPr="0072758C">
        <w:rPr>
          <w:lang w:val="en-AU"/>
        </w:rPr>
        <w:t>,</w:t>
      </w:r>
      <w:r w:rsidR="00932B90" w:rsidRPr="0072758C">
        <w:rPr>
          <w:lang w:val="en-AU"/>
        </w:rPr>
        <w:t>” </w:t>
      </w:r>
      <w:r w:rsidR="00932B90" w:rsidRPr="0072758C">
        <w:rPr>
          <w:i/>
          <w:iCs/>
          <w:lang w:val="en-AU"/>
        </w:rPr>
        <w:t>J</w:t>
      </w:r>
      <w:r w:rsidR="00D9042C" w:rsidRPr="0072758C">
        <w:rPr>
          <w:i/>
          <w:iCs/>
          <w:lang w:val="en-AU"/>
        </w:rPr>
        <w:t xml:space="preserve">ournal </w:t>
      </w:r>
      <w:r w:rsidR="00DF2BEE" w:rsidRPr="0072758C">
        <w:rPr>
          <w:i/>
          <w:iCs/>
          <w:lang w:val="en-AU"/>
        </w:rPr>
        <w:t>for the</w:t>
      </w:r>
      <w:r w:rsidR="00D9042C" w:rsidRPr="0072758C">
        <w:rPr>
          <w:i/>
          <w:iCs/>
          <w:lang w:val="en-AU"/>
        </w:rPr>
        <w:t xml:space="preserve"> Study </w:t>
      </w:r>
      <w:r w:rsidR="00DF2BEE" w:rsidRPr="0072758C">
        <w:rPr>
          <w:i/>
          <w:iCs/>
          <w:lang w:val="en-AU"/>
        </w:rPr>
        <w:t xml:space="preserve">of the </w:t>
      </w:r>
      <w:r w:rsidR="00D9042C" w:rsidRPr="0072758C">
        <w:rPr>
          <w:i/>
          <w:iCs/>
          <w:lang w:val="en-AU"/>
        </w:rPr>
        <w:t>New Testament</w:t>
      </w:r>
      <w:r w:rsidR="00D9042C" w:rsidRPr="0072758C">
        <w:rPr>
          <w:lang w:val="en-AU"/>
        </w:rPr>
        <w:t xml:space="preserve"> </w:t>
      </w:r>
      <w:r w:rsidR="00932B90" w:rsidRPr="0072758C">
        <w:rPr>
          <w:lang w:val="en-AU"/>
        </w:rPr>
        <w:t>42</w:t>
      </w:r>
      <w:r w:rsidR="00A037EF" w:rsidRPr="0072758C">
        <w:rPr>
          <w:lang w:val="en-AU"/>
        </w:rPr>
        <w:t xml:space="preserve"> </w:t>
      </w:r>
      <w:r w:rsidR="00932B90" w:rsidRPr="0072758C">
        <w:rPr>
          <w:lang w:val="en-AU"/>
        </w:rPr>
        <w:t>(2020): 47</w:t>
      </w:r>
      <w:r w:rsidR="00F7625A" w:rsidRPr="0072758C">
        <w:rPr>
          <w:lang w:val="en-AU"/>
        </w:rPr>
        <w:t>; Joseph S. O’Leary, “N. T. Wright: Interpreting the Interpreter Collected Essays of N. T. Wright Interpreting Scripture: Essays on the Bible and Hermeneutics Interpreting Jesus: Essays on the Gospels Interpreting Paul: Essays on the Apostle and His Letters</w:t>
      </w:r>
      <w:r w:rsidR="00D9042C" w:rsidRPr="0072758C">
        <w:rPr>
          <w:lang w:val="en-AU"/>
        </w:rPr>
        <w:t>,</w:t>
      </w:r>
      <w:r w:rsidR="00F7625A" w:rsidRPr="0072758C">
        <w:rPr>
          <w:lang w:val="en-AU"/>
        </w:rPr>
        <w:t>” </w:t>
      </w:r>
      <w:r w:rsidR="00F7625A" w:rsidRPr="0072758C">
        <w:rPr>
          <w:i/>
          <w:iCs/>
          <w:lang w:val="en-AU"/>
        </w:rPr>
        <w:t>Reviews in Religion &amp; Theology</w:t>
      </w:r>
      <w:r w:rsidR="00F7625A" w:rsidRPr="0072758C">
        <w:rPr>
          <w:lang w:val="en-AU"/>
        </w:rPr>
        <w:t> 28</w:t>
      </w:r>
      <w:r w:rsidR="00A037EF" w:rsidRPr="0072758C">
        <w:rPr>
          <w:lang w:val="en-AU"/>
        </w:rPr>
        <w:t xml:space="preserve"> </w:t>
      </w:r>
      <w:r w:rsidR="00F7625A" w:rsidRPr="0072758C">
        <w:rPr>
          <w:lang w:val="en-AU"/>
        </w:rPr>
        <w:t xml:space="preserve">(2021): 122–30; </w:t>
      </w:r>
      <w:r w:rsidR="00426266" w:rsidRPr="0072758C">
        <w:rPr>
          <w:lang w:val="en-AU"/>
        </w:rPr>
        <w:t>Dorothy Jean Weaver, “‘Suffering Violence’ and the Kingdom of Heaven (Mt 11:12): A Matthean Manual for Life in a Time of War</w:t>
      </w:r>
      <w:r w:rsidR="00D9042C" w:rsidRPr="0072758C">
        <w:rPr>
          <w:lang w:val="en-AU"/>
        </w:rPr>
        <w:t>,</w:t>
      </w:r>
      <w:r w:rsidR="00426266" w:rsidRPr="0072758C">
        <w:rPr>
          <w:lang w:val="en-AU"/>
        </w:rPr>
        <w:t>” </w:t>
      </w:r>
      <w:r w:rsidR="00426266" w:rsidRPr="0072758C">
        <w:rPr>
          <w:i/>
          <w:iCs/>
          <w:lang w:val="en-AU"/>
        </w:rPr>
        <w:t>Hervormde Teologiese Studies</w:t>
      </w:r>
      <w:r w:rsidR="00426266" w:rsidRPr="0072758C">
        <w:rPr>
          <w:lang w:val="en-AU"/>
        </w:rPr>
        <w:t> 67 (2011)</w:t>
      </w:r>
      <w:r w:rsidR="00D9042C" w:rsidRPr="0072758C">
        <w:rPr>
          <w:lang w:val="en-AU"/>
        </w:rPr>
        <w:t>: 1-11</w:t>
      </w:r>
      <w:r w:rsidR="00426266" w:rsidRPr="0072758C">
        <w:rPr>
          <w:lang w:val="en-AU"/>
        </w:rPr>
        <w:t xml:space="preserve">. </w:t>
      </w:r>
      <w:r w:rsidR="00932B90" w:rsidRPr="0072758C">
        <w:rPr>
          <w:rFonts w:ascii="Times" w:hAnsi="Times"/>
          <w:lang w:val="en-AU"/>
        </w:rPr>
        <w:t xml:space="preserve">For modern applications of this concept to modern </w:t>
      </w:r>
      <w:r w:rsidR="00D9042C" w:rsidRPr="0072758C">
        <w:rPr>
          <w:rFonts w:ascii="Times" w:hAnsi="Times"/>
          <w:lang w:val="en-AU"/>
        </w:rPr>
        <w:t>principles</w:t>
      </w:r>
      <w:r w:rsidR="00932B90" w:rsidRPr="0072758C">
        <w:rPr>
          <w:rFonts w:ascii="Times" w:hAnsi="Times"/>
          <w:lang w:val="en-AU"/>
        </w:rPr>
        <w:t xml:space="preserve"> such as modern warfare see Gregory A. Boyd, “A Cruciform Response to Terrorism</w:t>
      </w:r>
      <w:r w:rsidR="00FD38C3" w:rsidRPr="0072758C">
        <w:rPr>
          <w:rFonts w:ascii="Times" w:hAnsi="Times"/>
          <w:lang w:val="en-AU"/>
        </w:rPr>
        <w:t>,</w:t>
      </w:r>
      <w:r w:rsidR="00932B90" w:rsidRPr="0072758C">
        <w:rPr>
          <w:rFonts w:ascii="Times" w:hAnsi="Times"/>
          <w:lang w:val="en-AU"/>
        </w:rPr>
        <w:t>” </w:t>
      </w:r>
      <w:r w:rsidR="00932B90" w:rsidRPr="0072758C">
        <w:rPr>
          <w:rFonts w:ascii="Times" w:hAnsi="Times"/>
          <w:i/>
          <w:iCs/>
          <w:lang w:val="en-AU"/>
        </w:rPr>
        <w:t>Philosophia Christi</w:t>
      </w:r>
      <w:r w:rsidR="00932B90" w:rsidRPr="0072758C">
        <w:rPr>
          <w:rFonts w:ascii="Times" w:hAnsi="Times"/>
          <w:lang w:val="en-AU"/>
        </w:rPr>
        <w:t> 18</w:t>
      </w:r>
      <w:r w:rsidR="00E77122" w:rsidRPr="0072758C">
        <w:rPr>
          <w:rFonts w:ascii="Times" w:hAnsi="Times"/>
          <w:lang w:val="en-AU"/>
        </w:rPr>
        <w:t xml:space="preserve"> </w:t>
      </w:r>
      <w:r w:rsidR="00932B90" w:rsidRPr="0072758C">
        <w:rPr>
          <w:rFonts w:ascii="Times" w:hAnsi="Times"/>
          <w:lang w:val="en-AU"/>
        </w:rPr>
        <w:t xml:space="preserve">(2016): 119–27. For feminist readings and the role of pacifism on women see </w:t>
      </w:r>
      <w:r w:rsidR="00932B90" w:rsidRPr="0072758C">
        <w:rPr>
          <w:lang w:val="en-AU"/>
        </w:rPr>
        <w:t>Joshua Little, “A New Family: Jesus and the Coming of the Kingdom of God Reorient the Role of Women in God’s Mission</w:t>
      </w:r>
      <w:r w:rsidR="00FD38C3" w:rsidRPr="0072758C">
        <w:rPr>
          <w:lang w:val="en-AU"/>
        </w:rPr>
        <w:t>,</w:t>
      </w:r>
      <w:r w:rsidR="00932B90" w:rsidRPr="0072758C">
        <w:rPr>
          <w:lang w:val="en-AU"/>
        </w:rPr>
        <w:t>” </w:t>
      </w:r>
      <w:r w:rsidR="00932B90" w:rsidRPr="0072758C">
        <w:rPr>
          <w:i/>
          <w:iCs/>
          <w:lang w:val="en-AU"/>
        </w:rPr>
        <w:t>Priscilla Papers</w:t>
      </w:r>
      <w:r w:rsidR="00932B90" w:rsidRPr="0072758C">
        <w:rPr>
          <w:lang w:val="en-AU"/>
        </w:rPr>
        <w:t xml:space="preserve"> 34 </w:t>
      </w:r>
      <w:r w:rsidR="00FD38C3" w:rsidRPr="0072758C">
        <w:rPr>
          <w:lang w:val="en-AU"/>
        </w:rPr>
        <w:t>(</w:t>
      </w:r>
      <w:r w:rsidR="00932B90" w:rsidRPr="0072758C">
        <w:rPr>
          <w:lang w:val="en-AU"/>
        </w:rPr>
        <w:t>2020</w:t>
      </w:r>
      <w:r w:rsidR="00FD38C3" w:rsidRPr="0072758C">
        <w:rPr>
          <w:lang w:val="en-AU"/>
        </w:rPr>
        <w:t>)</w:t>
      </w:r>
      <w:r w:rsidR="00932B90" w:rsidRPr="0072758C">
        <w:rPr>
          <w:lang w:val="en-AU"/>
        </w:rPr>
        <w:t>: 12–1</w:t>
      </w:r>
      <w:r w:rsidR="00E0284E" w:rsidRPr="0072758C">
        <w:rPr>
          <w:lang w:val="en-AU"/>
        </w:rPr>
        <w:t xml:space="preserve">8. </w:t>
      </w:r>
      <w:r w:rsidRPr="0072758C">
        <w:rPr>
          <w:rFonts w:ascii="Times" w:hAnsi="Times"/>
          <w:lang w:val="en-AU"/>
        </w:rPr>
        <w:t xml:space="preserve">For more on the kingdom, </w:t>
      </w:r>
      <w:r w:rsidRPr="0072758C">
        <w:rPr>
          <w:rFonts w:ascii="Times" w:hAnsi="Times"/>
          <w:i/>
          <w:iCs/>
          <w:lang w:val="en-AU"/>
        </w:rPr>
        <w:t>see</w:t>
      </w:r>
      <w:r w:rsidRPr="0072758C">
        <w:rPr>
          <w:rFonts w:ascii="Times" w:hAnsi="Times"/>
          <w:lang w:val="en-AU"/>
        </w:rPr>
        <w:t xml:space="preserve"> Herman N. Ridderbos, </w:t>
      </w:r>
      <w:r w:rsidRPr="0072758C">
        <w:rPr>
          <w:rFonts w:ascii="Times" w:hAnsi="Times"/>
          <w:i/>
          <w:iCs/>
          <w:lang w:val="en-AU"/>
        </w:rPr>
        <w:t>Coming of the Kingdom</w:t>
      </w:r>
      <w:r w:rsidRPr="0072758C">
        <w:rPr>
          <w:rFonts w:ascii="Times" w:hAnsi="Times"/>
          <w:lang w:val="en-AU"/>
        </w:rPr>
        <w:t xml:space="preserve"> (Phillipsburg: P&amp;R Publishing, 1962); There are different opinions as to why in the text of Matthew there is a difference between ‘Kingdom of Heaven’ versus the use of ‘Kingdom of God’ in the literary structure of Matthew.  For more scholarship on these differences, </w:t>
      </w:r>
      <w:r w:rsidRPr="0072758C">
        <w:rPr>
          <w:rFonts w:ascii="Times" w:hAnsi="Times"/>
          <w:i/>
          <w:iCs/>
          <w:lang w:val="en-AU"/>
        </w:rPr>
        <w:t>see</w:t>
      </w:r>
      <w:r w:rsidRPr="0072758C">
        <w:rPr>
          <w:rFonts w:ascii="Times" w:hAnsi="Times"/>
          <w:lang w:val="en-AU"/>
        </w:rPr>
        <w:t xml:space="preserve"> Jonathan T. Pennington, </w:t>
      </w:r>
      <w:proofErr w:type="gramStart"/>
      <w:r w:rsidRPr="0072758C">
        <w:rPr>
          <w:rFonts w:ascii="Times" w:hAnsi="Times"/>
          <w:i/>
          <w:iCs/>
          <w:lang w:val="en-AU"/>
        </w:rPr>
        <w:t>Heaven</w:t>
      </w:r>
      <w:proofErr w:type="gramEnd"/>
      <w:r w:rsidRPr="0072758C">
        <w:rPr>
          <w:rFonts w:ascii="Times" w:hAnsi="Times"/>
          <w:i/>
          <w:iCs/>
          <w:lang w:val="en-AU"/>
        </w:rPr>
        <w:t xml:space="preserve"> and Earth in the Gospel of Matthew</w:t>
      </w:r>
      <w:r w:rsidRPr="0072758C">
        <w:rPr>
          <w:rFonts w:ascii="Times" w:hAnsi="Times"/>
          <w:lang w:val="en-AU"/>
        </w:rPr>
        <w:t xml:space="preserve"> (Grand Rapids: Baker, 2009). Pennington argues that Matthew is contrasting the “heavenly kingdom” from the “earthly kingdom.” Matthew’s preference for the kingdom of heaven is part of this contrast, emphasizing all that is good and from God versus the evil of the earthly kingdom.  It is also worth noting that Luke has a Sermon on the Plain, which corresponds somewhat with Matthew’s Sermon on the Mount.</w:t>
      </w:r>
    </w:p>
    <w:p w14:paraId="4576F966" w14:textId="77777777" w:rsidR="00A663F2" w:rsidRPr="0072758C" w:rsidRDefault="00A663F2" w:rsidP="00EF3273">
      <w:pPr>
        <w:pStyle w:val="EndnoteText"/>
        <w:rPr>
          <w:lang w:val="en-AU"/>
        </w:rPr>
      </w:pPr>
    </w:p>
  </w:footnote>
  <w:footnote w:id="75">
    <w:p w14:paraId="004A9700" w14:textId="77777777"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Geza Vermes, </w:t>
      </w:r>
      <w:r w:rsidRPr="0072758C">
        <w:rPr>
          <w:i/>
          <w:iCs/>
          <w:lang w:val="en-AU"/>
        </w:rPr>
        <w:t>Christian Beginnings from Nazareth to Nicaea, AD 30 – 325</w:t>
      </w:r>
      <w:r w:rsidRPr="0072758C">
        <w:rPr>
          <w:lang w:val="en-AU"/>
        </w:rPr>
        <w:t xml:space="preserve"> (London: Penguin, 2012), 41.</w:t>
      </w:r>
    </w:p>
    <w:p w14:paraId="488F7F6A" w14:textId="77777777" w:rsidR="00A663F2" w:rsidRPr="0072758C" w:rsidRDefault="00A663F2" w:rsidP="00EF3273">
      <w:pPr>
        <w:pStyle w:val="EndnoteText"/>
        <w:rPr>
          <w:lang w:val="en-AU"/>
        </w:rPr>
      </w:pPr>
    </w:p>
  </w:footnote>
  <w:footnote w:id="76">
    <w:p w14:paraId="4417E9FD" w14:textId="3C934A5C" w:rsidR="00A663F2" w:rsidRPr="0072758C" w:rsidRDefault="00A663F2" w:rsidP="0004031F">
      <w:pPr>
        <w:pStyle w:val="EndnoteText"/>
        <w:ind w:firstLine="720"/>
        <w:rPr>
          <w:lang w:val="en-AU"/>
        </w:rPr>
      </w:pPr>
      <w:r w:rsidRPr="0072758C">
        <w:rPr>
          <w:rStyle w:val="FootnoteReference"/>
          <w:lang w:val="en-AU"/>
        </w:rPr>
        <w:footnoteRef/>
      </w:r>
      <w:r w:rsidRPr="0072758C">
        <w:rPr>
          <w:lang w:val="en-AU"/>
        </w:rPr>
        <w:t xml:space="preserve"> For the crucial role of Jesus in the kingdom of God as the restoration of human vicegerency, </w:t>
      </w:r>
      <w:r w:rsidRPr="0072758C">
        <w:rPr>
          <w:i/>
          <w:iCs/>
          <w:lang w:val="en-AU"/>
        </w:rPr>
        <w:t>see</w:t>
      </w:r>
      <w:r w:rsidRPr="0072758C">
        <w:rPr>
          <w:lang w:val="en-AU"/>
        </w:rPr>
        <w:t xml:space="preserve"> Dan G. McCartney, “Ecce Homo: The Coming of the Kingdom as the Restoration of Human Vicegerency</w:t>
      </w:r>
      <w:r w:rsidR="004167B1" w:rsidRPr="0072758C">
        <w:rPr>
          <w:lang w:val="en-AU"/>
        </w:rPr>
        <w:t>,</w:t>
      </w:r>
      <w:r w:rsidRPr="0072758C">
        <w:rPr>
          <w:lang w:val="en-AU"/>
        </w:rPr>
        <w:t>”</w:t>
      </w:r>
      <w:r w:rsidR="00FD38C3" w:rsidRPr="0072758C">
        <w:rPr>
          <w:lang w:val="en-AU"/>
        </w:rPr>
        <w:t xml:space="preserve"> </w:t>
      </w:r>
      <w:r w:rsidR="00FD38C3" w:rsidRPr="0072758C">
        <w:rPr>
          <w:i/>
          <w:iCs/>
          <w:lang w:val="en-AU"/>
        </w:rPr>
        <w:t xml:space="preserve">Westminster Theological Journal </w:t>
      </w:r>
      <w:r w:rsidRPr="0072758C">
        <w:rPr>
          <w:lang w:val="en-AU"/>
        </w:rPr>
        <w:t>56 (1994): 1–21.</w:t>
      </w:r>
    </w:p>
    <w:p w14:paraId="64786706" w14:textId="77777777" w:rsidR="00A663F2" w:rsidRPr="0072758C" w:rsidRDefault="00A663F2" w:rsidP="00EF3273">
      <w:pPr>
        <w:pStyle w:val="EndnoteText"/>
        <w:rPr>
          <w:lang w:val="en-AU"/>
        </w:rPr>
      </w:pPr>
    </w:p>
  </w:footnote>
  <w:footnote w:id="77">
    <w:p w14:paraId="7A154265" w14:textId="3C0037A5"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See</w:t>
      </w:r>
      <w:r w:rsidRPr="0072758C">
        <w:rPr>
          <w:lang w:val="en-AU"/>
        </w:rPr>
        <w:t xml:space="preserve"> John Nolland, </w:t>
      </w:r>
      <w:r w:rsidRPr="0072758C">
        <w:rPr>
          <w:i/>
          <w:iCs/>
          <w:lang w:val="en-AU"/>
        </w:rPr>
        <w:t>The Gospel of Matthew</w:t>
      </w:r>
      <w:r w:rsidRPr="0072758C">
        <w:rPr>
          <w:lang w:val="en-AU"/>
        </w:rPr>
        <w:t xml:space="preserve"> (Grand Rapids: Eerdmans, 2005), 484. For a well-written account of New Testament influence of the first century, </w:t>
      </w:r>
      <w:r w:rsidRPr="0072758C">
        <w:rPr>
          <w:i/>
          <w:iCs/>
          <w:lang w:val="en-AU"/>
        </w:rPr>
        <w:t>see</w:t>
      </w:r>
      <w:r w:rsidRPr="0072758C">
        <w:rPr>
          <w:lang w:val="en-AU"/>
        </w:rPr>
        <w:t xml:space="preserve"> N. T. Wright, </w:t>
      </w:r>
      <w:proofErr w:type="gramStart"/>
      <w:r w:rsidRPr="0072758C">
        <w:rPr>
          <w:i/>
          <w:iCs/>
          <w:lang w:val="en-AU"/>
        </w:rPr>
        <w:t>Paul</w:t>
      </w:r>
      <w:proofErr w:type="gramEnd"/>
      <w:r w:rsidRPr="0072758C">
        <w:rPr>
          <w:i/>
          <w:iCs/>
          <w:lang w:val="en-AU"/>
        </w:rPr>
        <w:t xml:space="preserve"> and the Faithfulness of God</w:t>
      </w:r>
      <w:r w:rsidRPr="0072758C">
        <w:rPr>
          <w:lang w:val="en-AU"/>
        </w:rPr>
        <w:t xml:space="preserve"> (Minneapolis: Fortress, 2013)</w:t>
      </w:r>
      <w:r w:rsidR="00FD38C3" w:rsidRPr="0072758C">
        <w:rPr>
          <w:lang w:val="en-AU"/>
        </w:rPr>
        <w:t xml:space="preserve">. </w:t>
      </w:r>
    </w:p>
  </w:footnote>
  <w:footnote w:id="78">
    <w:p w14:paraId="1CA10824" w14:textId="77777777" w:rsidR="00A663F2" w:rsidRPr="0072758C" w:rsidRDefault="00A663F2" w:rsidP="00EF3273">
      <w:pPr>
        <w:pStyle w:val="EndnoteText"/>
        <w:rPr>
          <w:lang w:val="en-AU"/>
        </w:rPr>
      </w:pPr>
    </w:p>
    <w:p w14:paraId="68C212D6" w14:textId="6F638EB4" w:rsidR="00A663F2" w:rsidRPr="0072758C" w:rsidRDefault="00A663F2" w:rsidP="00AB7CAD">
      <w:pPr>
        <w:pStyle w:val="EndnoteText"/>
        <w:ind w:firstLine="720"/>
        <w:rPr>
          <w:lang w:val="en-AU"/>
        </w:rPr>
      </w:pPr>
      <w:r w:rsidRPr="0072758C">
        <w:rPr>
          <w:rStyle w:val="FootnoteReference"/>
          <w:lang w:val="en-AU"/>
        </w:rPr>
        <w:footnoteRef/>
      </w:r>
      <w:r w:rsidRPr="0072758C">
        <w:rPr>
          <w:lang w:val="en-AU"/>
        </w:rPr>
        <w:t xml:space="preserve"> Vermes, </w:t>
      </w:r>
      <w:r w:rsidRPr="0072758C">
        <w:rPr>
          <w:i/>
          <w:iCs/>
          <w:lang w:val="en-AU"/>
        </w:rPr>
        <w:t>Christian Beginnings from Nazareth to Nicaea, AD 30–325</w:t>
      </w:r>
      <w:r w:rsidRPr="0072758C">
        <w:rPr>
          <w:lang w:val="en-AU"/>
        </w:rPr>
        <w:t xml:space="preserve">, 40. There are very few instances of the ‘kingship/kingdom’ of God in Jewish literature surrounding the time of Jesus. </w:t>
      </w:r>
      <w:r w:rsidRPr="0072758C">
        <w:rPr>
          <w:i/>
          <w:iCs/>
          <w:lang w:val="en-AU"/>
        </w:rPr>
        <w:t>See</w:t>
      </w:r>
      <w:r w:rsidRPr="0072758C">
        <w:rPr>
          <w:lang w:val="en-AU"/>
        </w:rPr>
        <w:t xml:space="preserve"> O. Camponovo, </w:t>
      </w:r>
      <w:r w:rsidRPr="0072758C">
        <w:rPr>
          <w:i/>
          <w:iCs/>
          <w:lang w:val="en-AU"/>
        </w:rPr>
        <w:t xml:space="preserve">Konigtum, Konigsherrschaft und Reich Gottes in den Fruhjudichen Schriften </w:t>
      </w:r>
      <w:r w:rsidRPr="0072758C">
        <w:rPr>
          <w:lang w:val="en-AU"/>
        </w:rPr>
        <w:t xml:space="preserve">(Fribourg: Vandenhoeck &amp; Ruprecht, 1984); Anne Moore, </w:t>
      </w:r>
      <w:r w:rsidRPr="0072758C">
        <w:rPr>
          <w:i/>
          <w:iCs/>
          <w:lang w:val="en-AU"/>
        </w:rPr>
        <w:t>Moving Beyond Symbol and Myth: Understanding the Kingship of God of the Hebrew Bible Through Metaphor</w:t>
      </w:r>
      <w:r w:rsidRPr="0072758C">
        <w:rPr>
          <w:lang w:val="en-AU"/>
        </w:rPr>
        <w:t xml:space="preserve"> (New York: Peter Lang, 2009).</w:t>
      </w:r>
    </w:p>
  </w:footnote>
  <w:footnote w:id="79">
    <w:p w14:paraId="785979B3" w14:textId="77777777" w:rsidR="00A663F2" w:rsidRPr="0072758C" w:rsidRDefault="00A663F2" w:rsidP="00EF3273">
      <w:pPr>
        <w:pStyle w:val="EndnoteText"/>
        <w:rPr>
          <w:lang w:val="en-AU"/>
        </w:rPr>
      </w:pPr>
    </w:p>
    <w:p w14:paraId="1B9EBFB1" w14:textId="1F280554" w:rsidR="00A663F2" w:rsidRPr="0072758C" w:rsidRDefault="00A663F2" w:rsidP="00AB7CAD">
      <w:pPr>
        <w:pStyle w:val="EndnoteText"/>
        <w:ind w:firstLine="720"/>
        <w:rPr>
          <w:lang w:val="en-AU"/>
        </w:rPr>
      </w:pPr>
      <w:r w:rsidRPr="0072758C">
        <w:rPr>
          <w:rStyle w:val="FootnoteReference"/>
          <w:lang w:val="en-AU"/>
        </w:rPr>
        <w:footnoteRef/>
      </w:r>
      <w:r w:rsidRPr="0072758C">
        <w:rPr>
          <w:lang w:val="en-AU"/>
        </w:rPr>
        <w:t xml:space="preserve"> </w:t>
      </w:r>
      <w:r w:rsidR="00D44508" w:rsidRPr="0072758C">
        <w:rPr>
          <w:lang w:val="en-AU"/>
        </w:rPr>
        <w:t>Ibid</w:t>
      </w:r>
      <w:r w:rsidR="0009349C" w:rsidRPr="0072758C">
        <w:rPr>
          <w:lang w:val="en-AU"/>
        </w:rPr>
        <w:t>.</w:t>
      </w:r>
      <w:r w:rsidR="00D44508" w:rsidRPr="0072758C">
        <w:rPr>
          <w:lang w:val="en-AU"/>
        </w:rPr>
        <w:t>,</w:t>
      </w:r>
      <w:r w:rsidRPr="0072758C">
        <w:rPr>
          <w:lang w:val="en-AU"/>
        </w:rPr>
        <w:t xml:space="preserve"> </w:t>
      </w:r>
      <w:r w:rsidR="0009349C" w:rsidRPr="0072758C">
        <w:rPr>
          <w:lang w:val="en-AU"/>
        </w:rPr>
        <w:t>s</w:t>
      </w:r>
      <w:r w:rsidRPr="0072758C">
        <w:rPr>
          <w:lang w:val="en-AU"/>
        </w:rPr>
        <w:t>ee Eckhard J Schnabel,</w:t>
      </w:r>
      <w:r w:rsidRPr="0072758C">
        <w:rPr>
          <w:i/>
          <w:iCs/>
          <w:lang w:val="en-AU"/>
        </w:rPr>
        <w:t xml:space="preserve"> </w:t>
      </w:r>
      <w:r w:rsidRPr="0072758C">
        <w:rPr>
          <w:lang w:val="en-AU"/>
        </w:rPr>
        <w:t>“Biblical Theology from A New Testament Perspective</w:t>
      </w:r>
      <w:r w:rsidR="0009349C" w:rsidRPr="0072758C">
        <w:rPr>
          <w:lang w:val="en-AU"/>
        </w:rPr>
        <w:t>,</w:t>
      </w:r>
      <w:r w:rsidRPr="0072758C">
        <w:rPr>
          <w:lang w:val="en-AU"/>
        </w:rPr>
        <w:t>”</w:t>
      </w:r>
      <w:r w:rsidRPr="0072758C">
        <w:rPr>
          <w:i/>
          <w:iCs/>
          <w:lang w:val="en-AU"/>
        </w:rPr>
        <w:t> Journal of The Evangelical Theological Society </w:t>
      </w:r>
      <w:r w:rsidRPr="0072758C">
        <w:rPr>
          <w:lang w:val="en-AU"/>
        </w:rPr>
        <w:t>2 (2019): 225–49</w:t>
      </w:r>
      <w:r w:rsidR="0009349C" w:rsidRPr="0072758C">
        <w:rPr>
          <w:lang w:val="en-AU"/>
        </w:rPr>
        <w:t>,</w:t>
      </w:r>
      <w:r w:rsidRPr="0072758C">
        <w:rPr>
          <w:lang w:val="en-AU"/>
        </w:rPr>
        <w:t xml:space="preserve"> for a discussion the Kingdom of God in within writings constructed before the birth of Jesus.</w:t>
      </w:r>
    </w:p>
    <w:p w14:paraId="342C9FED" w14:textId="77777777" w:rsidR="00A663F2" w:rsidRPr="0072758C" w:rsidRDefault="00A663F2" w:rsidP="00EF3273">
      <w:pPr>
        <w:pStyle w:val="EndnoteText"/>
        <w:rPr>
          <w:i/>
          <w:iCs/>
          <w:lang w:val="en-AU"/>
        </w:rPr>
      </w:pPr>
    </w:p>
  </w:footnote>
  <w:footnote w:id="80">
    <w:p w14:paraId="2F000A89" w14:textId="7D28834C" w:rsidR="00A663F2" w:rsidRPr="0072758C" w:rsidRDefault="00A663F2" w:rsidP="00AB7CAD">
      <w:pPr>
        <w:pStyle w:val="EndnoteText"/>
        <w:ind w:firstLine="720"/>
        <w:rPr>
          <w:lang w:val="en-AU"/>
        </w:rPr>
      </w:pPr>
      <w:r w:rsidRPr="0072758C">
        <w:rPr>
          <w:rStyle w:val="FootnoteReference"/>
          <w:lang w:val="en-AU"/>
        </w:rPr>
        <w:footnoteRef/>
      </w:r>
      <w:r w:rsidRPr="0072758C">
        <w:rPr>
          <w:lang w:val="en-AU"/>
        </w:rPr>
        <w:t xml:space="preserve"> Friedrich Schleiermacher, </w:t>
      </w:r>
      <w:r w:rsidRPr="0072758C">
        <w:rPr>
          <w:i/>
          <w:iCs/>
          <w:lang w:val="en-AU"/>
        </w:rPr>
        <w:t>Der christliche Glaube nach den Grundsätzen der evangelischen Kirche im Zusammenhang dargestellt</w:t>
      </w:r>
      <w:r w:rsidRPr="0072758C">
        <w:rPr>
          <w:lang w:val="en-AU"/>
        </w:rPr>
        <w:t xml:space="preserve"> (Berlin: de Gruyter, 1960), 130.2; Ananda Geyser-Fouche and Young Namgung contend that Israel had lost hope once taken from Israel to Babylon and that hope is restored by returning to the land (Ananda Geyser-Fouche and Young Namgung, “The Deuteronomic View </w:t>
      </w:r>
      <w:r w:rsidR="0009349C" w:rsidRPr="0072758C">
        <w:rPr>
          <w:lang w:val="en-AU"/>
        </w:rPr>
        <w:t>of</w:t>
      </w:r>
      <w:r w:rsidRPr="0072758C">
        <w:rPr>
          <w:lang w:val="en-AU"/>
        </w:rPr>
        <w:t xml:space="preserve"> History </w:t>
      </w:r>
      <w:r w:rsidR="0009349C" w:rsidRPr="0072758C">
        <w:rPr>
          <w:lang w:val="en-AU"/>
        </w:rPr>
        <w:t>in</w:t>
      </w:r>
      <w:r w:rsidRPr="0072758C">
        <w:rPr>
          <w:lang w:val="en-AU"/>
        </w:rPr>
        <w:t xml:space="preserve"> Second Temple Judaism,” </w:t>
      </w:r>
      <w:r w:rsidRPr="0072758C">
        <w:rPr>
          <w:i/>
          <w:iCs/>
          <w:lang w:val="en-AU"/>
        </w:rPr>
        <w:t>Verbum Et Ecclesia</w:t>
      </w:r>
      <w:r w:rsidRPr="0072758C">
        <w:rPr>
          <w:lang w:val="en-AU"/>
        </w:rPr>
        <w:t> 40 (2019)</w:t>
      </w:r>
      <w:r w:rsidR="00DE087B" w:rsidRPr="0072758C">
        <w:rPr>
          <w:lang w:val="en-AU"/>
        </w:rPr>
        <w:t>:</w:t>
      </w:r>
      <w:r w:rsidRPr="0072758C">
        <w:rPr>
          <w:lang w:val="en-AU"/>
        </w:rPr>
        <w:t xml:space="preserve"> 1–7.</w:t>
      </w:r>
    </w:p>
  </w:footnote>
  <w:footnote w:id="81">
    <w:p w14:paraId="2FA0EF87" w14:textId="77777777" w:rsidR="00A663F2" w:rsidRPr="0072758C" w:rsidRDefault="00A663F2" w:rsidP="00EF3273">
      <w:pPr>
        <w:pStyle w:val="EndnoteText"/>
        <w:rPr>
          <w:lang w:val="en-AU"/>
        </w:rPr>
      </w:pPr>
    </w:p>
    <w:p w14:paraId="4C11EC01" w14:textId="59668075"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Jan Assmann, </w:t>
      </w:r>
      <w:r w:rsidRPr="0072758C">
        <w:rPr>
          <w:i/>
          <w:iCs/>
          <w:lang w:val="en-AU"/>
        </w:rPr>
        <w:t>Of God and Gods: Egypt, Israel, and the Rise of Monotheism</w:t>
      </w:r>
      <w:r w:rsidRPr="0072758C">
        <w:rPr>
          <w:lang w:val="en-AU"/>
        </w:rPr>
        <w:t xml:space="preserve"> (Madison: University of Wisconsin Press, 2008), 10.</w:t>
      </w:r>
    </w:p>
  </w:footnote>
  <w:footnote w:id="82">
    <w:p w14:paraId="6697B3A9" w14:textId="77777777" w:rsidR="00A663F2" w:rsidRPr="0072758C" w:rsidRDefault="00A663F2" w:rsidP="00EF3273">
      <w:pPr>
        <w:pStyle w:val="EndnoteText"/>
        <w:rPr>
          <w:lang w:val="en-AU"/>
        </w:rPr>
      </w:pPr>
    </w:p>
    <w:p w14:paraId="64D4374E" w14:textId="4C5AE617"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For a discussion on Zealots and politics, </w:t>
      </w:r>
      <w:r w:rsidRPr="0072758C">
        <w:rPr>
          <w:i/>
          <w:iCs/>
          <w:lang w:val="en-AU"/>
        </w:rPr>
        <w:t xml:space="preserve">see </w:t>
      </w:r>
      <w:r w:rsidRPr="0072758C">
        <w:rPr>
          <w:lang w:val="en-AU"/>
        </w:rPr>
        <w:t>Miguel Vatter, “Roman Civil Religion and the Question of Jewish Politics in Arendt</w:t>
      </w:r>
      <w:r w:rsidR="0004031F" w:rsidRPr="0072758C">
        <w:rPr>
          <w:lang w:val="en-AU"/>
        </w:rPr>
        <w:t>,</w:t>
      </w:r>
      <w:r w:rsidRPr="0072758C">
        <w:rPr>
          <w:lang w:val="en-AU"/>
        </w:rPr>
        <w:t>” </w:t>
      </w:r>
      <w:r w:rsidRPr="0072758C">
        <w:rPr>
          <w:i/>
          <w:iCs/>
          <w:lang w:val="en-AU"/>
        </w:rPr>
        <w:t>Philosophy Today</w:t>
      </w:r>
      <w:r w:rsidRPr="0072758C">
        <w:rPr>
          <w:lang w:val="en-AU"/>
        </w:rPr>
        <w:t> 62</w:t>
      </w:r>
      <w:r w:rsidR="00A037EF" w:rsidRPr="0072758C">
        <w:rPr>
          <w:lang w:val="en-AU"/>
        </w:rPr>
        <w:t xml:space="preserve"> </w:t>
      </w:r>
      <w:r w:rsidRPr="0072758C">
        <w:rPr>
          <w:lang w:val="en-AU"/>
        </w:rPr>
        <w:t>(2018): 573–606.</w:t>
      </w:r>
    </w:p>
    <w:p w14:paraId="3C5A8E2B" w14:textId="77777777" w:rsidR="00A663F2" w:rsidRPr="0072758C" w:rsidRDefault="00A663F2" w:rsidP="00EF3273">
      <w:pPr>
        <w:pStyle w:val="EndnoteText"/>
        <w:rPr>
          <w:lang w:val="en-AU"/>
        </w:rPr>
      </w:pPr>
    </w:p>
  </w:footnote>
  <w:footnote w:id="83">
    <w:p w14:paraId="790CD17F" w14:textId="77777777"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Vermes, </w:t>
      </w:r>
      <w:r w:rsidRPr="0072758C">
        <w:rPr>
          <w:i/>
          <w:iCs/>
          <w:lang w:val="en-AU"/>
        </w:rPr>
        <w:t xml:space="preserve">Christian Beginnings from Nazareth to Nicaea, AD 30–325, </w:t>
      </w:r>
      <w:r w:rsidRPr="0072758C">
        <w:rPr>
          <w:lang w:val="en-AU"/>
        </w:rPr>
        <w:t>40–41.</w:t>
      </w:r>
    </w:p>
  </w:footnote>
  <w:footnote w:id="84">
    <w:p w14:paraId="7BCDF915" w14:textId="77777777" w:rsidR="00A663F2" w:rsidRPr="0072758C" w:rsidRDefault="00A663F2" w:rsidP="00EF3273">
      <w:pPr>
        <w:pStyle w:val="EndnoteText"/>
        <w:rPr>
          <w:lang w:val="en-AU"/>
        </w:rPr>
      </w:pPr>
    </w:p>
    <w:p w14:paraId="27D995E3" w14:textId="77777777" w:rsidR="00A663F2"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Ibid.</w:t>
      </w:r>
    </w:p>
  </w:footnote>
  <w:footnote w:id="85">
    <w:p w14:paraId="6157F7A9" w14:textId="77777777" w:rsidR="00A663F2" w:rsidRPr="0072758C" w:rsidRDefault="00A663F2" w:rsidP="00EF3273">
      <w:pPr>
        <w:pStyle w:val="EndnoteText"/>
        <w:rPr>
          <w:lang w:val="en-AU"/>
        </w:rPr>
      </w:pPr>
    </w:p>
    <w:p w14:paraId="5C74F0B1" w14:textId="3A602A90" w:rsidR="00F66688" w:rsidRPr="0072758C" w:rsidRDefault="00A663F2" w:rsidP="00610BBD">
      <w:pPr>
        <w:pStyle w:val="EndnoteText"/>
        <w:ind w:firstLine="720"/>
        <w:rPr>
          <w:lang w:val="en-AU"/>
        </w:rPr>
      </w:pPr>
      <w:r w:rsidRPr="0072758C">
        <w:rPr>
          <w:rStyle w:val="FootnoteReference"/>
          <w:lang w:val="en-AU"/>
        </w:rPr>
        <w:footnoteRef/>
      </w:r>
      <w:r w:rsidRPr="0072758C">
        <w:rPr>
          <w:lang w:val="en-AU"/>
        </w:rPr>
        <w:t xml:space="preserve"> Saldarini, </w:t>
      </w:r>
      <w:r w:rsidRPr="0072758C">
        <w:rPr>
          <w:i/>
          <w:iCs/>
          <w:lang w:val="en-AU"/>
        </w:rPr>
        <w:t>Matthew’s Christian-Jewish Community</w:t>
      </w:r>
      <w:r w:rsidRPr="0072758C">
        <w:rPr>
          <w:lang w:val="en-AU"/>
        </w:rPr>
        <w:t>, 163</w:t>
      </w:r>
      <w:r w:rsidR="00F66688" w:rsidRPr="0072758C">
        <w:rPr>
          <w:lang w:val="en-AU"/>
        </w:rPr>
        <w:t>; Robert G T. Edwards, “Proverbs 8, Christological Controversies, and the Pre-Existence of the Son and Torah in the Third and Fourth Centuries</w:t>
      </w:r>
      <w:r w:rsidR="0004031F" w:rsidRPr="0072758C">
        <w:rPr>
          <w:lang w:val="en-AU"/>
        </w:rPr>
        <w:t>,</w:t>
      </w:r>
      <w:r w:rsidR="00F66688" w:rsidRPr="0072758C">
        <w:rPr>
          <w:lang w:val="en-AU"/>
        </w:rPr>
        <w:t>” </w:t>
      </w:r>
      <w:r w:rsidR="00F66688" w:rsidRPr="0072758C">
        <w:rPr>
          <w:i/>
          <w:iCs/>
          <w:lang w:val="en-AU"/>
        </w:rPr>
        <w:t xml:space="preserve">Journal for the Study of Judaism in the Persian, </w:t>
      </w:r>
      <w:proofErr w:type="gramStart"/>
      <w:r w:rsidR="00F66688" w:rsidRPr="0072758C">
        <w:rPr>
          <w:i/>
          <w:iCs/>
          <w:lang w:val="en-AU"/>
        </w:rPr>
        <w:t>Hellenistic</w:t>
      </w:r>
      <w:proofErr w:type="gramEnd"/>
      <w:r w:rsidR="00F66688" w:rsidRPr="0072758C">
        <w:rPr>
          <w:i/>
          <w:iCs/>
          <w:lang w:val="en-AU"/>
        </w:rPr>
        <w:t xml:space="preserve"> and Roman Period</w:t>
      </w:r>
      <w:r w:rsidR="00F66688" w:rsidRPr="0072758C">
        <w:rPr>
          <w:lang w:val="en-AU"/>
        </w:rPr>
        <w:t> 51</w:t>
      </w:r>
      <w:r w:rsidR="00463364" w:rsidRPr="0072758C">
        <w:rPr>
          <w:lang w:val="en-AU"/>
        </w:rPr>
        <w:t xml:space="preserve"> </w:t>
      </w:r>
      <w:r w:rsidR="00F66688" w:rsidRPr="0072758C">
        <w:rPr>
          <w:lang w:val="en-AU"/>
        </w:rPr>
        <w:t>(2020): 67–96.</w:t>
      </w:r>
    </w:p>
    <w:p w14:paraId="5CBD706D" w14:textId="77777777" w:rsidR="00D303D6" w:rsidRPr="0072758C" w:rsidRDefault="00D303D6" w:rsidP="00610BBD">
      <w:pPr>
        <w:pStyle w:val="EndnoteText"/>
        <w:ind w:firstLine="720"/>
        <w:rPr>
          <w:lang w:val="en-AU"/>
        </w:rPr>
      </w:pPr>
    </w:p>
  </w:footnote>
  <w:footnote w:id="86">
    <w:p w14:paraId="413C3371" w14:textId="67F4239E" w:rsidR="00A663F2" w:rsidRPr="0072758C" w:rsidRDefault="00A663F2" w:rsidP="00D303D6">
      <w:pPr>
        <w:pStyle w:val="EndnoteText"/>
        <w:ind w:firstLine="720"/>
        <w:rPr>
          <w:lang w:val="en-AU"/>
        </w:rPr>
      </w:pPr>
      <w:r w:rsidRPr="0072758C">
        <w:rPr>
          <w:rStyle w:val="FootnoteReference"/>
          <w:lang w:val="en-AU"/>
        </w:rPr>
        <w:footnoteRef/>
      </w:r>
      <w:r w:rsidRPr="0072758C">
        <w:rPr>
          <w:lang w:val="en-AU"/>
        </w:rPr>
        <w:t xml:space="preserve"> Vermes, </w:t>
      </w:r>
      <w:r w:rsidRPr="0072758C">
        <w:rPr>
          <w:i/>
          <w:iCs/>
          <w:lang w:val="en-AU"/>
        </w:rPr>
        <w:t>Christian Beginnings from Nazareth to Nicaea, AD 30–325</w:t>
      </w:r>
      <w:r w:rsidRPr="0072758C">
        <w:rPr>
          <w:lang w:val="en-AU"/>
        </w:rPr>
        <w:t>, 41</w:t>
      </w:r>
      <w:r w:rsidR="0009349C" w:rsidRPr="0072758C">
        <w:rPr>
          <w:lang w:val="en-AU"/>
        </w:rPr>
        <w:t xml:space="preserve">, </w:t>
      </w:r>
      <w:r w:rsidR="00027224" w:rsidRPr="0072758C">
        <w:rPr>
          <w:lang w:val="en-AU"/>
        </w:rPr>
        <w:t>2</w:t>
      </w:r>
      <w:r w:rsidR="00A208D6" w:rsidRPr="0072758C">
        <w:rPr>
          <w:lang w:val="en-AU"/>
        </w:rPr>
        <w:t>.</w:t>
      </w:r>
    </w:p>
    <w:p w14:paraId="3D8E4FBE" w14:textId="77777777" w:rsidR="00A663F2" w:rsidRPr="0072758C" w:rsidRDefault="00A663F2" w:rsidP="00EF3273">
      <w:pPr>
        <w:pStyle w:val="EndnoteText"/>
        <w:rPr>
          <w:lang w:val="en-AU"/>
        </w:rPr>
      </w:pPr>
    </w:p>
  </w:footnote>
  <w:footnote w:id="87">
    <w:p w14:paraId="1795EFC3" w14:textId="5E3BCCB3" w:rsidR="00A663F2" w:rsidRPr="0072758C" w:rsidRDefault="00A663F2" w:rsidP="0004031F">
      <w:pPr>
        <w:pStyle w:val="EndnoteText"/>
        <w:ind w:firstLine="720"/>
        <w:rPr>
          <w:lang w:val="en-AU"/>
        </w:rPr>
      </w:pPr>
      <w:r w:rsidRPr="0072758C">
        <w:rPr>
          <w:rStyle w:val="FootnoteReference"/>
          <w:lang w:val="en-AU"/>
        </w:rPr>
        <w:footnoteRef/>
      </w:r>
      <w:r w:rsidRPr="0072758C">
        <w:rPr>
          <w:lang w:val="en-AU"/>
        </w:rPr>
        <w:t xml:space="preserve"> Saldarini, </w:t>
      </w:r>
      <w:r w:rsidRPr="0072758C">
        <w:rPr>
          <w:i/>
          <w:iCs/>
          <w:lang w:val="en-AU"/>
        </w:rPr>
        <w:t>Matthew’s Christian-Jewish Community</w:t>
      </w:r>
      <w:r w:rsidRPr="0072758C">
        <w:rPr>
          <w:lang w:val="en-AU"/>
        </w:rPr>
        <w:t>, 165</w:t>
      </w:r>
      <w:r w:rsidR="00A208D6" w:rsidRPr="0072758C">
        <w:rPr>
          <w:lang w:val="en-AU"/>
        </w:rPr>
        <w:t>; Henry Ansgar Kelly, “Love of Neighbor as Great Commandment in the Time of Jesus: Grasping at Straws in the Hebrew Scriptures</w:t>
      </w:r>
      <w:r w:rsidR="0009349C" w:rsidRPr="0072758C">
        <w:rPr>
          <w:lang w:val="en-AU"/>
        </w:rPr>
        <w:t>,</w:t>
      </w:r>
      <w:r w:rsidR="00A208D6" w:rsidRPr="0072758C">
        <w:rPr>
          <w:lang w:val="en-AU"/>
        </w:rPr>
        <w:t>” </w:t>
      </w:r>
      <w:r w:rsidR="00A208D6" w:rsidRPr="0072758C">
        <w:rPr>
          <w:i/>
          <w:iCs/>
          <w:lang w:val="en-AU"/>
        </w:rPr>
        <w:t>Journal of the Evangelical Theological Society</w:t>
      </w:r>
      <w:r w:rsidR="00A208D6" w:rsidRPr="0072758C">
        <w:rPr>
          <w:lang w:val="en-AU"/>
        </w:rPr>
        <w:t> 60</w:t>
      </w:r>
      <w:r w:rsidR="00CE7661" w:rsidRPr="0072758C">
        <w:rPr>
          <w:lang w:val="en-AU"/>
        </w:rPr>
        <w:t xml:space="preserve"> </w:t>
      </w:r>
      <w:r w:rsidR="00A208D6" w:rsidRPr="0072758C">
        <w:rPr>
          <w:lang w:val="en-AU"/>
        </w:rPr>
        <w:t>(2017): 265–81.</w:t>
      </w:r>
    </w:p>
  </w:footnote>
  <w:footnote w:id="88">
    <w:p w14:paraId="6E1BC71B" w14:textId="77777777" w:rsidR="00A663F2" w:rsidRPr="0072758C" w:rsidRDefault="00A663F2" w:rsidP="00EF3273">
      <w:pPr>
        <w:pStyle w:val="EndnoteText"/>
        <w:rPr>
          <w:lang w:val="en-AU"/>
        </w:rPr>
      </w:pPr>
    </w:p>
    <w:p w14:paraId="7683925E" w14:textId="308DBF11" w:rsidR="0069513E" w:rsidRPr="00D21CDE" w:rsidRDefault="00A663F2" w:rsidP="00D21CDE">
      <w:pPr>
        <w:ind w:firstLine="720"/>
        <w:rPr>
          <w:rFonts w:asciiTheme="majorBidi" w:hAnsiTheme="majorBidi" w:cstheme="majorBidi"/>
          <w:color w:val="000000" w:themeColor="text1"/>
          <w:sz w:val="20"/>
          <w:szCs w:val="20"/>
        </w:rPr>
      </w:pPr>
      <w:r w:rsidRPr="0072758C">
        <w:rPr>
          <w:rStyle w:val="FootnoteReference"/>
          <w:lang w:val="en-AU"/>
        </w:rPr>
        <w:footnoteRef/>
      </w:r>
      <w:r w:rsidRPr="0072758C">
        <w:rPr>
          <w:lang w:val="en-AU"/>
        </w:rPr>
        <w:t xml:space="preserve"> </w:t>
      </w:r>
      <w:r w:rsidRPr="00D21CDE">
        <w:rPr>
          <w:rFonts w:asciiTheme="majorBidi" w:hAnsiTheme="majorBidi" w:cstheme="majorBidi"/>
          <w:color w:val="000000" w:themeColor="text1"/>
          <w:sz w:val="20"/>
          <w:szCs w:val="20"/>
          <w:lang w:val="en-AU"/>
        </w:rPr>
        <w:t>Ibid., 199.</w:t>
      </w:r>
      <w:r w:rsidR="0069513E" w:rsidRPr="00D21CDE">
        <w:rPr>
          <w:rFonts w:asciiTheme="majorBidi" w:hAnsiTheme="majorBidi" w:cstheme="majorBidi"/>
          <w:color w:val="000000" w:themeColor="text1"/>
          <w:sz w:val="20"/>
          <w:szCs w:val="20"/>
          <w:lang w:val="en-AU"/>
        </w:rPr>
        <w:t xml:space="preserve"> Daniel Joslyn-Siemiatkoski suggests that </w:t>
      </w:r>
      <w:r w:rsidR="00AE4F8B" w:rsidRPr="00D21CDE">
        <w:rPr>
          <w:rFonts w:asciiTheme="majorBidi" w:hAnsiTheme="majorBidi" w:cstheme="majorBidi"/>
          <w:color w:val="000000" w:themeColor="text1"/>
          <w:sz w:val="20"/>
          <w:szCs w:val="20"/>
          <w:lang w:val="en-AU"/>
        </w:rPr>
        <w:t xml:space="preserve">modern Christianity needs to be studied through </w:t>
      </w:r>
      <w:r w:rsidR="00AE4F8B" w:rsidRPr="00D21CDE">
        <w:rPr>
          <w:rFonts w:asciiTheme="majorBidi" w:hAnsiTheme="majorBidi" w:cstheme="majorBidi"/>
          <w:color w:val="000000" w:themeColor="text1"/>
          <w:sz w:val="20"/>
          <w:szCs w:val="20"/>
        </w:rPr>
        <w:t xml:space="preserve">anti-supersessionist theology </w:t>
      </w:r>
      <w:proofErr w:type="gramStart"/>
      <w:r w:rsidR="00AE4F8B" w:rsidRPr="00D21CDE">
        <w:rPr>
          <w:rFonts w:asciiTheme="majorBidi" w:hAnsiTheme="majorBidi" w:cstheme="majorBidi"/>
          <w:color w:val="000000" w:themeColor="text1"/>
          <w:sz w:val="20"/>
          <w:szCs w:val="20"/>
        </w:rPr>
        <w:t>in order to</w:t>
      </w:r>
      <w:proofErr w:type="gramEnd"/>
      <w:r w:rsidR="00AE4F8B" w:rsidRPr="00D21CDE">
        <w:rPr>
          <w:rFonts w:asciiTheme="majorBidi" w:hAnsiTheme="majorBidi" w:cstheme="majorBidi"/>
          <w:color w:val="000000" w:themeColor="text1"/>
          <w:sz w:val="20"/>
          <w:szCs w:val="20"/>
        </w:rPr>
        <w:t xml:space="preserve"> remove the whiteness and bias in theological study, see </w:t>
      </w:r>
      <w:r w:rsidR="0069513E" w:rsidRPr="00D21CDE">
        <w:rPr>
          <w:rFonts w:asciiTheme="majorBidi" w:hAnsiTheme="majorBidi" w:cstheme="majorBidi"/>
          <w:color w:val="000000" w:themeColor="text1"/>
          <w:sz w:val="20"/>
          <w:szCs w:val="20"/>
          <w:lang w:val="en-AU"/>
        </w:rPr>
        <w:t xml:space="preserve">Daniel </w:t>
      </w:r>
      <w:r w:rsidR="0069513E" w:rsidRPr="00D21CDE">
        <w:rPr>
          <w:rFonts w:asciiTheme="majorBidi" w:hAnsiTheme="majorBidi" w:cstheme="majorBidi"/>
          <w:color w:val="000000" w:themeColor="text1"/>
          <w:sz w:val="20"/>
          <w:szCs w:val="20"/>
          <w:shd w:val="clear" w:color="auto" w:fill="FFFFFF"/>
        </w:rPr>
        <w:t>Joslyn-Siemiatkoski, "Towards an Anti-Supersessionist Theology: Race, Whiteness, and Covenant," </w:t>
      </w:r>
      <w:r w:rsidR="0069513E" w:rsidRPr="00D21CDE">
        <w:rPr>
          <w:rFonts w:asciiTheme="majorBidi" w:hAnsiTheme="majorBidi" w:cstheme="majorBidi"/>
          <w:i/>
          <w:iCs/>
          <w:color w:val="000000" w:themeColor="text1"/>
          <w:sz w:val="20"/>
          <w:szCs w:val="20"/>
          <w:shd w:val="clear" w:color="auto" w:fill="FFFFFF"/>
        </w:rPr>
        <w:t>Religions</w:t>
      </w:r>
      <w:r w:rsidR="0069513E" w:rsidRPr="00D21CDE">
        <w:rPr>
          <w:rFonts w:asciiTheme="majorBidi" w:hAnsiTheme="majorBidi" w:cstheme="majorBidi"/>
          <w:color w:val="000000" w:themeColor="text1"/>
          <w:sz w:val="20"/>
          <w:szCs w:val="20"/>
          <w:shd w:val="clear" w:color="auto" w:fill="FFFFFF"/>
        </w:rPr>
        <w:t> 13 (2022): 129</w:t>
      </w:r>
    </w:p>
    <w:p w14:paraId="310B33F3" w14:textId="309315B6" w:rsidR="0069513E" w:rsidRDefault="0069513E" w:rsidP="0069513E"/>
    <w:p w14:paraId="3AB24AA6" w14:textId="15D4B3BE" w:rsidR="00A663F2" w:rsidRPr="0072758C" w:rsidRDefault="00A663F2" w:rsidP="00D303D6">
      <w:pPr>
        <w:pStyle w:val="EndnoteText"/>
        <w:ind w:firstLine="720"/>
        <w:rPr>
          <w:lang w:val="en-AU"/>
        </w:rPr>
      </w:pPr>
    </w:p>
    <w:p w14:paraId="64E69540" w14:textId="77777777" w:rsidR="00A663F2" w:rsidRPr="0072758C" w:rsidRDefault="00A663F2" w:rsidP="00EF3273">
      <w:pPr>
        <w:pStyle w:val="EndnoteText"/>
        <w:rPr>
          <w:lang w:val="en-AU"/>
        </w:rPr>
      </w:pPr>
    </w:p>
  </w:footnote>
  <w:footnote w:id="89">
    <w:p w14:paraId="7CF89502" w14:textId="6A06EFFA" w:rsidR="00A663F2" w:rsidRPr="0072758C" w:rsidRDefault="00A663F2" w:rsidP="005071D8">
      <w:pPr>
        <w:pStyle w:val="EndnoteText"/>
        <w:ind w:firstLine="720"/>
        <w:rPr>
          <w:lang w:val="en-AU"/>
        </w:rPr>
      </w:pPr>
      <w:r w:rsidRPr="0072758C">
        <w:rPr>
          <w:rStyle w:val="FootnoteReference"/>
          <w:lang w:val="en-AU"/>
        </w:rPr>
        <w:footnoteRef/>
      </w:r>
      <w:r w:rsidRPr="0072758C">
        <w:rPr>
          <w:lang w:val="en-AU"/>
        </w:rPr>
        <w:t xml:space="preserve"> </w:t>
      </w:r>
      <w:r w:rsidR="002877F8" w:rsidRPr="0072758C">
        <w:rPr>
          <w:lang w:val="en-AU"/>
        </w:rPr>
        <w:t xml:space="preserve">Recent scholarship by Stiles suggests that the Matthean community was part of the first century </w:t>
      </w:r>
      <w:r w:rsidR="00A003DF" w:rsidRPr="0072758C">
        <w:rPr>
          <w:lang w:val="en-AU"/>
        </w:rPr>
        <w:t>interpretation</w:t>
      </w:r>
      <w:r w:rsidR="002877F8" w:rsidRPr="0072758C">
        <w:rPr>
          <w:lang w:val="en-AU"/>
        </w:rPr>
        <w:t xml:space="preserve"> of Jewish scholarship of the time, which this dissertation would agree with. </w:t>
      </w:r>
      <w:r w:rsidR="001078F4" w:rsidRPr="0072758C">
        <w:rPr>
          <w:lang w:val="en-AU"/>
        </w:rPr>
        <w:t>See</w:t>
      </w:r>
      <w:r w:rsidRPr="0072758C">
        <w:rPr>
          <w:lang w:val="en-AU"/>
        </w:rPr>
        <w:t xml:space="preserve"> more conservative scholarship supporting Jewish law-abiding communities in Matthew, see</w:t>
      </w:r>
      <w:r w:rsidRPr="0072758C">
        <w:rPr>
          <w:i/>
          <w:iCs/>
          <w:lang w:val="en-AU"/>
        </w:rPr>
        <w:t xml:space="preserve"> </w:t>
      </w:r>
      <w:r w:rsidRPr="0072758C">
        <w:rPr>
          <w:lang w:val="en-AU"/>
        </w:rPr>
        <w:t xml:space="preserve">Rudolf K. Bultmann, </w:t>
      </w:r>
      <w:r w:rsidRPr="0072758C">
        <w:rPr>
          <w:i/>
          <w:iCs/>
          <w:lang w:val="en-AU"/>
        </w:rPr>
        <w:t>The History of the Synoptic Tradition</w:t>
      </w:r>
      <w:r w:rsidR="00451466" w:rsidRPr="0072758C">
        <w:rPr>
          <w:i/>
          <w:iCs/>
          <w:lang w:val="en-AU"/>
        </w:rPr>
        <w:t xml:space="preserve">, </w:t>
      </w:r>
      <w:r w:rsidRPr="0072758C">
        <w:rPr>
          <w:lang w:val="en-AU"/>
        </w:rPr>
        <w:t>2nd ed.</w:t>
      </w:r>
      <w:r w:rsidR="00451466" w:rsidRPr="0072758C">
        <w:rPr>
          <w:lang w:val="en-AU"/>
        </w:rPr>
        <w:t xml:space="preserve"> (</w:t>
      </w:r>
      <w:r w:rsidRPr="0072758C">
        <w:rPr>
          <w:lang w:val="en-AU"/>
        </w:rPr>
        <w:t xml:space="preserve">Oxford: B. Blackwell, 1968); Gerhard Barth, “Matthew’s Understanding of the Law,” in </w:t>
      </w:r>
      <w:r w:rsidRPr="0072758C">
        <w:rPr>
          <w:i/>
          <w:iCs/>
          <w:lang w:val="en-AU"/>
        </w:rPr>
        <w:t>Tradition and Interpretation in Matthew</w:t>
      </w:r>
      <w:r w:rsidR="00451466" w:rsidRPr="0072758C">
        <w:rPr>
          <w:i/>
          <w:iCs/>
          <w:lang w:val="en-AU"/>
        </w:rPr>
        <w:t>,</w:t>
      </w:r>
      <w:r w:rsidRPr="0072758C">
        <w:rPr>
          <w:i/>
          <w:iCs/>
          <w:lang w:val="en-AU"/>
        </w:rPr>
        <w:t xml:space="preserve"> </w:t>
      </w:r>
      <w:r w:rsidR="00451466" w:rsidRPr="0072758C">
        <w:rPr>
          <w:lang w:val="en-AU"/>
        </w:rPr>
        <w:t>t</w:t>
      </w:r>
      <w:r w:rsidRPr="0072758C">
        <w:rPr>
          <w:lang w:val="en-AU"/>
        </w:rPr>
        <w:t>ranslated by Percy Scott (Philadelphia: Westminster Press, 1963); Günther Bornkamm</w:t>
      </w:r>
      <w:r w:rsidR="00451466" w:rsidRPr="0072758C">
        <w:rPr>
          <w:lang w:val="en-AU"/>
        </w:rPr>
        <w:t>,</w:t>
      </w:r>
      <w:r w:rsidRPr="0072758C">
        <w:rPr>
          <w:i/>
          <w:iCs/>
          <w:lang w:val="en-AU"/>
        </w:rPr>
        <w:t xml:space="preserve"> Tradition and Interpretation in Matthew</w:t>
      </w:r>
      <w:r w:rsidR="00451466" w:rsidRPr="0072758C">
        <w:rPr>
          <w:lang w:val="en-AU"/>
        </w:rPr>
        <w:t xml:space="preserve"> </w:t>
      </w:r>
      <w:r w:rsidRPr="0072758C">
        <w:rPr>
          <w:lang w:val="en-AU"/>
        </w:rPr>
        <w:t xml:space="preserve">(Philadelphia: Westminster Press, 1963); Roger Mohrlang, </w:t>
      </w:r>
      <w:r w:rsidRPr="0072758C">
        <w:rPr>
          <w:i/>
          <w:iCs/>
          <w:lang w:val="en-AU"/>
        </w:rPr>
        <w:t>Matthew and Paul:</w:t>
      </w:r>
      <w:r w:rsidRPr="0072758C">
        <w:rPr>
          <w:lang w:val="en-AU"/>
        </w:rPr>
        <w:t xml:space="preserve"> </w:t>
      </w:r>
      <w:r w:rsidRPr="0072758C">
        <w:rPr>
          <w:i/>
          <w:iCs/>
          <w:lang w:val="en-AU"/>
        </w:rPr>
        <w:t xml:space="preserve">A Comparison of Ethical Perspectives </w:t>
      </w:r>
      <w:r w:rsidRPr="0072758C">
        <w:rPr>
          <w:lang w:val="en-AU"/>
        </w:rPr>
        <w:t xml:space="preserve">(Cambridge: Cambridge University Press, 1984); J. Andrew Overman, </w:t>
      </w:r>
      <w:r w:rsidRPr="0072758C">
        <w:rPr>
          <w:i/>
          <w:iCs/>
          <w:lang w:val="en-AU"/>
        </w:rPr>
        <w:t>Matthew’s Gospel and Formative Judaism: The Social World of the Matthean Community</w:t>
      </w:r>
      <w:r w:rsidRPr="0072758C">
        <w:rPr>
          <w:lang w:val="en-AU"/>
        </w:rPr>
        <w:t xml:space="preserve"> (Minneapolis: Fortress Press, 1990);</w:t>
      </w:r>
      <w:r w:rsidR="00F34727" w:rsidRPr="0072758C">
        <w:rPr>
          <w:lang w:val="en-AU"/>
        </w:rPr>
        <w:t xml:space="preserve"> </w:t>
      </w:r>
      <w:r w:rsidRPr="0072758C">
        <w:rPr>
          <w:lang w:val="en-AU"/>
        </w:rPr>
        <w:t xml:space="preserve">David C. Sim, “The Gospel of Matthew and the Gentiles,” </w:t>
      </w:r>
      <w:r w:rsidRPr="0072758C">
        <w:rPr>
          <w:i/>
          <w:iCs/>
          <w:lang w:val="en-AU"/>
        </w:rPr>
        <w:t>Journal for the Study of the New Testament</w:t>
      </w:r>
      <w:r w:rsidRPr="0072758C">
        <w:rPr>
          <w:lang w:val="en-AU"/>
        </w:rPr>
        <w:t xml:space="preserve"> 57 (1995): 19–48; </w:t>
      </w:r>
      <w:r w:rsidRPr="0072758C">
        <w:rPr>
          <w:i/>
          <w:iCs/>
          <w:lang w:val="en-AU"/>
        </w:rPr>
        <w:t>The Gospel of Matthew and Christian Judaism: The History and Social Setting of the Matthean Community</w:t>
      </w:r>
      <w:r w:rsidRPr="0072758C">
        <w:rPr>
          <w:lang w:val="en-AU"/>
        </w:rPr>
        <w:t xml:space="preserve"> (Edinburgh: T. &amp; T. Clark, 1998); “The Social Setting of the Matthean Community: New Paths for an Old Journey,” </w:t>
      </w:r>
      <w:r w:rsidRPr="0072758C">
        <w:rPr>
          <w:i/>
          <w:iCs/>
          <w:lang w:val="en-AU"/>
        </w:rPr>
        <w:t>HTS</w:t>
      </w:r>
      <w:r w:rsidR="005071D8" w:rsidRPr="0072758C">
        <w:rPr>
          <w:lang w:val="en-AU"/>
        </w:rPr>
        <w:t xml:space="preserve"> </w:t>
      </w:r>
      <w:r w:rsidR="005071D8" w:rsidRPr="0072758C">
        <w:rPr>
          <w:i/>
          <w:iCs/>
          <w:lang w:val="en-AU"/>
        </w:rPr>
        <w:t>Teologiese Studies – Theological Studies</w:t>
      </w:r>
      <w:r w:rsidRPr="0072758C">
        <w:rPr>
          <w:lang w:val="en-AU"/>
        </w:rPr>
        <w:t xml:space="preserve"> 57 (2001): 268–280;</w:t>
      </w:r>
      <w:r w:rsidR="00451466" w:rsidRPr="0072758C">
        <w:rPr>
          <w:lang w:val="en-AU"/>
        </w:rPr>
        <w:t xml:space="preserve"> </w:t>
      </w:r>
      <w:r w:rsidR="00E23A99" w:rsidRPr="0072758C">
        <w:rPr>
          <w:lang w:val="en-AU"/>
        </w:rPr>
        <w:t xml:space="preserve">and </w:t>
      </w:r>
      <w:r w:rsidRPr="0072758C">
        <w:rPr>
          <w:lang w:val="en-AU"/>
        </w:rPr>
        <w:t xml:space="preserve">Saldarini, </w:t>
      </w:r>
      <w:r w:rsidRPr="0072758C">
        <w:rPr>
          <w:i/>
          <w:iCs/>
          <w:lang w:val="en-AU"/>
        </w:rPr>
        <w:t>Matthew’s Christian-Jewish Community</w:t>
      </w:r>
      <w:r w:rsidR="00E23A99" w:rsidRPr="0072758C">
        <w:rPr>
          <w:lang w:val="en-AU"/>
        </w:rPr>
        <w:t>.</w:t>
      </w:r>
      <w:r w:rsidRPr="0072758C">
        <w:rPr>
          <w:lang w:val="en-AU"/>
        </w:rPr>
        <w:t xml:space="preserve"> </w:t>
      </w:r>
    </w:p>
    <w:p w14:paraId="677968FB" w14:textId="77777777" w:rsidR="00A663F2" w:rsidRPr="0072758C" w:rsidRDefault="00A663F2" w:rsidP="00EF3273">
      <w:pPr>
        <w:pStyle w:val="EndnoteText"/>
        <w:rPr>
          <w:lang w:val="en-AU"/>
        </w:rPr>
      </w:pPr>
    </w:p>
  </w:footnote>
  <w:footnote w:id="90">
    <w:p w14:paraId="7B8CD0B9" w14:textId="2802AE5B" w:rsidR="00D663EF" w:rsidRPr="0072758C" w:rsidRDefault="00A663F2" w:rsidP="00D303D6">
      <w:pPr>
        <w:pStyle w:val="EndnoteText"/>
        <w:ind w:firstLine="720"/>
        <w:rPr>
          <w:lang w:val="en-AU"/>
        </w:rPr>
      </w:pPr>
      <w:r w:rsidRPr="0072758C">
        <w:rPr>
          <w:rStyle w:val="FootnoteReference"/>
          <w:lang w:val="en-AU"/>
        </w:rPr>
        <w:footnoteRef/>
      </w:r>
      <w:r w:rsidRPr="0072758C">
        <w:rPr>
          <w:lang w:val="en-AU"/>
        </w:rPr>
        <w:t xml:space="preserve"> The mountain was probably in the vicinity of Capernaum (Matt 8:1, 5), assuming 8:5 follows immediately from 8:1–4.</w:t>
      </w:r>
      <w:r w:rsidR="003B659B" w:rsidRPr="0072758C">
        <w:rPr>
          <w:lang w:val="en-AU"/>
        </w:rPr>
        <w:t xml:space="preserve"> For a broad understanding of geographical </w:t>
      </w:r>
      <w:r w:rsidR="00D663EF" w:rsidRPr="0072758C">
        <w:rPr>
          <w:lang w:val="en-AU"/>
        </w:rPr>
        <w:t>occasions from Matthew 8, see Mark Lau Branson, “Matthew and Learning Communities</w:t>
      </w:r>
      <w:r w:rsidR="001078F4" w:rsidRPr="0072758C">
        <w:rPr>
          <w:lang w:val="en-AU"/>
        </w:rPr>
        <w:t>,</w:t>
      </w:r>
      <w:r w:rsidR="00D663EF" w:rsidRPr="0072758C">
        <w:rPr>
          <w:lang w:val="en-AU"/>
        </w:rPr>
        <w:t>” </w:t>
      </w:r>
      <w:r w:rsidR="00D663EF" w:rsidRPr="0072758C">
        <w:rPr>
          <w:i/>
          <w:iCs/>
          <w:lang w:val="en-AU"/>
        </w:rPr>
        <w:t>Journal of Religious Leadership</w:t>
      </w:r>
      <w:r w:rsidR="00D663EF" w:rsidRPr="0072758C">
        <w:rPr>
          <w:lang w:val="en-AU"/>
        </w:rPr>
        <w:t> 15 (2016): 37–68.</w:t>
      </w:r>
    </w:p>
  </w:footnote>
  <w:footnote w:id="91">
    <w:p w14:paraId="09A4FCBE" w14:textId="77777777" w:rsidR="00A663F2" w:rsidRPr="0072758C" w:rsidRDefault="00A663F2" w:rsidP="00EF3273">
      <w:pPr>
        <w:pStyle w:val="EndnoteText"/>
        <w:rPr>
          <w:lang w:val="en-AU"/>
        </w:rPr>
      </w:pPr>
    </w:p>
    <w:p w14:paraId="00081B30" w14:textId="3395FA34" w:rsidR="0000467F" w:rsidRPr="0072758C" w:rsidRDefault="00A663F2" w:rsidP="00D303D6">
      <w:pPr>
        <w:pStyle w:val="EndnoteText"/>
        <w:ind w:firstLine="720"/>
        <w:rPr>
          <w:lang w:val="en-AU"/>
        </w:rPr>
      </w:pPr>
      <w:r w:rsidRPr="0072758C">
        <w:rPr>
          <w:rStyle w:val="FootnoteReference"/>
          <w:lang w:val="en-AU"/>
        </w:rPr>
        <w:footnoteRef/>
      </w:r>
      <w:r w:rsidRPr="0072758C">
        <w:rPr>
          <w:lang w:val="en-AU"/>
        </w:rPr>
        <w:t xml:space="preserve"> Donald Senior, “Viewing the Jewish Jesus of History through the Lens of Matthew’s Gospel,” in </w:t>
      </w:r>
      <w:r w:rsidRPr="0072758C">
        <w:rPr>
          <w:i/>
          <w:iCs/>
          <w:lang w:val="en-AU"/>
        </w:rPr>
        <w:t>Soundings in the Religion of Jesus: Perspectives and Methods in Jewish and Christian Scholarship</w:t>
      </w:r>
      <w:r w:rsidRPr="0072758C">
        <w:rPr>
          <w:lang w:val="en-AU"/>
        </w:rPr>
        <w:t xml:space="preserve"> (Minneapolis: Fortress, 2012), 81–95</w:t>
      </w:r>
      <w:r w:rsidR="00AD6839" w:rsidRPr="0072758C">
        <w:rPr>
          <w:lang w:val="en-AU"/>
        </w:rPr>
        <w:t>; Francois P Viljoen, “Jesus’ Teaching on the Torah in the Sermon on the Mount.” </w:t>
      </w:r>
      <w:r w:rsidR="00AD6839" w:rsidRPr="0072758C">
        <w:rPr>
          <w:i/>
          <w:iCs/>
          <w:lang w:val="en-AU"/>
        </w:rPr>
        <w:t>Neotestamentica</w:t>
      </w:r>
      <w:r w:rsidR="00AD6839" w:rsidRPr="0072758C">
        <w:rPr>
          <w:lang w:val="en-AU"/>
        </w:rPr>
        <w:t> 4</w:t>
      </w:r>
      <w:r w:rsidR="00E75001" w:rsidRPr="0072758C">
        <w:rPr>
          <w:lang w:val="en-AU"/>
        </w:rPr>
        <w:t>0</w:t>
      </w:r>
      <w:r w:rsidR="00AD6839" w:rsidRPr="0072758C">
        <w:rPr>
          <w:lang w:val="en-AU"/>
        </w:rPr>
        <w:t xml:space="preserve"> (2006): 135–55; Jean-Marc Chouraqui. “Réflexions d’un Juif Sur Jésus</w:t>
      </w:r>
      <w:r w:rsidR="001078F4" w:rsidRPr="0072758C">
        <w:rPr>
          <w:lang w:val="en-AU"/>
        </w:rPr>
        <w:t>,</w:t>
      </w:r>
      <w:r w:rsidR="00AD6839" w:rsidRPr="0072758C">
        <w:rPr>
          <w:lang w:val="en-AU"/>
        </w:rPr>
        <w:t>” </w:t>
      </w:r>
      <w:r w:rsidR="00AD6839" w:rsidRPr="0072758C">
        <w:rPr>
          <w:i/>
          <w:iCs/>
          <w:lang w:val="en-AU"/>
        </w:rPr>
        <w:t>Théophilyon</w:t>
      </w:r>
      <w:r w:rsidR="00AD6839" w:rsidRPr="0072758C">
        <w:rPr>
          <w:lang w:val="en-AU"/>
        </w:rPr>
        <w:t> 6 (2001): 125–62.</w:t>
      </w:r>
      <w:r w:rsidR="0000467F" w:rsidRPr="0072758C">
        <w:rPr>
          <w:lang w:val="en-AU"/>
        </w:rPr>
        <w:t xml:space="preserve">  Tucker contends that Jesus was a radical observer of the law, see Tucker S. Ferda, “The Historical Jesus and the Law: The Form of His Activity and the Impact of Social Reputation</w:t>
      </w:r>
      <w:r w:rsidR="001078F4" w:rsidRPr="0072758C">
        <w:rPr>
          <w:lang w:val="en-AU"/>
        </w:rPr>
        <w:t>,</w:t>
      </w:r>
      <w:r w:rsidR="0000467F" w:rsidRPr="0072758C">
        <w:rPr>
          <w:lang w:val="en-AU"/>
        </w:rPr>
        <w:t>” </w:t>
      </w:r>
      <w:r w:rsidR="0000467F" w:rsidRPr="0072758C">
        <w:rPr>
          <w:i/>
          <w:iCs/>
          <w:lang w:val="en-AU"/>
        </w:rPr>
        <w:t>The Catholic Biblical Quarterly</w:t>
      </w:r>
      <w:r w:rsidR="0000467F" w:rsidRPr="0072758C">
        <w:rPr>
          <w:lang w:val="en-AU"/>
        </w:rPr>
        <w:t> 80 (2018): 62–80. </w:t>
      </w:r>
    </w:p>
    <w:p w14:paraId="7BCDE5AD" w14:textId="77777777" w:rsidR="00A663F2" w:rsidRPr="0072758C" w:rsidRDefault="00A663F2" w:rsidP="00EF3273">
      <w:pPr>
        <w:pStyle w:val="EndnoteText"/>
        <w:rPr>
          <w:lang w:val="en-AU"/>
        </w:rPr>
      </w:pPr>
    </w:p>
  </w:footnote>
  <w:footnote w:id="92">
    <w:p w14:paraId="24F10FBE" w14:textId="5B80E340" w:rsidR="00A663F2" w:rsidRPr="0072758C" w:rsidRDefault="00A663F2" w:rsidP="00D303D6">
      <w:pPr>
        <w:pStyle w:val="EndnoteText"/>
        <w:ind w:firstLine="720"/>
        <w:rPr>
          <w:i/>
          <w:iCs/>
          <w:lang w:val="en-AU"/>
        </w:rPr>
      </w:pPr>
      <w:r w:rsidRPr="0072758C">
        <w:rPr>
          <w:rStyle w:val="FootnoteReference"/>
          <w:lang w:val="en-AU"/>
        </w:rPr>
        <w:footnoteRef/>
      </w:r>
      <w:r w:rsidRPr="0072758C">
        <w:rPr>
          <w:lang w:val="en-AU"/>
        </w:rPr>
        <w:t xml:space="preserve"> For further studies on pacifism and Just War, see </w:t>
      </w:r>
      <w:r w:rsidR="00CF462D" w:rsidRPr="0072758C">
        <w:rPr>
          <w:lang w:val="en-AU"/>
        </w:rPr>
        <w:t>Stanley Hauerwas, “Blessed Are the Peacemakers: Pacifism, Just War, and Peacebuilding</w:t>
      </w:r>
      <w:r w:rsidR="008A27E9" w:rsidRPr="0072758C">
        <w:rPr>
          <w:lang w:val="en-AU"/>
        </w:rPr>
        <w:t>,</w:t>
      </w:r>
      <w:r w:rsidR="00CF462D" w:rsidRPr="0072758C">
        <w:rPr>
          <w:lang w:val="en-AU"/>
        </w:rPr>
        <w:t>”</w:t>
      </w:r>
      <w:r w:rsidR="00CF462D" w:rsidRPr="0072758C">
        <w:rPr>
          <w:i/>
          <w:iCs/>
          <w:lang w:val="en-AU"/>
        </w:rPr>
        <w:t> </w:t>
      </w:r>
      <w:r w:rsidR="00DF2BEE">
        <w:rPr>
          <w:i/>
          <w:iCs/>
          <w:lang w:val="en-AU"/>
        </w:rPr>
        <w:t>Interpretation</w:t>
      </w:r>
      <w:r w:rsidR="00CF462D" w:rsidRPr="0072758C">
        <w:rPr>
          <w:i/>
          <w:iCs/>
          <w:lang w:val="en-AU"/>
        </w:rPr>
        <w:t> </w:t>
      </w:r>
      <w:r w:rsidR="00CF462D" w:rsidRPr="0072758C">
        <w:rPr>
          <w:lang w:val="en-AU"/>
        </w:rPr>
        <w:t>75</w:t>
      </w:r>
      <w:r w:rsidR="00CF462D" w:rsidRPr="0072758C">
        <w:rPr>
          <w:i/>
          <w:iCs/>
          <w:lang w:val="en-AU"/>
        </w:rPr>
        <w:t xml:space="preserve"> </w:t>
      </w:r>
      <w:r w:rsidR="00CF462D" w:rsidRPr="0072758C">
        <w:rPr>
          <w:lang w:val="en-AU"/>
        </w:rPr>
        <w:t>( 2021): 177–</w:t>
      </w:r>
      <w:r w:rsidR="00D44508" w:rsidRPr="0072758C">
        <w:rPr>
          <w:lang w:val="en-AU"/>
        </w:rPr>
        <w:t>78; Roland</w:t>
      </w:r>
      <w:r w:rsidRPr="0072758C">
        <w:rPr>
          <w:lang w:val="en-AU"/>
        </w:rPr>
        <w:t xml:space="preserve"> </w:t>
      </w:r>
      <w:r w:rsidRPr="0072758C">
        <w:rPr>
          <w:rFonts w:eastAsia="Arimo"/>
          <w:lang w:val="en-AU"/>
        </w:rPr>
        <w:t xml:space="preserve">Bainton, </w:t>
      </w:r>
      <w:r w:rsidRPr="0072758C">
        <w:rPr>
          <w:rFonts w:eastAsia="Arimo"/>
          <w:i/>
          <w:lang w:val="en-AU"/>
        </w:rPr>
        <w:t xml:space="preserve">Christian Attitudes Toward War and Peace </w:t>
      </w:r>
      <w:r w:rsidRPr="0072758C">
        <w:rPr>
          <w:rFonts w:eastAsia="Arimo"/>
          <w:iCs/>
          <w:lang w:val="en-AU"/>
        </w:rPr>
        <w:t>(</w:t>
      </w:r>
      <w:r w:rsidRPr="0072758C">
        <w:rPr>
          <w:rFonts w:eastAsia="Arimo"/>
          <w:lang w:val="en-AU"/>
        </w:rPr>
        <w:t xml:space="preserve">Nashville: Abingdon Press, 1960); </w:t>
      </w:r>
      <w:r w:rsidR="00CF462D" w:rsidRPr="0072758C">
        <w:rPr>
          <w:rFonts w:eastAsia="Arimo"/>
          <w:lang w:val="en-AU"/>
        </w:rPr>
        <w:t>Ellen Ott Marshall, “Pacifism and the Question of Responsibility</w:t>
      </w:r>
      <w:r w:rsidR="00FC1FE8" w:rsidRPr="0072758C">
        <w:rPr>
          <w:rFonts w:eastAsia="Arimo"/>
          <w:lang w:val="en-AU"/>
        </w:rPr>
        <w:t>,</w:t>
      </w:r>
      <w:r w:rsidR="00CF462D" w:rsidRPr="0072758C">
        <w:rPr>
          <w:rFonts w:eastAsia="Arimo"/>
          <w:lang w:val="en-AU"/>
        </w:rPr>
        <w:t>” </w:t>
      </w:r>
      <w:r w:rsidR="00CF462D" w:rsidRPr="0072758C">
        <w:rPr>
          <w:rFonts w:eastAsia="Arimo"/>
          <w:i/>
          <w:iCs/>
          <w:lang w:val="en-AU"/>
        </w:rPr>
        <w:t>Political Theology</w:t>
      </w:r>
      <w:r w:rsidR="00CF462D" w:rsidRPr="0072758C">
        <w:rPr>
          <w:rFonts w:eastAsia="Arimo"/>
          <w:lang w:val="en-AU"/>
        </w:rPr>
        <w:t> 21 (2020): 192–206; Daniel H</w:t>
      </w:r>
      <w:r w:rsidR="00FC1FE8" w:rsidRPr="0072758C">
        <w:rPr>
          <w:rFonts w:eastAsia="Arimo"/>
          <w:lang w:val="en-AU"/>
        </w:rPr>
        <w:t>.</w:t>
      </w:r>
      <w:r w:rsidR="00CF462D" w:rsidRPr="0072758C">
        <w:rPr>
          <w:rFonts w:eastAsia="Arimo"/>
          <w:lang w:val="en-AU"/>
        </w:rPr>
        <w:t xml:space="preserve"> Weiss, “Christians as Levites: Rethinking Early Christian Attitudes toward War and Bloodshed via Origen, Tertullian, and Augustine</w:t>
      </w:r>
      <w:r w:rsidR="00FC1FE8" w:rsidRPr="0072758C">
        <w:rPr>
          <w:rFonts w:eastAsia="Arimo"/>
          <w:lang w:val="en-AU"/>
        </w:rPr>
        <w:t>,</w:t>
      </w:r>
      <w:r w:rsidR="00CF462D" w:rsidRPr="0072758C">
        <w:rPr>
          <w:rFonts w:eastAsia="Arimo"/>
          <w:lang w:val="en-AU"/>
        </w:rPr>
        <w:t>” </w:t>
      </w:r>
      <w:r w:rsidR="00CF462D" w:rsidRPr="0072758C">
        <w:rPr>
          <w:rFonts w:eastAsia="Arimo"/>
          <w:i/>
          <w:iCs/>
          <w:lang w:val="en-AU"/>
        </w:rPr>
        <w:t>Harvard Theological Review</w:t>
      </w:r>
      <w:r w:rsidR="00CF462D" w:rsidRPr="0072758C">
        <w:rPr>
          <w:rFonts w:eastAsia="Arimo"/>
          <w:lang w:val="en-AU"/>
        </w:rPr>
        <w:t> 112</w:t>
      </w:r>
      <w:r w:rsidR="00E371F4" w:rsidRPr="0072758C">
        <w:rPr>
          <w:rFonts w:eastAsia="Arimo"/>
          <w:lang w:val="en-AU"/>
        </w:rPr>
        <w:t xml:space="preserve"> </w:t>
      </w:r>
      <w:r w:rsidR="00CF462D" w:rsidRPr="0072758C">
        <w:rPr>
          <w:rFonts w:eastAsia="Arimo"/>
          <w:lang w:val="en-AU"/>
        </w:rPr>
        <w:t xml:space="preserve">(2019): 491–516. </w:t>
      </w:r>
      <w:r w:rsidR="00FC1FE8" w:rsidRPr="0072758C">
        <w:rPr>
          <w:rFonts w:eastAsia="Arimo"/>
          <w:lang w:val="en-AU"/>
        </w:rPr>
        <w:t>F</w:t>
      </w:r>
      <w:r w:rsidRPr="0072758C">
        <w:rPr>
          <w:rFonts w:eastAsia="Arimo"/>
          <w:lang w:val="en-AU"/>
        </w:rPr>
        <w:t xml:space="preserve">or further views on the strengths and the weaknesses of Christian Pacifism, see </w:t>
      </w:r>
      <w:r w:rsidRPr="0072758C">
        <w:rPr>
          <w:rFonts w:eastAsia="Arimo"/>
          <w:color w:val="1A1A1A"/>
          <w:lang w:val="en-AU"/>
        </w:rPr>
        <w:t>Daniel Dombrowski</w:t>
      </w:r>
      <w:r w:rsidR="00FC1FE8" w:rsidRPr="0072758C">
        <w:rPr>
          <w:rFonts w:eastAsia="Arimo"/>
          <w:color w:val="1A1A1A"/>
          <w:lang w:val="en-AU"/>
        </w:rPr>
        <w:t>,</w:t>
      </w:r>
      <w:r w:rsidRPr="0072758C">
        <w:rPr>
          <w:rFonts w:eastAsia="Arimo"/>
          <w:color w:val="1A1A1A"/>
          <w:lang w:val="en-AU"/>
        </w:rPr>
        <w:t> </w:t>
      </w:r>
      <w:r w:rsidRPr="0072758C">
        <w:rPr>
          <w:rFonts w:eastAsia="Arimo"/>
          <w:i/>
          <w:color w:val="1A1A1A"/>
          <w:lang w:val="en-AU"/>
        </w:rPr>
        <w:t>Christian Pacifism</w:t>
      </w:r>
      <w:r w:rsidRPr="0072758C">
        <w:rPr>
          <w:rFonts w:eastAsia="Arimo"/>
          <w:color w:val="1A1A1A"/>
          <w:lang w:val="en-AU"/>
        </w:rPr>
        <w:t xml:space="preserve"> (Philadelphia: Temple University Press, 1991); for the pros and cons against Just War Theory, </w:t>
      </w:r>
      <w:r w:rsidRPr="0072758C">
        <w:rPr>
          <w:rFonts w:eastAsia="Arimo"/>
          <w:i/>
          <w:iCs/>
          <w:color w:val="1A1A1A"/>
          <w:lang w:val="en-AU"/>
        </w:rPr>
        <w:t>see</w:t>
      </w:r>
      <w:r w:rsidRPr="0072758C">
        <w:rPr>
          <w:rFonts w:eastAsia="Arimo"/>
          <w:color w:val="1A1A1A"/>
          <w:lang w:val="en-AU"/>
        </w:rPr>
        <w:t xml:space="preserve"> </w:t>
      </w:r>
      <w:r w:rsidRPr="0072758C">
        <w:rPr>
          <w:rFonts w:eastAsia="Arimo"/>
          <w:lang w:val="en-AU"/>
        </w:rPr>
        <w:t xml:space="preserve">Andrew Fiala, </w:t>
      </w:r>
      <w:r w:rsidRPr="0072758C">
        <w:rPr>
          <w:rFonts w:eastAsia="Arimo"/>
          <w:i/>
          <w:color w:val="1A1A1A"/>
          <w:lang w:val="en-AU"/>
        </w:rPr>
        <w:t>The Just War Myth: The Moral Illusions of War</w:t>
      </w:r>
      <w:r w:rsidRPr="0072758C">
        <w:rPr>
          <w:rFonts w:eastAsia="Arimo"/>
          <w:color w:val="1A1A1A"/>
          <w:lang w:val="en-AU"/>
        </w:rPr>
        <w:t xml:space="preserve"> (Lanham, MD: Rowman and Littlefield, 2008).  For a background discussion and very detailed study of the general term of pacifism, see, Andrew Fiala</w:t>
      </w:r>
      <w:r w:rsidR="00FC1FE8" w:rsidRPr="0072758C">
        <w:rPr>
          <w:rFonts w:eastAsia="Arimo"/>
          <w:color w:val="1A1A1A"/>
          <w:lang w:val="en-AU"/>
        </w:rPr>
        <w:t>,</w:t>
      </w:r>
      <w:r w:rsidRPr="0072758C">
        <w:rPr>
          <w:rFonts w:eastAsia="Arimo"/>
          <w:color w:val="1A1A1A"/>
          <w:lang w:val="en-AU"/>
        </w:rPr>
        <w:t xml:space="preserve"> “Pacifism</w:t>
      </w:r>
      <w:r w:rsidR="00FC1FE8" w:rsidRPr="0072758C">
        <w:rPr>
          <w:rFonts w:eastAsia="Arimo"/>
          <w:color w:val="1A1A1A"/>
          <w:lang w:val="en-AU"/>
        </w:rPr>
        <w:t>,</w:t>
      </w:r>
      <w:r w:rsidRPr="0072758C">
        <w:rPr>
          <w:rFonts w:eastAsia="Arimo"/>
          <w:color w:val="1A1A1A"/>
          <w:lang w:val="en-AU"/>
        </w:rPr>
        <w:t xml:space="preserve">” </w:t>
      </w:r>
      <w:r w:rsidRPr="0072758C">
        <w:rPr>
          <w:rFonts w:eastAsia="Arimo"/>
          <w:i/>
          <w:color w:val="1A1A1A"/>
          <w:lang w:val="en-AU"/>
        </w:rPr>
        <w:t>Stanford Encyclopedia of Philosophy</w:t>
      </w:r>
      <w:r w:rsidRPr="0072758C">
        <w:rPr>
          <w:rFonts w:eastAsia="Arimo"/>
          <w:color w:val="1A1A1A"/>
          <w:lang w:val="en-AU"/>
        </w:rPr>
        <w:t xml:space="preserve"> </w:t>
      </w:r>
      <w:r w:rsidR="00FC1FE8" w:rsidRPr="0072758C">
        <w:rPr>
          <w:rFonts w:eastAsia="Arimo"/>
          <w:color w:val="1A1A1A"/>
          <w:lang w:val="en-AU"/>
        </w:rPr>
        <w:t>(</w:t>
      </w:r>
      <w:r w:rsidRPr="0072758C">
        <w:rPr>
          <w:rFonts w:eastAsia="Arimo"/>
          <w:color w:val="1A1A1A"/>
          <w:lang w:val="en-AU"/>
        </w:rPr>
        <w:t>2010</w:t>
      </w:r>
      <w:r w:rsidR="00FC1FE8" w:rsidRPr="0072758C">
        <w:rPr>
          <w:rFonts w:eastAsia="Arimo"/>
          <w:color w:val="1A1A1A"/>
          <w:lang w:val="en-AU"/>
        </w:rPr>
        <w:t>)</w:t>
      </w:r>
      <w:r w:rsidRPr="0072758C">
        <w:rPr>
          <w:rFonts w:eastAsia="Arimo"/>
          <w:color w:val="1A1A1A"/>
          <w:lang w:val="en-AU"/>
        </w:rPr>
        <w:t>. Edward N. Zalta</w:t>
      </w:r>
      <w:r w:rsidR="00FC1FE8" w:rsidRPr="0072758C">
        <w:rPr>
          <w:rFonts w:eastAsia="Arimo"/>
          <w:color w:val="1A1A1A"/>
          <w:lang w:val="en-AU"/>
        </w:rPr>
        <w:t>, e</w:t>
      </w:r>
      <w:r w:rsidRPr="0072758C">
        <w:rPr>
          <w:rFonts w:eastAsia="Arimo"/>
          <w:color w:val="1A1A1A"/>
          <w:lang w:val="en-AU"/>
        </w:rPr>
        <w:t xml:space="preserve">d.: </w:t>
      </w:r>
      <w:r w:rsidRPr="0072758C">
        <w:rPr>
          <w:rFonts w:eastAsia="Arimo"/>
          <w:lang w:val="en-AU"/>
        </w:rPr>
        <w:t>http://plato.stanford.edu/entries/pacifism/</w:t>
      </w:r>
      <w:r w:rsidRPr="0072758C">
        <w:rPr>
          <w:rFonts w:eastAsia="Arimo"/>
          <w:color w:val="1A1A1A"/>
          <w:lang w:val="en-AU"/>
        </w:rPr>
        <w:t xml:space="preserve">. </w:t>
      </w:r>
    </w:p>
    <w:p w14:paraId="4EF5A318" w14:textId="77777777" w:rsidR="00A663F2" w:rsidRPr="0072758C" w:rsidRDefault="00A663F2" w:rsidP="00EF3273">
      <w:pPr>
        <w:pStyle w:val="EndnoteText"/>
        <w:rPr>
          <w:lang w:val="en-AU"/>
        </w:rPr>
      </w:pPr>
    </w:p>
  </w:footnote>
  <w:footnote w:id="93">
    <w:p w14:paraId="51088455" w14:textId="3FF65BEE" w:rsidR="0050704E" w:rsidRPr="0072758C" w:rsidRDefault="00A663F2" w:rsidP="00D303D6">
      <w:pPr>
        <w:pStyle w:val="EndnoteText"/>
        <w:ind w:firstLine="720"/>
        <w:rPr>
          <w:lang w:val="en-AU"/>
        </w:rPr>
      </w:pPr>
      <w:r w:rsidRPr="0072758C">
        <w:rPr>
          <w:rStyle w:val="FootnoteReference"/>
          <w:lang w:val="en-AU"/>
        </w:rPr>
        <w:footnoteRef/>
      </w:r>
      <w:r w:rsidRPr="0072758C">
        <w:rPr>
          <w:lang w:val="en-AU"/>
        </w:rPr>
        <w:t xml:space="preserve"> Donald Senior, “Viewing the Jewish Jesus of History through the Lens of Matthew’s Gospel,” in </w:t>
      </w:r>
      <w:r w:rsidRPr="0072758C">
        <w:rPr>
          <w:i/>
          <w:iCs/>
          <w:lang w:val="en-AU"/>
        </w:rPr>
        <w:t>Soundings in the Religion of Jesus: Perspectives and Methods in Jewish and Christian Scholarship</w:t>
      </w:r>
      <w:r w:rsidRPr="0072758C">
        <w:rPr>
          <w:lang w:val="en-AU"/>
        </w:rPr>
        <w:t xml:space="preserve">, ed. Bruce Chilton, Anthony Le </w:t>
      </w:r>
      <w:proofErr w:type="gramStart"/>
      <w:r w:rsidRPr="0072758C">
        <w:rPr>
          <w:lang w:val="en-AU"/>
        </w:rPr>
        <w:t>Donne</w:t>
      </w:r>
      <w:proofErr w:type="gramEnd"/>
      <w:r w:rsidRPr="0072758C">
        <w:rPr>
          <w:lang w:val="en-AU"/>
        </w:rPr>
        <w:t xml:space="preserve"> and Jacob Neusnera (Minneapolis: Fortress, 2012), 81–95</w:t>
      </w:r>
      <w:r w:rsidR="0050704E" w:rsidRPr="0072758C">
        <w:rPr>
          <w:lang w:val="en-AU"/>
        </w:rPr>
        <w:t>; Daniel K. Eng, “The Antioch Assumption: Did Jews and Gentiles Actually Worship Together in Antioch?” </w:t>
      </w:r>
      <w:r w:rsidR="0050704E" w:rsidRPr="0072758C">
        <w:rPr>
          <w:i/>
          <w:iCs/>
          <w:lang w:val="en-AU"/>
        </w:rPr>
        <w:t>Evangelical Review of Theology</w:t>
      </w:r>
      <w:r w:rsidR="0050704E" w:rsidRPr="0072758C">
        <w:rPr>
          <w:lang w:val="en-AU"/>
        </w:rPr>
        <w:t> 42</w:t>
      </w:r>
      <w:r w:rsidR="00E75001" w:rsidRPr="0072758C">
        <w:rPr>
          <w:lang w:val="en-AU"/>
        </w:rPr>
        <w:t xml:space="preserve"> </w:t>
      </w:r>
      <w:r w:rsidR="0050704E" w:rsidRPr="0072758C">
        <w:rPr>
          <w:lang w:val="en-AU"/>
        </w:rPr>
        <w:t>(2018): 268–79.</w:t>
      </w:r>
    </w:p>
    <w:p w14:paraId="59242320" w14:textId="77777777" w:rsidR="00A663F2" w:rsidRPr="0072758C" w:rsidRDefault="00A663F2" w:rsidP="00EF3273">
      <w:pPr>
        <w:pStyle w:val="EndnoteText"/>
        <w:rPr>
          <w:lang w:val="en-AU"/>
        </w:rPr>
      </w:pPr>
    </w:p>
  </w:footnote>
  <w:footnote w:id="94">
    <w:p w14:paraId="5A6462D5" w14:textId="698E6389" w:rsidR="00A663F2" w:rsidRPr="0072758C" w:rsidRDefault="00A663F2" w:rsidP="00D303D6">
      <w:pPr>
        <w:pStyle w:val="EndnoteText"/>
        <w:ind w:firstLine="720"/>
        <w:rPr>
          <w:lang w:val="en-AU"/>
        </w:rPr>
      </w:pPr>
      <w:r w:rsidRPr="0072758C">
        <w:rPr>
          <w:rStyle w:val="FootnoteReference"/>
          <w:lang w:val="en-AU"/>
        </w:rPr>
        <w:footnoteRef/>
      </w:r>
      <w:r w:rsidRPr="0072758C">
        <w:rPr>
          <w:lang w:val="en-AU"/>
        </w:rPr>
        <w:t xml:space="preserve"> Douglas Moo, “Law,” in </w:t>
      </w:r>
      <w:r w:rsidRPr="0072758C">
        <w:rPr>
          <w:i/>
          <w:iCs/>
          <w:lang w:val="en-AU"/>
        </w:rPr>
        <w:t>Dictionary of Jesus and the Gospels</w:t>
      </w:r>
      <w:r w:rsidR="000025E3" w:rsidRPr="0072758C">
        <w:rPr>
          <w:lang w:val="en-AU"/>
        </w:rPr>
        <w:t>, ed. Joel Green, Jeannine Brown, and Nicholas Perrin</w:t>
      </w:r>
      <w:r w:rsidRPr="0072758C">
        <w:rPr>
          <w:lang w:val="en-AU"/>
        </w:rPr>
        <w:t xml:space="preserve"> (Downers Grove: InterVarsity, 1992), 457.</w:t>
      </w:r>
    </w:p>
    <w:p w14:paraId="583067E9" w14:textId="77777777" w:rsidR="00A663F2" w:rsidRPr="0072758C" w:rsidRDefault="00A663F2" w:rsidP="00EF3273">
      <w:pPr>
        <w:pStyle w:val="EndnoteText"/>
        <w:rPr>
          <w:lang w:val="en-AU"/>
        </w:rPr>
      </w:pPr>
    </w:p>
  </w:footnote>
  <w:footnote w:id="95">
    <w:p w14:paraId="540F2A03" w14:textId="55449C8D" w:rsidR="00A663F2" w:rsidRPr="0072758C" w:rsidRDefault="00A663F2" w:rsidP="00D303D6">
      <w:pPr>
        <w:pStyle w:val="EndnoteText"/>
        <w:ind w:firstLine="720"/>
        <w:rPr>
          <w:lang w:val="en-AU"/>
        </w:rPr>
      </w:pPr>
      <w:r w:rsidRPr="0072758C">
        <w:rPr>
          <w:rStyle w:val="FootnoteReference"/>
          <w:lang w:val="en-AU"/>
        </w:rPr>
        <w:footnoteRef/>
      </w:r>
      <w:r w:rsidRPr="0072758C">
        <w:rPr>
          <w:lang w:val="en-AU"/>
        </w:rPr>
        <w:t xml:space="preserve"> Benjamin L. White, “Justin between Paul and the Heretics: The Salvation of Christian Judai</w:t>
      </w:r>
      <w:r w:rsidR="006F59A5" w:rsidRPr="0072758C">
        <w:rPr>
          <w:lang w:val="en-AU"/>
        </w:rPr>
        <w:t>s</w:t>
      </w:r>
      <w:r w:rsidRPr="0072758C">
        <w:rPr>
          <w:lang w:val="en-AU"/>
        </w:rPr>
        <w:t>ers in the Dialogue with Trypho</w:t>
      </w:r>
      <w:r w:rsidR="000025E3" w:rsidRPr="0072758C">
        <w:rPr>
          <w:lang w:val="en-AU"/>
        </w:rPr>
        <w:t>,</w:t>
      </w:r>
      <w:r w:rsidRPr="0072758C">
        <w:rPr>
          <w:lang w:val="en-AU"/>
        </w:rPr>
        <w:t>” </w:t>
      </w:r>
      <w:r w:rsidRPr="0072758C">
        <w:rPr>
          <w:i/>
          <w:iCs/>
          <w:lang w:val="en-AU"/>
        </w:rPr>
        <w:t>Journal of Early Christian Studies</w:t>
      </w:r>
      <w:r w:rsidRPr="0072758C">
        <w:rPr>
          <w:lang w:val="en-AU"/>
        </w:rPr>
        <w:t> 26</w:t>
      </w:r>
      <w:r w:rsidR="00E75001" w:rsidRPr="0072758C">
        <w:rPr>
          <w:lang w:val="en-AU"/>
        </w:rPr>
        <w:t xml:space="preserve"> </w:t>
      </w:r>
      <w:r w:rsidRPr="0072758C">
        <w:rPr>
          <w:lang w:val="en-AU"/>
        </w:rPr>
        <w:t>(2018): 163–189.</w:t>
      </w:r>
    </w:p>
    <w:p w14:paraId="64CBA328" w14:textId="77777777" w:rsidR="00A663F2" w:rsidRPr="0072758C" w:rsidRDefault="00A663F2" w:rsidP="00EF3273">
      <w:pPr>
        <w:pStyle w:val="EndnoteText"/>
        <w:rPr>
          <w:lang w:val="en-AU"/>
        </w:rPr>
      </w:pPr>
    </w:p>
  </w:footnote>
  <w:footnote w:id="96">
    <w:p w14:paraId="733F2F36" w14:textId="77777777" w:rsidR="00A663F2" w:rsidRPr="0072758C" w:rsidRDefault="00A663F2" w:rsidP="00D303D6">
      <w:pPr>
        <w:pStyle w:val="EndnoteText"/>
        <w:ind w:firstLine="720"/>
        <w:rPr>
          <w:iCs/>
          <w:lang w:val="en-AU"/>
        </w:rPr>
      </w:pPr>
      <w:r w:rsidRPr="0072758C">
        <w:rPr>
          <w:rStyle w:val="FootnoteReference"/>
          <w:lang w:val="en-AU"/>
        </w:rPr>
        <w:footnoteRef/>
      </w:r>
      <w:r w:rsidRPr="0072758C">
        <w:rPr>
          <w:lang w:val="en-AU"/>
        </w:rPr>
        <w:t xml:space="preserve"> Boyarin, </w:t>
      </w:r>
      <w:r w:rsidRPr="0072758C">
        <w:rPr>
          <w:i/>
          <w:iCs/>
          <w:lang w:val="en-AU"/>
        </w:rPr>
        <w:t xml:space="preserve">The Jewish Gospels, </w:t>
      </w:r>
      <w:r w:rsidRPr="0072758C">
        <w:rPr>
          <w:iCs/>
          <w:lang w:val="en-AU"/>
        </w:rPr>
        <w:t>103.</w:t>
      </w:r>
    </w:p>
    <w:p w14:paraId="5A032A38" w14:textId="77777777" w:rsidR="00A663F2" w:rsidRPr="0072758C" w:rsidRDefault="00A663F2" w:rsidP="00EF3273">
      <w:pPr>
        <w:pStyle w:val="EndnoteText"/>
        <w:rPr>
          <w:lang w:val="en-AU"/>
        </w:rPr>
      </w:pPr>
    </w:p>
  </w:footnote>
  <w:footnote w:id="97">
    <w:p w14:paraId="14F76D2F" w14:textId="1ACB07B6" w:rsidR="00D10B01"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For scholarship on how the use of the Dead Sea Scrolls and the New Testament can be used in harmony of scholarship see G. J. Brooke, </w:t>
      </w:r>
      <w:r w:rsidRPr="0072758C">
        <w:rPr>
          <w:i/>
          <w:iCs/>
          <w:lang w:val="en-AU"/>
        </w:rPr>
        <w:t xml:space="preserve">The Dead Sea </w:t>
      </w:r>
      <w:proofErr w:type="gramStart"/>
      <w:r w:rsidRPr="0072758C">
        <w:rPr>
          <w:i/>
          <w:iCs/>
          <w:lang w:val="en-AU"/>
        </w:rPr>
        <w:t>Scrolls</w:t>
      </w:r>
      <w:proofErr w:type="gramEnd"/>
      <w:r w:rsidRPr="0072758C">
        <w:rPr>
          <w:i/>
          <w:iCs/>
          <w:lang w:val="en-AU"/>
        </w:rPr>
        <w:t xml:space="preserve"> and the New Testament</w:t>
      </w:r>
      <w:r w:rsidRPr="0072758C">
        <w:rPr>
          <w:lang w:val="en-AU"/>
        </w:rPr>
        <w:t xml:space="preserve"> (London: SPCK, 2005)</w:t>
      </w:r>
      <w:r w:rsidR="002C697A" w:rsidRPr="0072758C">
        <w:rPr>
          <w:lang w:val="en-AU"/>
        </w:rPr>
        <w:t>; Matthew P. Monger, “Dead Sea Media: Orality, Textuality, and Memory in the Scrolls from the Judean Desert.” </w:t>
      </w:r>
      <w:r w:rsidR="00035AFA" w:rsidRPr="0072758C">
        <w:rPr>
          <w:i/>
          <w:iCs/>
          <w:lang w:val="en-AU"/>
        </w:rPr>
        <w:t>Dead Sea Discoveries</w:t>
      </w:r>
      <w:r w:rsidR="00035AFA" w:rsidRPr="0072758C">
        <w:rPr>
          <w:lang w:val="en-AU"/>
        </w:rPr>
        <w:t xml:space="preserve"> </w:t>
      </w:r>
      <w:r w:rsidR="002C697A" w:rsidRPr="0072758C">
        <w:rPr>
          <w:lang w:val="en-AU"/>
        </w:rPr>
        <w:t>28 (2021): 131–33; Matthew Goldstone, “The Love of Neighbour in Ancient Judaism: The Reception of Leviticus 19:18 in the Hebrew Bible, the Septuagint, the Book of Jubilees, the Dead Sea Scrolls, and the New Testament</w:t>
      </w:r>
      <w:r w:rsidR="001078F4" w:rsidRPr="0072758C">
        <w:rPr>
          <w:lang w:val="en-AU"/>
        </w:rPr>
        <w:t>,</w:t>
      </w:r>
      <w:r w:rsidR="002C697A" w:rsidRPr="0072758C">
        <w:rPr>
          <w:lang w:val="en-AU"/>
        </w:rPr>
        <w:t>” </w:t>
      </w:r>
      <w:r w:rsidR="002C697A" w:rsidRPr="0072758C">
        <w:rPr>
          <w:i/>
          <w:iCs/>
          <w:lang w:val="en-AU"/>
        </w:rPr>
        <w:t>J</w:t>
      </w:r>
      <w:r w:rsidR="001078F4" w:rsidRPr="0072758C">
        <w:rPr>
          <w:i/>
          <w:iCs/>
          <w:lang w:val="en-AU"/>
        </w:rPr>
        <w:t xml:space="preserve">ournal </w:t>
      </w:r>
      <w:r w:rsidR="00035AFA" w:rsidRPr="0072758C">
        <w:rPr>
          <w:i/>
          <w:iCs/>
          <w:lang w:val="en-AU"/>
        </w:rPr>
        <w:t>of</w:t>
      </w:r>
      <w:r w:rsidR="001078F4" w:rsidRPr="0072758C">
        <w:rPr>
          <w:i/>
          <w:iCs/>
          <w:lang w:val="en-AU"/>
        </w:rPr>
        <w:t xml:space="preserve"> Theological Studies </w:t>
      </w:r>
      <w:r w:rsidR="002C697A" w:rsidRPr="0072758C">
        <w:rPr>
          <w:lang w:val="en-AU"/>
        </w:rPr>
        <w:t>70 (2019): 354–56</w:t>
      </w:r>
      <w:r w:rsidR="00D10B01" w:rsidRPr="0072758C">
        <w:rPr>
          <w:lang w:val="en-AU"/>
        </w:rPr>
        <w:t xml:space="preserve">; </w:t>
      </w:r>
      <w:r w:rsidR="002C697A" w:rsidRPr="0072758C">
        <w:rPr>
          <w:lang w:val="en-AU"/>
        </w:rPr>
        <w:t>Matthew Chalmers, “Samaritans, Biblical Studies, and Ancient Judaism: Recent Trends</w:t>
      </w:r>
      <w:r w:rsidR="00035AFA" w:rsidRPr="0072758C">
        <w:rPr>
          <w:lang w:val="en-AU"/>
        </w:rPr>
        <w:t>,</w:t>
      </w:r>
      <w:r w:rsidR="002C697A" w:rsidRPr="0072758C">
        <w:rPr>
          <w:lang w:val="en-AU"/>
        </w:rPr>
        <w:t>” </w:t>
      </w:r>
      <w:r w:rsidR="002C697A" w:rsidRPr="0072758C">
        <w:rPr>
          <w:i/>
          <w:iCs/>
          <w:lang w:val="en-AU"/>
        </w:rPr>
        <w:t>Currents in Biblical Research</w:t>
      </w:r>
      <w:r w:rsidR="002C697A" w:rsidRPr="0072758C">
        <w:rPr>
          <w:lang w:val="en-AU"/>
        </w:rPr>
        <w:t> 20</w:t>
      </w:r>
      <w:r w:rsidR="00E75001" w:rsidRPr="0072758C">
        <w:rPr>
          <w:lang w:val="en-AU"/>
        </w:rPr>
        <w:t xml:space="preserve"> </w:t>
      </w:r>
      <w:r w:rsidR="002C697A" w:rsidRPr="0072758C">
        <w:rPr>
          <w:lang w:val="en-AU"/>
        </w:rPr>
        <w:t>(2021): 28–64</w:t>
      </w:r>
      <w:r w:rsidR="00D10B01" w:rsidRPr="0072758C">
        <w:rPr>
          <w:lang w:val="en-AU"/>
        </w:rPr>
        <w:t xml:space="preserve">; </w:t>
      </w:r>
      <w:r w:rsidR="002C697A" w:rsidRPr="0072758C">
        <w:rPr>
          <w:lang w:val="en-AU"/>
        </w:rPr>
        <w:t>Schiffman, Lawrence H.</w:t>
      </w:r>
      <w:r w:rsidR="00035AFA" w:rsidRPr="0072758C">
        <w:rPr>
          <w:lang w:val="en-AU"/>
        </w:rPr>
        <w:t>,</w:t>
      </w:r>
      <w:r w:rsidR="002C697A" w:rsidRPr="0072758C">
        <w:rPr>
          <w:lang w:val="en-AU"/>
        </w:rPr>
        <w:t xml:space="preserve"> “Jewish Law in the Gospels in Light of the Dead Sea Scrolls</w:t>
      </w:r>
      <w:r w:rsidR="003716A7" w:rsidRPr="0072758C">
        <w:rPr>
          <w:lang w:val="en-AU"/>
        </w:rPr>
        <w:t>,</w:t>
      </w:r>
      <w:r w:rsidR="002C697A" w:rsidRPr="0072758C">
        <w:rPr>
          <w:lang w:val="en-AU"/>
        </w:rPr>
        <w:t>” </w:t>
      </w:r>
      <w:r w:rsidR="002C697A" w:rsidRPr="0072758C">
        <w:rPr>
          <w:i/>
          <w:iCs/>
          <w:lang w:val="en-AU"/>
        </w:rPr>
        <w:t>Biblical Theology Bulletin</w:t>
      </w:r>
      <w:r w:rsidR="002C697A" w:rsidRPr="0072758C">
        <w:rPr>
          <w:lang w:val="en-AU"/>
        </w:rPr>
        <w:t> 51 (2021): 226–33</w:t>
      </w:r>
      <w:r w:rsidR="00D10B01" w:rsidRPr="0072758C">
        <w:rPr>
          <w:lang w:val="en-AU"/>
        </w:rPr>
        <w:t>; Donald C</w:t>
      </w:r>
      <w:r w:rsidR="00035AFA" w:rsidRPr="0072758C">
        <w:rPr>
          <w:lang w:val="en-AU"/>
        </w:rPr>
        <w:t>.</w:t>
      </w:r>
      <w:r w:rsidR="00D10B01" w:rsidRPr="0072758C">
        <w:rPr>
          <w:lang w:val="en-AU"/>
        </w:rPr>
        <w:t xml:space="preserve"> McIntyre, “The Testing of Jesus in Light of the Dead Sea Scrolls and Intertextual Hermeneutics</w:t>
      </w:r>
      <w:r w:rsidR="003716A7" w:rsidRPr="0072758C">
        <w:rPr>
          <w:lang w:val="en-AU"/>
        </w:rPr>
        <w:t>,</w:t>
      </w:r>
      <w:r w:rsidR="00D10B01" w:rsidRPr="0072758C">
        <w:rPr>
          <w:lang w:val="en-AU"/>
        </w:rPr>
        <w:t>” </w:t>
      </w:r>
      <w:r w:rsidR="00D10B01" w:rsidRPr="0072758C">
        <w:rPr>
          <w:i/>
          <w:iCs/>
          <w:lang w:val="en-AU"/>
        </w:rPr>
        <w:t>Eleutheria</w:t>
      </w:r>
      <w:r w:rsidR="00D10B01" w:rsidRPr="0072758C">
        <w:rPr>
          <w:lang w:val="en-AU"/>
        </w:rPr>
        <w:t> 5</w:t>
      </w:r>
      <w:r w:rsidR="00E75001" w:rsidRPr="0072758C">
        <w:rPr>
          <w:lang w:val="en-AU"/>
        </w:rPr>
        <w:t xml:space="preserve"> </w:t>
      </w:r>
      <w:r w:rsidR="00D10B01" w:rsidRPr="0072758C">
        <w:rPr>
          <w:lang w:val="en-AU"/>
        </w:rPr>
        <w:t>(2021): 90–112.</w:t>
      </w:r>
    </w:p>
    <w:p w14:paraId="599AFE07" w14:textId="178C7FCF" w:rsidR="005C18F8" w:rsidRPr="0072758C" w:rsidRDefault="005C18F8" w:rsidP="00EF3273">
      <w:pPr>
        <w:pStyle w:val="EndnoteText"/>
        <w:rPr>
          <w:lang w:val="en-AU"/>
        </w:rPr>
      </w:pPr>
    </w:p>
  </w:footnote>
  <w:footnote w:id="98">
    <w:p w14:paraId="2A10433D" w14:textId="6E8EFAC4" w:rsidR="005C18F8"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Eben Scheffler, “Putting Qumran, Jesus and His Movement into Relief,” </w:t>
      </w:r>
      <w:r w:rsidRPr="0072758C">
        <w:rPr>
          <w:i/>
          <w:iCs/>
          <w:lang w:val="en-AU"/>
        </w:rPr>
        <w:t>HTS Teologiese Studies / Theological Studies</w:t>
      </w:r>
      <w:r w:rsidRPr="0072758C">
        <w:rPr>
          <w:lang w:val="en-AU"/>
        </w:rPr>
        <w:t> 72 (2016): 2–3.</w:t>
      </w:r>
    </w:p>
    <w:p w14:paraId="4CF035D4" w14:textId="77777777" w:rsidR="005C18F8" w:rsidRPr="0072758C" w:rsidRDefault="005C18F8" w:rsidP="00EF3273">
      <w:pPr>
        <w:pStyle w:val="EndnoteText"/>
        <w:rPr>
          <w:lang w:val="en-AU"/>
        </w:rPr>
      </w:pPr>
    </w:p>
  </w:footnote>
  <w:footnote w:id="99">
    <w:p w14:paraId="04A699D4" w14:textId="2B7BF4C2" w:rsidR="00CD2832"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Ibid.</w:t>
      </w:r>
      <w:r w:rsidR="00CD2832" w:rsidRPr="0072758C">
        <w:rPr>
          <w:lang w:val="en-AU"/>
        </w:rPr>
        <w:t xml:space="preserve"> Tantelvskij suggests that the Essenes are defendants of King David’s father, Jesse. Igor R</w:t>
      </w:r>
      <w:r w:rsidR="00035AFA" w:rsidRPr="0072758C">
        <w:rPr>
          <w:lang w:val="en-AU"/>
        </w:rPr>
        <w:t>.</w:t>
      </w:r>
      <w:r w:rsidR="00CD2832" w:rsidRPr="0072758C">
        <w:rPr>
          <w:lang w:val="en-AU"/>
        </w:rPr>
        <w:t xml:space="preserve"> Tantelvskij, “Etymology of </w:t>
      </w:r>
      <w:r w:rsidR="00035AFA" w:rsidRPr="0072758C">
        <w:rPr>
          <w:lang w:val="en-AU"/>
        </w:rPr>
        <w:t>‘</w:t>
      </w:r>
      <w:r w:rsidR="00CD2832" w:rsidRPr="0072758C">
        <w:rPr>
          <w:lang w:val="en-AU"/>
        </w:rPr>
        <w:t>Essenes’ in the Light of Qumran Messianic Expectation.” </w:t>
      </w:r>
      <w:r w:rsidR="00CD2832" w:rsidRPr="0072758C">
        <w:rPr>
          <w:i/>
          <w:iCs/>
          <w:lang w:val="en-AU"/>
        </w:rPr>
        <w:t>Qumran Chronicle</w:t>
      </w:r>
      <w:r w:rsidR="00CD2832" w:rsidRPr="0072758C">
        <w:rPr>
          <w:lang w:val="en-AU"/>
        </w:rPr>
        <w:t> 8 (1999): 195–212.</w:t>
      </w:r>
    </w:p>
    <w:p w14:paraId="65DC375B" w14:textId="77777777" w:rsidR="005C18F8" w:rsidRPr="0072758C" w:rsidRDefault="005C18F8" w:rsidP="00EF3273">
      <w:pPr>
        <w:pStyle w:val="EndnoteText"/>
        <w:rPr>
          <w:lang w:val="en-AU"/>
        </w:rPr>
      </w:pPr>
    </w:p>
  </w:footnote>
  <w:footnote w:id="100">
    <w:p w14:paraId="4FCE06BA" w14:textId="6C26067D" w:rsidR="00D14053" w:rsidRPr="0072758C" w:rsidRDefault="00D14053" w:rsidP="007438C6">
      <w:pPr>
        <w:pStyle w:val="EndnoteText"/>
        <w:ind w:firstLine="720"/>
        <w:rPr>
          <w:lang w:val="en-AU"/>
        </w:rPr>
      </w:pPr>
      <w:r w:rsidRPr="0072758C">
        <w:rPr>
          <w:rStyle w:val="FootnoteReference"/>
          <w:lang w:val="en-AU"/>
        </w:rPr>
        <w:footnoteRef/>
      </w:r>
      <w:r w:rsidRPr="0072758C">
        <w:rPr>
          <w:rStyle w:val="FootnoteReference"/>
          <w:lang w:val="en-AU"/>
        </w:rPr>
        <w:t xml:space="preserve"> </w:t>
      </w:r>
      <w:r w:rsidRPr="0072758C">
        <w:rPr>
          <w:rStyle w:val="FootnoteReference"/>
          <w:vertAlign w:val="baseline"/>
          <w:lang w:val="en-AU"/>
        </w:rPr>
        <w:t>Bargil Pixner</w:t>
      </w:r>
      <w:r w:rsidRPr="0072758C">
        <w:rPr>
          <w:lang w:val="en-AU"/>
        </w:rPr>
        <w:t>,</w:t>
      </w:r>
      <w:r w:rsidRPr="0072758C">
        <w:rPr>
          <w:rStyle w:val="FootnoteReference"/>
          <w:vertAlign w:val="baseline"/>
          <w:lang w:val="en-AU"/>
        </w:rPr>
        <w:t xml:space="preserve"> “Jerusalem’s Essene Gateway: Where the Community Lived in Jesus’ Time</w:t>
      </w:r>
      <w:r w:rsidRPr="0072758C">
        <w:rPr>
          <w:lang w:val="en-AU"/>
        </w:rPr>
        <w:t xml:space="preserve">,” </w:t>
      </w:r>
      <w:r w:rsidRPr="0072758C">
        <w:rPr>
          <w:rStyle w:val="FootnoteReference"/>
          <w:i/>
          <w:iCs/>
          <w:vertAlign w:val="baseline"/>
          <w:lang w:val="en-AU"/>
        </w:rPr>
        <w:t>Biblical Archaeology Review</w:t>
      </w:r>
      <w:r w:rsidRPr="0072758C">
        <w:rPr>
          <w:rStyle w:val="FootnoteReference"/>
          <w:vertAlign w:val="baseline"/>
          <w:lang w:val="en-AU"/>
        </w:rPr>
        <w:t xml:space="preserve"> 23 (1997)</w:t>
      </w:r>
      <w:r w:rsidR="003716A7" w:rsidRPr="0072758C">
        <w:rPr>
          <w:rStyle w:val="FootnoteReference"/>
          <w:vertAlign w:val="baseline"/>
          <w:lang w:val="en-AU"/>
        </w:rPr>
        <w:t>:</w:t>
      </w:r>
      <w:r w:rsidRPr="0072758C">
        <w:rPr>
          <w:rStyle w:val="FootnoteReference"/>
          <w:vertAlign w:val="baseline"/>
          <w:lang w:val="en-AU"/>
        </w:rPr>
        <w:t xml:space="preserve"> 22-66</w:t>
      </w:r>
      <w:r w:rsidR="007438C6" w:rsidRPr="0072758C">
        <w:rPr>
          <w:lang w:val="en-AU"/>
        </w:rPr>
        <w:t>.</w:t>
      </w:r>
    </w:p>
    <w:p w14:paraId="35DBF046" w14:textId="77777777" w:rsidR="00D14053" w:rsidRPr="0072758C" w:rsidRDefault="00D14053" w:rsidP="00EF3273">
      <w:pPr>
        <w:pStyle w:val="EndnoteText"/>
        <w:rPr>
          <w:rStyle w:val="FootnoteReference"/>
          <w:vertAlign w:val="baseline"/>
          <w:lang w:val="en-AU"/>
        </w:rPr>
      </w:pPr>
    </w:p>
  </w:footnote>
  <w:footnote w:id="101">
    <w:p w14:paraId="0387603B" w14:textId="702C4D65" w:rsidR="00C46DBA"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&lt;EndNote&gt;&lt;Cite&gt;&lt;Author&gt;Schiffman&lt;/Author&gt;&lt;Year&gt;2010&lt;/Year&gt;&lt;RecNum&gt;5&lt;/RecNum&gt;&lt;Pages&gt;5&lt;/Pages&gt;&lt;DisplayText&gt;Schiffman, &lt;style face="italic"&gt;Qumran and Jerusalem&lt;/style&gt;: 5.&lt;/DisplayText&gt;&lt;record&gt;&lt;rec-number&gt;5&lt;/rec-number&gt;&lt;foreign-keys&gt;&lt;key app="EN" db-id="sd929rvz0dxdw6e92dp59txp9z2xdtp2dd0p"&gt;5&lt;/key&gt;&lt;/foreign-keys&gt;&lt;ref-type name="Book"&gt;6&lt;/ref-type&gt;&lt;contributors&gt;&lt;authors&gt;&lt;author&gt;Schiffman, Lawrence&lt;/author&gt;&lt;/authors&gt;&lt;/contributors&gt;&lt;titles&gt;&lt;title&gt;Qumran and Jerusalem&lt;/title&gt;&lt;/titles&gt;&lt;dates&gt;&lt;year&gt;2010&lt;/year&gt;&lt;/dates&gt;&lt;pub-location&gt;Grand Rapids, Michigan&lt;/pub-location&gt;&lt;publisher&gt;Eerdmans&lt;/publisher&gt;&lt;isbn&gt;978-0-8028-4976-2&lt;/isbn&gt;&lt;urls&gt;&lt;/urls&gt;&lt;/record&gt;&lt;/Cite&gt;&lt;/EndNote&gt;</w:instrText>
      </w:r>
      <w:r w:rsidRPr="0072758C">
        <w:rPr>
          <w:lang w:val="en-AU"/>
        </w:rPr>
        <w:fldChar w:fldCharType="separate"/>
      </w:r>
      <w:r w:rsidRPr="0072758C">
        <w:rPr>
          <w:lang w:val="en-AU"/>
        </w:rPr>
        <w:t xml:space="preserve">Schiffman, </w:t>
      </w:r>
      <w:r w:rsidRPr="0072758C">
        <w:rPr>
          <w:i/>
          <w:lang w:val="en-AU"/>
        </w:rPr>
        <w:t>Qumran and Jerusalem</w:t>
      </w:r>
      <w:r w:rsidRPr="0072758C">
        <w:rPr>
          <w:lang w:val="en-AU"/>
        </w:rPr>
        <w:t>, 5.</w:t>
      </w:r>
      <w:r w:rsidRPr="0072758C">
        <w:rPr>
          <w:lang w:val="en-AU"/>
        </w:rPr>
        <w:fldChar w:fldCharType="end"/>
      </w:r>
      <w:r w:rsidR="00C46DBA" w:rsidRPr="0072758C">
        <w:rPr>
          <w:lang w:val="en-AU"/>
        </w:rPr>
        <w:t xml:space="preserve"> </w:t>
      </w:r>
      <w:r w:rsidR="00035AFA" w:rsidRPr="0072758C">
        <w:rPr>
          <w:lang w:val="en-AU"/>
        </w:rPr>
        <w:t xml:space="preserve"> </w:t>
      </w:r>
      <w:r w:rsidR="00C46DBA" w:rsidRPr="0072758C">
        <w:rPr>
          <w:lang w:val="en-AU"/>
        </w:rPr>
        <w:t>Van der Schoor suggests that some of the scrolls could be written formally and some informally.  See Hanneke van der Schoor, “The Assessment of Variation: The Case of the Aramaic Levi Document</w:t>
      </w:r>
      <w:r w:rsidR="00035AFA" w:rsidRPr="0072758C">
        <w:rPr>
          <w:lang w:val="en-AU"/>
        </w:rPr>
        <w:t>,</w:t>
      </w:r>
      <w:r w:rsidR="00C46DBA" w:rsidRPr="0072758C">
        <w:rPr>
          <w:lang w:val="en-AU"/>
        </w:rPr>
        <w:t>” </w:t>
      </w:r>
      <w:r w:rsidR="00C46DBA" w:rsidRPr="0072758C">
        <w:rPr>
          <w:i/>
          <w:iCs/>
          <w:lang w:val="en-AU"/>
        </w:rPr>
        <w:t>Dead Sea Discoveries</w:t>
      </w:r>
      <w:r w:rsidR="00C46DBA" w:rsidRPr="0072758C">
        <w:rPr>
          <w:lang w:val="en-AU"/>
        </w:rPr>
        <w:t> 28</w:t>
      </w:r>
      <w:r w:rsidR="00E75001" w:rsidRPr="0072758C">
        <w:rPr>
          <w:lang w:val="en-AU"/>
        </w:rPr>
        <w:t xml:space="preserve"> </w:t>
      </w:r>
      <w:r w:rsidR="00C46DBA" w:rsidRPr="0072758C">
        <w:rPr>
          <w:lang w:val="en-AU"/>
        </w:rPr>
        <w:t xml:space="preserve">(2021): 179–206. </w:t>
      </w:r>
    </w:p>
  </w:footnote>
  <w:footnote w:id="102">
    <w:p w14:paraId="7D5EBA31" w14:textId="77777777" w:rsidR="005C18F8" w:rsidRPr="0072758C" w:rsidRDefault="005C18F8" w:rsidP="00EF3273">
      <w:pPr>
        <w:pStyle w:val="EndnoteText"/>
        <w:rPr>
          <w:lang w:val="en-AU"/>
        </w:rPr>
      </w:pPr>
    </w:p>
    <w:p w14:paraId="25B7E4FD" w14:textId="3BB374A7" w:rsidR="00F44D08"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For more in-depth discussions and research about the geographical area in which the Dead Sea Scrolls were found and the impact that the geography has on the historical understanding see Devorah Dimant,</w:t>
      </w:r>
      <w:r w:rsidRPr="0072758C">
        <w:rPr>
          <w:i/>
          <w:iCs/>
          <w:lang w:val="en-AU"/>
        </w:rPr>
        <w:t xml:space="preserve"> </w:t>
      </w:r>
      <w:r w:rsidRPr="0072758C">
        <w:rPr>
          <w:lang w:val="en-AU"/>
        </w:rPr>
        <w:t>“The Qumran Manuscripts: Contents and Significance,”</w:t>
      </w:r>
      <w:r w:rsidRPr="0072758C">
        <w:rPr>
          <w:i/>
          <w:iCs/>
          <w:lang w:val="en-AU"/>
        </w:rPr>
        <w:t xml:space="preserve"> </w:t>
      </w:r>
      <w:r w:rsidR="00035AFA" w:rsidRPr="0072758C">
        <w:rPr>
          <w:lang w:val="en-AU"/>
        </w:rPr>
        <w:t>i</w:t>
      </w:r>
      <w:r w:rsidRPr="0072758C">
        <w:rPr>
          <w:lang w:val="en-AU"/>
        </w:rPr>
        <w:t>n</w:t>
      </w:r>
      <w:r w:rsidRPr="0072758C">
        <w:rPr>
          <w:i/>
          <w:iCs/>
          <w:lang w:val="en-AU"/>
        </w:rPr>
        <w:t xml:space="preserve"> Time to Prepare the Way in the Wilderness: Papers on the Qumran Scrolls By Fellows of the Institute of Advanced Studies in the Hebrew University, Jerusalem</w:t>
      </w:r>
      <w:r w:rsidR="00035AFA" w:rsidRPr="0072758C">
        <w:rPr>
          <w:i/>
          <w:iCs/>
          <w:lang w:val="en-AU"/>
        </w:rPr>
        <w:t xml:space="preserve">, </w:t>
      </w:r>
      <w:r w:rsidR="00035AFA" w:rsidRPr="0072758C">
        <w:rPr>
          <w:lang w:val="en-AU"/>
        </w:rPr>
        <w:t>ed.</w:t>
      </w:r>
      <w:r w:rsidR="003716A7" w:rsidRPr="0072758C">
        <w:rPr>
          <w:i/>
          <w:iCs/>
          <w:lang w:val="en-AU"/>
        </w:rPr>
        <w:t xml:space="preserve"> </w:t>
      </w:r>
      <w:r w:rsidR="00035AFA" w:rsidRPr="0072758C">
        <w:rPr>
          <w:lang w:val="en-AU"/>
        </w:rPr>
        <w:t xml:space="preserve">Devorah Dimant and Lawrence Schiffman </w:t>
      </w:r>
      <w:r w:rsidR="003716A7" w:rsidRPr="0072758C">
        <w:rPr>
          <w:lang w:val="en-AU"/>
        </w:rPr>
        <w:t>(</w:t>
      </w:r>
      <w:r w:rsidRPr="0072758C">
        <w:rPr>
          <w:lang w:val="en-AU"/>
        </w:rPr>
        <w:t>Leiden: Brill, 1995)</w:t>
      </w:r>
      <w:r w:rsidR="003716A7" w:rsidRPr="0072758C">
        <w:rPr>
          <w:lang w:val="en-AU"/>
        </w:rPr>
        <w:t>:</w:t>
      </w:r>
      <w:r w:rsidRPr="0072758C">
        <w:rPr>
          <w:lang w:val="en-AU"/>
        </w:rPr>
        <w:t xml:space="preserve"> 23–58</w:t>
      </w:r>
      <w:r w:rsidR="00F44D08" w:rsidRPr="0072758C">
        <w:rPr>
          <w:lang w:val="en-AU"/>
        </w:rPr>
        <w:t>; Jesper Høgenhaven, “Geography in the Visions of Amram Texts (4Q543-547)</w:t>
      </w:r>
      <w:r w:rsidR="003716A7" w:rsidRPr="0072758C">
        <w:rPr>
          <w:lang w:val="en-AU"/>
        </w:rPr>
        <w:t>,</w:t>
      </w:r>
      <w:r w:rsidR="00F44D08" w:rsidRPr="0072758C">
        <w:rPr>
          <w:lang w:val="en-AU"/>
        </w:rPr>
        <w:t>” In </w:t>
      </w:r>
      <w:r w:rsidR="00F44D08" w:rsidRPr="0072758C">
        <w:rPr>
          <w:i/>
          <w:iCs/>
          <w:lang w:val="en-AU"/>
        </w:rPr>
        <w:t>Vision, Narrative, and Wisdom in the Aramaic Texts from Qumran</w:t>
      </w:r>
      <w:r w:rsidR="00F44D08" w:rsidRPr="0072758C">
        <w:rPr>
          <w:lang w:val="en-AU"/>
        </w:rPr>
        <w:t xml:space="preserve">, </w:t>
      </w:r>
      <w:r w:rsidR="00035AFA" w:rsidRPr="0072758C">
        <w:rPr>
          <w:lang w:val="en-AU"/>
        </w:rPr>
        <w:t>ed. Mette Bundvad and Kasper Siegis</w:t>
      </w:r>
      <w:r w:rsidR="0034131E" w:rsidRPr="0072758C">
        <w:rPr>
          <w:lang w:val="en-AU"/>
        </w:rPr>
        <w:t>mund</w:t>
      </w:r>
      <w:r w:rsidR="00035AFA" w:rsidRPr="0072758C">
        <w:rPr>
          <w:lang w:val="en-AU"/>
        </w:rPr>
        <w:t xml:space="preserve"> (Leiden,</w:t>
      </w:r>
      <w:r w:rsidR="0034131E" w:rsidRPr="0072758C">
        <w:rPr>
          <w:lang w:val="en-AU"/>
        </w:rPr>
        <w:t xml:space="preserve"> Brill</w:t>
      </w:r>
      <w:r w:rsidR="00035AFA" w:rsidRPr="0072758C">
        <w:rPr>
          <w:lang w:val="en-AU"/>
        </w:rPr>
        <w:t xml:space="preserve"> ,2020), </w:t>
      </w:r>
      <w:r w:rsidR="00F44D08" w:rsidRPr="0072758C">
        <w:rPr>
          <w:lang w:val="en-AU"/>
        </w:rPr>
        <w:t xml:space="preserve">119–36. </w:t>
      </w:r>
    </w:p>
    <w:p w14:paraId="1BA31525" w14:textId="6DA26918" w:rsidR="005C18F8" w:rsidRPr="0072758C" w:rsidRDefault="005C18F8" w:rsidP="00EF3273">
      <w:pPr>
        <w:pStyle w:val="EndnoteText"/>
        <w:rPr>
          <w:i/>
          <w:iCs/>
          <w:lang w:val="en-AU"/>
        </w:rPr>
      </w:pPr>
    </w:p>
  </w:footnote>
  <w:footnote w:id="103">
    <w:p w14:paraId="5A6EE623" w14:textId="40648594" w:rsidR="005C18F8"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There are other theological finds that have and will emerge from the Dead Sea Scrolls found and any future scrolls discovered.  For more scholarship about the implications of future discoveries, see</w:t>
      </w:r>
      <w:r w:rsidRPr="0072758C">
        <w:rPr>
          <w:i/>
          <w:iCs/>
          <w:lang w:val="en-AU"/>
        </w:rPr>
        <w:t>,</w:t>
      </w:r>
      <w:r w:rsidRPr="0072758C">
        <w:rPr>
          <w:lang w:val="en-AU"/>
        </w:rPr>
        <w:t xml:space="preserve"> J. A. Fitzmyer, </w:t>
      </w:r>
      <w:r w:rsidRPr="0072758C">
        <w:rPr>
          <w:i/>
          <w:iCs/>
          <w:lang w:val="en-AU"/>
        </w:rPr>
        <w:t>The Dead Sea Scrolls and Christian Origins</w:t>
      </w:r>
      <w:r w:rsidRPr="0072758C">
        <w:rPr>
          <w:lang w:val="en-AU"/>
        </w:rPr>
        <w:t xml:space="preserve"> </w:t>
      </w:r>
      <w:r w:rsidR="00BA5A35" w:rsidRPr="0072758C">
        <w:rPr>
          <w:lang w:val="en-AU"/>
        </w:rPr>
        <w:t>(</w:t>
      </w:r>
      <w:r w:rsidRPr="0072758C">
        <w:rPr>
          <w:lang w:val="en-AU"/>
        </w:rPr>
        <w:t xml:space="preserve">Grand Rapids: Eerdmans, 2000); R. Zimmermann, </w:t>
      </w:r>
      <w:r w:rsidRPr="0072758C">
        <w:rPr>
          <w:i/>
          <w:iCs/>
          <w:lang w:val="en-AU"/>
        </w:rPr>
        <w:t>Messianische Texte aus Qumran: Königliche, priesterliche und prophetische Messiasvorstellungen in den Schriftfunden von Qumran</w:t>
      </w:r>
      <w:r w:rsidRPr="0072758C">
        <w:rPr>
          <w:lang w:val="en-AU"/>
        </w:rPr>
        <w:t xml:space="preserve"> (Tübingen: Mohr Siebeck, 1998).</w:t>
      </w:r>
    </w:p>
  </w:footnote>
  <w:footnote w:id="104">
    <w:p w14:paraId="6B7FA14E" w14:textId="77777777" w:rsidR="005C18F8" w:rsidRPr="0072758C" w:rsidRDefault="005C18F8" w:rsidP="00EF3273">
      <w:pPr>
        <w:pStyle w:val="EndnoteText"/>
        <w:rPr>
          <w:lang w:val="en-AU"/>
        </w:rPr>
      </w:pPr>
    </w:p>
    <w:p w14:paraId="362DA449" w14:textId="718BEF4E" w:rsidR="003F1899"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Schiffman, </w:t>
      </w:r>
      <w:r w:rsidRPr="0072758C">
        <w:rPr>
          <w:i/>
          <w:lang w:val="en-AU"/>
        </w:rPr>
        <w:t>Qumran and Jerusalem</w:t>
      </w:r>
      <w:r w:rsidRPr="0072758C">
        <w:rPr>
          <w:lang w:val="en-AU"/>
        </w:rPr>
        <w:t>,</w:t>
      </w:r>
      <w:r w:rsidR="003F1899" w:rsidRPr="0072758C">
        <w:rPr>
          <w:lang w:val="en-AU"/>
        </w:rPr>
        <w:t xml:space="preserve"> </w:t>
      </w:r>
      <w:r w:rsidRPr="0072758C">
        <w:rPr>
          <w:lang w:val="en-AU"/>
        </w:rPr>
        <w:t>36.</w:t>
      </w:r>
      <w:r w:rsidR="003F1899" w:rsidRPr="0072758C">
        <w:rPr>
          <w:lang w:val="en-AU"/>
        </w:rPr>
        <w:t xml:space="preserve"> Further research is suggesting that further insight is still being discovered from the Dead Sea Scrolls as we gain more </w:t>
      </w:r>
      <w:r w:rsidR="00FE4029" w:rsidRPr="0072758C">
        <w:rPr>
          <w:lang w:val="en-AU"/>
        </w:rPr>
        <w:t>archaeology</w:t>
      </w:r>
      <w:r w:rsidR="003F1899" w:rsidRPr="0072758C">
        <w:rPr>
          <w:lang w:val="en-AU"/>
        </w:rPr>
        <w:t xml:space="preserve"> and academic progression</w:t>
      </w:r>
      <w:r w:rsidR="00910D77" w:rsidRPr="0072758C">
        <w:rPr>
          <w:lang w:val="en-AU"/>
        </w:rPr>
        <w:t>.</w:t>
      </w:r>
      <w:r w:rsidR="003F1899" w:rsidRPr="0072758C">
        <w:rPr>
          <w:lang w:val="en-AU"/>
        </w:rPr>
        <w:t xml:space="preserve">  Crawford details how archaeology is supporting the new scroll fragment discovery.  See Sidnie White Crawford, “Khirbet Qumran and Ain Feshkha Iva: Qumran Cave 11Q; Archaeology and New Scroll Fragments</w:t>
      </w:r>
      <w:r w:rsidR="007763C9" w:rsidRPr="0072758C">
        <w:rPr>
          <w:lang w:val="en-AU"/>
        </w:rPr>
        <w:t>,</w:t>
      </w:r>
      <w:r w:rsidR="003F1899" w:rsidRPr="0072758C">
        <w:rPr>
          <w:lang w:val="en-AU"/>
        </w:rPr>
        <w:t>” </w:t>
      </w:r>
      <w:r w:rsidR="003F1899" w:rsidRPr="0072758C">
        <w:rPr>
          <w:i/>
          <w:iCs/>
          <w:lang w:val="en-AU"/>
        </w:rPr>
        <w:t>D</w:t>
      </w:r>
      <w:r w:rsidR="007763C9" w:rsidRPr="0072758C">
        <w:rPr>
          <w:i/>
          <w:iCs/>
          <w:lang w:val="en-AU"/>
        </w:rPr>
        <w:t>ead Sea Discoveries</w:t>
      </w:r>
      <w:r w:rsidR="003F1899" w:rsidRPr="0072758C">
        <w:rPr>
          <w:lang w:val="en-AU"/>
        </w:rPr>
        <w:t> 28 (2021): 122–24.</w:t>
      </w:r>
    </w:p>
    <w:p w14:paraId="5DB63405" w14:textId="77777777" w:rsidR="005C18F8" w:rsidRPr="0072758C" w:rsidRDefault="005C18F8" w:rsidP="00EF3273">
      <w:pPr>
        <w:pStyle w:val="EndnoteText"/>
        <w:rPr>
          <w:lang w:val="en-AU"/>
        </w:rPr>
      </w:pPr>
    </w:p>
  </w:footnote>
  <w:footnote w:id="105">
    <w:p w14:paraId="4708848C" w14:textId="0B3DA8E9" w:rsidR="00300C78"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This dissertation will not explore in detail how fragments from the scrolls found in the Qumran community do not connect with other Apocryphal works such as Ezekiel Apocryphon. B.G. Wright has provided ground-breaking connections showing how the scrolls found in Qumran are not connecting to Apocryphal works, see</w:t>
      </w:r>
      <w:r w:rsidRPr="0072758C">
        <w:rPr>
          <w:i/>
          <w:iCs/>
          <w:lang w:val="en-AU"/>
        </w:rPr>
        <w:t xml:space="preserve"> </w:t>
      </w:r>
      <w:r w:rsidRPr="0072758C">
        <w:rPr>
          <w:lang w:val="en-AU"/>
        </w:rPr>
        <w:t>B. G. Wright, III, “Qumran Pseudepigrapha and Early Christianity: Is 1 Clement 50:4 a Citation of 4QPseudo-Ezekiel (4Q385 12)?”</w:t>
      </w:r>
      <w:r w:rsidRPr="0072758C">
        <w:rPr>
          <w:i/>
          <w:iCs/>
          <w:lang w:val="en-AU"/>
        </w:rPr>
        <w:t xml:space="preserve"> </w:t>
      </w:r>
      <w:r w:rsidRPr="0072758C">
        <w:rPr>
          <w:lang w:val="en-AU"/>
        </w:rPr>
        <w:t xml:space="preserve">in </w:t>
      </w:r>
      <w:r w:rsidRPr="0072758C">
        <w:rPr>
          <w:i/>
          <w:iCs/>
          <w:lang w:val="en-AU"/>
        </w:rPr>
        <w:t>Pseudepigraphic Perspectives: The Apocrypha and Pseudepigrapha in Light of the Dead Sea Scrolls</w:t>
      </w:r>
      <w:r w:rsidR="00024F8F" w:rsidRPr="0072758C">
        <w:rPr>
          <w:lang w:val="en-AU"/>
        </w:rPr>
        <w:t xml:space="preserve">, </w:t>
      </w:r>
      <w:r w:rsidRPr="0072758C">
        <w:rPr>
          <w:lang w:val="en-AU"/>
        </w:rPr>
        <w:t xml:space="preserve">ed. M. E. Stone and E. G. Chazon; </w:t>
      </w:r>
      <w:r w:rsidR="00024F8F" w:rsidRPr="0072758C">
        <w:rPr>
          <w:lang w:val="en-AU"/>
        </w:rPr>
        <w:t>(</w:t>
      </w:r>
      <w:r w:rsidRPr="0072758C">
        <w:rPr>
          <w:lang w:val="en-AU"/>
        </w:rPr>
        <w:t>Leiden: Brill, 1999), 183</w:t>
      </w:r>
      <w:r w:rsidR="00B949AF" w:rsidRPr="0072758C">
        <w:rPr>
          <w:lang w:val="en-AU"/>
        </w:rPr>
        <w:t>-</w:t>
      </w:r>
      <w:r w:rsidRPr="0072758C">
        <w:rPr>
          <w:lang w:val="en-AU"/>
        </w:rPr>
        <w:t>93</w:t>
      </w:r>
      <w:r w:rsidRPr="0072758C">
        <w:rPr>
          <w:i/>
          <w:iCs/>
          <w:lang w:val="en-AU"/>
        </w:rPr>
        <w:t>.</w:t>
      </w:r>
      <w:r w:rsidRPr="0072758C">
        <w:rPr>
          <w:lang w:val="en-AU"/>
        </w:rPr>
        <w:t xml:space="preserve"> In this work, further evidence is presented showing that the Qumran materials did not influence future Christian apocrypha.  The Qumran scribes preserved scrolls before Jesus’ time.  For more on the isolation of Qumran ideals, see</w:t>
      </w:r>
      <w:r w:rsidRPr="0072758C">
        <w:rPr>
          <w:i/>
          <w:iCs/>
          <w:lang w:val="en-AU"/>
        </w:rPr>
        <w:t xml:space="preserve"> </w:t>
      </w:r>
      <w:r w:rsidRPr="0072758C">
        <w:rPr>
          <w:lang w:val="en-AU"/>
        </w:rPr>
        <w:t>N. Wieder,</w:t>
      </w:r>
      <w:r w:rsidRPr="0072758C">
        <w:rPr>
          <w:i/>
          <w:iCs/>
          <w:lang w:val="en-AU"/>
        </w:rPr>
        <w:t xml:space="preserve"> The Judean Scrolls and Karaism: A Reproduction of the First Edition with Addenda, </w:t>
      </w:r>
      <w:r w:rsidRPr="0072758C">
        <w:rPr>
          <w:lang w:val="en-AU"/>
        </w:rPr>
        <w:t>Corrigenda and Supplementary Articles (Jerusalem: Ben-Zvi Institute, 2005).</w:t>
      </w:r>
      <w:r w:rsidR="00300C78" w:rsidRPr="0072758C">
        <w:rPr>
          <w:lang w:val="en-AU"/>
        </w:rPr>
        <w:t xml:space="preserve"> For more on how the Dead Sea Scrolls influenced Christianity, see John Sietze Bergsma, </w:t>
      </w:r>
      <w:proofErr w:type="gramStart"/>
      <w:r w:rsidR="00300C78" w:rsidRPr="0072758C">
        <w:rPr>
          <w:i/>
          <w:iCs/>
          <w:lang w:val="en-AU"/>
        </w:rPr>
        <w:t>Jesus</w:t>
      </w:r>
      <w:proofErr w:type="gramEnd"/>
      <w:r w:rsidR="00300C78" w:rsidRPr="0072758C">
        <w:rPr>
          <w:i/>
          <w:iCs/>
          <w:lang w:val="en-AU"/>
        </w:rPr>
        <w:t xml:space="preserve"> and the Dead Sea Scrolls: Revealing the Jewish Roots of Christianity</w:t>
      </w:r>
      <w:r w:rsidR="00B949AF" w:rsidRPr="0072758C">
        <w:rPr>
          <w:lang w:val="en-AU"/>
        </w:rPr>
        <w:t xml:space="preserve"> (</w:t>
      </w:r>
      <w:r w:rsidR="00300C78" w:rsidRPr="0072758C">
        <w:rPr>
          <w:lang w:val="en-AU"/>
        </w:rPr>
        <w:t>New York: Image, 2019</w:t>
      </w:r>
      <w:r w:rsidR="00B949AF" w:rsidRPr="0072758C">
        <w:rPr>
          <w:lang w:val="en-AU"/>
        </w:rPr>
        <w:t>)</w:t>
      </w:r>
      <w:r w:rsidR="00300C78" w:rsidRPr="0072758C">
        <w:rPr>
          <w:lang w:val="en-AU"/>
        </w:rPr>
        <w:t>.</w:t>
      </w:r>
    </w:p>
  </w:footnote>
  <w:footnote w:id="106">
    <w:p w14:paraId="585386CC" w14:textId="77777777" w:rsidR="005C18F8" w:rsidRPr="0072758C" w:rsidRDefault="005C18F8" w:rsidP="00EF3273">
      <w:pPr>
        <w:pStyle w:val="EndnoteText"/>
        <w:rPr>
          <w:lang w:val="en-AU"/>
        </w:rPr>
      </w:pPr>
    </w:p>
    <w:p w14:paraId="3BF632AF" w14:textId="1B2DCF5B" w:rsidR="00364D29" w:rsidRPr="0072758C" w:rsidRDefault="005C18F8" w:rsidP="00DE73F6">
      <w:pPr>
        <w:pStyle w:val="EndnoteText"/>
        <w:ind w:firstLine="720"/>
        <w:rPr>
          <w:lang w:val="en-AU"/>
        </w:rPr>
      </w:pPr>
      <w:r w:rsidRPr="0072758C">
        <w:rPr>
          <w:rStyle w:val="FootnoteReference"/>
          <w:lang w:val="en-AU"/>
        </w:rPr>
        <w:footnoteRef/>
      </w:r>
      <w:r w:rsidRPr="0072758C">
        <w:rPr>
          <w:lang w:val="en-AU"/>
        </w:rPr>
        <w:t xml:space="preserve">  Charles H. Talbert, “Matthew 11:2–24,” </w:t>
      </w:r>
      <w:r w:rsidR="00F54A8D" w:rsidRPr="0072758C">
        <w:rPr>
          <w:i/>
          <w:iCs/>
          <w:lang w:val="en-AU"/>
        </w:rPr>
        <w:t>Interpretation</w:t>
      </w:r>
      <w:r w:rsidRPr="0072758C">
        <w:rPr>
          <w:lang w:val="en-AU"/>
        </w:rPr>
        <w:t xml:space="preserve"> 64 (2010): 406–408; Eisenman and Wise, </w:t>
      </w:r>
      <w:r w:rsidRPr="0072758C">
        <w:rPr>
          <w:i/>
          <w:iCs/>
          <w:lang w:val="en-AU"/>
        </w:rPr>
        <w:t xml:space="preserve">The Dead Sea Scrolls Uncovered, </w:t>
      </w:r>
      <w:r w:rsidRPr="0072758C">
        <w:rPr>
          <w:iCs/>
          <w:lang w:val="en-AU"/>
        </w:rPr>
        <w:t>119</w:t>
      </w:r>
      <w:r w:rsidR="00364D29" w:rsidRPr="0072758C">
        <w:rPr>
          <w:lang w:val="en-AU"/>
        </w:rPr>
        <w:t>; Puech Émile</w:t>
      </w:r>
      <w:r w:rsidR="007A0F3D" w:rsidRPr="0072758C">
        <w:rPr>
          <w:lang w:val="en-AU"/>
        </w:rPr>
        <w:t>,</w:t>
      </w:r>
      <w:r w:rsidR="00364D29" w:rsidRPr="0072758C">
        <w:rPr>
          <w:lang w:val="en-AU"/>
        </w:rPr>
        <w:t xml:space="preserve"> “L’Attente Du Retour D’élie Dans L’Ancien Testament Et Les Écrits Péritestamentaires: 4Q558 Et 4Q521</w:t>
      </w:r>
      <w:r w:rsidR="00F013F4" w:rsidRPr="0072758C">
        <w:rPr>
          <w:lang w:val="en-AU"/>
        </w:rPr>
        <w:t>,</w:t>
      </w:r>
      <w:r w:rsidR="00364D29" w:rsidRPr="0072758C">
        <w:rPr>
          <w:lang w:val="en-AU"/>
        </w:rPr>
        <w:t>” </w:t>
      </w:r>
      <w:r w:rsidR="00364D29" w:rsidRPr="0072758C">
        <w:rPr>
          <w:i/>
          <w:iCs/>
          <w:lang w:val="en-AU"/>
        </w:rPr>
        <w:t>Revue de Qumran</w:t>
      </w:r>
      <w:r w:rsidR="00364D29" w:rsidRPr="0072758C">
        <w:rPr>
          <w:lang w:val="en-AU"/>
        </w:rPr>
        <w:t> 30 (2018): 3–26; Arstein Justnes, </w:t>
      </w:r>
      <w:r w:rsidR="00364D29" w:rsidRPr="0072758C">
        <w:rPr>
          <w:i/>
          <w:iCs/>
          <w:lang w:val="en-AU"/>
        </w:rPr>
        <w:t>The Time of Salvation: An Analysis of 4QApocryphon of Daniel Ar (4Q246), 4QMessianic Apocalypse (4Q521 2), and 4QTime of Righteousness (4Q215a)</w:t>
      </w:r>
      <w:r w:rsidR="007A0F3D" w:rsidRPr="0072758C">
        <w:rPr>
          <w:i/>
          <w:iCs/>
          <w:lang w:val="en-AU"/>
        </w:rPr>
        <w:t xml:space="preserve"> </w:t>
      </w:r>
      <w:r w:rsidR="007A0F3D" w:rsidRPr="0072758C">
        <w:rPr>
          <w:lang w:val="en-AU"/>
        </w:rPr>
        <w:t xml:space="preserve">(Frankfurt: </w:t>
      </w:r>
      <w:r w:rsidR="00364D29" w:rsidRPr="0072758C">
        <w:rPr>
          <w:lang w:val="en-AU"/>
        </w:rPr>
        <w:t>P</w:t>
      </w:r>
      <w:r w:rsidR="007A0F3D" w:rsidRPr="0072758C">
        <w:rPr>
          <w:lang w:val="en-AU"/>
        </w:rPr>
        <w:t>.</w:t>
      </w:r>
      <w:r w:rsidR="00364D29" w:rsidRPr="0072758C">
        <w:rPr>
          <w:lang w:val="en-AU"/>
        </w:rPr>
        <w:t xml:space="preserve"> Lang, 2009;</w:t>
      </w:r>
      <w:r w:rsidR="00E75001" w:rsidRPr="0072758C">
        <w:rPr>
          <w:lang w:val="en-AU"/>
        </w:rPr>
        <w:t xml:space="preserve"> </w:t>
      </w:r>
      <w:r w:rsidR="00364D29" w:rsidRPr="0072758C">
        <w:rPr>
          <w:lang w:val="en-AU"/>
        </w:rPr>
        <w:t>Hans Kvalbein, “Die Wunder Der Endzeit: Beobachtungen Zu 4Q521 Und Matth</w:t>
      </w:r>
      <w:r w:rsidR="007A0F3D" w:rsidRPr="0072758C">
        <w:rPr>
          <w:lang w:val="en-AU"/>
        </w:rPr>
        <w:t>,</w:t>
      </w:r>
      <w:r w:rsidR="00364D29" w:rsidRPr="0072758C">
        <w:rPr>
          <w:lang w:val="en-AU"/>
        </w:rPr>
        <w:t>” </w:t>
      </w:r>
      <w:r w:rsidR="00364D29" w:rsidRPr="0072758C">
        <w:rPr>
          <w:i/>
          <w:iCs/>
          <w:lang w:val="en-AU"/>
        </w:rPr>
        <w:t>Zeitschrift Für Die Neutestamentliche Wissenschaft Und Die Kunde Der Älteren Kirche</w:t>
      </w:r>
      <w:r w:rsidR="00364D29" w:rsidRPr="0072758C">
        <w:rPr>
          <w:lang w:val="en-AU"/>
        </w:rPr>
        <w:t> 88</w:t>
      </w:r>
      <w:r w:rsidR="00521C2B" w:rsidRPr="0072758C">
        <w:rPr>
          <w:lang w:val="en-AU"/>
        </w:rPr>
        <w:t xml:space="preserve"> </w:t>
      </w:r>
      <w:r w:rsidR="00364D29" w:rsidRPr="0072758C">
        <w:rPr>
          <w:lang w:val="en-AU"/>
        </w:rPr>
        <w:t>(1997): 111–25</w:t>
      </w:r>
      <w:r w:rsidR="00E3737C" w:rsidRPr="0072758C">
        <w:rPr>
          <w:lang w:val="en-AU"/>
        </w:rPr>
        <w:t>; John Sietze Bergsma, </w:t>
      </w:r>
      <w:r w:rsidR="00E3737C" w:rsidRPr="0072758C">
        <w:rPr>
          <w:i/>
          <w:iCs/>
          <w:lang w:val="en-AU"/>
        </w:rPr>
        <w:t>Jesus and the Dead Sea Scrolls: Revealing the Jewish Roots of Christianity</w:t>
      </w:r>
      <w:r w:rsidR="00CA4D0C" w:rsidRPr="0072758C">
        <w:rPr>
          <w:lang w:val="en-AU"/>
        </w:rPr>
        <w:t xml:space="preserve"> (</w:t>
      </w:r>
      <w:r w:rsidR="00E3737C" w:rsidRPr="0072758C">
        <w:rPr>
          <w:lang w:val="en-AU"/>
        </w:rPr>
        <w:t>New York: Image, 2019</w:t>
      </w:r>
      <w:r w:rsidR="00CA4D0C" w:rsidRPr="0072758C">
        <w:rPr>
          <w:lang w:val="en-AU"/>
        </w:rPr>
        <w:t>)</w:t>
      </w:r>
      <w:r w:rsidR="00E3737C" w:rsidRPr="0072758C">
        <w:rPr>
          <w:lang w:val="en-AU"/>
        </w:rPr>
        <w:t>.</w:t>
      </w:r>
    </w:p>
  </w:footnote>
  <w:footnote w:id="107">
    <w:p w14:paraId="6AB7214C" w14:textId="77777777" w:rsidR="005C18F8" w:rsidRPr="0072758C" w:rsidRDefault="005C18F8" w:rsidP="00EF3273">
      <w:pPr>
        <w:pStyle w:val="EndnoteText"/>
        <w:rPr>
          <w:lang w:val="en-AU"/>
        </w:rPr>
      </w:pPr>
    </w:p>
    <w:p w14:paraId="0E856071" w14:textId="77777777" w:rsidR="005C18F8"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&lt;EndNote&gt;&lt;Cite&gt;&lt;Author&gt;Schiffman&lt;/Author&gt;&lt;Year&gt;2010&lt;/Year&gt;&lt;RecNum&gt;5&lt;/RecNum&gt;&lt;Pages&gt;36-37&lt;/Pages&gt;&lt;DisplayText&gt;Schiffman, &lt;style face="italic"&gt;Qumran and Jerusalem&lt;/style&gt;: 36-37.&lt;/DisplayText&gt;&lt;record&gt;&lt;rec-number&gt;5&lt;/rec-number&gt;&lt;foreign-keys&gt;&lt;key app="EN" db-id="sd929rvz0dxdw6e92dp59txp9z2xdtp2dd0p"&gt;5&lt;/key&gt;&lt;/foreign-keys&gt;&lt;ref-type name="Book"&gt;6&lt;/ref-type&gt;&lt;contributors&gt;&lt;authors&gt;&lt;author&gt;Schiffman, Lawrence&lt;/author&gt;&lt;/authors&gt;&lt;/contributors&gt;&lt;titles&gt;&lt;title&gt;Qumran and Jerusalem&lt;/title&gt;&lt;/titles&gt;&lt;dates&gt;&lt;year&gt;2010&lt;/year&gt;&lt;/dates&gt;&lt;pub-location&gt;Grand Rapids, Michigan&lt;/pub-location&gt;&lt;publisher&gt;Eerdmans&lt;/publisher&gt;&lt;isbn&gt;978-0-8028-4976-2&lt;/isbn&gt;&lt;urls&gt;&lt;/urls&gt;&lt;/record&gt;&lt;/Cite&gt;&lt;/EndNote&gt;</w:instrText>
      </w:r>
      <w:r w:rsidRPr="0072758C">
        <w:rPr>
          <w:lang w:val="en-AU"/>
        </w:rPr>
        <w:fldChar w:fldCharType="separate"/>
      </w:r>
      <w:r w:rsidRPr="0072758C">
        <w:rPr>
          <w:lang w:val="en-AU"/>
        </w:rPr>
        <w:t xml:space="preserve">Schiffman, </w:t>
      </w:r>
      <w:r w:rsidRPr="0072758C">
        <w:rPr>
          <w:i/>
          <w:lang w:val="en-AU"/>
        </w:rPr>
        <w:t>Qumran and Jerusalem</w:t>
      </w:r>
      <w:r w:rsidRPr="0072758C">
        <w:rPr>
          <w:lang w:val="en-AU"/>
        </w:rPr>
        <w:t>, 36–37.</w:t>
      </w:r>
      <w:r w:rsidRPr="0072758C">
        <w:rPr>
          <w:lang w:val="en-AU"/>
        </w:rPr>
        <w:fldChar w:fldCharType="end"/>
      </w:r>
    </w:p>
    <w:p w14:paraId="2DD17DE2" w14:textId="77777777" w:rsidR="005C18F8" w:rsidRPr="0072758C" w:rsidRDefault="005C18F8" w:rsidP="00EF3273">
      <w:pPr>
        <w:pStyle w:val="EndnoteText"/>
        <w:rPr>
          <w:lang w:val="en-AU"/>
        </w:rPr>
      </w:pPr>
    </w:p>
  </w:footnote>
  <w:footnote w:id="108">
    <w:p w14:paraId="58D70EBB" w14:textId="77777777" w:rsidR="005C18F8"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Florentino García Martínez and Eibert J. C Tigchelaar, </w:t>
      </w:r>
      <w:r w:rsidRPr="0072758C">
        <w:rPr>
          <w:i/>
          <w:iCs/>
          <w:lang w:val="en-AU"/>
        </w:rPr>
        <w:t>The Dead Sea Scrolls Study Edition</w:t>
      </w:r>
      <w:r w:rsidRPr="0072758C">
        <w:rPr>
          <w:lang w:val="en-AU"/>
        </w:rPr>
        <w:t xml:space="preserve"> (Leiden: Brill, 2000), 1045.</w:t>
      </w:r>
    </w:p>
  </w:footnote>
  <w:footnote w:id="109">
    <w:p w14:paraId="4D5D0EA6" w14:textId="77777777" w:rsidR="005C18F8" w:rsidRPr="0072758C" w:rsidRDefault="005C18F8" w:rsidP="00EF3273">
      <w:pPr>
        <w:pStyle w:val="EndnoteText"/>
        <w:rPr>
          <w:lang w:val="en-AU"/>
        </w:rPr>
      </w:pPr>
    </w:p>
    <w:p w14:paraId="0607D3AB" w14:textId="1CD63C58" w:rsidR="005C18F8"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Schiffman, </w:t>
      </w:r>
      <w:r w:rsidRPr="0072758C">
        <w:rPr>
          <w:i/>
          <w:lang w:val="en-AU"/>
        </w:rPr>
        <w:t>Qumran and Jerusalem</w:t>
      </w:r>
      <w:r w:rsidRPr="0072758C">
        <w:rPr>
          <w:lang w:val="en-AU"/>
        </w:rPr>
        <w:t xml:space="preserve">, 37; Some apocalyptic books used in Christianity are Daniel, Amos, and Zephaniah. </w:t>
      </w:r>
      <w:r w:rsidR="00B5117F" w:rsidRPr="0072758C">
        <w:rPr>
          <w:lang w:val="en-AU"/>
        </w:rPr>
        <w:t>See David Flusser, Azzan, Yadin, and David. Bivin</w:t>
      </w:r>
      <w:r w:rsidR="00CA4D0C" w:rsidRPr="0072758C">
        <w:rPr>
          <w:lang w:val="en-AU"/>
        </w:rPr>
        <w:t xml:space="preserve">, </w:t>
      </w:r>
      <w:r w:rsidR="00B5117F" w:rsidRPr="0072758C">
        <w:rPr>
          <w:i/>
          <w:iCs/>
          <w:lang w:val="en-AU"/>
        </w:rPr>
        <w:t>Judaism of the Second Temple Period. Vol. 1, Qumran and Apocalypticism</w:t>
      </w:r>
      <w:r w:rsidR="00CA4D0C" w:rsidRPr="0072758C">
        <w:rPr>
          <w:lang w:val="en-AU"/>
        </w:rPr>
        <w:t xml:space="preserve"> (</w:t>
      </w:r>
      <w:r w:rsidR="00B5117F" w:rsidRPr="0072758C">
        <w:rPr>
          <w:lang w:val="en-AU"/>
        </w:rPr>
        <w:t>Grand Rapids: Eerdmans, 2007</w:t>
      </w:r>
      <w:r w:rsidR="00CA4D0C" w:rsidRPr="0072758C">
        <w:rPr>
          <w:lang w:val="en-AU"/>
        </w:rPr>
        <w:t>)</w:t>
      </w:r>
      <w:r w:rsidR="00B5117F" w:rsidRPr="0072758C">
        <w:rPr>
          <w:lang w:val="en-AU"/>
        </w:rPr>
        <w:t>.</w:t>
      </w:r>
    </w:p>
  </w:footnote>
  <w:footnote w:id="110">
    <w:p w14:paraId="75500708" w14:textId="79AB579F" w:rsidR="005C18F8" w:rsidRPr="0072758C" w:rsidRDefault="005C18F8" w:rsidP="00EF3273">
      <w:pPr>
        <w:pStyle w:val="EndnoteText"/>
        <w:rPr>
          <w:lang w:val="en-AU"/>
        </w:rPr>
      </w:pPr>
    </w:p>
    <w:p w14:paraId="1A2ABBCA" w14:textId="77777777" w:rsidR="005C18F8"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Eisenman and Wise, </w:t>
      </w:r>
      <w:r w:rsidRPr="0072758C">
        <w:rPr>
          <w:i/>
          <w:iCs/>
          <w:lang w:val="en-AU"/>
        </w:rPr>
        <w:t>The Dead Sea Scrolls Uncovered</w:t>
      </w:r>
      <w:r w:rsidRPr="0072758C">
        <w:rPr>
          <w:iCs/>
          <w:lang w:val="en-AU"/>
        </w:rPr>
        <w:t>,</w:t>
      </w:r>
      <w:r w:rsidRPr="0072758C">
        <w:rPr>
          <w:i/>
          <w:iCs/>
          <w:lang w:val="en-AU"/>
        </w:rPr>
        <w:t xml:space="preserve"> </w:t>
      </w:r>
      <w:r w:rsidRPr="0072758C">
        <w:rPr>
          <w:iCs/>
          <w:lang w:val="en-AU"/>
        </w:rPr>
        <w:t>119</w:t>
      </w:r>
      <w:r w:rsidRPr="0072758C">
        <w:rPr>
          <w:lang w:val="en-AU"/>
        </w:rPr>
        <w:t>.</w:t>
      </w:r>
    </w:p>
  </w:footnote>
  <w:footnote w:id="111">
    <w:p w14:paraId="7472EDDA" w14:textId="77777777" w:rsidR="005C18F8" w:rsidRPr="0072758C" w:rsidRDefault="005C18F8" w:rsidP="00EF3273">
      <w:pPr>
        <w:pStyle w:val="EndnoteText"/>
        <w:rPr>
          <w:lang w:val="en-AU"/>
        </w:rPr>
      </w:pPr>
    </w:p>
    <w:p w14:paraId="39118571" w14:textId="142F2B52" w:rsidR="00B5117F"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Ibid., 23</w:t>
      </w:r>
      <w:r w:rsidR="00B5117F" w:rsidRPr="0072758C">
        <w:rPr>
          <w:lang w:val="en-AU"/>
        </w:rPr>
        <w:t xml:space="preserve">; Puech, </w:t>
      </w:r>
      <w:r w:rsidR="00B5117F" w:rsidRPr="0072758C">
        <w:rPr>
          <w:i/>
          <w:iCs/>
          <w:lang w:val="en-AU"/>
        </w:rPr>
        <w:t>Revue de Qumran</w:t>
      </w:r>
      <w:r w:rsidR="00CA4D0C" w:rsidRPr="0072758C">
        <w:rPr>
          <w:lang w:val="en-AU"/>
        </w:rPr>
        <w:t xml:space="preserve">, </w:t>
      </w:r>
      <w:r w:rsidR="00B5117F" w:rsidRPr="0072758C">
        <w:rPr>
          <w:lang w:val="en-AU"/>
        </w:rPr>
        <w:t>3–26.</w:t>
      </w:r>
    </w:p>
    <w:p w14:paraId="585F1C03" w14:textId="77777777" w:rsidR="005C18F8" w:rsidRPr="0072758C" w:rsidRDefault="005C18F8" w:rsidP="00EF3273">
      <w:pPr>
        <w:pStyle w:val="EndnoteText"/>
        <w:rPr>
          <w:sz w:val="22"/>
          <w:szCs w:val="22"/>
          <w:lang w:val="en-AU"/>
        </w:rPr>
      </w:pPr>
    </w:p>
  </w:footnote>
  <w:footnote w:id="112">
    <w:p w14:paraId="53C272EF" w14:textId="77777777" w:rsidR="005C18F8" w:rsidRPr="0072758C" w:rsidRDefault="005C18F8" w:rsidP="00D303D6">
      <w:pPr>
        <w:pStyle w:val="EndnoteText"/>
        <w:ind w:firstLine="720"/>
        <w:rPr>
          <w:lang w:val="en-AU"/>
        </w:rPr>
      </w:pPr>
      <w:r w:rsidRPr="0072758C">
        <w:rPr>
          <w:rStyle w:val="FootnoteReference"/>
          <w:lang w:val="en-AU"/>
        </w:rPr>
        <w:footnoteRef/>
      </w:r>
      <w:r w:rsidRPr="0072758C">
        <w:rPr>
          <w:lang w:val="en-AU"/>
        </w:rPr>
        <w:t xml:space="preserve"> The scrolls are dated from radiocarbon dating from 33 CE plus or minus 200 years.</w:t>
      </w:r>
    </w:p>
    <w:p w14:paraId="65C01E7A" w14:textId="77777777" w:rsidR="005C18F8" w:rsidRPr="0072758C" w:rsidRDefault="005C18F8" w:rsidP="00EF3273">
      <w:pPr>
        <w:pStyle w:val="EndnoteText"/>
        <w:rPr>
          <w:lang w:val="en-AU"/>
        </w:rPr>
      </w:pPr>
    </w:p>
  </w:footnote>
  <w:footnote w:id="113">
    <w:p w14:paraId="165E1E7E" w14:textId="77777777" w:rsidR="005C18F8" w:rsidRPr="0072758C" w:rsidRDefault="005C18F8" w:rsidP="00EF3273">
      <w:pPr>
        <w:pStyle w:val="EndnoteText"/>
        <w:ind w:firstLine="720"/>
        <w:rPr>
          <w:rFonts w:cs="Arial"/>
          <w:lang w:val="en-AU"/>
        </w:rPr>
      </w:pPr>
      <w:r w:rsidRPr="0072758C">
        <w:rPr>
          <w:rStyle w:val="FootnoteReference"/>
          <w:lang w:val="en-AU"/>
        </w:rPr>
        <w:footnoteRef/>
      </w:r>
      <w:r w:rsidRPr="0072758C">
        <w:rPr>
          <w:lang w:val="en-AU"/>
        </w:rPr>
        <w:t xml:space="preserve"> </w:t>
      </w:r>
      <w:r w:rsidRPr="0072758C">
        <w:rPr>
          <w:i/>
          <w:iCs/>
          <w:lang w:val="en-AU"/>
        </w:rPr>
        <w:t xml:space="preserve">See </w:t>
      </w:r>
      <w:r w:rsidRPr="0072758C">
        <w:rPr>
          <w:rFonts w:cs="Arial"/>
          <w:lang w:val="en-AU"/>
        </w:rPr>
        <w:t>Flavius Josephus, </w:t>
      </w:r>
      <w:r w:rsidRPr="0072758C">
        <w:rPr>
          <w:rFonts w:cs="Arial"/>
          <w:i/>
          <w:iCs/>
          <w:lang w:val="en-AU"/>
        </w:rPr>
        <w:t>The Works of Flavius Josephus</w:t>
      </w:r>
      <w:r w:rsidRPr="0072758C">
        <w:rPr>
          <w:rFonts w:cs="Arial"/>
          <w:lang w:val="en-AU"/>
        </w:rPr>
        <w:t> (Grand Rapids: Christian Classics Ethereal Library, 2000).</w:t>
      </w:r>
    </w:p>
    <w:p w14:paraId="33C47807" w14:textId="77777777" w:rsidR="005C18F8" w:rsidRPr="0072758C" w:rsidRDefault="005C18F8" w:rsidP="00EF3273">
      <w:pPr>
        <w:pStyle w:val="EndnoteText"/>
        <w:rPr>
          <w:rFonts w:cs="Arial"/>
          <w:lang w:val="en-AU"/>
        </w:rPr>
      </w:pPr>
    </w:p>
  </w:footnote>
  <w:footnote w:id="114">
    <w:p w14:paraId="0132B1E5" w14:textId="45498401" w:rsidR="00A4732A"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See Jodi Magness, </w:t>
      </w:r>
      <w:r w:rsidRPr="0072758C">
        <w:rPr>
          <w:i/>
          <w:iCs/>
          <w:lang w:val="en-AU"/>
        </w:rPr>
        <w:t xml:space="preserve">The Archaeology of </w:t>
      </w:r>
      <w:proofErr w:type="gramStart"/>
      <w:r w:rsidRPr="0072758C">
        <w:rPr>
          <w:i/>
          <w:iCs/>
          <w:lang w:val="en-AU"/>
        </w:rPr>
        <w:t>Qumran</w:t>
      </w:r>
      <w:proofErr w:type="gramEnd"/>
      <w:r w:rsidRPr="0072758C">
        <w:rPr>
          <w:i/>
          <w:iCs/>
          <w:lang w:val="en-AU"/>
        </w:rPr>
        <w:t xml:space="preserve"> and the Dead Se</w:t>
      </w:r>
      <w:r w:rsidR="00A4732A" w:rsidRPr="0072758C">
        <w:rPr>
          <w:i/>
          <w:iCs/>
          <w:lang w:val="en-AU"/>
        </w:rPr>
        <w:t>a</w:t>
      </w:r>
      <w:r w:rsidRPr="0072758C">
        <w:rPr>
          <w:i/>
          <w:iCs/>
          <w:lang w:val="en-AU"/>
        </w:rPr>
        <w:t xml:space="preserve"> Scrolls</w:t>
      </w:r>
      <w:r w:rsidRPr="0072758C">
        <w:rPr>
          <w:lang w:val="en-AU"/>
        </w:rPr>
        <w:t> (Grand Rapids: Eerdmans, 2015), 39</w:t>
      </w:r>
      <w:r w:rsidR="00CA4D0C" w:rsidRPr="0072758C">
        <w:rPr>
          <w:lang w:val="en-AU"/>
        </w:rPr>
        <w:t>,</w:t>
      </w:r>
      <w:r w:rsidRPr="0072758C">
        <w:rPr>
          <w:lang w:val="en-AU"/>
        </w:rPr>
        <w:t xml:space="preserve"> for a discussion of the authorship of the Dead Sea Scrolls. For a discussion of the Essenes and sectarians in Qumran, see Florentino García Martínez and Wilfred G. E Watson, </w:t>
      </w:r>
      <w:r w:rsidRPr="0072758C">
        <w:rPr>
          <w:i/>
          <w:iCs/>
          <w:lang w:val="en-AU"/>
        </w:rPr>
        <w:t>The Dead Sea Scrolls Translated</w:t>
      </w:r>
      <w:r w:rsidRPr="0072758C">
        <w:rPr>
          <w:lang w:val="en-AU"/>
        </w:rPr>
        <w:t> (Leiden: Brill, 2007</w:t>
      </w:r>
      <w:r w:rsidR="00CA4D0C" w:rsidRPr="0072758C">
        <w:rPr>
          <w:lang w:val="en-AU"/>
        </w:rPr>
        <w:t>)</w:t>
      </w:r>
      <w:r w:rsidRPr="0072758C">
        <w:rPr>
          <w:lang w:val="en-AU"/>
        </w:rPr>
        <w:t xml:space="preserve">. </w:t>
      </w:r>
      <w:r w:rsidR="00484335" w:rsidRPr="0072758C">
        <w:rPr>
          <w:lang w:val="en-AU"/>
        </w:rPr>
        <w:t>A</w:t>
      </w:r>
      <w:r w:rsidRPr="0072758C">
        <w:rPr>
          <w:lang w:val="en-AU"/>
        </w:rPr>
        <w:t xml:space="preserve"> difference exists</w:t>
      </w:r>
      <w:r w:rsidR="00484335" w:rsidRPr="0072758C">
        <w:rPr>
          <w:lang w:val="en-AU"/>
        </w:rPr>
        <w:t xml:space="preserve">, separating </w:t>
      </w:r>
      <w:r w:rsidRPr="0072758C">
        <w:rPr>
          <w:lang w:val="en-AU"/>
        </w:rPr>
        <w:t xml:space="preserve">the Essenes and the sectarians that settled at Qumran. </w:t>
      </w:r>
      <w:r w:rsidR="00A4732A" w:rsidRPr="0072758C">
        <w:rPr>
          <w:lang w:val="en-AU"/>
        </w:rPr>
        <w:t>See Erik W</w:t>
      </w:r>
      <w:r w:rsidR="00484335" w:rsidRPr="0072758C">
        <w:rPr>
          <w:lang w:val="en-AU"/>
        </w:rPr>
        <w:t>.</w:t>
      </w:r>
      <w:r w:rsidR="00A4732A" w:rsidRPr="0072758C">
        <w:rPr>
          <w:lang w:val="en-AU"/>
        </w:rPr>
        <w:t xml:space="preserve"> Larson, “Dead Sea Scrolls</w:t>
      </w:r>
      <w:r w:rsidR="00803208" w:rsidRPr="0072758C">
        <w:rPr>
          <w:lang w:val="en-AU"/>
        </w:rPr>
        <w:t>,</w:t>
      </w:r>
      <w:r w:rsidR="00A4732A" w:rsidRPr="0072758C">
        <w:rPr>
          <w:lang w:val="en-AU"/>
        </w:rPr>
        <w:t>” </w:t>
      </w:r>
      <w:r w:rsidR="00A4732A" w:rsidRPr="0072758C">
        <w:rPr>
          <w:i/>
          <w:iCs/>
          <w:lang w:val="en-AU"/>
        </w:rPr>
        <w:t>Salem Press Encyclopedia</w:t>
      </w:r>
      <w:r w:rsidR="00A4732A" w:rsidRPr="0072758C">
        <w:rPr>
          <w:lang w:val="en-AU"/>
        </w:rPr>
        <w:t>, 2020.</w:t>
      </w:r>
    </w:p>
    <w:p w14:paraId="3903C8D3" w14:textId="3340B12F" w:rsidR="005C18F8" w:rsidRPr="0072758C" w:rsidRDefault="005C18F8" w:rsidP="00EF3273">
      <w:pPr>
        <w:pStyle w:val="EndnoteText"/>
        <w:rPr>
          <w:lang w:val="en-AU"/>
        </w:rPr>
      </w:pPr>
    </w:p>
  </w:footnote>
  <w:footnote w:id="115">
    <w:p w14:paraId="613C2B21" w14:textId="61D736D2" w:rsidR="005C18F8" w:rsidRPr="0072758C" w:rsidRDefault="00EF3273" w:rsidP="00EF3273">
      <w:pPr>
        <w:pStyle w:val="EndnoteText"/>
        <w:rPr>
          <w:lang w:val="en-AU"/>
        </w:rPr>
      </w:pPr>
      <w:r w:rsidRPr="0072758C">
        <w:rPr>
          <w:lang w:val="en-AU"/>
        </w:rPr>
        <w:tab/>
      </w:r>
      <w:r w:rsidR="005C18F8" w:rsidRPr="0072758C">
        <w:rPr>
          <w:rStyle w:val="FootnoteReference"/>
          <w:lang w:val="en-AU"/>
        </w:rPr>
        <w:footnoteRef/>
      </w:r>
      <w:r w:rsidR="005C18F8" w:rsidRPr="0072758C">
        <w:rPr>
          <w:lang w:val="en-AU"/>
        </w:rPr>
        <w:t xml:space="preserve"> </w:t>
      </w:r>
      <w:r w:rsidR="005C18F8" w:rsidRPr="0072758C">
        <w:rPr>
          <w:lang w:val="en-AU"/>
        </w:rPr>
        <w:fldChar w:fldCharType="begin"/>
      </w:r>
      <w:r w:rsidR="005C18F8" w:rsidRPr="0072758C">
        <w:rPr>
          <w:lang w:val="en-AU"/>
        </w:rPr>
        <w:instrText xml:space="preserve"> ADDIN EN.CITE &lt;EndNote&gt;&lt;Cite&gt;&lt;Author&gt;Taylor&lt;/Author&gt;&lt;Year&gt;2012&lt;/Year&gt;&lt;RecNum&gt;7&lt;/RecNum&gt;&lt;Pages&gt;195&lt;/Pages&gt;&lt;DisplayText&gt;Joan Taylor, &lt;style face="italic"&gt;The Essenes, the Scrolls, and the Dead Sea&lt;/style&gt;  (Oxford: Oxford University Press, 2012). 195.&lt;/DisplayText&gt;&lt;record&gt;&lt;rec-number&gt;7&lt;/rec-number&gt;&lt;foreign-keys&gt;&lt;key app="EN" db-id="sd929rvz0dxdw6e92dp59txp9z2xdtp2dd0p"&gt;7&lt;/key&gt;&lt;/foreign-keys&gt;&lt;ref-type name="Book"&gt;6&lt;/ref-type&gt;&lt;contributors&gt;&lt;authors&gt;&lt;author&gt;Taylor, Joan&lt;/author&gt;&lt;/authors&gt;&lt;/contributors&gt;&lt;titles&gt;&lt;title&gt;The Essenes, the Scrolls, and the Dead Sea&lt;/title&gt;&lt;/titles&gt;&lt;section&gt;418&lt;/section&gt;&lt;dates&gt;&lt;year&gt;2012&lt;/year&gt;&lt;/dates&gt;&lt;pub-location&gt;Oxford&lt;/pub-location&gt;&lt;publisher&gt;Oxford University Press&lt;/publisher&gt;&lt;urls&gt;&lt;/urls&gt;&lt;/record&gt;&lt;/Cite&gt;&lt;/EndNote&gt;</w:instrText>
      </w:r>
      <w:r w:rsidR="005C18F8" w:rsidRPr="0072758C">
        <w:rPr>
          <w:lang w:val="en-AU"/>
        </w:rPr>
        <w:fldChar w:fldCharType="separate"/>
      </w:r>
      <w:r w:rsidR="005C18F8" w:rsidRPr="0072758C">
        <w:rPr>
          <w:lang w:val="en-AU"/>
        </w:rPr>
        <w:t>Joan E.</w:t>
      </w:r>
      <w:r w:rsidR="0014355D" w:rsidRPr="0072758C">
        <w:rPr>
          <w:lang w:val="en-AU"/>
        </w:rPr>
        <w:t xml:space="preserve"> </w:t>
      </w:r>
      <w:r w:rsidR="005C18F8" w:rsidRPr="0072758C">
        <w:rPr>
          <w:lang w:val="en-AU"/>
        </w:rPr>
        <w:t xml:space="preserve">Taylor, </w:t>
      </w:r>
      <w:r w:rsidR="005C18F8" w:rsidRPr="0072758C">
        <w:rPr>
          <w:i/>
          <w:lang w:val="en-AU"/>
        </w:rPr>
        <w:t>The Essenes, the Scrolls, and the Dead Sea</w:t>
      </w:r>
      <w:r w:rsidR="005C18F8" w:rsidRPr="0072758C">
        <w:rPr>
          <w:lang w:val="en-AU"/>
        </w:rPr>
        <w:t xml:space="preserve"> (Oxford: Oxford University Press, 2012), 195.</w:t>
      </w:r>
      <w:r w:rsidR="005C18F8" w:rsidRPr="0072758C">
        <w:rPr>
          <w:lang w:val="en-AU"/>
        </w:rPr>
        <w:fldChar w:fldCharType="end"/>
      </w:r>
      <w:r w:rsidR="00484335" w:rsidRPr="0072758C">
        <w:rPr>
          <w:lang w:val="en-AU"/>
        </w:rPr>
        <w:t xml:space="preserve">; </w:t>
      </w:r>
      <w:r w:rsidR="00AD7CBD" w:rsidRPr="0072758C">
        <w:rPr>
          <w:lang w:val="en-AU"/>
        </w:rPr>
        <w:t>Sarit Anava et al.</w:t>
      </w:r>
      <w:r w:rsidR="007C2B3C" w:rsidRPr="0072758C">
        <w:rPr>
          <w:lang w:val="en-AU"/>
        </w:rPr>
        <w:t>,</w:t>
      </w:r>
      <w:r w:rsidR="00F013F4" w:rsidRPr="0072758C">
        <w:rPr>
          <w:lang w:val="en-AU"/>
        </w:rPr>
        <w:t xml:space="preserve"> </w:t>
      </w:r>
      <w:r w:rsidR="00AD7CBD" w:rsidRPr="0072758C">
        <w:rPr>
          <w:lang w:val="en-AU"/>
        </w:rPr>
        <w:t>“Illuminating Genetic Mysteries of the Dead Sea Scrolls</w:t>
      </w:r>
      <w:r w:rsidR="007C2B3C" w:rsidRPr="0072758C">
        <w:rPr>
          <w:lang w:val="en-AU"/>
        </w:rPr>
        <w:t>,</w:t>
      </w:r>
      <w:r w:rsidR="00AD7CBD" w:rsidRPr="0072758C">
        <w:rPr>
          <w:lang w:val="en-AU"/>
        </w:rPr>
        <w:t>” </w:t>
      </w:r>
      <w:r w:rsidR="00AD7CBD" w:rsidRPr="0072758C">
        <w:rPr>
          <w:i/>
          <w:iCs/>
          <w:lang w:val="en-AU"/>
        </w:rPr>
        <w:t>Cell</w:t>
      </w:r>
      <w:r w:rsidR="00AD7CBD" w:rsidRPr="0072758C">
        <w:rPr>
          <w:lang w:val="en-AU"/>
        </w:rPr>
        <w:t> 181 (2020): 1218.</w:t>
      </w:r>
    </w:p>
  </w:footnote>
  <w:footnote w:id="116">
    <w:p w14:paraId="5C4F8114" w14:textId="77777777" w:rsidR="005C18F8" w:rsidRPr="0072758C" w:rsidRDefault="005C18F8" w:rsidP="00EF3273">
      <w:pPr>
        <w:pStyle w:val="EndnoteText"/>
        <w:rPr>
          <w:lang w:val="en-AU"/>
        </w:rPr>
      </w:pPr>
    </w:p>
    <w:p w14:paraId="7117D246" w14:textId="77777777"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&lt;EndNote&gt;&lt;Cite&gt;&lt;Author&gt;Taylor&lt;/Author&gt;&lt;Year&gt;1997&lt;/Year&gt;&lt;RecNum&gt;6&lt;/RecNum&gt;&lt;Pages&gt;16-17&lt;/Pages&gt;&lt;DisplayText&gt;Joan Taylor, &lt;style face="italic"&gt;The Immerser&lt;/style&gt;  (Grand Rapids, Michigan: William B. Eerdmands 1997). 16-17.&lt;/DisplayText&gt;&lt;record&gt;&lt;rec-number&gt;6&lt;/rec-number&gt;&lt;foreign-keys&gt;&lt;key app="EN" db-id="sd929rvz0dxdw6e92dp59txp9z2xdtp2dd0p"&gt;6&lt;/key&gt;&lt;/foreign-keys&gt;&lt;ref-type name="Book"&gt;6&lt;/ref-type&gt;&lt;contributors&gt;&lt;authors&gt;&lt;author&gt;Taylor, Joan&lt;/author&gt;&lt;/authors&gt;&lt;/contributors&gt;&lt;titles&gt;&lt;title&gt;The Immerser&lt;/title&gt;&lt;/titles&gt;&lt;dates&gt;&lt;year&gt;1997&lt;/year&gt;&lt;/dates&gt;&lt;pub-location&gt;Grand Rapids, Michigan&lt;/pub-location&gt;&lt;publisher&gt;William B. Eerdmands &lt;/publisher&gt;&lt;urls&gt;&lt;/urls&gt;&lt;/record&gt;&lt;/Cite&gt;&lt;/EndNote&gt;</w:instrText>
      </w:r>
      <w:r w:rsidRPr="0072758C">
        <w:rPr>
          <w:lang w:val="en-AU"/>
        </w:rPr>
        <w:fldChar w:fldCharType="separate"/>
      </w:r>
      <w:r w:rsidRPr="0072758C">
        <w:rPr>
          <w:lang w:val="en-AU"/>
        </w:rPr>
        <w:t xml:space="preserve">Joan E. Taylor, </w:t>
      </w:r>
      <w:r w:rsidRPr="0072758C">
        <w:rPr>
          <w:i/>
          <w:lang w:val="en-AU"/>
        </w:rPr>
        <w:t>The Immerser</w:t>
      </w:r>
      <w:r w:rsidRPr="0072758C">
        <w:rPr>
          <w:lang w:val="en-AU"/>
        </w:rPr>
        <w:t xml:space="preserve"> (Grand Rapids: Eerdmands, 1997), 16–17.</w:t>
      </w:r>
      <w:r w:rsidRPr="0072758C">
        <w:rPr>
          <w:lang w:val="en-AU"/>
        </w:rPr>
        <w:fldChar w:fldCharType="end"/>
      </w:r>
    </w:p>
  </w:footnote>
  <w:footnote w:id="117">
    <w:p w14:paraId="39EACADB" w14:textId="77777777" w:rsidR="005C18F8" w:rsidRPr="0072758C" w:rsidRDefault="005C18F8" w:rsidP="00EF3273">
      <w:pPr>
        <w:pStyle w:val="EndnoteText"/>
        <w:rPr>
          <w:lang w:val="en-AU"/>
        </w:rPr>
      </w:pPr>
    </w:p>
    <w:p w14:paraId="027DE88B" w14:textId="206869FD" w:rsidR="00C11850"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&lt;EndNote&gt;&lt;Cite&gt;&lt;Author&gt;Taylor&lt;/Author&gt;&lt;Year&gt;2012&lt;/Year&gt;&lt;RecNum&gt;7&lt;/RecNum&gt;&lt;Pages&gt;195&lt;/Pages&gt;&lt;DisplayText&gt;Taylor, &lt;style face="italic"&gt;The Essenes, the Scrolls, and the Dead Sea&lt;/style&gt;: 195.&lt;/DisplayText&gt;&lt;record&gt;&lt;rec-number&gt;7&lt;/rec-number&gt;&lt;foreign-keys&gt;&lt;key app="EN" db-id="sd929rvz0dxdw6e92dp59txp9z2xdtp2dd0p"&gt;7&lt;/key&gt;&lt;/foreign-keys&gt;&lt;ref-type name="Book"&gt;6&lt;/ref-type&gt;&lt;contributors&gt;&lt;authors&gt;&lt;author&gt;Taylor, Joan&lt;/author&gt;&lt;/authors&gt;&lt;/contributors&gt;&lt;titles&gt;&lt;title&gt;The Essenes, the Scrolls, and the Dead Sea&lt;/title&gt;&lt;/titles&gt;&lt;section&gt;418&lt;/section&gt;&lt;dates&gt;&lt;year&gt;2012&lt;/year&gt;&lt;/dates&gt;&lt;pub-location&gt;Oxford&lt;/pub-location&gt;&lt;publisher&gt;Oxford University Press&lt;/publisher&gt;&lt;urls&gt;&lt;/urls&gt;&lt;/record&gt;&lt;/Cite&gt;&lt;/EndNote&gt;</w:instrText>
      </w:r>
      <w:r w:rsidRPr="0072758C">
        <w:rPr>
          <w:lang w:val="en-AU"/>
        </w:rPr>
        <w:fldChar w:fldCharType="separate"/>
      </w:r>
      <w:r w:rsidRPr="0072758C">
        <w:rPr>
          <w:lang w:val="en-AU"/>
        </w:rPr>
        <w:t xml:space="preserve">Taylor, </w:t>
      </w:r>
      <w:r w:rsidRPr="0072758C">
        <w:rPr>
          <w:i/>
          <w:lang w:val="en-AU"/>
        </w:rPr>
        <w:t>The Essenes, the Scrolls, and the Dead Sea</w:t>
      </w:r>
      <w:r w:rsidRPr="0072758C">
        <w:rPr>
          <w:lang w:val="en-AU"/>
        </w:rPr>
        <w:t xml:space="preserve">, 195; Recent </w:t>
      </w:r>
      <w:r w:rsidR="00FE4029" w:rsidRPr="0072758C">
        <w:rPr>
          <w:lang w:val="en-AU"/>
        </w:rPr>
        <w:t>archaeology</w:t>
      </w:r>
      <w:r w:rsidRPr="0072758C">
        <w:rPr>
          <w:lang w:val="en-AU"/>
        </w:rPr>
        <w:t xml:space="preserve"> shows how a 2015 discovery in Ein Kerem, Jerusalem, Israel, found a 2000-year-old </w:t>
      </w:r>
      <w:r w:rsidRPr="0072758C">
        <w:rPr>
          <w:i/>
          <w:iCs/>
          <w:lang w:val="en-AU"/>
        </w:rPr>
        <w:t>mikvah</w:t>
      </w:r>
      <w:r w:rsidRPr="0072758C">
        <w:rPr>
          <w:lang w:val="en-AU"/>
        </w:rPr>
        <w:t xml:space="preserve"> under the floor of the house.  This site and discovery is interesting due to the placement of the </w:t>
      </w:r>
      <w:r w:rsidRPr="0072758C">
        <w:rPr>
          <w:i/>
          <w:iCs/>
          <w:lang w:val="en-AU"/>
        </w:rPr>
        <w:t>mikvah</w:t>
      </w:r>
      <w:r w:rsidRPr="0072758C">
        <w:rPr>
          <w:lang w:val="en-AU"/>
        </w:rPr>
        <w:t xml:space="preserve">, being it was once a home site that had a </w:t>
      </w:r>
      <w:r w:rsidRPr="0072758C">
        <w:rPr>
          <w:i/>
          <w:iCs/>
          <w:lang w:val="en-AU"/>
        </w:rPr>
        <w:t>mikvah</w:t>
      </w:r>
      <w:r w:rsidRPr="0072758C">
        <w:rPr>
          <w:lang w:val="en-AU"/>
        </w:rPr>
        <w:t xml:space="preserve"> access.</w:t>
      </w:r>
      <w:r w:rsidRPr="0072758C">
        <w:rPr>
          <w:lang w:val="en-AU"/>
        </w:rPr>
        <w:fldChar w:fldCharType="end"/>
      </w:r>
      <w:r w:rsidRPr="0072758C">
        <w:rPr>
          <w:lang w:val="en-AU"/>
        </w:rPr>
        <w:t xml:space="preserve"> The function of the </w:t>
      </w:r>
      <w:r w:rsidRPr="0072758C">
        <w:rPr>
          <w:i/>
          <w:iCs/>
          <w:lang w:val="en-AU"/>
        </w:rPr>
        <w:t>mikvah</w:t>
      </w:r>
      <w:r w:rsidRPr="0072758C">
        <w:rPr>
          <w:lang w:val="en-AU"/>
        </w:rPr>
        <w:t xml:space="preserve"> bath, although seen in the city areas and in excavations near synagogues, demonstrates how the religious practices of ritual purity extended into the home and private lives of the areas in which people lived. This city is attributed to the birth of John the Baptist.  See</w:t>
      </w:r>
      <w:r w:rsidRPr="0072758C">
        <w:rPr>
          <w:i/>
          <w:iCs/>
          <w:lang w:val="en-AU"/>
        </w:rPr>
        <w:t>,</w:t>
      </w:r>
      <w:r w:rsidRPr="0072758C">
        <w:rPr>
          <w:lang w:val="en-AU"/>
        </w:rPr>
        <w:t xml:space="preserve"> Megan Sauter, </w:t>
      </w:r>
      <w:r w:rsidRPr="0072758C">
        <w:rPr>
          <w:i/>
          <w:iCs/>
          <w:lang w:val="en-AU"/>
        </w:rPr>
        <w:t xml:space="preserve">Secret Mikveh Discovered Under </w:t>
      </w:r>
      <w:r w:rsidR="00B6488C" w:rsidRPr="0072758C">
        <w:rPr>
          <w:i/>
          <w:iCs/>
          <w:lang w:val="en-AU"/>
        </w:rPr>
        <w:t>a</w:t>
      </w:r>
      <w:r w:rsidRPr="0072758C">
        <w:rPr>
          <w:i/>
          <w:iCs/>
          <w:lang w:val="en-AU"/>
        </w:rPr>
        <w:t xml:space="preserve"> Living Room Floor</w:t>
      </w:r>
      <w:r w:rsidRPr="0072758C">
        <w:rPr>
          <w:lang w:val="en-AU"/>
        </w:rPr>
        <w:t>, [online] Biblical Archaeology Society, 2015, Available at: &lt;https://www.biblicalarchaeology.org/daily/news/secret-mikveh-discovered-under-a-living-room-floor/&gt;.</w:t>
      </w:r>
      <w:r w:rsidR="0062390B" w:rsidRPr="0072758C">
        <w:rPr>
          <w:lang w:val="en-AU"/>
        </w:rPr>
        <w:t xml:space="preserve">  For scholarship about the Essenes as seen by Josephus’ writing as historical accuracy, see David S</w:t>
      </w:r>
      <w:r w:rsidR="00B6488C" w:rsidRPr="0072758C">
        <w:rPr>
          <w:lang w:val="en-AU"/>
        </w:rPr>
        <w:t>.</w:t>
      </w:r>
      <w:r w:rsidR="0062390B" w:rsidRPr="0072758C">
        <w:rPr>
          <w:lang w:val="en-AU"/>
        </w:rPr>
        <w:t xml:space="preserve"> Willams, “Josephus and the Authorship of War 2. 119-161 (On the Essenes)</w:t>
      </w:r>
      <w:r w:rsidR="00BA5A35" w:rsidRPr="0072758C">
        <w:rPr>
          <w:lang w:val="en-AU"/>
        </w:rPr>
        <w:t>,</w:t>
      </w:r>
      <w:r w:rsidR="0062390B" w:rsidRPr="0072758C">
        <w:rPr>
          <w:lang w:val="en-AU"/>
        </w:rPr>
        <w:t>” </w:t>
      </w:r>
      <w:r w:rsidR="0062390B" w:rsidRPr="0072758C">
        <w:rPr>
          <w:i/>
          <w:iCs/>
          <w:lang w:val="en-AU"/>
        </w:rPr>
        <w:t>Journal for the Study of Judaism in the Persian, Hellenistic, and Roman Period</w:t>
      </w:r>
      <w:r w:rsidR="0062390B" w:rsidRPr="0072758C">
        <w:rPr>
          <w:lang w:val="en-AU"/>
        </w:rPr>
        <w:t> 25 (1994): 207–</w:t>
      </w:r>
      <w:r w:rsidR="002F13DB" w:rsidRPr="0072758C">
        <w:rPr>
          <w:lang w:val="en-AU"/>
        </w:rPr>
        <w:t>1</w:t>
      </w:r>
      <w:r w:rsidR="0062390B" w:rsidRPr="0072758C">
        <w:rPr>
          <w:lang w:val="en-AU"/>
        </w:rPr>
        <w:t>2</w:t>
      </w:r>
      <w:r w:rsidR="00C11850" w:rsidRPr="0072758C">
        <w:rPr>
          <w:lang w:val="en-AU"/>
        </w:rPr>
        <w:t xml:space="preserve">; Kenneth Atkinson, “Josephus the Essene at </w:t>
      </w:r>
      <w:proofErr w:type="gramStart"/>
      <w:r w:rsidR="00BA5B56" w:rsidRPr="0072758C">
        <w:rPr>
          <w:lang w:val="en-AU"/>
        </w:rPr>
        <w:t>Qumran?</w:t>
      </w:r>
      <w:r w:rsidR="00904284" w:rsidRPr="0072758C">
        <w:rPr>
          <w:lang w:val="en-AU"/>
        </w:rPr>
        <w:t>:</w:t>
      </w:r>
      <w:proofErr w:type="gramEnd"/>
      <w:r w:rsidR="00C11850" w:rsidRPr="0072758C">
        <w:rPr>
          <w:lang w:val="en-AU"/>
        </w:rPr>
        <w:t xml:space="preserve"> An Example of the Intersection of the Dead Sea Scrolls and the Archaeological Evidence in Light of Josephus’s Writing</w:t>
      </w:r>
      <w:r w:rsidR="00BA5A35" w:rsidRPr="0072758C">
        <w:rPr>
          <w:lang w:val="en-AU"/>
        </w:rPr>
        <w:t>,</w:t>
      </w:r>
      <w:r w:rsidR="00C11850" w:rsidRPr="0072758C">
        <w:rPr>
          <w:lang w:val="en-AU"/>
        </w:rPr>
        <w:t>” </w:t>
      </w:r>
      <w:r w:rsidR="00C11850" w:rsidRPr="0072758C">
        <w:rPr>
          <w:i/>
          <w:iCs/>
          <w:lang w:val="en-AU"/>
        </w:rPr>
        <w:t>Scripta Judaica Cracoviensia</w:t>
      </w:r>
      <w:r w:rsidR="00C11850" w:rsidRPr="0072758C">
        <w:rPr>
          <w:lang w:val="en-AU"/>
        </w:rPr>
        <w:t> 10 (2012): 7–35.</w:t>
      </w:r>
    </w:p>
  </w:footnote>
  <w:footnote w:id="118">
    <w:p w14:paraId="46456E1C" w14:textId="77777777" w:rsidR="005C18F8" w:rsidRPr="0072758C" w:rsidRDefault="005C18F8" w:rsidP="00EF3273">
      <w:pPr>
        <w:pStyle w:val="EndnoteText"/>
        <w:rPr>
          <w:lang w:val="en-AU"/>
        </w:rPr>
      </w:pPr>
    </w:p>
    <w:p w14:paraId="709DFE69" w14:textId="5DDA29D2" w:rsidR="005C18F8" w:rsidRPr="0072758C" w:rsidRDefault="005C18F8" w:rsidP="00250E53">
      <w:pPr>
        <w:pStyle w:val="EndnoteText"/>
        <w:ind w:firstLine="720"/>
        <w:rPr>
          <w:lang w:val="en-AU"/>
        </w:rPr>
      </w:pPr>
      <w:r w:rsidRPr="0072758C">
        <w:rPr>
          <w:rStyle w:val="FootnoteReference"/>
          <w:lang w:val="en-AU"/>
        </w:rPr>
        <w:footnoteRef/>
      </w:r>
      <w:r w:rsidRPr="0072758C">
        <w:rPr>
          <w:lang w:val="en-AU"/>
        </w:rPr>
        <w:t xml:space="preserve"> Alison Schofield and James C. Vanderkam, “Were the Hasmoneans Zadokites?” </w:t>
      </w:r>
      <w:r w:rsidRPr="0072758C">
        <w:rPr>
          <w:i/>
          <w:iCs/>
          <w:lang w:val="en-AU"/>
        </w:rPr>
        <w:t>Journal of Biblical Literature</w:t>
      </w:r>
      <w:r w:rsidRPr="0072758C">
        <w:rPr>
          <w:color w:val="FF0000"/>
          <w:lang w:val="en-AU"/>
        </w:rPr>
        <w:t xml:space="preserve"> </w:t>
      </w:r>
      <w:r w:rsidRPr="0072758C">
        <w:rPr>
          <w:lang w:val="en-AU"/>
        </w:rPr>
        <w:t>124 (2005)</w:t>
      </w:r>
      <w:r w:rsidR="007A0F3D" w:rsidRPr="0072758C">
        <w:rPr>
          <w:lang w:val="en-AU"/>
        </w:rPr>
        <w:t>:</w:t>
      </w:r>
      <w:r w:rsidRPr="0072758C">
        <w:rPr>
          <w:lang w:val="en-AU"/>
        </w:rPr>
        <w:t xml:space="preserve"> 73.</w:t>
      </w:r>
      <w:r w:rsidR="00F8530E" w:rsidRPr="0072758C">
        <w:rPr>
          <w:lang w:val="en-AU"/>
        </w:rPr>
        <w:t xml:space="preserve"> See also </w:t>
      </w:r>
      <w:r w:rsidR="001B34E9" w:rsidRPr="0072758C">
        <w:rPr>
          <w:lang w:val="en-AU"/>
        </w:rPr>
        <w:t>George J. Brooke, “Dead Sea Scrolls Scholarship in Oxford: Past, Present and Future</w:t>
      </w:r>
      <w:r w:rsidR="00ED25FD" w:rsidRPr="0072758C">
        <w:rPr>
          <w:lang w:val="en-AU"/>
        </w:rPr>
        <w:t>,</w:t>
      </w:r>
      <w:r w:rsidR="001B34E9" w:rsidRPr="0072758C">
        <w:rPr>
          <w:lang w:val="en-AU"/>
        </w:rPr>
        <w:t>” </w:t>
      </w:r>
      <w:r w:rsidR="001B34E9" w:rsidRPr="0072758C">
        <w:rPr>
          <w:i/>
          <w:iCs/>
          <w:lang w:val="en-AU"/>
        </w:rPr>
        <w:t>Revue de Qumran</w:t>
      </w:r>
      <w:r w:rsidR="001B34E9" w:rsidRPr="0072758C">
        <w:rPr>
          <w:lang w:val="en-AU"/>
        </w:rPr>
        <w:t xml:space="preserve"> 32 (2020): 177–93; </w:t>
      </w:r>
      <w:r w:rsidR="00F8530E" w:rsidRPr="0072758C">
        <w:rPr>
          <w:lang w:val="en-AU"/>
        </w:rPr>
        <w:t>George J Brooke, “Dead Sea Scrolls Scholarship in Oxford: Past, Present and Future</w:t>
      </w:r>
      <w:r w:rsidR="00024F8F" w:rsidRPr="0072758C">
        <w:rPr>
          <w:lang w:val="en-AU"/>
        </w:rPr>
        <w:t>,</w:t>
      </w:r>
      <w:r w:rsidR="00F8530E" w:rsidRPr="0072758C">
        <w:rPr>
          <w:lang w:val="en-AU"/>
        </w:rPr>
        <w:t>” </w:t>
      </w:r>
      <w:r w:rsidR="00F8530E" w:rsidRPr="0072758C">
        <w:rPr>
          <w:i/>
          <w:iCs/>
          <w:lang w:val="en-AU"/>
        </w:rPr>
        <w:t>Revue de Qumran</w:t>
      </w:r>
      <w:r w:rsidR="00F8530E" w:rsidRPr="0072758C">
        <w:rPr>
          <w:lang w:val="en-AU"/>
        </w:rPr>
        <w:t xml:space="preserve"> 32 (2020): 177–93. </w:t>
      </w:r>
      <w:r w:rsidRPr="0072758C">
        <w:rPr>
          <w:lang w:val="en-AU"/>
        </w:rPr>
        <w:t xml:space="preserve">Scholarship varies with the concept regarding the Zadokites present before moving to Qumran or did the Zadokite priests move after the community was established. </w:t>
      </w:r>
      <w:r w:rsidR="00CE357F" w:rsidRPr="0072758C">
        <w:rPr>
          <w:lang w:val="en-AU"/>
        </w:rPr>
        <w:t xml:space="preserve">Frevel suggests that ritual in early Judaism </w:t>
      </w:r>
      <w:r w:rsidR="00691DDF" w:rsidRPr="0072758C">
        <w:rPr>
          <w:lang w:val="en-AU"/>
        </w:rPr>
        <w:t xml:space="preserve">was evident in the practices of the Essenes. See </w:t>
      </w:r>
      <w:r w:rsidR="00CE357F" w:rsidRPr="0072758C">
        <w:rPr>
          <w:lang w:val="en-AU"/>
        </w:rPr>
        <w:t xml:space="preserve">Christian Frevel, “The Texture of Rituals in the Book of </w:t>
      </w:r>
      <w:r w:rsidR="001B34E9" w:rsidRPr="0072758C">
        <w:rPr>
          <w:lang w:val="en-AU"/>
        </w:rPr>
        <w:t>Numbers:</w:t>
      </w:r>
      <w:r w:rsidR="00CE357F" w:rsidRPr="0072758C">
        <w:rPr>
          <w:lang w:val="en-AU"/>
        </w:rPr>
        <w:t xml:space="preserve"> A Fresh Approach to Ritual Density, the Role of Tradition and the Emergence of Diversity in Early Judaism” </w:t>
      </w:r>
      <w:r w:rsidR="00250E53" w:rsidRPr="0072758C">
        <w:rPr>
          <w:lang w:val="en-AU"/>
        </w:rPr>
        <w:t>(Tübingen: Mohr Siebeck, 2020),</w:t>
      </w:r>
      <w:r w:rsidR="00CE357F" w:rsidRPr="0072758C">
        <w:rPr>
          <w:lang w:val="en-AU"/>
        </w:rPr>
        <w:t xml:space="preserve"> 317–38. </w:t>
      </w:r>
      <w:r w:rsidRPr="0072758C">
        <w:rPr>
          <w:lang w:val="en-AU"/>
        </w:rPr>
        <w:t xml:space="preserve">Vermes suggests that the Zadokite priests moved to Qumran after the temple in Leontopolis and the migration is second century BCE, </w:t>
      </w:r>
      <w:r w:rsidRPr="0072758C">
        <w:rPr>
          <w:i/>
          <w:iCs/>
          <w:lang w:val="en-AU"/>
        </w:rPr>
        <w:t xml:space="preserve">see </w:t>
      </w:r>
      <w:r w:rsidRPr="0072758C">
        <w:rPr>
          <w:lang w:val="en-AU"/>
        </w:rPr>
        <w:t xml:space="preserve">G. Vermes, “The Leadership of the Qumran Community: Sons of Zadok-Priests-Congregation,” </w:t>
      </w:r>
      <w:r w:rsidRPr="0072758C">
        <w:rPr>
          <w:i/>
          <w:iCs/>
          <w:lang w:val="en-AU"/>
        </w:rPr>
        <w:t>GeschichteTradition-Reflexion. Festschrift für Martin Hengel zum 70. Geburtstag</w:t>
      </w:r>
      <w:r w:rsidR="00610AA6" w:rsidRPr="0072758C">
        <w:rPr>
          <w:lang w:val="en-AU"/>
        </w:rPr>
        <w:t xml:space="preserve">, </w:t>
      </w:r>
      <w:r w:rsidRPr="0072758C">
        <w:rPr>
          <w:lang w:val="en-AU"/>
        </w:rPr>
        <w:t>ed. H.</w:t>
      </w:r>
      <w:r w:rsidR="00B6488C" w:rsidRPr="0072758C">
        <w:rPr>
          <w:lang w:val="en-AU"/>
        </w:rPr>
        <w:t>,</w:t>
      </w:r>
      <w:r w:rsidRPr="0072758C">
        <w:rPr>
          <w:lang w:val="en-AU"/>
        </w:rPr>
        <w:t xml:space="preserve"> Cancik, H. Lichtenberger</w:t>
      </w:r>
      <w:r w:rsidR="00610AA6" w:rsidRPr="0072758C">
        <w:rPr>
          <w:lang w:val="en-AU"/>
        </w:rPr>
        <w:t>,</w:t>
      </w:r>
      <w:r w:rsidRPr="0072758C">
        <w:rPr>
          <w:lang w:val="en-AU"/>
        </w:rPr>
        <w:t xml:space="preserve"> and P. Schäfer </w:t>
      </w:r>
      <w:r w:rsidR="00610AA6" w:rsidRPr="0072758C">
        <w:rPr>
          <w:lang w:val="en-AU"/>
        </w:rPr>
        <w:t>(</w:t>
      </w:r>
      <w:r w:rsidRPr="0072758C">
        <w:rPr>
          <w:lang w:val="en-AU"/>
        </w:rPr>
        <w:t>Tübingen: Mohr Siebeck, 1996)</w:t>
      </w:r>
      <w:r w:rsidR="001606AD" w:rsidRPr="0072758C">
        <w:rPr>
          <w:lang w:val="en-AU"/>
        </w:rPr>
        <w:t>,</w:t>
      </w:r>
      <w:r w:rsidRPr="0072758C">
        <w:rPr>
          <w:lang w:val="en-AU"/>
        </w:rPr>
        <w:t xml:space="preserve"> 1.375–84. This is confirmed by Metso who examined 4Qs and places it earlier in the </w:t>
      </w:r>
      <w:r w:rsidR="001B34E9" w:rsidRPr="0072758C">
        <w:rPr>
          <w:lang w:val="en-AU"/>
        </w:rPr>
        <w:t>scroll’s</w:t>
      </w:r>
      <w:r w:rsidRPr="0072758C">
        <w:rPr>
          <w:lang w:val="en-AU"/>
        </w:rPr>
        <w:t xml:space="preserve"> development, see S. Metso, </w:t>
      </w:r>
      <w:r w:rsidRPr="0072758C">
        <w:rPr>
          <w:i/>
          <w:iCs/>
          <w:lang w:val="en-AU"/>
        </w:rPr>
        <w:t>The Textual Development of the Qumran Community Rule</w:t>
      </w:r>
      <w:r w:rsidRPr="0072758C">
        <w:rPr>
          <w:lang w:val="en-AU"/>
        </w:rPr>
        <w:t xml:space="preserve"> (Leiden: Brill, 1997) and F.</w:t>
      </w:r>
      <w:r w:rsidR="00BA5B56" w:rsidRPr="0072758C">
        <w:rPr>
          <w:lang w:val="en-AU"/>
        </w:rPr>
        <w:t xml:space="preserve"> </w:t>
      </w:r>
      <w:r w:rsidRPr="0072758C">
        <w:rPr>
          <w:lang w:val="en-AU"/>
        </w:rPr>
        <w:t xml:space="preserve">M. Cross, Jr., “The Early History of the Qumran Community,” </w:t>
      </w:r>
      <w:r w:rsidRPr="0072758C">
        <w:rPr>
          <w:i/>
          <w:iCs/>
          <w:lang w:val="en-AU"/>
        </w:rPr>
        <w:t>New Directions in Biblical Archeology</w:t>
      </w:r>
      <w:r w:rsidR="00610AA6" w:rsidRPr="0072758C">
        <w:rPr>
          <w:lang w:val="en-AU"/>
        </w:rPr>
        <w:t>,</w:t>
      </w:r>
      <w:r w:rsidRPr="0072758C">
        <w:rPr>
          <w:lang w:val="en-AU"/>
        </w:rPr>
        <w:t xml:space="preserve"> ed. D. Freedman and J. Greenfield</w:t>
      </w:r>
      <w:r w:rsidR="00610AA6" w:rsidRPr="0072758C">
        <w:rPr>
          <w:lang w:val="en-AU"/>
        </w:rPr>
        <w:t xml:space="preserve"> (</w:t>
      </w:r>
      <w:r w:rsidRPr="0072758C">
        <w:rPr>
          <w:lang w:val="en-AU"/>
        </w:rPr>
        <w:t>Garden City, NJ: Doubleday, 1971)</w:t>
      </w:r>
      <w:r w:rsidR="00013BF9" w:rsidRPr="0072758C">
        <w:rPr>
          <w:lang w:val="en-AU"/>
        </w:rPr>
        <w:t>,</w:t>
      </w:r>
      <w:r w:rsidRPr="0072758C">
        <w:rPr>
          <w:lang w:val="en-AU"/>
        </w:rPr>
        <w:t xml:space="preserve"> 70.  This is contrary to the views of Baumgarten, see</w:t>
      </w:r>
      <w:r w:rsidRPr="0072758C">
        <w:rPr>
          <w:i/>
          <w:iCs/>
          <w:lang w:val="en-AU"/>
        </w:rPr>
        <w:t xml:space="preserve">, </w:t>
      </w:r>
      <w:r w:rsidRPr="0072758C">
        <w:rPr>
          <w:lang w:val="en-AU"/>
        </w:rPr>
        <w:t xml:space="preserve">A.I. Baumgarten, “Who were the Sadducees? The Sadducees of Jerusalem and Qumran,” </w:t>
      </w:r>
      <w:r w:rsidRPr="0072758C">
        <w:rPr>
          <w:i/>
          <w:iCs/>
          <w:lang w:val="en-AU"/>
        </w:rPr>
        <w:t>The Jews in the Hellenistic Roman World: Studies in Memory of Menahem Stern</w:t>
      </w:r>
      <w:r w:rsidR="00610AA6" w:rsidRPr="0072758C">
        <w:rPr>
          <w:i/>
          <w:iCs/>
          <w:lang w:val="en-AU"/>
        </w:rPr>
        <w:t>,</w:t>
      </w:r>
      <w:r w:rsidRPr="0072758C">
        <w:rPr>
          <w:i/>
          <w:iCs/>
          <w:lang w:val="en-AU"/>
        </w:rPr>
        <w:t xml:space="preserve"> </w:t>
      </w:r>
      <w:r w:rsidRPr="0072758C">
        <w:rPr>
          <w:lang w:val="en-AU"/>
        </w:rPr>
        <w:t>ed. I. Gafni, A. Oppenheimer and D. Schwartz</w:t>
      </w:r>
      <w:r w:rsidR="00610AA6" w:rsidRPr="0072758C">
        <w:rPr>
          <w:lang w:val="en-AU"/>
        </w:rPr>
        <w:t xml:space="preserve"> (</w:t>
      </w:r>
      <w:r w:rsidRPr="0072758C">
        <w:rPr>
          <w:lang w:val="en-AU"/>
        </w:rPr>
        <w:t>Jerusalem: Historical Society of Israel, 1996)</w:t>
      </w:r>
      <w:r w:rsidR="00F013F4" w:rsidRPr="0072758C">
        <w:rPr>
          <w:lang w:val="en-AU"/>
        </w:rPr>
        <w:t>,</w:t>
      </w:r>
      <w:r w:rsidRPr="0072758C">
        <w:rPr>
          <w:lang w:val="en-AU"/>
        </w:rPr>
        <w:t xml:space="preserve"> 393–412.</w:t>
      </w:r>
    </w:p>
  </w:footnote>
  <w:footnote w:id="119">
    <w:p w14:paraId="783604F7" w14:textId="77777777" w:rsidR="005C18F8" w:rsidRPr="0072758C" w:rsidRDefault="005C18F8" w:rsidP="00EF3273">
      <w:pPr>
        <w:pStyle w:val="EndnoteText"/>
        <w:rPr>
          <w:lang w:val="en-AU"/>
        </w:rPr>
      </w:pPr>
    </w:p>
    <w:p w14:paraId="4B697DA1" w14:textId="00928399" w:rsidR="005C18F8" w:rsidRPr="0072758C" w:rsidRDefault="005C18F8" w:rsidP="00EF3273">
      <w:pPr>
        <w:pStyle w:val="EndnoteText"/>
        <w:ind w:firstLine="720"/>
        <w:rPr>
          <w:iCs/>
          <w:lang w:val="en-AU"/>
        </w:rPr>
      </w:pPr>
      <w:r w:rsidRPr="0072758C">
        <w:rPr>
          <w:rStyle w:val="FootnoteReference"/>
          <w:lang w:val="en-AU"/>
        </w:rPr>
        <w:footnoteRef/>
      </w:r>
      <w:r w:rsidRPr="0072758C">
        <w:rPr>
          <w:lang w:val="en-AU"/>
        </w:rPr>
        <w:t xml:space="preserve"> Eisenman and Wise, </w:t>
      </w:r>
      <w:r w:rsidRPr="0072758C">
        <w:rPr>
          <w:i/>
          <w:iCs/>
          <w:lang w:val="en-AU"/>
        </w:rPr>
        <w:t xml:space="preserve">The Dead Sea Scrolls Uncovered, </w:t>
      </w:r>
      <w:r w:rsidRPr="0072758C">
        <w:rPr>
          <w:iCs/>
          <w:lang w:val="en-AU"/>
        </w:rPr>
        <w:t>75.</w:t>
      </w:r>
    </w:p>
  </w:footnote>
  <w:footnote w:id="120">
    <w:p w14:paraId="290553BE" w14:textId="77777777" w:rsidR="005C18F8" w:rsidRPr="0072758C" w:rsidRDefault="005C18F8" w:rsidP="00EF3273">
      <w:pPr>
        <w:pStyle w:val="EndnoteText"/>
        <w:rPr>
          <w:lang w:val="en-AU"/>
        </w:rPr>
      </w:pPr>
    </w:p>
    <w:p w14:paraId="3C8C803D" w14:textId="4E0AEE2D" w:rsidR="00027604" w:rsidRPr="0072758C" w:rsidRDefault="005C18F8" w:rsidP="00814756">
      <w:pPr>
        <w:pStyle w:val="EndnoteText"/>
        <w:ind w:firstLine="720"/>
        <w:rPr>
          <w:lang w:val="en-AU"/>
        </w:rPr>
      </w:pPr>
      <w:r w:rsidRPr="0072758C">
        <w:rPr>
          <w:rStyle w:val="FootnoteReference"/>
          <w:lang w:val="en-AU"/>
        </w:rPr>
        <w:footnoteRef/>
      </w:r>
      <w:r w:rsidRPr="0072758C">
        <w:rPr>
          <w:lang w:val="en-AU"/>
        </w:rPr>
        <w:t xml:space="preserve"> </w:t>
      </w:r>
      <w:r w:rsidR="00027604" w:rsidRPr="0072758C">
        <w:rPr>
          <w:lang w:val="en-AU"/>
        </w:rPr>
        <w:t xml:space="preserve">Eisenman and Wise, </w:t>
      </w:r>
      <w:r w:rsidR="00027604" w:rsidRPr="0072758C">
        <w:rPr>
          <w:i/>
          <w:iCs/>
          <w:lang w:val="en-AU"/>
        </w:rPr>
        <w:t xml:space="preserve">The Dead Sea Scrolls Uncovered, </w:t>
      </w:r>
      <w:r w:rsidR="00027604" w:rsidRPr="0072758C">
        <w:rPr>
          <w:iCs/>
          <w:lang w:val="en-AU"/>
        </w:rPr>
        <w:t xml:space="preserve">75; </w:t>
      </w:r>
      <w:r w:rsidR="00027604" w:rsidRPr="0072758C">
        <w:rPr>
          <w:lang w:val="en-AU"/>
        </w:rPr>
        <w:t>Maxine L. Grossman, “Community Rule or Community Rules: Examining a Supplementary Approach in Light of the Sectarian Dead Sea Scrolls,”</w:t>
      </w:r>
      <w:r w:rsidR="00814756" w:rsidRPr="0072758C">
        <w:rPr>
          <w:lang w:val="en-AU"/>
        </w:rPr>
        <w:t xml:space="preserve"> in </w:t>
      </w:r>
      <w:r w:rsidR="00814756" w:rsidRPr="0072758C">
        <w:rPr>
          <w:i/>
          <w:iCs/>
          <w:lang w:val="en-AU"/>
        </w:rPr>
        <w:t>Empirical Models Challenging Biblical Criticism</w:t>
      </w:r>
      <w:r w:rsidR="00814756" w:rsidRPr="0072758C">
        <w:rPr>
          <w:lang w:val="en-AU"/>
        </w:rPr>
        <w:t>, (Atlanta: SBL Press, 2016), 303-30.</w:t>
      </w:r>
    </w:p>
  </w:footnote>
  <w:footnote w:id="121">
    <w:p w14:paraId="2BDA8492" w14:textId="77777777" w:rsidR="005C18F8" w:rsidRPr="0072758C" w:rsidRDefault="005C18F8" w:rsidP="00EF3273">
      <w:pPr>
        <w:pStyle w:val="EndnoteText"/>
        <w:rPr>
          <w:lang w:val="en-AU"/>
        </w:rPr>
      </w:pPr>
      <w:r w:rsidRPr="0072758C">
        <w:rPr>
          <w:lang w:val="en-AU"/>
        </w:rPr>
        <w:tab/>
      </w:r>
    </w:p>
    <w:p w14:paraId="791CA210" w14:textId="0FC415EB"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Alex Jassen, “The Dead Sea Scrolls and Violence: Sectarian Formation and Eschatological Imagination,” </w:t>
      </w:r>
      <w:r w:rsidRPr="0072758C">
        <w:rPr>
          <w:i/>
          <w:iCs/>
          <w:lang w:val="en-AU"/>
        </w:rPr>
        <w:t>Biblical Interpretation</w:t>
      </w:r>
      <w:r w:rsidRPr="0072758C">
        <w:rPr>
          <w:lang w:val="en-AU"/>
        </w:rPr>
        <w:t xml:space="preserve"> (2009): 13</w:t>
      </w:r>
      <w:r w:rsidR="00A316F9" w:rsidRPr="0072758C">
        <w:rPr>
          <w:lang w:val="en-AU"/>
        </w:rPr>
        <w:t>; Jonas Machado, “Qumran e as Identidades Plurais No Judaísmo Antigo</w:t>
      </w:r>
      <w:r w:rsidR="00F013F4" w:rsidRPr="0072758C">
        <w:rPr>
          <w:lang w:val="en-AU"/>
        </w:rPr>
        <w:t>,</w:t>
      </w:r>
      <w:r w:rsidR="00A316F9" w:rsidRPr="0072758C">
        <w:rPr>
          <w:lang w:val="en-AU"/>
        </w:rPr>
        <w:t>” </w:t>
      </w:r>
      <w:r w:rsidR="00A316F9" w:rsidRPr="0072758C">
        <w:rPr>
          <w:i/>
          <w:iCs/>
          <w:lang w:val="en-AU"/>
        </w:rPr>
        <w:t>Estudos de Religião</w:t>
      </w:r>
      <w:r w:rsidR="00A316F9" w:rsidRPr="0072758C">
        <w:rPr>
          <w:lang w:val="en-AU"/>
        </w:rPr>
        <w:t> 34</w:t>
      </w:r>
      <w:r w:rsidR="00DE73F6" w:rsidRPr="0072758C">
        <w:rPr>
          <w:lang w:val="en-AU"/>
        </w:rPr>
        <w:t xml:space="preserve"> </w:t>
      </w:r>
      <w:r w:rsidR="00A316F9" w:rsidRPr="0072758C">
        <w:rPr>
          <w:lang w:val="en-AU"/>
        </w:rPr>
        <w:t>(2020): 105–29.</w:t>
      </w:r>
    </w:p>
  </w:footnote>
  <w:footnote w:id="122">
    <w:p w14:paraId="5A823586" w14:textId="77777777" w:rsidR="005C18F8" w:rsidRPr="0072758C" w:rsidRDefault="005C18F8" w:rsidP="00EF3273">
      <w:pPr>
        <w:pStyle w:val="EndnoteText"/>
        <w:rPr>
          <w:lang w:val="en-AU"/>
        </w:rPr>
      </w:pPr>
    </w:p>
    <w:p w14:paraId="504C3D4E" w14:textId="373B984F"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Bruce McComiskey, “Laws, Works, and the End of Days: Rhetorics of Identification, Distinction, and Persuasion in Dead Sea Scroll 4QMMT,” </w:t>
      </w:r>
      <w:r w:rsidRPr="0072758C">
        <w:rPr>
          <w:i/>
          <w:iCs/>
          <w:lang w:val="en-AU"/>
        </w:rPr>
        <w:t>Rhetoric Review</w:t>
      </w:r>
      <w:r w:rsidRPr="0072758C">
        <w:rPr>
          <w:lang w:val="en-AU"/>
        </w:rPr>
        <w:t xml:space="preserve"> 29 (2010)</w:t>
      </w:r>
      <w:r w:rsidR="00904284" w:rsidRPr="0072758C">
        <w:rPr>
          <w:lang w:val="en-AU"/>
        </w:rPr>
        <w:t>:</w:t>
      </w:r>
      <w:r w:rsidRPr="0072758C">
        <w:rPr>
          <w:lang w:val="en-AU"/>
        </w:rPr>
        <w:t xml:space="preserve"> 225.</w:t>
      </w:r>
    </w:p>
    <w:p w14:paraId="17D8BB32" w14:textId="77777777" w:rsidR="005C18F8" w:rsidRPr="0072758C" w:rsidRDefault="005C18F8" w:rsidP="00EF3273">
      <w:pPr>
        <w:pStyle w:val="EndnoteText"/>
        <w:rPr>
          <w:lang w:val="en-AU"/>
        </w:rPr>
      </w:pPr>
    </w:p>
  </w:footnote>
  <w:footnote w:id="123">
    <w:p w14:paraId="7092292E" w14:textId="73C518E7" w:rsidR="005C18F8" w:rsidRPr="0072758C" w:rsidRDefault="005C18F8" w:rsidP="004D43FD">
      <w:pPr>
        <w:pStyle w:val="EndnoteText"/>
        <w:ind w:firstLine="720"/>
        <w:rPr>
          <w:lang w:val="en-AU"/>
        </w:rPr>
      </w:pPr>
      <w:r w:rsidRPr="0072758C">
        <w:rPr>
          <w:rStyle w:val="FootnoteReference"/>
          <w:lang w:val="en-AU"/>
        </w:rPr>
        <w:footnoteRef/>
      </w:r>
      <w:r w:rsidRPr="0072758C">
        <w:rPr>
          <w:lang w:val="en-AU"/>
        </w:rPr>
        <w:t xml:space="preserve"> For more information on the early hypothesis about the Qumran-Essene community that originated after the discovery of the Dead Sea Scrolls see Eleazar Lipa Sukenik</w:t>
      </w:r>
      <w:r w:rsidR="00004C25" w:rsidRPr="0072758C">
        <w:rPr>
          <w:lang w:val="en-AU"/>
        </w:rPr>
        <w:t>, e</w:t>
      </w:r>
      <w:r w:rsidRPr="0072758C">
        <w:rPr>
          <w:lang w:val="en-AU"/>
        </w:rPr>
        <w:t>d., </w:t>
      </w:r>
      <w:r w:rsidRPr="0072758C">
        <w:rPr>
          <w:i/>
          <w:iCs/>
          <w:lang w:val="en-AU"/>
        </w:rPr>
        <w:t xml:space="preserve">The Dead Sea Scrolls </w:t>
      </w:r>
      <w:r w:rsidR="00004C25" w:rsidRPr="0072758C">
        <w:rPr>
          <w:i/>
          <w:iCs/>
          <w:lang w:val="en-AU"/>
        </w:rPr>
        <w:t>of</w:t>
      </w:r>
      <w:r w:rsidRPr="0072758C">
        <w:rPr>
          <w:i/>
          <w:iCs/>
          <w:lang w:val="en-AU"/>
        </w:rPr>
        <w:t xml:space="preserve"> The Hebrew University </w:t>
      </w:r>
      <w:r w:rsidRPr="0072758C">
        <w:rPr>
          <w:lang w:val="en-AU"/>
        </w:rPr>
        <w:t xml:space="preserve">(Jerusalem: The Magnes Press of the Hebrew University, 1955). Josephus identifies the Essenes in </w:t>
      </w:r>
      <w:r w:rsidR="00004C25" w:rsidRPr="0072758C">
        <w:rPr>
          <w:i/>
          <w:iCs/>
          <w:lang w:val="en-AU"/>
        </w:rPr>
        <w:t xml:space="preserve">The </w:t>
      </w:r>
      <w:r w:rsidRPr="0072758C">
        <w:rPr>
          <w:i/>
          <w:iCs/>
          <w:lang w:val="en-AU"/>
        </w:rPr>
        <w:t>Life</w:t>
      </w:r>
      <w:r w:rsidR="00004C25" w:rsidRPr="0072758C">
        <w:rPr>
          <w:i/>
          <w:iCs/>
          <w:lang w:val="en-AU"/>
        </w:rPr>
        <w:t>; Against Apion</w:t>
      </w:r>
      <w:r w:rsidRPr="0072758C">
        <w:rPr>
          <w:lang w:val="en-AU"/>
        </w:rPr>
        <w:t>, 10–12; BJ 1.78–80, 2.113, 2.119–61, 2.56</w:t>
      </w:r>
      <w:r w:rsidR="004D43FD" w:rsidRPr="0072758C">
        <w:rPr>
          <w:lang w:val="en-AU"/>
        </w:rPr>
        <w:t xml:space="preserve">, </w:t>
      </w:r>
      <w:r w:rsidRPr="0072758C">
        <w:rPr>
          <w:lang w:val="en-AU"/>
        </w:rPr>
        <w:t>3.11, 5.145; AJ 13.171–72, 15.371–79, 18.18–22.</w:t>
      </w:r>
    </w:p>
  </w:footnote>
  <w:footnote w:id="124">
    <w:p w14:paraId="3242B682" w14:textId="77777777" w:rsidR="005C18F8" w:rsidRPr="0072758C" w:rsidRDefault="005C18F8" w:rsidP="00EF3273">
      <w:pPr>
        <w:pStyle w:val="EndnoteText"/>
        <w:rPr>
          <w:lang w:val="en-AU"/>
        </w:rPr>
      </w:pPr>
    </w:p>
    <w:p w14:paraId="492DD39E" w14:textId="0FD3C3BC" w:rsidR="009162D5"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w:t>
      </w:r>
      <w:r w:rsidR="00DD5A8B" w:rsidRPr="0072758C">
        <w:rPr>
          <w:lang w:val="en-AU"/>
        </w:rPr>
        <w:t>McComiskey</w:t>
      </w:r>
      <w:r w:rsidRPr="0072758C">
        <w:rPr>
          <w:lang w:val="en-AU"/>
        </w:rPr>
        <w:t>, 223</w:t>
      </w:r>
      <w:r w:rsidR="00E13425" w:rsidRPr="0072758C">
        <w:rPr>
          <w:lang w:val="en-AU"/>
        </w:rPr>
        <w:t>; George J Brooke, “Patterns of Priesthood, Priestliness and Priestly Functions in Some Second Temple Period Texts</w:t>
      </w:r>
      <w:r w:rsidR="00034672" w:rsidRPr="0072758C">
        <w:rPr>
          <w:lang w:val="en-AU"/>
        </w:rPr>
        <w:t>,</w:t>
      </w:r>
      <w:r w:rsidR="00E13425" w:rsidRPr="0072758C">
        <w:rPr>
          <w:lang w:val="en-AU"/>
        </w:rPr>
        <w:t>” </w:t>
      </w:r>
      <w:r w:rsidR="00E13425" w:rsidRPr="0072758C">
        <w:rPr>
          <w:i/>
          <w:iCs/>
          <w:lang w:val="en-AU"/>
        </w:rPr>
        <w:t>Judaïsme Ancien</w:t>
      </w:r>
      <w:r w:rsidR="00E13425" w:rsidRPr="0072758C">
        <w:rPr>
          <w:lang w:val="en-AU"/>
        </w:rPr>
        <w:t> 4 (2016): 1–21</w:t>
      </w:r>
      <w:r w:rsidR="009162D5" w:rsidRPr="0072758C">
        <w:rPr>
          <w:lang w:val="en-AU"/>
        </w:rPr>
        <w:t>; A. Sgonnova, “Messiah, King, Prophet: Priestly Ideology in the Jewish War by Josephus Flavius and in Intertestamental Literature</w:t>
      </w:r>
      <w:r w:rsidR="00034672" w:rsidRPr="0072758C">
        <w:rPr>
          <w:lang w:val="en-AU"/>
        </w:rPr>
        <w:t>,</w:t>
      </w:r>
      <w:r w:rsidR="009162D5" w:rsidRPr="0072758C">
        <w:rPr>
          <w:lang w:val="en-AU"/>
        </w:rPr>
        <w:t>” </w:t>
      </w:r>
      <w:r w:rsidR="009162D5" w:rsidRPr="0072758C">
        <w:rPr>
          <w:i/>
          <w:iCs/>
          <w:lang w:val="en-AU"/>
        </w:rPr>
        <w:t>Vestnik Pravoslavnogo Sviato-Tikhonovskogo Gumanitarnogo Universiteta, Seria I. Bogoslovie, Filosofia, Religiovedenie</w:t>
      </w:r>
      <w:r w:rsidR="009162D5" w:rsidRPr="0072758C">
        <w:rPr>
          <w:lang w:val="en-AU"/>
        </w:rPr>
        <w:t>, (2019)</w:t>
      </w:r>
      <w:r w:rsidR="00DE73F6" w:rsidRPr="0072758C">
        <w:rPr>
          <w:lang w:val="en-AU"/>
        </w:rPr>
        <w:t xml:space="preserve">: </w:t>
      </w:r>
      <w:r w:rsidR="009162D5" w:rsidRPr="0072758C">
        <w:rPr>
          <w:lang w:val="en-AU"/>
        </w:rPr>
        <w:t>105–18.</w:t>
      </w:r>
    </w:p>
  </w:footnote>
  <w:footnote w:id="125">
    <w:p w14:paraId="41AFB5EB" w14:textId="77777777" w:rsidR="005C18F8" w:rsidRPr="0072758C" w:rsidRDefault="005C18F8" w:rsidP="00EF3273">
      <w:pPr>
        <w:pStyle w:val="EndnoteText"/>
        <w:rPr>
          <w:lang w:val="en-AU"/>
        </w:rPr>
      </w:pPr>
    </w:p>
    <w:p w14:paraId="4D480B4D" w14:textId="0330331E" w:rsidR="00DD5A8B" w:rsidRPr="0072758C" w:rsidRDefault="005C18F8" w:rsidP="0058535C">
      <w:pPr>
        <w:pStyle w:val="EndnoteText"/>
        <w:ind w:firstLine="720"/>
        <w:rPr>
          <w:lang w:val="en-AU"/>
        </w:rPr>
      </w:pPr>
      <w:r w:rsidRPr="0072758C">
        <w:rPr>
          <w:rStyle w:val="FootnoteReference"/>
          <w:lang w:val="en-AU"/>
        </w:rPr>
        <w:footnoteRef/>
      </w:r>
      <w:r w:rsidRPr="0072758C">
        <w:rPr>
          <w:lang w:val="en-AU"/>
        </w:rPr>
        <w:t xml:space="preserve"> Jassen, “The Dead Sea Scrolls and Violence</w:t>
      </w:r>
      <w:r w:rsidR="0014355D" w:rsidRPr="0072758C">
        <w:rPr>
          <w:lang w:val="en-AU"/>
        </w:rPr>
        <w:t xml:space="preserve">: Sectarian Formation and Eschatological Imagination,” </w:t>
      </w:r>
      <w:r w:rsidR="0014355D" w:rsidRPr="0072758C">
        <w:rPr>
          <w:i/>
          <w:iCs/>
          <w:lang w:val="en-AU"/>
        </w:rPr>
        <w:t>Biblical Interpretation</w:t>
      </w:r>
      <w:r w:rsidR="0014355D" w:rsidRPr="0072758C">
        <w:rPr>
          <w:lang w:val="en-AU"/>
        </w:rPr>
        <w:t xml:space="preserve"> 17 (2009): </w:t>
      </w:r>
      <w:r w:rsidRPr="0072758C">
        <w:rPr>
          <w:lang w:val="en-AU"/>
        </w:rPr>
        <w:t>12</w:t>
      </w:r>
      <w:r w:rsidR="00E4512E" w:rsidRPr="0072758C">
        <w:rPr>
          <w:lang w:val="en-AU"/>
        </w:rPr>
        <w:t>.</w:t>
      </w:r>
    </w:p>
    <w:p w14:paraId="759E682A" w14:textId="77777777" w:rsidR="005C18F8" w:rsidRPr="0072758C" w:rsidRDefault="005C18F8" w:rsidP="00EF3273">
      <w:pPr>
        <w:pStyle w:val="EndnoteText"/>
        <w:rPr>
          <w:lang w:val="en-AU"/>
        </w:rPr>
      </w:pPr>
    </w:p>
  </w:footnote>
  <w:footnote w:id="126">
    <w:p w14:paraId="4101C638" w14:textId="4E8BD6BE" w:rsidR="002B6C5C"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Schofield and Vanderkam, “Were the Hasmoneans Zadokites</w:t>
      </w:r>
      <w:r w:rsidR="00034672" w:rsidRPr="0072758C">
        <w:rPr>
          <w:lang w:val="en-AU"/>
        </w:rPr>
        <w:t>,</w:t>
      </w:r>
      <w:r w:rsidRPr="0072758C">
        <w:rPr>
          <w:lang w:val="en-AU"/>
        </w:rPr>
        <w:t>” 80.</w:t>
      </w:r>
      <w:r w:rsidR="00A820C0" w:rsidRPr="0072758C">
        <w:rPr>
          <w:lang w:val="en-AU"/>
        </w:rPr>
        <w:t xml:space="preserve"> This is supported by Regev in that </w:t>
      </w:r>
      <w:r w:rsidR="002B6C5C" w:rsidRPr="0072758C">
        <w:rPr>
          <w:lang w:val="en-AU"/>
        </w:rPr>
        <w:t>Qumranmic literature departs from Sadducean halakha, see Eyal Regev, “Were All Priests the Same? Qumranic Halakhah in Comparison with Sadducean Halakhah</w:t>
      </w:r>
      <w:r w:rsidR="00DA35CD" w:rsidRPr="0072758C">
        <w:rPr>
          <w:lang w:val="en-AU"/>
        </w:rPr>
        <w:t>,</w:t>
      </w:r>
      <w:r w:rsidR="002B6C5C" w:rsidRPr="0072758C">
        <w:rPr>
          <w:lang w:val="en-AU"/>
        </w:rPr>
        <w:t>” </w:t>
      </w:r>
      <w:r w:rsidR="002B6C5C" w:rsidRPr="0072758C">
        <w:rPr>
          <w:i/>
          <w:iCs/>
          <w:lang w:val="en-AU"/>
        </w:rPr>
        <w:t>Dead Sea Discoveries</w:t>
      </w:r>
      <w:r w:rsidR="002B6C5C" w:rsidRPr="0072758C">
        <w:rPr>
          <w:lang w:val="en-AU"/>
        </w:rPr>
        <w:t> 12 (2005): 158–88.</w:t>
      </w:r>
    </w:p>
  </w:footnote>
  <w:footnote w:id="127">
    <w:p w14:paraId="30FA782B" w14:textId="77777777" w:rsidR="005C18F8" w:rsidRPr="0072758C" w:rsidRDefault="005C18F8" w:rsidP="00EF3273">
      <w:pPr>
        <w:pStyle w:val="EndnoteText"/>
        <w:rPr>
          <w:lang w:val="en-AU"/>
        </w:rPr>
      </w:pPr>
    </w:p>
    <w:p w14:paraId="13E0E064" w14:textId="3FCAF483"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&lt;EndNote&gt;&lt;Cite&gt;&lt;Author&gt;Hanan&lt;/Author&gt;&lt;Year&gt;2008&lt;/Year&gt;&lt;RecNum&gt;8&lt;/RecNum&gt;&lt;Pages&gt;42&lt;/Pages&gt;&lt;DisplayText&gt;Eshel Hanan, &lt;style face="italic"&gt;The Dead Sea Scrolls and the Hasmonean State&lt;/style&gt;  (Grand Rapids: Eerdmans, 2008). 42.&lt;/DisplayText&gt;&lt;record&gt;&lt;rec-number&gt;8&lt;/rec-number&gt;&lt;foreign-keys&gt;&lt;key app="EN" db-id="sd929rvz0dxdw6e92dp59txp9z2xdtp2dd0p"&gt;8&lt;/key&gt;&lt;/foreign-keys&gt;&lt;ref-type name="Book"&gt;6&lt;/ref-type&gt;&lt;contributors&gt;&lt;authors&gt;&lt;author&gt;Hanan, Eshel&lt;/author&gt;&lt;/authors&gt;&lt;/contributors&gt;&lt;titles&gt;&lt;title&gt;The Dead Sea Scrolls and the Hasmonean State&lt;/title&gt;&lt;/titles&gt;&lt;dates&gt;&lt;year&gt;2008&lt;/year&gt;&lt;/dates&gt;&lt;pub-location&gt;Grand Rapids&lt;/pub-location&gt;&lt;publisher&gt;Eerdmans&lt;/publisher&gt;&lt;urls&gt;&lt;/urls&gt;&lt;/record&gt;&lt;/Cite&gt;&lt;/EndNote&gt;</w:instrText>
      </w:r>
      <w:r w:rsidRPr="0072758C">
        <w:rPr>
          <w:lang w:val="en-AU"/>
        </w:rPr>
        <w:fldChar w:fldCharType="separate"/>
      </w:r>
      <w:r w:rsidRPr="0072758C">
        <w:rPr>
          <w:lang w:val="en-AU"/>
        </w:rPr>
        <w:t xml:space="preserve">Eshel Hanan, </w:t>
      </w:r>
      <w:r w:rsidRPr="0072758C">
        <w:rPr>
          <w:i/>
          <w:lang w:val="en-AU"/>
        </w:rPr>
        <w:t>The Dead Sea Scrolls and the Hasmonean State</w:t>
      </w:r>
      <w:r w:rsidRPr="0072758C">
        <w:rPr>
          <w:lang w:val="en-AU"/>
        </w:rPr>
        <w:t xml:space="preserve"> (Grand Rapids: Eerdmans, 2008), 42.</w:t>
      </w:r>
      <w:r w:rsidRPr="0072758C">
        <w:rPr>
          <w:lang w:val="en-AU"/>
        </w:rPr>
        <w:fldChar w:fldCharType="end"/>
      </w:r>
      <w:r w:rsidR="005D2578" w:rsidRPr="0072758C">
        <w:rPr>
          <w:lang w:val="en-AU"/>
        </w:rPr>
        <w:t xml:space="preserve"> The identity of the Wicked Priest as Jonathan is supported by Hans Burgmann</w:t>
      </w:r>
      <w:r w:rsidR="0014355D" w:rsidRPr="0072758C">
        <w:rPr>
          <w:lang w:val="en-AU"/>
        </w:rPr>
        <w:t>.</w:t>
      </w:r>
      <w:r w:rsidR="005D2578" w:rsidRPr="0072758C">
        <w:rPr>
          <w:lang w:val="en-AU"/>
        </w:rPr>
        <w:t xml:space="preserve"> </w:t>
      </w:r>
      <w:r w:rsidR="0014355D" w:rsidRPr="0072758C">
        <w:rPr>
          <w:lang w:val="en-AU"/>
        </w:rPr>
        <w:t xml:space="preserve"> S</w:t>
      </w:r>
      <w:r w:rsidR="005D2578" w:rsidRPr="0072758C">
        <w:rPr>
          <w:lang w:val="en-AU"/>
        </w:rPr>
        <w:t xml:space="preserve">ee Hans Burgmann, “Who Was the </w:t>
      </w:r>
      <w:r w:rsidR="00DA35CD" w:rsidRPr="0072758C">
        <w:rPr>
          <w:lang w:val="en-AU"/>
        </w:rPr>
        <w:t>‘</w:t>
      </w:r>
      <w:r w:rsidR="005D2578" w:rsidRPr="0072758C">
        <w:rPr>
          <w:lang w:val="en-AU"/>
        </w:rPr>
        <w:t>Wicked Priest</w:t>
      </w:r>
      <w:r w:rsidR="00034672" w:rsidRPr="0072758C">
        <w:rPr>
          <w:lang w:val="en-AU"/>
        </w:rPr>
        <w:t>,</w:t>
      </w:r>
      <w:r w:rsidR="005D2578" w:rsidRPr="0072758C">
        <w:rPr>
          <w:lang w:val="en-AU"/>
        </w:rPr>
        <w:t>” </w:t>
      </w:r>
      <w:r w:rsidR="005D2578" w:rsidRPr="0072758C">
        <w:rPr>
          <w:i/>
          <w:iCs/>
          <w:lang w:val="en-AU"/>
        </w:rPr>
        <w:t>Folia Orientalia</w:t>
      </w:r>
      <w:r w:rsidR="005D2578" w:rsidRPr="0072758C">
        <w:rPr>
          <w:lang w:val="en-AU"/>
        </w:rPr>
        <w:t> 25 (1988): 41–44.</w:t>
      </w:r>
    </w:p>
  </w:footnote>
  <w:footnote w:id="128">
    <w:p w14:paraId="350D1CD8" w14:textId="77777777" w:rsidR="005C18F8" w:rsidRPr="0072758C" w:rsidRDefault="005C18F8" w:rsidP="00EF3273">
      <w:pPr>
        <w:pStyle w:val="EndnoteText"/>
        <w:rPr>
          <w:lang w:val="en-AU"/>
        </w:rPr>
      </w:pPr>
    </w:p>
    <w:p w14:paraId="53184D01" w14:textId="28925F57"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&lt;EndNote&gt;&lt;Cite&gt;&lt;Author&gt;Taylor&lt;/Author&gt;&lt;Year&gt;2012&lt;/Year&gt;&lt;RecNum&gt;7&lt;/RecNum&gt;&lt;Pages&gt;341&lt;/Pages&gt;&lt;DisplayText&gt;Taylor, &lt;style face="italic"&gt;The Essenes, the Scrolls, and the Dead Sea&lt;/style&gt;: 341.&lt;/DisplayText&gt;&lt;record&gt;&lt;rec-number&gt;7&lt;/rec-number&gt;&lt;foreign-keys&gt;&lt;key app="EN" db-id="sd929rvz0dxdw6e92dp59txp9z2xdtp2dd0p"&gt;7&lt;/key&gt;&lt;/foreign-keys&gt;&lt;ref-type name="Book"&gt;6&lt;/ref-type&gt;&lt;contributors&gt;&lt;authors&gt;&lt;author&gt;Taylor, Joan&lt;/author&gt;&lt;/authors&gt;&lt;/contributors&gt;&lt;titles&gt;&lt;title&gt;The Essenes, the Scrolls, and the Dead Sea&lt;/title&gt;&lt;/titles&gt;&lt;section&gt;418&lt;/section&gt;&lt;dates&gt;&lt;year&gt;2012&lt;/year&gt;&lt;/dates&gt;&lt;pub-location&gt;Oxford&lt;/pub-location&gt;&lt;publisher&gt;Oxford University Press&lt;/publisher&gt;&lt;urls&gt;&lt;/urls&gt;&lt;/record&gt;&lt;/Cite&gt;&lt;/EndNote&gt;</w:instrText>
      </w:r>
      <w:r w:rsidRPr="0072758C">
        <w:rPr>
          <w:lang w:val="en-AU"/>
        </w:rPr>
        <w:fldChar w:fldCharType="separate"/>
      </w:r>
      <w:r w:rsidRPr="0072758C">
        <w:rPr>
          <w:lang w:val="en-AU"/>
        </w:rPr>
        <w:t xml:space="preserve">Taylor, </w:t>
      </w:r>
      <w:r w:rsidRPr="0072758C">
        <w:rPr>
          <w:i/>
          <w:lang w:val="en-AU"/>
        </w:rPr>
        <w:t>The Essenes, the Scrolls, and the Dead Sea</w:t>
      </w:r>
      <w:r w:rsidRPr="0072758C">
        <w:rPr>
          <w:lang w:val="en-AU"/>
        </w:rPr>
        <w:t>, 341.</w:t>
      </w:r>
      <w:r w:rsidRPr="0072758C">
        <w:rPr>
          <w:lang w:val="en-AU"/>
        </w:rPr>
        <w:fldChar w:fldCharType="end"/>
      </w:r>
      <w:r w:rsidR="00034672" w:rsidRPr="0072758C">
        <w:rPr>
          <w:lang w:val="en-AU"/>
        </w:rPr>
        <w:t xml:space="preserve"> See also Spencer</w:t>
      </w:r>
      <w:r w:rsidR="00293716" w:rsidRPr="0072758C">
        <w:rPr>
          <w:rFonts w:ascii="Helvetica" w:hAnsi="Helvetica"/>
          <w:color w:val="595959"/>
          <w:shd w:val="clear" w:color="auto" w:fill="F5F5F5"/>
          <w:lang w:val="en-AU"/>
        </w:rPr>
        <w:t xml:space="preserve"> </w:t>
      </w:r>
      <w:r w:rsidR="00293716" w:rsidRPr="0072758C">
        <w:rPr>
          <w:lang w:val="en-AU"/>
        </w:rPr>
        <w:t>Harrington, “Vegetarian Essenes</w:t>
      </w:r>
      <w:r w:rsidR="00034672" w:rsidRPr="0072758C">
        <w:rPr>
          <w:lang w:val="en-AU"/>
        </w:rPr>
        <w:t>,</w:t>
      </w:r>
      <w:r w:rsidR="00293716" w:rsidRPr="0072758C">
        <w:rPr>
          <w:lang w:val="en-AU"/>
        </w:rPr>
        <w:t>” </w:t>
      </w:r>
      <w:r w:rsidR="00293716" w:rsidRPr="0072758C">
        <w:rPr>
          <w:i/>
          <w:iCs/>
          <w:lang w:val="en-AU"/>
        </w:rPr>
        <w:t>Archaeology</w:t>
      </w:r>
      <w:r w:rsidR="00293716" w:rsidRPr="0072758C">
        <w:rPr>
          <w:lang w:val="en-AU"/>
        </w:rPr>
        <w:t> 52 (1999): 30.</w:t>
      </w:r>
    </w:p>
  </w:footnote>
  <w:footnote w:id="129">
    <w:p w14:paraId="664F0497" w14:textId="77777777" w:rsidR="005C18F8" w:rsidRPr="0072758C" w:rsidRDefault="005C18F8" w:rsidP="00EF3273">
      <w:pPr>
        <w:pStyle w:val="EndnoteText"/>
        <w:rPr>
          <w:lang w:val="en-AU"/>
        </w:rPr>
      </w:pPr>
    </w:p>
    <w:p w14:paraId="006FFDE9" w14:textId="4B2800A3"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Jassen, “The Dead Sea Scrolls and Violence,” 9.</w:t>
      </w:r>
      <w:r w:rsidR="00584167" w:rsidRPr="0072758C">
        <w:rPr>
          <w:lang w:val="en-AU"/>
        </w:rPr>
        <w:t xml:space="preserve"> Scholarship indicates that it is premature to confirm that pacifism was part of the community of Essenes based on Philo and Eusebius, see Cecil Roth</w:t>
      </w:r>
      <w:r w:rsidR="00034672" w:rsidRPr="0072758C">
        <w:rPr>
          <w:lang w:val="en-AU"/>
        </w:rPr>
        <w:t xml:space="preserve">, </w:t>
      </w:r>
      <w:r w:rsidR="00584167" w:rsidRPr="0072758C">
        <w:rPr>
          <w:lang w:val="en-AU"/>
        </w:rPr>
        <w:t>“Qumran and Masadah: A Final Clarification Regarding the Dead Sea Sect</w:t>
      </w:r>
      <w:r w:rsidR="00034672" w:rsidRPr="0072758C">
        <w:rPr>
          <w:lang w:val="en-AU"/>
        </w:rPr>
        <w:t>,</w:t>
      </w:r>
      <w:r w:rsidR="00584167" w:rsidRPr="0072758C">
        <w:rPr>
          <w:lang w:val="en-AU"/>
        </w:rPr>
        <w:t>” </w:t>
      </w:r>
      <w:r w:rsidR="00584167" w:rsidRPr="0072758C">
        <w:rPr>
          <w:i/>
          <w:iCs/>
          <w:lang w:val="en-AU"/>
        </w:rPr>
        <w:t>Revue de Qumrân</w:t>
      </w:r>
      <w:r w:rsidR="00584167" w:rsidRPr="0072758C">
        <w:rPr>
          <w:lang w:val="en-AU"/>
        </w:rPr>
        <w:t> 5</w:t>
      </w:r>
      <w:r w:rsidR="00DE73F6" w:rsidRPr="0072758C">
        <w:rPr>
          <w:lang w:val="en-AU"/>
        </w:rPr>
        <w:t xml:space="preserve"> </w:t>
      </w:r>
      <w:r w:rsidR="00584167" w:rsidRPr="0072758C">
        <w:rPr>
          <w:lang w:val="en-AU"/>
        </w:rPr>
        <w:t xml:space="preserve">(1964): 81–87. </w:t>
      </w:r>
      <w:r w:rsidR="00BD7FBE" w:rsidRPr="0072758C">
        <w:rPr>
          <w:lang w:val="en-AU"/>
        </w:rPr>
        <w:t>Batsch</w:t>
      </w:r>
      <w:r w:rsidR="00B23E4E" w:rsidRPr="0072758C">
        <w:rPr>
          <w:lang w:val="en-AU"/>
        </w:rPr>
        <w:t xml:space="preserve"> </w:t>
      </w:r>
      <w:r w:rsidR="00584167" w:rsidRPr="0072758C">
        <w:rPr>
          <w:lang w:val="en-AU"/>
        </w:rPr>
        <w:t>suggests that the Dead Sea sect did indeed relate to the Jewish people</w:t>
      </w:r>
      <w:r w:rsidR="00BD7FBE" w:rsidRPr="0072758C">
        <w:rPr>
          <w:lang w:val="en-AU"/>
        </w:rPr>
        <w:t xml:space="preserve"> but that Serek hayyaḥad (Rule of the Community [1QS]) from cave 1 does not reflect pacifism that </w:t>
      </w:r>
      <w:r w:rsidR="00073965" w:rsidRPr="0072758C">
        <w:rPr>
          <w:lang w:val="en-AU"/>
        </w:rPr>
        <w:t>erroneously</w:t>
      </w:r>
      <w:r w:rsidR="00BD7FBE" w:rsidRPr="0072758C">
        <w:rPr>
          <w:lang w:val="en-AU"/>
        </w:rPr>
        <w:t xml:space="preserve"> was developed from Philo and Eusebius, see</w:t>
      </w:r>
      <w:r w:rsidR="00584167" w:rsidRPr="0072758C">
        <w:rPr>
          <w:lang w:val="en-AU"/>
        </w:rPr>
        <w:t xml:space="preserve"> </w:t>
      </w:r>
      <w:r w:rsidR="00BD7FBE" w:rsidRPr="0072758C">
        <w:rPr>
          <w:lang w:val="en-AU"/>
        </w:rPr>
        <w:t>Christophe Batsch, “Le `pacifisme Des Esséniens’: Un Mythe Historiographique</w:t>
      </w:r>
      <w:r w:rsidR="00034672" w:rsidRPr="0072758C">
        <w:rPr>
          <w:lang w:val="en-AU"/>
        </w:rPr>
        <w:t>,</w:t>
      </w:r>
      <w:r w:rsidR="00BD7FBE" w:rsidRPr="0072758C">
        <w:rPr>
          <w:lang w:val="en-AU"/>
        </w:rPr>
        <w:t>” </w:t>
      </w:r>
      <w:r w:rsidR="00BD7FBE" w:rsidRPr="0072758C">
        <w:rPr>
          <w:i/>
          <w:iCs/>
          <w:lang w:val="en-AU"/>
        </w:rPr>
        <w:t>Revue de Qumran</w:t>
      </w:r>
      <w:r w:rsidR="00BD7FBE" w:rsidRPr="0072758C">
        <w:rPr>
          <w:lang w:val="en-AU"/>
        </w:rPr>
        <w:t> 21 (2004): 457–</w:t>
      </w:r>
      <w:r w:rsidR="004D43FD" w:rsidRPr="0072758C">
        <w:rPr>
          <w:lang w:val="en-AU"/>
        </w:rPr>
        <w:t>61</w:t>
      </w:r>
      <w:r w:rsidR="00BD7FBE" w:rsidRPr="0072758C">
        <w:rPr>
          <w:lang w:val="en-AU"/>
        </w:rPr>
        <w:t>.</w:t>
      </w:r>
    </w:p>
    <w:p w14:paraId="636C7A15" w14:textId="77777777" w:rsidR="005C18F8" w:rsidRPr="0072758C" w:rsidRDefault="005C18F8" w:rsidP="00EF3273">
      <w:pPr>
        <w:pStyle w:val="EndnoteText"/>
        <w:rPr>
          <w:lang w:val="en-AU"/>
        </w:rPr>
      </w:pPr>
    </w:p>
  </w:footnote>
  <w:footnote w:id="130">
    <w:p w14:paraId="53945870" w14:textId="77777777"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Emmanuel O. Tukasi, </w:t>
      </w:r>
      <w:r w:rsidRPr="0072758C">
        <w:rPr>
          <w:i/>
          <w:iCs/>
          <w:lang w:val="en-AU"/>
        </w:rPr>
        <w:t>Determinism and Petitionary Prayer in John and the Dead Sea Scrolls</w:t>
      </w:r>
      <w:r w:rsidRPr="0072758C">
        <w:rPr>
          <w:lang w:val="en-AU"/>
        </w:rPr>
        <w:t> (London: T &amp; T Clark, 2008), 34.</w:t>
      </w:r>
    </w:p>
    <w:p w14:paraId="7D1199B3" w14:textId="77777777" w:rsidR="005C18F8" w:rsidRPr="0072758C" w:rsidRDefault="005C18F8" w:rsidP="00EF3273">
      <w:pPr>
        <w:pStyle w:val="EndnoteText"/>
        <w:rPr>
          <w:lang w:val="en-AU"/>
        </w:rPr>
      </w:pPr>
    </w:p>
  </w:footnote>
  <w:footnote w:id="131">
    <w:p w14:paraId="27426024" w14:textId="764FE6BD"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Donald A. Hagner, </w:t>
      </w:r>
      <w:r w:rsidRPr="0072758C">
        <w:rPr>
          <w:i/>
          <w:iCs/>
          <w:lang w:val="en-AU"/>
        </w:rPr>
        <w:t xml:space="preserve">The Jewish Reclamation of Jesus: An Analysis and Critique of Modern Jewish Study of Jesus </w:t>
      </w:r>
      <w:r w:rsidRPr="0072758C">
        <w:rPr>
          <w:lang w:val="en-AU"/>
        </w:rPr>
        <w:t xml:space="preserve">(Grand Rapids: Académie Books, 1984), 62; See Heinrich Hirsch Graetz, </w:t>
      </w:r>
      <w:r w:rsidRPr="0072758C">
        <w:rPr>
          <w:i/>
          <w:iCs/>
          <w:lang w:val="en-AU"/>
        </w:rPr>
        <w:t>History of the Je</w:t>
      </w:r>
      <w:r w:rsidRPr="0072758C">
        <w:rPr>
          <w:lang w:val="en-AU"/>
        </w:rPr>
        <w:t xml:space="preserve">ws </w:t>
      </w:r>
      <w:r w:rsidRPr="0072758C">
        <w:rPr>
          <w:i/>
          <w:iCs/>
          <w:lang w:val="en-AU"/>
        </w:rPr>
        <w:t xml:space="preserve">to the Completion of the Babylonian Talmud </w:t>
      </w:r>
      <w:r w:rsidRPr="0072758C">
        <w:rPr>
          <w:lang w:val="en-AU"/>
        </w:rPr>
        <w:t>(Philadelphia: The Jewish Publication Society of America, 1893).</w:t>
      </w:r>
    </w:p>
    <w:p w14:paraId="386EFF26" w14:textId="77777777" w:rsidR="005C18F8" w:rsidRPr="0072758C" w:rsidRDefault="005C18F8" w:rsidP="00EF3273">
      <w:pPr>
        <w:pStyle w:val="EndnoteText"/>
        <w:rPr>
          <w:lang w:val="en-AU"/>
        </w:rPr>
      </w:pPr>
    </w:p>
  </w:footnote>
  <w:footnote w:id="132">
    <w:p w14:paraId="153F25E1" w14:textId="06FBBF19"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Timothy Wardle, “Jesus and the Temple: The Crucifixion in its Jewish Context,” </w:t>
      </w:r>
      <w:r w:rsidRPr="0072758C">
        <w:rPr>
          <w:i/>
          <w:iCs/>
          <w:lang w:val="en-AU"/>
        </w:rPr>
        <w:t>Journal of the Evangelical Theological Society</w:t>
      </w:r>
      <w:r w:rsidRPr="0072758C">
        <w:rPr>
          <w:lang w:val="en-AU"/>
        </w:rPr>
        <w:t> 60 (2017): 409–11.</w:t>
      </w:r>
    </w:p>
    <w:p w14:paraId="329CF0BF" w14:textId="77777777" w:rsidR="005C18F8" w:rsidRPr="0072758C" w:rsidRDefault="005C18F8" w:rsidP="00EF3273">
      <w:pPr>
        <w:pStyle w:val="EndnoteText"/>
        <w:rPr>
          <w:lang w:val="en-AU"/>
        </w:rPr>
      </w:pPr>
    </w:p>
  </w:footnote>
  <w:footnote w:id="133">
    <w:p w14:paraId="1911ACEC" w14:textId="3E9EC74A" w:rsidR="00205F8B"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See Jonathan M. Elukin, “A New Essenism: Heinrich Graetz and Mysticism,” </w:t>
      </w:r>
      <w:r w:rsidRPr="0072758C">
        <w:rPr>
          <w:i/>
          <w:iCs/>
          <w:lang w:val="en-AU"/>
        </w:rPr>
        <w:t>Journal of the History of Ideas</w:t>
      </w:r>
      <w:r w:rsidRPr="0072758C">
        <w:rPr>
          <w:lang w:val="en-AU"/>
        </w:rPr>
        <w:t> 59 (1998):</w:t>
      </w:r>
      <w:r w:rsidR="00064F3B" w:rsidRPr="0072758C">
        <w:rPr>
          <w:lang w:val="en-AU"/>
        </w:rPr>
        <w:t xml:space="preserve"> </w:t>
      </w:r>
      <w:r w:rsidRPr="0072758C">
        <w:rPr>
          <w:lang w:val="en-AU"/>
        </w:rPr>
        <w:t>135–48</w:t>
      </w:r>
      <w:r w:rsidR="00205F8B" w:rsidRPr="0072758C">
        <w:rPr>
          <w:lang w:val="en-AU"/>
        </w:rPr>
        <w:t>; Joel Marcus, “John the Baptist in History and Theology: A Summary</w:t>
      </w:r>
      <w:r w:rsidR="00064F3B" w:rsidRPr="0072758C">
        <w:rPr>
          <w:lang w:val="en-AU"/>
        </w:rPr>
        <w:t>,</w:t>
      </w:r>
      <w:r w:rsidR="00205F8B" w:rsidRPr="0072758C">
        <w:rPr>
          <w:lang w:val="en-AU"/>
        </w:rPr>
        <w:t>” </w:t>
      </w:r>
      <w:r w:rsidR="00205F8B" w:rsidRPr="0072758C">
        <w:rPr>
          <w:i/>
          <w:iCs/>
          <w:lang w:val="en-AU"/>
        </w:rPr>
        <w:t>Journal for the Study of the Historical Jesus</w:t>
      </w:r>
      <w:r w:rsidR="00205F8B" w:rsidRPr="0072758C">
        <w:rPr>
          <w:lang w:val="en-AU"/>
        </w:rPr>
        <w:t> 19 (2021): 3–7.</w:t>
      </w:r>
    </w:p>
    <w:p w14:paraId="48F86519" w14:textId="77777777" w:rsidR="005C18F8" w:rsidRPr="0072758C" w:rsidRDefault="005C18F8" w:rsidP="00EF3273">
      <w:pPr>
        <w:pStyle w:val="EndnoteText"/>
        <w:rPr>
          <w:lang w:val="en-AU"/>
        </w:rPr>
      </w:pPr>
    </w:p>
  </w:footnote>
  <w:footnote w:id="134">
    <w:p w14:paraId="7C4B583B" w14:textId="77777777"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Kaufmann Kohler, </w:t>
      </w:r>
      <w:r w:rsidRPr="0072758C">
        <w:rPr>
          <w:i/>
          <w:iCs/>
          <w:lang w:val="en-AU"/>
        </w:rPr>
        <w:t xml:space="preserve">The Origins of the </w:t>
      </w:r>
      <w:proofErr w:type="gramStart"/>
      <w:r w:rsidRPr="0072758C">
        <w:rPr>
          <w:i/>
          <w:iCs/>
          <w:lang w:val="en-AU"/>
        </w:rPr>
        <w:t>Synagogue</w:t>
      </w:r>
      <w:proofErr w:type="gramEnd"/>
      <w:r w:rsidRPr="0072758C">
        <w:rPr>
          <w:i/>
          <w:iCs/>
          <w:lang w:val="en-AU"/>
        </w:rPr>
        <w:t xml:space="preserve"> and the Church</w:t>
      </w:r>
      <w:r w:rsidRPr="0072758C">
        <w:rPr>
          <w:lang w:val="en-AU"/>
        </w:rPr>
        <w:t xml:space="preserve"> (New York: Macmillan, 1929).</w:t>
      </w:r>
    </w:p>
    <w:p w14:paraId="7184BBB4" w14:textId="77777777" w:rsidR="005C18F8" w:rsidRPr="0072758C" w:rsidRDefault="005C18F8" w:rsidP="00EF3273">
      <w:pPr>
        <w:pStyle w:val="EndnoteText"/>
        <w:rPr>
          <w:lang w:val="en-AU"/>
        </w:rPr>
      </w:pPr>
    </w:p>
  </w:footnote>
  <w:footnote w:id="135">
    <w:p w14:paraId="0C21D45E" w14:textId="1071ADC1"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Donald A. Hagner, </w:t>
      </w:r>
      <w:r w:rsidRPr="0072758C">
        <w:rPr>
          <w:i/>
          <w:iCs/>
          <w:lang w:val="en-AU"/>
        </w:rPr>
        <w:t>The Jewish Reclamation of Jesus</w:t>
      </w:r>
      <w:r w:rsidRPr="0072758C">
        <w:rPr>
          <w:lang w:val="en-AU"/>
        </w:rPr>
        <w:t>, 150</w:t>
      </w:r>
      <w:r w:rsidR="00205F8B" w:rsidRPr="0072758C">
        <w:rPr>
          <w:lang w:val="en-AU"/>
        </w:rPr>
        <w:t>; Patrick Madigan, “Jesus, the Essenes, and Christian Origins: New Light on Ancient Texts and Communities</w:t>
      </w:r>
      <w:r w:rsidR="00064F3B" w:rsidRPr="0072758C">
        <w:rPr>
          <w:lang w:val="en-AU"/>
        </w:rPr>
        <w:t>,</w:t>
      </w:r>
      <w:r w:rsidR="00205F8B" w:rsidRPr="0072758C">
        <w:rPr>
          <w:lang w:val="en-AU"/>
        </w:rPr>
        <w:t>” </w:t>
      </w:r>
      <w:r w:rsidR="00205F8B" w:rsidRPr="0072758C">
        <w:rPr>
          <w:i/>
          <w:iCs/>
          <w:lang w:val="en-AU"/>
        </w:rPr>
        <w:t>H</w:t>
      </w:r>
      <w:r w:rsidR="00064F3B" w:rsidRPr="0072758C">
        <w:rPr>
          <w:i/>
          <w:iCs/>
          <w:lang w:val="en-AU"/>
        </w:rPr>
        <w:t xml:space="preserve">eythrop Journal </w:t>
      </w:r>
      <w:r w:rsidR="00205F8B" w:rsidRPr="0072758C">
        <w:rPr>
          <w:lang w:val="en-AU"/>
        </w:rPr>
        <w:t>61 (2020): 1028–29. </w:t>
      </w:r>
    </w:p>
  </w:footnote>
  <w:footnote w:id="136">
    <w:p w14:paraId="08DCC3E3" w14:textId="77777777" w:rsidR="005C18F8" w:rsidRPr="0072758C" w:rsidRDefault="005C18F8" w:rsidP="00EF3273">
      <w:pPr>
        <w:pStyle w:val="EndnoteText"/>
        <w:rPr>
          <w:lang w:val="en-AU"/>
        </w:rPr>
      </w:pPr>
    </w:p>
    <w:p w14:paraId="006B8689" w14:textId="576DDCE1" w:rsidR="00205F8B"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Jonathan M. Elukin, “A New Essenism: Heinrich Graetz and Mysticism,” </w:t>
      </w:r>
      <w:r w:rsidRPr="0072758C">
        <w:rPr>
          <w:i/>
          <w:iCs/>
          <w:lang w:val="en-AU"/>
        </w:rPr>
        <w:t>Journal of the History of Ideas</w:t>
      </w:r>
      <w:r w:rsidRPr="0072758C">
        <w:rPr>
          <w:lang w:val="en-AU"/>
        </w:rPr>
        <w:t xml:space="preserve"> 59 (1998): 135–48. See also Simon Dubnow, </w:t>
      </w:r>
      <w:r w:rsidRPr="0072758C">
        <w:rPr>
          <w:i/>
          <w:iCs/>
          <w:lang w:val="en-AU"/>
        </w:rPr>
        <w:t>History of the Jews</w:t>
      </w:r>
      <w:r w:rsidRPr="0072758C">
        <w:rPr>
          <w:lang w:val="en-AU"/>
        </w:rPr>
        <w:t xml:space="preserve"> (South Brunswick: T. Yoseloft; 1967–73)</w:t>
      </w:r>
      <w:r w:rsidR="00205F8B" w:rsidRPr="0072758C">
        <w:rPr>
          <w:lang w:val="en-AU"/>
        </w:rPr>
        <w:t xml:space="preserve">; Simon J. Joseph, </w:t>
      </w:r>
      <w:r w:rsidR="00205F8B" w:rsidRPr="0072758C">
        <w:rPr>
          <w:i/>
          <w:iCs/>
          <w:lang w:val="en-AU"/>
        </w:rPr>
        <w:t>Jesus, the Essenes, and Christian Origins: New Light on Ancient Texts and Communities</w:t>
      </w:r>
      <w:r w:rsidR="00064F3B" w:rsidRPr="0072758C">
        <w:rPr>
          <w:lang w:val="en-AU"/>
        </w:rPr>
        <w:t xml:space="preserve"> (</w:t>
      </w:r>
      <w:r w:rsidR="00205F8B" w:rsidRPr="0072758C">
        <w:rPr>
          <w:lang w:val="en-AU"/>
        </w:rPr>
        <w:t>Waco, TX: Baylor University Press, 2018</w:t>
      </w:r>
      <w:r w:rsidR="00064F3B" w:rsidRPr="0072758C">
        <w:rPr>
          <w:lang w:val="en-AU"/>
        </w:rPr>
        <w:t>)</w:t>
      </w:r>
      <w:r w:rsidR="00205F8B" w:rsidRPr="0072758C">
        <w:rPr>
          <w:lang w:val="en-AU"/>
        </w:rPr>
        <w:t>.</w:t>
      </w:r>
    </w:p>
    <w:p w14:paraId="599F59B6" w14:textId="3814E26D" w:rsidR="005C18F8" w:rsidRPr="0072758C" w:rsidRDefault="005C18F8" w:rsidP="00EF3273">
      <w:pPr>
        <w:pStyle w:val="EndnoteText"/>
        <w:rPr>
          <w:lang w:val="en-AU"/>
        </w:rPr>
      </w:pPr>
    </w:p>
  </w:footnote>
  <w:footnote w:id="137">
    <w:p w14:paraId="59A6305A" w14:textId="4C8BA28B"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Elukin, “A New Essenism: Heinrich Graetz and Mysticism,” 137</w:t>
      </w:r>
      <w:r w:rsidR="00205F8B" w:rsidRPr="0072758C">
        <w:rPr>
          <w:lang w:val="en-AU"/>
        </w:rPr>
        <w:t>; Eben Scheffler, “Putting Qumran, Jesus and His Movement into Relief</w:t>
      </w:r>
      <w:r w:rsidR="00064F3B" w:rsidRPr="0072758C">
        <w:rPr>
          <w:lang w:val="en-AU"/>
        </w:rPr>
        <w:t>,</w:t>
      </w:r>
      <w:r w:rsidR="00205F8B" w:rsidRPr="0072758C">
        <w:rPr>
          <w:lang w:val="en-AU"/>
        </w:rPr>
        <w:t>” </w:t>
      </w:r>
      <w:r w:rsidR="00205F8B" w:rsidRPr="0072758C">
        <w:rPr>
          <w:i/>
          <w:iCs/>
          <w:lang w:val="en-AU"/>
        </w:rPr>
        <w:t>Hervormde Teologiese Studies</w:t>
      </w:r>
      <w:r w:rsidR="00205F8B" w:rsidRPr="0072758C">
        <w:rPr>
          <w:lang w:val="en-AU"/>
        </w:rPr>
        <w:t> 72 (2016): 1–10. </w:t>
      </w:r>
    </w:p>
  </w:footnote>
  <w:footnote w:id="138">
    <w:p w14:paraId="5799D84B" w14:textId="77777777" w:rsidR="005C18F8" w:rsidRPr="0072758C" w:rsidRDefault="005C18F8" w:rsidP="00EF3273">
      <w:pPr>
        <w:pStyle w:val="EndnoteText"/>
        <w:rPr>
          <w:lang w:val="en-AU"/>
        </w:rPr>
      </w:pPr>
    </w:p>
    <w:p w14:paraId="440B88CB" w14:textId="2D3278F5"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Jassen, “The Dead Sea Scrolls and Violence,” 13</w:t>
      </w:r>
      <w:r w:rsidR="007E550F" w:rsidRPr="0072758C">
        <w:rPr>
          <w:lang w:val="en-AU"/>
        </w:rPr>
        <w:t>; Pieter B Hartog</w:t>
      </w:r>
      <w:r w:rsidR="00064F3B" w:rsidRPr="0072758C">
        <w:rPr>
          <w:lang w:val="en-AU"/>
        </w:rPr>
        <w:t xml:space="preserve">, </w:t>
      </w:r>
      <w:r w:rsidR="007E550F" w:rsidRPr="0072758C">
        <w:rPr>
          <w:lang w:val="en-AU"/>
        </w:rPr>
        <w:t>“The Qumran Pesharim and Targum Jonathan to the Prophets: Rethinking Their Relationship</w:t>
      </w:r>
      <w:r w:rsidR="00064F3B" w:rsidRPr="0072758C">
        <w:rPr>
          <w:lang w:val="en-AU"/>
        </w:rPr>
        <w:t>,</w:t>
      </w:r>
      <w:r w:rsidR="007E550F" w:rsidRPr="0072758C">
        <w:rPr>
          <w:lang w:val="en-AU"/>
        </w:rPr>
        <w:t>” </w:t>
      </w:r>
      <w:r w:rsidR="007E550F" w:rsidRPr="0072758C">
        <w:rPr>
          <w:i/>
          <w:iCs/>
          <w:lang w:val="en-AU"/>
        </w:rPr>
        <w:t>Aramaic Studies</w:t>
      </w:r>
      <w:r w:rsidR="007E550F" w:rsidRPr="0072758C">
        <w:rPr>
          <w:lang w:val="en-AU"/>
        </w:rPr>
        <w:t> 19 (2021): 25–40.</w:t>
      </w:r>
    </w:p>
  </w:footnote>
  <w:footnote w:id="139">
    <w:p w14:paraId="098B9B88" w14:textId="77777777" w:rsidR="005C18F8" w:rsidRPr="0072758C" w:rsidRDefault="005C18F8" w:rsidP="00EF3273">
      <w:pPr>
        <w:pStyle w:val="EndnoteText"/>
        <w:rPr>
          <w:lang w:val="en-AU"/>
        </w:rPr>
      </w:pPr>
    </w:p>
    <w:p w14:paraId="4BDA6455" w14:textId="61386193"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Amy-Jill Levine, Dale C Allison and John Dominic Crossan, </w:t>
      </w:r>
      <w:r w:rsidRPr="0072758C">
        <w:rPr>
          <w:i/>
          <w:iCs/>
          <w:lang w:val="en-AU"/>
        </w:rPr>
        <w:t xml:space="preserve">The Historical Jesus </w:t>
      </w:r>
      <w:proofErr w:type="gramStart"/>
      <w:r w:rsidRPr="0072758C">
        <w:rPr>
          <w:i/>
          <w:iCs/>
          <w:lang w:val="en-AU"/>
        </w:rPr>
        <w:t>In</w:t>
      </w:r>
      <w:proofErr w:type="gramEnd"/>
      <w:r w:rsidRPr="0072758C">
        <w:rPr>
          <w:i/>
          <w:iCs/>
          <w:lang w:val="en-AU"/>
        </w:rPr>
        <w:t xml:space="preserve"> Context</w:t>
      </w:r>
      <w:r w:rsidR="007E550F" w:rsidRPr="0072758C">
        <w:rPr>
          <w:lang w:val="en-AU"/>
        </w:rPr>
        <w:t>; Mirosław Stanisław Wróbel, “The Eschatological Spirituality of ‘the Sons of Light’ in Qumran</w:t>
      </w:r>
      <w:r w:rsidR="001F0FD4" w:rsidRPr="0072758C">
        <w:rPr>
          <w:lang w:val="en-AU"/>
        </w:rPr>
        <w:t>,</w:t>
      </w:r>
      <w:r w:rsidR="007E550F" w:rsidRPr="0072758C">
        <w:rPr>
          <w:lang w:val="en-AU"/>
        </w:rPr>
        <w:t>” </w:t>
      </w:r>
      <w:r w:rsidR="007E550F" w:rsidRPr="0072758C">
        <w:rPr>
          <w:i/>
          <w:iCs/>
          <w:lang w:val="en-AU"/>
        </w:rPr>
        <w:t>Verbum Vitae</w:t>
      </w:r>
      <w:r w:rsidR="007E550F" w:rsidRPr="0072758C">
        <w:rPr>
          <w:lang w:val="en-AU"/>
        </w:rPr>
        <w:t> 37</w:t>
      </w:r>
      <w:r w:rsidR="00011EA2" w:rsidRPr="0072758C">
        <w:rPr>
          <w:lang w:val="en-AU"/>
        </w:rPr>
        <w:t xml:space="preserve"> </w:t>
      </w:r>
      <w:r w:rsidR="007E550F" w:rsidRPr="0072758C">
        <w:rPr>
          <w:lang w:val="en-AU"/>
        </w:rPr>
        <w:t>(2020): 347–63.</w:t>
      </w:r>
    </w:p>
    <w:p w14:paraId="61C2FB3F" w14:textId="77777777" w:rsidR="00EF3273" w:rsidRPr="0072758C" w:rsidRDefault="00EF3273" w:rsidP="00EF3273">
      <w:pPr>
        <w:pStyle w:val="EndnoteText"/>
        <w:ind w:firstLine="720"/>
        <w:rPr>
          <w:lang w:val="en-AU"/>
        </w:rPr>
      </w:pPr>
    </w:p>
  </w:footnote>
  <w:footnote w:id="140">
    <w:p w14:paraId="00AC4EF6" w14:textId="7D2D86F6" w:rsidR="007E550F"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Jassen, “The Dead Sea Scrolls and Violence,” 13</w:t>
      </w:r>
      <w:r w:rsidR="007E550F" w:rsidRPr="0072758C">
        <w:rPr>
          <w:lang w:val="en-AU"/>
        </w:rPr>
        <w:t>; Rivka Ulmer, “Apocalypticism in the Homiletic Text of Pesiqta Rabbati: Catastrophic Events at the End of Time</w:t>
      </w:r>
      <w:r w:rsidR="001F0FD4" w:rsidRPr="0072758C">
        <w:rPr>
          <w:lang w:val="en-AU"/>
        </w:rPr>
        <w:t>,</w:t>
      </w:r>
      <w:r w:rsidR="007E550F" w:rsidRPr="0072758C">
        <w:rPr>
          <w:lang w:val="en-AU"/>
        </w:rPr>
        <w:t>” </w:t>
      </w:r>
      <w:r w:rsidR="007E550F" w:rsidRPr="0072758C">
        <w:rPr>
          <w:i/>
          <w:iCs/>
          <w:lang w:val="en-AU"/>
        </w:rPr>
        <w:t>Journal for the Study of Judaism: In the Persian Hellenistic &amp; Roman Period</w:t>
      </w:r>
      <w:r w:rsidR="007E550F" w:rsidRPr="0072758C">
        <w:rPr>
          <w:lang w:val="en-AU"/>
        </w:rPr>
        <w:t> 50 (2019): 101–39.</w:t>
      </w:r>
    </w:p>
  </w:footnote>
  <w:footnote w:id="141">
    <w:p w14:paraId="254F4EAA" w14:textId="126A9FAB" w:rsidR="005C18F8" w:rsidRPr="0072758C" w:rsidRDefault="00EF3273" w:rsidP="00EF3273">
      <w:pPr>
        <w:pStyle w:val="EndnoteText"/>
        <w:rPr>
          <w:lang w:val="en-AU"/>
        </w:rPr>
      </w:pPr>
      <w:r w:rsidRPr="0072758C">
        <w:rPr>
          <w:lang w:val="en-AU"/>
        </w:rPr>
        <w:tab/>
      </w:r>
    </w:p>
    <w:p w14:paraId="4833FC03" w14:textId="4083BFC1" w:rsidR="009E2FAF"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Talmon, “Waiting for the Messiah,” 111</w:t>
      </w:r>
      <w:r w:rsidR="009E2FAF" w:rsidRPr="0072758C">
        <w:rPr>
          <w:lang w:val="en-AU"/>
        </w:rPr>
        <w:t>; Atar Livneh, “‘Love Your Fellow as Yourself’: The Interpretation of Leviticus 19:17-18 in the Book of Jubilees</w:t>
      </w:r>
      <w:r w:rsidR="001F0FD4" w:rsidRPr="0072758C">
        <w:rPr>
          <w:lang w:val="en-AU"/>
        </w:rPr>
        <w:t>,</w:t>
      </w:r>
      <w:r w:rsidR="009E2FAF" w:rsidRPr="0072758C">
        <w:rPr>
          <w:lang w:val="en-AU"/>
        </w:rPr>
        <w:t>” </w:t>
      </w:r>
      <w:r w:rsidR="009E2FAF" w:rsidRPr="0072758C">
        <w:rPr>
          <w:i/>
          <w:iCs/>
          <w:lang w:val="en-AU"/>
        </w:rPr>
        <w:t>Dead Sea Discoveries</w:t>
      </w:r>
      <w:r w:rsidR="009E2FAF" w:rsidRPr="0072758C">
        <w:rPr>
          <w:lang w:val="en-AU"/>
        </w:rPr>
        <w:t> 18 (2011): 173–99.</w:t>
      </w:r>
    </w:p>
    <w:p w14:paraId="30D4D46C" w14:textId="77777777" w:rsidR="005C18F8" w:rsidRPr="0072758C" w:rsidRDefault="005C18F8" w:rsidP="00EF3273">
      <w:pPr>
        <w:pStyle w:val="EndnoteText"/>
        <w:rPr>
          <w:lang w:val="en-AU"/>
        </w:rPr>
      </w:pPr>
    </w:p>
  </w:footnote>
  <w:footnote w:id="142">
    <w:p w14:paraId="6FE5F6BE" w14:textId="77777777"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Geza Vermes, </w:t>
      </w:r>
      <w:r w:rsidRPr="0072758C">
        <w:rPr>
          <w:i/>
          <w:iCs/>
          <w:lang w:val="en-AU"/>
        </w:rPr>
        <w:t>The Real Jesus</w:t>
      </w:r>
      <w:r w:rsidRPr="0072758C">
        <w:rPr>
          <w:lang w:val="en-AU"/>
        </w:rPr>
        <w:t xml:space="preserve"> (London: SCM, 2009), 129.</w:t>
      </w:r>
    </w:p>
  </w:footnote>
  <w:footnote w:id="143">
    <w:p w14:paraId="6437CA1D" w14:textId="77777777" w:rsidR="005C18F8" w:rsidRPr="0072758C" w:rsidRDefault="005C18F8" w:rsidP="00EF3273">
      <w:pPr>
        <w:pStyle w:val="EndnoteText"/>
        <w:rPr>
          <w:lang w:val="en-AU"/>
        </w:rPr>
      </w:pPr>
    </w:p>
    <w:p w14:paraId="13B5F88D" w14:textId="03CAEF5E"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Talmon, “Waiting for the Messiah,” 111; The vision of an anointed king in Hebrew is </w:t>
      </w:r>
      <w:r w:rsidR="00592DC0" w:rsidRPr="0072758C">
        <w:rPr>
          <w:rtl/>
          <w:lang w:val="en-AU"/>
        </w:rPr>
        <w:t>משיח</w:t>
      </w:r>
      <w:r w:rsidRPr="0072758C">
        <w:rPr>
          <w:lang w:val="en-AU"/>
        </w:rPr>
        <w:t xml:space="preserve"> and the Greek it is </w:t>
      </w:r>
      <w:r w:rsidRPr="0072758C">
        <w:rPr>
          <w:i/>
          <w:lang w:val="en-AU"/>
        </w:rPr>
        <w:t>Christos</w:t>
      </w:r>
      <w:r w:rsidR="00DD7BA1" w:rsidRPr="0072758C">
        <w:rPr>
          <w:lang w:val="en-AU"/>
        </w:rPr>
        <w:t>.  For information about the Messiah of Aaron lineage, see Dong-Hyuk Kim, “‘The Messiah of Aaron and Israel’: Do We See Single or Double?” 24 (2018): 190–213. </w:t>
      </w:r>
    </w:p>
    <w:p w14:paraId="1B4DA039" w14:textId="77777777" w:rsidR="004D43FD" w:rsidRPr="0072758C" w:rsidRDefault="004D43FD" w:rsidP="00EF3273">
      <w:pPr>
        <w:pStyle w:val="EndnoteText"/>
        <w:ind w:firstLine="720"/>
        <w:rPr>
          <w:lang w:val="en-AU"/>
        </w:rPr>
      </w:pPr>
    </w:p>
  </w:footnote>
  <w:footnote w:id="144">
    <w:p w14:paraId="470CEC40" w14:textId="77777777" w:rsidR="005C18F8" w:rsidRPr="0072758C" w:rsidRDefault="005C18F8" w:rsidP="00D21CDE">
      <w:pPr>
        <w:pStyle w:val="EndnoteText"/>
        <w:ind w:firstLine="720"/>
        <w:rPr>
          <w:lang w:val="en-AU"/>
        </w:rPr>
      </w:pPr>
      <w:r w:rsidRPr="0072758C">
        <w:rPr>
          <w:rStyle w:val="FootnoteReference"/>
          <w:lang w:val="en-AU"/>
        </w:rPr>
        <w:footnoteRef/>
      </w:r>
      <w:r w:rsidRPr="0072758C">
        <w:rPr>
          <w:lang w:val="en-AU"/>
        </w:rPr>
        <w:t xml:space="preserve"> Talmon, “Waiting for the Messiah,” 195.</w:t>
      </w:r>
    </w:p>
    <w:p w14:paraId="55D02179" w14:textId="77777777" w:rsidR="005C18F8" w:rsidRPr="0072758C" w:rsidRDefault="005C18F8" w:rsidP="00EF3273">
      <w:pPr>
        <w:pStyle w:val="EndnoteText"/>
        <w:rPr>
          <w:lang w:val="en-AU"/>
        </w:rPr>
      </w:pPr>
    </w:p>
  </w:footnote>
  <w:footnote w:id="145">
    <w:p w14:paraId="2CA11113" w14:textId="299FFA39"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Wayne Baxter, “From Good News Tt Gospels: What Did the First Christians Say About Jesus,” </w:t>
      </w:r>
      <w:r w:rsidRPr="0072758C">
        <w:rPr>
          <w:i/>
          <w:iCs/>
          <w:lang w:val="en-AU"/>
        </w:rPr>
        <w:t xml:space="preserve">Journal </w:t>
      </w:r>
      <w:r w:rsidR="00DF2BEE">
        <w:rPr>
          <w:i/>
          <w:iCs/>
          <w:lang w:val="en-AU"/>
        </w:rPr>
        <w:t>of</w:t>
      </w:r>
      <w:r w:rsidRPr="0072758C">
        <w:rPr>
          <w:i/>
          <w:iCs/>
          <w:lang w:val="en-AU"/>
        </w:rPr>
        <w:t xml:space="preserve"> the Evangelical Theological Society</w:t>
      </w:r>
      <w:r w:rsidRPr="0072758C">
        <w:rPr>
          <w:lang w:val="en-AU"/>
        </w:rPr>
        <w:t> 62 (2019): 400–4.</w:t>
      </w:r>
    </w:p>
    <w:p w14:paraId="3A18D1E1" w14:textId="77777777" w:rsidR="005C18F8" w:rsidRPr="0072758C" w:rsidRDefault="005C18F8" w:rsidP="00EF3273">
      <w:pPr>
        <w:pStyle w:val="EndnoteText"/>
        <w:rPr>
          <w:lang w:val="en-AU"/>
        </w:rPr>
      </w:pPr>
    </w:p>
  </w:footnote>
  <w:footnote w:id="146">
    <w:p w14:paraId="6DDB52D2" w14:textId="6964C2E1" w:rsidR="00DD7BA1"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Martínez, </w:t>
      </w:r>
      <w:r w:rsidRPr="0072758C">
        <w:rPr>
          <w:i/>
          <w:iCs/>
          <w:lang w:val="en-AU"/>
        </w:rPr>
        <w:t>The Dead Sea Scrolls Study Edition,</w:t>
      </w:r>
      <w:r w:rsidRPr="0072758C">
        <w:rPr>
          <w:lang w:val="en-AU"/>
        </w:rPr>
        <w:t>1045</w:t>
      </w:r>
      <w:r w:rsidR="00DD7BA1" w:rsidRPr="0072758C">
        <w:rPr>
          <w:lang w:val="en-AU"/>
        </w:rPr>
        <w:t xml:space="preserve">; André </w:t>
      </w:r>
      <w:r w:rsidR="007E4174" w:rsidRPr="0072758C">
        <w:rPr>
          <w:lang w:val="en-AU"/>
        </w:rPr>
        <w:t>Caquot, “</w:t>
      </w:r>
      <w:r w:rsidR="00DD7BA1" w:rsidRPr="0072758C">
        <w:rPr>
          <w:lang w:val="en-AU"/>
        </w:rPr>
        <w:t>Deux Textes Messianiques de Qumrân</w:t>
      </w:r>
      <w:r w:rsidR="00F013F4" w:rsidRPr="0072758C">
        <w:rPr>
          <w:lang w:val="en-AU"/>
        </w:rPr>
        <w:t>,</w:t>
      </w:r>
      <w:r w:rsidR="00DD7BA1" w:rsidRPr="0072758C">
        <w:rPr>
          <w:lang w:val="en-AU"/>
        </w:rPr>
        <w:t>” </w:t>
      </w:r>
      <w:r w:rsidR="00DD7BA1" w:rsidRPr="0072758C">
        <w:rPr>
          <w:i/>
          <w:iCs/>
          <w:lang w:val="en-AU"/>
        </w:rPr>
        <w:t>Revue d’histoire et de Philosophie Religieuses</w:t>
      </w:r>
      <w:r w:rsidR="00DD7BA1" w:rsidRPr="0072758C">
        <w:rPr>
          <w:lang w:val="en-AU"/>
        </w:rPr>
        <w:t> 79 (1999): 155–71.</w:t>
      </w:r>
    </w:p>
    <w:p w14:paraId="446AF948" w14:textId="77777777" w:rsidR="005C18F8" w:rsidRPr="0072758C" w:rsidRDefault="005C18F8" w:rsidP="00EF3273">
      <w:pPr>
        <w:pStyle w:val="EndnoteText"/>
        <w:rPr>
          <w:lang w:val="en-AU"/>
        </w:rPr>
      </w:pPr>
    </w:p>
  </w:footnote>
  <w:footnote w:id="147">
    <w:p w14:paraId="7BB1EDA0" w14:textId="244800A5" w:rsidR="00DD7BA1"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T. C. Vriezen and A. S. van der Woude, </w:t>
      </w:r>
      <w:r w:rsidRPr="0072758C">
        <w:rPr>
          <w:i/>
          <w:iCs/>
          <w:lang w:val="en-AU"/>
        </w:rPr>
        <w:t xml:space="preserve">Ancient Israelite and Early Jewish Literature </w:t>
      </w:r>
      <w:r w:rsidRPr="0072758C">
        <w:rPr>
          <w:iCs/>
          <w:lang w:val="en-AU"/>
        </w:rPr>
        <w:t>(</w:t>
      </w:r>
      <w:r w:rsidRPr="0072758C">
        <w:rPr>
          <w:lang w:val="en-AU"/>
        </w:rPr>
        <w:t>Leiden: Brill, 2005), 689</w:t>
      </w:r>
      <w:r w:rsidR="00DD7BA1" w:rsidRPr="0072758C">
        <w:rPr>
          <w:lang w:val="en-AU"/>
        </w:rPr>
        <w:t>; Bill Loader, “The New Dead Sea Scrolls: New Light on Messianism &amp; the History of the Community</w:t>
      </w:r>
      <w:r w:rsidR="001F0FD4" w:rsidRPr="0072758C">
        <w:rPr>
          <w:lang w:val="en-AU"/>
        </w:rPr>
        <w:t>,</w:t>
      </w:r>
      <w:r w:rsidR="00DD7BA1" w:rsidRPr="0072758C">
        <w:rPr>
          <w:lang w:val="en-AU"/>
        </w:rPr>
        <w:t>” </w:t>
      </w:r>
      <w:r w:rsidR="00DD7BA1" w:rsidRPr="0072758C">
        <w:rPr>
          <w:i/>
          <w:iCs/>
          <w:lang w:val="en-AU"/>
        </w:rPr>
        <w:t>Colloquium</w:t>
      </w:r>
      <w:r w:rsidR="00DD7BA1" w:rsidRPr="0072758C">
        <w:rPr>
          <w:lang w:val="en-AU"/>
        </w:rPr>
        <w:t> 25 (1993): 67–85.</w:t>
      </w:r>
    </w:p>
    <w:p w14:paraId="3BDA6536" w14:textId="77777777" w:rsidR="00EF3273" w:rsidRPr="0072758C" w:rsidRDefault="00EF3273" w:rsidP="00EF3273">
      <w:pPr>
        <w:pStyle w:val="EndnoteText"/>
        <w:ind w:firstLine="720"/>
        <w:rPr>
          <w:lang w:val="en-AU"/>
        </w:rPr>
      </w:pPr>
    </w:p>
  </w:footnote>
  <w:footnote w:id="148">
    <w:p w14:paraId="6D2CC78C" w14:textId="77777777" w:rsidR="005C18F8" w:rsidRPr="0072758C" w:rsidRDefault="005C18F8" w:rsidP="00EF3273">
      <w:pPr>
        <w:pStyle w:val="EndnoteText"/>
        <w:ind w:firstLine="720"/>
        <w:rPr>
          <w:lang w:val="en-AU"/>
        </w:rPr>
      </w:pPr>
      <w:r w:rsidRPr="0072758C">
        <w:rPr>
          <w:rStyle w:val="FootnoteReference"/>
          <w:lang w:val="en-AU"/>
        </w:rPr>
        <w:footnoteRef/>
      </w:r>
      <w:r w:rsidRPr="0072758C">
        <w:rPr>
          <w:lang w:val="en-AU"/>
        </w:rPr>
        <w:t xml:space="preserve"> Martínez and Tigchelaar, </w:t>
      </w:r>
      <w:r w:rsidRPr="0072758C">
        <w:rPr>
          <w:i/>
          <w:iCs/>
          <w:lang w:val="en-AU"/>
        </w:rPr>
        <w:t>The Dead Sea Scrolls Study Edition</w:t>
      </w:r>
      <w:r w:rsidRPr="0072758C">
        <w:rPr>
          <w:lang w:val="en-AU"/>
        </w:rPr>
        <w:t xml:space="preserve">, 1045. </w:t>
      </w:r>
    </w:p>
    <w:p w14:paraId="69F04636" w14:textId="77777777" w:rsidR="005C18F8" w:rsidRPr="0072758C" w:rsidRDefault="005C18F8" w:rsidP="00EF3273">
      <w:pPr>
        <w:pStyle w:val="EndnoteText"/>
        <w:rPr>
          <w:lang w:val="en-AU"/>
        </w:rPr>
      </w:pPr>
    </w:p>
  </w:footnote>
  <w:footnote w:id="149">
    <w:p w14:paraId="41C2654D" w14:textId="7626AD75" w:rsidR="005C18F8" w:rsidRPr="0072758C" w:rsidRDefault="005C18F8" w:rsidP="009B7870">
      <w:pPr>
        <w:pStyle w:val="EndnoteText"/>
        <w:ind w:firstLine="720"/>
        <w:rPr>
          <w:lang w:val="en-AU"/>
        </w:rPr>
      </w:pPr>
      <w:r w:rsidRPr="0072758C">
        <w:rPr>
          <w:rStyle w:val="FootnoteReference"/>
          <w:lang w:val="en-AU"/>
        </w:rPr>
        <w:footnoteRef/>
      </w:r>
      <w:r w:rsidRPr="0072758C">
        <w:rPr>
          <w:lang w:val="en-AU"/>
        </w:rPr>
        <w:t xml:space="preserve"> Andrew Lawler, “Who wrote the Dead Sea Scrolls</w:t>
      </w:r>
      <w:r w:rsidR="001F0FD4" w:rsidRPr="0072758C">
        <w:rPr>
          <w:lang w:val="en-AU"/>
        </w:rPr>
        <w:t>,</w:t>
      </w:r>
      <w:r w:rsidRPr="0072758C">
        <w:rPr>
          <w:lang w:val="en-AU"/>
        </w:rPr>
        <w:t xml:space="preserve">” </w:t>
      </w:r>
      <w:r w:rsidRPr="0072758C">
        <w:rPr>
          <w:i/>
          <w:iCs/>
          <w:lang w:val="en-AU"/>
        </w:rPr>
        <w:t xml:space="preserve">The </w:t>
      </w:r>
      <w:r w:rsidRPr="0072758C">
        <w:rPr>
          <w:i/>
          <w:lang w:val="en-AU"/>
        </w:rPr>
        <w:t xml:space="preserve">Smithsonian, </w:t>
      </w:r>
      <w:r w:rsidRPr="0072758C">
        <w:rPr>
          <w:iCs/>
          <w:lang w:val="en-AU"/>
        </w:rPr>
        <w:t>January</w:t>
      </w:r>
      <w:r w:rsidRPr="0072758C">
        <w:rPr>
          <w:i/>
          <w:lang w:val="en-AU"/>
        </w:rPr>
        <w:t xml:space="preserve"> </w:t>
      </w:r>
      <w:r w:rsidRPr="0072758C">
        <w:rPr>
          <w:lang w:val="en-AU"/>
        </w:rPr>
        <w:t>2010: 40–47.</w:t>
      </w:r>
    </w:p>
    <w:p w14:paraId="59B51316" w14:textId="77777777" w:rsidR="005C18F8" w:rsidRPr="0072758C" w:rsidRDefault="005C18F8" w:rsidP="009B7870">
      <w:pPr>
        <w:pStyle w:val="EndnoteText"/>
        <w:rPr>
          <w:color w:val="FF0000"/>
          <w:lang w:val="en-AU"/>
        </w:rPr>
      </w:pPr>
    </w:p>
  </w:footnote>
  <w:footnote w:id="150">
    <w:p w14:paraId="12AA2436" w14:textId="60F6F3B8" w:rsidR="005C18F8" w:rsidRPr="0072758C" w:rsidRDefault="005C18F8" w:rsidP="0060492B">
      <w:pPr>
        <w:pStyle w:val="EndnoteText"/>
        <w:ind w:firstLine="720"/>
        <w:rPr>
          <w:i/>
          <w:iCs/>
          <w:lang w:val="en-AU"/>
        </w:rPr>
      </w:pPr>
      <w:r w:rsidRPr="0072758C">
        <w:rPr>
          <w:rStyle w:val="FootnoteReference"/>
          <w:lang w:val="en-AU"/>
        </w:rPr>
        <w:footnoteRef/>
      </w:r>
      <w:r w:rsidRPr="0072758C">
        <w:rPr>
          <w:lang w:val="en-AU"/>
        </w:rPr>
        <w:t xml:space="preserve"> E. P. Sanders argues that repentance taught by Jesus focused on the distinction between moral repentance and ritual repentance.  The use of the </w:t>
      </w:r>
      <w:r w:rsidRPr="0072758C">
        <w:rPr>
          <w:i/>
          <w:iCs/>
          <w:lang w:val="en-AU"/>
        </w:rPr>
        <w:t>mikvah</w:t>
      </w:r>
      <w:r w:rsidRPr="0072758C">
        <w:rPr>
          <w:lang w:val="en-AU"/>
        </w:rPr>
        <w:t xml:space="preserve"> is a ritual function of repentance while the change of a character is a moral repentance.  For more scholarship see</w:t>
      </w:r>
      <w:r w:rsidR="005911FF" w:rsidRPr="0072758C">
        <w:rPr>
          <w:lang w:val="en-AU"/>
        </w:rPr>
        <w:t xml:space="preserve"> </w:t>
      </w:r>
      <w:r w:rsidR="000E6CF2" w:rsidRPr="0072758C">
        <w:rPr>
          <w:lang w:val="en-AU"/>
        </w:rPr>
        <w:t>Geoffrey Scarre</w:t>
      </w:r>
      <w:r w:rsidR="001F0FD4" w:rsidRPr="0072758C">
        <w:rPr>
          <w:lang w:val="en-AU"/>
        </w:rPr>
        <w:t>,</w:t>
      </w:r>
      <w:r w:rsidR="000E6CF2" w:rsidRPr="0072758C">
        <w:rPr>
          <w:lang w:val="en-AU"/>
        </w:rPr>
        <w:t xml:space="preserve"> “Political Reconciliation, Forgiveness and Grace</w:t>
      </w:r>
      <w:r w:rsidR="001F0FD4" w:rsidRPr="0072758C">
        <w:rPr>
          <w:lang w:val="en-AU"/>
        </w:rPr>
        <w:t>,</w:t>
      </w:r>
      <w:r w:rsidR="000E6CF2" w:rsidRPr="0072758C">
        <w:rPr>
          <w:lang w:val="en-AU"/>
        </w:rPr>
        <w:t>” </w:t>
      </w:r>
      <w:r w:rsidR="000E6CF2" w:rsidRPr="0072758C">
        <w:rPr>
          <w:i/>
          <w:iCs/>
          <w:lang w:val="en-AU"/>
        </w:rPr>
        <w:t>Studies in Christian Ethics</w:t>
      </w:r>
      <w:r w:rsidR="000E6CF2" w:rsidRPr="0072758C">
        <w:rPr>
          <w:lang w:val="en-AU"/>
        </w:rPr>
        <w:t> 24</w:t>
      </w:r>
      <w:r w:rsidR="00266A64" w:rsidRPr="0072758C">
        <w:rPr>
          <w:lang w:val="en-AU"/>
        </w:rPr>
        <w:t xml:space="preserve"> </w:t>
      </w:r>
      <w:r w:rsidR="000E6CF2" w:rsidRPr="0072758C">
        <w:rPr>
          <w:lang w:val="en-AU"/>
        </w:rPr>
        <w:t>(2011): 171–82; James P. Danaher, “Out of Context: The Gospel According to Jesus</w:t>
      </w:r>
      <w:r w:rsidR="001F0FD4" w:rsidRPr="0072758C">
        <w:rPr>
          <w:lang w:val="en-AU"/>
        </w:rPr>
        <w:t>,</w:t>
      </w:r>
      <w:r w:rsidR="000E6CF2" w:rsidRPr="0072758C">
        <w:rPr>
          <w:lang w:val="en-AU"/>
        </w:rPr>
        <w:t>” </w:t>
      </w:r>
      <w:r w:rsidR="000E6CF2" w:rsidRPr="0072758C">
        <w:rPr>
          <w:i/>
          <w:iCs/>
          <w:lang w:val="en-AU"/>
        </w:rPr>
        <w:t>Evangelical Review of Theology </w:t>
      </w:r>
      <w:r w:rsidR="000E6CF2" w:rsidRPr="0072758C">
        <w:rPr>
          <w:lang w:val="en-AU"/>
        </w:rPr>
        <w:t xml:space="preserve">35 (2011): 265–75; </w:t>
      </w:r>
      <w:r w:rsidRPr="0072758C">
        <w:rPr>
          <w:lang w:val="en-AU"/>
        </w:rPr>
        <w:t xml:space="preserve">E. P. Sanders, </w:t>
      </w:r>
      <w:r w:rsidR="001F0FD4" w:rsidRPr="0072758C">
        <w:rPr>
          <w:lang w:val="en-AU"/>
        </w:rPr>
        <w:t>“</w:t>
      </w:r>
      <w:r w:rsidRPr="0072758C">
        <w:rPr>
          <w:lang w:val="en-AU"/>
        </w:rPr>
        <w:t>Jesus and the Sinners</w:t>
      </w:r>
      <w:r w:rsidR="001F0FD4" w:rsidRPr="0072758C">
        <w:rPr>
          <w:lang w:val="en-AU"/>
        </w:rPr>
        <w:t>,”</w:t>
      </w:r>
      <w:r w:rsidRPr="0072758C">
        <w:rPr>
          <w:lang w:val="en-AU"/>
        </w:rPr>
        <w:t xml:space="preserve"> </w:t>
      </w:r>
      <w:r w:rsidR="001F0FD4" w:rsidRPr="0072758C">
        <w:rPr>
          <w:i/>
          <w:iCs/>
          <w:lang w:val="en-AU"/>
        </w:rPr>
        <w:t>Journal for the Study of the New Testament </w:t>
      </w:r>
      <w:r w:rsidRPr="0072758C">
        <w:rPr>
          <w:i/>
          <w:iCs/>
          <w:lang w:val="en-AU"/>
        </w:rPr>
        <w:t>19</w:t>
      </w:r>
      <w:r w:rsidRPr="0072758C">
        <w:rPr>
          <w:lang w:val="en-AU"/>
        </w:rPr>
        <w:t xml:space="preserve"> (1983)</w:t>
      </w:r>
      <w:r w:rsidR="00013BF9" w:rsidRPr="0072758C">
        <w:rPr>
          <w:lang w:val="en-AU"/>
        </w:rPr>
        <w:t>:</w:t>
      </w:r>
      <w:r w:rsidRPr="0072758C">
        <w:rPr>
          <w:lang w:val="en-AU"/>
        </w:rPr>
        <w:t xml:space="preserve"> 5–36; E. P. Sanders, </w:t>
      </w:r>
      <w:r w:rsidRPr="0072758C">
        <w:rPr>
          <w:i/>
          <w:iCs/>
          <w:lang w:val="en-AU"/>
        </w:rPr>
        <w:t>Jesus and Judaism</w:t>
      </w:r>
      <w:r w:rsidRPr="0072758C">
        <w:rPr>
          <w:lang w:val="en-AU"/>
        </w:rPr>
        <w:t xml:space="preserve"> (London: SCM, 1985)</w:t>
      </w:r>
      <w:r w:rsidR="001606AD" w:rsidRPr="0072758C">
        <w:rPr>
          <w:lang w:val="en-AU"/>
        </w:rPr>
        <w:t>,</w:t>
      </w:r>
      <w:r w:rsidRPr="0072758C">
        <w:rPr>
          <w:lang w:val="en-AU"/>
        </w:rPr>
        <w:t xml:space="preserve"> 174–211; E. P. Sanders, </w:t>
      </w:r>
      <w:r w:rsidRPr="0072758C">
        <w:rPr>
          <w:i/>
          <w:iCs/>
          <w:lang w:val="en-AU"/>
        </w:rPr>
        <w:t>The Historical Figure of Jesus</w:t>
      </w:r>
      <w:r w:rsidRPr="0072758C">
        <w:rPr>
          <w:lang w:val="en-AU"/>
        </w:rPr>
        <w:t xml:space="preserve"> (London: Allen Lane, 1993)</w:t>
      </w:r>
      <w:r w:rsidR="0060492B" w:rsidRPr="0072758C">
        <w:rPr>
          <w:lang w:val="en-AU"/>
        </w:rPr>
        <w:t>,</w:t>
      </w:r>
      <w:r w:rsidRPr="0072758C">
        <w:rPr>
          <w:lang w:val="en-AU"/>
        </w:rPr>
        <w:t xml:space="preserve"> 226–37. </w:t>
      </w:r>
      <w:r w:rsidR="001D475F" w:rsidRPr="0072758C">
        <w:rPr>
          <w:lang w:val="en-AU"/>
        </w:rPr>
        <w:t>Alan J. Torrance, “Forgiveness and Christian Character: Reconciliation, Exemplarism and the Shape of Moral Theology</w:t>
      </w:r>
      <w:r w:rsidR="0060492B" w:rsidRPr="0072758C">
        <w:rPr>
          <w:lang w:val="en-AU"/>
        </w:rPr>
        <w:t>,</w:t>
      </w:r>
      <w:r w:rsidR="001D475F" w:rsidRPr="0072758C">
        <w:rPr>
          <w:lang w:val="en-AU"/>
        </w:rPr>
        <w:t>” </w:t>
      </w:r>
      <w:r w:rsidR="001D475F" w:rsidRPr="0072758C">
        <w:rPr>
          <w:i/>
          <w:iCs/>
          <w:lang w:val="en-AU"/>
        </w:rPr>
        <w:t>Studies in Christian Ethics</w:t>
      </w:r>
      <w:r w:rsidR="001D475F" w:rsidRPr="0072758C">
        <w:rPr>
          <w:lang w:val="en-AU"/>
        </w:rPr>
        <w:t xml:space="preserve"> 30 (2017): 293–313. </w:t>
      </w:r>
      <w:r w:rsidRPr="0072758C">
        <w:rPr>
          <w:lang w:val="en-AU"/>
        </w:rPr>
        <w:t>N. H. Young suggests that this does not change the need in the Protestant tradition to have repentance then forgiveness of sins in that order, see</w:t>
      </w:r>
      <w:r w:rsidRPr="0072758C">
        <w:rPr>
          <w:i/>
          <w:iCs/>
          <w:lang w:val="en-AU"/>
        </w:rPr>
        <w:t xml:space="preserve">, </w:t>
      </w:r>
      <w:r w:rsidRPr="0072758C">
        <w:rPr>
          <w:lang w:val="en-AU"/>
        </w:rPr>
        <w:t>N. H. Young, ‘“Jesus and the Sinners</w:t>
      </w:r>
      <w:r w:rsidR="0060492B" w:rsidRPr="0072758C">
        <w:rPr>
          <w:lang w:val="en-AU"/>
        </w:rPr>
        <w:t>,</w:t>
      </w:r>
      <w:r w:rsidRPr="0072758C">
        <w:rPr>
          <w:lang w:val="en-AU"/>
        </w:rPr>
        <w:t>”</w:t>
      </w:r>
      <w:r w:rsidR="0060492B" w:rsidRPr="0072758C">
        <w:rPr>
          <w:lang w:val="en-AU"/>
        </w:rPr>
        <w:t xml:space="preserve"> </w:t>
      </w:r>
      <w:r w:rsidR="001F0FD4" w:rsidRPr="0072758C">
        <w:rPr>
          <w:i/>
          <w:iCs/>
          <w:lang w:val="en-AU"/>
        </w:rPr>
        <w:t>Journal for the Study of the New Testament </w:t>
      </w:r>
      <w:r w:rsidRPr="0072758C">
        <w:rPr>
          <w:lang w:val="en-AU"/>
        </w:rPr>
        <w:t>24 (1985)</w:t>
      </w:r>
      <w:r w:rsidR="00013BF9" w:rsidRPr="0072758C">
        <w:rPr>
          <w:lang w:val="en-AU"/>
        </w:rPr>
        <w:t>:</w:t>
      </w:r>
      <w:r w:rsidRPr="0072758C">
        <w:rPr>
          <w:lang w:val="en-AU"/>
        </w:rPr>
        <w:t xml:space="preserve"> 73–5. There is much scholarship on the views of repentance and forgiveness of sin that far exceeds the scope of this dissertation.</w:t>
      </w:r>
    </w:p>
    <w:p w14:paraId="243BF0B4" w14:textId="77777777" w:rsidR="005C18F8" w:rsidRPr="0072758C" w:rsidRDefault="005C18F8" w:rsidP="009B7870">
      <w:pPr>
        <w:pStyle w:val="EndnoteText"/>
        <w:rPr>
          <w:lang w:val="en-AU"/>
        </w:rPr>
      </w:pPr>
    </w:p>
  </w:footnote>
  <w:footnote w:id="151">
    <w:p w14:paraId="2A8DEF00" w14:textId="738958C6"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For a discussion of Jewish repentance theology from the medieval period, see Elisheva Baumgarten, “Appropriation and Differentiation: Jewish Identity in Medieval Ashkenaz,” </w:t>
      </w:r>
      <w:r w:rsidRPr="0072758C">
        <w:rPr>
          <w:i/>
          <w:iCs/>
          <w:lang w:val="en-AU"/>
        </w:rPr>
        <w:t>Association of Jewish Studies Review</w:t>
      </w:r>
      <w:r w:rsidRPr="0072758C">
        <w:rPr>
          <w:lang w:val="en-AU"/>
        </w:rPr>
        <w:t> 42</w:t>
      </w:r>
      <w:r w:rsidR="00603766" w:rsidRPr="0072758C">
        <w:rPr>
          <w:lang w:val="en-AU"/>
        </w:rPr>
        <w:t xml:space="preserve"> </w:t>
      </w:r>
      <w:r w:rsidRPr="0072758C">
        <w:rPr>
          <w:lang w:val="en-AU"/>
        </w:rPr>
        <w:t>(2018): 39–63.</w:t>
      </w:r>
    </w:p>
    <w:p w14:paraId="2216A307" w14:textId="420D456B" w:rsidR="005C18F8" w:rsidRPr="0072758C" w:rsidRDefault="00F5340B" w:rsidP="00F5340B">
      <w:pPr>
        <w:pStyle w:val="EndnoteText"/>
        <w:rPr>
          <w:lang w:val="en-AU"/>
        </w:rPr>
      </w:pPr>
      <w:r w:rsidRPr="0072758C">
        <w:rPr>
          <w:lang w:val="en-AU"/>
        </w:rPr>
        <w:tab/>
      </w:r>
    </w:p>
  </w:footnote>
  <w:footnote w:id="152">
    <w:p w14:paraId="5978F6B8" w14:textId="77777777"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It is worth noting that the role of animal sacrifices in the Temple is far beyond the scope of this dissertation.  The atonement of sin through blood sacrifice is not explored here; however, the change of character in terms of repentance and ritual purity is discussed. </w:t>
      </w:r>
    </w:p>
    <w:p w14:paraId="109DCD02" w14:textId="77777777" w:rsidR="005C18F8" w:rsidRPr="0072758C" w:rsidRDefault="005C18F8" w:rsidP="00F5340B">
      <w:pPr>
        <w:pStyle w:val="EndnoteText"/>
        <w:rPr>
          <w:lang w:val="en-AU"/>
        </w:rPr>
      </w:pPr>
    </w:p>
  </w:footnote>
  <w:footnote w:id="153">
    <w:p w14:paraId="108D4503" w14:textId="7C42E449"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Frederick F. Bruce and Stephen Pfann, “Qumran,” in </w:t>
      </w:r>
      <w:r w:rsidRPr="0072758C">
        <w:rPr>
          <w:i/>
          <w:lang w:val="en-AU"/>
        </w:rPr>
        <w:t>Encyclopedia Judaica</w:t>
      </w:r>
      <w:r w:rsidRPr="0072758C">
        <w:rPr>
          <w:lang w:val="en-AU"/>
        </w:rPr>
        <w:t>, vol. 16, 2nd edition (Jerusalem: Keter, 2007), 770</w:t>
      </w:r>
      <w:r w:rsidR="001D475F" w:rsidRPr="0072758C">
        <w:rPr>
          <w:lang w:val="en-AU"/>
        </w:rPr>
        <w:t>; Jonathan Klawans, “Washing in Water: Trajectories of Ritual Bathing in the Hebrew Bible and Second Temple Literature</w:t>
      </w:r>
      <w:r w:rsidR="0060492B" w:rsidRPr="0072758C">
        <w:rPr>
          <w:lang w:val="en-AU"/>
        </w:rPr>
        <w:t>,</w:t>
      </w:r>
      <w:r w:rsidR="001D475F" w:rsidRPr="0072758C">
        <w:rPr>
          <w:lang w:val="en-AU"/>
        </w:rPr>
        <w:t>” </w:t>
      </w:r>
      <w:r w:rsidR="001D475F" w:rsidRPr="0072758C">
        <w:rPr>
          <w:i/>
          <w:iCs/>
          <w:lang w:val="en-AU"/>
        </w:rPr>
        <w:t>Journal of the American Oriental Society</w:t>
      </w:r>
      <w:r w:rsidR="001D475F" w:rsidRPr="0072758C">
        <w:rPr>
          <w:lang w:val="en-AU"/>
        </w:rPr>
        <w:t> 127 (2007): 551–52; Boaz Zissu and Amir Ganor</w:t>
      </w:r>
      <w:r w:rsidR="0060492B" w:rsidRPr="0072758C">
        <w:rPr>
          <w:lang w:val="en-AU"/>
        </w:rPr>
        <w:t>,</w:t>
      </w:r>
      <w:r w:rsidR="001D475F" w:rsidRPr="0072758C">
        <w:rPr>
          <w:lang w:val="en-AU"/>
        </w:rPr>
        <w:t xml:space="preserve"> “Horvat ’Ethri—A Jewish Village from the Second Temple Period and the Bar Kokhba Revolt in the Judean Foothills</w:t>
      </w:r>
      <w:r w:rsidR="0060492B" w:rsidRPr="0072758C">
        <w:rPr>
          <w:lang w:val="en-AU"/>
        </w:rPr>
        <w:t>,</w:t>
      </w:r>
      <w:r w:rsidR="001D475F" w:rsidRPr="0072758C">
        <w:rPr>
          <w:lang w:val="en-AU"/>
        </w:rPr>
        <w:t>” </w:t>
      </w:r>
      <w:r w:rsidR="001D475F" w:rsidRPr="0072758C">
        <w:rPr>
          <w:i/>
          <w:iCs/>
          <w:lang w:val="en-AU"/>
        </w:rPr>
        <w:t>Journal of Jewish Studies</w:t>
      </w:r>
      <w:r w:rsidR="001D475F" w:rsidRPr="0072758C">
        <w:rPr>
          <w:lang w:val="en-AU"/>
        </w:rPr>
        <w:t> 60 (2009): 90–136</w:t>
      </w:r>
      <w:r w:rsidR="00851D5F" w:rsidRPr="0072758C">
        <w:rPr>
          <w:lang w:val="en-AU"/>
        </w:rPr>
        <w:t>; Yonatan Adler, “Second Temple Period Ritual Baths Adjacent to Agricultural Installations: The Archaeological Evidence in Light of the Halakhic Sources</w:t>
      </w:r>
      <w:r w:rsidR="0060492B" w:rsidRPr="0072758C">
        <w:rPr>
          <w:lang w:val="en-AU"/>
        </w:rPr>
        <w:t>,</w:t>
      </w:r>
      <w:r w:rsidR="00851D5F" w:rsidRPr="0072758C">
        <w:rPr>
          <w:lang w:val="en-AU"/>
        </w:rPr>
        <w:t>” </w:t>
      </w:r>
      <w:r w:rsidR="00851D5F" w:rsidRPr="0072758C">
        <w:rPr>
          <w:i/>
          <w:iCs/>
          <w:lang w:val="en-AU"/>
        </w:rPr>
        <w:t>Journal of Jewish Studies</w:t>
      </w:r>
      <w:r w:rsidR="00851D5F" w:rsidRPr="0072758C">
        <w:rPr>
          <w:lang w:val="en-AU"/>
        </w:rPr>
        <w:t> 59 (2008): 62–72.</w:t>
      </w:r>
    </w:p>
  </w:footnote>
  <w:footnote w:id="154">
    <w:p w14:paraId="59A1A3C1" w14:textId="77777777" w:rsidR="00F4463B" w:rsidRPr="0072758C" w:rsidRDefault="00F4463B" w:rsidP="00F5340B">
      <w:pPr>
        <w:pStyle w:val="EndnoteText"/>
        <w:rPr>
          <w:lang w:val="en-AU"/>
        </w:rPr>
      </w:pPr>
    </w:p>
    <w:p w14:paraId="169D371E" w14:textId="794B9059"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Arnost Zvi Ehrman, “</w:t>
      </w:r>
      <w:r w:rsidRPr="0072758C">
        <w:rPr>
          <w:i/>
          <w:iCs/>
          <w:lang w:val="en-AU"/>
        </w:rPr>
        <w:t>Mikva’ot,”</w:t>
      </w:r>
      <w:r w:rsidRPr="0072758C">
        <w:rPr>
          <w:lang w:val="en-AU"/>
        </w:rPr>
        <w:t xml:space="preserve"> in </w:t>
      </w:r>
      <w:r w:rsidRPr="0072758C">
        <w:rPr>
          <w:i/>
          <w:iCs/>
          <w:lang w:val="en-AU"/>
        </w:rPr>
        <w:t>Encyclopedia Judaica</w:t>
      </w:r>
      <w:r w:rsidRPr="0072758C">
        <w:rPr>
          <w:lang w:val="en-AU"/>
        </w:rPr>
        <w:t xml:space="preserve">, 14 (Jerusalem: Keter Publishing House, 2007), 224. </w:t>
      </w:r>
    </w:p>
    <w:p w14:paraId="28584820" w14:textId="77777777" w:rsidR="005C18F8" w:rsidRPr="0072758C" w:rsidRDefault="005C18F8" w:rsidP="00F5340B">
      <w:pPr>
        <w:pStyle w:val="EndnoteText"/>
        <w:rPr>
          <w:lang w:val="en-AU"/>
        </w:rPr>
      </w:pPr>
    </w:p>
  </w:footnote>
  <w:footnote w:id="155">
    <w:p w14:paraId="4F9C9243" w14:textId="1011766C" w:rsidR="00425B90" w:rsidRPr="0072758C" w:rsidRDefault="005C18F8" w:rsidP="0060492B">
      <w:pPr>
        <w:pStyle w:val="EndnoteText"/>
        <w:ind w:firstLine="720"/>
        <w:rPr>
          <w:lang w:val="en-AU"/>
        </w:rPr>
      </w:pPr>
      <w:r w:rsidRPr="0072758C">
        <w:rPr>
          <w:rStyle w:val="FootnoteReference"/>
          <w:lang w:val="en-AU"/>
        </w:rPr>
        <w:footnoteRef/>
      </w:r>
      <w:r w:rsidRPr="0072758C">
        <w:rPr>
          <w:lang w:val="en-AU"/>
        </w:rPr>
        <w:t xml:space="preserve"> According to </w:t>
      </w:r>
      <w:r w:rsidRPr="0072758C">
        <w:rPr>
          <w:i/>
          <w:iCs/>
          <w:lang w:val="en-AU"/>
        </w:rPr>
        <w:t>New Brown Driver Briggs Gesenius Hebrew English Lexicon</w:t>
      </w:r>
      <w:r w:rsidRPr="0072758C">
        <w:rPr>
          <w:lang w:val="en-AU"/>
        </w:rPr>
        <w:t xml:space="preserve"> (BDB), mikveh (</w:t>
      </w:r>
      <w:r w:rsidRPr="0072758C">
        <w:rPr>
          <w:sz w:val="21"/>
          <w:szCs w:val="21"/>
          <w:shd w:val="clear" w:color="auto" w:fill="FFFFFF"/>
          <w:lang w:val="en-AU"/>
        </w:rPr>
        <w:t>מִקְוֶה</w:t>
      </w:r>
      <w:r w:rsidRPr="0072758C">
        <w:rPr>
          <w:lang w:val="en-AU"/>
        </w:rPr>
        <w:t>) is the Hebrew word the meaning “to gather.”  See</w:t>
      </w:r>
      <w:r w:rsidRPr="0072758C">
        <w:rPr>
          <w:i/>
          <w:iCs/>
          <w:lang w:val="en-AU"/>
        </w:rPr>
        <w:t xml:space="preserve"> </w:t>
      </w:r>
      <w:r w:rsidRPr="0072758C">
        <w:rPr>
          <w:lang w:val="en-AU"/>
        </w:rPr>
        <w:t xml:space="preserve">Francis Brown, S. R. Driver, and C. Briggs, </w:t>
      </w:r>
      <w:r w:rsidR="00467DD9" w:rsidRPr="0072758C">
        <w:rPr>
          <w:lang w:val="en-AU"/>
        </w:rPr>
        <w:t>“</w:t>
      </w:r>
      <w:r w:rsidR="00467DD9" w:rsidRPr="0072758C">
        <w:rPr>
          <w:rFonts w:ascii="Arial" w:hAnsi="Arial" w:cs="Arial"/>
          <w:color w:val="222222"/>
          <w:sz w:val="21"/>
          <w:szCs w:val="21"/>
          <w:shd w:val="clear" w:color="auto" w:fill="FFFFFF"/>
          <w:rtl/>
          <w:lang w:val="en-AU"/>
        </w:rPr>
        <w:t>מִקְוֶה</w:t>
      </w:r>
      <w:r w:rsidRPr="0072758C">
        <w:rPr>
          <w:lang w:val="en-AU"/>
        </w:rPr>
        <w:t xml:space="preserve">,” The New Brown Driver Briggs Gesenius Hebrew and English Lexicon (Peabody: Hendrickson, 1979), 876. </w:t>
      </w:r>
      <w:r w:rsidR="00425B90" w:rsidRPr="0072758C">
        <w:rPr>
          <w:lang w:val="en-AU"/>
        </w:rPr>
        <w:t>Adler suggests that textual and archaeological evidence suggest that immersion emerged during the first century BCE from the Hellenistic hip bath, see Yonatan Adler, “The Hellenistic Origins of Jewish Ritual Immersion</w:t>
      </w:r>
      <w:r w:rsidR="0060492B" w:rsidRPr="0072758C">
        <w:rPr>
          <w:lang w:val="en-AU"/>
        </w:rPr>
        <w:t>,</w:t>
      </w:r>
      <w:r w:rsidR="00425B90" w:rsidRPr="0072758C">
        <w:rPr>
          <w:lang w:val="en-AU"/>
        </w:rPr>
        <w:t>” </w:t>
      </w:r>
      <w:r w:rsidR="00425B90" w:rsidRPr="0072758C">
        <w:rPr>
          <w:i/>
          <w:iCs/>
          <w:lang w:val="en-AU"/>
        </w:rPr>
        <w:t>Journal of Jewish Studies</w:t>
      </w:r>
      <w:r w:rsidR="00425B90" w:rsidRPr="0072758C">
        <w:rPr>
          <w:lang w:val="en-AU"/>
        </w:rPr>
        <w:t> 69</w:t>
      </w:r>
      <w:r w:rsidR="00266A64" w:rsidRPr="0072758C">
        <w:rPr>
          <w:lang w:val="en-AU"/>
        </w:rPr>
        <w:t xml:space="preserve"> </w:t>
      </w:r>
      <w:r w:rsidR="00425B90" w:rsidRPr="0072758C">
        <w:rPr>
          <w:lang w:val="en-AU"/>
        </w:rPr>
        <w:t>(2018): 1–21.</w:t>
      </w:r>
    </w:p>
    <w:p w14:paraId="1F61B838" w14:textId="77777777" w:rsidR="005C18F8" w:rsidRPr="0072758C" w:rsidRDefault="005C18F8" w:rsidP="00F5340B">
      <w:pPr>
        <w:pStyle w:val="EndnoteText"/>
        <w:rPr>
          <w:lang w:val="en-AU"/>
        </w:rPr>
      </w:pPr>
    </w:p>
  </w:footnote>
  <w:footnote w:id="156">
    <w:p w14:paraId="02E4F6DE" w14:textId="77777777"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Geza Vermes, </w:t>
      </w:r>
      <w:r w:rsidRPr="0072758C">
        <w:rPr>
          <w:i/>
          <w:iCs/>
          <w:lang w:val="en-AU"/>
        </w:rPr>
        <w:t>The Complete Dead Scrolls in English</w:t>
      </w:r>
      <w:r w:rsidRPr="0072758C">
        <w:rPr>
          <w:lang w:val="en-AU"/>
        </w:rPr>
        <w:t xml:space="preserve"> (London: Penguin Books, 2004), 101. </w:t>
      </w:r>
    </w:p>
    <w:p w14:paraId="24DF50CE" w14:textId="77777777" w:rsidR="005C18F8" w:rsidRPr="0072758C" w:rsidRDefault="005C18F8" w:rsidP="00F5340B">
      <w:pPr>
        <w:pStyle w:val="EndnoteText"/>
        <w:rPr>
          <w:lang w:val="en-AU"/>
        </w:rPr>
      </w:pPr>
    </w:p>
  </w:footnote>
  <w:footnote w:id="157">
    <w:p w14:paraId="7565D978" w14:textId="2340BCAA" w:rsidR="0038674E"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Markus Bockmuehl, “IQ S and Salvation at Qumran,” in </w:t>
      </w:r>
      <w:r w:rsidRPr="0072758C">
        <w:rPr>
          <w:i/>
          <w:iCs/>
          <w:lang w:val="en-AU"/>
        </w:rPr>
        <w:t xml:space="preserve">Justification and Variegated Nomism: Vol. 1, The Complexities of Second Temple Judaism. Eds. </w:t>
      </w:r>
      <w:r w:rsidRPr="0072758C">
        <w:rPr>
          <w:lang w:val="en-AU"/>
        </w:rPr>
        <w:t xml:space="preserve">D. A. Carson, Peter T. </w:t>
      </w:r>
      <w:proofErr w:type="gramStart"/>
      <w:r w:rsidRPr="0072758C">
        <w:rPr>
          <w:lang w:val="en-AU"/>
        </w:rPr>
        <w:t>O’Brien</w:t>
      </w:r>
      <w:proofErr w:type="gramEnd"/>
      <w:r w:rsidRPr="0072758C">
        <w:rPr>
          <w:lang w:val="en-AU"/>
        </w:rPr>
        <w:t xml:space="preserve"> and Mark A. Seifrid</w:t>
      </w:r>
      <w:r w:rsidR="0060492B" w:rsidRPr="0072758C">
        <w:rPr>
          <w:lang w:val="en-AU"/>
        </w:rPr>
        <w:t xml:space="preserve"> </w:t>
      </w:r>
      <w:r w:rsidRPr="0072758C">
        <w:rPr>
          <w:lang w:val="en-AU"/>
        </w:rPr>
        <w:t>(Grand Rapids: Baker, 2001), 388–89.</w:t>
      </w:r>
      <w:r w:rsidR="0038674E" w:rsidRPr="0072758C">
        <w:rPr>
          <w:lang w:val="en-AU"/>
        </w:rPr>
        <w:t xml:space="preserve">  This is supported by Bilhah Nitzan. </w:t>
      </w:r>
      <w:r w:rsidR="0038674E" w:rsidRPr="0072758C">
        <w:rPr>
          <w:i/>
          <w:iCs/>
          <w:lang w:val="en-AU"/>
        </w:rPr>
        <w:t xml:space="preserve">“The ‘Repentance’ in the Dead Sea Scrolls / </w:t>
      </w:r>
      <w:r w:rsidR="0038674E" w:rsidRPr="0072758C">
        <w:rPr>
          <w:i/>
          <w:iCs/>
          <w:rtl/>
          <w:lang w:val="en-AU"/>
        </w:rPr>
        <w:t>ה’תשובה’ במגילות מדבר יהודה</w:t>
      </w:r>
      <w:r w:rsidR="0060492B" w:rsidRPr="0072758C">
        <w:rPr>
          <w:lang w:val="en-AU"/>
        </w:rPr>
        <w:t>,</w:t>
      </w:r>
      <w:r w:rsidR="0038674E" w:rsidRPr="0072758C">
        <w:rPr>
          <w:lang w:val="en-AU"/>
        </w:rPr>
        <w:t>” Proceedings of the World Congress of Jewish Studies</w:t>
      </w:r>
      <w:r w:rsidR="0038674E" w:rsidRPr="0072758C">
        <w:rPr>
          <w:i/>
          <w:iCs/>
          <w:lang w:val="en-AU"/>
        </w:rPr>
        <w:t xml:space="preserve"> / </w:t>
      </w:r>
      <w:r w:rsidR="0038674E" w:rsidRPr="0072758C">
        <w:rPr>
          <w:i/>
          <w:iCs/>
          <w:rtl/>
          <w:lang w:val="en-AU"/>
        </w:rPr>
        <w:t>דברי הקונגרס העולמי למדעי היהדות יב</w:t>
      </w:r>
      <w:r w:rsidR="0038674E" w:rsidRPr="0072758C">
        <w:rPr>
          <w:i/>
          <w:iCs/>
          <w:lang w:val="en-AU"/>
        </w:rPr>
        <w:t xml:space="preserve"> </w:t>
      </w:r>
      <w:r w:rsidR="0038674E" w:rsidRPr="0072758C">
        <w:rPr>
          <w:lang w:val="en-AU"/>
        </w:rPr>
        <w:t>(1997): 175–83</w:t>
      </w:r>
      <w:r w:rsidR="0038674E" w:rsidRPr="0072758C">
        <w:rPr>
          <w:i/>
          <w:iCs/>
          <w:lang w:val="en-AU"/>
        </w:rPr>
        <w:t>.</w:t>
      </w:r>
    </w:p>
    <w:p w14:paraId="781D84C3" w14:textId="77777777" w:rsidR="005C18F8" w:rsidRPr="0072758C" w:rsidRDefault="005C18F8" w:rsidP="00AB7CAD">
      <w:pPr>
        <w:pStyle w:val="EndnoteText"/>
        <w:rPr>
          <w:lang w:val="en-AU"/>
        </w:rPr>
      </w:pPr>
    </w:p>
  </w:footnote>
  <w:footnote w:id="158">
    <w:p w14:paraId="1F7B2421" w14:textId="77777777"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Geza Vermes, </w:t>
      </w:r>
      <w:r w:rsidRPr="0072758C">
        <w:rPr>
          <w:i/>
          <w:iCs/>
          <w:lang w:val="en-AU"/>
        </w:rPr>
        <w:t>The Complete Dead Scrolls in English</w:t>
      </w:r>
      <w:r w:rsidRPr="0072758C">
        <w:rPr>
          <w:lang w:val="en-AU"/>
        </w:rPr>
        <w:t xml:space="preserve"> (London: Penguin, 2004), 101.</w:t>
      </w:r>
    </w:p>
    <w:p w14:paraId="5225C00F" w14:textId="77777777" w:rsidR="005C18F8" w:rsidRPr="0072758C" w:rsidRDefault="005C18F8" w:rsidP="00F5340B">
      <w:pPr>
        <w:pStyle w:val="EndnoteText"/>
        <w:rPr>
          <w:lang w:val="en-AU"/>
        </w:rPr>
      </w:pPr>
    </w:p>
  </w:footnote>
  <w:footnote w:id="159">
    <w:p w14:paraId="0D45D086" w14:textId="225531AE"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William Sanford LaSor, </w:t>
      </w:r>
      <w:r w:rsidRPr="0072758C">
        <w:rPr>
          <w:i/>
          <w:iCs/>
          <w:lang w:val="en-AU"/>
        </w:rPr>
        <w:t>Dead Sea Scrolls</w:t>
      </w:r>
      <w:r w:rsidRPr="0072758C">
        <w:rPr>
          <w:lang w:val="en-AU"/>
        </w:rPr>
        <w:t xml:space="preserve"> (Grand Rapids: Eerdmans, 1972), 271</w:t>
      </w:r>
      <w:r w:rsidR="00CC7AA2" w:rsidRPr="0072758C">
        <w:rPr>
          <w:lang w:val="en-AU"/>
        </w:rPr>
        <w:t>; Joel Marcus, “Response to the Respondents: Competition, Qumran and Supersessionism</w:t>
      </w:r>
      <w:r w:rsidR="0060492B" w:rsidRPr="0072758C">
        <w:rPr>
          <w:lang w:val="en-AU"/>
        </w:rPr>
        <w:t>,</w:t>
      </w:r>
      <w:r w:rsidR="00CC7AA2" w:rsidRPr="0072758C">
        <w:rPr>
          <w:lang w:val="en-AU"/>
        </w:rPr>
        <w:t>” </w:t>
      </w:r>
      <w:r w:rsidR="00CC7AA2" w:rsidRPr="0072758C">
        <w:rPr>
          <w:i/>
          <w:iCs/>
          <w:lang w:val="en-AU"/>
        </w:rPr>
        <w:t>Journal for the Study of the Historical Jesus</w:t>
      </w:r>
      <w:r w:rsidR="00CC7AA2" w:rsidRPr="0072758C">
        <w:rPr>
          <w:lang w:val="en-AU"/>
        </w:rPr>
        <w:t> 19 (2021): 99–133. </w:t>
      </w:r>
    </w:p>
    <w:p w14:paraId="4A5D6CAF" w14:textId="77777777" w:rsidR="005C18F8" w:rsidRPr="0072758C" w:rsidRDefault="005C18F8" w:rsidP="00F5340B">
      <w:pPr>
        <w:pStyle w:val="EndnoteText"/>
        <w:rPr>
          <w:lang w:val="en-AU"/>
        </w:rPr>
      </w:pPr>
    </w:p>
  </w:footnote>
  <w:footnote w:id="160">
    <w:p w14:paraId="7D1F64C4" w14:textId="7CF0CCB5" w:rsidR="005C18F8" w:rsidRPr="0072758C" w:rsidRDefault="005C18F8" w:rsidP="0060492B">
      <w:pPr>
        <w:pStyle w:val="EndnoteText"/>
        <w:ind w:firstLine="720"/>
        <w:rPr>
          <w:lang w:val="en-AU"/>
        </w:rPr>
      </w:pPr>
      <w:r w:rsidRPr="0072758C">
        <w:rPr>
          <w:rStyle w:val="FootnoteReference"/>
          <w:lang w:val="en-AU"/>
        </w:rPr>
        <w:footnoteRef/>
      </w:r>
      <w:r w:rsidRPr="0072758C">
        <w:rPr>
          <w:lang w:val="en-AU"/>
        </w:rPr>
        <w:t xml:space="preserve"> J. G. Crossley contends that </w:t>
      </w:r>
      <w:r w:rsidR="00467DD9" w:rsidRPr="0072758C">
        <w:rPr>
          <w:lang w:val="en-AU"/>
        </w:rPr>
        <w:t>when</w:t>
      </w:r>
      <w:r w:rsidRPr="0072758C">
        <w:rPr>
          <w:lang w:val="en-AU"/>
        </w:rPr>
        <w:t xml:space="preserve"> Jesus and John the Baptist called for repentance that it was </w:t>
      </w:r>
      <w:r w:rsidRPr="0072758C">
        <w:rPr>
          <w:rtl/>
          <w:lang w:val="en-AU"/>
        </w:rPr>
        <w:t>תשןכה</w:t>
      </w:r>
      <w:r w:rsidRPr="0072758C">
        <w:rPr>
          <w:lang w:val="en-AU"/>
        </w:rPr>
        <w:t xml:space="preserve"> meaning passion with a moral sense to cease doing a sin.  The result is a call to follow the Torah. J. G. Crossley, </w:t>
      </w:r>
      <w:r w:rsidR="0060492B" w:rsidRPr="0072758C">
        <w:rPr>
          <w:lang w:val="en-AU"/>
        </w:rPr>
        <w:t>“</w:t>
      </w:r>
      <w:r w:rsidRPr="0072758C">
        <w:rPr>
          <w:lang w:val="en-AU"/>
        </w:rPr>
        <w:t>The Semitic Background to Repentance in the Teaching of John the Baptist and Jesus</w:t>
      </w:r>
      <w:r w:rsidR="0060492B" w:rsidRPr="0072758C">
        <w:rPr>
          <w:lang w:val="en-AU"/>
        </w:rPr>
        <w:t>,”</w:t>
      </w:r>
      <w:r w:rsidRPr="0072758C">
        <w:rPr>
          <w:lang w:val="en-AU"/>
        </w:rPr>
        <w:t xml:space="preserve"> </w:t>
      </w:r>
      <w:r w:rsidR="0060492B" w:rsidRPr="0072758C">
        <w:rPr>
          <w:i/>
          <w:iCs/>
          <w:lang w:val="en-AU"/>
        </w:rPr>
        <w:t>Journal for the Study of the Historical Jesus</w:t>
      </w:r>
      <w:r w:rsidRPr="0072758C">
        <w:rPr>
          <w:lang w:val="en-AU"/>
        </w:rPr>
        <w:t xml:space="preserve"> 2 (2004)</w:t>
      </w:r>
      <w:r w:rsidR="001606AD" w:rsidRPr="0072758C">
        <w:rPr>
          <w:lang w:val="en-AU"/>
        </w:rPr>
        <w:t>,</w:t>
      </w:r>
      <w:r w:rsidRPr="0072758C">
        <w:rPr>
          <w:lang w:val="en-AU"/>
        </w:rPr>
        <w:t xml:space="preserve"> 138–57. This is also in in the DSS </w:t>
      </w:r>
      <w:r w:rsidRPr="0072758C">
        <w:rPr>
          <w:i/>
          <w:iCs/>
          <w:lang w:val="en-AU"/>
        </w:rPr>
        <w:t xml:space="preserve">Rule of the Community </w:t>
      </w:r>
      <w:r w:rsidRPr="0072758C">
        <w:rPr>
          <w:lang w:val="en-AU"/>
        </w:rPr>
        <w:t>in 1QS 5.1, 14 and 6.15</w:t>
      </w:r>
      <w:r w:rsidRPr="0072758C">
        <w:rPr>
          <w:i/>
          <w:iCs/>
          <w:lang w:val="en-AU"/>
        </w:rPr>
        <w:t xml:space="preserve"> </w:t>
      </w:r>
      <w:r w:rsidRPr="0072758C">
        <w:rPr>
          <w:lang w:val="en-AU"/>
        </w:rPr>
        <w:t xml:space="preserve">and carries the moral element of doing what is right and following the ethical principles of the Bible. It can be noted that Philo describes repentance as keeping the law and returning to monotheism, see, P. Borgen, Philo, </w:t>
      </w:r>
      <w:proofErr w:type="gramStart"/>
      <w:r w:rsidRPr="0072758C">
        <w:rPr>
          <w:lang w:val="en-AU"/>
        </w:rPr>
        <w:t>John</w:t>
      </w:r>
      <w:proofErr w:type="gramEnd"/>
      <w:r w:rsidRPr="0072758C">
        <w:rPr>
          <w:lang w:val="en-AU"/>
        </w:rPr>
        <w:t xml:space="preserve"> and Paul: New Perspectives on Judaism and Early Christianity (Atlanta: Scholars, 1987</w:t>
      </w:r>
      <w:r w:rsidR="00974141" w:rsidRPr="0072758C">
        <w:rPr>
          <w:lang w:val="en-AU"/>
        </w:rPr>
        <w:t>); E.</w:t>
      </w:r>
      <w:r w:rsidRPr="0072758C">
        <w:rPr>
          <w:lang w:val="en-AU"/>
        </w:rPr>
        <w:t xml:space="preserve"> Birnbaum, </w:t>
      </w:r>
      <w:r w:rsidRPr="0072758C">
        <w:rPr>
          <w:i/>
          <w:iCs/>
          <w:lang w:val="en-AU"/>
        </w:rPr>
        <w:t>The Place of Judaism in Philo’s Thought: Israel, Jews, and Proselytes</w:t>
      </w:r>
      <w:r w:rsidRPr="0072758C">
        <w:rPr>
          <w:lang w:val="en-AU"/>
        </w:rPr>
        <w:t xml:space="preserve"> </w:t>
      </w:r>
      <w:r w:rsidR="00974141" w:rsidRPr="0072758C">
        <w:rPr>
          <w:lang w:val="en-AU"/>
        </w:rPr>
        <w:t>(</w:t>
      </w:r>
      <w:r w:rsidRPr="0072758C">
        <w:rPr>
          <w:lang w:val="en-AU"/>
        </w:rPr>
        <w:t xml:space="preserve">Atlanta: </w:t>
      </w:r>
      <w:r w:rsidR="00974141" w:rsidRPr="0072758C">
        <w:rPr>
          <w:lang w:val="en-AU"/>
        </w:rPr>
        <w:t>Society of Biblical Literature</w:t>
      </w:r>
      <w:r w:rsidRPr="0072758C">
        <w:rPr>
          <w:lang w:val="en-AU"/>
        </w:rPr>
        <w:t>, 1996)</w:t>
      </w:r>
      <w:r w:rsidR="00974141" w:rsidRPr="0072758C">
        <w:rPr>
          <w:lang w:val="en-AU"/>
        </w:rPr>
        <w:t>,</w:t>
      </w:r>
      <w:r w:rsidRPr="0072758C">
        <w:rPr>
          <w:lang w:val="en-AU"/>
        </w:rPr>
        <w:t xml:space="preserve"> 203.</w:t>
      </w:r>
    </w:p>
    <w:p w14:paraId="3869A253" w14:textId="77777777" w:rsidR="005C18F8" w:rsidRPr="0072758C" w:rsidRDefault="005C18F8" w:rsidP="00F5340B">
      <w:pPr>
        <w:pStyle w:val="EndnoteText"/>
        <w:rPr>
          <w:lang w:val="en-AU"/>
        </w:rPr>
      </w:pPr>
    </w:p>
  </w:footnote>
  <w:footnote w:id="161">
    <w:p w14:paraId="1678EB95" w14:textId="6E3FE76A" w:rsidR="00F4463B"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Joan E. Taylor, “John the Baptist and the Essenes,” </w:t>
      </w:r>
      <w:r w:rsidRPr="0072758C">
        <w:rPr>
          <w:i/>
          <w:iCs/>
          <w:lang w:val="en-AU"/>
        </w:rPr>
        <w:t>Journal of Jewish Studies</w:t>
      </w:r>
      <w:r w:rsidRPr="0072758C">
        <w:rPr>
          <w:lang w:val="en-AU"/>
        </w:rPr>
        <w:t xml:space="preserve"> 47 (1996): 278.</w:t>
      </w:r>
    </w:p>
    <w:p w14:paraId="562AC254" w14:textId="77777777" w:rsidR="005C18F8" w:rsidRPr="0072758C" w:rsidRDefault="005C18F8" w:rsidP="00F5340B">
      <w:pPr>
        <w:pStyle w:val="EndnoteText"/>
        <w:rPr>
          <w:lang w:val="en-AU"/>
        </w:rPr>
      </w:pPr>
    </w:p>
  </w:footnote>
  <w:footnote w:id="162">
    <w:p w14:paraId="63459A65" w14:textId="09214014" w:rsidR="00B607E3"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It can be accepted that not all people listening to the Sermon on the Mount held the common view of repentance.  It can be assumed that not all people in Qumran had the same views over the time of residence.  For more information on how the view of repentance changed from Judaism to Christianity, see</w:t>
      </w:r>
      <w:r w:rsidRPr="0072758C">
        <w:rPr>
          <w:i/>
          <w:iCs/>
          <w:lang w:val="en-AU"/>
        </w:rPr>
        <w:t xml:space="preserve">, </w:t>
      </w:r>
      <w:r w:rsidRPr="0072758C">
        <w:rPr>
          <w:lang w:val="en-AU"/>
        </w:rPr>
        <w:t>D. A. Lambert, ‘Topics in the History of Repentance: From the Hebrew Bible to Early Judaism and Christianity’ (PhD diss., Harvard University, 2004), 99–</w:t>
      </w:r>
      <w:r w:rsidR="00763E8D" w:rsidRPr="0072758C">
        <w:rPr>
          <w:lang w:val="en-AU"/>
        </w:rPr>
        <w:t>146; Hayah</w:t>
      </w:r>
      <w:r w:rsidR="00470D34" w:rsidRPr="0072758C">
        <w:rPr>
          <w:lang w:val="en-AU"/>
        </w:rPr>
        <w:t xml:space="preserve"> Katz, “‘He Shall Bathe in Water; Then He Shall Be Pure’: Ancient Immersion Practice in the Light of Archaeological Evidence</w:t>
      </w:r>
      <w:r w:rsidR="00974141" w:rsidRPr="0072758C">
        <w:rPr>
          <w:lang w:val="en-AU"/>
        </w:rPr>
        <w:t>,</w:t>
      </w:r>
      <w:r w:rsidR="00470D34" w:rsidRPr="0072758C">
        <w:rPr>
          <w:lang w:val="en-AU"/>
        </w:rPr>
        <w:t>” </w:t>
      </w:r>
      <w:r w:rsidR="00470D34" w:rsidRPr="0072758C">
        <w:rPr>
          <w:i/>
          <w:iCs/>
          <w:lang w:val="en-AU"/>
        </w:rPr>
        <w:t>Vetus Testamentum</w:t>
      </w:r>
      <w:r w:rsidR="00470D34" w:rsidRPr="0072758C">
        <w:rPr>
          <w:lang w:val="en-AU"/>
        </w:rPr>
        <w:t> 62 (2012): 369–80</w:t>
      </w:r>
      <w:r w:rsidR="00B607E3" w:rsidRPr="0072758C">
        <w:rPr>
          <w:lang w:val="en-AU"/>
        </w:rPr>
        <w:t>; David A Lambert, </w:t>
      </w:r>
      <w:r w:rsidR="00B607E3" w:rsidRPr="0072758C">
        <w:rPr>
          <w:i/>
          <w:iCs/>
          <w:lang w:val="en-AU"/>
        </w:rPr>
        <w:t>How Repentance Became Biblical</w:t>
      </w:r>
      <w:r w:rsidR="00B607E3" w:rsidRPr="0072758C">
        <w:rPr>
          <w:lang w:val="en-AU"/>
        </w:rPr>
        <w:t> </w:t>
      </w:r>
      <w:r w:rsidR="00974141" w:rsidRPr="0072758C">
        <w:rPr>
          <w:lang w:val="en-AU"/>
        </w:rPr>
        <w:t>(</w:t>
      </w:r>
      <w:r w:rsidR="00B607E3" w:rsidRPr="0072758C">
        <w:rPr>
          <w:lang w:val="en-AU"/>
        </w:rPr>
        <w:t>Oxford: Oxford University Press, 2017</w:t>
      </w:r>
      <w:r w:rsidR="00974141" w:rsidRPr="0072758C">
        <w:rPr>
          <w:lang w:val="en-AU"/>
        </w:rPr>
        <w:t>)</w:t>
      </w:r>
      <w:r w:rsidR="00B607E3" w:rsidRPr="0072758C">
        <w:rPr>
          <w:lang w:val="en-AU"/>
        </w:rPr>
        <w:t>.</w:t>
      </w:r>
    </w:p>
    <w:p w14:paraId="32DB1EAD" w14:textId="77777777" w:rsidR="005C18F8" w:rsidRPr="0072758C" w:rsidRDefault="005C18F8" w:rsidP="00F5340B">
      <w:pPr>
        <w:pStyle w:val="EndnoteText"/>
        <w:rPr>
          <w:lang w:val="en-AU"/>
        </w:rPr>
      </w:pPr>
    </w:p>
  </w:footnote>
  <w:footnote w:id="163">
    <w:p w14:paraId="1B34ACFD" w14:textId="77777777"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1 En 71:14 identifies the Son of Man as Enoch, which confirms that the Parables of Enoch originated among Jews, not Christians. It would be impossible for a Christian to identify Enoch as the Son of Man.  </w:t>
      </w:r>
    </w:p>
    <w:p w14:paraId="4EDD2D17" w14:textId="77777777" w:rsidR="005C18F8" w:rsidRPr="0072758C" w:rsidRDefault="005C18F8" w:rsidP="00F5340B">
      <w:pPr>
        <w:pStyle w:val="EndnoteText"/>
        <w:rPr>
          <w:lang w:val="en-AU"/>
        </w:rPr>
      </w:pPr>
    </w:p>
  </w:footnote>
  <w:footnote w:id="164">
    <w:p w14:paraId="3B3E5F86" w14:textId="6ED86885" w:rsidR="00FE2FFD"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See Carey A. Moore, </w:t>
      </w:r>
      <w:r w:rsidRPr="0072758C">
        <w:rPr>
          <w:i/>
          <w:iCs/>
          <w:lang w:val="en-AU"/>
        </w:rPr>
        <w:t>Tobit:</w:t>
      </w:r>
      <w:r w:rsidRPr="0072758C">
        <w:rPr>
          <w:lang w:val="en-AU"/>
        </w:rPr>
        <w:t xml:space="preserve"> </w:t>
      </w:r>
      <w:r w:rsidRPr="0072758C">
        <w:rPr>
          <w:i/>
          <w:iCs/>
          <w:lang w:val="en-AU"/>
        </w:rPr>
        <w:t>A New Translation with Introduction and Commentary</w:t>
      </w:r>
      <w:r w:rsidRPr="0072758C">
        <w:rPr>
          <w:lang w:val="en-AU"/>
        </w:rPr>
        <w:t xml:space="preserve"> (New York: Doubleday, 1996), 171</w:t>
      </w:r>
      <w:r w:rsidR="00FE2FFD" w:rsidRPr="0072758C">
        <w:rPr>
          <w:lang w:val="en-AU"/>
        </w:rPr>
        <w:t>; Simon David Butticaz, “The Construction of Apostolic Memories in the Light of Two New Testament Pseudepigrapha (2 Tm and 2 Pt)</w:t>
      </w:r>
      <w:r w:rsidR="001A72D7" w:rsidRPr="0072758C">
        <w:rPr>
          <w:lang w:val="en-AU"/>
        </w:rPr>
        <w:t>,</w:t>
      </w:r>
      <w:r w:rsidR="00FE2FFD" w:rsidRPr="0072758C">
        <w:rPr>
          <w:lang w:val="en-AU"/>
        </w:rPr>
        <w:t>” </w:t>
      </w:r>
      <w:r w:rsidR="00FE2FFD" w:rsidRPr="0072758C">
        <w:rPr>
          <w:i/>
          <w:iCs/>
          <w:lang w:val="en-AU"/>
        </w:rPr>
        <w:t>Annali Di Storia Dell’Esegesi</w:t>
      </w:r>
      <w:r w:rsidR="00FE2FFD" w:rsidRPr="0072758C">
        <w:rPr>
          <w:lang w:val="en-AU"/>
        </w:rPr>
        <w:t> 33 (2016): 341–63. </w:t>
      </w:r>
    </w:p>
    <w:p w14:paraId="275F5BDA" w14:textId="77777777" w:rsidR="005C18F8" w:rsidRPr="0072758C" w:rsidRDefault="005C18F8" w:rsidP="00F5340B">
      <w:pPr>
        <w:pStyle w:val="EndnoteText"/>
        <w:rPr>
          <w:lang w:val="en-AU"/>
        </w:rPr>
      </w:pPr>
    </w:p>
  </w:footnote>
  <w:footnote w:id="165">
    <w:p w14:paraId="105377DD" w14:textId="238A0104"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&lt;EndNote&gt;&lt;Cite&gt;&lt;Author&gt;deSilva&lt;/Author&gt;&lt;Year&gt;2012&lt;/Year&gt;&lt;RecNum&gt;11&lt;/RecNum&gt;&lt;Pages&gt;12&lt;/Pages&gt;&lt;DisplayText&gt;David A. deSilva, &lt;style face="italic"&gt;The Jewish Teachers of Jesus, James, and Jude&lt;/style&gt;  (Oxford: Oxford University Press, 2012). 12.&lt;/DisplayText&gt;&lt;record&gt;&lt;rec-number&gt;11&lt;/rec-number&gt;&lt;foreign-keys&gt;&lt;key app="EN" db-id="sd929rvz0dxdw6e92dp59txp9z2xdtp2dd0p"&gt;11&lt;/key&gt;&lt;/foreign-keys&gt;&lt;ref-type name="Book"&gt;6&lt;/ref-type&gt;&lt;contributors&gt;&lt;authors&gt;&lt;author&gt;deSilva, David A.&lt;/author&gt;&lt;/authors&gt;&lt;/contributors&gt;&lt;titles&gt;&lt;title&gt;The Jewish Teachers of Jesus, James, and Jude&lt;/title&gt;&lt;/titles&gt;&lt;dates&gt;&lt;year&gt;2012&lt;/year&gt;&lt;/dates&gt;&lt;pub-location&gt;Oxford&lt;/pub-location&gt;&lt;publisher&gt;Oxford University Press&lt;/publisher&gt;&lt;urls&gt;&lt;/urls&gt;&lt;/record&gt;&lt;/Cite&gt;&lt;/EndNote&gt;</w:instrText>
      </w:r>
      <w:r w:rsidRPr="0072758C">
        <w:rPr>
          <w:lang w:val="en-AU"/>
        </w:rPr>
        <w:fldChar w:fldCharType="separate"/>
      </w:r>
      <w:r w:rsidRPr="0072758C">
        <w:rPr>
          <w:lang w:val="en-AU"/>
        </w:rPr>
        <w:t xml:space="preserve">David A. DeSilva, </w:t>
      </w:r>
      <w:r w:rsidRPr="0072758C">
        <w:rPr>
          <w:i/>
          <w:lang w:val="en-AU"/>
        </w:rPr>
        <w:t>The Jewish Teachers of Jesus, James, and Jude</w:t>
      </w:r>
      <w:r w:rsidRPr="0072758C">
        <w:rPr>
          <w:lang w:val="en-AU"/>
        </w:rPr>
        <w:t xml:space="preserve"> (Oxford: Oxford University Press, 2012), 12.</w:t>
      </w:r>
      <w:r w:rsidRPr="0072758C">
        <w:rPr>
          <w:lang w:val="en-AU"/>
        </w:rPr>
        <w:fldChar w:fldCharType="end"/>
      </w:r>
      <w:r w:rsidRPr="0072758C">
        <w:rPr>
          <w:lang w:val="en-AU"/>
        </w:rPr>
        <w:t xml:space="preserve"> Ben Sira 1:18 (NRSA) “The fear of the Lord is the crown of wisdom, making peace and perfect health to flourish.” Tobit 13:10 (NRSA) “Acknowledge the Lord, for he is good, and bless the King of the ages, so that his tent may be rebuilt in you in joy. May he cheer all those within you who are captives, and love all those within you who are distressed, to all generations forever.”</w:t>
      </w:r>
    </w:p>
  </w:footnote>
  <w:footnote w:id="166">
    <w:p w14:paraId="6D2A1F91" w14:textId="77777777" w:rsidR="005C18F8" w:rsidRPr="0072758C" w:rsidRDefault="005C18F8" w:rsidP="00F5340B">
      <w:pPr>
        <w:pStyle w:val="EndnoteText"/>
        <w:rPr>
          <w:lang w:val="en-AU"/>
        </w:rPr>
      </w:pPr>
    </w:p>
    <w:p w14:paraId="0409E60E" w14:textId="6A7F6D03"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&lt;EndNote&gt;&lt;Cite&gt;&lt;Author&gt;deSilva&lt;/Author&gt;&lt;Year&gt;2012&lt;/Year&gt;&lt;RecNum&gt;11&lt;/RecNum&gt;&lt;Pages&gt;70&lt;/Pages&gt;&lt;DisplayText&gt;deSilva, &lt;style face="italic"&gt;The Jewish Teachers of Jesus, James, and Jude&lt;/style&gt;: 70.&lt;/DisplayText&gt;&lt;record&gt;&lt;rec-number&gt;11&lt;/rec-number&gt;&lt;foreign-keys&gt;&lt;key app="EN" db-id="sd929rvz0dxdw6e92dp59txp9z2xdtp2dd0p"&gt;11&lt;/key&gt;&lt;/foreign-keys&gt;&lt;ref-type name="Book"&gt;6&lt;/ref-type&gt;&lt;contributors&gt;&lt;authors&gt;&lt;author&gt;deSilva, David A.&lt;/author&gt;&lt;/authors&gt;&lt;/contributors&gt;&lt;titles&gt;&lt;title&gt;The Jewish Teachers of Jesus, James, and Jude&lt;/title&gt;&lt;/titles&gt;&lt;dates&gt;&lt;year&gt;2012&lt;/year&gt;&lt;/dates&gt;&lt;pub-location&gt;Oxford&lt;/pub-location&gt;&lt;publisher&gt;Oxford University Press&lt;/publisher&gt;&lt;urls&gt;&lt;/urls&gt;&lt;/record&gt;&lt;/Cite&gt;&lt;/EndNote&gt;</w:instrText>
      </w:r>
      <w:r w:rsidRPr="0072758C">
        <w:rPr>
          <w:lang w:val="en-AU"/>
        </w:rPr>
        <w:fldChar w:fldCharType="separate"/>
      </w:r>
      <w:r w:rsidRPr="0072758C">
        <w:rPr>
          <w:lang w:val="en-AU"/>
        </w:rPr>
        <w:t xml:space="preserve">DeSilva, </w:t>
      </w:r>
      <w:r w:rsidRPr="0072758C">
        <w:rPr>
          <w:i/>
          <w:lang w:val="en-AU"/>
        </w:rPr>
        <w:t>The Jewish Teachers of Jesus, James, and Jude</w:t>
      </w:r>
      <w:r w:rsidRPr="0072758C">
        <w:rPr>
          <w:lang w:val="en-AU"/>
        </w:rPr>
        <w:t>, 12.</w:t>
      </w:r>
      <w:r w:rsidRPr="0072758C">
        <w:rPr>
          <w:lang w:val="en-AU"/>
        </w:rPr>
        <w:fldChar w:fldCharType="end"/>
      </w:r>
      <w:r w:rsidR="00763E8D" w:rsidRPr="0072758C">
        <w:rPr>
          <w:lang w:val="en-AU"/>
        </w:rPr>
        <w:t xml:space="preserve"> </w:t>
      </w:r>
      <w:r w:rsidR="001A72D7" w:rsidRPr="0072758C">
        <w:rPr>
          <w:lang w:val="en-AU"/>
        </w:rPr>
        <w:t xml:space="preserve">See also </w:t>
      </w:r>
      <w:r w:rsidR="00763E8D" w:rsidRPr="0072758C">
        <w:rPr>
          <w:lang w:val="en-AU"/>
        </w:rPr>
        <w:t>Fabian Tilling, “‘It Is Right to Keep the Secret of a King’ (Tobit 12:7)—the King’s Secret as a Metaphor for the Mysterium Dei in Origen</w:t>
      </w:r>
      <w:r w:rsidR="001A72D7" w:rsidRPr="0072758C">
        <w:rPr>
          <w:lang w:val="en-AU"/>
        </w:rPr>
        <w:t>,</w:t>
      </w:r>
      <w:r w:rsidR="00763E8D" w:rsidRPr="0072758C">
        <w:rPr>
          <w:lang w:val="en-AU"/>
        </w:rPr>
        <w:t>”</w:t>
      </w:r>
      <w:r w:rsidR="00763E8D" w:rsidRPr="0072758C">
        <w:rPr>
          <w:i/>
          <w:iCs/>
          <w:lang w:val="en-AU"/>
        </w:rPr>
        <w:t xml:space="preserve"> Journal of Ancient Christianity</w:t>
      </w:r>
      <w:r w:rsidR="00763E8D" w:rsidRPr="0072758C">
        <w:rPr>
          <w:lang w:val="en-AU"/>
        </w:rPr>
        <w:t> 23 (2019): 101–13.</w:t>
      </w:r>
    </w:p>
  </w:footnote>
  <w:footnote w:id="167">
    <w:p w14:paraId="0ACB5B9D" w14:textId="1BB5151B" w:rsidR="005C18F8" w:rsidRPr="0072758C" w:rsidRDefault="005C18F8" w:rsidP="00F5340B">
      <w:pPr>
        <w:pStyle w:val="EndnoteText"/>
        <w:rPr>
          <w:lang w:val="en-AU"/>
        </w:rPr>
      </w:pPr>
    </w:p>
    <w:p w14:paraId="5100E085" w14:textId="5766444A" w:rsidR="00B80DB3"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&lt;EndNote&gt;&lt;Cite&gt;&lt;Author&gt;deSilva&lt;/Author&gt;&lt;Year&gt;2012&lt;/Year&gt;&lt;RecNum&gt;11&lt;/RecNum&gt;&lt;Pages&gt;70&lt;/Pages&gt;&lt;DisplayText&gt;deSilva, &lt;style face="italic"&gt;The Jewish Teachers of Jesus, James, and Jude&lt;/style&gt;: 70.&lt;/DisplayText&gt;&lt;record&gt;&lt;rec-number&gt;11&lt;/rec-number&gt;&lt;foreign-keys&gt;&lt;key app="EN" db-id="sd929rvz0dxdw6e92dp59txp9z2xdtp2dd0p"&gt;11&lt;/key&gt;&lt;/foreign-keys&gt;&lt;ref-type name="Book"&gt;6&lt;/ref-type&gt;&lt;contributors&gt;&lt;authors&gt;&lt;author&gt;deSilva, David A.&lt;/author&gt;&lt;/authors&gt;&lt;/contributors&gt;&lt;titles&gt;&lt;title&gt;The Jewish Teachers of Jesus, James, and Jude&lt;/title&gt;&lt;/titles&gt;&lt;dates&gt;&lt;year&gt;2012&lt;/year&gt;&lt;/dates&gt;&lt;pub-location&gt;Oxford&lt;/pub-location&gt;&lt;publisher&gt;Oxford University Press&lt;/publisher&gt;&lt;urls&gt;&lt;/urls&gt;&lt;/record&gt;&lt;/Cite&gt;&lt;/EndNote&gt;</w:instrText>
      </w:r>
      <w:r w:rsidRPr="0072758C">
        <w:rPr>
          <w:lang w:val="en-AU"/>
        </w:rPr>
        <w:fldChar w:fldCharType="separate"/>
      </w:r>
      <w:r w:rsidRPr="0072758C">
        <w:rPr>
          <w:lang w:val="en-AU"/>
        </w:rPr>
        <w:t>Ibid., 70.</w:t>
      </w:r>
      <w:r w:rsidRPr="0072758C">
        <w:rPr>
          <w:lang w:val="en-AU"/>
        </w:rPr>
        <w:fldChar w:fldCharType="end"/>
      </w:r>
      <w:r w:rsidR="00B80DB3" w:rsidRPr="0072758C">
        <w:rPr>
          <w:lang w:val="en-AU"/>
        </w:rPr>
        <w:t xml:space="preserve"> See also Loren T Stuckenbruck, “Melchizedek in Jewish Apocalyptic Literature</w:t>
      </w:r>
      <w:r w:rsidR="001A72D7" w:rsidRPr="0072758C">
        <w:rPr>
          <w:lang w:val="en-AU"/>
        </w:rPr>
        <w:t>,</w:t>
      </w:r>
      <w:r w:rsidR="00B80DB3" w:rsidRPr="0072758C">
        <w:rPr>
          <w:lang w:val="en-AU"/>
        </w:rPr>
        <w:t>” </w:t>
      </w:r>
      <w:r w:rsidR="00B80DB3" w:rsidRPr="0072758C">
        <w:rPr>
          <w:i/>
          <w:iCs/>
          <w:lang w:val="en-AU"/>
        </w:rPr>
        <w:t>Journal for the Study of the New Testament</w:t>
      </w:r>
      <w:r w:rsidR="00B80DB3" w:rsidRPr="0072758C">
        <w:rPr>
          <w:lang w:val="en-AU"/>
        </w:rPr>
        <w:t xml:space="preserve"> 41, (2018): 124–38. </w:t>
      </w:r>
    </w:p>
  </w:footnote>
  <w:footnote w:id="168">
    <w:p w14:paraId="5AA4C268" w14:textId="77777777" w:rsidR="005C18F8" w:rsidRPr="0072758C" w:rsidRDefault="005C18F8" w:rsidP="00F5340B">
      <w:pPr>
        <w:pStyle w:val="EndnoteText"/>
        <w:rPr>
          <w:lang w:val="en-AU"/>
        </w:rPr>
      </w:pPr>
    </w:p>
    <w:p w14:paraId="7DC2E33F" w14:textId="77777777"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&lt;EndNote&gt;&lt;Cite&gt;&lt;Author&gt;Schiffman&lt;/Author&gt;&lt;Year&gt;2010&lt;/Year&gt;&lt;RecNum&gt;5&lt;/RecNum&gt;&lt;Pages&gt;392&lt;/Pages&gt;&lt;DisplayText&gt;Schiffman, &lt;style face="italic"&gt;Qumran and Jerusalem&lt;/style&gt;: 392.&lt;/DisplayText&gt;&lt;record&gt;&lt;rec-number&gt;5&lt;/rec-number&gt;&lt;foreign-keys&gt;&lt;key app="EN" db-id="sd929rvz0dxdw6e92dp59txp9z2xdtp2dd0p"&gt;5&lt;/key&gt;&lt;/foreign-keys&gt;&lt;ref-type name="Book"&gt;6&lt;/ref-type&gt;&lt;contributors&gt;&lt;authors&gt;&lt;author&gt;Schiffman, Lawrence&lt;/author&gt;&lt;/authors&gt;&lt;/contributors&gt;&lt;titles&gt;&lt;title&gt;Qumran and Jerusalem&lt;/title&gt;&lt;/titles&gt;&lt;dates&gt;&lt;year&gt;2010&lt;/year&gt;&lt;/dates&gt;&lt;pub-location&gt;Grand Rapids, Michigan&lt;/pub-location&gt;&lt;publisher&gt;Eerdmans&lt;/publisher&gt;&lt;isbn&gt;978-0-8028-4976-2&lt;/isbn&gt;&lt;urls&gt;&lt;/urls&gt;&lt;/record&gt;&lt;/Cite&gt;&lt;/EndNote&gt;</w:instrText>
      </w:r>
      <w:r w:rsidRPr="0072758C">
        <w:rPr>
          <w:lang w:val="en-AU"/>
        </w:rPr>
        <w:fldChar w:fldCharType="separate"/>
      </w:r>
      <w:r w:rsidRPr="0072758C">
        <w:rPr>
          <w:lang w:val="en-AU"/>
        </w:rPr>
        <w:t xml:space="preserve">Schiffman, </w:t>
      </w:r>
      <w:r w:rsidRPr="0072758C">
        <w:rPr>
          <w:i/>
          <w:lang w:val="en-AU"/>
        </w:rPr>
        <w:t>Qumran and Jerusalem</w:t>
      </w:r>
      <w:r w:rsidRPr="0072758C">
        <w:rPr>
          <w:lang w:val="en-AU"/>
        </w:rPr>
        <w:t>, 392.</w:t>
      </w:r>
      <w:r w:rsidRPr="0072758C">
        <w:rPr>
          <w:lang w:val="en-AU"/>
        </w:rPr>
        <w:fldChar w:fldCharType="end"/>
      </w:r>
    </w:p>
    <w:p w14:paraId="3894F56D" w14:textId="77777777" w:rsidR="005C18F8" w:rsidRPr="0072758C" w:rsidRDefault="005C18F8" w:rsidP="00F5340B">
      <w:pPr>
        <w:pStyle w:val="EndnoteText"/>
        <w:rPr>
          <w:lang w:val="en-AU"/>
        </w:rPr>
      </w:pPr>
    </w:p>
  </w:footnote>
  <w:footnote w:id="169">
    <w:p w14:paraId="126C32B8" w14:textId="77777777" w:rsidR="00921512" w:rsidRPr="0072758C" w:rsidRDefault="00921512" w:rsidP="00921512">
      <w:pPr>
        <w:pStyle w:val="EndnoteText"/>
        <w:ind w:firstLine="720"/>
        <w:rPr>
          <w:lang w:val="en-AU"/>
        </w:rPr>
      </w:pPr>
      <w:r w:rsidRPr="0072758C">
        <w:rPr>
          <w:rStyle w:val="FootnoteReference"/>
          <w:lang w:val="en-AU"/>
        </w:rPr>
        <w:footnoteRef/>
      </w:r>
      <w:r w:rsidRPr="0072758C">
        <w:rPr>
          <w:lang w:val="en-AU"/>
        </w:rPr>
        <w:t xml:space="preserve"> James C Vanderkam, </w:t>
      </w:r>
      <w:r w:rsidRPr="0072758C">
        <w:rPr>
          <w:i/>
          <w:iCs/>
          <w:lang w:val="en-AU"/>
        </w:rPr>
        <w:t>Textual and Historical Studies in the Book of Jubilees</w:t>
      </w:r>
      <w:r w:rsidRPr="0072758C">
        <w:rPr>
          <w:lang w:val="en-AU"/>
        </w:rPr>
        <w:t xml:space="preserve"> (Missoula: Scholars, 1977). See also </w:t>
      </w:r>
      <w:r w:rsidRPr="0072758C">
        <w:rPr>
          <w:rFonts w:eastAsiaTheme="minorHAnsi"/>
          <w:lang w:val="en-AU"/>
        </w:rPr>
        <w:t>Matthew Phillip</w:t>
      </w:r>
      <w:r w:rsidRPr="0072758C">
        <w:rPr>
          <w:lang w:val="en-AU"/>
        </w:rPr>
        <w:t xml:space="preserve"> </w:t>
      </w:r>
      <w:r w:rsidRPr="0072758C">
        <w:rPr>
          <w:rFonts w:eastAsiaTheme="minorHAnsi"/>
          <w:lang w:val="en-AU"/>
        </w:rPr>
        <w:t>Monger, “4Q216 and the State of Jubilees at Qumran,” </w:t>
      </w:r>
      <w:r w:rsidRPr="0072758C">
        <w:rPr>
          <w:rFonts w:eastAsiaTheme="minorHAnsi"/>
          <w:i/>
          <w:iCs/>
          <w:lang w:val="en-AU"/>
        </w:rPr>
        <w:t>Revue de Qumran</w:t>
      </w:r>
      <w:r w:rsidRPr="0072758C">
        <w:rPr>
          <w:rFonts w:eastAsiaTheme="minorHAnsi"/>
          <w:lang w:val="en-AU"/>
        </w:rPr>
        <w:t> 26 (2014): 595–612</w:t>
      </w:r>
      <w:r w:rsidRPr="0072758C">
        <w:rPr>
          <w:lang w:val="en-AU"/>
        </w:rPr>
        <w:t>; Ibid, “4Q216--A New Material Analysis,” </w:t>
      </w:r>
      <w:r w:rsidRPr="0072758C">
        <w:rPr>
          <w:i/>
          <w:iCs/>
          <w:lang w:val="en-AU"/>
        </w:rPr>
        <w:t>Semitica</w:t>
      </w:r>
      <w:r w:rsidRPr="0072758C">
        <w:rPr>
          <w:lang w:val="en-AU"/>
        </w:rPr>
        <w:t> 60 (2018): 309–33. </w:t>
      </w:r>
    </w:p>
    <w:p w14:paraId="5BE28599" w14:textId="77777777" w:rsidR="00921512" w:rsidRPr="0072758C" w:rsidRDefault="00921512" w:rsidP="00921512">
      <w:pPr>
        <w:pStyle w:val="EndnoteText"/>
        <w:rPr>
          <w:lang w:val="en-AU"/>
        </w:rPr>
      </w:pPr>
    </w:p>
  </w:footnote>
  <w:footnote w:id="170">
    <w:p w14:paraId="37C328D7" w14:textId="3042AB2D" w:rsidR="00921512" w:rsidRDefault="00921512" w:rsidP="00921512">
      <w:pPr>
        <w:pStyle w:val="FootnoteText"/>
        <w:ind w:firstLine="720"/>
        <w:rPr>
          <w:lang w:val="en-US"/>
        </w:rPr>
      </w:pPr>
      <w:r>
        <w:rPr>
          <w:rStyle w:val="FootnoteReference"/>
        </w:rPr>
        <w:footnoteRef/>
      </w:r>
      <w:r>
        <w:t xml:space="preserve"> </w:t>
      </w:r>
      <w:r>
        <w:rPr>
          <w:lang w:val="en-US"/>
        </w:rPr>
        <w:t>Ibid.</w:t>
      </w:r>
    </w:p>
    <w:p w14:paraId="08AD9DF1" w14:textId="77777777" w:rsidR="00921512" w:rsidRPr="00921512" w:rsidRDefault="00921512" w:rsidP="00921512">
      <w:pPr>
        <w:pStyle w:val="FootnoteText"/>
        <w:ind w:firstLine="720"/>
        <w:rPr>
          <w:lang w:val="en-US"/>
        </w:rPr>
      </w:pPr>
    </w:p>
  </w:footnote>
  <w:footnote w:id="171">
    <w:p w14:paraId="5EB2EA08" w14:textId="45B2B31B"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&lt;EndNote&gt;&lt;Cite&gt;&lt;Author&gt;Schiffman&lt;/Author&gt;&lt;Year&gt;2010&lt;/Year&gt;&lt;RecNum&gt;5&lt;/RecNum&gt;&lt;Pages&gt;392&lt;/Pages&gt;&lt;DisplayText&gt;Schiffman, &lt;style face="italic"&gt;Qumran and Jerusalem&lt;/style&gt;: 392.&lt;/DisplayText&gt;&lt;record&gt;&lt;rec-number&gt;5&lt;/rec-number&gt;&lt;foreign-keys&gt;&lt;key app="EN" db-id="sd929rvz0dxdw6e92dp59txp9z2xdtp2dd0p"&gt;5&lt;/key&gt;&lt;/foreign-keys&gt;&lt;ref-type name="Book"&gt;6&lt;/ref-type&gt;&lt;contributors&gt;&lt;authors&gt;&lt;author&gt;Schiffman, Lawrence&lt;/author&gt;&lt;/authors&gt;&lt;/contributors&gt;&lt;titles&gt;&lt;title&gt;Qumran and Jerusalem&lt;/title&gt;&lt;/titles&gt;&lt;dates&gt;&lt;year&gt;2010&lt;/year&gt;&lt;/dates&gt;&lt;pub-location&gt;Grand Rapids, Michigan&lt;/pub-location&gt;&lt;publisher&gt;Eerdmans&lt;/publisher&gt;&lt;isbn&gt;978-0-8028-4976-2&lt;/isbn&gt;&lt;urls&gt;&lt;/urls&gt;&lt;/record&gt;&lt;/Cite&gt;&lt;/EndNote&gt;</w:instrText>
      </w:r>
      <w:r w:rsidRPr="0072758C">
        <w:rPr>
          <w:lang w:val="en-AU"/>
        </w:rPr>
        <w:fldChar w:fldCharType="separate"/>
      </w:r>
      <w:r w:rsidRPr="0072758C">
        <w:rPr>
          <w:lang w:val="en-AU"/>
        </w:rPr>
        <w:t xml:space="preserve">Schiffman, </w:t>
      </w:r>
      <w:r w:rsidRPr="0072758C">
        <w:rPr>
          <w:i/>
          <w:lang w:val="en-AU"/>
        </w:rPr>
        <w:t>Qumran and Jerusalem</w:t>
      </w:r>
      <w:r w:rsidRPr="0072758C">
        <w:rPr>
          <w:lang w:val="en-AU"/>
        </w:rPr>
        <w:t>, 392.</w:t>
      </w:r>
      <w:r w:rsidRPr="0072758C">
        <w:rPr>
          <w:lang w:val="en-AU"/>
        </w:rPr>
        <w:fldChar w:fldCharType="end"/>
      </w:r>
      <w:r w:rsidR="0026436F" w:rsidRPr="0072758C">
        <w:rPr>
          <w:lang w:val="en-AU"/>
        </w:rPr>
        <w:t xml:space="preserve"> See also Lindsey A. Askin, “A Contradictory Text: Authorship, Redaction, and Interpolation in Jubilees</w:t>
      </w:r>
      <w:r w:rsidR="001A72D7" w:rsidRPr="0072758C">
        <w:rPr>
          <w:lang w:val="en-AU"/>
        </w:rPr>
        <w:t>,</w:t>
      </w:r>
      <w:r w:rsidR="0026436F" w:rsidRPr="0072758C">
        <w:rPr>
          <w:lang w:val="en-AU"/>
        </w:rPr>
        <w:t>” </w:t>
      </w:r>
      <w:r w:rsidR="0026436F" w:rsidRPr="0072758C">
        <w:rPr>
          <w:i/>
          <w:iCs/>
          <w:lang w:val="en-AU"/>
        </w:rPr>
        <w:t>Biblische Notizen</w:t>
      </w:r>
      <w:r w:rsidR="0026436F" w:rsidRPr="0072758C">
        <w:rPr>
          <w:lang w:val="en-AU"/>
        </w:rPr>
        <w:t> 175 (2017): 15–33.</w:t>
      </w:r>
    </w:p>
  </w:footnote>
  <w:footnote w:id="172">
    <w:p w14:paraId="10C91A70" w14:textId="77777777" w:rsidR="005C18F8" w:rsidRPr="0072758C" w:rsidRDefault="005C18F8" w:rsidP="00F5340B">
      <w:pPr>
        <w:pStyle w:val="EndnoteText"/>
        <w:rPr>
          <w:lang w:val="en-AU"/>
        </w:rPr>
      </w:pPr>
    </w:p>
    <w:p w14:paraId="0E07F2E3" w14:textId="2E12D47E"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T. C. Vriezen and A. S. van der Woude, </w:t>
      </w:r>
      <w:r w:rsidRPr="0072758C">
        <w:rPr>
          <w:i/>
          <w:iCs/>
          <w:lang w:val="en-AU"/>
        </w:rPr>
        <w:t>Ancient Israelite and Early Jewish Literature</w:t>
      </w:r>
      <w:r w:rsidRPr="0072758C">
        <w:rPr>
          <w:lang w:val="en-AU"/>
        </w:rPr>
        <w:t>, 579.</w:t>
      </w:r>
    </w:p>
  </w:footnote>
  <w:footnote w:id="173">
    <w:p w14:paraId="61FDAAC8" w14:textId="77777777" w:rsidR="005C18F8" w:rsidRPr="0072758C" w:rsidRDefault="005C18F8" w:rsidP="00F5340B">
      <w:pPr>
        <w:pStyle w:val="EndnoteText"/>
        <w:rPr>
          <w:lang w:val="en-AU"/>
        </w:rPr>
      </w:pPr>
    </w:p>
    <w:p w14:paraId="5B8D9CF6" w14:textId="77777777" w:rsidR="005C18F8" w:rsidRPr="0072758C" w:rsidRDefault="005C18F8" w:rsidP="00F5340B">
      <w:pPr>
        <w:pStyle w:val="EndnoteText"/>
        <w:ind w:firstLine="720"/>
        <w:rPr>
          <w:lang w:val="en-AU"/>
        </w:rPr>
      </w:pPr>
      <w:r w:rsidRPr="0072758C">
        <w:rPr>
          <w:rStyle w:val="FootnoteReference"/>
          <w:lang w:val="en-AU"/>
        </w:rPr>
        <w:footnoteRef/>
      </w:r>
      <w:r w:rsidRPr="0072758C">
        <w:rPr>
          <w:lang w:val="en-AU"/>
        </w:rPr>
        <w:t xml:space="preserve"> Ibid.</w:t>
      </w:r>
    </w:p>
    <w:p w14:paraId="62CB6F31" w14:textId="77777777" w:rsidR="005C18F8" w:rsidRPr="0072758C" w:rsidRDefault="005C18F8" w:rsidP="00F5340B">
      <w:pPr>
        <w:pStyle w:val="EndnoteText"/>
        <w:rPr>
          <w:lang w:val="en-AU"/>
        </w:rPr>
      </w:pPr>
    </w:p>
  </w:footnote>
  <w:footnote w:id="174">
    <w:p w14:paraId="6C0B4BD1" w14:textId="3D1F7D71" w:rsidR="005911FF" w:rsidRPr="0072758C" w:rsidRDefault="005911FF" w:rsidP="00F5340B">
      <w:pPr>
        <w:pStyle w:val="EndnoteText"/>
        <w:ind w:firstLine="720"/>
        <w:rPr>
          <w:lang w:val="en-AU"/>
        </w:rPr>
      </w:pPr>
      <w:r w:rsidRPr="0072758C">
        <w:rPr>
          <w:rStyle w:val="FootnoteReference"/>
          <w:lang w:val="en-AU"/>
        </w:rPr>
        <w:footnoteRef/>
      </w:r>
      <w:r w:rsidRPr="0072758C">
        <w:rPr>
          <w:lang w:val="en-AU"/>
        </w:rPr>
        <w:t xml:space="preserve"> By the time of Jesus, there were failed attempts at a political overthrow </w:t>
      </w:r>
      <w:r w:rsidR="000211DE" w:rsidRPr="0072758C">
        <w:rPr>
          <w:lang w:val="en-AU"/>
        </w:rPr>
        <w:t xml:space="preserve">through a </w:t>
      </w:r>
      <w:r w:rsidR="000211DE" w:rsidRPr="0072758C">
        <w:rPr>
          <w:rtl/>
          <w:lang w:val="en-AU"/>
        </w:rPr>
        <w:t>משיח</w:t>
      </w:r>
      <w:r w:rsidRPr="0072758C">
        <w:rPr>
          <w:lang w:val="en-AU"/>
        </w:rPr>
        <w:t xml:space="preserve"> </w:t>
      </w:r>
      <w:r w:rsidR="000211DE" w:rsidRPr="0072758C">
        <w:rPr>
          <w:lang w:val="en-AU"/>
        </w:rPr>
        <w:t xml:space="preserve">of occupying and ruling kingdoms over the Jewish nation led to a shift in the role that a </w:t>
      </w:r>
      <w:r w:rsidR="000211DE" w:rsidRPr="0072758C">
        <w:rPr>
          <w:rtl/>
          <w:lang w:val="en-AU"/>
        </w:rPr>
        <w:t>משיח</w:t>
      </w:r>
      <w:r w:rsidR="000211DE" w:rsidRPr="0072758C">
        <w:rPr>
          <w:lang w:val="en-AU"/>
        </w:rPr>
        <w:t xml:space="preserve"> would liberate people. </w:t>
      </w:r>
      <w:r w:rsidR="001A72D7" w:rsidRPr="0072758C">
        <w:rPr>
          <w:lang w:val="en-AU"/>
        </w:rPr>
        <w:t>Therefore,</w:t>
      </w:r>
      <w:r w:rsidRPr="0072758C">
        <w:rPr>
          <w:lang w:val="en-AU"/>
        </w:rPr>
        <w:t xml:space="preserve"> the justice, peace, and union with God which fills the Hebrew scriptures</w:t>
      </w:r>
      <w:r w:rsidR="000211DE" w:rsidRPr="0072758C">
        <w:rPr>
          <w:lang w:val="en-AU"/>
        </w:rPr>
        <w:t xml:space="preserve"> was an accurate view at the time of Jesus according to L'Heureux.  See Conrad L’Heureux, “Understanding the Old Testament Prophecies</w:t>
      </w:r>
      <w:r w:rsidR="001A72D7" w:rsidRPr="0072758C">
        <w:rPr>
          <w:lang w:val="en-AU"/>
        </w:rPr>
        <w:t>,</w:t>
      </w:r>
      <w:r w:rsidR="000211DE" w:rsidRPr="0072758C">
        <w:rPr>
          <w:lang w:val="en-AU"/>
        </w:rPr>
        <w:t>” </w:t>
      </w:r>
      <w:r w:rsidR="000211DE" w:rsidRPr="0072758C">
        <w:rPr>
          <w:i/>
          <w:iCs/>
          <w:lang w:val="en-AU"/>
        </w:rPr>
        <w:t>Bible Today</w:t>
      </w:r>
      <w:r w:rsidR="000211DE" w:rsidRPr="0072758C">
        <w:rPr>
          <w:lang w:val="en-AU"/>
        </w:rPr>
        <w:t xml:space="preserve"> 23 (1985): 51–59. </w:t>
      </w:r>
      <w:r w:rsidR="0008576D" w:rsidRPr="0072758C">
        <w:rPr>
          <w:lang w:val="en-AU"/>
        </w:rPr>
        <w:t xml:space="preserve"> See also Mitchell for </w:t>
      </w:r>
      <w:r w:rsidR="00DE73F6" w:rsidRPr="0072758C">
        <w:rPr>
          <w:lang w:val="en-AU"/>
        </w:rPr>
        <w:t>a</w:t>
      </w:r>
      <w:r w:rsidR="0008576D" w:rsidRPr="0072758C">
        <w:rPr>
          <w:lang w:val="en-AU"/>
        </w:rPr>
        <w:t xml:space="preserve"> discussion of the connection to messiah, the Hebrew Bible, and pseudepigrapha: David C. Mitchell, “Firstborn Shor and Rem: A Sacrificial Josephite Messiah in 1 Enoch 90.37-38 and Deuteronomy 33.17</w:t>
      </w:r>
      <w:r w:rsidR="001A72D7" w:rsidRPr="0072758C">
        <w:rPr>
          <w:lang w:val="en-AU"/>
        </w:rPr>
        <w:t>,</w:t>
      </w:r>
      <w:r w:rsidR="0008576D" w:rsidRPr="0072758C">
        <w:rPr>
          <w:lang w:val="en-AU"/>
        </w:rPr>
        <w:t>” </w:t>
      </w:r>
      <w:r w:rsidR="0008576D" w:rsidRPr="0072758C">
        <w:rPr>
          <w:i/>
          <w:iCs/>
          <w:lang w:val="en-AU"/>
        </w:rPr>
        <w:t>Journal for the Study of the Pseudepigrapha</w:t>
      </w:r>
      <w:r w:rsidR="0008576D" w:rsidRPr="0072758C">
        <w:rPr>
          <w:lang w:val="en-AU"/>
        </w:rPr>
        <w:t xml:space="preserve"> 15 (2006): 211–28. </w:t>
      </w:r>
    </w:p>
    <w:p w14:paraId="16B9E85F" w14:textId="77777777" w:rsidR="005911FF" w:rsidRPr="0072758C" w:rsidRDefault="005911FF" w:rsidP="00F5340B">
      <w:pPr>
        <w:pStyle w:val="EndnoteText"/>
        <w:rPr>
          <w:lang w:val="en-AU"/>
        </w:rPr>
      </w:pPr>
    </w:p>
  </w:footnote>
  <w:footnote w:id="175">
    <w:p w14:paraId="31155CFA" w14:textId="5774380C"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For example</w:t>
      </w:r>
      <w:r w:rsidRPr="0072758C">
        <w:rPr>
          <w:i/>
          <w:iCs/>
          <w:lang w:val="en-AU"/>
        </w:rPr>
        <w:t xml:space="preserve"> </w:t>
      </w:r>
      <w:r w:rsidRPr="0072758C">
        <w:rPr>
          <w:lang w:val="en-AU"/>
        </w:rPr>
        <w:t>the Jewish kings: Saul (1 Sam 9:16; 10:1; 15:1, 17); David (1 Sam 16:3, 12–13; 2 Sam 2:4, 7; 3:39); Solomon (1 Kgs 1:34, 39, 45); Jehu (1 Kgs 19:16; 2 Kgs 9:3, 6, 12; 2 Chr 22:7); Joash (2 Kgs 11:12; 2 Chr 23:11); Jehoahaz (2 Kgs 23:30); Zedekiah (Lam 4:20); generic Jewish monarchs: Ps 2:2; 18:51; 20:7; 28:8; 84:10; 89:39, 52; 132:10, 17; and Cyrus, king of Persia, Isa. 45:1.</w:t>
      </w:r>
    </w:p>
    <w:p w14:paraId="1B9CA775" w14:textId="77777777" w:rsidR="00194C28" w:rsidRPr="0072758C" w:rsidRDefault="00194C28" w:rsidP="00F5340B">
      <w:pPr>
        <w:pStyle w:val="EndnoteText"/>
        <w:rPr>
          <w:lang w:val="en-AU"/>
        </w:rPr>
      </w:pPr>
    </w:p>
  </w:footnote>
  <w:footnote w:id="176">
    <w:p w14:paraId="63D0F5AA" w14:textId="2097113C" w:rsidR="00194C28" w:rsidRPr="0072758C" w:rsidRDefault="00194C28" w:rsidP="00F5340B">
      <w:pPr>
        <w:pStyle w:val="EndnoteText"/>
        <w:ind w:firstLine="720"/>
        <w:rPr>
          <w:i/>
          <w:iCs/>
          <w:lang w:val="en-AU"/>
        </w:rPr>
      </w:pPr>
      <w:r w:rsidRPr="0072758C">
        <w:rPr>
          <w:rStyle w:val="FootnoteReference"/>
          <w:lang w:val="en-AU"/>
        </w:rPr>
        <w:footnoteRef/>
      </w:r>
      <w:r w:rsidRPr="0072758C">
        <w:rPr>
          <w:lang w:val="en-AU"/>
        </w:rPr>
        <w:t xml:space="preserve"> See the following Priests:</w:t>
      </w:r>
      <w:r w:rsidRPr="0072758C">
        <w:rPr>
          <w:i/>
          <w:iCs/>
          <w:lang w:val="en-AU"/>
        </w:rPr>
        <w:t xml:space="preserve"> </w:t>
      </w:r>
      <w:r w:rsidRPr="0072758C">
        <w:rPr>
          <w:lang w:val="en-AU"/>
        </w:rPr>
        <w:t>Lev 4:3, 5, 16; 6:15</w:t>
      </w:r>
      <w:r w:rsidRPr="0072758C">
        <w:rPr>
          <w:i/>
          <w:iCs/>
          <w:lang w:val="en-AU"/>
        </w:rPr>
        <w:t xml:space="preserve">. </w:t>
      </w:r>
      <w:r w:rsidRPr="0072758C">
        <w:rPr>
          <w:lang w:val="en-AU"/>
        </w:rPr>
        <w:t>Prophets:</w:t>
      </w:r>
      <w:r w:rsidRPr="0072758C">
        <w:rPr>
          <w:i/>
          <w:iCs/>
          <w:lang w:val="en-AU"/>
        </w:rPr>
        <w:t xml:space="preserve"> </w:t>
      </w:r>
      <w:r w:rsidRPr="0072758C">
        <w:rPr>
          <w:lang w:val="en-AU"/>
        </w:rPr>
        <w:t>1 Chr 16:22; Ps 105:15.</w:t>
      </w:r>
    </w:p>
    <w:p w14:paraId="626D6381" w14:textId="77777777" w:rsidR="00194C28" w:rsidRPr="0072758C" w:rsidRDefault="00194C28" w:rsidP="00F5340B">
      <w:pPr>
        <w:pStyle w:val="EndnoteText"/>
        <w:rPr>
          <w:i/>
          <w:iCs/>
          <w:lang w:val="en-AU"/>
        </w:rPr>
      </w:pPr>
    </w:p>
  </w:footnote>
  <w:footnote w:id="177">
    <w:p w14:paraId="198F4985" w14:textId="5DD3A1A9"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Adela Yarbro Collins and John Joseph Collins,</w:t>
      </w:r>
      <w:r w:rsidR="00EF1D0F" w:rsidRPr="0072758C">
        <w:rPr>
          <w:lang w:val="en-AU"/>
        </w:rPr>
        <w:t xml:space="preserve"> </w:t>
      </w:r>
      <w:proofErr w:type="gramStart"/>
      <w:r w:rsidRPr="0072758C">
        <w:rPr>
          <w:i/>
          <w:lang w:val="en-AU"/>
        </w:rPr>
        <w:t>King</w:t>
      </w:r>
      <w:proofErr w:type="gramEnd"/>
      <w:r w:rsidRPr="0072758C">
        <w:rPr>
          <w:i/>
          <w:lang w:val="en-AU"/>
        </w:rPr>
        <w:t xml:space="preserve"> and Messiah as Son of God</w:t>
      </w:r>
      <w:r w:rsidR="00EF1D0F" w:rsidRPr="0072758C">
        <w:rPr>
          <w:lang w:val="en-AU"/>
        </w:rPr>
        <w:t xml:space="preserve"> </w:t>
      </w:r>
      <w:r w:rsidRPr="0072758C">
        <w:rPr>
          <w:lang w:val="en-AU"/>
        </w:rPr>
        <w:t>(Grand Rapids: Eerdmans, 2008); It can be evident with the development of later books such as 1 and 2 Chronicles, Ezra, Nehemiah, and Ben Sira, that the imagery of a messianic figure diminished as well as the eschatology for salvation.</w:t>
      </w:r>
      <w:r w:rsidRPr="0072758C" w:rsidDel="00E53E0E">
        <w:rPr>
          <w:lang w:val="en-AU"/>
        </w:rPr>
        <w:t xml:space="preserve"> </w:t>
      </w:r>
    </w:p>
    <w:p w14:paraId="29043E3F" w14:textId="77777777" w:rsidR="00194C28" w:rsidRPr="0072758C" w:rsidRDefault="00194C28" w:rsidP="00F5340B">
      <w:pPr>
        <w:pStyle w:val="EndnoteText"/>
        <w:rPr>
          <w:lang w:val="en-AU"/>
        </w:rPr>
      </w:pPr>
    </w:p>
  </w:footnote>
  <w:footnote w:id="178">
    <w:p w14:paraId="22D4C2F1" w14:textId="2B5EB10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Peter Schäfer, </w:t>
      </w:r>
      <w:r w:rsidRPr="0072758C">
        <w:rPr>
          <w:i/>
          <w:lang w:val="en-AU"/>
        </w:rPr>
        <w:t>The History of the Jews in the Greco-Roman World</w:t>
      </w:r>
      <w:r w:rsidRPr="0072758C">
        <w:rPr>
          <w:lang w:val="en-AU"/>
        </w:rPr>
        <w:t> (London: Routledge, 2006),</w:t>
      </w:r>
    </w:p>
    <w:p w14:paraId="19A6C1AF" w14:textId="04C06174" w:rsidR="00505D3D" w:rsidRPr="0072758C" w:rsidRDefault="00194C28" w:rsidP="00F5340B">
      <w:pPr>
        <w:pStyle w:val="EndnoteText"/>
        <w:rPr>
          <w:lang w:val="en-AU"/>
        </w:rPr>
      </w:pPr>
      <w:r w:rsidRPr="0072758C">
        <w:rPr>
          <w:lang w:val="en-AU"/>
        </w:rPr>
        <w:t>124</w:t>
      </w:r>
      <w:r w:rsidR="00505D3D" w:rsidRPr="0072758C">
        <w:rPr>
          <w:lang w:val="en-AU"/>
        </w:rPr>
        <w:t>; Mehdi Estakhr</w:t>
      </w:r>
      <w:r w:rsidR="005C3EE7" w:rsidRPr="0072758C">
        <w:rPr>
          <w:lang w:val="en-AU"/>
        </w:rPr>
        <w:t>,</w:t>
      </w:r>
      <w:r w:rsidR="00505D3D" w:rsidRPr="0072758C">
        <w:rPr>
          <w:lang w:val="en-AU"/>
        </w:rPr>
        <w:t xml:space="preserve"> “The Journey of the Magi: Its Religious and Political Context</w:t>
      </w:r>
      <w:r w:rsidR="005C3EE7" w:rsidRPr="0072758C">
        <w:rPr>
          <w:lang w:val="en-AU"/>
        </w:rPr>
        <w:t>,</w:t>
      </w:r>
      <w:r w:rsidR="00505D3D" w:rsidRPr="0072758C">
        <w:rPr>
          <w:lang w:val="en-AU"/>
        </w:rPr>
        <w:t>” </w:t>
      </w:r>
      <w:r w:rsidR="00505D3D" w:rsidRPr="0072758C">
        <w:rPr>
          <w:i/>
          <w:iCs/>
          <w:lang w:val="en-AU"/>
        </w:rPr>
        <w:t>World History Bulletin</w:t>
      </w:r>
      <w:r w:rsidR="00505D3D" w:rsidRPr="0072758C">
        <w:rPr>
          <w:lang w:val="en-AU"/>
        </w:rPr>
        <w:t> 32 2016): 24–31.</w:t>
      </w:r>
    </w:p>
    <w:p w14:paraId="672FA507" w14:textId="77777777" w:rsidR="00194C28" w:rsidRPr="0072758C" w:rsidRDefault="00194C28" w:rsidP="00F5340B">
      <w:pPr>
        <w:pStyle w:val="EndnoteText"/>
        <w:rPr>
          <w:lang w:val="en-AU"/>
        </w:rPr>
      </w:pPr>
    </w:p>
  </w:footnote>
  <w:footnote w:id="179">
    <w:p w14:paraId="1E9A5B94" w14:textId="0ED07DF4" w:rsidR="005C40B1"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Daniel Boyarin, </w:t>
      </w:r>
      <w:r w:rsidRPr="0072758C">
        <w:rPr>
          <w:i/>
          <w:iCs/>
          <w:lang w:val="en-AU"/>
        </w:rPr>
        <w:t>The Jewish Gospels</w:t>
      </w:r>
      <w:r w:rsidRPr="0072758C">
        <w:rPr>
          <w:lang w:val="en-AU"/>
        </w:rPr>
        <w:t xml:space="preserve"> (New York: The New Press, 2012), 72. For messianic texts for peace, see</w:t>
      </w:r>
      <w:r w:rsidRPr="0072758C">
        <w:rPr>
          <w:i/>
          <w:iCs/>
          <w:lang w:val="en-AU"/>
        </w:rPr>
        <w:t xml:space="preserve"> </w:t>
      </w:r>
      <w:r w:rsidRPr="0072758C">
        <w:rPr>
          <w:lang w:val="en-AU"/>
        </w:rPr>
        <w:t>Isa 11:1–9, Isa 42:1‒4, and Isa 53.</w:t>
      </w:r>
      <w:r w:rsidR="005C40B1" w:rsidRPr="0072758C">
        <w:rPr>
          <w:lang w:val="en-AU"/>
        </w:rPr>
        <w:t xml:space="preserve"> See</w:t>
      </w:r>
      <w:r w:rsidR="005661F7" w:rsidRPr="0072758C">
        <w:rPr>
          <w:lang w:val="en-AU"/>
        </w:rPr>
        <w:t xml:space="preserve"> also Peter J Judge, “Violence and Nonviolence in the Sermon on the Mount: Jesus’ Call for Attitude Adjustment</w:t>
      </w:r>
      <w:r w:rsidR="005C3EE7" w:rsidRPr="0072758C">
        <w:rPr>
          <w:lang w:val="en-AU"/>
        </w:rPr>
        <w:t>,</w:t>
      </w:r>
      <w:r w:rsidR="005661F7" w:rsidRPr="0072758C">
        <w:rPr>
          <w:lang w:val="en-AU"/>
        </w:rPr>
        <w:t>” </w:t>
      </w:r>
      <w:r w:rsidR="005661F7" w:rsidRPr="0072758C">
        <w:rPr>
          <w:i/>
          <w:iCs/>
          <w:lang w:val="en-AU"/>
        </w:rPr>
        <w:t>The Bible Today</w:t>
      </w:r>
      <w:r w:rsidR="005661F7" w:rsidRPr="0072758C">
        <w:rPr>
          <w:lang w:val="en-AU"/>
        </w:rPr>
        <w:t> 55 (2017): 13–19. </w:t>
      </w:r>
    </w:p>
    <w:p w14:paraId="50B2C0A7" w14:textId="77777777" w:rsidR="00194C28" w:rsidRPr="0072758C" w:rsidRDefault="00194C28" w:rsidP="00F5340B">
      <w:pPr>
        <w:pStyle w:val="EndnoteText"/>
        <w:rPr>
          <w:lang w:val="en-AU"/>
        </w:rPr>
      </w:pPr>
    </w:p>
  </w:footnote>
  <w:footnote w:id="180">
    <w:p w14:paraId="7495B269" w14:textId="3374F071"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w:t>
      </w:r>
      <w:r w:rsidR="005C40B1" w:rsidRPr="0072758C">
        <w:rPr>
          <w:lang w:val="en-AU"/>
        </w:rPr>
        <w:t xml:space="preserve">Daniel Boyarin, </w:t>
      </w:r>
      <w:r w:rsidR="005C40B1" w:rsidRPr="0072758C">
        <w:rPr>
          <w:i/>
          <w:iCs/>
          <w:lang w:val="en-AU"/>
        </w:rPr>
        <w:t>The Jewish Gospels</w:t>
      </w:r>
      <w:r w:rsidR="005C40B1" w:rsidRPr="0072758C">
        <w:rPr>
          <w:lang w:val="en-AU"/>
        </w:rPr>
        <w:t xml:space="preserve"> (New York: The New Press, 2012), 72</w:t>
      </w:r>
      <w:r w:rsidR="00FD0136" w:rsidRPr="0072758C">
        <w:rPr>
          <w:lang w:val="en-AU"/>
        </w:rPr>
        <w:t>.</w:t>
      </w:r>
    </w:p>
    <w:p w14:paraId="2DEA6DFE" w14:textId="77777777" w:rsidR="00194C28" w:rsidRPr="0072758C" w:rsidRDefault="00194C28" w:rsidP="00F5340B">
      <w:pPr>
        <w:pStyle w:val="EndnoteText"/>
        <w:rPr>
          <w:lang w:val="en-AU"/>
        </w:rPr>
      </w:pPr>
    </w:p>
  </w:footnote>
  <w:footnote w:id="181">
    <w:p w14:paraId="1C18D90C" w14:textId="59F9BE78" w:rsidR="00FD0136" w:rsidRPr="0072758C" w:rsidRDefault="00194C28" w:rsidP="00403618">
      <w:pPr>
        <w:pStyle w:val="EndnoteText"/>
        <w:ind w:firstLine="720"/>
        <w:rPr>
          <w:lang w:val="en-AU"/>
        </w:rPr>
      </w:pPr>
      <w:r w:rsidRPr="0072758C">
        <w:rPr>
          <w:rStyle w:val="FootnoteReference"/>
          <w:lang w:val="en-AU"/>
        </w:rPr>
        <w:footnoteRef/>
      </w:r>
      <w:r w:rsidRPr="0072758C">
        <w:rPr>
          <w:lang w:val="en-AU"/>
        </w:rPr>
        <w:t xml:space="preserve"> Robert H Eisenman and Michael Wise, </w:t>
      </w:r>
      <w:r w:rsidRPr="0072758C">
        <w:rPr>
          <w:i/>
          <w:iCs/>
          <w:lang w:val="en-AU"/>
        </w:rPr>
        <w:t>The Dead Sea Scrolls Uncovered</w:t>
      </w:r>
      <w:r w:rsidRPr="0072758C">
        <w:rPr>
          <w:lang w:val="en-AU"/>
        </w:rPr>
        <w:t xml:space="preserve"> (New York: Barnes and Noble Books, 1992), 17.</w:t>
      </w:r>
      <w:r w:rsidR="00890B19" w:rsidRPr="0072758C">
        <w:rPr>
          <w:lang w:val="en-AU"/>
        </w:rPr>
        <w:t xml:space="preserve"> This is also supported by Collins who suggests that the followers of Jesus and listeners to the Sermon expected more militance and less peace, see John Collins, </w:t>
      </w:r>
      <w:r w:rsidR="00890B19" w:rsidRPr="0072758C">
        <w:rPr>
          <w:i/>
          <w:iCs/>
          <w:lang w:val="en-AU"/>
        </w:rPr>
        <w:t>Jesus, Messianism and the Dead Sea Scrolls</w:t>
      </w:r>
      <w:r w:rsidR="00890B19" w:rsidRPr="0072758C">
        <w:rPr>
          <w:lang w:val="en-AU"/>
        </w:rPr>
        <w:t xml:space="preserve"> </w:t>
      </w:r>
      <w:r w:rsidR="00403618" w:rsidRPr="0072758C">
        <w:rPr>
          <w:lang w:val="en-AU"/>
        </w:rPr>
        <w:t>(Tubingen: Mohr Siebeck, 1998), 100-19.</w:t>
      </w:r>
      <w:r w:rsidR="00FD0136" w:rsidRPr="0072758C">
        <w:rPr>
          <w:lang w:val="en-AU"/>
        </w:rPr>
        <w:t xml:space="preserve"> See also Hermann Lichtenberger, </w:t>
      </w:r>
      <w:r w:rsidR="00FD0136" w:rsidRPr="0072758C">
        <w:rPr>
          <w:i/>
          <w:iCs/>
          <w:lang w:val="en-AU"/>
        </w:rPr>
        <w:t>Messianic Expectations and Messianic Figures in the Second Temple Period</w:t>
      </w:r>
      <w:r w:rsidR="00403618" w:rsidRPr="0072758C">
        <w:rPr>
          <w:lang w:val="en-AU"/>
        </w:rPr>
        <w:t xml:space="preserve"> (Tubingen: Mohr Siebeck, 1998), 9-20</w:t>
      </w:r>
      <w:r w:rsidR="00FD0136" w:rsidRPr="0072758C">
        <w:rPr>
          <w:lang w:val="en-AU"/>
        </w:rPr>
        <w:t>; Shimʻon Fogel, “Shimshon Ki-Meshiaḥ: Mabaṭ Nosaf</w:t>
      </w:r>
      <w:r w:rsidR="005C3EE7" w:rsidRPr="0072758C">
        <w:rPr>
          <w:lang w:val="en-AU"/>
        </w:rPr>
        <w:t>,</w:t>
      </w:r>
      <w:r w:rsidR="00FD0136" w:rsidRPr="0072758C">
        <w:rPr>
          <w:lang w:val="en-AU"/>
        </w:rPr>
        <w:t>” </w:t>
      </w:r>
      <w:r w:rsidR="00FD0136" w:rsidRPr="0072758C">
        <w:rPr>
          <w:i/>
          <w:iCs/>
          <w:lang w:val="en-AU"/>
        </w:rPr>
        <w:t>Jewish Studies, an Internet Journal</w:t>
      </w:r>
      <w:r w:rsidR="00FD0136" w:rsidRPr="0072758C">
        <w:rPr>
          <w:lang w:val="en-AU"/>
        </w:rPr>
        <w:t> 11 (2012)</w:t>
      </w:r>
      <w:r w:rsidR="005C3EE7" w:rsidRPr="0072758C">
        <w:rPr>
          <w:lang w:val="en-AU"/>
        </w:rPr>
        <w:t>: 11</w:t>
      </w:r>
      <w:r w:rsidR="00FF241B" w:rsidRPr="0072758C">
        <w:rPr>
          <w:lang w:val="en-AU"/>
        </w:rPr>
        <w:t>.</w:t>
      </w:r>
    </w:p>
    <w:p w14:paraId="79E6AE78" w14:textId="77777777" w:rsidR="00194C28" w:rsidRPr="0072758C" w:rsidRDefault="00194C28" w:rsidP="00F5340B">
      <w:pPr>
        <w:pStyle w:val="EndnoteText"/>
        <w:rPr>
          <w:lang w:val="en-AU"/>
        </w:rPr>
      </w:pPr>
    </w:p>
  </w:footnote>
  <w:footnote w:id="182">
    <w:p w14:paraId="44E0F954" w14:textId="357B6AAB" w:rsidR="00FF241B"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Pesiq. Rab. 1:7; 1:9; 1:10; 1:12; 1:15; 1:17; 1:19; 1:20; 11:22; 13:3; 15:20; 15:25; 15:35; 15:36; 15:39; 21:2; 32:11; 33:33; 33:37; 34:3; 34:5; 34:7; 34:8; 35:8; 36:2; 36:3; 36:5; 36:8; 36:9; 37:3; 37:4; 37:5; 37:6; 51:14; 51:26. All citations refer to Rivka Ulmer, Pesiqta Rabbati: </w:t>
      </w:r>
      <w:r w:rsidRPr="0072758C">
        <w:rPr>
          <w:i/>
          <w:iCs/>
          <w:lang w:val="en-AU"/>
        </w:rPr>
        <w:t>A Synoptic Edition of Pesiqta Rabbati Based upon all Extant Hebrew Manuscripts and the Editio Princeps</w:t>
      </w:r>
      <w:r w:rsidRPr="0072758C">
        <w:rPr>
          <w:lang w:val="en-AU"/>
        </w:rPr>
        <w:t xml:space="preserve">, vol. 1 (Atlanta: Scholars, 1997); vol. 2 (Atlanta: Scholars, 1999); vol. 3 and index (Lanham: University Press of America, 2002; repr., 2009).  For more scholarship on the Messiah in </w:t>
      </w:r>
      <w:r w:rsidRPr="0072758C">
        <w:rPr>
          <w:i/>
          <w:iCs/>
          <w:lang w:val="en-AU"/>
        </w:rPr>
        <w:t>Midrash Pesikta Rabbati</w:t>
      </w:r>
      <w:r w:rsidRPr="0072758C">
        <w:rPr>
          <w:lang w:val="en-AU"/>
        </w:rPr>
        <w:t xml:space="preserve">, </w:t>
      </w:r>
      <w:r w:rsidR="00FE30DC" w:rsidRPr="0072758C">
        <w:rPr>
          <w:lang w:val="en-AU"/>
        </w:rPr>
        <w:t>s</w:t>
      </w:r>
      <w:r w:rsidRPr="0072758C">
        <w:rPr>
          <w:lang w:val="en-AU"/>
        </w:rPr>
        <w:t xml:space="preserve">ee Messiah in Pesiq. Rab. including: Bernard J. Bamberger, </w:t>
      </w:r>
      <w:r w:rsidR="00863B47" w:rsidRPr="0072758C">
        <w:rPr>
          <w:lang w:val="en-AU"/>
        </w:rPr>
        <w:t>“</w:t>
      </w:r>
      <w:r w:rsidRPr="0072758C">
        <w:rPr>
          <w:lang w:val="en-AU"/>
        </w:rPr>
        <w:t>A Messianic Document of the Seventh Century,</w:t>
      </w:r>
      <w:r w:rsidR="00863B47" w:rsidRPr="0072758C">
        <w:rPr>
          <w:lang w:val="en-AU"/>
        </w:rPr>
        <w:t>”</w:t>
      </w:r>
      <w:r w:rsidRPr="0072758C">
        <w:rPr>
          <w:lang w:val="en-AU"/>
        </w:rPr>
        <w:t xml:space="preserve"> </w:t>
      </w:r>
      <w:r w:rsidR="000C1F42" w:rsidRPr="0072758C">
        <w:rPr>
          <w:i/>
          <w:iCs/>
          <w:lang w:val="en-AU"/>
        </w:rPr>
        <w:t>Hebrew Union College Annual</w:t>
      </w:r>
      <w:r w:rsidRPr="0072758C">
        <w:rPr>
          <w:lang w:val="en-AU"/>
        </w:rPr>
        <w:t xml:space="preserve"> 15 (1940)</w:t>
      </w:r>
      <w:r w:rsidR="00013BF9" w:rsidRPr="0072758C">
        <w:rPr>
          <w:lang w:val="en-AU"/>
        </w:rPr>
        <w:t>:</w:t>
      </w:r>
      <w:r w:rsidRPr="0072758C">
        <w:rPr>
          <w:lang w:val="en-AU"/>
        </w:rPr>
        <w:t xml:space="preserve"> 425–31; Michael A. Fishbane, </w:t>
      </w:r>
      <w:r w:rsidR="00863B47" w:rsidRPr="0072758C">
        <w:rPr>
          <w:lang w:val="en-AU"/>
        </w:rPr>
        <w:t>“</w:t>
      </w:r>
      <w:r w:rsidRPr="0072758C">
        <w:rPr>
          <w:lang w:val="en-AU"/>
        </w:rPr>
        <w:t>Midrash and Messianism: Some Theologies of Suffering and Salvation,</w:t>
      </w:r>
      <w:r w:rsidR="00863B47" w:rsidRPr="0072758C">
        <w:rPr>
          <w:lang w:val="en-AU"/>
        </w:rPr>
        <w:t>”</w:t>
      </w:r>
      <w:r w:rsidRPr="0072758C">
        <w:rPr>
          <w:lang w:val="en-AU"/>
        </w:rPr>
        <w:t xml:space="preserve"> in </w:t>
      </w:r>
      <w:r w:rsidRPr="0072758C">
        <w:rPr>
          <w:i/>
          <w:iCs/>
          <w:lang w:val="en-AU"/>
        </w:rPr>
        <w:t xml:space="preserve">Toward the Millennium: Messianic Expectations from the Bible to Waco </w:t>
      </w:r>
      <w:r w:rsidRPr="0072758C">
        <w:rPr>
          <w:lang w:val="en-AU"/>
        </w:rPr>
        <w:t xml:space="preserve">(Leiden: Brill, 1998), 57–71; Arnold Goldberg, </w:t>
      </w:r>
      <w:r w:rsidRPr="0072758C">
        <w:rPr>
          <w:i/>
          <w:iCs/>
          <w:lang w:val="en-AU"/>
        </w:rPr>
        <w:t xml:space="preserve">Erlösung durch Leiden. Drei rabbinische Homilien über die Trauernden </w:t>
      </w:r>
      <w:r w:rsidRPr="0072758C">
        <w:rPr>
          <w:lang w:val="en-AU"/>
        </w:rPr>
        <w:t xml:space="preserve">¨ </w:t>
      </w:r>
      <w:r w:rsidRPr="0072758C">
        <w:rPr>
          <w:i/>
          <w:iCs/>
          <w:lang w:val="en-AU"/>
        </w:rPr>
        <w:t>Zions und den leidenden Messias Efraim</w:t>
      </w:r>
      <w:r w:rsidRPr="0072758C">
        <w:rPr>
          <w:lang w:val="en-AU"/>
        </w:rPr>
        <w:t xml:space="preserve"> (</w:t>
      </w:r>
      <w:r w:rsidRPr="0072758C">
        <w:rPr>
          <w:i/>
          <w:iCs/>
          <w:lang w:val="en-AU"/>
        </w:rPr>
        <w:t>Pesiqta Rabbati</w:t>
      </w:r>
      <w:r w:rsidRPr="0072758C">
        <w:rPr>
          <w:lang w:val="en-AU"/>
        </w:rPr>
        <w:t xml:space="preserve"> 34.36.37) (FJSt 4;</w:t>
      </w:r>
      <w:r w:rsidRPr="0072758C">
        <w:rPr>
          <w:i/>
          <w:iCs/>
          <w:lang w:val="en-AU"/>
        </w:rPr>
        <w:t xml:space="preserve"> Frankfurt am Main: Gesellschaft zur Förderung judaistischer Studien,</w:t>
      </w:r>
      <w:r w:rsidRPr="0072758C">
        <w:rPr>
          <w:lang w:val="en-AU"/>
        </w:rPr>
        <w:t xml:space="preserve"> 1978); David G. Mitchell, </w:t>
      </w:r>
      <w:r w:rsidR="00863B47" w:rsidRPr="0072758C">
        <w:rPr>
          <w:lang w:val="en-AU"/>
        </w:rPr>
        <w:t>“</w:t>
      </w:r>
      <w:r w:rsidRPr="0072758C">
        <w:rPr>
          <w:lang w:val="en-AU"/>
        </w:rPr>
        <w:t>Messiah ben Joseph: A Sacrifice of Atonement for Israel,</w:t>
      </w:r>
      <w:r w:rsidR="00863B47" w:rsidRPr="0072758C">
        <w:rPr>
          <w:lang w:val="en-AU"/>
        </w:rPr>
        <w:t>”</w:t>
      </w:r>
      <w:r w:rsidRPr="0072758C">
        <w:rPr>
          <w:lang w:val="en-AU"/>
        </w:rPr>
        <w:t xml:space="preserve"> </w:t>
      </w:r>
      <w:r w:rsidRPr="0072758C">
        <w:rPr>
          <w:i/>
          <w:iCs/>
          <w:lang w:val="en-AU"/>
        </w:rPr>
        <w:t>Review of Rabbinic Judaism</w:t>
      </w:r>
      <w:r w:rsidRPr="0072758C">
        <w:rPr>
          <w:lang w:val="en-AU"/>
        </w:rPr>
        <w:t xml:space="preserve"> 10 (2007), 77–94</w:t>
      </w:r>
      <w:r w:rsidR="00FF241B" w:rsidRPr="0072758C">
        <w:rPr>
          <w:lang w:val="en-AU"/>
        </w:rPr>
        <w:t>; Rothstein, David</w:t>
      </w:r>
      <w:r w:rsidR="005C3EE7" w:rsidRPr="0072758C">
        <w:rPr>
          <w:lang w:val="en-AU"/>
        </w:rPr>
        <w:t>,</w:t>
      </w:r>
      <w:r w:rsidR="00FF241B" w:rsidRPr="0072758C">
        <w:rPr>
          <w:lang w:val="en-AU"/>
        </w:rPr>
        <w:t xml:space="preserve"> “Cultic Offerings of Foreigners: The Exegetical Logic Informing Pesiqta Rabbati’s ‘Exclusivist’ Interpretation of Lev 22:17-25 and Related Biblical</w:t>
      </w:r>
      <w:r w:rsidR="005C3EE7" w:rsidRPr="0072758C">
        <w:rPr>
          <w:lang w:val="en-AU"/>
        </w:rPr>
        <w:t xml:space="preserve"> </w:t>
      </w:r>
      <w:r w:rsidR="00FF241B" w:rsidRPr="0072758C">
        <w:rPr>
          <w:lang w:val="en-AU"/>
        </w:rPr>
        <w:t>Passages</w:t>
      </w:r>
      <w:r w:rsidR="005C3EE7" w:rsidRPr="0072758C">
        <w:rPr>
          <w:lang w:val="en-AU"/>
        </w:rPr>
        <w:t>,</w:t>
      </w:r>
      <w:r w:rsidR="00FF241B" w:rsidRPr="0072758C">
        <w:rPr>
          <w:lang w:val="en-AU"/>
        </w:rPr>
        <w:t>” </w:t>
      </w:r>
      <w:r w:rsidR="00FF241B" w:rsidRPr="0072758C">
        <w:rPr>
          <w:i/>
          <w:iCs/>
          <w:lang w:val="en-AU"/>
        </w:rPr>
        <w:t>Biblische Zeitschrift</w:t>
      </w:r>
      <w:r w:rsidR="00FF241B" w:rsidRPr="0072758C">
        <w:rPr>
          <w:lang w:val="en-AU"/>
        </w:rPr>
        <w:t> 62 (2018): 100–16.</w:t>
      </w:r>
    </w:p>
    <w:p w14:paraId="62E1CC45" w14:textId="77777777" w:rsidR="00194C28" w:rsidRPr="0072758C" w:rsidRDefault="00194C28" w:rsidP="00F5340B">
      <w:pPr>
        <w:pStyle w:val="EndnoteText"/>
        <w:rPr>
          <w:lang w:val="en-AU"/>
        </w:rPr>
      </w:pPr>
    </w:p>
  </w:footnote>
  <w:footnote w:id="183">
    <w:p w14:paraId="47E00038" w14:textId="63D45AA2"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Albert Pietersma and Benjamin G Wright, </w:t>
      </w:r>
      <w:r w:rsidRPr="0072758C">
        <w:rPr>
          <w:i/>
          <w:lang w:val="en-AU"/>
        </w:rPr>
        <w:t xml:space="preserve">A New English Translation of the </w:t>
      </w:r>
      <w:proofErr w:type="gramStart"/>
      <w:r w:rsidRPr="0072758C">
        <w:rPr>
          <w:i/>
          <w:lang w:val="en-AU"/>
        </w:rPr>
        <w:t>Septuagint</w:t>
      </w:r>
      <w:proofErr w:type="gramEnd"/>
      <w:r w:rsidRPr="0072758C">
        <w:rPr>
          <w:i/>
          <w:lang w:val="en-AU"/>
        </w:rPr>
        <w:t xml:space="preserve"> and the other Greek Translations Traditionally Included under that Title</w:t>
      </w:r>
      <w:r w:rsidRPr="0072758C">
        <w:rPr>
          <w:lang w:val="en-AU"/>
        </w:rPr>
        <w:t> (New York: Oxford University Press, 2009); see</w:t>
      </w:r>
      <w:r w:rsidRPr="0072758C">
        <w:rPr>
          <w:i/>
          <w:iCs/>
          <w:lang w:val="en-AU"/>
        </w:rPr>
        <w:t xml:space="preserve"> </w:t>
      </w:r>
      <w:r w:rsidRPr="0072758C">
        <w:rPr>
          <w:lang w:val="en-AU"/>
        </w:rPr>
        <w:t>Song of Solomon 3:8.</w:t>
      </w:r>
    </w:p>
    <w:p w14:paraId="77754E11" w14:textId="77777777" w:rsidR="00194C28" w:rsidRPr="0072758C" w:rsidRDefault="00194C28" w:rsidP="00F5340B">
      <w:pPr>
        <w:pStyle w:val="EndnoteText"/>
        <w:rPr>
          <w:lang w:val="en-AU"/>
        </w:rPr>
      </w:pPr>
    </w:p>
  </w:footnote>
  <w:footnote w:id="184">
    <w:p w14:paraId="6A40C754" w14:textId="113637A0"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Kenneth Atkinson, </w:t>
      </w:r>
      <w:r w:rsidR="00863B47" w:rsidRPr="0072758C">
        <w:rPr>
          <w:lang w:val="en-AU"/>
        </w:rPr>
        <w:t>“</w:t>
      </w:r>
      <w:r w:rsidRPr="0072758C">
        <w:rPr>
          <w:lang w:val="en-AU"/>
        </w:rPr>
        <w:t>Responses,</w:t>
      </w:r>
      <w:r w:rsidR="00863B47" w:rsidRPr="0072758C">
        <w:rPr>
          <w:lang w:val="en-AU"/>
        </w:rPr>
        <w:t>”</w:t>
      </w:r>
      <w:r w:rsidRPr="0072758C">
        <w:rPr>
          <w:lang w:val="en-AU"/>
        </w:rPr>
        <w:t xml:space="preserve"> in </w:t>
      </w:r>
      <w:r w:rsidRPr="0072758C">
        <w:rPr>
          <w:i/>
          <w:iCs/>
          <w:lang w:val="en-AU"/>
        </w:rPr>
        <w:t>The Psalms of Solomon: Language History, Theology</w:t>
      </w:r>
      <w:r w:rsidRPr="0072758C">
        <w:rPr>
          <w:lang w:val="en-AU"/>
        </w:rPr>
        <w:t>, edited by Eberhard Bons and Patrick Pouchelle. (Atlanta: SBL Press, 2015), 175–91; Lee Martin McDonald</w:t>
      </w:r>
      <w:r w:rsidR="00BD4815" w:rsidRPr="0072758C">
        <w:rPr>
          <w:lang w:val="en-AU"/>
        </w:rPr>
        <w:t xml:space="preserve">, </w:t>
      </w:r>
      <w:r w:rsidR="005C3EE7" w:rsidRPr="0072758C">
        <w:rPr>
          <w:lang w:val="en-AU"/>
        </w:rPr>
        <w:t>“</w:t>
      </w:r>
      <w:r w:rsidR="00BD4815" w:rsidRPr="0072758C">
        <w:rPr>
          <w:lang w:val="en-AU"/>
        </w:rPr>
        <w:t>Non</w:t>
      </w:r>
      <w:r w:rsidRPr="0072758C">
        <w:rPr>
          <w:i/>
          <w:iCs/>
          <w:lang w:val="en-AU"/>
        </w:rPr>
        <w:t>-Canonical</w:t>
      </w:r>
      <w:r w:rsidR="00863B47" w:rsidRPr="0072758C">
        <w:rPr>
          <w:i/>
          <w:iCs/>
          <w:lang w:val="en-AU"/>
        </w:rPr>
        <w:t>”</w:t>
      </w:r>
      <w:r w:rsidRPr="0072758C">
        <w:rPr>
          <w:i/>
          <w:iCs/>
          <w:lang w:val="en-AU"/>
        </w:rPr>
        <w:t xml:space="preserve"> Religious Texts in Early Judaism and Early Christianity</w:t>
      </w:r>
      <w:r w:rsidRPr="0072758C">
        <w:rPr>
          <w:lang w:val="en-AU"/>
        </w:rPr>
        <w:t> (London: Bloomsbury, 2013), 73–87.</w:t>
      </w:r>
    </w:p>
    <w:p w14:paraId="522BC3BF" w14:textId="77777777" w:rsidR="00194C28" w:rsidRPr="0072758C" w:rsidRDefault="00194C28" w:rsidP="00F5340B">
      <w:pPr>
        <w:pStyle w:val="EndnoteText"/>
        <w:rPr>
          <w:lang w:val="en-AU"/>
        </w:rPr>
      </w:pPr>
    </w:p>
  </w:footnote>
  <w:footnote w:id="185">
    <w:p w14:paraId="5CE9FD9C" w14:textId="1DB3081D" w:rsidR="00F03D58" w:rsidRPr="0072758C" w:rsidRDefault="00194C28" w:rsidP="003C0928">
      <w:pPr>
        <w:pStyle w:val="EndnoteText"/>
        <w:ind w:firstLine="720"/>
        <w:rPr>
          <w:lang w:val="en-AU"/>
        </w:rPr>
      </w:pPr>
      <w:r w:rsidRPr="0072758C">
        <w:rPr>
          <w:rStyle w:val="FootnoteReference"/>
          <w:lang w:val="en-AU"/>
        </w:rPr>
        <w:footnoteRef/>
      </w:r>
      <w:r w:rsidRPr="0072758C">
        <w:rPr>
          <w:lang w:val="en-AU"/>
        </w:rPr>
        <w:t xml:space="preserve"> For scholarship regarding messianism in the first century, </w:t>
      </w:r>
      <w:r w:rsidR="00890B19" w:rsidRPr="0072758C">
        <w:rPr>
          <w:lang w:val="en-AU"/>
        </w:rPr>
        <w:t>Nathan C Johnson, “The Passion According to David: Matthew’s Arrest Narrative, the Absalom Revolt, and Militant Messianism</w:t>
      </w:r>
      <w:r w:rsidR="005C3EE7" w:rsidRPr="0072758C">
        <w:rPr>
          <w:lang w:val="en-AU"/>
        </w:rPr>
        <w:t>,</w:t>
      </w:r>
      <w:r w:rsidR="00890B19" w:rsidRPr="0072758C">
        <w:rPr>
          <w:lang w:val="en-AU"/>
        </w:rPr>
        <w:t>” </w:t>
      </w:r>
      <w:r w:rsidR="00890B19" w:rsidRPr="0072758C">
        <w:rPr>
          <w:i/>
          <w:iCs/>
          <w:lang w:val="en-AU"/>
        </w:rPr>
        <w:t>Catholic Biblical Quarterly</w:t>
      </w:r>
      <w:r w:rsidR="00890B19" w:rsidRPr="0072758C">
        <w:rPr>
          <w:lang w:val="en-AU"/>
        </w:rPr>
        <w:t> 80 (2018): 247–72; Kenneth Atkinson, “The Militant Davidic Messiah and Violence against Rome: The Influence of Pompey on the Development of Jewish and Christian Messianism</w:t>
      </w:r>
      <w:r w:rsidR="005C3EE7" w:rsidRPr="0072758C">
        <w:rPr>
          <w:lang w:val="en-AU"/>
        </w:rPr>
        <w:t>,</w:t>
      </w:r>
      <w:r w:rsidR="00890B19" w:rsidRPr="0072758C">
        <w:rPr>
          <w:lang w:val="en-AU"/>
        </w:rPr>
        <w:t>” </w:t>
      </w:r>
      <w:r w:rsidR="00890B19" w:rsidRPr="0072758C">
        <w:rPr>
          <w:i/>
          <w:iCs/>
          <w:lang w:val="en-AU"/>
        </w:rPr>
        <w:t>Scripta Judaica Cracoviensia</w:t>
      </w:r>
      <w:r w:rsidR="00890B19" w:rsidRPr="0072758C">
        <w:rPr>
          <w:lang w:val="en-AU"/>
        </w:rPr>
        <w:t xml:space="preserve"> 9 (2011): 7–19; </w:t>
      </w:r>
      <w:r w:rsidRPr="0072758C">
        <w:rPr>
          <w:lang w:val="en-AU"/>
        </w:rPr>
        <w:t xml:space="preserve">John G. Gager, </w:t>
      </w:r>
      <w:r w:rsidRPr="0072758C">
        <w:rPr>
          <w:i/>
          <w:lang w:val="en-AU"/>
        </w:rPr>
        <w:t>The Origins of Anti-Semitism: Attitudes toward Judaism in Pagan and Christian Antiquity</w:t>
      </w:r>
      <w:r w:rsidRPr="0072758C">
        <w:rPr>
          <w:lang w:val="en-AU"/>
        </w:rPr>
        <w:t xml:space="preserve"> (New York: Oxford University Press, 1985), 121–23; William Horbury, </w:t>
      </w:r>
      <w:r w:rsidRPr="0072758C">
        <w:rPr>
          <w:i/>
          <w:lang w:val="en-AU"/>
        </w:rPr>
        <w:t>Messianism among Jews and Christians: Twelve Biblical and Historical Studies</w:t>
      </w:r>
      <w:r w:rsidRPr="0072758C">
        <w:rPr>
          <w:lang w:val="en-AU"/>
        </w:rPr>
        <w:t xml:space="preserve"> (London: T&amp;T Clark, 2003); James W. Parkes, </w:t>
      </w:r>
      <w:r w:rsidRPr="0072758C">
        <w:rPr>
          <w:i/>
          <w:lang w:val="en-AU"/>
        </w:rPr>
        <w:t>The Conflict of the Church and Synagogue: A Study of the Origins of Antisemitism</w:t>
      </w:r>
      <w:r w:rsidRPr="0072758C">
        <w:rPr>
          <w:lang w:val="en-AU"/>
        </w:rPr>
        <w:t xml:space="preserve"> (New </w:t>
      </w:r>
      <w:r w:rsidR="005C3EE7" w:rsidRPr="0072758C">
        <w:rPr>
          <w:lang w:val="en-AU"/>
        </w:rPr>
        <w:t>York: Hermon</w:t>
      </w:r>
      <w:r w:rsidRPr="0072758C">
        <w:rPr>
          <w:lang w:val="en-AU"/>
        </w:rPr>
        <w:t>, 1974), 22–25</w:t>
      </w:r>
      <w:r w:rsidR="003C0928" w:rsidRPr="0072758C">
        <w:rPr>
          <w:lang w:val="en-AU"/>
        </w:rPr>
        <w:t>.</w:t>
      </w:r>
    </w:p>
    <w:p w14:paraId="72302A13" w14:textId="77777777" w:rsidR="00194C28" w:rsidRPr="0072758C" w:rsidRDefault="00194C28" w:rsidP="00F5340B">
      <w:pPr>
        <w:pStyle w:val="EndnoteText"/>
        <w:rPr>
          <w:lang w:val="en-AU"/>
        </w:rPr>
      </w:pPr>
    </w:p>
  </w:footnote>
  <w:footnote w:id="186">
    <w:p w14:paraId="44D5EC16" w14:textId="6ED624E1" w:rsidR="005C18CB" w:rsidRPr="0072758C" w:rsidRDefault="00194C28" w:rsidP="00F5340B">
      <w:pPr>
        <w:pStyle w:val="EndnoteText"/>
        <w:ind w:firstLine="720"/>
        <w:rPr>
          <w:lang w:val="en-AU"/>
        </w:rPr>
      </w:pPr>
      <w:r w:rsidRPr="0072758C">
        <w:rPr>
          <w:rStyle w:val="FootnoteReference"/>
          <w:lang w:val="en-AU"/>
        </w:rPr>
        <w:footnoteRef/>
      </w:r>
      <w:r w:rsidRPr="0072758C">
        <w:rPr>
          <w:iCs/>
          <w:lang w:val="en-AU"/>
        </w:rPr>
        <w:t xml:space="preserve"> See</w:t>
      </w:r>
      <w:r w:rsidRPr="0072758C">
        <w:rPr>
          <w:i/>
          <w:lang w:val="en-AU"/>
        </w:rPr>
        <w:t xml:space="preserve"> </w:t>
      </w:r>
      <w:r w:rsidRPr="0072758C">
        <w:rPr>
          <w:lang w:val="en-AU"/>
        </w:rPr>
        <w:t xml:space="preserve">a discussion of Targum dating and relevance to the Davidic line in Martin McNamara, </w:t>
      </w:r>
      <w:r w:rsidRPr="0072758C">
        <w:rPr>
          <w:i/>
          <w:lang w:val="en-AU"/>
        </w:rPr>
        <w:t xml:space="preserve">Targum and Testament Revisited: Aramaic Paraphrases of the Hebrew Bible; A Light on the New Testament </w:t>
      </w:r>
      <w:r w:rsidRPr="0072758C">
        <w:rPr>
          <w:lang w:val="en-AU"/>
        </w:rPr>
        <w:t>(Grand Rapids: Eerdmans, 2010), 310–14</w:t>
      </w:r>
      <w:r w:rsidR="005C18CB" w:rsidRPr="0072758C">
        <w:rPr>
          <w:lang w:val="en-AU"/>
        </w:rPr>
        <w:t xml:space="preserve">.  For more on the Greek </w:t>
      </w:r>
      <w:r w:rsidR="003C0928" w:rsidRPr="0072758C">
        <w:rPr>
          <w:lang w:val="en-AU"/>
        </w:rPr>
        <w:t>usage</w:t>
      </w:r>
      <w:r w:rsidR="005C18CB" w:rsidRPr="0072758C">
        <w:rPr>
          <w:lang w:val="en-AU"/>
        </w:rPr>
        <w:t xml:space="preserve"> in Targum </w:t>
      </w:r>
      <w:proofErr w:type="gramStart"/>
      <w:r w:rsidR="005C18CB" w:rsidRPr="0072758C">
        <w:rPr>
          <w:lang w:val="en-AU"/>
        </w:rPr>
        <w:t>in regards to</w:t>
      </w:r>
      <w:proofErr w:type="gramEnd"/>
      <w:r w:rsidR="005C18CB" w:rsidRPr="0072758C">
        <w:rPr>
          <w:lang w:val="en-AU"/>
        </w:rPr>
        <w:t xml:space="preserve"> dating, see Richard C. Steiner, “On the Use of Greek Translations in Dating the Shift from Targum Proto-Jonathan to Targum Yerushalmi in Ezekiel</w:t>
      </w:r>
      <w:r w:rsidR="005C3EE7" w:rsidRPr="0072758C">
        <w:rPr>
          <w:lang w:val="en-AU"/>
        </w:rPr>
        <w:t>,</w:t>
      </w:r>
      <w:r w:rsidR="005C18CB" w:rsidRPr="0072758C">
        <w:rPr>
          <w:lang w:val="en-AU"/>
        </w:rPr>
        <w:t>” </w:t>
      </w:r>
      <w:r w:rsidR="005C18CB" w:rsidRPr="0072758C">
        <w:rPr>
          <w:i/>
          <w:iCs/>
          <w:lang w:val="en-AU"/>
        </w:rPr>
        <w:t>Textus: Annual of the Hebrew University Bible Project</w:t>
      </w:r>
      <w:r w:rsidR="005C18CB" w:rsidRPr="0072758C">
        <w:rPr>
          <w:lang w:val="en-AU"/>
        </w:rPr>
        <w:t> 28 (2019): 145–56.</w:t>
      </w:r>
    </w:p>
    <w:p w14:paraId="55AAFA43" w14:textId="77777777" w:rsidR="00194C28" w:rsidRPr="0072758C" w:rsidRDefault="00194C28" w:rsidP="00F5340B">
      <w:pPr>
        <w:pStyle w:val="EndnoteText"/>
        <w:rPr>
          <w:lang w:val="en-AU"/>
        </w:rPr>
      </w:pPr>
    </w:p>
  </w:footnote>
  <w:footnote w:id="187">
    <w:p w14:paraId="1B4FCB89" w14:textId="77777777" w:rsidR="00194C28" w:rsidRPr="0072758C" w:rsidRDefault="00194C28" w:rsidP="00F5340B">
      <w:pPr>
        <w:pStyle w:val="EndnoteText"/>
        <w:ind w:firstLine="720"/>
        <w:rPr>
          <w:i/>
          <w:lang w:val="en-AU"/>
        </w:rPr>
      </w:pPr>
      <w:r w:rsidRPr="0072758C">
        <w:rPr>
          <w:rStyle w:val="FootnoteReference"/>
          <w:lang w:val="en-AU"/>
        </w:rPr>
        <w:footnoteRef/>
      </w:r>
      <w:r w:rsidRPr="0072758C">
        <w:rPr>
          <w:lang w:val="en-AU"/>
        </w:rPr>
        <w:t xml:space="preserve"> Matthew V. Novenson, </w:t>
      </w:r>
      <w:r w:rsidRPr="0072758C">
        <w:rPr>
          <w:i/>
          <w:lang w:val="en-AU"/>
        </w:rPr>
        <w:t>Christ among the Messiahs: Christ Language in Paul and Messiah</w:t>
      </w:r>
    </w:p>
    <w:p w14:paraId="37A06FD5" w14:textId="317E66FF" w:rsidR="00194C28" w:rsidRPr="0072758C" w:rsidRDefault="00194C28" w:rsidP="00125387">
      <w:pPr>
        <w:pStyle w:val="EndnoteText"/>
        <w:rPr>
          <w:lang w:val="en-AU"/>
        </w:rPr>
      </w:pPr>
      <w:r w:rsidRPr="0072758C">
        <w:rPr>
          <w:i/>
          <w:lang w:val="en-AU"/>
        </w:rPr>
        <w:t>Language in Ancient Judaism</w:t>
      </w:r>
      <w:r w:rsidRPr="0072758C">
        <w:rPr>
          <w:lang w:val="en-AU"/>
        </w:rPr>
        <w:t xml:space="preserve"> (Oxford: Oxford University Press, 2012).  </w:t>
      </w:r>
    </w:p>
  </w:footnote>
  <w:footnote w:id="188">
    <w:p w14:paraId="0C84506B" w14:textId="77777777" w:rsidR="00194C28" w:rsidRPr="0072758C" w:rsidRDefault="00194C28" w:rsidP="00F5340B">
      <w:pPr>
        <w:pStyle w:val="EndnoteText"/>
        <w:rPr>
          <w:lang w:val="en-AU"/>
        </w:rPr>
      </w:pPr>
    </w:p>
    <w:p w14:paraId="4B0DE1ED" w14:textId="7C7ECED4"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James C. VanderKam, </w:t>
      </w:r>
      <w:r w:rsidR="00863B47" w:rsidRPr="0072758C">
        <w:rPr>
          <w:lang w:val="en-AU"/>
        </w:rPr>
        <w:t>“</w:t>
      </w:r>
      <w:r w:rsidRPr="0072758C">
        <w:rPr>
          <w:lang w:val="en-AU"/>
        </w:rPr>
        <w:t>The Dead Sea Scrolls and Christianity,</w:t>
      </w:r>
      <w:r w:rsidR="00863B47" w:rsidRPr="0072758C">
        <w:rPr>
          <w:lang w:val="en-AU"/>
        </w:rPr>
        <w:t>”</w:t>
      </w:r>
      <w:r w:rsidRPr="0072758C">
        <w:rPr>
          <w:lang w:val="en-AU"/>
        </w:rPr>
        <w:t xml:space="preserve"> in </w:t>
      </w:r>
      <w:r w:rsidRPr="0072758C">
        <w:rPr>
          <w:i/>
          <w:iCs/>
          <w:lang w:val="en-AU"/>
        </w:rPr>
        <w:t>Understanding the Dead Sea Scrolls</w:t>
      </w:r>
      <w:r w:rsidRPr="0072758C">
        <w:rPr>
          <w:lang w:val="en-AU"/>
        </w:rPr>
        <w:t xml:space="preserve"> (New York: Random House, 1992), 196.</w:t>
      </w:r>
    </w:p>
    <w:p w14:paraId="6EA11EC1" w14:textId="77777777" w:rsidR="00194C28" w:rsidRPr="0072758C" w:rsidRDefault="00194C28" w:rsidP="00F5340B">
      <w:pPr>
        <w:pStyle w:val="EndnoteText"/>
        <w:rPr>
          <w:lang w:val="en-AU"/>
        </w:rPr>
      </w:pPr>
    </w:p>
  </w:footnote>
  <w:footnote w:id="189">
    <w:p w14:paraId="109FF379" w14:textId="17F88E65" w:rsidR="00061393" w:rsidRPr="0072758C" w:rsidRDefault="00194C28" w:rsidP="00172050">
      <w:pPr>
        <w:pStyle w:val="EndnoteText"/>
        <w:ind w:firstLine="720"/>
        <w:rPr>
          <w:lang w:val="en-AU"/>
        </w:rPr>
      </w:pPr>
      <w:r w:rsidRPr="0072758C">
        <w:rPr>
          <w:rStyle w:val="FootnoteReference"/>
          <w:lang w:val="en-AU"/>
        </w:rPr>
        <w:footnoteRef/>
      </w:r>
      <w:r w:rsidRPr="0072758C">
        <w:rPr>
          <w:lang w:val="en-AU"/>
        </w:rPr>
        <w:t xml:space="preserve"> The Community Rule (1QS) (S</w:t>
      </w:r>
      <w:r w:rsidRPr="0072758C">
        <w:rPr>
          <w:i/>
          <w:lang w:val="en-AU"/>
        </w:rPr>
        <w:t>erekh ha-Yahad)</w:t>
      </w:r>
      <w:r w:rsidRPr="0072758C">
        <w:rPr>
          <w:lang w:val="en-AU"/>
        </w:rPr>
        <w:t xml:space="preserve"> was one of the first scrolls to be found near </w:t>
      </w:r>
      <w:r w:rsidR="005C1FF1" w:rsidRPr="0072758C">
        <w:rPr>
          <w:lang w:val="en-AU"/>
        </w:rPr>
        <w:t>Qumran.</w:t>
      </w:r>
      <w:r w:rsidR="00172050" w:rsidRPr="0072758C">
        <w:rPr>
          <w:lang w:val="en-AU"/>
        </w:rPr>
        <w:t xml:space="preserve"> </w:t>
      </w:r>
      <w:r w:rsidR="00061393" w:rsidRPr="0072758C">
        <w:rPr>
          <w:lang w:val="en-AU"/>
        </w:rPr>
        <w:t xml:space="preserve">For more discussion of CD and 1QS, see Kengo </w:t>
      </w:r>
      <w:proofErr w:type="gramStart"/>
      <w:r w:rsidR="00061393" w:rsidRPr="0072758C">
        <w:rPr>
          <w:lang w:val="en-AU"/>
        </w:rPr>
        <w:t>Akiyama,“</w:t>
      </w:r>
      <w:proofErr w:type="gramEnd"/>
      <w:r w:rsidR="00061393" w:rsidRPr="0072758C">
        <w:rPr>
          <w:lang w:val="en-AU"/>
        </w:rPr>
        <w:t>Reproof in CD 9:2-8 and 1QS 5:24-6:1: A Note on a Curious Omission</w:t>
      </w:r>
      <w:r w:rsidR="000D01CB" w:rsidRPr="0072758C">
        <w:rPr>
          <w:lang w:val="en-AU"/>
        </w:rPr>
        <w:t>,</w:t>
      </w:r>
      <w:r w:rsidR="00061393" w:rsidRPr="0072758C">
        <w:rPr>
          <w:lang w:val="en-AU"/>
        </w:rPr>
        <w:t>” </w:t>
      </w:r>
      <w:r w:rsidR="00061393" w:rsidRPr="0072758C">
        <w:rPr>
          <w:i/>
          <w:iCs/>
          <w:lang w:val="en-AU"/>
        </w:rPr>
        <w:t>Dead Sea Discoveries</w:t>
      </w:r>
      <w:r w:rsidR="00061393" w:rsidRPr="0072758C">
        <w:rPr>
          <w:lang w:val="en-AU"/>
        </w:rPr>
        <w:t> 24 (2017): 301–6</w:t>
      </w:r>
      <w:r w:rsidR="00E92474" w:rsidRPr="0072758C">
        <w:rPr>
          <w:lang w:val="en-AU"/>
        </w:rPr>
        <w:t>.</w:t>
      </w:r>
    </w:p>
    <w:p w14:paraId="475F3B2C" w14:textId="2A6EC719" w:rsidR="00194C28" w:rsidRPr="0072758C" w:rsidRDefault="00194C28" w:rsidP="00F5340B">
      <w:pPr>
        <w:pStyle w:val="EndnoteText"/>
        <w:rPr>
          <w:lang w:val="en-AU"/>
        </w:rPr>
      </w:pPr>
    </w:p>
  </w:footnote>
  <w:footnote w:id="190">
    <w:p w14:paraId="3625D444" w14:textId="5897A4F5"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Craig A. Evans and Peter W. Flint, </w:t>
      </w:r>
      <w:r w:rsidR="00863B47" w:rsidRPr="0072758C">
        <w:rPr>
          <w:lang w:val="en-AU"/>
        </w:rPr>
        <w:t>“</w:t>
      </w:r>
      <w:r w:rsidRPr="0072758C">
        <w:rPr>
          <w:lang w:val="en-AU"/>
        </w:rPr>
        <w:t>Introduction,</w:t>
      </w:r>
      <w:r w:rsidR="00863B47" w:rsidRPr="0072758C">
        <w:rPr>
          <w:lang w:val="en-AU"/>
        </w:rPr>
        <w:t>”</w:t>
      </w:r>
      <w:r w:rsidRPr="0072758C">
        <w:rPr>
          <w:lang w:val="en-AU"/>
        </w:rPr>
        <w:t xml:space="preserve"> in </w:t>
      </w:r>
      <w:r w:rsidRPr="0072758C">
        <w:rPr>
          <w:i/>
          <w:iCs/>
          <w:lang w:val="en-AU"/>
        </w:rPr>
        <w:t xml:space="preserve">Eschatology, Messianism and the Dead Sea Scrolls: Studies in the </w:t>
      </w:r>
      <w:r w:rsidR="0016678B" w:rsidRPr="0072758C">
        <w:rPr>
          <w:i/>
          <w:iCs/>
          <w:lang w:val="en-AU"/>
        </w:rPr>
        <w:t>Dead Sea</w:t>
      </w:r>
      <w:r w:rsidRPr="0072758C">
        <w:rPr>
          <w:i/>
          <w:iCs/>
          <w:lang w:val="en-AU"/>
        </w:rPr>
        <w:t xml:space="preserve"> Scrolls and Related Literature</w:t>
      </w:r>
      <w:r w:rsidRPr="0072758C">
        <w:rPr>
          <w:lang w:val="en-AU"/>
        </w:rPr>
        <w:t>, edited by Craig A. Evand and Peter W. Flint (Grand Rapids: Eerdmans, 1997), 1–9.</w:t>
      </w:r>
    </w:p>
    <w:p w14:paraId="346E3F36" w14:textId="77777777" w:rsidR="00D254BA" w:rsidRPr="0072758C" w:rsidRDefault="00D254BA" w:rsidP="00F5340B">
      <w:pPr>
        <w:pStyle w:val="EndnoteText"/>
        <w:rPr>
          <w:lang w:val="en-AU"/>
        </w:rPr>
      </w:pPr>
    </w:p>
  </w:footnote>
  <w:footnote w:id="191">
    <w:p w14:paraId="7ABC0C58" w14:textId="2195A4AC"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Examples of </w:t>
      </w:r>
      <w:r w:rsidRPr="0072758C">
        <w:rPr>
          <w:i/>
          <w:iCs/>
          <w:lang w:val="en-AU"/>
        </w:rPr>
        <w:t>pesharim</w:t>
      </w:r>
      <w:r w:rsidRPr="0072758C">
        <w:rPr>
          <w:lang w:val="en-AU"/>
        </w:rPr>
        <w:t xml:space="preserve"> found in Qumran Cave 1 are Micah and Habakkuk with 1Q14, Zephaniah with 1Q15 and Psalms with 1Q16. For further studies on the connections of Micah, </w:t>
      </w:r>
      <w:r w:rsidR="0016678B" w:rsidRPr="0072758C">
        <w:rPr>
          <w:lang w:val="en-AU"/>
        </w:rPr>
        <w:t>Habakkuk</w:t>
      </w:r>
      <w:r w:rsidRPr="0072758C">
        <w:rPr>
          <w:lang w:val="en-AU"/>
        </w:rPr>
        <w:t xml:space="preserve">, and Zephaniah with the scrolls, see, J. H. Charlesworth, </w:t>
      </w:r>
      <w:r w:rsidRPr="0072758C">
        <w:rPr>
          <w:i/>
          <w:iCs/>
          <w:lang w:val="en-AU"/>
        </w:rPr>
        <w:t>The Pesharim and Qumran History</w:t>
      </w:r>
      <w:r w:rsidRPr="0072758C">
        <w:rPr>
          <w:lang w:val="en-AU"/>
        </w:rPr>
        <w:t xml:space="preserve"> (Grand Rapids: Eerdmans, 2002), 5</w:t>
      </w:r>
      <w:r w:rsidR="00504DF1" w:rsidRPr="0072758C">
        <w:rPr>
          <w:lang w:val="en-AU"/>
        </w:rPr>
        <w:t>–</w:t>
      </w:r>
      <w:r w:rsidRPr="0072758C">
        <w:rPr>
          <w:lang w:val="en-AU"/>
        </w:rPr>
        <w:t xml:space="preserve">6. </w:t>
      </w:r>
    </w:p>
  </w:footnote>
  <w:footnote w:id="192">
    <w:p w14:paraId="07AA94EB" w14:textId="77777777" w:rsidR="00D254BA" w:rsidRPr="0072758C" w:rsidRDefault="00D254BA" w:rsidP="00F5340B">
      <w:pPr>
        <w:pStyle w:val="EndnoteText"/>
        <w:rPr>
          <w:lang w:val="en-AU"/>
        </w:rPr>
      </w:pPr>
    </w:p>
    <w:p w14:paraId="2249640C" w14:textId="4955E0CE" w:rsidR="00271FBC" w:rsidRPr="0072758C" w:rsidRDefault="00D254BA" w:rsidP="00F5340B">
      <w:pPr>
        <w:pStyle w:val="EndnoteText"/>
        <w:ind w:firstLine="720"/>
        <w:rPr>
          <w:lang w:val="en-AU"/>
        </w:rPr>
      </w:pPr>
      <w:r w:rsidRPr="0072758C">
        <w:rPr>
          <w:rStyle w:val="FootnoteReference"/>
          <w:lang w:val="en-AU"/>
        </w:rPr>
        <w:footnoteRef/>
      </w:r>
      <w:r w:rsidRPr="0072758C">
        <w:rPr>
          <w:lang w:val="en-AU"/>
        </w:rPr>
        <w:t xml:space="preserve"> It is worth noting that</w:t>
      </w:r>
      <w:r w:rsidR="00F5340B" w:rsidRPr="0072758C">
        <w:rPr>
          <w:lang w:val="en-AU"/>
        </w:rPr>
        <w:t xml:space="preserve"> </w:t>
      </w:r>
      <w:r w:rsidRPr="0072758C">
        <w:rPr>
          <w:lang w:val="en-AU"/>
        </w:rPr>
        <w:t>4Q171 Fragment 1is the</w:t>
      </w:r>
      <w:r w:rsidR="00260358">
        <w:rPr>
          <w:lang w:val="en-AU"/>
        </w:rPr>
        <w:t xml:space="preserve"> Qumran</w:t>
      </w:r>
      <w:r w:rsidRPr="0072758C">
        <w:rPr>
          <w:lang w:val="en-AU"/>
        </w:rPr>
        <w:t> </w:t>
      </w:r>
      <w:r w:rsidRPr="0072758C">
        <w:rPr>
          <w:i/>
          <w:iCs/>
          <w:lang w:val="en-AU"/>
        </w:rPr>
        <w:t>pesharim</w:t>
      </w:r>
      <w:r w:rsidRPr="0072758C">
        <w:rPr>
          <w:lang w:val="en-AU"/>
        </w:rPr>
        <w:t xml:space="preserve"> found at Qumran that details a messianic salvation while Pesher Isaiah and Pesher Habakkuk as well as the War Scroll address a more apocalyptic view of a messianic figure. The different </w:t>
      </w:r>
      <w:r w:rsidRPr="0072758C">
        <w:rPr>
          <w:i/>
          <w:iCs/>
          <w:lang w:val="en-AU"/>
        </w:rPr>
        <w:t>Pesharim</w:t>
      </w:r>
      <w:r w:rsidRPr="0072758C">
        <w:rPr>
          <w:lang w:val="en-AU"/>
        </w:rPr>
        <w:t xml:space="preserve"> offer different focuses. For example</w:t>
      </w:r>
      <w:r w:rsidR="00260358">
        <w:rPr>
          <w:lang w:val="en-AU"/>
        </w:rPr>
        <w:t>,</w:t>
      </w:r>
      <w:r w:rsidRPr="0072758C">
        <w:rPr>
          <w:lang w:val="en-AU"/>
        </w:rPr>
        <w:t xml:space="preserve"> </w:t>
      </w:r>
      <w:r w:rsidR="00260358">
        <w:rPr>
          <w:lang w:val="en-AU"/>
        </w:rPr>
        <w:t>c</w:t>
      </w:r>
      <w:r w:rsidRPr="0072758C">
        <w:rPr>
          <w:lang w:val="en-AU"/>
        </w:rPr>
        <w:t xml:space="preserve">ontinuous </w:t>
      </w:r>
      <w:r w:rsidR="00260358">
        <w:rPr>
          <w:i/>
          <w:iCs/>
          <w:lang w:val="en-AU"/>
        </w:rPr>
        <w:t>p</w:t>
      </w:r>
      <w:r w:rsidRPr="0072758C">
        <w:rPr>
          <w:i/>
          <w:iCs/>
          <w:lang w:val="en-AU"/>
        </w:rPr>
        <w:t xml:space="preserve">esharim </w:t>
      </w:r>
      <w:r w:rsidRPr="0072758C">
        <w:rPr>
          <w:lang w:val="en-AU"/>
        </w:rPr>
        <w:t xml:space="preserve">are 1QpHab: (Habakkuk Pesher), 1Q14 (Pesher Micah), 4Q161–165: 4QpIsa a–e (Isaiah Pesher), 4Q166–167: 4QpHos a–b (Hosea Pesher), 4Q169: 4QpNah (Nahum Pesher), 4Q170: 4QpZeph (Zephaniah Pesher), 4Q171 &amp; 173: 4QpPs a–b (Psalms Pesher), 4Q172 (Unidentified Pesher), 4Q247–4Q (Pesher on the Apocalypse of the Weeks).  There are also many </w:t>
      </w:r>
      <w:r w:rsidR="00BB6BBC" w:rsidRPr="0072758C">
        <w:rPr>
          <w:lang w:val="en-AU"/>
        </w:rPr>
        <w:t>t</w:t>
      </w:r>
      <w:r w:rsidRPr="0072758C">
        <w:rPr>
          <w:lang w:val="en-AU"/>
        </w:rPr>
        <w:t xml:space="preserve">hematic </w:t>
      </w:r>
      <w:r w:rsidRPr="0072758C">
        <w:rPr>
          <w:i/>
          <w:iCs/>
          <w:lang w:val="en-AU"/>
        </w:rPr>
        <w:t>Pesharim</w:t>
      </w:r>
      <w:r w:rsidR="00BB6BBC" w:rsidRPr="0072758C">
        <w:rPr>
          <w:i/>
          <w:iCs/>
          <w:lang w:val="en-AU"/>
        </w:rPr>
        <w:t xml:space="preserve"> </w:t>
      </w:r>
      <w:r w:rsidR="00BB6BBC" w:rsidRPr="0072758C">
        <w:rPr>
          <w:lang w:val="en-AU"/>
        </w:rPr>
        <w:t xml:space="preserve">which are identified as </w:t>
      </w:r>
      <w:r w:rsidRPr="0072758C">
        <w:rPr>
          <w:lang w:val="en-AU"/>
        </w:rPr>
        <w:t>4Q252 (Genesis Pesher)</w:t>
      </w:r>
      <w:r w:rsidR="00BB6BBC" w:rsidRPr="0072758C">
        <w:rPr>
          <w:lang w:val="en-AU"/>
        </w:rPr>
        <w:t xml:space="preserve">, </w:t>
      </w:r>
      <w:r w:rsidRPr="0072758C">
        <w:rPr>
          <w:lang w:val="en-AU"/>
        </w:rPr>
        <w:t>4Q174: 4Qflor (Eschatological</w:t>
      </w:r>
      <w:r w:rsidR="00BB6BBC" w:rsidRPr="0072758C">
        <w:rPr>
          <w:lang w:val="en-AU"/>
        </w:rPr>
        <w:t xml:space="preserve"> </w:t>
      </w:r>
      <w:r w:rsidRPr="0072758C">
        <w:rPr>
          <w:lang w:val="en-AU"/>
        </w:rPr>
        <w:t>Commentary A/Florilegium)</w:t>
      </w:r>
      <w:r w:rsidR="00BB6BBC" w:rsidRPr="0072758C">
        <w:rPr>
          <w:lang w:val="en-AU"/>
        </w:rPr>
        <w:t xml:space="preserve">, </w:t>
      </w:r>
      <w:r w:rsidRPr="0072758C">
        <w:rPr>
          <w:lang w:val="en-AU"/>
        </w:rPr>
        <w:t>4Q177 (Eschatological Commentary B)</w:t>
      </w:r>
      <w:r w:rsidR="00BB6BBC" w:rsidRPr="0072758C">
        <w:rPr>
          <w:lang w:val="en-AU"/>
        </w:rPr>
        <w:t xml:space="preserve">, and the use of </w:t>
      </w:r>
      <w:r w:rsidRPr="0072758C">
        <w:rPr>
          <w:lang w:val="en-AU"/>
        </w:rPr>
        <w:t>11Q13: 11QMelch (the Melchizedek Midrash)</w:t>
      </w:r>
      <w:r w:rsidR="00BB6BBC" w:rsidRPr="0072758C">
        <w:rPr>
          <w:lang w:val="en-AU"/>
        </w:rPr>
        <w:t xml:space="preserve"> as apocalyptic. </w:t>
      </w:r>
      <w:r w:rsidR="00271FBC" w:rsidRPr="0072758C">
        <w:rPr>
          <w:lang w:val="en-AU"/>
        </w:rPr>
        <w:t>For more discussion, see David Katzin</w:t>
      </w:r>
      <w:r w:rsidR="00A669B3" w:rsidRPr="0072758C">
        <w:rPr>
          <w:lang w:val="en-AU"/>
        </w:rPr>
        <w:t>,</w:t>
      </w:r>
      <w:r w:rsidR="00271FBC" w:rsidRPr="0072758C">
        <w:rPr>
          <w:lang w:val="en-AU"/>
        </w:rPr>
        <w:t xml:space="preserve"> “A Paradigm for Identifying the Use of Scriptural Allusion in Lemma-Based Exegesis Within the Qumran Library Using 4QpPs a (4Q171)</w:t>
      </w:r>
      <w:r w:rsidR="00A669B3" w:rsidRPr="0072758C">
        <w:rPr>
          <w:lang w:val="en-AU"/>
        </w:rPr>
        <w:t>,</w:t>
      </w:r>
      <w:r w:rsidR="00271FBC" w:rsidRPr="0072758C">
        <w:rPr>
          <w:lang w:val="en-AU"/>
        </w:rPr>
        <w:t>” </w:t>
      </w:r>
      <w:r w:rsidR="00271FBC" w:rsidRPr="0072758C">
        <w:rPr>
          <w:i/>
          <w:iCs/>
          <w:lang w:val="en-AU"/>
        </w:rPr>
        <w:t>Hebrew Union College Annual</w:t>
      </w:r>
      <w:r w:rsidR="00271FBC" w:rsidRPr="0072758C">
        <w:rPr>
          <w:lang w:val="en-AU"/>
        </w:rPr>
        <w:t> 87 (2016): 61–92.</w:t>
      </w:r>
    </w:p>
  </w:footnote>
  <w:footnote w:id="193">
    <w:p w14:paraId="56C4D099" w14:textId="77777777" w:rsidR="00194C28" w:rsidRPr="0072758C" w:rsidRDefault="00194C28" w:rsidP="00F5340B">
      <w:pPr>
        <w:pStyle w:val="EndnoteText"/>
        <w:rPr>
          <w:lang w:val="en-AU"/>
        </w:rPr>
      </w:pPr>
    </w:p>
    <w:p w14:paraId="64F9F930" w14:textId="3DFFC066"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Moshe Reiss, </w:t>
      </w:r>
      <w:r w:rsidR="00863B47" w:rsidRPr="0072758C">
        <w:rPr>
          <w:lang w:val="en-AU"/>
        </w:rPr>
        <w:t>“</w:t>
      </w:r>
      <w:r w:rsidRPr="0072758C">
        <w:rPr>
          <w:lang w:val="en-AU"/>
        </w:rPr>
        <w:t>Cyrus as Messiah,</w:t>
      </w:r>
      <w:r w:rsidR="00863B47" w:rsidRPr="0072758C">
        <w:rPr>
          <w:lang w:val="en-AU"/>
        </w:rPr>
        <w:t>”</w:t>
      </w:r>
      <w:r w:rsidRPr="0072758C">
        <w:rPr>
          <w:lang w:val="en-AU"/>
        </w:rPr>
        <w:t xml:space="preserve"> </w:t>
      </w:r>
      <w:r w:rsidRPr="0072758C">
        <w:rPr>
          <w:i/>
          <w:iCs/>
          <w:lang w:val="en-AU"/>
        </w:rPr>
        <w:t>Jewish Bible Quarterly</w:t>
      </w:r>
      <w:r w:rsidRPr="0072758C">
        <w:rPr>
          <w:lang w:val="en-AU"/>
        </w:rPr>
        <w:t xml:space="preserve"> 40 (2012), 159–162</w:t>
      </w:r>
      <w:r w:rsidRPr="0072758C">
        <w:rPr>
          <w:iCs/>
          <w:lang w:val="en-AU"/>
        </w:rPr>
        <w:t>;</w:t>
      </w:r>
      <w:r w:rsidRPr="0072758C">
        <w:rPr>
          <w:lang w:val="en-AU"/>
        </w:rPr>
        <w:t xml:space="preserve"> </w:t>
      </w:r>
      <w:r w:rsidRPr="0072758C">
        <w:rPr>
          <w:iCs/>
          <w:lang w:val="en-AU"/>
        </w:rPr>
        <w:t>See</w:t>
      </w:r>
      <w:r w:rsidRPr="0072758C">
        <w:rPr>
          <w:lang w:val="en-AU"/>
        </w:rPr>
        <w:t xml:space="preserve"> Oswald T. Allis, </w:t>
      </w:r>
      <w:r w:rsidRPr="0072758C">
        <w:rPr>
          <w:i/>
          <w:lang w:val="en-AU"/>
        </w:rPr>
        <w:t>The Unity of Isaiah: A Study in Prophecy</w:t>
      </w:r>
      <w:r w:rsidRPr="0072758C">
        <w:rPr>
          <w:lang w:val="en-AU"/>
        </w:rPr>
        <w:t xml:space="preserve"> (Philadelphia: Presbyterian and Reformed, 1950), 55.</w:t>
      </w:r>
      <w:r w:rsidR="005C1FF1" w:rsidRPr="0072758C">
        <w:rPr>
          <w:lang w:val="en-AU"/>
        </w:rPr>
        <w:t xml:space="preserve">  See</w:t>
      </w:r>
      <w:r w:rsidR="00260358">
        <w:rPr>
          <w:lang w:val="en-AU"/>
        </w:rPr>
        <w:t xml:space="preserve"> also</w:t>
      </w:r>
      <w:r w:rsidR="005C1FF1" w:rsidRPr="0072758C">
        <w:rPr>
          <w:lang w:val="en-AU"/>
        </w:rPr>
        <w:t xml:space="preserve"> supporting research, Moshe Reiss, “Cyrus as Messiah</w:t>
      </w:r>
      <w:r w:rsidR="00F013F4" w:rsidRPr="0072758C">
        <w:rPr>
          <w:lang w:val="en-AU"/>
        </w:rPr>
        <w:t>,</w:t>
      </w:r>
      <w:r w:rsidR="005C1FF1" w:rsidRPr="0072758C">
        <w:rPr>
          <w:lang w:val="en-AU"/>
        </w:rPr>
        <w:t>” </w:t>
      </w:r>
      <w:r w:rsidR="005C1FF1" w:rsidRPr="0072758C">
        <w:rPr>
          <w:i/>
          <w:iCs/>
          <w:lang w:val="en-AU"/>
        </w:rPr>
        <w:t>Jewish Bible Quarterly</w:t>
      </w:r>
      <w:r w:rsidR="005C1FF1" w:rsidRPr="0072758C">
        <w:rPr>
          <w:lang w:val="en-AU"/>
        </w:rPr>
        <w:t> 40 (2012): 159–62.</w:t>
      </w:r>
      <w:r w:rsidR="00B64C1A" w:rsidRPr="0072758C">
        <w:rPr>
          <w:lang w:val="en-AU"/>
        </w:rPr>
        <w:t xml:space="preserve"> For further research on Isaiah and messianic prophecy, see Anthony Ferguson, “Isaiah 11 as Predictive Messianic Prophecy</w:t>
      </w:r>
      <w:r w:rsidR="00A669B3" w:rsidRPr="0072758C">
        <w:rPr>
          <w:lang w:val="en-AU"/>
        </w:rPr>
        <w:t>,</w:t>
      </w:r>
      <w:r w:rsidR="00B64C1A" w:rsidRPr="0072758C">
        <w:rPr>
          <w:lang w:val="en-AU"/>
        </w:rPr>
        <w:t>” </w:t>
      </w:r>
      <w:r w:rsidR="00B64C1A" w:rsidRPr="0072758C">
        <w:rPr>
          <w:i/>
          <w:iCs/>
          <w:lang w:val="en-AU"/>
        </w:rPr>
        <w:t>Presbyterion</w:t>
      </w:r>
      <w:r w:rsidR="00B64C1A" w:rsidRPr="0072758C">
        <w:rPr>
          <w:lang w:val="en-AU"/>
        </w:rPr>
        <w:t> 46 (2020): 75–89; Jeannine K. Brown, “Jesus Messiah as Isaiah’s Servant of the Lord: New Testament Explorations</w:t>
      </w:r>
      <w:r w:rsidR="00A669B3" w:rsidRPr="0072758C">
        <w:rPr>
          <w:lang w:val="en-AU"/>
        </w:rPr>
        <w:t>,</w:t>
      </w:r>
      <w:r w:rsidR="00B64C1A" w:rsidRPr="0072758C">
        <w:rPr>
          <w:lang w:val="en-AU"/>
        </w:rPr>
        <w:t>” </w:t>
      </w:r>
      <w:r w:rsidR="00B64C1A" w:rsidRPr="0072758C">
        <w:rPr>
          <w:i/>
          <w:iCs/>
          <w:lang w:val="en-AU"/>
        </w:rPr>
        <w:t>Journal of the Evangelical Theological Society</w:t>
      </w:r>
      <w:r w:rsidR="00B64C1A" w:rsidRPr="0072758C">
        <w:rPr>
          <w:lang w:val="en-AU"/>
        </w:rPr>
        <w:t> 63</w:t>
      </w:r>
      <w:r w:rsidR="00125387" w:rsidRPr="0072758C">
        <w:rPr>
          <w:lang w:val="en-AU"/>
        </w:rPr>
        <w:t xml:space="preserve"> (</w:t>
      </w:r>
      <w:r w:rsidR="00B64C1A" w:rsidRPr="0072758C">
        <w:rPr>
          <w:lang w:val="en-AU"/>
        </w:rPr>
        <w:t>2020): 51–69. </w:t>
      </w:r>
    </w:p>
    <w:p w14:paraId="07EF4563" w14:textId="77777777" w:rsidR="00B64C1A" w:rsidRPr="0072758C" w:rsidRDefault="00B64C1A" w:rsidP="00F5340B">
      <w:pPr>
        <w:pStyle w:val="EndnoteText"/>
        <w:rPr>
          <w:lang w:val="en-AU"/>
        </w:rPr>
      </w:pPr>
    </w:p>
  </w:footnote>
  <w:footnote w:id="194">
    <w:p w14:paraId="3530274A" w14:textId="41E5DFA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w:t>
      </w:r>
      <w:r w:rsidR="005C1FF1" w:rsidRPr="0072758C">
        <w:rPr>
          <w:lang w:val="en-AU"/>
        </w:rPr>
        <w:t>Reiss, 159.</w:t>
      </w:r>
    </w:p>
    <w:p w14:paraId="2B010AAD" w14:textId="77777777" w:rsidR="00194C28" w:rsidRPr="0072758C" w:rsidRDefault="00194C28" w:rsidP="00F5340B">
      <w:pPr>
        <w:pStyle w:val="EndnoteText"/>
        <w:rPr>
          <w:lang w:val="en-AU"/>
        </w:rPr>
      </w:pPr>
    </w:p>
  </w:footnote>
  <w:footnote w:id="195">
    <w:p w14:paraId="64D99C5F" w14:textId="1F7923D6"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Joachim Becker, </w:t>
      </w:r>
      <w:r w:rsidRPr="0072758C">
        <w:rPr>
          <w:i/>
          <w:lang w:val="en-AU"/>
        </w:rPr>
        <w:t>Messianic Expectation in the Old Testament</w:t>
      </w:r>
      <w:r w:rsidRPr="0072758C">
        <w:rPr>
          <w:lang w:val="en-AU"/>
        </w:rPr>
        <w:t xml:space="preserve"> (Philadelphia: Fortress, 1980), 52‒53.</w:t>
      </w:r>
    </w:p>
  </w:footnote>
  <w:footnote w:id="196">
    <w:p w14:paraId="1A5D84F5" w14:textId="77777777" w:rsidR="00194C28" w:rsidRPr="0072758C" w:rsidRDefault="00194C28" w:rsidP="00F5340B">
      <w:pPr>
        <w:pStyle w:val="EndnoteText"/>
        <w:rPr>
          <w:lang w:val="en-AU"/>
        </w:rPr>
      </w:pPr>
    </w:p>
    <w:p w14:paraId="5FA3EBF0" w14:textId="60CC437C"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Klaus Baltzer, </w:t>
      </w:r>
      <w:r w:rsidRPr="0072758C">
        <w:rPr>
          <w:i/>
          <w:iCs/>
          <w:lang w:val="en-AU"/>
        </w:rPr>
        <w:t>Deutero-Isaiah: A Commentary on Isaiah 40</w:t>
      </w:r>
      <w:r w:rsidR="00504DF1" w:rsidRPr="0072758C">
        <w:rPr>
          <w:i/>
          <w:iCs/>
          <w:lang w:val="en-AU"/>
        </w:rPr>
        <w:t>–</w:t>
      </w:r>
      <w:r w:rsidRPr="0072758C">
        <w:rPr>
          <w:i/>
          <w:iCs/>
          <w:lang w:val="en-AU"/>
        </w:rPr>
        <w:t>55</w:t>
      </w:r>
      <w:r w:rsidR="00FD397F" w:rsidRPr="0072758C">
        <w:rPr>
          <w:i/>
          <w:iCs/>
          <w:lang w:val="en-AU"/>
        </w:rPr>
        <w:t>, ed. by Peter Machinist.</w:t>
      </w:r>
      <w:r w:rsidRPr="0072758C">
        <w:rPr>
          <w:lang w:val="en-AU"/>
        </w:rPr>
        <w:t xml:space="preserve"> (Minneapolis: Fortress, 2001).</w:t>
      </w:r>
    </w:p>
  </w:footnote>
  <w:footnote w:id="197">
    <w:p w14:paraId="10C00CD2" w14:textId="77777777" w:rsidR="00B67D1C" w:rsidRPr="0072758C" w:rsidRDefault="00B67D1C" w:rsidP="00F5340B">
      <w:pPr>
        <w:pStyle w:val="EndnoteText"/>
        <w:rPr>
          <w:lang w:val="en-AU"/>
        </w:rPr>
      </w:pPr>
    </w:p>
    <w:p w14:paraId="7F6BDAE2" w14:textId="5B283B9C" w:rsidR="00622FB6" w:rsidRPr="0072758C" w:rsidRDefault="00B67D1C" w:rsidP="00A669B3">
      <w:pPr>
        <w:pStyle w:val="EndnoteText"/>
        <w:ind w:firstLine="720"/>
        <w:rPr>
          <w:lang w:val="en-AU"/>
        </w:rPr>
      </w:pPr>
      <w:r w:rsidRPr="0072758C">
        <w:rPr>
          <w:rStyle w:val="FootnoteReference"/>
          <w:lang w:val="en-AU"/>
        </w:rPr>
        <w:footnoteRef/>
      </w:r>
      <w:r w:rsidRPr="0072758C">
        <w:rPr>
          <w:lang w:val="en-AU"/>
        </w:rPr>
        <w:t xml:space="preserve"> Reiss, “Cyrus as Messiah,” 159.</w:t>
      </w:r>
      <w:r w:rsidRPr="0072758C">
        <w:rPr>
          <w:lang w:val="en-AU"/>
        </w:rPr>
        <w:tab/>
        <w:t xml:space="preserve">For further discussion on who Cyrus was and the role that Cyrus had on the Davidic messianic lineage, please see Antoon Schoors, </w:t>
      </w:r>
      <w:r w:rsidRPr="0072758C">
        <w:rPr>
          <w:i/>
          <w:iCs/>
          <w:lang w:val="en-AU"/>
        </w:rPr>
        <w:t>I Am God Your Saviour: A Form-Critical Study of the Main Genres in ls. XL–LV</w:t>
      </w:r>
      <w:r w:rsidRPr="0072758C">
        <w:rPr>
          <w:lang w:val="en-AU"/>
        </w:rPr>
        <w:t xml:space="preserve"> (Leiden: Brill, 1973); Rheinhard G. Kratz, </w:t>
      </w:r>
      <w:r w:rsidRPr="0072758C">
        <w:rPr>
          <w:i/>
          <w:iCs/>
          <w:lang w:val="en-AU"/>
        </w:rPr>
        <w:t xml:space="preserve">Kyros im Deuterojesaja-Buch </w:t>
      </w:r>
      <w:r w:rsidRPr="0072758C">
        <w:rPr>
          <w:lang w:val="en-AU"/>
        </w:rPr>
        <w:t xml:space="preserve">(Tiibingen: Mohr, 1991); Peter D. Miscall, </w:t>
      </w:r>
      <w:r w:rsidRPr="0072758C">
        <w:rPr>
          <w:i/>
          <w:iCs/>
          <w:lang w:val="en-AU"/>
        </w:rPr>
        <w:t>Isaiah</w:t>
      </w:r>
      <w:r w:rsidRPr="0072758C">
        <w:rPr>
          <w:lang w:val="en-AU"/>
        </w:rPr>
        <w:t xml:space="preserve"> (Sheffield: Sheffield Academic Press, 1993)</w:t>
      </w:r>
      <w:r w:rsidR="001606AD" w:rsidRPr="0072758C">
        <w:rPr>
          <w:lang w:val="en-AU"/>
        </w:rPr>
        <w:t>,</w:t>
      </w:r>
      <w:r w:rsidRPr="0072758C">
        <w:rPr>
          <w:lang w:val="en-AU"/>
        </w:rPr>
        <w:t xml:space="preserve"> 110; Rainer Albertz, </w:t>
      </w:r>
      <w:r w:rsidRPr="0072758C">
        <w:rPr>
          <w:i/>
          <w:iCs/>
          <w:lang w:val="en-AU"/>
        </w:rPr>
        <w:t>A History of Israelite Religion in the Old Testament Period</w:t>
      </w:r>
      <w:r w:rsidRPr="0072758C">
        <w:rPr>
          <w:lang w:val="en-AU"/>
        </w:rPr>
        <w:t xml:space="preserve"> (Louisville: Westminster John Knox, 1994)</w:t>
      </w:r>
      <w:r w:rsidR="00A669B3" w:rsidRPr="0072758C">
        <w:rPr>
          <w:lang w:val="en-AU"/>
        </w:rPr>
        <w:t xml:space="preserve">, </w:t>
      </w:r>
      <w:r w:rsidRPr="0072758C">
        <w:rPr>
          <w:lang w:val="en-AU"/>
        </w:rPr>
        <w:t>2:414.  The transition of the Cyrus image as a messianic figure occurred during the Second Isaiah period</w:t>
      </w:r>
      <w:r w:rsidR="00C04DF9">
        <w:rPr>
          <w:lang w:val="en-AU"/>
        </w:rPr>
        <w:t>:</w:t>
      </w:r>
      <w:r w:rsidRPr="0072758C">
        <w:rPr>
          <w:lang w:val="en-AU"/>
        </w:rPr>
        <w:t xml:space="preserve"> see, Robert R. Wilson, “The Community of the Second Isaiah,” in Reading and Preaching the Book of Isaiah (Philadelphia: Fortress, 1988)</w:t>
      </w:r>
      <w:r w:rsidR="00A669B3" w:rsidRPr="0072758C">
        <w:rPr>
          <w:lang w:val="en-AU"/>
        </w:rPr>
        <w:t>,</w:t>
      </w:r>
      <w:r w:rsidRPr="0072758C">
        <w:rPr>
          <w:lang w:val="en-AU"/>
        </w:rPr>
        <w:t xml:space="preserve"> 53–70; Edgar W. Conrad, “The Royal Narratives and the Structure of the Book of Isaiah,” </w:t>
      </w:r>
      <w:r w:rsidR="00A669B3" w:rsidRPr="0072758C">
        <w:rPr>
          <w:i/>
          <w:iCs/>
          <w:lang w:val="en-AU"/>
        </w:rPr>
        <w:t>Journal for the Study of the Old Testament</w:t>
      </w:r>
      <w:r w:rsidRPr="0072758C">
        <w:rPr>
          <w:lang w:val="en-AU"/>
        </w:rPr>
        <w:t xml:space="preserve"> 41 (1988)</w:t>
      </w:r>
      <w:r w:rsidR="00013BF9" w:rsidRPr="0072758C">
        <w:rPr>
          <w:lang w:val="en-AU"/>
        </w:rPr>
        <w:t>:</w:t>
      </w:r>
      <w:r w:rsidRPr="0072758C">
        <w:rPr>
          <w:lang w:val="en-AU"/>
        </w:rPr>
        <w:t xml:space="preserve"> 67–81.</w:t>
      </w:r>
      <w:r w:rsidR="00622FB6" w:rsidRPr="0072758C">
        <w:rPr>
          <w:lang w:val="en-AU"/>
        </w:rPr>
        <w:t xml:space="preserve"> For information on who </w:t>
      </w:r>
      <w:bookmarkStart w:id="70" w:name="citation"/>
      <w:r w:rsidR="00622FB6" w:rsidRPr="0072758C">
        <w:rPr>
          <w:lang w:val="en-AU"/>
        </w:rPr>
        <w:t>Akiba ben Joseph was see “Akiba Ben Joseph” </w:t>
      </w:r>
      <w:r w:rsidR="00622FB6" w:rsidRPr="0072758C">
        <w:rPr>
          <w:i/>
          <w:iCs/>
          <w:lang w:val="en-AU"/>
        </w:rPr>
        <w:t>Columbia Electronic Encyclopedia</w:t>
      </w:r>
      <w:r w:rsidR="00622FB6" w:rsidRPr="0072758C">
        <w:rPr>
          <w:lang w:val="en-AU"/>
        </w:rPr>
        <w:t xml:space="preserve">, </w:t>
      </w:r>
      <w:r w:rsidR="004B1E94" w:rsidRPr="0072758C">
        <w:rPr>
          <w:lang w:val="en-AU"/>
        </w:rPr>
        <w:t>(</w:t>
      </w:r>
      <w:r w:rsidR="00622FB6" w:rsidRPr="0072758C">
        <w:rPr>
          <w:lang w:val="en-AU"/>
        </w:rPr>
        <w:t>March 2021</w:t>
      </w:r>
      <w:r w:rsidR="004B1E94" w:rsidRPr="0072758C">
        <w:rPr>
          <w:lang w:val="en-AU"/>
        </w:rPr>
        <w:t>)</w:t>
      </w:r>
      <w:r w:rsidR="00622FB6" w:rsidRPr="0072758C">
        <w:rPr>
          <w:lang w:val="en-AU"/>
        </w:rPr>
        <w:t>.</w:t>
      </w:r>
      <w:bookmarkEnd w:id="70"/>
    </w:p>
  </w:footnote>
  <w:footnote w:id="198">
    <w:p w14:paraId="57572B6B" w14:textId="77777777" w:rsidR="00194C28" w:rsidRPr="0072758C" w:rsidRDefault="00194C28" w:rsidP="00F5340B">
      <w:pPr>
        <w:pStyle w:val="EndnoteText"/>
        <w:rPr>
          <w:lang w:val="en-AU"/>
        </w:rPr>
      </w:pPr>
    </w:p>
    <w:p w14:paraId="55247005" w14:textId="145200BE" w:rsidR="00F159B3" w:rsidRPr="0072758C" w:rsidRDefault="00194C28" w:rsidP="00F5340B">
      <w:pPr>
        <w:pStyle w:val="EndnoteText"/>
        <w:ind w:firstLine="720"/>
        <w:rPr>
          <w:lang w:val="en-AU"/>
        </w:rPr>
      </w:pPr>
      <w:r w:rsidRPr="0072758C">
        <w:rPr>
          <w:rStyle w:val="FootnoteReference"/>
          <w:lang w:val="en-AU"/>
        </w:rPr>
        <w:footnoteRef/>
      </w:r>
      <w:r w:rsidRPr="0072758C">
        <w:rPr>
          <w:vertAlign w:val="superscript"/>
          <w:lang w:val="en-AU"/>
        </w:rPr>
        <w:t xml:space="preserve"> </w:t>
      </w:r>
      <w:r w:rsidRPr="0072758C">
        <w:rPr>
          <w:lang w:val="en-AU"/>
        </w:rPr>
        <w:t xml:space="preserve">Matthew V. Novenson, </w:t>
      </w:r>
      <w:r w:rsidR="00863B47" w:rsidRPr="0072758C">
        <w:rPr>
          <w:lang w:val="en-AU"/>
        </w:rPr>
        <w:t>“</w:t>
      </w:r>
      <w:r w:rsidRPr="0072758C">
        <w:rPr>
          <w:lang w:val="en-AU"/>
        </w:rPr>
        <w:t>Why does R. Akiba acclaim Bar Kokhba as Messiah</w:t>
      </w:r>
      <w:r w:rsidR="00250347" w:rsidRPr="0072758C">
        <w:rPr>
          <w:lang w:val="en-AU"/>
        </w:rPr>
        <w:t>,</w:t>
      </w:r>
      <w:r w:rsidR="00863B47" w:rsidRPr="0072758C">
        <w:rPr>
          <w:lang w:val="en-AU"/>
        </w:rPr>
        <w:t>”</w:t>
      </w:r>
      <w:r w:rsidRPr="0072758C">
        <w:rPr>
          <w:lang w:val="en-AU"/>
        </w:rPr>
        <w:t xml:space="preserve"> </w:t>
      </w:r>
      <w:r w:rsidRPr="0072758C">
        <w:rPr>
          <w:i/>
          <w:iCs/>
          <w:lang w:val="en-AU"/>
        </w:rPr>
        <w:t>Journal for the Study of Judaism</w:t>
      </w:r>
      <w:r w:rsidR="00D70B93" w:rsidRPr="0072758C">
        <w:rPr>
          <w:i/>
          <w:iCs/>
          <w:lang w:val="en-AU"/>
        </w:rPr>
        <w:t xml:space="preserve"> </w:t>
      </w:r>
      <w:r w:rsidR="00D70B93" w:rsidRPr="0072758C">
        <w:rPr>
          <w:lang w:val="en-AU"/>
        </w:rPr>
        <w:t>40</w:t>
      </w:r>
      <w:r w:rsidRPr="0072758C">
        <w:rPr>
          <w:lang w:val="en-AU"/>
        </w:rPr>
        <w:t xml:space="preserve"> (2009): 551</w:t>
      </w:r>
      <w:r w:rsidR="00504DF1" w:rsidRPr="0072758C">
        <w:rPr>
          <w:lang w:val="en-AU"/>
        </w:rPr>
        <w:t>–</w:t>
      </w:r>
      <w:r w:rsidRPr="0072758C">
        <w:rPr>
          <w:lang w:val="en-AU"/>
        </w:rPr>
        <w:t>572.</w:t>
      </w:r>
      <w:r w:rsidR="00F159B3" w:rsidRPr="0072758C">
        <w:rPr>
          <w:lang w:val="en-AU"/>
        </w:rPr>
        <w:t xml:space="preserve">  For more information on the </w:t>
      </w:r>
      <w:r w:rsidR="00FF351B" w:rsidRPr="0072758C">
        <w:rPr>
          <w:lang w:val="en-AU"/>
        </w:rPr>
        <w:t xml:space="preserve">role of Jewish political messianic ideals after Bar Kokhba, see </w:t>
      </w:r>
      <w:r w:rsidR="00F159B3" w:rsidRPr="0072758C">
        <w:rPr>
          <w:lang w:val="en-AU"/>
        </w:rPr>
        <w:t>B. Havel, “Aspects of Development of Jewish Political Messianic Idea after the Bar Kokhba Revolt</w:t>
      </w:r>
      <w:r w:rsidR="00250347" w:rsidRPr="0072758C">
        <w:rPr>
          <w:lang w:val="en-AU"/>
        </w:rPr>
        <w:t>,</w:t>
      </w:r>
      <w:r w:rsidR="00F159B3" w:rsidRPr="0072758C">
        <w:rPr>
          <w:lang w:val="en-AU"/>
        </w:rPr>
        <w:t>” </w:t>
      </w:r>
      <w:r w:rsidR="00F159B3" w:rsidRPr="0072758C">
        <w:rPr>
          <w:i/>
          <w:iCs/>
          <w:lang w:val="en-AU"/>
        </w:rPr>
        <w:t>Obnovljeni Zivot</w:t>
      </w:r>
      <w:r w:rsidR="00F159B3" w:rsidRPr="0072758C">
        <w:rPr>
          <w:lang w:val="en-AU"/>
        </w:rPr>
        <w:t> 75</w:t>
      </w:r>
      <w:r w:rsidR="00901023" w:rsidRPr="0072758C">
        <w:rPr>
          <w:lang w:val="en-AU"/>
        </w:rPr>
        <w:t xml:space="preserve"> (2020)</w:t>
      </w:r>
      <w:r w:rsidR="00F159B3" w:rsidRPr="0072758C">
        <w:rPr>
          <w:lang w:val="en-AU"/>
        </w:rPr>
        <w:t>: 215–27.</w:t>
      </w:r>
    </w:p>
  </w:footnote>
  <w:footnote w:id="199">
    <w:p w14:paraId="39F9DCA7" w14:textId="77777777" w:rsidR="00194C28" w:rsidRPr="0072758C" w:rsidRDefault="00194C28" w:rsidP="00F5340B">
      <w:pPr>
        <w:pStyle w:val="EndnoteText"/>
        <w:rPr>
          <w:lang w:val="en-AU"/>
        </w:rPr>
      </w:pPr>
    </w:p>
    <w:p w14:paraId="4192B91A" w14:textId="7777777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Eisenman and Wise, The Dead Sea Scrolls Uncovered, 18.</w:t>
      </w:r>
    </w:p>
    <w:p w14:paraId="34D40166" w14:textId="77777777" w:rsidR="00194C28" w:rsidRPr="0072758C" w:rsidRDefault="00194C28" w:rsidP="00F5340B">
      <w:pPr>
        <w:pStyle w:val="EndnoteText"/>
        <w:rPr>
          <w:lang w:val="en-AU"/>
        </w:rPr>
      </w:pPr>
    </w:p>
  </w:footnote>
  <w:footnote w:id="200">
    <w:p w14:paraId="44466F8F" w14:textId="3B11300A" w:rsidR="00194C28" w:rsidRPr="0072758C" w:rsidRDefault="00194C28" w:rsidP="00F5340B">
      <w:pPr>
        <w:pStyle w:val="EndnoteText"/>
        <w:ind w:firstLine="720"/>
        <w:rPr>
          <w:lang w:val="en-AU"/>
        </w:rPr>
      </w:pPr>
      <w:r w:rsidRPr="0072758C">
        <w:rPr>
          <w:rStyle w:val="FootnoteReference"/>
          <w:lang w:val="en-AU"/>
        </w:rPr>
        <w:footnoteRef/>
      </w:r>
      <w:r w:rsidRPr="0072758C">
        <w:rPr>
          <w:vertAlign w:val="superscript"/>
          <w:lang w:val="en-AU"/>
        </w:rPr>
        <w:t xml:space="preserve"> </w:t>
      </w:r>
      <w:r w:rsidRPr="0072758C">
        <w:rPr>
          <w:lang w:val="en-AU"/>
        </w:rPr>
        <w:t xml:space="preserve">See Sukah 52a; 52b; Zohar I:25b; Ibid... II:120a, III:153b, 246b and 252a. </w:t>
      </w:r>
    </w:p>
    <w:p w14:paraId="5D32A20E" w14:textId="77777777" w:rsidR="00194C28" w:rsidRPr="0072758C" w:rsidRDefault="00194C28" w:rsidP="00F5340B">
      <w:pPr>
        <w:pStyle w:val="EndnoteText"/>
        <w:rPr>
          <w:lang w:val="en-AU"/>
        </w:rPr>
      </w:pPr>
    </w:p>
  </w:footnote>
  <w:footnote w:id="201">
    <w:p w14:paraId="0177EF1F" w14:textId="702E6EAF" w:rsidR="004F7634" w:rsidRPr="0072758C" w:rsidRDefault="00194C28" w:rsidP="00250347">
      <w:pPr>
        <w:pStyle w:val="EndnoteText"/>
        <w:ind w:firstLine="720"/>
        <w:rPr>
          <w:lang w:val="en-AU"/>
        </w:rPr>
      </w:pPr>
      <w:r w:rsidRPr="0072758C">
        <w:rPr>
          <w:rStyle w:val="FootnoteReference"/>
          <w:lang w:val="en-AU"/>
        </w:rPr>
        <w:footnoteRef/>
      </w:r>
      <w:r w:rsidRPr="0072758C">
        <w:rPr>
          <w:lang w:val="en-AU"/>
        </w:rPr>
        <w:t xml:space="preserve"> Marvin A. Sweeney, </w:t>
      </w:r>
      <w:r w:rsidR="00863B47" w:rsidRPr="0072758C">
        <w:rPr>
          <w:lang w:val="en-AU"/>
        </w:rPr>
        <w:t>“</w:t>
      </w:r>
      <w:r w:rsidRPr="0072758C">
        <w:rPr>
          <w:lang w:val="en-AU"/>
        </w:rPr>
        <w:t>The Reconceptualization of the Davidic Covenant in Isaiah,</w:t>
      </w:r>
      <w:r w:rsidR="00863B47" w:rsidRPr="0072758C">
        <w:rPr>
          <w:lang w:val="en-AU"/>
        </w:rPr>
        <w:t>”</w:t>
      </w:r>
      <w:r w:rsidRPr="0072758C">
        <w:rPr>
          <w:lang w:val="en-AU"/>
        </w:rPr>
        <w:t xml:space="preserve"> </w:t>
      </w:r>
      <w:r w:rsidRPr="0072758C">
        <w:rPr>
          <w:i/>
          <w:iCs/>
          <w:lang w:val="en-AU"/>
        </w:rPr>
        <w:t>in Studies in the Book of Isaiah: Festschrift Willem A. M. Beuken ed. J.T.A.G.M. van Ruiten and Marc Vervenne</w:t>
      </w:r>
      <w:r w:rsidRPr="0072758C">
        <w:rPr>
          <w:lang w:val="en-AU"/>
        </w:rPr>
        <w:t xml:space="preserve"> (Leuven, Belgium: Leuven University Press, 1997), 41–61.</w:t>
      </w:r>
      <w:r w:rsidR="00901023" w:rsidRPr="0072758C">
        <w:rPr>
          <w:lang w:val="en-AU"/>
        </w:rPr>
        <w:t xml:space="preserve">  See also, Marvin A Sweeney, </w:t>
      </w:r>
      <w:r w:rsidR="00901023" w:rsidRPr="0072758C">
        <w:rPr>
          <w:i/>
          <w:iCs/>
          <w:lang w:val="en-AU"/>
        </w:rPr>
        <w:t>Reading Prophetic Books</w:t>
      </w:r>
      <w:r w:rsidR="00901023" w:rsidRPr="0072758C">
        <w:rPr>
          <w:lang w:val="en-AU"/>
        </w:rPr>
        <w:t xml:space="preserve">: </w:t>
      </w:r>
      <w:r w:rsidR="00901023" w:rsidRPr="0072758C">
        <w:rPr>
          <w:i/>
          <w:iCs/>
          <w:lang w:val="en-AU"/>
        </w:rPr>
        <w:t>Form, Intertexuality, and Reception in Prophetic and Post-Biblical Literature</w:t>
      </w:r>
      <w:r w:rsidR="00250347" w:rsidRPr="0072758C">
        <w:rPr>
          <w:lang w:val="en-AU"/>
        </w:rPr>
        <w:t xml:space="preserve"> (Tubingen: Mohr Siebeck, 2014). </w:t>
      </w:r>
      <w:r w:rsidR="00616CBD" w:rsidRPr="0072758C">
        <w:rPr>
          <w:lang w:val="en-AU"/>
        </w:rPr>
        <w:t>Sweeny also discusses Isaiah and perspectives on Zion, see Marvin A. Sweeney, “Swords into Plowshares or Plowshares into Swords? Isaiah and the Twelve in Intertextual Perspective on Zion</w:t>
      </w:r>
      <w:r w:rsidR="00250347" w:rsidRPr="0072758C">
        <w:rPr>
          <w:lang w:val="en-AU"/>
        </w:rPr>
        <w:t>,</w:t>
      </w:r>
      <w:r w:rsidR="00616CBD" w:rsidRPr="0072758C">
        <w:rPr>
          <w:lang w:val="en-AU"/>
        </w:rPr>
        <w:t>” </w:t>
      </w:r>
      <w:r w:rsidR="00616CBD" w:rsidRPr="0072758C">
        <w:rPr>
          <w:i/>
          <w:iCs/>
          <w:lang w:val="en-AU"/>
        </w:rPr>
        <w:t>Toronto Journal of Theology</w:t>
      </w:r>
      <w:r w:rsidR="00616CBD" w:rsidRPr="0072758C">
        <w:rPr>
          <w:lang w:val="en-AU"/>
        </w:rPr>
        <w:t> 34 (2018): 97–110. For a discussion of Isaiah and witness as messiah, see A Zawadzki, “Israel as Messianic Wisdom in Isa 55:3-5 and Her Witness among the Nations. An Exegetical and Historical Study</w:t>
      </w:r>
      <w:r w:rsidR="00250347" w:rsidRPr="0072758C">
        <w:rPr>
          <w:lang w:val="en-AU"/>
        </w:rPr>
        <w:t>,</w:t>
      </w:r>
      <w:r w:rsidR="00616CBD" w:rsidRPr="0072758C">
        <w:rPr>
          <w:lang w:val="en-AU"/>
        </w:rPr>
        <w:t>” </w:t>
      </w:r>
      <w:r w:rsidR="00616CBD" w:rsidRPr="0072758C">
        <w:rPr>
          <w:i/>
          <w:iCs/>
          <w:lang w:val="en-AU"/>
        </w:rPr>
        <w:t>Collectanea Theologica</w:t>
      </w:r>
      <w:r w:rsidR="00616CBD" w:rsidRPr="0072758C">
        <w:rPr>
          <w:lang w:val="en-AU"/>
        </w:rPr>
        <w:t> 86 (2016): 5–50.</w:t>
      </w:r>
    </w:p>
    <w:p w14:paraId="163B56DF" w14:textId="77777777" w:rsidR="00194C28" w:rsidRPr="0072758C" w:rsidRDefault="00194C28" w:rsidP="004F7634">
      <w:pPr>
        <w:pStyle w:val="EndnoteText"/>
        <w:ind w:firstLine="720"/>
        <w:rPr>
          <w:lang w:val="en-AU"/>
        </w:rPr>
      </w:pPr>
    </w:p>
  </w:footnote>
  <w:footnote w:id="202">
    <w:p w14:paraId="7D80755C" w14:textId="2DFE471C" w:rsidR="00194C28" w:rsidRPr="0072758C" w:rsidRDefault="00194C28" w:rsidP="00F5340B">
      <w:pPr>
        <w:pStyle w:val="EndnoteText"/>
        <w:ind w:firstLine="720"/>
        <w:rPr>
          <w:lang w:val="en-AU"/>
        </w:rPr>
      </w:pPr>
      <w:r w:rsidRPr="0072758C">
        <w:rPr>
          <w:rStyle w:val="FootnoteReference"/>
          <w:lang w:val="en-AU"/>
        </w:rPr>
        <w:footnoteRef/>
      </w:r>
      <w:r w:rsidRPr="0072758C">
        <w:rPr>
          <w:vertAlign w:val="superscript"/>
          <w:lang w:val="en-AU"/>
        </w:rPr>
        <w:t xml:space="preserve"> </w:t>
      </w:r>
      <w:r w:rsidRPr="0072758C">
        <w:rPr>
          <w:lang w:val="en-AU"/>
        </w:rPr>
        <w:t xml:space="preserve">See Holger Zellentin, </w:t>
      </w:r>
      <w:r w:rsidR="00863B47" w:rsidRPr="0072758C">
        <w:rPr>
          <w:lang w:val="en-AU"/>
        </w:rPr>
        <w:t>“</w:t>
      </w:r>
      <w:r w:rsidRPr="0072758C">
        <w:rPr>
          <w:lang w:val="en-AU"/>
        </w:rPr>
        <w:t>Rabbinizing Jesus, Christianizing the Son of David: The Bavli</w:t>
      </w:r>
      <w:r w:rsidR="005C71CB" w:rsidRPr="0072758C">
        <w:rPr>
          <w:lang w:val="en-AU"/>
        </w:rPr>
        <w:t>’</w:t>
      </w:r>
      <w:r w:rsidRPr="0072758C">
        <w:rPr>
          <w:lang w:val="en-AU"/>
        </w:rPr>
        <w:t>s Approach to the Secondary Messiah Traditions,</w:t>
      </w:r>
      <w:r w:rsidR="00863B47" w:rsidRPr="0072758C">
        <w:rPr>
          <w:lang w:val="en-AU"/>
        </w:rPr>
        <w:t>”</w:t>
      </w:r>
      <w:r w:rsidRPr="0072758C">
        <w:rPr>
          <w:lang w:val="en-AU"/>
        </w:rPr>
        <w:t xml:space="preserve"> in Discussing Cultural Influences: Text, Context, and Non-Text in Rabbinic Judaism, ed. Rikva Ulmer (Lanham: University Press of America, 2007), 99–127.</w:t>
      </w:r>
    </w:p>
    <w:p w14:paraId="44234E25" w14:textId="77777777" w:rsidR="00194C28" w:rsidRPr="0072758C" w:rsidRDefault="00194C28" w:rsidP="00F5340B">
      <w:pPr>
        <w:pStyle w:val="EndnoteText"/>
        <w:rPr>
          <w:lang w:val="en-AU"/>
        </w:rPr>
      </w:pPr>
    </w:p>
  </w:footnote>
  <w:footnote w:id="203">
    <w:p w14:paraId="1979C7DF" w14:textId="77777777" w:rsidR="00194C28" w:rsidRPr="0072758C" w:rsidRDefault="00194C28" w:rsidP="00F5340B">
      <w:pPr>
        <w:pStyle w:val="EndnoteText"/>
        <w:ind w:firstLine="720"/>
        <w:rPr>
          <w:i/>
          <w:iCs/>
          <w:lang w:val="en-AU"/>
        </w:rPr>
      </w:pPr>
      <w:r w:rsidRPr="0072758C">
        <w:rPr>
          <w:rStyle w:val="FootnoteReference"/>
          <w:lang w:val="en-AU"/>
        </w:rPr>
        <w:footnoteRef/>
      </w:r>
      <w:r w:rsidRPr="0072758C">
        <w:rPr>
          <w:lang w:val="en-AU"/>
        </w:rPr>
        <w:t xml:space="preserve"> Kenneth Atkinson, </w:t>
      </w:r>
      <w:r w:rsidRPr="0072758C">
        <w:rPr>
          <w:i/>
          <w:iCs/>
          <w:lang w:val="en-AU"/>
        </w:rPr>
        <w:t xml:space="preserve">An Intertextual Study of the Psalms of Solomon: Pseudepigrapha, </w:t>
      </w:r>
    </w:p>
    <w:p w14:paraId="0C1DA188" w14:textId="457778F2" w:rsidR="0080702F" w:rsidRPr="0072758C" w:rsidRDefault="00194C28" w:rsidP="005F6DFC">
      <w:pPr>
        <w:pStyle w:val="EndnoteText"/>
        <w:rPr>
          <w:lang w:val="en-AU"/>
        </w:rPr>
      </w:pPr>
      <w:r w:rsidRPr="0072758C">
        <w:rPr>
          <w:i/>
          <w:iCs/>
          <w:lang w:val="en-AU"/>
        </w:rPr>
        <w:t>Studies in the Bible and Early Christianity</w:t>
      </w:r>
      <w:r w:rsidRPr="0072758C">
        <w:rPr>
          <w:lang w:val="en-AU"/>
        </w:rPr>
        <w:t xml:space="preserve"> </w:t>
      </w:r>
      <w:r w:rsidR="005F6DFC" w:rsidRPr="0072758C">
        <w:rPr>
          <w:lang w:val="en-AU"/>
        </w:rPr>
        <w:t>(</w:t>
      </w:r>
      <w:r w:rsidRPr="0072758C">
        <w:rPr>
          <w:lang w:val="en-AU"/>
        </w:rPr>
        <w:t>Lewiston: The Edwin Mellen, 2000)</w:t>
      </w:r>
      <w:r w:rsidR="005F6DFC" w:rsidRPr="0072758C">
        <w:rPr>
          <w:lang w:val="en-AU"/>
        </w:rPr>
        <w:t>, 49</w:t>
      </w:r>
      <w:r w:rsidRPr="0072758C">
        <w:rPr>
          <w:lang w:val="en-AU"/>
        </w:rPr>
        <w:t xml:space="preserve">; Atkinson identifies 4Q252, 4Q174, 4Q161, 4Q285, and 4Q246 as prooftexts with violent messianic figures; John J. Collins, </w:t>
      </w:r>
      <w:r w:rsidRPr="0072758C">
        <w:rPr>
          <w:i/>
          <w:iCs/>
          <w:lang w:val="en-AU"/>
        </w:rPr>
        <w:t xml:space="preserve">The </w:t>
      </w:r>
      <w:proofErr w:type="gramStart"/>
      <w:r w:rsidRPr="0072758C">
        <w:rPr>
          <w:i/>
          <w:iCs/>
          <w:lang w:val="en-AU"/>
        </w:rPr>
        <w:t>Scepter</w:t>
      </w:r>
      <w:proofErr w:type="gramEnd"/>
      <w:r w:rsidRPr="0072758C">
        <w:rPr>
          <w:i/>
          <w:iCs/>
          <w:lang w:val="en-AU"/>
        </w:rPr>
        <w:t xml:space="preserve"> and the Star: Messianism in Light of the Dead Sea Scrolls</w:t>
      </w:r>
      <w:r w:rsidRPr="0072758C">
        <w:rPr>
          <w:lang w:val="en-AU"/>
        </w:rPr>
        <w:t xml:space="preserve"> (Grand Rapids: Eerdmans, 2010), 63.  The study of 4Q161 and the messianic expectations has causes widespread scholarship between Isa 11:1</w:t>
      </w:r>
      <w:r w:rsidR="00504DF1" w:rsidRPr="0072758C">
        <w:rPr>
          <w:lang w:val="en-AU"/>
        </w:rPr>
        <w:t>–</w:t>
      </w:r>
      <w:r w:rsidRPr="0072758C">
        <w:rPr>
          <w:lang w:val="en-AU"/>
        </w:rPr>
        <w:t xml:space="preserve">5 and 4Q161.  For more substantial research on the John M. Allegro, </w:t>
      </w:r>
      <w:r w:rsidR="00863B47" w:rsidRPr="0072758C">
        <w:rPr>
          <w:lang w:val="en-AU"/>
        </w:rPr>
        <w:t>“</w:t>
      </w:r>
      <w:r w:rsidRPr="0072758C">
        <w:rPr>
          <w:lang w:val="en-AU"/>
        </w:rPr>
        <w:t>Further Messianic References in Qumran Literature,</w:t>
      </w:r>
      <w:r w:rsidR="00863B47" w:rsidRPr="0072758C">
        <w:rPr>
          <w:lang w:val="en-AU"/>
        </w:rPr>
        <w:t>”</w:t>
      </w:r>
      <w:r w:rsidRPr="0072758C">
        <w:rPr>
          <w:lang w:val="en-AU"/>
        </w:rPr>
        <w:t xml:space="preserve"> </w:t>
      </w:r>
      <w:r w:rsidRPr="0072758C">
        <w:rPr>
          <w:i/>
          <w:iCs/>
          <w:lang w:val="en-AU"/>
        </w:rPr>
        <w:t>J</w:t>
      </w:r>
      <w:r w:rsidR="005F6DFC" w:rsidRPr="0072758C">
        <w:rPr>
          <w:i/>
          <w:iCs/>
          <w:lang w:val="en-AU"/>
        </w:rPr>
        <w:t>ournal of Biblical Literature</w:t>
      </w:r>
      <w:r w:rsidR="005F6DFC" w:rsidRPr="0072758C">
        <w:rPr>
          <w:lang w:val="en-AU"/>
        </w:rPr>
        <w:t xml:space="preserve"> </w:t>
      </w:r>
      <w:r w:rsidRPr="0072758C">
        <w:rPr>
          <w:lang w:val="en-AU"/>
        </w:rPr>
        <w:t xml:space="preserve">75 (1956): 177–82; Adam S. van der Woude, </w:t>
      </w:r>
      <w:r w:rsidRPr="0072758C">
        <w:rPr>
          <w:i/>
          <w:iCs/>
          <w:lang w:val="en-AU"/>
        </w:rPr>
        <w:t>Die messianischen Vorstellungen der Gemeinde von Qumran</w:t>
      </w:r>
      <w:r w:rsidRPr="0072758C">
        <w:rPr>
          <w:lang w:val="en-AU"/>
        </w:rPr>
        <w:t xml:space="preserve"> (Assen: Van Gorcum, 1957), 75–82; Jacob Liver, </w:t>
      </w:r>
      <w:r w:rsidR="00863B47" w:rsidRPr="0072758C">
        <w:rPr>
          <w:lang w:val="en-AU"/>
        </w:rPr>
        <w:t>“</w:t>
      </w:r>
      <w:r w:rsidRPr="0072758C">
        <w:rPr>
          <w:lang w:val="en-AU"/>
        </w:rPr>
        <w:t>The Doctrine of Two Messiahs in Sectarian Literature in the Time of the Second Commonwealth,</w:t>
      </w:r>
      <w:r w:rsidR="00863B47" w:rsidRPr="0072758C">
        <w:rPr>
          <w:lang w:val="en-AU"/>
        </w:rPr>
        <w:t>”</w:t>
      </w:r>
      <w:r w:rsidRPr="0072758C">
        <w:rPr>
          <w:lang w:val="en-AU"/>
        </w:rPr>
        <w:t xml:space="preserve"> </w:t>
      </w:r>
      <w:r w:rsidR="005F6DFC" w:rsidRPr="0072758C">
        <w:rPr>
          <w:i/>
          <w:iCs/>
          <w:lang w:val="en-AU"/>
        </w:rPr>
        <w:t>Harvard Theological Review</w:t>
      </w:r>
      <w:r w:rsidR="005F6DFC" w:rsidRPr="0072758C">
        <w:rPr>
          <w:lang w:val="en-AU"/>
        </w:rPr>
        <w:t xml:space="preserve"> </w:t>
      </w:r>
      <w:r w:rsidRPr="0072758C">
        <w:rPr>
          <w:lang w:val="en-AU"/>
        </w:rPr>
        <w:t xml:space="preserve">52 (1959): 158, 160–1; Kenneth E. Pomykala, </w:t>
      </w:r>
      <w:r w:rsidR="00BD2848" w:rsidRPr="0072758C">
        <w:rPr>
          <w:lang w:val="en-AU"/>
        </w:rPr>
        <w:t>“</w:t>
      </w:r>
      <w:r w:rsidRPr="0072758C">
        <w:rPr>
          <w:lang w:val="en-AU"/>
        </w:rPr>
        <w:t>The Davidic Dynasty Tradition in Early Judaism: Its History and Significance for Messianism</w:t>
      </w:r>
      <w:r w:rsidR="00BD2848" w:rsidRPr="0072758C">
        <w:rPr>
          <w:lang w:val="en-AU"/>
        </w:rPr>
        <w:t xml:space="preserve">,” </w:t>
      </w:r>
      <w:r w:rsidR="00BD2848" w:rsidRPr="0072758C">
        <w:rPr>
          <w:i/>
          <w:iCs/>
          <w:lang w:val="en-AU"/>
        </w:rPr>
        <w:t>Society for Biblical Literature:  Early Judaism and its Literature</w:t>
      </w:r>
      <w:r w:rsidR="00BD2848" w:rsidRPr="0072758C">
        <w:rPr>
          <w:lang w:val="en-AU"/>
        </w:rPr>
        <w:t xml:space="preserve"> </w:t>
      </w:r>
      <w:r w:rsidRPr="0072758C">
        <w:rPr>
          <w:lang w:val="en-AU"/>
        </w:rPr>
        <w:t>7</w:t>
      </w:r>
      <w:r w:rsidR="00BD2848" w:rsidRPr="0072758C">
        <w:rPr>
          <w:lang w:val="en-AU"/>
        </w:rPr>
        <w:t xml:space="preserve"> (</w:t>
      </w:r>
      <w:r w:rsidRPr="0072758C">
        <w:rPr>
          <w:lang w:val="en-AU"/>
        </w:rPr>
        <w:t>1995)</w:t>
      </w:r>
      <w:r w:rsidR="00BD2848" w:rsidRPr="0072758C">
        <w:rPr>
          <w:lang w:val="en-AU"/>
        </w:rPr>
        <w:t>:</w:t>
      </w:r>
      <w:r w:rsidRPr="0072758C">
        <w:rPr>
          <w:lang w:val="en-AU"/>
        </w:rPr>
        <w:t xml:space="preserve"> 197–203; John J. Collins, </w:t>
      </w:r>
      <w:r w:rsidRPr="0072758C">
        <w:rPr>
          <w:i/>
          <w:iCs/>
          <w:lang w:val="en-AU"/>
        </w:rPr>
        <w:t>The Sceptre and the Star: Jewish Messianism in Light of the Dead Sea Scrolls</w:t>
      </w:r>
      <w:r w:rsidRPr="0072758C">
        <w:rPr>
          <w:lang w:val="en-AU"/>
        </w:rPr>
        <w:t xml:space="preserve"> (</w:t>
      </w:r>
      <w:r w:rsidR="00BD2848" w:rsidRPr="0072758C">
        <w:rPr>
          <w:lang w:val="en-AU"/>
        </w:rPr>
        <w:t>Grandrapids: Eerdmans, 2010):</w:t>
      </w:r>
      <w:r w:rsidRPr="0072758C">
        <w:rPr>
          <w:lang w:val="en-AU"/>
        </w:rPr>
        <w:t xml:space="preserve"> 57–8; Martin G. Abegg Jr, </w:t>
      </w:r>
      <w:r w:rsidR="00863B47" w:rsidRPr="0072758C">
        <w:rPr>
          <w:lang w:val="en-AU"/>
        </w:rPr>
        <w:t>“</w:t>
      </w:r>
      <w:r w:rsidRPr="0072758C">
        <w:rPr>
          <w:lang w:val="en-AU"/>
        </w:rPr>
        <w:t>The Messiah at Qumran: Are We Still Seeing Double</w:t>
      </w:r>
      <w:r w:rsidR="00BD2848" w:rsidRPr="0072758C">
        <w:rPr>
          <w:lang w:val="en-AU"/>
        </w:rPr>
        <w:t>,</w:t>
      </w:r>
      <w:r w:rsidR="00863B47" w:rsidRPr="0072758C">
        <w:rPr>
          <w:lang w:val="en-AU"/>
        </w:rPr>
        <w:t>”</w:t>
      </w:r>
      <w:r w:rsidRPr="0072758C">
        <w:rPr>
          <w:lang w:val="en-AU"/>
        </w:rPr>
        <w:t xml:space="preserve"> </w:t>
      </w:r>
      <w:r w:rsidR="00BD2848" w:rsidRPr="0072758C">
        <w:rPr>
          <w:i/>
          <w:iCs/>
          <w:lang w:val="en-AU"/>
        </w:rPr>
        <w:t xml:space="preserve">Dead Sea Discoveries </w:t>
      </w:r>
      <w:r w:rsidRPr="0072758C">
        <w:rPr>
          <w:lang w:val="en-AU"/>
        </w:rPr>
        <w:t xml:space="preserve">2 (1995): 136; Richard J. Bauckham, </w:t>
      </w:r>
      <w:r w:rsidR="00863B47" w:rsidRPr="0072758C">
        <w:rPr>
          <w:lang w:val="en-AU"/>
        </w:rPr>
        <w:t>“</w:t>
      </w:r>
      <w:r w:rsidRPr="0072758C">
        <w:rPr>
          <w:lang w:val="en-AU"/>
        </w:rPr>
        <w:t>The Messianic Interpretation of Isaiah 10:34 in the Dead Sea Scrolls, 2 Baruch and the Preaching of John the Baptist,</w:t>
      </w:r>
      <w:r w:rsidR="00863B47" w:rsidRPr="0072758C">
        <w:rPr>
          <w:lang w:val="en-AU"/>
        </w:rPr>
        <w:t>”</w:t>
      </w:r>
      <w:r w:rsidR="00BD2848" w:rsidRPr="0072758C">
        <w:rPr>
          <w:lang w:val="en-AU"/>
        </w:rPr>
        <w:t xml:space="preserve"> </w:t>
      </w:r>
      <w:r w:rsidR="00BD2848" w:rsidRPr="0072758C">
        <w:rPr>
          <w:i/>
          <w:iCs/>
          <w:lang w:val="en-AU"/>
        </w:rPr>
        <w:t xml:space="preserve">Dead Sea Discoveries </w:t>
      </w:r>
      <w:r w:rsidRPr="0072758C">
        <w:rPr>
          <w:lang w:val="en-AU"/>
        </w:rPr>
        <w:t xml:space="preserve">2 (1995): 202–16; Joseph A. Fitzmyer, </w:t>
      </w:r>
      <w:r w:rsidRPr="0072758C">
        <w:rPr>
          <w:i/>
          <w:iCs/>
          <w:lang w:val="en-AU"/>
        </w:rPr>
        <w:t>The One Who is to Come</w:t>
      </w:r>
      <w:r w:rsidRPr="0072758C">
        <w:rPr>
          <w:lang w:val="en-AU"/>
        </w:rPr>
        <w:t xml:space="preserve"> (Grand Rapids: Eerdmans, 2007), 99</w:t>
      </w:r>
      <w:r w:rsidR="0080702F" w:rsidRPr="0072758C">
        <w:rPr>
          <w:lang w:val="en-AU"/>
        </w:rPr>
        <w:t xml:space="preserve">; See also research on messianic mysticism in the DSS: John J </w:t>
      </w:r>
      <w:r w:rsidR="00B83DC6" w:rsidRPr="0072758C">
        <w:rPr>
          <w:lang w:val="en-AU"/>
        </w:rPr>
        <w:t xml:space="preserve">Collins, </w:t>
      </w:r>
      <w:r w:rsidR="0080702F" w:rsidRPr="0072758C">
        <w:rPr>
          <w:i/>
          <w:iCs/>
          <w:lang w:val="en-AU"/>
        </w:rPr>
        <w:t>Is There Mysticism in the Dead Sea Scrolls</w:t>
      </w:r>
      <w:r w:rsidR="009E5825" w:rsidRPr="0072758C">
        <w:rPr>
          <w:lang w:val="en-AU"/>
        </w:rPr>
        <w:t xml:space="preserve">  (Berlin/New York: de Gruyter, 2018),</w:t>
      </w:r>
      <w:r w:rsidR="0080702F" w:rsidRPr="0072758C">
        <w:rPr>
          <w:lang w:val="en-AU"/>
        </w:rPr>
        <w:t xml:space="preserve"> 61–80. </w:t>
      </w:r>
    </w:p>
    <w:p w14:paraId="369A3E0A" w14:textId="77777777" w:rsidR="00194C28" w:rsidRPr="0072758C" w:rsidRDefault="00194C28" w:rsidP="009B7870">
      <w:pPr>
        <w:pStyle w:val="EndnoteText"/>
        <w:rPr>
          <w:lang w:val="en-AU"/>
        </w:rPr>
      </w:pPr>
    </w:p>
  </w:footnote>
  <w:footnote w:id="204">
    <w:p w14:paraId="564AC625" w14:textId="0B476F37" w:rsidR="00194C28" w:rsidRPr="0072758C" w:rsidRDefault="00194C28" w:rsidP="009B7870">
      <w:pPr>
        <w:pStyle w:val="EndnoteText"/>
        <w:ind w:firstLine="720"/>
        <w:rPr>
          <w:lang w:val="en-AU"/>
        </w:rPr>
      </w:pPr>
      <w:r w:rsidRPr="0072758C">
        <w:rPr>
          <w:rStyle w:val="FootnoteReference"/>
          <w:lang w:val="en-AU"/>
        </w:rPr>
        <w:footnoteRef/>
      </w:r>
      <w:r w:rsidRPr="0072758C">
        <w:rPr>
          <w:vertAlign w:val="superscript"/>
          <w:lang w:val="en-AU"/>
        </w:rPr>
        <w:t xml:space="preserve"> </w:t>
      </w:r>
      <w:r w:rsidRPr="0072758C">
        <w:rPr>
          <w:lang w:val="en-AU"/>
        </w:rPr>
        <w:t xml:space="preserve">Sang-Mong Lee, Gerald T. </w:t>
      </w:r>
      <w:proofErr w:type="gramStart"/>
      <w:r w:rsidRPr="0072758C">
        <w:rPr>
          <w:lang w:val="en-AU"/>
        </w:rPr>
        <w:t>Hughes</w:t>
      </w:r>
      <w:proofErr w:type="gramEnd"/>
      <w:r w:rsidRPr="0072758C">
        <w:rPr>
          <w:lang w:val="en-AU"/>
        </w:rPr>
        <w:t xml:space="preserve"> and Francois P. Viljoen, </w:t>
      </w:r>
      <w:r w:rsidR="00863B47" w:rsidRPr="0072758C">
        <w:rPr>
          <w:lang w:val="en-AU"/>
        </w:rPr>
        <w:t>“</w:t>
      </w:r>
      <w:r w:rsidRPr="0072758C">
        <w:rPr>
          <w:lang w:val="en-AU"/>
        </w:rPr>
        <w:t>Forgiveness in The Intertestamental Period</w:t>
      </w:r>
      <w:r w:rsidR="00F32A80" w:rsidRPr="0072758C">
        <w:rPr>
          <w:lang w:val="en-AU"/>
        </w:rPr>
        <w:t>,</w:t>
      </w:r>
      <w:r w:rsidR="00863B47" w:rsidRPr="0072758C">
        <w:rPr>
          <w:lang w:val="en-AU"/>
        </w:rPr>
        <w:t>”</w:t>
      </w:r>
      <w:r w:rsidRPr="0072758C">
        <w:rPr>
          <w:lang w:val="en-AU"/>
        </w:rPr>
        <w:t> </w:t>
      </w:r>
      <w:r w:rsidRPr="0072758C">
        <w:rPr>
          <w:i/>
          <w:iCs/>
          <w:lang w:val="en-AU"/>
        </w:rPr>
        <w:t>Verbum Et Ecclesia </w:t>
      </w:r>
      <w:r w:rsidRPr="0072758C">
        <w:rPr>
          <w:lang w:val="en-AU"/>
        </w:rPr>
        <w:t>33 (2012)</w:t>
      </w:r>
      <w:r w:rsidR="00A054F2" w:rsidRPr="0072758C">
        <w:rPr>
          <w:lang w:val="en-AU"/>
        </w:rPr>
        <w:t>, 34</w:t>
      </w:r>
      <w:r w:rsidRPr="0072758C">
        <w:rPr>
          <w:lang w:val="en-AU"/>
        </w:rPr>
        <w:t>.</w:t>
      </w:r>
    </w:p>
    <w:p w14:paraId="0DA06258" w14:textId="77777777" w:rsidR="00194C28" w:rsidRPr="0072758C" w:rsidRDefault="00194C28" w:rsidP="009B7870">
      <w:pPr>
        <w:pStyle w:val="EndnoteText"/>
        <w:rPr>
          <w:lang w:val="en-AU"/>
        </w:rPr>
      </w:pPr>
    </w:p>
  </w:footnote>
  <w:footnote w:id="205">
    <w:p w14:paraId="5EF48174" w14:textId="4C255D26" w:rsidR="000F6094" w:rsidRPr="0072758C" w:rsidRDefault="00194C28" w:rsidP="009B7870">
      <w:pPr>
        <w:pStyle w:val="EndnoteText"/>
        <w:ind w:firstLine="720"/>
        <w:rPr>
          <w:lang w:val="en-AU"/>
        </w:rPr>
      </w:pPr>
      <w:r w:rsidRPr="0072758C">
        <w:rPr>
          <w:rStyle w:val="FootnoteReference"/>
          <w:lang w:val="en-AU"/>
        </w:rPr>
        <w:footnoteRef/>
      </w:r>
      <w:r w:rsidRPr="0072758C">
        <w:rPr>
          <w:lang w:val="en-AU"/>
        </w:rPr>
        <w:t xml:space="preserve"> See Jacob Neusner, </w:t>
      </w:r>
      <w:r w:rsidRPr="0072758C">
        <w:rPr>
          <w:i/>
          <w:iCs/>
          <w:lang w:val="en-AU"/>
        </w:rPr>
        <w:t>Judaisms and their Messiahs at the Turn of the Christian Era</w:t>
      </w:r>
      <w:r w:rsidRPr="0072758C">
        <w:rPr>
          <w:lang w:val="en-AU"/>
        </w:rPr>
        <w:t xml:space="preserve"> (Cambridge: Cambridge University Press, 1987)</w:t>
      </w:r>
      <w:r w:rsidR="003C0928" w:rsidRPr="0072758C">
        <w:rPr>
          <w:lang w:val="en-AU"/>
        </w:rPr>
        <w:t>.</w:t>
      </w:r>
    </w:p>
    <w:p w14:paraId="6E0472B6" w14:textId="77777777" w:rsidR="000F6094" w:rsidRPr="0072758C" w:rsidRDefault="000F6094" w:rsidP="009B7870">
      <w:pPr>
        <w:pStyle w:val="EndnoteText"/>
        <w:rPr>
          <w:lang w:val="en-AU"/>
        </w:rPr>
      </w:pPr>
    </w:p>
  </w:footnote>
  <w:footnote w:id="206">
    <w:p w14:paraId="732C76DA" w14:textId="567792DE" w:rsidR="00194C28" w:rsidRPr="0072758C" w:rsidRDefault="00194C28" w:rsidP="009B7870">
      <w:pPr>
        <w:pStyle w:val="EndnoteText"/>
        <w:ind w:firstLine="720"/>
        <w:rPr>
          <w:lang w:val="en-AU"/>
        </w:rPr>
      </w:pPr>
      <w:r w:rsidRPr="0072758C">
        <w:rPr>
          <w:rStyle w:val="FootnoteReference"/>
          <w:lang w:val="en-AU"/>
        </w:rPr>
        <w:footnoteRef/>
      </w:r>
      <w:r w:rsidRPr="0072758C">
        <w:rPr>
          <w:lang w:val="en-AU"/>
        </w:rPr>
        <w:t xml:space="preserve"> Shaye J. D. Cohen, </w:t>
      </w:r>
      <w:r w:rsidRPr="0072758C">
        <w:rPr>
          <w:i/>
          <w:iCs/>
          <w:lang w:val="en-AU"/>
        </w:rPr>
        <w:t>The Beginnings of Jewishness: Boundaries, Varieties, Uncertainties</w:t>
      </w:r>
      <w:r w:rsidRPr="0072758C">
        <w:rPr>
          <w:lang w:val="en-AU"/>
        </w:rPr>
        <w:t xml:space="preserve"> (Berkeley: University of California Press, 1999), 190–91.</w:t>
      </w:r>
    </w:p>
    <w:p w14:paraId="0BD88954" w14:textId="77777777" w:rsidR="00194C28" w:rsidRPr="0072758C" w:rsidRDefault="00194C28" w:rsidP="009B7870">
      <w:pPr>
        <w:pStyle w:val="EndnoteText"/>
        <w:rPr>
          <w:lang w:val="en-AU"/>
        </w:rPr>
      </w:pPr>
    </w:p>
  </w:footnote>
  <w:footnote w:id="207">
    <w:p w14:paraId="4412A1B3" w14:textId="6EB61AA5" w:rsidR="000F6094" w:rsidRPr="0072758C" w:rsidRDefault="00194C28" w:rsidP="009B7870">
      <w:pPr>
        <w:pStyle w:val="EndnoteText"/>
        <w:ind w:firstLine="720"/>
        <w:rPr>
          <w:lang w:val="en-AU"/>
        </w:rPr>
      </w:pPr>
      <w:r w:rsidRPr="0072758C">
        <w:rPr>
          <w:rStyle w:val="FootnoteReference"/>
          <w:lang w:val="en-AU"/>
        </w:rPr>
        <w:footnoteRef/>
      </w:r>
      <w:r w:rsidRPr="0072758C">
        <w:rPr>
          <w:lang w:val="en-AU"/>
        </w:rPr>
        <w:t xml:space="preserve"> See Steve Mason, </w:t>
      </w:r>
      <w:r w:rsidR="00863B47" w:rsidRPr="0072758C">
        <w:rPr>
          <w:lang w:val="en-AU"/>
        </w:rPr>
        <w:t>“</w:t>
      </w:r>
      <w:r w:rsidRPr="0072758C">
        <w:rPr>
          <w:lang w:val="en-AU"/>
        </w:rPr>
        <w:t>Jews, Judaeans, Judaizing, Judaism: Problems of Categorization in Ancient History,</w:t>
      </w:r>
      <w:r w:rsidR="00863B47" w:rsidRPr="0072758C">
        <w:rPr>
          <w:lang w:val="en-AU"/>
        </w:rPr>
        <w:t>”</w:t>
      </w:r>
      <w:r w:rsidRPr="0072758C">
        <w:rPr>
          <w:lang w:val="en-AU"/>
        </w:rPr>
        <w:t xml:space="preserve"> </w:t>
      </w:r>
      <w:r w:rsidRPr="0072758C">
        <w:rPr>
          <w:i/>
          <w:iCs/>
          <w:lang w:val="en-AU"/>
        </w:rPr>
        <w:t>Journal for the Study of Judaism</w:t>
      </w:r>
      <w:r w:rsidRPr="0072758C">
        <w:rPr>
          <w:lang w:val="en-AU"/>
        </w:rPr>
        <w:t xml:space="preserve"> 38 (2007), 457–512. In Steve Mason and Philip F. Esler, </w:t>
      </w:r>
      <w:r w:rsidR="00863B47" w:rsidRPr="0072758C">
        <w:rPr>
          <w:lang w:val="en-AU"/>
        </w:rPr>
        <w:t>“</w:t>
      </w:r>
      <w:r w:rsidRPr="0072758C">
        <w:rPr>
          <w:lang w:val="en-AU"/>
        </w:rPr>
        <w:t xml:space="preserve">Judaean and Christ-Follower Identities: Grounds </w:t>
      </w:r>
      <w:proofErr w:type="gramStart"/>
      <w:r w:rsidRPr="0072758C">
        <w:rPr>
          <w:lang w:val="en-AU"/>
        </w:rPr>
        <w:t>For</w:t>
      </w:r>
      <w:proofErr w:type="gramEnd"/>
      <w:r w:rsidRPr="0072758C">
        <w:rPr>
          <w:lang w:val="en-AU"/>
        </w:rPr>
        <w:t xml:space="preserve"> A Distinction,</w:t>
      </w:r>
      <w:r w:rsidR="00863B47" w:rsidRPr="0072758C">
        <w:rPr>
          <w:lang w:val="en-AU"/>
        </w:rPr>
        <w:t>”</w:t>
      </w:r>
      <w:r w:rsidRPr="0072758C">
        <w:rPr>
          <w:lang w:val="en-AU"/>
        </w:rPr>
        <w:t> </w:t>
      </w:r>
      <w:r w:rsidRPr="0072758C">
        <w:rPr>
          <w:i/>
          <w:iCs/>
          <w:lang w:val="en-AU"/>
        </w:rPr>
        <w:t>New Testament Studies</w:t>
      </w:r>
      <w:r w:rsidRPr="0072758C">
        <w:rPr>
          <w:lang w:val="en-AU"/>
        </w:rPr>
        <w:t> 63</w:t>
      </w:r>
      <w:r w:rsidR="00C82076" w:rsidRPr="0072758C">
        <w:rPr>
          <w:lang w:val="en-AU"/>
        </w:rPr>
        <w:t xml:space="preserve"> </w:t>
      </w:r>
      <w:r w:rsidRPr="0072758C">
        <w:rPr>
          <w:lang w:val="en-AU"/>
        </w:rPr>
        <w:t xml:space="preserve">(2017): 493–515, </w:t>
      </w:r>
      <w:r w:rsidRPr="0072758C">
        <w:rPr>
          <w:i/>
          <w:iCs/>
          <w:lang w:val="en-AU"/>
        </w:rPr>
        <w:t>Ioudaios</w:t>
      </w:r>
      <w:r w:rsidRPr="0072758C">
        <w:rPr>
          <w:lang w:val="en-AU"/>
        </w:rPr>
        <w:t xml:space="preserve"> is identified as being more than just a geographical designator for a people group but as an ethnic designation. The ethnic designation is difficult to separate the Jewish and Jewish Christians. The people are religious groups within a geographical region.  Mason and Esler contend that even early Christians from the region could be identified as </w:t>
      </w:r>
      <w:r w:rsidRPr="0072758C">
        <w:rPr>
          <w:i/>
          <w:iCs/>
          <w:lang w:val="en-AU"/>
        </w:rPr>
        <w:t>Ioudaios</w:t>
      </w:r>
      <w:r w:rsidRPr="0072758C">
        <w:rPr>
          <w:lang w:val="en-AU"/>
        </w:rPr>
        <w:t>. Furthermore, Mason and Esler contend that Early Christians had no such recogni</w:t>
      </w:r>
      <w:r w:rsidR="006F59A5" w:rsidRPr="0072758C">
        <w:rPr>
          <w:lang w:val="en-AU"/>
        </w:rPr>
        <w:t>s</w:t>
      </w:r>
      <w:r w:rsidRPr="0072758C">
        <w:rPr>
          <w:lang w:val="en-AU"/>
        </w:rPr>
        <w:t>ed place that was their own ethnic geography and place because they were Jewish in origin.</w:t>
      </w:r>
      <w:r w:rsidR="000F6094" w:rsidRPr="0072758C">
        <w:rPr>
          <w:lang w:val="en-AU"/>
        </w:rPr>
        <w:t xml:space="preserve"> The Pope discussed </w:t>
      </w:r>
      <w:proofErr w:type="gramStart"/>
      <w:r w:rsidR="000F6094" w:rsidRPr="0072758C">
        <w:rPr>
          <w:i/>
          <w:iCs/>
          <w:lang w:val="en-AU"/>
        </w:rPr>
        <w:t>Iudaei</w:t>
      </w:r>
      <w:proofErr w:type="gramEnd"/>
      <w:r w:rsidR="000F6094" w:rsidRPr="0072758C">
        <w:rPr>
          <w:lang w:val="en-AU"/>
        </w:rPr>
        <w:t xml:space="preserve"> and the problems associated with calling Jews people of </w:t>
      </w:r>
      <w:r w:rsidR="000F6094" w:rsidRPr="0072758C">
        <w:rPr>
          <w:i/>
          <w:iCs/>
          <w:lang w:val="en-AU"/>
        </w:rPr>
        <w:t>Iudaei</w:t>
      </w:r>
      <w:r w:rsidR="000F6094" w:rsidRPr="0072758C">
        <w:rPr>
          <w:lang w:val="en-AU"/>
        </w:rPr>
        <w:t>, see Pope Benedict XVI, “Grace and Vocation without Remorse: Comments on the Treatise De Iudaeis</w:t>
      </w:r>
      <w:r w:rsidR="00F32A80" w:rsidRPr="0072758C">
        <w:rPr>
          <w:lang w:val="en-AU"/>
        </w:rPr>
        <w:t>,</w:t>
      </w:r>
      <w:r w:rsidR="000F6094" w:rsidRPr="0072758C">
        <w:rPr>
          <w:lang w:val="en-AU"/>
        </w:rPr>
        <w:t>” </w:t>
      </w:r>
      <w:r w:rsidR="000F6094" w:rsidRPr="0072758C">
        <w:rPr>
          <w:i/>
          <w:iCs/>
          <w:lang w:val="en-AU"/>
        </w:rPr>
        <w:t>Communio </w:t>
      </w:r>
      <w:r w:rsidR="000F6094" w:rsidRPr="0072758C">
        <w:rPr>
          <w:lang w:val="en-AU"/>
        </w:rPr>
        <w:t>45 (2018): 163–84.</w:t>
      </w:r>
    </w:p>
  </w:footnote>
  <w:footnote w:id="208">
    <w:p w14:paraId="132211D0" w14:textId="77777777" w:rsidR="00194C28" w:rsidRPr="0072758C" w:rsidRDefault="00194C28" w:rsidP="009B7870">
      <w:pPr>
        <w:pStyle w:val="EndnoteText"/>
        <w:rPr>
          <w:lang w:val="en-AU"/>
        </w:rPr>
      </w:pPr>
    </w:p>
    <w:p w14:paraId="7C4A4F4F" w14:textId="612E434F" w:rsidR="00C65E2E" w:rsidRPr="0072758C" w:rsidRDefault="00194C28" w:rsidP="009B7870">
      <w:pPr>
        <w:pStyle w:val="EndnoteText"/>
        <w:ind w:firstLine="720"/>
        <w:rPr>
          <w:lang w:val="en-AU"/>
        </w:rPr>
      </w:pPr>
      <w:r w:rsidRPr="0072758C">
        <w:rPr>
          <w:rStyle w:val="FootnoteReference"/>
          <w:lang w:val="en-AU"/>
        </w:rPr>
        <w:footnoteRef/>
      </w:r>
      <w:r w:rsidRPr="0072758C">
        <w:rPr>
          <w:lang w:val="en-AU"/>
        </w:rPr>
        <w:t xml:space="preserve"> The notion that an inevitable revolt is found throughout scholarship. </w:t>
      </w:r>
      <w:r w:rsidR="00917C0D" w:rsidRPr="0072758C">
        <w:rPr>
          <w:lang w:val="en-AU"/>
        </w:rPr>
        <w:t xml:space="preserve">For history about the </w:t>
      </w:r>
      <w:r w:rsidR="008D6C6D" w:rsidRPr="0072758C">
        <w:rPr>
          <w:lang w:val="en-AU"/>
        </w:rPr>
        <w:t>build-up</w:t>
      </w:r>
      <w:r w:rsidR="00917C0D" w:rsidRPr="0072758C">
        <w:rPr>
          <w:lang w:val="en-AU"/>
        </w:rPr>
        <w:t xml:space="preserve"> of tension that led to the Roman Jewish War </w:t>
      </w:r>
      <w:r w:rsidR="00EB2C23" w:rsidRPr="0072758C">
        <w:rPr>
          <w:lang w:val="en-AU"/>
        </w:rPr>
        <w:t>s</w:t>
      </w:r>
      <w:r w:rsidR="00917C0D" w:rsidRPr="0072758C">
        <w:rPr>
          <w:lang w:val="en-AU"/>
        </w:rPr>
        <w:t xml:space="preserve">ee </w:t>
      </w:r>
      <w:r w:rsidR="00527ECE" w:rsidRPr="0072758C">
        <w:rPr>
          <w:lang w:val="en-AU"/>
        </w:rPr>
        <w:t>Caryn A. Reeder</w:t>
      </w:r>
      <w:r w:rsidR="00135D69" w:rsidRPr="0072758C">
        <w:rPr>
          <w:lang w:val="en-AU"/>
        </w:rPr>
        <w:t>,</w:t>
      </w:r>
      <w:r w:rsidR="00527ECE" w:rsidRPr="0072758C">
        <w:rPr>
          <w:lang w:val="en-AU"/>
        </w:rPr>
        <w:t xml:space="preserve"> “Wartime Rape, the Romans, and the First Jewish Revolt</w:t>
      </w:r>
      <w:r w:rsidR="00135D69" w:rsidRPr="0072758C">
        <w:rPr>
          <w:lang w:val="en-AU"/>
        </w:rPr>
        <w:t>,</w:t>
      </w:r>
      <w:r w:rsidR="00527ECE" w:rsidRPr="0072758C">
        <w:rPr>
          <w:lang w:val="en-AU"/>
        </w:rPr>
        <w:t>” </w:t>
      </w:r>
      <w:r w:rsidR="00527ECE" w:rsidRPr="0072758C">
        <w:rPr>
          <w:i/>
          <w:iCs/>
          <w:lang w:val="en-AU"/>
        </w:rPr>
        <w:t>Journal for the Study of Judaism in the Persian, Hellenistic, and Roman Period</w:t>
      </w:r>
      <w:r w:rsidR="00527ECE" w:rsidRPr="0072758C">
        <w:rPr>
          <w:lang w:val="en-AU"/>
        </w:rPr>
        <w:t> 48</w:t>
      </w:r>
      <w:r w:rsidR="00C82076" w:rsidRPr="0072758C">
        <w:rPr>
          <w:lang w:val="en-AU"/>
        </w:rPr>
        <w:t xml:space="preserve"> </w:t>
      </w:r>
      <w:r w:rsidR="00527ECE" w:rsidRPr="0072758C">
        <w:rPr>
          <w:lang w:val="en-AU"/>
        </w:rPr>
        <w:t xml:space="preserve">(2017): 363–85. </w:t>
      </w:r>
      <w:r w:rsidR="00917C0D" w:rsidRPr="0072758C">
        <w:rPr>
          <w:lang w:val="en-AU"/>
        </w:rPr>
        <w:t>Heather Kane-O’Donovan, “Class Relations during the Roman-Jewish War</w:t>
      </w:r>
      <w:r w:rsidR="00135D69" w:rsidRPr="0072758C">
        <w:rPr>
          <w:lang w:val="en-AU"/>
        </w:rPr>
        <w:t>,</w:t>
      </w:r>
      <w:r w:rsidR="00917C0D" w:rsidRPr="0072758C">
        <w:rPr>
          <w:lang w:val="en-AU"/>
        </w:rPr>
        <w:t>” </w:t>
      </w:r>
      <w:r w:rsidR="00917C0D" w:rsidRPr="0072758C">
        <w:rPr>
          <w:i/>
          <w:iCs/>
          <w:lang w:val="en-AU"/>
        </w:rPr>
        <w:t>Journal of Theta Alpha Kappa</w:t>
      </w:r>
      <w:r w:rsidR="00917C0D" w:rsidRPr="0072758C">
        <w:rPr>
          <w:lang w:val="en-AU"/>
        </w:rPr>
        <w:t> 25 (2001): 29–46</w:t>
      </w:r>
      <w:r w:rsidR="00EB2C23" w:rsidRPr="0072758C">
        <w:rPr>
          <w:lang w:val="en-AU"/>
        </w:rPr>
        <w:t xml:space="preserve">; </w:t>
      </w:r>
      <w:r w:rsidRPr="0072758C">
        <w:rPr>
          <w:lang w:val="en-AU"/>
        </w:rPr>
        <w:t>E. Schürer, The History of the Jewish People in the Age of Jesus Christ (Edinburgh: T. &amp; T. Clark, 1979). For more information about Jews under Roman rule in in different periods of history, see E. M. Smallwood</w:t>
      </w:r>
      <w:r w:rsidRPr="0072758C">
        <w:rPr>
          <w:i/>
          <w:iCs/>
          <w:lang w:val="en-AU"/>
        </w:rPr>
        <w:t>, The Jews under Roman Rule from Pompey to Diocletian: A Study in Political Relations</w:t>
      </w:r>
      <w:r w:rsidRPr="0072758C">
        <w:rPr>
          <w:lang w:val="en-AU"/>
        </w:rPr>
        <w:t xml:space="preserve"> (Leiden: Brill, 1976).  For a review on the political revolutionary climate at the time of Jesus was like before the fall of the Temple, see D. Rhoads, </w:t>
      </w:r>
      <w:r w:rsidRPr="0072758C">
        <w:rPr>
          <w:i/>
          <w:iCs/>
          <w:lang w:val="en-AU"/>
        </w:rPr>
        <w:t>Israel in Revolution in 6–74 CE: A Political History Based on the Writings of Josephus</w:t>
      </w:r>
      <w:r w:rsidRPr="0072758C">
        <w:rPr>
          <w:lang w:val="en-AU"/>
        </w:rPr>
        <w:t xml:space="preserve"> (Philadelphia: Fortress, 1976). For a deeper look into the historical understanding of the Roman and Jewish society at the time of Jesus, see T. Rajak, </w:t>
      </w:r>
      <w:r w:rsidRPr="0072758C">
        <w:rPr>
          <w:i/>
          <w:iCs/>
          <w:lang w:val="en-AU"/>
        </w:rPr>
        <w:t>Josephus: The Historian and his Society</w:t>
      </w:r>
      <w:r w:rsidRPr="0072758C">
        <w:rPr>
          <w:lang w:val="en-AU"/>
        </w:rPr>
        <w:t xml:space="preserve"> (London: Duckworth, 1983); M. Goodman, </w:t>
      </w:r>
      <w:r w:rsidRPr="0072758C">
        <w:rPr>
          <w:i/>
          <w:iCs/>
          <w:lang w:val="en-AU"/>
        </w:rPr>
        <w:t>The Ruling Class of Judaea: The Origins of the Jewish Revolt against Rome AD 66</w:t>
      </w:r>
      <w:r w:rsidR="00504DF1" w:rsidRPr="0072758C">
        <w:rPr>
          <w:i/>
          <w:iCs/>
          <w:lang w:val="en-AU"/>
        </w:rPr>
        <w:t>–</w:t>
      </w:r>
      <w:r w:rsidRPr="0072758C">
        <w:rPr>
          <w:i/>
          <w:iCs/>
          <w:lang w:val="en-AU"/>
        </w:rPr>
        <w:t>70</w:t>
      </w:r>
      <w:r w:rsidRPr="0072758C">
        <w:rPr>
          <w:lang w:val="en-AU"/>
        </w:rPr>
        <w:t xml:space="preserve"> (Cambridge: Cambridge University Press, 1987); Jonathan J. Price, </w:t>
      </w:r>
      <w:r w:rsidRPr="0072758C">
        <w:rPr>
          <w:i/>
          <w:iCs/>
          <w:lang w:val="en-AU"/>
        </w:rPr>
        <w:t>Jerusalem Under Siege: The Collapse of the Jewish State 66–70 C.E.</w:t>
      </w:r>
      <w:r w:rsidRPr="0072758C">
        <w:rPr>
          <w:lang w:val="en-AU"/>
        </w:rPr>
        <w:t xml:space="preserve"> (Leiden: Brill, 1992); J. S. McLaren, </w:t>
      </w:r>
      <w:r w:rsidRPr="0072758C">
        <w:rPr>
          <w:i/>
          <w:iCs/>
          <w:lang w:val="en-AU"/>
        </w:rPr>
        <w:t>Power and Politics in Palestine: The Jews and the Governing of their Land 100 BC–AD 70</w:t>
      </w:r>
      <w:r w:rsidRPr="0072758C">
        <w:rPr>
          <w:lang w:val="en-AU"/>
        </w:rPr>
        <w:t xml:space="preserve"> (Sheffield: Sheffield Academic, 1991).</w:t>
      </w:r>
      <w:r w:rsidR="00C65E2E" w:rsidRPr="0072758C">
        <w:rPr>
          <w:lang w:val="en-AU"/>
        </w:rPr>
        <w:t xml:space="preserve">  See Ireneusz. Luc “The Archaeology of Attrition Warfare: The Galilean War of Vespasian and Titus (May-November, 67</w:t>
      </w:r>
      <w:r w:rsidR="008D6C6D">
        <w:rPr>
          <w:lang w:val="en-AU"/>
        </w:rPr>
        <w:t xml:space="preserve"> </w:t>
      </w:r>
      <w:r w:rsidR="00C65E2E" w:rsidRPr="0072758C">
        <w:rPr>
          <w:lang w:val="en-AU"/>
        </w:rPr>
        <w:t>A.D.)</w:t>
      </w:r>
      <w:r w:rsidR="00F013F4" w:rsidRPr="0072758C">
        <w:rPr>
          <w:lang w:val="en-AU"/>
        </w:rPr>
        <w:t>,</w:t>
      </w:r>
      <w:r w:rsidR="00C65E2E" w:rsidRPr="0072758C">
        <w:rPr>
          <w:lang w:val="en-AU"/>
        </w:rPr>
        <w:t>” </w:t>
      </w:r>
      <w:r w:rsidR="00C65E2E" w:rsidRPr="0072758C">
        <w:rPr>
          <w:i/>
          <w:iCs/>
          <w:lang w:val="en-AU"/>
        </w:rPr>
        <w:t>Ethos: Kwartalnik Instytutu Jana Pawla</w:t>
      </w:r>
      <w:r w:rsidR="00C65E2E" w:rsidRPr="0072758C">
        <w:rPr>
          <w:lang w:val="en-AU"/>
        </w:rPr>
        <w:t xml:space="preserve"> 31</w:t>
      </w:r>
      <w:r w:rsidR="001143A9" w:rsidRPr="0072758C">
        <w:rPr>
          <w:lang w:val="en-AU"/>
        </w:rPr>
        <w:t xml:space="preserve"> </w:t>
      </w:r>
      <w:r w:rsidR="00C65E2E" w:rsidRPr="0072758C">
        <w:rPr>
          <w:lang w:val="en-AU"/>
        </w:rPr>
        <w:t>(2018): 229–50.</w:t>
      </w:r>
    </w:p>
    <w:p w14:paraId="5B1C4E02" w14:textId="77777777" w:rsidR="00194C28" w:rsidRPr="0072758C" w:rsidRDefault="00194C28" w:rsidP="009B7870">
      <w:pPr>
        <w:pStyle w:val="EndnoteText"/>
        <w:rPr>
          <w:lang w:val="en-AU"/>
        </w:rPr>
      </w:pPr>
    </w:p>
  </w:footnote>
  <w:footnote w:id="209">
    <w:p w14:paraId="51B4BE1D" w14:textId="334E1C00" w:rsidR="00C65E2E" w:rsidRPr="0072758C" w:rsidRDefault="00194C28" w:rsidP="009B7870">
      <w:pPr>
        <w:pStyle w:val="EndnoteText"/>
        <w:ind w:firstLine="720"/>
        <w:rPr>
          <w:lang w:val="en-AU"/>
        </w:rPr>
      </w:pPr>
      <w:r w:rsidRPr="0072758C">
        <w:rPr>
          <w:rStyle w:val="FootnoteReference"/>
          <w:lang w:val="en-AU"/>
        </w:rPr>
        <w:footnoteRef/>
      </w:r>
      <w:r w:rsidRPr="0072758C">
        <w:rPr>
          <w:i/>
          <w:iCs/>
          <w:lang w:val="en-AU"/>
        </w:rPr>
        <w:t xml:space="preserve"> </w:t>
      </w:r>
      <w:r w:rsidRPr="0072758C">
        <w:rPr>
          <w:lang w:val="en-AU"/>
        </w:rPr>
        <w:t>Ortlund, G.</w:t>
      </w:r>
      <w:r w:rsidR="0038252F" w:rsidRPr="0072758C">
        <w:rPr>
          <w:lang w:val="en-AU"/>
        </w:rPr>
        <w:t>,</w:t>
      </w:r>
      <w:r w:rsidRPr="0072758C">
        <w:rPr>
          <w:lang w:val="en-AU"/>
        </w:rPr>
        <w:t xml:space="preserve"> </w:t>
      </w:r>
      <w:r w:rsidR="00863B47" w:rsidRPr="0072758C">
        <w:rPr>
          <w:lang w:val="en-AU"/>
        </w:rPr>
        <w:t>“</w:t>
      </w:r>
      <w:r w:rsidRPr="0072758C">
        <w:rPr>
          <w:lang w:val="en-AU"/>
        </w:rPr>
        <w:t>Resurrected as Messiah: The Risen Christ as Prophet, Priest, and King</w:t>
      </w:r>
      <w:r w:rsidR="0038252F" w:rsidRPr="0072758C">
        <w:rPr>
          <w:lang w:val="en-AU"/>
        </w:rPr>
        <w:t>,”</w:t>
      </w:r>
      <w:r w:rsidR="00B470A4" w:rsidRPr="0072758C">
        <w:rPr>
          <w:lang w:val="en-AU"/>
        </w:rPr>
        <w:t xml:space="preserve"> </w:t>
      </w:r>
      <w:r w:rsidRPr="0072758C">
        <w:rPr>
          <w:i/>
          <w:iCs/>
          <w:lang w:val="en-AU"/>
        </w:rPr>
        <w:t>Journal of the Evangelical Theological Society </w:t>
      </w:r>
      <w:r w:rsidRPr="0072758C">
        <w:rPr>
          <w:lang w:val="en-AU"/>
        </w:rPr>
        <w:t>54</w:t>
      </w:r>
      <w:r w:rsidR="0038252F" w:rsidRPr="0072758C">
        <w:rPr>
          <w:lang w:val="en-AU"/>
        </w:rPr>
        <w:t xml:space="preserve"> (2011):</w:t>
      </w:r>
      <w:r w:rsidR="0099287D" w:rsidRPr="0072758C">
        <w:rPr>
          <w:lang w:val="en-AU"/>
        </w:rPr>
        <w:t xml:space="preserve"> </w:t>
      </w:r>
      <w:r w:rsidRPr="0072758C">
        <w:rPr>
          <w:lang w:val="en-AU"/>
        </w:rPr>
        <w:t>749</w:t>
      </w:r>
      <w:r w:rsidR="00504DF1" w:rsidRPr="0072758C">
        <w:rPr>
          <w:lang w:val="en-AU"/>
        </w:rPr>
        <w:t>–</w:t>
      </w:r>
      <w:r w:rsidRPr="0072758C">
        <w:rPr>
          <w:lang w:val="en-AU"/>
        </w:rPr>
        <w:t>66</w:t>
      </w:r>
      <w:r w:rsidRPr="0072758C">
        <w:rPr>
          <w:i/>
          <w:iCs/>
          <w:lang w:val="en-AU"/>
        </w:rPr>
        <w:t>.</w:t>
      </w:r>
      <w:r w:rsidR="002C413D">
        <w:rPr>
          <w:i/>
          <w:iCs/>
          <w:lang w:val="en-AU"/>
        </w:rPr>
        <w:t xml:space="preserve"> </w:t>
      </w:r>
      <w:r w:rsidR="002C413D">
        <w:rPr>
          <w:lang w:val="en-AU"/>
        </w:rPr>
        <w:t xml:space="preserve">The Star theology shows a lineage of David to Jesus as a messianic lineage following the book of Chronicles. </w:t>
      </w:r>
      <w:r w:rsidRPr="0072758C">
        <w:rPr>
          <w:lang w:val="en-AU"/>
        </w:rPr>
        <w:t xml:space="preserve">For more scholarship in the cultic in Chronicles and the connection between kings, </w:t>
      </w:r>
      <w:r w:rsidRPr="0072758C">
        <w:rPr>
          <w:i/>
          <w:iCs/>
          <w:lang w:val="en-AU"/>
        </w:rPr>
        <w:t>see</w:t>
      </w:r>
      <w:r w:rsidRPr="0072758C">
        <w:rPr>
          <w:lang w:val="en-AU"/>
        </w:rPr>
        <w:t xml:space="preserve"> Jozef Tino, </w:t>
      </w:r>
      <w:r w:rsidRPr="0072758C">
        <w:rPr>
          <w:i/>
          <w:iCs/>
          <w:lang w:val="en-AU"/>
        </w:rPr>
        <w:t xml:space="preserve">King and Temple in Chronicles: </w:t>
      </w:r>
      <w:proofErr w:type="gramStart"/>
      <w:r w:rsidRPr="0072758C">
        <w:rPr>
          <w:i/>
          <w:iCs/>
          <w:lang w:val="en-AU"/>
        </w:rPr>
        <w:t>a</w:t>
      </w:r>
      <w:proofErr w:type="gramEnd"/>
      <w:r w:rsidRPr="0072758C">
        <w:rPr>
          <w:i/>
          <w:iCs/>
          <w:lang w:val="en-AU"/>
        </w:rPr>
        <w:t xml:space="preserve"> Contextual Approach to their Relations </w:t>
      </w:r>
      <w:r w:rsidRPr="0072758C">
        <w:rPr>
          <w:lang w:val="en-AU"/>
        </w:rPr>
        <w:t>(Gottingen: Vandenhoeck &amp; Ruprecht, 2010), 147–161.</w:t>
      </w:r>
      <w:r w:rsidR="00C65E2E" w:rsidRPr="0072758C">
        <w:rPr>
          <w:lang w:val="en-AU"/>
        </w:rPr>
        <w:t xml:space="preserve">  See Tracy J McKenzie and Jonathan Shelton</w:t>
      </w:r>
      <w:r w:rsidR="000807F4" w:rsidRPr="0072758C">
        <w:rPr>
          <w:lang w:val="en-AU"/>
        </w:rPr>
        <w:t>,</w:t>
      </w:r>
      <w:r w:rsidR="00C65E2E" w:rsidRPr="0072758C">
        <w:rPr>
          <w:lang w:val="en-AU"/>
        </w:rPr>
        <w:t xml:space="preserve"> “From Proverb to Prophecy: Textual Production and Theology in Proverbs 30:1-6</w:t>
      </w:r>
      <w:r w:rsidR="000807F4" w:rsidRPr="0072758C">
        <w:rPr>
          <w:lang w:val="en-AU"/>
        </w:rPr>
        <w:t>,</w:t>
      </w:r>
      <w:r w:rsidR="00C65E2E" w:rsidRPr="0072758C">
        <w:rPr>
          <w:lang w:val="en-AU"/>
        </w:rPr>
        <w:t>” </w:t>
      </w:r>
      <w:r w:rsidR="00C65E2E" w:rsidRPr="0072758C">
        <w:rPr>
          <w:i/>
          <w:iCs/>
          <w:lang w:val="en-AU"/>
        </w:rPr>
        <w:t>Southeastern Theological Review</w:t>
      </w:r>
      <w:r w:rsidR="00C65E2E" w:rsidRPr="0072758C">
        <w:rPr>
          <w:lang w:val="en-AU"/>
        </w:rPr>
        <w:t> 11 (2020): 3–30.</w:t>
      </w:r>
      <w:r w:rsidR="005103D9" w:rsidRPr="0072758C">
        <w:rPr>
          <w:lang w:val="en-AU"/>
        </w:rPr>
        <w:t xml:space="preserve"> See Abegg for a discussion of messianic hope and DSS: Martin G Abegg</w:t>
      </w:r>
      <w:r w:rsidR="000807F4" w:rsidRPr="0072758C">
        <w:rPr>
          <w:lang w:val="en-AU"/>
        </w:rPr>
        <w:t>,</w:t>
      </w:r>
      <w:r w:rsidR="005103D9" w:rsidRPr="0072758C">
        <w:rPr>
          <w:lang w:val="en-AU"/>
        </w:rPr>
        <w:t xml:space="preserve"> “Messianic Hope and 4Q285: A Reassessment</w:t>
      </w:r>
      <w:r w:rsidR="00B470A4" w:rsidRPr="0072758C">
        <w:rPr>
          <w:lang w:val="en-AU"/>
        </w:rPr>
        <w:t>,</w:t>
      </w:r>
      <w:r w:rsidR="005103D9" w:rsidRPr="0072758C">
        <w:rPr>
          <w:lang w:val="en-AU"/>
        </w:rPr>
        <w:t>” </w:t>
      </w:r>
      <w:r w:rsidR="005103D9" w:rsidRPr="0072758C">
        <w:rPr>
          <w:i/>
          <w:iCs/>
          <w:lang w:val="en-AU"/>
        </w:rPr>
        <w:t>Journal of Biblical Literature</w:t>
      </w:r>
      <w:r w:rsidR="005103D9" w:rsidRPr="0072758C">
        <w:rPr>
          <w:lang w:val="en-AU"/>
        </w:rPr>
        <w:t> 113 (1994): 81–91.</w:t>
      </w:r>
    </w:p>
    <w:p w14:paraId="65662FEA" w14:textId="77777777" w:rsidR="00194C28" w:rsidRPr="0072758C" w:rsidRDefault="00194C28" w:rsidP="009B7870">
      <w:pPr>
        <w:pStyle w:val="EndnoteText"/>
        <w:rPr>
          <w:i/>
          <w:iCs/>
          <w:u w:val="single"/>
          <w:lang w:val="en-AU"/>
        </w:rPr>
      </w:pPr>
    </w:p>
  </w:footnote>
  <w:footnote w:id="210">
    <w:p w14:paraId="10189F37" w14:textId="1DD76902" w:rsidR="00194C28" w:rsidRPr="0072758C" w:rsidRDefault="00194C28" w:rsidP="009B7870">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See</w:t>
      </w:r>
      <w:r w:rsidRPr="0072758C">
        <w:rPr>
          <w:lang w:val="en-AU"/>
        </w:rPr>
        <w:t xml:space="preserve"> George J. Brooke, </w:t>
      </w:r>
      <w:r w:rsidRPr="0072758C">
        <w:rPr>
          <w:i/>
          <w:iCs/>
          <w:lang w:val="en-AU"/>
        </w:rPr>
        <w:t>Exegesis at Qumran: 4QFlorilegium in its Jewish Context</w:t>
      </w:r>
      <w:r w:rsidRPr="0072758C">
        <w:rPr>
          <w:lang w:val="en-AU"/>
        </w:rPr>
        <w:t xml:space="preserve"> (Atlanta: SBL Press, 2013), 85–98. 1QM follows similar form and function as 4Q174 (Florilegium) and 11Q13 (1 lQMelchizedek). For a discussion on the authorship of 4Q174</w:t>
      </w:r>
      <w:r w:rsidR="00910D77" w:rsidRPr="0072758C">
        <w:rPr>
          <w:lang w:val="en-AU"/>
        </w:rPr>
        <w:t>.</w:t>
      </w:r>
    </w:p>
    <w:p w14:paraId="4F62FEF6" w14:textId="77777777" w:rsidR="00194C28" w:rsidRPr="0072758C" w:rsidRDefault="00194C28" w:rsidP="009B7870">
      <w:pPr>
        <w:pStyle w:val="EndnoteText"/>
        <w:rPr>
          <w:lang w:val="en-AU"/>
        </w:rPr>
      </w:pPr>
    </w:p>
  </w:footnote>
  <w:footnote w:id="211">
    <w:p w14:paraId="3B833581" w14:textId="365DAB47" w:rsidR="00194C28" w:rsidRPr="0072758C" w:rsidRDefault="00194C28" w:rsidP="009B7870">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See</w:t>
      </w:r>
      <w:r w:rsidRPr="0072758C">
        <w:rPr>
          <w:lang w:val="en-AU"/>
        </w:rPr>
        <w:t xml:space="preserve"> Maurya P. Horgan, </w:t>
      </w:r>
      <w:r w:rsidR="00863B47" w:rsidRPr="0072758C">
        <w:rPr>
          <w:lang w:val="en-AU"/>
        </w:rPr>
        <w:t>“</w:t>
      </w:r>
      <w:r w:rsidRPr="0072758C">
        <w:rPr>
          <w:lang w:val="en-AU"/>
        </w:rPr>
        <w:t>Isaiah Pesher 4 (4Q161 = 4QpIsaa),</w:t>
      </w:r>
      <w:r w:rsidR="00863B47" w:rsidRPr="0072758C">
        <w:rPr>
          <w:lang w:val="en-AU"/>
        </w:rPr>
        <w:t>”</w:t>
      </w:r>
      <w:r w:rsidRPr="0072758C">
        <w:rPr>
          <w:lang w:val="en-AU"/>
        </w:rPr>
        <w:t xml:space="preserve"> in Pesharim, Other Commentaries, and Related Documents, vol. 6B of </w:t>
      </w:r>
      <w:r w:rsidRPr="0072758C">
        <w:rPr>
          <w:i/>
          <w:iCs/>
          <w:lang w:val="en-AU"/>
        </w:rPr>
        <w:t xml:space="preserve">The Dead Sea Scrolls: Hebrew, </w:t>
      </w:r>
      <w:proofErr w:type="gramStart"/>
      <w:r w:rsidRPr="0072758C">
        <w:rPr>
          <w:i/>
          <w:iCs/>
          <w:lang w:val="en-AU"/>
        </w:rPr>
        <w:t>Aramaic</w:t>
      </w:r>
      <w:proofErr w:type="gramEnd"/>
      <w:r w:rsidRPr="0072758C">
        <w:rPr>
          <w:i/>
          <w:iCs/>
          <w:lang w:val="en-AU"/>
        </w:rPr>
        <w:t xml:space="preserve"> and Greek Texts with English Translations</w:t>
      </w:r>
      <w:r w:rsidRPr="0072758C">
        <w:rPr>
          <w:lang w:val="en-AU"/>
        </w:rPr>
        <w:t xml:space="preserve"> (Tübingen: Mohr Siebeck, 2002), 83–97. </w:t>
      </w:r>
    </w:p>
  </w:footnote>
  <w:footnote w:id="212">
    <w:p w14:paraId="33A86776" w14:textId="77777777" w:rsidR="00194C28" w:rsidRPr="0072758C" w:rsidRDefault="00194C28" w:rsidP="009B7870">
      <w:pPr>
        <w:pStyle w:val="EndnoteText"/>
        <w:rPr>
          <w:lang w:val="en-AU"/>
        </w:rPr>
      </w:pPr>
    </w:p>
    <w:p w14:paraId="5B2E8880" w14:textId="05A931A0" w:rsidR="00EB2F46" w:rsidRPr="0072758C" w:rsidRDefault="00194C28" w:rsidP="009B7870">
      <w:pPr>
        <w:pStyle w:val="EndnoteText"/>
        <w:ind w:firstLine="720"/>
        <w:rPr>
          <w:lang w:val="en-AU"/>
        </w:rPr>
      </w:pPr>
      <w:r w:rsidRPr="0072758C">
        <w:rPr>
          <w:rStyle w:val="FootnoteReference"/>
          <w:lang w:val="en-AU"/>
        </w:rPr>
        <w:footnoteRef/>
      </w:r>
      <w:r w:rsidRPr="0072758C">
        <w:rPr>
          <w:lang w:val="en-AU"/>
        </w:rPr>
        <w:t xml:space="preserve"> Julius J. Scott, </w:t>
      </w:r>
      <w:r w:rsidRPr="0072758C">
        <w:rPr>
          <w:i/>
          <w:iCs/>
          <w:lang w:val="en-AU"/>
        </w:rPr>
        <w:t xml:space="preserve">Jewish Backgrounds of the New Testament </w:t>
      </w:r>
      <w:r w:rsidRPr="0072758C">
        <w:rPr>
          <w:lang w:val="en-AU"/>
        </w:rPr>
        <w:t xml:space="preserve">(Grand Rapids: Baker Academic, 2000), </w:t>
      </w:r>
      <w:r w:rsidRPr="0072758C">
        <w:rPr>
          <w:iCs/>
          <w:lang w:val="en-AU"/>
        </w:rPr>
        <w:t>297</w:t>
      </w:r>
      <w:r w:rsidRPr="0072758C">
        <w:rPr>
          <w:i/>
          <w:iCs/>
          <w:lang w:val="en-AU"/>
        </w:rPr>
        <w:t>.</w:t>
      </w:r>
      <w:r w:rsidR="00CC47A7" w:rsidRPr="0072758C">
        <w:rPr>
          <w:i/>
          <w:iCs/>
          <w:lang w:val="en-AU"/>
        </w:rPr>
        <w:t xml:space="preserve"> </w:t>
      </w:r>
      <w:r w:rsidR="00EB2F46" w:rsidRPr="0072758C">
        <w:rPr>
          <w:lang w:val="en-AU"/>
        </w:rPr>
        <w:t xml:space="preserve">Collins suggests that Maccabean revolt was a response to the kingdom in rule, or the Seleucid kingdom, which did not have geography, see </w:t>
      </w:r>
      <w:r w:rsidR="0099287D" w:rsidRPr="0072758C">
        <w:rPr>
          <w:lang w:val="en-AU"/>
        </w:rPr>
        <w:t xml:space="preserve">John </w:t>
      </w:r>
      <w:r w:rsidR="00EB2F46" w:rsidRPr="0072758C">
        <w:rPr>
          <w:lang w:val="en-AU"/>
        </w:rPr>
        <w:t>Collins,</w:t>
      </w:r>
      <w:r w:rsidR="006268DA" w:rsidRPr="0072758C">
        <w:rPr>
          <w:lang w:val="en-AU"/>
        </w:rPr>
        <w:t xml:space="preserve"> </w:t>
      </w:r>
      <w:r w:rsidR="006268DA" w:rsidRPr="0072758C">
        <w:rPr>
          <w:i/>
          <w:iCs/>
          <w:lang w:val="en-AU"/>
        </w:rPr>
        <w:t xml:space="preserve">Revolt and Resistance in the Ancient Classical Worlds and Near East </w:t>
      </w:r>
      <w:r w:rsidR="006268DA" w:rsidRPr="0072758C">
        <w:rPr>
          <w:lang w:val="en-AU"/>
        </w:rPr>
        <w:t xml:space="preserve">(Leiden:  Brill, 2016), </w:t>
      </w:r>
      <w:r w:rsidR="00EB2F46" w:rsidRPr="0072758C">
        <w:rPr>
          <w:lang w:val="en-AU"/>
        </w:rPr>
        <w:t>189–201.</w:t>
      </w:r>
    </w:p>
    <w:p w14:paraId="3896A53B" w14:textId="5F1B2B44" w:rsidR="00194C28" w:rsidRPr="0072758C" w:rsidRDefault="009B7870" w:rsidP="009B7870">
      <w:pPr>
        <w:pStyle w:val="EndnoteText"/>
        <w:rPr>
          <w:iCs/>
          <w:lang w:val="en-AU"/>
        </w:rPr>
      </w:pPr>
      <w:r w:rsidRPr="0072758C">
        <w:rPr>
          <w:iCs/>
          <w:lang w:val="en-AU"/>
        </w:rPr>
        <w:tab/>
      </w:r>
    </w:p>
  </w:footnote>
  <w:footnote w:id="213">
    <w:p w14:paraId="064D93D1" w14:textId="60790ADD" w:rsidR="00194C28" w:rsidRPr="0072758C" w:rsidRDefault="00194C28" w:rsidP="00A81C88">
      <w:pPr>
        <w:pStyle w:val="EndnoteText"/>
        <w:ind w:firstLine="720"/>
        <w:rPr>
          <w:lang w:val="en-AU"/>
        </w:rPr>
      </w:pPr>
      <w:r w:rsidRPr="0072758C">
        <w:rPr>
          <w:rStyle w:val="FootnoteReference"/>
          <w:lang w:val="en-AU"/>
        </w:rPr>
        <w:footnoteRef/>
      </w:r>
      <w:r w:rsidRPr="0072758C">
        <w:rPr>
          <w:lang w:val="en-AU"/>
        </w:rPr>
        <w:t xml:space="preserve"> Richard Bauckham, </w:t>
      </w:r>
      <w:r w:rsidRPr="0072758C">
        <w:rPr>
          <w:i/>
          <w:iCs/>
          <w:lang w:val="en-AU"/>
        </w:rPr>
        <w:t xml:space="preserve">The Jewish World around the New Testament </w:t>
      </w:r>
      <w:r w:rsidRPr="0072758C">
        <w:rPr>
          <w:lang w:val="en-AU"/>
        </w:rPr>
        <w:t>(Grand Rapids: Baker, 2010)</w:t>
      </w:r>
      <w:r w:rsidRPr="0072758C">
        <w:rPr>
          <w:i/>
          <w:iCs/>
          <w:lang w:val="en-AU"/>
        </w:rPr>
        <w:t xml:space="preserve">, </w:t>
      </w:r>
      <w:r w:rsidRPr="0072758C">
        <w:rPr>
          <w:iCs/>
          <w:lang w:val="en-AU"/>
        </w:rPr>
        <w:t xml:space="preserve">346. In the intertestamental writing of </w:t>
      </w:r>
      <w:r w:rsidRPr="0072758C">
        <w:rPr>
          <w:lang w:val="en-AU"/>
        </w:rPr>
        <w:t xml:space="preserve">1QM 10.1–8a, </w:t>
      </w:r>
      <w:r w:rsidR="00D20108">
        <w:rPr>
          <w:lang w:val="en-AU"/>
        </w:rPr>
        <w:t xml:space="preserve">the prophetic interpretation of scripture creates theme of conflict and a political tension. </w:t>
      </w:r>
      <w:r w:rsidRPr="0072758C">
        <w:rPr>
          <w:lang w:val="en-AU"/>
        </w:rPr>
        <w:t xml:space="preserve">Peter von der Osten-Sacken originally labelled these lines as a florilegium and a collection of proof-texts for a messianic conflict. </w:t>
      </w:r>
      <w:r w:rsidR="0099287D" w:rsidRPr="0072758C">
        <w:rPr>
          <w:lang w:val="en-AU"/>
        </w:rPr>
        <w:t xml:space="preserve">See </w:t>
      </w:r>
      <w:r w:rsidRPr="0072758C">
        <w:rPr>
          <w:lang w:val="en-AU"/>
        </w:rPr>
        <w:t xml:space="preserve">Peter von der Osten Sacken, </w:t>
      </w:r>
      <w:r w:rsidRPr="0072758C">
        <w:rPr>
          <w:i/>
          <w:iCs/>
          <w:lang w:val="en-AU"/>
        </w:rPr>
        <w:t>Gott und Belial: Traditionsgeschichtliche Untersuchungen zum Dualismus in den Texten aus Qumran</w:t>
      </w:r>
      <w:r w:rsidRPr="0072758C">
        <w:rPr>
          <w:lang w:val="en-AU"/>
        </w:rPr>
        <w:t xml:space="preserve"> (Göttingen: Vandenhoeck &amp; Ruprecht, 1969), 60</w:t>
      </w:r>
      <w:r w:rsidR="00504DF1" w:rsidRPr="0072758C">
        <w:rPr>
          <w:lang w:val="en-AU"/>
        </w:rPr>
        <w:t>–</w:t>
      </w:r>
      <w:r w:rsidRPr="0072758C">
        <w:rPr>
          <w:lang w:val="en-AU"/>
        </w:rPr>
        <w:t>61.</w:t>
      </w:r>
    </w:p>
    <w:p w14:paraId="692C620F" w14:textId="77777777" w:rsidR="00194C28" w:rsidRPr="0072758C" w:rsidRDefault="00194C28" w:rsidP="009B7870">
      <w:pPr>
        <w:pStyle w:val="EndnoteText"/>
        <w:rPr>
          <w:lang w:val="en-AU"/>
        </w:rPr>
      </w:pPr>
    </w:p>
  </w:footnote>
  <w:footnote w:id="214">
    <w:p w14:paraId="2EB77C42" w14:textId="36B862CA" w:rsidR="00924517" w:rsidRPr="0072758C" w:rsidRDefault="00194C28" w:rsidP="009B7870">
      <w:pPr>
        <w:pStyle w:val="EndnoteText"/>
        <w:ind w:firstLine="720"/>
        <w:rPr>
          <w:iCs/>
          <w:lang w:val="en-AU"/>
        </w:rPr>
      </w:pPr>
      <w:r w:rsidRPr="0072758C">
        <w:rPr>
          <w:rStyle w:val="FootnoteReference"/>
          <w:lang w:val="en-AU"/>
        </w:rPr>
        <w:footnoteRef/>
      </w:r>
      <w:r w:rsidRPr="0072758C">
        <w:rPr>
          <w:lang w:val="en-AU"/>
        </w:rPr>
        <w:t xml:space="preserve"> Bauckham, </w:t>
      </w:r>
      <w:r w:rsidRPr="0072758C">
        <w:rPr>
          <w:i/>
          <w:iCs/>
          <w:lang w:val="en-AU"/>
        </w:rPr>
        <w:t xml:space="preserve">The Jewish World around the New Testament, </w:t>
      </w:r>
      <w:r w:rsidRPr="0072758C">
        <w:rPr>
          <w:iCs/>
          <w:lang w:val="en-AU"/>
        </w:rPr>
        <w:t>311</w:t>
      </w:r>
      <w:r w:rsidR="00924517" w:rsidRPr="0072758C">
        <w:rPr>
          <w:iCs/>
          <w:lang w:val="en-AU"/>
        </w:rPr>
        <w:t>; see also George J. Brooke, “Patterns of Priesthood, Priestliness and Priestly Functions in Some Second Temple Period Texts</w:t>
      </w:r>
      <w:r w:rsidR="00DF62FC" w:rsidRPr="0072758C">
        <w:rPr>
          <w:iCs/>
          <w:lang w:val="en-AU"/>
        </w:rPr>
        <w:t>,</w:t>
      </w:r>
      <w:r w:rsidR="00924517" w:rsidRPr="0072758C">
        <w:rPr>
          <w:iCs/>
          <w:lang w:val="en-AU"/>
        </w:rPr>
        <w:t>” </w:t>
      </w:r>
      <w:r w:rsidR="00924517" w:rsidRPr="0072758C">
        <w:rPr>
          <w:i/>
          <w:iCs/>
          <w:lang w:val="en-AU"/>
        </w:rPr>
        <w:t>Judaïsme Ancien</w:t>
      </w:r>
      <w:r w:rsidR="00924517" w:rsidRPr="0072758C">
        <w:rPr>
          <w:iCs/>
          <w:lang w:val="en-AU"/>
        </w:rPr>
        <w:t> 4 (2016): 1–21.</w:t>
      </w:r>
    </w:p>
    <w:p w14:paraId="27A19FD6" w14:textId="77777777" w:rsidR="00194C28" w:rsidRPr="0072758C" w:rsidRDefault="00194C28" w:rsidP="009B7870">
      <w:pPr>
        <w:pStyle w:val="EndnoteText"/>
        <w:rPr>
          <w:lang w:val="en-AU"/>
        </w:rPr>
      </w:pPr>
    </w:p>
  </w:footnote>
  <w:footnote w:id="215">
    <w:p w14:paraId="7E7D95A0" w14:textId="77777777" w:rsidR="00194C28" w:rsidRPr="0072758C" w:rsidRDefault="00194C28" w:rsidP="009B7870">
      <w:pPr>
        <w:pStyle w:val="EndnoteText"/>
        <w:ind w:firstLine="720"/>
        <w:rPr>
          <w:iCs/>
          <w:lang w:val="en-AU"/>
        </w:rPr>
      </w:pPr>
      <w:r w:rsidRPr="0072758C">
        <w:rPr>
          <w:rStyle w:val="FootnoteReference"/>
          <w:lang w:val="en-AU"/>
        </w:rPr>
        <w:footnoteRef/>
      </w:r>
      <w:r w:rsidRPr="0072758C">
        <w:rPr>
          <w:lang w:val="en-AU"/>
        </w:rPr>
        <w:t xml:space="preserve"> Scott, </w:t>
      </w:r>
      <w:r w:rsidRPr="0072758C">
        <w:rPr>
          <w:i/>
          <w:iCs/>
          <w:lang w:val="en-AU"/>
        </w:rPr>
        <w:t xml:space="preserve">Jewish Backgrounds of the New Testament, </w:t>
      </w:r>
      <w:r w:rsidRPr="0072758C">
        <w:rPr>
          <w:iCs/>
          <w:lang w:val="en-AU"/>
        </w:rPr>
        <w:t>311.</w:t>
      </w:r>
    </w:p>
    <w:p w14:paraId="32E226DE" w14:textId="77777777" w:rsidR="00194C28" w:rsidRPr="0072758C" w:rsidRDefault="00194C28" w:rsidP="009B7870">
      <w:pPr>
        <w:pStyle w:val="EndnoteText"/>
        <w:rPr>
          <w:lang w:val="en-AU"/>
        </w:rPr>
      </w:pPr>
    </w:p>
  </w:footnote>
  <w:footnote w:id="216">
    <w:p w14:paraId="55EE4B3B" w14:textId="5AB2B373" w:rsidR="007515E6" w:rsidRPr="0072758C" w:rsidRDefault="00194C28" w:rsidP="009B7870">
      <w:pPr>
        <w:pStyle w:val="EndnoteText"/>
        <w:ind w:firstLine="720"/>
        <w:rPr>
          <w:lang w:val="en-AU"/>
        </w:rPr>
      </w:pPr>
      <w:r w:rsidRPr="0072758C">
        <w:rPr>
          <w:rStyle w:val="FootnoteReference"/>
          <w:lang w:val="en-AU"/>
        </w:rPr>
        <w:footnoteRef/>
      </w:r>
      <w:r w:rsidRPr="0072758C">
        <w:rPr>
          <w:lang w:val="en-AU"/>
        </w:rPr>
        <w:t xml:space="preserve"> Jacob Neusner, William S. </w:t>
      </w:r>
      <w:proofErr w:type="gramStart"/>
      <w:r w:rsidRPr="0072758C">
        <w:rPr>
          <w:lang w:val="en-AU"/>
        </w:rPr>
        <w:t>Green</w:t>
      </w:r>
      <w:proofErr w:type="gramEnd"/>
      <w:r w:rsidRPr="0072758C">
        <w:rPr>
          <w:lang w:val="en-AU"/>
        </w:rPr>
        <w:t xml:space="preserve"> and Ernest Grerichs, </w:t>
      </w:r>
      <w:r w:rsidRPr="0072758C">
        <w:rPr>
          <w:i/>
          <w:iCs/>
          <w:lang w:val="en-AU"/>
        </w:rPr>
        <w:t>Judaisms and their Messiahs</w:t>
      </w:r>
      <w:r w:rsidRPr="0072758C">
        <w:rPr>
          <w:lang w:val="en-AU"/>
        </w:rPr>
        <w:t xml:space="preserve"> (Cambridge: Cambridge University Press, 1990)</w:t>
      </w:r>
      <w:r w:rsidR="007515E6" w:rsidRPr="0072758C">
        <w:rPr>
          <w:lang w:val="en-AU"/>
        </w:rPr>
        <w:t xml:space="preserve">.  </w:t>
      </w:r>
    </w:p>
    <w:p w14:paraId="159398DD" w14:textId="77777777" w:rsidR="00194C28" w:rsidRPr="0072758C" w:rsidRDefault="00194C28" w:rsidP="009B7870">
      <w:pPr>
        <w:pStyle w:val="EndnoteText"/>
        <w:rPr>
          <w:lang w:val="en-AU"/>
        </w:rPr>
      </w:pPr>
    </w:p>
  </w:footnote>
  <w:footnote w:id="217">
    <w:p w14:paraId="4D3061B4" w14:textId="77777777" w:rsidR="004D624F" w:rsidRPr="0072758C" w:rsidRDefault="004D624F" w:rsidP="009B7870">
      <w:pPr>
        <w:pStyle w:val="EndnoteText"/>
        <w:ind w:firstLine="720"/>
        <w:rPr>
          <w:lang w:val="en-AU"/>
        </w:rPr>
      </w:pPr>
      <w:r w:rsidRPr="0072758C">
        <w:rPr>
          <w:rStyle w:val="FootnoteReference"/>
          <w:lang w:val="en-AU"/>
        </w:rPr>
        <w:footnoteRef/>
      </w:r>
      <w:r w:rsidRPr="0072758C">
        <w:rPr>
          <w:lang w:val="en-AU"/>
        </w:rPr>
        <w:t xml:space="preserve"> Jassen, “The Dead Sea Scrolls and Violence,” 13.</w:t>
      </w:r>
    </w:p>
  </w:footnote>
  <w:footnote w:id="218">
    <w:p w14:paraId="5421250F" w14:textId="77777777" w:rsidR="004D624F" w:rsidRPr="0072758C" w:rsidRDefault="004D624F" w:rsidP="009B7870">
      <w:pPr>
        <w:pStyle w:val="EndnoteText"/>
        <w:rPr>
          <w:lang w:val="en-AU"/>
        </w:rPr>
      </w:pPr>
    </w:p>
    <w:p w14:paraId="16979528" w14:textId="1B8AF301" w:rsidR="004D624F" w:rsidRPr="0072758C" w:rsidRDefault="004D624F" w:rsidP="009B7870">
      <w:pPr>
        <w:pStyle w:val="EndnoteText"/>
        <w:ind w:firstLine="720"/>
        <w:rPr>
          <w:lang w:val="en-AU"/>
        </w:rPr>
      </w:pPr>
      <w:r w:rsidRPr="0072758C">
        <w:rPr>
          <w:rStyle w:val="FootnoteReference"/>
          <w:lang w:val="en-AU"/>
        </w:rPr>
        <w:footnoteRef/>
      </w:r>
      <w:r w:rsidRPr="0072758C">
        <w:rPr>
          <w:lang w:val="en-AU"/>
        </w:rPr>
        <w:t xml:space="preserve"> Jassen, “The Dead Sea Scrolls and Violence,” 13; The Essenes sought replacement of the Hasmonean priestly line with a Zadokite. The view was that the temple was corrupted by the Sadducees and that a new High Priest would restore the line. </w:t>
      </w:r>
    </w:p>
  </w:footnote>
  <w:footnote w:id="219">
    <w:p w14:paraId="5041D7CD" w14:textId="7FE2A67C" w:rsidR="004D624F" w:rsidRPr="0072758C" w:rsidRDefault="009B7870" w:rsidP="009B7870">
      <w:pPr>
        <w:pStyle w:val="EndnoteText"/>
        <w:rPr>
          <w:lang w:val="en-AU"/>
        </w:rPr>
      </w:pPr>
      <w:r w:rsidRPr="0072758C">
        <w:rPr>
          <w:lang w:val="en-AU"/>
        </w:rPr>
        <w:tab/>
      </w:r>
    </w:p>
    <w:p w14:paraId="0900BD20" w14:textId="5D731CE6" w:rsidR="004D624F" w:rsidRPr="0072758C" w:rsidRDefault="004D624F" w:rsidP="009B7870">
      <w:pPr>
        <w:pStyle w:val="EndnoteText"/>
        <w:ind w:firstLine="720"/>
        <w:rPr>
          <w:lang w:val="en-AU"/>
        </w:rPr>
      </w:pPr>
      <w:r w:rsidRPr="0072758C">
        <w:rPr>
          <w:rStyle w:val="FootnoteReference"/>
          <w:lang w:val="en-AU"/>
        </w:rPr>
        <w:footnoteRef/>
      </w:r>
      <w:r w:rsidRPr="0072758C">
        <w:rPr>
          <w:lang w:val="en-AU"/>
        </w:rPr>
        <w:t xml:space="preserve"> Steven Weitzman</w:t>
      </w:r>
      <w:r w:rsidR="00D25F23" w:rsidRPr="0072758C">
        <w:rPr>
          <w:lang w:val="en-AU"/>
        </w:rPr>
        <w:t>,</w:t>
      </w:r>
      <w:r w:rsidRPr="0072758C">
        <w:rPr>
          <w:lang w:val="en-AU"/>
        </w:rPr>
        <w:t xml:space="preserve"> “Warring against Terror: The War Scroll and the Mobilization of Emotion,” </w:t>
      </w:r>
      <w:r w:rsidRPr="0072758C">
        <w:rPr>
          <w:i/>
          <w:iCs/>
          <w:lang w:val="en-AU"/>
        </w:rPr>
        <w:t>Journal for the Study of Judaism</w:t>
      </w:r>
      <w:r w:rsidRPr="0072758C">
        <w:rPr>
          <w:lang w:val="en-AU"/>
        </w:rPr>
        <w:t xml:space="preserve"> </w:t>
      </w:r>
      <w:r w:rsidRPr="0072758C">
        <w:rPr>
          <w:shd w:val="clear" w:color="auto" w:fill="FFFFFF"/>
          <w:lang w:val="en-AU"/>
        </w:rPr>
        <w:t xml:space="preserve">40 </w:t>
      </w:r>
      <w:r w:rsidRPr="0072758C">
        <w:rPr>
          <w:lang w:val="en-AU"/>
        </w:rPr>
        <w:t>(2009), 215.</w:t>
      </w:r>
    </w:p>
    <w:p w14:paraId="7C642C71" w14:textId="77777777" w:rsidR="004D624F" w:rsidRPr="0072758C" w:rsidRDefault="004D624F" w:rsidP="009B7870">
      <w:pPr>
        <w:pStyle w:val="EndnoteText"/>
        <w:rPr>
          <w:rFonts w:ascii="Times" w:hAnsi="Times"/>
          <w:lang w:val="en-AU"/>
        </w:rPr>
      </w:pPr>
    </w:p>
  </w:footnote>
  <w:footnote w:id="220">
    <w:p w14:paraId="2A09F79E" w14:textId="77777777" w:rsidR="004D624F" w:rsidRPr="0072758C" w:rsidRDefault="004D624F" w:rsidP="009B7870">
      <w:pPr>
        <w:pStyle w:val="EndnoteText"/>
        <w:ind w:firstLine="720"/>
        <w:rPr>
          <w:lang w:val="en-AU"/>
        </w:rPr>
      </w:pPr>
      <w:r w:rsidRPr="0072758C">
        <w:rPr>
          <w:rStyle w:val="FootnoteReference"/>
          <w:lang w:val="en-AU"/>
        </w:rPr>
        <w:footnoteRef/>
      </w:r>
      <w:r w:rsidRPr="0072758C">
        <w:rPr>
          <w:lang w:val="en-AU"/>
        </w:rPr>
        <w:t xml:space="preserve"> </w:t>
      </w:r>
      <w:r w:rsidRPr="0072758C">
        <w:rPr>
          <w:rStyle w:val="acopre"/>
          <w:lang w:val="en-AU"/>
        </w:rPr>
        <w:t xml:space="preserve">Józef Tadeusz </w:t>
      </w:r>
      <w:r w:rsidRPr="0072758C">
        <w:rPr>
          <w:lang w:val="en-AU"/>
        </w:rPr>
        <w:t>Milik, “</w:t>
      </w:r>
      <w:r w:rsidRPr="0072758C">
        <w:rPr>
          <w:i/>
          <w:iCs/>
          <w:lang w:val="en-AU"/>
        </w:rPr>
        <w:t xml:space="preserve">Milki-sedeq et Milki-resa’ dans les anciens </w:t>
      </w:r>
      <w:r w:rsidRPr="0072758C">
        <w:rPr>
          <w:rStyle w:val="Emphasis"/>
          <w:lang w:val="en-AU"/>
        </w:rPr>
        <w:t>écrits juifs et chrétiens</w:t>
      </w:r>
      <w:r w:rsidRPr="0072758C">
        <w:rPr>
          <w:lang w:val="en-AU"/>
        </w:rPr>
        <w:t xml:space="preserve">,” </w:t>
      </w:r>
      <w:r w:rsidRPr="0072758C">
        <w:rPr>
          <w:i/>
          <w:iCs/>
          <w:lang w:val="en-AU"/>
        </w:rPr>
        <w:t xml:space="preserve">Journal for Jewish Studies </w:t>
      </w:r>
      <w:r w:rsidRPr="0072758C">
        <w:rPr>
          <w:lang w:val="en-AU"/>
        </w:rPr>
        <w:t>23 (1972): 143.</w:t>
      </w:r>
    </w:p>
  </w:footnote>
  <w:footnote w:id="221">
    <w:p w14:paraId="5B6D38F2" w14:textId="77777777" w:rsidR="004D624F" w:rsidRPr="0072758C" w:rsidRDefault="004D624F" w:rsidP="009B7870">
      <w:pPr>
        <w:pStyle w:val="EndnoteText"/>
        <w:rPr>
          <w:lang w:val="en-AU"/>
        </w:rPr>
      </w:pPr>
    </w:p>
    <w:p w14:paraId="082E7FDF" w14:textId="77777777" w:rsidR="004D624F" w:rsidRPr="0072758C" w:rsidRDefault="004D624F" w:rsidP="009B7870">
      <w:pPr>
        <w:pStyle w:val="EndnoteText"/>
        <w:ind w:firstLine="720"/>
        <w:rPr>
          <w:lang w:val="en-AU"/>
        </w:rPr>
      </w:pPr>
      <w:r w:rsidRPr="0072758C">
        <w:rPr>
          <w:rStyle w:val="FootnoteReference"/>
          <w:lang w:val="en-AU"/>
        </w:rPr>
        <w:footnoteRef/>
      </w:r>
      <w:r w:rsidRPr="0072758C">
        <w:rPr>
          <w:lang w:val="en-AU"/>
        </w:rPr>
        <w:t xml:space="preserve"> Steven Weitzman, “Warring against Terror: The War Scroll and the Mobilization of Emotion,” 216.</w:t>
      </w:r>
    </w:p>
    <w:p w14:paraId="7AEC4D53" w14:textId="77777777" w:rsidR="004D624F" w:rsidRPr="0072758C" w:rsidRDefault="004D624F" w:rsidP="009B7870">
      <w:pPr>
        <w:pStyle w:val="EndnoteText"/>
        <w:rPr>
          <w:lang w:val="en-AU"/>
        </w:rPr>
      </w:pPr>
    </w:p>
  </w:footnote>
  <w:footnote w:id="222">
    <w:p w14:paraId="6E130858" w14:textId="34CE2EA0" w:rsidR="00E067BA" w:rsidRPr="0072758C" w:rsidRDefault="004D624F" w:rsidP="009B7870">
      <w:pPr>
        <w:pStyle w:val="EndnoteText"/>
        <w:ind w:firstLine="720"/>
        <w:rPr>
          <w:lang w:val="en-AU"/>
        </w:rPr>
      </w:pPr>
      <w:r w:rsidRPr="0072758C">
        <w:rPr>
          <w:rStyle w:val="FootnoteReference"/>
          <w:lang w:val="en-AU"/>
        </w:rPr>
        <w:footnoteRef/>
      </w:r>
      <w:r w:rsidRPr="0072758C">
        <w:rPr>
          <w:lang w:val="en-AU"/>
        </w:rPr>
        <w:t xml:space="preserve"> For insight comparing the War Scroll with the military techniques of the Roman Army, </w:t>
      </w:r>
      <w:r w:rsidRPr="0072758C">
        <w:rPr>
          <w:i/>
          <w:iCs/>
          <w:lang w:val="en-AU"/>
        </w:rPr>
        <w:t xml:space="preserve">see </w:t>
      </w:r>
      <w:r w:rsidRPr="0072758C">
        <w:rPr>
          <w:lang w:val="en-AU"/>
        </w:rPr>
        <w:t>R. Gmirkin, “The War Scroll and Roman Weaponry Reconsidered</w:t>
      </w:r>
      <w:r w:rsidR="00482C61" w:rsidRPr="0072758C">
        <w:rPr>
          <w:lang w:val="en-AU"/>
        </w:rPr>
        <w:t>,</w:t>
      </w:r>
      <w:r w:rsidRPr="0072758C">
        <w:rPr>
          <w:lang w:val="en-AU"/>
        </w:rPr>
        <w:t xml:space="preserve">” </w:t>
      </w:r>
      <w:r w:rsidRPr="0072758C">
        <w:rPr>
          <w:i/>
          <w:iCs/>
          <w:lang w:val="en-AU"/>
        </w:rPr>
        <w:t>Dead Sea Discoveries</w:t>
      </w:r>
      <w:r w:rsidRPr="0072758C">
        <w:rPr>
          <w:lang w:val="en-AU"/>
        </w:rPr>
        <w:t xml:space="preserve"> 3 (1996): 89–129</w:t>
      </w:r>
      <w:r w:rsidR="00E067BA" w:rsidRPr="0072758C">
        <w:rPr>
          <w:lang w:val="en-AU"/>
        </w:rPr>
        <w:t>; see Kyung S. Baek, “The Sword-in-the-Mouth of Jesus the King: Declaration of War and Peace in the Gospel of Matthew,” 2016, 354–63.</w:t>
      </w:r>
    </w:p>
  </w:footnote>
  <w:footnote w:id="223">
    <w:p w14:paraId="2F14AB14" w14:textId="77777777" w:rsidR="004D624F" w:rsidRPr="0072758C" w:rsidRDefault="004D624F" w:rsidP="009B7870">
      <w:pPr>
        <w:pStyle w:val="EndnoteText"/>
        <w:rPr>
          <w:lang w:val="en-AU"/>
        </w:rPr>
      </w:pPr>
    </w:p>
    <w:p w14:paraId="4688ED1F" w14:textId="4380C112" w:rsidR="00166669" w:rsidRPr="0072758C" w:rsidRDefault="004D624F" w:rsidP="009B7870">
      <w:pPr>
        <w:pStyle w:val="EndnoteText"/>
        <w:ind w:firstLine="720"/>
        <w:rPr>
          <w:lang w:val="en-AU"/>
        </w:rPr>
      </w:pPr>
      <w:r w:rsidRPr="0072758C">
        <w:rPr>
          <w:rStyle w:val="FootnoteReference"/>
          <w:lang w:val="en-AU"/>
        </w:rPr>
        <w:footnoteRef/>
      </w:r>
      <w:r w:rsidRPr="0072758C">
        <w:rPr>
          <w:lang w:val="en-AU"/>
        </w:rPr>
        <w:t xml:space="preserve"> Russell Gmirkin, “The War Scroll and Roman Weaponry Reconsidered,” </w:t>
      </w:r>
      <w:r w:rsidRPr="0072758C">
        <w:rPr>
          <w:i/>
          <w:iCs/>
          <w:lang w:val="en-AU"/>
        </w:rPr>
        <w:t>Dead Sea Discoveries</w:t>
      </w:r>
      <w:r w:rsidRPr="0072758C">
        <w:rPr>
          <w:lang w:val="en-AU"/>
        </w:rPr>
        <w:t xml:space="preserve"> 3 (1996): 89–129</w:t>
      </w:r>
      <w:r w:rsidR="00892F8C" w:rsidRPr="0072758C">
        <w:rPr>
          <w:lang w:val="en-AU"/>
        </w:rPr>
        <w:t>.</w:t>
      </w:r>
    </w:p>
    <w:p w14:paraId="193FACF3" w14:textId="77777777" w:rsidR="004D624F" w:rsidRPr="0072758C" w:rsidRDefault="004D624F" w:rsidP="009B7870">
      <w:pPr>
        <w:pStyle w:val="EndnoteText"/>
        <w:rPr>
          <w:lang w:val="en-AU"/>
        </w:rPr>
      </w:pPr>
    </w:p>
  </w:footnote>
  <w:footnote w:id="224">
    <w:p w14:paraId="3ADA95DC" w14:textId="77777777" w:rsidR="004D624F" w:rsidRPr="0072758C" w:rsidRDefault="004D624F" w:rsidP="009B7870">
      <w:pPr>
        <w:pStyle w:val="EndnoteText"/>
        <w:ind w:firstLine="720"/>
        <w:rPr>
          <w:lang w:val="en-AU"/>
        </w:rPr>
      </w:pPr>
      <w:r w:rsidRPr="0072758C">
        <w:rPr>
          <w:rStyle w:val="FootnoteReference"/>
          <w:lang w:val="en-AU"/>
        </w:rPr>
        <w:footnoteRef/>
      </w:r>
      <w:r w:rsidRPr="0072758C">
        <w:rPr>
          <w:lang w:val="en-AU"/>
        </w:rPr>
        <w:t xml:space="preserve"> Jean Duhaime, “The War Scroll from Qumran and the Greco-Roman Tactical Treatises,” </w:t>
      </w:r>
      <w:r w:rsidRPr="0072758C">
        <w:rPr>
          <w:i/>
          <w:iCs/>
          <w:lang w:val="en-AU"/>
        </w:rPr>
        <w:t xml:space="preserve">Review de Qumran </w:t>
      </w:r>
      <w:r w:rsidRPr="0072758C">
        <w:rPr>
          <w:lang w:val="en-AU"/>
        </w:rPr>
        <w:t xml:space="preserve">13 (1988): 133–51; this dissertation adopts a Roman dating of this scroll. </w:t>
      </w:r>
    </w:p>
    <w:p w14:paraId="6EB3D982" w14:textId="77777777" w:rsidR="004D624F" w:rsidRPr="0072758C" w:rsidRDefault="004D624F" w:rsidP="009B7870">
      <w:pPr>
        <w:pStyle w:val="EndnoteText"/>
        <w:rPr>
          <w:lang w:val="en-AU"/>
        </w:rPr>
      </w:pPr>
    </w:p>
  </w:footnote>
  <w:footnote w:id="225">
    <w:p w14:paraId="3B3D04E9" w14:textId="1167252B" w:rsidR="00644CB2" w:rsidRPr="0072758C" w:rsidRDefault="004D624F" w:rsidP="00644CB2">
      <w:pPr>
        <w:pStyle w:val="EndnoteText"/>
        <w:ind w:firstLine="720"/>
        <w:rPr>
          <w:lang w:val="en-AU"/>
        </w:rPr>
      </w:pPr>
      <w:r w:rsidRPr="0072758C">
        <w:rPr>
          <w:rStyle w:val="FootnoteReference"/>
          <w:lang w:val="en-AU"/>
        </w:rPr>
        <w:footnoteRef/>
      </w:r>
      <w:r w:rsidRPr="0072758C">
        <w:rPr>
          <w:lang w:val="en-AU"/>
        </w:rPr>
        <w:t xml:space="preserve"> John J. Collins, “The Mythology of Holy War in Daniel and the Qumran War Scroll: A Point of Transition in Jewish Apocalyptic,” </w:t>
      </w:r>
      <w:r w:rsidRPr="0072758C">
        <w:rPr>
          <w:i/>
          <w:iCs/>
          <w:lang w:val="en-AU"/>
        </w:rPr>
        <w:t xml:space="preserve">Vetus Testamentum </w:t>
      </w:r>
      <w:r w:rsidRPr="0072758C">
        <w:rPr>
          <w:lang w:val="en-AU"/>
        </w:rPr>
        <w:t>25</w:t>
      </w:r>
      <w:r w:rsidR="00607F29" w:rsidRPr="0072758C">
        <w:rPr>
          <w:lang w:val="en-AU"/>
        </w:rPr>
        <w:t xml:space="preserve"> </w:t>
      </w:r>
      <w:r w:rsidRPr="0072758C">
        <w:rPr>
          <w:lang w:val="en-AU"/>
        </w:rPr>
        <w:t>(1975): 596–612</w:t>
      </w:r>
      <w:r w:rsidR="00432113" w:rsidRPr="0072758C">
        <w:rPr>
          <w:lang w:val="en-AU"/>
        </w:rPr>
        <w:t>; Federico M Petrucci,</w:t>
      </w:r>
      <w:r w:rsidR="00482C61" w:rsidRPr="0072758C">
        <w:rPr>
          <w:lang w:val="en-AU"/>
        </w:rPr>
        <w:t xml:space="preserve"> </w:t>
      </w:r>
      <w:r w:rsidR="00432113" w:rsidRPr="0072758C">
        <w:rPr>
          <w:lang w:val="en-AU"/>
        </w:rPr>
        <w:t>“Argumentative Strategies in the ‘Platonic Section’ of Plutarch’s De Iside et Osiride (Chapters 45-64)</w:t>
      </w:r>
      <w:r w:rsidR="00CE1022" w:rsidRPr="0072758C">
        <w:rPr>
          <w:lang w:val="en-AU"/>
        </w:rPr>
        <w:t>,</w:t>
      </w:r>
      <w:r w:rsidR="00432113" w:rsidRPr="0072758C">
        <w:rPr>
          <w:lang w:val="en-AU"/>
        </w:rPr>
        <w:t>” </w:t>
      </w:r>
      <w:r w:rsidR="00432113" w:rsidRPr="0072758C">
        <w:rPr>
          <w:i/>
          <w:iCs/>
          <w:lang w:val="en-AU"/>
        </w:rPr>
        <w:t>Mnemosyne</w:t>
      </w:r>
      <w:r w:rsidR="00432113" w:rsidRPr="0072758C">
        <w:rPr>
          <w:lang w:val="en-AU"/>
        </w:rPr>
        <w:t> 69</w:t>
      </w:r>
      <w:r w:rsidR="00607F29" w:rsidRPr="0072758C">
        <w:rPr>
          <w:lang w:val="en-AU"/>
        </w:rPr>
        <w:t xml:space="preserve"> </w:t>
      </w:r>
      <w:r w:rsidR="00432113" w:rsidRPr="0072758C">
        <w:rPr>
          <w:lang w:val="en-AU"/>
        </w:rPr>
        <w:t xml:space="preserve">(2016): 226–48. </w:t>
      </w:r>
    </w:p>
  </w:footnote>
  <w:footnote w:id="226">
    <w:p w14:paraId="5F23B9E6" w14:textId="77777777" w:rsidR="004D624F" w:rsidRPr="0072758C" w:rsidRDefault="004D624F" w:rsidP="009B7870">
      <w:pPr>
        <w:pStyle w:val="EndnoteText"/>
        <w:rPr>
          <w:lang w:val="en-AU"/>
        </w:rPr>
      </w:pPr>
    </w:p>
    <w:p w14:paraId="789F9CF2" w14:textId="362BB399" w:rsidR="004D624F" w:rsidRPr="0072758C" w:rsidRDefault="004D624F" w:rsidP="009B7870">
      <w:pPr>
        <w:pStyle w:val="EndnoteText"/>
        <w:ind w:firstLine="720"/>
        <w:rPr>
          <w:lang w:val="en-AU"/>
        </w:rPr>
      </w:pPr>
      <w:r w:rsidRPr="0072758C">
        <w:rPr>
          <w:rStyle w:val="FootnoteReference"/>
          <w:lang w:val="en-AU"/>
        </w:rPr>
        <w:footnoteRef/>
      </w:r>
      <w:r w:rsidRPr="0072758C">
        <w:rPr>
          <w:lang w:val="en-AU"/>
        </w:rPr>
        <w:t xml:space="preserve"> Steven Weitzman</w:t>
      </w:r>
      <w:r w:rsidR="00CE1022" w:rsidRPr="0072758C">
        <w:rPr>
          <w:lang w:val="en-AU"/>
        </w:rPr>
        <w:t>,</w:t>
      </w:r>
      <w:r w:rsidRPr="0072758C">
        <w:rPr>
          <w:lang w:val="en-AU"/>
        </w:rPr>
        <w:t xml:space="preserve"> “Warring against Terror: The War Scroll and the Mobilization of Emotion,” 218.</w:t>
      </w:r>
    </w:p>
    <w:p w14:paraId="1E54DB70" w14:textId="77777777" w:rsidR="004D624F" w:rsidRPr="0072758C" w:rsidRDefault="004D624F" w:rsidP="009B7870">
      <w:pPr>
        <w:pStyle w:val="EndnoteText"/>
        <w:rPr>
          <w:lang w:val="en-AU"/>
        </w:rPr>
      </w:pPr>
    </w:p>
  </w:footnote>
  <w:footnote w:id="227">
    <w:p w14:paraId="38732457" w14:textId="77777777" w:rsidR="004D624F" w:rsidRPr="0072758C" w:rsidRDefault="004D624F" w:rsidP="00153BD4">
      <w:pPr>
        <w:pStyle w:val="EndnoteText"/>
        <w:ind w:firstLine="720"/>
        <w:rPr>
          <w:lang w:val="en-AU"/>
        </w:rPr>
      </w:pPr>
      <w:r w:rsidRPr="0072758C">
        <w:rPr>
          <w:rStyle w:val="FootnoteReference"/>
          <w:lang w:val="en-AU"/>
        </w:rPr>
        <w:footnoteRef/>
      </w:r>
      <w:r w:rsidRPr="0072758C">
        <w:rPr>
          <w:lang w:val="en-AU"/>
        </w:rPr>
        <w:t xml:space="preserve"> E. P. Sanders, </w:t>
      </w:r>
      <w:r w:rsidRPr="0072758C">
        <w:rPr>
          <w:i/>
          <w:iCs/>
          <w:lang w:val="en-AU"/>
        </w:rPr>
        <w:t>Judaism: Practice &amp; Belief 63 BCE – 66 CE</w:t>
      </w:r>
      <w:r w:rsidRPr="0072758C">
        <w:rPr>
          <w:lang w:val="en-AU"/>
        </w:rPr>
        <w:t xml:space="preserve"> (London: SCM, 1992), 296.</w:t>
      </w:r>
    </w:p>
    <w:p w14:paraId="3445F07A" w14:textId="77777777" w:rsidR="004D624F" w:rsidRPr="0072758C" w:rsidRDefault="004D624F" w:rsidP="009B7870">
      <w:pPr>
        <w:pStyle w:val="EndnoteText"/>
        <w:rPr>
          <w:lang w:val="en-AU"/>
        </w:rPr>
      </w:pPr>
    </w:p>
  </w:footnote>
  <w:footnote w:id="228">
    <w:p w14:paraId="7A274E1C" w14:textId="77777777" w:rsidR="004D624F" w:rsidRPr="0072758C" w:rsidRDefault="004D624F" w:rsidP="00153BD4">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&lt;EndNote&gt;&lt;Cite&gt;&lt;Author&gt;Hanan&lt;/Author&gt;&lt;Year&gt;2008&lt;/Year&gt;&lt;RecNum&gt;8&lt;/RecNum&gt;&lt;Pages&gt;181&lt;/Pages&gt;&lt;DisplayText&gt;Hanan, &lt;style face="italic"&gt;The Dead Sea Scrolls and the Hasmonean State&lt;/style&gt;: 181.&lt;/DisplayText&gt;&lt;record&gt;&lt;rec-number&gt;8&lt;/rec-number&gt;&lt;foreign-keys&gt;&lt;key app="EN" db-id="sd929rvz0dxdw6e92dp59txp9z2xdtp2dd0p"&gt;8&lt;/key&gt;&lt;/foreign-keys&gt;&lt;ref-type name="Book"&gt;6&lt;/ref-type&gt;&lt;contributors&gt;&lt;authors&gt;&lt;author&gt;Hanan, Eshel&lt;/author&gt;&lt;/authors&gt;&lt;/contributors&gt;&lt;titles&gt;&lt;title&gt;The Dead Sea Scrolls and the Hasmonean State&lt;/title&gt;&lt;/titles&gt;&lt;dates&gt;&lt;year&gt;2008&lt;/year&gt;&lt;/dates&gt;&lt;pub-location&gt;Grand Rapids&lt;/pub-location&gt;&lt;publisher&gt;Eerdmans&lt;/publisher&gt;&lt;urls&gt;&lt;/urls&gt;&lt;/record&gt;&lt;/Cite&gt;&lt;/EndNote&gt;</w:instrText>
      </w:r>
      <w:r w:rsidRPr="0072758C">
        <w:rPr>
          <w:lang w:val="en-AU"/>
        </w:rPr>
        <w:fldChar w:fldCharType="separate"/>
      </w:r>
      <w:r w:rsidRPr="0072758C">
        <w:rPr>
          <w:lang w:val="en-AU"/>
        </w:rPr>
        <w:t xml:space="preserve">Hanan, </w:t>
      </w:r>
      <w:r w:rsidRPr="0072758C">
        <w:rPr>
          <w:i/>
          <w:lang w:val="en-AU"/>
        </w:rPr>
        <w:t>The Dead Sea Scrolls and the Hasmonean State</w:t>
      </w:r>
      <w:r w:rsidRPr="0072758C">
        <w:rPr>
          <w:lang w:val="en-AU"/>
        </w:rPr>
        <w:t>, 181.</w:t>
      </w:r>
      <w:r w:rsidRPr="0072758C">
        <w:rPr>
          <w:lang w:val="en-AU"/>
        </w:rPr>
        <w:fldChar w:fldCharType="end"/>
      </w:r>
    </w:p>
  </w:footnote>
  <w:footnote w:id="229">
    <w:p w14:paraId="50EC878D" w14:textId="77777777" w:rsidR="004D624F" w:rsidRPr="0072758C" w:rsidRDefault="004D624F" w:rsidP="009B7870">
      <w:pPr>
        <w:pStyle w:val="EndnoteText"/>
        <w:rPr>
          <w:lang w:val="en-AU"/>
        </w:rPr>
      </w:pPr>
    </w:p>
    <w:p w14:paraId="1D18FDF9" w14:textId="77777777" w:rsidR="004D624F" w:rsidRPr="0072758C" w:rsidRDefault="004D624F" w:rsidP="00153BD4">
      <w:pPr>
        <w:pStyle w:val="EndnoteText"/>
        <w:ind w:firstLine="720"/>
        <w:rPr>
          <w:lang w:val="en-AU"/>
        </w:rPr>
      </w:pPr>
      <w:r w:rsidRPr="0072758C">
        <w:rPr>
          <w:rStyle w:val="FootnoteReference"/>
          <w:lang w:val="en-AU"/>
        </w:rPr>
        <w:footnoteRef/>
      </w:r>
      <w:r w:rsidRPr="0072758C">
        <w:rPr>
          <w:lang w:val="en-AU"/>
        </w:rPr>
        <w:t xml:space="preserve"> Saldarini, </w:t>
      </w:r>
      <w:r w:rsidRPr="0072758C">
        <w:rPr>
          <w:i/>
          <w:iCs/>
          <w:lang w:val="en-AU"/>
        </w:rPr>
        <w:t>Matthew’s Christian-Jewish Community</w:t>
      </w:r>
      <w:r w:rsidRPr="0072758C">
        <w:rPr>
          <w:lang w:val="en-AU"/>
        </w:rPr>
        <w:t xml:space="preserve">, </w:t>
      </w:r>
      <w:bookmarkStart w:id="79" w:name="_Hlk81483098"/>
      <w:r w:rsidRPr="0072758C">
        <w:rPr>
          <w:lang w:val="en-AU"/>
        </w:rPr>
        <w:t>126–7.</w:t>
      </w:r>
      <w:bookmarkEnd w:id="79"/>
    </w:p>
  </w:footnote>
  <w:footnote w:id="230">
    <w:p w14:paraId="62D3F373" w14:textId="77777777" w:rsidR="004D624F" w:rsidRPr="0072758C" w:rsidRDefault="004D624F" w:rsidP="009B7870">
      <w:pPr>
        <w:pStyle w:val="EndnoteText"/>
        <w:rPr>
          <w:lang w:val="en-AU"/>
        </w:rPr>
      </w:pPr>
    </w:p>
    <w:p w14:paraId="782F733E" w14:textId="77777777" w:rsidR="004D624F" w:rsidRPr="0072758C" w:rsidRDefault="004D624F" w:rsidP="00153BD4">
      <w:pPr>
        <w:pStyle w:val="EndnoteText"/>
        <w:ind w:firstLine="720"/>
        <w:rPr>
          <w:lang w:val="en-AU"/>
        </w:rPr>
      </w:pPr>
      <w:r w:rsidRPr="0072758C">
        <w:rPr>
          <w:rStyle w:val="FootnoteReference"/>
          <w:lang w:val="en-AU"/>
        </w:rPr>
        <w:footnoteRef/>
      </w:r>
      <w:r w:rsidRPr="0072758C">
        <w:rPr>
          <w:lang w:val="en-AU"/>
        </w:rPr>
        <w:t xml:space="preserve"> Ibid.</w:t>
      </w:r>
    </w:p>
    <w:p w14:paraId="4F650403" w14:textId="77777777" w:rsidR="004D624F" w:rsidRPr="0072758C" w:rsidRDefault="004D624F" w:rsidP="009B7870">
      <w:pPr>
        <w:pStyle w:val="EndnoteText"/>
        <w:rPr>
          <w:lang w:val="en-AU"/>
        </w:rPr>
      </w:pPr>
    </w:p>
  </w:footnote>
  <w:footnote w:id="231">
    <w:p w14:paraId="7157D5E8" w14:textId="77777777" w:rsidR="004D624F" w:rsidRPr="0072758C" w:rsidRDefault="004D624F" w:rsidP="00153BD4">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 xml:space="preserve">See </w:t>
      </w:r>
      <w:r w:rsidRPr="0072758C">
        <w:rPr>
          <w:lang w:val="en-AU"/>
        </w:rPr>
        <w:t xml:space="preserve">Martin Goodman, </w:t>
      </w:r>
      <w:r w:rsidRPr="0072758C">
        <w:rPr>
          <w:i/>
          <w:iCs/>
          <w:lang w:val="en-AU"/>
        </w:rPr>
        <w:t>The Ruling Class of Judea: The Origins of the Jewish Revolt against Rome AD 66–70</w:t>
      </w:r>
      <w:r w:rsidRPr="0072758C">
        <w:rPr>
          <w:lang w:val="en-AU"/>
        </w:rPr>
        <w:t xml:space="preserve"> (Cambridge: Cambridge University Press, 1987), 20–21; and Jonathan J. Price, </w:t>
      </w:r>
      <w:r w:rsidRPr="0072758C">
        <w:rPr>
          <w:i/>
          <w:iCs/>
          <w:lang w:val="en-AU"/>
        </w:rPr>
        <w:t>Jerusalem Under Siege: The Collapse of the Jewish State</w:t>
      </w:r>
      <w:r w:rsidRPr="0072758C">
        <w:rPr>
          <w:lang w:val="en-AU"/>
        </w:rPr>
        <w:t xml:space="preserve">, </w:t>
      </w:r>
      <w:r w:rsidRPr="0072758C">
        <w:rPr>
          <w:i/>
          <w:iCs/>
          <w:lang w:val="en-AU"/>
        </w:rPr>
        <w:t>66–70 C.E.</w:t>
      </w:r>
      <w:r w:rsidRPr="0072758C">
        <w:rPr>
          <w:lang w:val="en-AU"/>
        </w:rPr>
        <w:t xml:space="preserve"> (Leiden: Brill, 1992), 33, 186.</w:t>
      </w:r>
    </w:p>
  </w:footnote>
  <w:footnote w:id="232">
    <w:p w14:paraId="19DCC9E2" w14:textId="1560A90D" w:rsidR="00194C28" w:rsidRPr="0072758C" w:rsidRDefault="00194C28" w:rsidP="00990707">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 xml:space="preserve">See </w:t>
      </w:r>
      <w:r w:rsidRPr="0072758C">
        <w:rPr>
          <w:lang w:val="en-AU"/>
        </w:rPr>
        <w:t xml:space="preserve">full text for the verse: Deut. 15:1ff </w:t>
      </w:r>
      <w:r w:rsidR="00863B47" w:rsidRPr="0072758C">
        <w:rPr>
          <w:lang w:val="en-AU"/>
        </w:rPr>
        <w:t>“</w:t>
      </w:r>
      <w:r w:rsidRPr="0072758C">
        <w:rPr>
          <w:lang w:val="en-AU"/>
        </w:rPr>
        <w:t xml:space="preserve">At the end of every seventh year you must make a remission of debts. This is how it is to be made: everyone who holds a pledge shall return the pledge of the person indebted to him. He must not press a </w:t>
      </w:r>
      <w:proofErr w:type="gramStart"/>
      <w:r w:rsidRPr="0072758C">
        <w:rPr>
          <w:lang w:val="en-AU"/>
        </w:rPr>
        <w:t>fellow-countryman</w:t>
      </w:r>
      <w:proofErr w:type="gramEnd"/>
      <w:r w:rsidRPr="0072758C">
        <w:rPr>
          <w:lang w:val="en-AU"/>
        </w:rPr>
        <w:t xml:space="preserve"> for repayment, for the LORD</w:t>
      </w:r>
      <w:r w:rsidR="005C71CB" w:rsidRPr="0072758C">
        <w:rPr>
          <w:lang w:val="en-AU"/>
        </w:rPr>
        <w:t>’</w:t>
      </w:r>
      <w:r w:rsidRPr="0072758C">
        <w:rPr>
          <w:lang w:val="en-AU"/>
        </w:rPr>
        <w:t xml:space="preserve">s year of remission has been declared. You may press foreigners; but if it is a </w:t>
      </w:r>
      <w:proofErr w:type="gramStart"/>
      <w:r w:rsidRPr="0072758C">
        <w:rPr>
          <w:lang w:val="en-AU"/>
        </w:rPr>
        <w:t>fellow-countryman</w:t>
      </w:r>
      <w:proofErr w:type="gramEnd"/>
      <w:r w:rsidRPr="0072758C">
        <w:rPr>
          <w:lang w:val="en-AU"/>
        </w:rPr>
        <w:t xml:space="preserve"> who holds anything of yours, you must renounce all claim on it.</w:t>
      </w:r>
      <w:r w:rsidR="00863B47" w:rsidRPr="0072758C">
        <w:rPr>
          <w:lang w:val="en-AU"/>
        </w:rPr>
        <w:t>”</w:t>
      </w:r>
    </w:p>
    <w:p w14:paraId="016806B9" w14:textId="77777777" w:rsidR="00194C28" w:rsidRPr="0072758C" w:rsidRDefault="00194C28" w:rsidP="009B7870">
      <w:pPr>
        <w:pStyle w:val="EndnoteText"/>
        <w:rPr>
          <w:lang w:val="en-AU"/>
        </w:rPr>
      </w:pPr>
    </w:p>
  </w:footnote>
  <w:footnote w:id="233">
    <w:p w14:paraId="674CBD10" w14:textId="63400A91" w:rsidR="00194C28" w:rsidRPr="0072758C" w:rsidRDefault="00194C28" w:rsidP="00990707">
      <w:pPr>
        <w:pStyle w:val="EndnoteText"/>
        <w:ind w:firstLine="720"/>
        <w:rPr>
          <w:lang w:val="en-AU"/>
        </w:rPr>
      </w:pPr>
      <w:r w:rsidRPr="0072758C">
        <w:rPr>
          <w:rStyle w:val="FootnoteReference"/>
          <w:lang w:val="en-AU"/>
        </w:rPr>
        <w:footnoteRef/>
      </w:r>
      <w:r w:rsidRPr="0072758C">
        <w:rPr>
          <w:lang w:val="en-AU"/>
        </w:rPr>
        <w:t xml:space="preserve"> This discussion does not address the importance of assisting and alien or stranger </w:t>
      </w:r>
      <w:proofErr w:type="gramStart"/>
      <w:r w:rsidRPr="0072758C">
        <w:rPr>
          <w:lang w:val="en-AU"/>
        </w:rPr>
        <w:t>in the midst of</w:t>
      </w:r>
      <w:proofErr w:type="gramEnd"/>
      <w:r w:rsidRPr="0072758C">
        <w:rPr>
          <w:lang w:val="en-AU"/>
        </w:rPr>
        <w:t xml:space="preserve"> the community as found in Lev 25:35: </w:t>
      </w:r>
      <w:r w:rsidR="00863B47" w:rsidRPr="0072758C">
        <w:rPr>
          <w:lang w:val="en-AU"/>
        </w:rPr>
        <w:t>“</w:t>
      </w:r>
      <w:r w:rsidRPr="0072758C">
        <w:rPr>
          <w:lang w:val="en-AU"/>
        </w:rPr>
        <w:t>If your brother-Israelite is reduced to poverty and cannot support himself in the community, you must assist him as you would an alien or a stranger.</w:t>
      </w:r>
      <w:r w:rsidR="00863B47" w:rsidRPr="0072758C">
        <w:rPr>
          <w:lang w:val="en-AU"/>
        </w:rPr>
        <w:t>”</w:t>
      </w:r>
      <w:r w:rsidRPr="0072758C">
        <w:rPr>
          <w:lang w:val="en-AU"/>
        </w:rPr>
        <w:t xml:space="preserve"> This discussion revolves around defining the righteous and charitable person. </w:t>
      </w:r>
    </w:p>
    <w:p w14:paraId="5A63C25E" w14:textId="77777777" w:rsidR="00194C28" w:rsidRPr="0072758C" w:rsidRDefault="00194C28" w:rsidP="009B7870">
      <w:pPr>
        <w:pStyle w:val="EndnoteText"/>
        <w:rPr>
          <w:lang w:val="en-AU"/>
        </w:rPr>
      </w:pPr>
    </w:p>
  </w:footnote>
  <w:footnote w:id="234">
    <w:p w14:paraId="4AFC1F20" w14:textId="42F03AB0" w:rsidR="00ED3BB8" w:rsidRPr="0072758C" w:rsidRDefault="00194C28" w:rsidP="00CE1022">
      <w:pPr>
        <w:pStyle w:val="EndnoteText"/>
        <w:ind w:firstLine="720"/>
        <w:rPr>
          <w:lang w:val="en-AU"/>
        </w:rPr>
      </w:pPr>
      <w:r w:rsidRPr="0072758C">
        <w:rPr>
          <w:rStyle w:val="FootnoteReference"/>
          <w:lang w:val="en-AU"/>
        </w:rPr>
        <w:footnoteRef/>
      </w:r>
      <w:r w:rsidRPr="0072758C">
        <w:rPr>
          <w:lang w:val="en-AU"/>
        </w:rPr>
        <w:t xml:space="preserve"> </w:t>
      </w:r>
      <w:r w:rsidRPr="0072758C">
        <w:rPr>
          <w:lang w:val="en-AU"/>
        </w:rPr>
        <w:fldChar w:fldCharType="begin"/>
      </w:r>
      <w:r w:rsidRPr="0072758C">
        <w:rPr>
          <w:lang w:val="en-AU"/>
        </w:rPr>
        <w:instrText xml:space="preserve"> ADDIN EN.CITE &lt;EndNote&gt;&lt;Cite&gt;&lt;Author&gt;Tamari&lt;/Author&gt;&lt;Year&gt;1996&lt;/Year&gt;&lt;RecNum&gt;13&lt;/RecNum&gt;&lt;DisplayText&gt;Meir Tamari, &lt;style face="italic"&gt;Al Chet:  Sins in the market place&lt;/style&gt;  (Brooklyn, New York: The Judaica Press, 1996).&lt;/DisplayText&gt;&lt;record&gt;&lt;rec-number&gt;13&lt;/rec-number&gt;&lt;foreign-keys&gt;&lt;key app="EN" db-id="sd929rvz0dxdw6e92dp59txp9z2xdtp2dd0p"&gt;13&lt;/key&gt;&lt;/foreign-keys&gt;&lt;ref-type name="Book"&gt;6&lt;/ref-type&gt;&lt;contributors&gt;&lt;authors&gt;&lt;author&gt;Meir Tamari&lt;/author&gt;&lt;/authors&gt;&lt;/contributors&gt;&lt;titles&gt;&lt;title&gt;Al Chet:  Sins in the market place&lt;/title&gt;&lt;/titles&gt;&lt;dates&gt;&lt;year&gt;1996&lt;/year&gt;&lt;/dates&gt;&lt;pub-location&gt;Brooklyn, New York&lt;/pub-location&gt;&lt;publisher&gt;The Judaica Press&lt;/publisher&gt;&lt;urls&gt;&lt;/urls&gt;&lt;/record&gt;&lt;/Cite&gt;&lt;/EndNote&gt;</w:instrText>
      </w:r>
      <w:r w:rsidRPr="0072758C">
        <w:rPr>
          <w:lang w:val="en-AU"/>
        </w:rPr>
        <w:fldChar w:fldCharType="separate"/>
      </w:r>
      <w:r w:rsidRPr="0072758C">
        <w:rPr>
          <w:lang w:val="en-AU"/>
        </w:rPr>
        <w:t xml:space="preserve">Meir Tamari, </w:t>
      </w:r>
      <w:r w:rsidRPr="0072758C">
        <w:rPr>
          <w:i/>
          <w:lang w:val="en-AU"/>
        </w:rPr>
        <w:t>Al Chet: Sins in the Market Place</w:t>
      </w:r>
      <w:r w:rsidRPr="0072758C">
        <w:rPr>
          <w:lang w:val="en-AU"/>
        </w:rPr>
        <w:t xml:space="preserve"> (Brooklyn: The Judaica Press, 1996).</w:t>
      </w:r>
      <w:r w:rsidRPr="0072758C">
        <w:rPr>
          <w:lang w:val="en-AU"/>
        </w:rPr>
        <w:fldChar w:fldCharType="end"/>
      </w:r>
      <w:r w:rsidR="00ED3BB8" w:rsidRPr="0072758C">
        <w:rPr>
          <w:lang w:val="en-AU"/>
        </w:rPr>
        <w:t xml:space="preserve"> See George J. Brooke, </w:t>
      </w:r>
      <w:r w:rsidR="00B403FE" w:rsidRPr="0072758C">
        <w:rPr>
          <w:i/>
          <w:iCs/>
          <w:lang w:val="en-AU"/>
        </w:rPr>
        <w:t xml:space="preserve">The Dead Sea </w:t>
      </w:r>
      <w:proofErr w:type="gramStart"/>
      <w:r w:rsidR="00B403FE" w:rsidRPr="0072758C">
        <w:rPr>
          <w:i/>
          <w:iCs/>
          <w:lang w:val="en-AU"/>
        </w:rPr>
        <w:t>Scrolls</w:t>
      </w:r>
      <w:proofErr w:type="gramEnd"/>
      <w:r w:rsidR="00B403FE" w:rsidRPr="0072758C">
        <w:rPr>
          <w:i/>
          <w:iCs/>
          <w:lang w:val="en-AU"/>
        </w:rPr>
        <w:t xml:space="preserve"> and the New Testament</w:t>
      </w:r>
      <w:r w:rsidR="00B403FE" w:rsidRPr="0072758C">
        <w:rPr>
          <w:lang w:val="en-AU"/>
        </w:rPr>
        <w:t xml:space="preserve"> (London: </w:t>
      </w:r>
      <w:r w:rsidR="00CE1022" w:rsidRPr="0072758C">
        <w:rPr>
          <w:lang w:val="en-AU"/>
        </w:rPr>
        <w:t>Society for Promoting Christian Knowledge</w:t>
      </w:r>
      <w:r w:rsidR="00B403FE" w:rsidRPr="0072758C">
        <w:rPr>
          <w:lang w:val="en-AU"/>
        </w:rPr>
        <w:t>, 2005).</w:t>
      </w:r>
    </w:p>
    <w:p w14:paraId="453B94AF" w14:textId="4542DF66" w:rsidR="00194C28" w:rsidRPr="0072758C" w:rsidRDefault="00194C28" w:rsidP="009B7870">
      <w:pPr>
        <w:pStyle w:val="EndnoteText"/>
        <w:rPr>
          <w:lang w:val="en-AU"/>
        </w:rPr>
      </w:pPr>
    </w:p>
  </w:footnote>
  <w:footnote w:id="235">
    <w:p w14:paraId="79688D60" w14:textId="471E48CA" w:rsidR="00133172" w:rsidRPr="00133172" w:rsidRDefault="00133172" w:rsidP="00133172">
      <w:pPr>
        <w:pStyle w:val="FootnoteText"/>
        <w:ind w:firstLine="720"/>
        <w:rPr>
          <w:lang w:val="en-US"/>
        </w:rPr>
      </w:pPr>
      <w:r>
        <w:rPr>
          <w:rStyle w:val="FootnoteReference"/>
        </w:rPr>
        <w:footnoteRef/>
      </w:r>
      <w:r>
        <w:t xml:space="preserve"> The play on words to feel the bite of interest is noted in the translation.  </w:t>
      </w:r>
    </w:p>
  </w:footnote>
  <w:footnote w:id="236">
    <w:p w14:paraId="4DD07BCA" w14:textId="2112D184" w:rsidR="00D76D3F" w:rsidRPr="0072758C" w:rsidRDefault="00D76D3F" w:rsidP="00D76D3F">
      <w:pPr>
        <w:pStyle w:val="FootnoteText"/>
        <w:ind w:firstLine="720"/>
        <w:rPr>
          <w:lang w:val="en-AU"/>
        </w:rPr>
      </w:pPr>
      <w:r w:rsidRPr="0072758C">
        <w:rPr>
          <w:rStyle w:val="FootnoteReference"/>
          <w:lang w:val="en-AU"/>
        </w:rPr>
        <w:footnoteRef/>
      </w:r>
      <w:r w:rsidRPr="0072758C">
        <w:rPr>
          <w:lang w:val="en-AU"/>
        </w:rPr>
        <w:t xml:space="preserve"> Scholarship indicates that Deuteronomy 23:21 should not indicate that interest can charge interest but should charge interest to a foreigner, see Hans-Georg von </w:t>
      </w:r>
      <w:proofErr w:type="gramStart"/>
      <w:r w:rsidRPr="0072758C">
        <w:rPr>
          <w:lang w:val="en-AU"/>
        </w:rPr>
        <w:t>Mutius,  “</w:t>
      </w:r>
      <w:proofErr w:type="gramEnd"/>
      <w:r w:rsidRPr="0072758C">
        <w:rPr>
          <w:lang w:val="en-AU"/>
        </w:rPr>
        <w:t xml:space="preserve">Die Zinsgestezgebung in der Septuaginta zu Deuteronomium 23,21—Ubersetzungs- und Sachprobleme aus nicht drittmittelgestutzer Forschungsperspektive,” </w:t>
      </w:r>
      <w:r w:rsidRPr="0072758C">
        <w:rPr>
          <w:i/>
          <w:iCs/>
          <w:lang w:val="en-AU"/>
        </w:rPr>
        <w:t>BN NF</w:t>
      </w:r>
      <w:r w:rsidRPr="0072758C">
        <w:rPr>
          <w:lang w:val="en-AU"/>
        </w:rPr>
        <w:t xml:space="preserve"> (2014): 19-24.</w:t>
      </w:r>
    </w:p>
    <w:p w14:paraId="50131472" w14:textId="77777777" w:rsidR="00D76D3F" w:rsidRPr="0072758C" w:rsidRDefault="00D76D3F" w:rsidP="007B6532">
      <w:pPr>
        <w:pStyle w:val="FootnoteText"/>
        <w:rPr>
          <w:lang w:val="en-AU"/>
        </w:rPr>
      </w:pPr>
    </w:p>
  </w:footnote>
  <w:footnote w:id="237">
    <w:p w14:paraId="6C03FC56" w14:textId="14E4C448" w:rsidR="004D4B5C" w:rsidRPr="0072758C" w:rsidRDefault="004D4B5C" w:rsidP="00B9379B">
      <w:pPr>
        <w:pStyle w:val="FootnoteText"/>
        <w:ind w:firstLine="720"/>
        <w:rPr>
          <w:lang w:val="en-AU"/>
        </w:rPr>
      </w:pPr>
      <w:r w:rsidRPr="0072758C">
        <w:rPr>
          <w:rStyle w:val="FootnoteReference"/>
          <w:lang w:val="en-AU"/>
        </w:rPr>
        <w:footnoteRef/>
      </w:r>
      <w:r w:rsidRPr="0072758C">
        <w:rPr>
          <w:lang w:val="en-AU"/>
        </w:rPr>
        <w:t xml:space="preserve"> For more information on how the New Testament does not make a claim to the morality of usuary and how usuary, see Robert P. Maloney, “The Teaching of the Fathers </w:t>
      </w:r>
      <w:proofErr w:type="gramStart"/>
      <w:r w:rsidRPr="0072758C">
        <w:rPr>
          <w:lang w:val="en-AU"/>
        </w:rPr>
        <w:t>On</w:t>
      </w:r>
      <w:proofErr w:type="gramEnd"/>
      <w:r w:rsidRPr="0072758C">
        <w:rPr>
          <w:lang w:val="en-AU"/>
        </w:rPr>
        <w:t xml:space="preserve"> Usuary: An Historical Study on the Development of Christian Thinking,” </w:t>
      </w:r>
      <w:r w:rsidR="00B9379B" w:rsidRPr="0072758C">
        <w:rPr>
          <w:i/>
          <w:iCs/>
          <w:lang w:val="en-AU"/>
        </w:rPr>
        <w:t>Vigiliac Christianae</w:t>
      </w:r>
      <w:r w:rsidR="00B9379B" w:rsidRPr="0072758C">
        <w:rPr>
          <w:lang w:val="en-AU"/>
        </w:rPr>
        <w:t xml:space="preserve"> 27 (1973): 241-65.</w:t>
      </w:r>
    </w:p>
    <w:p w14:paraId="6FF47343" w14:textId="77777777" w:rsidR="004D4B5C" w:rsidRPr="0072758C" w:rsidRDefault="004D4B5C" w:rsidP="004D4B5C">
      <w:pPr>
        <w:pStyle w:val="FootnoteText"/>
        <w:ind w:firstLine="720"/>
        <w:rPr>
          <w:lang w:val="en-AU"/>
        </w:rPr>
      </w:pPr>
    </w:p>
    <w:p w14:paraId="0FF6D3A5" w14:textId="77777777" w:rsidR="004D4B5C" w:rsidRPr="0072758C" w:rsidRDefault="004D4B5C" w:rsidP="004D4B5C">
      <w:pPr>
        <w:pStyle w:val="FootnoteText"/>
        <w:ind w:firstLine="720"/>
        <w:rPr>
          <w:lang w:val="en-AU"/>
        </w:rPr>
      </w:pPr>
      <w:r w:rsidRPr="0072758C">
        <w:rPr>
          <w:lang w:val="en-AU"/>
        </w:rPr>
        <w:t xml:space="preserve"> </w:t>
      </w:r>
    </w:p>
    <w:p w14:paraId="21426BAB" w14:textId="024DE15D" w:rsidR="004D4B5C" w:rsidRPr="0072758C" w:rsidRDefault="004D4B5C" w:rsidP="004D4B5C">
      <w:pPr>
        <w:pStyle w:val="FootnoteText"/>
        <w:ind w:firstLine="720"/>
        <w:rPr>
          <w:lang w:val="en-AU"/>
        </w:rPr>
      </w:pPr>
    </w:p>
  </w:footnote>
  <w:footnote w:id="238">
    <w:p w14:paraId="1BBA57E5" w14:textId="1E0B11DD" w:rsidR="005000A6" w:rsidRPr="0072758C" w:rsidRDefault="00D76D3F" w:rsidP="00E3688F">
      <w:pPr>
        <w:pStyle w:val="FootnoteText"/>
        <w:ind w:firstLine="720"/>
        <w:rPr>
          <w:lang w:val="en-AU"/>
        </w:rPr>
      </w:pPr>
      <w:r w:rsidRPr="0072758C">
        <w:rPr>
          <w:rStyle w:val="FootnoteReference"/>
          <w:lang w:val="en-AU"/>
        </w:rPr>
        <w:footnoteRef/>
      </w:r>
      <w:r w:rsidRPr="0072758C">
        <w:rPr>
          <w:lang w:val="en-AU"/>
        </w:rPr>
        <w:t xml:space="preserve"> </w:t>
      </w:r>
      <w:r w:rsidR="00B02C3A" w:rsidRPr="0072758C">
        <w:rPr>
          <w:lang w:val="en-AU"/>
        </w:rPr>
        <w:t xml:space="preserve">Exodus 22:26 is part of the section of laws referred to as Covenant Code laws in which they are formulated to regulate actions towards poor people, see </w:t>
      </w:r>
      <w:r w:rsidR="00B02C3A" w:rsidRPr="0072758C">
        <w:rPr>
          <w:i/>
          <w:iCs/>
          <w:lang w:val="en-AU"/>
        </w:rPr>
        <w:t xml:space="preserve">Miroslav Varso, </w:t>
      </w:r>
      <w:r w:rsidR="00B02C3A" w:rsidRPr="0072758C">
        <w:rPr>
          <w:lang w:val="en-AU"/>
        </w:rPr>
        <w:t xml:space="preserve">“Interest (Usury) and its Variations in the Biblical Law Codices,” </w:t>
      </w:r>
      <w:r w:rsidR="00B02C3A" w:rsidRPr="0072758C">
        <w:rPr>
          <w:i/>
          <w:iCs/>
          <w:lang w:val="en-AU"/>
        </w:rPr>
        <w:t>Communio Viatorum</w:t>
      </w:r>
      <w:r w:rsidR="00B02C3A" w:rsidRPr="0072758C">
        <w:rPr>
          <w:lang w:val="en-AU"/>
        </w:rPr>
        <w:t xml:space="preserve"> </w:t>
      </w:r>
      <w:r w:rsidR="00E316DD" w:rsidRPr="0072758C">
        <w:rPr>
          <w:lang w:val="en-AU"/>
        </w:rPr>
        <w:t>50 (2008): 323-38.</w:t>
      </w:r>
      <w:r w:rsidR="005000A6" w:rsidRPr="0072758C">
        <w:rPr>
          <w:lang w:val="en-AU"/>
        </w:rPr>
        <w:t xml:space="preserve"> Eli Eduarto suggests that the Covenant Code is part of the Elohim narrative, see Eduardo Eli, “The Presence of the Covenant Motif in Hosea: An Intertextual Approach for the Last Oracle in the Book,” </w:t>
      </w:r>
      <w:r w:rsidR="005000A6" w:rsidRPr="0072758C">
        <w:rPr>
          <w:i/>
          <w:iCs/>
          <w:lang w:val="en-AU"/>
        </w:rPr>
        <w:t>Jewish Bible Quarterly</w:t>
      </w:r>
      <w:r w:rsidR="005000A6" w:rsidRPr="0072758C">
        <w:rPr>
          <w:lang w:val="en-AU"/>
        </w:rPr>
        <w:t> 45 (2017): 34–42.</w:t>
      </w:r>
    </w:p>
    <w:p w14:paraId="144110F4" w14:textId="105E6245" w:rsidR="00D76D3F" w:rsidRPr="0072758C" w:rsidRDefault="00D76D3F" w:rsidP="00B02C3A">
      <w:pPr>
        <w:pStyle w:val="FootnoteText"/>
        <w:ind w:firstLine="720"/>
        <w:rPr>
          <w:lang w:val="en-AU"/>
        </w:rPr>
      </w:pPr>
    </w:p>
  </w:footnote>
  <w:footnote w:id="239">
    <w:p w14:paraId="19C3E281" w14:textId="3D6ED9AD" w:rsidR="00194C28" w:rsidRPr="0072758C" w:rsidRDefault="00194C28" w:rsidP="00153BD4">
      <w:pPr>
        <w:pStyle w:val="EndnoteText"/>
        <w:ind w:firstLine="720"/>
        <w:rPr>
          <w:lang w:val="en-AU"/>
        </w:rPr>
      </w:pPr>
      <w:r w:rsidRPr="0072758C">
        <w:rPr>
          <w:rStyle w:val="FootnoteReference"/>
          <w:lang w:val="en-AU"/>
        </w:rPr>
        <w:footnoteRef/>
      </w:r>
      <w:r w:rsidRPr="0072758C">
        <w:rPr>
          <w:lang w:val="en-AU"/>
        </w:rPr>
        <w:t xml:space="preserve"> Proverbs 20:16 </w:t>
      </w:r>
      <w:r w:rsidR="00863B47" w:rsidRPr="0072758C">
        <w:rPr>
          <w:lang w:val="en-AU"/>
        </w:rPr>
        <w:t>“</w:t>
      </w:r>
      <w:r w:rsidRPr="0072758C">
        <w:rPr>
          <w:lang w:val="en-AU"/>
        </w:rPr>
        <w:t>Take his garment that is surety for a stranger; and hold him in pledge that is surety for an alien woman;</w:t>
      </w:r>
      <w:r w:rsidR="00863B47" w:rsidRPr="0072758C">
        <w:rPr>
          <w:lang w:val="en-AU"/>
        </w:rPr>
        <w:t>”</w:t>
      </w:r>
      <w:r w:rsidRPr="0072758C">
        <w:rPr>
          <w:lang w:val="en-AU"/>
        </w:rPr>
        <w:t xml:space="preserve"> Proverbs 27:13 </w:t>
      </w:r>
      <w:r w:rsidR="00863B47" w:rsidRPr="0072758C">
        <w:rPr>
          <w:lang w:val="en-AU"/>
        </w:rPr>
        <w:t>“</w:t>
      </w:r>
      <w:r w:rsidRPr="0072758C">
        <w:rPr>
          <w:lang w:val="en-AU"/>
        </w:rPr>
        <w:t>Take his garment that is surety for a stranger; and hold him in pledge that is surety for an alien woman.</w:t>
      </w:r>
      <w:r w:rsidR="00863B47" w:rsidRPr="0072758C">
        <w:rPr>
          <w:lang w:val="en-AU"/>
        </w:rPr>
        <w:t>”</w:t>
      </w:r>
    </w:p>
    <w:p w14:paraId="0AD53C0B" w14:textId="77777777" w:rsidR="00194C28" w:rsidRPr="0072758C" w:rsidRDefault="00194C28" w:rsidP="00153BD4">
      <w:pPr>
        <w:pStyle w:val="EndnoteText"/>
        <w:rPr>
          <w:lang w:val="en-AU"/>
        </w:rPr>
      </w:pPr>
    </w:p>
  </w:footnote>
  <w:footnote w:id="240">
    <w:p w14:paraId="316D28EB" w14:textId="68EA8C78" w:rsidR="00194C28" w:rsidRPr="0072758C" w:rsidRDefault="00194C28" w:rsidP="00153BD4">
      <w:pPr>
        <w:pStyle w:val="EndnoteText"/>
        <w:ind w:firstLine="720"/>
        <w:rPr>
          <w:lang w:val="en-AU"/>
        </w:rPr>
      </w:pPr>
      <w:r w:rsidRPr="0072758C">
        <w:rPr>
          <w:rStyle w:val="FootnoteReference"/>
          <w:lang w:val="en-AU"/>
        </w:rPr>
        <w:footnoteRef/>
      </w:r>
      <w:r w:rsidRPr="0072758C">
        <w:rPr>
          <w:lang w:val="en-AU"/>
        </w:rPr>
        <w:t xml:space="preserve"> A </w:t>
      </w:r>
      <w:r w:rsidRPr="0072758C">
        <w:rPr>
          <w:i/>
          <w:lang w:val="en-AU"/>
        </w:rPr>
        <w:t>beth din- </w:t>
      </w:r>
      <w:r w:rsidRPr="0072758C">
        <w:rPr>
          <w:rFonts w:eastAsiaTheme="majorEastAsia"/>
          <w:lang w:val="en-AU"/>
        </w:rPr>
        <w:t>Hebrew</w:t>
      </w:r>
      <w:r w:rsidRPr="0072758C">
        <w:rPr>
          <w:lang w:val="en-AU"/>
        </w:rPr>
        <w:t>: </w:t>
      </w:r>
      <w:r w:rsidRPr="0072758C">
        <w:rPr>
          <w:rFonts w:eastAsiaTheme="majorEastAsia"/>
          <w:lang w:val="en-AU"/>
        </w:rPr>
        <w:t>בית דין</w:t>
      </w:r>
      <w:r w:rsidRPr="0072758C">
        <w:rPr>
          <w:lang w:val="en-AU"/>
        </w:rPr>
        <w:t> </w:t>
      </w:r>
      <w:r w:rsidRPr="0072758C">
        <w:rPr>
          <w:i/>
          <w:lang w:val="en-AU"/>
        </w:rPr>
        <w:t>Bet Din</w:t>
      </w:r>
      <w:r w:rsidRPr="0072758C">
        <w:rPr>
          <w:lang w:val="en-AU"/>
        </w:rPr>
        <w:t xml:space="preserve">, </w:t>
      </w:r>
      <w:r w:rsidR="00863B47" w:rsidRPr="0072758C">
        <w:rPr>
          <w:lang w:val="en-AU"/>
        </w:rPr>
        <w:t>“</w:t>
      </w:r>
      <w:r w:rsidRPr="0072758C">
        <w:rPr>
          <w:lang w:val="en-AU"/>
        </w:rPr>
        <w:t>house of judgment</w:t>
      </w:r>
      <w:r w:rsidR="00863B47" w:rsidRPr="0072758C">
        <w:rPr>
          <w:lang w:val="en-AU"/>
        </w:rPr>
        <w:t>”</w:t>
      </w:r>
      <w:r w:rsidRPr="0072758C">
        <w:rPr>
          <w:lang w:val="en-AU"/>
        </w:rPr>
        <w:t> is a </w:t>
      </w:r>
      <w:r w:rsidRPr="0072758C">
        <w:rPr>
          <w:rFonts w:eastAsiaTheme="majorEastAsia"/>
          <w:lang w:val="en-AU"/>
        </w:rPr>
        <w:t>rabbinical</w:t>
      </w:r>
      <w:r w:rsidRPr="0072758C">
        <w:rPr>
          <w:lang w:val="en-AU"/>
        </w:rPr>
        <w:t> </w:t>
      </w:r>
      <w:r w:rsidRPr="0072758C">
        <w:rPr>
          <w:rFonts w:eastAsiaTheme="majorEastAsia"/>
          <w:lang w:val="en-AU"/>
        </w:rPr>
        <w:t>court</w:t>
      </w:r>
      <w:r w:rsidRPr="0072758C">
        <w:rPr>
          <w:lang w:val="en-AU"/>
        </w:rPr>
        <w:t xml:space="preserve"> of Jewish law. </w:t>
      </w:r>
    </w:p>
    <w:p w14:paraId="43C79EAE" w14:textId="77777777" w:rsidR="00194C28" w:rsidRPr="0072758C" w:rsidRDefault="00194C28" w:rsidP="00153BD4">
      <w:pPr>
        <w:pStyle w:val="EndnoteText"/>
        <w:rPr>
          <w:lang w:val="en-AU"/>
        </w:rPr>
      </w:pPr>
    </w:p>
  </w:footnote>
  <w:footnote w:id="241">
    <w:p w14:paraId="5C1F54D9" w14:textId="615855E9" w:rsidR="00194C28" w:rsidRPr="0072758C" w:rsidRDefault="00194C28" w:rsidP="00153BD4">
      <w:pPr>
        <w:pStyle w:val="EndnoteText"/>
        <w:ind w:firstLine="720"/>
        <w:rPr>
          <w:lang w:val="en-AU"/>
        </w:rPr>
      </w:pPr>
      <w:r w:rsidRPr="0072758C">
        <w:rPr>
          <w:rStyle w:val="FootnoteReference"/>
          <w:lang w:val="en-AU"/>
        </w:rPr>
        <w:footnoteRef/>
      </w:r>
      <w:r w:rsidRPr="0072758C">
        <w:rPr>
          <w:lang w:val="en-AU"/>
        </w:rPr>
        <w:t xml:space="preserve"> Roland H. Worth Jr, </w:t>
      </w:r>
      <w:r w:rsidRPr="0072758C">
        <w:rPr>
          <w:i/>
          <w:iCs/>
          <w:lang w:val="en-AU"/>
        </w:rPr>
        <w:t xml:space="preserve">The Sermon on the Mount: Its Old Testament Roots </w:t>
      </w:r>
      <w:r w:rsidRPr="0072758C">
        <w:rPr>
          <w:lang w:val="en-AU"/>
        </w:rPr>
        <w:t>(Mahwah: Paulist, 1997), 212</w:t>
      </w:r>
      <w:r w:rsidR="00504DF1" w:rsidRPr="0072758C">
        <w:rPr>
          <w:lang w:val="en-AU"/>
        </w:rPr>
        <w:t>–</w:t>
      </w:r>
      <w:r w:rsidRPr="0072758C">
        <w:rPr>
          <w:lang w:val="en-AU"/>
        </w:rPr>
        <w:t>13</w:t>
      </w:r>
      <w:r w:rsidR="00ED3BB8" w:rsidRPr="0072758C">
        <w:rPr>
          <w:lang w:val="en-AU"/>
        </w:rPr>
        <w:t>; Klaus Dieter Issler, “Lending and Interest in the Ot: Examining Three Interpretations to Explain the Deuteronomy 23:19-20 Distinction in Light of the Historical Usury Debate</w:t>
      </w:r>
      <w:r w:rsidR="00CE1022" w:rsidRPr="0072758C">
        <w:rPr>
          <w:lang w:val="en-AU"/>
        </w:rPr>
        <w:t>,</w:t>
      </w:r>
      <w:r w:rsidR="00ED3BB8" w:rsidRPr="0072758C">
        <w:rPr>
          <w:lang w:val="en-AU"/>
        </w:rPr>
        <w:t>” </w:t>
      </w:r>
      <w:r w:rsidR="00ED3BB8" w:rsidRPr="0072758C">
        <w:rPr>
          <w:i/>
          <w:iCs/>
          <w:lang w:val="en-AU"/>
        </w:rPr>
        <w:t>Journal of the Evangelical Theological Society</w:t>
      </w:r>
      <w:r w:rsidR="00ED3BB8" w:rsidRPr="0072758C">
        <w:rPr>
          <w:lang w:val="en-AU"/>
        </w:rPr>
        <w:t> 59</w:t>
      </w:r>
      <w:r w:rsidR="00B55639" w:rsidRPr="0072758C">
        <w:rPr>
          <w:lang w:val="en-AU"/>
        </w:rPr>
        <w:t xml:space="preserve"> </w:t>
      </w:r>
      <w:r w:rsidR="00ED3BB8" w:rsidRPr="0072758C">
        <w:rPr>
          <w:lang w:val="en-AU"/>
        </w:rPr>
        <w:t>(2016): 761–89.</w:t>
      </w:r>
    </w:p>
  </w:footnote>
  <w:footnote w:id="242">
    <w:p w14:paraId="590A4875" w14:textId="6883898E" w:rsidR="00194C28" w:rsidRPr="0072758C" w:rsidRDefault="00194C28" w:rsidP="007B6532">
      <w:pPr>
        <w:pStyle w:val="EndnoteText"/>
        <w:ind w:firstLine="720"/>
        <w:rPr>
          <w:lang w:val="en-AU"/>
        </w:rPr>
      </w:pPr>
      <w:r w:rsidRPr="0072758C">
        <w:rPr>
          <w:rStyle w:val="FootnoteReference"/>
          <w:lang w:val="en-AU"/>
        </w:rPr>
        <w:footnoteRef/>
      </w:r>
      <w:r w:rsidRPr="0072758C">
        <w:rPr>
          <w:lang w:val="en-AU"/>
        </w:rPr>
        <w:t xml:space="preserve"> Amy-Jill Levine, Dale C. Allison Jr and John Dominic Crossan, </w:t>
      </w:r>
      <w:r w:rsidRPr="0072758C">
        <w:rPr>
          <w:i/>
          <w:iCs/>
          <w:lang w:val="en-AU"/>
        </w:rPr>
        <w:t xml:space="preserve">The Historical Jesus in Context </w:t>
      </w:r>
      <w:r w:rsidRPr="0072758C">
        <w:rPr>
          <w:lang w:val="en-AU"/>
        </w:rPr>
        <w:t>(Princeton: Princeton University Press, 2006), 12.</w:t>
      </w:r>
    </w:p>
    <w:p w14:paraId="1940F3C4" w14:textId="77777777" w:rsidR="00D04922" w:rsidRPr="0072758C" w:rsidRDefault="00D04922" w:rsidP="00153BD4">
      <w:pPr>
        <w:pStyle w:val="EndnoteText"/>
        <w:ind w:firstLine="720"/>
        <w:rPr>
          <w:lang w:val="en-AU"/>
        </w:rPr>
      </w:pPr>
    </w:p>
  </w:footnote>
  <w:footnote w:id="243">
    <w:p w14:paraId="7A8A87B8" w14:textId="3F5CACA7" w:rsidR="00194C28" w:rsidRPr="0072758C" w:rsidRDefault="00194C28" w:rsidP="00990707">
      <w:pPr>
        <w:pStyle w:val="EndnoteText"/>
        <w:ind w:firstLine="720"/>
        <w:rPr>
          <w:i/>
          <w:iCs/>
          <w:lang w:val="en-AU"/>
        </w:rPr>
      </w:pPr>
      <w:r w:rsidRPr="0072758C">
        <w:rPr>
          <w:rStyle w:val="FootnoteReference"/>
          <w:lang w:val="en-AU"/>
        </w:rPr>
        <w:footnoteRef/>
      </w:r>
      <w:r w:rsidRPr="0072758C">
        <w:rPr>
          <w:lang w:val="en-AU"/>
        </w:rPr>
        <w:t xml:space="preserve"> Worth, </w:t>
      </w:r>
      <w:r w:rsidRPr="0072758C">
        <w:rPr>
          <w:i/>
          <w:iCs/>
          <w:lang w:val="en-AU"/>
        </w:rPr>
        <w:t xml:space="preserve">The Sermon on the Mount: Its Old Testament Roots, </w:t>
      </w:r>
      <w:r w:rsidRPr="0072758C">
        <w:rPr>
          <w:iCs/>
          <w:lang w:val="en-AU"/>
        </w:rPr>
        <w:t>216–17</w:t>
      </w:r>
      <w:r w:rsidRPr="0072758C">
        <w:rPr>
          <w:i/>
          <w:iCs/>
          <w:lang w:val="en-AU"/>
        </w:rPr>
        <w:t>.</w:t>
      </w:r>
    </w:p>
  </w:footnote>
  <w:footnote w:id="244">
    <w:p w14:paraId="2F85882B" w14:textId="77777777" w:rsidR="00194C28" w:rsidRPr="0072758C" w:rsidRDefault="00194C28" w:rsidP="00153BD4">
      <w:pPr>
        <w:pStyle w:val="EndnoteText"/>
        <w:rPr>
          <w:lang w:val="en-AU"/>
        </w:rPr>
      </w:pPr>
    </w:p>
    <w:p w14:paraId="30C5A9DF" w14:textId="7D9B7A04" w:rsidR="00194C28" w:rsidRPr="0072758C" w:rsidRDefault="00194C28" w:rsidP="00153BD4">
      <w:pPr>
        <w:pStyle w:val="EndnoteText"/>
        <w:ind w:firstLine="720"/>
        <w:rPr>
          <w:lang w:val="en-AU"/>
        </w:rPr>
      </w:pPr>
      <w:r w:rsidRPr="0072758C">
        <w:rPr>
          <w:rStyle w:val="FootnoteReference"/>
          <w:lang w:val="en-AU"/>
        </w:rPr>
        <w:footnoteRef/>
      </w:r>
      <w:r w:rsidRPr="0072758C">
        <w:rPr>
          <w:lang w:val="en-AU"/>
        </w:rPr>
        <w:t xml:space="preserve"> Ibid.</w:t>
      </w:r>
      <w:r w:rsidRPr="0072758C">
        <w:rPr>
          <w:i/>
          <w:iCs/>
          <w:lang w:val="en-AU"/>
        </w:rPr>
        <w:t xml:space="preserve">, </w:t>
      </w:r>
      <w:r w:rsidRPr="0072758C">
        <w:rPr>
          <w:lang w:val="en-AU"/>
        </w:rPr>
        <w:t xml:space="preserve">213. </w:t>
      </w:r>
      <w:proofErr w:type="gramStart"/>
      <w:r w:rsidRPr="0072758C">
        <w:rPr>
          <w:lang w:val="en-AU"/>
        </w:rPr>
        <w:t>Similar to</w:t>
      </w:r>
      <w:proofErr w:type="gramEnd"/>
      <w:r w:rsidRPr="0072758C">
        <w:rPr>
          <w:lang w:val="en-AU"/>
        </w:rPr>
        <w:t xml:space="preserve"> this lending principle, Islamic banking operates on this principle today. If the loan is for a business investment, the bank is entitled to a share of profits.</w:t>
      </w:r>
    </w:p>
    <w:p w14:paraId="2A129818" w14:textId="77777777" w:rsidR="00194C28" w:rsidRPr="0072758C" w:rsidRDefault="00194C28" w:rsidP="00153BD4">
      <w:pPr>
        <w:pStyle w:val="EndnoteText"/>
        <w:rPr>
          <w:lang w:val="en-AU"/>
        </w:rPr>
      </w:pPr>
    </w:p>
  </w:footnote>
  <w:footnote w:id="245">
    <w:p w14:paraId="2661A085" w14:textId="320D3E6E" w:rsidR="00194C28" w:rsidRPr="0072758C" w:rsidRDefault="00194C28" w:rsidP="00153BD4">
      <w:pPr>
        <w:pStyle w:val="EndnoteText"/>
        <w:ind w:firstLine="720"/>
        <w:rPr>
          <w:lang w:val="en-AU"/>
        </w:rPr>
      </w:pPr>
      <w:r w:rsidRPr="0072758C">
        <w:rPr>
          <w:rStyle w:val="FootnoteReference"/>
          <w:lang w:val="en-AU"/>
        </w:rPr>
        <w:footnoteRef/>
      </w:r>
      <w:r w:rsidRPr="0072758C">
        <w:rPr>
          <w:lang w:val="en-AU"/>
        </w:rPr>
        <w:t xml:space="preserve"> Adele Berlin and Marc Zvi Brettler, </w:t>
      </w:r>
      <w:r w:rsidR="00863B47" w:rsidRPr="0072758C">
        <w:rPr>
          <w:lang w:val="en-AU"/>
        </w:rPr>
        <w:t>“</w:t>
      </w:r>
      <w:r w:rsidRPr="0072758C">
        <w:rPr>
          <w:lang w:val="en-AU"/>
        </w:rPr>
        <w:t>Deuteronomy,</w:t>
      </w:r>
      <w:r w:rsidR="00863B47" w:rsidRPr="0072758C">
        <w:rPr>
          <w:lang w:val="en-AU"/>
        </w:rPr>
        <w:t>”</w:t>
      </w:r>
      <w:r w:rsidRPr="0072758C">
        <w:rPr>
          <w:lang w:val="en-AU"/>
        </w:rPr>
        <w:t xml:space="preserve"> in </w:t>
      </w:r>
      <w:r w:rsidRPr="0072758C">
        <w:rPr>
          <w:i/>
          <w:iCs/>
          <w:lang w:val="en-AU"/>
        </w:rPr>
        <w:t>The Jewish Study Bible</w:t>
      </w:r>
      <w:r w:rsidRPr="0072758C">
        <w:rPr>
          <w:lang w:val="en-AU"/>
        </w:rPr>
        <w:t xml:space="preserve"> (Oxford: Oxford University Press, 2004), 157.</w:t>
      </w:r>
    </w:p>
    <w:p w14:paraId="4120CC37" w14:textId="77777777" w:rsidR="00153BD4" w:rsidRPr="0072758C" w:rsidRDefault="00153BD4" w:rsidP="00153BD4">
      <w:pPr>
        <w:pStyle w:val="EndnoteText"/>
        <w:ind w:firstLine="720"/>
        <w:rPr>
          <w:lang w:val="en-AU"/>
        </w:rPr>
      </w:pPr>
    </w:p>
  </w:footnote>
  <w:footnote w:id="246">
    <w:p w14:paraId="0A57D2F4" w14:textId="77777777" w:rsidR="00194C28" w:rsidRPr="0072758C" w:rsidRDefault="00194C28" w:rsidP="00153BD4">
      <w:pPr>
        <w:pStyle w:val="EndnoteText"/>
        <w:ind w:firstLine="720"/>
        <w:rPr>
          <w:lang w:val="en-AU"/>
        </w:rPr>
      </w:pPr>
      <w:r w:rsidRPr="0072758C">
        <w:rPr>
          <w:rStyle w:val="FootnoteReference"/>
          <w:lang w:val="en-AU"/>
        </w:rPr>
        <w:footnoteRef/>
      </w:r>
      <w:r w:rsidRPr="0072758C">
        <w:rPr>
          <w:lang w:val="en-AU"/>
        </w:rPr>
        <w:t xml:space="preserve"> Warren Carter, </w:t>
      </w:r>
      <w:proofErr w:type="gramStart"/>
      <w:r w:rsidRPr="0072758C">
        <w:rPr>
          <w:i/>
          <w:iCs/>
          <w:lang w:val="en-AU"/>
        </w:rPr>
        <w:t>Matthew</w:t>
      </w:r>
      <w:proofErr w:type="gramEnd"/>
      <w:r w:rsidRPr="0072758C">
        <w:rPr>
          <w:i/>
          <w:iCs/>
          <w:lang w:val="en-AU"/>
        </w:rPr>
        <w:t xml:space="preserve"> and Empire</w:t>
      </w:r>
      <w:r w:rsidRPr="0072758C">
        <w:rPr>
          <w:lang w:val="en-AU"/>
        </w:rPr>
        <w:t xml:space="preserve"> (Harrisburg, PA: Trinity International, 2001), 142.</w:t>
      </w:r>
    </w:p>
  </w:footnote>
  <w:footnote w:id="247">
    <w:p w14:paraId="36D3C26F" w14:textId="2276A5A6" w:rsidR="00330773" w:rsidRDefault="00330773" w:rsidP="00330773">
      <w:pPr>
        <w:pStyle w:val="FootnoteText"/>
        <w:ind w:firstLine="720"/>
      </w:pPr>
      <w:r>
        <w:rPr>
          <w:rStyle w:val="FootnoteReference"/>
        </w:rPr>
        <w:footnoteRef/>
      </w:r>
      <w:r>
        <w:t xml:space="preserve"> </w:t>
      </w:r>
      <w:r w:rsidR="00C40D3C">
        <w:t xml:space="preserve">Joslyn-Siemiatkoski, </w:t>
      </w:r>
      <w:r w:rsidR="00C40D3C">
        <w:rPr>
          <w:i/>
          <w:iCs/>
        </w:rPr>
        <w:t xml:space="preserve">The More Torah, </w:t>
      </w:r>
      <w:r w:rsidR="00C40D3C">
        <w:t xml:space="preserve">9. For more information see Robert Alter, The Wisdom Books: Job, Proverbs, and Ecclesiastes (New York:  W. W. Norton, 2010). </w:t>
      </w:r>
    </w:p>
    <w:p w14:paraId="05D951E2" w14:textId="77777777" w:rsidR="00C40D3C" w:rsidRPr="00ED0F6A" w:rsidRDefault="00C40D3C" w:rsidP="00ED0F6A">
      <w:pPr>
        <w:pStyle w:val="FootnoteText"/>
        <w:ind w:firstLine="720"/>
        <w:rPr>
          <w:lang w:val="en-US"/>
        </w:rPr>
      </w:pPr>
    </w:p>
  </w:footnote>
  <w:footnote w:id="248">
    <w:p w14:paraId="7C3093B4" w14:textId="4F0512BF" w:rsidR="00406AFA" w:rsidRPr="0072758C" w:rsidRDefault="00406AFA" w:rsidP="00153BD4">
      <w:pPr>
        <w:pStyle w:val="EndnoteText"/>
        <w:ind w:firstLine="720"/>
        <w:rPr>
          <w:iCs/>
          <w:lang w:val="en-AU"/>
        </w:rPr>
      </w:pPr>
      <w:r w:rsidRPr="0072758C">
        <w:rPr>
          <w:rStyle w:val="FootnoteReference"/>
          <w:lang w:val="en-AU"/>
        </w:rPr>
        <w:footnoteRef/>
      </w:r>
      <w:r w:rsidRPr="0072758C">
        <w:rPr>
          <w:lang w:val="en-AU"/>
        </w:rPr>
        <w:t xml:space="preserve"> An earlier footnote has already noted that Rabbinic sages are grouped together in “periods,” beginning with the period of the </w:t>
      </w:r>
      <w:r w:rsidRPr="0072758C">
        <w:rPr>
          <w:i/>
          <w:iCs/>
          <w:lang w:val="en-AU"/>
        </w:rPr>
        <w:t>Zugoth</w:t>
      </w:r>
      <w:r w:rsidRPr="0072758C">
        <w:rPr>
          <w:lang w:val="en-AU"/>
        </w:rPr>
        <w:t xml:space="preserve"> (ca. 170 </w:t>
      </w:r>
      <w:r w:rsidRPr="0072758C">
        <w:rPr>
          <w:smallCaps/>
          <w:lang w:val="en-AU"/>
        </w:rPr>
        <w:t>bce</w:t>
      </w:r>
      <w:r w:rsidRPr="0072758C">
        <w:rPr>
          <w:lang w:val="en-AU"/>
        </w:rPr>
        <w:t xml:space="preserve"> – 30 </w:t>
      </w:r>
      <w:r w:rsidRPr="0072758C">
        <w:rPr>
          <w:smallCaps/>
          <w:lang w:val="en-AU"/>
        </w:rPr>
        <w:t>ce</w:t>
      </w:r>
      <w:r w:rsidRPr="0072758C">
        <w:rPr>
          <w:lang w:val="en-AU"/>
        </w:rPr>
        <w:t xml:space="preserve">), the </w:t>
      </w:r>
      <w:r w:rsidRPr="0072758C">
        <w:rPr>
          <w:i/>
          <w:iCs/>
          <w:lang w:val="en-AU"/>
        </w:rPr>
        <w:t>Tannaim</w:t>
      </w:r>
      <w:r w:rsidRPr="0072758C">
        <w:rPr>
          <w:lang w:val="en-AU"/>
        </w:rPr>
        <w:t xml:space="preserve"> (ca. 10 – 220 </w:t>
      </w:r>
      <w:r w:rsidRPr="0072758C">
        <w:rPr>
          <w:smallCaps/>
          <w:lang w:val="en-AU"/>
        </w:rPr>
        <w:t>ce</w:t>
      </w:r>
      <w:r w:rsidRPr="0072758C">
        <w:rPr>
          <w:lang w:val="en-AU"/>
        </w:rPr>
        <w:t xml:space="preserve">), the </w:t>
      </w:r>
      <w:r w:rsidRPr="0072758C">
        <w:rPr>
          <w:i/>
          <w:iCs/>
          <w:lang w:val="en-AU"/>
        </w:rPr>
        <w:t>Amoraim</w:t>
      </w:r>
      <w:r w:rsidRPr="0072758C">
        <w:rPr>
          <w:lang w:val="en-AU"/>
        </w:rPr>
        <w:t xml:space="preserve"> (200 – 500 </w:t>
      </w:r>
      <w:r w:rsidRPr="0072758C">
        <w:rPr>
          <w:smallCaps/>
          <w:lang w:val="en-AU"/>
        </w:rPr>
        <w:t>ce</w:t>
      </w:r>
      <w:r w:rsidRPr="0072758C">
        <w:rPr>
          <w:lang w:val="en-AU"/>
        </w:rPr>
        <w:t xml:space="preserve">), the </w:t>
      </w:r>
      <w:r w:rsidRPr="0072758C">
        <w:rPr>
          <w:i/>
          <w:iCs/>
          <w:lang w:val="en-AU"/>
        </w:rPr>
        <w:t>Zavoraim</w:t>
      </w:r>
      <w:r w:rsidRPr="0072758C">
        <w:rPr>
          <w:lang w:val="en-AU"/>
        </w:rPr>
        <w:t xml:space="preserve"> (500-600), the </w:t>
      </w:r>
      <w:r w:rsidRPr="0072758C">
        <w:rPr>
          <w:i/>
          <w:iCs/>
          <w:lang w:val="en-AU"/>
        </w:rPr>
        <w:t>Geonim</w:t>
      </w:r>
      <w:r w:rsidRPr="0072758C">
        <w:rPr>
          <w:lang w:val="en-AU"/>
        </w:rPr>
        <w:t xml:space="preserve"> (589 – 1038 </w:t>
      </w:r>
      <w:r w:rsidRPr="0072758C">
        <w:rPr>
          <w:smallCaps/>
          <w:lang w:val="en-AU"/>
        </w:rPr>
        <w:t>ce</w:t>
      </w:r>
      <w:r w:rsidRPr="0072758C">
        <w:rPr>
          <w:lang w:val="en-AU"/>
        </w:rPr>
        <w:t xml:space="preserve">), etc. The most famous of the </w:t>
      </w:r>
      <w:r w:rsidRPr="0072758C">
        <w:rPr>
          <w:i/>
          <w:iCs/>
          <w:lang w:val="en-AU"/>
        </w:rPr>
        <w:t>Zugoth</w:t>
      </w:r>
      <w:r w:rsidRPr="0072758C">
        <w:rPr>
          <w:lang w:val="en-AU"/>
        </w:rPr>
        <w:t xml:space="preserve"> (pairs), were Hillel (ca. 110-10 </w:t>
      </w:r>
      <w:r w:rsidRPr="0072758C">
        <w:rPr>
          <w:smallCaps/>
          <w:lang w:val="en-AU"/>
        </w:rPr>
        <w:t>bce</w:t>
      </w:r>
      <w:r w:rsidRPr="0072758C">
        <w:rPr>
          <w:lang w:val="en-AU"/>
        </w:rPr>
        <w:t xml:space="preserve">) and Shammai (ca. 50 </w:t>
      </w:r>
      <w:r w:rsidRPr="0072758C">
        <w:rPr>
          <w:smallCaps/>
          <w:lang w:val="en-AU"/>
        </w:rPr>
        <w:t>bce</w:t>
      </w:r>
      <w:r w:rsidRPr="0072758C">
        <w:rPr>
          <w:lang w:val="en-AU"/>
        </w:rPr>
        <w:t xml:space="preserve"> – 30 </w:t>
      </w:r>
      <w:r w:rsidRPr="0072758C">
        <w:rPr>
          <w:smallCaps/>
          <w:lang w:val="en-AU"/>
        </w:rPr>
        <w:t>ce</w:t>
      </w:r>
      <w:r w:rsidRPr="0072758C">
        <w:rPr>
          <w:lang w:val="en-AU"/>
        </w:rPr>
        <w:t>).</w:t>
      </w:r>
      <w:r w:rsidR="007C07F0" w:rsidRPr="0072758C">
        <w:rPr>
          <w:lang w:val="en-AU"/>
        </w:rPr>
        <w:t xml:space="preserve"> Other </w:t>
      </w:r>
      <w:r w:rsidR="007C07F0" w:rsidRPr="0072758C">
        <w:rPr>
          <w:i/>
          <w:iCs/>
          <w:lang w:val="en-AU"/>
        </w:rPr>
        <w:t>Zoggoth</w:t>
      </w:r>
      <w:r w:rsidR="007C07F0" w:rsidRPr="0072758C">
        <w:rPr>
          <w:lang w:val="en-AU"/>
        </w:rPr>
        <w:t xml:space="preserve"> include </w:t>
      </w:r>
      <w:r w:rsidR="005B2EBC" w:rsidRPr="0072758C">
        <w:rPr>
          <w:lang w:val="en-AU"/>
        </w:rPr>
        <w:t xml:space="preserve">Joshua ben Perachiah and Nittai of Arbela (from the </w:t>
      </w:r>
      <w:proofErr w:type="gramStart"/>
      <w:r w:rsidR="005B2EBC" w:rsidRPr="0072758C">
        <w:rPr>
          <w:lang w:val="en-AU"/>
        </w:rPr>
        <w:t>time period</w:t>
      </w:r>
      <w:proofErr w:type="gramEnd"/>
      <w:r w:rsidR="005B2EBC" w:rsidRPr="0072758C">
        <w:rPr>
          <w:lang w:val="en-AU"/>
        </w:rPr>
        <w:t xml:space="preserve"> of Hyrcanus), and Shemaiah and Abtalion (from the time period of Hyrcanus II).</w:t>
      </w:r>
      <w:r w:rsidRPr="0072758C">
        <w:rPr>
          <w:lang w:val="en-AU"/>
        </w:rPr>
        <w:t xml:space="preserve"> The debates between the house of Hillel and the house of Shammai are frequently entered into by the </w:t>
      </w:r>
      <w:r w:rsidRPr="0072758C">
        <w:rPr>
          <w:i/>
          <w:iCs/>
          <w:lang w:val="en-AU"/>
        </w:rPr>
        <w:t>Tannaim</w:t>
      </w:r>
      <w:r w:rsidRPr="0072758C">
        <w:rPr>
          <w:lang w:val="en-AU"/>
        </w:rPr>
        <w:t xml:space="preserve"> and recorded in many rabbinic sources. Prominent </w:t>
      </w:r>
      <w:r w:rsidRPr="0072758C">
        <w:rPr>
          <w:i/>
          <w:iCs/>
          <w:lang w:val="en-AU"/>
        </w:rPr>
        <w:t xml:space="preserve">Tannaim </w:t>
      </w:r>
      <w:r w:rsidRPr="0072758C">
        <w:rPr>
          <w:lang w:val="en-AU"/>
        </w:rPr>
        <w:t xml:space="preserve">of the first generation (ca. 40 </w:t>
      </w:r>
      <w:r w:rsidRPr="0072758C">
        <w:rPr>
          <w:smallCaps/>
          <w:lang w:val="en-AU"/>
        </w:rPr>
        <w:t>bce</w:t>
      </w:r>
      <w:r w:rsidRPr="0072758C">
        <w:rPr>
          <w:lang w:val="en-AU"/>
        </w:rPr>
        <w:t xml:space="preserve"> – 80 </w:t>
      </w:r>
      <w:r w:rsidRPr="0072758C">
        <w:rPr>
          <w:smallCaps/>
          <w:lang w:val="en-AU"/>
        </w:rPr>
        <w:t>ce</w:t>
      </w:r>
      <w:r w:rsidRPr="0072758C">
        <w:rPr>
          <w:lang w:val="en-AU"/>
        </w:rPr>
        <w:t xml:space="preserve">) </w:t>
      </w:r>
      <w:r w:rsidRPr="0072758C">
        <w:rPr>
          <w:iCs/>
          <w:lang w:val="en-AU"/>
        </w:rPr>
        <w:t xml:space="preserve">include Rabban Yohanan ben Zakkai, Shimon ben Gamliel, and Judah ben Baba, as well as Gamaliel the Elder (or Rabban Gamaliel I; died ca. 52 </w:t>
      </w:r>
      <w:r w:rsidRPr="0072758C">
        <w:rPr>
          <w:smallCaps/>
          <w:lang w:val="en-AU"/>
        </w:rPr>
        <w:t>ce</w:t>
      </w:r>
      <w:r w:rsidRPr="0072758C">
        <w:rPr>
          <w:iCs/>
          <w:lang w:val="en-AU"/>
        </w:rPr>
        <w:t>), who was grandson of Hillel, and was president of the great Sanhedrin is Jerusalem.</w:t>
      </w:r>
      <w:r w:rsidR="007C07F0" w:rsidRPr="0072758C">
        <w:rPr>
          <w:iCs/>
          <w:lang w:val="en-AU"/>
        </w:rPr>
        <w:t xml:space="preserve"> </w:t>
      </w:r>
      <w:r w:rsidR="00FE4DDD" w:rsidRPr="0072758C">
        <w:rPr>
          <w:iCs/>
          <w:lang w:val="en-AU"/>
        </w:rPr>
        <w:t xml:space="preserve">Nitai of Arbela, </w:t>
      </w:r>
      <w:r w:rsidR="00FE4DDD" w:rsidRPr="0072758C">
        <w:rPr>
          <w:lang w:val="en-AU"/>
        </w:rPr>
        <w:t>Shemaiah and Abtalion,</w:t>
      </w:r>
      <w:r w:rsidR="00FE4DDD" w:rsidRPr="0072758C">
        <w:rPr>
          <w:iCs/>
          <w:lang w:val="en-AU"/>
        </w:rPr>
        <w:t xml:space="preserve"> and Hillel are among the sages named in citations from </w:t>
      </w:r>
      <w:r w:rsidR="00FE4DDD" w:rsidRPr="0072758C">
        <w:rPr>
          <w:i/>
          <w:lang w:val="en-AU"/>
        </w:rPr>
        <w:t>Mishna Avot</w:t>
      </w:r>
      <w:r w:rsidR="00FE4DDD" w:rsidRPr="0072758C">
        <w:rPr>
          <w:iCs/>
          <w:lang w:val="en-AU"/>
        </w:rPr>
        <w:t xml:space="preserve"> found in this and later chapters. Traditions ascribed to them would be highly likely to be in circulation in Pharisaic circles at the time of Jesus, as well as many of the other traditions cited in </w:t>
      </w:r>
      <w:r w:rsidR="00FE4DDD" w:rsidRPr="0072758C">
        <w:rPr>
          <w:i/>
          <w:lang w:val="en-AU"/>
        </w:rPr>
        <w:t>Mishna Avot</w:t>
      </w:r>
      <w:r w:rsidR="00FE4DDD" w:rsidRPr="0072758C">
        <w:rPr>
          <w:iCs/>
          <w:lang w:val="en-AU"/>
        </w:rPr>
        <w:t>.</w:t>
      </w:r>
    </w:p>
    <w:p w14:paraId="082A0E74" w14:textId="77777777" w:rsidR="00406AFA" w:rsidRPr="0072758C" w:rsidRDefault="00406AFA" w:rsidP="00153BD4">
      <w:pPr>
        <w:pStyle w:val="EndnoteText"/>
        <w:rPr>
          <w:lang w:val="en-AU"/>
        </w:rPr>
      </w:pPr>
    </w:p>
  </w:footnote>
  <w:footnote w:id="249">
    <w:p w14:paraId="4D260C3D" w14:textId="40122717" w:rsidR="00194C28" w:rsidRPr="0072758C" w:rsidRDefault="00194C28" w:rsidP="00153BD4">
      <w:pPr>
        <w:pStyle w:val="EndnoteText"/>
        <w:ind w:firstLine="720"/>
        <w:rPr>
          <w:lang w:val="en-AU"/>
        </w:rPr>
      </w:pPr>
      <w:r w:rsidRPr="0072758C">
        <w:rPr>
          <w:rStyle w:val="FootnoteReference"/>
          <w:lang w:val="en-AU"/>
        </w:rPr>
        <w:footnoteRef/>
      </w:r>
      <w:r w:rsidRPr="0072758C">
        <w:rPr>
          <w:lang w:val="en-AU"/>
        </w:rPr>
        <w:t xml:space="preserve"> Rami Shapiro, </w:t>
      </w:r>
      <w:r w:rsidRPr="0072758C">
        <w:rPr>
          <w:i/>
          <w:iCs/>
          <w:lang w:val="en-AU"/>
        </w:rPr>
        <w:t xml:space="preserve">Ethics of the Sages </w:t>
      </w:r>
      <w:r w:rsidRPr="0072758C">
        <w:rPr>
          <w:lang w:val="en-AU"/>
        </w:rPr>
        <w:t>(Woodstock: Skylight Paths, 2006), 7.</w:t>
      </w:r>
    </w:p>
  </w:footnote>
  <w:footnote w:id="250">
    <w:p w14:paraId="192A61ED" w14:textId="7BB362E9" w:rsidR="00194C28" w:rsidRPr="0072758C" w:rsidRDefault="00194C28" w:rsidP="00F61681">
      <w:pPr>
        <w:pStyle w:val="EndnoteText"/>
        <w:ind w:firstLine="720"/>
        <w:rPr>
          <w:i/>
          <w:iCs/>
          <w:lang w:val="en-AU"/>
        </w:rPr>
      </w:pPr>
      <w:r w:rsidRPr="0072758C">
        <w:rPr>
          <w:rStyle w:val="FootnoteReference"/>
          <w:lang w:val="en-AU"/>
        </w:rPr>
        <w:footnoteRef/>
      </w:r>
      <w:r w:rsidRPr="0072758C">
        <w:rPr>
          <w:lang w:val="en-AU"/>
        </w:rPr>
        <w:t xml:space="preserve"> Jonathan A. Pomeranz, </w:t>
      </w:r>
      <w:r w:rsidR="00863B47" w:rsidRPr="0072758C">
        <w:rPr>
          <w:lang w:val="en-AU"/>
        </w:rPr>
        <w:t>“</w:t>
      </w:r>
      <w:r w:rsidRPr="0072758C">
        <w:rPr>
          <w:lang w:val="en-AU"/>
        </w:rPr>
        <w:t>The Rabbinic and Roman Laws of Personal Injury</w:t>
      </w:r>
      <w:r w:rsidR="00F61681" w:rsidRPr="0072758C">
        <w:rPr>
          <w:lang w:val="en-AU"/>
        </w:rPr>
        <w:t>,</w:t>
      </w:r>
      <w:r w:rsidR="00863B47" w:rsidRPr="0072758C">
        <w:rPr>
          <w:lang w:val="en-AU"/>
        </w:rPr>
        <w:t>”</w:t>
      </w:r>
      <w:r w:rsidR="00C046CA" w:rsidRPr="0072758C">
        <w:rPr>
          <w:lang w:val="en-AU"/>
        </w:rPr>
        <w:t xml:space="preserve"> </w:t>
      </w:r>
      <w:r w:rsidR="00F61681" w:rsidRPr="0072758C">
        <w:rPr>
          <w:i/>
          <w:iCs/>
          <w:lang w:val="en-AU"/>
        </w:rPr>
        <w:t>Association for Jewish Studies</w:t>
      </w:r>
      <w:r w:rsidRPr="0072758C">
        <w:rPr>
          <w:i/>
          <w:iCs/>
          <w:lang w:val="en-AU"/>
        </w:rPr>
        <w:t xml:space="preserve"> Review</w:t>
      </w:r>
      <w:r w:rsidR="00C046CA" w:rsidRPr="0072758C">
        <w:rPr>
          <w:lang w:val="en-AU"/>
        </w:rPr>
        <w:t xml:space="preserve"> </w:t>
      </w:r>
      <w:r w:rsidRPr="0072758C">
        <w:rPr>
          <w:lang w:val="en-AU"/>
        </w:rPr>
        <w:t>39 (2015): 303</w:t>
      </w:r>
      <w:r w:rsidR="00504DF1" w:rsidRPr="0072758C">
        <w:rPr>
          <w:lang w:val="en-AU"/>
        </w:rPr>
        <w:t>–</w:t>
      </w:r>
      <w:r w:rsidRPr="0072758C">
        <w:rPr>
          <w:lang w:val="en-AU"/>
        </w:rPr>
        <w:t>31.</w:t>
      </w:r>
    </w:p>
    <w:p w14:paraId="09FB7314" w14:textId="77777777" w:rsidR="00194C28" w:rsidRPr="0072758C" w:rsidRDefault="00194C28" w:rsidP="000915B1">
      <w:pPr>
        <w:pStyle w:val="EndnoteText"/>
        <w:rPr>
          <w:lang w:val="en-AU"/>
        </w:rPr>
      </w:pPr>
    </w:p>
  </w:footnote>
  <w:footnote w:id="251">
    <w:p w14:paraId="0E7A7FAA" w14:textId="77777777"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Ibid.</w:t>
      </w:r>
    </w:p>
    <w:p w14:paraId="0C80557B" w14:textId="77777777" w:rsidR="00194C28" w:rsidRPr="0072758C" w:rsidRDefault="00194C28" w:rsidP="000915B1">
      <w:pPr>
        <w:pStyle w:val="EndnoteText"/>
        <w:rPr>
          <w:lang w:val="en-AU"/>
        </w:rPr>
      </w:pPr>
    </w:p>
  </w:footnote>
  <w:footnote w:id="252">
    <w:p w14:paraId="3286364A" w14:textId="10AD01A8"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Jews in Diaspora may have spoken Greek, Hebrew, and Aramaic. One example of this is the Epistle of Jeremiah written in Hebrew by someone with knowledge of Mesopotamia religious practice. For more detailed studies on Hebrew Apocrypha from Diaspora, see</w:t>
      </w:r>
      <w:r w:rsidRPr="0072758C">
        <w:rPr>
          <w:i/>
          <w:iCs/>
          <w:lang w:val="en-AU"/>
        </w:rPr>
        <w:t xml:space="preserve"> </w:t>
      </w:r>
      <w:r w:rsidRPr="0072758C">
        <w:rPr>
          <w:lang w:val="en-AU"/>
        </w:rPr>
        <w:t>G. W. E. Nickelsburg</w:t>
      </w:r>
      <w:r w:rsidRPr="0072758C">
        <w:rPr>
          <w:i/>
          <w:iCs/>
          <w:lang w:val="en-AU"/>
        </w:rPr>
        <w:t xml:space="preserve">, Jewish Literature Between the Bible and the Mishnah: A Historical and Literary Introduction </w:t>
      </w:r>
      <w:r w:rsidRPr="0072758C">
        <w:rPr>
          <w:lang w:val="en-AU"/>
        </w:rPr>
        <w:t>(Minneapolis: Fortress, 2005).</w:t>
      </w:r>
    </w:p>
    <w:p w14:paraId="69B90D66" w14:textId="10719CB0" w:rsidR="00194C28" w:rsidRPr="0072758C" w:rsidRDefault="00194C28" w:rsidP="000915B1">
      <w:pPr>
        <w:pStyle w:val="EndnoteText"/>
        <w:rPr>
          <w:lang w:val="en-AU"/>
        </w:rPr>
      </w:pPr>
    </w:p>
  </w:footnote>
  <w:footnote w:id="253">
    <w:p w14:paraId="73FF493D" w14:textId="7D54C413" w:rsidR="000C0DA5" w:rsidRPr="0072758C" w:rsidRDefault="006D2731" w:rsidP="000915B1">
      <w:pPr>
        <w:pStyle w:val="EndnoteText"/>
        <w:ind w:firstLine="720"/>
        <w:rPr>
          <w:lang w:val="en-AU"/>
        </w:rPr>
      </w:pPr>
      <w:r w:rsidRPr="0072758C">
        <w:rPr>
          <w:rStyle w:val="FootnoteReference"/>
          <w:lang w:val="en-AU"/>
        </w:rPr>
        <w:footnoteRef/>
      </w:r>
      <w:r w:rsidRPr="0072758C">
        <w:rPr>
          <w:lang w:val="en-AU"/>
        </w:rPr>
        <w:t xml:space="preserve"> Yitzhaq Magen et al., “The Hebrew and Aramaic Inscriptions from Mt. Gerizim</w:t>
      </w:r>
      <w:r w:rsidR="00B55A27" w:rsidRPr="0072758C">
        <w:rPr>
          <w:lang w:val="en-AU"/>
        </w:rPr>
        <w:t>,</w:t>
      </w:r>
      <w:r w:rsidRPr="0072758C">
        <w:rPr>
          <w:lang w:val="en-AU"/>
        </w:rPr>
        <w:t>” </w:t>
      </w:r>
      <w:r w:rsidRPr="0072758C">
        <w:rPr>
          <w:i/>
          <w:iCs/>
          <w:lang w:val="en-AU"/>
        </w:rPr>
        <w:t>Qadmoniot</w:t>
      </w:r>
      <w:r w:rsidRPr="0072758C">
        <w:rPr>
          <w:lang w:val="en-AU"/>
        </w:rPr>
        <w:t> 33 (2000): 125–32</w:t>
      </w:r>
      <w:r w:rsidR="000C0DA5" w:rsidRPr="0072758C">
        <w:rPr>
          <w:lang w:val="en-AU"/>
        </w:rPr>
        <w:t>; Tamara Morsel-Eisenberg, “Anxieties of Transmission: Rabbinic Responsa and Early Modern ‘Print Culture</w:t>
      </w:r>
      <w:r w:rsidR="00B55A27" w:rsidRPr="0072758C">
        <w:rPr>
          <w:lang w:val="en-AU"/>
        </w:rPr>
        <w:t>,</w:t>
      </w:r>
      <w:r w:rsidR="000C0DA5" w:rsidRPr="0072758C">
        <w:rPr>
          <w:lang w:val="en-AU"/>
        </w:rPr>
        <w:t>’” </w:t>
      </w:r>
      <w:r w:rsidR="000C0DA5" w:rsidRPr="0072758C">
        <w:rPr>
          <w:i/>
          <w:iCs/>
          <w:lang w:val="en-AU"/>
        </w:rPr>
        <w:t>Journal of the History of Ideas</w:t>
      </w:r>
      <w:r w:rsidR="000C0DA5" w:rsidRPr="0072758C">
        <w:rPr>
          <w:lang w:val="en-AU"/>
        </w:rPr>
        <w:t> 82 (2021): 377–404. </w:t>
      </w:r>
    </w:p>
    <w:p w14:paraId="59D3030E" w14:textId="12DAC1AD" w:rsidR="006D2731" w:rsidRPr="0072758C" w:rsidRDefault="006D2731" w:rsidP="000915B1">
      <w:pPr>
        <w:pStyle w:val="EndnoteText"/>
        <w:rPr>
          <w:lang w:val="en-AU"/>
        </w:rPr>
      </w:pPr>
    </w:p>
  </w:footnote>
  <w:footnote w:id="254">
    <w:p w14:paraId="2BAF9AF8" w14:textId="69A0F41F" w:rsidR="00194C28" w:rsidRPr="0072758C" w:rsidRDefault="00194C28" w:rsidP="007438C6">
      <w:pPr>
        <w:pStyle w:val="EndnoteText"/>
        <w:ind w:firstLine="720"/>
        <w:rPr>
          <w:color w:val="000000"/>
          <w:shd w:val="clear" w:color="auto" w:fill="FFFFFF"/>
          <w:lang w:val="en-AU"/>
        </w:rPr>
      </w:pPr>
      <w:r w:rsidRPr="0072758C">
        <w:rPr>
          <w:rStyle w:val="FootnoteReference"/>
          <w:lang w:val="en-AU"/>
        </w:rPr>
        <w:footnoteRef/>
      </w:r>
      <w:r w:rsidRPr="0072758C">
        <w:rPr>
          <w:lang w:val="en-AU"/>
        </w:rPr>
        <w:t xml:space="preserve"> For a discussion on the Greek influence on the region, see </w:t>
      </w:r>
      <w:r w:rsidRPr="0072758C">
        <w:rPr>
          <w:color w:val="000000"/>
          <w:shd w:val="clear" w:color="auto" w:fill="FFFFFF"/>
          <w:lang w:val="en-AU"/>
        </w:rPr>
        <w:t xml:space="preserve">Seung M. Hah, </w:t>
      </w:r>
      <w:r w:rsidR="00863B47" w:rsidRPr="0072758C">
        <w:rPr>
          <w:color w:val="000000"/>
          <w:shd w:val="clear" w:color="auto" w:fill="FFFFFF"/>
          <w:lang w:val="en-AU"/>
        </w:rPr>
        <w:t>“</w:t>
      </w:r>
      <w:r w:rsidRPr="0072758C">
        <w:rPr>
          <w:color w:val="000000"/>
          <w:shd w:val="clear" w:color="auto" w:fill="FFFFFF"/>
          <w:lang w:val="en-AU"/>
        </w:rPr>
        <w:t>Intercultural Missional Leadership: Theological Foundation and Biblical Narratives,</w:t>
      </w:r>
      <w:r w:rsidR="00863B47" w:rsidRPr="0072758C">
        <w:rPr>
          <w:color w:val="000000"/>
          <w:shd w:val="clear" w:color="auto" w:fill="FFFFFF"/>
          <w:lang w:val="en-AU"/>
        </w:rPr>
        <w:t>”</w:t>
      </w:r>
      <w:r w:rsidRPr="0072758C">
        <w:rPr>
          <w:color w:val="000000"/>
          <w:shd w:val="clear" w:color="auto" w:fill="FFFFFF"/>
          <w:lang w:val="en-AU"/>
        </w:rPr>
        <w:t> </w:t>
      </w:r>
      <w:r w:rsidRPr="0072758C">
        <w:rPr>
          <w:i/>
          <w:iCs/>
          <w:color w:val="000000"/>
          <w:shd w:val="clear" w:color="auto" w:fill="FFFFFF"/>
          <w:lang w:val="en-AU"/>
        </w:rPr>
        <w:t>HTS Teologiese Studies / Theological Studies</w:t>
      </w:r>
      <w:r w:rsidRPr="0072758C">
        <w:rPr>
          <w:color w:val="000000"/>
          <w:shd w:val="clear" w:color="auto" w:fill="FFFFFF"/>
          <w:lang w:val="en-AU"/>
        </w:rPr>
        <w:t> 75 (2019</w:t>
      </w:r>
      <w:r w:rsidR="00C65053" w:rsidRPr="0072758C">
        <w:rPr>
          <w:color w:val="000000"/>
          <w:shd w:val="clear" w:color="auto" w:fill="FFFFFF"/>
          <w:lang w:val="en-AU"/>
        </w:rPr>
        <w:t>)</w:t>
      </w:r>
      <w:r w:rsidRPr="0072758C">
        <w:rPr>
          <w:color w:val="000000"/>
          <w:shd w:val="clear" w:color="auto" w:fill="FFFFFF"/>
          <w:lang w:val="en-AU"/>
        </w:rPr>
        <w:t>. The Gospel narratives show the contention of the Greek influence into region and wrestle with the influence. For more information on the difference in the source materials highlight how the role of Greek influence was being pervasive in the culture, see</w:t>
      </w:r>
      <w:r w:rsidRPr="0072758C">
        <w:rPr>
          <w:i/>
          <w:iCs/>
          <w:color w:val="000000"/>
          <w:shd w:val="clear" w:color="auto" w:fill="FFFFFF"/>
          <w:lang w:val="en-AU"/>
        </w:rPr>
        <w:t xml:space="preserve"> </w:t>
      </w:r>
      <w:r w:rsidRPr="0072758C">
        <w:rPr>
          <w:color w:val="000000"/>
          <w:shd w:val="clear" w:color="auto" w:fill="FFFFFF"/>
          <w:lang w:val="en-AU"/>
        </w:rPr>
        <w:t xml:space="preserve">Matthias Konradt, </w:t>
      </w:r>
      <w:r w:rsidR="00863B47" w:rsidRPr="0072758C">
        <w:rPr>
          <w:color w:val="000000"/>
          <w:shd w:val="clear" w:color="auto" w:fill="FFFFFF"/>
          <w:lang w:val="en-AU"/>
        </w:rPr>
        <w:t>“</w:t>
      </w:r>
      <w:r w:rsidRPr="0072758C">
        <w:rPr>
          <w:color w:val="000000"/>
          <w:shd w:val="clear" w:color="auto" w:fill="FFFFFF"/>
          <w:lang w:val="en-AU"/>
        </w:rPr>
        <w:t>Die Sendung Zu Israel Und Zu Den Völkern Im Matthäusevangelium Im Lichte Seiner Narrativen Christologie,</w:t>
      </w:r>
      <w:r w:rsidR="00863B47" w:rsidRPr="0072758C">
        <w:rPr>
          <w:color w:val="000000"/>
          <w:shd w:val="clear" w:color="auto" w:fill="FFFFFF"/>
          <w:lang w:val="en-AU"/>
        </w:rPr>
        <w:t>”</w:t>
      </w:r>
      <w:r w:rsidRPr="0072758C">
        <w:rPr>
          <w:color w:val="000000"/>
          <w:shd w:val="clear" w:color="auto" w:fill="FFFFFF"/>
          <w:lang w:val="en-AU"/>
        </w:rPr>
        <w:t> </w:t>
      </w:r>
      <w:r w:rsidRPr="0072758C">
        <w:rPr>
          <w:i/>
          <w:iCs/>
          <w:color w:val="000000"/>
          <w:shd w:val="clear" w:color="auto" w:fill="FFFFFF"/>
          <w:lang w:val="en-AU"/>
        </w:rPr>
        <w:t>Zeitschrift Für Theologie Und Kirche</w:t>
      </w:r>
      <w:r w:rsidRPr="0072758C">
        <w:rPr>
          <w:color w:val="000000"/>
          <w:shd w:val="clear" w:color="auto" w:fill="FFFFFF"/>
          <w:lang w:val="en-AU"/>
        </w:rPr>
        <w:t> 101</w:t>
      </w:r>
      <w:r w:rsidR="00DE73F6" w:rsidRPr="0072758C">
        <w:rPr>
          <w:color w:val="000000"/>
          <w:shd w:val="clear" w:color="auto" w:fill="FFFFFF"/>
          <w:lang w:val="en-AU"/>
        </w:rPr>
        <w:t xml:space="preserve"> </w:t>
      </w:r>
      <w:r w:rsidRPr="0072758C">
        <w:rPr>
          <w:color w:val="000000"/>
          <w:shd w:val="clear" w:color="auto" w:fill="FFFFFF"/>
          <w:lang w:val="en-AU"/>
        </w:rPr>
        <w:t>(2018): 397; Martin Henry</w:t>
      </w:r>
      <w:r w:rsidR="00B55A27" w:rsidRPr="0072758C">
        <w:rPr>
          <w:color w:val="000000"/>
          <w:shd w:val="clear" w:color="auto" w:fill="FFFFFF"/>
          <w:lang w:val="en-AU"/>
        </w:rPr>
        <w:t>,</w:t>
      </w:r>
      <w:r w:rsidRPr="0072758C">
        <w:rPr>
          <w:color w:val="000000"/>
          <w:shd w:val="clear" w:color="auto" w:fill="FFFFFF"/>
          <w:lang w:val="en-AU"/>
        </w:rPr>
        <w:t xml:space="preserve"> </w:t>
      </w:r>
      <w:r w:rsidR="00863B47" w:rsidRPr="0072758C">
        <w:rPr>
          <w:color w:val="000000"/>
          <w:shd w:val="clear" w:color="auto" w:fill="FFFFFF"/>
          <w:lang w:val="en-AU"/>
        </w:rPr>
        <w:t>“</w:t>
      </w:r>
      <w:r w:rsidRPr="0072758C">
        <w:rPr>
          <w:color w:val="000000"/>
          <w:shd w:val="clear" w:color="auto" w:fill="FFFFFF"/>
          <w:lang w:val="en-AU"/>
        </w:rPr>
        <w:t>Christianity and Hellenism</w:t>
      </w:r>
      <w:r w:rsidR="00B55A27" w:rsidRPr="0072758C">
        <w:rPr>
          <w:color w:val="000000"/>
          <w:shd w:val="clear" w:color="auto" w:fill="FFFFFF"/>
          <w:lang w:val="en-AU"/>
        </w:rPr>
        <w:t>,</w:t>
      </w:r>
      <w:r w:rsidR="00863B47" w:rsidRPr="0072758C">
        <w:rPr>
          <w:color w:val="000000"/>
          <w:shd w:val="clear" w:color="auto" w:fill="FFFFFF"/>
          <w:lang w:val="en-AU"/>
        </w:rPr>
        <w:t>”</w:t>
      </w:r>
      <w:r w:rsidRPr="0072758C">
        <w:rPr>
          <w:color w:val="000000"/>
          <w:shd w:val="clear" w:color="auto" w:fill="FFFFFF"/>
          <w:lang w:val="en-AU"/>
        </w:rPr>
        <w:t xml:space="preserve"> </w:t>
      </w:r>
      <w:r w:rsidRPr="0072758C">
        <w:rPr>
          <w:i/>
          <w:color w:val="000000"/>
          <w:shd w:val="clear" w:color="auto" w:fill="FFFFFF"/>
          <w:lang w:val="en-AU"/>
        </w:rPr>
        <w:t>Irish Theological Quarterly</w:t>
      </w:r>
      <w:r w:rsidRPr="0072758C">
        <w:rPr>
          <w:color w:val="000000"/>
          <w:shd w:val="clear" w:color="auto" w:fill="FFFFFF"/>
          <w:lang w:val="en-AU"/>
        </w:rPr>
        <w:t xml:space="preserve"> 70 (2005): 366; Frank Byron Jevons</w:t>
      </w:r>
      <w:r w:rsidR="00B55A27" w:rsidRPr="0072758C">
        <w:rPr>
          <w:color w:val="000000"/>
          <w:shd w:val="clear" w:color="auto" w:fill="FFFFFF"/>
          <w:lang w:val="en-AU"/>
        </w:rPr>
        <w:t>,</w:t>
      </w:r>
      <w:r w:rsidRPr="0072758C">
        <w:rPr>
          <w:color w:val="000000"/>
          <w:shd w:val="clear" w:color="auto" w:fill="FFFFFF"/>
          <w:lang w:val="en-AU"/>
        </w:rPr>
        <w:t xml:space="preserve"> </w:t>
      </w:r>
      <w:r w:rsidR="00863B47" w:rsidRPr="0072758C">
        <w:rPr>
          <w:color w:val="000000"/>
          <w:shd w:val="clear" w:color="auto" w:fill="FFFFFF"/>
          <w:lang w:val="en-AU"/>
        </w:rPr>
        <w:t>“</w:t>
      </w:r>
      <w:r w:rsidRPr="0072758C">
        <w:rPr>
          <w:color w:val="000000"/>
          <w:shd w:val="clear" w:color="auto" w:fill="FFFFFF"/>
          <w:lang w:val="en-AU"/>
        </w:rPr>
        <w:t>Hellenism and Christianity</w:t>
      </w:r>
      <w:r w:rsidR="00B55A27" w:rsidRPr="0072758C">
        <w:rPr>
          <w:color w:val="000000"/>
          <w:shd w:val="clear" w:color="auto" w:fill="FFFFFF"/>
          <w:lang w:val="en-AU"/>
        </w:rPr>
        <w:t>,</w:t>
      </w:r>
      <w:r w:rsidR="00863B47" w:rsidRPr="0072758C">
        <w:rPr>
          <w:color w:val="000000"/>
          <w:shd w:val="clear" w:color="auto" w:fill="FFFFFF"/>
          <w:lang w:val="en-AU"/>
        </w:rPr>
        <w:t>”</w:t>
      </w:r>
      <w:r w:rsidRPr="0072758C">
        <w:rPr>
          <w:color w:val="000000"/>
          <w:shd w:val="clear" w:color="auto" w:fill="FFFFFF"/>
          <w:lang w:val="en-AU"/>
        </w:rPr>
        <w:t xml:space="preserve"> </w:t>
      </w:r>
      <w:r w:rsidR="00B55A27" w:rsidRPr="0072758C">
        <w:rPr>
          <w:i/>
          <w:iCs/>
          <w:color w:val="000000"/>
          <w:shd w:val="clear" w:color="auto" w:fill="FFFFFF"/>
          <w:lang w:val="en-AU"/>
        </w:rPr>
        <w:t>HTS Teologiese Studies / Theological Studies</w:t>
      </w:r>
      <w:r w:rsidRPr="0072758C">
        <w:rPr>
          <w:color w:val="000000"/>
          <w:shd w:val="clear" w:color="auto" w:fill="FFFFFF"/>
          <w:lang w:val="en-AU"/>
        </w:rPr>
        <w:t xml:space="preserve"> 1 (1908): 169</w:t>
      </w:r>
      <w:r w:rsidR="00504DF1" w:rsidRPr="0072758C">
        <w:rPr>
          <w:color w:val="000000"/>
          <w:shd w:val="clear" w:color="auto" w:fill="FFFFFF"/>
          <w:lang w:val="en-AU"/>
        </w:rPr>
        <w:t>–</w:t>
      </w:r>
      <w:r w:rsidRPr="0072758C">
        <w:rPr>
          <w:color w:val="000000"/>
          <w:shd w:val="clear" w:color="auto" w:fill="FFFFFF"/>
          <w:lang w:val="en-AU"/>
        </w:rPr>
        <w:t xml:space="preserve">88; Eric M. Meyers, </w:t>
      </w:r>
      <w:r w:rsidR="00863B47" w:rsidRPr="0072758C">
        <w:rPr>
          <w:color w:val="000000"/>
          <w:shd w:val="clear" w:color="auto" w:fill="FFFFFF"/>
          <w:lang w:val="en-AU"/>
        </w:rPr>
        <w:t>“</w:t>
      </w:r>
      <w:r w:rsidRPr="0072758C">
        <w:rPr>
          <w:color w:val="000000"/>
          <w:shd w:val="clear" w:color="auto" w:fill="FFFFFF"/>
          <w:lang w:val="en-AU"/>
        </w:rPr>
        <w:t>The Challenge of Hellenism for Early Judaism and Christianity</w:t>
      </w:r>
      <w:r w:rsidR="00B55A27" w:rsidRPr="0072758C">
        <w:rPr>
          <w:color w:val="000000"/>
          <w:shd w:val="clear" w:color="auto" w:fill="FFFFFF"/>
          <w:lang w:val="en-AU"/>
        </w:rPr>
        <w:t>,</w:t>
      </w:r>
      <w:r w:rsidR="00863B47" w:rsidRPr="0072758C">
        <w:rPr>
          <w:color w:val="000000"/>
          <w:shd w:val="clear" w:color="auto" w:fill="FFFFFF"/>
          <w:lang w:val="en-AU"/>
        </w:rPr>
        <w:t>”</w:t>
      </w:r>
      <w:r w:rsidRPr="0072758C">
        <w:rPr>
          <w:color w:val="000000"/>
          <w:shd w:val="clear" w:color="auto" w:fill="FFFFFF"/>
          <w:lang w:val="en-AU"/>
        </w:rPr>
        <w:t xml:space="preserve"> </w:t>
      </w:r>
      <w:r w:rsidRPr="0072758C">
        <w:rPr>
          <w:i/>
          <w:color w:val="000000"/>
          <w:shd w:val="clear" w:color="auto" w:fill="FFFFFF"/>
          <w:lang w:val="en-AU"/>
        </w:rPr>
        <w:t>The Biblical Archaeologist</w:t>
      </w:r>
      <w:r w:rsidRPr="0072758C">
        <w:rPr>
          <w:color w:val="000000"/>
          <w:shd w:val="clear" w:color="auto" w:fill="FFFFFF"/>
          <w:lang w:val="en-AU"/>
        </w:rPr>
        <w:t xml:space="preserve"> 55 (1992): 84</w:t>
      </w:r>
      <w:r w:rsidR="00504DF1" w:rsidRPr="0072758C">
        <w:rPr>
          <w:color w:val="000000"/>
          <w:shd w:val="clear" w:color="auto" w:fill="FFFFFF"/>
          <w:lang w:val="en-AU"/>
        </w:rPr>
        <w:t>–</w:t>
      </w:r>
      <w:r w:rsidRPr="0072758C">
        <w:rPr>
          <w:color w:val="000000"/>
          <w:shd w:val="clear" w:color="auto" w:fill="FFFFFF"/>
          <w:lang w:val="en-AU"/>
        </w:rPr>
        <w:t>91.</w:t>
      </w:r>
    </w:p>
    <w:p w14:paraId="4C6428EB" w14:textId="77777777" w:rsidR="00194C28" w:rsidRPr="0072758C" w:rsidRDefault="00194C28" w:rsidP="000915B1">
      <w:pPr>
        <w:pStyle w:val="EndnoteText"/>
        <w:rPr>
          <w:lang w:val="en-AU"/>
        </w:rPr>
      </w:pPr>
      <w:r w:rsidRPr="0072758C">
        <w:rPr>
          <w:lang w:val="en-AU"/>
        </w:rPr>
        <w:t xml:space="preserve"> </w:t>
      </w:r>
    </w:p>
  </w:footnote>
  <w:footnote w:id="255">
    <w:p w14:paraId="6D2A5E72" w14:textId="4B94D32A"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The Helleni</w:t>
      </w:r>
      <w:r w:rsidR="006F59A5" w:rsidRPr="0072758C">
        <w:rPr>
          <w:lang w:val="en-AU"/>
        </w:rPr>
        <w:t>s</w:t>
      </w:r>
      <w:r w:rsidRPr="0072758C">
        <w:rPr>
          <w:lang w:val="en-AU"/>
        </w:rPr>
        <w:t xml:space="preserve">ed names of the High Priests were Jason and Menelaus.  </w:t>
      </w:r>
    </w:p>
    <w:p w14:paraId="0A0D38DC" w14:textId="77777777" w:rsidR="00194C28" w:rsidRPr="0072758C" w:rsidRDefault="00194C28" w:rsidP="000915B1">
      <w:pPr>
        <w:pStyle w:val="EndnoteText"/>
        <w:rPr>
          <w:lang w:val="en-AU"/>
        </w:rPr>
      </w:pPr>
    </w:p>
  </w:footnote>
  <w:footnote w:id="256">
    <w:p w14:paraId="7AA0E874" w14:textId="77777777" w:rsidR="00E30551" w:rsidRPr="0072758C" w:rsidRDefault="00E30551" w:rsidP="000915B1">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Pirkei Avot 1:12</w:t>
      </w:r>
      <w:r w:rsidRPr="0072758C">
        <w:rPr>
          <w:lang w:val="en-AU"/>
        </w:rPr>
        <w:t xml:space="preserve">. </w:t>
      </w:r>
    </w:p>
    <w:p w14:paraId="0A02A9F9" w14:textId="77777777" w:rsidR="00E30551" w:rsidRPr="0072758C" w:rsidRDefault="00E30551" w:rsidP="000915B1">
      <w:pPr>
        <w:pStyle w:val="EndnoteText"/>
        <w:rPr>
          <w:lang w:val="en-AU"/>
        </w:rPr>
      </w:pPr>
    </w:p>
  </w:footnote>
  <w:footnote w:id="257">
    <w:p w14:paraId="2EA407E0" w14:textId="4FA2C751" w:rsidR="00C65053" w:rsidRPr="0072758C" w:rsidRDefault="00E30551" w:rsidP="000915B1">
      <w:pPr>
        <w:pStyle w:val="EndnoteText"/>
        <w:ind w:firstLine="720"/>
        <w:rPr>
          <w:lang w:val="en-AU"/>
        </w:rPr>
      </w:pPr>
      <w:r w:rsidRPr="0072758C">
        <w:rPr>
          <w:rStyle w:val="FootnoteReference"/>
          <w:lang w:val="en-AU"/>
        </w:rPr>
        <w:footnoteRef/>
      </w:r>
      <w:r w:rsidRPr="0072758C">
        <w:rPr>
          <w:lang w:val="en-AU"/>
        </w:rPr>
        <w:t xml:space="preserve"> The writings of Hillel have been looked at for </w:t>
      </w:r>
      <w:r w:rsidR="00F94165" w:rsidRPr="0072758C">
        <w:rPr>
          <w:lang w:val="en-AU"/>
        </w:rPr>
        <w:t xml:space="preserve">how he was interpreting the </w:t>
      </w:r>
      <w:r w:rsidR="00F94165" w:rsidRPr="0072758C">
        <w:rPr>
          <w:i/>
          <w:iCs/>
          <w:lang w:val="en-AU"/>
        </w:rPr>
        <w:t>Torah</w:t>
      </w:r>
      <w:r w:rsidR="00F94165" w:rsidRPr="0072758C">
        <w:rPr>
          <w:lang w:val="en-AU"/>
        </w:rPr>
        <w:t xml:space="preserve"> at his time,</w:t>
      </w:r>
      <w:r w:rsidRPr="0072758C">
        <w:rPr>
          <w:lang w:val="en-AU"/>
        </w:rPr>
        <w:t xml:space="preserve"> and </w:t>
      </w:r>
      <w:r w:rsidR="00F94165" w:rsidRPr="0072758C">
        <w:rPr>
          <w:lang w:val="en-AU"/>
        </w:rPr>
        <w:t xml:space="preserve">especially in its </w:t>
      </w:r>
      <w:r w:rsidRPr="0072758C">
        <w:rPr>
          <w:lang w:val="en-AU"/>
        </w:rPr>
        <w:t>relationship to the Hellenism of his day. For more discussion of the Rhetoric developed by Hillel during the Hellenistic time and Jesus, see</w:t>
      </w:r>
      <w:r w:rsidRPr="0072758C">
        <w:rPr>
          <w:i/>
          <w:iCs/>
          <w:lang w:val="en-AU"/>
        </w:rPr>
        <w:t>,</w:t>
      </w:r>
      <w:r w:rsidRPr="0072758C">
        <w:rPr>
          <w:lang w:val="en-AU"/>
        </w:rPr>
        <w:t xml:space="preserve"> Alan Corré’s </w:t>
      </w:r>
      <w:r w:rsidRPr="0072758C">
        <w:rPr>
          <w:i/>
          <w:iCs/>
          <w:lang w:val="en-AU"/>
        </w:rPr>
        <w:t>Understanding the Talmud </w:t>
      </w:r>
      <w:r w:rsidRPr="0072758C">
        <w:rPr>
          <w:lang w:val="en-AU"/>
        </w:rPr>
        <w:t xml:space="preserve">(New York: KTAV, 1975). This does not mean that Hillel is Hellenistic. For more insight into how the Oral Law </w:t>
      </w:r>
      <w:proofErr w:type="gramStart"/>
      <w:r w:rsidRPr="0072758C">
        <w:rPr>
          <w:lang w:val="en-AU"/>
        </w:rPr>
        <w:t>lead</w:t>
      </w:r>
      <w:proofErr w:type="gramEnd"/>
      <w:r w:rsidRPr="0072758C">
        <w:rPr>
          <w:lang w:val="en-AU"/>
        </w:rPr>
        <w:t xml:space="preserve"> to biblical exegesis similar to Jesus’ day, see</w:t>
      </w:r>
      <w:r w:rsidR="001B056B" w:rsidRPr="0072758C">
        <w:rPr>
          <w:lang w:val="en-AU"/>
        </w:rPr>
        <w:t xml:space="preserve"> </w:t>
      </w:r>
      <w:r w:rsidR="0095277B" w:rsidRPr="0072758C">
        <w:rPr>
          <w:lang w:val="en-AU"/>
        </w:rPr>
        <w:t>Judah</w:t>
      </w:r>
      <w:r w:rsidRPr="0072758C">
        <w:rPr>
          <w:lang w:val="en-AU"/>
        </w:rPr>
        <w:t xml:space="preserve"> Goldin, “Hillel the Elder,” </w:t>
      </w:r>
      <w:r w:rsidRPr="0072758C">
        <w:rPr>
          <w:i/>
          <w:iCs/>
          <w:lang w:val="en-AU"/>
        </w:rPr>
        <w:t>Journal of Religion </w:t>
      </w:r>
      <w:r w:rsidRPr="0072758C">
        <w:rPr>
          <w:lang w:val="en-AU"/>
        </w:rPr>
        <w:t>26 (1946): 263–277</w:t>
      </w:r>
      <w:r w:rsidR="00C65053" w:rsidRPr="0072758C">
        <w:rPr>
          <w:lang w:val="en-AU"/>
        </w:rPr>
        <w:t>. For recent scholarship on the similarity of Roman Law and Hillel having similarities in divorce, see Yair Furstenberg, “Provincial Rabbis: Shaping Rabbinic Divorce Procedure in a Roman Legal Environment</w:t>
      </w:r>
      <w:r w:rsidR="009D2DCC" w:rsidRPr="0072758C">
        <w:rPr>
          <w:lang w:val="en-AU"/>
        </w:rPr>
        <w:t>,</w:t>
      </w:r>
      <w:r w:rsidR="00C65053" w:rsidRPr="0072758C">
        <w:rPr>
          <w:lang w:val="en-AU"/>
        </w:rPr>
        <w:t>” </w:t>
      </w:r>
      <w:r w:rsidR="00C65053" w:rsidRPr="0072758C">
        <w:rPr>
          <w:i/>
          <w:iCs/>
          <w:lang w:val="en-AU"/>
        </w:rPr>
        <w:t>Jewish Quarterly Review</w:t>
      </w:r>
      <w:r w:rsidR="00C65053" w:rsidRPr="0072758C">
        <w:rPr>
          <w:lang w:val="en-AU"/>
        </w:rPr>
        <w:t> 109</w:t>
      </w:r>
      <w:r w:rsidR="00B55639" w:rsidRPr="0072758C">
        <w:rPr>
          <w:lang w:val="en-AU"/>
        </w:rPr>
        <w:t xml:space="preserve"> </w:t>
      </w:r>
      <w:r w:rsidR="00C65053" w:rsidRPr="0072758C">
        <w:rPr>
          <w:lang w:val="en-AU"/>
        </w:rPr>
        <w:t>(2019): 471–99.</w:t>
      </w:r>
    </w:p>
    <w:p w14:paraId="51FCF241" w14:textId="77777777" w:rsidR="00E30551" w:rsidRPr="0072758C" w:rsidRDefault="00E30551" w:rsidP="000915B1">
      <w:pPr>
        <w:pStyle w:val="EndnoteText"/>
        <w:rPr>
          <w:lang w:val="en-AU"/>
        </w:rPr>
      </w:pPr>
    </w:p>
  </w:footnote>
  <w:footnote w:id="258">
    <w:p w14:paraId="6FE69215" w14:textId="77777777" w:rsidR="00E30551" w:rsidRPr="0072758C" w:rsidRDefault="00E30551" w:rsidP="000915B1">
      <w:pPr>
        <w:pStyle w:val="EndnoteText"/>
        <w:ind w:firstLine="720"/>
        <w:rPr>
          <w:iCs/>
          <w:lang w:val="en-AU"/>
        </w:rPr>
      </w:pPr>
      <w:r w:rsidRPr="0072758C">
        <w:rPr>
          <w:rStyle w:val="FootnoteReference"/>
          <w:lang w:val="en-AU"/>
        </w:rPr>
        <w:footnoteRef/>
      </w:r>
      <w:r w:rsidRPr="0072758C">
        <w:rPr>
          <w:lang w:val="en-AU"/>
        </w:rPr>
        <w:t xml:space="preserve"> Toperoff, </w:t>
      </w:r>
      <w:r w:rsidRPr="0072758C">
        <w:rPr>
          <w:i/>
          <w:iCs/>
          <w:lang w:val="en-AU"/>
        </w:rPr>
        <w:t xml:space="preserve">Avot, </w:t>
      </w:r>
      <w:r w:rsidRPr="0072758C">
        <w:rPr>
          <w:iCs/>
          <w:lang w:val="en-AU"/>
        </w:rPr>
        <w:t>92.</w:t>
      </w:r>
    </w:p>
  </w:footnote>
  <w:footnote w:id="259">
    <w:p w14:paraId="7B7F3419" w14:textId="77777777" w:rsidR="00E30551" w:rsidRPr="0072758C" w:rsidRDefault="00E30551" w:rsidP="000915B1">
      <w:pPr>
        <w:pStyle w:val="EndnoteText"/>
        <w:rPr>
          <w:lang w:val="en-AU"/>
        </w:rPr>
      </w:pPr>
    </w:p>
    <w:p w14:paraId="6C6081AF" w14:textId="1EDA0FE9" w:rsidR="008304D1" w:rsidRPr="0072758C" w:rsidRDefault="00E30551" w:rsidP="000915B1">
      <w:pPr>
        <w:pStyle w:val="EndnoteText"/>
        <w:ind w:firstLine="720"/>
        <w:rPr>
          <w:i/>
          <w:iCs/>
          <w:lang w:val="en-AU"/>
        </w:rPr>
      </w:pPr>
      <w:r w:rsidRPr="0072758C">
        <w:rPr>
          <w:rStyle w:val="FootnoteReference"/>
          <w:lang w:val="en-AU"/>
        </w:rPr>
        <w:footnoteRef/>
      </w:r>
      <w:r w:rsidRPr="0072758C">
        <w:rPr>
          <w:lang w:val="en-AU"/>
        </w:rPr>
        <w:t xml:space="preserve"> Kravitz and Olitzky, </w:t>
      </w:r>
      <w:r w:rsidRPr="0072758C">
        <w:rPr>
          <w:i/>
          <w:iCs/>
          <w:lang w:val="en-AU"/>
        </w:rPr>
        <w:t xml:space="preserve">Pirke Avot, </w:t>
      </w:r>
      <w:r w:rsidRPr="0072758C">
        <w:rPr>
          <w:iCs/>
          <w:lang w:val="en-AU"/>
        </w:rPr>
        <w:t>21</w:t>
      </w:r>
      <w:r w:rsidR="008304D1" w:rsidRPr="0072758C">
        <w:rPr>
          <w:lang w:val="en-AU"/>
        </w:rPr>
        <w:t>; See also</w:t>
      </w:r>
      <w:r w:rsidR="008304D1" w:rsidRPr="0072758C">
        <w:rPr>
          <w:i/>
          <w:iCs/>
          <w:lang w:val="en-AU"/>
        </w:rPr>
        <w:t xml:space="preserve"> </w:t>
      </w:r>
      <w:r w:rsidR="008304D1" w:rsidRPr="0072758C">
        <w:rPr>
          <w:lang w:val="en-AU"/>
        </w:rPr>
        <w:t xml:space="preserve">Elisha </w:t>
      </w:r>
      <w:proofErr w:type="gramStart"/>
      <w:r w:rsidR="008304D1" w:rsidRPr="0072758C">
        <w:rPr>
          <w:lang w:val="en-AU"/>
        </w:rPr>
        <w:t>Qimron,</w:t>
      </w:r>
      <w:r w:rsidR="008304D1" w:rsidRPr="0072758C">
        <w:rPr>
          <w:rtl/>
          <w:lang w:val="en-AU"/>
        </w:rPr>
        <w:t>אלישע</w:t>
      </w:r>
      <w:proofErr w:type="gramEnd"/>
      <w:r w:rsidR="008304D1" w:rsidRPr="0072758C">
        <w:rPr>
          <w:rtl/>
          <w:lang w:val="en-AU"/>
        </w:rPr>
        <w:t xml:space="preserve"> קימרון. “גס = צד</w:t>
      </w:r>
      <w:r w:rsidR="00F80243" w:rsidRPr="0072758C">
        <w:rPr>
          <w:lang w:val="en-AU"/>
        </w:rPr>
        <w:t>,</w:t>
      </w:r>
      <w:r w:rsidR="008304D1" w:rsidRPr="0072758C">
        <w:rPr>
          <w:lang w:val="en-AU"/>
        </w:rPr>
        <w:t>” </w:t>
      </w:r>
      <w:r w:rsidR="008304D1" w:rsidRPr="0072758C">
        <w:rPr>
          <w:i/>
          <w:iCs/>
          <w:lang w:val="en-AU"/>
        </w:rPr>
        <w:t xml:space="preserve">Lĕšonénu: A Journal for the Study of the Hebrew Language and Cognate Subjects / </w:t>
      </w:r>
      <w:r w:rsidR="008304D1" w:rsidRPr="0072758C">
        <w:rPr>
          <w:i/>
          <w:iCs/>
          <w:rtl/>
          <w:lang w:val="en-AU"/>
        </w:rPr>
        <w:t>לשוננו: כתב-עת לחקר הלשון העברית והתחומים הסמוכים לה</w:t>
      </w:r>
      <w:r w:rsidR="008304D1" w:rsidRPr="0072758C">
        <w:rPr>
          <w:rtl/>
          <w:lang w:val="en-AU"/>
        </w:rPr>
        <w:t> מ</w:t>
      </w:r>
      <w:r w:rsidR="008304D1" w:rsidRPr="0072758C">
        <w:rPr>
          <w:lang w:val="en-AU"/>
        </w:rPr>
        <w:t xml:space="preserve"> (1975): 79.</w:t>
      </w:r>
    </w:p>
    <w:p w14:paraId="1999EFF5" w14:textId="77777777" w:rsidR="00E30551" w:rsidRPr="0072758C" w:rsidRDefault="00E30551" w:rsidP="000915B1">
      <w:pPr>
        <w:pStyle w:val="EndnoteText"/>
        <w:rPr>
          <w:lang w:val="en-AU"/>
        </w:rPr>
      </w:pPr>
    </w:p>
  </w:footnote>
  <w:footnote w:id="260">
    <w:p w14:paraId="20B72512" w14:textId="723EBE3A" w:rsidR="00031CFF" w:rsidRPr="00ED0F6A" w:rsidRDefault="00031CFF" w:rsidP="00ED0F6A">
      <w:pPr>
        <w:pStyle w:val="FootnoteText"/>
        <w:ind w:firstLine="720"/>
        <w:rPr>
          <w:lang w:val="en-US"/>
        </w:rPr>
      </w:pPr>
      <w:r>
        <w:rPr>
          <w:rStyle w:val="FootnoteReference"/>
        </w:rPr>
        <w:footnoteRef/>
      </w:r>
      <w:r>
        <w:t xml:space="preserve"> Joslyn-Siemiatkoski contends that </w:t>
      </w:r>
      <w:r w:rsidR="00702504">
        <w:t xml:space="preserve">Avot 2:10 -2:14 show a shift in teachings indicating a participation in the Rabbinic movement occurring.  Joslyn-Siemiatkoski also indicates that these teachings could be contemporary to Jesus or Jesus’ followers, see Joslyn-Siemiatkoski, </w:t>
      </w:r>
      <w:r w:rsidR="00702504" w:rsidRPr="00ED0F6A">
        <w:rPr>
          <w:i/>
          <w:iCs/>
        </w:rPr>
        <w:t>The More Torah,</w:t>
      </w:r>
      <w:r w:rsidR="00702504">
        <w:t xml:space="preserve"> 144. </w:t>
      </w:r>
    </w:p>
  </w:footnote>
  <w:footnote w:id="261">
    <w:p w14:paraId="41974E30" w14:textId="3C597B56" w:rsidR="00E30551" w:rsidRPr="0072758C" w:rsidRDefault="00E30551" w:rsidP="000915B1">
      <w:pPr>
        <w:pStyle w:val="EndnoteText"/>
        <w:ind w:firstLine="720"/>
        <w:rPr>
          <w:lang w:val="en-AU"/>
        </w:rPr>
      </w:pPr>
      <w:r w:rsidRPr="0072758C">
        <w:rPr>
          <w:rStyle w:val="FootnoteReference"/>
          <w:lang w:val="en-AU"/>
        </w:rPr>
        <w:footnoteRef/>
      </w:r>
      <w:r w:rsidRPr="0072758C">
        <w:rPr>
          <w:lang w:val="en-AU"/>
        </w:rPr>
        <w:t xml:space="preserve"> Moshe Lieber, </w:t>
      </w:r>
      <w:r w:rsidRPr="0072758C">
        <w:rPr>
          <w:i/>
          <w:iCs/>
          <w:lang w:val="en-AU"/>
        </w:rPr>
        <w:t>The Pirkei Avos Treasury</w:t>
      </w:r>
      <w:r w:rsidRPr="0072758C">
        <w:rPr>
          <w:lang w:val="en-AU"/>
        </w:rPr>
        <w:t xml:space="preserve"> (Brooklyn: Mesorah, 1997), 1:106.</w:t>
      </w:r>
    </w:p>
    <w:p w14:paraId="4FDD6350" w14:textId="77777777" w:rsidR="000915B1" w:rsidRPr="0072758C" w:rsidRDefault="000915B1" w:rsidP="000915B1">
      <w:pPr>
        <w:pStyle w:val="EndnoteText"/>
        <w:ind w:firstLine="720"/>
        <w:rPr>
          <w:lang w:val="en-AU"/>
        </w:rPr>
      </w:pPr>
    </w:p>
  </w:footnote>
  <w:footnote w:id="262">
    <w:p w14:paraId="39828EF2" w14:textId="77777777"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 xml:space="preserve">Pirkei Avot </w:t>
      </w:r>
      <w:r w:rsidRPr="0072758C">
        <w:rPr>
          <w:lang w:val="en-AU"/>
        </w:rPr>
        <w:t>2:7.</w:t>
      </w:r>
    </w:p>
    <w:p w14:paraId="60B2B001" w14:textId="77777777" w:rsidR="00194C28" w:rsidRPr="0072758C" w:rsidRDefault="00194C28" w:rsidP="000915B1">
      <w:pPr>
        <w:pStyle w:val="EndnoteText"/>
        <w:rPr>
          <w:lang w:val="en-AU"/>
        </w:rPr>
      </w:pPr>
    </w:p>
  </w:footnote>
  <w:footnote w:id="263">
    <w:p w14:paraId="2921CE8B" w14:textId="4C2C243D" w:rsidR="00BF6A0B"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Günter Stemberger, </w:t>
      </w:r>
      <w:r w:rsidRPr="0072758C">
        <w:rPr>
          <w:i/>
          <w:iCs/>
          <w:lang w:val="en-AU"/>
        </w:rPr>
        <w:t>Scribes, Sages, and Seers: The Sage in the Eastern Mediterranean World</w:t>
      </w:r>
      <w:r w:rsidRPr="0072758C">
        <w:rPr>
          <w:lang w:val="en-AU"/>
        </w:rPr>
        <w:t xml:space="preserve"> (Göttingen: Vandenhoeck &amp; Ruprecht, 2008), 307</w:t>
      </w:r>
      <w:r w:rsidR="00BF6A0B" w:rsidRPr="0072758C">
        <w:rPr>
          <w:lang w:val="en-AU"/>
        </w:rPr>
        <w:t>. See also Manfred R. Lehmann, “Jewish Wisdom Formulae: Ben Sira, the Dead Sea Scrolls, and Pirke Avot</w:t>
      </w:r>
      <w:r w:rsidR="00F80243" w:rsidRPr="0072758C">
        <w:rPr>
          <w:lang w:val="en-AU"/>
        </w:rPr>
        <w:t>,</w:t>
      </w:r>
      <w:r w:rsidR="00BF6A0B" w:rsidRPr="0072758C">
        <w:rPr>
          <w:lang w:val="en-AU"/>
        </w:rPr>
        <w:t>” In </w:t>
      </w:r>
      <w:r w:rsidR="00BF6A0B" w:rsidRPr="0072758C">
        <w:rPr>
          <w:i/>
          <w:iCs/>
          <w:lang w:val="en-AU"/>
        </w:rPr>
        <w:t>Proceedings of the Eleventh World Congress of Jewish Studies, Div A: The Bible and the World</w:t>
      </w:r>
      <w:r w:rsidR="00BF6A0B" w:rsidRPr="0072758C">
        <w:rPr>
          <w:lang w:val="en-AU"/>
        </w:rPr>
        <w:t>, 159–62. Jerusalem, 1994; Aaron Koller, “The Self-Referential Coda to Avot and the Egyptian-Israelite Literary Tradition of Wisdom</w:t>
      </w:r>
      <w:r w:rsidR="009D2DCC" w:rsidRPr="0072758C">
        <w:rPr>
          <w:lang w:val="en-AU"/>
        </w:rPr>
        <w:t>,</w:t>
      </w:r>
      <w:r w:rsidR="00BF6A0B" w:rsidRPr="0072758C">
        <w:rPr>
          <w:lang w:val="en-AU"/>
        </w:rPr>
        <w:t>” </w:t>
      </w:r>
      <w:r w:rsidR="00BF6A0B" w:rsidRPr="0072758C">
        <w:rPr>
          <w:i/>
          <w:iCs/>
          <w:lang w:val="en-AU"/>
        </w:rPr>
        <w:t>Journal of Ancient Judaism</w:t>
      </w:r>
      <w:r w:rsidR="00BF6A0B" w:rsidRPr="0072758C">
        <w:rPr>
          <w:lang w:val="en-AU"/>
        </w:rPr>
        <w:t> 8 (2017): 2–25. </w:t>
      </w:r>
    </w:p>
    <w:p w14:paraId="09177DE1" w14:textId="77777777" w:rsidR="00194C28" w:rsidRPr="0072758C" w:rsidRDefault="00194C28" w:rsidP="000915B1">
      <w:pPr>
        <w:pStyle w:val="EndnoteText"/>
        <w:rPr>
          <w:lang w:val="en-AU"/>
        </w:rPr>
      </w:pPr>
    </w:p>
  </w:footnote>
  <w:footnote w:id="264">
    <w:p w14:paraId="5EE036AF" w14:textId="27BFC956" w:rsidR="00E222AC" w:rsidRPr="00E222AC" w:rsidRDefault="00E222AC" w:rsidP="00E222AC">
      <w:pPr>
        <w:pStyle w:val="FootnoteText"/>
        <w:ind w:firstLine="720"/>
        <w:rPr>
          <w:lang w:val="en-US"/>
        </w:rPr>
      </w:pPr>
      <w:r>
        <w:rPr>
          <w:rStyle w:val="FootnoteReference"/>
        </w:rPr>
        <w:footnoteRef/>
      </w:r>
      <w:r>
        <w:t xml:space="preserve"> Hilla Nava </w:t>
      </w:r>
      <w:r w:rsidRPr="00E222AC">
        <w:rPr>
          <w:lang w:val="en-US"/>
        </w:rPr>
        <w:t>Alouf</w:t>
      </w:r>
      <w:r>
        <w:rPr>
          <w:lang w:val="en-US"/>
        </w:rPr>
        <w:t xml:space="preserve">, </w:t>
      </w:r>
      <w:r w:rsidRPr="00E222AC">
        <w:rPr>
          <w:lang w:val="en-US"/>
        </w:rPr>
        <w:t xml:space="preserve"> "'Halokh ve-daber': Elijah the Prophet as a bearer of wisdom in rabbinic literature" </w:t>
      </w:r>
      <w:r>
        <w:rPr>
          <w:lang w:val="en-US"/>
        </w:rPr>
        <w:t xml:space="preserve">(PhD Diss, </w:t>
      </w:r>
      <w:r w:rsidRPr="00E222AC">
        <w:rPr>
          <w:lang w:val="en-US"/>
        </w:rPr>
        <w:t xml:space="preserve">New York University, </w:t>
      </w:r>
      <w:r>
        <w:rPr>
          <w:lang w:val="en-US"/>
        </w:rPr>
        <w:t>2017)</w:t>
      </w:r>
      <w:r w:rsidR="00E82C6D">
        <w:rPr>
          <w:lang w:val="en-US"/>
        </w:rPr>
        <w:t>,</w:t>
      </w:r>
      <w:r>
        <w:rPr>
          <w:lang w:val="en-US"/>
        </w:rPr>
        <w:t xml:space="preserve"> </w:t>
      </w:r>
      <w:r w:rsidR="00E82C6D">
        <w:rPr>
          <w:lang w:val="en-US"/>
        </w:rPr>
        <w:t>44</w:t>
      </w:r>
      <w:r>
        <w:rPr>
          <w:lang w:val="en-US"/>
        </w:rPr>
        <w:t xml:space="preserve">. </w:t>
      </w:r>
    </w:p>
    <w:p w14:paraId="4C9820DD" w14:textId="5A9EC7F7" w:rsidR="00E222AC" w:rsidRPr="00E222AC" w:rsidRDefault="00E222AC" w:rsidP="00E222AC">
      <w:pPr>
        <w:pStyle w:val="FootnoteText"/>
        <w:ind w:firstLine="720"/>
        <w:rPr>
          <w:lang w:val="en-US"/>
        </w:rPr>
      </w:pPr>
    </w:p>
  </w:footnote>
  <w:footnote w:id="265">
    <w:p w14:paraId="665B4208" w14:textId="7C223492" w:rsidR="00E222AC" w:rsidRDefault="00E222AC" w:rsidP="00E222AC">
      <w:pPr>
        <w:pStyle w:val="FootnoteText"/>
        <w:ind w:firstLine="720"/>
      </w:pPr>
      <w:r>
        <w:rPr>
          <w:rStyle w:val="FootnoteReference"/>
        </w:rPr>
        <w:footnoteRef/>
      </w:r>
      <w:r>
        <w:t xml:space="preserve"> Ibid</w:t>
      </w:r>
      <w:r w:rsidR="00E82C6D">
        <w:t>, 45.</w:t>
      </w:r>
    </w:p>
    <w:p w14:paraId="4747C790" w14:textId="77777777" w:rsidR="00E82C6D" w:rsidRPr="00E222AC" w:rsidRDefault="00E82C6D" w:rsidP="00E222AC">
      <w:pPr>
        <w:pStyle w:val="FootnoteText"/>
        <w:ind w:firstLine="720"/>
        <w:rPr>
          <w:lang w:val="en-US"/>
        </w:rPr>
      </w:pPr>
    </w:p>
  </w:footnote>
  <w:footnote w:id="266">
    <w:p w14:paraId="1801FA35" w14:textId="020CCA3F" w:rsidR="001D5A1A" w:rsidRPr="0072758C" w:rsidRDefault="00194C28" w:rsidP="00F80243">
      <w:pPr>
        <w:pStyle w:val="EndnoteText"/>
        <w:ind w:firstLine="720"/>
        <w:rPr>
          <w:lang w:val="en-AU"/>
        </w:rPr>
      </w:pPr>
      <w:r w:rsidRPr="0072758C">
        <w:rPr>
          <w:rStyle w:val="FootnoteReference"/>
          <w:lang w:val="en-AU"/>
        </w:rPr>
        <w:footnoteRef/>
      </w:r>
      <w:r w:rsidRPr="0072758C">
        <w:rPr>
          <w:lang w:val="en-AU"/>
        </w:rPr>
        <w:t xml:space="preserve"> Anthony Saldarini, </w:t>
      </w:r>
      <w:r w:rsidRPr="0072758C">
        <w:rPr>
          <w:i/>
          <w:iCs/>
          <w:lang w:val="en-AU"/>
        </w:rPr>
        <w:t>Scholastic Rabbanism: A Literary Study of the Fathers According to Rabbi Nathan</w:t>
      </w:r>
      <w:r w:rsidRPr="0072758C">
        <w:rPr>
          <w:lang w:val="en-AU"/>
        </w:rPr>
        <w:t xml:space="preserve"> (Chico: Scholars, 1982)</w:t>
      </w:r>
      <w:r w:rsidR="00F80243" w:rsidRPr="0072758C">
        <w:rPr>
          <w:lang w:val="en-AU"/>
        </w:rPr>
        <w:t>.</w:t>
      </w:r>
    </w:p>
    <w:p w14:paraId="1DC1A5D1" w14:textId="77777777" w:rsidR="00194C28" w:rsidRPr="0072758C" w:rsidRDefault="00194C28" w:rsidP="000915B1">
      <w:pPr>
        <w:pStyle w:val="EndnoteText"/>
        <w:rPr>
          <w:lang w:val="en-AU"/>
        </w:rPr>
      </w:pPr>
    </w:p>
  </w:footnote>
  <w:footnote w:id="267">
    <w:p w14:paraId="308FFDC2" w14:textId="4DB87D09" w:rsidR="00893616" w:rsidRPr="0072758C" w:rsidRDefault="00194C28" w:rsidP="00B50B42">
      <w:pPr>
        <w:pStyle w:val="EndnoteText"/>
        <w:ind w:firstLine="720"/>
        <w:rPr>
          <w:lang w:val="en-AU"/>
        </w:rPr>
      </w:pPr>
      <w:r w:rsidRPr="0072758C">
        <w:rPr>
          <w:rStyle w:val="FootnoteReference"/>
          <w:lang w:val="en-AU"/>
        </w:rPr>
        <w:footnoteRef/>
      </w:r>
      <w:r w:rsidRPr="0072758C">
        <w:rPr>
          <w:lang w:val="en-AU"/>
        </w:rPr>
        <w:t xml:space="preserve"> Rami Shapiro, </w:t>
      </w:r>
      <w:r w:rsidRPr="0072758C">
        <w:rPr>
          <w:i/>
          <w:iCs/>
          <w:lang w:val="en-AU"/>
        </w:rPr>
        <w:t xml:space="preserve">Ethics of the Sages </w:t>
      </w:r>
      <w:r w:rsidRPr="0072758C">
        <w:rPr>
          <w:lang w:val="en-AU"/>
        </w:rPr>
        <w:t xml:space="preserve">(Woodstock: Skylight Paths, 2006), 7; Sefaria.org translates the verse as </w:t>
      </w:r>
      <w:r w:rsidR="00863B47" w:rsidRPr="0072758C">
        <w:rPr>
          <w:lang w:val="en-AU"/>
        </w:rPr>
        <w:t>“</w:t>
      </w:r>
      <w:r w:rsidRPr="0072758C">
        <w:rPr>
          <w:lang w:val="en-AU"/>
        </w:rPr>
        <w:t xml:space="preserve">Yose ben Yoezer, man of Tsreida, and Yose ben Yochanan, man of Jerusalem, received from him. Yose ben Yoezer says, </w:t>
      </w:r>
      <w:r w:rsidR="005C71CB" w:rsidRPr="0072758C">
        <w:rPr>
          <w:lang w:val="en-AU"/>
        </w:rPr>
        <w:t>‘</w:t>
      </w:r>
      <w:r w:rsidRPr="0072758C">
        <w:rPr>
          <w:lang w:val="en-AU"/>
        </w:rPr>
        <w:t>May your house be a meeting house for Sages, become dirty in the dust of their feet and drink their words thirstily.</w:t>
      </w:r>
      <w:r w:rsidR="005C71CB" w:rsidRPr="0072758C">
        <w:rPr>
          <w:lang w:val="en-AU"/>
        </w:rPr>
        <w:t>’</w:t>
      </w:r>
      <w:r w:rsidR="00863B47" w:rsidRPr="0072758C">
        <w:rPr>
          <w:lang w:val="en-AU"/>
        </w:rPr>
        <w:t>”</w:t>
      </w:r>
      <w:r w:rsidRPr="0072758C">
        <w:rPr>
          <w:lang w:val="en-AU"/>
        </w:rPr>
        <w:t xml:space="preserve"> See </w:t>
      </w:r>
      <w:r w:rsidRPr="0072758C">
        <w:rPr>
          <w:i/>
          <w:iCs/>
          <w:lang w:val="en-AU"/>
        </w:rPr>
        <w:t>Pirkei Avot 1:4</w:t>
      </w:r>
      <w:r w:rsidRPr="0072758C">
        <w:rPr>
          <w:lang w:val="en-AU"/>
        </w:rPr>
        <w:t xml:space="preserve"> (2018). </w:t>
      </w:r>
      <w:r w:rsidRPr="0072758C">
        <w:rPr>
          <w:i/>
          <w:iCs/>
          <w:lang w:val="en-AU"/>
        </w:rPr>
        <w:t>Sefaria.org</w:t>
      </w:r>
      <w:r w:rsidRPr="0072758C">
        <w:rPr>
          <w:lang w:val="en-AU"/>
        </w:rPr>
        <w:t xml:space="preserve">. Retrieved 22 March 2018, from </w:t>
      </w:r>
      <w:r w:rsidR="00893616" w:rsidRPr="007B6532">
        <w:rPr>
          <w:lang w:val="en-AU"/>
        </w:rPr>
        <w:t>https://www.sefaria.org/Pirkei_Avot.1.4</w:t>
      </w:r>
      <w:r w:rsidRPr="0072758C">
        <w:rPr>
          <w:lang w:val="en-AU"/>
        </w:rPr>
        <w:t>).</w:t>
      </w:r>
      <w:r w:rsidR="00893616" w:rsidRPr="0072758C">
        <w:rPr>
          <w:lang w:val="en-AU"/>
        </w:rPr>
        <w:t xml:space="preserve"> </w:t>
      </w:r>
    </w:p>
    <w:p w14:paraId="748ADE5E" w14:textId="77777777" w:rsidR="00194C28" w:rsidRPr="0072758C" w:rsidRDefault="00194C28" w:rsidP="000915B1">
      <w:pPr>
        <w:pStyle w:val="EndnoteText"/>
        <w:rPr>
          <w:lang w:val="en-AU"/>
        </w:rPr>
      </w:pPr>
    </w:p>
  </w:footnote>
  <w:footnote w:id="268">
    <w:p w14:paraId="023D81E4" w14:textId="60A3BF20"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Rami Shapiro, </w:t>
      </w:r>
      <w:r w:rsidRPr="0072758C">
        <w:rPr>
          <w:i/>
          <w:iCs/>
          <w:lang w:val="en-AU"/>
        </w:rPr>
        <w:t xml:space="preserve">Ethics of the Sages </w:t>
      </w:r>
      <w:r w:rsidRPr="0072758C">
        <w:rPr>
          <w:lang w:val="en-AU"/>
        </w:rPr>
        <w:t>(Woodstock, VT: Skylight Paths, 2006), 6.</w:t>
      </w:r>
      <w:r w:rsidR="00F26FB8">
        <w:rPr>
          <w:lang w:val="en-AU"/>
        </w:rPr>
        <w:t xml:space="preserve"> Culpepper contends that Avot 1:4 is similar to the teaching of Jesus found in the Sermon on the Mount, see Culpepper, 85.</w:t>
      </w:r>
      <w:r w:rsidR="002D570E">
        <w:rPr>
          <w:lang w:val="en-AU"/>
        </w:rPr>
        <w:t xml:space="preserve"> Joslyn-Siemiatkoski explains that the differences between Christian views are that Jesus is the path and Jewish teachings here are that Torah is to be sought, see </w:t>
      </w:r>
      <w:r w:rsidR="002D570E">
        <w:t xml:space="preserve">Joslyn-Siemiatkoski, </w:t>
      </w:r>
      <w:r w:rsidR="002D570E" w:rsidRPr="00090025">
        <w:rPr>
          <w:i/>
          <w:iCs/>
        </w:rPr>
        <w:t>The More Torah,</w:t>
      </w:r>
      <w:r w:rsidR="002D570E">
        <w:t xml:space="preserve"> 76.</w:t>
      </w:r>
    </w:p>
    <w:p w14:paraId="0CACA979" w14:textId="77777777" w:rsidR="00194C28" w:rsidRPr="0072758C" w:rsidRDefault="00194C28" w:rsidP="000915B1">
      <w:pPr>
        <w:pStyle w:val="EndnoteText"/>
        <w:rPr>
          <w:lang w:val="en-AU"/>
        </w:rPr>
      </w:pPr>
    </w:p>
  </w:footnote>
  <w:footnote w:id="269">
    <w:p w14:paraId="697F2EEF" w14:textId="77777777" w:rsidR="002D570E" w:rsidRDefault="002D570E" w:rsidP="002D570E">
      <w:pPr>
        <w:pStyle w:val="FootnoteText"/>
        <w:ind w:firstLine="720"/>
      </w:pPr>
      <w:r>
        <w:rPr>
          <w:rStyle w:val="FootnoteReference"/>
        </w:rPr>
        <w:footnoteRef/>
      </w:r>
      <w:r>
        <w:t xml:space="preserve"> Joslyn-Siemiatkoski, </w:t>
      </w:r>
      <w:r w:rsidRPr="00090025">
        <w:rPr>
          <w:i/>
          <w:iCs/>
        </w:rPr>
        <w:t>The More Torah,</w:t>
      </w:r>
      <w:r>
        <w:t xml:space="preserve"> 84.</w:t>
      </w:r>
    </w:p>
    <w:p w14:paraId="1624B983" w14:textId="2472F71F" w:rsidR="002D570E" w:rsidRPr="00ED0F6A" w:rsidRDefault="002D570E" w:rsidP="00ED0F6A">
      <w:pPr>
        <w:pStyle w:val="FootnoteText"/>
        <w:ind w:firstLine="720"/>
        <w:rPr>
          <w:lang w:val="en-US"/>
        </w:rPr>
      </w:pPr>
      <w:r>
        <w:t xml:space="preserve"> </w:t>
      </w:r>
    </w:p>
  </w:footnote>
  <w:footnote w:id="270">
    <w:p w14:paraId="6BED9B62" w14:textId="0BCBD3B4"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See</w:t>
      </w:r>
      <w:r w:rsidRPr="0072758C">
        <w:rPr>
          <w:i/>
          <w:iCs/>
          <w:lang w:val="en-AU"/>
        </w:rPr>
        <w:t xml:space="preserve"> </w:t>
      </w:r>
      <w:r w:rsidRPr="0072758C">
        <w:rPr>
          <w:lang w:val="en-AU"/>
        </w:rPr>
        <w:t xml:space="preserve">Peter Schäfer, </w:t>
      </w:r>
      <w:r w:rsidRPr="0072758C">
        <w:rPr>
          <w:i/>
          <w:iCs/>
          <w:lang w:val="en-AU"/>
        </w:rPr>
        <w:t>Mirror of His Beauty: Feminine Images of God from the Bible to the Early Kabbala</w:t>
      </w:r>
      <w:r w:rsidRPr="0072758C">
        <w:rPr>
          <w:lang w:val="en-AU"/>
        </w:rPr>
        <w:t xml:space="preserve"> (Princeton: Princeton University Press, 2002), 217</w:t>
      </w:r>
      <w:r w:rsidR="00504DF1" w:rsidRPr="0072758C">
        <w:rPr>
          <w:lang w:val="en-AU"/>
        </w:rPr>
        <w:t>–</w:t>
      </w:r>
      <w:r w:rsidRPr="0072758C">
        <w:rPr>
          <w:lang w:val="en-AU"/>
        </w:rPr>
        <w:t>43.</w:t>
      </w:r>
    </w:p>
    <w:p w14:paraId="156EFC42" w14:textId="77777777" w:rsidR="00194C28" w:rsidRPr="0072758C" w:rsidRDefault="00194C28" w:rsidP="000915B1">
      <w:pPr>
        <w:pStyle w:val="EndnoteText"/>
        <w:rPr>
          <w:lang w:val="en-AU"/>
        </w:rPr>
      </w:pPr>
    </w:p>
  </w:footnote>
  <w:footnote w:id="271">
    <w:p w14:paraId="5DD03AFA" w14:textId="747E640A"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Philip S. Alexander, </w:t>
      </w:r>
      <w:r w:rsidR="00863B47" w:rsidRPr="0072758C">
        <w:rPr>
          <w:lang w:val="en-AU"/>
        </w:rPr>
        <w:t>“</w:t>
      </w:r>
      <w:r w:rsidR="005C71CB" w:rsidRPr="0072758C">
        <w:rPr>
          <w:lang w:val="en-AU"/>
        </w:rPr>
        <w:t>‘</w:t>
      </w:r>
      <w:r w:rsidRPr="0072758C">
        <w:rPr>
          <w:lang w:val="en-AU"/>
        </w:rPr>
        <w:t>The Parting of the Ways</w:t>
      </w:r>
      <w:r w:rsidR="005C71CB" w:rsidRPr="0072758C">
        <w:rPr>
          <w:lang w:val="en-AU"/>
        </w:rPr>
        <w:t>’</w:t>
      </w:r>
      <w:r w:rsidRPr="0072758C">
        <w:rPr>
          <w:lang w:val="en-AU"/>
        </w:rPr>
        <w:t xml:space="preserve"> from the Perspective of Rabbinic Judaism,</w:t>
      </w:r>
      <w:r w:rsidR="00863B47" w:rsidRPr="0072758C">
        <w:rPr>
          <w:lang w:val="en-AU"/>
        </w:rPr>
        <w:t>”</w:t>
      </w:r>
      <w:r w:rsidRPr="0072758C">
        <w:rPr>
          <w:lang w:val="en-AU"/>
        </w:rPr>
        <w:t xml:space="preserve"> in </w:t>
      </w:r>
      <w:r w:rsidRPr="0072758C">
        <w:rPr>
          <w:i/>
          <w:iCs/>
          <w:lang w:val="en-AU"/>
        </w:rPr>
        <w:t>Jews and Christians: the parting of the ways, A.D. 70 to 135: The Second Durham-Tübingen Research Symposium on Earliest Christianity and Judaism</w:t>
      </w:r>
      <w:r w:rsidRPr="0072758C">
        <w:rPr>
          <w:lang w:val="en-AU"/>
        </w:rPr>
        <w:t xml:space="preserve"> (Tübingen: Paul Siebeck, 1992), 2.</w:t>
      </w:r>
    </w:p>
    <w:p w14:paraId="18738235" w14:textId="77777777" w:rsidR="00194C28" w:rsidRPr="0072758C" w:rsidRDefault="00194C28" w:rsidP="000915B1">
      <w:pPr>
        <w:pStyle w:val="EndnoteText"/>
        <w:rPr>
          <w:lang w:val="en-AU"/>
        </w:rPr>
      </w:pPr>
    </w:p>
  </w:footnote>
  <w:footnote w:id="272">
    <w:p w14:paraId="7B26EC88" w14:textId="2EA10659"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Alexander Guttman, </w:t>
      </w:r>
      <w:r w:rsidR="00863B47" w:rsidRPr="0072758C">
        <w:rPr>
          <w:lang w:val="en-AU"/>
        </w:rPr>
        <w:t>“</w:t>
      </w:r>
      <w:r w:rsidRPr="0072758C">
        <w:rPr>
          <w:lang w:val="en-AU"/>
        </w:rPr>
        <w:t>Abot: Its Place in Rabbinic Literature,</w:t>
      </w:r>
      <w:r w:rsidR="00863B47" w:rsidRPr="0072758C">
        <w:rPr>
          <w:lang w:val="en-AU"/>
        </w:rPr>
        <w:t>”</w:t>
      </w:r>
      <w:r w:rsidRPr="0072758C">
        <w:rPr>
          <w:lang w:val="en-AU"/>
        </w:rPr>
        <w:t xml:space="preserve"> </w:t>
      </w:r>
      <w:r w:rsidRPr="0072758C">
        <w:rPr>
          <w:i/>
          <w:iCs/>
          <w:lang w:val="en-AU"/>
        </w:rPr>
        <w:t>The Jewish Quarterly Review</w:t>
      </w:r>
      <w:r w:rsidRPr="0072758C">
        <w:rPr>
          <w:lang w:val="en-AU"/>
        </w:rPr>
        <w:t xml:space="preserve"> 41</w:t>
      </w:r>
      <w:r w:rsidR="00F80243" w:rsidRPr="0072758C">
        <w:rPr>
          <w:lang w:val="en-AU"/>
        </w:rPr>
        <w:t xml:space="preserve"> </w:t>
      </w:r>
      <w:r w:rsidRPr="0072758C">
        <w:rPr>
          <w:lang w:val="en-AU"/>
        </w:rPr>
        <w:t>(1950): 189.</w:t>
      </w:r>
    </w:p>
  </w:footnote>
  <w:footnote w:id="273">
    <w:p w14:paraId="1F4D1645" w14:textId="77777777"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Pirkei Avot 1:12</w:t>
      </w:r>
      <w:r w:rsidRPr="0072758C">
        <w:rPr>
          <w:lang w:val="en-AU"/>
        </w:rPr>
        <w:t>. (2018). </w:t>
      </w:r>
      <w:r w:rsidRPr="0072758C">
        <w:rPr>
          <w:i/>
          <w:iCs/>
          <w:lang w:val="en-AU"/>
        </w:rPr>
        <w:t>Sefaria.org</w:t>
      </w:r>
      <w:r w:rsidRPr="0072758C">
        <w:rPr>
          <w:lang w:val="en-AU"/>
        </w:rPr>
        <w:t>. Retrieved 22 March 2018, from https://www.sefaria.org/Pirkei_Avot.1.12.</w:t>
      </w:r>
    </w:p>
    <w:p w14:paraId="6B5C0817" w14:textId="77777777" w:rsidR="00194C28" w:rsidRPr="0072758C" w:rsidRDefault="00194C28" w:rsidP="000915B1">
      <w:pPr>
        <w:pStyle w:val="EndnoteText"/>
        <w:rPr>
          <w:rtl/>
          <w:lang w:val="en-AU"/>
        </w:rPr>
      </w:pPr>
    </w:p>
  </w:footnote>
  <w:footnote w:id="274">
    <w:p w14:paraId="5FB29E8B" w14:textId="63316940" w:rsidR="00C71DD4" w:rsidRPr="00ED0F6A" w:rsidRDefault="00194C28" w:rsidP="00F26FB8">
      <w:pPr>
        <w:pStyle w:val="EndnoteText"/>
        <w:ind w:firstLine="720"/>
        <w:rPr>
          <w:i/>
          <w:iCs/>
          <w:lang w:val="en-AU"/>
        </w:rPr>
      </w:pPr>
      <w:r w:rsidRPr="0072758C">
        <w:rPr>
          <w:rStyle w:val="FootnoteReference"/>
          <w:lang w:val="en-AU"/>
        </w:rPr>
        <w:footnoteRef/>
      </w:r>
      <w:r w:rsidRPr="0072758C">
        <w:rPr>
          <w:lang w:val="en-AU"/>
        </w:rPr>
        <w:t xml:space="preserve"> The exact dating of Hillel and Shammai is left to the Oral Tradition, but we know from other writings that it overlapped with Herod the Great. It is assumed that the two houses of leadership existed until the destruction of the Temple. For more information on identifying who Hillel and Shammai are, see</w:t>
      </w:r>
      <w:r w:rsidRPr="0072758C">
        <w:rPr>
          <w:i/>
          <w:iCs/>
          <w:lang w:val="en-AU"/>
        </w:rPr>
        <w:t xml:space="preserve"> </w:t>
      </w:r>
      <w:r w:rsidRPr="0072758C">
        <w:rPr>
          <w:lang w:val="en-AU"/>
        </w:rPr>
        <w:t xml:space="preserve">E. Schuerer, </w:t>
      </w:r>
      <w:r w:rsidRPr="0072758C">
        <w:rPr>
          <w:i/>
          <w:iCs/>
          <w:lang w:val="en-AU"/>
        </w:rPr>
        <w:t>The History of the Jewish People in the Age of Jesus Christ</w:t>
      </w:r>
      <w:r w:rsidRPr="0072758C">
        <w:rPr>
          <w:lang w:val="en-AU"/>
        </w:rPr>
        <w:t>, vol. II, revised and edited by G. Vermes, F. Millar, M. Black (Edinburgh: 1982), 362</w:t>
      </w:r>
      <w:r w:rsidR="00504DF1" w:rsidRPr="0072758C">
        <w:rPr>
          <w:lang w:val="en-AU"/>
        </w:rPr>
        <w:t>–</w:t>
      </w:r>
      <w:r w:rsidRPr="0072758C">
        <w:rPr>
          <w:lang w:val="en-AU"/>
        </w:rPr>
        <w:t>63; G.F. Moore,</w:t>
      </w:r>
      <w:r w:rsidRPr="0072758C">
        <w:rPr>
          <w:i/>
          <w:iCs/>
          <w:lang w:val="en-AU"/>
        </w:rPr>
        <w:t> Judaism in the First Centuries of</w:t>
      </w:r>
      <w:r w:rsidR="00F26FB8">
        <w:rPr>
          <w:i/>
          <w:iCs/>
          <w:lang w:val="en-AU"/>
        </w:rPr>
        <w:t xml:space="preserve"> </w:t>
      </w:r>
      <w:r w:rsidRPr="0072758C">
        <w:rPr>
          <w:i/>
          <w:iCs/>
          <w:lang w:val="en-AU"/>
        </w:rPr>
        <w:t>the</w:t>
      </w:r>
      <w:r w:rsidR="00F26FB8">
        <w:rPr>
          <w:i/>
          <w:iCs/>
          <w:lang w:val="en-AU"/>
        </w:rPr>
        <w:t xml:space="preserve"> </w:t>
      </w:r>
      <w:r w:rsidRPr="0072758C">
        <w:rPr>
          <w:i/>
          <w:iCs/>
          <w:lang w:val="en-AU"/>
        </w:rPr>
        <w:t>Christian Era</w:t>
      </w:r>
      <w:r w:rsidRPr="0072758C">
        <w:rPr>
          <w:lang w:val="en-AU"/>
        </w:rPr>
        <w:t> (Cambridge:1946), 1</w:t>
      </w:r>
      <w:r w:rsidR="00F80243" w:rsidRPr="0072758C">
        <w:rPr>
          <w:lang w:val="en-AU"/>
        </w:rPr>
        <w:t>:</w:t>
      </w:r>
      <w:r w:rsidRPr="0072758C">
        <w:rPr>
          <w:lang w:val="en-AU"/>
        </w:rPr>
        <w:t xml:space="preserve">313; L.H. Feldman, </w:t>
      </w:r>
      <w:r w:rsidR="00863B47" w:rsidRPr="0072758C">
        <w:rPr>
          <w:lang w:val="en-AU"/>
        </w:rPr>
        <w:t>“</w:t>
      </w:r>
      <w:r w:rsidRPr="0072758C">
        <w:rPr>
          <w:lang w:val="en-AU"/>
        </w:rPr>
        <w:t>The identity of Pollio, the Pharisee, in Josephus,</w:t>
      </w:r>
      <w:r w:rsidR="00863B47" w:rsidRPr="0072758C">
        <w:rPr>
          <w:lang w:val="en-AU"/>
        </w:rPr>
        <w:t>”</w:t>
      </w:r>
      <w:r w:rsidRPr="0072758C">
        <w:rPr>
          <w:i/>
          <w:iCs/>
          <w:lang w:val="en-AU"/>
        </w:rPr>
        <w:t> J</w:t>
      </w:r>
      <w:r w:rsidR="00F80243" w:rsidRPr="0072758C">
        <w:rPr>
          <w:i/>
          <w:iCs/>
          <w:lang w:val="en-AU"/>
        </w:rPr>
        <w:t xml:space="preserve">ewish Quarterly Review </w:t>
      </w:r>
      <w:r w:rsidRPr="0072758C">
        <w:rPr>
          <w:lang w:val="en-AU"/>
        </w:rPr>
        <w:t>49 (1958)</w:t>
      </w:r>
      <w:r w:rsidR="00F80243" w:rsidRPr="0072758C">
        <w:rPr>
          <w:lang w:val="en-AU"/>
        </w:rPr>
        <w:t>:</w:t>
      </w:r>
      <w:r w:rsidRPr="0072758C">
        <w:rPr>
          <w:lang w:val="en-AU"/>
        </w:rPr>
        <w:t xml:space="preserve"> 53</w:t>
      </w:r>
      <w:r w:rsidR="00504DF1" w:rsidRPr="0072758C">
        <w:rPr>
          <w:lang w:val="en-AU"/>
        </w:rPr>
        <w:t>–</w:t>
      </w:r>
      <w:r w:rsidRPr="0072758C">
        <w:rPr>
          <w:lang w:val="en-AU"/>
        </w:rPr>
        <w:t xml:space="preserve">62; I. Ben-Shalom, </w:t>
      </w:r>
      <w:r w:rsidRPr="0072758C">
        <w:rPr>
          <w:i/>
          <w:iCs/>
          <w:lang w:val="en-AU"/>
        </w:rPr>
        <w:t>The School of Shammai and the Zealots</w:t>
      </w:r>
      <w:r w:rsidR="005C71CB" w:rsidRPr="0072758C">
        <w:rPr>
          <w:i/>
          <w:iCs/>
          <w:lang w:val="en-AU"/>
        </w:rPr>
        <w:t>’</w:t>
      </w:r>
      <w:r w:rsidRPr="0072758C">
        <w:rPr>
          <w:i/>
          <w:iCs/>
          <w:lang w:val="en-AU"/>
        </w:rPr>
        <w:t xml:space="preserve"> Struggle against Rome</w:t>
      </w:r>
      <w:r w:rsidRPr="0072758C">
        <w:rPr>
          <w:lang w:val="en-AU"/>
        </w:rPr>
        <w:t> (Hebrew), (Jerusalem: Yad Izhak Ben-Zvi, 1993), 289</w:t>
      </w:r>
      <w:r w:rsidR="00504DF1" w:rsidRPr="0072758C">
        <w:rPr>
          <w:lang w:val="en-AU"/>
        </w:rPr>
        <w:t>–</w:t>
      </w:r>
      <w:r w:rsidRPr="0072758C">
        <w:rPr>
          <w:lang w:val="en-AU"/>
        </w:rPr>
        <w:t>92. There were many differences in theology and Torah interpretation for both Hillel and Shammai</w:t>
      </w:r>
      <w:r w:rsidR="001D6521" w:rsidRPr="0072758C">
        <w:rPr>
          <w:lang w:val="en-AU"/>
        </w:rPr>
        <w:t xml:space="preserve">. </w:t>
      </w:r>
      <w:r w:rsidRPr="0072758C">
        <w:rPr>
          <w:lang w:val="en-AU"/>
        </w:rPr>
        <w:t>It has been suggested by scholarship that the House of Shammai is wealthy aristocratic in nature while the House of Hillel was poor and pacifist in nature</w:t>
      </w:r>
      <w:r w:rsidR="00DD168B" w:rsidRPr="0072758C">
        <w:rPr>
          <w:lang w:val="en-AU"/>
        </w:rPr>
        <w:t xml:space="preserve">. </w:t>
      </w:r>
      <w:r w:rsidR="00C71DD4" w:rsidRPr="0072758C">
        <w:rPr>
          <w:lang w:val="en-AU"/>
        </w:rPr>
        <w:t>For more information on the dates and life of Hillel and Shammai, see Moshe Simon-Shoshan, “‘These and Those Are the Words of the Living God, but …’: Meaning, Background, and Reception of an Early Rabbinic Teaching</w:t>
      </w:r>
      <w:r w:rsidR="00F013F4" w:rsidRPr="0072758C">
        <w:rPr>
          <w:lang w:val="en-AU"/>
        </w:rPr>
        <w:t>,</w:t>
      </w:r>
      <w:r w:rsidR="00C71DD4" w:rsidRPr="0072758C">
        <w:rPr>
          <w:lang w:val="en-AU"/>
        </w:rPr>
        <w:t>” </w:t>
      </w:r>
      <w:r w:rsidR="00C71DD4" w:rsidRPr="0072758C">
        <w:rPr>
          <w:i/>
          <w:iCs/>
          <w:lang w:val="en-AU"/>
        </w:rPr>
        <w:t>A</w:t>
      </w:r>
      <w:r w:rsidR="00F80243" w:rsidRPr="0072758C">
        <w:rPr>
          <w:i/>
          <w:iCs/>
          <w:lang w:val="en-AU"/>
        </w:rPr>
        <w:t xml:space="preserve">ssociation Jewish Studies </w:t>
      </w:r>
      <w:r w:rsidR="00C71DD4" w:rsidRPr="0072758C">
        <w:rPr>
          <w:lang w:val="en-AU"/>
        </w:rPr>
        <w:t>45</w:t>
      </w:r>
      <w:r w:rsidR="00C82076" w:rsidRPr="0072758C">
        <w:rPr>
          <w:lang w:val="en-AU"/>
        </w:rPr>
        <w:t xml:space="preserve"> </w:t>
      </w:r>
      <w:r w:rsidR="00C71DD4" w:rsidRPr="0072758C">
        <w:rPr>
          <w:lang w:val="en-AU"/>
        </w:rPr>
        <w:t xml:space="preserve">(2021): 382–410. </w:t>
      </w:r>
      <w:r w:rsidR="00F61CE8">
        <w:rPr>
          <w:lang w:val="en-AU"/>
        </w:rPr>
        <w:t xml:space="preserve">Joslyn-Siemiatkoski cautions that drawing parallels to Hillel’s teachings and Jesus’ teachings should be done with care because scholars will often try and draw theological conclusions about the superiority of Hillel or Jesus over one another.  Joslyn-Siemiatkoski gives good advice that non-supersessionist theology should be the voice during comparison, see </w:t>
      </w:r>
      <w:r w:rsidR="00F61CE8">
        <w:t xml:space="preserve">Joslyn-Siemiatkoski, </w:t>
      </w:r>
      <w:r w:rsidR="00F61CE8" w:rsidRPr="00090025">
        <w:rPr>
          <w:i/>
          <w:iCs/>
        </w:rPr>
        <w:t>The More Torah,</w:t>
      </w:r>
      <w:r w:rsidR="00F61CE8">
        <w:t xml:space="preserve"> 101.  This dissertation takes this comparative model with care. </w:t>
      </w:r>
    </w:p>
    <w:p w14:paraId="31B441A0" w14:textId="36C149F7" w:rsidR="00194C28" w:rsidRPr="0072758C" w:rsidRDefault="00194C28" w:rsidP="000915B1">
      <w:pPr>
        <w:pStyle w:val="EndnoteText"/>
        <w:rPr>
          <w:lang w:val="en-AU"/>
        </w:rPr>
      </w:pPr>
      <w:r w:rsidRPr="0072758C">
        <w:rPr>
          <w:lang w:val="en-AU"/>
        </w:rPr>
        <w:t xml:space="preserve"> </w:t>
      </w:r>
    </w:p>
  </w:footnote>
  <w:footnote w:id="275">
    <w:p w14:paraId="4EBAEDDD" w14:textId="26B20E89"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It is noteworthy to state that during the time of </w:t>
      </w:r>
      <w:r w:rsidRPr="0072758C">
        <w:rPr>
          <w:i/>
          <w:iCs/>
          <w:lang w:val="en-AU"/>
        </w:rPr>
        <w:t>Mishna Avot 1:12</w:t>
      </w:r>
      <w:r w:rsidRPr="0072758C">
        <w:rPr>
          <w:lang w:val="en-AU"/>
        </w:rPr>
        <w:t xml:space="preserve"> the priests in charge were from the line of Aaron; thus, they held a spiritual ordination from Aaron. This means that the line of Aaron would transmit the sin offering to an animal by laying hands on the neck of the animal on offering sacrifice. This was abolished with the downfall of the Temple and the transfer of Jewish leadership to the Pharisees. </w:t>
      </w:r>
      <w:r w:rsidRPr="0072758C">
        <w:rPr>
          <w:i/>
          <w:iCs/>
          <w:lang w:val="en-AU"/>
        </w:rPr>
        <w:t>Avot 1:12</w:t>
      </w:r>
      <w:r w:rsidRPr="0072758C">
        <w:rPr>
          <w:lang w:val="en-AU"/>
        </w:rPr>
        <w:t xml:space="preserve"> shows the sacredness of the animal who will receive the sin offering. </w:t>
      </w:r>
    </w:p>
    <w:p w14:paraId="08A1E968" w14:textId="77777777" w:rsidR="00194C28" w:rsidRPr="0072758C" w:rsidRDefault="00194C28" w:rsidP="000915B1">
      <w:pPr>
        <w:pStyle w:val="EndnoteText"/>
        <w:rPr>
          <w:lang w:val="en-AU"/>
        </w:rPr>
      </w:pPr>
    </w:p>
  </w:footnote>
  <w:footnote w:id="276">
    <w:p w14:paraId="775AC00E" w14:textId="5FDDCBA3"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w:t>
      </w:r>
      <w:r w:rsidRPr="0072758C">
        <w:rPr>
          <w:color w:val="000000" w:themeColor="text1"/>
          <w:lang w:val="en-AU"/>
        </w:rPr>
        <w:t xml:space="preserve">The Sanhedrin 6b states </w:t>
      </w:r>
      <w:r w:rsidR="00863B47" w:rsidRPr="0072758C">
        <w:rPr>
          <w:color w:val="000000" w:themeColor="text1"/>
          <w:lang w:val="en-AU"/>
        </w:rPr>
        <w:t>“</w:t>
      </w:r>
      <w:r w:rsidRPr="0072758C">
        <w:rPr>
          <w:color w:val="000000" w:themeColor="text1"/>
          <w:lang w:val="en-AU"/>
        </w:rPr>
        <w:t xml:space="preserve">Rather, the judge must assure that the true judgment will prevail at all costs and metaphorically pierce the mountain, as it is stated: </w:t>
      </w:r>
      <w:r w:rsidR="00863B47" w:rsidRPr="0072758C">
        <w:rPr>
          <w:color w:val="000000" w:themeColor="text1"/>
          <w:lang w:val="en-AU"/>
        </w:rPr>
        <w:t>“</w:t>
      </w:r>
      <w:r w:rsidRPr="0072758C">
        <w:rPr>
          <w:color w:val="000000" w:themeColor="text1"/>
          <w:lang w:val="en-AU"/>
        </w:rPr>
        <w:t>For the judgment is God</w:t>
      </w:r>
      <w:r w:rsidR="005C71CB" w:rsidRPr="0072758C">
        <w:rPr>
          <w:color w:val="000000" w:themeColor="text1"/>
          <w:lang w:val="en-AU"/>
        </w:rPr>
        <w:t>’</w:t>
      </w:r>
      <w:r w:rsidRPr="0072758C">
        <w:rPr>
          <w:color w:val="000000" w:themeColor="text1"/>
          <w:lang w:val="en-AU"/>
        </w:rPr>
        <w:t>s</w:t>
      </w:r>
      <w:r w:rsidR="00863B47" w:rsidRPr="0072758C">
        <w:rPr>
          <w:color w:val="000000" w:themeColor="text1"/>
          <w:lang w:val="en-AU"/>
        </w:rPr>
        <w:t>”</w:t>
      </w:r>
      <w:r w:rsidRPr="0072758C">
        <w:rPr>
          <w:color w:val="000000" w:themeColor="text1"/>
          <w:lang w:val="en-AU"/>
        </w:rPr>
        <w:t xml:space="preserve"> (Deuteronomy 1:17). And similarly, Moses would say: Let the judgment pierce the mountain. But by contrast, Aaron, whose role was not that of a judge, was a lover of peace and a pursuer of peace, and he would apply peace between one person and the other, as it is stated: </w:t>
      </w:r>
      <w:r w:rsidR="00863B47" w:rsidRPr="0072758C">
        <w:rPr>
          <w:color w:val="000000" w:themeColor="text1"/>
          <w:lang w:val="en-AU"/>
        </w:rPr>
        <w:t>“</w:t>
      </w:r>
      <w:r w:rsidRPr="0072758C">
        <w:rPr>
          <w:color w:val="000000" w:themeColor="text1"/>
          <w:lang w:val="en-AU"/>
        </w:rPr>
        <w:t>The law of truth was in his mouth, and unrighteousness was not found in his lips; he walked with Me in peace and uprightness, and turned many away from iniquity</w:t>
      </w:r>
      <w:r w:rsidR="00863B47" w:rsidRPr="0072758C">
        <w:rPr>
          <w:color w:val="000000" w:themeColor="text1"/>
          <w:lang w:val="en-AU"/>
        </w:rPr>
        <w:t>”</w:t>
      </w:r>
      <w:r w:rsidRPr="0072758C">
        <w:rPr>
          <w:color w:val="000000" w:themeColor="text1"/>
          <w:lang w:val="en-AU"/>
        </w:rPr>
        <w:t xml:space="preserve"> (Malachi 2:6).</w:t>
      </w:r>
      <w:r w:rsidR="00863B47" w:rsidRPr="0072758C">
        <w:rPr>
          <w:color w:val="000000" w:themeColor="text1"/>
          <w:lang w:val="en-AU"/>
        </w:rPr>
        <w:t>”</w:t>
      </w:r>
      <w:r w:rsidR="00F26FB8">
        <w:rPr>
          <w:color w:val="000000" w:themeColor="text1"/>
          <w:lang w:val="en-AU"/>
        </w:rPr>
        <w:t xml:space="preserve"> Culpepper contends that </w:t>
      </w:r>
      <w:r w:rsidR="003E64B1">
        <w:rPr>
          <w:color w:val="000000" w:themeColor="text1"/>
          <w:lang w:val="en-AU"/>
        </w:rPr>
        <w:t>Avot 1:12 follows in the peace sayings of the Beatitudes and influences b. Ber. 64a, see Culpepper, 96.</w:t>
      </w:r>
    </w:p>
    <w:p w14:paraId="2ACF9201" w14:textId="77777777" w:rsidR="00194C28" w:rsidRPr="0072758C" w:rsidRDefault="00194C28" w:rsidP="000915B1">
      <w:pPr>
        <w:pStyle w:val="EndnoteText"/>
        <w:rPr>
          <w:lang w:val="en-AU"/>
        </w:rPr>
      </w:pPr>
    </w:p>
  </w:footnote>
  <w:footnote w:id="277">
    <w:p w14:paraId="609CF56D" w14:textId="77777777"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Simeon the Righteous is either Simon I (310–291 or 300–273 BCE), son of Onias I, and grandson of Jaddua, or Simon II (219–199 BCE), son of Onias II. </w:t>
      </w:r>
    </w:p>
    <w:p w14:paraId="0080432C" w14:textId="77777777" w:rsidR="00194C28" w:rsidRPr="0072758C" w:rsidRDefault="00194C28" w:rsidP="000915B1">
      <w:pPr>
        <w:pStyle w:val="EndnoteText"/>
        <w:rPr>
          <w:lang w:val="en-AU"/>
        </w:rPr>
      </w:pPr>
    </w:p>
  </w:footnote>
  <w:footnote w:id="278">
    <w:p w14:paraId="6290AD7A" w14:textId="6846B16A"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Pirkei Avot 1:12</w:t>
      </w:r>
      <w:r w:rsidRPr="0072758C">
        <w:rPr>
          <w:lang w:val="en-AU"/>
        </w:rPr>
        <w:t>. (2018). </w:t>
      </w:r>
      <w:r w:rsidRPr="0072758C">
        <w:rPr>
          <w:i/>
          <w:iCs/>
          <w:lang w:val="en-AU"/>
        </w:rPr>
        <w:t>Sefaria.org</w:t>
      </w:r>
      <w:r w:rsidRPr="0072758C">
        <w:rPr>
          <w:lang w:val="en-AU"/>
        </w:rPr>
        <w:t xml:space="preserve">. </w:t>
      </w:r>
    </w:p>
  </w:footnote>
  <w:footnote w:id="279">
    <w:p w14:paraId="517F4F8B" w14:textId="77777777" w:rsidR="00222D57" w:rsidRDefault="00222D57" w:rsidP="00222D57">
      <w:pPr>
        <w:pStyle w:val="FootnoteText"/>
        <w:ind w:firstLine="720"/>
      </w:pPr>
    </w:p>
    <w:p w14:paraId="1329126F" w14:textId="6D81C702" w:rsidR="00222D57" w:rsidRPr="00ED0F6A" w:rsidRDefault="00222D57" w:rsidP="00ED0F6A">
      <w:pPr>
        <w:pStyle w:val="FootnoteText"/>
        <w:ind w:firstLine="720"/>
        <w:rPr>
          <w:lang w:val="en-US"/>
        </w:rPr>
      </w:pPr>
      <w:r>
        <w:rPr>
          <w:rStyle w:val="FootnoteReference"/>
        </w:rPr>
        <w:footnoteRef/>
      </w:r>
      <w:r>
        <w:t xml:space="preserve"> Joslyn-Siemiatkoski suggest that the Greco-Roman culture used the word </w:t>
      </w:r>
      <w:r>
        <w:rPr>
          <w:i/>
          <w:iCs/>
        </w:rPr>
        <w:t>peras</w:t>
      </w:r>
      <w:r>
        <w:t xml:space="preserve"> as reward and refers not to money but to food rations to slaves, see Joslyn-Siemiatkoski, </w:t>
      </w:r>
      <w:r w:rsidRPr="00090025">
        <w:rPr>
          <w:i/>
          <w:iCs/>
        </w:rPr>
        <w:t>The More Torah,</w:t>
      </w:r>
      <w:r>
        <w:t xml:space="preserve"> 63. </w:t>
      </w:r>
    </w:p>
  </w:footnote>
  <w:footnote w:id="280">
    <w:p w14:paraId="635C0BF1" w14:textId="77777777" w:rsidR="00194C28" w:rsidRPr="0072758C" w:rsidRDefault="00194C28" w:rsidP="00AB7CAD">
      <w:pPr>
        <w:pStyle w:val="EndnoteText"/>
        <w:rPr>
          <w:lang w:val="en-AU"/>
        </w:rPr>
      </w:pPr>
    </w:p>
    <w:p w14:paraId="5D430899" w14:textId="77777777" w:rsidR="00194C28" w:rsidRPr="0072758C" w:rsidRDefault="00194C28" w:rsidP="000915B1">
      <w:pPr>
        <w:pStyle w:val="EndnoteText"/>
        <w:ind w:firstLine="720"/>
        <w:rPr>
          <w:iCs/>
          <w:lang w:val="en-AU"/>
        </w:rPr>
      </w:pPr>
      <w:r w:rsidRPr="0072758C">
        <w:rPr>
          <w:rStyle w:val="FootnoteReference"/>
          <w:lang w:val="en-AU"/>
        </w:rPr>
        <w:footnoteRef/>
      </w:r>
      <w:r w:rsidRPr="0072758C">
        <w:rPr>
          <w:lang w:val="en-AU"/>
        </w:rPr>
        <w:t xml:space="preserve"> Kravitz and Olitzky, </w:t>
      </w:r>
      <w:r w:rsidRPr="0072758C">
        <w:rPr>
          <w:i/>
          <w:iCs/>
          <w:lang w:val="en-AU"/>
        </w:rPr>
        <w:t xml:space="preserve">Pirke Avot, </w:t>
      </w:r>
      <w:r w:rsidRPr="0072758C">
        <w:rPr>
          <w:iCs/>
          <w:lang w:val="en-AU"/>
        </w:rPr>
        <w:t>3.</w:t>
      </w:r>
    </w:p>
    <w:p w14:paraId="6FADAC92" w14:textId="77777777" w:rsidR="00194C28" w:rsidRPr="0072758C" w:rsidRDefault="00194C28" w:rsidP="000915B1">
      <w:pPr>
        <w:pStyle w:val="EndnoteText"/>
        <w:rPr>
          <w:iCs/>
          <w:lang w:val="en-AU"/>
        </w:rPr>
      </w:pPr>
    </w:p>
  </w:footnote>
  <w:footnote w:id="281">
    <w:p w14:paraId="74C258D1" w14:textId="4441EA19" w:rsidR="00194C28" w:rsidRPr="0072758C" w:rsidRDefault="00194C28" w:rsidP="000915B1">
      <w:pPr>
        <w:pStyle w:val="EndnoteText"/>
        <w:ind w:firstLine="720"/>
        <w:rPr>
          <w:iCs/>
          <w:lang w:val="en-AU"/>
        </w:rPr>
      </w:pPr>
      <w:r w:rsidRPr="0072758C">
        <w:rPr>
          <w:rStyle w:val="FootnoteReference"/>
          <w:lang w:val="en-AU"/>
        </w:rPr>
        <w:footnoteRef/>
      </w:r>
      <w:r w:rsidRPr="0072758C">
        <w:rPr>
          <w:lang w:val="en-AU"/>
        </w:rPr>
        <w:t xml:space="preserve"> Toperoff, </w:t>
      </w:r>
      <w:r w:rsidRPr="0072758C">
        <w:rPr>
          <w:i/>
          <w:iCs/>
          <w:lang w:val="en-AU"/>
        </w:rPr>
        <w:t xml:space="preserve">Avot, </w:t>
      </w:r>
      <w:r w:rsidRPr="0072758C">
        <w:rPr>
          <w:iCs/>
          <w:lang w:val="en-AU"/>
        </w:rPr>
        <w:t>9.</w:t>
      </w:r>
      <w:r w:rsidR="00222D57">
        <w:rPr>
          <w:iCs/>
          <w:lang w:val="en-AU"/>
        </w:rPr>
        <w:t xml:space="preserve"> See also </w:t>
      </w:r>
      <w:r w:rsidR="00222D57">
        <w:t xml:space="preserve">Joslyn-Siemiatkoski, </w:t>
      </w:r>
      <w:r w:rsidR="00222D57" w:rsidRPr="00090025">
        <w:rPr>
          <w:i/>
          <w:iCs/>
        </w:rPr>
        <w:t>The More Torah,</w:t>
      </w:r>
      <w:r w:rsidR="00222D57">
        <w:t xml:space="preserve"> 66 to understand how fear of God is different between Christianity and Judaism in terms of punishment.</w:t>
      </w:r>
    </w:p>
    <w:p w14:paraId="5ED64CD3" w14:textId="77777777" w:rsidR="00194C28" w:rsidRPr="0072758C" w:rsidRDefault="00194C28" w:rsidP="000915B1">
      <w:pPr>
        <w:pStyle w:val="EndnoteText"/>
        <w:rPr>
          <w:iCs/>
          <w:lang w:val="en-AU"/>
        </w:rPr>
      </w:pPr>
    </w:p>
  </w:footnote>
  <w:footnote w:id="282">
    <w:p w14:paraId="5E4E2114" w14:textId="4F99381C"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E. P Sanders, </w:t>
      </w:r>
      <w:r w:rsidRPr="0072758C">
        <w:rPr>
          <w:i/>
          <w:iCs/>
          <w:lang w:val="en-AU"/>
        </w:rPr>
        <w:t>Paul</w:t>
      </w:r>
      <w:r w:rsidRPr="0072758C">
        <w:rPr>
          <w:lang w:val="en-AU"/>
        </w:rPr>
        <w:t> (Oxford: Oxford University Press, 2001).</w:t>
      </w:r>
    </w:p>
  </w:footnote>
  <w:footnote w:id="283">
    <w:p w14:paraId="7657E1B7" w14:textId="77777777" w:rsidR="00194C28" w:rsidRPr="0072758C" w:rsidRDefault="00194C28" w:rsidP="000915B1">
      <w:pPr>
        <w:pStyle w:val="EndnoteText"/>
        <w:rPr>
          <w:lang w:val="en-AU"/>
        </w:rPr>
      </w:pPr>
    </w:p>
    <w:p w14:paraId="247B2770" w14:textId="77777777" w:rsidR="00194C28" w:rsidRPr="0072758C" w:rsidRDefault="00194C28" w:rsidP="000915B1">
      <w:pPr>
        <w:pStyle w:val="EndnoteText"/>
        <w:ind w:firstLine="720"/>
        <w:rPr>
          <w:iCs/>
          <w:lang w:val="en-AU"/>
        </w:rPr>
      </w:pPr>
      <w:r w:rsidRPr="0072758C">
        <w:rPr>
          <w:rStyle w:val="FootnoteReference"/>
          <w:lang w:val="en-AU"/>
        </w:rPr>
        <w:footnoteRef/>
      </w:r>
      <w:r w:rsidRPr="0072758C">
        <w:rPr>
          <w:lang w:val="en-AU"/>
        </w:rPr>
        <w:t xml:space="preserve"> Kravitz and Olitzky, </w:t>
      </w:r>
      <w:r w:rsidRPr="0072758C">
        <w:rPr>
          <w:i/>
          <w:iCs/>
          <w:lang w:val="en-AU"/>
        </w:rPr>
        <w:t xml:space="preserve">Pirke Avot, </w:t>
      </w:r>
      <w:r w:rsidRPr="0072758C">
        <w:rPr>
          <w:iCs/>
          <w:lang w:val="en-AU"/>
        </w:rPr>
        <w:t>3.</w:t>
      </w:r>
    </w:p>
  </w:footnote>
  <w:footnote w:id="284">
    <w:p w14:paraId="23A4B434" w14:textId="77777777" w:rsidR="00194C28" w:rsidRPr="0072758C" w:rsidRDefault="00194C28" w:rsidP="00F5340B">
      <w:pPr>
        <w:pStyle w:val="EndnoteText"/>
        <w:rPr>
          <w:lang w:val="en-AU"/>
        </w:rPr>
      </w:pPr>
    </w:p>
    <w:p w14:paraId="00A1F16E" w14:textId="542F2D12"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w:t>
      </w:r>
      <w:r w:rsidRPr="0072758C">
        <w:rPr>
          <w:i/>
          <w:lang w:val="en-AU"/>
        </w:rPr>
        <w:t>Pirkei Avot</w:t>
      </w:r>
      <w:r w:rsidRPr="0072758C">
        <w:rPr>
          <w:lang w:val="en-AU"/>
        </w:rPr>
        <w:t xml:space="preserve"> 2:17.</w:t>
      </w:r>
    </w:p>
    <w:p w14:paraId="30E0E1A2" w14:textId="77777777" w:rsidR="00194C28" w:rsidRPr="0072758C" w:rsidRDefault="00194C28" w:rsidP="00F5340B">
      <w:pPr>
        <w:pStyle w:val="EndnoteText"/>
        <w:rPr>
          <w:lang w:val="en-AU"/>
        </w:rPr>
      </w:pPr>
    </w:p>
  </w:footnote>
  <w:footnote w:id="285">
    <w:p w14:paraId="6F0A0718" w14:textId="2E9A55E5" w:rsidR="00622FB6" w:rsidRPr="0072758C" w:rsidRDefault="00622FB6" w:rsidP="000915B1">
      <w:pPr>
        <w:pStyle w:val="EndnoteText"/>
        <w:ind w:firstLine="720"/>
        <w:rPr>
          <w:lang w:val="en-AU"/>
        </w:rPr>
      </w:pPr>
      <w:r w:rsidRPr="0072758C">
        <w:rPr>
          <w:rStyle w:val="FootnoteReference"/>
          <w:lang w:val="en-AU"/>
        </w:rPr>
        <w:footnoteRef/>
      </w:r>
      <w:r w:rsidR="00A10AD6" w:rsidRPr="0072758C">
        <w:rPr>
          <w:lang w:val="en-AU"/>
        </w:rPr>
        <w:t xml:space="preserve"> The notion of the notion of divine retribution in Tannaitic literature is present in the development of Jewish retribution as found in the </w:t>
      </w:r>
      <w:r w:rsidR="00A10AD6" w:rsidRPr="0072758C">
        <w:rPr>
          <w:i/>
          <w:iCs/>
          <w:lang w:val="en-AU"/>
        </w:rPr>
        <w:t>Avot.</w:t>
      </w:r>
      <w:r w:rsidR="00A10AD6" w:rsidRPr="0072758C">
        <w:rPr>
          <w:lang w:val="en-AU"/>
        </w:rPr>
        <w:t xml:space="preserve"> </w:t>
      </w:r>
      <w:r w:rsidR="002745C6" w:rsidRPr="0072758C">
        <w:rPr>
          <w:lang w:val="en-AU"/>
        </w:rPr>
        <w:t>These</w:t>
      </w:r>
      <w:r w:rsidR="00A10AD6" w:rsidRPr="0072758C">
        <w:rPr>
          <w:lang w:val="en-AU"/>
        </w:rPr>
        <w:t xml:space="preserve"> questions of divine retribution are being </w:t>
      </w:r>
      <w:r w:rsidR="002745C6" w:rsidRPr="0072758C">
        <w:rPr>
          <w:lang w:val="en-AU"/>
        </w:rPr>
        <w:t>wrestled</w:t>
      </w:r>
      <w:r w:rsidR="00A10AD6" w:rsidRPr="0072758C">
        <w:rPr>
          <w:lang w:val="en-AU"/>
        </w:rPr>
        <w:t xml:space="preserve"> with in these early writings on who </w:t>
      </w:r>
      <w:proofErr w:type="gramStart"/>
      <w:r w:rsidR="00A10AD6" w:rsidRPr="0072758C">
        <w:rPr>
          <w:lang w:val="en-AU"/>
        </w:rPr>
        <w:t>would God</w:t>
      </w:r>
      <w:proofErr w:type="gramEnd"/>
      <w:r w:rsidR="00A10AD6" w:rsidRPr="0072758C">
        <w:rPr>
          <w:lang w:val="en-AU"/>
        </w:rPr>
        <w:t xml:space="preserve"> punish people, when does God give rewards to people, who gets rewarded, and why would they get a reword. See </w:t>
      </w:r>
      <w:r w:rsidRPr="0072758C">
        <w:rPr>
          <w:lang w:val="en-AU"/>
        </w:rPr>
        <w:t>Francesco Zanella, “Defining Identity through Divine Retribution in Tannaitic Judaism</w:t>
      </w:r>
      <w:r w:rsidR="004B6FE8" w:rsidRPr="0072758C">
        <w:rPr>
          <w:lang w:val="en-AU"/>
        </w:rPr>
        <w:t>,</w:t>
      </w:r>
      <w:r w:rsidRPr="0072758C">
        <w:rPr>
          <w:lang w:val="en-AU"/>
        </w:rPr>
        <w:t>” </w:t>
      </w:r>
      <w:r w:rsidRPr="0072758C">
        <w:rPr>
          <w:i/>
          <w:iCs/>
          <w:lang w:val="en-AU"/>
        </w:rPr>
        <w:t>Review of Rabbinic Judaism</w:t>
      </w:r>
      <w:r w:rsidRPr="0072758C">
        <w:rPr>
          <w:lang w:val="en-AU"/>
        </w:rPr>
        <w:t> 23</w:t>
      </w:r>
      <w:r w:rsidR="00013BF9" w:rsidRPr="0072758C">
        <w:rPr>
          <w:lang w:val="en-AU"/>
        </w:rPr>
        <w:t xml:space="preserve"> (</w:t>
      </w:r>
      <w:r w:rsidR="00A10AD6" w:rsidRPr="0072758C">
        <w:rPr>
          <w:lang w:val="en-AU"/>
        </w:rPr>
        <w:t>2020</w:t>
      </w:r>
      <w:r w:rsidR="00013BF9" w:rsidRPr="0072758C">
        <w:rPr>
          <w:lang w:val="en-AU"/>
        </w:rPr>
        <w:t>)</w:t>
      </w:r>
      <w:r w:rsidRPr="0072758C">
        <w:rPr>
          <w:lang w:val="en-AU"/>
        </w:rPr>
        <w:t>: 1–18.</w:t>
      </w:r>
    </w:p>
    <w:p w14:paraId="6C6BDFA9" w14:textId="6EBF2139" w:rsidR="00622FB6" w:rsidRPr="0072758C" w:rsidRDefault="00622FB6" w:rsidP="000915B1">
      <w:pPr>
        <w:pStyle w:val="EndnoteText"/>
        <w:rPr>
          <w:lang w:val="en-AU"/>
        </w:rPr>
      </w:pPr>
    </w:p>
  </w:footnote>
  <w:footnote w:id="286">
    <w:p w14:paraId="0BBA2FA7" w14:textId="0481E042" w:rsidR="003B56E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Jonathan Allen, </w:t>
      </w:r>
      <w:r w:rsidR="00863B47" w:rsidRPr="0072758C">
        <w:rPr>
          <w:lang w:val="en-AU"/>
        </w:rPr>
        <w:t>“</w:t>
      </w:r>
      <w:r w:rsidRPr="0072758C">
        <w:rPr>
          <w:lang w:val="en-AU"/>
        </w:rPr>
        <w:t>Balancing Justice and Social Unity: Political Theory and The Idea of a Truth and Reconciliation Commission,</w:t>
      </w:r>
      <w:r w:rsidR="00863B47" w:rsidRPr="0072758C">
        <w:rPr>
          <w:lang w:val="en-AU"/>
        </w:rPr>
        <w:t>”</w:t>
      </w:r>
      <w:r w:rsidRPr="0072758C">
        <w:rPr>
          <w:lang w:val="en-AU"/>
        </w:rPr>
        <w:t> </w:t>
      </w:r>
      <w:r w:rsidRPr="0072758C">
        <w:rPr>
          <w:i/>
          <w:lang w:val="en-AU"/>
        </w:rPr>
        <w:t>The University of Toronto Law Journal</w:t>
      </w:r>
      <w:r w:rsidRPr="0072758C">
        <w:rPr>
          <w:lang w:val="en-AU"/>
        </w:rPr>
        <w:t> 49 (1999): 3:315–353.</w:t>
      </w:r>
      <w:r w:rsidR="003B56E8" w:rsidRPr="0072758C">
        <w:rPr>
          <w:lang w:val="en-AU"/>
        </w:rPr>
        <w:t xml:space="preserve"> For a discussion of retributive justice and restorative justice, see Heidi Jokinen, “New Wineskin of Conflict Resolution: Conditions of Change in the Parable on Wineskin</w:t>
      </w:r>
      <w:r w:rsidR="009D2DCC" w:rsidRPr="0072758C">
        <w:rPr>
          <w:lang w:val="en-AU"/>
        </w:rPr>
        <w:t>,</w:t>
      </w:r>
      <w:r w:rsidR="003B56E8" w:rsidRPr="0072758C">
        <w:rPr>
          <w:lang w:val="en-AU"/>
        </w:rPr>
        <w:t>” </w:t>
      </w:r>
      <w:r w:rsidR="003B56E8" w:rsidRPr="0072758C">
        <w:rPr>
          <w:i/>
          <w:iCs/>
          <w:lang w:val="en-AU"/>
        </w:rPr>
        <w:t>Biblical Theology Bulletin</w:t>
      </w:r>
      <w:r w:rsidR="003B56E8" w:rsidRPr="0072758C">
        <w:rPr>
          <w:lang w:val="en-AU"/>
        </w:rPr>
        <w:t> 50</w:t>
      </w:r>
      <w:r w:rsidR="00C82076" w:rsidRPr="0072758C">
        <w:rPr>
          <w:lang w:val="en-AU"/>
        </w:rPr>
        <w:t xml:space="preserve"> </w:t>
      </w:r>
      <w:r w:rsidR="003B56E8" w:rsidRPr="0072758C">
        <w:rPr>
          <w:lang w:val="en-AU"/>
        </w:rPr>
        <w:t>(2020): 22–34; Lerato L.D Mokoena, and Esias E. Meyer</w:t>
      </w:r>
      <w:r w:rsidR="004B6FE8" w:rsidRPr="0072758C">
        <w:rPr>
          <w:lang w:val="en-AU"/>
        </w:rPr>
        <w:t>,</w:t>
      </w:r>
      <w:r w:rsidR="003B56E8" w:rsidRPr="0072758C">
        <w:rPr>
          <w:lang w:val="en-AU"/>
        </w:rPr>
        <w:t xml:space="preserve"> “Jehu’s Violent Coup and the Justification of Violence</w:t>
      </w:r>
      <w:r w:rsidR="009D2DCC" w:rsidRPr="0072758C">
        <w:rPr>
          <w:lang w:val="en-AU"/>
        </w:rPr>
        <w:t>,</w:t>
      </w:r>
      <w:r w:rsidR="003B56E8" w:rsidRPr="0072758C">
        <w:rPr>
          <w:lang w:val="en-AU"/>
        </w:rPr>
        <w:t>” </w:t>
      </w:r>
      <w:r w:rsidR="003B56E8" w:rsidRPr="0072758C">
        <w:rPr>
          <w:i/>
          <w:iCs/>
          <w:lang w:val="en-AU"/>
        </w:rPr>
        <w:t>Hervormde Teologiese Studies</w:t>
      </w:r>
      <w:r w:rsidR="003B56E8" w:rsidRPr="0072758C">
        <w:rPr>
          <w:lang w:val="en-AU"/>
        </w:rPr>
        <w:t xml:space="preserve"> 75 (2019): 1–6. </w:t>
      </w:r>
    </w:p>
    <w:p w14:paraId="2879D2B4" w14:textId="77777777" w:rsidR="00194C28" w:rsidRPr="0072758C" w:rsidRDefault="00194C28" w:rsidP="000915B1">
      <w:pPr>
        <w:pStyle w:val="EndnoteText"/>
        <w:rPr>
          <w:lang w:val="en-AU"/>
        </w:rPr>
      </w:pPr>
    </w:p>
  </w:footnote>
  <w:footnote w:id="287">
    <w:p w14:paraId="64951BA7" w14:textId="4AC70F46"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See Jeffrie Murphy, </w:t>
      </w:r>
      <w:r w:rsidR="00C0501B" w:rsidRPr="0072758C">
        <w:rPr>
          <w:i/>
          <w:iCs/>
          <w:lang w:val="en-AU"/>
        </w:rPr>
        <w:t>Philosophy of Law</w:t>
      </w:r>
      <w:r w:rsidR="001968C1" w:rsidRPr="0072758C">
        <w:rPr>
          <w:i/>
          <w:iCs/>
          <w:lang w:val="en-AU"/>
        </w:rPr>
        <w:t xml:space="preserve">, </w:t>
      </w:r>
      <w:r w:rsidRPr="0072758C">
        <w:rPr>
          <w:lang w:val="en-AU"/>
        </w:rPr>
        <w:t>(</w:t>
      </w:r>
      <w:r w:rsidR="001968C1" w:rsidRPr="0072758C">
        <w:rPr>
          <w:lang w:val="en-AU"/>
        </w:rPr>
        <w:t>Boulder, CO</w:t>
      </w:r>
      <w:r w:rsidRPr="0072758C">
        <w:rPr>
          <w:lang w:val="en-AU"/>
        </w:rPr>
        <w:t>:</w:t>
      </w:r>
      <w:r w:rsidR="001968C1" w:rsidRPr="0072758C">
        <w:rPr>
          <w:lang w:val="en-AU"/>
        </w:rPr>
        <w:t xml:space="preserve"> Westview Press, 1989). </w:t>
      </w:r>
    </w:p>
    <w:p w14:paraId="4752D4D2" w14:textId="77777777" w:rsidR="00194C28" w:rsidRPr="0072758C" w:rsidRDefault="00194C28" w:rsidP="000915B1">
      <w:pPr>
        <w:pStyle w:val="EndnoteText"/>
        <w:rPr>
          <w:lang w:val="en-AU"/>
        </w:rPr>
      </w:pPr>
    </w:p>
  </w:footnote>
  <w:footnote w:id="288">
    <w:p w14:paraId="4FBB5F7E" w14:textId="7DE8FBC1" w:rsidR="00194C28" w:rsidRPr="0072758C" w:rsidRDefault="00194C28" w:rsidP="000915B1">
      <w:pPr>
        <w:pStyle w:val="EndnoteText"/>
        <w:ind w:firstLine="720"/>
        <w:rPr>
          <w:lang w:val="en-AU"/>
        </w:rPr>
      </w:pPr>
      <w:r w:rsidRPr="0072758C">
        <w:rPr>
          <w:rStyle w:val="FootnoteReference"/>
          <w:lang w:val="en-AU"/>
        </w:rPr>
        <w:footnoteRef/>
      </w:r>
      <w:r w:rsidRPr="0072758C">
        <w:rPr>
          <w:lang w:val="en-AU"/>
        </w:rPr>
        <w:t xml:space="preserve"> John Owen, </w:t>
      </w:r>
      <w:r w:rsidRPr="0072758C">
        <w:rPr>
          <w:i/>
          <w:iCs/>
          <w:lang w:val="en-AU"/>
        </w:rPr>
        <w:t>A Dissertation on Divine Justice, The Works of John Owen</w:t>
      </w:r>
      <w:r w:rsidRPr="0072758C">
        <w:rPr>
          <w:lang w:val="en-AU"/>
        </w:rPr>
        <w:t xml:space="preserve"> (London: Banner of Truth Trust, 1965), 10:487</w:t>
      </w:r>
      <w:r w:rsidR="000947CD" w:rsidRPr="0072758C">
        <w:rPr>
          <w:lang w:val="en-AU"/>
        </w:rPr>
        <w:t>; T. Vail Palmer Jr., “Theorising a Quaker View of the Atonement</w:t>
      </w:r>
      <w:r w:rsidR="009D2DCC" w:rsidRPr="0072758C">
        <w:rPr>
          <w:lang w:val="en-AU"/>
        </w:rPr>
        <w:t>,</w:t>
      </w:r>
      <w:r w:rsidR="000947CD" w:rsidRPr="0072758C">
        <w:rPr>
          <w:lang w:val="en-AU"/>
        </w:rPr>
        <w:t>” </w:t>
      </w:r>
      <w:r w:rsidR="000947CD" w:rsidRPr="0072758C">
        <w:rPr>
          <w:i/>
          <w:iCs/>
          <w:lang w:val="en-AU"/>
        </w:rPr>
        <w:t>Quaker Studies (Quaker Studies Research Association)</w:t>
      </w:r>
      <w:r w:rsidR="001606AD" w:rsidRPr="0072758C">
        <w:rPr>
          <w:i/>
          <w:iCs/>
          <w:lang w:val="en-AU"/>
        </w:rPr>
        <w:t>,</w:t>
      </w:r>
      <w:r w:rsidR="000947CD" w:rsidRPr="0072758C">
        <w:rPr>
          <w:lang w:val="en-AU"/>
        </w:rPr>
        <w:t xml:space="preserve"> 16 (2011): 105–23. </w:t>
      </w:r>
    </w:p>
    <w:p w14:paraId="624B517E" w14:textId="77777777" w:rsidR="00194C28" w:rsidRPr="0072758C" w:rsidRDefault="00194C28" w:rsidP="000915B1">
      <w:pPr>
        <w:pStyle w:val="EndnoteText"/>
        <w:rPr>
          <w:lang w:val="en-AU"/>
        </w:rPr>
      </w:pPr>
    </w:p>
  </w:footnote>
  <w:footnote w:id="289">
    <w:p w14:paraId="7E823E1D" w14:textId="2B1A5CD8" w:rsidR="00194C28" w:rsidRPr="0072758C" w:rsidRDefault="00194C28" w:rsidP="00BE313F">
      <w:pPr>
        <w:pStyle w:val="EndnoteText"/>
        <w:ind w:firstLine="720"/>
        <w:rPr>
          <w:lang w:val="en-AU"/>
        </w:rPr>
      </w:pPr>
      <w:r w:rsidRPr="0072758C">
        <w:rPr>
          <w:rStyle w:val="FootnoteReference"/>
          <w:lang w:val="en-AU"/>
        </w:rPr>
        <w:footnoteRef/>
      </w:r>
      <w:r w:rsidRPr="0072758C">
        <w:rPr>
          <w:lang w:val="en-AU"/>
        </w:rPr>
        <w:t xml:space="preserve"> Mark D. Baker and Joel B. Green, </w:t>
      </w:r>
      <w:r w:rsidRPr="0072758C">
        <w:rPr>
          <w:i/>
          <w:iCs/>
          <w:lang w:val="en-AU"/>
        </w:rPr>
        <w:t xml:space="preserve">Recovering the Scandal of the Cross: Atonement in New Testament and Contemporary Contexts </w:t>
      </w:r>
      <w:r w:rsidRPr="0072758C">
        <w:rPr>
          <w:lang w:val="en-AU"/>
        </w:rPr>
        <w:t>(Downers Grove: IVP Academic, 2011), 121–22.</w:t>
      </w:r>
    </w:p>
    <w:p w14:paraId="6595DB97" w14:textId="77777777" w:rsidR="00194C28" w:rsidRPr="0072758C" w:rsidRDefault="00194C28" w:rsidP="00BE313F">
      <w:pPr>
        <w:pStyle w:val="EndnoteText"/>
        <w:rPr>
          <w:lang w:val="en-AU"/>
        </w:rPr>
      </w:pPr>
    </w:p>
  </w:footnote>
  <w:footnote w:id="290">
    <w:p w14:paraId="41160FD7" w14:textId="77777777" w:rsidR="00194C28" w:rsidRPr="0072758C" w:rsidRDefault="00194C28" w:rsidP="00BE313F">
      <w:pPr>
        <w:pStyle w:val="EndnoteText"/>
        <w:ind w:firstLine="720"/>
        <w:rPr>
          <w:lang w:val="en-AU"/>
        </w:rPr>
      </w:pPr>
      <w:r w:rsidRPr="0072758C">
        <w:rPr>
          <w:rStyle w:val="FootnoteReference"/>
          <w:lang w:val="en-AU"/>
        </w:rPr>
        <w:footnoteRef/>
      </w:r>
      <w:r w:rsidRPr="0072758C">
        <w:rPr>
          <w:lang w:val="en-AU"/>
        </w:rPr>
        <w:t xml:space="preserve"> Stephen H. Travis, </w:t>
      </w:r>
      <w:proofErr w:type="gramStart"/>
      <w:r w:rsidRPr="0072758C">
        <w:rPr>
          <w:i/>
          <w:iCs/>
          <w:lang w:val="en-AU"/>
        </w:rPr>
        <w:t>Christ</w:t>
      </w:r>
      <w:proofErr w:type="gramEnd"/>
      <w:r w:rsidRPr="0072758C">
        <w:rPr>
          <w:i/>
          <w:iCs/>
          <w:lang w:val="en-AU"/>
        </w:rPr>
        <w:t xml:space="preserve"> and the Judgment of God: The Limits of Divine Retribution in New Testament Thought </w:t>
      </w:r>
      <w:r w:rsidRPr="0072758C">
        <w:rPr>
          <w:lang w:val="en-AU"/>
        </w:rPr>
        <w:t>(Colorado Springs: Paternoster, 2009), 74–86.</w:t>
      </w:r>
    </w:p>
    <w:p w14:paraId="066A78BC" w14:textId="77777777" w:rsidR="00194C28" w:rsidRPr="0072758C" w:rsidRDefault="00194C28" w:rsidP="00BE313F">
      <w:pPr>
        <w:pStyle w:val="EndnoteText"/>
        <w:rPr>
          <w:lang w:val="en-AU"/>
        </w:rPr>
      </w:pPr>
    </w:p>
  </w:footnote>
  <w:footnote w:id="291">
    <w:p w14:paraId="3DA67EAB" w14:textId="0584FD73" w:rsidR="00194C28" w:rsidRPr="0072758C" w:rsidRDefault="00194C28" w:rsidP="00BE313F">
      <w:pPr>
        <w:pStyle w:val="EndnoteText"/>
        <w:ind w:firstLine="720"/>
        <w:rPr>
          <w:lang w:val="en-AU"/>
        </w:rPr>
      </w:pPr>
      <w:r w:rsidRPr="0072758C">
        <w:rPr>
          <w:rStyle w:val="FootnoteReference"/>
          <w:lang w:val="en-AU"/>
        </w:rPr>
        <w:footnoteRef/>
      </w:r>
      <w:r w:rsidRPr="0072758C">
        <w:rPr>
          <w:lang w:val="en-AU"/>
        </w:rPr>
        <w:t xml:space="preserve"> John Goldingay, </w:t>
      </w:r>
      <w:r w:rsidR="00863B47" w:rsidRPr="0072758C">
        <w:rPr>
          <w:lang w:val="en-AU"/>
        </w:rPr>
        <w:t>“</w:t>
      </w:r>
      <w:r w:rsidRPr="0072758C">
        <w:rPr>
          <w:lang w:val="en-AU"/>
        </w:rPr>
        <w:t>Your Iniquities Have Made a Separation between You and Your God,</w:t>
      </w:r>
      <w:r w:rsidR="00863B47" w:rsidRPr="0072758C">
        <w:rPr>
          <w:lang w:val="en-AU"/>
        </w:rPr>
        <w:t>”</w:t>
      </w:r>
      <w:r w:rsidRPr="0072758C">
        <w:rPr>
          <w:lang w:val="en-AU"/>
        </w:rPr>
        <w:t xml:space="preserve"> in </w:t>
      </w:r>
      <w:r w:rsidRPr="0072758C">
        <w:rPr>
          <w:i/>
          <w:iCs/>
          <w:lang w:val="en-AU"/>
        </w:rPr>
        <w:t>Atonement Today: A Symposium at St John</w:t>
      </w:r>
      <w:r w:rsidR="005C71CB" w:rsidRPr="0072758C">
        <w:rPr>
          <w:i/>
          <w:iCs/>
          <w:lang w:val="en-AU"/>
        </w:rPr>
        <w:t>’</w:t>
      </w:r>
      <w:r w:rsidRPr="0072758C">
        <w:rPr>
          <w:i/>
          <w:iCs/>
          <w:lang w:val="en-AU"/>
        </w:rPr>
        <w:t>s College, Nottingham</w:t>
      </w:r>
      <w:r w:rsidRPr="0072758C">
        <w:rPr>
          <w:lang w:val="en-AU"/>
        </w:rPr>
        <w:t xml:space="preserve"> (London: SPCK, 1995), 51. For more information on the role of sin in the Book of Leviticus, </w:t>
      </w:r>
      <w:r w:rsidR="00B30606" w:rsidRPr="0072758C">
        <w:rPr>
          <w:lang w:val="en-AU"/>
        </w:rPr>
        <w:t>see</w:t>
      </w:r>
      <w:r w:rsidR="00B30606" w:rsidRPr="0072758C">
        <w:rPr>
          <w:i/>
          <w:iCs/>
          <w:lang w:val="en-AU"/>
        </w:rPr>
        <w:t xml:space="preserve"> </w:t>
      </w:r>
      <w:r w:rsidR="00B30606" w:rsidRPr="0072758C">
        <w:rPr>
          <w:lang w:val="en-AU"/>
        </w:rPr>
        <w:t>Jacob</w:t>
      </w:r>
      <w:r w:rsidRPr="0072758C">
        <w:rPr>
          <w:lang w:val="en-AU"/>
        </w:rPr>
        <w:t xml:space="preserve"> Milgrom, </w:t>
      </w:r>
      <w:r w:rsidRPr="0072758C">
        <w:rPr>
          <w:i/>
          <w:iCs/>
          <w:lang w:val="en-AU"/>
        </w:rPr>
        <w:t>Leviticus 1</w:t>
      </w:r>
      <w:r w:rsidR="00504DF1" w:rsidRPr="0072758C">
        <w:rPr>
          <w:i/>
          <w:iCs/>
          <w:lang w:val="en-AU"/>
        </w:rPr>
        <w:t>–</w:t>
      </w:r>
      <w:r w:rsidRPr="0072758C">
        <w:rPr>
          <w:i/>
          <w:iCs/>
          <w:lang w:val="en-AU"/>
        </w:rPr>
        <w:t>16</w:t>
      </w:r>
      <w:r w:rsidRPr="0072758C">
        <w:rPr>
          <w:lang w:val="en-AU"/>
        </w:rPr>
        <w:t> (New Haven, Connecticut: Yale University Press, 1998).</w:t>
      </w:r>
    </w:p>
    <w:p w14:paraId="37562CB4" w14:textId="77777777" w:rsidR="00194C28" w:rsidRPr="0072758C" w:rsidRDefault="00194C28" w:rsidP="00BE313F">
      <w:pPr>
        <w:pStyle w:val="EndnoteText"/>
        <w:rPr>
          <w:lang w:val="en-AU"/>
        </w:rPr>
      </w:pPr>
    </w:p>
  </w:footnote>
  <w:footnote w:id="292">
    <w:p w14:paraId="1D96F211" w14:textId="2E3E0628" w:rsidR="00050B34" w:rsidRPr="0072758C" w:rsidRDefault="00050B34" w:rsidP="00BE313F">
      <w:pPr>
        <w:pStyle w:val="EndnoteText"/>
        <w:ind w:firstLine="720"/>
        <w:rPr>
          <w:lang w:val="en-AU"/>
        </w:rPr>
      </w:pPr>
      <w:r w:rsidRPr="0072758C">
        <w:rPr>
          <w:rStyle w:val="FootnoteReference"/>
          <w:lang w:val="en-AU"/>
        </w:rPr>
        <w:footnoteRef/>
      </w:r>
      <w:r w:rsidRPr="0072758C">
        <w:rPr>
          <w:lang w:val="en-AU"/>
        </w:rPr>
        <w:t xml:space="preserve"> For a discussion of the attributes of </w:t>
      </w:r>
      <w:r w:rsidRPr="0072758C">
        <w:rPr>
          <w:i/>
          <w:iCs/>
          <w:lang w:val="en-AU"/>
        </w:rPr>
        <w:t xml:space="preserve">Avot </w:t>
      </w:r>
      <w:proofErr w:type="gramStart"/>
      <w:r w:rsidRPr="0072758C">
        <w:rPr>
          <w:lang w:val="en-AU"/>
        </w:rPr>
        <w:t>5 as a whole, see</w:t>
      </w:r>
      <w:proofErr w:type="gramEnd"/>
      <w:r w:rsidRPr="0072758C">
        <w:rPr>
          <w:lang w:val="en-AU"/>
        </w:rPr>
        <w:t xml:space="preserve"> Derrett’s discussion about </w:t>
      </w:r>
      <w:r w:rsidRPr="0072758C">
        <w:rPr>
          <w:i/>
          <w:iCs/>
          <w:lang w:val="en-AU"/>
        </w:rPr>
        <w:t xml:space="preserve">Mishna </w:t>
      </w:r>
      <w:r w:rsidRPr="0072758C">
        <w:rPr>
          <w:lang w:val="en-AU"/>
        </w:rPr>
        <w:t>influencing Buddhism before 200 C.E.: J. Duncan M. Derrett</w:t>
      </w:r>
      <w:r w:rsidR="004B6FE8" w:rsidRPr="0072758C">
        <w:rPr>
          <w:lang w:val="en-AU"/>
        </w:rPr>
        <w:t>,</w:t>
      </w:r>
      <w:r w:rsidRPr="0072758C">
        <w:rPr>
          <w:lang w:val="en-AU"/>
        </w:rPr>
        <w:t xml:space="preserve"> “Mishnāh, ’Avôt 5: 13 in Early Buddhism</w:t>
      </w:r>
      <w:r w:rsidR="009D2DCC" w:rsidRPr="0072758C">
        <w:rPr>
          <w:lang w:val="en-AU"/>
        </w:rPr>
        <w:t>,</w:t>
      </w:r>
      <w:r w:rsidRPr="0072758C">
        <w:rPr>
          <w:lang w:val="en-AU"/>
        </w:rPr>
        <w:t>” </w:t>
      </w:r>
      <w:r w:rsidRPr="0072758C">
        <w:rPr>
          <w:i/>
          <w:iCs/>
          <w:lang w:val="en-AU"/>
        </w:rPr>
        <w:t>Bulletin of the School of Oriental and African Studies, University of London</w:t>
      </w:r>
      <w:r w:rsidRPr="0072758C">
        <w:rPr>
          <w:lang w:val="en-AU"/>
        </w:rPr>
        <w:t> 67 (</w:t>
      </w:r>
      <w:r w:rsidR="004B6FE8" w:rsidRPr="0072758C">
        <w:rPr>
          <w:lang w:val="en-AU"/>
        </w:rPr>
        <w:t>2004</w:t>
      </w:r>
      <w:r w:rsidRPr="0072758C">
        <w:rPr>
          <w:lang w:val="en-AU"/>
        </w:rPr>
        <w:t>): 79–87. </w:t>
      </w:r>
    </w:p>
    <w:p w14:paraId="529A2235" w14:textId="77777777" w:rsidR="00050B34" w:rsidRPr="0072758C" w:rsidRDefault="00050B34" w:rsidP="00BE313F">
      <w:pPr>
        <w:pStyle w:val="EndnoteText"/>
        <w:rPr>
          <w:lang w:val="en-AU"/>
        </w:rPr>
      </w:pPr>
    </w:p>
  </w:footnote>
  <w:footnote w:id="293">
    <w:p w14:paraId="7FFDD346" w14:textId="77777777" w:rsidR="00194C28" w:rsidRPr="0072758C" w:rsidRDefault="00194C28" w:rsidP="00BE313F">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 xml:space="preserve">Pirkei Avot </w:t>
      </w:r>
      <w:r w:rsidRPr="0072758C">
        <w:rPr>
          <w:lang w:val="en-AU"/>
        </w:rPr>
        <w:t>5:8.</w:t>
      </w:r>
    </w:p>
    <w:p w14:paraId="479F151F" w14:textId="77777777" w:rsidR="00194C28" w:rsidRPr="0072758C" w:rsidRDefault="00194C28" w:rsidP="00BE313F">
      <w:pPr>
        <w:pStyle w:val="EndnoteText"/>
        <w:rPr>
          <w:lang w:val="en-AU"/>
        </w:rPr>
      </w:pPr>
    </w:p>
  </w:footnote>
  <w:footnote w:id="294">
    <w:p w14:paraId="4D5A06ED" w14:textId="755325CD" w:rsidR="00F8491D" w:rsidRDefault="00F8491D" w:rsidP="00F8491D">
      <w:pPr>
        <w:pStyle w:val="FootnoteText"/>
        <w:ind w:firstLine="720"/>
      </w:pPr>
      <w:r>
        <w:rPr>
          <w:rStyle w:val="FootnoteReference"/>
        </w:rPr>
        <w:footnoteRef/>
      </w:r>
      <w:r>
        <w:t xml:space="preserve"> See Joslyn-Siemiatkoski, </w:t>
      </w:r>
      <w:r w:rsidRPr="00090025">
        <w:rPr>
          <w:i/>
          <w:iCs/>
        </w:rPr>
        <w:t>The More Torah,</w:t>
      </w:r>
      <w:r>
        <w:t xml:space="preserve"> 248.</w:t>
      </w:r>
    </w:p>
    <w:p w14:paraId="11DE10A7" w14:textId="77777777" w:rsidR="00F8491D" w:rsidRPr="00ED0F6A" w:rsidRDefault="00F8491D" w:rsidP="00ED0F6A">
      <w:pPr>
        <w:pStyle w:val="FootnoteText"/>
        <w:ind w:firstLine="720"/>
        <w:rPr>
          <w:lang w:val="en-US"/>
        </w:rPr>
      </w:pPr>
    </w:p>
  </w:footnote>
  <w:footnote w:id="295">
    <w:p w14:paraId="3CFA274B" w14:textId="54593170" w:rsidR="00194C28" w:rsidRPr="0072758C" w:rsidRDefault="00194C28" w:rsidP="00BE313F">
      <w:pPr>
        <w:pStyle w:val="EndnoteText"/>
        <w:ind w:firstLine="720"/>
        <w:rPr>
          <w:lang w:val="en-AU"/>
        </w:rPr>
      </w:pPr>
      <w:r w:rsidRPr="0072758C">
        <w:rPr>
          <w:rStyle w:val="FootnoteReference"/>
          <w:lang w:val="en-AU"/>
        </w:rPr>
        <w:footnoteRef/>
      </w:r>
      <w:r w:rsidRPr="0072758C">
        <w:rPr>
          <w:i/>
          <w:lang w:val="en-AU"/>
        </w:rPr>
        <w:t xml:space="preserve"> Pirkei</w:t>
      </w:r>
      <w:r w:rsidRPr="0072758C">
        <w:rPr>
          <w:lang w:val="en-AU"/>
        </w:rPr>
        <w:t xml:space="preserve"> </w:t>
      </w:r>
      <w:r w:rsidRPr="0072758C">
        <w:rPr>
          <w:i/>
          <w:lang w:val="en-AU"/>
        </w:rPr>
        <w:t>Avot</w:t>
      </w:r>
      <w:r w:rsidRPr="0072758C">
        <w:rPr>
          <w:lang w:val="en-AU"/>
        </w:rPr>
        <w:t xml:space="preserve"> 2:7. </w:t>
      </w:r>
    </w:p>
    <w:p w14:paraId="63C24AB3" w14:textId="77777777" w:rsidR="00194C28" w:rsidRPr="0072758C" w:rsidRDefault="00194C28" w:rsidP="00BE313F">
      <w:pPr>
        <w:pStyle w:val="EndnoteText"/>
        <w:rPr>
          <w:lang w:val="en-AU"/>
        </w:rPr>
      </w:pPr>
    </w:p>
  </w:footnote>
  <w:footnote w:id="296">
    <w:p w14:paraId="031B11A8" w14:textId="4503E7CA" w:rsidR="00646CC3" w:rsidRPr="0072758C" w:rsidRDefault="00194C28" w:rsidP="00BE313F">
      <w:pPr>
        <w:pStyle w:val="EndnoteText"/>
        <w:ind w:firstLine="720"/>
        <w:rPr>
          <w:iCs/>
          <w:lang w:val="en-AU"/>
        </w:rPr>
      </w:pPr>
      <w:r w:rsidRPr="0072758C">
        <w:rPr>
          <w:rStyle w:val="FootnoteReference"/>
          <w:lang w:val="en-AU"/>
        </w:rPr>
        <w:footnoteRef/>
      </w:r>
      <w:r w:rsidRPr="0072758C">
        <w:rPr>
          <w:lang w:val="en-AU"/>
        </w:rPr>
        <w:t xml:space="preserve"> Toperoff, </w:t>
      </w:r>
      <w:r w:rsidRPr="0072758C">
        <w:rPr>
          <w:i/>
          <w:iCs/>
          <w:lang w:val="en-AU"/>
        </w:rPr>
        <w:t xml:space="preserve">Avot, </w:t>
      </w:r>
      <w:r w:rsidRPr="0072758C">
        <w:rPr>
          <w:iCs/>
          <w:lang w:val="en-AU"/>
        </w:rPr>
        <w:t>95.</w:t>
      </w:r>
      <w:r w:rsidR="00B33787" w:rsidRPr="0072758C">
        <w:rPr>
          <w:iCs/>
          <w:lang w:val="en-AU"/>
        </w:rPr>
        <w:t xml:space="preserve"> Golden suggests that </w:t>
      </w:r>
      <w:r w:rsidR="00646CC3" w:rsidRPr="0072758C">
        <w:rPr>
          <w:iCs/>
          <w:lang w:val="en-AU"/>
        </w:rPr>
        <w:t>justice should be deliberate, see Judah Goldin. “Be Deliberate in Judgment</w:t>
      </w:r>
      <w:r w:rsidR="004B6FE8" w:rsidRPr="0072758C">
        <w:rPr>
          <w:iCs/>
          <w:lang w:val="en-AU"/>
        </w:rPr>
        <w:t>”</w:t>
      </w:r>
      <w:r w:rsidR="00646CC3" w:rsidRPr="0072758C">
        <w:rPr>
          <w:iCs/>
          <w:lang w:val="en-AU"/>
        </w:rPr>
        <w:t> </w:t>
      </w:r>
      <w:r w:rsidR="00646CC3" w:rsidRPr="0072758C">
        <w:rPr>
          <w:i/>
          <w:iCs/>
          <w:lang w:val="en-AU"/>
        </w:rPr>
        <w:t>Tarbiz</w:t>
      </w:r>
      <w:r w:rsidR="00646CC3" w:rsidRPr="0072758C">
        <w:rPr>
          <w:iCs/>
          <w:lang w:val="en-AU"/>
        </w:rPr>
        <w:t xml:space="preserve"> (</w:t>
      </w:r>
      <w:r w:rsidR="00521C2B" w:rsidRPr="0072758C">
        <w:rPr>
          <w:iCs/>
          <w:lang w:val="en-AU"/>
        </w:rPr>
        <w:t>1</w:t>
      </w:r>
      <w:r w:rsidR="00646CC3" w:rsidRPr="0072758C">
        <w:rPr>
          <w:iCs/>
          <w:lang w:val="en-AU"/>
        </w:rPr>
        <w:t>993): 617–19.</w:t>
      </w:r>
    </w:p>
  </w:footnote>
  <w:footnote w:id="297">
    <w:p w14:paraId="5A303F92" w14:textId="77777777" w:rsidR="00194C28" w:rsidRPr="0072758C" w:rsidRDefault="00194C28" w:rsidP="00BE313F">
      <w:pPr>
        <w:pStyle w:val="EndnoteText"/>
        <w:rPr>
          <w:lang w:val="en-AU"/>
        </w:rPr>
      </w:pPr>
    </w:p>
    <w:p w14:paraId="0803BD5A" w14:textId="77777777" w:rsidR="00194C28" w:rsidRPr="0072758C" w:rsidRDefault="00194C28" w:rsidP="00BE313F">
      <w:pPr>
        <w:pStyle w:val="EndnoteText"/>
        <w:ind w:firstLine="720"/>
        <w:rPr>
          <w:iCs/>
          <w:lang w:val="en-AU"/>
        </w:rPr>
      </w:pPr>
      <w:r w:rsidRPr="0072758C">
        <w:rPr>
          <w:rStyle w:val="FootnoteReference"/>
          <w:lang w:val="en-AU"/>
        </w:rPr>
        <w:footnoteRef/>
      </w:r>
      <w:r w:rsidRPr="0072758C">
        <w:rPr>
          <w:lang w:val="en-AU"/>
        </w:rPr>
        <w:t xml:space="preserve"> Kravitz and Olitzky, </w:t>
      </w:r>
      <w:r w:rsidRPr="0072758C">
        <w:rPr>
          <w:i/>
          <w:iCs/>
          <w:lang w:val="en-AU"/>
        </w:rPr>
        <w:t xml:space="preserve">Pirke Avot, </w:t>
      </w:r>
      <w:r w:rsidRPr="0072758C">
        <w:rPr>
          <w:iCs/>
          <w:lang w:val="en-AU"/>
        </w:rPr>
        <w:t>22.</w:t>
      </w:r>
    </w:p>
  </w:footnote>
  <w:footnote w:id="298">
    <w:p w14:paraId="1283DC19" w14:textId="77777777" w:rsidR="00194C28" w:rsidRPr="0072758C" w:rsidRDefault="00194C28" w:rsidP="00BE313F">
      <w:pPr>
        <w:pStyle w:val="EndnoteText"/>
        <w:rPr>
          <w:lang w:val="en-AU"/>
        </w:rPr>
      </w:pPr>
    </w:p>
    <w:p w14:paraId="679F599C" w14:textId="77777777" w:rsidR="00194C28" w:rsidRPr="0072758C" w:rsidRDefault="00194C28" w:rsidP="00BE313F">
      <w:pPr>
        <w:pStyle w:val="EndnoteText"/>
        <w:ind w:firstLine="720"/>
        <w:rPr>
          <w:iCs/>
          <w:lang w:val="en-AU"/>
        </w:rPr>
      </w:pPr>
      <w:r w:rsidRPr="0072758C">
        <w:rPr>
          <w:rStyle w:val="FootnoteReference"/>
          <w:lang w:val="en-AU"/>
        </w:rPr>
        <w:footnoteRef/>
      </w:r>
      <w:r w:rsidRPr="0072758C">
        <w:rPr>
          <w:lang w:val="en-AU"/>
        </w:rPr>
        <w:t xml:space="preserve"> Toperoff, </w:t>
      </w:r>
      <w:r w:rsidRPr="0072758C">
        <w:rPr>
          <w:i/>
          <w:iCs/>
          <w:lang w:val="en-AU"/>
        </w:rPr>
        <w:t xml:space="preserve">Avot, </w:t>
      </w:r>
      <w:r w:rsidRPr="0072758C">
        <w:rPr>
          <w:iCs/>
          <w:lang w:val="en-AU"/>
        </w:rPr>
        <w:t>95.</w:t>
      </w:r>
    </w:p>
  </w:footnote>
  <w:footnote w:id="299">
    <w:p w14:paraId="673DAE28" w14:textId="77777777" w:rsidR="00194C28" w:rsidRPr="0072758C" w:rsidRDefault="00194C28" w:rsidP="00BE313F">
      <w:pPr>
        <w:pStyle w:val="EndnoteText"/>
        <w:rPr>
          <w:lang w:val="en-AU"/>
        </w:rPr>
      </w:pPr>
    </w:p>
    <w:p w14:paraId="444F115E" w14:textId="77777777" w:rsidR="00194C28" w:rsidRPr="0072758C" w:rsidRDefault="00194C28" w:rsidP="00BE313F">
      <w:pPr>
        <w:pStyle w:val="EndnoteText"/>
        <w:ind w:firstLine="720"/>
        <w:rPr>
          <w:lang w:val="en-AU"/>
        </w:rPr>
      </w:pPr>
      <w:r w:rsidRPr="0072758C">
        <w:rPr>
          <w:rStyle w:val="FootnoteReference"/>
          <w:lang w:val="en-AU"/>
        </w:rPr>
        <w:footnoteRef/>
      </w:r>
      <w:r w:rsidRPr="0072758C">
        <w:rPr>
          <w:lang w:val="en-AU"/>
        </w:rPr>
        <w:t xml:space="preserve"> Eliyahu Touger, </w:t>
      </w:r>
      <w:r w:rsidRPr="0072758C">
        <w:rPr>
          <w:i/>
          <w:iCs/>
          <w:lang w:val="en-AU"/>
        </w:rPr>
        <w:t>Maimonides Pirkei Avot</w:t>
      </w:r>
      <w:r w:rsidRPr="0072758C">
        <w:rPr>
          <w:lang w:val="en-AU"/>
        </w:rPr>
        <w:t xml:space="preserve"> (New York: Moznaim, 1994), 83.</w:t>
      </w:r>
    </w:p>
    <w:p w14:paraId="285A1F03" w14:textId="77777777" w:rsidR="00194C28" w:rsidRPr="0072758C" w:rsidRDefault="00194C28" w:rsidP="00BE313F">
      <w:pPr>
        <w:pStyle w:val="EndnoteText"/>
        <w:rPr>
          <w:lang w:val="en-AU"/>
        </w:rPr>
      </w:pPr>
    </w:p>
  </w:footnote>
  <w:footnote w:id="300">
    <w:p w14:paraId="24648418" w14:textId="0AD06218" w:rsidR="00194C28" w:rsidRPr="0072758C" w:rsidRDefault="00194C28" w:rsidP="00BE313F">
      <w:pPr>
        <w:pStyle w:val="EndnoteText"/>
        <w:ind w:firstLine="720"/>
        <w:rPr>
          <w:lang w:val="en-AU"/>
        </w:rPr>
      </w:pPr>
      <w:r w:rsidRPr="0072758C">
        <w:rPr>
          <w:rStyle w:val="FootnoteReference"/>
          <w:lang w:val="en-AU"/>
        </w:rPr>
        <w:footnoteRef/>
      </w:r>
      <w:r w:rsidRPr="0072758C">
        <w:rPr>
          <w:lang w:val="en-AU"/>
        </w:rPr>
        <w:t xml:space="preserve"> Shemuel Safrai and M Stern, </w:t>
      </w:r>
      <w:r w:rsidRPr="0072758C">
        <w:rPr>
          <w:i/>
          <w:iCs/>
          <w:lang w:val="en-AU"/>
        </w:rPr>
        <w:t>The Jewish People in the First Century</w:t>
      </w:r>
      <w:r w:rsidRPr="0072758C">
        <w:rPr>
          <w:lang w:val="en-AU"/>
        </w:rPr>
        <w:t> (Assen: Van Gorcum, 1974), 311.</w:t>
      </w:r>
    </w:p>
    <w:p w14:paraId="3F2C4391" w14:textId="77777777" w:rsidR="00194C28" w:rsidRPr="0072758C" w:rsidRDefault="00194C28" w:rsidP="00BE313F">
      <w:pPr>
        <w:pStyle w:val="EndnoteText"/>
        <w:rPr>
          <w:lang w:val="en-AU"/>
        </w:rPr>
      </w:pPr>
    </w:p>
  </w:footnote>
  <w:footnote w:id="301">
    <w:p w14:paraId="2028EA05" w14:textId="331D90A6" w:rsidR="00194C28" w:rsidRPr="0072758C" w:rsidRDefault="00194C28" w:rsidP="00BE313F">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Pirkei Avot 1:10</w:t>
      </w:r>
      <w:r w:rsidRPr="0072758C">
        <w:rPr>
          <w:lang w:val="en-AU"/>
        </w:rPr>
        <w:t>. (2020). </w:t>
      </w:r>
      <w:r w:rsidRPr="0072758C">
        <w:rPr>
          <w:i/>
          <w:iCs/>
          <w:lang w:val="en-AU"/>
        </w:rPr>
        <w:t>Sefaria.org</w:t>
      </w:r>
      <w:r w:rsidRPr="0072758C">
        <w:rPr>
          <w:lang w:val="en-AU"/>
        </w:rPr>
        <w:t xml:space="preserve">. </w:t>
      </w:r>
    </w:p>
    <w:p w14:paraId="5CA67B36" w14:textId="77777777" w:rsidR="00194C28" w:rsidRPr="0072758C" w:rsidRDefault="00194C28" w:rsidP="00BE313F">
      <w:pPr>
        <w:pStyle w:val="EndnoteText"/>
        <w:rPr>
          <w:rtl/>
          <w:lang w:val="en-AU"/>
        </w:rPr>
      </w:pPr>
    </w:p>
  </w:footnote>
  <w:footnote w:id="302">
    <w:p w14:paraId="0DB0C805" w14:textId="5D28670B" w:rsidR="009942C7" w:rsidRPr="00ED0F6A" w:rsidRDefault="009942C7" w:rsidP="00ED0F6A">
      <w:pPr>
        <w:pStyle w:val="FootnoteText"/>
        <w:ind w:firstLine="720"/>
        <w:rPr>
          <w:lang w:val="en-US"/>
        </w:rPr>
      </w:pPr>
      <w:r>
        <w:rPr>
          <w:rStyle w:val="FootnoteReference"/>
        </w:rPr>
        <w:footnoteRef/>
      </w:r>
      <w:r>
        <w:t xml:space="preserve"> </w:t>
      </w:r>
      <w:r w:rsidR="00B27D10">
        <w:t xml:space="preserve">Joslyn-Siemiatkoski, </w:t>
      </w:r>
      <w:r w:rsidR="00B27D10" w:rsidRPr="00090025">
        <w:rPr>
          <w:i/>
          <w:iCs/>
        </w:rPr>
        <w:t>The More Torah,</w:t>
      </w:r>
      <w:r w:rsidR="00B27D10">
        <w:t xml:space="preserve"> 89.</w:t>
      </w:r>
    </w:p>
  </w:footnote>
  <w:footnote w:id="303">
    <w:p w14:paraId="79D1A5B3" w14:textId="6243BBA9" w:rsidR="00194C28" w:rsidRPr="0072758C" w:rsidRDefault="00194C28" w:rsidP="00BE313F">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Pirkei Avot 2:15</w:t>
      </w:r>
      <w:r w:rsidRPr="0072758C">
        <w:rPr>
          <w:lang w:val="en-AU"/>
        </w:rPr>
        <w:t>. (2020). </w:t>
      </w:r>
      <w:r w:rsidRPr="0072758C">
        <w:rPr>
          <w:i/>
          <w:iCs/>
          <w:lang w:val="en-AU"/>
        </w:rPr>
        <w:t>Sefaria.org</w:t>
      </w:r>
      <w:r w:rsidRPr="0072758C">
        <w:rPr>
          <w:lang w:val="en-AU"/>
        </w:rPr>
        <w:t>. Retrieved 28 October 2020, from https://www.sefaria.org/Pirkei_Avot.2.15.</w:t>
      </w:r>
    </w:p>
    <w:p w14:paraId="7ACEB11F" w14:textId="77777777" w:rsidR="00194C28" w:rsidRPr="0072758C" w:rsidRDefault="00194C28" w:rsidP="00BE313F">
      <w:pPr>
        <w:pStyle w:val="EndnoteText"/>
        <w:rPr>
          <w:rtl/>
          <w:lang w:val="en-AU"/>
        </w:rPr>
      </w:pPr>
    </w:p>
  </w:footnote>
  <w:footnote w:id="304">
    <w:p w14:paraId="150622AA" w14:textId="4BE0E3BE" w:rsidR="00194C28" w:rsidRPr="0072758C" w:rsidRDefault="00194C28" w:rsidP="00BE313F">
      <w:pPr>
        <w:pStyle w:val="EndnoteText"/>
        <w:ind w:firstLine="720"/>
        <w:rPr>
          <w:lang w:val="en-AU"/>
        </w:rPr>
      </w:pPr>
      <w:r w:rsidRPr="0072758C">
        <w:rPr>
          <w:rStyle w:val="FootnoteReference"/>
          <w:lang w:val="en-AU"/>
        </w:rPr>
        <w:footnoteRef/>
      </w:r>
      <w:r w:rsidRPr="0072758C">
        <w:rPr>
          <w:lang w:val="en-AU"/>
        </w:rPr>
        <w:t xml:space="preserve"> All Greek </w:t>
      </w:r>
      <w:r w:rsidR="005A073E" w:rsidRPr="0072758C">
        <w:rPr>
          <w:lang w:val="en-AU"/>
        </w:rPr>
        <w:t>Bible</w:t>
      </w:r>
      <w:r w:rsidRPr="0072758C">
        <w:rPr>
          <w:lang w:val="en-AU"/>
        </w:rPr>
        <w:t xml:space="preserve"> verses are from Barclay M. Newman, </w:t>
      </w:r>
      <w:r w:rsidRPr="0072758C">
        <w:rPr>
          <w:i/>
          <w:iCs/>
          <w:lang w:val="en-AU"/>
        </w:rPr>
        <w:t>The UBS Greek New Testament: A Reader</w:t>
      </w:r>
      <w:r w:rsidR="005C71CB" w:rsidRPr="0072758C">
        <w:rPr>
          <w:i/>
          <w:iCs/>
          <w:lang w:val="en-AU"/>
        </w:rPr>
        <w:t>’</w:t>
      </w:r>
      <w:r w:rsidRPr="0072758C">
        <w:rPr>
          <w:i/>
          <w:iCs/>
          <w:lang w:val="en-AU"/>
        </w:rPr>
        <w:t>s Edition</w:t>
      </w:r>
      <w:r w:rsidRPr="0072758C">
        <w:rPr>
          <w:lang w:val="en-AU"/>
        </w:rPr>
        <w:t xml:space="preserve"> (Tubingen: Deutsche Bibelgesellschaft, 2001).</w:t>
      </w:r>
    </w:p>
    <w:p w14:paraId="0D8DD016" w14:textId="77777777" w:rsidR="00A036BD" w:rsidRPr="0072758C" w:rsidRDefault="00A036BD" w:rsidP="00BE313F">
      <w:pPr>
        <w:pStyle w:val="EndnoteText"/>
        <w:rPr>
          <w:lang w:val="en-AU"/>
        </w:rPr>
      </w:pPr>
    </w:p>
  </w:footnote>
  <w:footnote w:id="305">
    <w:p w14:paraId="613C6C59" w14:textId="39A198D0" w:rsidR="00A036BD" w:rsidRPr="0072758C" w:rsidRDefault="00194C28" w:rsidP="007B6532">
      <w:pPr>
        <w:pStyle w:val="EndnoteText"/>
        <w:rPr>
          <w:lang w:val="en-AU"/>
        </w:rPr>
      </w:pPr>
      <w:r w:rsidRPr="0072758C">
        <w:rPr>
          <w:lang w:val="en-AU"/>
        </w:rPr>
        <w:tab/>
      </w:r>
      <w:r w:rsidRPr="0072758C">
        <w:rPr>
          <w:rStyle w:val="FootnoteReference"/>
          <w:lang w:val="en-AU"/>
        </w:rPr>
        <w:footnoteRef/>
      </w:r>
      <w:r w:rsidRPr="0072758C">
        <w:rPr>
          <w:lang w:val="en-AU"/>
        </w:rPr>
        <w:t xml:space="preserve"> Basil F. Herring, </w:t>
      </w:r>
      <w:r w:rsidRPr="0072758C">
        <w:rPr>
          <w:i/>
          <w:iCs/>
          <w:lang w:val="en-AU"/>
        </w:rPr>
        <w:t xml:space="preserve">Jewish Ethics and Halakhah for our Time </w:t>
      </w:r>
      <w:r w:rsidRPr="0072758C">
        <w:rPr>
          <w:lang w:val="en-AU"/>
        </w:rPr>
        <w:t>(New York: KTAV, 1984), 128</w:t>
      </w:r>
      <w:r w:rsidR="00A036BD" w:rsidRPr="0072758C">
        <w:rPr>
          <w:lang w:val="en-AU"/>
        </w:rPr>
        <w:t xml:space="preserve">.  See also Herring on a discussion about Halakah and Jewish Ethics, Basil F. Herring, </w:t>
      </w:r>
      <w:r w:rsidR="00A036BD" w:rsidRPr="0072758C">
        <w:rPr>
          <w:i/>
          <w:iCs/>
          <w:lang w:val="en-AU"/>
        </w:rPr>
        <w:t>Jewish Ethics and Halakhah for Our Time</w:t>
      </w:r>
      <w:r w:rsidR="004B6FE8" w:rsidRPr="0072758C">
        <w:rPr>
          <w:i/>
          <w:iCs/>
          <w:lang w:val="en-AU"/>
        </w:rPr>
        <w:t xml:space="preserve"> </w:t>
      </w:r>
      <w:r w:rsidR="004B6FE8" w:rsidRPr="0072758C">
        <w:rPr>
          <w:lang w:val="en-AU"/>
        </w:rPr>
        <w:t>(</w:t>
      </w:r>
      <w:r w:rsidR="00A036BD" w:rsidRPr="0072758C">
        <w:rPr>
          <w:lang w:val="en-AU"/>
        </w:rPr>
        <w:t xml:space="preserve">New York: </w:t>
      </w:r>
      <w:r w:rsidR="004B6FE8" w:rsidRPr="0072758C">
        <w:rPr>
          <w:lang w:val="en-AU"/>
        </w:rPr>
        <w:t xml:space="preserve">KTAV, 1984). </w:t>
      </w:r>
      <w:r w:rsidR="00A036BD" w:rsidRPr="0072758C">
        <w:rPr>
          <w:lang w:val="en-AU"/>
        </w:rPr>
        <w:t xml:space="preserve">For a discussion on Jewish ethics and </w:t>
      </w:r>
      <w:r w:rsidR="00A036BD" w:rsidRPr="0072758C">
        <w:rPr>
          <w:i/>
          <w:iCs/>
          <w:lang w:val="en-AU"/>
        </w:rPr>
        <w:t>halakhah,</w:t>
      </w:r>
      <w:r w:rsidR="00A036BD" w:rsidRPr="0072758C">
        <w:rPr>
          <w:lang w:val="en-AU"/>
        </w:rPr>
        <w:t xml:space="preserve"> see Deborah Barer, “Ethics and Halakhah: Reframing the Question</w:t>
      </w:r>
      <w:r w:rsidR="009D2DCC" w:rsidRPr="0072758C">
        <w:rPr>
          <w:lang w:val="en-AU"/>
        </w:rPr>
        <w:t>,</w:t>
      </w:r>
      <w:r w:rsidR="00A036BD" w:rsidRPr="0072758C">
        <w:rPr>
          <w:lang w:val="en-AU"/>
        </w:rPr>
        <w:t>” </w:t>
      </w:r>
      <w:r w:rsidR="00A036BD" w:rsidRPr="0072758C">
        <w:rPr>
          <w:i/>
          <w:iCs/>
          <w:lang w:val="en-AU"/>
        </w:rPr>
        <w:t>Journal of Jewish Ethics</w:t>
      </w:r>
      <w:r w:rsidR="00A036BD" w:rsidRPr="0072758C">
        <w:rPr>
          <w:lang w:val="en-AU"/>
        </w:rPr>
        <w:t xml:space="preserve"> 5 (2019): 180–206. </w:t>
      </w:r>
    </w:p>
    <w:p w14:paraId="2E2F7015" w14:textId="77777777" w:rsidR="00A036BD" w:rsidRPr="0072758C" w:rsidRDefault="00A036BD" w:rsidP="00BE313F">
      <w:pPr>
        <w:pStyle w:val="EndnoteText"/>
        <w:rPr>
          <w:lang w:val="en-AU"/>
        </w:rPr>
      </w:pPr>
    </w:p>
  </w:footnote>
  <w:footnote w:id="306">
    <w:p w14:paraId="3E03E8A7" w14:textId="0764515F" w:rsidR="00194C28" w:rsidRPr="0072758C" w:rsidRDefault="00194C28" w:rsidP="00BE313F">
      <w:pPr>
        <w:pStyle w:val="EndnoteText"/>
        <w:rPr>
          <w:lang w:val="en-AU"/>
        </w:rPr>
      </w:pPr>
      <w:r w:rsidRPr="0072758C">
        <w:rPr>
          <w:lang w:val="en-AU"/>
        </w:rPr>
        <w:tab/>
      </w:r>
      <w:r w:rsidRPr="0072758C">
        <w:rPr>
          <w:rStyle w:val="FootnoteReference"/>
          <w:lang w:val="en-AU"/>
        </w:rPr>
        <w:footnoteRef/>
      </w:r>
      <w:r w:rsidRPr="0072758C">
        <w:rPr>
          <w:lang w:val="en-AU"/>
        </w:rPr>
        <w:t xml:space="preserve"> Daniel Joslyn-Siemiatkoski, </w:t>
      </w:r>
      <w:r w:rsidR="00D02761" w:rsidRPr="0072758C">
        <w:rPr>
          <w:i/>
          <w:iCs/>
          <w:lang w:val="en-AU"/>
        </w:rPr>
        <w:t>“</w:t>
      </w:r>
      <w:r w:rsidRPr="0072758C">
        <w:rPr>
          <w:i/>
          <w:iCs/>
          <w:lang w:val="en-AU"/>
        </w:rPr>
        <w:t>Moses received the Torah at Sinai and handed it on (Mishna Avot 1:1): the relevance of the written and oral Torah for Christians</w:t>
      </w:r>
      <w:r w:rsidR="00D02761" w:rsidRPr="0072758C">
        <w:rPr>
          <w:i/>
          <w:iCs/>
          <w:lang w:val="en-AU"/>
        </w:rPr>
        <w:t>,”</w:t>
      </w:r>
      <w:r w:rsidRPr="0072758C">
        <w:rPr>
          <w:i/>
          <w:iCs/>
          <w:lang w:val="en-AU"/>
        </w:rPr>
        <w:t> </w:t>
      </w:r>
      <w:r w:rsidRPr="0072758C">
        <w:rPr>
          <w:i/>
          <w:bdr w:val="none" w:sz="0" w:space="0" w:color="auto" w:frame="1"/>
          <w:lang w:val="en-AU"/>
        </w:rPr>
        <w:t>Anglican Theological Review</w:t>
      </w:r>
      <w:r w:rsidRPr="0072758C">
        <w:rPr>
          <w:lang w:val="en-AU"/>
        </w:rPr>
        <w:t> 91 (2009): 443–466. </w:t>
      </w:r>
    </w:p>
  </w:footnote>
  <w:footnote w:id="307">
    <w:p w14:paraId="37011F71" w14:textId="77777777" w:rsidR="00194C28" w:rsidRPr="0072758C" w:rsidRDefault="00194C28" w:rsidP="00BE313F">
      <w:pPr>
        <w:pStyle w:val="EndnoteText"/>
        <w:rPr>
          <w:lang w:val="en-AU"/>
        </w:rPr>
      </w:pPr>
    </w:p>
    <w:p w14:paraId="54EC9A50" w14:textId="200934EE" w:rsidR="00105596" w:rsidRPr="0072758C" w:rsidRDefault="00194C28" w:rsidP="00BE313F">
      <w:pPr>
        <w:pStyle w:val="EndnoteText"/>
        <w:rPr>
          <w:lang w:val="en-AU"/>
        </w:rPr>
      </w:pPr>
      <w:r w:rsidRPr="0072758C">
        <w:rPr>
          <w:lang w:val="en-AU"/>
        </w:rPr>
        <w:tab/>
      </w:r>
      <w:r w:rsidRPr="0072758C">
        <w:rPr>
          <w:rStyle w:val="FootnoteReference"/>
          <w:lang w:val="en-AU"/>
        </w:rPr>
        <w:footnoteRef/>
      </w:r>
      <w:r w:rsidRPr="0072758C">
        <w:rPr>
          <w:lang w:val="en-AU"/>
        </w:rPr>
        <w:t xml:space="preserve"> Moshe Lieber and Nosson Scherman, </w:t>
      </w:r>
      <w:r w:rsidRPr="0072758C">
        <w:rPr>
          <w:i/>
          <w:iCs/>
          <w:lang w:val="en-AU"/>
        </w:rPr>
        <w:t>The Pirkei Avos Treasury</w:t>
      </w:r>
      <w:r w:rsidRPr="0072758C">
        <w:rPr>
          <w:lang w:val="en-AU"/>
        </w:rPr>
        <w:t> (Brooklyn: Mesorah Publications, 1995).</w:t>
      </w:r>
      <w:r w:rsidR="00105596" w:rsidRPr="0072758C">
        <w:rPr>
          <w:lang w:val="en-AU"/>
        </w:rPr>
        <w:t xml:space="preserve"> For more on the Thirteen Hermeneutic Principles, see Aviram. Ravitsky, “Talmudic Methodology and Aristotelian Logic: David Ibn Bilia’s Commentary on the Thirteen Hermeneutic Principles</w:t>
      </w:r>
      <w:r w:rsidR="009D2DCC" w:rsidRPr="0072758C">
        <w:rPr>
          <w:lang w:val="en-AU"/>
        </w:rPr>
        <w:t>,</w:t>
      </w:r>
      <w:r w:rsidR="00105596" w:rsidRPr="0072758C">
        <w:rPr>
          <w:lang w:val="en-AU"/>
        </w:rPr>
        <w:t>” </w:t>
      </w:r>
      <w:r w:rsidR="00105596" w:rsidRPr="0072758C">
        <w:rPr>
          <w:i/>
          <w:iCs/>
          <w:lang w:val="en-AU"/>
        </w:rPr>
        <w:t>The Jewish Quarterly Review</w:t>
      </w:r>
      <w:r w:rsidR="00105596" w:rsidRPr="0072758C">
        <w:rPr>
          <w:lang w:val="en-AU"/>
        </w:rPr>
        <w:t> 99 (2009): 184–99.</w:t>
      </w:r>
    </w:p>
    <w:p w14:paraId="045B482E" w14:textId="77777777" w:rsidR="00194C28" w:rsidRPr="0072758C" w:rsidRDefault="00194C28" w:rsidP="00BE313F">
      <w:pPr>
        <w:pStyle w:val="EndnoteText"/>
        <w:rPr>
          <w:lang w:val="en-AU"/>
        </w:rPr>
      </w:pPr>
    </w:p>
  </w:footnote>
  <w:footnote w:id="308">
    <w:p w14:paraId="074C13B2" w14:textId="1C405293" w:rsidR="00475A54" w:rsidRPr="0072758C" w:rsidRDefault="00194C28" w:rsidP="00BE313F">
      <w:pPr>
        <w:pStyle w:val="EndnoteText"/>
        <w:rPr>
          <w:iCs/>
          <w:lang w:val="en-AU"/>
        </w:rPr>
      </w:pPr>
      <w:r w:rsidRPr="0072758C">
        <w:rPr>
          <w:lang w:val="en-AU"/>
        </w:rPr>
        <w:tab/>
      </w:r>
      <w:r w:rsidRPr="0072758C">
        <w:rPr>
          <w:rStyle w:val="FootnoteReference"/>
          <w:lang w:val="en-AU"/>
        </w:rPr>
        <w:footnoteRef/>
      </w:r>
      <w:r w:rsidRPr="0072758C">
        <w:rPr>
          <w:lang w:val="en-AU"/>
        </w:rPr>
        <w:t xml:space="preserve"> Scott, </w:t>
      </w:r>
      <w:r w:rsidRPr="0072758C">
        <w:rPr>
          <w:i/>
          <w:iCs/>
          <w:lang w:val="en-AU"/>
        </w:rPr>
        <w:t xml:space="preserve">Jewish Backgrounds of the New Testament, </w:t>
      </w:r>
      <w:r w:rsidRPr="0072758C">
        <w:rPr>
          <w:iCs/>
          <w:lang w:val="en-AU"/>
        </w:rPr>
        <w:t>350.</w:t>
      </w:r>
      <w:r w:rsidR="00475A54" w:rsidRPr="0072758C">
        <w:rPr>
          <w:iCs/>
          <w:lang w:val="en-AU"/>
        </w:rPr>
        <w:t xml:space="preserve"> For more on the biblical principles of war and peace, see Paul Kalluveettil, “The Warrior God and the Prince of Peace: Biblical Perspectives on War and Peace</w:t>
      </w:r>
      <w:r w:rsidR="009D2DCC" w:rsidRPr="0072758C">
        <w:rPr>
          <w:iCs/>
          <w:lang w:val="en-AU"/>
        </w:rPr>
        <w:t>,</w:t>
      </w:r>
      <w:r w:rsidR="00475A54" w:rsidRPr="0072758C">
        <w:rPr>
          <w:iCs/>
          <w:lang w:val="en-AU"/>
        </w:rPr>
        <w:t>” </w:t>
      </w:r>
      <w:r w:rsidR="00475A54" w:rsidRPr="0072758C">
        <w:rPr>
          <w:i/>
          <w:iCs/>
          <w:lang w:val="en-AU"/>
        </w:rPr>
        <w:t>Journal of Dharma</w:t>
      </w:r>
      <w:r w:rsidR="00475A54" w:rsidRPr="0072758C">
        <w:rPr>
          <w:iCs/>
          <w:lang w:val="en-AU"/>
        </w:rPr>
        <w:t> 27 (2002): 291–308.</w:t>
      </w:r>
    </w:p>
    <w:p w14:paraId="5ECCE32E" w14:textId="77777777" w:rsidR="00194C28" w:rsidRPr="0072758C" w:rsidRDefault="00194C28" w:rsidP="00BE313F">
      <w:pPr>
        <w:pStyle w:val="EndnoteText"/>
        <w:rPr>
          <w:iCs/>
          <w:lang w:val="en-AU"/>
        </w:rPr>
      </w:pPr>
    </w:p>
  </w:footnote>
  <w:footnote w:id="309">
    <w:p w14:paraId="75344DAD" w14:textId="0694A088" w:rsidR="00194C28" w:rsidRPr="0072758C" w:rsidRDefault="00194C28" w:rsidP="00BE313F">
      <w:pPr>
        <w:pStyle w:val="EndnoteText"/>
        <w:rPr>
          <w:lang w:val="en-AU"/>
        </w:rPr>
      </w:pPr>
      <w:r w:rsidRPr="0072758C">
        <w:rPr>
          <w:lang w:val="en-AU"/>
        </w:rPr>
        <w:tab/>
      </w:r>
      <w:r w:rsidRPr="0072758C">
        <w:rPr>
          <w:rStyle w:val="FootnoteReference"/>
          <w:lang w:val="en-AU"/>
        </w:rPr>
        <w:footnoteRef/>
      </w:r>
      <w:r w:rsidRPr="0072758C">
        <w:rPr>
          <w:lang w:val="en-AU"/>
        </w:rPr>
        <w:t xml:space="preserve"> Joseph J. Fahey, </w:t>
      </w:r>
      <w:proofErr w:type="gramStart"/>
      <w:r w:rsidRPr="0072758C">
        <w:rPr>
          <w:i/>
          <w:iCs/>
          <w:lang w:val="en-AU"/>
        </w:rPr>
        <w:t>War</w:t>
      </w:r>
      <w:proofErr w:type="gramEnd"/>
      <w:r w:rsidRPr="0072758C">
        <w:rPr>
          <w:i/>
          <w:iCs/>
          <w:lang w:val="en-AU"/>
        </w:rPr>
        <w:t xml:space="preserve"> and the Christian Conscience</w:t>
      </w:r>
      <w:r w:rsidRPr="0072758C">
        <w:rPr>
          <w:lang w:val="en-AU"/>
        </w:rPr>
        <w:t xml:space="preserve"> (Maryknoll: Orbis, 2008), 32.</w:t>
      </w:r>
    </w:p>
    <w:p w14:paraId="0EDF42AC" w14:textId="77777777" w:rsidR="00BE313F" w:rsidRPr="0072758C" w:rsidRDefault="00BE313F" w:rsidP="00BE313F">
      <w:pPr>
        <w:pStyle w:val="EndnoteText"/>
        <w:rPr>
          <w:lang w:val="en-AU"/>
        </w:rPr>
      </w:pPr>
    </w:p>
  </w:footnote>
  <w:footnote w:id="310">
    <w:p w14:paraId="7294CA40" w14:textId="3A714663" w:rsidR="00194C28" w:rsidRPr="0072758C" w:rsidRDefault="00194C28" w:rsidP="00BE313F">
      <w:pPr>
        <w:pStyle w:val="EndnoteText"/>
        <w:rPr>
          <w:lang w:val="en-AU"/>
        </w:rPr>
      </w:pPr>
      <w:r w:rsidRPr="0072758C">
        <w:rPr>
          <w:lang w:val="en-AU"/>
        </w:rPr>
        <w:tab/>
      </w:r>
      <w:r w:rsidRPr="0072758C">
        <w:rPr>
          <w:rStyle w:val="FootnoteReference"/>
          <w:lang w:val="en-AU"/>
        </w:rPr>
        <w:footnoteRef/>
      </w:r>
      <w:r w:rsidRPr="0072758C">
        <w:rPr>
          <w:lang w:val="en-AU"/>
        </w:rPr>
        <w:t xml:space="preserve">David J. Neville, </w:t>
      </w:r>
      <w:r w:rsidR="00863B47" w:rsidRPr="0072758C">
        <w:rPr>
          <w:lang w:val="en-AU"/>
        </w:rPr>
        <w:t>“</w:t>
      </w:r>
      <w:r w:rsidRPr="0072758C">
        <w:rPr>
          <w:lang w:val="en-AU"/>
        </w:rPr>
        <w:t>Toward a hermeneutic of shalom: reading texts of teleological terror in peace perspective</w:t>
      </w:r>
      <w:r w:rsidR="009D2DCC" w:rsidRPr="0072758C">
        <w:rPr>
          <w:lang w:val="en-AU"/>
        </w:rPr>
        <w:t>,</w:t>
      </w:r>
      <w:r w:rsidR="00863B47" w:rsidRPr="0072758C">
        <w:rPr>
          <w:lang w:val="en-AU"/>
        </w:rPr>
        <w:t>”</w:t>
      </w:r>
      <w:r w:rsidRPr="0072758C">
        <w:rPr>
          <w:lang w:val="en-AU"/>
        </w:rPr>
        <w:t> </w:t>
      </w:r>
      <w:r w:rsidRPr="0072758C">
        <w:rPr>
          <w:i/>
          <w:bdr w:val="none" w:sz="0" w:space="0" w:color="auto" w:frame="1"/>
          <w:lang w:val="en-AU"/>
        </w:rPr>
        <w:t xml:space="preserve">Word &amp; </w:t>
      </w:r>
      <w:r w:rsidR="00D02761" w:rsidRPr="0072758C">
        <w:rPr>
          <w:i/>
          <w:bdr w:val="none" w:sz="0" w:space="0" w:color="auto" w:frame="1"/>
          <w:lang w:val="en-AU"/>
        </w:rPr>
        <w:t>World</w:t>
      </w:r>
      <w:r w:rsidR="00D02761" w:rsidRPr="0072758C">
        <w:rPr>
          <w:lang w:val="en-AU"/>
        </w:rPr>
        <w:t xml:space="preserve"> 34</w:t>
      </w:r>
      <w:r w:rsidR="00553ADC" w:rsidRPr="0072758C">
        <w:rPr>
          <w:lang w:val="en-AU"/>
        </w:rPr>
        <w:t xml:space="preserve"> </w:t>
      </w:r>
      <w:r w:rsidRPr="0072758C">
        <w:rPr>
          <w:lang w:val="en-AU"/>
        </w:rPr>
        <w:t>(2014)</w:t>
      </w:r>
      <w:r w:rsidR="00553ADC" w:rsidRPr="0072758C">
        <w:rPr>
          <w:lang w:val="en-AU"/>
        </w:rPr>
        <w:t>:</w:t>
      </w:r>
      <w:r w:rsidRPr="0072758C">
        <w:rPr>
          <w:lang w:val="en-AU"/>
        </w:rPr>
        <w:t xml:space="preserve"> </w:t>
      </w:r>
      <w:r w:rsidR="00E65349" w:rsidRPr="0072758C">
        <w:rPr>
          <w:lang w:val="en-AU"/>
        </w:rPr>
        <w:t>3</w:t>
      </w:r>
      <w:r w:rsidRPr="0072758C">
        <w:rPr>
          <w:lang w:val="en-AU"/>
        </w:rPr>
        <w:t>39–348.</w:t>
      </w:r>
    </w:p>
    <w:p w14:paraId="511FE260" w14:textId="77777777" w:rsidR="00194C28" w:rsidRPr="0072758C" w:rsidRDefault="00194C28" w:rsidP="00BE313F">
      <w:pPr>
        <w:pStyle w:val="EndnoteText"/>
        <w:rPr>
          <w:lang w:val="en-AU"/>
        </w:rPr>
      </w:pPr>
    </w:p>
  </w:footnote>
  <w:footnote w:id="311">
    <w:p w14:paraId="5F976D94" w14:textId="6047D19B" w:rsidR="00194C28" w:rsidRPr="0072758C" w:rsidRDefault="00194C28" w:rsidP="00BE313F">
      <w:pPr>
        <w:pStyle w:val="EndnoteText"/>
        <w:rPr>
          <w:lang w:val="en-AU"/>
        </w:rPr>
      </w:pPr>
      <w:r w:rsidRPr="0072758C">
        <w:rPr>
          <w:lang w:val="en-AU"/>
        </w:rPr>
        <w:tab/>
      </w:r>
      <w:r w:rsidRPr="0072758C">
        <w:rPr>
          <w:rStyle w:val="FootnoteReference"/>
          <w:lang w:val="en-AU"/>
        </w:rPr>
        <w:footnoteRef/>
      </w:r>
      <w:r w:rsidRPr="0072758C">
        <w:rPr>
          <w:lang w:val="en-AU"/>
        </w:rPr>
        <w:t xml:space="preserve">Michael E. Stone, </w:t>
      </w:r>
      <w:r w:rsidR="00863B47" w:rsidRPr="0072758C">
        <w:rPr>
          <w:lang w:val="en-AU"/>
        </w:rPr>
        <w:t>“</w:t>
      </w:r>
      <w:r w:rsidRPr="0072758C">
        <w:rPr>
          <w:lang w:val="en-AU"/>
        </w:rPr>
        <w:t xml:space="preserve">Coherence and Inconsistency in The Apocalypses: The Case </w:t>
      </w:r>
      <w:r w:rsidR="00DF2BEE">
        <w:rPr>
          <w:lang w:val="en-AU"/>
        </w:rPr>
        <w:t>o</w:t>
      </w:r>
      <w:r w:rsidRPr="0072758C">
        <w:rPr>
          <w:lang w:val="en-AU"/>
        </w:rPr>
        <w:t xml:space="preserve">f </w:t>
      </w:r>
      <w:r w:rsidR="005C71CB" w:rsidRPr="0072758C">
        <w:rPr>
          <w:lang w:val="en-AU"/>
        </w:rPr>
        <w:t>‘</w:t>
      </w:r>
      <w:r w:rsidRPr="0072758C">
        <w:rPr>
          <w:lang w:val="en-AU"/>
        </w:rPr>
        <w:t>The End</w:t>
      </w:r>
      <w:r w:rsidR="005C71CB" w:rsidRPr="0072758C">
        <w:rPr>
          <w:lang w:val="en-AU"/>
        </w:rPr>
        <w:t>’</w:t>
      </w:r>
      <w:r w:rsidRPr="0072758C">
        <w:rPr>
          <w:lang w:val="en-AU"/>
        </w:rPr>
        <w:t xml:space="preserve"> </w:t>
      </w:r>
      <w:r w:rsidR="00DF2BEE">
        <w:rPr>
          <w:lang w:val="en-AU"/>
        </w:rPr>
        <w:t>i</w:t>
      </w:r>
      <w:r w:rsidRPr="0072758C">
        <w:rPr>
          <w:lang w:val="en-AU"/>
        </w:rPr>
        <w:t>n 4 Ezra,</w:t>
      </w:r>
      <w:r w:rsidR="00863B47" w:rsidRPr="0072758C">
        <w:rPr>
          <w:lang w:val="en-AU"/>
        </w:rPr>
        <w:t>”</w:t>
      </w:r>
      <w:r w:rsidRPr="0072758C">
        <w:rPr>
          <w:lang w:val="en-AU"/>
        </w:rPr>
        <w:t> </w:t>
      </w:r>
      <w:r w:rsidRPr="0072758C">
        <w:rPr>
          <w:i/>
          <w:iCs/>
          <w:lang w:val="en-AU"/>
        </w:rPr>
        <w:t>Journal of Biblical Literature</w:t>
      </w:r>
      <w:r w:rsidRPr="0072758C">
        <w:rPr>
          <w:lang w:val="en-AU"/>
        </w:rPr>
        <w:t> 102 (1983): 232.</w:t>
      </w:r>
    </w:p>
    <w:p w14:paraId="4F53B7E8" w14:textId="77777777" w:rsidR="00194C28" w:rsidRPr="0072758C" w:rsidRDefault="00194C28" w:rsidP="00BE313F">
      <w:pPr>
        <w:pStyle w:val="EndnoteText"/>
        <w:rPr>
          <w:lang w:val="en-AU"/>
        </w:rPr>
      </w:pPr>
    </w:p>
  </w:footnote>
  <w:footnote w:id="312">
    <w:p w14:paraId="4E7ECD78" w14:textId="78165609" w:rsidR="00DA48B8" w:rsidRPr="0072758C" w:rsidRDefault="00194C28" w:rsidP="00B42EFB">
      <w:pPr>
        <w:pStyle w:val="EndnoteText"/>
        <w:ind w:firstLine="720"/>
        <w:rPr>
          <w:lang w:val="en-AU"/>
        </w:rPr>
      </w:pPr>
      <w:r w:rsidRPr="0072758C">
        <w:rPr>
          <w:rStyle w:val="FootnoteReference"/>
          <w:lang w:val="en-AU"/>
        </w:rPr>
        <w:footnoteRef/>
      </w:r>
      <w:r w:rsidRPr="0072758C">
        <w:rPr>
          <w:lang w:val="en-AU"/>
        </w:rPr>
        <w:t xml:space="preserve"> The violence in </w:t>
      </w:r>
      <w:r w:rsidRPr="0072758C">
        <w:rPr>
          <w:i/>
          <w:lang w:val="en-AU"/>
        </w:rPr>
        <w:t>4 Ezra</w:t>
      </w:r>
      <w:r w:rsidRPr="0072758C">
        <w:rPr>
          <w:lang w:val="en-AU"/>
        </w:rPr>
        <w:t xml:space="preserve"> depicts a violent reckoning for God at the end of time and this is juxtaposed with the actions of humankind, who cannot fight back. This violence precedes a season of peace in the messianic era. </w:t>
      </w:r>
      <w:r w:rsidR="00DA48B8" w:rsidRPr="0072758C">
        <w:rPr>
          <w:lang w:val="en-AU"/>
        </w:rPr>
        <w:t>See Rivka Ulmer, “Apocalypticism in the Homiletic Text of Pesiqta Rabbati: Catastrophic Events at the End of Time</w:t>
      </w:r>
      <w:r w:rsidR="009D2DCC" w:rsidRPr="0072758C">
        <w:rPr>
          <w:lang w:val="en-AU"/>
        </w:rPr>
        <w:t>,</w:t>
      </w:r>
      <w:r w:rsidR="00DA48B8" w:rsidRPr="0072758C">
        <w:rPr>
          <w:lang w:val="en-AU"/>
        </w:rPr>
        <w:t>” </w:t>
      </w:r>
      <w:r w:rsidR="00DA48B8" w:rsidRPr="0072758C">
        <w:rPr>
          <w:i/>
          <w:iCs/>
          <w:lang w:val="en-AU"/>
        </w:rPr>
        <w:t>Journal for the Study of Judaism: In the Persian Hellenistic &amp; Roman Period</w:t>
      </w:r>
      <w:r w:rsidR="00DA48B8" w:rsidRPr="0072758C">
        <w:rPr>
          <w:lang w:val="en-AU"/>
        </w:rPr>
        <w:t> 50</w:t>
      </w:r>
      <w:r w:rsidR="00E92474" w:rsidRPr="0072758C">
        <w:rPr>
          <w:lang w:val="en-AU"/>
        </w:rPr>
        <w:t xml:space="preserve"> </w:t>
      </w:r>
      <w:r w:rsidR="00DA48B8" w:rsidRPr="0072758C">
        <w:rPr>
          <w:lang w:val="en-AU"/>
        </w:rPr>
        <w:t xml:space="preserve">(2019): 101–39. </w:t>
      </w:r>
    </w:p>
    <w:p w14:paraId="2E3FB992" w14:textId="77777777" w:rsidR="00194C28" w:rsidRPr="0072758C" w:rsidRDefault="00194C28" w:rsidP="00B42EFB">
      <w:pPr>
        <w:pStyle w:val="EndnoteText"/>
        <w:rPr>
          <w:lang w:val="en-AU"/>
        </w:rPr>
      </w:pPr>
    </w:p>
  </w:footnote>
  <w:footnote w:id="313">
    <w:p w14:paraId="207335EC" w14:textId="6E0F19BD" w:rsidR="00194C28" w:rsidRPr="0072758C" w:rsidDel="00F960A4" w:rsidRDefault="00194C28" w:rsidP="00B42EFB">
      <w:pPr>
        <w:pStyle w:val="EndnoteText"/>
        <w:rPr>
          <w:lang w:val="en-AU"/>
        </w:rPr>
      </w:pPr>
      <w:r w:rsidRPr="0072758C">
        <w:rPr>
          <w:lang w:val="en-AU"/>
        </w:rPr>
        <w:tab/>
      </w:r>
      <w:r w:rsidRPr="0072758C">
        <w:rPr>
          <w:rStyle w:val="FootnoteReference"/>
          <w:lang w:val="en-AU"/>
        </w:rPr>
        <w:footnoteRef/>
      </w:r>
      <w:r w:rsidRPr="0072758C">
        <w:rPr>
          <w:lang w:val="en-AU"/>
        </w:rPr>
        <w:t xml:space="preserve">Richard Bauckham, </w:t>
      </w:r>
      <w:r w:rsidR="00863B47" w:rsidRPr="0072758C">
        <w:rPr>
          <w:lang w:val="en-AU"/>
        </w:rPr>
        <w:t>“</w:t>
      </w:r>
      <w:r w:rsidRPr="0072758C">
        <w:rPr>
          <w:lang w:val="en-AU"/>
        </w:rPr>
        <w:t>The Delay of the Parousia,</w:t>
      </w:r>
      <w:r w:rsidR="00863B47" w:rsidRPr="0072758C">
        <w:rPr>
          <w:lang w:val="en-AU"/>
        </w:rPr>
        <w:t>”</w:t>
      </w:r>
      <w:r w:rsidRPr="0072758C">
        <w:rPr>
          <w:lang w:val="en-AU"/>
        </w:rPr>
        <w:t xml:space="preserve"> </w:t>
      </w:r>
      <w:r w:rsidRPr="0072758C">
        <w:rPr>
          <w:i/>
          <w:iCs/>
          <w:lang w:val="en-AU"/>
        </w:rPr>
        <w:t xml:space="preserve">Tyndale Bulletin </w:t>
      </w:r>
      <w:r w:rsidRPr="0072758C">
        <w:rPr>
          <w:lang w:val="en-AU"/>
        </w:rPr>
        <w:t>31 (1980)</w:t>
      </w:r>
      <w:r w:rsidR="001606AD" w:rsidRPr="0072758C">
        <w:rPr>
          <w:lang w:val="en-AU"/>
        </w:rPr>
        <w:t>,</w:t>
      </w:r>
      <w:r w:rsidRPr="0072758C">
        <w:rPr>
          <w:lang w:val="en-AU"/>
        </w:rPr>
        <w:t xml:space="preserve"> 1.</w:t>
      </w:r>
    </w:p>
    <w:p w14:paraId="7EE86EFB" w14:textId="75AF1339" w:rsidR="00194C28" w:rsidRPr="0072758C" w:rsidRDefault="00194C28" w:rsidP="00B42EFB">
      <w:pPr>
        <w:pStyle w:val="EndnoteText"/>
        <w:rPr>
          <w:lang w:val="en-AU"/>
        </w:rPr>
      </w:pPr>
      <w:r w:rsidRPr="0072758C">
        <w:rPr>
          <w:lang w:val="en-AU"/>
        </w:rPr>
        <w:t xml:space="preserve"> </w:t>
      </w:r>
      <w:r w:rsidR="00B42EFB" w:rsidRPr="0072758C">
        <w:rPr>
          <w:lang w:val="en-AU"/>
        </w:rPr>
        <w:tab/>
      </w:r>
    </w:p>
  </w:footnote>
  <w:footnote w:id="314">
    <w:p w14:paraId="774065F2" w14:textId="3F8515DE" w:rsidR="00E608B1" w:rsidRPr="0072758C" w:rsidRDefault="00194C28" w:rsidP="00B42EFB">
      <w:pPr>
        <w:pStyle w:val="EndnoteText"/>
        <w:ind w:firstLine="720"/>
        <w:rPr>
          <w:lang w:val="en-AU"/>
        </w:rPr>
      </w:pPr>
      <w:r w:rsidRPr="0072758C">
        <w:rPr>
          <w:rStyle w:val="FootnoteReference"/>
          <w:lang w:val="en-AU"/>
        </w:rPr>
        <w:footnoteRef/>
      </w:r>
      <w:r w:rsidRPr="0072758C">
        <w:rPr>
          <w:lang w:val="en-AU"/>
        </w:rPr>
        <w:t xml:space="preserve"> Ibid.</w:t>
      </w:r>
      <w:r w:rsidR="00E608B1" w:rsidRPr="0072758C">
        <w:rPr>
          <w:lang w:val="en-AU"/>
        </w:rPr>
        <w:t xml:space="preserve"> See also, Pablo Gadenz, “Law and Ethics in Early Judaism and the New Testament</w:t>
      </w:r>
      <w:r w:rsidR="009D2DCC" w:rsidRPr="0072758C">
        <w:rPr>
          <w:lang w:val="en-AU"/>
        </w:rPr>
        <w:t>,</w:t>
      </w:r>
      <w:r w:rsidR="00E608B1" w:rsidRPr="0072758C">
        <w:rPr>
          <w:lang w:val="en-AU"/>
        </w:rPr>
        <w:t>” </w:t>
      </w:r>
      <w:r w:rsidR="00E608B1" w:rsidRPr="0072758C">
        <w:rPr>
          <w:i/>
          <w:iCs/>
          <w:lang w:val="en-AU"/>
        </w:rPr>
        <w:t>B</w:t>
      </w:r>
      <w:r w:rsidR="00D02761" w:rsidRPr="0072758C">
        <w:rPr>
          <w:i/>
          <w:iCs/>
          <w:lang w:val="en-AU"/>
        </w:rPr>
        <w:t xml:space="preserve">iblica </w:t>
      </w:r>
      <w:r w:rsidR="00E608B1" w:rsidRPr="0072758C">
        <w:rPr>
          <w:lang w:val="en-AU"/>
        </w:rPr>
        <w:t>100</w:t>
      </w:r>
      <w:r w:rsidR="00700676" w:rsidRPr="0072758C">
        <w:rPr>
          <w:lang w:val="en-AU"/>
        </w:rPr>
        <w:t xml:space="preserve"> </w:t>
      </w:r>
      <w:r w:rsidR="00E608B1" w:rsidRPr="0072758C">
        <w:rPr>
          <w:lang w:val="en-AU"/>
        </w:rPr>
        <w:t>(2019): 466–69.</w:t>
      </w:r>
      <w:r w:rsidR="00D84A6D" w:rsidRPr="0072758C">
        <w:rPr>
          <w:lang w:val="en-AU"/>
        </w:rPr>
        <w:tab/>
      </w:r>
    </w:p>
  </w:footnote>
  <w:footnote w:id="315">
    <w:p w14:paraId="0F8332AC" w14:textId="77777777" w:rsidR="00194C28" w:rsidRPr="0072758C" w:rsidRDefault="00194C28" w:rsidP="00B42EFB">
      <w:pPr>
        <w:pStyle w:val="EndnoteText"/>
        <w:rPr>
          <w:lang w:val="en-AU"/>
        </w:rPr>
      </w:pPr>
    </w:p>
  </w:footnote>
  <w:footnote w:id="316">
    <w:p w14:paraId="3CEF405C" w14:textId="00CC77B5" w:rsidR="00E13F43" w:rsidRPr="0072758C" w:rsidRDefault="00194C28" w:rsidP="00B42EFB">
      <w:pPr>
        <w:pStyle w:val="EndnoteText"/>
        <w:ind w:firstLine="720"/>
        <w:rPr>
          <w:lang w:val="en-AU"/>
        </w:rPr>
      </w:pPr>
      <w:r w:rsidRPr="0072758C">
        <w:rPr>
          <w:rStyle w:val="FootnoteReference"/>
          <w:lang w:val="en-AU"/>
        </w:rPr>
        <w:footnoteRef/>
      </w:r>
      <w:r w:rsidRPr="0072758C">
        <w:rPr>
          <w:lang w:val="en-AU"/>
        </w:rPr>
        <w:t xml:space="preserve"> David Fox Sandmel, </w:t>
      </w:r>
      <w:r w:rsidR="00863B47" w:rsidRPr="0072758C">
        <w:rPr>
          <w:lang w:val="en-AU"/>
        </w:rPr>
        <w:t>“</w:t>
      </w:r>
      <w:r w:rsidRPr="0072758C">
        <w:rPr>
          <w:lang w:val="en-AU"/>
        </w:rPr>
        <w:t>The Christian Reclamation of Judaism,</w:t>
      </w:r>
      <w:r w:rsidR="00863B47" w:rsidRPr="0072758C">
        <w:rPr>
          <w:lang w:val="en-AU"/>
        </w:rPr>
        <w:t>”</w:t>
      </w:r>
      <w:r w:rsidRPr="0072758C">
        <w:rPr>
          <w:lang w:val="en-AU"/>
        </w:rPr>
        <w:t xml:space="preserve"> 251</w:t>
      </w:r>
      <w:r w:rsidR="00504DF1" w:rsidRPr="0072758C">
        <w:rPr>
          <w:lang w:val="en-AU"/>
        </w:rPr>
        <w:t>–</w:t>
      </w:r>
      <w:r w:rsidRPr="0072758C">
        <w:rPr>
          <w:lang w:val="en-AU"/>
        </w:rPr>
        <w:t>63.</w:t>
      </w:r>
      <w:r w:rsidR="00E13F43" w:rsidRPr="0072758C">
        <w:rPr>
          <w:lang w:val="en-AU"/>
        </w:rPr>
        <w:t xml:space="preserve"> Cosentino discusses issue of Pauline Christianity diverging form Jewish origins, see Augusto Cosentino, “Jewishness and Non- (Or Anti</w:t>
      </w:r>
      <w:r w:rsidR="008402D5" w:rsidRPr="0072758C">
        <w:rPr>
          <w:lang w:val="en-AU"/>
        </w:rPr>
        <w:t>-) Jewishness</w:t>
      </w:r>
      <w:r w:rsidR="00E13F43" w:rsidRPr="0072758C">
        <w:rPr>
          <w:lang w:val="en-AU"/>
        </w:rPr>
        <w:t xml:space="preserve"> in the Pauline Corpus</w:t>
      </w:r>
      <w:r w:rsidR="009D2DCC" w:rsidRPr="0072758C">
        <w:rPr>
          <w:lang w:val="en-AU"/>
        </w:rPr>
        <w:t>,</w:t>
      </w:r>
      <w:r w:rsidR="00E13F43" w:rsidRPr="0072758C">
        <w:rPr>
          <w:lang w:val="en-AU"/>
        </w:rPr>
        <w:t>” </w:t>
      </w:r>
      <w:r w:rsidR="00E13F43" w:rsidRPr="0072758C">
        <w:rPr>
          <w:i/>
          <w:iCs/>
          <w:lang w:val="en-AU"/>
        </w:rPr>
        <w:t>Henoch</w:t>
      </w:r>
      <w:r w:rsidR="00E13F43" w:rsidRPr="0072758C">
        <w:rPr>
          <w:lang w:val="en-AU"/>
        </w:rPr>
        <w:t> 38 (2016): 221–32.</w:t>
      </w:r>
    </w:p>
    <w:p w14:paraId="36AA700C" w14:textId="77777777" w:rsidR="00E13F43" w:rsidRPr="0072758C" w:rsidRDefault="00E13F43" w:rsidP="00B42EFB">
      <w:pPr>
        <w:pStyle w:val="EndnoteText"/>
        <w:rPr>
          <w:lang w:val="en-AU"/>
        </w:rPr>
      </w:pPr>
    </w:p>
    <w:p w14:paraId="085B2B88" w14:textId="16F5A39C" w:rsidR="00194C28" w:rsidRPr="0072758C" w:rsidRDefault="00F77422" w:rsidP="00B42EFB">
      <w:pPr>
        <w:pStyle w:val="EndnoteText"/>
        <w:rPr>
          <w:lang w:val="en-AU"/>
        </w:rPr>
      </w:pPr>
      <w:r>
        <w:rPr>
          <w:lang w:val="en-AU"/>
        </w:rPr>
        <w:tab/>
      </w:r>
    </w:p>
  </w:footnote>
  <w:footnote w:id="317">
    <w:p w14:paraId="6C7B135E" w14:textId="57DEB78E" w:rsidR="00F77422" w:rsidRDefault="00F77422" w:rsidP="00F77422">
      <w:pPr>
        <w:pStyle w:val="FootnoteText"/>
        <w:ind w:firstLine="720"/>
      </w:pPr>
      <w:r>
        <w:rPr>
          <w:rStyle w:val="FootnoteReference"/>
        </w:rPr>
        <w:footnoteRef/>
      </w:r>
      <w:r>
        <w:t xml:space="preserve"> Joslyn-Siemiatkoski suggests that Avot 2:4 is similar to Christian thought in that followers of Jesus must submit to God’s authority, see Joslyn-Siemiatkoski, </w:t>
      </w:r>
      <w:r w:rsidRPr="00090025">
        <w:rPr>
          <w:i/>
          <w:iCs/>
        </w:rPr>
        <w:t>The More Torah,</w:t>
      </w:r>
      <w:r>
        <w:t xml:space="preserve"> 127. </w:t>
      </w:r>
    </w:p>
    <w:p w14:paraId="1634AD36" w14:textId="77777777" w:rsidR="00F77422" w:rsidRPr="00ED0F6A" w:rsidRDefault="00F77422" w:rsidP="00ED0F6A">
      <w:pPr>
        <w:pStyle w:val="FootnoteText"/>
        <w:ind w:firstLine="720"/>
        <w:rPr>
          <w:lang w:val="en-US"/>
        </w:rPr>
      </w:pPr>
    </w:p>
  </w:footnote>
  <w:footnote w:id="318">
    <w:p w14:paraId="7AEA2213" w14:textId="77777777" w:rsidR="00194C28" w:rsidRPr="0072758C" w:rsidRDefault="00194C28" w:rsidP="00B42EFB">
      <w:pPr>
        <w:pStyle w:val="EndnoteText"/>
        <w:ind w:firstLine="720"/>
        <w:rPr>
          <w:iCs/>
          <w:lang w:val="en-AU"/>
        </w:rPr>
      </w:pPr>
      <w:r w:rsidRPr="0072758C">
        <w:rPr>
          <w:rStyle w:val="FootnoteReference"/>
          <w:lang w:val="en-AU"/>
        </w:rPr>
        <w:footnoteRef/>
      </w:r>
      <w:r w:rsidRPr="0072758C">
        <w:rPr>
          <w:lang w:val="en-AU"/>
        </w:rPr>
        <w:t xml:space="preserve"> Shapiro, </w:t>
      </w:r>
      <w:r w:rsidRPr="0072758C">
        <w:rPr>
          <w:i/>
          <w:iCs/>
          <w:lang w:val="en-AU"/>
        </w:rPr>
        <w:t xml:space="preserve">Ethics of the Sages, </w:t>
      </w:r>
      <w:r w:rsidRPr="0072758C">
        <w:rPr>
          <w:iCs/>
          <w:lang w:val="en-AU"/>
        </w:rPr>
        <w:t>21.</w:t>
      </w:r>
    </w:p>
  </w:footnote>
  <w:footnote w:id="319">
    <w:p w14:paraId="032A22ED" w14:textId="77777777" w:rsidR="00194C28" w:rsidRPr="0072758C" w:rsidRDefault="00194C28" w:rsidP="00B42EFB">
      <w:pPr>
        <w:pStyle w:val="EndnoteText"/>
        <w:rPr>
          <w:lang w:val="en-AU"/>
        </w:rPr>
      </w:pPr>
    </w:p>
    <w:p w14:paraId="028A807E" w14:textId="77777777" w:rsidR="00194C28" w:rsidRPr="0072758C" w:rsidRDefault="00194C28" w:rsidP="00B42EFB">
      <w:pPr>
        <w:pStyle w:val="EndnoteText"/>
        <w:ind w:firstLine="720"/>
        <w:rPr>
          <w:iCs/>
          <w:lang w:val="en-AU"/>
        </w:rPr>
      </w:pPr>
      <w:r w:rsidRPr="0072758C">
        <w:rPr>
          <w:rStyle w:val="FootnoteReference"/>
          <w:lang w:val="en-AU"/>
        </w:rPr>
        <w:footnoteRef/>
      </w:r>
      <w:r w:rsidRPr="0072758C">
        <w:rPr>
          <w:lang w:val="en-AU"/>
        </w:rPr>
        <w:t xml:space="preserve"> Toperoff, </w:t>
      </w:r>
      <w:r w:rsidRPr="0072758C">
        <w:rPr>
          <w:i/>
          <w:iCs/>
          <w:lang w:val="en-AU"/>
        </w:rPr>
        <w:t xml:space="preserve">Avot, </w:t>
      </w:r>
      <w:r w:rsidRPr="0072758C">
        <w:rPr>
          <w:iCs/>
          <w:lang w:val="en-AU"/>
        </w:rPr>
        <w:t>89.</w:t>
      </w:r>
    </w:p>
    <w:p w14:paraId="16702391" w14:textId="77777777" w:rsidR="00194C28" w:rsidRPr="0072758C" w:rsidRDefault="00194C28" w:rsidP="00B42EFB">
      <w:pPr>
        <w:pStyle w:val="EndnoteText"/>
        <w:rPr>
          <w:iCs/>
          <w:lang w:val="en-AU"/>
        </w:rPr>
      </w:pPr>
    </w:p>
  </w:footnote>
  <w:footnote w:id="320">
    <w:p w14:paraId="67112838" w14:textId="77777777" w:rsidR="00194C28" w:rsidRPr="0072758C" w:rsidRDefault="00194C28" w:rsidP="00B42EFB">
      <w:pPr>
        <w:pStyle w:val="EndnoteText"/>
        <w:ind w:firstLine="720"/>
        <w:rPr>
          <w:iCs/>
          <w:lang w:val="en-AU"/>
        </w:rPr>
      </w:pPr>
      <w:r w:rsidRPr="0072758C">
        <w:rPr>
          <w:rStyle w:val="FootnoteReference"/>
          <w:lang w:val="en-AU"/>
        </w:rPr>
        <w:footnoteRef/>
      </w:r>
      <w:r w:rsidRPr="0072758C">
        <w:rPr>
          <w:lang w:val="en-AU"/>
        </w:rPr>
        <w:t xml:space="preserve"> Kravitz and Olitzky, </w:t>
      </w:r>
      <w:r w:rsidRPr="0072758C">
        <w:rPr>
          <w:i/>
          <w:iCs/>
          <w:lang w:val="en-AU"/>
        </w:rPr>
        <w:t xml:space="preserve">Pirkei Avot, </w:t>
      </w:r>
      <w:r w:rsidRPr="0072758C">
        <w:rPr>
          <w:iCs/>
          <w:lang w:val="en-AU"/>
        </w:rPr>
        <w:t>22.</w:t>
      </w:r>
    </w:p>
    <w:p w14:paraId="1840C78E" w14:textId="77777777" w:rsidR="00194C28" w:rsidRPr="0072758C" w:rsidRDefault="00194C28" w:rsidP="00B42EFB">
      <w:pPr>
        <w:pStyle w:val="EndnoteText"/>
        <w:rPr>
          <w:sz w:val="22"/>
          <w:szCs w:val="22"/>
          <w:lang w:val="en-AU"/>
        </w:rPr>
      </w:pPr>
    </w:p>
  </w:footnote>
  <w:footnote w:id="321">
    <w:p w14:paraId="203C6A08" w14:textId="49ACE2EB" w:rsidR="0027295E" w:rsidRPr="0072758C" w:rsidRDefault="00194C28" w:rsidP="003C0928">
      <w:pPr>
        <w:pStyle w:val="EndnoteText"/>
        <w:ind w:firstLine="720"/>
        <w:rPr>
          <w:lang w:val="en-AU"/>
        </w:rPr>
      </w:pPr>
      <w:r w:rsidRPr="0072758C">
        <w:rPr>
          <w:rStyle w:val="FootnoteReference"/>
          <w:lang w:val="en-AU"/>
        </w:rPr>
        <w:footnoteRef/>
      </w:r>
      <w:r w:rsidRPr="0072758C">
        <w:rPr>
          <w:lang w:val="en-AU"/>
        </w:rPr>
        <w:t xml:space="preserve"> Barukh A. Levine, </w:t>
      </w:r>
      <w:r w:rsidRPr="0072758C">
        <w:rPr>
          <w:i/>
          <w:iCs/>
          <w:lang w:val="en-AU"/>
        </w:rPr>
        <w:t>The JPS Commentary: Leviticus</w:t>
      </w:r>
      <w:r w:rsidRPr="0072758C">
        <w:rPr>
          <w:lang w:val="en-AU"/>
        </w:rPr>
        <w:t xml:space="preserve"> (Philadelphia: Jewish Publication Society, 1989), 130.</w:t>
      </w:r>
      <w:r w:rsidR="0027295E" w:rsidRPr="0072758C">
        <w:rPr>
          <w:lang w:val="en-AU"/>
        </w:rPr>
        <w:t xml:space="preserve">  </w:t>
      </w:r>
    </w:p>
    <w:p w14:paraId="57962F50" w14:textId="77777777" w:rsidR="00194C28" w:rsidRPr="0072758C" w:rsidRDefault="00194C28" w:rsidP="00B42EFB">
      <w:pPr>
        <w:pStyle w:val="EndnoteText"/>
        <w:rPr>
          <w:lang w:val="en-AU"/>
        </w:rPr>
      </w:pPr>
    </w:p>
  </w:footnote>
  <w:footnote w:id="322">
    <w:p w14:paraId="5A774A80" w14:textId="77777777" w:rsidR="00194C28" w:rsidRPr="0072758C" w:rsidRDefault="00194C28" w:rsidP="0033335F">
      <w:pPr>
        <w:pStyle w:val="EndnoteText"/>
        <w:rPr>
          <w:lang w:val="en-AU"/>
        </w:rPr>
      </w:pPr>
    </w:p>
    <w:p w14:paraId="7AFF51F3" w14:textId="38202B45" w:rsidR="00194C28" w:rsidRPr="0072758C" w:rsidRDefault="00194C28" w:rsidP="0033335F">
      <w:pPr>
        <w:pStyle w:val="EndnoteText"/>
        <w:ind w:firstLine="720"/>
        <w:rPr>
          <w:iCs/>
          <w:lang w:val="en-AU"/>
        </w:rPr>
      </w:pPr>
      <w:r w:rsidRPr="0072758C">
        <w:rPr>
          <w:rStyle w:val="FootnoteReference"/>
          <w:lang w:val="en-AU"/>
        </w:rPr>
        <w:footnoteRef/>
      </w:r>
      <w:r w:rsidRPr="0072758C">
        <w:rPr>
          <w:lang w:val="en-AU"/>
        </w:rPr>
        <w:t xml:space="preserve"> Toperoff, </w:t>
      </w:r>
      <w:r w:rsidRPr="0072758C">
        <w:rPr>
          <w:i/>
          <w:iCs/>
          <w:lang w:val="en-AU"/>
        </w:rPr>
        <w:t xml:space="preserve">Avot, </w:t>
      </w:r>
      <w:r w:rsidRPr="0072758C">
        <w:rPr>
          <w:iCs/>
          <w:lang w:val="en-AU"/>
        </w:rPr>
        <w:t>138.</w:t>
      </w:r>
    </w:p>
    <w:p w14:paraId="09B8B4EE" w14:textId="77777777" w:rsidR="00194C28" w:rsidRPr="0072758C" w:rsidRDefault="00194C28" w:rsidP="0033335F">
      <w:pPr>
        <w:pStyle w:val="EndnoteText"/>
        <w:rPr>
          <w:sz w:val="22"/>
          <w:szCs w:val="22"/>
          <w:lang w:val="en-AU"/>
        </w:rPr>
      </w:pPr>
    </w:p>
  </w:footnote>
  <w:footnote w:id="323">
    <w:p w14:paraId="123CA9F3" w14:textId="602CA06D"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See </w:t>
      </w:r>
      <w:r w:rsidR="00E87FCA" w:rsidRPr="0072758C">
        <w:rPr>
          <w:lang w:val="en-AU"/>
        </w:rPr>
        <w:t>Charles E. Cruise, “A Methodology for Detecting and Mitigating Hyperbole in Matthew 5:38-42</w:t>
      </w:r>
      <w:r w:rsidR="009D2DCC" w:rsidRPr="0072758C">
        <w:rPr>
          <w:lang w:val="en-AU"/>
        </w:rPr>
        <w:t>,</w:t>
      </w:r>
      <w:r w:rsidR="00E87FCA" w:rsidRPr="0072758C">
        <w:rPr>
          <w:lang w:val="en-AU"/>
        </w:rPr>
        <w:t>” </w:t>
      </w:r>
      <w:r w:rsidR="00E87FCA" w:rsidRPr="0072758C">
        <w:rPr>
          <w:i/>
          <w:iCs/>
          <w:lang w:val="en-AU"/>
        </w:rPr>
        <w:t>Journal of the Evangelical Theological Society</w:t>
      </w:r>
      <w:r w:rsidR="00E87FCA" w:rsidRPr="0072758C">
        <w:rPr>
          <w:lang w:val="en-AU"/>
        </w:rPr>
        <w:t> 61</w:t>
      </w:r>
      <w:r w:rsidR="00700676" w:rsidRPr="0072758C">
        <w:rPr>
          <w:lang w:val="en-AU"/>
        </w:rPr>
        <w:t xml:space="preserve"> </w:t>
      </w:r>
      <w:r w:rsidR="00E87FCA" w:rsidRPr="0072758C">
        <w:rPr>
          <w:lang w:val="en-AU"/>
        </w:rPr>
        <w:t xml:space="preserve">(2018): 83–103; </w:t>
      </w:r>
      <w:r w:rsidRPr="0072758C">
        <w:rPr>
          <w:lang w:val="en-AU"/>
        </w:rPr>
        <w:t>Lesley Adkins and Roy Adkins, </w:t>
      </w:r>
      <w:r w:rsidRPr="0072758C">
        <w:rPr>
          <w:i/>
          <w:iCs/>
          <w:lang w:val="en-AU"/>
        </w:rPr>
        <w:t>Handbook To Life In Ancient Rome</w:t>
      </w:r>
      <w:r w:rsidRPr="0072758C">
        <w:rPr>
          <w:lang w:val="en-AU"/>
        </w:rPr>
        <w:t> (New York: Facts on File, 2009) and Harvey J Kugelmass, </w:t>
      </w:r>
      <w:r w:rsidRPr="0072758C">
        <w:rPr>
          <w:i/>
          <w:iCs/>
          <w:lang w:val="en-AU"/>
        </w:rPr>
        <w:t>Lex Talionis in the Old Testament</w:t>
      </w:r>
      <w:r w:rsidRPr="0072758C">
        <w:rPr>
          <w:lang w:val="en-AU"/>
        </w:rPr>
        <w:t xml:space="preserve"> (Ann Arbor: University Microfilms International, 1985), 1. The laws of </w:t>
      </w:r>
      <w:r w:rsidRPr="0072758C">
        <w:rPr>
          <w:i/>
          <w:iCs/>
          <w:lang w:val="en-AU"/>
        </w:rPr>
        <w:t>Lex Talionis</w:t>
      </w:r>
      <w:r w:rsidRPr="0072758C">
        <w:rPr>
          <w:lang w:val="en-AU"/>
        </w:rPr>
        <w:t xml:space="preserve"> predate the time of Jesus and were first written down in 450</w:t>
      </w:r>
      <w:r w:rsidR="007010C6" w:rsidRPr="0072758C">
        <w:rPr>
          <w:lang w:val="en-AU"/>
        </w:rPr>
        <w:t xml:space="preserve"> </w:t>
      </w:r>
      <w:r w:rsidRPr="0072758C">
        <w:rPr>
          <w:lang w:val="en-AU"/>
        </w:rPr>
        <w:t>BC</w:t>
      </w:r>
      <w:r w:rsidR="007010C6" w:rsidRPr="0072758C">
        <w:rPr>
          <w:lang w:val="en-AU"/>
        </w:rPr>
        <w:t>E</w:t>
      </w:r>
      <w:r w:rsidRPr="0072758C">
        <w:rPr>
          <w:lang w:val="en-AU"/>
        </w:rPr>
        <w:t xml:space="preserve"> on the eighth tablet of the Roman Twelve Tablets. For a discussion on how the Code of Hammurabi predates the Pentateuch, see</w:t>
      </w:r>
      <w:r w:rsidRPr="0072758C">
        <w:rPr>
          <w:i/>
          <w:iCs/>
          <w:lang w:val="en-AU"/>
        </w:rPr>
        <w:t xml:space="preserve"> </w:t>
      </w:r>
      <w:r w:rsidRPr="0072758C">
        <w:rPr>
          <w:color w:val="000000"/>
          <w:shd w:val="clear" w:color="auto" w:fill="FFFFFF"/>
          <w:lang w:val="en-AU"/>
        </w:rPr>
        <w:t>James Bennett Pritchard, </w:t>
      </w:r>
      <w:r w:rsidRPr="0072758C">
        <w:rPr>
          <w:i/>
          <w:iCs/>
          <w:color w:val="000000"/>
          <w:shd w:val="clear" w:color="auto" w:fill="FFFFFF"/>
          <w:lang w:val="en-AU"/>
        </w:rPr>
        <w:t xml:space="preserve">The Ancient Near East in Pictures Relating to the Old Testament </w:t>
      </w:r>
      <w:r w:rsidRPr="0072758C">
        <w:rPr>
          <w:color w:val="000000"/>
          <w:shd w:val="clear" w:color="auto" w:fill="FFFFFF"/>
          <w:lang w:val="en-AU"/>
        </w:rPr>
        <w:t>(Princeton: Princeton Univ. Press, 1994), 526.</w:t>
      </w:r>
    </w:p>
    <w:p w14:paraId="3C509C87" w14:textId="77777777" w:rsidR="00194C28" w:rsidRPr="0072758C" w:rsidRDefault="00194C28" w:rsidP="0033335F">
      <w:pPr>
        <w:pStyle w:val="EndnoteText"/>
        <w:rPr>
          <w:lang w:val="en-AU"/>
        </w:rPr>
      </w:pPr>
    </w:p>
  </w:footnote>
  <w:footnote w:id="324">
    <w:p w14:paraId="7A10C41B" w14:textId="3DE7EEC1" w:rsidR="009A41FB"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Davis, </w:t>
      </w:r>
      <w:r w:rsidRPr="0072758C">
        <w:rPr>
          <w:i/>
          <w:iCs/>
          <w:lang w:val="en-AU"/>
        </w:rPr>
        <w:t xml:space="preserve">Lex Talionis in Early </w:t>
      </w:r>
      <w:proofErr w:type="gramStart"/>
      <w:r w:rsidRPr="0072758C">
        <w:rPr>
          <w:i/>
          <w:iCs/>
          <w:lang w:val="en-AU"/>
        </w:rPr>
        <w:t>Judaism</w:t>
      </w:r>
      <w:proofErr w:type="gramEnd"/>
      <w:r w:rsidRPr="0072758C">
        <w:rPr>
          <w:i/>
          <w:iCs/>
          <w:lang w:val="en-AU"/>
        </w:rPr>
        <w:t xml:space="preserve"> and the Exhortation of Jesus in Matthew 5:38</w:t>
      </w:r>
      <w:r w:rsidR="005676E2" w:rsidRPr="0072758C">
        <w:rPr>
          <w:i/>
          <w:iCs/>
          <w:lang w:val="en-AU"/>
        </w:rPr>
        <w:t>–</w:t>
      </w:r>
      <w:r w:rsidRPr="0072758C">
        <w:rPr>
          <w:i/>
          <w:iCs/>
          <w:lang w:val="en-AU"/>
        </w:rPr>
        <w:t>42</w:t>
      </w:r>
      <w:r w:rsidRPr="0072758C">
        <w:rPr>
          <w:lang w:val="en-AU"/>
        </w:rPr>
        <w:t>, 97</w:t>
      </w:r>
      <w:r w:rsidR="009A41FB" w:rsidRPr="0072758C">
        <w:rPr>
          <w:lang w:val="en-AU"/>
        </w:rPr>
        <w:t>; Yakir Paz, “The Torah of the Gospel: A Rabbinic Polemic against The Syro-Roman Lawbook</w:t>
      </w:r>
      <w:r w:rsidR="009D2DCC" w:rsidRPr="0072758C">
        <w:rPr>
          <w:lang w:val="en-AU"/>
        </w:rPr>
        <w:t>,</w:t>
      </w:r>
      <w:r w:rsidR="009A41FB" w:rsidRPr="0072758C">
        <w:rPr>
          <w:lang w:val="en-AU"/>
        </w:rPr>
        <w:t>” </w:t>
      </w:r>
      <w:r w:rsidR="009A41FB" w:rsidRPr="0072758C">
        <w:rPr>
          <w:i/>
          <w:iCs/>
          <w:lang w:val="en-AU"/>
        </w:rPr>
        <w:t>Harvard Theological Review</w:t>
      </w:r>
      <w:r w:rsidR="009A41FB" w:rsidRPr="0072758C">
        <w:rPr>
          <w:lang w:val="en-AU"/>
        </w:rPr>
        <w:t> 112 (2019): 517–40. </w:t>
      </w:r>
    </w:p>
    <w:p w14:paraId="0846325A" w14:textId="77777777" w:rsidR="00194C28" w:rsidRPr="0072758C" w:rsidRDefault="00194C28" w:rsidP="0033335F">
      <w:pPr>
        <w:pStyle w:val="EndnoteText"/>
        <w:rPr>
          <w:lang w:val="en-AU"/>
        </w:rPr>
      </w:pPr>
    </w:p>
  </w:footnote>
  <w:footnote w:id="325">
    <w:p w14:paraId="08066291" w14:textId="77777777"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E. H. Warmington</w:t>
      </w:r>
      <w:r w:rsidRPr="0072758C">
        <w:rPr>
          <w:i/>
          <w:iCs/>
          <w:lang w:val="en-AU"/>
        </w:rPr>
        <w:t>, Remains of Old Latin, Loeb Classical Library</w:t>
      </w:r>
      <w:r w:rsidRPr="0072758C">
        <w:rPr>
          <w:lang w:val="en-AU"/>
        </w:rPr>
        <w:t xml:space="preserve"> (Cambridge: Harvard University Press, 1969), 477.</w:t>
      </w:r>
    </w:p>
    <w:p w14:paraId="78000D2B" w14:textId="77777777" w:rsidR="00194C28" w:rsidRPr="0072758C" w:rsidRDefault="00194C28" w:rsidP="0033335F">
      <w:pPr>
        <w:pStyle w:val="EndnoteText"/>
        <w:rPr>
          <w:lang w:val="en-AU"/>
        </w:rPr>
      </w:pPr>
    </w:p>
  </w:footnote>
  <w:footnote w:id="326">
    <w:p w14:paraId="3506292D" w14:textId="77777777" w:rsidR="00194C28" w:rsidRPr="0072758C" w:rsidRDefault="00194C28" w:rsidP="0033335F">
      <w:pPr>
        <w:pStyle w:val="EndnoteText"/>
        <w:ind w:firstLine="720"/>
        <w:rPr>
          <w:i/>
          <w:iCs/>
          <w:lang w:val="en-AU"/>
        </w:rPr>
      </w:pPr>
      <w:r w:rsidRPr="0072758C">
        <w:rPr>
          <w:rStyle w:val="FootnoteReference"/>
          <w:lang w:val="en-AU"/>
        </w:rPr>
        <w:footnoteRef/>
      </w:r>
      <w:r w:rsidRPr="0072758C">
        <w:rPr>
          <w:lang w:val="en-AU"/>
        </w:rPr>
        <w:t xml:space="preserve"> S. P. Scott, </w:t>
      </w:r>
      <w:r w:rsidRPr="0072758C">
        <w:rPr>
          <w:i/>
          <w:iCs/>
          <w:lang w:val="en-AU"/>
        </w:rPr>
        <w:t>The Civil Law—Including the Twelve Tables, The Institutes of Gaius,</w:t>
      </w:r>
    </w:p>
    <w:p w14:paraId="4866753E" w14:textId="77777777" w:rsidR="00194C28" w:rsidRPr="0072758C" w:rsidRDefault="00194C28" w:rsidP="0033335F">
      <w:pPr>
        <w:pStyle w:val="EndnoteText"/>
        <w:rPr>
          <w:i/>
          <w:iCs/>
          <w:lang w:val="en-AU"/>
        </w:rPr>
      </w:pPr>
      <w:r w:rsidRPr="0072758C">
        <w:rPr>
          <w:i/>
          <w:iCs/>
          <w:lang w:val="en-AU"/>
        </w:rPr>
        <w:t>The Rules of Ulpian, The Opinions of Paulus, The Enactments of Justinian, and the Constitutions of Leo:</w:t>
      </w:r>
    </w:p>
    <w:p w14:paraId="1DACB9D2" w14:textId="77777777" w:rsidR="00194C28" w:rsidRPr="0072758C" w:rsidRDefault="00194C28" w:rsidP="0033335F">
      <w:pPr>
        <w:pStyle w:val="EndnoteText"/>
        <w:rPr>
          <w:i/>
          <w:iCs/>
          <w:lang w:val="en-AU"/>
        </w:rPr>
      </w:pPr>
      <w:r w:rsidRPr="0072758C">
        <w:rPr>
          <w:i/>
          <w:iCs/>
          <w:lang w:val="en-AU"/>
        </w:rPr>
        <w:t>Translated from the Original Latin, Edited, and Compared with All Accessible Systems of Jurisprudence</w:t>
      </w:r>
    </w:p>
    <w:p w14:paraId="06616F28" w14:textId="1308AC11" w:rsidR="00194C28" w:rsidRPr="0072758C" w:rsidRDefault="00194C28" w:rsidP="0033335F">
      <w:pPr>
        <w:pStyle w:val="EndnoteText"/>
        <w:rPr>
          <w:lang w:val="en-AU"/>
        </w:rPr>
      </w:pPr>
      <w:r w:rsidRPr="0072758C">
        <w:rPr>
          <w:i/>
          <w:iCs/>
          <w:lang w:val="en-AU"/>
        </w:rPr>
        <w:t>Ancient and Modern</w:t>
      </w:r>
      <w:r w:rsidRPr="0072758C">
        <w:rPr>
          <w:lang w:val="en-AU"/>
        </w:rPr>
        <w:t xml:space="preserve"> (Cincinnati: Central Trust Company Publishers, 1932), 7.</w:t>
      </w:r>
    </w:p>
    <w:p w14:paraId="7BB1159F" w14:textId="77777777" w:rsidR="00194C28" w:rsidRPr="0072758C" w:rsidRDefault="00194C28" w:rsidP="0033335F">
      <w:pPr>
        <w:pStyle w:val="EndnoteText"/>
        <w:rPr>
          <w:lang w:val="en-AU"/>
        </w:rPr>
      </w:pPr>
    </w:p>
  </w:footnote>
  <w:footnote w:id="327">
    <w:p w14:paraId="0D5C191A" w14:textId="77777777" w:rsidR="00E264A3" w:rsidRPr="0072758C" w:rsidRDefault="00194C28" w:rsidP="00E264A3">
      <w:pPr>
        <w:pStyle w:val="EndnoteText"/>
        <w:ind w:firstLine="720"/>
        <w:rPr>
          <w:lang w:val="en-AU"/>
        </w:rPr>
      </w:pPr>
      <w:r w:rsidRPr="0072758C">
        <w:rPr>
          <w:rStyle w:val="FootnoteReference"/>
          <w:lang w:val="en-AU"/>
        </w:rPr>
        <w:footnoteRef/>
      </w:r>
      <w:r w:rsidRPr="0072758C">
        <w:rPr>
          <w:lang w:val="en-AU"/>
        </w:rPr>
        <w:t xml:space="preserve"> James F. Davis, </w:t>
      </w:r>
      <w:r w:rsidRPr="0072758C">
        <w:rPr>
          <w:i/>
          <w:lang w:val="en-AU"/>
        </w:rPr>
        <w:t>Lex</w:t>
      </w:r>
      <w:r w:rsidRPr="0072758C">
        <w:rPr>
          <w:i/>
          <w:iCs/>
          <w:lang w:val="en-AU"/>
        </w:rPr>
        <w:t xml:space="preserve"> Talionis in Early </w:t>
      </w:r>
      <w:proofErr w:type="gramStart"/>
      <w:r w:rsidRPr="0072758C">
        <w:rPr>
          <w:i/>
          <w:iCs/>
          <w:lang w:val="en-AU"/>
        </w:rPr>
        <w:t>Judaism</w:t>
      </w:r>
      <w:proofErr w:type="gramEnd"/>
      <w:r w:rsidRPr="0072758C">
        <w:rPr>
          <w:i/>
          <w:iCs/>
          <w:lang w:val="en-AU"/>
        </w:rPr>
        <w:t xml:space="preserve"> and the Exhortation of Jesus in Matthew 5:38–42 </w:t>
      </w:r>
      <w:r w:rsidRPr="0072758C">
        <w:rPr>
          <w:lang w:val="en-AU"/>
        </w:rPr>
        <w:t>(New York: T&amp;T Clark International, 2005), 97</w:t>
      </w:r>
      <w:r w:rsidR="002A106A" w:rsidRPr="0072758C">
        <w:rPr>
          <w:lang w:val="en-AU"/>
        </w:rPr>
        <w:t xml:space="preserve">. For recent scholarship about the Tablets, see Matthias Armgardt, “Why a Paradigm Change in Pentateuch Research Is Necessary. The Perspective of Legal History,” </w:t>
      </w:r>
      <w:r w:rsidR="00E264A3" w:rsidRPr="0072758C">
        <w:rPr>
          <w:i/>
          <w:lang w:val="en-AU"/>
        </w:rPr>
        <w:t xml:space="preserve">Supplement to the Akkadian Dictionaries </w:t>
      </w:r>
      <w:r w:rsidR="00E264A3" w:rsidRPr="0072758C">
        <w:rPr>
          <w:lang w:val="en-AU"/>
        </w:rPr>
        <w:t>2 (2019): 79–91.</w:t>
      </w:r>
    </w:p>
    <w:p w14:paraId="5B8CA7EB" w14:textId="77777777" w:rsidR="00194C28" w:rsidRPr="0072758C" w:rsidRDefault="00194C28" w:rsidP="0033335F">
      <w:pPr>
        <w:pStyle w:val="EndnoteText"/>
        <w:rPr>
          <w:lang w:val="en-AU"/>
        </w:rPr>
      </w:pPr>
    </w:p>
  </w:footnote>
  <w:footnote w:id="328">
    <w:p w14:paraId="615BD16E" w14:textId="767DDF0C"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See</w:t>
      </w:r>
      <w:r w:rsidRPr="0072758C">
        <w:rPr>
          <w:i/>
          <w:iCs/>
          <w:lang w:val="en-AU"/>
        </w:rPr>
        <w:t xml:space="preserve"> </w:t>
      </w:r>
      <w:r w:rsidRPr="0072758C">
        <w:rPr>
          <w:lang w:val="en-AU"/>
        </w:rPr>
        <w:t xml:space="preserve">Reinhold Niebuhr, </w:t>
      </w:r>
      <w:r w:rsidRPr="0072758C">
        <w:rPr>
          <w:i/>
          <w:iCs/>
          <w:lang w:val="en-AU"/>
        </w:rPr>
        <w:t>An Interpretation of Christian Ethics</w:t>
      </w:r>
      <w:r w:rsidRPr="0072758C">
        <w:rPr>
          <w:lang w:val="en-AU"/>
        </w:rPr>
        <w:t>, (New York: Harper &amp; Row, 1935).</w:t>
      </w:r>
    </w:p>
    <w:p w14:paraId="55E2CA2A" w14:textId="77777777" w:rsidR="0033335F" w:rsidRPr="0072758C" w:rsidRDefault="0033335F" w:rsidP="0033335F">
      <w:pPr>
        <w:pStyle w:val="EndnoteText"/>
        <w:ind w:firstLine="720"/>
        <w:rPr>
          <w:lang w:val="en-AU"/>
        </w:rPr>
      </w:pPr>
    </w:p>
  </w:footnote>
  <w:footnote w:id="329">
    <w:p w14:paraId="5AFAF240" w14:textId="77777777" w:rsidR="00826B16" w:rsidRPr="0072758C" w:rsidRDefault="00826B16" w:rsidP="0033335F">
      <w:pPr>
        <w:pStyle w:val="EndnoteText"/>
        <w:ind w:firstLine="720"/>
        <w:rPr>
          <w:lang w:val="en-AU"/>
        </w:rPr>
      </w:pPr>
      <w:r w:rsidRPr="0072758C">
        <w:rPr>
          <w:rStyle w:val="FootnoteReference"/>
          <w:lang w:val="en-AU"/>
        </w:rPr>
        <w:footnoteRef/>
      </w:r>
      <w:r w:rsidRPr="0072758C">
        <w:rPr>
          <w:lang w:val="en-AU"/>
        </w:rPr>
        <w:t xml:space="preserve"> Gerhard von Rad, </w:t>
      </w:r>
      <w:r w:rsidRPr="0072758C">
        <w:rPr>
          <w:i/>
          <w:iCs/>
          <w:lang w:val="en-AU"/>
        </w:rPr>
        <w:t>Deuteronomy</w:t>
      </w:r>
      <w:r w:rsidRPr="0072758C">
        <w:rPr>
          <w:lang w:val="en-AU"/>
        </w:rPr>
        <w:t> (London: SCM, 1988).</w:t>
      </w:r>
    </w:p>
    <w:p w14:paraId="682C6162" w14:textId="77777777" w:rsidR="00826B16" w:rsidRPr="0072758C" w:rsidRDefault="00826B16" w:rsidP="0033335F">
      <w:pPr>
        <w:pStyle w:val="EndnoteText"/>
        <w:rPr>
          <w:lang w:val="en-AU"/>
        </w:rPr>
      </w:pPr>
    </w:p>
  </w:footnote>
  <w:footnote w:id="330">
    <w:p w14:paraId="798C715E" w14:textId="257DE402" w:rsidR="00F37B8D" w:rsidRPr="0072758C" w:rsidRDefault="00F37B8D" w:rsidP="0033335F">
      <w:pPr>
        <w:pStyle w:val="EndnoteText"/>
        <w:ind w:firstLine="720"/>
        <w:rPr>
          <w:lang w:val="en-AU"/>
        </w:rPr>
      </w:pPr>
      <w:r w:rsidRPr="0072758C">
        <w:rPr>
          <w:rStyle w:val="FootnoteReference"/>
          <w:lang w:val="en-AU"/>
        </w:rPr>
        <w:footnoteRef/>
      </w:r>
      <w:r w:rsidRPr="0072758C">
        <w:rPr>
          <w:rStyle w:val="FootnoteReference"/>
          <w:lang w:val="en-AU"/>
        </w:rPr>
        <w:t xml:space="preserve"> </w:t>
      </w:r>
      <w:r w:rsidRPr="0072758C">
        <w:rPr>
          <w:rStyle w:val="FootnoteReference"/>
          <w:i/>
          <w:iCs/>
          <w:vertAlign w:val="baseline"/>
          <w:lang w:val="en-AU"/>
        </w:rPr>
        <w:t>Biblia Hebraica Stuttgartensia: With Werkgroep Informatica, Vrije Universiteit Morphology; Bible. O.T. Hebrew</w:t>
      </w:r>
      <w:r w:rsidRPr="0072758C">
        <w:rPr>
          <w:rStyle w:val="FootnoteReference"/>
          <w:vertAlign w:val="baseline"/>
          <w:lang w:val="en-AU"/>
        </w:rPr>
        <w:t>. Werkgroep Informatica, Vrije Universiteit</w:t>
      </w:r>
      <w:r w:rsidR="00A75908" w:rsidRPr="0072758C">
        <w:rPr>
          <w:rStyle w:val="FootnoteReference"/>
          <w:vertAlign w:val="baseline"/>
          <w:lang w:val="en-AU"/>
        </w:rPr>
        <w:t xml:space="preserve"> </w:t>
      </w:r>
      <w:r w:rsidRPr="0072758C">
        <w:rPr>
          <w:rStyle w:val="FootnoteReference"/>
          <w:vertAlign w:val="baseline"/>
          <w:lang w:val="en-AU"/>
        </w:rPr>
        <w:t xml:space="preserve"> (Logos Bible Software, 2006), Ex 21:22–25.</w:t>
      </w:r>
    </w:p>
    <w:p w14:paraId="2388E481" w14:textId="77777777" w:rsidR="009902C1" w:rsidRPr="0072758C" w:rsidRDefault="009902C1" w:rsidP="0033335F">
      <w:pPr>
        <w:pStyle w:val="EndnoteText"/>
        <w:rPr>
          <w:rStyle w:val="FootnoteReference"/>
          <w:vertAlign w:val="baseline"/>
          <w:lang w:val="en-AU"/>
        </w:rPr>
      </w:pPr>
    </w:p>
  </w:footnote>
  <w:footnote w:id="331">
    <w:p w14:paraId="7FBA36AA" w14:textId="02450B80" w:rsidR="009902C1" w:rsidRPr="0072758C" w:rsidRDefault="009902C1" w:rsidP="0033335F">
      <w:pPr>
        <w:pStyle w:val="EndnoteText"/>
        <w:ind w:firstLine="720"/>
        <w:rPr>
          <w:rStyle w:val="FootnoteReference"/>
          <w:sz w:val="24"/>
          <w:szCs w:val="24"/>
          <w:vertAlign w:val="baseline"/>
          <w:lang w:val="en-AU"/>
        </w:rPr>
      </w:pPr>
      <w:r w:rsidRPr="0072758C">
        <w:rPr>
          <w:rStyle w:val="FootnoteReference"/>
          <w:lang w:val="en-AU"/>
        </w:rPr>
        <w:footnoteRef/>
      </w:r>
      <w:r w:rsidRPr="0072758C">
        <w:rPr>
          <w:rStyle w:val="FootnoteReference"/>
          <w:lang w:val="en-AU"/>
        </w:rPr>
        <w:t xml:space="preserve"> </w:t>
      </w:r>
      <w:r w:rsidRPr="0072758C">
        <w:rPr>
          <w:lang w:val="en-AU"/>
        </w:rPr>
        <w:t>One might cite the Laws of Hammurabi by means of comparison. For example, “209 If an awilu strikes a woman of the awilu-class and thereby causes her to miscarry her fetus, he shall weigh and deliver 10 shekels of silver for her</w:t>
      </w:r>
      <w:r w:rsidR="005D63C8">
        <w:rPr>
          <w:lang w:val="en-AU"/>
        </w:rPr>
        <w:t xml:space="preserve"> </w:t>
      </w:r>
      <w:r w:rsidRPr="0072758C">
        <w:rPr>
          <w:lang w:val="en-AU"/>
        </w:rPr>
        <w:t xml:space="preserve">fetus. 210 If that woman should die, they shall kill his daughter. 211 If he should cause a woman of the commoner-class to miscarry her fetus by the beating, he shall weigh and deliver 5 shekels of silver. 212 If that woman should die, he shall weigh and deliver 30 shekels of silver. 213 If he strikes an awilu’s slave woman and thereby causes her to miscarry her fetus, he shall weigh and deliver 2 shekels of silver. 214 If that slave woman should die, he shall weigh and deliver 20 shekels of silver” Martha T. Roth, </w:t>
      </w:r>
      <w:r w:rsidRPr="0072758C">
        <w:rPr>
          <w:i/>
          <w:iCs/>
          <w:lang w:val="en-AU"/>
        </w:rPr>
        <w:t xml:space="preserve">Law Collections from </w:t>
      </w:r>
      <w:proofErr w:type="gramStart"/>
      <w:r w:rsidRPr="0072758C">
        <w:rPr>
          <w:i/>
          <w:iCs/>
          <w:lang w:val="en-AU"/>
        </w:rPr>
        <w:t>Mesopotamia</w:t>
      </w:r>
      <w:proofErr w:type="gramEnd"/>
      <w:r w:rsidRPr="0072758C">
        <w:rPr>
          <w:i/>
          <w:iCs/>
          <w:lang w:val="en-AU"/>
        </w:rPr>
        <w:t xml:space="preserve"> and Asia Minor</w:t>
      </w:r>
      <w:r w:rsidRPr="0072758C">
        <w:rPr>
          <w:lang w:val="en-AU"/>
        </w:rPr>
        <w:t xml:space="preserve"> (Atlanta: Scholars, 1997), 123. These laws prescribe different penalties depending on the social status of the women involved.</w:t>
      </w:r>
      <w:r w:rsidR="001F6EC6" w:rsidRPr="0072758C">
        <w:rPr>
          <w:lang w:val="en-AU"/>
        </w:rPr>
        <w:t xml:space="preserve">  </w:t>
      </w:r>
    </w:p>
  </w:footnote>
  <w:footnote w:id="332">
    <w:p w14:paraId="7B7B7CA7" w14:textId="77777777" w:rsidR="0033335F" w:rsidRPr="0072758C" w:rsidRDefault="00194C28" w:rsidP="0033335F">
      <w:pPr>
        <w:pStyle w:val="EndnoteText"/>
        <w:rPr>
          <w:lang w:val="en-AU"/>
        </w:rPr>
      </w:pPr>
      <w:r w:rsidRPr="0072758C">
        <w:rPr>
          <w:lang w:val="en-AU"/>
        </w:rPr>
        <w:tab/>
      </w:r>
    </w:p>
    <w:p w14:paraId="57C88F7C" w14:textId="54D61666" w:rsidR="00E3664D"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Adele Berlin, Marc Zvi Brettler and Michael Fishbane, </w:t>
      </w:r>
      <w:r w:rsidRPr="0072758C">
        <w:rPr>
          <w:i/>
          <w:iCs/>
          <w:lang w:val="en-AU"/>
        </w:rPr>
        <w:t>The Jewish Study Bible</w:t>
      </w:r>
      <w:r w:rsidRPr="0072758C">
        <w:rPr>
          <w:lang w:val="en-AU"/>
        </w:rPr>
        <w:t> (Oxford: Oxford University Press, 2004), 154.</w:t>
      </w:r>
      <w:r w:rsidR="00CA533D" w:rsidRPr="0072758C">
        <w:rPr>
          <w:lang w:val="en-AU"/>
        </w:rPr>
        <w:t xml:space="preserve"> Nittai the Arbelite was vice-president of the Sanhedrin under the nasi Joshua ben Perachyah at the time of John Hyrcanus (r. 134–104 BCE).</w:t>
      </w:r>
      <w:r w:rsidR="00E3664D" w:rsidRPr="0072758C">
        <w:rPr>
          <w:lang w:val="en-AU"/>
        </w:rPr>
        <w:t xml:space="preserve"> See also </w:t>
      </w:r>
      <w:r w:rsidR="00700676" w:rsidRPr="0072758C">
        <w:rPr>
          <w:lang w:val="en-AU"/>
        </w:rPr>
        <w:t>comparison</w:t>
      </w:r>
      <w:r w:rsidR="00E3664D" w:rsidRPr="0072758C">
        <w:rPr>
          <w:lang w:val="en-AU"/>
        </w:rPr>
        <w:t xml:space="preserve"> to Talion and Samson</w:t>
      </w:r>
      <w:r w:rsidR="009D2DCC" w:rsidRPr="0072758C">
        <w:rPr>
          <w:lang w:val="en-AU"/>
        </w:rPr>
        <w:t xml:space="preserve"> </w:t>
      </w:r>
      <w:r w:rsidR="00E3664D" w:rsidRPr="0072758C">
        <w:rPr>
          <w:lang w:val="en-AU"/>
        </w:rPr>
        <w:t>narrative: Helen Paynter, “Revenge for My Two Eyes: Talion and Mimesis in the Samson Narrative</w:t>
      </w:r>
      <w:r w:rsidR="009D2DCC" w:rsidRPr="0072758C">
        <w:rPr>
          <w:lang w:val="en-AU"/>
        </w:rPr>
        <w:t>,</w:t>
      </w:r>
      <w:r w:rsidR="00E3664D" w:rsidRPr="0072758C">
        <w:rPr>
          <w:lang w:val="en-AU"/>
        </w:rPr>
        <w:t>” </w:t>
      </w:r>
      <w:r w:rsidR="00E3664D" w:rsidRPr="0072758C">
        <w:rPr>
          <w:i/>
          <w:iCs/>
          <w:lang w:val="en-AU"/>
        </w:rPr>
        <w:t>Biblical Interpretation</w:t>
      </w:r>
      <w:r w:rsidR="00E3664D" w:rsidRPr="0072758C">
        <w:rPr>
          <w:lang w:val="en-AU"/>
        </w:rPr>
        <w:t> 26</w:t>
      </w:r>
      <w:r w:rsidR="00E92474" w:rsidRPr="0072758C">
        <w:rPr>
          <w:lang w:val="en-AU"/>
        </w:rPr>
        <w:t xml:space="preserve"> </w:t>
      </w:r>
      <w:r w:rsidR="00E3664D" w:rsidRPr="0072758C">
        <w:rPr>
          <w:lang w:val="en-AU"/>
        </w:rPr>
        <w:t xml:space="preserve">(2018): 133–57. </w:t>
      </w:r>
    </w:p>
    <w:p w14:paraId="7963DA32" w14:textId="77777777" w:rsidR="00194C28" w:rsidRPr="0072758C" w:rsidRDefault="00194C28" w:rsidP="0033335F">
      <w:pPr>
        <w:pStyle w:val="EndnoteText"/>
        <w:rPr>
          <w:lang w:val="en-AU"/>
        </w:rPr>
      </w:pPr>
    </w:p>
  </w:footnote>
  <w:footnote w:id="333">
    <w:p w14:paraId="06B6BB03" w14:textId="7D26D4AB" w:rsidR="00194C28" w:rsidRPr="0072758C" w:rsidRDefault="00194C28" w:rsidP="0033335F">
      <w:pPr>
        <w:pStyle w:val="EndnoteText"/>
        <w:rPr>
          <w:lang w:val="en-AU"/>
        </w:rPr>
      </w:pPr>
      <w:r w:rsidRPr="0072758C">
        <w:rPr>
          <w:lang w:val="en-AU"/>
        </w:rPr>
        <w:tab/>
      </w:r>
      <w:r w:rsidRPr="0072758C">
        <w:rPr>
          <w:rStyle w:val="FootnoteReference"/>
          <w:lang w:val="en-AU"/>
        </w:rPr>
        <w:footnoteRef/>
      </w:r>
      <w:r w:rsidRPr="0072758C">
        <w:rPr>
          <w:lang w:val="en-AU"/>
        </w:rPr>
        <w:t xml:space="preserve"> Roland H Worth, </w:t>
      </w:r>
      <w:r w:rsidRPr="0072758C">
        <w:rPr>
          <w:i/>
          <w:iCs/>
          <w:lang w:val="en-AU"/>
        </w:rPr>
        <w:t>The Sermon on the Mount</w:t>
      </w:r>
      <w:r w:rsidRPr="0072758C">
        <w:rPr>
          <w:lang w:val="en-AU"/>
        </w:rPr>
        <w:t> (New York: Paulist Press, 1997), 231.</w:t>
      </w:r>
    </w:p>
    <w:p w14:paraId="2B310588" w14:textId="77777777" w:rsidR="00194C28" w:rsidRPr="0072758C" w:rsidRDefault="00194C28" w:rsidP="0033335F">
      <w:pPr>
        <w:pStyle w:val="EndnoteText"/>
        <w:rPr>
          <w:lang w:val="en-AU"/>
        </w:rPr>
      </w:pPr>
    </w:p>
  </w:footnote>
  <w:footnote w:id="334">
    <w:p w14:paraId="12AE0907" w14:textId="2982DE0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Marius Reiser, </w:t>
      </w:r>
      <w:proofErr w:type="gramStart"/>
      <w:r w:rsidRPr="0072758C">
        <w:rPr>
          <w:i/>
          <w:iCs/>
          <w:lang w:val="en-AU"/>
        </w:rPr>
        <w:t>Jesus</w:t>
      </w:r>
      <w:proofErr w:type="gramEnd"/>
      <w:r w:rsidRPr="0072758C">
        <w:rPr>
          <w:i/>
          <w:iCs/>
          <w:lang w:val="en-AU"/>
        </w:rPr>
        <w:t xml:space="preserve"> and Judgment</w:t>
      </w:r>
      <w:r w:rsidRPr="0072758C">
        <w:rPr>
          <w:lang w:val="en-AU"/>
        </w:rPr>
        <w:t> (Minneapolis: Fortress Press, 1997).</w:t>
      </w:r>
      <w:r w:rsidR="00E3664D" w:rsidRPr="0072758C">
        <w:rPr>
          <w:lang w:val="en-AU"/>
        </w:rPr>
        <w:t xml:space="preserve"> </w:t>
      </w:r>
    </w:p>
    <w:p w14:paraId="399D041F" w14:textId="77777777" w:rsidR="00194C28" w:rsidRPr="0072758C" w:rsidRDefault="00194C28" w:rsidP="0033335F">
      <w:pPr>
        <w:pStyle w:val="EndnoteText"/>
        <w:rPr>
          <w:lang w:val="en-AU"/>
        </w:rPr>
      </w:pPr>
    </w:p>
  </w:footnote>
  <w:footnote w:id="335">
    <w:p w14:paraId="57B3E40A" w14:textId="45213BF6" w:rsidR="00194C28" w:rsidRPr="0072758C" w:rsidRDefault="00194C28" w:rsidP="0033335F">
      <w:pPr>
        <w:pStyle w:val="EndnoteText"/>
        <w:rPr>
          <w:lang w:val="en-AU"/>
        </w:rPr>
      </w:pPr>
      <w:r w:rsidRPr="0072758C">
        <w:rPr>
          <w:lang w:val="en-AU"/>
        </w:rPr>
        <w:tab/>
      </w:r>
      <w:r w:rsidRPr="0072758C">
        <w:rPr>
          <w:rStyle w:val="FootnoteReference"/>
          <w:lang w:val="en-AU"/>
        </w:rPr>
        <w:footnoteRef/>
      </w:r>
      <w:r w:rsidRPr="0072758C">
        <w:rPr>
          <w:lang w:val="en-AU"/>
        </w:rPr>
        <w:t xml:space="preserve"> Joseph J. Fahey, </w:t>
      </w:r>
      <w:proofErr w:type="gramStart"/>
      <w:r w:rsidRPr="0072758C">
        <w:rPr>
          <w:i/>
          <w:iCs/>
          <w:lang w:val="en-AU"/>
        </w:rPr>
        <w:t>War</w:t>
      </w:r>
      <w:proofErr w:type="gramEnd"/>
      <w:r w:rsidRPr="0072758C">
        <w:rPr>
          <w:i/>
          <w:iCs/>
          <w:lang w:val="en-AU"/>
        </w:rPr>
        <w:t xml:space="preserve"> and the Christian Conscience</w:t>
      </w:r>
      <w:r w:rsidRPr="0072758C">
        <w:rPr>
          <w:lang w:val="en-AU"/>
        </w:rPr>
        <w:t xml:space="preserve"> (Maryknoll: Orbis, 2005), 74.</w:t>
      </w:r>
      <w:r w:rsidR="007B01F2" w:rsidRPr="0072758C">
        <w:rPr>
          <w:lang w:val="en-AU"/>
        </w:rPr>
        <w:t xml:space="preserve"> For a discussion on the violence of retribution according to the Yahweh tradition, see Lerato Mokoena and Esias E. Meyer</w:t>
      </w:r>
      <w:r w:rsidR="000C3538" w:rsidRPr="0072758C">
        <w:rPr>
          <w:lang w:val="en-AU"/>
        </w:rPr>
        <w:t xml:space="preserve">, </w:t>
      </w:r>
      <w:r w:rsidR="007B01F2" w:rsidRPr="0072758C">
        <w:rPr>
          <w:lang w:val="en-AU"/>
        </w:rPr>
        <w:t>“Jehu’s Violent Coup and the Justification of Violence</w:t>
      </w:r>
      <w:r w:rsidR="009D2DCC" w:rsidRPr="0072758C">
        <w:rPr>
          <w:lang w:val="en-AU"/>
        </w:rPr>
        <w:t>,</w:t>
      </w:r>
      <w:r w:rsidR="007B01F2" w:rsidRPr="0072758C">
        <w:rPr>
          <w:lang w:val="en-AU"/>
        </w:rPr>
        <w:t>” </w:t>
      </w:r>
      <w:r w:rsidR="007B01F2" w:rsidRPr="0072758C">
        <w:rPr>
          <w:i/>
          <w:iCs/>
          <w:lang w:val="en-AU"/>
        </w:rPr>
        <w:t>Hervormde Teologiese Studies</w:t>
      </w:r>
      <w:r w:rsidR="007B01F2" w:rsidRPr="0072758C">
        <w:rPr>
          <w:lang w:val="en-AU"/>
        </w:rPr>
        <w:t> 75 (2019): 1–6.</w:t>
      </w:r>
    </w:p>
  </w:footnote>
  <w:footnote w:id="336">
    <w:p w14:paraId="2B40381D" w14:textId="77777777" w:rsidR="00194C28" w:rsidRPr="0072758C" w:rsidRDefault="00194C28" w:rsidP="0033335F">
      <w:pPr>
        <w:pStyle w:val="EndnoteText"/>
        <w:rPr>
          <w:lang w:val="en-AU"/>
        </w:rPr>
      </w:pPr>
    </w:p>
    <w:p w14:paraId="59B57A43" w14:textId="6B5945ED" w:rsidR="00194C28" w:rsidRPr="0072758C" w:rsidRDefault="00194C28" w:rsidP="0033335F">
      <w:pPr>
        <w:pStyle w:val="EndnoteText"/>
        <w:rPr>
          <w:rFonts w:ascii="Times" w:hAnsi="Times"/>
          <w:lang w:val="en-AU"/>
        </w:rPr>
      </w:pPr>
      <w:r w:rsidRPr="0072758C">
        <w:rPr>
          <w:lang w:val="en-AU"/>
        </w:rPr>
        <w:tab/>
      </w:r>
      <w:r w:rsidRPr="0072758C">
        <w:rPr>
          <w:rStyle w:val="FootnoteReference"/>
          <w:lang w:val="en-AU"/>
        </w:rPr>
        <w:footnoteRef/>
      </w:r>
      <w:r w:rsidRPr="0072758C">
        <w:rPr>
          <w:lang w:val="en-AU"/>
        </w:rPr>
        <w:t xml:space="preserve"> </w:t>
      </w:r>
      <w:r w:rsidRPr="0072758C">
        <w:rPr>
          <w:rFonts w:ascii="Times" w:hAnsi="Times"/>
          <w:lang w:val="en-AU"/>
        </w:rPr>
        <w:t xml:space="preserve">D. C. Allison, </w:t>
      </w:r>
      <w:r w:rsidRPr="0072758C">
        <w:rPr>
          <w:rFonts w:ascii="Times" w:hAnsi="Times"/>
          <w:i/>
          <w:iCs/>
          <w:lang w:val="en-AU"/>
        </w:rPr>
        <w:t>Resurrecting Jesus: The Earliest Christian Tradition and its Interpreters</w:t>
      </w:r>
    </w:p>
    <w:p w14:paraId="2220525B" w14:textId="01512F43" w:rsidR="00194C28" w:rsidRPr="0072758C" w:rsidRDefault="00194C28" w:rsidP="0033335F">
      <w:pPr>
        <w:pStyle w:val="EndnoteText"/>
        <w:rPr>
          <w:rFonts w:ascii="Times" w:hAnsi="Times"/>
          <w:lang w:val="en-AU"/>
        </w:rPr>
      </w:pPr>
      <w:r w:rsidRPr="0072758C">
        <w:rPr>
          <w:rFonts w:ascii="Times" w:hAnsi="Times"/>
          <w:lang w:val="en-AU"/>
        </w:rPr>
        <w:t>(London: T&amp;T Clark International, 2005), 56</w:t>
      </w:r>
      <w:r w:rsidRPr="0072758C">
        <w:rPr>
          <w:rFonts w:ascii="Times" w:hAnsi="Times" w:cs="Times"/>
          <w:lang w:val="en-AU"/>
        </w:rPr>
        <w:t>–</w:t>
      </w:r>
      <w:r w:rsidRPr="0072758C">
        <w:rPr>
          <w:rFonts w:ascii="Times" w:hAnsi="Times"/>
          <w:lang w:val="en-AU"/>
        </w:rPr>
        <w:t>100.</w:t>
      </w:r>
    </w:p>
  </w:footnote>
  <w:footnote w:id="337">
    <w:p w14:paraId="4D0423C1" w14:textId="77777777" w:rsidR="00194C28" w:rsidRPr="0072758C" w:rsidRDefault="00194C28" w:rsidP="0033335F">
      <w:pPr>
        <w:pStyle w:val="EndnoteText"/>
        <w:rPr>
          <w:lang w:val="en-AU"/>
        </w:rPr>
      </w:pPr>
    </w:p>
    <w:p w14:paraId="32DC93E2" w14:textId="2BCB7569" w:rsidR="00194C28" w:rsidRPr="0072758C" w:rsidRDefault="00194C28" w:rsidP="0033335F">
      <w:pPr>
        <w:pStyle w:val="EndnoteText"/>
        <w:rPr>
          <w:lang w:val="en-AU"/>
        </w:rPr>
      </w:pPr>
      <w:r w:rsidRPr="0072758C">
        <w:rPr>
          <w:lang w:val="en-AU"/>
        </w:rPr>
        <w:tab/>
      </w:r>
      <w:r w:rsidRPr="0072758C">
        <w:rPr>
          <w:rStyle w:val="FootnoteReference"/>
          <w:lang w:val="en-AU"/>
        </w:rPr>
        <w:footnoteRef/>
      </w:r>
      <w:r w:rsidRPr="0072758C">
        <w:rPr>
          <w:lang w:val="en-AU"/>
        </w:rPr>
        <w:t xml:space="preserve"> Beryl D. Cohen, </w:t>
      </w:r>
      <w:r w:rsidRPr="0072758C">
        <w:rPr>
          <w:i/>
          <w:iCs/>
          <w:lang w:val="en-AU"/>
        </w:rPr>
        <w:t>Jacob</w:t>
      </w:r>
      <w:r w:rsidR="005C71CB" w:rsidRPr="0072758C">
        <w:rPr>
          <w:i/>
          <w:iCs/>
          <w:lang w:val="en-AU"/>
        </w:rPr>
        <w:t>’</w:t>
      </w:r>
      <w:r w:rsidRPr="0072758C">
        <w:rPr>
          <w:i/>
          <w:iCs/>
          <w:lang w:val="en-AU"/>
        </w:rPr>
        <w:t>s Well: Some Jewish Sources and Parallels to the Sermon on the Mount</w:t>
      </w:r>
      <w:r w:rsidRPr="0072758C">
        <w:rPr>
          <w:lang w:val="en-AU"/>
        </w:rPr>
        <w:t xml:space="preserve"> (New York: Bookman Associates, 1956), 58</w:t>
      </w:r>
      <w:r w:rsidR="007021D6" w:rsidRPr="0072758C">
        <w:rPr>
          <w:lang w:val="en-AU"/>
        </w:rPr>
        <w:t xml:space="preserve">. For a discussion about the apocalypse and holiness, see </w:t>
      </w:r>
    </w:p>
    <w:p w14:paraId="2C8CB563" w14:textId="1B63AF74" w:rsidR="007021D6" w:rsidRPr="0072758C" w:rsidRDefault="007021D6" w:rsidP="0033335F">
      <w:pPr>
        <w:pStyle w:val="EndnoteText"/>
        <w:rPr>
          <w:lang w:val="en-AU"/>
        </w:rPr>
      </w:pPr>
      <w:r w:rsidRPr="0072758C">
        <w:rPr>
          <w:lang w:val="en-AU"/>
        </w:rPr>
        <w:t>Raymond L Sickinger, “Apocalypse Now: Magic and the Millennium</w:t>
      </w:r>
      <w:r w:rsidR="009D2DCC" w:rsidRPr="0072758C">
        <w:rPr>
          <w:lang w:val="en-AU"/>
        </w:rPr>
        <w:t>,</w:t>
      </w:r>
      <w:r w:rsidRPr="0072758C">
        <w:rPr>
          <w:lang w:val="en-AU"/>
        </w:rPr>
        <w:t>” </w:t>
      </w:r>
      <w:r w:rsidRPr="0072758C">
        <w:rPr>
          <w:i/>
          <w:iCs/>
          <w:lang w:val="en-AU"/>
        </w:rPr>
        <w:t>Journal of Popular Culture</w:t>
      </w:r>
      <w:r w:rsidRPr="0072758C">
        <w:rPr>
          <w:lang w:val="en-AU"/>
        </w:rPr>
        <w:t> 34</w:t>
      </w:r>
      <w:r w:rsidR="00700676" w:rsidRPr="0072758C">
        <w:rPr>
          <w:lang w:val="en-AU"/>
        </w:rPr>
        <w:t xml:space="preserve"> </w:t>
      </w:r>
      <w:r w:rsidRPr="0072758C">
        <w:rPr>
          <w:lang w:val="en-AU"/>
        </w:rPr>
        <w:t>(2001): 183.</w:t>
      </w:r>
    </w:p>
    <w:p w14:paraId="532206BD" w14:textId="77777777" w:rsidR="00194C28" w:rsidRPr="0072758C" w:rsidRDefault="00194C28" w:rsidP="0033335F">
      <w:pPr>
        <w:pStyle w:val="EndnoteText"/>
        <w:rPr>
          <w:lang w:val="en-AU"/>
        </w:rPr>
      </w:pPr>
    </w:p>
  </w:footnote>
  <w:footnote w:id="338">
    <w:p w14:paraId="5B695EFE" w14:textId="77791F61" w:rsidR="00194C28" w:rsidRPr="0072758C" w:rsidRDefault="00194C28" w:rsidP="0033335F">
      <w:pPr>
        <w:pStyle w:val="EndnoteText"/>
        <w:rPr>
          <w:rFonts w:ascii="Times" w:hAnsi="Times"/>
          <w:lang w:val="en-AU"/>
        </w:rPr>
      </w:pPr>
      <w:r w:rsidRPr="0072758C">
        <w:rPr>
          <w:lang w:val="en-AU"/>
        </w:rPr>
        <w:tab/>
      </w:r>
      <w:r w:rsidRPr="0072758C">
        <w:rPr>
          <w:rStyle w:val="FootnoteReference"/>
          <w:lang w:val="en-AU"/>
        </w:rPr>
        <w:footnoteRef/>
      </w:r>
      <w:r w:rsidRPr="0072758C">
        <w:rPr>
          <w:lang w:val="en-AU"/>
        </w:rPr>
        <w:t xml:space="preserve"> </w:t>
      </w:r>
      <w:r w:rsidR="006A275B" w:rsidRPr="0072758C">
        <w:rPr>
          <w:lang w:val="en-AU"/>
        </w:rPr>
        <w:t>Cohen, 1958</w:t>
      </w:r>
    </w:p>
  </w:footnote>
  <w:footnote w:id="339">
    <w:p w14:paraId="4B52CC57" w14:textId="77777777" w:rsidR="00194C28" w:rsidRPr="0072758C" w:rsidRDefault="00194C28" w:rsidP="0033335F">
      <w:pPr>
        <w:pStyle w:val="EndnoteText"/>
        <w:rPr>
          <w:lang w:val="en-AU"/>
        </w:rPr>
      </w:pPr>
    </w:p>
    <w:p w14:paraId="3D5B1074" w14:textId="01385D52" w:rsidR="004B2A06" w:rsidRPr="0072758C" w:rsidRDefault="00194C28" w:rsidP="0033335F">
      <w:pPr>
        <w:pStyle w:val="EndnoteText"/>
        <w:rPr>
          <w:lang w:val="en-AU"/>
        </w:rPr>
      </w:pPr>
      <w:r w:rsidRPr="0072758C">
        <w:rPr>
          <w:lang w:val="en-AU"/>
        </w:rPr>
        <w:tab/>
      </w:r>
      <w:r w:rsidRPr="0072758C">
        <w:rPr>
          <w:rStyle w:val="FootnoteReference"/>
          <w:lang w:val="en-AU"/>
        </w:rPr>
        <w:footnoteRef/>
      </w:r>
      <w:r w:rsidRPr="0072758C">
        <w:rPr>
          <w:lang w:val="en-AU"/>
        </w:rPr>
        <w:t xml:space="preserve"> James G. Crossley, </w:t>
      </w:r>
      <w:r w:rsidRPr="0072758C">
        <w:rPr>
          <w:i/>
          <w:iCs/>
          <w:lang w:val="en-AU"/>
        </w:rPr>
        <w:t xml:space="preserve">Review </w:t>
      </w:r>
      <w:r w:rsidRPr="0072758C">
        <w:rPr>
          <w:lang w:val="en-AU"/>
        </w:rPr>
        <w:t xml:space="preserve">of </w:t>
      </w:r>
      <w:r w:rsidRPr="0072758C">
        <w:rPr>
          <w:i/>
          <w:iCs/>
          <w:lang w:val="en-AU"/>
        </w:rPr>
        <w:t xml:space="preserve">Lex Talionis in Early </w:t>
      </w:r>
      <w:proofErr w:type="gramStart"/>
      <w:r w:rsidRPr="0072758C">
        <w:rPr>
          <w:i/>
          <w:iCs/>
          <w:lang w:val="en-AU"/>
        </w:rPr>
        <w:t>Judaism</w:t>
      </w:r>
      <w:proofErr w:type="gramEnd"/>
      <w:r w:rsidRPr="0072758C">
        <w:rPr>
          <w:i/>
          <w:iCs/>
          <w:lang w:val="en-AU"/>
        </w:rPr>
        <w:t xml:space="preserve"> and the Exhortation of Jesus in Matthew 5:38</w:t>
      </w:r>
      <w:r w:rsidR="005676E2" w:rsidRPr="0072758C">
        <w:rPr>
          <w:i/>
          <w:iCs/>
          <w:lang w:val="en-AU"/>
        </w:rPr>
        <w:t>–</w:t>
      </w:r>
      <w:r w:rsidRPr="0072758C">
        <w:rPr>
          <w:i/>
          <w:iCs/>
          <w:lang w:val="en-AU"/>
        </w:rPr>
        <w:t>42</w:t>
      </w:r>
      <w:r w:rsidRPr="0072758C">
        <w:rPr>
          <w:lang w:val="en-AU"/>
        </w:rPr>
        <w:t>,</w:t>
      </w:r>
      <w:r w:rsidR="00863B47" w:rsidRPr="0072758C">
        <w:rPr>
          <w:lang w:val="en-AU"/>
        </w:rPr>
        <w:t>”</w:t>
      </w:r>
      <w:r w:rsidRPr="0072758C">
        <w:rPr>
          <w:lang w:val="en-AU"/>
        </w:rPr>
        <w:t xml:space="preserve"> </w:t>
      </w:r>
      <w:r w:rsidRPr="0072758C">
        <w:rPr>
          <w:i/>
          <w:iCs/>
          <w:lang w:val="en-AU"/>
        </w:rPr>
        <w:t>Journal for the Study of the New Testament</w:t>
      </w:r>
      <w:r w:rsidRPr="0072758C">
        <w:rPr>
          <w:lang w:val="en-AU"/>
        </w:rPr>
        <w:t xml:space="preserve"> 26 (2006): 50.</w:t>
      </w:r>
      <w:r w:rsidR="004B2A06" w:rsidRPr="0072758C">
        <w:rPr>
          <w:lang w:val="en-AU"/>
        </w:rPr>
        <w:t xml:space="preserve"> See also, Francois P. Viljoen, “A Call for Peacemaking: A Perspective from the Sermon on the Mount</w:t>
      </w:r>
      <w:r w:rsidR="009D2DCC" w:rsidRPr="0072758C">
        <w:rPr>
          <w:lang w:val="en-AU"/>
        </w:rPr>
        <w:t>,</w:t>
      </w:r>
      <w:r w:rsidR="004B2A06" w:rsidRPr="0072758C">
        <w:rPr>
          <w:lang w:val="en-AU"/>
        </w:rPr>
        <w:t>” </w:t>
      </w:r>
      <w:r w:rsidR="004B2A06" w:rsidRPr="0072758C">
        <w:rPr>
          <w:i/>
          <w:iCs/>
          <w:lang w:val="en-AU"/>
        </w:rPr>
        <w:t>In Die Skriflig</w:t>
      </w:r>
      <w:r w:rsidR="004B2A06" w:rsidRPr="0072758C">
        <w:rPr>
          <w:lang w:val="en-AU"/>
        </w:rPr>
        <w:t> 55</w:t>
      </w:r>
      <w:r w:rsidR="007D094F" w:rsidRPr="0072758C">
        <w:rPr>
          <w:lang w:val="en-AU"/>
        </w:rPr>
        <w:t xml:space="preserve"> </w:t>
      </w:r>
      <w:r w:rsidR="004B2A06" w:rsidRPr="0072758C">
        <w:rPr>
          <w:lang w:val="en-AU"/>
        </w:rPr>
        <w:t xml:space="preserve">(2021): 1–8. </w:t>
      </w:r>
    </w:p>
    <w:p w14:paraId="21C9C8BC" w14:textId="77777777" w:rsidR="00294382" w:rsidRPr="0072758C" w:rsidRDefault="00294382" w:rsidP="0033335F">
      <w:pPr>
        <w:pStyle w:val="EndnoteText"/>
        <w:rPr>
          <w:lang w:val="en-AU"/>
        </w:rPr>
      </w:pPr>
    </w:p>
  </w:footnote>
  <w:footnote w:id="340">
    <w:p w14:paraId="3ACF78A9" w14:textId="77777777" w:rsidR="00194C28" w:rsidRPr="0072758C" w:rsidRDefault="00194C28" w:rsidP="0033335F">
      <w:pPr>
        <w:pStyle w:val="EndnoteText"/>
        <w:rPr>
          <w:lang w:val="en-AU"/>
        </w:rPr>
      </w:pPr>
      <w:r w:rsidRPr="0072758C">
        <w:rPr>
          <w:lang w:val="en-AU"/>
        </w:rPr>
        <w:tab/>
      </w:r>
      <w:r w:rsidRPr="0072758C">
        <w:rPr>
          <w:rStyle w:val="FootnoteReference"/>
          <w:lang w:val="en-AU"/>
        </w:rPr>
        <w:footnoteRef/>
      </w:r>
      <w:r w:rsidRPr="0072758C">
        <w:rPr>
          <w:lang w:val="en-AU"/>
        </w:rPr>
        <w:t xml:space="preserve"> </w:t>
      </w:r>
      <w:r w:rsidRPr="0072758C">
        <w:rPr>
          <w:i/>
          <w:lang w:val="en-AU"/>
        </w:rPr>
        <w:t xml:space="preserve">Bava Kama </w:t>
      </w:r>
      <w:r w:rsidRPr="0072758C">
        <w:rPr>
          <w:lang w:val="en-AU"/>
        </w:rPr>
        <w:t>8:1.</w:t>
      </w:r>
    </w:p>
    <w:p w14:paraId="4454CDB3" w14:textId="77777777" w:rsidR="00194C28" w:rsidRPr="0072758C" w:rsidRDefault="00194C28" w:rsidP="0033335F">
      <w:pPr>
        <w:pStyle w:val="EndnoteText"/>
        <w:rPr>
          <w:lang w:val="en-AU"/>
        </w:rPr>
      </w:pPr>
      <w:r w:rsidRPr="0072758C">
        <w:rPr>
          <w:lang w:val="en-AU"/>
        </w:rPr>
        <w:t xml:space="preserve"> </w:t>
      </w:r>
    </w:p>
  </w:footnote>
  <w:footnote w:id="341">
    <w:p w14:paraId="046431DC" w14:textId="35D7F155" w:rsidR="00194C28" w:rsidRPr="0072758C" w:rsidRDefault="00194C28" w:rsidP="0033335F">
      <w:pPr>
        <w:pStyle w:val="EndnoteText"/>
        <w:rPr>
          <w:lang w:val="en-AU"/>
        </w:rPr>
      </w:pPr>
      <w:r w:rsidRPr="0072758C">
        <w:rPr>
          <w:lang w:val="en-AU"/>
        </w:rPr>
        <w:tab/>
      </w:r>
      <w:r w:rsidRPr="0072758C">
        <w:rPr>
          <w:rStyle w:val="FootnoteReference"/>
          <w:lang w:val="en-AU"/>
        </w:rPr>
        <w:footnoteRef/>
      </w:r>
      <w:r w:rsidRPr="0072758C">
        <w:rPr>
          <w:lang w:val="en-AU"/>
        </w:rPr>
        <w:t xml:space="preserve"> David Fox Sandmel, </w:t>
      </w:r>
      <w:r w:rsidR="00863B47" w:rsidRPr="0072758C">
        <w:rPr>
          <w:lang w:val="en-AU"/>
        </w:rPr>
        <w:t>“</w:t>
      </w:r>
      <w:r w:rsidRPr="0072758C">
        <w:rPr>
          <w:lang w:val="en-AU"/>
        </w:rPr>
        <w:t>The Christian Reclamation of Judaism,</w:t>
      </w:r>
      <w:r w:rsidR="00863B47" w:rsidRPr="0072758C">
        <w:rPr>
          <w:lang w:val="en-AU"/>
        </w:rPr>
        <w:t>”</w:t>
      </w:r>
      <w:r w:rsidRPr="0072758C">
        <w:rPr>
          <w:lang w:val="en-AU"/>
        </w:rPr>
        <w:t xml:space="preserve"> </w:t>
      </w:r>
      <w:r w:rsidRPr="0072758C">
        <w:rPr>
          <w:i/>
          <w:iCs/>
          <w:lang w:val="en-AU"/>
        </w:rPr>
        <w:t xml:space="preserve">Judaism </w:t>
      </w:r>
      <w:r w:rsidRPr="0072758C">
        <w:rPr>
          <w:lang w:val="en-AU"/>
        </w:rPr>
        <w:t>54 (2005): 251</w:t>
      </w:r>
      <w:r w:rsidR="005676E2" w:rsidRPr="0072758C">
        <w:rPr>
          <w:lang w:val="en-AU"/>
        </w:rPr>
        <w:t>–</w:t>
      </w:r>
      <w:r w:rsidRPr="0072758C">
        <w:rPr>
          <w:lang w:val="en-AU"/>
        </w:rPr>
        <w:t xml:space="preserve">63.  </w:t>
      </w:r>
    </w:p>
  </w:footnote>
  <w:footnote w:id="342">
    <w:p w14:paraId="12D972A2" w14:textId="77777777" w:rsidR="00194C28" w:rsidRPr="0072758C" w:rsidRDefault="00194C28" w:rsidP="0033335F">
      <w:pPr>
        <w:pStyle w:val="EndnoteText"/>
        <w:rPr>
          <w:lang w:val="en-AU"/>
        </w:rPr>
      </w:pPr>
    </w:p>
    <w:p w14:paraId="3B0F5CAF" w14:textId="77777777" w:rsidR="00194C28" w:rsidRPr="0072758C" w:rsidRDefault="00194C28" w:rsidP="0033335F">
      <w:pPr>
        <w:pStyle w:val="EndnoteText"/>
        <w:rPr>
          <w:lang w:val="en-AU"/>
        </w:rPr>
      </w:pPr>
      <w:r w:rsidRPr="0072758C">
        <w:rPr>
          <w:lang w:val="en-AU"/>
        </w:rPr>
        <w:tab/>
      </w:r>
      <w:r w:rsidRPr="0072758C">
        <w:rPr>
          <w:rStyle w:val="FootnoteReference"/>
          <w:lang w:val="en-AU"/>
        </w:rPr>
        <w:footnoteRef/>
      </w:r>
      <w:r w:rsidRPr="0072758C">
        <w:rPr>
          <w:lang w:val="en-AU"/>
        </w:rPr>
        <w:t xml:space="preserve"> Stern, </w:t>
      </w:r>
      <w:r w:rsidRPr="0072758C">
        <w:rPr>
          <w:i/>
          <w:iCs/>
          <w:lang w:val="en-AU"/>
        </w:rPr>
        <w:t xml:space="preserve">Jewish New Testament Commentary, </w:t>
      </w:r>
      <w:r w:rsidRPr="0072758C">
        <w:rPr>
          <w:lang w:val="en-AU"/>
        </w:rPr>
        <w:t>31.</w:t>
      </w:r>
    </w:p>
  </w:footnote>
  <w:footnote w:id="343">
    <w:p w14:paraId="57638961" w14:textId="77777777" w:rsidR="00194C28" w:rsidRPr="0072758C" w:rsidRDefault="00194C28" w:rsidP="0033335F">
      <w:pPr>
        <w:pStyle w:val="EndnoteText"/>
        <w:rPr>
          <w:lang w:val="en-AU"/>
        </w:rPr>
      </w:pPr>
    </w:p>
    <w:p w14:paraId="4F7A0FB8" w14:textId="1D9D8DFB" w:rsidR="001D1925" w:rsidRPr="0072758C" w:rsidRDefault="00194C28" w:rsidP="0033335F">
      <w:pPr>
        <w:pStyle w:val="EndnoteText"/>
        <w:rPr>
          <w:lang w:val="en-AU"/>
        </w:rPr>
      </w:pPr>
      <w:r w:rsidRPr="0072758C">
        <w:rPr>
          <w:lang w:val="en-AU"/>
        </w:rPr>
        <w:tab/>
      </w:r>
      <w:r w:rsidRPr="0072758C">
        <w:rPr>
          <w:rStyle w:val="FootnoteReference"/>
          <w:lang w:val="en-AU"/>
        </w:rPr>
        <w:footnoteRef/>
      </w:r>
      <w:r w:rsidRPr="0072758C">
        <w:rPr>
          <w:lang w:val="en-AU"/>
        </w:rPr>
        <w:t xml:space="preserve"> Ibid.</w:t>
      </w:r>
      <w:r w:rsidR="001D1925" w:rsidRPr="0072758C">
        <w:rPr>
          <w:lang w:val="en-AU"/>
        </w:rPr>
        <w:t xml:space="preserve"> For a discussion of the Judaism, culture, and Matthew, see Vien Nguyen, “Matthew and the Torah: An Analysis of Matthew 5:17-20</w:t>
      </w:r>
      <w:r w:rsidR="009D2DCC" w:rsidRPr="0072758C">
        <w:rPr>
          <w:lang w:val="en-AU"/>
        </w:rPr>
        <w:t>,</w:t>
      </w:r>
      <w:r w:rsidR="001D1925" w:rsidRPr="0072758C">
        <w:rPr>
          <w:lang w:val="en-AU"/>
        </w:rPr>
        <w:t>” </w:t>
      </w:r>
      <w:r w:rsidR="001D1925" w:rsidRPr="0072758C">
        <w:rPr>
          <w:i/>
          <w:iCs/>
          <w:lang w:val="en-AU"/>
        </w:rPr>
        <w:t>Journal of Biblical Theology</w:t>
      </w:r>
      <w:r w:rsidR="001D1925" w:rsidRPr="0072758C">
        <w:rPr>
          <w:lang w:val="en-AU"/>
        </w:rPr>
        <w:t> 3 (2020): 5–35.</w:t>
      </w:r>
    </w:p>
    <w:p w14:paraId="54AFDC8F" w14:textId="77777777" w:rsidR="00194C28" w:rsidRPr="0072758C" w:rsidRDefault="00194C28" w:rsidP="0033335F">
      <w:pPr>
        <w:pStyle w:val="EndnoteText"/>
        <w:rPr>
          <w:lang w:val="en-AU"/>
        </w:rPr>
      </w:pPr>
    </w:p>
  </w:footnote>
  <w:footnote w:id="344">
    <w:p w14:paraId="79AD33A3" w14:textId="77777777" w:rsidR="00194C28" w:rsidRPr="0072758C" w:rsidRDefault="00194C28" w:rsidP="0033335F">
      <w:pPr>
        <w:pStyle w:val="EndnoteText"/>
        <w:rPr>
          <w:iCs/>
          <w:lang w:val="en-AU"/>
        </w:rPr>
      </w:pPr>
      <w:r w:rsidRPr="0072758C">
        <w:rPr>
          <w:lang w:val="en-AU"/>
        </w:rPr>
        <w:tab/>
      </w:r>
      <w:r w:rsidRPr="0072758C">
        <w:rPr>
          <w:rStyle w:val="FootnoteReference"/>
          <w:lang w:val="en-AU"/>
        </w:rPr>
        <w:footnoteRef/>
      </w:r>
      <w:r w:rsidRPr="0072758C">
        <w:rPr>
          <w:lang w:val="en-AU"/>
        </w:rPr>
        <w:t xml:space="preserve"> Vermes, </w:t>
      </w:r>
      <w:r w:rsidRPr="0072758C">
        <w:rPr>
          <w:i/>
          <w:iCs/>
          <w:lang w:val="en-AU"/>
        </w:rPr>
        <w:t xml:space="preserve">The Religion of Jesus the Jew, </w:t>
      </w:r>
      <w:r w:rsidRPr="0072758C">
        <w:rPr>
          <w:iCs/>
          <w:lang w:val="en-AU"/>
        </w:rPr>
        <w:t>35.</w:t>
      </w:r>
    </w:p>
  </w:footnote>
  <w:footnote w:id="345">
    <w:p w14:paraId="04A2DE51" w14:textId="77777777" w:rsidR="00194C28" w:rsidRPr="0072758C" w:rsidRDefault="00194C28" w:rsidP="0033335F">
      <w:pPr>
        <w:pStyle w:val="EndnoteText"/>
        <w:rPr>
          <w:lang w:val="en-AU"/>
        </w:rPr>
      </w:pPr>
    </w:p>
    <w:p w14:paraId="454948A7" w14:textId="46F8B1D9" w:rsidR="00C77777" w:rsidRPr="0072758C" w:rsidRDefault="00194C28" w:rsidP="0033335F">
      <w:pPr>
        <w:pStyle w:val="EndnoteText"/>
        <w:rPr>
          <w:lang w:val="en-AU"/>
        </w:rPr>
      </w:pPr>
      <w:r w:rsidRPr="0072758C">
        <w:rPr>
          <w:lang w:val="en-AU"/>
        </w:rPr>
        <w:tab/>
      </w:r>
      <w:r w:rsidRPr="0072758C">
        <w:rPr>
          <w:rStyle w:val="FootnoteReference"/>
          <w:lang w:val="en-AU"/>
        </w:rPr>
        <w:footnoteRef/>
      </w:r>
      <w:r w:rsidRPr="0072758C">
        <w:rPr>
          <w:lang w:val="en-AU"/>
        </w:rPr>
        <w:t xml:space="preserve"> </w:t>
      </w:r>
      <w:r w:rsidR="004B2A06" w:rsidRPr="0072758C">
        <w:rPr>
          <w:lang w:val="en-AU"/>
        </w:rPr>
        <w:t>Vermes</w:t>
      </w:r>
      <w:r w:rsidRPr="0072758C">
        <w:rPr>
          <w:i/>
          <w:iCs/>
          <w:lang w:val="en-AU"/>
        </w:rPr>
        <w:t xml:space="preserve">, </w:t>
      </w:r>
      <w:r w:rsidRPr="0072758C">
        <w:rPr>
          <w:lang w:val="en-AU"/>
        </w:rPr>
        <w:t>36.</w:t>
      </w:r>
      <w:r w:rsidR="006455FD" w:rsidRPr="0072758C">
        <w:rPr>
          <w:lang w:val="en-AU"/>
        </w:rPr>
        <w:t xml:space="preserve"> </w:t>
      </w:r>
      <w:r w:rsidR="004B2A06" w:rsidRPr="0072758C">
        <w:rPr>
          <w:lang w:val="en-AU"/>
        </w:rPr>
        <w:t>See also, Gerald W. Schlabach, “‘Confessional’ Nonviolence and the Unity of the Church: Can Christians Square the Circle” </w:t>
      </w:r>
      <w:r w:rsidR="004B2A06" w:rsidRPr="0072758C">
        <w:rPr>
          <w:i/>
          <w:iCs/>
          <w:lang w:val="en-AU"/>
        </w:rPr>
        <w:t>Journal of the Society of Christian Ethics</w:t>
      </w:r>
      <w:r w:rsidR="004B2A06" w:rsidRPr="0072758C">
        <w:rPr>
          <w:lang w:val="en-AU"/>
        </w:rPr>
        <w:t> 34</w:t>
      </w:r>
      <w:r w:rsidR="00E83F6C" w:rsidRPr="0072758C">
        <w:rPr>
          <w:lang w:val="en-AU"/>
        </w:rPr>
        <w:t xml:space="preserve"> </w:t>
      </w:r>
      <w:r w:rsidR="004B2A06" w:rsidRPr="0072758C">
        <w:rPr>
          <w:lang w:val="en-AU"/>
        </w:rPr>
        <w:t>(2014): 125–44</w:t>
      </w:r>
      <w:r w:rsidR="00C77777" w:rsidRPr="0072758C">
        <w:rPr>
          <w:lang w:val="en-AU"/>
        </w:rPr>
        <w:t>; Matthew S Goldstone</w:t>
      </w:r>
      <w:r w:rsidR="000C3538" w:rsidRPr="0072758C">
        <w:rPr>
          <w:lang w:val="en-AU"/>
        </w:rPr>
        <w:t xml:space="preserve">, </w:t>
      </w:r>
      <w:r w:rsidR="00C77777" w:rsidRPr="0072758C">
        <w:rPr>
          <w:lang w:val="en-AU"/>
        </w:rPr>
        <w:t>“The Structure of Matthew’s Antitheses in Light of Early Jewish, Christian and Rabbinic Sources</w:t>
      </w:r>
      <w:r w:rsidR="009D2DCC" w:rsidRPr="0072758C">
        <w:rPr>
          <w:lang w:val="en-AU"/>
        </w:rPr>
        <w:t>,</w:t>
      </w:r>
      <w:r w:rsidR="00C77777" w:rsidRPr="0072758C">
        <w:rPr>
          <w:lang w:val="en-AU"/>
        </w:rPr>
        <w:t>” </w:t>
      </w:r>
      <w:r w:rsidR="00C77777" w:rsidRPr="0072758C">
        <w:rPr>
          <w:i/>
          <w:iCs/>
          <w:lang w:val="en-AU"/>
        </w:rPr>
        <w:t>Journal for the Study of the New Testament</w:t>
      </w:r>
      <w:r w:rsidR="00C77777" w:rsidRPr="0072758C">
        <w:rPr>
          <w:lang w:val="en-AU"/>
        </w:rPr>
        <w:t> 40 (2017): 214–35.</w:t>
      </w:r>
    </w:p>
    <w:p w14:paraId="27EA6E24" w14:textId="77777777" w:rsidR="00194C28" w:rsidRPr="0072758C" w:rsidRDefault="00194C28" w:rsidP="0033335F">
      <w:pPr>
        <w:pStyle w:val="EndnoteText"/>
        <w:rPr>
          <w:lang w:val="en-AU"/>
        </w:rPr>
      </w:pPr>
    </w:p>
  </w:footnote>
  <w:footnote w:id="346">
    <w:p w14:paraId="141794C0" w14:textId="4DCBBC9B" w:rsidR="0083377F"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Long, P. J. </w:t>
      </w:r>
      <w:r w:rsidRPr="0072758C">
        <w:rPr>
          <w:i/>
          <w:iCs/>
          <w:lang w:val="en-AU"/>
        </w:rPr>
        <w:t>Do Not Retaliate – Matthew 5:38</w:t>
      </w:r>
      <w:r w:rsidR="005676E2" w:rsidRPr="0072758C">
        <w:rPr>
          <w:i/>
          <w:iCs/>
          <w:lang w:val="en-AU"/>
        </w:rPr>
        <w:t>–</w:t>
      </w:r>
      <w:r w:rsidRPr="0072758C">
        <w:rPr>
          <w:i/>
          <w:iCs/>
          <w:lang w:val="en-AU"/>
        </w:rPr>
        <w:t>42</w:t>
      </w:r>
      <w:r w:rsidRPr="0072758C">
        <w:rPr>
          <w:lang w:val="en-AU"/>
        </w:rPr>
        <w:t xml:space="preserve"> (Grand Rapids: Newstex, 2018). </w:t>
      </w:r>
      <w:r w:rsidR="0083377F" w:rsidRPr="0072758C">
        <w:rPr>
          <w:lang w:val="en-AU"/>
        </w:rPr>
        <w:t>For a discussion on violence found in Matthew 5 and the biblical response from 200 BCE to 200 CE, see Emmanuel O. Oyemomi, “Biblical and Theological Response to Global Violence: An Exegetical Analysis of Matthew 5:43-48</w:t>
      </w:r>
      <w:r w:rsidR="009D2DCC" w:rsidRPr="0072758C">
        <w:rPr>
          <w:lang w:val="en-AU"/>
        </w:rPr>
        <w:t>,</w:t>
      </w:r>
      <w:r w:rsidR="0083377F" w:rsidRPr="0072758C">
        <w:rPr>
          <w:lang w:val="en-AU"/>
        </w:rPr>
        <w:t>” </w:t>
      </w:r>
      <w:r w:rsidR="0083377F" w:rsidRPr="0072758C">
        <w:rPr>
          <w:i/>
          <w:iCs/>
          <w:lang w:val="en-AU"/>
        </w:rPr>
        <w:t>BTSK Insight</w:t>
      </w:r>
      <w:r w:rsidR="0083377F" w:rsidRPr="0072758C">
        <w:rPr>
          <w:lang w:val="en-AU"/>
        </w:rPr>
        <w:t> 15 (2018): 175–91.</w:t>
      </w:r>
    </w:p>
    <w:p w14:paraId="214278F1" w14:textId="3B92D8AE" w:rsidR="00194C28" w:rsidRPr="0072758C" w:rsidRDefault="00194C28" w:rsidP="0033335F">
      <w:pPr>
        <w:pStyle w:val="EndnoteText"/>
        <w:rPr>
          <w:lang w:val="en-AU"/>
        </w:rPr>
      </w:pPr>
    </w:p>
  </w:footnote>
  <w:footnote w:id="347">
    <w:p w14:paraId="779A0988" w14:textId="5EFBCEAD" w:rsidR="00194C28" w:rsidRPr="0072758C" w:rsidRDefault="00194C28" w:rsidP="0033335F">
      <w:pPr>
        <w:pStyle w:val="EndnoteText"/>
        <w:rPr>
          <w:lang w:val="en-AU"/>
        </w:rPr>
      </w:pPr>
      <w:r w:rsidRPr="0072758C">
        <w:rPr>
          <w:lang w:val="en-AU"/>
        </w:rPr>
        <w:tab/>
      </w:r>
      <w:r w:rsidRPr="0072758C">
        <w:rPr>
          <w:rStyle w:val="FootnoteReference"/>
          <w:lang w:val="en-AU"/>
        </w:rPr>
        <w:footnoteRef/>
      </w:r>
      <w:r w:rsidRPr="0072758C">
        <w:rPr>
          <w:lang w:val="en-AU"/>
        </w:rPr>
        <w:t xml:space="preserve"> Jeffery M. Cohen, </w:t>
      </w:r>
      <w:r w:rsidR="00863B47" w:rsidRPr="0072758C">
        <w:rPr>
          <w:lang w:val="en-AU"/>
        </w:rPr>
        <w:t>“</w:t>
      </w:r>
      <w:r w:rsidRPr="0072758C">
        <w:rPr>
          <w:lang w:val="en-AU"/>
        </w:rPr>
        <w:t>Shmuel HaKatan and the Political Background to Avot 4:19</w:t>
      </w:r>
      <w:r w:rsidR="00A15475" w:rsidRPr="0072758C">
        <w:rPr>
          <w:lang w:val="en-AU"/>
        </w:rPr>
        <w:t>,</w:t>
      </w:r>
      <w:r w:rsidR="00863B47" w:rsidRPr="0072758C">
        <w:rPr>
          <w:lang w:val="en-AU"/>
        </w:rPr>
        <w:t>”</w:t>
      </w:r>
      <w:r w:rsidRPr="0072758C">
        <w:rPr>
          <w:lang w:val="en-AU"/>
        </w:rPr>
        <w:t> </w:t>
      </w:r>
      <w:r w:rsidRPr="0072758C">
        <w:rPr>
          <w:i/>
          <w:bdr w:val="none" w:sz="0" w:space="0" w:color="auto" w:frame="1"/>
          <w:lang w:val="en-AU"/>
        </w:rPr>
        <w:t>Judaism</w:t>
      </w:r>
      <w:r w:rsidRPr="0072758C">
        <w:rPr>
          <w:lang w:val="en-AU"/>
        </w:rPr>
        <w:t xml:space="preserve"> (1995): 171–180.  There are over fifty instances in two Talmuds that have writings ascribed to </w:t>
      </w:r>
      <w:r w:rsidRPr="0072758C">
        <w:rPr>
          <w:i/>
          <w:iCs/>
          <w:lang w:val="en-AU"/>
        </w:rPr>
        <w:t>Tanna D</w:t>
      </w:r>
      <w:r w:rsidR="005C71CB" w:rsidRPr="0072758C">
        <w:rPr>
          <w:i/>
          <w:iCs/>
          <w:lang w:val="en-AU"/>
        </w:rPr>
        <w:t>’</w:t>
      </w:r>
      <w:r w:rsidRPr="0072758C">
        <w:rPr>
          <w:i/>
          <w:iCs/>
          <w:lang w:val="en-AU"/>
        </w:rPr>
        <w:t xml:space="preserve">Bei Shmuel, </w:t>
      </w:r>
      <w:r w:rsidRPr="0072758C">
        <w:rPr>
          <w:lang w:val="en-AU"/>
        </w:rPr>
        <w:t xml:space="preserve">which means a Tanna from the House of Shmuel. This resulted in the terms </w:t>
      </w:r>
      <w:r w:rsidRPr="0072758C">
        <w:rPr>
          <w:i/>
          <w:iCs/>
          <w:lang w:val="en-AU"/>
        </w:rPr>
        <w:t>Tanna D</w:t>
      </w:r>
      <w:r w:rsidR="005C71CB" w:rsidRPr="0072758C">
        <w:rPr>
          <w:i/>
          <w:iCs/>
          <w:lang w:val="en-AU"/>
        </w:rPr>
        <w:t>’</w:t>
      </w:r>
      <w:r w:rsidRPr="0072758C">
        <w:rPr>
          <w:i/>
          <w:iCs/>
          <w:lang w:val="en-AU"/>
        </w:rPr>
        <w:t>Bei Shmuel, Tannei Shmuel, or Matnita DeShmuel</w:t>
      </w:r>
      <w:r w:rsidRPr="0072758C">
        <w:rPr>
          <w:lang w:val="en-AU"/>
        </w:rPr>
        <w:t xml:space="preserve">. </w:t>
      </w:r>
      <w:proofErr w:type="gramStart"/>
      <w:r w:rsidRPr="0072758C">
        <w:rPr>
          <w:lang w:val="en-AU"/>
        </w:rPr>
        <w:t>All of</w:t>
      </w:r>
      <w:proofErr w:type="gramEnd"/>
      <w:r w:rsidRPr="0072758C">
        <w:rPr>
          <w:lang w:val="en-AU"/>
        </w:rPr>
        <w:t xml:space="preserve"> these sayings come from Palestinian tannaitic halakhah and lend themselves to dating the sayings before the fall of the Temple. </w:t>
      </w:r>
      <w:r w:rsidR="0083377F" w:rsidRPr="0072758C">
        <w:rPr>
          <w:lang w:val="en-AU"/>
        </w:rPr>
        <w:t>For a discussion on Matthew 5 and being perfect, see Mark Laynesmith, “Difficult Texts: Matthew 5.48 -- Are Christians to Be Perfect</w:t>
      </w:r>
      <w:r w:rsidR="002A28E2" w:rsidRPr="0072758C">
        <w:rPr>
          <w:lang w:val="en-AU"/>
        </w:rPr>
        <w:t>,</w:t>
      </w:r>
      <w:r w:rsidR="0083377F" w:rsidRPr="0072758C">
        <w:rPr>
          <w:lang w:val="en-AU"/>
        </w:rPr>
        <w:t>” </w:t>
      </w:r>
      <w:r w:rsidR="0083377F" w:rsidRPr="0072758C">
        <w:rPr>
          <w:i/>
          <w:iCs/>
          <w:lang w:val="en-AU"/>
        </w:rPr>
        <w:t>Theology</w:t>
      </w:r>
      <w:r w:rsidR="0083377F" w:rsidRPr="0072758C">
        <w:rPr>
          <w:lang w:val="en-AU"/>
        </w:rPr>
        <w:t> 124</w:t>
      </w:r>
      <w:r w:rsidR="00C51460" w:rsidRPr="0072758C">
        <w:rPr>
          <w:lang w:val="en-AU"/>
        </w:rPr>
        <w:t xml:space="preserve"> </w:t>
      </w:r>
      <w:r w:rsidR="0083377F" w:rsidRPr="0072758C">
        <w:rPr>
          <w:lang w:val="en-AU"/>
        </w:rPr>
        <w:t>(2021): 117–19.</w:t>
      </w:r>
    </w:p>
    <w:p w14:paraId="42D333C9" w14:textId="77777777" w:rsidR="00990707" w:rsidRPr="0072758C" w:rsidRDefault="00990707" w:rsidP="0033335F">
      <w:pPr>
        <w:pStyle w:val="EndnoteText"/>
        <w:rPr>
          <w:lang w:val="en-AU"/>
        </w:rPr>
      </w:pPr>
    </w:p>
  </w:footnote>
  <w:footnote w:id="348">
    <w:p w14:paraId="5173125A" w14:textId="3FA5272B" w:rsidR="009D5E9C"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Amy Russell, </w:t>
      </w:r>
      <w:r w:rsidRPr="0072758C">
        <w:rPr>
          <w:i/>
          <w:iCs/>
          <w:lang w:val="en-AU"/>
        </w:rPr>
        <w:t>The Politics of Public Space in Republican Rome</w:t>
      </w:r>
      <w:r w:rsidRPr="0072758C">
        <w:rPr>
          <w:lang w:val="en-AU"/>
        </w:rPr>
        <w:t> (Cambridge: Cambridge University Press, 2016).</w:t>
      </w:r>
      <w:r w:rsidR="009D5E9C" w:rsidRPr="0072758C">
        <w:rPr>
          <w:lang w:val="en-AU"/>
        </w:rPr>
        <w:t xml:space="preserve"> The concept of </w:t>
      </w:r>
      <w:r w:rsidR="002A28E2" w:rsidRPr="0072758C">
        <w:rPr>
          <w:lang w:val="en-AU"/>
        </w:rPr>
        <w:t>forgiveness</w:t>
      </w:r>
      <w:r w:rsidR="009D5E9C" w:rsidRPr="0072758C">
        <w:rPr>
          <w:lang w:val="en-AU"/>
        </w:rPr>
        <w:t xml:space="preserve"> and pardon in the Roman legal system is discussed, see Iva</w:t>
      </w:r>
      <w:r w:rsidR="00C22152" w:rsidRPr="0072758C">
        <w:rPr>
          <w:lang w:val="en-AU"/>
        </w:rPr>
        <w:t xml:space="preserve"> P</w:t>
      </w:r>
      <w:r w:rsidR="009D5E9C" w:rsidRPr="0072758C">
        <w:rPr>
          <w:lang w:val="en-AU"/>
        </w:rPr>
        <w:t>ushkarova, “Pardon in Roman Legal Tradition</w:t>
      </w:r>
      <w:r w:rsidR="00A15475" w:rsidRPr="0072758C">
        <w:rPr>
          <w:lang w:val="en-AU"/>
        </w:rPr>
        <w:t>,</w:t>
      </w:r>
      <w:r w:rsidR="009D5E9C" w:rsidRPr="0072758C">
        <w:rPr>
          <w:lang w:val="en-AU"/>
        </w:rPr>
        <w:t>” </w:t>
      </w:r>
      <w:r w:rsidR="009D5E9C" w:rsidRPr="0072758C">
        <w:rPr>
          <w:i/>
          <w:iCs/>
          <w:lang w:val="en-AU"/>
        </w:rPr>
        <w:t>Ius Romanum</w:t>
      </w:r>
      <w:r w:rsidR="009D5E9C" w:rsidRPr="0072758C">
        <w:rPr>
          <w:lang w:val="en-AU"/>
        </w:rPr>
        <w:t xml:space="preserve"> 2 (2020): 721–41.</w:t>
      </w:r>
    </w:p>
    <w:p w14:paraId="55B704CB" w14:textId="77777777" w:rsidR="00194C28" w:rsidRPr="0072758C" w:rsidRDefault="00194C28" w:rsidP="0033335F">
      <w:pPr>
        <w:pStyle w:val="EndnoteText"/>
        <w:rPr>
          <w:lang w:val="en-AU"/>
        </w:rPr>
      </w:pPr>
    </w:p>
  </w:footnote>
  <w:footnote w:id="349">
    <w:p w14:paraId="693FCC3D" w14:textId="08B6C2CE"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Philo, </w:t>
      </w:r>
      <w:r w:rsidR="002A28E2" w:rsidRPr="0072758C">
        <w:rPr>
          <w:lang w:val="en-AU"/>
        </w:rPr>
        <w:t>“</w:t>
      </w:r>
      <w:r w:rsidRPr="0072758C">
        <w:rPr>
          <w:lang w:val="en-AU"/>
        </w:rPr>
        <w:t>Deus 17</w:t>
      </w:r>
      <w:r w:rsidR="002A28E2" w:rsidRPr="0072758C">
        <w:rPr>
          <w:lang w:val="en-AU"/>
        </w:rPr>
        <w:t>,”</w:t>
      </w:r>
      <w:r w:rsidRPr="0072758C">
        <w:rPr>
          <w:lang w:val="en-AU"/>
        </w:rPr>
        <w:t xml:space="preserve"> </w:t>
      </w:r>
      <w:r w:rsidRPr="0072758C">
        <w:rPr>
          <w:i/>
          <w:iCs/>
          <w:lang w:val="en-AU"/>
        </w:rPr>
        <w:t>Works of Philo</w:t>
      </w:r>
      <w:r w:rsidRPr="0072758C">
        <w:rPr>
          <w:lang w:val="en-AU"/>
        </w:rPr>
        <w:t>, 159.</w:t>
      </w:r>
    </w:p>
    <w:p w14:paraId="4F8B40F6" w14:textId="77777777" w:rsidR="00194C28" w:rsidRPr="0072758C" w:rsidRDefault="00194C28" w:rsidP="0033335F">
      <w:pPr>
        <w:pStyle w:val="EndnoteText"/>
        <w:rPr>
          <w:lang w:val="en-AU"/>
        </w:rPr>
      </w:pPr>
    </w:p>
  </w:footnote>
  <w:footnote w:id="350">
    <w:p w14:paraId="2C48006D" w14:textId="77777777"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Boaz Cohen, </w:t>
      </w:r>
      <w:r w:rsidRPr="0072758C">
        <w:rPr>
          <w:i/>
          <w:iCs/>
          <w:lang w:val="en-AU"/>
        </w:rPr>
        <w:t>Jewish and Roman Law: A Comparative Study</w:t>
      </w:r>
      <w:r w:rsidRPr="0072758C">
        <w:rPr>
          <w:lang w:val="en-AU"/>
        </w:rPr>
        <w:t xml:space="preserve"> (New York: Jewish Theological Seminary of America Press, 1966), 13–14.</w:t>
      </w:r>
    </w:p>
  </w:footnote>
  <w:footnote w:id="351">
    <w:p w14:paraId="61450E04" w14:textId="77777777" w:rsidR="00194C28" w:rsidRPr="0072758C" w:rsidRDefault="00194C28" w:rsidP="0033335F">
      <w:pPr>
        <w:pStyle w:val="EndnoteText"/>
        <w:rPr>
          <w:lang w:val="en-AU"/>
        </w:rPr>
      </w:pPr>
    </w:p>
    <w:p w14:paraId="4275654E" w14:textId="27AFE450" w:rsidR="009D5E9C"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Morton Scott Enslin, </w:t>
      </w:r>
      <w:r w:rsidRPr="0072758C">
        <w:rPr>
          <w:i/>
          <w:iCs/>
          <w:lang w:val="en-AU"/>
        </w:rPr>
        <w:t>Christian Beginnings Part I</w:t>
      </w:r>
      <w:r w:rsidRPr="0072758C">
        <w:rPr>
          <w:lang w:val="en-AU"/>
        </w:rPr>
        <w:t xml:space="preserve"> (New York: Harper, 1956), 129.</w:t>
      </w:r>
      <w:r w:rsidR="009D5E9C" w:rsidRPr="0072758C">
        <w:rPr>
          <w:lang w:val="en-AU"/>
        </w:rPr>
        <w:t xml:space="preserve"> For more discussion about the priority of laws at the time, see Yifat Monnickendam, “Biblical Law in Greco-Roman Attire: The Case of Levirate Marriage in Late Antique Christian Legal Traditions</w:t>
      </w:r>
      <w:r w:rsidR="00A15475" w:rsidRPr="0072758C">
        <w:rPr>
          <w:lang w:val="en-AU"/>
        </w:rPr>
        <w:t>,</w:t>
      </w:r>
      <w:r w:rsidR="009D5E9C" w:rsidRPr="0072758C">
        <w:rPr>
          <w:lang w:val="en-AU"/>
        </w:rPr>
        <w:t>” </w:t>
      </w:r>
      <w:r w:rsidR="009D5E9C" w:rsidRPr="0072758C">
        <w:rPr>
          <w:i/>
          <w:iCs/>
          <w:lang w:val="en-AU"/>
        </w:rPr>
        <w:t>Journal of Law and Religion</w:t>
      </w:r>
      <w:r w:rsidR="009D5E9C" w:rsidRPr="0072758C">
        <w:rPr>
          <w:lang w:val="en-AU"/>
        </w:rPr>
        <w:t> 34 (2019): 136–64.</w:t>
      </w:r>
    </w:p>
    <w:p w14:paraId="3F100093" w14:textId="77777777" w:rsidR="00194C28" w:rsidRPr="0072758C" w:rsidRDefault="00194C28" w:rsidP="0033335F">
      <w:pPr>
        <w:pStyle w:val="EndnoteText"/>
        <w:rPr>
          <w:lang w:val="en-AU"/>
        </w:rPr>
      </w:pPr>
    </w:p>
  </w:footnote>
  <w:footnote w:id="352">
    <w:p w14:paraId="04DC9486" w14:textId="77777777" w:rsidR="00D51360" w:rsidRPr="0072758C" w:rsidRDefault="00D51360" w:rsidP="00D51360">
      <w:pPr>
        <w:pStyle w:val="EndnoteText"/>
        <w:ind w:firstLine="720"/>
        <w:rPr>
          <w:lang w:val="en-AU"/>
        </w:rPr>
      </w:pPr>
      <w:r w:rsidRPr="0072758C">
        <w:rPr>
          <w:rStyle w:val="FootnoteReference"/>
          <w:lang w:val="en-AU"/>
        </w:rPr>
        <w:footnoteRef/>
      </w:r>
      <w:r w:rsidRPr="0072758C">
        <w:rPr>
          <w:lang w:val="en-AU"/>
        </w:rPr>
        <w:t xml:space="preserve"> Alfredo Mordechai Rabello, “Civil Justice in Palestine from 63 BCE to 70 CE,” in </w:t>
      </w:r>
      <w:r w:rsidRPr="0072758C">
        <w:rPr>
          <w:i/>
          <w:iCs/>
          <w:lang w:val="en-AU"/>
        </w:rPr>
        <w:t>Classical Studies in Honor of David Sohlberg, Yaakov Petroff, and David Schaps,</w:t>
      </w:r>
      <w:r w:rsidRPr="0072758C">
        <w:rPr>
          <w:lang w:val="en-AU"/>
        </w:rPr>
        <w:t xml:space="preserve"> ed. Ranon Katzoff (Ramat Gan: Bar-Ilan University Press, 1996), 305.</w:t>
      </w:r>
    </w:p>
  </w:footnote>
  <w:footnote w:id="353">
    <w:p w14:paraId="03B9904E" w14:textId="77777777" w:rsidR="00D51360" w:rsidRDefault="00D51360">
      <w:pPr>
        <w:pStyle w:val="FootnoteText"/>
      </w:pPr>
    </w:p>
    <w:p w14:paraId="43CDD460" w14:textId="31436F79" w:rsidR="00D51360" w:rsidRPr="00D51360" w:rsidRDefault="00D51360" w:rsidP="00D51360">
      <w:pPr>
        <w:pStyle w:val="FootnoteText"/>
        <w:ind w:firstLine="720"/>
        <w:rPr>
          <w:lang w:val="en-US"/>
        </w:rPr>
      </w:pPr>
      <w:r>
        <w:rPr>
          <w:rStyle w:val="FootnoteReference"/>
        </w:rPr>
        <w:footnoteRef/>
      </w:r>
      <w:r>
        <w:t xml:space="preserve"> Ibid.</w:t>
      </w:r>
    </w:p>
  </w:footnote>
  <w:footnote w:id="354">
    <w:p w14:paraId="79AEE28F" w14:textId="77777777" w:rsidR="00194C28" w:rsidRPr="0072758C" w:rsidRDefault="00194C28" w:rsidP="0033335F">
      <w:pPr>
        <w:pStyle w:val="EndnoteText"/>
        <w:rPr>
          <w:lang w:val="en-AU"/>
        </w:rPr>
      </w:pPr>
    </w:p>
    <w:p w14:paraId="45368F6B" w14:textId="23E3E2D1"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Jonathan A. Pomeranz, </w:t>
      </w:r>
      <w:r w:rsidR="00863B47" w:rsidRPr="0072758C">
        <w:rPr>
          <w:lang w:val="en-AU"/>
        </w:rPr>
        <w:t>“</w:t>
      </w:r>
      <w:r w:rsidRPr="0072758C">
        <w:rPr>
          <w:lang w:val="en-AU"/>
        </w:rPr>
        <w:t>The Rabbinic and Roman Laws of Personal Injury,</w:t>
      </w:r>
      <w:r w:rsidR="00863B47" w:rsidRPr="0072758C">
        <w:rPr>
          <w:lang w:val="en-AU"/>
        </w:rPr>
        <w:t>”</w:t>
      </w:r>
      <w:r w:rsidRPr="0072758C">
        <w:rPr>
          <w:lang w:val="en-AU"/>
        </w:rPr>
        <w:t> </w:t>
      </w:r>
      <w:r w:rsidRPr="0072758C">
        <w:rPr>
          <w:i/>
          <w:iCs/>
          <w:lang w:val="en-AU"/>
        </w:rPr>
        <w:t>A</w:t>
      </w:r>
      <w:r w:rsidR="002A28E2" w:rsidRPr="0072758C">
        <w:rPr>
          <w:i/>
          <w:iCs/>
          <w:lang w:val="en-AU"/>
        </w:rPr>
        <w:t xml:space="preserve">ssociation of Jewish Studies </w:t>
      </w:r>
      <w:r w:rsidRPr="0072758C">
        <w:rPr>
          <w:i/>
          <w:iCs/>
          <w:lang w:val="en-AU"/>
        </w:rPr>
        <w:t>Review</w:t>
      </w:r>
      <w:r w:rsidRPr="0072758C">
        <w:rPr>
          <w:lang w:val="en-AU"/>
        </w:rPr>
        <w:t> 39 (2015): 303.</w:t>
      </w:r>
    </w:p>
    <w:p w14:paraId="5928E54B" w14:textId="77777777" w:rsidR="00194C28" w:rsidRPr="0072758C" w:rsidRDefault="00194C28" w:rsidP="0033335F">
      <w:pPr>
        <w:pStyle w:val="EndnoteText"/>
        <w:rPr>
          <w:lang w:val="en-AU"/>
        </w:rPr>
      </w:pPr>
    </w:p>
  </w:footnote>
  <w:footnote w:id="355">
    <w:p w14:paraId="10F15DE4" w14:textId="21D68D62"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Roman society allowed for freed citizens and wealthy people to gain citizenship rights. This developed more for Jews in Roman society. </w:t>
      </w:r>
    </w:p>
    <w:p w14:paraId="16ABC008" w14:textId="77777777" w:rsidR="00194C28" w:rsidRPr="0072758C" w:rsidRDefault="00194C28" w:rsidP="0033335F">
      <w:pPr>
        <w:pStyle w:val="EndnoteText"/>
        <w:rPr>
          <w:lang w:val="en-AU"/>
        </w:rPr>
      </w:pPr>
    </w:p>
  </w:footnote>
  <w:footnote w:id="356">
    <w:p w14:paraId="2FE5D30A" w14:textId="0F7FD121"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For a discussion regarding Roman manumitted slaves and citizenry see Christina Kokkinia, </w:t>
      </w:r>
      <w:r w:rsidR="00863B47" w:rsidRPr="0072758C">
        <w:rPr>
          <w:lang w:val="en-AU"/>
        </w:rPr>
        <w:t>“</w:t>
      </w:r>
      <w:r w:rsidRPr="0072758C">
        <w:rPr>
          <w:lang w:val="en-AU"/>
        </w:rPr>
        <w:t>Freed Slaves and Roman Imperial Culture</w:t>
      </w:r>
      <w:r w:rsidR="00863B47" w:rsidRPr="0072758C">
        <w:rPr>
          <w:lang w:val="en-AU"/>
        </w:rPr>
        <w:t>”</w:t>
      </w:r>
      <w:r w:rsidRPr="0072758C">
        <w:rPr>
          <w:lang w:val="en-AU"/>
        </w:rPr>
        <w:t xml:space="preserve"> (Cambridge: Cambridge University Press, 2018). </w:t>
      </w:r>
    </w:p>
    <w:p w14:paraId="1EDDE726" w14:textId="77777777" w:rsidR="00194C28" w:rsidRPr="0072758C" w:rsidRDefault="00194C28" w:rsidP="0033335F">
      <w:pPr>
        <w:pStyle w:val="EndnoteText"/>
        <w:rPr>
          <w:lang w:val="en-AU"/>
        </w:rPr>
      </w:pPr>
    </w:p>
  </w:footnote>
  <w:footnote w:id="357">
    <w:p w14:paraId="242947D4" w14:textId="4C5E5125" w:rsidR="001C1D6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w:t>
      </w:r>
      <w:r w:rsidRPr="0072758C">
        <w:rPr>
          <w:rFonts w:cstheme="minorBidi"/>
          <w:color w:val="000000"/>
          <w:szCs w:val="12"/>
          <w:shd w:val="clear" w:color="auto" w:fill="FFFFFF"/>
          <w:lang w:val="en-AU"/>
        </w:rPr>
        <w:t>Ben F Meyer and E. P Sanders, </w:t>
      </w:r>
      <w:r w:rsidRPr="0072758C">
        <w:rPr>
          <w:rFonts w:cstheme="minorBidi"/>
          <w:i/>
          <w:color w:val="000000"/>
          <w:szCs w:val="12"/>
          <w:shd w:val="clear" w:color="auto" w:fill="FFFFFF"/>
          <w:lang w:val="en-AU"/>
        </w:rPr>
        <w:t>Jewish and Christian Self-Definition</w:t>
      </w:r>
      <w:r w:rsidRPr="0072758C">
        <w:rPr>
          <w:rFonts w:cstheme="minorBidi"/>
          <w:color w:val="000000"/>
          <w:szCs w:val="12"/>
          <w:shd w:val="clear" w:color="auto" w:fill="FFFFFF"/>
          <w:lang w:val="en-AU"/>
        </w:rPr>
        <w:t> </w:t>
      </w:r>
      <w:r w:rsidR="00231AB8" w:rsidRPr="0072758C">
        <w:rPr>
          <w:rFonts w:cstheme="minorBidi"/>
          <w:color w:val="000000"/>
          <w:szCs w:val="12"/>
          <w:shd w:val="clear" w:color="auto" w:fill="FFFFFF"/>
          <w:lang w:val="en-AU"/>
        </w:rPr>
        <w:t>(</w:t>
      </w:r>
      <w:r w:rsidRPr="0072758C">
        <w:rPr>
          <w:rFonts w:cstheme="minorBidi"/>
          <w:color w:val="000000"/>
          <w:szCs w:val="12"/>
          <w:shd w:val="clear" w:color="auto" w:fill="FFFFFF"/>
          <w:lang w:val="en-AU"/>
        </w:rPr>
        <w:t>Philadelphia: Fortress Press, 1983</w:t>
      </w:r>
      <w:r w:rsidR="00231AB8" w:rsidRPr="0072758C">
        <w:rPr>
          <w:rFonts w:cstheme="minorBidi"/>
          <w:color w:val="000000"/>
          <w:szCs w:val="12"/>
          <w:shd w:val="clear" w:color="auto" w:fill="FFFFFF"/>
          <w:lang w:val="en-AU"/>
        </w:rPr>
        <w:t>)</w:t>
      </w:r>
      <w:r w:rsidRPr="0072758C">
        <w:rPr>
          <w:rFonts w:cstheme="minorBidi"/>
          <w:color w:val="000000"/>
          <w:szCs w:val="12"/>
          <w:shd w:val="clear" w:color="auto" w:fill="FFFFFF"/>
          <w:lang w:val="en-AU"/>
        </w:rPr>
        <w:t>.</w:t>
      </w:r>
      <w:r w:rsidR="009D5E9C" w:rsidRPr="0072758C">
        <w:rPr>
          <w:rFonts w:cstheme="minorBidi"/>
          <w:color w:val="000000"/>
          <w:szCs w:val="12"/>
          <w:shd w:val="clear" w:color="auto" w:fill="FFFFFF"/>
          <w:lang w:val="en-AU"/>
        </w:rPr>
        <w:t xml:space="preserve"> For more </w:t>
      </w:r>
      <w:r w:rsidR="009D5E9C" w:rsidRPr="0072758C">
        <w:rPr>
          <w:rFonts w:cstheme="minorBidi"/>
          <w:color w:val="000000"/>
          <w:shd w:val="clear" w:color="auto" w:fill="FFFFFF"/>
          <w:lang w:val="en-AU"/>
        </w:rPr>
        <w:t>information about freedom and manumission</w:t>
      </w:r>
      <w:r w:rsidR="001C1D68" w:rsidRPr="0072758C">
        <w:rPr>
          <w:rFonts w:cstheme="minorBidi"/>
          <w:color w:val="000000"/>
          <w:shd w:val="clear" w:color="auto" w:fill="FFFFFF"/>
          <w:lang w:val="en-AU"/>
        </w:rPr>
        <w:t xml:space="preserve">, see </w:t>
      </w:r>
      <w:r w:rsidR="001C1D68" w:rsidRPr="0072758C">
        <w:rPr>
          <w:lang w:val="en-AU"/>
        </w:rPr>
        <w:t>Katharine P. D Huemoeller, “Freedom in Marriage? Manumission for Marriage in the Roman World</w:t>
      </w:r>
      <w:r w:rsidR="00A15475" w:rsidRPr="0072758C">
        <w:rPr>
          <w:lang w:val="en-AU"/>
        </w:rPr>
        <w:t>,</w:t>
      </w:r>
      <w:r w:rsidR="001C1D68" w:rsidRPr="0072758C">
        <w:rPr>
          <w:lang w:val="en-AU"/>
        </w:rPr>
        <w:t>” </w:t>
      </w:r>
      <w:r w:rsidR="001C1D68" w:rsidRPr="0072758C">
        <w:rPr>
          <w:i/>
          <w:iCs/>
          <w:lang w:val="en-AU"/>
        </w:rPr>
        <w:t>Journal of Roman Studies</w:t>
      </w:r>
      <w:r w:rsidR="001C1D68" w:rsidRPr="0072758C">
        <w:rPr>
          <w:lang w:val="en-AU"/>
        </w:rPr>
        <w:t> 110 (2020): 123–39; Walter Scheidel</w:t>
      </w:r>
      <w:r w:rsidR="00231AB8" w:rsidRPr="0072758C">
        <w:rPr>
          <w:lang w:val="en-AU"/>
        </w:rPr>
        <w:t>,</w:t>
      </w:r>
      <w:r w:rsidR="001C1D68" w:rsidRPr="0072758C">
        <w:rPr>
          <w:lang w:val="en-AU"/>
        </w:rPr>
        <w:t xml:space="preserve"> “Free-Born and Manumitted Bailiffs in the Graeco-Roman World</w:t>
      </w:r>
      <w:r w:rsidR="00A15475" w:rsidRPr="0072758C">
        <w:rPr>
          <w:lang w:val="en-AU"/>
        </w:rPr>
        <w:t>,</w:t>
      </w:r>
      <w:r w:rsidR="001C1D68" w:rsidRPr="0072758C">
        <w:rPr>
          <w:lang w:val="en-AU"/>
        </w:rPr>
        <w:t>” </w:t>
      </w:r>
      <w:r w:rsidR="001C1D68" w:rsidRPr="0072758C">
        <w:rPr>
          <w:i/>
          <w:iCs/>
          <w:lang w:val="en-AU"/>
        </w:rPr>
        <w:t>The Classical Quarterly</w:t>
      </w:r>
      <w:r w:rsidR="001C1D68" w:rsidRPr="0072758C">
        <w:rPr>
          <w:lang w:val="en-AU"/>
        </w:rPr>
        <w:t> 40</w:t>
      </w:r>
      <w:r w:rsidR="00700676" w:rsidRPr="0072758C">
        <w:rPr>
          <w:lang w:val="en-AU"/>
        </w:rPr>
        <w:t xml:space="preserve"> </w:t>
      </w:r>
      <w:r w:rsidR="001C1D68" w:rsidRPr="0072758C">
        <w:rPr>
          <w:lang w:val="en-AU"/>
        </w:rPr>
        <w:t>(1990): 591–93</w:t>
      </w:r>
      <w:r w:rsidR="003C0928" w:rsidRPr="0072758C">
        <w:rPr>
          <w:lang w:val="en-AU"/>
        </w:rPr>
        <w:t>.</w:t>
      </w:r>
    </w:p>
  </w:footnote>
  <w:footnote w:id="358">
    <w:p w14:paraId="16CB71D6" w14:textId="77777777" w:rsidR="00194C28" w:rsidRPr="0072758C" w:rsidRDefault="00194C28" w:rsidP="0033335F">
      <w:pPr>
        <w:pStyle w:val="EndnoteText"/>
        <w:rPr>
          <w:lang w:val="en-AU"/>
        </w:rPr>
      </w:pPr>
    </w:p>
    <w:p w14:paraId="62775B53" w14:textId="3106B832" w:rsidR="006A1043"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Morton Scott Enslin, </w:t>
      </w:r>
      <w:r w:rsidRPr="0072758C">
        <w:rPr>
          <w:i/>
          <w:iCs/>
          <w:lang w:val="en-AU"/>
        </w:rPr>
        <w:t xml:space="preserve">Christian Beginnings Part I, </w:t>
      </w:r>
      <w:r w:rsidRPr="0072758C">
        <w:rPr>
          <w:lang w:val="en-AU"/>
        </w:rPr>
        <w:t xml:space="preserve">129. </w:t>
      </w:r>
      <w:r w:rsidR="006A1043" w:rsidRPr="0072758C">
        <w:rPr>
          <w:lang w:val="en-AU"/>
        </w:rPr>
        <w:t>See also Yigal Levin, “The Religion of Idumea and Its Relationship to Early Judaism</w:t>
      </w:r>
      <w:r w:rsidR="00A15475" w:rsidRPr="0072758C">
        <w:rPr>
          <w:lang w:val="en-AU"/>
        </w:rPr>
        <w:t>,</w:t>
      </w:r>
      <w:r w:rsidR="006A1043" w:rsidRPr="0072758C">
        <w:rPr>
          <w:lang w:val="en-AU"/>
        </w:rPr>
        <w:t>” </w:t>
      </w:r>
      <w:r w:rsidR="006A1043" w:rsidRPr="0072758C">
        <w:rPr>
          <w:i/>
          <w:iCs/>
          <w:lang w:val="en-AU"/>
        </w:rPr>
        <w:t>Religions</w:t>
      </w:r>
      <w:r w:rsidR="006A1043" w:rsidRPr="0072758C">
        <w:rPr>
          <w:lang w:val="en-AU"/>
        </w:rPr>
        <w:t> 11</w:t>
      </w:r>
      <w:r w:rsidR="00E83F6C" w:rsidRPr="0072758C">
        <w:rPr>
          <w:lang w:val="en-AU"/>
        </w:rPr>
        <w:t xml:space="preserve"> </w:t>
      </w:r>
      <w:r w:rsidR="006A1043" w:rsidRPr="0072758C">
        <w:rPr>
          <w:lang w:val="en-AU"/>
        </w:rPr>
        <w:t>(2020): 1–27; Michał Marciak, “Idumea and the Idumeans in Josephus Retelling of the Bible</w:t>
      </w:r>
      <w:r w:rsidR="00A15475" w:rsidRPr="0072758C">
        <w:rPr>
          <w:lang w:val="en-AU"/>
        </w:rPr>
        <w:t>,”</w:t>
      </w:r>
      <w:r w:rsidR="006A1043" w:rsidRPr="0072758C">
        <w:rPr>
          <w:lang w:val="en-AU"/>
        </w:rPr>
        <w:t> </w:t>
      </w:r>
      <w:r w:rsidR="006A1043" w:rsidRPr="0072758C">
        <w:rPr>
          <w:i/>
          <w:iCs/>
          <w:lang w:val="en-AU"/>
        </w:rPr>
        <w:t>Revue Biblique</w:t>
      </w:r>
      <w:r w:rsidR="006A1043" w:rsidRPr="0072758C">
        <w:rPr>
          <w:lang w:val="en-AU"/>
        </w:rPr>
        <w:t> 126 (2019): 235–53.</w:t>
      </w:r>
    </w:p>
  </w:footnote>
  <w:footnote w:id="359">
    <w:p w14:paraId="3DD48D7A" w14:textId="77777777" w:rsidR="00194C28" w:rsidRPr="0072758C" w:rsidRDefault="00194C28" w:rsidP="0033335F">
      <w:pPr>
        <w:pStyle w:val="EndnoteText"/>
        <w:rPr>
          <w:lang w:val="en-AU"/>
        </w:rPr>
      </w:pPr>
    </w:p>
    <w:p w14:paraId="613357A6" w14:textId="37FB5653" w:rsidR="00FF021B"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Hans Dieter Betz, </w:t>
      </w:r>
      <w:r w:rsidRPr="0072758C">
        <w:rPr>
          <w:i/>
          <w:iCs/>
          <w:lang w:val="en-AU"/>
        </w:rPr>
        <w:t xml:space="preserve">Essays on the Sermon on the Mount </w:t>
      </w:r>
      <w:r w:rsidRPr="0072758C">
        <w:rPr>
          <w:lang w:val="en-AU"/>
        </w:rPr>
        <w:t>(Philadelphia: Fortress, 1985), 93.</w:t>
      </w:r>
      <w:r w:rsidR="00FF021B" w:rsidRPr="0072758C">
        <w:rPr>
          <w:lang w:val="en-AU"/>
        </w:rPr>
        <w:t xml:space="preserve"> See also Alexis Bunine, “When Was Felix Appointed as Governor of Judea?” </w:t>
      </w:r>
      <w:r w:rsidR="00FF021B" w:rsidRPr="0072758C">
        <w:rPr>
          <w:i/>
          <w:iCs/>
          <w:lang w:val="en-AU"/>
        </w:rPr>
        <w:t>B</w:t>
      </w:r>
      <w:r w:rsidR="00231AB8" w:rsidRPr="0072758C">
        <w:rPr>
          <w:i/>
          <w:iCs/>
          <w:lang w:val="en-AU"/>
        </w:rPr>
        <w:t xml:space="preserve">iblica </w:t>
      </w:r>
      <w:r w:rsidR="00FF021B" w:rsidRPr="0072758C">
        <w:rPr>
          <w:lang w:val="en-AU"/>
        </w:rPr>
        <w:t xml:space="preserve">101 (2020): 411–30. </w:t>
      </w:r>
    </w:p>
    <w:p w14:paraId="38F99BCA" w14:textId="77777777" w:rsidR="0033335F" w:rsidRPr="0072758C" w:rsidRDefault="0033335F" w:rsidP="0033335F">
      <w:pPr>
        <w:pStyle w:val="EndnoteText"/>
        <w:ind w:firstLine="720"/>
        <w:rPr>
          <w:lang w:val="en-AU"/>
        </w:rPr>
      </w:pPr>
    </w:p>
  </w:footnote>
  <w:footnote w:id="360">
    <w:p w14:paraId="6D74EAA5" w14:textId="1969F7F9" w:rsidR="00194C28" w:rsidRPr="0072758C" w:rsidRDefault="00194C28" w:rsidP="0033335F">
      <w:pPr>
        <w:pStyle w:val="EndnoteText"/>
        <w:rPr>
          <w:lang w:val="en-AU"/>
        </w:rPr>
      </w:pPr>
      <w:bookmarkStart w:id="129" w:name="_Hlk118991535"/>
      <w:r w:rsidRPr="0072758C">
        <w:rPr>
          <w:lang w:val="en-AU"/>
        </w:rPr>
        <w:tab/>
      </w:r>
      <w:r w:rsidRPr="0072758C">
        <w:rPr>
          <w:rStyle w:val="FootnoteReference"/>
          <w:lang w:val="en-AU"/>
        </w:rPr>
        <w:footnoteRef/>
      </w:r>
      <w:r w:rsidRPr="0072758C">
        <w:rPr>
          <w:lang w:val="en-AU"/>
        </w:rPr>
        <w:t xml:space="preserve"> </w:t>
      </w:r>
      <w:r w:rsidR="00FF021B" w:rsidRPr="0072758C">
        <w:rPr>
          <w:lang w:val="en-AU"/>
        </w:rPr>
        <w:t xml:space="preserve">Betz, </w:t>
      </w:r>
      <w:r w:rsidR="00FF021B" w:rsidRPr="0072758C">
        <w:rPr>
          <w:i/>
          <w:iCs/>
          <w:lang w:val="en-AU"/>
        </w:rPr>
        <w:t>Essays on the Sermon on the Mount</w:t>
      </w:r>
      <w:r w:rsidR="00D32D8F">
        <w:rPr>
          <w:i/>
          <w:iCs/>
          <w:lang w:val="en-AU"/>
        </w:rPr>
        <w:t xml:space="preserve">, </w:t>
      </w:r>
      <w:r w:rsidR="00D32D8F">
        <w:rPr>
          <w:lang w:val="en-AU"/>
        </w:rPr>
        <w:t>17</w:t>
      </w:r>
      <w:r w:rsidR="00D32D8F" w:rsidRPr="0072758C">
        <w:rPr>
          <w:lang w:val="en-AU"/>
        </w:rPr>
        <w:t>–</w:t>
      </w:r>
      <w:r w:rsidR="00D32D8F">
        <w:rPr>
          <w:lang w:val="en-AU"/>
        </w:rPr>
        <w:t>36</w:t>
      </w:r>
      <w:r w:rsidR="00FF021B" w:rsidRPr="0072758C">
        <w:rPr>
          <w:lang w:val="en-AU"/>
        </w:rPr>
        <w:t>.</w:t>
      </w:r>
      <w:bookmarkEnd w:id="129"/>
    </w:p>
  </w:footnote>
  <w:footnote w:id="361">
    <w:p w14:paraId="395AAFDB" w14:textId="77777777" w:rsidR="00194C28" w:rsidRPr="0072758C" w:rsidRDefault="00194C28" w:rsidP="00F5340B">
      <w:pPr>
        <w:pStyle w:val="EndnoteText"/>
        <w:rPr>
          <w:lang w:val="en-AU"/>
        </w:rPr>
      </w:pPr>
    </w:p>
    <w:p w14:paraId="67193E65" w14:textId="4D43BB59"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The term </w:t>
      </w:r>
      <w:r w:rsidR="00863B47" w:rsidRPr="0072758C">
        <w:rPr>
          <w:lang w:val="en-AU"/>
        </w:rPr>
        <w:t>“</w:t>
      </w:r>
      <w:r w:rsidRPr="0072758C">
        <w:rPr>
          <w:i/>
          <w:lang w:val="en-AU"/>
        </w:rPr>
        <w:t>O Scholion</w:t>
      </w:r>
      <w:r w:rsidR="00863B47" w:rsidRPr="0072758C">
        <w:rPr>
          <w:lang w:val="en-AU"/>
        </w:rPr>
        <w:t>”</w:t>
      </w:r>
      <w:r w:rsidRPr="0072758C">
        <w:rPr>
          <w:lang w:val="en-AU"/>
        </w:rPr>
        <w:t xml:space="preserve"> comes from Vered Noam, who discovered that the manuscripts of </w:t>
      </w:r>
      <w:r w:rsidRPr="0072758C">
        <w:rPr>
          <w:i/>
          <w:lang w:val="en-AU"/>
        </w:rPr>
        <w:t>Megillat Ta</w:t>
      </w:r>
      <w:r w:rsidR="005C71CB" w:rsidRPr="0072758C">
        <w:rPr>
          <w:i/>
          <w:lang w:val="en-AU"/>
        </w:rPr>
        <w:t>’</w:t>
      </w:r>
      <w:r w:rsidRPr="0072758C">
        <w:rPr>
          <w:i/>
          <w:lang w:val="en-AU"/>
        </w:rPr>
        <w:t xml:space="preserve">anit </w:t>
      </w:r>
      <w:r w:rsidRPr="0072758C">
        <w:rPr>
          <w:lang w:val="en-AU"/>
        </w:rPr>
        <w:t xml:space="preserve">contained two </w:t>
      </w:r>
      <w:proofErr w:type="gramStart"/>
      <w:r w:rsidRPr="0072758C">
        <w:rPr>
          <w:lang w:val="en-AU"/>
        </w:rPr>
        <w:t>completely separate</w:t>
      </w:r>
      <w:proofErr w:type="gramEnd"/>
      <w:r w:rsidRPr="0072758C">
        <w:rPr>
          <w:lang w:val="en-AU"/>
        </w:rPr>
        <w:t xml:space="preserve"> commentaries (scholia) on Megillat Ta</w:t>
      </w:r>
      <w:r w:rsidR="005C71CB" w:rsidRPr="0072758C">
        <w:rPr>
          <w:lang w:val="en-AU"/>
        </w:rPr>
        <w:t>’</w:t>
      </w:r>
      <w:r w:rsidRPr="0072758C">
        <w:rPr>
          <w:lang w:val="en-AU"/>
        </w:rPr>
        <w:t>anit; see</w:t>
      </w:r>
      <w:r w:rsidRPr="0072758C">
        <w:rPr>
          <w:i/>
          <w:iCs/>
          <w:lang w:val="en-AU"/>
        </w:rPr>
        <w:t xml:space="preserve"> </w:t>
      </w:r>
      <w:r w:rsidR="00FF021B" w:rsidRPr="0072758C">
        <w:rPr>
          <w:lang w:val="en-AU"/>
        </w:rPr>
        <w:t>Vered Noam, “In the Wake of the New Leaf of Megillat Ta’anit and Its Scholion</w:t>
      </w:r>
      <w:r w:rsidR="00A15475" w:rsidRPr="0072758C">
        <w:rPr>
          <w:lang w:val="en-AU"/>
        </w:rPr>
        <w:t>,</w:t>
      </w:r>
      <w:r w:rsidR="00FF021B" w:rsidRPr="0072758C">
        <w:rPr>
          <w:lang w:val="en-AU"/>
        </w:rPr>
        <w:t>” </w:t>
      </w:r>
      <w:r w:rsidR="00FF021B" w:rsidRPr="0072758C">
        <w:rPr>
          <w:i/>
          <w:iCs/>
          <w:lang w:val="en-AU"/>
        </w:rPr>
        <w:t>Tarbiz</w:t>
      </w:r>
      <w:r w:rsidR="00FF021B" w:rsidRPr="0072758C">
        <w:rPr>
          <w:lang w:val="en-AU"/>
        </w:rPr>
        <w:t> 77 (2008): 411–24.</w:t>
      </w:r>
    </w:p>
    <w:p w14:paraId="4E7BA0BA" w14:textId="77777777" w:rsidR="00194C28" w:rsidRPr="0072758C" w:rsidRDefault="00194C28" w:rsidP="0033335F">
      <w:pPr>
        <w:pStyle w:val="EndnoteText"/>
        <w:rPr>
          <w:lang w:val="en-AU"/>
        </w:rPr>
      </w:pPr>
    </w:p>
  </w:footnote>
  <w:footnote w:id="362">
    <w:p w14:paraId="77D1D8F5" w14:textId="7BEC815B"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Mekhilta de-Rabbi Ishmael, </w:t>
      </w:r>
      <w:r w:rsidRPr="0072758C">
        <w:rPr>
          <w:i/>
          <w:iCs/>
          <w:lang w:val="en-AU"/>
        </w:rPr>
        <w:t>Masekhta de-nezikin</w:t>
      </w:r>
      <w:r w:rsidRPr="0072758C">
        <w:rPr>
          <w:lang w:val="en-AU"/>
        </w:rPr>
        <w:t>, to Exodus 21:24, 402; B. Bava Kamma 83b.</w:t>
      </w:r>
    </w:p>
    <w:p w14:paraId="3B2B79AB" w14:textId="77777777" w:rsidR="00194C28" w:rsidRPr="0072758C" w:rsidRDefault="00194C28" w:rsidP="0033335F">
      <w:pPr>
        <w:pStyle w:val="EndnoteText"/>
        <w:rPr>
          <w:lang w:val="en-AU"/>
        </w:rPr>
      </w:pPr>
    </w:p>
  </w:footnote>
  <w:footnote w:id="363">
    <w:p w14:paraId="1D071293" w14:textId="77777777"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John. A. Crook, </w:t>
      </w:r>
      <w:proofErr w:type="gramStart"/>
      <w:r w:rsidRPr="0072758C">
        <w:rPr>
          <w:i/>
          <w:iCs/>
          <w:lang w:val="en-AU"/>
        </w:rPr>
        <w:t>Law</w:t>
      </w:r>
      <w:proofErr w:type="gramEnd"/>
      <w:r w:rsidRPr="0072758C">
        <w:rPr>
          <w:i/>
          <w:iCs/>
          <w:lang w:val="en-AU"/>
        </w:rPr>
        <w:t xml:space="preserve"> and Life of Rome, 90 B.C. – A.D. 212, Aspects of Greek and Roman Life </w:t>
      </w:r>
      <w:r w:rsidRPr="0072758C">
        <w:rPr>
          <w:lang w:val="en-AU"/>
        </w:rPr>
        <w:t>(London: Thames &amp; Hudson, 1967), 198–99.</w:t>
      </w:r>
    </w:p>
    <w:p w14:paraId="33605C7B" w14:textId="77777777" w:rsidR="00194C28" w:rsidRPr="0072758C" w:rsidRDefault="00194C28" w:rsidP="0033335F">
      <w:pPr>
        <w:pStyle w:val="EndnoteText"/>
        <w:rPr>
          <w:lang w:val="en-AU"/>
        </w:rPr>
      </w:pPr>
    </w:p>
  </w:footnote>
  <w:footnote w:id="364">
    <w:p w14:paraId="48EA4AF9" w14:textId="59049F2C" w:rsidR="00BF4A03"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James F. Davis, </w:t>
      </w:r>
      <w:r w:rsidRPr="0072758C">
        <w:rPr>
          <w:i/>
          <w:iCs/>
          <w:lang w:val="en-AU"/>
        </w:rPr>
        <w:t xml:space="preserve">Lex Talionis in Early </w:t>
      </w:r>
      <w:proofErr w:type="gramStart"/>
      <w:r w:rsidRPr="0072758C">
        <w:rPr>
          <w:i/>
          <w:iCs/>
          <w:lang w:val="en-AU"/>
        </w:rPr>
        <w:t>Judaism</w:t>
      </w:r>
      <w:proofErr w:type="gramEnd"/>
      <w:r w:rsidRPr="0072758C">
        <w:rPr>
          <w:i/>
          <w:iCs/>
          <w:lang w:val="en-AU"/>
        </w:rPr>
        <w:t xml:space="preserve"> and the Exhortation of Jesus in Matthew 5:38</w:t>
      </w:r>
      <w:r w:rsidR="005676E2" w:rsidRPr="0072758C">
        <w:rPr>
          <w:i/>
          <w:iCs/>
          <w:lang w:val="en-AU"/>
        </w:rPr>
        <w:t>–</w:t>
      </w:r>
      <w:r w:rsidRPr="0072758C">
        <w:rPr>
          <w:i/>
          <w:iCs/>
          <w:lang w:val="en-AU"/>
        </w:rPr>
        <w:t>42</w:t>
      </w:r>
      <w:r w:rsidR="00231AB8" w:rsidRPr="0072758C">
        <w:rPr>
          <w:i/>
          <w:iCs/>
          <w:lang w:val="en-AU"/>
        </w:rPr>
        <w:t xml:space="preserve"> </w:t>
      </w:r>
      <w:r w:rsidRPr="0072758C">
        <w:rPr>
          <w:lang w:val="en-AU"/>
        </w:rPr>
        <w:t>(New York: T&amp;T Clark, 2005), 97.</w:t>
      </w:r>
      <w:r w:rsidR="00BF4A03" w:rsidRPr="0072758C">
        <w:rPr>
          <w:lang w:val="en-AU"/>
        </w:rPr>
        <w:t xml:space="preserve"> See also </w:t>
      </w:r>
      <w:r w:rsidR="00E95573" w:rsidRPr="0072758C">
        <w:rPr>
          <w:lang w:val="en-AU"/>
        </w:rPr>
        <w:t xml:space="preserve">David </w:t>
      </w:r>
      <w:r w:rsidR="00BF4A03" w:rsidRPr="0072758C">
        <w:rPr>
          <w:lang w:val="en-AU"/>
        </w:rPr>
        <w:t>B</w:t>
      </w:r>
      <w:r w:rsidR="00E95573" w:rsidRPr="0072758C">
        <w:rPr>
          <w:lang w:val="en-AU"/>
        </w:rPr>
        <w:t xml:space="preserve">lanco </w:t>
      </w:r>
      <w:r w:rsidR="00BF4A03" w:rsidRPr="0072758C">
        <w:rPr>
          <w:lang w:val="en-AU"/>
        </w:rPr>
        <w:t>C</w:t>
      </w:r>
      <w:r w:rsidR="00E95573" w:rsidRPr="0072758C">
        <w:rPr>
          <w:lang w:val="en-AU"/>
        </w:rPr>
        <w:t>ortina</w:t>
      </w:r>
      <w:r w:rsidR="00231AB8" w:rsidRPr="0072758C">
        <w:rPr>
          <w:lang w:val="en-AU"/>
        </w:rPr>
        <w:t>,</w:t>
      </w:r>
      <w:r w:rsidR="00E95573" w:rsidRPr="0072758C">
        <w:rPr>
          <w:lang w:val="en-AU"/>
        </w:rPr>
        <w:t xml:space="preserve"> </w:t>
      </w:r>
      <w:r w:rsidR="00BF4A03" w:rsidRPr="0072758C">
        <w:rPr>
          <w:lang w:val="en-AU"/>
        </w:rPr>
        <w:t>“Proporcionalidad y Sanciones Transicionales Análisis Del Modelo de Castigo de La Jurisdicción Especial Para La Paz</w:t>
      </w:r>
      <w:r w:rsidR="00A15475" w:rsidRPr="0072758C">
        <w:rPr>
          <w:lang w:val="en-AU"/>
        </w:rPr>
        <w:t>,</w:t>
      </w:r>
      <w:r w:rsidR="00BF4A03" w:rsidRPr="0072758C">
        <w:rPr>
          <w:lang w:val="en-AU"/>
        </w:rPr>
        <w:t>” </w:t>
      </w:r>
      <w:r w:rsidR="00BF4A03" w:rsidRPr="0072758C">
        <w:rPr>
          <w:i/>
          <w:iCs/>
          <w:lang w:val="en-AU"/>
        </w:rPr>
        <w:t>Revista de Derecho</w:t>
      </w:r>
      <w:r w:rsidR="00BF4A03" w:rsidRPr="0072758C">
        <w:rPr>
          <w:lang w:val="en-AU"/>
        </w:rPr>
        <w:t xml:space="preserve"> (2019): 164–92.</w:t>
      </w:r>
    </w:p>
    <w:p w14:paraId="38C80A18" w14:textId="77777777" w:rsidR="00194C28" w:rsidRPr="0072758C" w:rsidRDefault="00194C28" w:rsidP="00F5340B">
      <w:pPr>
        <w:pStyle w:val="EndnoteText"/>
        <w:rPr>
          <w:lang w:val="en-AU"/>
        </w:rPr>
      </w:pPr>
    </w:p>
  </w:footnote>
  <w:footnote w:id="365">
    <w:p w14:paraId="6D380BDD" w14:textId="224FCB3A"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Plescia, </w:t>
      </w:r>
      <w:r w:rsidR="00863B47" w:rsidRPr="0072758C">
        <w:rPr>
          <w:lang w:val="en-AU"/>
        </w:rPr>
        <w:t>“</w:t>
      </w:r>
      <w:r w:rsidRPr="0072758C">
        <w:rPr>
          <w:lang w:val="en-AU"/>
        </w:rPr>
        <w:t>Development of Inuria,</w:t>
      </w:r>
      <w:r w:rsidR="00863B47" w:rsidRPr="0072758C">
        <w:rPr>
          <w:lang w:val="en-AU"/>
        </w:rPr>
        <w:t>”</w:t>
      </w:r>
      <w:r w:rsidRPr="0072758C">
        <w:rPr>
          <w:lang w:val="en-AU"/>
        </w:rPr>
        <w:t xml:space="preserve"> 281–82.</w:t>
      </w:r>
    </w:p>
    <w:p w14:paraId="1A2C12A0" w14:textId="77777777" w:rsidR="00194C28" w:rsidRPr="0072758C" w:rsidRDefault="00194C28" w:rsidP="0033335F">
      <w:pPr>
        <w:pStyle w:val="EndnoteText"/>
        <w:rPr>
          <w:lang w:val="en-AU"/>
        </w:rPr>
      </w:pPr>
    </w:p>
  </w:footnote>
  <w:footnote w:id="366">
    <w:p w14:paraId="27D348FC" w14:textId="51796D2A"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Jonathan A. Pomeranz, </w:t>
      </w:r>
      <w:r w:rsidR="00863B47" w:rsidRPr="0072758C">
        <w:rPr>
          <w:lang w:val="en-AU"/>
        </w:rPr>
        <w:t>“</w:t>
      </w:r>
      <w:r w:rsidRPr="0072758C">
        <w:rPr>
          <w:lang w:val="en-AU"/>
        </w:rPr>
        <w:t>The Rabbinic and Roman Laws of Personal Injury,</w:t>
      </w:r>
      <w:r w:rsidR="00863B47" w:rsidRPr="0072758C">
        <w:rPr>
          <w:lang w:val="en-AU"/>
        </w:rPr>
        <w:t>”</w:t>
      </w:r>
      <w:r w:rsidRPr="0072758C">
        <w:rPr>
          <w:lang w:val="en-AU"/>
        </w:rPr>
        <w:t> </w:t>
      </w:r>
      <w:r w:rsidRPr="0072758C">
        <w:rPr>
          <w:i/>
          <w:iCs/>
          <w:lang w:val="en-AU"/>
        </w:rPr>
        <w:t>AJS Review</w:t>
      </w:r>
      <w:r w:rsidRPr="0072758C">
        <w:rPr>
          <w:lang w:val="en-AU"/>
        </w:rPr>
        <w:t> 39 (2015): 303.</w:t>
      </w:r>
    </w:p>
    <w:p w14:paraId="6FA3C29C" w14:textId="77777777" w:rsidR="00194C28" w:rsidRPr="0072758C" w:rsidRDefault="00194C28" w:rsidP="0033335F">
      <w:pPr>
        <w:pStyle w:val="EndnoteText"/>
        <w:rPr>
          <w:lang w:val="en-AU"/>
        </w:rPr>
      </w:pPr>
    </w:p>
  </w:footnote>
  <w:footnote w:id="367">
    <w:p w14:paraId="6FB44331" w14:textId="134015A5" w:rsidR="00747130"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Alan Watson, </w:t>
      </w:r>
      <w:r w:rsidR="00863B47" w:rsidRPr="0072758C">
        <w:rPr>
          <w:lang w:val="en-AU"/>
        </w:rPr>
        <w:t>“</w:t>
      </w:r>
      <w:r w:rsidRPr="0072758C">
        <w:rPr>
          <w:lang w:val="en-AU"/>
        </w:rPr>
        <w:t>Personal Injuries in the XII Tables,</w:t>
      </w:r>
      <w:r w:rsidR="00863B47" w:rsidRPr="0072758C">
        <w:rPr>
          <w:lang w:val="en-AU"/>
        </w:rPr>
        <w:t>”</w:t>
      </w:r>
      <w:r w:rsidRPr="0072758C">
        <w:rPr>
          <w:lang w:val="en-AU"/>
        </w:rPr>
        <w:t xml:space="preserve"> Tijdschrift voor Rechtsgeschiedenis 43 (1975): 213.</w:t>
      </w:r>
      <w:r w:rsidR="00747130" w:rsidRPr="0072758C">
        <w:rPr>
          <w:lang w:val="en-AU"/>
        </w:rPr>
        <w:t xml:space="preserve"> See also Barbara Ellen Logan, “Pedagogy and Punishment: Distinguishing between Erudire and Iniuria in Roman Education and Law</w:t>
      </w:r>
      <w:r w:rsidR="00A15475" w:rsidRPr="0072758C">
        <w:rPr>
          <w:lang w:val="en-AU"/>
        </w:rPr>
        <w:t>,</w:t>
      </w:r>
      <w:r w:rsidR="00747130" w:rsidRPr="0072758C">
        <w:rPr>
          <w:lang w:val="en-AU"/>
        </w:rPr>
        <w:t>” </w:t>
      </w:r>
      <w:r w:rsidR="00747130" w:rsidRPr="0072758C">
        <w:rPr>
          <w:i/>
          <w:iCs/>
          <w:lang w:val="en-AU"/>
        </w:rPr>
        <w:t>Journal on European History of Law</w:t>
      </w:r>
      <w:r w:rsidR="00747130" w:rsidRPr="0072758C">
        <w:rPr>
          <w:lang w:val="en-AU"/>
        </w:rPr>
        <w:t> 10</w:t>
      </w:r>
      <w:r w:rsidR="00EF6FDD" w:rsidRPr="0072758C">
        <w:rPr>
          <w:lang w:val="en-AU"/>
        </w:rPr>
        <w:t xml:space="preserve"> </w:t>
      </w:r>
      <w:r w:rsidR="00747130" w:rsidRPr="0072758C">
        <w:rPr>
          <w:lang w:val="en-AU"/>
        </w:rPr>
        <w:t>(2019): 157–61.</w:t>
      </w:r>
    </w:p>
    <w:p w14:paraId="29D450BA" w14:textId="736BE243" w:rsidR="00194C28" w:rsidRPr="0072758C" w:rsidRDefault="00194C28" w:rsidP="0033335F">
      <w:pPr>
        <w:pStyle w:val="EndnoteText"/>
        <w:rPr>
          <w:lang w:val="en-AU"/>
        </w:rPr>
      </w:pPr>
    </w:p>
  </w:footnote>
  <w:footnote w:id="368">
    <w:p w14:paraId="5129B6FA" w14:textId="77777777"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Andrew Borkowski, </w:t>
      </w:r>
      <w:r w:rsidRPr="0072758C">
        <w:rPr>
          <w:i/>
          <w:iCs/>
          <w:lang w:val="en-AU"/>
        </w:rPr>
        <w:t xml:space="preserve">Roman Law </w:t>
      </w:r>
      <w:r w:rsidRPr="0072758C">
        <w:rPr>
          <w:lang w:val="en-AU"/>
        </w:rPr>
        <w:t>(London: Blackstone, 1994), 323.</w:t>
      </w:r>
    </w:p>
    <w:p w14:paraId="485D72A1" w14:textId="77777777" w:rsidR="00194C28" w:rsidRPr="0072758C" w:rsidRDefault="00194C28" w:rsidP="0033335F">
      <w:pPr>
        <w:pStyle w:val="EndnoteText"/>
        <w:rPr>
          <w:lang w:val="en-AU"/>
        </w:rPr>
      </w:pPr>
    </w:p>
  </w:footnote>
  <w:footnote w:id="369">
    <w:p w14:paraId="44037436" w14:textId="1F60F457"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See</w:t>
      </w:r>
      <w:r w:rsidRPr="0072758C">
        <w:rPr>
          <w:i/>
          <w:iCs/>
          <w:lang w:val="en-AU"/>
        </w:rPr>
        <w:t xml:space="preserve"> </w:t>
      </w:r>
      <w:r w:rsidR="00F5340B" w:rsidRPr="0072758C">
        <w:rPr>
          <w:lang w:val="en-AU"/>
        </w:rPr>
        <w:t>e.g.,</w:t>
      </w:r>
      <w:r w:rsidRPr="0072758C">
        <w:rPr>
          <w:lang w:val="en-AU"/>
        </w:rPr>
        <w:t xml:space="preserve"> Mekhilta de-Rabbi Ishmael, </w:t>
      </w:r>
      <w:r w:rsidRPr="0072758C">
        <w:rPr>
          <w:i/>
          <w:iCs/>
          <w:lang w:val="en-AU"/>
        </w:rPr>
        <w:t>Masekhta de-nezikin</w:t>
      </w:r>
      <w:r w:rsidRPr="0072758C">
        <w:rPr>
          <w:lang w:val="en-AU"/>
        </w:rPr>
        <w:t xml:space="preserve">, to Exodus 21:24, 401–402; The rabbis claim that the biblical verses stating </w:t>
      </w:r>
      <w:r w:rsidR="00863B47" w:rsidRPr="0072758C">
        <w:rPr>
          <w:lang w:val="en-AU"/>
        </w:rPr>
        <w:t>“</w:t>
      </w:r>
      <w:r w:rsidRPr="0072758C">
        <w:rPr>
          <w:lang w:val="en-AU"/>
        </w:rPr>
        <w:t>an eye for an eye, a tooth for a tooth</w:t>
      </w:r>
      <w:r w:rsidR="00863B47" w:rsidRPr="0072758C">
        <w:rPr>
          <w:lang w:val="en-AU"/>
        </w:rPr>
        <w:t>”</w:t>
      </w:r>
      <w:r w:rsidRPr="0072758C">
        <w:rPr>
          <w:lang w:val="en-AU"/>
        </w:rPr>
        <w:t xml:space="preserve"> </w:t>
      </w:r>
      <w:proofErr w:type="gramStart"/>
      <w:r w:rsidRPr="0072758C">
        <w:rPr>
          <w:lang w:val="en-AU"/>
        </w:rPr>
        <w:t>actually mean</w:t>
      </w:r>
      <w:proofErr w:type="gramEnd"/>
      <w:r w:rsidRPr="0072758C">
        <w:rPr>
          <w:lang w:val="en-AU"/>
        </w:rPr>
        <w:t xml:space="preserve"> that the victim of a physical assault is entitled only to monetary compensation. The </w:t>
      </w:r>
      <w:r w:rsidRPr="0072758C">
        <w:rPr>
          <w:i/>
          <w:iCs/>
          <w:lang w:val="en-AU"/>
        </w:rPr>
        <w:t>Beit Din</w:t>
      </w:r>
      <w:r w:rsidRPr="0072758C">
        <w:rPr>
          <w:lang w:val="en-AU"/>
        </w:rPr>
        <w:t xml:space="preserve"> in ancient times was the Jewish court of law, and it was the building block of the legal system in the Biblical Land of Israel.</w:t>
      </w:r>
    </w:p>
  </w:footnote>
  <w:footnote w:id="370">
    <w:p w14:paraId="538E20C5" w14:textId="77777777" w:rsidR="00194C28" w:rsidRPr="0072758C" w:rsidRDefault="00194C28" w:rsidP="0033335F">
      <w:pPr>
        <w:pStyle w:val="EndnoteText"/>
        <w:rPr>
          <w:lang w:val="en-AU"/>
        </w:rPr>
      </w:pPr>
    </w:p>
    <w:p w14:paraId="0E8C07A7" w14:textId="07E9935E"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Watson explains that, </w:t>
      </w:r>
      <w:r w:rsidRPr="0072758C">
        <w:rPr>
          <w:rFonts w:ascii="Times" w:hAnsi="Times" w:cstheme="minorBidi"/>
          <w:lang w:val="en-AU"/>
        </w:rPr>
        <w:t xml:space="preserve">like the rabbinic law, the Roman laws found in the </w:t>
      </w:r>
      <w:r w:rsidRPr="0072758C">
        <w:rPr>
          <w:rFonts w:ascii="Times" w:hAnsi="Times" w:cstheme="minorBidi"/>
          <w:i/>
          <w:lang w:val="en-AU"/>
        </w:rPr>
        <w:t>Lex Aquilia</w:t>
      </w:r>
      <w:r w:rsidRPr="0072758C">
        <w:rPr>
          <w:rFonts w:ascii="Times" w:hAnsi="Times" w:cstheme="minorBidi"/>
          <w:lang w:val="en-AU"/>
        </w:rPr>
        <w:t xml:space="preserve"> and in the laws of </w:t>
      </w:r>
      <w:r w:rsidRPr="0072758C">
        <w:rPr>
          <w:rFonts w:ascii="Times" w:hAnsi="Times" w:cstheme="minorBidi"/>
          <w:i/>
          <w:lang w:val="en-AU"/>
        </w:rPr>
        <w:t>iniuria</w:t>
      </w:r>
      <w:r w:rsidRPr="0072758C">
        <w:rPr>
          <w:rFonts w:ascii="Times" w:hAnsi="Times" w:cstheme="minorBidi"/>
          <w:lang w:val="en-AU"/>
        </w:rPr>
        <w:t xml:space="preserve"> replaced an earlier law, in the Twelve Tables, which was based around a version of the </w:t>
      </w:r>
      <w:r w:rsidRPr="0072758C">
        <w:rPr>
          <w:rFonts w:ascii="Times" w:hAnsi="Times" w:cstheme="minorBidi"/>
          <w:i/>
          <w:lang w:val="en-AU"/>
        </w:rPr>
        <w:t>lex talionis</w:t>
      </w:r>
      <w:r w:rsidRPr="0072758C">
        <w:rPr>
          <w:rFonts w:ascii="Times" w:hAnsi="Times" w:cstheme="minorBidi"/>
          <w:lang w:val="en-AU"/>
        </w:rPr>
        <w:t xml:space="preserve">. </w:t>
      </w:r>
      <w:r w:rsidRPr="0072758C">
        <w:rPr>
          <w:rFonts w:ascii="Times" w:hAnsi="Times" w:cstheme="minorBidi"/>
          <w:iCs/>
          <w:lang w:val="en-AU"/>
        </w:rPr>
        <w:t xml:space="preserve">The laws of </w:t>
      </w:r>
      <w:r w:rsidRPr="0072758C">
        <w:rPr>
          <w:rFonts w:ascii="Times" w:hAnsi="Times" w:cstheme="minorBidi"/>
          <w:i/>
          <w:lang w:val="en-AU"/>
        </w:rPr>
        <w:t>Lex Aquilia</w:t>
      </w:r>
      <w:r w:rsidRPr="0072758C">
        <w:rPr>
          <w:rFonts w:ascii="Times" w:hAnsi="Times" w:cstheme="minorBidi"/>
          <w:lang w:val="en-AU"/>
        </w:rPr>
        <w:t xml:space="preserve"> provide monetary retribution if: (1) a person has maimed another</w:t>
      </w:r>
      <w:r w:rsidR="005C71CB" w:rsidRPr="0072758C">
        <w:rPr>
          <w:rFonts w:ascii="Times" w:hAnsi="Times" w:cstheme="minorBidi"/>
          <w:lang w:val="en-AU"/>
        </w:rPr>
        <w:t>’</w:t>
      </w:r>
      <w:r w:rsidRPr="0072758C">
        <w:rPr>
          <w:rFonts w:ascii="Times" w:hAnsi="Times" w:cstheme="minorBidi"/>
          <w:lang w:val="en-AU"/>
        </w:rPr>
        <w:t>s limb, (2) if he has broken or bruised a freeman</w:t>
      </w:r>
      <w:r w:rsidR="005C71CB" w:rsidRPr="0072758C">
        <w:rPr>
          <w:rFonts w:ascii="Times" w:hAnsi="Times" w:cstheme="minorBidi"/>
          <w:lang w:val="en-AU"/>
        </w:rPr>
        <w:t>’</w:t>
      </w:r>
      <w:r w:rsidRPr="0072758C">
        <w:rPr>
          <w:rFonts w:ascii="Times" w:hAnsi="Times" w:cstheme="minorBidi"/>
          <w:lang w:val="en-AU"/>
        </w:rPr>
        <w:t xml:space="preserve">s bone with hand or club, or (3) if he has done simple harm [to another]. Alan Watson, </w:t>
      </w:r>
      <w:r w:rsidR="00863B47" w:rsidRPr="0072758C">
        <w:rPr>
          <w:rFonts w:ascii="Times" w:hAnsi="Times" w:cstheme="minorBidi"/>
          <w:lang w:val="en-AU"/>
        </w:rPr>
        <w:t>“</w:t>
      </w:r>
      <w:r w:rsidRPr="0072758C">
        <w:rPr>
          <w:rFonts w:ascii="Times" w:hAnsi="Times" w:cstheme="minorBidi"/>
          <w:lang w:val="en-AU"/>
        </w:rPr>
        <w:t>Personal Injuries in the XII Tables,</w:t>
      </w:r>
      <w:r w:rsidR="00863B47" w:rsidRPr="0072758C">
        <w:rPr>
          <w:rFonts w:ascii="Times" w:hAnsi="Times" w:cstheme="minorBidi"/>
          <w:lang w:val="en-AU"/>
        </w:rPr>
        <w:t>”</w:t>
      </w:r>
      <w:r w:rsidRPr="0072758C">
        <w:rPr>
          <w:rFonts w:ascii="Times" w:hAnsi="Times" w:cstheme="minorBidi"/>
          <w:lang w:val="en-AU"/>
        </w:rPr>
        <w:t xml:space="preserve"> 213; </w:t>
      </w:r>
      <w:r w:rsidRPr="0072758C">
        <w:rPr>
          <w:rFonts w:cstheme="minorBidi"/>
          <w:lang w:val="en-AU"/>
        </w:rPr>
        <w:t xml:space="preserve">also, Andrew Halpin, </w:t>
      </w:r>
      <w:r w:rsidR="00863B47" w:rsidRPr="0072758C">
        <w:rPr>
          <w:rFonts w:cstheme="minorBidi"/>
          <w:lang w:val="en-AU"/>
        </w:rPr>
        <w:t>“</w:t>
      </w:r>
      <w:r w:rsidRPr="0072758C">
        <w:rPr>
          <w:rFonts w:cstheme="minorBidi"/>
          <w:lang w:val="en-AU"/>
        </w:rPr>
        <w:t>The Usage of Iniuria in the Twelve Tables,</w:t>
      </w:r>
      <w:r w:rsidR="00863B47" w:rsidRPr="0072758C">
        <w:rPr>
          <w:rFonts w:cstheme="minorBidi"/>
          <w:lang w:val="en-AU"/>
        </w:rPr>
        <w:t>”</w:t>
      </w:r>
      <w:r w:rsidRPr="0072758C">
        <w:rPr>
          <w:rFonts w:cstheme="minorBidi"/>
          <w:lang w:val="en-AU"/>
        </w:rPr>
        <w:t xml:space="preserve"> </w:t>
      </w:r>
      <w:r w:rsidRPr="0072758C">
        <w:rPr>
          <w:rFonts w:cstheme="minorBidi"/>
          <w:i/>
          <w:iCs/>
          <w:lang w:val="en-AU"/>
        </w:rPr>
        <w:t>The Irish Jurist</w:t>
      </w:r>
      <w:r w:rsidRPr="0072758C">
        <w:rPr>
          <w:rFonts w:cstheme="minorBidi"/>
          <w:lang w:val="en-AU"/>
        </w:rPr>
        <w:t xml:space="preserve"> 11 (1976): 344–54.</w:t>
      </w:r>
    </w:p>
  </w:footnote>
  <w:footnote w:id="371">
    <w:p w14:paraId="2D0E3C3B" w14:textId="77777777" w:rsidR="00194C28" w:rsidRPr="0072758C" w:rsidRDefault="00194C28" w:rsidP="0033335F">
      <w:pPr>
        <w:pStyle w:val="EndnoteText"/>
        <w:rPr>
          <w:lang w:val="en-AU"/>
        </w:rPr>
      </w:pPr>
    </w:p>
    <w:p w14:paraId="1D71EF2E" w14:textId="30874E53" w:rsidR="003B689B"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John Carew Rolfe, </w:t>
      </w:r>
      <w:r w:rsidRPr="0072758C">
        <w:rPr>
          <w:i/>
          <w:iCs/>
          <w:lang w:val="en-AU"/>
        </w:rPr>
        <w:t>The Attic Nights of Aulus Gellius, The Loeb Classical Library</w:t>
      </w:r>
      <w:r w:rsidRPr="0072758C">
        <w:rPr>
          <w:lang w:val="en-AU"/>
        </w:rPr>
        <w:t xml:space="preserve"> (New York: W. Heinemann and Putnam</w:t>
      </w:r>
      <w:r w:rsidR="005C71CB" w:rsidRPr="0072758C">
        <w:rPr>
          <w:lang w:val="en-AU"/>
        </w:rPr>
        <w:t>’</w:t>
      </w:r>
      <w:r w:rsidRPr="0072758C">
        <w:rPr>
          <w:lang w:val="en-AU"/>
        </w:rPr>
        <w:t>s Sons, 1927), 413</w:t>
      </w:r>
      <w:r w:rsidR="003B689B" w:rsidRPr="0072758C">
        <w:rPr>
          <w:lang w:val="en-AU"/>
        </w:rPr>
        <w:t>. See also, Federica Battaglia, “An Aulus Gellius Commentary on Masurius Sabinus</w:t>
      </w:r>
      <w:r w:rsidR="00A15475" w:rsidRPr="0072758C">
        <w:rPr>
          <w:lang w:val="en-AU"/>
        </w:rPr>
        <w:t>,</w:t>
      </w:r>
      <w:r w:rsidR="003B689B" w:rsidRPr="0072758C">
        <w:rPr>
          <w:lang w:val="en-AU"/>
        </w:rPr>
        <w:t>” </w:t>
      </w:r>
      <w:r w:rsidR="003B689B" w:rsidRPr="0072758C">
        <w:rPr>
          <w:i/>
          <w:iCs/>
          <w:lang w:val="en-AU"/>
        </w:rPr>
        <w:t>Tijdschrift Voor Rechtsgeschiedenis/Legal History Review</w:t>
      </w:r>
      <w:r w:rsidR="003B689B" w:rsidRPr="0072758C">
        <w:rPr>
          <w:lang w:val="en-AU"/>
        </w:rPr>
        <w:t> 84</w:t>
      </w:r>
      <w:r w:rsidR="00B23E4E" w:rsidRPr="0072758C">
        <w:rPr>
          <w:lang w:val="en-AU"/>
        </w:rPr>
        <w:t xml:space="preserve"> </w:t>
      </w:r>
      <w:r w:rsidR="003B689B" w:rsidRPr="0072758C">
        <w:rPr>
          <w:lang w:val="en-AU"/>
        </w:rPr>
        <w:t>(2016): 97–148.</w:t>
      </w:r>
    </w:p>
  </w:footnote>
  <w:footnote w:id="372">
    <w:p w14:paraId="4BF4EEEF" w14:textId="77777777" w:rsidR="00194C28" w:rsidRPr="0072758C" w:rsidRDefault="00194C28" w:rsidP="0033335F">
      <w:pPr>
        <w:pStyle w:val="EndnoteText"/>
        <w:rPr>
          <w:lang w:val="en-AU"/>
        </w:rPr>
      </w:pPr>
    </w:p>
    <w:p w14:paraId="0E7F3532" w14:textId="77777777"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James F. Davis, </w:t>
      </w:r>
      <w:r w:rsidRPr="0072758C">
        <w:rPr>
          <w:i/>
          <w:iCs/>
          <w:lang w:val="en-AU"/>
        </w:rPr>
        <w:t>Lex Talionis in Early Judaism</w:t>
      </w:r>
      <w:r w:rsidRPr="0072758C">
        <w:rPr>
          <w:lang w:val="en-AU"/>
        </w:rPr>
        <w:t>, 97.</w:t>
      </w:r>
    </w:p>
  </w:footnote>
  <w:footnote w:id="373">
    <w:p w14:paraId="412887FF" w14:textId="77777777" w:rsidR="00194C28" w:rsidRPr="0072758C" w:rsidRDefault="00194C28" w:rsidP="0033335F">
      <w:pPr>
        <w:pStyle w:val="EndnoteText"/>
        <w:rPr>
          <w:lang w:val="en-AU"/>
        </w:rPr>
      </w:pPr>
    </w:p>
    <w:p w14:paraId="4AF60A64" w14:textId="77777777"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Ibid.</w:t>
      </w:r>
    </w:p>
    <w:p w14:paraId="5BF9867A" w14:textId="77777777" w:rsidR="00194C28" w:rsidRPr="0072758C" w:rsidRDefault="00194C28" w:rsidP="0033335F">
      <w:pPr>
        <w:pStyle w:val="EndnoteText"/>
        <w:rPr>
          <w:lang w:val="en-AU"/>
        </w:rPr>
      </w:pPr>
    </w:p>
  </w:footnote>
  <w:footnote w:id="374">
    <w:p w14:paraId="458021CB" w14:textId="0A64D37A" w:rsidR="003B689B"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For </w:t>
      </w:r>
      <w:r w:rsidRPr="0072758C">
        <w:rPr>
          <w:i/>
          <w:iCs/>
          <w:lang w:val="en-AU"/>
        </w:rPr>
        <w:t xml:space="preserve">Mishna </w:t>
      </w:r>
      <w:r w:rsidRPr="0072758C">
        <w:rPr>
          <w:lang w:val="en-AU"/>
        </w:rPr>
        <w:t>regarding the role of Jewish courts and non-Jewish courts see</w:t>
      </w:r>
      <w:r w:rsidRPr="0072758C">
        <w:rPr>
          <w:i/>
          <w:iCs/>
          <w:lang w:val="en-AU"/>
        </w:rPr>
        <w:t xml:space="preserve"> bGit. 88b, pShab. 1:3, 3c</w:t>
      </w:r>
      <w:r w:rsidR="005676E2" w:rsidRPr="0072758C">
        <w:rPr>
          <w:i/>
          <w:iCs/>
          <w:lang w:val="en-AU"/>
        </w:rPr>
        <w:t>–</w:t>
      </w:r>
      <w:r w:rsidRPr="0072758C">
        <w:rPr>
          <w:i/>
          <w:iCs/>
          <w:lang w:val="en-AU"/>
        </w:rPr>
        <w:t>d; Meg. 3:1, 74a; bBB58a</w:t>
      </w:r>
      <w:r w:rsidR="005676E2" w:rsidRPr="0072758C">
        <w:rPr>
          <w:i/>
          <w:iCs/>
          <w:lang w:val="en-AU"/>
        </w:rPr>
        <w:t>–</w:t>
      </w:r>
      <w:r w:rsidRPr="0072758C">
        <w:rPr>
          <w:i/>
          <w:iCs/>
          <w:lang w:val="en-AU"/>
        </w:rPr>
        <w:t>b.</w:t>
      </w:r>
      <w:r w:rsidR="003B689B" w:rsidRPr="0072758C">
        <w:rPr>
          <w:i/>
          <w:iCs/>
          <w:lang w:val="en-AU"/>
        </w:rPr>
        <w:t xml:space="preserve">  </w:t>
      </w:r>
      <w:r w:rsidR="003B689B" w:rsidRPr="0072758C">
        <w:rPr>
          <w:lang w:val="en-AU"/>
        </w:rPr>
        <w:t>See also, Amiha Radzyner, “We Act as Their Agents and the Prohibition of Judgement by Laymen: A Discussion of Babylonian Talmud Gitten 88b</w:t>
      </w:r>
      <w:r w:rsidR="00A15475" w:rsidRPr="0072758C">
        <w:rPr>
          <w:lang w:val="en-AU"/>
        </w:rPr>
        <w:t>,</w:t>
      </w:r>
      <w:r w:rsidR="003B689B" w:rsidRPr="0072758C">
        <w:rPr>
          <w:lang w:val="en-AU"/>
        </w:rPr>
        <w:t>” </w:t>
      </w:r>
      <w:r w:rsidR="003B689B" w:rsidRPr="0072758C">
        <w:rPr>
          <w:i/>
          <w:iCs/>
          <w:lang w:val="en-AU"/>
        </w:rPr>
        <w:t>AJS Review</w:t>
      </w:r>
      <w:r w:rsidR="003B689B" w:rsidRPr="0072758C">
        <w:rPr>
          <w:lang w:val="en-AU"/>
        </w:rPr>
        <w:t> 37</w:t>
      </w:r>
      <w:r w:rsidR="00EF6FDD" w:rsidRPr="0072758C">
        <w:rPr>
          <w:lang w:val="en-AU"/>
        </w:rPr>
        <w:t xml:space="preserve"> </w:t>
      </w:r>
      <w:r w:rsidR="003B689B" w:rsidRPr="0072758C">
        <w:rPr>
          <w:lang w:val="en-AU"/>
        </w:rPr>
        <w:t>(2013): 257–83.</w:t>
      </w:r>
    </w:p>
    <w:p w14:paraId="0009A6C2" w14:textId="77777777" w:rsidR="00194C28" w:rsidRPr="0072758C" w:rsidRDefault="00194C28" w:rsidP="0033335F">
      <w:pPr>
        <w:pStyle w:val="EndnoteText"/>
        <w:rPr>
          <w:lang w:val="en-AU"/>
        </w:rPr>
      </w:pPr>
    </w:p>
  </w:footnote>
  <w:footnote w:id="375">
    <w:p w14:paraId="0D4F032C" w14:textId="55E6F71F"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Boaz Cohen, </w:t>
      </w:r>
      <w:r w:rsidRPr="0072758C">
        <w:rPr>
          <w:i/>
          <w:iCs/>
          <w:lang w:val="en-AU"/>
        </w:rPr>
        <w:t>Jewish and Roman Law: A Comparative Study</w:t>
      </w:r>
      <w:r w:rsidRPr="0072758C">
        <w:rPr>
          <w:lang w:val="en-AU"/>
        </w:rPr>
        <w:t xml:space="preserve"> (New York: Jewish Theological Seminary of America Press, 1966), 13–14.</w:t>
      </w:r>
      <w:r w:rsidR="00B80A48" w:rsidRPr="0072758C">
        <w:rPr>
          <w:lang w:val="en-AU"/>
        </w:rPr>
        <w:t xml:space="preserve">  See also, Christine Hayes, “Roman and Jewish Law: Looking for Interaction in All the Right Places</w:t>
      </w:r>
      <w:r w:rsidR="00A15475" w:rsidRPr="0072758C">
        <w:rPr>
          <w:lang w:val="en-AU"/>
        </w:rPr>
        <w:t>,</w:t>
      </w:r>
      <w:r w:rsidR="00B80A48" w:rsidRPr="0072758C">
        <w:rPr>
          <w:lang w:val="en-AU"/>
        </w:rPr>
        <w:t>” </w:t>
      </w:r>
      <w:r w:rsidR="00B80A48" w:rsidRPr="0072758C">
        <w:rPr>
          <w:i/>
          <w:iCs/>
          <w:lang w:val="en-AU"/>
        </w:rPr>
        <w:t>Law &amp; History Review</w:t>
      </w:r>
      <w:r w:rsidR="00B80A48" w:rsidRPr="0072758C">
        <w:rPr>
          <w:lang w:val="en-AU"/>
        </w:rPr>
        <w:t xml:space="preserve"> 37 (2019): 955–59. </w:t>
      </w:r>
    </w:p>
    <w:p w14:paraId="2B396649" w14:textId="3B2513A0" w:rsidR="00194C28" w:rsidRPr="0072758C" w:rsidRDefault="0033335F" w:rsidP="0033335F">
      <w:pPr>
        <w:pStyle w:val="EndnoteText"/>
        <w:rPr>
          <w:lang w:val="en-AU"/>
        </w:rPr>
      </w:pPr>
      <w:r w:rsidRPr="0072758C">
        <w:rPr>
          <w:lang w:val="en-AU"/>
        </w:rPr>
        <w:tab/>
      </w:r>
    </w:p>
  </w:footnote>
  <w:footnote w:id="376">
    <w:p w14:paraId="5415C199" w14:textId="2E430707"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Jonathan A. Pomeranz, </w:t>
      </w:r>
      <w:r w:rsidR="00863B47" w:rsidRPr="0072758C">
        <w:rPr>
          <w:lang w:val="en-AU"/>
        </w:rPr>
        <w:t>“</w:t>
      </w:r>
      <w:r w:rsidRPr="0072758C">
        <w:rPr>
          <w:lang w:val="en-AU"/>
        </w:rPr>
        <w:t>The Rabbinic and Roman Laws of Personal Injury,</w:t>
      </w:r>
      <w:r w:rsidR="00863B47" w:rsidRPr="0072758C">
        <w:rPr>
          <w:lang w:val="en-AU"/>
        </w:rPr>
        <w:t>”</w:t>
      </w:r>
      <w:r w:rsidRPr="0072758C">
        <w:rPr>
          <w:lang w:val="en-AU"/>
        </w:rPr>
        <w:t> </w:t>
      </w:r>
      <w:r w:rsidRPr="0072758C">
        <w:rPr>
          <w:i/>
          <w:iCs/>
          <w:lang w:val="en-AU"/>
        </w:rPr>
        <w:t>AJS Review</w:t>
      </w:r>
      <w:r w:rsidRPr="0072758C">
        <w:rPr>
          <w:lang w:val="en-AU"/>
        </w:rPr>
        <w:t> 39 (2015): 303–331.</w:t>
      </w:r>
    </w:p>
    <w:p w14:paraId="61B0F25B" w14:textId="77777777" w:rsidR="00194C28" w:rsidRPr="0072758C" w:rsidRDefault="00194C28" w:rsidP="0033335F">
      <w:pPr>
        <w:pStyle w:val="EndnoteText"/>
        <w:rPr>
          <w:lang w:val="en-AU"/>
        </w:rPr>
      </w:pPr>
    </w:p>
  </w:footnote>
  <w:footnote w:id="377">
    <w:p w14:paraId="5C4E7CDA" w14:textId="77777777"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Ibid., 305. </w:t>
      </w:r>
    </w:p>
    <w:p w14:paraId="4A189155" w14:textId="77777777" w:rsidR="00194C28" w:rsidRPr="0072758C" w:rsidRDefault="00194C28" w:rsidP="00AB7CAD">
      <w:pPr>
        <w:pStyle w:val="EndnoteText"/>
        <w:rPr>
          <w:lang w:val="en-AU"/>
        </w:rPr>
      </w:pPr>
    </w:p>
  </w:footnote>
  <w:footnote w:id="378">
    <w:p w14:paraId="6193423B" w14:textId="18A34605" w:rsidR="0003179D"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Theodor Mommsen, Paul Krueger, and Alan Watson, </w:t>
      </w:r>
      <w:r w:rsidRPr="0072758C">
        <w:rPr>
          <w:i/>
          <w:iCs/>
          <w:lang w:val="en-AU"/>
        </w:rPr>
        <w:t>The Digest of Justinian</w:t>
      </w:r>
      <w:r w:rsidRPr="0072758C">
        <w:rPr>
          <w:lang w:val="en-AU"/>
        </w:rPr>
        <w:t xml:space="preserve"> (Philadelphia: University of Pennsylvania Press, 1985); see</w:t>
      </w:r>
      <w:r w:rsidRPr="0072758C">
        <w:rPr>
          <w:i/>
          <w:iCs/>
          <w:lang w:val="en-AU"/>
        </w:rPr>
        <w:t xml:space="preserve"> </w:t>
      </w:r>
      <w:r w:rsidRPr="0072758C">
        <w:rPr>
          <w:lang w:val="en-AU"/>
        </w:rPr>
        <w:t xml:space="preserve">Joseph Plescia, </w:t>
      </w:r>
      <w:r w:rsidR="00863B47" w:rsidRPr="0072758C">
        <w:rPr>
          <w:lang w:val="en-AU"/>
        </w:rPr>
        <w:t>“</w:t>
      </w:r>
      <w:r w:rsidRPr="0072758C">
        <w:rPr>
          <w:lang w:val="en-AU"/>
        </w:rPr>
        <w:t>The Development of Inuria,</w:t>
      </w:r>
      <w:r w:rsidR="00863B47" w:rsidRPr="0072758C">
        <w:rPr>
          <w:lang w:val="en-AU"/>
        </w:rPr>
        <w:t>”</w:t>
      </w:r>
      <w:r w:rsidRPr="0072758C">
        <w:rPr>
          <w:lang w:val="en-AU"/>
        </w:rPr>
        <w:t xml:space="preserve"> </w:t>
      </w:r>
      <w:r w:rsidRPr="0072758C">
        <w:rPr>
          <w:i/>
          <w:iCs/>
          <w:lang w:val="en-AU"/>
        </w:rPr>
        <w:t>Labeo</w:t>
      </w:r>
      <w:r w:rsidRPr="0072758C">
        <w:rPr>
          <w:lang w:val="en-AU"/>
        </w:rPr>
        <w:t xml:space="preserve"> 23 (1977): 281.</w:t>
      </w:r>
      <w:r w:rsidR="0003179D" w:rsidRPr="0072758C">
        <w:rPr>
          <w:lang w:val="en-AU"/>
        </w:rPr>
        <w:t xml:space="preserve"> For more information, see Barbara Ellen Logan, “Pedagogy and Punishment: Distinguishing between Erudire and Iniuria in Roman Education and Law</w:t>
      </w:r>
      <w:r w:rsidR="00A15475" w:rsidRPr="0072758C">
        <w:rPr>
          <w:lang w:val="en-AU"/>
        </w:rPr>
        <w:t>,</w:t>
      </w:r>
      <w:r w:rsidR="0003179D" w:rsidRPr="0072758C">
        <w:rPr>
          <w:lang w:val="en-AU"/>
        </w:rPr>
        <w:t>” </w:t>
      </w:r>
      <w:r w:rsidR="0003179D" w:rsidRPr="0072758C">
        <w:rPr>
          <w:i/>
          <w:iCs/>
          <w:lang w:val="en-AU"/>
        </w:rPr>
        <w:t>Journal on European History of Law</w:t>
      </w:r>
      <w:r w:rsidR="0003179D" w:rsidRPr="0072758C">
        <w:rPr>
          <w:lang w:val="en-AU"/>
        </w:rPr>
        <w:t> 10 (2019): 157–61.</w:t>
      </w:r>
    </w:p>
    <w:p w14:paraId="4202B981" w14:textId="77777777" w:rsidR="00194C28" w:rsidRPr="0072758C" w:rsidRDefault="00194C28" w:rsidP="0033335F">
      <w:pPr>
        <w:pStyle w:val="EndnoteText"/>
        <w:rPr>
          <w:lang w:val="en-AU"/>
        </w:rPr>
      </w:pPr>
    </w:p>
  </w:footnote>
  <w:footnote w:id="379">
    <w:p w14:paraId="2ECECEDF" w14:textId="05957E9D" w:rsidR="00F948F7"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John. A. Crook, </w:t>
      </w:r>
      <w:proofErr w:type="gramStart"/>
      <w:r w:rsidRPr="0072758C">
        <w:rPr>
          <w:i/>
          <w:iCs/>
          <w:lang w:val="en-AU"/>
        </w:rPr>
        <w:t>Law</w:t>
      </w:r>
      <w:proofErr w:type="gramEnd"/>
      <w:r w:rsidRPr="0072758C">
        <w:rPr>
          <w:i/>
          <w:iCs/>
          <w:lang w:val="en-AU"/>
        </w:rPr>
        <w:t xml:space="preserve"> and Life of Rome, 90 B.C. – A.D. 212, Aspects of Greek and Roman Life</w:t>
      </w:r>
      <w:r w:rsidRPr="0072758C">
        <w:rPr>
          <w:lang w:val="en-AU"/>
        </w:rPr>
        <w:t xml:space="preserve"> (London: Thames &amp; Hudson, 1967), 198–99.</w:t>
      </w:r>
      <w:r w:rsidR="00F948F7" w:rsidRPr="0072758C">
        <w:rPr>
          <w:lang w:val="en-AU"/>
        </w:rPr>
        <w:t xml:space="preserve"> For a discussion on the </w:t>
      </w:r>
      <w:r w:rsidR="00F933F8" w:rsidRPr="0072758C">
        <w:rPr>
          <w:lang w:val="en-AU"/>
        </w:rPr>
        <w:t>similarity</w:t>
      </w:r>
      <w:r w:rsidR="00F948F7" w:rsidRPr="0072758C">
        <w:rPr>
          <w:lang w:val="en-AU"/>
        </w:rPr>
        <w:t xml:space="preserve"> between the Noahide Law development and the connections with Roman understanding, see Matthew P. Van Zile, “The Sons of Noah and the Sons of Abraham: The Origins of Noahide Law</w:t>
      </w:r>
      <w:r w:rsidR="00A15475" w:rsidRPr="0072758C">
        <w:rPr>
          <w:lang w:val="en-AU"/>
        </w:rPr>
        <w:t>,</w:t>
      </w:r>
      <w:r w:rsidR="00F948F7" w:rsidRPr="0072758C">
        <w:rPr>
          <w:lang w:val="en-AU"/>
        </w:rPr>
        <w:t>” </w:t>
      </w:r>
      <w:r w:rsidR="00F948F7" w:rsidRPr="0072758C">
        <w:rPr>
          <w:i/>
          <w:iCs/>
          <w:lang w:val="en-AU"/>
        </w:rPr>
        <w:t>Journal for the Study of Judaism: In the Persian Hellenistic &amp; Roman Period</w:t>
      </w:r>
      <w:r w:rsidR="00F948F7" w:rsidRPr="0072758C">
        <w:rPr>
          <w:lang w:val="en-AU"/>
        </w:rPr>
        <w:t> 48 (2017): 386–417.</w:t>
      </w:r>
    </w:p>
    <w:p w14:paraId="18E0B386" w14:textId="77777777" w:rsidR="00194C28" w:rsidRPr="0072758C" w:rsidRDefault="00194C28" w:rsidP="0033335F">
      <w:pPr>
        <w:pStyle w:val="EndnoteText"/>
        <w:rPr>
          <w:lang w:val="en-AU"/>
        </w:rPr>
      </w:pPr>
    </w:p>
  </w:footnote>
  <w:footnote w:id="380">
    <w:p w14:paraId="03BE961A" w14:textId="28008DDE" w:rsidR="002F0E4F" w:rsidRDefault="002F0E4F" w:rsidP="002F0E4F">
      <w:pPr>
        <w:pStyle w:val="FootnoteText"/>
        <w:ind w:firstLine="720"/>
        <w:rPr>
          <w:lang w:val="en-AU"/>
        </w:rPr>
      </w:pPr>
      <w:r>
        <w:rPr>
          <w:rStyle w:val="FootnoteReference"/>
        </w:rPr>
        <w:footnoteRef/>
      </w:r>
      <w:r>
        <w:t xml:space="preserve"> </w:t>
      </w:r>
      <w:r w:rsidRPr="002F0E4F">
        <w:rPr>
          <w:lang w:val="en-AU"/>
        </w:rPr>
        <w:t>Pomeranz</w:t>
      </w:r>
      <w:r>
        <w:rPr>
          <w:lang w:val="en-AU"/>
        </w:rPr>
        <w:t>, 306</w:t>
      </w:r>
    </w:p>
    <w:p w14:paraId="384F4535" w14:textId="77777777" w:rsidR="002F0E4F" w:rsidRPr="002F0E4F" w:rsidRDefault="002F0E4F">
      <w:pPr>
        <w:pStyle w:val="FootnoteText"/>
        <w:rPr>
          <w:lang w:val="en-US"/>
        </w:rPr>
      </w:pPr>
    </w:p>
  </w:footnote>
  <w:footnote w:id="381">
    <w:p w14:paraId="1B1ED087" w14:textId="17EA0EAE" w:rsidR="00D60196"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Joseph Plescia, </w:t>
      </w:r>
      <w:r w:rsidR="00863B47" w:rsidRPr="0072758C">
        <w:rPr>
          <w:lang w:val="en-AU"/>
        </w:rPr>
        <w:t>“</w:t>
      </w:r>
      <w:r w:rsidRPr="0072758C">
        <w:rPr>
          <w:lang w:val="en-AU"/>
        </w:rPr>
        <w:t>The Development of Inuria,</w:t>
      </w:r>
      <w:r w:rsidR="00863B47" w:rsidRPr="0072758C">
        <w:rPr>
          <w:lang w:val="en-AU"/>
        </w:rPr>
        <w:t>”</w:t>
      </w:r>
      <w:r w:rsidRPr="0072758C">
        <w:rPr>
          <w:lang w:val="en-AU"/>
        </w:rPr>
        <w:t xml:space="preserve"> </w:t>
      </w:r>
      <w:r w:rsidRPr="0072758C">
        <w:rPr>
          <w:i/>
          <w:iCs/>
          <w:lang w:val="en-AU"/>
        </w:rPr>
        <w:t>Labeo</w:t>
      </w:r>
      <w:r w:rsidRPr="0072758C">
        <w:rPr>
          <w:lang w:val="en-AU"/>
        </w:rPr>
        <w:t xml:space="preserve"> 23 (1977): 281; Otto Lenel, </w:t>
      </w:r>
      <w:r w:rsidRPr="0072758C">
        <w:rPr>
          <w:i/>
          <w:iCs/>
          <w:lang w:val="en-AU"/>
        </w:rPr>
        <w:t>Das Edictum perpetuum. Ein Versuch zu dessen Wiederherstellung</w:t>
      </w:r>
      <w:r w:rsidRPr="0072758C">
        <w:rPr>
          <w:lang w:val="en-AU"/>
        </w:rPr>
        <w:t xml:space="preserve"> (Leipzig: B. Tauchnitz, 1883), 320</w:t>
      </w:r>
      <w:r w:rsidR="00D60196" w:rsidRPr="0072758C">
        <w:rPr>
          <w:lang w:val="en-AU"/>
        </w:rPr>
        <w:t xml:space="preserve">. For </w:t>
      </w:r>
      <w:r w:rsidR="004A618D" w:rsidRPr="0072758C">
        <w:rPr>
          <w:lang w:val="en-AU"/>
        </w:rPr>
        <w:t>further</w:t>
      </w:r>
      <w:r w:rsidR="00D60196" w:rsidRPr="0072758C">
        <w:rPr>
          <w:lang w:val="en-AU"/>
        </w:rPr>
        <w:t xml:space="preserve"> discussion on Roman and Tort Law, see M Stuart Madden, “The Graeco-Roman Antecedents of Modern Tort Law</w:t>
      </w:r>
      <w:r w:rsidR="00F933F8" w:rsidRPr="0072758C">
        <w:rPr>
          <w:lang w:val="en-AU"/>
        </w:rPr>
        <w:t>,</w:t>
      </w:r>
      <w:r w:rsidR="00D60196" w:rsidRPr="0072758C">
        <w:rPr>
          <w:lang w:val="en-AU"/>
        </w:rPr>
        <w:t>” </w:t>
      </w:r>
      <w:r w:rsidR="00D60196" w:rsidRPr="0072758C">
        <w:rPr>
          <w:i/>
          <w:iCs/>
          <w:lang w:val="en-AU"/>
        </w:rPr>
        <w:t>Brandeis Law Journal</w:t>
      </w:r>
      <w:r w:rsidR="00D60196" w:rsidRPr="0072758C">
        <w:rPr>
          <w:lang w:val="en-AU"/>
        </w:rPr>
        <w:t> 44</w:t>
      </w:r>
      <w:r w:rsidR="00DA2EFC" w:rsidRPr="0072758C">
        <w:rPr>
          <w:lang w:val="en-AU"/>
        </w:rPr>
        <w:t xml:space="preserve"> </w:t>
      </w:r>
      <w:r w:rsidR="00D60196" w:rsidRPr="0072758C">
        <w:rPr>
          <w:lang w:val="en-AU"/>
        </w:rPr>
        <w:t>(2006): 865–910.</w:t>
      </w:r>
    </w:p>
    <w:p w14:paraId="5013629D" w14:textId="77777777" w:rsidR="00194C28" w:rsidRPr="0072758C" w:rsidRDefault="00194C28" w:rsidP="0033335F">
      <w:pPr>
        <w:pStyle w:val="EndnoteText"/>
        <w:rPr>
          <w:lang w:val="en-AU"/>
        </w:rPr>
      </w:pPr>
    </w:p>
  </w:footnote>
  <w:footnote w:id="382">
    <w:p w14:paraId="534AFACB" w14:textId="77777777" w:rsidR="006B482F" w:rsidRDefault="002F0E4F" w:rsidP="002F0E4F">
      <w:pPr>
        <w:pStyle w:val="FootnoteText"/>
        <w:ind w:firstLine="720"/>
        <w:rPr>
          <w:lang w:val="en-AU"/>
        </w:rPr>
      </w:pPr>
      <w:r>
        <w:rPr>
          <w:rStyle w:val="FootnoteReference"/>
        </w:rPr>
        <w:footnoteRef/>
      </w:r>
      <w:r>
        <w:t xml:space="preserve"> </w:t>
      </w:r>
      <w:r w:rsidRPr="002F0E4F">
        <w:rPr>
          <w:lang w:val="en-AU"/>
        </w:rPr>
        <w:t>Pomeranz</w:t>
      </w:r>
      <w:r>
        <w:rPr>
          <w:lang w:val="en-AU"/>
        </w:rPr>
        <w:t>, 304.</w:t>
      </w:r>
    </w:p>
    <w:p w14:paraId="6591E290" w14:textId="4305DF0E" w:rsidR="002F0E4F" w:rsidRPr="002F0E4F" w:rsidRDefault="002F0E4F" w:rsidP="002F0E4F">
      <w:pPr>
        <w:pStyle w:val="FootnoteText"/>
        <w:ind w:firstLine="720"/>
        <w:rPr>
          <w:lang w:val="en-US"/>
        </w:rPr>
      </w:pPr>
      <w:r>
        <w:t xml:space="preserve"> </w:t>
      </w:r>
    </w:p>
  </w:footnote>
  <w:footnote w:id="383">
    <w:p w14:paraId="3A64BDC0" w14:textId="0770358A" w:rsidR="006B482F" w:rsidRDefault="006B482F" w:rsidP="006B482F">
      <w:pPr>
        <w:pStyle w:val="FootnoteText"/>
        <w:ind w:firstLine="720"/>
        <w:rPr>
          <w:lang w:val="en-US"/>
        </w:rPr>
      </w:pPr>
      <w:r>
        <w:rPr>
          <w:rStyle w:val="FootnoteReference"/>
        </w:rPr>
        <w:footnoteRef/>
      </w:r>
      <w:r>
        <w:t xml:space="preserve"> </w:t>
      </w:r>
      <w:r>
        <w:rPr>
          <w:lang w:val="en-US"/>
        </w:rPr>
        <w:t>Ibid</w:t>
      </w:r>
    </w:p>
    <w:p w14:paraId="76C297AA" w14:textId="77777777" w:rsidR="007B6532" w:rsidRPr="006B482F" w:rsidRDefault="007B6532" w:rsidP="006B482F">
      <w:pPr>
        <w:pStyle w:val="FootnoteText"/>
        <w:ind w:firstLine="720"/>
        <w:rPr>
          <w:lang w:val="en-US"/>
        </w:rPr>
      </w:pPr>
    </w:p>
  </w:footnote>
  <w:footnote w:id="384">
    <w:p w14:paraId="6905A803" w14:textId="3224F494" w:rsidR="004A618D"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Shaye J. D. Cohen, </w:t>
      </w:r>
      <w:r w:rsidR="00863B47" w:rsidRPr="0072758C">
        <w:rPr>
          <w:lang w:val="en-AU"/>
        </w:rPr>
        <w:t>“</w:t>
      </w:r>
      <w:r w:rsidRPr="0072758C">
        <w:rPr>
          <w:lang w:val="en-AU"/>
        </w:rPr>
        <w:t>The Place of the Rabbi in Jewish Society of the Second Century,</w:t>
      </w:r>
      <w:r w:rsidR="00863B47" w:rsidRPr="0072758C">
        <w:rPr>
          <w:lang w:val="en-AU"/>
        </w:rPr>
        <w:t>”</w:t>
      </w:r>
      <w:r w:rsidRPr="0072758C">
        <w:rPr>
          <w:lang w:val="en-AU"/>
        </w:rPr>
        <w:t xml:space="preserve"> in </w:t>
      </w:r>
      <w:r w:rsidRPr="0072758C">
        <w:rPr>
          <w:i/>
          <w:iCs/>
          <w:lang w:val="en-AU"/>
        </w:rPr>
        <w:t>The Galilee in Late Antiquity</w:t>
      </w:r>
      <w:r w:rsidRPr="0072758C">
        <w:rPr>
          <w:lang w:val="en-AU"/>
        </w:rPr>
        <w:t>, (New York: J</w:t>
      </w:r>
      <w:r w:rsidR="00F933F8" w:rsidRPr="0072758C">
        <w:rPr>
          <w:lang w:val="en-AU"/>
        </w:rPr>
        <w:t>ournal of Theological Studies</w:t>
      </w:r>
      <w:r w:rsidRPr="0072758C">
        <w:rPr>
          <w:lang w:val="en-AU"/>
        </w:rPr>
        <w:t xml:space="preserve"> Press, 1992), 161.</w:t>
      </w:r>
      <w:r w:rsidR="004A618D" w:rsidRPr="0072758C">
        <w:rPr>
          <w:lang w:val="en-AU"/>
        </w:rPr>
        <w:t xml:space="preserve"> For further discussion of Rome and Jewish thought during the Tannaitic period, see Yael Wilfand, “‘How Great Is Peace’: Tannaitic Thinking on Shalom and the Pax Romana</w:t>
      </w:r>
      <w:r w:rsidR="00A15475" w:rsidRPr="0072758C">
        <w:rPr>
          <w:lang w:val="en-AU"/>
        </w:rPr>
        <w:t>,</w:t>
      </w:r>
      <w:r w:rsidR="004A618D" w:rsidRPr="0072758C">
        <w:rPr>
          <w:lang w:val="en-AU"/>
        </w:rPr>
        <w:t>” </w:t>
      </w:r>
      <w:r w:rsidR="004A618D" w:rsidRPr="0072758C">
        <w:rPr>
          <w:i/>
          <w:iCs/>
          <w:lang w:val="en-AU"/>
        </w:rPr>
        <w:t>Journal for the Study of Judaism: In the Persian Hellenistic &amp; Roman Period</w:t>
      </w:r>
      <w:r w:rsidR="004A618D" w:rsidRPr="0072758C">
        <w:rPr>
          <w:lang w:val="en-AU"/>
        </w:rPr>
        <w:t> 50</w:t>
      </w:r>
      <w:r w:rsidR="00E83F6C" w:rsidRPr="0072758C">
        <w:rPr>
          <w:lang w:val="en-AU"/>
        </w:rPr>
        <w:t xml:space="preserve"> </w:t>
      </w:r>
      <w:r w:rsidR="004A618D" w:rsidRPr="0072758C">
        <w:rPr>
          <w:lang w:val="en-AU"/>
        </w:rPr>
        <w:t>(2019): 223–51. </w:t>
      </w:r>
    </w:p>
    <w:p w14:paraId="29C43A39" w14:textId="77777777" w:rsidR="00194C28" w:rsidRPr="0072758C" w:rsidRDefault="00194C28" w:rsidP="0033335F">
      <w:pPr>
        <w:pStyle w:val="EndnoteText"/>
        <w:rPr>
          <w:lang w:val="en-AU"/>
        </w:rPr>
      </w:pPr>
    </w:p>
  </w:footnote>
  <w:footnote w:id="385">
    <w:p w14:paraId="67FA5B1F" w14:textId="77777777"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Jon E. Lendon, </w:t>
      </w:r>
      <w:r w:rsidRPr="0072758C">
        <w:rPr>
          <w:i/>
          <w:iCs/>
          <w:lang w:val="en-AU"/>
        </w:rPr>
        <w:t>Empire of Honour: The Art of Government in the Roman World</w:t>
      </w:r>
      <w:r w:rsidRPr="0072758C">
        <w:rPr>
          <w:lang w:val="en-AU"/>
        </w:rPr>
        <w:t xml:space="preserve"> (Oxford: Oxford University Press, 1997).</w:t>
      </w:r>
    </w:p>
    <w:p w14:paraId="0A8699DE" w14:textId="77777777" w:rsidR="00194C28" w:rsidRPr="0072758C" w:rsidRDefault="00194C28" w:rsidP="0033335F">
      <w:pPr>
        <w:pStyle w:val="EndnoteText"/>
        <w:rPr>
          <w:lang w:val="en-AU"/>
        </w:rPr>
      </w:pPr>
    </w:p>
  </w:footnote>
  <w:footnote w:id="386">
    <w:p w14:paraId="257B56B2" w14:textId="775EA059" w:rsidR="00DE4FA5"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Alfredo Mordechai Rabello, </w:t>
      </w:r>
      <w:r w:rsidR="00863B47" w:rsidRPr="0072758C">
        <w:rPr>
          <w:lang w:val="en-AU"/>
        </w:rPr>
        <w:t>“</w:t>
      </w:r>
      <w:r w:rsidRPr="0072758C">
        <w:rPr>
          <w:lang w:val="en-AU"/>
        </w:rPr>
        <w:t>Civil Justice in Palestine from 63 BCE to 70 CE,</w:t>
      </w:r>
      <w:r w:rsidR="00863B47" w:rsidRPr="0072758C">
        <w:rPr>
          <w:lang w:val="en-AU"/>
        </w:rPr>
        <w:t>”</w:t>
      </w:r>
      <w:r w:rsidRPr="0072758C">
        <w:rPr>
          <w:lang w:val="en-AU"/>
        </w:rPr>
        <w:t xml:space="preserve"> 305.</w:t>
      </w:r>
      <w:r w:rsidR="00DE4FA5" w:rsidRPr="0072758C">
        <w:rPr>
          <w:lang w:val="en-AU"/>
        </w:rPr>
        <w:t xml:space="preserve"> For a discussion of the importance of a Roman citizenship, see Alexander Weiss, “In the Crucible of Empire. The Impact of Roman Citizenship upon Greeks, </w:t>
      </w:r>
      <w:proofErr w:type="gramStart"/>
      <w:r w:rsidR="00DE4FA5" w:rsidRPr="0072758C">
        <w:rPr>
          <w:lang w:val="en-AU"/>
        </w:rPr>
        <w:t>Jews</w:t>
      </w:r>
      <w:proofErr w:type="gramEnd"/>
      <w:r w:rsidR="00DE4FA5" w:rsidRPr="0072758C">
        <w:rPr>
          <w:lang w:val="en-AU"/>
        </w:rPr>
        <w:t xml:space="preserve"> and Christians</w:t>
      </w:r>
      <w:r w:rsidR="00A15475" w:rsidRPr="0072758C">
        <w:rPr>
          <w:lang w:val="en-AU"/>
        </w:rPr>
        <w:t>,</w:t>
      </w:r>
      <w:r w:rsidR="00DE4FA5" w:rsidRPr="0072758C">
        <w:rPr>
          <w:lang w:val="en-AU"/>
        </w:rPr>
        <w:t>” </w:t>
      </w:r>
      <w:r w:rsidR="00DE4FA5" w:rsidRPr="0072758C">
        <w:rPr>
          <w:i/>
          <w:iCs/>
          <w:lang w:val="en-AU"/>
        </w:rPr>
        <w:t>H</w:t>
      </w:r>
      <w:r w:rsidR="003213CB" w:rsidRPr="0072758C">
        <w:rPr>
          <w:i/>
          <w:iCs/>
          <w:lang w:val="en-AU"/>
        </w:rPr>
        <w:t xml:space="preserve">istorische Zeitschrift </w:t>
      </w:r>
      <w:r w:rsidR="00DE4FA5" w:rsidRPr="0072758C">
        <w:rPr>
          <w:lang w:val="en-AU"/>
        </w:rPr>
        <w:t>311</w:t>
      </w:r>
      <w:r w:rsidR="00E83F6C" w:rsidRPr="0072758C">
        <w:rPr>
          <w:lang w:val="en-AU"/>
        </w:rPr>
        <w:t xml:space="preserve"> </w:t>
      </w:r>
      <w:r w:rsidR="00DE4FA5" w:rsidRPr="0072758C">
        <w:rPr>
          <w:lang w:val="en-AU"/>
        </w:rPr>
        <w:t>(2020): 183–84; Sean A Adams, “Paul the Roman Citizen: Roman Citizenship in the Ancient World and Its Importance for Understanding Acts 22:22-29</w:t>
      </w:r>
      <w:r w:rsidR="00F933F8" w:rsidRPr="0072758C">
        <w:rPr>
          <w:lang w:val="en-AU"/>
        </w:rPr>
        <w:t>,</w:t>
      </w:r>
      <w:r w:rsidR="00DE4FA5" w:rsidRPr="0072758C">
        <w:rPr>
          <w:lang w:val="en-AU"/>
        </w:rPr>
        <w:t>” In </w:t>
      </w:r>
      <w:r w:rsidR="00DE4FA5" w:rsidRPr="0072758C">
        <w:rPr>
          <w:i/>
          <w:iCs/>
          <w:lang w:val="en-AU"/>
        </w:rPr>
        <w:t>Paul: Jew, Greek, and Roman</w:t>
      </w:r>
      <w:r w:rsidR="00DE4FA5" w:rsidRPr="0072758C">
        <w:rPr>
          <w:lang w:val="en-AU"/>
        </w:rPr>
        <w:t xml:space="preserve">, 309–26 </w:t>
      </w:r>
      <w:r w:rsidR="00F933F8" w:rsidRPr="0072758C">
        <w:rPr>
          <w:lang w:val="en-AU"/>
        </w:rPr>
        <w:t>(</w:t>
      </w:r>
      <w:r w:rsidR="00DE4FA5" w:rsidRPr="0072758C">
        <w:rPr>
          <w:lang w:val="en-AU"/>
        </w:rPr>
        <w:t>Leiden</w:t>
      </w:r>
      <w:r w:rsidR="00AA3746" w:rsidRPr="0072758C">
        <w:rPr>
          <w:lang w:val="en-AU"/>
        </w:rPr>
        <w:t>: Brill</w:t>
      </w:r>
      <w:r w:rsidR="00DE4FA5" w:rsidRPr="0072758C">
        <w:rPr>
          <w:lang w:val="en-AU"/>
        </w:rPr>
        <w:t>, 2008</w:t>
      </w:r>
      <w:r w:rsidR="00F933F8" w:rsidRPr="0072758C">
        <w:rPr>
          <w:lang w:val="en-AU"/>
        </w:rPr>
        <w:t>)</w:t>
      </w:r>
      <w:r w:rsidR="00DE4FA5" w:rsidRPr="0072758C">
        <w:rPr>
          <w:lang w:val="en-AU"/>
        </w:rPr>
        <w:t>.</w:t>
      </w:r>
    </w:p>
    <w:p w14:paraId="18F84220" w14:textId="77777777" w:rsidR="00194C28" w:rsidRPr="0072758C" w:rsidRDefault="00194C28" w:rsidP="0033335F">
      <w:pPr>
        <w:pStyle w:val="EndnoteText"/>
        <w:rPr>
          <w:lang w:val="en-AU"/>
        </w:rPr>
      </w:pPr>
    </w:p>
  </w:footnote>
  <w:footnote w:id="387">
    <w:p w14:paraId="070D81F2" w14:textId="31C16918"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Seth Schwartz, </w:t>
      </w:r>
      <w:r w:rsidRPr="0072758C">
        <w:rPr>
          <w:i/>
          <w:iCs/>
          <w:lang w:val="en-AU"/>
        </w:rPr>
        <w:t>Imperialism and Jewish Society: 200 BCE to 640 CE</w:t>
      </w:r>
      <w:r w:rsidRPr="0072758C">
        <w:rPr>
          <w:lang w:val="en-AU"/>
        </w:rPr>
        <w:t xml:space="preserve"> (Princeton: Princeton University Press, 2001), 163</w:t>
      </w:r>
    </w:p>
    <w:p w14:paraId="2C3EDCDC" w14:textId="77777777" w:rsidR="00194C28" w:rsidRPr="0072758C" w:rsidRDefault="00194C28" w:rsidP="0033335F">
      <w:pPr>
        <w:pStyle w:val="EndnoteText"/>
        <w:rPr>
          <w:lang w:val="en-AU"/>
        </w:rPr>
      </w:pPr>
    </w:p>
  </w:footnote>
  <w:footnote w:id="388">
    <w:p w14:paraId="455DC1E5" w14:textId="7A34414F"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Hayim Lapin, </w:t>
      </w:r>
      <w:r w:rsidRPr="0072758C">
        <w:rPr>
          <w:i/>
          <w:iCs/>
          <w:lang w:val="en-AU"/>
        </w:rPr>
        <w:t>Rabbis as Romans: The Rabbinic Movement in Palestine, 100–400 CE</w:t>
      </w:r>
      <w:r w:rsidRPr="0072758C">
        <w:rPr>
          <w:lang w:val="en-AU"/>
        </w:rPr>
        <w:t xml:space="preserve"> (Oxford: Oxford University Press, 2012), 3</w:t>
      </w:r>
    </w:p>
    <w:p w14:paraId="41BA64FE" w14:textId="77777777" w:rsidR="00194C28" w:rsidRPr="0072758C" w:rsidRDefault="00194C28" w:rsidP="0033335F">
      <w:pPr>
        <w:pStyle w:val="EndnoteText"/>
        <w:rPr>
          <w:lang w:val="en-AU"/>
        </w:rPr>
      </w:pPr>
    </w:p>
  </w:footnote>
  <w:footnote w:id="389">
    <w:p w14:paraId="6F9DBA62" w14:textId="248EBFBF" w:rsidR="006A31EC"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Ibid.</w:t>
      </w:r>
      <w:r w:rsidR="006A31EC" w:rsidRPr="0072758C">
        <w:rPr>
          <w:lang w:val="en-AU"/>
        </w:rPr>
        <w:t xml:space="preserve"> For discussion on the role that the rabbinic power played under Roman power, see Moshe Simon-Shoshan, “Did the Rabbis Believe in Agreus Pan? Rabbinic Relationships with Roman Power, Culture, and Religion in Genesis Rabbah 63</w:t>
      </w:r>
      <w:r w:rsidR="00A15475" w:rsidRPr="0072758C">
        <w:rPr>
          <w:lang w:val="en-AU"/>
        </w:rPr>
        <w:t>,</w:t>
      </w:r>
      <w:r w:rsidR="006A31EC" w:rsidRPr="0072758C">
        <w:rPr>
          <w:lang w:val="en-AU"/>
        </w:rPr>
        <w:t>” </w:t>
      </w:r>
      <w:r w:rsidR="006A31EC" w:rsidRPr="0072758C">
        <w:rPr>
          <w:i/>
          <w:iCs/>
          <w:lang w:val="en-AU"/>
        </w:rPr>
        <w:t>H</w:t>
      </w:r>
      <w:r w:rsidR="00AA3746" w:rsidRPr="0072758C">
        <w:rPr>
          <w:i/>
          <w:iCs/>
          <w:lang w:val="en-AU"/>
        </w:rPr>
        <w:t xml:space="preserve">arvard Theological Review </w:t>
      </w:r>
      <w:r w:rsidR="006A31EC" w:rsidRPr="0072758C">
        <w:rPr>
          <w:lang w:val="en-AU"/>
        </w:rPr>
        <w:t xml:space="preserve">111 (2018): 425–50. </w:t>
      </w:r>
    </w:p>
    <w:p w14:paraId="0DA7E10A" w14:textId="77777777" w:rsidR="00194C28" w:rsidRPr="0072758C" w:rsidRDefault="00194C28" w:rsidP="0033335F">
      <w:pPr>
        <w:pStyle w:val="EndnoteText"/>
        <w:rPr>
          <w:lang w:val="en-AU"/>
        </w:rPr>
      </w:pPr>
    </w:p>
  </w:footnote>
  <w:footnote w:id="390">
    <w:p w14:paraId="7C70E877" w14:textId="7B648390" w:rsidR="00194C28" w:rsidRPr="0072758C" w:rsidRDefault="00194C28" w:rsidP="0033335F">
      <w:pPr>
        <w:pStyle w:val="EndnoteText"/>
        <w:ind w:firstLine="720"/>
        <w:rPr>
          <w:lang w:val="en-AU"/>
        </w:rPr>
      </w:pPr>
      <w:r w:rsidRPr="0072758C">
        <w:rPr>
          <w:rStyle w:val="FootnoteReference"/>
          <w:lang w:val="en-AU"/>
        </w:rPr>
        <w:footnoteRef/>
      </w:r>
      <w:r w:rsidRPr="0072758C">
        <w:rPr>
          <w:lang w:val="en-AU"/>
        </w:rPr>
        <w:t xml:space="preserve"> </w:t>
      </w:r>
      <w:r w:rsidR="006A31EC" w:rsidRPr="0072758C">
        <w:rPr>
          <w:lang w:val="en-AU"/>
        </w:rPr>
        <w:t xml:space="preserve">Lapin, </w:t>
      </w:r>
      <w:r w:rsidR="006A31EC" w:rsidRPr="0072758C">
        <w:rPr>
          <w:i/>
          <w:iCs/>
          <w:lang w:val="en-AU"/>
        </w:rPr>
        <w:t>Rabbis as Romans: The Rabbinic Movement in Palestine, 100–400 CE.</w:t>
      </w:r>
    </w:p>
    <w:p w14:paraId="1293180B" w14:textId="77777777" w:rsidR="00194C28" w:rsidRPr="0072758C" w:rsidRDefault="00194C28" w:rsidP="0033335F">
      <w:pPr>
        <w:pStyle w:val="EndnoteText"/>
        <w:rPr>
          <w:lang w:val="en-AU"/>
        </w:rPr>
      </w:pPr>
    </w:p>
  </w:footnote>
  <w:footnote w:id="391">
    <w:p w14:paraId="300E0662" w14:textId="77777777"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Sifrei Devarim, </w:t>
      </w:r>
      <w:r w:rsidRPr="0072758C">
        <w:rPr>
          <w:i/>
          <w:iCs/>
          <w:lang w:val="en-AU"/>
        </w:rPr>
        <w:t>Ve-zot ha-berakhah</w:t>
      </w:r>
      <w:r w:rsidRPr="0072758C">
        <w:rPr>
          <w:lang w:val="en-AU"/>
        </w:rPr>
        <w:t>, pis. 344, to Deuteronomy 33:3, 401.</w:t>
      </w:r>
    </w:p>
    <w:p w14:paraId="2517B3C5" w14:textId="77777777" w:rsidR="00194C28" w:rsidRPr="0072758C" w:rsidRDefault="00194C28" w:rsidP="00AB7CAD">
      <w:pPr>
        <w:pStyle w:val="EndnoteText"/>
        <w:rPr>
          <w:lang w:val="en-AU"/>
        </w:rPr>
      </w:pPr>
    </w:p>
  </w:footnote>
  <w:footnote w:id="392">
    <w:p w14:paraId="0DEED424" w14:textId="54651113" w:rsidR="008926CF"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Joachim Jeremias, </w:t>
      </w:r>
      <w:r w:rsidRPr="0072758C">
        <w:rPr>
          <w:i/>
          <w:iCs/>
          <w:lang w:val="en-AU"/>
        </w:rPr>
        <w:t>The Sermon on the Mount</w:t>
      </w:r>
      <w:r w:rsidRPr="0072758C">
        <w:rPr>
          <w:lang w:val="en-AU"/>
        </w:rPr>
        <w:t xml:space="preserve"> (Philadelphia: Fortress, 1963), 28.</w:t>
      </w:r>
      <w:r w:rsidR="008926CF" w:rsidRPr="0072758C">
        <w:rPr>
          <w:lang w:val="en-AU"/>
        </w:rPr>
        <w:t xml:space="preserve"> For more discussion of the concept of ‘love your enemy’ and retribution, see Nestor M. R</w:t>
      </w:r>
      <w:r w:rsidR="002904D6" w:rsidRPr="0072758C">
        <w:rPr>
          <w:lang w:val="en-AU"/>
        </w:rPr>
        <w:t>avilas</w:t>
      </w:r>
      <w:r w:rsidR="008926CF" w:rsidRPr="0072758C">
        <w:rPr>
          <w:lang w:val="en-AU"/>
        </w:rPr>
        <w:t>, “Precarious Life, Justified Aggression, and Ritualized Violence: Is There a Place for ‘Loving Your Enemy’ in a World of Violence</w:t>
      </w:r>
      <w:r w:rsidR="002904D6" w:rsidRPr="0072758C">
        <w:rPr>
          <w:lang w:val="en-AU"/>
        </w:rPr>
        <w:t>,</w:t>
      </w:r>
      <w:r w:rsidR="008926CF" w:rsidRPr="0072758C">
        <w:rPr>
          <w:lang w:val="en-AU"/>
        </w:rPr>
        <w:t>” </w:t>
      </w:r>
      <w:r w:rsidR="008926CF" w:rsidRPr="0072758C">
        <w:rPr>
          <w:i/>
          <w:iCs/>
          <w:lang w:val="en-AU"/>
        </w:rPr>
        <w:t>Asia Journal of Theology</w:t>
      </w:r>
      <w:r w:rsidR="008926CF" w:rsidRPr="0072758C">
        <w:rPr>
          <w:lang w:val="en-AU"/>
        </w:rPr>
        <w:t> 31</w:t>
      </w:r>
      <w:r w:rsidR="002904D6" w:rsidRPr="0072758C">
        <w:rPr>
          <w:lang w:val="en-AU"/>
        </w:rPr>
        <w:t xml:space="preserve"> </w:t>
      </w:r>
      <w:r w:rsidR="008926CF" w:rsidRPr="0072758C">
        <w:rPr>
          <w:lang w:val="en-AU"/>
        </w:rPr>
        <w:t>(2017): 82–98. </w:t>
      </w:r>
    </w:p>
    <w:p w14:paraId="2ABA6B56" w14:textId="77777777" w:rsidR="00194C28" w:rsidRPr="0072758C" w:rsidRDefault="00194C28" w:rsidP="00AB7CAD">
      <w:pPr>
        <w:pStyle w:val="EndnoteText"/>
        <w:rPr>
          <w:lang w:val="en-AU"/>
        </w:rPr>
      </w:pPr>
    </w:p>
  </w:footnote>
  <w:footnote w:id="393">
    <w:p w14:paraId="15885AB3" w14:textId="1485E6C4" w:rsidR="008926CF"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David Daube, </w:t>
      </w:r>
      <w:r w:rsidRPr="0072758C">
        <w:rPr>
          <w:i/>
          <w:iCs/>
          <w:lang w:val="en-AU"/>
        </w:rPr>
        <w:t>Studies in Biblical Law</w:t>
      </w:r>
      <w:r w:rsidRPr="0072758C">
        <w:rPr>
          <w:lang w:val="en-AU"/>
        </w:rPr>
        <w:t xml:space="preserve"> (New York: Ktav, 1969).</w:t>
      </w:r>
      <w:r w:rsidR="008E53C8" w:rsidRPr="0072758C">
        <w:rPr>
          <w:lang w:val="en-AU"/>
        </w:rPr>
        <w:t xml:space="preserve"> For further discussion on </w:t>
      </w:r>
      <w:r w:rsidR="008926CF" w:rsidRPr="0072758C">
        <w:rPr>
          <w:lang w:val="en-AU"/>
        </w:rPr>
        <w:t>the modern discussion on the change in lex talionis becoming spirituali</w:t>
      </w:r>
      <w:r w:rsidR="006F59A5" w:rsidRPr="0072758C">
        <w:rPr>
          <w:lang w:val="en-AU"/>
        </w:rPr>
        <w:t>s</w:t>
      </w:r>
      <w:r w:rsidR="008926CF" w:rsidRPr="0072758C">
        <w:rPr>
          <w:lang w:val="en-AU"/>
        </w:rPr>
        <w:t>ed in Christianity with a concept of a sin punishment and that a different approach has developed since the monetary interpretation, see Nestor M R</w:t>
      </w:r>
      <w:r w:rsidR="002904D6" w:rsidRPr="0072758C">
        <w:rPr>
          <w:lang w:val="en-AU"/>
        </w:rPr>
        <w:t>avilas</w:t>
      </w:r>
      <w:r w:rsidR="008926CF" w:rsidRPr="0072758C">
        <w:rPr>
          <w:lang w:val="en-AU"/>
        </w:rPr>
        <w:t>, “Precarious Life, Justified Aggression, and Ritualized Violence: Is There a Place for ‘Loving Your Enemy’ in a World of Violence</w:t>
      </w:r>
      <w:r w:rsidR="002904D6" w:rsidRPr="0072758C">
        <w:rPr>
          <w:lang w:val="en-AU"/>
        </w:rPr>
        <w:t>,</w:t>
      </w:r>
      <w:r w:rsidR="008926CF" w:rsidRPr="0072758C">
        <w:rPr>
          <w:lang w:val="en-AU"/>
        </w:rPr>
        <w:t>” </w:t>
      </w:r>
      <w:r w:rsidR="008926CF" w:rsidRPr="0072758C">
        <w:rPr>
          <w:i/>
          <w:iCs/>
          <w:lang w:val="en-AU"/>
        </w:rPr>
        <w:t>Asia Journal of Theology</w:t>
      </w:r>
      <w:r w:rsidR="008926CF" w:rsidRPr="0072758C">
        <w:rPr>
          <w:lang w:val="en-AU"/>
        </w:rPr>
        <w:t> 31 (2017): 82–98. </w:t>
      </w:r>
    </w:p>
    <w:p w14:paraId="56898704" w14:textId="2286E9B7" w:rsidR="00194C28" w:rsidRPr="0072758C" w:rsidRDefault="00194C28" w:rsidP="00AB7CAD">
      <w:pPr>
        <w:pStyle w:val="EndnoteText"/>
        <w:rPr>
          <w:lang w:val="en-AU"/>
        </w:rPr>
      </w:pPr>
    </w:p>
  </w:footnote>
  <w:footnote w:id="394">
    <w:p w14:paraId="04B09EA9" w14:textId="6D23D57A"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D.W. Greig, </w:t>
      </w:r>
      <w:r w:rsidR="00863B47" w:rsidRPr="0072758C">
        <w:rPr>
          <w:lang w:val="en-AU"/>
        </w:rPr>
        <w:t>“</w:t>
      </w:r>
      <w:r w:rsidRPr="0072758C">
        <w:rPr>
          <w:lang w:val="en-AU"/>
        </w:rPr>
        <w:t>Reciprocity, Proportionality, and the Law of Treaties,</w:t>
      </w:r>
      <w:r w:rsidR="00863B47" w:rsidRPr="0072758C">
        <w:rPr>
          <w:lang w:val="en-AU"/>
        </w:rPr>
        <w:t>”</w:t>
      </w:r>
      <w:r w:rsidRPr="0072758C">
        <w:rPr>
          <w:lang w:val="en-AU"/>
        </w:rPr>
        <w:t xml:space="preserve"> </w:t>
      </w:r>
      <w:r w:rsidRPr="0072758C">
        <w:rPr>
          <w:i/>
          <w:iCs/>
          <w:lang w:val="en-AU"/>
        </w:rPr>
        <w:t>Virginia Journal of International Law</w:t>
      </w:r>
      <w:r w:rsidRPr="0072758C">
        <w:rPr>
          <w:lang w:val="en-AU"/>
        </w:rPr>
        <w:t xml:space="preserve"> 34 (1994): 295–403.</w:t>
      </w:r>
    </w:p>
    <w:p w14:paraId="6494AF50" w14:textId="06C36455" w:rsidR="00194C28" w:rsidRPr="0072758C" w:rsidRDefault="00194C28" w:rsidP="00AB7CAD">
      <w:pPr>
        <w:pStyle w:val="EndnoteText"/>
        <w:rPr>
          <w:lang w:val="en-AU"/>
        </w:rPr>
      </w:pPr>
    </w:p>
  </w:footnote>
  <w:footnote w:id="395">
    <w:p w14:paraId="4CB487DA" w14:textId="24B48105"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James F. Davis, </w:t>
      </w:r>
      <w:r w:rsidRPr="0072758C">
        <w:rPr>
          <w:i/>
          <w:iCs/>
          <w:lang w:val="en-AU"/>
        </w:rPr>
        <w:t xml:space="preserve">Lex Talionis in Early </w:t>
      </w:r>
      <w:proofErr w:type="gramStart"/>
      <w:r w:rsidRPr="0072758C">
        <w:rPr>
          <w:i/>
          <w:iCs/>
          <w:lang w:val="en-AU"/>
        </w:rPr>
        <w:t>Judaism</w:t>
      </w:r>
      <w:proofErr w:type="gramEnd"/>
      <w:r w:rsidRPr="0072758C">
        <w:rPr>
          <w:i/>
          <w:iCs/>
          <w:lang w:val="en-AU"/>
        </w:rPr>
        <w:t xml:space="preserve"> and the Exhortation of Jesus in Matthew 5:38</w:t>
      </w:r>
      <w:r w:rsidR="005676E2" w:rsidRPr="0072758C">
        <w:rPr>
          <w:i/>
          <w:iCs/>
          <w:lang w:val="en-AU"/>
        </w:rPr>
        <w:t>–</w:t>
      </w:r>
      <w:r w:rsidRPr="0072758C">
        <w:rPr>
          <w:i/>
          <w:iCs/>
          <w:lang w:val="en-AU"/>
        </w:rPr>
        <w:t>42</w:t>
      </w:r>
      <w:r w:rsidRPr="0072758C">
        <w:rPr>
          <w:lang w:val="en-AU"/>
        </w:rPr>
        <w:t xml:space="preserve"> (London: T&amp;T Clark International, 2005), 110.</w:t>
      </w:r>
    </w:p>
  </w:footnote>
  <w:footnote w:id="396">
    <w:p w14:paraId="6B29CF01" w14:textId="77777777" w:rsidR="00194C28" w:rsidRPr="0072758C" w:rsidRDefault="00194C28" w:rsidP="00AB7CAD">
      <w:pPr>
        <w:pStyle w:val="EndnoteText"/>
        <w:rPr>
          <w:lang w:val="en-AU"/>
        </w:rPr>
      </w:pPr>
    </w:p>
    <w:p w14:paraId="1B57350A" w14:textId="57FE5817"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Antony Duff and David Garland</w:t>
      </w:r>
      <w:r w:rsidR="005C71CB" w:rsidRPr="0072758C">
        <w:rPr>
          <w:lang w:val="en-AU"/>
        </w:rPr>
        <w:t>’</w:t>
      </w:r>
      <w:r w:rsidRPr="0072758C">
        <w:rPr>
          <w:lang w:val="en-AU"/>
        </w:rPr>
        <w:t xml:space="preserve">s essay, </w:t>
      </w:r>
      <w:r w:rsidR="00863B47" w:rsidRPr="0072758C">
        <w:rPr>
          <w:lang w:val="en-AU"/>
        </w:rPr>
        <w:t>“</w:t>
      </w:r>
      <w:r w:rsidRPr="0072758C">
        <w:rPr>
          <w:lang w:val="en-AU"/>
        </w:rPr>
        <w:t>Introduction: Thinking about Punishment,</w:t>
      </w:r>
      <w:r w:rsidR="00863B47" w:rsidRPr="0072758C">
        <w:rPr>
          <w:lang w:val="en-AU"/>
        </w:rPr>
        <w:t>”</w:t>
      </w:r>
      <w:r w:rsidRPr="0072758C">
        <w:rPr>
          <w:lang w:val="en-AU"/>
        </w:rPr>
        <w:t xml:space="preserve"> in </w:t>
      </w:r>
      <w:r w:rsidRPr="0072758C">
        <w:rPr>
          <w:i/>
          <w:iCs/>
          <w:lang w:val="en-AU"/>
        </w:rPr>
        <w:t>A Reader on Punishment</w:t>
      </w:r>
      <w:r w:rsidRPr="0072758C">
        <w:rPr>
          <w:lang w:val="en-AU"/>
        </w:rPr>
        <w:t xml:space="preserve"> (Oxford: Oxford University Press, 1994). </w:t>
      </w:r>
    </w:p>
  </w:footnote>
  <w:footnote w:id="397">
    <w:p w14:paraId="44CC8638" w14:textId="77777777" w:rsidR="00194C28" w:rsidRPr="0072758C" w:rsidRDefault="00194C28" w:rsidP="00AB7CAD">
      <w:pPr>
        <w:pStyle w:val="EndnoteText"/>
        <w:rPr>
          <w:lang w:val="en-AU"/>
        </w:rPr>
      </w:pPr>
    </w:p>
    <w:p w14:paraId="7545EBE1" w14:textId="77777777"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Davis, </w:t>
      </w:r>
      <w:r w:rsidRPr="0072758C">
        <w:rPr>
          <w:i/>
          <w:iCs/>
          <w:lang w:val="en-AU"/>
        </w:rPr>
        <w:t>Lex Talionis in Early Judaism</w:t>
      </w:r>
      <w:r w:rsidRPr="0072758C">
        <w:rPr>
          <w:lang w:val="en-AU"/>
        </w:rPr>
        <w:t>, 140.</w:t>
      </w:r>
    </w:p>
    <w:p w14:paraId="16771944" w14:textId="77777777" w:rsidR="00194C28" w:rsidRPr="0072758C" w:rsidRDefault="00194C28" w:rsidP="00AB7CAD">
      <w:pPr>
        <w:pStyle w:val="EndnoteText"/>
        <w:rPr>
          <w:lang w:val="en-AU"/>
        </w:rPr>
      </w:pPr>
    </w:p>
  </w:footnote>
  <w:footnote w:id="398">
    <w:p w14:paraId="7211095C" w14:textId="416E84F8"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D. A Carson, </w:t>
      </w:r>
      <w:r w:rsidRPr="0072758C">
        <w:rPr>
          <w:i/>
          <w:iCs/>
          <w:lang w:val="en-AU"/>
        </w:rPr>
        <w:t>Matthew</w:t>
      </w:r>
      <w:r w:rsidRPr="0072758C">
        <w:rPr>
          <w:lang w:val="en-AU"/>
        </w:rPr>
        <w:t xml:space="preserve"> (Grand Rapids: Zondervan, 1995), 189. </w:t>
      </w:r>
      <w:r w:rsidR="003851D3" w:rsidRPr="0072758C">
        <w:rPr>
          <w:lang w:val="en-AU"/>
        </w:rPr>
        <w:t>See also Mateusz Kusio, “Apocalypse on the Mount: The Relationship Between Matthew 5:18 and 27:45, 51b</w:t>
      </w:r>
      <w:r w:rsidR="00A15475" w:rsidRPr="0072758C">
        <w:rPr>
          <w:lang w:val="en-AU"/>
        </w:rPr>
        <w:t>,</w:t>
      </w:r>
      <w:r w:rsidR="003851D3" w:rsidRPr="0072758C">
        <w:rPr>
          <w:lang w:val="en-AU"/>
        </w:rPr>
        <w:t>” </w:t>
      </w:r>
      <w:r w:rsidR="003851D3" w:rsidRPr="0072758C">
        <w:rPr>
          <w:i/>
          <w:iCs/>
          <w:lang w:val="en-AU"/>
        </w:rPr>
        <w:t>The Biblical Annals</w:t>
      </w:r>
      <w:r w:rsidR="003851D3" w:rsidRPr="0072758C">
        <w:rPr>
          <w:lang w:val="en-AU"/>
        </w:rPr>
        <w:t> 11 (2021): 79–97.</w:t>
      </w:r>
    </w:p>
  </w:footnote>
  <w:footnote w:id="399">
    <w:p w14:paraId="12A10F74" w14:textId="77777777" w:rsidR="00194C28" w:rsidRPr="0072758C" w:rsidRDefault="00194C28" w:rsidP="00AB7CAD">
      <w:pPr>
        <w:pStyle w:val="EndnoteText"/>
        <w:rPr>
          <w:lang w:val="en-AU"/>
        </w:rPr>
      </w:pPr>
    </w:p>
    <w:p w14:paraId="47DA8086" w14:textId="77777777"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Davis, </w:t>
      </w:r>
      <w:r w:rsidRPr="0072758C">
        <w:rPr>
          <w:i/>
          <w:iCs/>
          <w:lang w:val="en-AU"/>
        </w:rPr>
        <w:t>Lex Talionis in Early Judaism</w:t>
      </w:r>
      <w:r w:rsidRPr="0072758C">
        <w:rPr>
          <w:lang w:val="en-AU"/>
        </w:rPr>
        <w:t>, 168.</w:t>
      </w:r>
    </w:p>
  </w:footnote>
  <w:footnote w:id="400">
    <w:p w14:paraId="2481750A" w14:textId="77777777" w:rsidR="00194C28" w:rsidRPr="0072758C" w:rsidRDefault="00194C28" w:rsidP="00AB7CAD">
      <w:pPr>
        <w:pStyle w:val="EndnoteText"/>
        <w:rPr>
          <w:lang w:val="en-AU"/>
        </w:rPr>
      </w:pPr>
    </w:p>
    <w:p w14:paraId="1573CABD" w14:textId="5DFE66DD"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Robert A. Guelich, </w:t>
      </w:r>
      <w:r w:rsidRPr="0072758C">
        <w:rPr>
          <w:i/>
          <w:iCs/>
          <w:lang w:val="en-AU"/>
        </w:rPr>
        <w:t>The Sermon on the Mount: A Foundation for Understanding</w:t>
      </w:r>
      <w:r w:rsidRPr="0072758C">
        <w:rPr>
          <w:lang w:val="en-AU"/>
        </w:rPr>
        <w:t xml:space="preserve"> (Waco: Word Books, 1982), 219.</w:t>
      </w:r>
      <w:r w:rsidR="00B97E27" w:rsidRPr="0072758C">
        <w:rPr>
          <w:lang w:val="en-AU"/>
        </w:rPr>
        <w:t xml:space="preserve"> For similar thought, see M.I. Rey, “Reexamination of the Foreign Female Captive: Deuteronomy 21:10-14 as a Case of Genocidal Rape</w:t>
      </w:r>
      <w:r w:rsidR="00A15475" w:rsidRPr="0072758C">
        <w:rPr>
          <w:lang w:val="en-AU"/>
        </w:rPr>
        <w:t>,</w:t>
      </w:r>
      <w:r w:rsidR="00B97E27" w:rsidRPr="0072758C">
        <w:rPr>
          <w:lang w:val="en-AU"/>
        </w:rPr>
        <w:t>” </w:t>
      </w:r>
      <w:r w:rsidR="00B97E27" w:rsidRPr="0072758C">
        <w:rPr>
          <w:i/>
          <w:iCs/>
          <w:lang w:val="en-AU"/>
        </w:rPr>
        <w:t>Journal of Feminist Studies in Religion</w:t>
      </w:r>
      <w:r w:rsidR="00B97E27" w:rsidRPr="0072758C">
        <w:rPr>
          <w:lang w:val="en-AU"/>
        </w:rPr>
        <w:t> 32</w:t>
      </w:r>
      <w:r w:rsidR="00E83F6C" w:rsidRPr="0072758C">
        <w:rPr>
          <w:lang w:val="en-AU"/>
        </w:rPr>
        <w:t xml:space="preserve"> </w:t>
      </w:r>
      <w:r w:rsidR="00B97E27" w:rsidRPr="0072758C">
        <w:rPr>
          <w:lang w:val="en-AU"/>
        </w:rPr>
        <w:t>(2016): 37–53; David Resnick, “A Case Study in Jewish Moral Education: (Non-)Rape of the Beautiful Captive</w:t>
      </w:r>
      <w:r w:rsidR="00A15475" w:rsidRPr="0072758C">
        <w:rPr>
          <w:lang w:val="en-AU"/>
        </w:rPr>
        <w:t>,</w:t>
      </w:r>
      <w:r w:rsidR="00B97E27" w:rsidRPr="0072758C">
        <w:rPr>
          <w:lang w:val="en-AU"/>
        </w:rPr>
        <w:t>” </w:t>
      </w:r>
      <w:r w:rsidR="00B97E27" w:rsidRPr="0072758C">
        <w:rPr>
          <w:i/>
          <w:iCs/>
          <w:lang w:val="en-AU"/>
        </w:rPr>
        <w:t>Journal of Moral Education</w:t>
      </w:r>
      <w:r w:rsidR="00B97E27" w:rsidRPr="0072758C">
        <w:rPr>
          <w:lang w:val="en-AU"/>
        </w:rPr>
        <w:t> 33 (2004): 307–19.</w:t>
      </w:r>
    </w:p>
    <w:p w14:paraId="163580CA" w14:textId="77777777" w:rsidR="00194C28" w:rsidRPr="0072758C" w:rsidRDefault="00194C28" w:rsidP="00D37F31">
      <w:pPr>
        <w:pStyle w:val="EndnoteText"/>
        <w:rPr>
          <w:lang w:val="en-AU"/>
        </w:rPr>
      </w:pPr>
    </w:p>
  </w:footnote>
  <w:footnote w:id="401">
    <w:p w14:paraId="1D9A8DD7" w14:textId="7777777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Ibid., 224.</w:t>
      </w:r>
    </w:p>
  </w:footnote>
  <w:footnote w:id="402">
    <w:p w14:paraId="4D403D62" w14:textId="77777777" w:rsidR="00194C28" w:rsidRPr="0072758C" w:rsidRDefault="00194C28" w:rsidP="00D37F31">
      <w:pPr>
        <w:pStyle w:val="EndnoteText"/>
        <w:rPr>
          <w:lang w:val="en-AU"/>
        </w:rPr>
      </w:pPr>
    </w:p>
    <w:p w14:paraId="47C17DE7" w14:textId="18F1E26E" w:rsidR="00D37F31"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w:t>
      </w:r>
      <w:r w:rsidRPr="0072758C">
        <w:rPr>
          <w:i/>
          <w:lang w:val="en-AU"/>
        </w:rPr>
        <w:t>Berakot</w:t>
      </w:r>
      <w:r w:rsidRPr="0072758C">
        <w:rPr>
          <w:lang w:val="en-AU"/>
        </w:rPr>
        <w:t xml:space="preserve"> 58a, 62b. </w:t>
      </w:r>
    </w:p>
    <w:p w14:paraId="216930AC" w14:textId="77777777" w:rsidR="00194C28" w:rsidRPr="0072758C" w:rsidRDefault="00194C28" w:rsidP="00AB7CAD">
      <w:pPr>
        <w:pStyle w:val="EndnoteText"/>
        <w:ind w:firstLine="720"/>
        <w:rPr>
          <w:lang w:val="en-AU"/>
        </w:rPr>
      </w:pPr>
    </w:p>
  </w:footnote>
  <w:footnote w:id="403">
    <w:p w14:paraId="5B7D0DA0" w14:textId="36C9A62B"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Benno Jacob, </w:t>
      </w:r>
      <w:r w:rsidRPr="0072758C">
        <w:rPr>
          <w:i/>
          <w:iCs/>
          <w:lang w:val="en-AU"/>
        </w:rPr>
        <w:t>The Second Book of the Bible: Exodus</w:t>
      </w:r>
      <w:r w:rsidRPr="0072758C">
        <w:rPr>
          <w:lang w:val="en-AU"/>
        </w:rPr>
        <w:t xml:space="preserve"> (Hoboken: Ktav, 1992), 658.</w:t>
      </w:r>
    </w:p>
  </w:footnote>
  <w:footnote w:id="404">
    <w:p w14:paraId="6780967A" w14:textId="77777777" w:rsidR="00194C28" w:rsidRPr="0072758C" w:rsidRDefault="00194C28" w:rsidP="00D37F31">
      <w:pPr>
        <w:pStyle w:val="EndnoteText"/>
        <w:rPr>
          <w:lang w:val="en-AU"/>
        </w:rPr>
      </w:pPr>
    </w:p>
    <w:p w14:paraId="4B19C0FA" w14:textId="7A1061B0"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Davis, </w:t>
      </w:r>
      <w:r w:rsidRPr="0072758C">
        <w:rPr>
          <w:i/>
          <w:iCs/>
          <w:lang w:val="en-AU"/>
        </w:rPr>
        <w:t>Lex Talionis in Early Judaism</w:t>
      </w:r>
      <w:r w:rsidRPr="0072758C">
        <w:rPr>
          <w:lang w:val="en-AU"/>
        </w:rPr>
        <w:t>, 111.</w:t>
      </w:r>
    </w:p>
    <w:p w14:paraId="6180A48E" w14:textId="77777777" w:rsidR="00194C28" w:rsidRPr="0072758C" w:rsidRDefault="00194C28" w:rsidP="00D37F31">
      <w:pPr>
        <w:pStyle w:val="EndnoteText"/>
        <w:rPr>
          <w:lang w:val="en-AU"/>
        </w:rPr>
      </w:pPr>
    </w:p>
  </w:footnote>
  <w:footnote w:id="405">
    <w:p w14:paraId="08810ACB" w14:textId="70F893B0"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Louis Finkelstein, </w:t>
      </w:r>
      <w:r w:rsidRPr="0072758C">
        <w:rPr>
          <w:i/>
          <w:iCs/>
          <w:lang w:val="en-AU"/>
        </w:rPr>
        <w:t>The Pharisees: The Sociological Background of Their Faith</w:t>
      </w:r>
      <w:r w:rsidRPr="0072758C">
        <w:rPr>
          <w:lang w:val="en-AU"/>
        </w:rPr>
        <w:t xml:space="preserve"> (Philadelphia: The Jewish Publication Society of America, 1962), 216.</w:t>
      </w:r>
    </w:p>
    <w:p w14:paraId="5987CFFB" w14:textId="77777777" w:rsidR="00194C28" w:rsidRPr="0072758C" w:rsidRDefault="00194C28" w:rsidP="00D37F31">
      <w:pPr>
        <w:pStyle w:val="EndnoteText"/>
        <w:rPr>
          <w:lang w:val="en-AU"/>
        </w:rPr>
      </w:pPr>
    </w:p>
  </w:footnote>
  <w:footnote w:id="406">
    <w:p w14:paraId="21BEC870" w14:textId="6C4CBE93" w:rsidR="00C87196"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Shapiro, </w:t>
      </w:r>
      <w:r w:rsidRPr="0072758C">
        <w:rPr>
          <w:i/>
          <w:iCs/>
          <w:lang w:val="en-AU"/>
        </w:rPr>
        <w:t>Ethics of the Sages</w:t>
      </w:r>
      <w:r w:rsidRPr="0072758C">
        <w:rPr>
          <w:lang w:val="en-AU"/>
        </w:rPr>
        <w:t>, 8</w:t>
      </w:r>
      <w:r w:rsidR="0036539B" w:rsidRPr="0072758C">
        <w:rPr>
          <w:lang w:val="en-AU"/>
        </w:rPr>
        <w:t xml:space="preserve">. The Hebrew reads, </w:t>
      </w:r>
      <w:r w:rsidR="00863B47" w:rsidRPr="0072758C">
        <w:rPr>
          <w:lang w:val="en-AU"/>
        </w:rPr>
        <w:t>“</w:t>
      </w:r>
      <w:r w:rsidR="00C87196" w:rsidRPr="0072758C">
        <w:rPr>
          <w:rtl/>
          <w:lang w:val="en-AU"/>
        </w:rPr>
        <w:t>וְאַל תִּתְיָאֵשׁ מִן הַפֻּרְעָנוּת</w:t>
      </w:r>
      <w:r w:rsidR="00C87196" w:rsidRPr="0072758C">
        <w:rPr>
          <w:lang w:val="en-AU"/>
        </w:rPr>
        <w:t xml:space="preserve"> </w:t>
      </w:r>
      <w:r w:rsidR="00C87196" w:rsidRPr="0072758C">
        <w:rPr>
          <w:rtl/>
          <w:lang w:val="en-AU"/>
        </w:rPr>
        <w:t>נִתַּאי הָאַרְבֵּלִי אוֹמֵר, הַרְחֵק מִשָּׁכֵן רָע, וְאַל תִּתְחַבֵּר לָרָשָׁע</w:t>
      </w:r>
      <w:r w:rsidR="00863B47" w:rsidRPr="0072758C">
        <w:rPr>
          <w:lang w:val="en-AU"/>
        </w:rPr>
        <w:t>”</w:t>
      </w:r>
    </w:p>
    <w:p w14:paraId="7DC8D416" w14:textId="77777777" w:rsidR="00194C28" w:rsidRPr="0072758C" w:rsidRDefault="00194C28" w:rsidP="00AB7CAD">
      <w:pPr>
        <w:pStyle w:val="EndnoteText"/>
        <w:rPr>
          <w:lang w:val="en-AU"/>
        </w:rPr>
      </w:pPr>
    </w:p>
  </w:footnote>
  <w:footnote w:id="407">
    <w:p w14:paraId="1C7D41A9" w14:textId="6C7CF07E"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G. Alon, </w:t>
      </w:r>
      <w:r w:rsidRPr="0072758C">
        <w:rPr>
          <w:i/>
          <w:iCs/>
          <w:lang w:val="en-AU"/>
        </w:rPr>
        <w:t>The Jews in their Land in the Talmudic Age, 70</w:t>
      </w:r>
      <w:r w:rsidR="005676E2" w:rsidRPr="0072758C">
        <w:rPr>
          <w:i/>
          <w:iCs/>
          <w:lang w:val="en-AU"/>
        </w:rPr>
        <w:t>–</w:t>
      </w:r>
      <w:r w:rsidRPr="0072758C">
        <w:rPr>
          <w:i/>
          <w:iCs/>
          <w:lang w:val="en-AU"/>
        </w:rPr>
        <w:t>640</w:t>
      </w:r>
      <w:r w:rsidRPr="0072758C">
        <w:rPr>
          <w:lang w:val="en-AU"/>
        </w:rPr>
        <w:t xml:space="preserve"> (Jerusalem, 1984), 539</w:t>
      </w:r>
      <w:r w:rsidR="005676E2" w:rsidRPr="0072758C">
        <w:rPr>
          <w:lang w:val="en-AU"/>
        </w:rPr>
        <w:t>–</w:t>
      </w:r>
      <w:r w:rsidRPr="0072758C">
        <w:rPr>
          <w:lang w:val="en-AU"/>
        </w:rPr>
        <w:t xml:space="preserve">40. </w:t>
      </w:r>
    </w:p>
    <w:p w14:paraId="0C4CB901" w14:textId="77777777" w:rsidR="00194C28" w:rsidRPr="0072758C" w:rsidRDefault="00194C28" w:rsidP="00AB7CAD">
      <w:pPr>
        <w:pStyle w:val="EndnoteText"/>
        <w:rPr>
          <w:lang w:val="en-AU"/>
        </w:rPr>
      </w:pPr>
    </w:p>
  </w:footnote>
  <w:footnote w:id="408">
    <w:p w14:paraId="76620F36" w14:textId="52916A5E"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Emil Schürer et al., </w:t>
      </w:r>
      <w:r w:rsidRPr="0072758C">
        <w:rPr>
          <w:i/>
          <w:iCs/>
          <w:lang w:val="en-AU"/>
        </w:rPr>
        <w:t xml:space="preserve">The History of the Jewish People in the Age </w:t>
      </w:r>
      <w:r w:rsidR="00447B9E">
        <w:rPr>
          <w:i/>
          <w:iCs/>
          <w:lang w:val="en-AU"/>
        </w:rPr>
        <w:t>of</w:t>
      </w:r>
      <w:r w:rsidRPr="0072758C">
        <w:rPr>
          <w:i/>
          <w:iCs/>
          <w:lang w:val="en-AU"/>
        </w:rPr>
        <w:t xml:space="preserve"> Jesus Christ</w:t>
      </w:r>
      <w:r w:rsidRPr="0072758C">
        <w:rPr>
          <w:lang w:val="en-AU"/>
        </w:rPr>
        <w:t> (Edinburgh: Clark, 1987), 2:220.</w:t>
      </w:r>
    </w:p>
  </w:footnote>
  <w:footnote w:id="409">
    <w:p w14:paraId="2AEE7F22" w14:textId="77777777" w:rsidR="00194C28" w:rsidRPr="0072758C" w:rsidRDefault="00194C28" w:rsidP="00AB7CAD">
      <w:pPr>
        <w:pStyle w:val="EndnoteText"/>
        <w:rPr>
          <w:lang w:val="en-AU"/>
        </w:rPr>
      </w:pPr>
    </w:p>
    <w:p w14:paraId="1A900037" w14:textId="0B46BF80"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Samuel Tobias Lachs, </w:t>
      </w:r>
      <w:r w:rsidRPr="0072758C">
        <w:rPr>
          <w:i/>
          <w:iCs/>
          <w:lang w:val="en-AU"/>
        </w:rPr>
        <w:t xml:space="preserve">A Rabbinic Commentary on the New Testament </w:t>
      </w:r>
      <w:r w:rsidRPr="0072758C">
        <w:rPr>
          <w:lang w:val="en-AU"/>
        </w:rPr>
        <w:t>(Hoboken: KTAV, 1987), 104.</w:t>
      </w:r>
    </w:p>
    <w:p w14:paraId="2164EEB0" w14:textId="77777777" w:rsidR="00194C28" w:rsidRPr="0072758C" w:rsidRDefault="00194C28" w:rsidP="00AB7CAD">
      <w:pPr>
        <w:pStyle w:val="EndnoteText"/>
        <w:rPr>
          <w:lang w:val="en-AU"/>
        </w:rPr>
      </w:pPr>
    </w:p>
  </w:footnote>
  <w:footnote w:id="410">
    <w:p w14:paraId="38258BF6" w14:textId="6E2E78D7"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David Instone-Brewer, </w:t>
      </w:r>
      <w:r w:rsidRPr="0072758C">
        <w:rPr>
          <w:i/>
          <w:iCs/>
          <w:lang w:val="en-AU"/>
        </w:rPr>
        <w:t xml:space="preserve">Traditions of the Rabbis from the Era of the New Testament Volume 2a </w:t>
      </w:r>
      <w:r w:rsidRPr="0072758C">
        <w:rPr>
          <w:iCs/>
          <w:lang w:val="en-AU"/>
        </w:rPr>
        <w:t>(</w:t>
      </w:r>
      <w:r w:rsidRPr="0072758C">
        <w:rPr>
          <w:lang w:val="en-AU"/>
        </w:rPr>
        <w:t>Grand Rapids: Eerdmans, 2011), 34.</w:t>
      </w:r>
    </w:p>
    <w:p w14:paraId="07DEB231" w14:textId="77777777" w:rsidR="00194C28" w:rsidRPr="0072758C" w:rsidRDefault="00194C28" w:rsidP="00AB7CAD">
      <w:pPr>
        <w:pStyle w:val="EndnoteText"/>
        <w:rPr>
          <w:lang w:val="en-AU"/>
        </w:rPr>
      </w:pPr>
    </w:p>
  </w:footnote>
  <w:footnote w:id="411">
    <w:p w14:paraId="753C2385" w14:textId="35FADDEC" w:rsidR="00194C28" w:rsidRPr="0072758C" w:rsidRDefault="00194C28" w:rsidP="00AB7CAD">
      <w:pPr>
        <w:pStyle w:val="EndnoteText"/>
        <w:ind w:firstLine="720"/>
        <w:rPr>
          <w:i/>
          <w:iCs/>
          <w:lang w:val="en-AU"/>
        </w:rPr>
      </w:pPr>
      <w:r w:rsidRPr="0072758C">
        <w:rPr>
          <w:rStyle w:val="FootnoteReference"/>
          <w:lang w:val="en-AU"/>
        </w:rPr>
        <w:footnoteRef/>
      </w:r>
      <w:r w:rsidRPr="0072758C">
        <w:rPr>
          <w:lang w:val="en-AU"/>
        </w:rPr>
        <w:t xml:space="preserve"> It is worth noting that we do not find much literature or discussion about Mesopotamian Jews who were in exile and the influence they had on the writing of the Bible. For a discussion on the impact that Mesopotamian Jews had on the Babylonian Talmud, see J. Neusner, </w:t>
      </w:r>
      <w:r w:rsidRPr="0072758C">
        <w:rPr>
          <w:i/>
          <w:iCs/>
          <w:lang w:val="en-AU"/>
        </w:rPr>
        <w:t>A History of the Jews in Babylonia</w:t>
      </w:r>
      <w:r w:rsidRPr="0072758C">
        <w:rPr>
          <w:lang w:val="en-AU"/>
        </w:rPr>
        <w:t xml:space="preserve"> (Leiden: Brill, 1969). There could be some influence from Jews living north of the Mesopotamia area and north of Babylon on the writing of the </w:t>
      </w:r>
      <w:r w:rsidRPr="0072758C">
        <w:rPr>
          <w:i/>
          <w:iCs/>
          <w:lang w:val="en-AU"/>
        </w:rPr>
        <w:t>Mishna</w:t>
      </w:r>
      <w:r w:rsidRPr="0072758C">
        <w:rPr>
          <w:lang w:val="en-AU"/>
        </w:rPr>
        <w:t xml:space="preserve"> as well.</w:t>
      </w:r>
    </w:p>
  </w:footnote>
  <w:footnote w:id="412">
    <w:p w14:paraId="137734C9" w14:textId="77777777" w:rsidR="00194C28" w:rsidRPr="0072758C" w:rsidRDefault="00194C28" w:rsidP="00D37F31">
      <w:pPr>
        <w:pStyle w:val="EndnoteText"/>
        <w:rPr>
          <w:lang w:val="en-AU"/>
        </w:rPr>
      </w:pPr>
    </w:p>
    <w:p w14:paraId="5F30C362" w14:textId="77777777" w:rsidR="00194C28" w:rsidRPr="0072758C" w:rsidRDefault="00194C28" w:rsidP="00D37F31">
      <w:pPr>
        <w:pStyle w:val="EndnoteText"/>
        <w:ind w:firstLine="720"/>
        <w:rPr>
          <w:i/>
          <w:iCs/>
          <w:lang w:val="en-AU"/>
        </w:rPr>
      </w:pPr>
      <w:r w:rsidRPr="0072758C">
        <w:rPr>
          <w:rStyle w:val="FootnoteReference"/>
          <w:lang w:val="en-AU"/>
        </w:rPr>
        <w:footnoteRef/>
      </w:r>
      <w:r w:rsidRPr="0072758C">
        <w:rPr>
          <w:lang w:val="en-AU"/>
        </w:rPr>
        <w:t xml:space="preserve"> Davis, </w:t>
      </w:r>
      <w:r w:rsidRPr="0072758C">
        <w:rPr>
          <w:i/>
          <w:iCs/>
          <w:lang w:val="en-AU"/>
        </w:rPr>
        <w:t xml:space="preserve">Lex Talionis in Early Judaism, </w:t>
      </w:r>
      <w:r w:rsidRPr="0072758C">
        <w:rPr>
          <w:iCs/>
          <w:lang w:val="en-AU"/>
        </w:rPr>
        <w:t>98</w:t>
      </w:r>
      <w:r w:rsidRPr="0072758C">
        <w:rPr>
          <w:i/>
          <w:iCs/>
          <w:lang w:val="en-AU"/>
        </w:rPr>
        <w:t>.</w:t>
      </w:r>
    </w:p>
  </w:footnote>
  <w:footnote w:id="413">
    <w:p w14:paraId="63FBFE66" w14:textId="77777777" w:rsidR="00B74C9F" w:rsidRPr="0072758C" w:rsidRDefault="00B74C9F" w:rsidP="00D37F31">
      <w:pPr>
        <w:pStyle w:val="EndnoteText"/>
        <w:rPr>
          <w:lang w:val="en-AU"/>
        </w:rPr>
      </w:pPr>
    </w:p>
    <w:p w14:paraId="4A8EEEBA" w14:textId="203E8508" w:rsidR="00B74C9F" w:rsidRPr="0072758C" w:rsidRDefault="00B74C9F" w:rsidP="00D37F31">
      <w:pPr>
        <w:pStyle w:val="EndnoteText"/>
        <w:ind w:firstLine="720"/>
        <w:rPr>
          <w:lang w:val="en-AU"/>
        </w:rPr>
      </w:pPr>
      <w:r w:rsidRPr="0072758C">
        <w:rPr>
          <w:rStyle w:val="FootnoteReference"/>
          <w:lang w:val="en-AU"/>
        </w:rPr>
        <w:footnoteRef/>
      </w:r>
      <w:r w:rsidRPr="0072758C">
        <w:rPr>
          <w:lang w:val="en-AU"/>
        </w:rPr>
        <w:t xml:space="preserve"> The Gemara, which is an Aramaic word meaning "to study and to know" is a collections of commentary writings on Jewish law dating from around 200 to 500AD.</w:t>
      </w:r>
    </w:p>
  </w:footnote>
  <w:footnote w:id="414">
    <w:p w14:paraId="56A6E708" w14:textId="7777777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Boaz Cohen, </w:t>
      </w:r>
      <w:proofErr w:type="gramStart"/>
      <w:r w:rsidRPr="0072758C">
        <w:rPr>
          <w:i/>
          <w:iCs/>
          <w:lang w:val="en-AU"/>
        </w:rPr>
        <w:t>Law</w:t>
      </w:r>
      <w:proofErr w:type="gramEnd"/>
      <w:r w:rsidRPr="0072758C">
        <w:rPr>
          <w:i/>
          <w:iCs/>
          <w:lang w:val="en-AU"/>
        </w:rPr>
        <w:t xml:space="preserve"> and Tradition in Judaism</w:t>
      </w:r>
      <w:r w:rsidRPr="0072758C">
        <w:rPr>
          <w:lang w:val="en-AU"/>
        </w:rPr>
        <w:t xml:space="preserve"> (New York: Jewish Theological Seminary of</w:t>
      </w:r>
    </w:p>
    <w:p w14:paraId="5BF9F8B8" w14:textId="77777777" w:rsidR="00194C28" w:rsidRPr="0072758C" w:rsidRDefault="00194C28" w:rsidP="00D37F31">
      <w:pPr>
        <w:pStyle w:val="EndnoteText"/>
        <w:rPr>
          <w:lang w:val="en-AU"/>
        </w:rPr>
      </w:pPr>
      <w:r w:rsidRPr="0072758C">
        <w:rPr>
          <w:lang w:val="en-AU"/>
        </w:rPr>
        <w:t>America, 1959), 207.</w:t>
      </w:r>
    </w:p>
  </w:footnote>
  <w:footnote w:id="415">
    <w:p w14:paraId="1FC78A61" w14:textId="77777777" w:rsidR="00194C28" w:rsidRPr="0072758C" w:rsidRDefault="00194C28" w:rsidP="00D37F31">
      <w:pPr>
        <w:pStyle w:val="EndnoteText"/>
        <w:rPr>
          <w:lang w:val="en-AU"/>
        </w:rPr>
      </w:pPr>
    </w:p>
    <w:p w14:paraId="4514756B" w14:textId="7777777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Davis, </w:t>
      </w:r>
      <w:r w:rsidRPr="0072758C">
        <w:rPr>
          <w:i/>
          <w:iCs/>
          <w:lang w:val="en-AU"/>
        </w:rPr>
        <w:t xml:space="preserve">Lex Talionis in Early Judaism, </w:t>
      </w:r>
      <w:r w:rsidRPr="0072758C">
        <w:rPr>
          <w:iCs/>
          <w:lang w:val="en-AU"/>
        </w:rPr>
        <w:t>98.</w:t>
      </w:r>
    </w:p>
    <w:p w14:paraId="3CE95CF8" w14:textId="77777777" w:rsidR="00194C28" w:rsidRPr="0072758C" w:rsidRDefault="00194C28" w:rsidP="00D37F31">
      <w:pPr>
        <w:pStyle w:val="EndnoteText"/>
        <w:rPr>
          <w:lang w:val="en-AU"/>
        </w:rPr>
      </w:pPr>
    </w:p>
  </w:footnote>
  <w:footnote w:id="416">
    <w:p w14:paraId="5FA05A6D" w14:textId="297E97B6"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Louis Finkelstein, </w:t>
      </w:r>
      <w:r w:rsidRPr="0072758C">
        <w:rPr>
          <w:i/>
          <w:iCs/>
          <w:lang w:val="en-AU"/>
        </w:rPr>
        <w:t xml:space="preserve">An Eye </w:t>
      </w:r>
      <w:proofErr w:type="gramStart"/>
      <w:r w:rsidRPr="0072758C">
        <w:rPr>
          <w:i/>
          <w:iCs/>
          <w:lang w:val="en-AU"/>
        </w:rPr>
        <w:t>For</w:t>
      </w:r>
      <w:proofErr w:type="gramEnd"/>
      <w:r w:rsidRPr="0072758C">
        <w:rPr>
          <w:i/>
          <w:iCs/>
          <w:lang w:val="en-AU"/>
        </w:rPr>
        <w:t xml:space="preserve"> An Eye</w:t>
      </w:r>
      <w:r w:rsidRPr="0072758C">
        <w:rPr>
          <w:lang w:val="en-AU"/>
        </w:rPr>
        <w:t> (New York, 1936), 211</w:t>
      </w:r>
      <w:r w:rsidR="005676E2" w:rsidRPr="0072758C">
        <w:rPr>
          <w:lang w:val="en-AU"/>
        </w:rPr>
        <w:t>–</w:t>
      </w:r>
      <w:r w:rsidRPr="0072758C">
        <w:rPr>
          <w:lang w:val="en-AU"/>
        </w:rPr>
        <w:t>212.</w:t>
      </w:r>
    </w:p>
    <w:p w14:paraId="25B9FA9D" w14:textId="77777777" w:rsidR="00194C28" w:rsidRPr="0072758C" w:rsidRDefault="00194C28" w:rsidP="00D37F31">
      <w:pPr>
        <w:pStyle w:val="EndnoteText"/>
        <w:rPr>
          <w:lang w:val="en-AU"/>
        </w:rPr>
      </w:pPr>
    </w:p>
  </w:footnote>
  <w:footnote w:id="417">
    <w:p w14:paraId="6AD02BE7" w14:textId="53343ACD"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Louis Finkelstein, </w:t>
      </w:r>
      <w:r w:rsidRPr="0072758C">
        <w:rPr>
          <w:i/>
          <w:iCs/>
          <w:lang w:val="en-AU"/>
        </w:rPr>
        <w:t>The Pharisees</w:t>
      </w:r>
      <w:r w:rsidRPr="0072758C">
        <w:rPr>
          <w:lang w:val="en-AU"/>
        </w:rPr>
        <w:t> (Cambridge: Harvard University Press, 1929), 696</w:t>
      </w:r>
      <w:r w:rsidR="005676E2" w:rsidRPr="0072758C">
        <w:rPr>
          <w:lang w:val="en-AU"/>
        </w:rPr>
        <w:t>–</w:t>
      </w:r>
      <w:r w:rsidRPr="0072758C">
        <w:rPr>
          <w:lang w:val="en-AU"/>
        </w:rPr>
        <w:t>697; Enoch Cobb Wines makes a good observation that Deuteronomy 19 does not create a standard in which a person can retaliate against another person because that would make a person a judge and avenger over another; thus, and imbalance of authority and justice would occur between two people. See</w:t>
      </w:r>
      <w:r w:rsidRPr="0072758C">
        <w:rPr>
          <w:i/>
          <w:iCs/>
          <w:lang w:val="en-AU"/>
        </w:rPr>
        <w:t xml:space="preserve"> </w:t>
      </w:r>
      <w:r w:rsidRPr="0072758C">
        <w:rPr>
          <w:lang w:val="en-AU"/>
        </w:rPr>
        <w:t xml:space="preserve">Enoch Cobb Wines, </w:t>
      </w:r>
      <w:r w:rsidRPr="0072758C">
        <w:rPr>
          <w:i/>
          <w:iCs/>
          <w:lang w:val="en-AU"/>
        </w:rPr>
        <w:t>Commentaries on the Laws of the Ancient Hebrews: With an Introductory Essay on Civil Society and Government</w:t>
      </w:r>
      <w:r w:rsidRPr="0072758C">
        <w:rPr>
          <w:lang w:val="en-AU"/>
        </w:rPr>
        <w:t xml:space="preserve"> (New York: G. P. Putnam, 1855). By allowing the courts to be the adjudicators of civil strife, it kept the scales of figurative justice balance, see,</w:t>
      </w:r>
      <w:r w:rsidRPr="0072758C">
        <w:rPr>
          <w:i/>
          <w:iCs/>
          <w:lang w:val="en-AU"/>
        </w:rPr>
        <w:t xml:space="preserve"> </w:t>
      </w:r>
      <w:r w:rsidRPr="0072758C">
        <w:rPr>
          <w:lang w:val="en-AU"/>
        </w:rPr>
        <w:t xml:space="preserve">Duncan Kennedy, </w:t>
      </w:r>
      <w:r w:rsidRPr="0072758C">
        <w:rPr>
          <w:i/>
          <w:iCs/>
          <w:lang w:val="en-AU"/>
        </w:rPr>
        <w:t>A Critique of Adjudication</w:t>
      </w:r>
      <w:r w:rsidRPr="0072758C">
        <w:rPr>
          <w:lang w:val="en-AU"/>
        </w:rPr>
        <w:t xml:space="preserve"> (Cambridge: Harvard University Press, 1997). </w:t>
      </w:r>
    </w:p>
    <w:p w14:paraId="4F313913" w14:textId="77777777" w:rsidR="00194C28" w:rsidRPr="0072758C" w:rsidRDefault="00194C28" w:rsidP="00D37F31">
      <w:pPr>
        <w:pStyle w:val="EndnoteText"/>
        <w:rPr>
          <w:lang w:val="en-AU"/>
        </w:rPr>
      </w:pPr>
    </w:p>
  </w:footnote>
  <w:footnote w:id="418">
    <w:p w14:paraId="2E6766FE" w14:textId="7777777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The Christian Bible and the Jewish Torah have different verse numbers for the passage.</w:t>
      </w:r>
    </w:p>
    <w:p w14:paraId="4FE6F6FD" w14:textId="77777777" w:rsidR="00194C28" w:rsidRPr="0072758C" w:rsidRDefault="00194C28" w:rsidP="00D37F31">
      <w:pPr>
        <w:pStyle w:val="EndnoteText"/>
        <w:rPr>
          <w:lang w:val="en-AU"/>
        </w:rPr>
      </w:pPr>
    </w:p>
  </w:footnote>
  <w:footnote w:id="419">
    <w:p w14:paraId="6A9E2425" w14:textId="2D25965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Edmund Perry, </w:t>
      </w:r>
      <w:r w:rsidR="00863B47" w:rsidRPr="0072758C">
        <w:rPr>
          <w:lang w:val="en-AU"/>
        </w:rPr>
        <w:t>“</w:t>
      </w:r>
      <w:r w:rsidRPr="0072758C">
        <w:rPr>
          <w:lang w:val="en-AU"/>
        </w:rPr>
        <w:t xml:space="preserve">The Meaning of </w:t>
      </w:r>
      <w:r w:rsidR="005C71CB" w:rsidRPr="0072758C">
        <w:rPr>
          <w:lang w:val="en-AU"/>
        </w:rPr>
        <w:t>‘</w:t>
      </w:r>
      <w:r w:rsidRPr="0072758C">
        <w:rPr>
          <w:lang w:val="en-AU"/>
        </w:rPr>
        <w:t>Emuna</w:t>
      </w:r>
      <w:r w:rsidR="005C71CB" w:rsidRPr="0072758C">
        <w:rPr>
          <w:lang w:val="en-AU"/>
        </w:rPr>
        <w:t>’</w:t>
      </w:r>
      <w:r w:rsidRPr="0072758C">
        <w:rPr>
          <w:lang w:val="en-AU"/>
        </w:rPr>
        <w:t xml:space="preserve"> in the Old Testament,</w:t>
      </w:r>
      <w:r w:rsidR="00863B47" w:rsidRPr="0072758C">
        <w:rPr>
          <w:lang w:val="en-AU"/>
        </w:rPr>
        <w:t>”</w:t>
      </w:r>
      <w:r w:rsidRPr="0072758C">
        <w:rPr>
          <w:lang w:val="en-AU"/>
        </w:rPr>
        <w:t xml:space="preserve"> </w:t>
      </w:r>
      <w:r w:rsidRPr="0072758C">
        <w:rPr>
          <w:i/>
          <w:iCs/>
          <w:lang w:val="en-AU"/>
        </w:rPr>
        <w:t>Journal of Bible and Religion</w:t>
      </w:r>
      <w:r w:rsidRPr="0072758C">
        <w:rPr>
          <w:lang w:val="en-AU"/>
        </w:rPr>
        <w:t xml:space="preserve"> (1953): 253.</w:t>
      </w:r>
    </w:p>
    <w:p w14:paraId="4FDD9048" w14:textId="77777777" w:rsidR="00194C28" w:rsidRPr="0072758C" w:rsidRDefault="00194C28" w:rsidP="00D37F31">
      <w:pPr>
        <w:pStyle w:val="EndnoteText"/>
        <w:rPr>
          <w:lang w:val="en-AU"/>
        </w:rPr>
      </w:pPr>
    </w:p>
  </w:footnote>
  <w:footnote w:id="420">
    <w:p w14:paraId="7BC7F12B" w14:textId="5E9E4BEE" w:rsidR="00194C28" w:rsidRPr="0072758C" w:rsidRDefault="00194C28" w:rsidP="00D37F31">
      <w:pPr>
        <w:pStyle w:val="EndnoteText"/>
        <w:ind w:firstLine="720"/>
        <w:rPr>
          <w:shd w:val="clear" w:color="auto" w:fill="FFFFFF"/>
          <w:lang w:val="en-AU"/>
        </w:rPr>
      </w:pPr>
      <w:r w:rsidRPr="0072758C">
        <w:rPr>
          <w:rStyle w:val="FootnoteReference"/>
          <w:lang w:val="en-AU"/>
        </w:rPr>
        <w:footnoteRef/>
      </w:r>
      <w:r w:rsidRPr="0072758C">
        <w:rPr>
          <w:lang w:val="en-AU"/>
        </w:rPr>
        <w:t xml:space="preserve"> The Hebrew </w:t>
      </w:r>
      <w:r w:rsidRPr="0072758C">
        <w:rPr>
          <w:shd w:val="clear" w:color="auto" w:fill="FFFFFF"/>
          <w:rtl/>
          <w:lang w:val="en-AU"/>
        </w:rPr>
        <w:t>צדקה</w:t>
      </w:r>
      <w:r w:rsidRPr="0072758C">
        <w:rPr>
          <w:shd w:val="clear" w:color="auto" w:fill="FFFFFF"/>
          <w:lang w:val="en-AU"/>
        </w:rPr>
        <w:t xml:space="preserve"> </w:t>
      </w:r>
      <w:r w:rsidRPr="0072758C">
        <w:rPr>
          <w:lang w:val="en-AU"/>
        </w:rPr>
        <w:t xml:space="preserve">is translated as ἐλεημοσύνη in the LXX of Deuteronomy 6:25 and 24:13. This topic is dealt with in the context of the LXX Isaiah and the idea of </w:t>
      </w:r>
      <w:r w:rsidRPr="0072758C">
        <w:rPr>
          <w:shd w:val="clear" w:color="auto" w:fill="FFFFFF"/>
          <w:rtl/>
          <w:lang w:val="en-AU"/>
        </w:rPr>
        <w:t>צדקה</w:t>
      </w:r>
      <w:r w:rsidRPr="0072758C">
        <w:rPr>
          <w:shd w:val="clear" w:color="auto" w:fill="FFFFFF"/>
          <w:lang w:val="en-AU"/>
        </w:rPr>
        <w:t xml:space="preserve"> translation in Seulgi L. Byun, </w:t>
      </w:r>
      <w:r w:rsidRPr="0072758C">
        <w:rPr>
          <w:i/>
          <w:iCs/>
          <w:shd w:val="clear" w:color="auto" w:fill="FFFFFF"/>
          <w:lang w:val="en-AU"/>
        </w:rPr>
        <w:t xml:space="preserve">The Influence of Post-Biblical </w:t>
      </w:r>
      <w:proofErr w:type="gramStart"/>
      <w:r w:rsidRPr="0072758C">
        <w:rPr>
          <w:i/>
          <w:iCs/>
          <w:shd w:val="clear" w:color="auto" w:fill="FFFFFF"/>
          <w:lang w:val="en-AU"/>
        </w:rPr>
        <w:t>Hebrew</w:t>
      </w:r>
      <w:proofErr w:type="gramEnd"/>
      <w:r w:rsidRPr="0072758C">
        <w:rPr>
          <w:i/>
          <w:iCs/>
          <w:shd w:val="clear" w:color="auto" w:fill="FFFFFF"/>
          <w:lang w:val="en-AU"/>
        </w:rPr>
        <w:t xml:space="preserve"> and Aramaic on the Translator of Septuagint Isaiah</w:t>
      </w:r>
      <w:r w:rsidRPr="0072758C">
        <w:rPr>
          <w:shd w:val="clear" w:color="auto" w:fill="FFFFFF"/>
          <w:lang w:val="en-AU"/>
        </w:rPr>
        <w:t> (London: Continuum, 2017), 35–65. For scholarship explaining how the translation from the Hebrew to the Greek causes problems linguistically, see</w:t>
      </w:r>
      <w:r w:rsidRPr="0072758C">
        <w:rPr>
          <w:i/>
          <w:iCs/>
          <w:shd w:val="clear" w:color="auto" w:fill="FFFFFF"/>
          <w:lang w:val="en-AU"/>
        </w:rPr>
        <w:t>,</w:t>
      </w:r>
      <w:r w:rsidRPr="0072758C">
        <w:rPr>
          <w:shd w:val="clear" w:color="auto" w:fill="FFFFFF"/>
          <w:lang w:val="en-AU"/>
        </w:rPr>
        <w:t xml:space="preserve"> Staffan Olofsson, </w:t>
      </w:r>
      <w:r w:rsidR="00863B47" w:rsidRPr="0072758C">
        <w:rPr>
          <w:shd w:val="clear" w:color="auto" w:fill="FFFFFF"/>
          <w:lang w:val="en-AU"/>
        </w:rPr>
        <w:t>“</w:t>
      </w:r>
      <w:r w:rsidRPr="0072758C">
        <w:rPr>
          <w:shd w:val="clear" w:color="auto" w:fill="FFFFFF"/>
          <w:lang w:val="en-AU"/>
        </w:rPr>
        <w:t>Consistency as a Translation Technique,</w:t>
      </w:r>
      <w:r w:rsidR="00863B47" w:rsidRPr="0072758C">
        <w:rPr>
          <w:shd w:val="clear" w:color="auto" w:fill="FFFFFF"/>
          <w:lang w:val="en-AU"/>
        </w:rPr>
        <w:t>”</w:t>
      </w:r>
      <w:r w:rsidRPr="0072758C">
        <w:rPr>
          <w:shd w:val="clear" w:color="auto" w:fill="FFFFFF"/>
          <w:lang w:val="en-AU"/>
        </w:rPr>
        <w:t xml:space="preserve"> in </w:t>
      </w:r>
      <w:r w:rsidRPr="0072758C">
        <w:rPr>
          <w:i/>
          <w:iCs/>
          <w:shd w:val="clear" w:color="auto" w:fill="FFFFFF"/>
          <w:lang w:val="en-AU"/>
        </w:rPr>
        <w:t>Translation Technique and Theo-logical Exegesis: Collected Essays on the Septuagint Version</w:t>
      </w:r>
      <w:r w:rsidRPr="0072758C">
        <w:rPr>
          <w:shd w:val="clear" w:color="auto" w:fill="FFFFFF"/>
          <w:lang w:val="en-AU"/>
        </w:rPr>
        <w:t xml:space="preserve"> (Winona Lake: Eisenbrauns, 2009), 55–56; David Hill, </w:t>
      </w:r>
      <w:r w:rsidRPr="0072758C">
        <w:rPr>
          <w:i/>
          <w:iCs/>
          <w:shd w:val="clear" w:color="auto" w:fill="FFFFFF"/>
          <w:lang w:val="en-AU"/>
        </w:rPr>
        <w:t>Greek Words and Hebrew Meanings: Studies in the Semantics of Soteriological Terms</w:t>
      </w:r>
      <w:r w:rsidRPr="0072758C">
        <w:rPr>
          <w:shd w:val="clear" w:color="auto" w:fill="FFFFFF"/>
          <w:lang w:val="en-AU"/>
        </w:rPr>
        <w:t>, Society for New Testament Studies Monograph Series 5 (Cambridge: Cambridge University Press, 1967).</w:t>
      </w:r>
    </w:p>
    <w:p w14:paraId="19BBC1E4" w14:textId="146A346E" w:rsidR="00194C28" w:rsidRPr="0072758C" w:rsidRDefault="00194C28" w:rsidP="00D37F31">
      <w:pPr>
        <w:pStyle w:val="EndnoteText"/>
        <w:rPr>
          <w:lang w:val="en-AU"/>
        </w:rPr>
      </w:pPr>
    </w:p>
  </w:footnote>
  <w:footnote w:id="421">
    <w:p w14:paraId="5E735A78" w14:textId="37C2F204"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Richard D. Nelson, </w:t>
      </w:r>
      <w:r w:rsidRPr="0072758C">
        <w:rPr>
          <w:i/>
          <w:iCs/>
          <w:lang w:val="en-AU"/>
        </w:rPr>
        <w:t>Deuteronomy: A Commentary</w:t>
      </w:r>
      <w:r w:rsidRPr="0072758C">
        <w:rPr>
          <w:lang w:val="en-AU"/>
        </w:rPr>
        <w:t xml:space="preserve"> (Louisville: Westminster John Knox Press, 2002), 87.</w:t>
      </w:r>
    </w:p>
    <w:p w14:paraId="0BCFFB31" w14:textId="0A62960C" w:rsidR="00194C28" w:rsidRPr="0072758C" w:rsidRDefault="00194C28" w:rsidP="00D37F31">
      <w:pPr>
        <w:pStyle w:val="EndnoteText"/>
        <w:rPr>
          <w:lang w:val="en-AU"/>
        </w:rPr>
      </w:pPr>
    </w:p>
  </w:footnote>
  <w:footnote w:id="422">
    <w:p w14:paraId="6330B0E4" w14:textId="20B43482" w:rsidR="00F34727" w:rsidRPr="0072758C" w:rsidRDefault="00194C28" w:rsidP="00F34727">
      <w:pPr>
        <w:pStyle w:val="EndnoteText"/>
        <w:ind w:firstLine="720"/>
        <w:rPr>
          <w:lang w:val="en-AU"/>
        </w:rPr>
      </w:pPr>
      <w:r w:rsidRPr="0072758C">
        <w:rPr>
          <w:rStyle w:val="FootnoteReference"/>
          <w:lang w:val="en-AU"/>
        </w:rPr>
        <w:footnoteRef/>
      </w:r>
      <w:r w:rsidR="00F91BE0" w:rsidRPr="0072758C">
        <w:rPr>
          <w:lang w:val="en-AU"/>
        </w:rPr>
        <w:t xml:space="preserve"> Pekka</w:t>
      </w:r>
      <w:r w:rsidRPr="0072758C">
        <w:rPr>
          <w:lang w:val="en-AU"/>
        </w:rPr>
        <w:t xml:space="preserve"> </w:t>
      </w:r>
      <w:r w:rsidR="00F34727" w:rsidRPr="0072758C">
        <w:rPr>
          <w:lang w:val="en-AU"/>
        </w:rPr>
        <w:t>Pitkänen, "Eckart Otto, Deuteronomium 1</w:t>
      </w:r>
      <w:r w:rsidR="00E10946">
        <w:rPr>
          <w:lang w:val="en-AU"/>
        </w:rPr>
        <w:t>–</w:t>
      </w:r>
      <w:proofErr w:type="gramStart"/>
      <w:r w:rsidR="00F34727" w:rsidRPr="0072758C">
        <w:rPr>
          <w:lang w:val="en-AU"/>
        </w:rPr>
        <w:t>11:Erster</w:t>
      </w:r>
      <w:proofErr w:type="gramEnd"/>
      <w:r w:rsidR="00F34727" w:rsidRPr="0072758C">
        <w:rPr>
          <w:lang w:val="en-AU"/>
        </w:rPr>
        <w:t xml:space="preserve"> Teilband: 1,1</w:t>
      </w:r>
      <w:r w:rsidR="00E10946">
        <w:rPr>
          <w:lang w:val="en-AU"/>
        </w:rPr>
        <w:t>–</w:t>
      </w:r>
      <w:r w:rsidR="00F34727" w:rsidRPr="0072758C">
        <w:rPr>
          <w:lang w:val="en-AU"/>
        </w:rPr>
        <w:t>4,</w:t>
      </w:r>
      <w:r w:rsidR="00ED491A" w:rsidRPr="0072758C">
        <w:rPr>
          <w:lang w:val="en-AU"/>
        </w:rPr>
        <w:t xml:space="preserve"> </w:t>
      </w:r>
      <w:r w:rsidR="00F34727" w:rsidRPr="0072758C">
        <w:rPr>
          <w:lang w:val="en-AU"/>
        </w:rPr>
        <w:t>43; Zweiter Teilband: 4,</w:t>
      </w:r>
      <w:r w:rsidR="00ED491A" w:rsidRPr="0072758C">
        <w:rPr>
          <w:lang w:val="en-AU"/>
        </w:rPr>
        <w:t xml:space="preserve"> </w:t>
      </w:r>
      <w:r w:rsidR="00F34727" w:rsidRPr="0072758C">
        <w:rPr>
          <w:lang w:val="en-AU"/>
        </w:rPr>
        <w:t>44</w:t>
      </w:r>
      <w:r w:rsidR="00E10946">
        <w:rPr>
          <w:lang w:val="en-AU"/>
        </w:rPr>
        <w:t>–</w:t>
      </w:r>
      <w:r w:rsidR="00F34727" w:rsidRPr="0072758C">
        <w:rPr>
          <w:lang w:val="en-AU"/>
        </w:rPr>
        <w:t xml:space="preserve">11,32" In </w:t>
      </w:r>
      <w:r w:rsidR="00F34727" w:rsidRPr="0072758C">
        <w:rPr>
          <w:i/>
          <w:iCs/>
          <w:lang w:val="en-AU"/>
        </w:rPr>
        <w:t>Perspectives on Hebrew Scriptures X: Comprising the Contents of Journal of Hebrew Scriptures, vol. 13</w:t>
      </w:r>
      <w:r w:rsidR="00F34727" w:rsidRPr="0072758C">
        <w:rPr>
          <w:lang w:val="en-AU"/>
        </w:rPr>
        <w:t xml:space="preserve"> edited by Christophe Nihan and Ehud Ben Zvi, 577</w:t>
      </w:r>
      <w:r w:rsidR="00E10946">
        <w:rPr>
          <w:lang w:val="en-AU"/>
        </w:rPr>
        <w:t>–</w:t>
      </w:r>
      <w:r w:rsidR="00F34727" w:rsidRPr="0072758C">
        <w:rPr>
          <w:lang w:val="en-AU"/>
        </w:rPr>
        <w:t>583</w:t>
      </w:r>
      <w:r w:rsidR="00F91BE0" w:rsidRPr="0072758C">
        <w:rPr>
          <w:lang w:val="en-AU"/>
        </w:rPr>
        <w:t xml:space="preserve"> (</w:t>
      </w:r>
      <w:r w:rsidR="00F34727" w:rsidRPr="0072758C">
        <w:rPr>
          <w:lang w:val="en-AU"/>
        </w:rPr>
        <w:t>Piscataway, NJ: Gorgias Press, 2017</w:t>
      </w:r>
      <w:r w:rsidR="00F91BE0" w:rsidRPr="0072758C">
        <w:rPr>
          <w:lang w:val="en-AU"/>
        </w:rPr>
        <w:t>)</w:t>
      </w:r>
      <w:r w:rsidR="00F34727" w:rsidRPr="0072758C">
        <w:rPr>
          <w:lang w:val="en-AU"/>
        </w:rPr>
        <w:t xml:space="preserve">. </w:t>
      </w:r>
    </w:p>
    <w:p w14:paraId="63CFE89E" w14:textId="3147861D" w:rsidR="00194C28" w:rsidRPr="0072758C" w:rsidRDefault="00194C28" w:rsidP="00D37F31">
      <w:pPr>
        <w:pStyle w:val="EndnoteText"/>
        <w:rPr>
          <w:lang w:val="en-AU"/>
        </w:rPr>
      </w:pPr>
    </w:p>
  </w:footnote>
  <w:footnote w:id="423">
    <w:p w14:paraId="01F50921" w14:textId="342D4F04"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Jill Jacobs, </w:t>
      </w:r>
      <w:r w:rsidRPr="0072758C">
        <w:rPr>
          <w:i/>
          <w:iCs/>
          <w:lang w:val="en-AU"/>
        </w:rPr>
        <w:t>There Shall Be No Needy</w:t>
      </w:r>
      <w:r w:rsidRPr="0072758C">
        <w:rPr>
          <w:lang w:val="en-AU"/>
        </w:rPr>
        <w:t xml:space="preserve"> (Woodstock: Jewish Lights, 2009), 13.</w:t>
      </w:r>
    </w:p>
  </w:footnote>
  <w:footnote w:id="424">
    <w:p w14:paraId="306BEAD7" w14:textId="77777777" w:rsidR="00194C28" w:rsidRPr="0072758C" w:rsidRDefault="00194C28" w:rsidP="00D37F31">
      <w:pPr>
        <w:pStyle w:val="EndnoteText"/>
        <w:rPr>
          <w:lang w:val="en-AU"/>
        </w:rPr>
      </w:pPr>
    </w:p>
    <w:p w14:paraId="371D0842" w14:textId="493D2B2A"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Steven Silbiger, </w:t>
      </w:r>
      <w:r w:rsidRPr="0072758C">
        <w:rPr>
          <w:i/>
          <w:iCs/>
          <w:lang w:val="en-AU"/>
        </w:rPr>
        <w:t>The Jewish Phenomenon</w:t>
      </w:r>
      <w:r w:rsidRPr="0072758C">
        <w:rPr>
          <w:lang w:val="en-AU"/>
        </w:rPr>
        <w:t> (Lanham: M. Evans, 2009).</w:t>
      </w:r>
    </w:p>
  </w:footnote>
  <w:footnote w:id="425">
    <w:p w14:paraId="5866D82B" w14:textId="77777777" w:rsidR="00D37F31" w:rsidRPr="0072758C" w:rsidRDefault="00D37F31">
      <w:pPr>
        <w:pStyle w:val="EndnoteText"/>
        <w:rPr>
          <w:lang w:val="en-AU"/>
        </w:rPr>
      </w:pPr>
    </w:p>
    <w:p w14:paraId="18DA6554" w14:textId="03BD0D65" w:rsidR="001F6F97" w:rsidRPr="0072758C" w:rsidRDefault="00194C28" w:rsidP="00D37F31">
      <w:pPr>
        <w:pStyle w:val="EndnoteText"/>
        <w:ind w:firstLine="720"/>
        <w:rPr>
          <w:iCs/>
          <w:lang w:val="en-AU"/>
        </w:rPr>
      </w:pPr>
      <w:r w:rsidRPr="0072758C">
        <w:rPr>
          <w:rStyle w:val="FootnoteReference"/>
          <w:lang w:val="en-AU"/>
        </w:rPr>
        <w:footnoteRef/>
      </w:r>
      <w:r w:rsidRPr="0072758C">
        <w:rPr>
          <w:lang w:val="en-AU"/>
        </w:rPr>
        <w:t xml:space="preserve"> Jacobs, </w:t>
      </w:r>
      <w:r w:rsidRPr="0072758C">
        <w:rPr>
          <w:i/>
          <w:iCs/>
          <w:lang w:val="en-AU"/>
        </w:rPr>
        <w:t xml:space="preserve">There Shall Be No Needy, </w:t>
      </w:r>
      <w:r w:rsidRPr="0072758C">
        <w:rPr>
          <w:iCs/>
          <w:lang w:val="en-AU"/>
        </w:rPr>
        <w:t>43.</w:t>
      </w:r>
      <w:r w:rsidR="001F6F97" w:rsidRPr="0072758C">
        <w:rPr>
          <w:iCs/>
          <w:lang w:val="en-AU"/>
        </w:rPr>
        <w:t xml:space="preserve"> This is supported by a look of </w:t>
      </w:r>
      <w:r w:rsidR="001F6F97" w:rsidRPr="0072758C">
        <w:rPr>
          <w:rtl/>
          <w:lang w:val="en-AU"/>
        </w:rPr>
        <w:t>צדקה</w:t>
      </w:r>
      <w:r w:rsidR="001F6F97" w:rsidRPr="0072758C">
        <w:rPr>
          <w:lang w:val="en-AU"/>
        </w:rPr>
        <w:t xml:space="preserve"> in the Septuagint, Jean Maurais, “Righteousness and Mercy in Greek Deuteronomy: On the Translation of </w:t>
      </w:r>
      <w:r w:rsidR="001F6F97" w:rsidRPr="0072758C">
        <w:rPr>
          <w:rtl/>
          <w:lang w:val="en-AU"/>
        </w:rPr>
        <w:t>צדקה</w:t>
      </w:r>
      <w:r w:rsidR="001F6F97" w:rsidRPr="0072758C">
        <w:rPr>
          <w:lang w:val="en-AU"/>
        </w:rPr>
        <w:t xml:space="preserve"> by Έλεημοσύνη</w:t>
      </w:r>
      <w:r w:rsidR="00A15475" w:rsidRPr="0072758C">
        <w:rPr>
          <w:lang w:val="en-AU"/>
        </w:rPr>
        <w:t>,</w:t>
      </w:r>
      <w:r w:rsidR="001F6F97" w:rsidRPr="0072758C">
        <w:rPr>
          <w:lang w:val="en-AU"/>
        </w:rPr>
        <w:t>” </w:t>
      </w:r>
      <w:r w:rsidR="001F6F97" w:rsidRPr="0072758C">
        <w:rPr>
          <w:i/>
          <w:iCs/>
          <w:lang w:val="en-AU"/>
        </w:rPr>
        <w:t>Journal of Septuagint and Cognate Studies</w:t>
      </w:r>
      <w:r w:rsidR="001F6F97" w:rsidRPr="0072758C">
        <w:rPr>
          <w:lang w:val="en-AU"/>
        </w:rPr>
        <w:t> 52 (2019): 107–17.</w:t>
      </w:r>
    </w:p>
  </w:footnote>
  <w:footnote w:id="426">
    <w:p w14:paraId="7F7AD13B" w14:textId="77777777" w:rsidR="00194C28" w:rsidRPr="0072758C" w:rsidRDefault="00194C28" w:rsidP="00D37F31">
      <w:pPr>
        <w:pStyle w:val="EndnoteText"/>
        <w:rPr>
          <w:lang w:val="en-AU"/>
        </w:rPr>
      </w:pPr>
    </w:p>
    <w:p w14:paraId="25B9CC21" w14:textId="77777777" w:rsidR="00194C28" w:rsidRPr="0072758C" w:rsidRDefault="00194C28" w:rsidP="00D37F31">
      <w:pPr>
        <w:pStyle w:val="EndnoteText"/>
        <w:ind w:firstLine="720"/>
        <w:rPr>
          <w:i/>
          <w:iCs/>
          <w:lang w:val="en-AU"/>
        </w:rPr>
      </w:pPr>
      <w:r w:rsidRPr="0072758C">
        <w:rPr>
          <w:rStyle w:val="FootnoteReference"/>
          <w:lang w:val="en-AU"/>
        </w:rPr>
        <w:footnoteRef/>
      </w:r>
      <w:r w:rsidRPr="0072758C">
        <w:rPr>
          <w:lang w:val="en-AU"/>
        </w:rPr>
        <w:t xml:space="preserve"> Silbiger, </w:t>
      </w:r>
      <w:r w:rsidRPr="0072758C">
        <w:rPr>
          <w:i/>
          <w:iCs/>
          <w:lang w:val="en-AU"/>
        </w:rPr>
        <w:t xml:space="preserve">The Jewish Phenomenon, </w:t>
      </w:r>
      <w:r w:rsidRPr="0072758C">
        <w:rPr>
          <w:iCs/>
          <w:lang w:val="en-AU"/>
        </w:rPr>
        <w:t>38.</w:t>
      </w:r>
    </w:p>
  </w:footnote>
  <w:footnote w:id="427">
    <w:p w14:paraId="63D8E607" w14:textId="77777777" w:rsidR="00194C28" w:rsidRPr="0072758C" w:rsidRDefault="00194C28" w:rsidP="00D37F31">
      <w:pPr>
        <w:pStyle w:val="EndnoteText"/>
        <w:rPr>
          <w:lang w:val="en-AU"/>
        </w:rPr>
      </w:pPr>
    </w:p>
    <w:p w14:paraId="12FD84CB" w14:textId="7777777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Joseph Telushkin, </w:t>
      </w:r>
      <w:r w:rsidRPr="0072758C">
        <w:rPr>
          <w:i/>
          <w:iCs/>
          <w:lang w:val="en-AU"/>
        </w:rPr>
        <w:t>A Code of Jewish Ethics</w:t>
      </w:r>
      <w:r w:rsidRPr="0072758C">
        <w:rPr>
          <w:lang w:val="en-AU"/>
        </w:rPr>
        <w:t xml:space="preserve"> (New York: Bell Tower, 2009), 156.</w:t>
      </w:r>
    </w:p>
  </w:footnote>
  <w:footnote w:id="428">
    <w:p w14:paraId="19ECF667" w14:textId="77777777" w:rsidR="00D37F31" w:rsidRPr="0072758C" w:rsidRDefault="00D37F31">
      <w:pPr>
        <w:pStyle w:val="EndnoteText"/>
        <w:rPr>
          <w:lang w:val="en-AU"/>
        </w:rPr>
      </w:pPr>
    </w:p>
    <w:p w14:paraId="43E2DC12" w14:textId="601A33E3" w:rsidR="00E57BFE"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Telushkin, </w:t>
      </w:r>
      <w:r w:rsidRPr="0072758C">
        <w:rPr>
          <w:i/>
          <w:iCs/>
          <w:lang w:val="en-AU"/>
        </w:rPr>
        <w:t>A Code of Jewish Ethics</w:t>
      </w:r>
      <w:r w:rsidRPr="0072758C">
        <w:rPr>
          <w:lang w:val="en-AU"/>
        </w:rPr>
        <w:t>, 156.</w:t>
      </w:r>
      <w:r w:rsidR="00E57BFE" w:rsidRPr="0072758C">
        <w:rPr>
          <w:lang w:val="en-AU"/>
        </w:rPr>
        <w:t xml:space="preserve"> Modern use of the term still is similar, see Rainer Barzen, </w:t>
      </w:r>
      <w:r w:rsidR="002F19C1" w:rsidRPr="0072758C">
        <w:rPr>
          <w:lang w:val="en-AU"/>
        </w:rPr>
        <w:t>“</w:t>
      </w:r>
      <w:r w:rsidR="00E57BFE" w:rsidRPr="0072758C">
        <w:rPr>
          <w:lang w:val="en-AU"/>
        </w:rPr>
        <w:t>The Meaning of ‘Tzedakah’ for Jewish Self-Organization within a Non-Jewish Environment</w:t>
      </w:r>
      <w:r w:rsidR="00A15475" w:rsidRPr="0072758C">
        <w:rPr>
          <w:lang w:val="en-AU"/>
        </w:rPr>
        <w:t>,</w:t>
      </w:r>
      <w:r w:rsidR="00E57BFE" w:rsidRPr="0072758C">
        <w:rPr>
          <w:lang w:val="en-AU"/>
        </w:rPr>
        <w:t>” </w:t>
      </w:r>
      <w:r w:rsidR="00E57BFE" w:rsidRPr="0072758C">
        <w:rPr>
          <w:i/>
          <w:iCs/>
          <w:lang w:val="en-AU"/>
        </w:rPr>
        <w:t xml:space="preserve">Iggud: Selected Essays in Jewish </w:t>
      </w:r>
      <w:r w:rsidR="00B0492C" w:rsidRPr="0072758C">
        <w:rPr>
          <w:i/>
          <w:iCs/>
          <w:lang w:val="en-AU"/>
        </w:rPr>
        <w:t>Studies</w:t>
      </w:r>
      <w:r w:rsidR="00E57BFE" w:rsidRPr="0072758C">
        <w:rPr>
          <w:lang w:val="en-AU"/>
        </w:rPr>
        <w:t xml:space="preserve"> (2005): 7–17. </w:t>
      </w:r>
    </w:p>
  </w:footnote>
  <w:footnote w:id="429">
    <w:p w14:paraId="1F25028A" w14:textId="77777777" w:rsidR="00194C28" w:rsidRPr="0072758C" w:rsidRDefault="00194C28" w:rsidP="00D37F31">
      <w:pPr>
        <w:pStyle w:val="EndnoteText"/>
        <w:rPr>
          <w:lang w:val="en-AU"/>
        </w:rPr>
      </w:pPr>
    </w:p>
    <w:p w14:paraId="69DF2BB7" w14:textId="77777777" w:rsidR="00194C28" w:rsidRPr="0072758C" w:rsidRDefault="00194C28" w:rsidP="00D37F31">
      <w:pPr>
        <w:pStyle w:val="EndnoteText"/>
        <w:ind w:firstLine="720"/>
        <w:rPr>
          <w:color w:val="FF0000"/>
          <w:lang w:val="en-AU"/>
        </w:rPr>
      </w:pPr>
      <w:r w:rsidRPr="0072758C">
        <w:rPr>
          <w:rStyle w:val="FootnoteReference"/>
          <w:lang w:val="en-AU"/>
        </w:rPr>
        <w:footnoteRef/>
      </w:r>
      <w:r w:rsidRPr="0072758C">
        <w:rPr>
          <w:lang w:val="en-AU"/>
        </w:rPr>
        <w:t xml:space="preserve"> Yasaif Asher Weiss, </w:t>
      </w:r>
      <w:r w:rsidRPr="0072758C">
        <w:rPr>
          <w:i/>
          <w:lang w:val="en-AU"/>
        </w:rPr>
        <w:t xml:space="preserve">Talmud </w:t>
      </w:r>
      <w:r w:rsidRPr="0072758C">
        <w:rPr>
          <w:lang w:val="en-AU"/>
        </w:rPr>
        <w:t>Bavli, (Brooklyn: Mesorah, 2009), 95.</w:t>
      </w:r>
    </w:p>
  </w:footnote>
  <w:footnote w:id="430">
    <w:p w14:paraId="319D058A" w14:textId="77777777" w:rsidR="00194C28" w:rsidRPr="0072758C" w:rsidRDefault="00194C28" w:rsidP="00D37F31">
      <w:pPr>
        <w:pStyle w:val="EndnoteText"/>
        <w:rPr>
          <w:lang w:val="en-AU"/>
        </w:rPr>
      </w:pPr>
    </w:p>
    <w:p w14:paraId="6FEA54D9" w14:textId="622A5BD2" w:rsidR="00194C28" w:rsidRPr="0072758C" w:rsidRDefault="00194C28" w:rsidP="00D37F31">
      <w:pPr>
        <w:pStyle w:val="EndnoteText"/>
        <w:ind w:firstLine="720"/>
        <w:rPr>
          <w:iCs/>
          <w:lang w:val="en-AU"/>
        </w:rPr>
      </w:pPr>
      <w:r w:rsidRPr="0072758C">
        <w:rPr>
          <w:rStyle w:val="FootnoteReference"/>
          <w:lang w:val="en-AU"/>
        </w:rPr>
        <w:footnoteRef/>
      </w:r>
      <w:r w:rsidRPr="0072758C">
        <w:rPr>
          <w:lang w:val="en-AU"/>
        </w:rPr>
        <w:t xml:space="preserve"> Jacobs, </w:t>
      </w:r>
      <w:r w:rsidRPr="0072758C">
        <w:rPr>
          <w:i/>
          <w:iCs/>
          <w:lang w:val="en-AU"/>
        </w:rPr>
        <w:t xml:space="preserve">There Shall Be No Needy, </w:t>
      </w:r>
      <w:r w:rsidRPr="0072758C">
        <w:rPr>
          <w:iCs/>
          <w:lang w:val="en-AU"/>
        </w:rPr>
        <w:t>12.</w:t>
      </w:r>
    </w:p>
    <w:p w14:paraId="0E117630" w14:textId="77777777" w:rsidR="00194C28" w:rsidRPr="0072758C" w:rsidRDefault="00194C28" w:rsidP="00D37F31">
      <w:pPr>
        <w:pStyle w:val="EndnoteText"/>
        <w:rPr>
          <w:iCs/>
          <w:lang w:val="en-AU"/>
        </w:rPr>
      </w:pPr>
    </w:p>
  </w:footnote>
  <w:footnote w:id="431">
    <w:p w14:paraId="22DC28F4" w14:textId="77777777" w:rsidR="00194C28" w:rsidRPr="0072758C" w:rsidRDefault="00194C28" w:rsidP="00D37F31">
      <w:pPr>
        <w:pStyle w:val="EndnoteText"/>
        <w:ind w:firstLine="720"/>
        <w:rPr>
          <w:iCs/>
          <w:lang w:val="en-AU"/>
        </w:rPr>
      </w:pPr>
      <w:r w:rsidRPr="0072758C">
        <w:rPr>
          <w:rStyle w:val="FootnoteReference"/>
          <w:lang w:val="en-AU"/>
        </w:rPr>
        <w:footnoteRef/>
      </w:r>
      <w:r w:rsidRPr="0072758C">
        <w:rPr>
          <w:lang w:val="en-AU"/>
        </w:rPr>
        <w:t xml:space="preserve"> Jacobs, </w:t>
      </w:r>
      <w:r w:rsidRPr="0072758C">
        <w:rPr>
          <w:i/>
          <w:iCs/>
          <w:lang w:val="en-AU"/>
        </w:rPr>
        <w:t xml:space="preserve">There Shall Be No Needy, </w:t>
      </w:r>
      <w:r w:rsidRPr="0072758C">
        <w:rPr>
          <w:iCs/>
          <w:lang w:val="en-AU"/>
        </w:rPr>
        <w:t>43.</w:t>
      </w:r>
    </w:p>
    <w:p w14:paraId="731BDDDF" w14:textId="77777777" w:rsidR="00194C28" w:rsidRPr="0072758C" w:rsidRDefault="00194C28" w:rsidP="00D37F31">
      <w:pPr>
        <w:pStyle w:val="EndnoteText"/>
        <w:rPr>
          <w:sz w:val="22"/>
          <w:szCs w:val="22"/>
          <w:lang w:val="en-AU"/>
        </w:rPr>
      </w:pPr>
    </w:p>
  </w:footnote>
  <w:footnote w:id="432">
    <w:p w14:paraId="2084483D" w14:textId="77777777" w:rsidR="00412182" w:rsidRPr="0072758C" w:rsidRDefault="00412182" w:rsidP="00D37F31">
      <w:pPr>
        <w:pStyle w:val="EndnoteText"/>
        <w:ind w:firstLine="720"/>
        <w:rPr>
          <w:lang w:val="en-AU"/>
        </w:rPr>
      </w:pPr>
      <w:r w:rsidRPr="0072758C">
        <w:rPr>
          <w:rStyle w:val="FootnoteReference"/>
          <w:lang w:val="en-AU"/>
        </w:rPr>
        <w:footnoteRef/>
      </w:r>
      <w:r w:rsidRPr="0072758C">
        <w:rPr>
          <w:lang w:val="en-AU"/>
        </w:rPr>
        <w:t xml:space="preserve"> The </w:t>
      </w:r>
      <w:r w:rsidRPr="0072758C">
        <w:rPr>
          <w:rtl/>
          <w:lang w:val="en-AU"/>
        </w:rPr>
        <w:t>מִשְׁכָּן</w:t>
      </w:r>
      <w:r w:rsidRPr="0072758C">
        <w:rPr>
          <w:lang w:val="en-AU"/>
        </w:rPr>
        <w:t xml:space="preserve"> was the portable sanctuary that the Israelites carried with them in the wilderness found in Exodus 25.</w:t>
      </w:r>
    </w:p>
    <w:p w14:paraId="0DD41A17" w14:textId="77777777" w:rsidR="00412182" w:rsidRPr="0072758C" w:rsidRDefault="00412182" w:rsidP="00D37F31">
      <w:pPr>
        <w:pStyle w:val="EndnoteText"/>
        <w:rPr>
          <w:lang w:val="en-AU"/>
        </w:rPr>
      </w:pPr>
    </w:p>
  </w:footnote>
  <w:footnote w:id="433">
    <w:p w14:paraId="0F1BADEC" w14:textId="49806F56"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Philip Blackman, </w:t>
      </w:r>
      <w:r w:rsidRPr="0072758C">
        <w:rPr>
          <w:i/>
          <w:iCs/>
          <w:lang w:val="en-AU"/>
        </w:rPr>
        <w:t xml:space="preserve">Ethics of the Fathers </w:t>
      </w:r>
      <w:r w:rsidRPr="0072758C">
        <w:rPr>
          <w:lang w:val="en-AU"/>
        </w:rPr>
        <w:t>(Gateshead: Judaica, 1979), 48.</w:t>
      </w:r>
    </w:p>
  </w:footnote>
  <w:footnote w:id="434">
    <w:p w14:paraId="33EBFE97" w14:textId="77777777" w:rsidR="00194C28" w:rsidRPr="0072758C" w:rsidRDefault="00194C28" w:rsidP="00D37F31">
      <w:pPr>
        <w:pStyle w:val="EndnoteText"/>
        <w:rPr>
          <w:lang w:val="en-AU"/>
        </w:rPr>
      </w:pPr>
    </w:p>
    <w:p w14:paraId="7F92C81C" w14:textId="04F2DFA8" w:rsidR="00194C28" w:rsidRPr="0072758C" w:rsidRDefault="00194C28" w:rsidP="00D37F31">
      <w:pPr>
        <w:pStyle w:val="EndnoteText"/>
        <w:ind w:firstLine="720"/>
        <w:rPr>
          <w:color w:val="FF0000"/>
          <w:lang w:val="en-AU"/>
        </w:rPr>
      </w:pPr>
      <w:r w:rsidRPr="0072758C">
        <w:rPr>
          <w:rStyle w:val="FootnoteReference"/>
          <w:lang w:val="en-AU"/>
        </w:rPr>
        <w:footnoteRef/>
      </w:r>
      <w:r w:rsidRPr="0072758C">
        <w:rPr>
          <w:lang w:val="en-AU"/>
        </w:rPr>
        <w:t xml:space="preserve"> Eliyahu Touger, </w:t>
      </w:r>
      <w:r w:rsidRPr="0072758C">
        <w:rPr>
          <w:i/>
          <w:lang w:val="en-AU"/>
        </w:rPr>
        <w:t xml:space="preserve">Pirkei </w:t>
      </w:r>
      <w:r w:rsidRPr="0072758C">
        <w:rPr>
          <w:lang w:val="en-AU"/>
        </w:rPr>
        <w:t xml:space="preserve">Avot (Brooklyn: Moznaim, 1994), 80.  </w:t>
      </w:r>
    </w:p>
  </w:footnote>
  <w:footnote w:id="435">
    <w:p w14:paraId="3D13D188" w14:textId="77777777" w:rsidR="00194C28" w:rsidRPr="0072758C" w:rsidRDefault="00194C28" w:rsidP="00D37F31">
      <w:pPr>
        <w:pStyle w:val="EndnoteText"/>
        <w:rPr>
          <w:lang w:val="en-AU"/>
        </w:rPr>
      </w:pPr>
    </w:p>
    <w:p w14:paraId="3C5A35E2" w14:textId="0C783918"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Shapiro, </w:t>
      </w:r>
      <w:r w:rsidRPr="0072758C">
        <w:rPr>
          <w:i/>
          <w:iCs/>
          <w:lang w:val="en-AU"/>
        </w:rPr>
        <w:t>Ethics of the Sages</w:t>
      </w:r>
      <w:r w:rsidRPr="0072758C">
        <w:rPr>
          <w:lang w:val="en-AU"/>
        </w:rPr>
        <w:t>, 20.</w:t>
      </w:r>
    </w:p>
    <w:p w14:paraId="7B32F248" w14:textId="77777777" w:rsidR="00D37F31" w:rsidRPr="0072758C" w:rsidRDefault="00D37F31" w:rsidP="00D37F31">
      <w:pPr>
        <w:pStyle w:val="EndnoteText"/>
        <w:ind w:firstLine="720"/>
        <w:rPr>
          <w:lang w:val="en-AU"/>
        </w:rPr>
      </w:pPr>
    </w:p>
  </w:footnote>
  <w:footnote w:id="436">
    <w:p w14:paraId="6BD1F305" w14:textId="15C0B09A"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See</w:t>
      </w:r>
      <w:r w:rsidRPr="0072758C">
        <w:rPr>
          <w:i/>
          <w:iCs/>
          <w:lang w:val="en-AU"/>
        </w:rPr>
        <w:t xml:space="preserve"> Matthew 14:14</w:t>
      </w:r>
      <w:r w:rsidR="005676E2" w:rsidRPr="0072758C">
        <w:rPr>
          <w:i/>
          <w:iCs/>
          <w:lang w:val="en-AU"/>
        </w:rPr>
        <w:t>–</w:t>
      </w:r>
      <w:r w:rsidRPr="0072758C">
        <w:rPr>
          <w:i/>
          <w:iCs/>
          <w:lang w:val="en-AU"/>
        </w:rPr>
        <w:t xml:space="preserve">16 </w:t>
      </w:r>
      <w:r w:rsidR="00863B47" w:rsidRPr="0072758C">
        <w:rPr>
          <w:lang w:val="en-AU"/>
        </w:rPr>
        <w:t>“</w:t>
      </w:r>
      <w:r w:rsidRPr="0072758C">
        <w:rPr>
          <w:lang w:val="en-AU"/>
        </w:rPr>
        <w:t xml:space="preserve">When he went ashore, he saw a great crowd; and he had compassion for them and cured their sick. When it was evening, the disciples came to him and said, </w:t>
      </w:r>
      <w:r w:rsidR="005C71CB" w:rsidRPr="0072758C">
        <w:rPr>
          <w:lang w:val="en-AU"/>
        </w:rPr>
        <w:t>‘</w:t>
      </w:r>
      <w:r w:rsidRPr="0072758C">
        <w:rPr>
          <w:lang w:val="en-AU"/>
        </w:rPr>
        <w:t>This is a deserted place, and the hour is now late; send the crowds away so that they may go into the villages and buy food for themselves.</w:t>
      </w:r>
      <w:r w:rsidR="005C71CB" w:rsidRPr="0072758C">
        <w:rPr>
          <w:lang w:val="en-AU"/>
        </w:rPr>
        <w:t>’</w:t>
      </w:r>
      <w:r w:rsidRPr="0072758C">
        <w:rPr>
          <w:lang w:val="en-AU"/>
        </w:rPr>
        <w:t xml:space="preserve">  Jesus said to them, </w:t>
      </w:r>
      <w:r w:rsidR="005C71CB" w:rsidRPr="0072758C">
        <w:rPr>
          <w:lang w:val="en-AU"/>
        </w:rPr>
        <w:t>‘</w:t>
      </w:r>
      <w:r w:rsidRPr="0072758C">
        <w:rPr>
          <w:lang w:val="en-AU"/>
        </w:rPr>
        <w:t>They need not go away; you give them something to eat.</w:t>
      </w:r>
      <w:r w:rsidR="005C71CB" w:rsidRPr="0072758C">
        <w:rPr>
          <w:lang w:val="en-AU"/>
        </w:rPr>
        <w:t>’</w:t>
      </w:r>
      <w:r w:rsidR="00863B47" w:rsidRPr="0072758C">
        <w:rPr>
          <w:lang w:val="en-AU"/>
        </w:rPr>
        <w:t>”</w:t>
      </w:r>
      <w:r w:rsidRPr="0072758C">
        <w:rPr>
          <w:lang w:val="en-AU"/>
        </w:rPr>
        <w:t> </w:t>
      </w:r>
    </w:p>
    <w:p w14:paraId="7064F170" w14:textId="77777777" w:rsidR="00194C28" w:rsidRPr="0072758C" w:rsidRDefault="00194C28" w:rsidP="00D37F31">
      <w:pPr>
        <w:pStyle w:val="EndnoteText"/>
        <w:rPr>
          <w:lang w:val="en-AU"/>
        </w:rPr>
      </w:pPr>
    </w:p>
  </w:footnote>
  <w:footnote w:id="437">
    <w:p w14:paraId="513B4AEA" w14:textId="72EDA7B4"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Worth, </w:t>
      </w:r>
      <w:r w:rsidRPr="0072758C">
        <w:rPr>
          <w:i/>
          <w:iCs/>
          <w:lang w:val="en-AU"/>
        </w:rPr>
        <w:t>The Sermon on the Mount</w:t>
      </w:r>
      <w:r w:rsidRPr="0072758C">
        <w:rPr>
          <w:lang w:val="en-AU"/>
        </w:rPr>
        <w:t xml:space="preserve">, 215. It is worth noting that in Judaism, there is not a virtue or a focus on being poor, as in a </w:t>
      </w:r>
      <w:r w:rsidR="005C71CB" w:rsidRPr="0072758C">
        <w:rPr>
          <w:lang w:val="en-AU"/>
        </w:rPr>
        <w:t>‘</w:t>
      </w:r>
      <w:r w:rsidRPr="0072758C">
        <w:rPr>
          <w:lang w:val="en-AU"/>
        </w:rPr>
        <w:t>vow of poverty</w:t>
      </w:r>
      <w:r w:rsidR="005C71CB" w:rsidRPr="0072758C">
        <w:rPr>
          <w:lang w:val="en-AU"/>
        </w:rPr>
        <w:t>’</w:t>
      </w:r>
      <w:r w:rsidRPr="0072758C">
        <w:rPr>
          <w:lang w:val="en-AU"/>
        </w:rPr>
        <w:t xml:space="preserve"> for a person. See</w:t>
      </w:r>
      <w:r w:rsidRPr="0072758C">
        <w:rPr>
          <w:i/>
          <w:iCs/>
          <w:lang w:val="en-AU"/>
        </w:rPr>
        <w:t xml:space="preserve"> </w:t>
      </w:r>
      <w:r w:rsidRPr="0072758C">
        <w:rPr>
          <w:lang w:val="en-AU"/>
        </w:rPr>
        <w:t xml:space="preserve">Ernst Troeltsch, </w:t>
      </w:r>
      <w:r w:rsidRPr="0072758C">
        <w:rPr>
          <w:i/>
          <w:iCs/>
          <w:lang w:val="en-AU"/>
        </w:rPr>
        <w:t>The Social Teaching of the Christian Churches</w:t>
      </w:r>
      <w:r w:rsidRPr="0072758C">
        <w:rPr>
          <w:lang w:val="en-AU"/>
        </w:rPr>
        <w:t xml:space="preserve"> (Westminster: John Knox Press, 1992). Judaism does not teach to seek poverty but to avoid it and did not focus on asceticism.</w:t>
      </w:r>
    </w:p>
    <w:p w14:paraId="71DC803B" w14:textId="77777777" w:rsidR="00194C28" w:rsidRPr="0072758C" w:rsidRDefault="00194C28" w:rsidP="00D37F31">
      <w:pPr>
        <w:pStyle w:val="EndnoteText"/>
        <w:rPr>
          <w:sz w:val="22"/>
          <w:szCs w:val="22"/>
          <w:lang w:val="en-AU"/>
        </w:rPr>
      </w:pPr>
    </w:p>
  </w:footnote>
  <w:footnote w:id="438">
    <w:p w14:paraId="33305623" w14:textId="7CEC9E8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Yaakov S. Licht, </w:t>
      </w:r>
      <w:r w:rsidR="00863B47" w:rsidRPr="0072758C">
        <w:rPr>
          <w:lang w:val="en-AU"/>
        </w:rPr>
        <w:t>“</w:t>
      </w:r>
      <w:r w:rsidR="00675764" w:rsidRPr="0072758C">
        <w:rPr>
          <w:lang w:val="en-AU"/>
        </w:rPr>
        <w:t>S</w:t>
      </w:r>
      <w:r w:rsidRPr="0072758C">
        <w:rPr>
          <w:lang w:val="en-AU"/>
        </w:rPr>
        <w:t>edaka,</w:t>
      </w:r>
      <w:r w:rsidR="00863B47" w:rsidRPr="0072758C">
        <w:rPr>
          <w:lang w:val="en-AU"/>
        </w:rPr>
        <w:t>”</w:t>
      </w:r>
      <w:r w:rsidRPr="0072758C">
        <w:rPr>
          <w:lang w:val="en-AU"/>
        </w:rPr>
        <w:t xml:space="preserve"> </w:t>
      </w:r>
      <w:r w:rsidRPr="0072758C">
        <w:rPr>
          <w:i/>
          <w:iCs/>
          <w:lang w:val="en-AU"/>
        </w:rPr>
        <w:t>Encyclopedia Biblica</w:t>
      </w:r>
      <w:r w:rsidRPr="0072758C">
        <w:rPr>
          <w:lang w:val="en-AU"/>
        </w:rPr>
        <w:t>, 6:679</w:t>
      </w:r>
      <w:r w:rsidR="005676E2" w:rsidRPr="0072758C">
        <w:rPr>
          <w:lang w:val="en-AU"/>
        </w:rPr>
        <w:t>–</w:t>
      </w:r>
      <w:r w:rsidRPr="0072758C">
        <w:rPr>
          <w:lang w:val="en-AU"/>
        </w:rPr>
        <w:t>681.</w:t>
      </w:r>
    </w:p>
    <w:p w14:paraId="60655C8C" w14:textId="77777777" w:rsidR="00194C28" w:rsidRPr="0072758C" w:rsidRDefault="00194C28" w:rsidP="00D37F31">
      <w:pPr>
        <w:pStyle w:val="EndnoteText"/>
        <w:rPr>
          <w:lang w:val="en-AU"/>
        </w:rPr>
      </w:pPr>
    </w:p>
  </w:footnote>
  <w:footnote w:id="439">
    <w:p w14:paraId="6AA9EC98" w14:textId="4A2825A1"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Alyssa M. Gray, </w:t>
      </w:r>
      <w:r w:rsidR="00863B47" w:rsidRPr="0072758C">
        <w:rPr>
          <w:lang w:val="en-AU"/>
        </w:rPr>
        <w:t>“</w:t>
      </w:r>
      <w:r w:rsidRPr="0072758C">
        <w:rPr>
          <w:lang w:val="en-AU"/>
        </w:rPr>
        <w:t>Redemptive Almsgivings and the Rabbis of Late Antiquity,</w:t>
      </w:r>
      <w:r w:rsidR="00863B47" w:rsidRPr="0072758C">
        <w:rPr>
          <w:lang w:val="en-AU"/>
        </w:rPr>
        <w:t>”</w:t>
      </w:r>
      <w:r w:rsidRPr="0072758C">
        <w:rPr>
          <w:lang w:val="en-AU"/>
        </w:rPr>
        <w:t xml:space="preserve"> JSQ 18 (2011): </w:t>
      </w:r>
      <w:bookmarkStart w:id="147" w:name="_Hlk81482651"/>
      <w:r w:rsidRPr="0072758C">
        <w:rPr>
          <w:lang w:val="en-AU"/>
        </w:rPr>
        <w:t>144</w:t>
      </w:r>
      <w:r w:rsidR="005676E2" w:rsidRPr="0072758C">
        <w:rPr>
          <w:lang w:val="en-AU"/>
        </w:rPr>
        <w:t>–</w:t>
      </w:r>
      <w:r w:rsidRPr="0072758C">
        <w:rPr>
          <w:lang w:val="en-AU"/>
        </w:rPr>
        <w:t>84</w:t>
      </w:r>
      <w:bookmarkEnd w:id="147"/>
      <w:r w:rsidRPr="0072758C">
        <w:rPr>
          <w:lang w:val="en-AU"/>
        </w:rPr>
        <w:t xml:space="preserve">. </w:t>
      </w:r>
    </w:p>
    <w:p w14:paraId="13E66826" w14:textId="77777777" w:rsidR="00194C28" w:rsidRPr="0072758C" w:rsidRDefault="00194C28" w:rsidP="00D37F31">
      <w:pPr>
        <w:pStyle w:val="EndnoteText"/>
        <w:rPr>
          <w:lang w:val="en-AU"/>
        </w:rPr>
      </w:pPr>
    </w:p>
  </w:footnote>
  <w:footnote w:id="440">
    <w:p w14:paraId="093646FC" w14:textId="7777777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Shaye J.D. Cohen, </w:t>
      </w:r>
      <w:r w:rsidRPr="0072758C">
        <w:rPr>
          <w:i/>
          <w:iCs/>
          <w:lang w:val="en-AU"/>
        </w:rPr>
        <w:t xml:space="preserve">The Rabbi in Second-Century Jewish Society, in The Cambridge History of Judaism, </w:t>
      </w:r>
      <w:r w:rsidRPr="0072758C">
        <w:rPr>
          <w:lang w:val="en-AU"/>
        </w:rPr>
        <w:t>(Cambridge: Cambridge University Press, 2008), 3:936.</w:t>
      </w:r>
    </w:p>
    <w:p w14:paraId="024DE879" w14:textId="77777777" w:rsidR="00194C28" w:rsidRPr="0072758C" w:rsidRDefault="00194C28" w:rsidP="00D37F31">
      <w:pPr>
        <w:pStyle w:val="EndnoteText"/>
        <w:rPr>
          <w:lang w:val="en-AU"/>
        </w:rPr>
      </w:pPr>
    </w:p>
  </w:footnote>
  <w:footnote w:id="441">
    <w:p w14:paraId="01DC22E8" w14:textId="7777777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Moshe Weinfeld</w:t>
      </w:r>
      <w:r w:rsidRPr="0072758C">
        <w:rPr>
          <w:i/>
          <w:iCs/>
          <w:lang w:val="en-AU"/>
        </w:rPr>
        <w:t>, Social Justice in Ancient Israel and in the Ancient Near East</w:t>
      </w:r>
      <w:r w:rsidRPr="0072758C">
        <w:rPr>
          <w:lang w:val="en-AU"/>
        </w:rPr>
        <w:t xml:space="preserve"> (Jerusalem: Magnes and Fortress, 1995), 25.</w:t>
      </w:r>
    </w:p>
    <w:p w14:paraId="7533D38E" w14:textId="77777777" w:rsidR="00194C28" w:rsidRPr="0072758C" w:rsidRDefault="00194C28" w:rsidP="00D37F31">
      <w:pPr>
        <w:pStyle w:val="EndnoteText"/>
        <w:rPr>
          <w:lang w:val="en-AU"/>
        </w:rPr>
      </w:pPr>
    </w:p>
  </w:footnote>
  <w:footnote w:id="442">
    <w:p w14:paraId="412AAFF0" w14:textId="28B4B368" w:rsidR="00194C28" w:rsidRPr="0072758C" w:rsidRDefault="00194C28" w:rsidP="009A2BAD">
      <w:pPr>
        <w:pStyle w:val="EndnoteText"/>
        <w:ind w:firstLine="720"/>
        <w:rPr>
          <w:i/>
          <w:iCs/>
          <w:lang w:val="en-AU"/>
        </w:rPr>
      </w:pPr>
      <w:r w:rsidRPr="0072758C">
        <w:rPr>
          <w:rStyle w:val="FootnoteReference"/>
          <w:lang w:val="en-AU"/>
        </w:rPr>
        <w:footnoteRef/>
      </w:r>
      <w:r w:rsidRPr="0072758C">
        <w:rPr>
          <w:lang w:val="en-AU"/>
        </w:rPr>
        <w:t xml:space="preserve"> Licht, </w:t>
      </w:r>
      <w:r w:rsidRPr="0072758C">
        <w:rPr>
          <w:i/>
          <w:iCs/>
          <w:lang w:val="en-AU"/>
        </w:rPr>
        <w:t>Encyclopadia Biblica</w:t>
      </w:r>
      <w:r w:rsidRPr="0072758C">
        <w:rPr>
          <w:lang w:val="en-AU"/>
        </w:rPr>
        <w:t xml:space="preserve"> 6:681</w:t>
      </w:r>
      <w:r w:rsidR="004820EA" w:rsidRPr="0072758C">
        <w:rPr>
          <w:lang w:val="en-AU"/>
        </w:rPr>
        <w:t xml:space="preserve">; </w:t>
      </w:r>
      <w:r w:rsidR="004820EA" w:rsidRPr="0072758C">
        <w:rPr>
          <w:rtl/>
          <w:lang w:val="en-AU"/>
        </w:rPr>
        <w:t>יעקב בזק. “למשמעות הצמד ‘משפט וצדקה’ במקרא</w:t>
      </w:r>
      <w:r w:rsidR="001E1B98" w:rsidRPr="0072758C">
        <w:rPr>
          <w:lang w:val="en-AU"/>
        </w:rPr>
        <w:t>,</w:t>
      </w:r>
      <w:r w:rsidR="004820EA" w:rsidRPr="0072758C">
        <w:rPr>
          <w:lang w:val="en-AU"/>
        </w:rPr>
        <w:t>” </w:t>
      </w:r>
      <w:r w:rsidR="004820EA" w:rsidRPr="0072758C">
        <w:rPr>
          <w:i/>
          <w:iCs/>
          <w:lang w:val="en-AU"/>
        </w:rPr>
        <w:t xml:space="preserve">Beit Mikra: Journal for the Study of the Bible and Its World / </w:t>
      </w:r>
      <w:r w:rsidR="004820EA" w:rsidRPr="0072758C">
        <w:rPr>
          <w:i/>
          <w:iCs/>
          <w:rtl/>
          <w:lang w:val="en-AU"/>
        </w:rPr>
        <w:t>בית מקרא: כתב-עת לחקר המקרא ועולמו</w:t>
      </w:r>
      <w:r w:rsidR="004820EA" w:rsidRPr="0072758C">
        <w:rPr>
          <w:rtl/>
          <w:lang w:val="en-AU"/>
        </w:rPr>
        <w:t> לב</w:t>
      </w:r>
      <w:r w:rsidR="004820EA" w:rsidRPr="0072758C">
        <w:rPr>
          <w:lang w:val="en-AU"/>
        </w:rPr>
        <w:t xml:space="preserve">, no. </w:t>
      </w:r>
      <w:r w:rsidR="004820EA" w:rsidRPr="0072758C">
        <w:rPr>
          <w:rtl/>
          <w:lang w:val="en-AU"/>
        </w:rPr>
        <w:t>ב (ק"ט</w:t>
      </w:r>
      <w:r w:rsidR="004820EA" w:rsidRPr="0072758C">
        <w:rPr>
          <w:lang w:val="en-AU"/>
        </w:rPr>
        <w:t>) (1987): 135–48;</w:t>
      </w:r>
      <w:r w:rsidR="00D36688" w:rsidRPr="0072758C">
        <w:rPr>
          <w:lang w:val="en-AU"/>
        </w:rPr>
        <w:t xml:space="preserve"> Steven Boyd, “The Biblical Case Against Counter-Social Justice: YHWH’s Demand for Justice and Righteousness</w:t>
      </w:r>
      <w:r w:rsidR="00F013F4" w:rsidRPr="0072758C">
        <w:rPr>
          <w:lang w:val="en-AU"/>
        </w:rPr>
        <w:t>,</w:t>
      </w:r>
      <w:r w:rsidR="00D36688" w:rsidRPr="0072758C">
        <w:rPr>
          <w:lang w:val="en-AU"/>
        </w:rPr>
        <w:t>” </w:t>
      </w:r>
      <w:r w:rsidR="00D36688" w:rsidRPr="0072758C">
        <w:rPr>
          <w:i/>
          <w:iCs/>
          <w:lang w:val="en-AU"/>
        </w:rPr>
        <w:t>The Journal of Ministry &amp; Theology</w:t>
      </w:r>
      <w:r w:rsidR="00D36688" w:rsidRPr="0072758C">
        <w:rPr>
          <w:lang w:val="en-AU"/>
        </w:rPr>
        <w:t> 24</w:t>
      </w:r>
      <w:r w:rsidR="0058535C" w:rsidRPr="0072758C">
        <w:rPr>
          <w:lang w:val="en-AU"/>
        </w:rPr>
        <w:t xml:space="preserve"> </w:t>
      </w:r>
      <w:r w:rsidR="00D36688" w:rsidRPr="0072758C">
        <w:rPr>
          <w:lang w:val="en-AU"/>
        </w:rPr>
        <w:t>(2020): 29–59</w:t>
      </w:r>
      <w:r w:rsidR="0067175E" w:rsidRPr="0072758C">
        <w:rPr>
          <w:lang w:val="en-AU"/>
        </w:rPr>
        <w:t>; William Domeris, “Justice or Righteousness?: Reading Matthew 5:6 in Context</w:t>
      </w:r>
      <w:r w:rsidR="001E1B98" w:rsidRPr="0072758C">
        <w:rPr>
          <w:lang w:val="en-AU"/>
        </w:rPr>
        <w:t>,</w:t>
      </w:r>
      <w:r w:rsidR="0067175E" w:rsidRPr="0072758C">
        <w:rPr>
          <w:lang w:val="en-AU"/>
        </w:rPr>
        <w:t>” </w:t>
      </w:r>
      <w:r w:rsidR="0067175E" w:rsidRPr="0072758C">
        <w:rPr>
          <w:i/>
          <w:iCs/>
          <w:lang w:val="en-AU"/>
        </w:rPr>
        <w:t>Conspectus</w:t>
      </w:r>
      <w:r w:rsidR="0067175E" w:rsidRPr="0072758C">
        <w:rPr>
          <w:lang w:val="en-AU"/>
        </w:rPr>
        <w:t xml:space="preserve">, </w:t>
      </w:r>
      <w:r w:rsidR="00680050" w:rsidRPr="0072758C">
        <w:rPr>
          <w:i/>
          <w:iCs/>
          <w:lang w:val="en-AU"/>
        </w:rPr>
        <w:t>Conspectus</w:t>
      </w:r>
      <w:r w:rsidR="00680050" w:rsidRPr="0072758C">
        <w:rPr>
          <w:lang w:val="en-AU"/>
        </w:rPr>
        <w:t xml:space="preserve"> (2018): 83–100. </w:t>
      </w:r>
      <w:r w:rsidR="00062963" w:rsidRPr="0072758C">
        <w:rPr>
          <w:lang w:val="en-AU"/>
        </w:rPr>
        <w:t>The king mentioned in Is</w:t>
      </w:r>
      <w:r w:rsidR="009B4E21" w:rsidRPr="0072758C">
        <w:rPr>
          <w:lang w:val="en-AU"/>
        </w:rPr>
        <w:t>a</w:t>
      </w:r>
      <w:r w:rsidR="00062963" w:rsidRPr="0072758C">
        <w:rPr>
          <w:lang w:val="en-AU"/>
        </w:rPr>
        <w:t xml:space="preserve">iah 32 is utilizing </w:t>
      </w:r>
      <w:r w:rsidR="00062963" w:rsidRPr="0072758C">
        <w:rPr>
          <w:rtl/>
          <w:lang w:val="en-AU"/>
        </w:rPr>
        <w:t>משפט וצדקה</w:t>
      </w:r>
      <w:r w:rsidR="00062963" w:rsidRPr="0072758C">
        <w:rPr>
          <w:lang w:val="en-AU"/>
        </w:rPr>
        <w:t xml:space="preserve"> in verse 16. </w:t>
      </w:r>
      <w:r w:rsidR="009B4E21" w:rsidRPr="0072758C">
        <w:rPr>
          <w:lang w:val="en-AU"/>
        </w:rPr>
        <w:t xml:space="preserve">Ezekiel 18:15 uses </w:t>
      </w:r>
      <w:r w:rsidR="009B4E21" w:rsidRPr="0072758C">
        <w:rPr>
          <w:rtl/>
          <w:lang w:val="en-AU"/>
        </w:rPr>
        <w:t>משפט וצדקה</w:t>
      </w:r>
      <w:r w:rsidR="009B4E21" w:rsidRPr="0072758C">
        <w:rPr>
          <w:lang w:val="en-AU"/>
        </w:rPr>
        <w:t xml:space="preserve"> in reference to God as the sovereign over the people depicting in a kingly manner the role of God over the people. 1 Kings 10:9 describes Yahweh as the sovereign king. Ezekiel 33:14-20 states “</w:t>
      </w:r>
      <w:r w:rsidR="009B4E21" w:rsidRPr="0072758C">
        <w:rPr>
          <w:b/>
          <w:bCs/>
          <w:vertAlign w:val="superscript"/>
          <w:lang w:val="en-AU"/>
        </w:rPr>
        <w:t>14 </w:t>
      </w:r>
      <w:r w:rsidR="009B4E21" w:rsidRPr="0072758C">
        <w:rPr>
          <w:lang w:val="en-AU"/>
        </w:rPr>
        <w:t>And if I say to a wicked person, ‘You will surely die,’ but they then turn away from their sin and do what is just and right— </w:t>
      </w:r>
      <w:r w:rsidR="009B4E21" w:rsidRPr="0072758C">
        <w:rPr>
          <w:b/>
          <w:bCs/>
          <w:vertAlign w:val="superscript"/>
          <w:lang w:val="en-AU"/>
        </w:rPr>
        <w:t>15 </w:t>
      </w:r>
      <w:r w:rsidR="009B4E21" w:rsidRPr="0072758C">
        <w:rPr>
          <w:lang w:val="en-AU"/>
        </w:rPr>
        <w:t>if they give back what they took in pledge for a loan, return what they have stolen, follow the decrees that give life, and do no evil—that person will surely live; they will not die. </w:t>
      </w:r>
      <w:r w:rsidR="009B4E21" w:rsidRPr="0072758C">
        <w:rPr>
          <w:b/>
          <w:bCs/>
          <w:vertAlign w:val="superscript"/>
          <w:lang w:val="en-AU"/>
        </w:rPr>
        <w:t>16 </w:t>
      </w:r>
      <w:r w:rsidR="009B4E21" w:rsidRPr="0072758C">
        <w:rPr>
          <w:lang w:val="en-AU"/>
        </w:rPr>
        <w:t>None of the sins that person has committed will be remembered against them. They have done what is just and right; they will surely live.</w:t>
      </w:r>
      <w:r w:rsidR="009B4E21" w:rsidRPr="0072758C">
        <w:rPr>
          <w:b/>
          <w:bCs/>
          <w:vertAlign w:val="superscript"/>
          <w:lang w:val="en-AU"/>
        </w:rPr>
        <w:t>17 </w:t>
      </w:r>
      <w:r w:rsidR="009B4E21" w:rsidRPr="0072758C">
        <w:rPr>
          <w:lang w:val="en-AU"/>
        </w:rPr>
        <w:t>Yet your people say, ‘The way of the Lord is not just.’ But it is their way that is not just. </w:t>
      </w:r>
      <w:r w:rsidR="009B4E21" w:rsidRPr="0072758C">
        <w:rPr>
          <w:b/>
          <w:bCs/>
          <w:vertAlign w:val="superscript"/>
          <w:lang w:val="en-AU"/>
        </w:rPr>
        <w:t>18 </w:t>
      </w:r>
      <w:r w:rsidR="009B4E21" w:rsidRPr="0072758C">
        <w:rPr>
          <w:lang w:val="en-AU"/>
        </w:rPr>
        <w:t>If a righteous person turns from their righteousness and does evil, they will die for it. </w:t>
      </w:r>
      <w:r w:rsidR="009B4E21" w:rsidRPr="0072758C">
        <w:rPr>
          <w:b/>
          <w:bCs/>
          <w:vertAlign w:val="superscript"/>
          <w:lang w:val="en-AU"/>
        </w:rPr>
        <w:t>19 </w:t>
      </w:r>
      <w:r w:rsidR="009B4E21" w:rsidRPr="0072758C">
        <w:rPr>
          <w:lang w:val="en-AU"/>
        </w:rPr>
        <w:t>And if a wicked person turns away from their wickedness and does what is just and right, they will live by doing so. </w:t>
      </w:r>
      <w:r w:rsidR="009B4E21" w:rsidRPr="0072758C">
        <w:rPr>
          <w:b/>
          <w:bCs/>
          <w:vertAlign w:val="superscript"/>
          <w:lang w:val="en-AU"/>
        </w:rPr>
        <w:t>20 </w:t>
      </w:r>
      <w:r w:rsidR="009B4E21" w:rsidRPr="0072758C">
        <w:rPr>
          <w:lang w:val="en-AU"/>
        </w:rPr>
        <w:t xml:space="preserve">Yet you Israelites say, ‘The way of the Lord is not just.’ But I will judge each of you according to your own ways.” This verse </w:t>
      </w:r>
      <w:r w:rsidR="0008402C" w:rsidRPr="0072758C">
        <w:rPr>
          <w:lang w:val="en-AU"/>
        </w:rPr>
        <w:t>utili</w:t>
      </w:r>
      <w:r w:rsidR="008D2EB1" w:rsidRPr="0072758C">
        <w:rPr>
          <w:lang w:val="en-AU"/>
        </w:rPr>
        <w:t>s</w:t>
      </w:r>
      <w:r w:rsidR="0008402C" w:rsidRPr="0072758C">
        <w:rPr>
          <w:lang w:val="en-AU"/>
        </w:rPr>
        <w:t xml:space="preserve">es </w:t>
      </w:r>
      <w:r w:rsidR="0008402C" w:rsidRPr="0072758C">
        <w:rPr>
          <w:rtl/>
          <w:lang w:val="en-AU"/>
        </w:rPr>
        <w:t>משפט וצדקה</w:t>
      </w:r>
      <w:r w:rsidR="0008402C" w:rsidRPr="0072758C">
        <w:rPr>
          <w:lang w:val="en-AU"/>
        </w:rPr>
        <w:t xml:space="preserve"> in terms of a wicked person returns improper loans given and does no evil, there is charity in their life. </w:t>
      </w:r>
    </w:p>
  </w:footnote>
  <w:footnote w:id="443">
    <w:p w14:paraId="2F23C570" w14:textId="77777777" w:rsidR="00194C28" w:rsidRPr="0072758C" w:rsidRDefault="00194C28" w:rsidP="00D37F31">
      <w:pPr>
        <w:pStyle w:val="EndnoteText"/>
        <w:rPr>
          <w:lang w:val="en-AU"/>
        </w:rPr>
      </w:pPr>
    </w:p>
    <w:p w14:paraId="0A5A2777" w14:textId="77777777" w:rsidR="00194C28" w:rsidRPr="0072758C" w:rsidRDefault="00194C28" w:rsidP="00D37F31">
      <w:pPr>
        <w:pStyle w:val="EndnoteText"/>
        <w:ind w:firstLine="720"/>
        <w:rPr>
          <w:i/>
          <w:iCs/>
          <w:lang w:val="en-AU"/>
        </w:rPr>
      </w:pPr>
      <w:r w:rsidRPr="0072758C">
        <w:rPr>
          <w:rStyle w:val="FootnoteReference"/>
          <w:lang w:val="en-AU"/>
        </w:rPr>
        <w:footnoteRef/>
      </w:r>
      <w:r w:rsidRPr="0072758C">
        <w:rPr>
          <w:lang w:val="en-AU"/>
        </w:rPr>
        <w:t xml:space="preserve"> Worth, </w:t>
      </w:r>
      <w:r w:rsidRPr="0072758C">
        <w:rPr>
          <w:i/>
          <w:iCs/>
          <w:lang w:val="en-AU"/>
        </w:rPr>
        <w:t xml:space="preserve">The Sermon on the Mount, </w:t>
      </w:r>
      <w:r w:rsidRPr="0072758C">
        <w:rPr>
          <w:iCs/>
          <w:lang w:val="en-AU"/>
        </w:rPr>
        <w:t>212</w:t>
      </w:r>
      <w:r w:rsidRPr="0072758C">
        <w:rPr>
          <w:i/>
          <w:iCs/>
          <w:lang w:val="en-AU"/>
        </w:rPr>
        <w:t>.</w:t>
      </w:r>
    </w:p>
  </w:footnote>
  <w:footnote w:id="444">
    <w:p w14:paraId="3FA8C889" w14:textId="77777777" w:rsidR="00194C28" w:rsidRPr="0072758C" w:rsidRDefault="00194C28" w:rsidP="00D37F31">
      <w:pPr>
        <w:pStyle w:val="EndnoteText"/>
        <w:rPr>
          <w:lang w:val="en-AU"/>
        </w:rPr>
      </w:pPr>
    </w:p>
    <w:p w14:paraId="49221479" w14:textId="7777777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Levine and Brettler, </w:t>
      </w:r>
      <w:r w:rsidRPr="0072758C">
        <w:rPr>
          <w:i/>
          <w:iCs/>
          <w:lang w:val="en-AU"/>
        </w:rPr>
        <w:t>The Jewish Annotated New Testament</w:t>
      </w:r>
      <w:r w:rsidRPr="0072758C">
        <w:rPr>
          <w:lang w:val="en-AU"/>
        </w:rPr>
        <w:t>, 12.</w:t>
      </w:r>
    </w:p>
    <w:p w14:paraId="3B784498" w14:textId="77777777" w:rsidR="00194C28" w:rsidRPr="0072758C" w:rsidRDefault="00194C28" w:rsidP="00D37F31">
      <w:pPr>
        <w:pStyle w:val="EndnoteText"/>
        <w:rPr>
          <w:lang w:val="en-AU"/>
        </w:rPr>
      </w:pPr>
    </w:p>
  </w:footnote>
  <w:footnote w:id="445">
    <w:p w14:paraId="0FEC3E82" w14:textId="7777777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See</w:t>
      </w:r>
      <w:r w:rsidRPr="0072758C">
        <w:rPr>
          <w:i/>
          <w:iCs/>
          <w:lang w:val="en-AU"/>
        </w:rPr>
        <w:t xml:space="preserve"> Exodus 22:25 (</w:t>
      </w:r>
      <w:r w:rsidRPr="0072758C">
        <w:rPr>
          <w:lang w:val="en-AU"/>
        </w:rPr>
        <w:t>NRSV) If you lend money to my people, to the poor among you, you shall not deal with them as a creditor; you shall not exact interest from them.</w:t>
      </w:r>
    </w:p>
    <w:p w14:paraId="7526B90C" w14:textId="77777777" w:rsidR="00194C28" w:rsidRPr="0072758C" w:rsidRDefault="00194C28" w:rsidP="00D37F31">
      <w:pPr>
        <w:pStyle w:val="EndnoteText"/>
        <w:rPr>
          <w:lang w:val="en-AU"/>
        </w:rPr>
      </w:pPr>
    </w:p>
  </w:footnote>
  <w:footnote w:id="446">
    <w:p w14:paraId="6995E78F" w14:textId="47683B84"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Rabbi Shimon bar Yochai studied under Rabbi Akiva</w:t>
      </w:r>
      <w:r w:rsidR="00FF53A8" w:rsidRPr="0072758C">
        <w:rPr>
          <w:lang w:val="en-AU"/>
        </w:rPr>
        <w:t xml:space="preserve"> and was active after the destruction of the Second Temple in 70 CE</w:t>
      </w:r>
      <w:r w:rsidRPr="0072758C">
        <w:rPr>
          <w:lang w:val="en-AU"/>
        </w:rPr>
        <w:t xml:space="preserve">. </w:t>
      </w:r>
    </w:p>
  </w:footnote>
  <w:footnote w:id="447">
    <w:p w14:paraId="6C94DAAE" w14:textId="77777777" w:rsidR="00201C8F" w:rsidRPr="0072758C" w:rsidRDefault="00201C8F" w:rsidP="00D37F31">
      <w:pPr>
        <w:pStyle w:val="EndnoteText"/>
        <w:rPr>
          <w:lang w:val="en-AU"/>
        </w:rPr>
      </w:pPr>
    </w:p>
    <w:p w14:paraId="25963F7F" w14:textId="35352784" w:rsidR="00201C8F" w:rsidRPr="0072758C" w:rsidRDefault="00201C8F" w:rsidP="00D37F31">
      <w:pPr>
        <w:pStyle w:val="EndnoteText"/>
        <w:ind w:firstLine="720"/>
        <w:rPr>
          <w:lang w:val="en-AU"/>
        </w:rPr>
      </w:pPr>
      <w:r w:rsidRPr="0072758C">
        <w:rPr>
          <w:rStyle w:val="FootnoteReference"/>
          <w:lang w:val="en-AU"/>
        </w:rPr>
        <w:footnoteRef/>
      </w:r>
      <w:r w:rsidRPr="0072758C">
        <w:rPr>
          <w:lang w:val="en-AU"/>
        </w:rPr>
        <w:t xml:space="preserve"> See,</w:t>
      </w:r>
      <w:r w:rsidRPr="0072758C">
        <w:rPr>
          <w:i/>
          <w:iCs/>
          <w:lang w:val="en-AU"/>
        </w:rPr>
        <w:t xml:space="preserve"> </w:t>
      </w:r>
      <w:r w:rsidRPr="0072758C">
        <w:rPr>
          <w:lang w:val="en-AU"/>
        </w:rPr>
        <w:t xml:space="preserve">Joachim Jeremias, </w:t>
      </w:r>
      <w:r w:rsidRPr="0072758C">
        <w:rPr>
          <w:i/>
          <w:iCs/>
          <w:lang w:val="en-AU"/>
        </w:rPr>
        <w:t xml:space="preserve">The Sermon on The Mount </w:t>
      </w:r>
      <w:r w:rsidRPr="0072758C">
        <w:rPr>
          <w:lang w:val="en-AU"/>
        </w:rPr>
        <w:t>(London: The Athlone Press, 1961); H.K. McArthur</w:t>
      </w:r>
      <w:r w:rsidRPr="0072758C">
        <w:rPr>
          <w:i/>
          <w:iCs/>
          <w:lang w:val="en-AU"/>
        </w:rPr>
        <w:t>, Understanding the Sermon on the Mount</w:t>
      </w:r>
      <w:r w:rsidRPr="0072758C">
        <w:rPr>
          <w:lang w:val="en-AU"/>
        </w:rPr>
        <w:t xml:space="preserve"> (London: Epworth Press, 1961); Ulrich Luz, </w:t>
      </w:r>
      <w:r w:rsidRPr="0072758C">
        <w:rPr>
          <w:i/>
          <w:iCs/>
          <w:lang w:val="en-AU"/>
        </w:rPr>
        <w:t>Studies in Matthew</w:t>
      </w:r>
      <w:r w:rsidRPr="0072758C">
        <w:rPr>
          <w:lang w:val="en-AU"/>
        </w:rPr>
        <w:t xml:space="preserve"> (Grand Rapids: Eerdmans, 2005).</w:t>
      </w:r>
      <w:r w:rsidR="00F34F57" w:rsidRPr="0072758C">
        <w:rPr>
          <w:lang w:val="en-AU"/>
        </w:rPr>
        <w:t xml:space="preserve"> See also Matthew S Goldstone, “The Structure of Matthew’s Antitheses in Light of Early Jewish, Christian and Rabbinic Sources</w:t>
      </w:r>
      <w:r w:rsidR="00A15475" w:rsidRPr="0072758C">
        <w:rPr>
          <w:lang w:val="en-AU"/>
        </w:rPr>
        <w:t>,</w:t>
      </w:r>
      <w:r w:rsidR="00F34F57" w:rsidRPr="0072758C">
        <w:rPr>
          <w:lang w:val="en-AU"/>
        </w:rPr>
        <w:t>” </w:t>
      </w:r>
      <w:r w:rsidR="00F34F57" w:rsidRPr="0072758C">
        <w:rPr>
          <w:i/>
          <w:iCs/>
          <w:lang w:val="en-AU"/>
        </w:rPr>
        <w:t>Journal for the Study of the New Testament</w:t>
      </w:r>
      <w:r w:rsidR="00F34F57" w:rsidRPr="0072758C">
        <w:rPr>
          <w:lang w:val="en-AU"/>
        </w:rPr>
        <w:t> 40</w:t>
      </w:r>
      <w:r w:rsidR="00E83F6C" w:rsidRPr="0072758C">
        <w:rPr>
          <w:lang w:val="en-AU"/>
        </w:rPr>
        <w:t xml:space="preserve"> </w:t>
      </w:r>
      <w:r w:rsidR="00F34F57" w:rsidRPr="0072758C">
        <w:rPr>
          <w:lang w:val="en-AU"/>
        </w:rPr>
        <w:t>(2017): 214–35.</w:t>
      </w:r>
    </w:p>
    <w:p w14:paraId="100EAF66" w14:textId="77777777" w:rsidR="00201C8F" w:rsidRPr="0072758C" w:rsidRDefault="00201C8F" w:rsidP="00D37F31">
      <w:pPr>
        <w:pStyle w:val="EndnoteText"/>
        <w:rPr>
          <w:lang w:val="en-AU"/>
        </w:rPr>
      </w:pPr>
      <w:r w:rsidRPr="0072758C">
        <w:rPr>
          <w:lang w:val="en-AU"/>
        </w:rPr>
        <w:t> </w:t>
      </w:r>
    </w:p>
  </w:footnote>
  <w:footnote w:id="448">
    <w:p w14:paraId="189EF3E3" w14:textId="5339D183" w:rsidR="00F34F57" w:rsidRPr="0072758C" w:rsidRDefault="00201C8F" w:rsidP="00D37F31">
      <w:pPr>
        <w:pStyle w:val="EndnoteText"/>
        <w:ind w:firstLine="720"/>
        <w:rPr>
          <w:color w:val="000000"/>
          <w:shd w:val="clear" w:color="auto" w:fill="FFFFFF"/>
          <w:lang w:val="en-AU"/>
        </w:rPr>
      </w:pPr>
      <w:r w:rsidRPr="0072758C">
        <w:rPr>
          <w:rStyle w:val="FootnoteReference"/>
          <w:lang w:val="en-AU"/>
        </w:rPr>
        <w:footnoteRef/>
      </w:r>
      <w:r w:rsidRPr="0072758C">
        <w:rPr>
          <w:lang w:val="en-AU"/>
        </w:rPr>
        <w:t xml:space="preserve"> For recent scholarship linking the Sermon on the Mount with the concept of virtue ethics, see William C. Mattison III, </w:t>
      </w:r>
      <w:r w:rsidRPr="0072758C">
        <w:rPr>
          <w:i/>
          <w:iCs/>
          <w:lang w:val="en-AU"/>
        </w:rPr>
        <w:t xml:space="preserve">The Sermon on the Mount and Moral Theology: A Virtue Perspective </w:t>
      </w:r>
      <w:r w:rsidRPr="0072758C">
        <w:rPr>
          <w:lang w:val="en-AU"/>
        </w:rPr>
        <w:t xml:space="preserve">(Cambridge: Cambridge University Press, 2017).  </w:t>
      </w:r>
      <w:r w:rsidR="00481913" w:rsidRPr="0072758C">
        <w:rPr>
          <w:lang w:val="en-AU"/>
        </w:rPr>
        <w:t>There are some Christians who see the Sermon as being about a future kingdom of heaven yet to come.</w:t>
      </w:r>
      <w:r w:rsidR="00481913" w:rsidRPr="0072758C">
        <w:rPr>
          <w:color w:val="000000"/>
          <w:shd w:val="clear" w:color="auto" w:fill="FFFFFF"/>
          <w:lang w:val="en-AU"/>
        </w:rPr>
        <w:t xml:space="preserve"> Rebecca Esterson, “Allegory and Religious Pluralism: Biblical Interpretation in the Eighteenth Century,” </w:t>
      </w:r>
      <w:r w:rsidR="00481913" w:rsidRPr="0072758C">
        <w:rPr>
          <w:i/>
          <w:iCs/>
          <w:color w:val="000000"/>
          <w:shd w:val="clear" w:color="auto" w:fill="FFFFFF"/>
          <w:lang w:val="en-AU"/>
        </w:rPr>
        <w:t>Journal of the Bible and Its Reception</w:t>
      </w:r>
      <w:r w:rsidR="00481913" w:rsidRPr="0072758C">
        <w:rPr>
          <w:color w:val="000000"/>
          <w:shd w:val="clear" w:color="auto" w:fill="FFFFFF"/>
          <w:lang w:val="en-AU"/>
        </w:rPr>
        <w:t xml:space="preserve"> 5 (2018): 111–139.</w:t>
      </w:r>
      <w:r w:rsidR="00F34F57" w:rsidRPr="0072758C">
        <w:rPr>
          <w:color w:val="000000"/>
          <w:shd w:val="clear" w:color="auto" w:fill="FFFFFF"/>
          <w:lang w:val="en-AU"/>
        </w:rPr>
        <w:t xml:space="preserve"> See also </w:t>
      </w:r>
      <w:r w:rsidR="00F34F57" w:rsidRPr="0072758C">
        <w:rPr>
          <w:lang w:val="en-AU"/>
        </w:rPr>
        <w:t>Charles Nathan Ridlehoover, “The Sermon on the Mount and Moral Theology: A Deontological Virtue Ethic of Response Approach</w:t>
      </w:r>
      <w:r w:rsidR="00A15475" w:rsidRPr="0072758C">
        <w:rPr>
          <w:lang w:val="en-AU"/>
        </w:rPr>
        <w:t>,</w:t>
      </w:r>
      <w:r w:rsidR="00F34F57" w:rsidRPr="0072758C">
        <w:rPr>
          <w:lang w:val="en-AU"/>
        </w:rPr>
        <w:t>” </w:t>
      </w:r>
      <w:r w:rsidR="00F34F57" w:rsidRPr="0072758C">
        <w:rPr>
          <w:i/>
          <w:iCs/>
          <w:lang w:val="en-AU"/>
        </w:rPr>
        <w:t>Journal of the Evangelical Theological Society</w:t>
      </w:r>
      <w:r w:rsidR="00F34F57" w:rsidRPr="0072758C">
        <w:rPr>
          <w:lang w:val="en-AU"/>
        </w:rPr>
        <w:t> 63</w:t>
      </w:r>
      <w:r w:rsidR="00DA2EFC" w:rsidRPr="0072758C">
        <w:rPr>
          <w:lang w:val="en-AU"/>
        </w:rPr>
        <w:t xml:space="preserve"> </w:t>
      </w:r>
      <w:r w:rsidR="00F34F57" w:rsidRPr="0072758C">
        <w:rPr>
          <w:lang w:val="en-AU"/>
        </w:rPr>
        <w:t>(2020): 267–80. </w:t>
      </w:r>
    </w:p>
    <w:p w14:paraId="2228A6A7" w14:textId="77777777" w:rsidR="00201C8F" w:rsidRPr="0072758C" w:rsidRDefault="00201C8F" w:rsidP="00D37F31">
      <w:pPr>
        <w:pStyle w:val="EndnoteText"/>
        <w:rPr>
          <w:lang w:val="en-AU"/>
        </w:rPr>
      </w:pPr>
    </w:p>
  </w:footnote>
  <w:footnote w:id="449">
    <w:p w14:paraId="0C8E2A17" w14:textId="2C9C3E5A" w:rsidR="00201C8F" w:rsidRPr="0072758C" w:rsidRDefault="00201C8F" w:rsidP="00680050">
      <w:pPr>
        <w:pStyle w:val="EndnoteText"/>
        <w:ind w:firstLine="720"/>
        <w:rPr>
          <w:lang w:val="en-AU"/>
        </w:rPr>
      </w:pPr>
      <w:r w:rsidRPr="0072758C">
        <w:rPr>
          <w:rStyle w:val="FootnoteReference"/>
          <w:lang w:val="en-AU"/>
        </w:rPr>
        <w:footnoteRef/>
      </w:r>
      <w:r w:rsidRPr="0072758C">
        <w:rPr>
          <w:lang w:val="en-AU"/>
        </w:rPr>
        <w:t xml:space="preserve"> For scholarship on how Jesus lived the ethical values contained in the Beatitudes, see, Daniel M. Doriani, </w:t>
      </w:r>
      <w:r w:rsidRPr="0072758C">
        <w:rPr>
          <w:i/>
          <w:iCs/>
          <w:lang w:val="en-AU"/>
        </w:rPr>
        <w:t xml:space="preserve">The Sermon on the Mount: The Character of a Disciple </w:t>
      </w:r>
      <w:r w:rsidRPr="0072758C">
        <w:rPr>
          <w:lang w:val="en-AU"/>
        </w:rPr>
        <w:t>(Phillipsburg: P &amp; R Publishing, 2006).</w:t>
      </w:r>
    </w:p>
    <w:p w14:paraId="44F16A87" w14:textId="77777777" w:rsidR="00201C8F" w:rsidRPr="0072758C" w:rsidRDefault="00201C8F" w:rsidP="00D37F31">
      <w:pPr>
        <w:pStyle w:val="EndnoteText"/>
        <w:rPr>
          <w:lang w:val="en-AU"/>
        </w:rPr>
      </w:pPr>
    </w:p>
  </w:footnote>
  <w:footnote w:id="450">
    <w:p w14:paraId="1DDACA53" w14:textId="3D659057" w:rsidR="00A50A30" w:rsidRPr="0072758C" w:rsidRDefault="00201C8F" w:rsidP="00D37F31">
      <w:pPr>
        <w:pStyle w:val="EndnoteText"/>
        <w:ind w:firstLine="720"/>
        <w:rPr>
          <w:lang w:val="en-AU"/>
        </w:rPr>
      </w:pPr>
      <w:r w:rsidRPr="0072758C">
        <w:rPr>
          <w:rStyle w:val="FootnoteReference"/>
          <w:lang w:val="en-AU"/>
        </w:rPr>
        <w:footnoteRef/>
      </w:r>
      <w:r w:rsidRPr="0072758C">
        <w:rPr>
          <w:lang w:val="en-AU"/>
        </w:rPr>
        <w:t xml:space="preserve"> Some scholarship depicts these verses as a foreshadowing on future apocalyptic times. Although this may be tree, the focus on this dissertation is on the historical aspect during the life of Jesus. For more scholarship around the premise that the discussions are for a future period of peace, see</w:t>
      </w:r>
      <w:r w:rsidRPr="0072758C">
        <w:rPr>
          <w:i/>
          <w:iCs/>
          <w:lang w:val="en-AU"/>
        </w:rPr>
        <w:t xml:space="preserve">, </w:t>
      </w:r>
      <w:r w:rsidRPr="0072758C">
        <w:rPr>
          <w:lang w:val="en-AU"/>
        </w:rPr>
        <w:t xml:space="preserve">Herman N. Ridderbos, </w:t>
      </w:r>
      <w:r w:rsidRPr="0072758C">
        <w:rPr>
          <w:i/>
          <w:iCs/>
          <w:lang w:val="en-AU"/>
        </w:rPr>
        <w:t>Coming of the Kingdom</w:t>
      </w:r>
      <w:r w:rsidRPr="0072758C">
        <w:rPr>
          <w:lang w:val="en-AU"/>
        </w:rPr>
        <w:t xml:space="preserve"> (Phillipsburg: P &amp; R Publishing, 1962); David Brown, A. R. Fausset, and Robert Jamieson, </w:t>
      </w:r>
      <w:r w:rsidRPr="0072758C">
        <w:rPr>
          <w:i/>
          <w:iCs/>
          <w:lang w:val="en-AU"/>
        </w:rPr>
        <w:t>A Commentary, Critical, Experimental, and Practical, on the Old and New Testaments: vol. V</w:t>
      </w:r>
      <w:r w:rsidRPr="0072758C">
        <w:rPr>
          <w:lang w:val="en-AU"/>
        </w:rPr>
        <w:t xml:space="preserve"> (London: William Collins, Sons, &amp; Company, Limited, 1984).</w:t>
      </w:r>
      <w:r w:rsidR="00A50A30" w:rsidRPr="0072758C">
        <w:rPr>
          <w:lang w:val="en-AU"/>
        </w:rPr>
        <w:t xml:space="preserve"> For a discussion of revenge according to Matthew and Leviticus 19:17-18, see Matthew S. Goldstone, “Rebuke, Lending, and Love: An Early Exegetical Tradition on Leviticus 19:17-18</w:t>
      </w:r>
      <w:r w:rsidR="00A64FDA" w:rsidRPr="0072758C">
        <w:rPr>
          <w:lang w:val="en-AU"/>
        </w:rPr>
        <w:t>,</w:t>
      </w:r>
      <w:r w:rsidR="00A50A30" w:rsidRPr="0072758C">
        <w:rPr>
          <w:lang w:val="en-AU"/>
        </w:rPr>
        <w:t>” </w:t>
      </w:r>
      <w:r w:rsidR="00A50A30" w:rsidRPr="0072758C">
        <w:rPr>
          <w:i/>
          <w:iCs/>
          <w:lang w:val="en-AU"/>
        </w:rPr>
        <w:t>Journal of Biblical Literature</w:t>
      </w:r>
      <w:r w:rsidR="00A50A30" w:rsidRPr="0072758C">
        <w:rPr>
          <w:lang w:val="en-AU"/>
        </w:rPr>
        <w:t> 136 (2017): 307–21.</w:t>
      </w:r>
    </w:p>
    <w:p w14:paraId="3E8A2EFC" w14:textId="77777777" w:rsidR="00A50A30" w:rsidRPr="0072758C" w:rsidRDefault="00A50A30" w:rsidP="00D37F31">
      <w:pPr>
        <w:pStyle w:val="EndnoteText"/>
        <w:rPr>
          <w:i/>
          <w:iCs/>
          <w:lang w:val="en-AU"/>
        </w:rPr>
      </w:pPr>
    </w:p>
  </w:footnote>
  <w:footnote w:id="451">
    <w:p w14:paraId="2E6392D1" w14:textId="107E3F6D" w:rsidR="002A6F69" w:rsidRPr="0072758C" w:rsidRDefault="00201C8F" w:rsidP="00D37F31">
      <w:pPr>
        <w:pStyle w:val="EndnoteText"/>
        <w:ind w:firstLine="720"/>
        <w:rPr>
          <w:lang w:val="en-AU"/>
        </w:rPr>
      </w:pPr>
      <w:r w:rsidRPr="0072758C">
        <w:rPr>
          <w:rStyle w:val="FootnoteReference"/>
          <w:lang w:val="en-AU"/>
        </w:rPr>
        <w:footnoteRef/>
      </w:r>
      <w:r w:rsidRPr="0072758C">
        <w:rPr>
          <w:lang w:val="en-AU"/>
        </w:rPr>
        <w:t xml:space="preserve"> Przybylski, </w:t>
      </w:r>
      <w:r w:rsidRPr="0072758C">
        <w:rPr>
          <w:i/>
          <w:iCs/>
          <w:lang w:val="en-AU"/>
        </w:rPr>
        <w:t>Righteousness in Matthew and His World of Thought</w:t>
      </w:r>
      <w:r w:rsidRPr="0072758C">
        <w:rPr>
          <w:lang w:val="en-AU"/>
        </w:rPr>
        <w:t>, 81; Przybylski uses the term, six antitheses, even though he does not agree with the meaning the term carries.</w:t>
      </w:r>
      <w:r w:rsidR="002A6F69" w:rsidRPr="0072758C">
        <w:rPr>
          <w:lang w:val="en-AU"/>
        </w:rPr>
        <w:t xml:space="preserve">  See also Michael Morris, “Deuteronomy in the Matthean and Lucan Temptation in Light of Early Jewish Antidemonic Tradition</w:t>
      </w:r>
      <w:r w:rsidR="00A15475" w:rsidRPr="0072758C">
        <w:rPr>
          <w:lang w:val="en-AU"/>
        </w:rPr>
        <w:t>,” </w:t>
      </w:r>
      <w:r w:rsidR="002A6F69" w:rsidRPr="0072758C">
        <w:rPr>
          <w:i/>
          <w:iCs/>
          <w:lang w:val="en-AU"/>
        </w:rPr>
        <w:t>Catholic Biblical Quarterly</w:t>
      </w:r>
      <w:r w:rsidR="002A6F69" w:rsidRPr="0072758C">
        <w:rPr>
          <w:lang w:val="en-AU"/>
        </w:rPr>
        <w:t> 78 (2016): 290–301. </w:t>
      </w:r>
    </w:p>
    <w:p w14:paraId="55F1EFBF" w14:textId="5D6F3DC6" w:rsidR="00201C8F" w:rsidRPr="0072758C" w:rsidRDefault="00201C8F" w:rsidP="00AB7CAD">
      <w:pPr>
        <w:pStyle w:val="EndnoteText"/>
        <w:rPr>
          <w:lang w:val="en-AU"/>
        </w:rPr>
      </w:pPr>
    </w:p>
  </w:footnote>
  <w:footnote w:id="452">
    <w:p w14:paraId="3D8753B8" w14:textId="6A68180B" w:rsidR="00201C8F" w:rsidRPr="0072758C" w:rsidRDefault="00201C8F" w:rsidP="00AB7CAD">
      <w:pPr>
        <w:pStyle w:val="EndnoteText"/>
        <w:ind w:firstLine="720"/>
        <w:rPr>
          <w:lang w:val="en-AU"/>
        </w:rPr>
      </w:pPr>
      <w:r w:rsidRPr="0072758C">
        <w:rPr>
          <w:rStyle w:val="FootnoteReference"/>
          <w:lang w:val="en-AU"/>
        </w:rPr>
        <w:footnoteRef/>
      </w:r>
      <w:r w:rsidRPr="0072758C">
        <w:rPr>
          <w:lang w:val="en-AU"/>
        </w:rPr>
        <w:t xml:space="preserve"> Bornkamm, “</w:t>
      </w:r>
      <w:r w:rsidR="00B62912" w:rsidRPr="0072758C">
        <w:rPr>
          <w:lang w:val="en-AU"/>
        </w:rPr>
        <w:t xml:space="preserve">Tradition and Interpretation in </w:t>
      </w:r>
      <w:r w:rsidRPr="0072758C">
        <w:rPr>
          <w:lang w:val="en-AU"/>
        </w:rPr>
        <w:t>Matthew,” 25</w:t>
      </w:r>
      <w:r w:rsidR="007C083C" w:rsidRPr="0072758C">
        <w:rPr>
          <w:lang w:val="en-AU"/>
        </w:rPr>
        <w:t>; Élian Cuvillier, “Torah Observance and Radicalization in the First Gospel. Matthew and First-Century Judaism: A Contribution to the Debate</w:t>
      </w:r>
      <w:r w:rsidR="00A15475" w:rsidRPr="0072758C">
        <w:rPr>
          <w:lang w:val="en-AU"/>
        </w:rPr>
        <w:t>,</w:t>
      </w:r>
      <w:r w:rsidR="007C083C" w:rsidRPr="0072758C">
        <w:rPr>
          <w:lang w:val="en-AU"/>
        </w:rPr>
        <w:t>” </w:t>
      </w:r>
      <w:r w:rsidR="007C083C" w:rsidRPr="0072758C">
        <w:rPr>
          <w:i/>
          <w:iCs/>
          <w:lang w:val="en-AU"/>
        </w:rPr>
        <w:t>New Testament Studies</w:t>
      </w:r>
      <w:r w:rsidR="007C083C" w:rsidRPr="0072758C">
        <w:rPr>
          <w:lang w:val="en-AU"/>
        </w:rPr>
        <w:t> 55</w:t>
      </w:r>
      <w:r w:rsidR="00DA2EFC" w:rsidRPr="0072758C">
        <w:rPr>
          <w:lang w:val="en-AU"/>
        </w:rPr>
        <w:t xml:space="preserve"> </w:t>
      </w:r>
      <w:r w:rsidR="007C083C" w:rsidRPr="0072758C">
        <w:rPr>
          <w:lang w:val="en-AU"/>
        </w:rPr>
        <w:t>(2009): 144–59; Bradley Trout, “Matthew 5:17 and Matthew’s Community</w:t>
      </w:r>
      <w:r w:rsidR="00A15475" w:rsidRPr="0072758C">
        <w:rPr>
          <w:lang w:val="en-AU"/>
        </w:rPr>
        <w:t>,</w:t>
      </w:r>
      <w:r w:rsidR="007C083C" w:rsidRPr="0072758C">
        <w:rPr>
          <w:lang w:val="en-AU"/>
        </w:rPr>
        <w:t>” </w:t>
      </w:r>
      <w:r w:rsidR="007C083C" w:rsidRPr="0072758C">
        <w:rPr>
          <w:i/>
          <w:iCs/>
          <w:lang w:val="en-AU"/>
        </w:rPr>
        <w:t>Hervormde Teologiese Studies</w:t>
      </w:r>
      <w:r w:rsidR="007C083C" w:rsidRPr="0072758C">
        <w:rPr>
          <w:lang w:val="en-AU"/>
        </w:rPr>
        <w:t> 72</w:t>
      </w:r>
      <w:r w:rsidR="00DA2EFC" w:rsidRPr="0072758C">
        <w:rPr>
          <w:lang w:val="en-AU"/>
        </w:rPr>
        <w:t xml:space="preserve"> </w:t>
      </w:r>
      <w:r w:rsidR="007C083C" w:rsidRPr="0072758C">
        <w:rPr>
          <w:lang w:val="en-AU"/>
        </w:rPr>
        <w:t>(2016): 1–6; Francois P. Viljoen</w:t>
      </w:r>
      <w:r w:rsidR="00A64FDA" w:rsidRPr="0072758C">
        <w:rPr>
          <w:lang w:val="en-AU"/>
        </w:rPr>
        <w:t>,</w:t>
      </w:r>
      <w:r w:rsidR="007C083C" w:rsidRPr="0072758C">
        <w:rPr>
          <w:lang w:val="en-AU"/>
        </w:rPr>
        <w:t xml:space="preserve"> “Jesus’ Teaching on the ‘Torah’ in the Sermon on the Mount</w:t>
      </w:r>
      <w:r w:rsidR="00A15475" w:rsidRPr="0072758C">
        <w:rPr>
          <w:lang w:val="en-AU"/>
        </w:rPr>
        <w:t>,</w:t>
      </w:r>
      <w:r w:rsidR="007C083C" w:rsidRPr="0072758C">
        <w:rPr>
          <w:lang w:val="en-AU"/>
        </w:rPr>
        <w:t>” </w:t>
      </w:r>
      <w:r w:rsidR="007C083C" w:rsidRPr="0072758C">
        <w:rPr>
          <w:i/>
          <w:iCs/>
          <w:lang w:val="en-AU"/>
        </w:rPr>
        <w:t>Neotestamentica</w:t>
      </w:r>
      <w:r w:rsidR="007C083C" w:rsidRPr="0072758C">
        <w:rPr>
          <w:lang w:val="en-AU"/>
        </w:rPr>
        <w:t> 40</w:t>
      </w:r>
      <w:r w:rsidR="00A15475" w:rsidRPr="0072758C">
        <w:rPr>
          <w:lang w:val="en-AU"/>
        </w:rPr>
        <w:t xml:space="preserve"> </w:t>
      </w:r>
      <w:r w:rsidR="007C083C" w:rsidRPr="0072758C">
        <w:rPr>
          <w:lang w:val="en-AU"/>
        </w:rPr>
        <w:t>(2006): 135–55; Karin Bornkamm, “Umstrittener ‘Spiegel Eines Christlichen Lebens’ Luthers Auslegung Der Bergpredigt in Seinen Wochenpredigten von 1530 Bis 1532</w:t>
      </w:r>
      <w:r w:rsidR="00A15475" w:rsidRPr="0072758C">
        <w:rPr>
          <w:lang w:val="en-AU"/>
        </w:rPr>
        <w:t>,</w:t>
      </w:r>
      <w:r w:rsidR="007C083C" w:rsidRPr="0072758C">
        <w:rPr>
          <w:lang w:val="en-AU"/>
        </w:rPr>
        <w:t>” </w:t>
      </w:r>
      <w:r w:rsidR="007C083C" w:rsidRPr="0072758C">
        <w:rPr>
          <w:i/>
          <w:iCs/>
          <w:lang w:val="en-AU"/>
        </w:rPr>
        <w:t>Zeitschrift Für Theologie Und Kirche</w:t>
      </w:r>
      <w:r w:rsidR="007C083C" w:rsidRPr="0072758C">
        <w:rPr>
          <w:lang w:val="en-AU"/>
        </w:rPr>
        <w:t> 85 (1988): 409–54.</w:t>
      </w:r>
    </w:p>
    <w:p w14:paraId="0BA391D0" w14:textId="77777777" w:rsidR="00201C8F" w:rsidRPr="0072758C" w:rsidRDefault="00201C8F" w:rsidP="00AB7CAD">
      <w:pPr>
        <w:pStyle w:val="EndnoteText"/>
        <w:rPr>
          <w:lang w:val="en-AU"/>
        </w:rPr>
      </w:pPr>
    </w:p>
  </w:footnote>
  <w:footnote w:id="453">
    <w:p w14:paraId="60160FF0" w14:textId="00B170B1" w:rsidR="00332B03" w:rsidRPr="0072758C" w:rsidRDefault="00332B03" w:rsidP="00AB7CAD">
      <w:pPr>
        <w:pStyle w:val="EndnoteText"/>
        <w:ind w:firstLine="720"/>
        <w:rPr>
          <w:lang w:val="en-AU"/>
        </w:rPr>
      </w:pPr>
      <w:r w:rsidRPr="0072758C">
        <w:rPr>
          <w:rStyle w:val="FootnoteReference"/>
          <w:lang w:val="en-AU"/>
        </w:rPr>
        <w:footnoteRef/>
      </w:r>
      <w:r w:rsidRPr="0072758C">
        <w:rPr>
          <w:lang w:val="en-AU"/>
        </w:rPr>
        <w:t xml:space="preserve"> The Sermon on the Plain (Luke 6:17–49, the Lukan equivalent to the Matthean Sermon on the Mount) differs from the Sermon on the Mount in its literary structure and content. In the Sermon on the Plain, Jesus states, “Blessed are you when people hate you, and when they exclude you, revile you, and defame you on account of the Son of Man. Rejoice in that day and leap for joy, for surely your reward is great in heaven; for that is what their ancestors did to the prophets” Luke 6:22–23 (NRSV). The story in Luke extols a person who submits to abuse and implies that being abused is something to be desired. (This does not change the reading of Matthew’s Jewish interpretation.  This dissertation will not focus on the differences and source reasoning of Luke’s account.)  This is an explanation of how the Sermon was to the listener—being called children of God. The reward and how one gets the reward are different. This difference in how one gets the reward and the reward itself points to the writer’s interpretation and cultural difference. Lachs, </w:t>
      </w:r>
      <w:r w:rsidRPr="0072758C">
        <w:rPr>
          <w:i/>
          <w:iCs/>
          <w:lang w:val="en-AU"/>
        </w:rPr>
        <w:t>A Rabbinic Commentary on the New Testament</w:t>
      </w:r>
      <w:r w:rsidRPr="0072758C">
        <w:rPr>
          <w:lang w:val="en-AU"/>
        </w:rPr>
        <w:t>, 77</w:t>
      </w:r>
      <w:r w:rsidR="00EE2C31" w:rsidRPr="0072758C">
        <w:rPr>
          <w:lang w:val="en-AU"/>
        </w:rPr>
        <w:t>.</w:t>
      </w:r>
    </w:p>
    <w:p w14:paraId="496E618C" w14:textId="77777777" w:rsidR="00332B03" w:rsidRPr="0072758C" w:rsidRDefault="00332B03" w:rsidP="00AB7CAD">
      <w:pPr>
        <w:pStyle w:val="EndnoteText"/>
        <w:rPr>
          <w:lang w:val="en-AU"/>
        </w:rPr>
      </w:pPr>
    </w:p>
  </w:footnote>
  <w:footnote w:id="454">
    <w:p w14:paraId="67073350" w14:textId="27D76F53"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Katharine Jefferts Schori, </w:t>
      </w:r>
      <w:r w:rsidR="00863B47" w:rsidRPr="0072758C">
        <w:rPr>
          <w:lang w:val="en-AU"/>
        </w:rPr>
        <w:t>“</w:t>
      </w:r>
      <w:r w:rsidRPr="0072758C">
        <w:rPr>
          <w:lang w:val="en-AU"/>
        </w:rPr>
        <w:t>The Pursuit of Happiness in the Christian Tradition: Goal and Journey,</w:t>
      </w:r>
      <w:r w:rsidR="00863B47" w:rsidRPr="0072758C">
        <w:rPr>
          <w:lang w:val="en-AU"/>
        </w:rPr>
        <w:t>”</w:t>
      </w:r>
      <w:r w:rsidR="00D4467A" w:rsidRPr="0072758C">
        <w:rPr>
          <w:lang w:val="en-AU"/>
        </w:rPr>
        <w:t xml:space="preserve"> </w:t>
      </w:r>
      <w:r w:rsidRPr="0072758C">
        <w:rPr>
          <w:i/>
          <w:iCs/>
          <w:lang w:val="en-AU"/>
        </w:rPr>
        <w:t>Journal of Law and Religion</w:t>
      </w:r>
      <w:r w:rsidR="00D4467A" w:rsidRPr="0072758C">
        <w:rPr>
          <w:lang w:val="en-AU"/>
        </w:rPr>
        <w:t xml:space="preserve"> </w:t>
      </w:r>
      <w:r w:rsidRPr="0072758C">
        <w:rPr>
          <w:lang w:val="en-AU"/>
        </w:rPr>
        <w:t>29 (2014): 57</w:t>
      </w:r>
      <w:r w:rsidR="005676E2" w:rsidRPr="0072758C">
        <w:rPr>
          <w:lang w:val="en-AU"/>
        </w:rPr>
        <w:t>–</w:t>
      </w:r>
      <w:r w:rsidRPr="0072758C">
        <w:rPr>
          <w:lang w:val="en-AU"/>
        </w:rPr>
        <w:t>66.</w:t>
      </w:r>
    </w:p>
    <w:p w14:paraId="1A488218" w14:textId="77777777" w:rsidR="00194C28" w:rsidRPr="0072758C" w:rsidRDefault="00194C28" w:rsidP="00AB7CAD">
      <w:pPr>
        <w:pStyle w:val="EndnoteText"/>
        <w:rPr>
          <w:lang w:val="en-AU"/>
        </w:rPr>
      </w:pPr>
    </w:p>
  </w:footnote>
  <w:footnote w:id="455">
    <w:p w14:paraId="7D3E66C3" w14:textId="125672BC" w:rsidR="002A6F69" w:rsidRPr="0072758C" w:rsidRDefault="00194C28" w:rsidP="00DA2EFC">
      <w:pPr>
        <w:pStyle w:val="EndnoteText"/>
        <w:ind w:firstLine="720"/>
        <w:rPr>
          <w:lang w:val="en-AU"/>
        </w:rPr>
      </w:pPr>
      <w:r w:rsidRPr="0072758C">
        <w:rPr>
          <w:rStyle w:val="FootnoteReference"/>
          <w:lang w:val="en-AU"/>
        </w:rPr>
        <w:footnoteRef/>
      </w:r>
      <w:r w:rsidRPr="0072758C">
        <w:rPr>
          <w:lang w:val="en-AU"/>
        </w:rPr>
        <w:t xml:space="preserve"> R. T. France, </w:t>
      </w:r>
      <w:r w:rsidRPr="0072758C">
        <w:rPr>
          <w:i/>
          <w:iCs/>
          <w:lang w:val="en-AU"/>
        </w:rPr>
        <w:t>The Gospel of Matthew, The New International Commentary on the New Testament</w:t>
      </w:r>
      <w:r w:rsidRPr="0072758C">
        <w:rPr>
          <w:lang w:val="en-AU"/>
        </w:rPr>
        <w:t xml:space="preserve"> (Grand Rapids: Eerdmans, 2007), 160–61. McKnight, </w:t>
      </w:r>
      <w:r w:rsidRPr="0072758C">
        <w:rPr>
          <w:i/>
          <w:iCs/>
          <w:lang w:val="en-AU"/>
        </w:rPr>
        <w:t>Sermon on the Mount</w:t>
      </w:r>
      <w:r w:rsidRPr="0072758C">
        <w:rPr>
          <w:lang w:val="en-AU"/>
        </w:rPr>
        <w:t xml:space="preserve">, 32–36; W. D. Davies and Dale C. Allison, </w:t>
      </w:r>
      <w:r w:rsidRPr="0072758C">
        <w:rPr>
          <w:i/>
          <w:iCs/>
          <w:lang w:val="en-AU"/>
        </w:rPr>
        <w:t>Matthew 1</w:t>
      </w:r>
      <w:r w:rsidR="005676E2" w:rsidRPr="0072758C">
        <w:rPr>
          <w:i/>
          <w:iCs/>
          <w:lang w:val="en-AU"/>
        </w:rPr>
        <w:t>–</w:t>
      </w:r>
      <w:r w:rsidRPr="0072758C">
        <w:rPr>
          <w:i/>
          <w:iCs/>
          <w:lang w:val="en-AU"/>
        </w:rPr>
        <w:t>7, International Critical Commentary</w:t>
      </w:r>
      <w:r w:rsidRPr="0072758C">
        <w:rPr>
          <w:lang w:val="en-AU"/>
        </w:rPr>
        <w:t xml:space="preserve"> (New York: Bloomsbury T&amp;T Clark, 2004), 431–34.</w:t>
      </w:r>
      <w:r w:rsidR="002A6F69" w:rsidRPr="0072758C">
        <w:rPr>
          <w:lang w:val="en-AU"/>
        </w:rPr>
        <w:t xml:space="preserve">  See also W. Domeris, “Meek or Oppressed? Reading Matthew 5:5 in Context</w:t>
      </w:r>
      <w:r w:rsidR="00DA3483" w:rsidRPr="0072758C">
        <w:rPr>
          <w:lang w:val="en-AU"/>
        </w:rPr>
        <w:t>,</w:t>
      </w:r>
      <w:r w:rsidR="002A6F69" w:rsidRPr="0072758C">
        <w:rPr>
          <w:lang w:val="en-AU"/>
        </w:rPr>
        <w:t>” </w:t>
      </w:r>
      <w:r w:rsidR="002A6F69" w:rsidRPr="0072758C">
        <w:rPr>
          <w:i/>
          <w:iCs/>
          <w:lang w:val="en-AU"/>
        </w:rPr>
        <w:t>Acta Theologica</w:t>
      </w:r>
      <w:r w:rsidR="00DC5369" w:rsidRPr="0072758C">
        <w:rPr>
          <w:lang w:val="en-AU"/>
        </w:rPr>
        <w:t xml:space="preserve"> 23 (</w:t>
      </w:r>
      <w:r w:rsidR="002A6F69" w:rsidRPr="0072758C">
        <w:rPr>
          <w:lang w:val="en-AU"/>
        </w:rPr>
        <w:t>2016</w:t>
      </w:r>
      <w:r w:rsidR="00DC5369" w:rsidRPr="0072758C">
        <w:rPr>
          <w:lang w:val="en-AU"/>
        </w:rPr>
        <w:t xml:space="preserve">): </w:t>
      </w:r>
      <w:r w:rsidR="002A6F69" w:rsidRPr="0072758C">
        <w:rPr>
          <w:lang w:val="en-AU"/>
        </w:rPr>
        <w:t xml:space="preserve">131–49. </w:t>
      </w:r>
    </w:p>
    <w:p w14:paraId="072C9B70" w14:textId="77777777" w:rsidR="00194C28" w:rsidRPr="0072758C" w:rsidRDefault="00194C28" w:rsidP="00D37F31">
      <w:pPr>
        <w:pStyle w:val="EndnoteText"/>
        <w:rPr>
          <w:lang w:val="en-AU"/>
        </w:rPr>
      </w:pPr>
    </w:p>
  </w:footnote>
  <w:footnote w:id="456">
    <w:p w14:paraId="5553DB0C" w14:textId="13FEC0DB"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Raymond F Collins, </w:t>
      </w:r>
      <w:r w:rsidR="00863B47" w:rsidRPr="0072758C">
        <w:rPr>
          <w:lang w:val="en-AU"/>
        </w:rPr>
        <w:t>“</w:t>
      </w:r>
      <w:r w:rsidRPr="0072758C">
        <w:rPr>
          <w:lang w:val="en-AU"/>
        </w:rPr>
        <w:t>Beatitudes,</w:t>
      </w:r>
      <w:r w:rsidR="00863B47" w:rsidRPr="0072758C">
        <w:rPr>
          <w:lang w:val="en-AU"/>
        </w:rPr>
        <w:t>”</w:t>
      </w:r>
      <w:r w:rsidRPr="0072758C">
        <w:rPr>
          <w:lang w:val="en-AU"/>
        </w:rPr>
        <w:t xml:space="preserve"> in </w:t>
      </w:r>
      <w:r w:rsidRPr="0072758C">
        <w:rPr>
          <w:i/>
          <w:iCs/>
          <w:lang w:val="en-AU"/>
        </w:rPr>
        <w:t>The Anchor Bible Dictionary</w:t>
      </w:r>
      <w:r w:rsidRPr="0072758C">
        <w:rPr>
          <w:lang w:val="en-AU"/>
        </w:rPr>
        <w:t>, (New Haven: Yale University Press, 1992), 1:629.</w:t>
      </w:r>
    </w:p>
    <w:p w14:paraId="0D074084" w14:textId="77777777" w:rsidR="00194C28" w:rsidRPr="0072758C" w:rsidRDefault="00194C28" w:rsidP="00D37F31">
      <w:pPr>
        <w:pStyle w:val="EndnoteText"/>
        <w:rPr>
          <w:lang w:val="en-AU"/>
        </w:rPr>
      </w:pPr>
    </w:p>
  </w:footnote>
  <w:footnote w:id="457">
    <w:p w14:paraId="7CB82B0F" w14:textId="77777777" w:rsidR="00043C3F" w:rsidRPr="0072758C" w:rsidRDefault="00043C3F" w:rsidP="00D37F31">
      <w:pPr>
        <w:pStyle w:val="EndnoteText"/>
        <w:ind w:firstLine="720"/>
        <w:rPr>
          <w:lang w:val="en-AU"/>
        </w:rPr>
      </w:pPr>
      <w:r w:rsidRPr="0072758C">
        <w:rPr>
          <w:rStyle w:val="FootnoteReference"/>
          <w:lang w:val="en-AU"/>
        </w:rPr>
        <w:footnoteRef/>
      </w:r>
      <w:r w:rsidRPr="0072758C">
        <w:rPr>
          <w:lang w:val="en-AU"/>
        </w:rPr>
        <w:t xml:space="preserve"> Samuel Tobias Lachs, </w:t>
      </w:r>
      <w:r w:rsidRPr="0072758C">
        <w:rPr>
          <w:i/>
          <w:iCs/>
          <w:lang w:val="en-AU"/>
        </w:rPr>
        <w:t>A Rabbinic Commentary of The New Testament</w:t>
      </w:r>
      <w:r w:rsidRPr="0072758C">
        <w:rPr>
          <w:lang w:val="en-AU"/>
        </w:rPr>
        <w:t> (Hoboken: Ktav, 1987), 69.</w:t>
      </w:r>
    </w:p>
    <w:p w14:paraId="4058DF07" w14:textId="77777777" w:rsidR="00043C3F" w:rsidRPr="0072758C" w:rsidRDefault="00043C3F" w:rsidP="00D37F31">
      <w:pPr>
        <w:pStyle w:val="EndnoteText"/>
        <w:rPr>
          <w:lang w:val="en-AU"/>
        </w:rPr>
      </w:pPr>
    </w:p>
  </w:footnote>
  <w:footnote w:id="458">
    <w:p w14:paraId="602A6506" w14:textId="2FAA6746" w:rsidR="00082A4E"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Wayne A. Brindle, </w:t>
      </w:r>
      <w:r w:rsidR="007F151F" w:rsidRPr="0072758C">
        <w:rPr>
          <w:lang w:val="en-AU"/>
        </w:rPr>
        <w:t>“</w:t>
      </w:r>
      <w:r w:rsidRPr="0072758C">
        <w:rPr>
          <w:lang w:val="en-AU"/>
        </w:rPr>
        <w:t xml:space="preserve">The </w:t>
      </w:r>
      <w:r w:rsidR="007F151F" w:rsidRPr="0072758C">
        <w:rPr>
          <w:lang w:val="en-AU"/>
        </w:rPr>
        <w:t>G</w:t>
      </w:r>
      <w:r w:rsidRPr="0072758C">
        <w:rPr>
          <w:lang w:val="en-AU"/>
        </w:rPr>
        <w:t>ospel of Luke</w:t>
      </w:r>
      <w:r w:rsidR="007F151F" w:rsidRPr="0072758C">
        <w:rPr>
          <w:lang w:val="en-AU"/>
        </w:rPr>
        <w:t xml:space="preserve">,” </w:t>
      </w:r>
      <w:r w:rsidRPr="0072758C">
        <w:rPr>
          <w:i/>
          <w:iCs/>
          <w:lang w:val="en-AU"/>
        </w:rPr>
        <w:t>Journal of the Evangelical Theological Society</w:t>
      </w:r>
      <w:r w:rsidR="003316DB" w:rsidRPr="0072758C">
        <w:rPr>
          <w:lang w:val="en-AU"/>
        </w:rPr>
        <w:t xml:space="preserve"> 43</w:t>
      </w:r>
      <w:r w:rsidR="00E90A38" w:rsidRPr="0072758C">
        <w:rPr>
          <w:lang w:val="en-AU"/>
        </w:rPr>
        <w:t xml:space="preserve"> </w:t>
      </w:r>
      <w:r w:rsidRPr="0072758C">
        <w:rPr>
          <w:lang w:val="en-AU"/>
        </w:rPr>
        <w:t>(2000), 140; The Sermon on the Plain refers the Gospel of Luke, in 6:17</w:t>
      </w:r>
      <w:r w:rsidR="005676E2" w:rsidRPr="0072758C">
        <w:rPr>
          <w:lang w:val="en-AU"/>
        </w:rPr>
        <w:t>–</w:t>
      </w:r>
      <w:r w:rsidRPr="0072758C">
        <w:rPr>
          <w:lang w:val="en-AU"/>
        </w:rPr>
        <w:t>49 which is the Sermon on the Mount in Matthew.</w:t>
      </w:r>
      <w:r w:rsidR="00082A4E" w:rsidRPr="0072758C">
        <w:rPr>
          <w:lang w:val="en-AU"/>
        </w:rPr>
        <w:t xml:space="preserve">  For more information, see Michael Barram, “Jesus’s Manifesto: The Sermon on the Plain</w:t>
      </w:r>
      <w:r w:rsidR="00DA3483" w:rsidRPr="0072758C">
        <w:rPr>
          <w:lang w:val="en-AU"/>
        </w:rPr>
        <w:t>,</w:t>
      </w:r>
      <w:r w:rsidR="00082A4E" w:rsidRPr="0072758C">
        <w:rPr>
          <w:lang w:val="en-AU"/>
        </w:rPr>
        <w:t>” </w:t>
      </w:r>
      <w:r w:rsidR="00082A4E" w:rsidRPr="0072758C">
        <w:rPr>
          <w:i/>
          <w:iCs/>
          <w:lang w:val="en-AU"/>
        </w:rPr>
        <w:t>I</w:t>
      </w:r>
      <w:r w:rsidR="00DA3483" w:rsidRPr="0072758C">
        <w:rPr>
          <w:i/>
          <w:iCs/>
          <w:lang w:val="en-AU"/>
        </w:rPr>
        <w:t xml:space="preserve">nterpretation </w:t>
      </w:r>
      <w:r w:rsidR="00082A4E" w:rsidRPr="0072758C">
        <w:rPr>
          <w:lang w:val="en-AU"/>
        </w:rPr>
        <w:t>75</w:t>
      </w:r>
      <w:r w:rsidR="00E83F6C" w:rsidRPr="0072758C">
        <w:rPr>
          <w:lang w:val="en-AU"/>
        </w:rPr>
        <w:t xml:space="preserve"> </w:t>
      </w:r>
      <w:r w:rsidR="00082A4E" w:rsidRPr="0072758C">
        <w:rPr>
          <w:lang w:val="en-AU"/>
        </w:rPr>
        <w:t>(2021): 352–53.</w:t>
      </w:r>
    </w:p>
    <w:p w14:paraId="1A5D4B0E" w14:textId="77777777" w:rsidR="00194C28" w:rsidRPr="0072758C" w:rsidRDefault="00194C28" w:rsidP="00D37F31">
      <w:pPr>
        <w:pStyle w:val="EndnoteText"/>
        <w:rPr>
          <w:lang w:val="en-AU"/>
        </w:rPr>
      </w:pPr>
    </w:p>
  </w:footnote>
  <w:footnote w:id="459">
    <w:p w14:paraId="4CA73BF7" w14:textId="7EDEEBF1" w:rsidR="008579CE"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Levine and Brettler, </w:t>
      </w:r>
      <w:r w:rsidRPr="0072758C">
        <w:rPr>
          <w:i/>
          <w:iCs/>
          <w:lang w:val="en-AU"/>
        </w:rPr>
        <w:t xml:space="preserve">The Jewish Annotated New Testament, </w:t>
      </w:r>
      <w:r w:rsidRPr="0072758C">
        <w:rPr>
          <w:lang w:val="en-AU"/>
        </w:rPr>
        <w:t xml:space="preserve">8; In Shabbat 30b, the text reads </w:t>
      </w:r>
      <w:r w:rsidR="00863B47" w:rsidRPr="0072758C">
        <w:rPr>
          <w:lang w:val="en-AU"/>
        </w:rPr>
        <w:t>“</w:t>
      </w:r>
      <w:r w:rsidRPr="0072758C">
        <w:rPr>
          <w:rtl/>
          <w:lang w:val="en-AU"/>
        </w:rPr>
        <w:t xml:space="preserve">נפשיה קם מלאך המות קמיה ולא יכיל ליה דלא הוה פסק פומיה מגירסא אמר מאי אעביד ליה הוה ליה </w:t>
      </w:r>
      <w:proofErr w:type="gramStart"/>
      <w:r w:rsidRPr="0072758C">
        <w:rPr>
          <w:rtl/>
          <w:lang w:val="en-AU"/>
        </w:rPr>
        <w:t xml:space="preserve">בוסתנא </w:t>
      </w:r>
      <w:r w:rsidRPr="0072758C">
        <w:rPr>
          <w:lang w:val="en-AU"/>
        </w:rPr>
        <w:t xml:space="preserve"> </w:t>
      </w:r>
      <w:r w:rsidRPr="0072758C">
        <w:rPr>
          <w:rtl/>
          <w:lang w:val="en-AU"/>
        </w:rPr>
        <w:t>אחורי</w:t>
      </w:r>
      <w:proofErr w:type="gramEnd"/>
      <w:r w:rsidRPr="0072758C">
        <w:rPr>
          <w:rtl/>
          <w:lang w:val="en-AU"/>
        </w:rPr>
        <w:t xml:space="preserve"> ביתיה אתא מלאך המות סליק ובחיש באילני נפק למיחזי הוה סליק בדרגא איפחית דרגא מתותיה אישתיק ונח נפשיה</w:t>
      </w:r>
      <w:r w:rsidRPr="0072758C">
        <w:rPr>
          <w:lang w:val="en-AU"/>
        </w:rPr>
        <w:t>. / What did David do? Every Shabbat he would sit and learn all day long to protect himself from the Angel of Death. On that day on which the Angel of Death was supposed to put his soul to rest, the day on which David was supposed to die, the Angel of Death stood before him and was unable to overcome him because his mouth did not pause from study. The Angel of Death said: What shall I do to him? David had a garden [bustana] behind his house; the Angel of Death came, climbed, and shook the trees. David went out to see. As he climbed the stair, the stair broke beneath him. He was startled and was silent, interrupted his studies for a moment, and died.</w:t>
      </w:r>
      <w:r w:rsidR="00863B47" w:rsidRPr="0072758C">
        <w:rPr>
          <w:lang w:val="en-AU"/>
        </w:rPr>
        <w:t>”</w:t>
      </w:r>
      <w:r w:rsidRPr="0072758C">
        <w:rPr>
          <w:lang w:val="en-AU"/>
        </w:rPr>
        <w:t xml:space="preserve"> (https://www.sefaria.org/Shabbat.30b). This is indicative in Jewish </w:t>
      </w:r>
      <w:r w:rsidRPr="0072758C">
        <w:rPr>
          <w:i/>
          <w:iCs/>
          <w:lang w:val="en-AU"/>
        </w:rPr>
        <w:t xml:space="preserve">Mishna </w:t>
      </w:r>
      <w:r w:rsidRPr="0072758C">
        <w:rPr>
          <w:lang w:val="en-AU"/>
        </w:rPr>
        <w:t>of the role that David has as a humble man who would study the Torah.  When he was distracted, he found death.</w:t>
      </w:r>
      <w:r w:rsidR="008579CE" w:rsidRPr="0072758C">
        <w:rPr>
          <w:lang w:val="en-AU"/>
        </w:rPr>
        <w:t xml:space="preserve">  For a discussion of ritual and the character of the person doing ritual </w:t>
      </w:r>
      <w:r w:rsidR="008579CE" w:rsidRPr="0072758C">
        <w:rPr>
          <w:i/>
          <w:iCs/>
          <w:lang w:val="en-AU"/>
        </w:rPr>
        <w:t xml:space="preserve">M. Shabbat 30b </w:t>
      </w:r>
      <w:r w:rsidR="008579CE" w:rsidRPr="0072758C">
        <w:rPr>
          <w:lang w:val="en-AU"/>
        </w:rPr>
        <w:t>see Loren D Marks, Trevan G. Hatch, and David C. Dollahite. “Sacred Practices and Family Processes in a Jewish Context: Shabbat as the Weekly Family Ritual Par Excellence</w:t>
      </w:r>
      <w:r w:rsidR="00A15475" w:rsidRPr="0072758C">
        <w:rPr>
          <w:lang w:val="en-AU"/>
        </w:rPr>
        <w:t>,</w:t>
      </w:r>
      <w:r w:rsidR="008579CE" w:rsidRPr="0072758C">
        <w:rPr>
          <w:lang w:val="en-AU"/>
        </w:rPr>
        <w:t>” </w:t>
      </w:r>
      <w:r w:rsidR="008579CE" w:rsidRPr="0072758C">
        <w:rPr>
          <w:i/>
          <w:iCs/>
          <w:lang w:val="en-AU"/>
        </w:rPr>
        <w:t>Family Process</w:t>
      </w:r>
      <w:r w:rsidR="008579CE" w:rsidRPr="0072758C">
        <w:rPr>
          <w:lang w:val="en-AU"/>
        </w:rPr>
        <w:t> 57</w:t>
      </w:r>
      <w:r w:rsidR="00A81C88" w:rsidRPr="0072758C">
        <w:rPr>
          <w:lang w:val="en-AU"/>
        </w:rPr>
        <w:t xml:space="preserve"> </w:t>
      </w:r>
      <w:r w:rsidR="008579CE" w:rsidRPr="0072758C">
        <w:rPr>
          <w:lang w:val="en-AU"/>
        </w:rPr>
        <w:t xml:space="preserve">(2018): 448–61. </w:t>
      </w:r>
    </w:p>
  </w:footnote>
  <w:footnote w:id="460">
    <w:p w14:paraId="2D7D018D" w14:textId="77777777" w:rsidR="00194C28" w:rsidRPr="0072758C" w:rsidRDefault="00194C28" w:rsidP="00D37F31">
      <w:pPr>
        <w:pStyle w:val="EndnoteText"/>
        <w:rPr>
          <w:lang w:val="en-AU"/>
        </w:rPr>
      </w:pPr>
    </w:p>
    <w:p w14:paraId="2FB146FB" w14:textId="2DEC13C3"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Glen H. Stassen and David P. Gushee, </w:t>
      </w:r>
      <w:r w:rsidRPr="0072758C">
        <w:rPr>
          <w:i/>
          <w:iCs/>
          <w:lang w:val="en-AU"/>
        </w:rPr>
        <w:t xml:space="preserve">Kingdom Ethics </w:t>
      </w:r>
      <w:r w:rsidRPr="0072758C">
        <w:rPr>
          <w:lang w:val="en-AU"/>
        </w:rPr>
        <w:t>(Downers Grove: Intervarsity, 2003), 40.</w:t>
      </w:r>
    </w:p>
  </w:footnote>
  <w:footnote w:id="461">
    <w:p w14:paraId="3EFCCCF9" w14:textId="77777777" w:rsidR="00194C28" w:rsidRPr="0072758C" w:rsidRDefault="00194C28" w:rsidP="00D37F31">
      <w:pPr>
        <w:pStyle w:val="EndnoteText"/>
        <w:rPr>
          <w:lang w:val="en-AU"/>
        </w:rPr>
      </w:pPr>
    </w:p>
    <w:p w14:paraId="4BBAA8CF" w14:textId="003B2F8E" w:rsidR="000E5D87"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Frederick W Danker and Walter Bauer,</w:t>
      </w:r>
      <w:r w:rsidR="00D54FFD" w:rsidRPr="0072758C">
        <w:rPr>
          <w:lang w:val="en-AU"/>
        </w:rPr>
        <w:t xml:space="preserve"> </w:t>
      </w:r>
      <w:r w:rsidRPr="0072758C">
        <w:rPr>
          <w:i/>
          <w:iCs/>
          <w:lang w:val="en-AU"/>
        </w:rPr>
        <w:t>A Greek-English Lexicon of The New Testament and Other Early Christian Literature</w:t>
      </w:r>
      <w:r w:rsidR="00D54FFD" w:rsidRPr="0072758C">
        <w:rPr>
          <w:lang w:val="en-AU"/>
        </w:rPr>
        <w:t xml:space="preserve"> </w:t>
      </w:r>
      <w:r w:rsidRPr="0072758C">
        <w:rPr>
          <w:lang w:val="en-AU"/>
        </w:rPr>
        <w:t xml:space="preserve">(Chicago: The University of Chicago Press, 2014); </w:t>
      </w:r>
      <w:r w:rsidR="007F151F" w:rsidRPr="0072758C">
        <w:rPr>
          <w:lang w:val="en-AU"/>
        </w:rPr>
        <w:t xml:space="preserve">James </w:t>
      </w:r>
      <w:r w:rsidRPr="0072758C">
        <w:rPr>
          <w:lang w:val="en-AU"/>
        </w:rPr>
        <w:t xml:space="preserve">Strong, </w:t>
      </w:r>
      <w:r w:rsidRPr="0072758C">
        <w:rPr>
          <w:i/>
          <w:iCs/>
          <w:lang w:val="en-AU"/>
        </w:rPr>
        <w:t>Strong</w:t>
      </w:r>
      <w:r w:rsidR="005C71CB" w:rsidRPr="0072758C">
        <w:rPr>
          <w:i/>
          <w:iCs/>
          <w:lang w:val="en-AU"/>
        </w:rPr>
        <w:t>’</w:t>
      </w:r>
      <w:r w:rsidRPr="0072758C">
        <w:rPr>
          <w:i/>
          <w:iCs/>
          <w:lang w:val="en-AU"/>
        </w:rPr>
        <w:t>s Exhaustive Concordance of the Bible</w:t>
      </w:r>
      <w:r w:rsidRPr="0072758C">
        <w:rPr>
          <w:lang w:val="en-AU"/>
        </w:rPr>
        <w:t xml:space="preserve"> (Nashville: Royal, 2010), 60.</w:t>
      </w:r>
      <w:r w:rsidR="000E5D87" w:rsidRPr="0072758C">
        <w:rPr>
          <w:lang w:val="en-AU"/>
        </w:rPr>
        <w:t xml:space="preserve"> For a recent discussion of Matthew 5:5 and πραεῖς, see Scott Turner, “Living by the Word: Reflections on the Lectionary</w:t>
      </w:r>
      <w:r w:rsidR="00DA3483" w:rsidRPr="0072758C">
        <w:rPr>
          <w:lang w:val="en-AU"/>
        </w:rPr>
        <w:t>,</w:t>
      </w:r>
      <w:r w:rsidR="000E5D87" w:rsidRPr="0072758C">
        <w:rPr>
          <w:lang w:val="en-AU"/>
        </w:rPr>
        <w:t>” </w:t>
      </w:r>
      <w:r w:rsidR="000E5D87" w:rsidRPr="0072758C">
        <w:rPr>
          <w:i/>
          <w:iCs/>
          <w:lang w:val="en-AU"/>
        </w:rPr>
        <w:t>The Christian Century</w:t>
      </w:r>
      <w:r w:rsidR="000E5D87" w:rsidRPr="0072758C">
        <w:rPr>
          <w:lang w:val="en-AU"/>
        </w:rPr>
        <w:t> 134 (2017): 25.</w:t>
      </w:r>
      <w:r w:rsidR="003C659F" w:rsidRPr="0072758C">
        <w:rPr>
          <w:lang w:val="en-AU"/>
        </w:rPr>
        <w:t xml:space="preserve"> For a discussion of Matthew 11:29 and πραεῖς</w:t>
      </w:r>
      <w:r w:rsidR="00AC4566" w:rsidRPr="0072758C">
        <w:rPr>
          <w:lang w:val="en-AU"/>
        </w:rPr>
        <w:t xml:space="preserve"> see</w:t>
      </w:r>
      <w:r w:rsidR="00DA2EFC" w:rsidRPr="0072758C">
        <w:rPr>
          <w:lang w:val="en-AU"/>
        </w:rPr>
        <w:t xml:space="preserve"> </w:t>
      </w:r>
      <w:r w:rsidR="003C659F" w:rsidRPr="0072758C">
        <w:rPr>
          <w:lang w:val="en-AU"/>
        </w:rPr>
        <w:t xml:space="preserve">M. Konradt, </w:t>
      </w:r>
      <w:r w:rsidR="00AC4566" w:rsidRPr="0072758C">
        <w:rPr>
          <w:lang w:val="en-AU"/>
        </w:rPr>
        <w:t>‘“Take my yoke upon you and learn from me!” (Mt 11:29)</w:t>
      </w:r>
      <w:r w:rsidR="007F151F" w:rsidRPr="0072758C">
        <w:rPr>
          <w:lang w:val="en-AU"/>
        </w:rPr>
        <w:t xml:space="preserve">,” </w:t>
      </w:r>
      <w:r w:rsidR="00AC4566" w:rsidRPr="0072758C">
        <w:rPr>
          <w:i/>
          <w:iCs/>
          <w:lang w:val="en-AU"/>
        </w:rPr>
        <w:t>Zeitschrift fur die Neutestamentliche Wissenschaft und die Kunde der Alteren Kirche</w:t>
      </w:r>
      <w:r w:rsidR="007F151F" w:rsidRPr="0072758C">
        <w:rPr>
          <w:lang w:val="en-AU"/>
        </w:rPr>
        <w:t xml:space="preserve"> </w:t>
      </w:r>
      <w:r w:rsidR="00AC4566" w:rsidRPr="0072758C">
        <w:rPr>
          <w:lang w:val="en-AU"/>
        </w:rPr>
        <w:t>109</w:t>
      </w:r>
      <w:r w:rsidR="00DA2EFC" w:rsidRPr="0072758C">
        <w:rPr>
          <w:lang w:val="en-AU"/>
        </w:rPr>
        <w:t xml:space="preserve"> </w:t>
      </w:r>
      <w:r w:rsidR="00AC4566" w:rsidRPr="0072758C">
        <w:rPr>
          <w:lang w:val="en-AU"/>
        </w:rPr>
        <w:t>(2018)</w:t>
      </w:r>
      <w:r w:rsidR="007F151F" w:rsidRPr="0072758C">
        <w:rPr>
          <w:lang w:val="en-AU"/>
        </w:rPr>
        <w:t>:</w:t>
      </w:r>
      <w:r w:rsidR="00AC4566" w:rsidRPr="0072758C">
        <w:rPr>
          <w:lang w:val="en-AU"/>
        </w:rPr>
        <w:t xml:space="preserve"> 1–31. </w:t>
      </w:r>
    </w:p>
    <w:p w14:paraId="3F6EBD94" w14:textId="77777777" w:rsidR="00F55A39" w:rsidRPr="0072758C" w:rsidRDefault="00F55A39" w:rsidP="00D37F31">
      <w:pPr>
        <w:pStyle w:val="EndnoteText"/>
        <w:rPr>
          <w:lang w:val="en-AU"/>
        </w:rPr>
      </w:pPr>
    </w:p>
  </w:footnote>
  <w:footnote w:id="462">
    <w:p w14:paraId="1E07DED7" w14:textId="799BF9E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Modern views of peacemakers develop from this context in the New Testament from the Beatitudes and </w:t>
      </w:r>
      <w:r w:rsidR="005C71CB" w:rsidRPr="0072758C">
        <w:rPr>
          <w:lang w:val="en-AU"/>
        </w:rPr>
        <w:t>‘</w:t>
      </w:r>
      <w:r w:rsidRPr="0072758C">
        <w:rPr>
          <w:lang w:val="en-AU"/>
        </w:rPr>
        <w:t>peacemaker.</w:t>
      </w:r>
      <w:r w:rsidR="005C71CB" w:rsidRPr="0072758C">
        <w:rPr>
          <w:lang w:val="en-AU"/>
        </w:rPr>
        <w:t>’</w:t>
      </w:r>
      <w:r w:rsidRPr="0072758C">
        <w:rPr>
          <w:lang w:val="en-AU"/>
        </w:rPr>
        <w:t xml:space="preserve"> For some scholars, the goal of religion is to have people who are </w:t>
      </w:r>
      <w:r w:rsidR="005C71CB" w:rsidRPr="0072758C">
        <w:rPr>
          <w:lang w:val="en-AU"/>
        </w:rPr>
        <w:t>‘</w:t>
      </w:r>
      <w:r w:rsidRPr="0072758C">
        <w:rPr>
          <w:lang w:val="en-AU"/>
        </w:rPr>
        <w:t>peacemakers</w:t>
      </w:r>
      <w:r w:rsidR="005C71CB" w:rsidRPr="0072758C">
        <w:rPr>
          <w:lang w:val="en-AU"/>
        </w:rPr>
        <w:t>’</w:t>
      </w:r>
      <w:r w:rsidRPr="0072758C">
        <w:rPr>
          <w:lang w:val="en-AU"/>
        </w:rPr>
        <w:t xml:space="preserve"> central to preventing conflict.  For more scholarship on the role of modern peacemakers from a traditional read of the text (</w:t>
      </w:r>
      <w:r w:rsidR="00F55A39" w:rsidRPr="0072758C">
        <w:rPr>
          <w:lang w:val="en-AU"/>
        </w:rPr>
        <w:t>albeit</w:t>
      </w:r>
      <w:r w:rsidRPr="0072758C">
        <w:rPr>
          <w:lang w:val="en-AU"/>
        </w:rPr>
        <w:t xml:space="preserve"> not the focus of this dissertation) see</w:t>
      </w:r>
      <w:r w:rsidRPr="0072758C">
        <w:rPr>
          <w:i/>
          <w:iCs/>
          <w:lang w:val="en-AU"/>
        </w:rPr>
        <w:t xml:space="preserve"> </w:t>
      </w:r>
      <w:r w:rsidRPr="0072758C">
        <w:rPr>
          <w:lang w:val="en-AU"/>
        </w:rPr>
        <w:t xml:space="preserve">R. Scott Appleby, </w:t>
      </w:r>
      <w:r w:rsidRPr="0072758C">
        <w:rPr>
          <w:i/>
          <w:iCs/>
          <w:lang w:val="en-AU"/>
        </w:rPr>
        <w:t xml:space="preserve">The Ambivalence of the Sacred </w:t>
      </w:r>
      <w:r w:rsidRPr="0072758C">
        <w:rPr>
          <w:lang w:val="en-AU"/>
        </w:rPr>
        <w:t>(Lanham: Rowman and Littlefield, 2000).</w:t>
      </w:r>
    </w:p>
  </w:footnote>
  <w:footnote w:id="463">
    <w:p w14:paraId="36A905AF" w14:textId="77777777" w:rsidR="00194C28" w:rsidRPr="0072758C" w:rsidRDefault="00194C28" w:rsidP="00D37F31">
      <w:pPr>
        <w:pStyle w:val="EndnoteText"/>
        <w:rPr>
          <w:lang w:val="en-AU"/>
        </w:rPr>
      </w:pPr>
    </w:p>
    <w:p w14:paraId="0D4BD3A3" w14:textId="7777777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Lachs, </w:t>
      </w:r>
      <w:r w:rsidRPr="0072758C">
        <w:rPr>
          <w:i/>
          <w:iCs/>
          <w:lang w:val="en-AU"/>
        </w:rPr>
        <w:t>A Rabbinic Commentary on the New Testament</w:t>
      </w:r>
      <w:r w:rsidRPr="0072758C">
        <w:rPr>
          <w:lang w:val="en-AU"/>
        </w:rPr>
        <w:t>, 77</w:t>
      </w:r>
    </w:p>
    <w:p w14:paraId="3102BC27" w14:textId="77777777" w:rsidR="00194C28" w:rsidRPr="0072758C" w:rsidRDefault="00194C28" w:rsidP="00D37F31">
      <w:pPr>
        <w:pStyle w:val="EndnoteText"/>
        <w:rPr>
          <w:lang w:val="en-AU"/>
        </w:rPr>
      </w:pPr>
    </w:p>
  </w:footnote>
  <w:footnote w:id="464">
    <w:p w14:paraId="06ED9E07" w14:textId="264EFDED" w:rsidR="008B656C"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Ibid., 69</w:t>
      </w:r>
      <w:r w:rsidR="008B656C" w:rsidRPr="0072758C">
        <w:rPr>
          <w:lang w:val="en-AU"/>
        </w:rPr>
        <w:t xml:space="preserve">.  For a discussion on the term peacemakers and Matthew, see W. J. C. </w:t>
      </w:r>
      <w:r w:rsidR="00987399" w:rsidRPr="0072758C">
        <w:rPr>
          <w:lang w:val="en-AU"/>
        </w:rPr>
        <w:t>Weren, “</w:t>
      </w:r>
      <w:r w:rsidR="008B656C" w:rsidRPr="0072758C">
        <w:rPr>
          <w:lang w:val="en-AU"/>
        </w:rPr>
        <w:t>Messianic Peacemakers: Intertextual Relationships between Zechariah 9-14 and the Gospel of Matthew</w:t>
      </w:r>
      <w:r w:rsidR="00DA3483" w:rsidRPr="0072758C">
        <w:rPr>
          <w:lang w:val="en-AU"/>
        </w:rPr>
        <w:t>,</w:t>
      </w:r>
      <w:r w:rsidR="008B656C" w:rsidRPr="0072758C">
        <w:rPr>
          <w:lang w:val="en-AU"/>
        </w:rPr>
        <w:t>” </w:t>
      </w:r>
      <w:r w:rsidR="008B656C" w:rsidRPr="0072758C">
        <w:rPr>
          <w:i/>
          <w:iCs/>
          <w:lang w:val="en-AU"/>
        </w:rPr>
        <w:t>HTS Teologiese Studies / Theological Studies</w:t>
      </w:r>
      <w:r w:rsidR="008B656C" w:rsidRPr="0072758C">
        <w:rPr>
          <w:lang w:val="en-AU"/>
        </w:rPr>
        <w:t> 71 (2015): 11.</w:t>
      </w:r>
    </w:p>
  </w:footnote>
  <w:footnote w:id="465">
    <w:p w14:paraId="7A2450AE" w14:textId="77777777" w:rsidR="00194C28" w:rsidRPr="0072758C" w:rsidRDefault="00194C28" w:rsidP="00AB7CAD">
      <w:pPr>
        <w:pStyle w:val="EndnoteText"/>
        <w:rPr>
          <w:lang w:val="en-AU"/>
        </w:rPr>
      </w:pPr>
    </w:p>
    <w:p w14:paraId="75A519EB" w14:textId="49806DC9" w:rsidR="008B656C" w:rsidRPr="0072758C" w:rsidRDefault="00194C28" w:rsidP="00D37F31">
      <w:pPr>
        <w:pStyle w:val="EndnoteText"/>
        <w:ind w:firstLine="720"/>
        <w:rPr>
          <w:iCs/>
          <w:lang w:val="en-AU"/>
        </w:rPr>
      </w:pPr>
      <w:r w:rsidRPr="0072758C">
        <w:rPr>
          <w:rStyle w:val="FootnoteReference"/>
          <w:lang w:val="en-AU"/>
        </w:rPr>
        <w:footnoteRef/>
      </w:r>
      <w:r w:rsidRPr="0072758C">
        <w:rPr>
          <w:lang w:val="en-AU"/>
        </w:rPr>
        <w:t xml:space="preserve"> Lachs, </w:t>
      </w:r>
      <w:r w:rsidRPr="0072758C">
        <w:rPr>
          <w:i/>
          <w:iCs/>
          <w:lang w:val="en-AU"/>
        </w:rPr>
        <w:t>A Rabbinic Commentary on the New Testament</w:t>
      </w:r>
      <w:r w:rsidRPr="0072758C">
        <w:rPr>
          <w:lang w:val="en-AU"/>
        </w:rPr>
        <w:t xml:space="preserve">, 69; Levine and Brettler, </w:t>
      </w:r>
      <w:r w:rsidRPr="0072758C">
        <w:rPr>
          <w:i/>
          <w:iCs/>
          <w:lang w:val="en-AU"/>
        </w:rPr>
        <w:t xml:space="preserve">The Jewish Annotated New Testament, </w:t>
      </w:r>
      <w:r w:rsidRPr="0072758C">
        <w:rPr>
          <w:iCs/>
          <w:lang w:val="en-AU"/>
        </w:rPr>
        <w:t>10</w:t>
      </w:r>
      <w:r w:rsidR="008B656C" w:rsidRPr="0072758C">
        <w:rPr>
          <w:iCs/>
          <w:lang w:val="en-AU"/>
        </w:rPr>
        <w:t xml:space="preserve">.  For a discussion of the terms ‘happy’ vs. ‘blessed’, see also </w:t>
      </w:r>
      <w:r w:rsidR="008B656C" w:rsidRPr="0072758C">
        <w:rPr>
          <w:lang w:val="en-AU"/>
        </w:rPr>
        <w:t>John Martens, “Calling All Sinners</w:t>
      </w:r>
      <w:r w:rsidR="00DA3483" w:rsidRPr="0072758C">
        <w:rPr>
          <w:lang w:val="en-AU"/>
        </w:rPr>
        <w:t>,</w:t>
      </w:r>
      <w:r w:rsidR="008B656C" w:rsidRPr="0072758C">
        <w:rPr>
          <w:lang w:val="en-AU"/>
        </w:rPr>
        <w:t>” </w:t>
      </w:r>
      <w:r w:rsidR="008B656C" w:rsidRPr="0072758C">
        <w:rPr>
          <w:i/>
          <w:iCs/>
          <w:lang w:val="en-AU"/>
        </w:rPr>
        <w:t>America</w:t>
      </w:r>
      <w:r w:rsidR="008B656C" w:rsidRPr="0072758C">
        <w:rPr>
          <w:lang w:val="en-AU"/>
        </w:rPr>
        <w:t> 213 (2015): 39. </w:t>
      </w:r>
    </w:p>
  </w:footnote>
  <w:footnote w:id="466">
    <w:p w14:paraId="2BCFFE87" w14:textId="77777777" w:rsidR="00194C28" w:rsidRPr="0072758C" w:rsidRDefault="00194C28" w:rsidP="00D37F31">
      <w:pPr>
        <w:pStyle w:val="EndnoteText"/>
        <w:rPr>
          <w:lang w:val="en-AU"/>
        </w:rPr>
      </w:pPr>
    </w:p>
    <w:p w14:paraId="65645004" w14:textId="45B1C989" w:rsidR="00194C28" w:rsidRPr="0072758C" w:rsidRDefault="00194C28" w:rsidP="00D37F31">
      <w:pPr>
        <w:pStyle w:val="EndnoteText"/>
        <w:ind w:firstLine="720"/>
        <w:rPr>
          <w:i/>
          <w:iCs/>
          <w:lang w:val="en-AU"/>
        </w:rPr>
      </w:pPr>
      <w:r w:rsidRPr="0072758C">
        <w:rPr>
          <w:rStyle w:val="FootnoteReference"/>
          <w:lang w:val="en-AU"/>
        </w:rPr>
        <w:footnoteRef/>
      </w:r>
      <w:r w:rsidRPr="0072758C">
        <w:rPr>
          <w:lang w:val="en-AU"/>
        </w:rPr>
        <w:t xml:space="preserve"> Levine and Brettler, </w:t>
      </w:r>
      <w:r w:rsidRPr="0072758C">
        <w:rPr>
          <w:i/>
          <w:iCs/>
          <w:lang w:val="en-AU"/>
        </w:rPr>
        <w:t>The Jewish Annotated New Testament</w:t>
      </w:r>
      <w:r w:rsidRPr="0072758C">
        <w:rPr>
          <w:lang w:val="en-AU"/>
        </w:rPr>
        <w:t xml:space="preserve">, </w:t>
      </w:r>
      <w:r w:rsidRPr="0072758C">
        <w:rPr>
          <w:iCs/>
          <w:lang w:val="en-AU"/>
        </w:rPr>
        <w:t>10</w:t>
      </w:r>
    </w:p>
  </w:footnote>
  <w:footnote w:id="467">
    <w:p w14:paraId="545E9486" w14:textId="77777777" w:rsidR="00194C28" w:rsidRPr="0072758C" w:rsidRDefault="00194C28" w:rsidP="00D37F31">
      <w:pPr>
        <w:pStyle w:val="EndnoteText"/>
        <w:rPr>
          <w:lang w:val="en-AU"/>
        </w:rPr>
      </w:pPr>
    </w:p>
    <w:p w14:paraId="4B74C82C" w14:textId="16135ED5"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Ibid., 76.</w:t>
      </w:r>
    </w:p>
    <w:p w14:paraId="0029D664" w14:textId="77777777" w:rsidR="00194C28" w:rsidRPr="0072758C" w:rsidRDefault="00194C28" w:rsidP="00D37F31">
      <w:pPr>
        <w:pStyle w:val="EndnoteText"/>
        <w:rPr>
          <w:lang w:val="en-AU"/>
        </w:rPr>
      </w:pPr>
    </w:p>
  </w:footnote>
  <w:footnote w:id="468">
    <w:p w14:paraId="67B44BA1" w14:textId="23D18AA0"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Juergernsm</w:t>
      </w:r>
      <w:r w:rsidR="00475FAC">
        <w:rPr>
          <w:lang w:val="en-AU"/>
        </w:rPr>
        <w:t>e</w:t>
      </w:r>
      <w:r w:rsidRPr="0072758C">
        <w:rPr>
          <w:lang w:val="en-AU"/>
        </w:rPr>
        <w:t>yer contends that all religions have the capacity to have make peace or to make violence and that most people who do engage in violence are not doing so because of their religious preferences, see</w:t>
      </w:r>
      <w:r w:rsidRPr="0072758C">
        <w:rPr>
          <w:i/>
          <w:iCs/>
          <w:lang w:val="en-AU"/>
        </w:rPr>
        <w:t>,</w:t>
      </w:r>
      <w:r w:rsidRPr="0072758C">
        <w:rPr>
          <w:lang w:val="en-AU"/>
        </w:rPr>
        <w:t xml:space="preserve"> Mark Juergensmeyer, </w:t>
      </w:r>
      <w:r w:rsidRPr="0072758C">
        <w:rPr>
          <w:i/>
          <w:iCs/>
          <w:lang w:val="en-AU"/>
        </w:rPr>
        <w:t xml:space="preserve">Terror in the Mind of God:  The Global Rise of Religious Violence </w:t>
      </w:r>
      <w:r w:rsidRPr="0072758C">
        <w:rPr>
          <w:lang w:val="en-AU"/>
        </w:rPr>
        <w:t xml:space="preserve">(Berkeley: University of California Press, 2003). </w:t>
      </w:r>
    </w:p>
  </w:footnote>
  <w:footnote w:id="469">
    <w:p w14:paraId="5A30249D" w14:textId="77777777" w:rsidR="00194C28" w:rsidRPr="0072758C" w:rsidRDefault="00194C28" w:rsidP="00D37F31">
      <w:pPr>
        <w:pStyle w:val="EndnoteText"/>
        <w:rPr>
          <w:lang w:val="en-AU"/>
        </w:rPr>
      </w:pPr>
    </w:p>
    <w:p w14:paraId="03F972B5" w14:textId="77777777" w:rsidR="00194C28" w:rsidRPr="0072758C" w:rsidRDefault="00194C28" w:rsidP="00D37F31">
      <w:pPr>
        <w:pStyle w:val="EndnoteText"/>
        <w:ind w:firstLine="720"/>
        <w:rPr>
          <w:iCs/>
          <w:lang w:val="en-AU"/>
        </w:rPr>
      </w:pPr>
      <w:r w:rsidRPr="0072758C">
        <w:rPr>
          <w:rStyle w:val="FootnoteReference"/>
          <w:lang w:val="en-AU"/>
        </w:rPr>
        <w:footnoteRef/>
      </w:r>
      <w:r w:rsidRPr="0072758C">
        <w:rPr>
          <w:lang w:val="en-AU"/>
        </w:rPr>
        <w:t xml:space="preserve"> Vermes, </w:t>
      </w:r>
      <w:r w:rsidRPr="0072758C">
        <w:rPr>
          <w:i/>
          <w:iCs/>
          <w:lang w:val="en-AU"/>
        </w:rPr>
        <w:t xml:space="preserve">The Religion of Jesus the Jew, </w:t>
      </w:r>
      <w:r w:rsidRPr="0072758C">
        <w:rPr>
          <w:iCs/>
          <w:lang w:val="en-AU"/>
        </w:rPr>
        <w:t>157.</w:t>
      </w:r>
    </w:p>
  </w:footnote>
  <w:footnote w:id="470">
    <w:p w14:paraId="13B22ACD" w14:textId="77777777" w:rsidR="00194C28" w:rsidRPr="0072758C" w:rsidRDefault="00194C28" w:rsidP="00D37F31">
      <w:pPr>
        <w:pStyle w:val="EndnoteText"/>
        <w:rPr>
          <w:lang w:val="en-AU"/>
        </w:rPr>
      </w:pPr>
    </w:p>
    <w:p w14:paraId="18976E7A" w14:textId="2EFBC4BA" w:rsidR="007C60BF"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Stassen and Gushee, </w:t>
      </w:r>
      <w:r w:rsidRPr="0072758C">
        <w:rPr>
          <w:i/>
          <w:iCs/>
          <w:lang w:val="en-AU"/>
        </w:rPr>
        <w:t>Kingdom Ethics</w:t>
      </w:r>
      <w:r w:rsidRPr="0072758C">
        <w:rPr>
          <w:lang w:val="en-AU"/>
        </w:rPr>
        <w:t>, 45.</w:t>
      </w:r>
      <w:r w:rsidR="007C60BF" w:rsidRPr="0072758C">
        <w:rPr>
          <w:lang w:val="en-AU"/>
        </w:rPr>
        <w:t xml:space="preserve">  Moore </w:t>
      </w:r>
      <w:r w:rsidR="00987399" w:rsidRPr="0072758C">
        <w:rPr>
          <w:lang w:val="en-AU"/>
        </w:rPr>
        <w:t>further</w:t>
      </w:r>
      <w:r w:rsidR="007C60BF" w:rsidRPr="0072758C">
        <w:rPr>
          <w:lang w:val="en-AU"/>
        </w:rPr>
        <w:t xml:space="preserve"> contends that there is an element of social concerns in the peace discussion, see:</w:t>
      </w:r>
      <w:r w:rsidR="004849AA" w:rsidRPr="0072758C">
        <w:rPr>
          <w:lang w:val="en-AU"/>
        </w:rPr>
        <w:t xml:space="preserve"> </w:t>
      </w:r>
      <w:r w:rsidR="007C60BF" w:rsidRPr="0072758C">
        <w:rPr>
          <w:lang w:val="en-AU"/>
        </w:rPr>
        <w:t>Osheta Moore, “Jesus Gets Our Grief</w:t>
      </w:r>
      <w:r w:rsidR="00DA3483" w:rsidRPr="0072758C">
        <w:rPr>
          <w:lang w:val="en-AU"/>
        </w:rPr>
        <w:t>,</w:t>
      </w:r>
      <w:r w:rsidR="007C60BF" w:rsidRPr="0072758C">
        <w:rPr>
          <w:lang w:val="en-AU"/>
        </w:rPr>
        <w:t>” </w:t>
      </w:r>
      <w:r w:rsidR="007C60BF" w:rsidRPr="0072758C">
        <w:rPr>
          <w:i/>
          <w:iCs/>
          <w:lang w:val="en-AU"/>
        </w:rPr>
        <w:t>Sojourners Magazine</w:t>
      </w:r>
      <w:r w:rsidR="007C60BF" w:rsidRPr="0072758C">
        <w:rPr>
          <w:lang w:val="en-AU"/>
        </w:rPr>
        <w:t> 50</w:t>
      </w:r>
      <w:r w:rsidR="00DA2EFC" w:rsidRPr="0072758C">
        <w:rPr>
          <w:lang w:val="en-AU"/>
        </w:rPr>
        <w:t xml:space="preserve"> </w:t>
      </w:r>
      <w:r w:rsidR="007C60BF" w:rsidRPr="0072758C">
        <w:rPr>
          <w:lang w:val="en-AU"/>
        </w:rPr>
        <w:t>(March 2021): 12–13. </w:t>
      </w:r>
    </w:p>
    <w:p w14:paraId="42566E18" w14:textId="77777777" w:rsidR="00194C28" w:rsidRPr="0072758C" w:rsidRDefault="00194C28" w:rsidP="00D37F31">
      <w:pPr>
        <w:pStyle w:val="EndnoteText"/>
        <w:rPr>
          <w:lang w:val="en-AU"/>
        </w:rPr>
      </w:pPr>
    </w:p>
  </w:footnote>
  <w:footnote w:id="471">
    <w:p w14:paraId="6B13ED4C" w14:textId="77777777" w:rsidR="003566B0" w:rsidRPr="0072758C" w:rsidRDefault="003566B0" w:rsidP="00D37F31">
      <w:pPr>
        <w:pStyle w:val="EndnoteText"/>
        <w:ind w:firstLine="720"/>
        <w:rPr>
          <w:i/>
          <w:iCs/>
          <w:lang w:val="en-AU"/>
        </w:rPr>
      </w:pPr>
      <w:r w:rsidRPr="0072758C">
        <w:rPr>
          <w:rStyle w:val="FootnoteReference"/>
          <w:lang w:val="en-AU"/>
        </w:rPr>
        <w:footnoteRef/>
      </w:r>
      <w:r w:rsidRPr="0072758C">
        <w:rPr>
          <w:lang w:val="en-AU"/>
        </w:rPr>
        <w:t xml:space="preserve"> Daniel B. Wallace, </w:t>
      </w:r>
      <w:r w:rsidRPr="0072758C">
        <w:rPr>
          <w:i/>
          <w:iCs/>
          <w:lang w:val="en-AU"/>
        </w:rPr>
        <w:t>Greek Grammar Beyond the Basics: An Exegetical Syntax of the New</w:t>
      </w:r>
    </w:p>
    <w:p w14:paraId="588374D9" w14:textId="0BB6D74F" w:rsidR="004849AA" w:rsidRPr="0072758C" w:rsidRDefault="003566B0" w:rsidP="00D37F31">
      <w:pPr>
        <w:pStyle w:val="EndnoteText"/>
        <w:rPr>
          <w:lang w:val="en-AU"/>
        </w:rPr>
      </w:pPr>
      <w:r w:rsidRPr="0072758C">
        <w:rPr>
          <w:i/>
          <w:iCs/>
          <w:lang w:val="en-AU"/>
        </w:rPr>
        <w:t>Testament with Scripture, Subject, and Greek Word Indexes</w:t>
      </w:r>
      <w:r w:rsidRPr="0072758C">
        <w:rPr>
          <w:lang w:val="en-AU"/>
        </w:rPr>
        <w:t xml:space="preserve"> (Grand Rapids: Zondervan, 1996), 14–15.</w:t>
      </w:r>
      <w:r w:rsidR="003A5B33" w:rsidRPr="0072758C">
        <w:rPr>
          <w:lang w:val="en-AU"/>
        </w:rPr>
        <w:t xml:space="preserve"> It is possible that up to five-million Jews lived outside Israel during the Second Temple period and would make pilgrimage and commerce with Jerusalem. Judea and Galilee were largely Jewish at this </w:t>
      </w:r>
      <w:proofErr w:type="gramStart"/>
      <w:r w:rsidR="003A5B33" w:rsidRPr="0072758C">
        <w:rPr>
          <w:lang w:val="en-AU"/>
        </w:rPr>
        <w:t>time period</w:t>
      </w:r>
      <w:proofErr w:type="gramEnd"/>
      <w:r w:rsidR="003A5B33" w:rsidRPr="0072758C">
        <w:rPr>
          <w:lang w:val="en-AU"/>
        </w:rPr>
        <w:t>.  Greek would have been known in the Decapolis, Caesarea Maritima, and most likely at Jerusalem, Sepphoris and Tiberius (which was the Capital of Galilee at the time of Jesus’ ministry.</w:t>
      </w:r>
      <w:r w:rsidR="004D4A00" w:rsidRPr="0072758C">
        <w:rPr>
          <w:lang w:val="en-AU"/>
        </w:rPr>
        <w:t xml:space="preserve"> For scholarship, see Lester L. Grabbe, </w:t>
      </w:r>
      <w:r w:rsidR="004D4A00" w:rsidRPr="0072758C">
        <w:rPr>
          <w:i/>
          <w:iCs/>
          <w:lang w:val="en-AU"/>
        </w:rPr>
        <w:t xml:space="preserve">A History of the </w:t>
      </w:r>
      <w:proofErr w:type="gramStart"/>
      <w:r w:rsidR="004D4A00" w:rsidRPr="0072758C">
        <w:rPr>
          <w:i/>
          <w:iCs/>
          <w:lang w:val="en-AU"/>
        </w:rPr>
        <w:t>Jews</w:t>
      </w:r>
      <w:proofErr w:type="gramEnd"/>
      <w:r w:rsidR="004D4A00" w:rsidRPr="0072758C">
        <w:rPr>
          <w:i/>
          <w:iCs/>
          <w:lang w:val="en-AU"/>
        </w:rPr>
        <w:t xml:space="preserve"> and Judaism in the Second Temple Period: The Early Hellenistic Period (335-175 BCE) II The Coming of the Greeks</w:t>
      </w:r>
      <w:r w:rsidR="004D4A00" w:rsidRPr="0072758C">
        <w:rPr>
          <w:lang w:val="en-AU"/>
        </w:rPr>
        <w:t>. Library of Second Temple Studies 48</w:t>
      </w:r>
      <w:r w:rsidR="003E712B" w:rsidRPr="0072758C">
        <w:rPr>
          <w:lang w:val="en-AU"/>
        </w:rPr>
        <w:t xml:space="preserve"> (</w:t>
      </w:r>
      <w:r w:rsidR="004D4A00" w:rsidRPr="0072758C">
        <w:rPr>
          <w:lang w:val="en-AU"/>
        </w:rPr>
        <w:t>London: T &amp; T Clark, 2008</w:t>
      </w:r>
      <w:r w:rsidR="003E712B" w:rsidRPr="0072758C">
        <w:rPr>
          <w:lang w:val="en-AU"/>
        </w:rPr>
        <w:t>)</w:t>
      </w:r>
      <w:r w:rsidR="004D4A00" w:rsidRPr="0072758C">
        <w:rPr>
          <w:lang w:val="en-AU"/>
        </w:rPr>
        <w:t xml:space="preserve">. </w:t>
      </w:r>
      <w:r w:rsidR="007D6F7C" w:rsidRPr="0072758C">
        <w:rPr>
          <w:lang w:val="en-AU"/>
        </w:rPr>
        <w:t>Ibid.</w:t>
      </w:r>
      <w:r w:rsidR="004D4A00" w:rsidRPr="0072758C">
        <w:rPr>
          <w:lang w:val="en-AU"/>
        </w:rPr>
        <w:t>, “A History of the Jews and Judaism in the Second Temple Period, Vol 1, Yehud: A History of the Persian Province of Judah</w:t>
      </w:r>
      <w:r w:rsidR="003E712B" w:rsidRPr="0072758C">
        <w:rPr>
          <w:lang w:val="en-AU"/>
        </w:rPr>
        <w:t>,</w:t>
      </w:r>
      <w:r w:rsidR="004D4A00" w:rsidRPr="0072758C">
        <w:rPr>
          <w:lang w:val="en-AU"/>
        </w:rPr>
        <w:t>” </w:t>
      </w:r>
      <w:r w:rsidR="007D6F7C" w:rsidRPr="0072758C">
        <w:rPr>
          <w:i/>
          <w:iCs/>
          <w:lang w:val="en-AU"/>
        </w:rPr>
        <w:t>Journal of Semitic Studies</w:t>
      </w:r>
      <w:r w:rsidR="004D4A00" w:rsidRPr="0072758C">
        <w:rPr>
          <w:lang w:val="en-AU"/>
        </w:rPr>
        <w:t> 54</w:t>
      </w:r>
      <w:r w:rsidR="00DA2EFC" w:rsidRPr="0072758C">
        <w:rPr>
          <w:lang w:val="en-AU"/>
        </w:rPr>
        <w:t xml:space="preserve"> </w:t>
      </w:r>
      <w:r w:rsidR="004D4A00" w:rsidRPr="0072758C">
        <w:rPr>
          <w:lang w:val="en-AU"/>
        </w:rPr>
        <w:t>(2009): 590–92</w:t>
      </w:r>
      <w:r w:rsidR="00C27AFC" w:rsidRPr="0072758C">
        <w:rPr>
          <w:lang w:val="en-AU"/>
        </w:rPr>
        <w:t xml:space="preserve">; Daniel Gerber, “Stanley E. Porter (Éd.), </w:t>
      </w:r>
      <w:r w:rsidR="00361975" w:rsidRPr="0072758C">
        <w:rPr>
          <w:lang w:val="en-AU"/>
        </w:rPr>
        <w:t>Paul:</w:t>
      </w:r>
      <w:r w:rsidR="00C27AFC" w:rsidRPr="0072758C">
        <w:rPr>
          <w:lang w:val="en-AU"/>
        </w:rPr>
        <w:t xml:space="preserve"> Jew, Greek, and Roman, (Pauline Studies, 5) Leiden – Boston, Brill, 2008</w:t>
      </w:r>
      <w:r w:rsidR="00987399" w:rsidRPr="0072758C">
        <w:rPr>
          <w:lang w:val="en-AU"/>
        </w:rPr>
        <w:t>,</w:t>
      </w:r>
      <w:r w:rsidR="00C27AFC" w:rsidRPr="0072758C">
        <w:rPr>
          <w:lang w:val="en-AU"/>
        </w:rPr>
        <w:t>” </w:t>
      </w:r>
      <w:r w:rsidR="00C27AFC" w:rsidRPr="0072758C">
        <w:rPr>
          <w:i/>
          <w:iCs/>
          <w:lang w:val="en-AU"/>
        </w:rPr>
        <w:t>Revue d’histoire et de Philosophie Religieuses</w:t>
      </w:r>
      <w:r w:rsidR="00C27AFC" w:rsidRPr="0072758C">
        <w:rPr>
          <w:lang w:val="en-AU"/>
        </w:rPr>
        <w:t> 90 (2010): 428–29. </w:t>
      </w:r>
      <w:r w:rsidR="004849AA" w:rsidRPr="0072758C">
        <w:rPr>
          <w:lang w:val="en-AU"/>
        </w:rPr>
        <w:t xml:space="preserve"> For a discussion on koine Greek being spoken in a Galilean dialect, see Jonathan M.</w:t>
      </w:r>
      <w:r w:rsidR="003E712B" w:rsidRPr="0072758C">
        <w:rPr>
          <w:lang w:val="en-AU"/>
        </w:rPr>
        <w:t xml:space="preserve"> </w:t>
      </w:r>
      <w:r w:rsidR="004849AA" w:rsidRPr="0072758C">
        <w:rPr>
          <w:lang w:val="en-AU"/>
        </w:rPr>
        <w:t>Watt, “Of Gutterals and Galileans: The Two Slurs of Matthew 26.73</w:t>
      </w:r>
      <w:r w:rsidR="003E712B" w:rsidRPr="0072758C">
        <w:rPr>
          <w:lang w:val="en-AU"/>
        </w:rPr>
        <w:t>,</w:t>
      </w:r>
      <w:r w:rsidR="004849AA" w:rsidRPr="0072758C">
        <w:rPr>
          <w:lang w:val="en-AU"/>
        </w:rPr>
        <w:t>” In </w:t>
      </w:r>
      <w:r w:rsidR="004849AA" w:rsidRPr="0072758C">
        <w:rPr>
          <w:i/>
          <w:iCs/>
          <w:lang w:val="en-AU"/>
        </w:rPr>
        <w:t>Diglossia and Other Topics in New Testament Linguistics</w:t>
      </w:r>
      <w:r w:rsidR="004849AA" w:rsidRPr="0072758C">
        <w:rPr>
          <w:lang w:val="en-AU"/>
        </w:rPr>
        <w:t xml:space="preserve">, </w:t>
      </w:r>
      <w:r w:rsidR="003E712B" w:rsidRPr="0072758C">
        <w:rPr>
          <w:lang w:val="en-AU"/>
        </w:rPr>
        <w:t xml:space="preserve">ed. Stanley Porter, </w:t>
      </w:r>
      <w:r w:rsidR="004849AA" w:rsidRPr="0072758C">
        <w:rPr>
          <w:lang w:val="en-AU"/>
        </w:rPr>
        <w:t xml:space="preserve">107–20. </w:t>
      </w:r>
      <w:r w:rsidR="003E712B" w:rsidRPr="0072758C">
        <w:rPr>
          <w:lang w:val="en-AU"/>
        </w:rPr>
        <w:t>(</w:t>
      </w:r>
      <w:r w:rsidR="004849AA" w:rsidRPr="0072758C">
        <w:rPr>
          <w:lang w:val="en-AU"/>
        </w:rPr>
        <w:t>Sheffield</w:t>
      </w:r>
      <w:r w:rsidR="003E712B" w:rsidRPr="0072758C">
        <w:rPr>
          <w:lang w:val="en-AU"/>
        </w:rPr>
        <w:t>: Sheffield Academic Press</w:t>
      </w:r>
      <w:r w:rsidR="004849AA" w:rsidRPr="0072758C">
        <w:rPr>
          <w:lang w:val="en-AU"/>
        </w:rPr>
        <w:t>, 2000</w:t>
      </w:r>
      <w:r w:rsidR="003E712B" w:rsidRPr="0072758C">
        <w:rPr>
          <w:lang w:val="en-AU"/>
        </w:rPr>
        <w:t>)</w:t>
      </w:r>
      <w:r w:rsidR="004849AA" w:rsidRPr="0072758C">
        <w:rPr>
          <w:lang w:val="en-AU"/>
        </w:rPr>
        <w:t>. </w:t>
      </w:r>
    </w:p>
    <w:p w14:paraId="285602FE" w14:textId="77777777" w:rsidR="003566B0" w:rsidRPr="0072758C" w:rsidRDefault="003566B0" w:rsidP="00D37F31">
      <w:pPr>
        <w:pStyle w:val="EndnoteText"/>
        <w:rPr>
          <w:lang w:val="en-AU"/>
        </w:rPr>
      </w:pPr>
    </w:p>
  </w:footnote>
  <w:footnote w:id="472">
    <w:p w14:paraId="06BD80E6" w14:textId="77777777" w:rsidR="003566B0" w:rsidRPr="0072758C" w:rsidRDefault="003566B0" w:rsidP="00D37F31">
      <w:pPr>
        <w:pStyle w:val="EndnoteText"/>
        <w:ind w:firstLine="720"/>
        <w:rPr>
          <w:lang w:val="en-AU"/>
        </w:rPr>
      </w:pPr>
      <w:r w:rsidRPr="0072758C">
        <w:rPr>
          <w:rStyle w:val="FootnoteReference"/>
          <w:lang w:val="en-AU"/>
        </w:rPr>
        <w:footnoteRef/>
      </w:r>
      <w:r w:rsidRPr="0072758C">
        <w:rPr>
          <w:lang w:val="en-AU"/>
        </w:rPr>
        <w:t xml:space="preserve"> Henry George Liddell et al., </w:t>
      </w:r>
      <w:r w:rsidRPr="0072758C">
        <w:rPr>
          <w:i/>
          <w:iCs/>
          <w:lang w:val="en-AU"/>
        </w:rPr>
        <w:t>A Greek-English Lexicon</w:t>
      </w:r>
      <w:r w:rsidRPr="0072758C">
        <w:rPr>
          <w:lang w:val="en-AU"/>
        </w:rPr>
        <w:t> (Oxford: Clarendon, 1996), 140.</w:t>
      </w:r>
    </w:p>
    <w:p w14:paraId="2F06BAFE" w14:textId="77777777" w:rsidR="003566B0" w:rsidRPr="0072758C" w:rsidRDefault="003566B0" w:rsidP="00D37F31">
      <w:pPr>
        <w:pStyle w:val="EndnoteText"/>
        <w:rPr>
          <w:lang w:val="en-AU"/>
        </w:rPr>
      </w:pPr>
    </w:p>
  </w:footnote>
  <w:footnote w:id="473">
    <w:p w14:paraId="30406808" w14:textId="12A3E8FF" w:rsidR="003566B0" w:rsidRPr="0072758C" w:rsidRDefault="003566B0" w:rsidP="00D37F31">
      <w:pPr>
        <w:pStyle w:val="EndnoteText"/>
        <w:ind w:firstLine="720"/>
        <w:rPr>
          <w:lang w:val="en-AU"/>
        </w:rPr>
      </w:pPr>
      <w:r w:rsidRPr="0072758C">
        <w:rPr>
          <w:rStyle w:val="FootnoteReference"/>
          <w:lang w:val="en-AU"/>
        </w:rPr>
        <w:footnoteRef/>
      </w:r>
      <w:r w:rsidRPr="0072758C">
        <w:rPr>
          <w:lang w:val="en-AU"/>
        </w:rPr>
        <w:t xml:space="preserve"> Johan Lust, </w:t>
      </w:r>
      <w:r w:rsidRPr="0072758C">
        <w:rPr>
          <w:i/>
          <w:iCs/>
          <w:lang w:val="en-AU"/>
        </w:rPr>
        <w:t>A Greek-English Lexicon of The Septuagint</w:t>
      </w:r>
      <w:r w:rsidRPr="0072758C">
        <w:rPr>
          <w:lang w:val="en-AU"/>
        </w:rPr>
        <w:t> (Stuttgart: Dt. Bibelges., 2000), 1.36.</w:t>
      </w:r>
    </w:p>
    <w:p w14:paraId="31E3D8DE" w14:textId="77777777" w:rsidR="003566B0" w:rsidRPr="0072758C" w:rsidRDefault="003566B0" w:rsidP="00D37F31">
      <w:pPr>
        <w:pStyle w:val="EndnoteText"/>
        <w:rPr>
          <w:lang w:val="en-AU"/>
        </w:rPr>
      </w:pPr>
    </w:p>
  </w:footnote>
  <w:footnote w:id="474">
    <w:p w14:paraId="0D038DF3" w14:textId="6D86CD8B" w:rsidR="003566B0" w:rsidRPr="0072758C" w:rsidRDefault="003566B0" w:rsidP="00D37F31">
      <w:pPr>
        <w:pStyle w:val="EndnoteText"/>
        <w:ind w:firstLine="720"/>
        <w:rPr>
          <w:lang w:val="en-AU"/>
        </w:rPr>
      </w:pPr>
      <w:r w:rsidRPr="0072758C">
        <w:rPr>
          <w:rStyle w:val="FootnoteReference"/>
          <w:lang w:val="en-AU"/>
        </w:rPr>
        <w:footnoteRef/>
      </w:r>
      <w:r w:rsidRPr="0072758C">
        <w:rPr>
          <w:lang w:val="en-AU"/>
        </w:rPr>
        <w:t xml:space="preserve"> Walter Wink, </w:t>
      </w:r>
      <w:r w:rsidRPr="0072758C">
        <w:rPr>
          <w:i/>
          <w:iCs/>
          <w:lang w:val="en-AU"/>
        </w:rPr>
        <w:t>The Powers That Be: Theology for a New Millennium</w:t>
      </w:r>
      <w:r w:rsidRPr="0072758C">
        <w:rPr>
          <w:lang w:val="en-AU"/>
        </w:rPr>
        <w:t xml:space="preserve"> (New York: Doubleday, 1998), 99–101.  Walter Wink claims that everything was created by God for good and now Jesus is working to redeem all of creation by nonviolent means. </w:t>
      </w:r>
      <w:r w:rsidR="004849AA" w:rsidRPr="0072758C">
        <w:rPr>
          <w:lang w:val="en-AU"/>
        </w:rPr>
        <w:t xml:space="preserve"> </w:t>
      </w:r>
      <w:r w:rsidR="00B95128" w:rsidRPr="0072758C">
        <w:rPr>
          <w:lang w:val="en-AU"/>
        </w:rPr>
        <w:t>Kellermann’s book review agrees with the views of Wink, see Wylie-Kellermann, Bill, and Henry French. “Book Review: Walter Wink: Collected Readings. Edited by Henry French</w:t>
      </w:r>
      <w:r w:rsidR="00DA3483" w:rsidRPr="0072758C">
        <w:rPr>
          <w:lang w:val="en-AU"/>
        </w:rPr>
        <w:t>,</w:t>
      </w:r>
      <w:r w:rsidR="00B95128" w:rsidRPr="0072758C">
        <w:rPr>
          <w:lang w:val="en-AU"/>
        </w:rPr>
        <w:t>” </w:t>
      </w:r>
      <w:r w:rsidR="00B95128" w:rsidRPr="0072758C">
        <w:rPr>
          <w:i/>
          <w:iCs/>
          <w:lang w:val="en-AU"/>
        </w:rPr>
        <w:t>Theological Studies</w:t>
      </w:r>
      <w:r w:rsidR="00B95128" w:rsidRPr="0072758C">
        <w:rPr>
          <w:lang w:val="en-AU"/>
        </w:rPr>
        <w:t> 76 (2015): 212–13. </w:t>
      </w:r>
    </w:p>
  </w:footnote>
  <w:footnote w:id="475">
    <w:p w14:paraId="5C6959D3" w14:textId="77777777" w:rsidR="003566B0" w:rsidRPr="0072758C" w:rsidRDefault="003566B0" w:rsidP="00D37F31">
      <w:pPr>
        <w:pStyle w:val="EndnoteText"/>
        <w:rPr>
          <w:lang w:val="en-AU"/>
        </w:rPr>
      </w:pPr>
    </w:p>
    <w:p w14:paraId="3A0CC6F9" w14:textId="710E754F" w:rsidR="00B95128" w:rsidRPr="0072758C" w:rsidRDefault="003566B0" w:rsidP="00D37F31">
      <w:pPr>
        <w:pStyle w:val="EndnoteText"/>
        <w:ind w:firstLine="720"/>
        <w:rPr>
          <w:lang w:val="en-AU"/>
        </w:rPr>
      </w:pPr>
      <w:r w:rsidRPr="0072758C">
        <w:rPr>
          <w:rStyle w:val="FootnoteReference"/>
          <w:lang w:val="en-AU"/>
        </w:rPr>
        <w:footnoteRef/>
      </w:r>
      <w:r w:rsidRPr="0072758C">
        <w:rPr>
          <w:lang w:val="en-AU"/>
        </w:rPr>
        <w:t xml:space="preserve"> Carter, </w:t>
      </w:r>
      <w:proofErr w:type="gramStart"/>
      <w:r w:rsidRPr="0072758C">
        <w:rPr>
          <w:i/>
          <w:iCs/>
          <w:lang w:val="en-AU"/>
        </w:rPr>
        <w:t>Matthew</w:t>
      </w:r>
      <w:proofErr w:type="gramEnd"/>
      <w:r w:rsidRPr="0072758C">
        <w:rPr>
          <w:i/>
          <w:iCs/>
          <w:lang w:val="en-AU"/>
        </w:rPr>
        <w:t xml:space="preserve"> and Empire</w:t>
      </w:r>
      <w:r w:rsidRPr="0072758C">
        <w:rPr>
          <w:lang w:val="en-AU"/>
        </w:rPr>
        <w:t>, 127.</w:t>
      </w:r>
      <w:r w:rsidR="00B95128" w:rsidRPr="0072758C">
        <w:rPr>
          <w:lang w:val="en-AU"/>
        </w:rPr>
        <w:t xml:space="preserve">  For a discussion of Just War Theory and pacifism from Matthew 5:39 and violence to resist, see Gregory M. Reichberg, “Thomas Aquinas between Just War and Pacifism</w:t>
      </w:r>
      <w:r w:rsidR="00DA3483" w:rsidRPr="0072758C">
        <w:rPr>
          <w:lang w:val="en-AU"/>
        </w:rPr>
        <w:t>,</w:t>
      </w:r>
      <w:r w:rsidR="00B95128" w:rsidRPr="0072758C">
        <w:rPr>
          <w:lang w:val="en-AU"/>
        </w:rPr>
        <w:t>” </w:t>
      </w:r>
      <w:r w:rsidR="00B95128" w:rsidRPr="0072758C">
        <w:rPr>
          <w:i/>
          <w:iCs/>
          <w:lang w:val="en-AU"/>
        </w:rPr>
        <w:t>Journal of Religious Ethics</w:t>
      </w:r>
      <w:r w:rsidR="00B95128" w:rsidRPr="0072758C">
        <w:rPr>
          <w:lang w:val="en-AU"/>
        </w:rPr>
        <w:t> 38</w:t>
      </w:r>
      <w:r w:rsidR="00DA3483" w:rsidRPr="0072758C">
        <w:rPr>
          <w:lang w:val="en-AU"/>
        </w:rPr>
        <w:t xml:space="preserve"> </w:t>
      </w:r>
      <w:r w:rsidR="00B95128" w:rsidRPr="0072758C">
        <w:rPr>
          <w:lang w:val="en-AU"/>
        </w:rPr>
        <w:t>(2010): 219–41.</w:t>
      </w:r>
    </w:p>
  </w:footnote>
  <w:footnote w:id="476">
    <w:p w14:paraId="51DC1CED" w14:textId="77777777" w:rsidR="003566B0" w:rsidRPr="0072758C" w:rsidRDefault="003566B0" w:rsidP="00D37F31">
      <w:pPr>
        <w:pStyle w:val="EndnoteText"/>
        <w:rPr>
          <w:lang w:val="en-AU"/>
        </w:rPr>
      </w:pPr>
    </w:p>
    <w:p w14:paraId="044E8DB0" w14:textId="49CA7408" w:rsidR="003566B0" w:rsidRPr="0072758C" w:rsidRDefault="003566B0" w:rsidP="00D37F31">
      <w:pPr>
        <w:pStyle w:val="EndnoteText"/>
        <w:ind w:firstLine="720"/>
        <w:rPr>
          <w:lang w:val="en-AU"/>
        </w:rPr>
      </w:pPr>
      <w:r w:rsidRPr="0072758C">
        <w:rPr>
          <w:rStyle w:val="FootnoteReference"/>
          <w:lang w:val="en-AU"/>
        </w:rPr>
        <w:footnoteRef/>
      </w:r>
      <w:r w:rsidRPr="0072758C">
        <w:rPr>
          <w:lang w:val="en-AU"/>
        </w:rPr>
        <w:t xml:space="preserve"> </w:t>
      </w:r>
      <w:r w:rsidR="00B95128" w:rsidRPr="0072758C">
        <w:rPr>
          <w:lang w:val="en-AU"/>
        </w:rPr>
        <w:t xml:space="preserve">Carter, </w:t>
      </w:r>
      <w:proofErr w:type="gramStart"/>
      <w:r w:rsidR="00B95128" w:rsidRPr="0072758C">
        <w:rPr>
          <w:i/>
          <w:iCs/>
          <w:lang w:val="en-AU"/>
        </w:rPr>
        <w:t>Matthew</w:t>
      </w:r>
      <w:proofErr w:type="gramEnd"/>
      <w:r w:rsidR="00B95128" w:rsidRPr="0072758C">
        <w:rPr>
          <w:i/>
          <w:iCs/>
          <w:lang w:val="en-AU"/>
        </w:rPr>
        <w:t xml:space="preserve"> and Empire</w:t>
      </w:r>
      <w:r w:rsidR="00B95128" w:rsidRPr="0072758C">
        <w:rPr>
          <w:lang w:val="en-AU"/>
        </w:rPr>
        <w:t xml:space="preserve">, 127.  </w:t>
      </w:r>
    </w:p>
    <w:p w14:paraId="549E4764" w14:textId="77777777" w:rsidR="003566B0" w:rsidRPr="0072758C" w:rsidRDefault="003566B0" w:rsidP="00D37F31">
      <w:pPr>
        <w:pStyle w:val="EndnoteText"/>
        <w:rPr>
          <w:lang w:val="en-AU"/>
        </w:rPr>
      </w:pPr>
    </w:p>
  </w:footnote>
  <w:footnote w:id="477">
    <w:p w14:paraId="5725B8D8" w14:textId="5416F69D" w:rsidR="003566B0" w:rsidRPr="0072758C" w:rsidRDefault="003566B0" w:rsidP="00D37F31">
      <w:pPr>
        <w:pStyle w:val="EndnoteText"/>
        <w:ind w:firstLine="720"/>
        <w:rPr>
          <w:lang w:val="en-AU"/>
        </w:rPr>
      </w:pPr>
      <w:r w:rsidRPr="0072758C">
        <w:rPr>
          <w:rStyle w:val="FootnoteReference"/>
          <w:lang w:val="en-AU"/>
        </w:rPr>
        <w:footnoteRef/>
      </w:r>
      <w:r w:rsidRPr="0072758C">
        <w:rPr>
          <w:lang w:val="en-AU"/>
        </w:rPr>
        <w:t xml:space="preserve"> For a discussion of the role of </w:t>
      </w:r>
      <w:r w:rsidRPr="0072758C">
        <w:rPr>
          <w:i/>
          <w:iCs/>
          <w:lang w:val="en-AU"/>
        </w:rPr>
        <w:t>bar mitzvah</w:t>
      </w:r>
      <w:r w:rsidRPr="0072758C">
        <w:rPr>
          <w:lang w:val="en-AU"/>
        </w:rPr>
        <w:t xml:space="preserve">, see Frederick E. Greenspahn, </w:t>
      </w:r>
      <w:r w:rsidRPr="0072758C">
        <w:rPr>
          <w:i/>
          <w:iCs/>
          <w:lang w:val="en-AU"/>
        </w:rPr>
        <w:t xml:space="preserve">When Brothers Dwell Together: The Pre-eminence of Younger Siblings in the Hebrew Bible </w:t>
      </w:r>
      <w:r w:rsidRPr="0072758C">
        <w:rPr>
          <w:lang w:val="en-AU"/>
        </w:rPr>
        <w:t xml:space="preserve">(New York, </w:t>
      </w:r>
      <w:r w:rsidR="00500A6D" w:rsidRPr="0072758C">
        <w:rPr>
          <w:lang w:val="en-AU"/>
        </w:rPr>
        <w:t xml:space="preserve">Oxford University Press, </w:t>
      </w:r>
      <w:r w:rsidRPr="0072758C">
        <w:rPr>
          <w:lang w:val="en-AU"/>
        </w:rPr>
        <w:t xml:space="preserve">1994).  It is worth noting, since this dissertation studies </w:t>
      </w:r>
      <w:r w:rsidRPr="0072758C">
        <w:rPr>
          <w:i/>
          <w:iCs/>
          <w:lang w:val="en-AU"/>
        </w:rPr>
        <w:t>Mishna Avot,</w:t>
      </w:r>
      <w:r w:rsidRPr="0072758C">
        <w:rPr>
          <w:lang w:val="en-AU"/>
        </w:rPr>
        <w:t xml:space="preserve"> that the earliest record of the </w:t>
      </w:r>
      <w:r w:rsidRPr="0072758C">
        <w:rPr>
          <w:i/>
          <w:lang w:val="en-AU"/>
        </w:rPr>
        <w:t>Bar Mitzvah</w:t>
      </w:r>
      <w:r w:rsidRPr="0072758C">
        <w:rPr>
          <w:lang w:val="en-AU"/>
        </w:rPr>
        <w:t xml:space="preserve"> (</w:t>
      </w:r>
      <w:r w:rsidRPr="0072758C">
        <w:rPr>
          <w:i/>
          <w:iCs/>
          <w:lang w:val="en-AU"/>
        </w:rPr>
        <w:t xml:space="preserve">Mishna Avot </w:t>
      </w:r>
      <w:r w:rsidRPr="0072758C">
        <w:rPr>
          <w:lang w:val="en-AU"/>
        </w:rPr>
        <w:t xml:space="preserve"> 5:21) reads, “He [Yehudah ben Teima] used to say: Five years [is the age] for [the study of] Scripture, Ten [is the age] for [the study of] Mishna, Thirteen [is the age] for [observing] commandments, Fifteen [is the age] for [the study of] Talmud, Eighteen [is the age] for the [wedding] canopy, Twenty [is the age] for pursuing [a livelihood], Thirty [is the age] for [full] strength, Forty [is the age] for understanding, Fifty [is the age] for [giving] counsel, Sixty [is the age] for mature age, Seventy [is the age] for a hoary head, Eighty [is a sign of superadded] strength, Ninety [is the age] for [a] bending [stature], A hundred, is [the age at which one is] as if dead, passed away, and ceased from the world.”</w:t>
      </w:r>
    </w:p>
    <w:p w14:paraId="5D31176D" w14:textId="77777777" w:rsidR="003566B0" w:rsidRPr="0072758C" w:rsidRDefault="003566B0" w:rsidP="00E12E31">
      <w:pPr>
        <w:pStyle w:val="EndnoteText"/>
        <w:rPr>
          <w:lang w:val="en-AU"/>
        </w:rPr>
      </w:pPr>
    </w:p>
  </w:footnote>
  <w:footnote w:id="478">
    <w:p w14:paraId="3F5C8C16" w14:textId="77777777" w:rsidR="003566B0" w:rsidRPr="0072758C" w:rsidRDefault="003566B0" w:rsidP="00E12E31">
      <w:pPr>
        <w:pStyle w:val="EndnoteText"/>
        <w:ind w:firstLine="720"/>
        <w:rPr>
          <w:i/>
          <w:iCs/>
          <w:lang w:val="en-AU"/>
        </w:rPr>
      </w:pPr>
      <w:r w:rsidRPr="0072758C">
        <w:rPr>
          <w:rStyle w:val="FootnoteReference"/>
          <w:lang w:val="en-AU"/>
        </w:rPr>
        <w:footnoteRef/>
      </w:r>
      <w:r w:rsidRPr="0072758C">
        <w:rPr>
          <w:lang w:val="en-AU"/>
        </w:rPr>
        <w:t xml:space="preserve"> Saldarini, </w:t>
      </w:r>
      <w:r w:rsidRPr="0072758C">
        <w:rPr>
          <w:i/>
          <w:iCs/>
          <w:lang w:val="en-AU"/>
        </w:rPr>
        <w:t xml:space="preserve">Matthew’s Christian-Jewish Community, </w:t>
      </w:r>
      <w:r w:rsidRPr="0072758C">
        <w:rPr>
          <w:iCs/>
          <w:lang w:val="en-AU"/>
        </w:rPr>
        <w:t>52</w:t>
      </w:r>
      <w:r w:rsidRPr="0072758C">
        <w:rPr>
          <w:i/>
          <w:iCs/>
          <w:lang w:val="en-AU"/>
        </w:rPr>
        <w:t>.</w:t>
      </w:r>
    </w:p>
  </w:footnote>
  <w:footnote w:id="479">
    <w:p w14:paraId="5C76F983" w14:textId="77777777" w:rsidR="003566B0" w:rsidRPr="0072758C" w:rsidRDefault="003566B0" w:rsidP="00E12E31">
      <w:pPr>
        <w:pStyle w:val="EndnoteText"/>
        <w:rPr>
          <w:lang w:val="en-AU"/>
        </w:rPr>
      </w:pPr>
    </w:p>
    <w:p w14:paraId="5B4F0868" w14:textId="77777777" w:rsidR="003566B0" w:rsidRPr="0072758C" w:rsidRDefault="003566B0" w:rsidP="00E12E31">
      <w:pPr>
        <w:pStyle w:val="EndnoteText"/>
        <w:ind w:firstLine="720"/>
        <w:rPr>
          <w:lang w:val="en-AU"/>
        </w:rPr>
      </w:pPr>
      <w:r w:rsidRPr="0072758C">
        <w:rPr>
          <w:rStyle w:val="FootnoteReference"/>
          <w:lang w:val="en-AU"/>
        </w:rPr>
        <w:footnoteRef/>
      </w:r>
      <w:r w:rsidRPr="0072758C">
        <w:rPr>
          <w:lang w:val="en-AU"/>
        </w:rPr>
        <w:t xml:space="preserve"> Ibid.</w:t>
      </w:r>
    </w:p>
  </w:footnote>
  <w:footnote w:id="480">
    <w:p w14:paraId="02025441" w14:textId="77777777" w:rsidR="003566B0" w:rsidRPr="0072758C" w:rsidRDefault="003566B0" w:rsidP="00E12E31">
      <w:pPr>
        <w:pStyle w:val="EndnoteText"/>
        <w:rPr>
          <w:lang w:val="en-AU"/>
        </w:rPr>
      </w:pPr>
    </w:p>
    <w:p w14:paraId="2E66E641" w14:textId="77777777" w:rsidR="003566B0" w:rsidRPr="0072758C" w:rsidRDefault="003566B0" w:rsidP="00E12E31">
      <w:pPr>
        <w:pStyle w:val="EndnoteText"/>
        <w:ind w:firstLine="720"/>
        <w:rPr>
          <w:lang w:val="en-AU"/>
        </w:rPr>
      </w:pPr>
      <w:r w:rsidRPr="0072758C">
        <w:rPr>
          <w:rStyle w:val="FootnoteReference"/>
          <w:lang w:val="en-AU"/>
        </w:rPr>
        <w:footnoteRef/>
      </w:r>
      <w:r w:rsidRPr="0072758C">
        <w:rPr>
          <w:lang w:val="en-AU"/>
        </w:rPr>
        <w:t xml:space="preserve"> Talbert,</w:t>
      </w:r>
      <w:r w:rsidRPr="0072758C">
        <w:rPr>
          <w:i/>
          <w:iCs/>
          <w:lang w:val="en-AU"/>
        </w:rPr>
        <w:t xml:space="preserve"> Reading the Sermon on the Mount</w:t>
      </w:r>
      <w:r w:rsidRPr="0072758C">
        <w:rPr>
          <w:lang w:val="en-AU"/>
        </w:rPr>
        <w:t>, 89.</w:t>
      </w:r>
    </w:p>
  </w:footnote>
  <w:footnote w:id="481">
    <w:p w14:paraId="3C9C1EA3" w14:textId="77777777" w:rsidR="003566B0" w:rsidRPr="0072758C" w:rsidRDefault="003566B0" w:rsidP="00D37F31">
      <w:pPr>
        <w:pStyle w:val="EndnoteText"/>
        <w:rPr>
          <w:lang w:val="en-AU"/>
        </w:rPr>
      </w:pPr>
    </w:p>
    <w:p w14:paraId="4C502795" w14:textId="12516A71" w:rsidR="003566B0" w:rsidRDefault="003566B0" w:rsidP="00D37F31">
      <w:pPr>
        <w:pStyle w:val="EndnoteText"/>
        <w:ind w:firstLine="720"/>
        <w:rPr>
          <w:lang w:val="en-AU"/>
        </w:rPr>
      </w:pPr>
      <w:r w:rsidRPr="0072758C">
        <w:rPr>
          <w:rStyle w:val="FootnoteReference"/>
          <w:lang w:val="en-AU"/>
        </w:rPr>
        <w:footnoteRef/>
      </w:r>
      <w:r w:rsidRPr="0072758C">
        <w:rPr>
          <w:lang w:val="en-AU"/>
        </w:rPr>
        <w:t xml:space="preserve"> Ibid.; Exodus 23:4–5; Leviticus 19:18; Proverbs 20:22, 24:29.</w:t>
      </w:r>
    </w:p>
    <w:p w14:paraId="586D1DA2" w14:textId="77777777" w:rsidR="00655CB3" w:rsidRPr="0072758C" w:rsidRDefault="00655CB3" w:rsidP="00D37F31">
      <w:pPr>
        <w:pStyle w:val="EndnoteText"/>
        <w:ind w:firstLine="720"/>
        <w:rPr>
          <w:lang w:val="en-AU"/>
        </w:rPr>
      </w:pPr>
    </w:p>
  </w:footnote>
  <w:footnote w:id="482">
    <w:p w14:paraId="7503E29A" w14:textId="392D8B8B"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David Bivin, Lois Tverberg and Bruce Okkema, </w:t>
      </w:r>
      <w:r w:rsidRPr="0072758C">
        <w:rPr>
          <w:i/>
          <w:iCs/>
          <w:lang w:val="en-AU"/>
        </w:rPr>
        <w:t xml:space="preserve">New Light on The Difficult Words of Jesus </w:t>
      </w:r>
      <w:r w:rsidRPr="0072758C">
        <w:rPr>
          <w:lang w:val="en-AU"/>
        </w:rPr>
        <w:t>(Holland: En-Gedi Resource Center, 2007).</w:t>
      </w:r>
    </w:p>
    <w:p w14:paraId="311921DC" w14:textId="77777777" w:rsidR="00194C28" w:rsidRPr="0072758C" w:rsidRDefault="00194C28" w:rsidP="00D37F31">
      <w:pPr>
        <w:pStyle w:val="EndnoteText"/>
        <w:rPr>
          <w:lang w:val="en-AU"/>
        </w:rPr>
      </w:pPr>
    </w:p>
  </w:footnote>
  <w:footnote w:id="483">
    <w:p w14:paraId="2C34CEC3" w14:textId="42C0427A"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David Bivin and Roy Blizzard, </w:t>
      </w:r>
      <w:r w:rsidRPr="0072758C">
        <w:rPr>
          <w:i/>
          <w:iCs/>
          <w:lang w:val="en-AU"/>
        </w:rPr>
        <w:t>Understanding the Difficult Words of Jesus: New Insights from a Hebraic Perspective</w:t>
      </w:r>
      <w:r w:rsidRPr="0072758C">
        <w:rPr>
          <w:lang w:val="en-AU"/>
        </w:rPr>
        <w:t xml:space="preserve"> (Shippensburg, PA: Destiny Image, 1994), 70. </w:t>
      </w:r>
    </w:p>
    <w:p w14:paraId="00ECE084" w14:textId="77777777" w:rsidR="00194C28" w:rsidRPr="0072758C" w:rsidRDefault="00194C28" w:rsidP="00D37F31">
      <w:pPr>
        <w:pStyle w:val="EndnoteText"/>
        <w:rPr>
          <w:lang w:val="en-AU"/>
        </w:rPr>
      </w:pPr>
    </w:p>
  </w:footnote>
  <w:footnote w:id="484">
    <w:p w14:paraId="1A6DDAFB" w14:textId="545B66F6"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Burton L. Visotzky, </w:t>
      </w:r>
      <w:r w:rsidR="00863B47" w:rsidRPr="0072758C">
        <w:rPr>
          <w:lang w:val="en-AU"/>
        </w:rPr>
        <w:t>“</w:t>
      </w:r>
      <w:r w:rsidRPr="0072758C">
        <w:rPr>
          <w:lang w:val="en-AU"/>
        </w:rPr>
        <w:t>Midrash Proverbs 25,</w:t>
      </w:r>
      <w:r w:rsidR="00863B47" w:rsidRPr="0072758C">
        <w:rPr>
          <w:lang w:val="en-AU"/>
        </w:rPr>
        <w:t>”</w:t>
      </w:r>
      <w:r w:rsidRPr="0072758C">
        <w:rPr>
          <w:lang w:val="en-AU"/>
        </w:rPr>
        <w:t xml:space="preserve"> </w:t>
      </w:r>
      <w:r w:rsidRPr="0072758C">
        <w:rPr>
          <w:i/>
          <w:iCs/>
          <w:lang w:val="en-AU"/>
        </w:rPr>
        <w:t>Midrash on Proverbs</w:t>
      </w:r>
      <w:r w:rsidRPr="0072758C">
        <w:rPr>
          <w:lang w:val="en-AU"/>
        </w:rPr>
        <w:t xml:space="preserve"> (New Haven: Yale University, 1992)</w:t>
      </w:r>
      <w:r w:rsidR="001606AD" w:rsidRPr="0072758C">
        <w:rPr>
          <w:lang w:val="en-AU"/>
        </w:rPr>
        <w:t>,</w:t>
      </w:r>
      <w:r w:rsidRPr="0072758C">
        <w:rPr>
          <w:lang w:val="en-AU"/>
        </w:rPr>
        <w:t xml:space="preserve"> 168; 9B. </w:t>
      </w:r>
      <w:r w:rsidRPr="0072758C">
        <w:rPr>
          <w:i/>
          <w:iCs/>
          <w:lang w:val="en-AU"/>
        </w:rPr>
        <w:t>Talmud Sanhedrin</w:t>
      </w:r>
      <w:r w:rsidRPr="0072758C">
        <w:rPr>
          <w:lang w:val="en-AU"/>
        </w:rPr>
        <w:t xml:space="preserve"> 72a.</w:t>
      </w:r>
    </w:p>
    <w:p w14:paraId="03769D6A" w14:textId="77777777" w:rsidR="00194C28" w:rsidRPr="0072758C" w:rsidRDefault="00194C28" w:rsidP="00D37F31">
      <w:pPr>
        <w:pStyle w:val="EndnoteText"/>
        <w:rPr>
          <w:lang w:val="en-AU"/>
        </w:rPr>
      </w:pPr>
    </w:p>
  </w:footnote>
  <w:footnote w:id="485">
    <w:p w14:paraId="78819C65" w14:textId="4DE73F44"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w:t>
      </w:r>
      <w:r w:rsidR="00DF2BEE" w:rsidRPr="00DF2BEE">
        <w:rPr>
          <w:lang w:val="en-AU"/>
        </w:rPr>
        <w:t>Frederick W</w:t>
      </w:r>
      <w:r w:rsidR="00DF2BEE">
        <w:rPr>
          <w:lang w:val="en-AU"/>
        </w:rPr>
        <w:t xml:space="preserve">. </w:t>
      </w:r>
      <w:r w:rsidR="00DF2BEE" w:rsidRPr="00DF2BEE">
        <w:rPr>
          <w:lang w:val="en-AU"/>
        </w:rPr>
        <w:t xml:space="preserve">Danker, </w:t>
      </w:r>
      <w:r w:rsidR="00DF2BEE">
        <w:rPr>
          <w:lang w:val="en-AU"/>
        </w:rPr>
        <w:t xml:space="preserve">and </w:t>
      </w:r>
      <w:r w:rsidR="009B2F19" w:rsidRPr="0072758C">
        <w:rPr>
          <w:lang w:val="en-AU"/>
        </w:rPr>
        <w:t xml:space="preserve">Walter </w:t>
      </w:r>
      <w:r w:rsidRPr="0072758C">
        <w:rPr>
          <w:lang w:val="en-AU"/>
        </w:rPr>
        <w:t>Bauer,</w:t>
      </w:r>
      <w:r w:rsidR="009B2F19">
        <w:rPr>
          <w:lang w:val="en-AU"/>
        </w:rPr>
        <w:t xml:space="preserve"> </w:t>
      </w:r>
      <w:r w:rsidR="009B2F19">
        <w:rPr>
          <w:i/>
          <w:iCs/>
          <w:lang w:val="en-AU"/>
        </w:rPr>
        <w:t>et al</w:t>
      </w:r>
      <w:r w:rsidRPr="0072758C">
        <w:rPr>
          <w:lang w:val="en-AU"/>
        </w:rPr>
        <w:t xml:space="preserve">. </w:t>
      </w:r>
      <w:r w:rsidRPr="0072758C">
        <w:rPr>
          <w:i/>
          <w:iCs/>
          <w:lang w:val="en-AU"/>
        </w:rPr>
        <w:t>A Greek-English Lexicon of the New Testament and Other Early Christian Literature (BDAG)</w:t>
      </w:r>
      <w:r w:rsidRPr="0072758C">
        <w:rPr>
          <w:lang w:val="en-AU"/>
        </w:rPr>
        <w:t>, (Chicago: University of Chicago, 20</w:t>
      </w:r>
      <w:r w:rsidR="00DF2BEE">
        <w:rPr>
          <w:lang w:val="en-AU"/>
        </w:rPr>
        <w:t>14</w:t>
      </w:r>
      <w:r w:rsidRPr="0072758C">
        <w:rPr>
          <w:lang w:val="en-AU"/>
        </w:rPr>
        <w:t xml:space="preserve">), </w:t>
      </w:r>
      <w:r w:rsidRPr="0072758C">
        <w:rPr>
          <w:i/>
          <w:iCs/>
          <w:lang w:val="en-AU"/>
        </w:rPr>
        <w:t>s.v. πονηρος</w:t>
      </w:r>
      <w:r w:rsidRPr="0072758C">
        <w:rPr>
          <w:lang w:val="en-AU"/>
        </w:rPr>
        <w:t xml:space="preserve">. </w:t>
      </w:r>
    </w:p>
    <w:p w14:paraId="1F59CFAF" w14:textId="77777777" w:rsidR="00194C28" w:rsidRPr="0072758C" w:rsidRDefault="00194C28" w:rsidP="00D37F31">
      <w:pPr>
        <w:pStyle w:val="EndnoteText"/>
        <w:rPr>
          <w:lang w:val="en-AU"/>
        </w:rPr>
      </w:pPr>
      <w:r w:rsidRPr="0072758C">
        <w:rPr>
          <w:lang w:val="en-AU"/>
        </w:rPr>
        <w:t xml:space="preserve"> </w:t>
      </w:r>
    </w:p>
  </w:footnote>
  <w:footnote w:id="486">
    <w:p w14:paraId="262D41B2" w14:textId="7B551141" w:rsidR="009B5C8E"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Richard France, </w:t>
      </w:r>
      <w:r w:rsidR="00863B47" w:rsidRPr="0072758C">
        <w:rPr>
          <w:lang w:val="en-AU"/>
        </w:rPr>
        <w:t>“</w:t>
      </w:r>
      <w:r w:rsidRPr="0072758C">
        <w:rPr>
          <w:lang w:val="en-AU"/>
        </w:rPr>
        <w:t>The Gospel of Matthew,</w:t>
      </w:r>
      <w:r w:rsidR="00863B47" w:rsidRPr="0072758C">
        <w:rPr>
          <w:lang w:val="en-AU"/>
        </w:rPr>
        <w:t>”</w:t>
      </w:r>
      <w:r w:rsidRPr="0072758C">
        <w:rPr>
          <w:lang w:val="en-AU"/>
        </w:rPr>
        <w:t xml:space="preserve"> 220.</w:t>
      </w:r>
      <w:r w:rsidR="009B5C8E" w:rsidRPr="0072758C">
        <w:rPr>
          <w:lang w:val="en-AU"/>
        </w:rPr>
        <w:t xml:space="preserve"> For a discussion of the Greek used in Aristotle and ‘Turn the other Cheek’ see Erin Stackle, “Aristotle’s Phronimos Should Also Turn the Other Cheek</w:t>
      </w:r>
      <w:r w:rsidR="00DA3483" w:rsidRPr="0072758C">
        <w:rPr>
          <w:lang w:val="en-AU"/>
        </w:rPr>
        <w:t>,</w:t>
      </w:r>
      <w:r w:rsidR="009B5C8E" w:rsidRPr="0072758C">
        <w:rPr>
          <w:lang w:val="en-AU"/>
        </w:rPr>
        <w:t>” </w:t>
      </w:r>
      <w:r w:rsidR="009B5C8E" w:rsidRPr="0072758C">
        <w:rPr>
          <w:i/>
          <w:iCs/>
          <w:lang w:val="en-AU"/>
        </w:rPr>
        <w:t>Philosophy &amp; Theology</w:t>
      </w:r>
      <w:r w:rsidR="009B5C8E" w:rsidRPr="0072758C">
        <w:rPr>
          <w:lang w:val="en-AU"/>
        </w:rPr>
        <w:t> 29</w:t>
      </w:r>
      <w:r w:rsidR="00E83F6C" w:rsidRPr="0072758C">
        <w:rPr>
          <w:lang w:val="en-AU"/>
        </w:rPr>
        <w:t xml:space="preserve"> </w:t>
      </w:r>
      <w:r w:rsidR="009B5C8E" w:rsidRPr="0072758C">
        <w:rPr>
          <w:lang w:val="en-AU"/>
        </w:rPr>
        <w:t>(2017): 3–15.</w:t>
      </w:r>
    </w:p>
    <w:p w14:paraId="1CD6D777" w14:textId="77777777" w:rsidR="00194C28" w:rsidRPr="0072758C" w:rsidRDefault="00194C28" w:rsidP="00D37F31">
      <w:pPr>
        <w:pStyle w:val="EndnoteText"/>
        <w:rPr>
          <w:lang w:val="en-AU"/>
        </w:rPr>
      </w:pPr>
    </w:p>
  </w:footnote>
  <w:footnote w:id="487">
    <w:p w14:paraId="7914AD25" w14:textId="313D4413"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W.D. Davies and Dale C. Allison, Jr., </w:t>
      </w:r>
      <w:r w:rsidR="00863B47" w:rsidRPr="0072758C">
        <w:rPr>
          <w:lang w:val="en-AU"/>
        </w:rPr>
        <w:t>“</w:t>
      </w:r>
      <w:r w:rsidRPr="0072758C">
        <w:rPr>
          <w:lang w:val="en-AU"/>
        </w:rPr>
        <w:t>A Critical and Exegetical Commentary on the Gospel According to Saint Matthew,</w:t>
      </w:r>
      <w:r w:rsidR="00863B47" w:rsidRPr="0072758C">
        <w:rPr>
          <w:lang w:val="en-AU"/>
        </w:rPr>
        <w:t>”</w:t>
      </w:r>
      <w:r w:rsidRPr="0072758C">
        <w:rPr>
          <w:lang w:val="en-AU"/>
        </w:rPr>
        <w:t xml:space="preserve"> 543. </w:t>
      </w:r>
    </w:p>
    <w:p w14:paraId="29435822" w14:textId="77777777" w:rsidR="00194C28" w:rsidRPr="0072758C" w:rsidRDefault="00194C28" w:rsidP="00D37F31">
      <w:pPr>
        <w:pStyle w:val="EndnoteText"/>
        <w:rPr>
          <w:lang w:val="en-AU"/>
        </w:rPr>
      </w:pPr>
    </w:p>
  </w:footnote>
  <w:footnote w:id="488">
    <w:p w14:paraId="59E08201" w14:textId="172B4B77" w:rsidR="00BA1BF9" w:rsidRPr="0072758C" w:rsidRDefault="00194C28" w:rsidP="00D37F31">
      <w:pPr>
        <w:pStyle w:val="EndnoteText"/>
        <w:rPr>
          <w:lang w:val="en-AU"/>
        </w:rPr>
      </w:pPr>
      <w:r w:rsidRPr="0072758C">
        <w:rPr>
          <w:lang w:val="en-AU"/>
        </w:rPr>
        <w:tab/>
      </w:r>
      <w:r w:rsidRPr="0072758C">
        <w:rPr>
          <w:rStyle w:val="FootnoteReference"/>
          <w:lang w:val="en-AU"/>
        </w:rPr>
        <w:footnoteRef/>
      </w:r>
      <w:r w:rsidRPr="0072758C">
        <w:rPr>
          <w:lang w:val="en-AU"/>
        </w:rPr>
        <w:t xml:space="preserve"> </w:t>
      </w:r>
      <w:r w:rsidRPr="0072758C">
        <w:rPr>
          <w:iCs/>
          <w:lang w:val="en-AU"/>
        </w:rPr>
        <w:t>See</w:t>
      </w:r>
      <w:r w:rsidRPr="0072758C">
        <w:rPr>
          <w:lang w:val="en-AU"/>
        </w:rPr>
        <w:t xml:space="preserve"> J. H. Yoder, </w:t>
      </w:r>
      <w:r w:rsidRPr="0072758C">
        <w:rPr>
          <w:i/>
          <w:lang w:val="en-AU"/>
        </w:rPr>
        <w:t>Christian Attitudes to War, Peace, and Revolution</w:t>
      </w:r>
      <w:r w:rsidRPr="0072758C">
        <w:rPr>
          <w:lang w:val="en-AU"/>
        </w:rPr>
        <w:t xml:space="preserve"> (Grand Rapids: Brazos, 2009); Yoder also teaches that pacifism is an expression of the Christian commitment to love and forgiveness.  He teaches that in the Gospel of Luke, there is a commitment for the believer in Jesus to bring about peace upon earth, see</w:t>
      </w:r>
      <w:r w:rsidRPr="0072758C">
        <w:rPr>
          <w:i/>
          <w:iCs/>
          <w:lang w:val="en-AU"/>
        </w:rPr>
        <w:t xml:space="preserve"> </w:t>
      </w:r>
      <w:r w:rsidRPr="0072758C">
        <w:rPr>
          <w:lang w:val="en-AU"/>
        </w:rPr>
        <w:t xml:space="preserve">John Howard Yoder, </w:t>
      </w:r>
      <w:r w:rsidRPr="0072758C">
        <w:rPr>
          <w:i/>
          <w:iCs/>
          <w:lang w:val="en-AU"/>
        </w:rPr>
        <w:t xml:space="preserve">The Politics of Jesus </w:t>
      </w:r>
      <w:r w:rsidRPr="0072758C">
        <w:rPr>
          <w:lang w:val="en-AU"/>
        </w:rPr>
        <w:t>(Grand Rapids, MI: Wm. B. Eerdmans Publishing, 1972, Revised Edition 1994)</w:t>
      </w:r>
      <w:r w:rsidR="009C6C1E" w:rsidRPr="0072758C">
        <w:rPr>
          <w:lang w:val="en-AU"/>
        </w:rPr>
        <w:t>.</w:t>
      </w:r>
      <w:r w:rsidR="00FC6C77" w:rsidRPr="0072758C">
        <w:rPr>
          <w:lang w:val="en-AU"/>
        </w:rPr>
        <w:t xml:space="preserve"> </w:t>
      </w:r>
      <w:r w:rsidR="00BA1BF9" w:rsidRPr="0072758C">
        <w:rPr>
          <w:lang w:val="en-AU"/>
        </w:rPr>
        <w:t>For more discussion on nonresistance to evil by force, see V.V. Emelianov, “Babylonian ‘Sermon on the Mount</w:t>
      </w:r>
      <w:r w:rsidR="00FC6C77" w:rsidRPr="0072758C">
        <w:rPr>
          <w:lang w:val="en-AU"/>
        </w:rPr>
        <w:t>,</w:t>
      </w:r>
      <w:r w:rsidR="00BA1BF9" w:rsidRPr="0072758C">
        <w:rPr>
          <w:lang w:val="en-AU"/>
        </w:rPr>
        <w:t>” </w:t>
      </w:r>
      <w:r w:rsidR="00BA1BF9" w:rsidRPr="0072758C">
        <w:rPr>
          <w:i/>
          <w:iCs/>
          <w:lang w:val="en-AU"/>
        </w:rPr>
        <w:t>Voprosy Filosofii</w:t>
      </w:r>
      <w:r w:rsidR="00BA1BF9" w:rsidRPr="0072758C">
        <w:rPr>
          <w:lang w:val="en-AU"/>
        </w:rPr>
        <w:t xml:space="preserve">, 7 (2016): 148–61. </w:t>
      </w:r>
    </w:p>
  </w:footnote>
  <w:footnote w:id="489">
    <w:p w14:paraId="5D384FAF" w14:textId="4A458A59" w:rsidR="00194C28" w:rsidRPr="0072758C" w:rsidRDefault="00CE04A4" w:rsidP="003461E7">
      <w:pPr>
        <w:pStyle w:val="EndnoteText"/>
        <w:tabs>
          <w:tab w:val="left" w:pos="2699"/>
        </w:tabs>
        <w:rPr>
          <w:lang w:val="en-AU"/>
        </w:rPr>
      </w:pPr>
      <w:r w:rsidRPr="0072758C">
        <w:rPr>
          <w:lang w:val="en-AU"/>
        </w:rPr>
        <w:tab/>
      </w:r>
    </w:p>
    <w:p w14:paraId="5455C8F6" w14:textId="66C57579"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W. Robertson Nicoll, </w:t>
      </w:r>
      <w:r w:rsidRPr="0072758C">
        <w:rPr>
          <w:i/>
          <w:iCs/>
          <w:lang w:val="en-AU"/>
        </w:rPr>
        <w:t>The Expositor</w:t>
      </w:r>
      <w:r w:rsidR="005C71CB" w:rsidRPr="0072758C">
        <w:rPr>
          <w:i/>
          <w:iCs/>
          <w:lang w:val="en-AU"/>
        </w:rPr>
        <w:t>’</w:t>
      </w:r>
      <w:r w:rsidRPr="0072758C">
        <w:rPr>
          <w:i/>
          <w:iCs/>
          <w:lang w:val="en-AU"/>
        </w:rPr>
        <w:t>s Greek Testament</w:t>
      </w:r>
      <w:r w:rsidRPr="0072758C">
        <w:rPr>
          <w:lang w:val="en-AU"/>
        </w:rPr>
        <w:t xml:space="preserve"> (Grand Rapids: Eerdmans, 1970), 112. </w:t>
      </w:r>
    </w:p>
  </w:footnote>
  <w:footnote w:id="490">
    <w:p w14:paraId="507455B7" w14:textId="77777777" w:rsidR="00194C28" w:rsidRPr="0072758C" w:rsidRDefault="00194C28" w:rsidP="00D37F31">
      <w:pPr>
        <w:pStyle w:val="EndnoteText"/>
        <w:rPr>
          <w:sz w:val="24"/>
          <w:szCs w:val="24"/>
          <w:lang w:val="en-AU"/>
        </w:rPr>
      </w:pPr>
    </w:p>
    <w:p w14:paraId="38B4FDA7" w14:textId="7B54BD1B"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Stassen and Gushee, </w:t>
      </w:r>
      <w:r w:rsidRPr="0072758C">
        <w:rPr>
          <w:i/>
          <w:iCs/>
          <w:lang w:val="en-AU"/>
        </w:rPr>
        <w:t>Kingdom Ethics</w:t>
      </w:r>
      <w:r w:rsidRPr="0072758C">
        <w:rPr>
          <w:lang w:val="en-AU"/>
        </w:rPr>
        <w:t>, 137.</w:t>
      </w:r>
    </w:p>
  </w:footnote>
  <w:footnote w:id="491">
    <w:p w14:paraId="7A0B5DC8" w14:textId="77777777" w:rsidR="00194C28" w:rsidRPr="0072758C" w:rsidRDefault="00194C28" w:rsidP="00D37F31">
      <w:pPr>
        <w:pStyle w:val="EndnoteText"/>
        <w:rPr>
          <w:lang w:val="en-AU"/>
        </w:rPr>
      </w:pPr>
    </w:p>
    <w:p w14:paraId="2119A863" w14:textId="7025106B" w:rsidR="00194C28" w:rsidRPr="0072758C" w:rsidRDefault="00194C28" w:rsidP="00D37F31">
      <w:pPr>
        <w:pStyle w:val="EndnoteText"/>
        <w:rPr>
          <w:lang w:val="en-AU"/>
        </w:rPr>
      </w:pPr>
      <w:r w:rsidRPr="0072758C">
        <w:rPr>
          <w:lang w:val="en-AU"/>
        </w:rPr>
        <w:tab/>
      </w:r>
      <w:r w:rsidRPr="0072758C">
        <w:rPr>
          <w:rStyle w:val="FootnoteReference"/>
          <w:lang w:val="en-AU"/>
        </w:rPr>
        <w:footnoteRef/>
      </w:r>
      <w:r w:rsidRPr="0072758C">
        <w:rPr>
          <w:lang w:val="en-AU"/>
        </w:rPr>
        <w:t xml:space="preserve"> Ibid.</w:t>
      </w:r>
    </w:p>
    <w:p w14:paraId="705D92A3" w14:textId="77777777" w:rsidR="00194C28" w:rsidRPr="0072758C" w:rsidRDefault="00194C28" w:rsidP="00D37F31">
      <w:pPr>
        <w:pStyle w:val="EndnoteText"/>
        <w:rPr>
          <w:lang w:val="en-AU"/>
        </w:rPr>
      </w:pPr>
    </w:p>
  </w:footnote>
  <w:footnote w:id="492">
    <w:p w14:paraId="4061C9FF" w14:textId="2D17B217"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Ibid.</w:t>
      </w:r>
      <w:r w:rsidR="00BA1BF9" w:rsidRPr="0072758C">
        <w:rPr>
          <w:lang w:val="en-AU"/>
        </w:rPr>
        <w:t xml:space="preserve"> For a discussion on the word ‘fool’ in Christian and Rabbinic sources in the context of insult, see Michal Bar-Asher Siegal</w:t>
      </w:r>
      <w:r w:rsidR="00CE04A4" w:rsidRPr="0072758C">
        <w:rPr>
          <w:lang w:val="en-AU"/>
        </w:rPr>
        <w:t>,</w:t>
      </w:r>
      <w:r w:rsidR="00BA1BF9" w:rsidRPr="0072758C">
        <w:rPr>
          <w:lang w:val="en-AU"/>
        </w:rPr>
        <w:t xml:space="preserve"> “Matthew 5:22: The Insult ‘Fool’ and the Interpretation of the Law in Christian and Rabbinic Sources</w:t>
      </w:r>
      <w:r w:rsidR="00BA5EAE" w:rsidRPr="0072758C">
        <w:rPr>
          <w:lang w:val="en-AU"/>
        </w:rPr>
        <w:t>,</w:t>
      </w:r>
      <w:r w:rsidR="00BA1BF9" w:rsidRPr="0072758C">
        <w:rPr>
          <w:lang w:val="en-AU"/>
        </w:rPr>
        <w:t>” </w:t>
      </w:r>
      <w:r w:rsidR="00BA1BF9" w:rsidRPr="0072758C">
        <w:rPr>
          <w:i/>
          <w:iCs/>
          <w:lang w:val="en-AU"/>
        </w:rPr>
        <w:t>Revue de l’histoire Des Religions</w:t>
      </w:r>
      <w:r w:rsidR="00BA1BF9" w:rsidRPr="0072758C">
        <w:rPr>
          <w:lang w:val="en-AU"/>
        </w:rPr>
        <w:t> 234</w:t>
      </w:r>
      <w:r w:rsidR="00E83F6C" w:rsidRPr="0072758C">
        <w:rPr>
          <w:lang w:val="en-AU"/>
        </w:rPr>
        <w:t xml:space="preserve"> </w:t>
      </w:r>
      <w:r w:rsidR="00BA1BF9" w:rsidRPr="0072758C">
        <w:rPr>
          <w:lang w:val="en-AU"/>
        </w:rPr>
        <w:t>(2017): 5–23.</w:t>
      </w:r>
    </w:p>
    <w:p w14:paraId="77EE6446" w14:textId="77777777" w:rsidR="00E1168A" w:rsidRPr="0072758C" w:rsidRDefault="00E1168A" w:rsidP="00D37F31">
      <w:pPr>
        <w:pStyle w:val="EndnoteText"/>
        <w:rPr>
          <w:lang w:val="en-AU"/>
        </w:rPr>
      </w:pPr>
    </w:p>
  </w:footnote>
  <w:footnote w:id="493">
    <w:p w14:paraId="028F1DCC" w14:textId="5FB0F5AC" w:rsidR="00194C28"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A.H. McNeile, </w:t>
      </w:r>
      <w:r w:rsidRPr="0072758C">
        <w:rPr>
          <w:i/>
          <w:iCs/>
          <w:lang w:val="en-AU"/>
        </w:rPr>
        <w:t>The Gospel According to Saint Matthew: The Greek Text with Introduction</w:t>
      </w:r>
      <w:r w:rsidRPr="0072758C">
        <w:rPr>
          <w:lang w:val="en-AU"/>
        </w:rPr>
        <w:t xml:space="preserve"> (London: MacMillian, 1952), 68</w:t>
      </w:r>
      <w:r w:rsidR="005676E2" w:rsidRPr="0072758C">
        <w:rPr>
          <w:lang w:val="en-AU"/>
        </w:rPr>
        <w:t>–</w:t>
      </w:r>
      <w:r w:rsidRPr="0072758C">
        <w:rPr>
          <w:lang w:val="en-AU"/>
        </w:rPr>
        <w:t>69.</w:t>
      </w:r>
      <w:r w:rsidR="003228BF" w:rsidRPr="0072758C">
        <w:rPr>
          <w:lang w:val="en-AU"/>
        </w:rPr>
        <w:t xml:space="preserve"> For a discussion on alternative theories and the Babylonian influence into defining who is evil or an evil </w:t>
      </w:r>
      <w:r w:rsidR="00FC6C77" w:rsidRPr="0072758C">
        <w:rPr>
          <w:lang w:val="en-AU"/>
        </w:rPr>
        <w:t>entity</w:t>
      </w:r>
      <w:r w:rsidR="003228BF" w:rsidRPr="0072758C">
        <w:rPr>
          <w:lang w:val="en-AU"/>
        </w:rPr>
        <w:t xml:space="preserve"> in terms of the Sermon, see V.V. Emelianov, “Babylonian ‘Sermon on the Mount</w:t>
      </w:r>
      <w:r w:rsidR="00FC6C77" w:rsidRPr="0072758C">
        <w:rPr>
          <w:lang w:val="en-AU"/>
        </w:rPr>
        <w:t>,</w:t>
      </w:r>
      <w:r w:rsidR="003228BF" w:rsidRPr="0072758C">
        <w:rPr>
          <w:lang w:val="en-AU"/>
        </w:rPr>
        <w:t>’” </w:t>
      </w:r>
      <w:r w:rsidR="003228BF" w:rsidRPr="0072758C">
        <w:rPr>
          <w:i/>
          <w:iCs/>
          <w:lang w:val="en-AU"/>
        </w:rPr>
        <w:t>Voprosy Filosofii</w:t>
      </w:r>
      <w:r w:rsidR="00E83F6C" w:rsidRPr="0072758C">
        <w:rPr>
          <w:lang w:val="en-AU"/>
        </w:rPr>
        <w:t xml:space="preserve"> </w:t>
      </w:r>
      <w:r w:rsidR="003228BF" w:rsidRPr="0072758C">
        <w:rPr>
          <w:lang w:val="en-AU"/>
        </w:rPr>
        <w:t>(2016): 148–61. </w:t>
      </w:r>
    </w:p>
    <w:p w14:paraId="4776CCA3" w14:textId="77777777" w:rsidR="00194C28" w:rsidRPr="0072758C" w:rsidRDefault="00194C28" w:rsidP="00D37F31">
      <w:pPr>
        <w:pStyle w:val="EndnoteText"/>
        <w:rPr>
          <w:lang w:val="en-AU"/>
        </w:rPr>
      </w:pPr>
    </w:p>
  </w:footnote>
  <w:footnote w:id="494">
    <w:p w14:paraId="65ACEE65" w14:textId="4916D7C4" w:rsidR="007E58E2" w:rsidRPr="0072758C" w:rsidRDefault="00194C28" w:rsidP="00D37F31">
      <w:pPr>
        <w:pStyle w:val="EndnoteText"/>
        <w:ind w:firstLine="720"/>
        <w:rPr>
          <w:lang w:val="en-AU"/>
        </w:rPr>
      </w:pPr>
      <w:r w:rsidRPr="0072758C">
        <w:rPr>
          <w:rStyle w:val="FootnoteReference"/>
          <w:lang w:val="en-AU"/>
        </w:rPr>
        <w:footnoteRef/>
      </w:r>
      <w:r w:rsidRPr="0072758C">
        <w:rPr>
          <w:lang w:val="en-AU"/>
        </w:rPr>
        <w:t xml:space="preserve"> Rocco A Errico, George M Lamsa and George M Lamsa, </w:t>
      </w:r>
      <w:r w:rsidRPr="0072758C">
        <w:rPr>
          <w:i/>
          <w:iCs/>
          <w:lang w:val="en-AU"/>
        </w:rPr>
        <w:t xml:space="preserve">Aramaic Light </w:t>
      </w:r>
      <w:proofErr w:type="gramStart"/>
      <w:r w:rsidRPr="0072758C">
        <w:rPr>
          <w:i/>
          <w:iCs/>
          <w:lang w:val="en-AU"/>
        </w:rPr>
        <w:t>On</w:t>
      </w:r>
      <w:proofErr w:type="gramEnd"/>
      <w:r w:rsidRPr="0072758C">
        <w:rPr>
          <w:i/>
          <w:iCs/>
          <w:lang w:val="en-AU"/>
        </w:rPr>
        <w:t xml:space="preserve"> Exodus Through Deuteronomy</w:t>
      </w:r>
      <w:r w:rsidRPr="0072758C">
        <w:rPr>
          <w:lang w:val="en-AU"/>
        </w:rPr>
        <w:t> (Smyrna: Noohra, 2008).</w:t>
      </w:r>
      <w:r w:rsidR="009B5C8E" w:rsidRPr="0072758C">
        <w:rPr>
          <w:lang w:val="en-AU"/>
        </w:rPr>
        <w:t xml:space="preserve"> There are other accounts in which the word στρέψον translated differently, see Emanuele Lelli</w:t>
      </w:r>
      <w:r w:rsidR="00FC6C77" w:rsidRPr="0072758C">
        <w:rPr>
          <w:lang w:val="en-AU"/>
        </w:rPr>
        <w:t>,</w:t>
      </w:r>
      <w:r w:rsidR="009B5C8E" w:rsidRPr="0072758C">
        <w:rPr>
          <w:lang w:val="en-AU"/>
        </w:rPr>
        <w:t xml:space="preserve"> “Folklorica Ii</w:t>
      </w:r>
      <w:r w:rsidR="00BA5EAE" w:rsidRPr="0072758C">
        <w:rPr>
          <w:lang w:val="en-AU"/>
        </w:rPr>
        <w:t>,</w:t>
      </w:r>
      <w:r w:rsidR="009B5C8E" w:rsidRPr="0072758C">
        <w:rPr>
          <w:lang w:val="en-AU"/>
        </w:rPr>
        <w:t>” </w:t>
      </w:r>
      <w:r w:rsidR="009B5C8E" w:rsidRPr="0072758C">
        <w:rPr>
          <w:i/>
          <w:iCs/>
          <w:lang w:val="en-AU"/>
        </w:rPr>
        <w:t>Quaderni Urbinati Di Cultura Classica</w:t>
      </w:r>
      <w:r w:rsidR="009B5C8E" w:rsidRPr="0072758C">
        <w:rPr>
          <w:lang w:val="en-AU"/>
        </w:rPr>
        <w:t> 101</w:t>
      </w:r>
      <w:r w:rsidR="0088312B" w:rsidRPr="0072758C">
        <w:rPr>
          <w:lang w:val="en-AU"/>
        </w:rPr>
        <w:t xml:space="preserve"> </w:t>
      </w:r>
      <w:r w:rsidR="009B5C8E" w:rsidRPr="0072758C">
        <w:rPr>
          <w:lang w:val="en-AU"/>
        </w:rPr>
        <w:t xml:space="preserve">(2012): 217–24. </w:t>
      </w:r>
      <w:r w:rsidR="007E58E2" w:rsidRPr="0072758C">
        <w:rPr>
          <w:lang w:val="en-AU"/>
        </w:rPr>
        <w:t xml:space="preserve">For recent application of Matthew 5:38-42 in the context of love and passive </w:t>
      </w:r>
      <w:r w:rsidR="005D1E94" w:rsidRPr="0072758C">
        <w:rPr>
          <w:lang w:val="en-AU"/>
        </w:rPr>
        <w:t>resistance</w:t>
      </w:r>
      <w:r w:rsidR="007E58E2" w:rsidRPr="0072758C">
        <w:rPr>
          <w:lang w:val="en-AU"/>
        </w:rPr>
        <w:t>, see</w:t>
      </w:r>
      <w:r w:rsidR="005D1E94" w:rsidRPr="0072758C">
        <w:rPr>
          <w:lang w:val="en-AU"/>
        </w:rPr>
        <w:t xml:space="preserve"> </w:t>
      </w:r>
      <w:r w:rsidR="007E58E2" w:rsidRPr="0072758C">
        <w:rPr>
          <w:lang w:val="en-AU"/>
        </w:rPr>
        <w:t>Katja Ekman, “Enemy Love and the Reinvention of Identity</w:t>
      </w:r>
      <w:r w:rsidR="00BA5EAE" w:rsidRPr="0072758C">
        <w:rPr>
          <w:lang w:val="en-AU"/>
        </w:rPr>
        <w:t>,</w:t>
      </w:r>
      <w:r w:rsidR="007E58E2" w:rsidRPr="0072758C">
        <w:rPr>
          <w:lang w:val="en-AU"/>
        </w:rPr>
        <w:t>” </w:t>
      </w:r>
      <w:r w:rsidR="007E58E2" w:rsidRPr="0072758C">
        <w:rPr>
          <w:i/>
          <w:iCs/>
          <w:lang w:val="en-AU"/>
        </w:rPr>
        <w:t>Hervormde Teologiese Studies</w:t>
      </w:r>
      <w:r w:rsidR="007E58E2" w:rsidRPr="0072758C">
        <w:rPr>
          <w:lang w:val="en-AU"/>
        </w:rPr>
        <w:t> 77</w:t>
      </w:r>
      <w:r w:rsidR="0088312B" w:rsidRPr="0072758C">
        <w:rPr>
          <w:lang w:val="en-AU"/>
        </w:rPr>
        <w:t xml:space="preserve"> </w:t>
      </w:r>
      <w:r w:rsidR="007E58E2" w:rsidRPr="0072758C">
        <w:rPr>
          <w:lang w:val="en-AU"/>
        </w:rPr>
        <w:t>(2021): 1–7.</w:t>
      </w:r>
    </w:p>
    <w:p w14:paraId="0564D47F" w14:textId="77777777" w:rsidR="00194C28" w:rsidRPr="0072758C" w:rsidRDefault="00194C28" w:rsidP="00D37F31">
      <w:pPr>
        <w:pStyle w:val="EndnoteText"/>
        <w:rPr>
          <w:lang w:val="en-AU"/>
        </w:rPr>
      </w:pPr>
    </w:p>
  </w:footnote>
  <w:footnote w:id="495">
    <w:p w14:paraId="0838C78F" w14:textId="77777777" w:rsidR="00194C28" w:rsidRPr="0072758C" w:rsidRDefault="00194C28" w:rsidP="00E12E31">
      <w:pPr>
        <w:pStyle w:val="EndnoteText"/>
        <w:rPr>
          <w:lang w:val="en-AU"/>
        </w:rPr>
      </w:pPr>
      <w:r w:rsidRPr="0072758C">
        <w:rPr>
          <w:lang w:val="en-AU"/>
        </w:rPr>
        <w:tab/>
      </w:r>
      <w:r w:rsidRPr="0072758C">
        <w:rPr>
          <w:rStyle w:val="FootnoteReference"/>
          <w:lang w:val="en-AU"/>
        </w:rPr>
        <w:footnoteRef/>
      </w:r>
      <w:r w:rsidRPr="0072758C">
        <w:rPr>
          <w:lang w:val="en-AU"/>
        </w:rPr>
        <w:t xml:space="preserve"> Davis, </w:t>
      </w:r>
      <w:r w:rsidRPr="0072758C">
        <w:rPr>
          <w:i/>
          <w:iCs/>
          <w:lang w:val="en-AU"/>
        </w:rPr>
        <w:t>Lex Talionis in Early Judaism</w:t>
      </w:r>
      <w:r w:rsidRPr="0072758C">
        <w:rPr>
          <w:lang w:val="en-AU"/>
        </w:rPr>
        <w:t>, 105.</w:t>
      </w:r>
      <w:r w:rsidRPr="0072758C">
        <w:rPr>
          <w:lang w:val="en-AU"/>
        </w:rPr>
        <w:tab/>
      </w:r>
    </w:p>
    <w:p w14:paraId="054C6E01" w14:textId="77777777" w:rsidR="00194C28" w:rsidRPr="0072758C" w:rsidRDefault="00194C28" w:rsidP="00E12E31">
      <w:pPr>
        <w:pStyle w:val="EndnoteText"/>
        <w:rPr>
          <w:lang w:val="en-AU"/>
        </w:rPr>
      </w:pPr>
    </w:p>
  </w:footnote>
  <w:footnote w:id="496">
    <w:p w14:paraId="6024C08D" w14:textId="570EF69E" w:rsidR="00194C28" w:rsidRPr="0072758C" w:rsidRDefault="00194C28" w:rsidP="00E12E31">
      <w:pPr>
        <w:pStyle w:val="EndnoteText"/>
        <w:ind w:firstLine="720"/>
        <w:rPr>
          <w:i/>
          <w:iCs/>
          <w:lang w:val="en-AU"/>
        </w:rPr>
      </w:pPr>
      <w:r w:rsidRPr="0072758C">
        <w:rPr>
          <w:rStyle w:val="FootnoteReference"/>
          <w:lang w:val="en-AU"/>
        </w:rPr>
        <w:footnoteRef/>
      </w:r>
      <w:r w:rsidRPr="0072758C">
        <w:rPr>
          <w:lang w:val="en-AU"/>
        </w:rPr>
        <w:t xml:space="preserve"> William F. Arndt, and F. W. Gingrich, </w:t>
      </w:r>
      <w:r w:rsidRPr="0072758C">
        <w:rPr>
          <w:i/>
          <w:iCs/>
          <w:lang w:val="en-AU"/>
        </w:rPr>
        <w:t>A Greek-English Lexicon of the New Testament and Other Early Christian Literature</w:t>
      </w:r>
      <w:r w:rsidRPr="0072758C">
        <w:rPr>
          <w:lang w:val="en-AU"/>
        </w:rPr>
        <w:t xml:space="preserve"> 3</w:t>
      </w:r>
      <w:r w:rsidRPr="0072758C">
        <w:rPr>
          <w:vertAlign w:val="superscript"/>
          <w:lang w:val="en-AU"/>
        </w:rPr>
        <w:t>rd</w:t>
      </w:r>
      <w:r w:rsidRPr="0072758C">
        <w:rPr>
          <w:lang w:val="en-AU"/>
        </w:rPr>
        <w:t xml:space="preserve"> ed. (Chicago: University of Chicago Press, 2000); See</w:t>
      </w:r>
      <w:r w:rsidRPr="0072758C">
        <w:rPr>
          <w:i/>
          <w:iCs/>
          <w:lang w:val="en-AU"/>
        </w:rPr>
        <w:t xml:space="preserve"> </w:t>
      </w:r>
      <w:r w:rsidRPr="0072758C">
        <w:rPr>
          <w:lang w:val="en-AU"/>
        </w:rPr>
        <w:t xml:space="preserve">Joseph H. Thayer, </w:t>
      </w:r>
      <w:r w:rsidRPr="0072758C">
        <w:rPr>
          <w:i/>
          <w:iCs/>
          <w:lang w:val="en-AU"/>
        </w:rPr>
        <w:t>Thayer</w:t>
      </w:r>
      <w:r w:rsidR="005C71CB" w:rsidRPr="0072758C">
        <w:rPr>
          <w:i/>
          <w:iCs/>
          <w:lang w:val="en-AU"/>
        </w:rPr>
        <w:t>’</w:t>
      </w:r>
      <w:r w:rsidRPr="0072758C">
        <w:rPr>
          <w:i/>
          <w:iCs/>
          <w:lang w:val="en-AU"/>
        </w:rPr>
        <w:t>s Greek-English Lexicon of the New Testament</w:t>
      </w:r>
      <w:r w:rsidRPr="0072758C">
        <w:rPr>
          <w:lang w:val="en-AU"/>
        </w:rPr>
        <w:t xml:space="preserve"> (Peabody: Hendrickson, 2009), 45.</w:t>
      </w:r>
    </w:p>
    <w:p w14:paraId="7CFBD728" w14:textId="77777777" w:rsidR="00194C28" w:rsidRPr="0072758C" w:rsidRDefault="00194C28" w:rsidP="00E12E31">
      <w:pPr>
        <w:pStyle w:val="EndnoteText"/>
        <w:rPr>
          <w:lang w:val="en-AU"/>
        </w:rPr>
      </w:pPr>
    </w:p>
  </w:footnote>
  <w:footnote w:id="497">
    <w:p w14:paraId="3AAA5983" w14:textId="385BA8B1"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Frederick W Danker and Walter Bauer, </w:t>
      </w:r>
      <w:r w:rsidRPr="0072758C">
        <w:rPr>
          <w:i/>
          <w:iCs/>
          <w:lang w:val="en-AU"/>
        </w:rPr>
        <w:t xml:space="preserve">A Greek-English Lexicon </w:t>
      </w:r>
      <w:r w:rsidR="00DF2BEE">
        <w:rPr>
          <w:i/>
          <w:iCs/>
          <w:lang w:val="en-AU"/>
        </w:rPr>
        <w:t>o</w:t>
      </w:r>
      <w:r w:rsidRPr="0072758C">
        <w:rPr>
          <w:i/>
          <w:iCs/>
          <w:lang w:val="en-AU"/>
        </w:rPr>
        <w:t>f The New Testament and Other Early Christian Literature</w:t>
      </w:r>
      <w:r w:rsidRPr="0072758C">
        <w:rPr>
          <w:lang w:val="en-AU"/>
        </w:rPr>
        <w:t> </w:t>
      </w:r>
      <w:r w:rsidR="00FC6C77" w:rsidRPr="0072758C">
        <w:rPr>
          <w:lang w:val="en-AU"/>
        </w:rPr>
        <w:t>(</w:t>
      </w:r>
      <w:r w:rsidRPr="0072758C">
        <w:rPr>
          <w:lang w:val="en-AU"/>
        </w:rPr>
        <w:t>Chicago: The University of Chicago Press, 2014</w:t>
      </w:r>
      <w:r w:rsidR="00FC6C77" w:rsidRPr="0072758C">
        <w:rPr>
          <w:lang w:val="en-AU"/>
        </w:rPr>
        <w:t>)</w:t>
      </w:r>
      <w:r w:rsidRPr="0072758C">
        <w:rPr>
          <w:lang w:val="en-AU"/>
        </w:rPr>
        <w:t xml:space="preserve">. </w:t>
      </w:r>
    </w:p>
  </w:footnote>
  <w:footnote w:id="498">
    <w:p w14:paraId="1F41FBD5" w14:textId="77777777" w:rsidR="00194C28" w:rsidRPr="0072758C" w:rsidRDefault="00194C28" w:rsidP="00E12E31">
      <w:pPr>
        <w:pStyle w:val="EndnoteText"/>
        <w:rPr>
          <w:lang w:val="en-AU"/>
        </w:rPr>
      </w:pPr>
    </w:p>
    <w:p w14:paraId="587E62D2" w14:textId="703CDB1A"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Robert H. Mounce, </w:t>
      </w:r>
      <w:r w:rsidRPr="0072758C">
        <w:rPr>
          <w:i/>
          <w:iCs/>
          <w:lang w:val="en-AU"/>
        </w:rPr>
        <w:t>Matthew, New International Biblical Commentary</w:t>
      </w:r>
      <w:r w:rsidRPr="0072758C">
        <w:rPr>
          <w:lang w:val="en-AU"/>
        </w:rPr>
        <w:t xml:space="preserve"> (Peabody, MA: Hendrickson, 1991), 49.</w:t>
      </w:r>
    </w:p>
    <w:p w14:paraId="76A62281" w14:textId="77777777" w:rsidR="00194C28" w:rsidRPr="0072758C" w:rsidRDefault="00194C28" w:rsidP="00E12E31">
      <w:pPr>
        <w:pStyle w:val="EndnoteText"/>
        <w:rPr>
          <w:lang w:val="en-AU"/>
        </w:rPr>
      </w:pPr>
    </w:p>
  </w:footnote>
  <w:footnote w:id="499">
    <w:p w14:paraId="1DB2C688" w14:textId="33BB79E6"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Hans Dieter Betz, </w:t>
      </w:r>
      <w:r w:rsidR="00863B47" w:rsidRPr="0072758C">
        <w:rPr>
          <w:lang w:val="en-AU"/>
        </w:rPr>
        <w:t>“</w:t>
      </w:r>
      <w:r w:rsidRPr="0072758C">
        <w:rPr>
          <w:lang w:val="en-AU"/>
        </w:rPr>
        <w:t>The Sermon on the Mount,</w:t>
      </w:r>
      <w:r w:rsidR="00863B47" w:rsidRPr="0072758C">
        <w:rPr>
          <w:lang w:val="en-AU"/>
        </w:rPr>
        <w:t>”</w:t>
      </w:r>
      <w:r w:rsidRPr="0072758C">
        <w:rPr>
          <w:lang w:val="en-AU"/>
        </w:rPr>
        <w:t xml:space="preserve"> in </w:t>
      </w:r>
      <w:r w:rsidRPr="0072758C">
        <w:rPr>
          <w:i/>
          <w:iCs/>
          <w:lang w:val="en-AU"/>
        </w:rPr>
        <w:t>Hermeneia</w:t>
      </w:r>
      <w:r w:rsidRPr="0072758C">
        <w:rPr>
          <w:lang w:val="en-AU"/>
        </w:rPr>
        <w:t xml:space="preserve"> (Minneapolis: Augsburg Fortress, 1995), 40:</w:t>
      </w:r>
      <w:r w:rsidR="00FC6C77" w:rsidRPr="0072758C">
        <w:rPr>
          <w:lang w:val="en-AU"/>
        </w:rPr>
        <w:t xml:space="preserve"> </w:t>
      </w:r>
      <w:r w:rsidRPr="0072758C">
        <w:rPr>
          <w:lang w:val="en-AU"/>
        </w:rPr>
        <w:t>280</w:t>
      </w:r>
      <w:r w:rsidR="005676E2" w:rsidRPr="0072758C">
        <w:rPr>
          <w:lang w:val="en-AU"/>
        </w:rPr>
        <w:t>–</w:t>
      </w:r>
      <w:r w:rsidRPr="0072758C">
        <w:rPr>
          <w:lang w:val="en-AU"/>
        </w:rPr>
        <w:t>284.</w:t>
      </w:r>
    </w:p>
    <w:p w14:paraId="6E771B9B" w14:textId="77777777" w:rsidR="00194C28" w:rsidRPr="0072758C" w:rsidRDefault="00194C28" w:rsidP="00E12E31">
      <w:pPr>
        <w:pStyle w:val="EndnoteText"/>
        <w:rPr>
          <w:lang w:val="en-AU"/>
        </w:rPr>
      </w:pPr>
    </w:p>
  </w:footnote>
  <w:footnote w:id="500">
    <w:p w14:paraId="61BE28C9" w14:textId="0D39E567" w:rsidR="00CE7F01" w:rsidRPr="0072758C" w:rsidRDefault="00194C28" w:rsidP="00E12E31">
      <w:pPr>
        <w:pStyle w:val="EndnoteText"/>
        <w:rPr>
          <w:lang w:val="en-AU"/>
        </w:rPr>
      </w:pPr>
      <w:r w:rsidRPr="0072758C">
        <w:rPr>
          <w:lang w:val="en-AU"/>
        </w:rPr>
        <w:tab/>
      </w:r>
      <w:r w:rsidRPr="0072758C">
        <w:rPr>
          <w:rStyle w:val="FootnoteReference"/>
          <w:lang w:val="en-AU"/>
        </w:rPr>
        <w:footnoteRef/>
      </w:r>
      <w:r w:rsidRPr="0072758C">
        <w:rPr>
          <w:lang w:val="en-AU"/>
        </w:rPr>
        <w:t xml:space="preserve"> Lachs, </w:t>
      </w:r>
      <w:r w:rsidRPr="0072758C">
        <w:rPr>
          <w:i/>
          <w:iCs/>
          <w:lang w:val="en-AU"/>
        </w:rPr>
        <w:t>A Rabbinic Commentary on the New Testament</w:t>
      </w:r>
      <w:r w:rsidRPr="0072758C">
        <w:rPr>
          <w:lang w:val="en-AU"/>
        </w:rPr>
        <w:t>, 104.</w:t>
      </w:r>
      <w:r w:rsidR="00CE7F01" w:rsidRPr="0072758C">
        <w:rPr>
          <w:lang w:val="en-AU"/>
        </w:rPr>
        <w:t xml:space="preserve"> For a discussion of non-retaliation in the context of the modern Nigerian church as applying Matthew 5L38-42, see Prince E Peters, “A Critical Look at Didache 1:4b and Its Reflection on the Non-Retaliation of the Nigerian Church</w:t>
      </w:r>
      <w:r w:rsidR="00BA5EAE" w:rsidRPr="0072758C">
        <w:rPr>
          <w:lang w:val="en-AU"/>
        </w:rPr>
        <w:t>,</w:t>
      </w:r>
      <w:r w:rsidR="00CE7F01" w:rsidRPr="0072758C">
        <w:rPr>
          <w:lang w:val="en-AU"/>
        </w:rPr>
        <w:t>” </w:t>
      </w:r>
      <w:r w:rsidR="00CE7F01" w:rsidRPr="0072758C">
        <w:rPr>
          <w:i/>
          <w:iCs/>
          <w:lang w:val="en-AU"/>
        </w:rPr>
        <w:t>Hervormde Teologiese Studies</w:t>
      </w:r>
      <w:r w:rsidR="00CE7F01" w:rsidRPr="0072758C">
        <w:rPr>
          <w:lang w:val="en-AU"/>
        </w:rPr>
        <w:t> 76 (2020): 1–8.</w:t>
      </w:r>
    </w:p>
    <w:p w14:paraId="25C92A3D" w14:textId="77777777" w:rsidR="00194C28" w:rsidRPr="0072758C" w:rsidRDefault="00194C28" w:rsidP="00E12E31">
      <w:pPr>
        <w:pStyle w:val="EndnoteText"/>
        <w:rPr>
          <w:lang w:val="en-AU"/>
        </w:rPr>
      </w:pPr>
    </w:p>
  </w:footnote>
  <w:footnote w:id="501">
    <w:p w14:paraId="281C800E" w14:textId="03A06DF1"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It is worth noting that the use of the δεξιὰν is missing in in early Christian manuscripts as a </w:t>
      </w:r>
      <w:r w:rsidR="005C71CB" w:rsidRPr="0072758C">
        <w:rPr>
          <w:lang w:val="en-AU"/>
        </w:rPr>
        <w:t>‘</w:t>
      </w:r>
      <w:r w:rsidRPr="0072758C">
        <w:rPr>
          <w:lang w:val="en-AU"/>
        </w:rPr>
        <w:t>slap on the right cheek</w:t>
      </w:r>
      <w:r w:rsidR="005C71CB" w:rsidRPr="0072758C">
        <w:rPr>
          <w:lang w:val="en-AU"/>
        </w:rPr>
        <w:t>’</w:t>
      </w:r>
      <w:r w:rsidRPr="0072758C">
        <w:rPr>
          <w:lang w:val="en-AU"/>
        </w:rPr>
        <w:t xml:space="preserve"> because the scribes had lost the meaning and intent of the </w:t>
      </w:r>
      <w:r w:rsidR="005C71CB" w:rsidRPr="0072758C">
        <w:rPr>
          <w:lang w:val="en-AU"/>
        </w:rPr>
        <w:t>‘</w:t>
      </w:r>
      <w:r w:rsidRPr="0072758C">
        <w:rPr>
          <w:lang w:val="en-AU"/>
        </w:rPr>
        <w:t>slap on the right cheek.</w:t>
      </w:r>
      <w:r w:rsidR="005C71CB" w:rsidRPr="0072758C">
        <w:rPr>
          <w:lang w:val="en-AU"/>
        </w:rPr>
        <w:t>’</w:t>
      </w:r>
      <w:r w:rsidRPr="0072758C">
        <w:rPr>
          <w:lang w:val="en-AU"/>
        </w:rPr>
        <w:t xml:space="preserve"> The early scribal translators had lost the intent into what </w:t>
      </w:r>
      <w:r w:rsidR="005C71CB" w:rsidRPr="0072758C">
        <w:rPr>
          <w:lang w:val="en-AU"/>
        </w:rPr>
        <w:t>‘</w:t>
      </w:r>
      <w:r w:rsidRPr="0072758C">
        <w:rPr>
          <w:lang w:val="en-AU"/>
        </w:rPr>
        <w:t>slap the right cheek</w:t>
      </w:r>
      <w:r w:rsidR="005C71CB" w:rsidRPr="0072758C">
        <w:rPr>
          <w:lang w:val="en-AU"/>
        </w:rPr>
        <w:t>’</w:t>
      </w:r>
      <w:r w:rsidRPr="0072758C">
        <w:rPr>
          <w:lang w:val="en-AU"/>
        </w:rPr>
        <w:t xml:space="preserve"> meant and introduced a concept of </w:t>
      </w:r>
      <w:r w:rsidR="005C71CB" w:rsidRPr="0072758C">
        <w:rPr>
          <w:lang w:val="en-AU"/>
        </w:rPr>
        <w:t>‘</w:t>
      </w:r>
      <w:r w:rsidRPr="0072758C">
        <w:rPr>
          <w:lang w:val="en-AU"/>
        </w:rPr>
        <w:t>turn the other cheek</w:t>
      </w:r>
      <w:r w:rsidR="005C71CB" w:rsidRPr="0072758C">
        <w:rPr>
          <w:lang w:val="en-AU"/>
        </w:rPr>
        <w:t>’</w:t>
      </w:r>
      <w:r w:rsidRPr="0072758C">
        <w:rPr>
          <w:lang w:val="en-AU"/>
        </w:rPr>
        <w:t xml:space="preserve"> as an answer for δεξιὰν. Further examination of the primary texts will reveal the lack of δεξιὰν in D: Codex Bezae </w:t>
      </w:r>
      <w:proofErr w:type="gramStart"/>
      <w:r w:rsidRPr="0072758C">
        <w:rPr>
          <w:lang w:val="en-AU"/>
        </w:rPr>
        <w:t>Cantabrigiensis</w:t>
      </w:r>
      <w:r w:rsidR="00FC6C77" w:rsidRPr="0072758C">
        <w:rPr>
          <w:lang w:val="en-AU"/>
        </w:rPr>
        <w:t xml:space="preserve">, </w:t>
      </w:r>
      <w:r w:rsidRPr="0072758C">
        <w:rPr>
          <w:lang w:val="en-AU"/>
        </w:rPr>
        <w:t xml:space="preserve"> </w:t>
      </w:r>
      <w:r w:rsidRPr="0072758C">
        <w:rPr>
          <w:i/>
          <w:iCs/>
          <w:lang w:val="en-AU"/>
        </w:rPr>
        <w:t>Quattuor</w:t>
      </w:r>
      <w:proofErr w:type="gramEnd"/>
      <w:r w:rsidRPr="0072758C">
        <w:rPr>
          <w:i/>
          <w:iCs/>
          <w:lang w:val="en-AU"/>
        </w:rPr>
        <w:t xml:space="preserve"> evangelia et Actus apostolorum complectens Graece et Latine</w:t>
      </w:r>
      <w:r w:rsidRPr="0072758C">
        <w:rPr>
          <w:lang w:val="en-AU"/>
        </w:rPr>
        <w:t xml:space="preserve"> 2 vols (Cambridge: Cambridge University Press 1899); For an understanding of the K Codex (Bobbiensis), see</w:t>
      </w:r>
      <w:r w:rsidRPr="0072758C">
        <w:rPr>
          <w:i/>
          <w:iCs/>
          <w:lang w:val="en-AU"/>
        </w:rPr>
        <w:t xml:space="preserve">, </w:t>
      </w:r>
      <w:r w:rsidRPr="0072758C">
        <w:rPr>
          <w:lang w:val="en-AU"/>
        </w:rPr>
        <w:t xml:space="preserve">k: A. Jülicher, W. Matzkow and K. Aland (eds.), </w:t>
      </w:r>
      <w:r w:rsidRPr="0072758C">
        <w:rPr>
          <w:i/>
          <w:iCs/>
          <w:lang w:val="en-AU"/>
        </w:rPr>
        <w:t>Itala. Das Neue Testament in altlateinischer Überlieferung. I. Matthäusevangelium</w:t>
      </w:r>
      <w:r w:rsidRPr="0072758C">
        <w:rPr>
          <w:lang w:val="en-AU"/>
        </w:rPr>
        <w:t xml:space="preserve"> (Berlin: W. de Gruyter, 1972), 26. The earliest Syriac commentary by Ephrem the Syriac (306 CE to 373 CE) introduced a change in the commentary for Christianity with the generalization of </w:t>
      </w:r>
      <w:r w:rsidR="005C71CB" w:rsidRPr="0072758C">
        <w:rPr>
          <w:lang w:val="en-AU"/>
        </w:rPr>
        <w:t>‘</w:t>
      </w:r>
      <w:r w:rsidRPr="0072758C">
        <w:rPr>
          <w:lang w:val="en-AU"/>
        </w:rPr>
        <w:t>whoever slaps you on the cheek</w:t>
      </w:r>
      <w:r w:rsidR="005C71CB" w:rsidRPr="0072758C">
        <w:rPr>
          <w:lang w:val="en-AU"/>
        </w:rPr>
        <w:t>’</w:t>
      </w:r>
      <w:r w:rsidRPr="0072758C">
        <w:rPr>
          <w:lang w:val="en-AU"/>
        </w:rPr>
        <w:t xml:space="preserve"> instead of </w:t>
      </w:r>
      <w:r w:rsidR="005C71CB" w:rsidRPr="0072758C">
        <w:rPr>
          <w:lang w:val="en-AU"/>
        </w:rPr>
        <w:t>‘</w:t>
      </w:r>
      <w:r w:rsidRPr="0072758C">
        <w:rPr>
          <w:lang w:val="en-AU"/>
        </w:rPr>
        <w:t>right cheek.</w:t>
      </w:r>
      <w:r w:rsidR="005C71CB" w:rsidRPr="0072758C">
        <w:rPr>
          <w:lang w:val="en-AU"/>
        </w:rPr>
        <w:t>’</w:t>
      </w:r>
      <w:r w:rsidRPr="0072758C">
        <w:rPr>
          <w:lang w:val="en-AU"/>
        </w:rPr>
        <w:t xml:space="preserve"> For discussion of this, see Ephraem: L. Leloir (ed.), </w:t>
      </w:r>
      <w:r w:rsidRPr="0072758C">
        <w:rPr>
          <w:i/>
          <w:iCs/>
          <w:lang w:val="en-AU"/>
        </w:rPr>
        <w:t>Commentary on the Diatessaron 6.14 (Saint Ephrem, Commentaire de l</w:t>
      </w:r>
      <w:r w:rsidR="005C71CB" w:rsidRPr="0072758C">
        <w:rPr>
          <w:i/>
          <w:iCs/>
          <w:lang w:val="en-AU"/>
        </w:rPr>
        <w:t>’</w:t>
      </w:r>
      <w:r w:rsidRPr="0072758C">
        <w:rPr>
          <w:i/>
          <w:iCs/>
          <w:lang w:val="en-AU"/>
        </w:rPr>
        <w:t>Evangile concordant: Texte Syriaque [Manuscrit Chester Beatty 70] folios additionnels [trans. L. Leloir; Leuven: Peeters, 1990], p. 68). sys</w:t>
      </w:r>
      <w:r w:rsidR="00E35B5C" w:rsidRPr="0072758C">
        <w:rPr>
          <w:i/>
          <w:iCs/>
          <w:lang w:val="en-AU"/>
        </w:rPr>
        <w:t>:</w:t>
      </w:r>
      <w:r w:rsidRPr="0072758C">
        <w:rPr>
          <w:i/>
          <w:iCs/>
          <w:lang w:val="en-AU"/>
        </w:rPr>
        <w:t xml:space="preserve"> A. Smith Lewis (ed.), The Old Syriac Gospels or Evangelion da-Mepharreshê</w:t>
      </w:r>
      <w:r w:rsidRPr="0072758C">
        <w:rPr>
          <w:lang w:val="en-AU"/>
        </w:rPr>
        <w:t xml:space="preserve"> (London: Williams &amp; Norgate, 1910). </w:t>
      </w:r>
    </w:p>
    <w:p w14:paraId="7D95F34B" w14:textId="77777777" w:rsidR="00194C28" w:rsidRPr="0072758C" w:rsidRDefault="00194C28" w:rsidP="00E12E31">
      <w:pPr>
        <w:pStyle w:val="EndnoteText"/>
        <w:rPr>
          <w:lang w:val="en-AU"/>
        </w:rPr>
      </w:pPr>
    </w:p>
  </w:footnote>
  <w:footnote w:id="502">
    <w:p w14:paraId="31663CEE" w14:textId="7C6454FB" w:rsidR="00194C28" w:rsidRPr="0072758C" w:rsidRDefault="00194C28" w:rsidP="00E12E31">
      <w:pPr>
        <w:pStyle w:val="EndnoteText"/>
        <w:rPr>
          <w:lang w:val="en-AU"/>
        </w:rPr>
      </w:pPr>
      <w:r w:rsidRPr="0072758C">
        <w:rPr>
          <w:lang w:val="en-AU"/>
        </w:rPr>
        <w:tab/>
      </w:r>
      <w:r w:rsidRPr="0072758C">
        <w:rPr>
          <w:rStyle w:val="FootnoteReference"/>
          <w:lang w:val="en-AU"/>
        </w:rPr>
        <w:footnoteRef/>
      </w:r>
      <w:r w:rsidRPr="0072758C">
        <w:rPr>
          <w:lang w:val="en-AU"/>
        </w:rPr>
        <w:t xml:space="preserve"> Levine and Brettler, </w:t>
      </w:r>
      <w:r w:rsidRPr="0072758C">
        <w:rPr>
          <w:i/>
          <w:iCs/>
          <w:lang w:val="en-AU"/>
        </w:rPr>
        <w:t xml:space="preserve">The Jewish Annotated New Testament, </w:t>
      </w:r>
      <w:r w:rsidRPr="0072758C">
        <w:rPr>
          <w:iCs/>
          <w:lang w:val="en-AU"/>
        </w:rPr>
        <w:t>12</w:t>
      </w:r>
      <w:r w:rsidRPr="0072758C">
        <w:rPr>
          <w:i/>
          <w:iCs/>
          <w:lang w:val="en-AU"/>
        </w:rPr>
        <w:t>.</w:t>
      </w:r>
      <w:r w:rsidR="00815551" w:rsidRPr="0072758C">
        <w:rPr>
          <w:i/>
          <w:iCs/>
          <w:lang w:val="en-AU"/>
        </w:rPr>
        <w:t xml:space="preserve"> </w:t>
      </w:r>
      <w:r w:rsidR="00815551" w:rsidRPr="0072758C">
        <w:rPr>
          <w:lang w:val="en-AU"/>
        </w:rPr>
        <w:t>The recent address by Pope Francis called the Sermon a manual for peacemaking.  For an example on how this response is part of natural law, see</w:t>
      </w:r>
    </w:p>
    <w:p w14:paraId="36FE37BF" w14:textId="1BB7585A" w:rsidR="00815551" w:rsidRPr="0072758C" w:rsidRDefault="00815551" w:rsidP="00E12E31">
      <w:pPr>
        <w:pStyle w:val="EndnoteText"/>
        <w:rPr>
          <w:lang w:val="en-AU"/>
        </w:rPr>
      </w:pPr>
      <w:r w:rsidRPr="0072758C">
        <w:rPr>
          <w:lang w:val="en-AU"/>
        </w:rPr>
        <w:t>Gerald W. Schlabach, “A ‘Manual’ for Escaping Our Vicious Cycles: The Political Relevance of Enemy‐Love</w:t>
      </w:r>
      <w:r w:rsidR="00BA5EAE" w:rsidRPr="0072758C">
        <w:rPr>
          <w:lang w:val="en-AU"/>
        </w:rPr>
        <w:t>,</w:t>
      </w:r>
      <w:r w:rsidRPr="0072758C">
        <w:rPr>
          <w:lang w:val="en-AU"/>
        </w:rPr>
        <w:t>” </w:t>
      </w:r>
      <w:r w:rsidRPr="0072758C">
        <w:rPr>
          <w:i/>
          <w:iCs/>
          <w:lang w:val="en-AU"/>
        </w:rPr>
        <w:t>Modern Theology</w:t>
      </w:r>
      <w:r w:rsidRPr="0072758C">
        <w:rPr>
          <w:lang w:val="en-AU"/>
        </w:rPr>
        <w:t> 36 (2020): 478–500.</w:t>
      </w:r>
    </w:p>
  </w:footnote>
  <w:footnote w:id="503">
    <w:p w14:paraId="3A3C36FA" w14:textId="77777777" w:rsidR="00194C28" w:rsidRPr="0072758C" w:rsidRDefault="00194C28" w:rsidP="00E12E31">
      <w:pPr>
        <w:pStyle w:val="EndnoteText"/>
        <w:rPr>
          <w:lang w:val="en-AU"/>
        </w:rPr>
      </w:pPr>
    </w:p>
    <w:p w14:paraId="3315D75C" w14:textId="5482B1AD"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Davis, </w:t>
      </w:r>
      <w:r w:rsidRPr="0072758C">
        <w:rPr>
          <w:i/>
          <w:iCs/>
          <w:lang w:val="en-AU"/>
        </w:rPr>
        <w:t xml:space="preserve">Lex Talionis in Early </w:t>
      </w:r>
      <w:proofErr w:type="gramStart"/>
      <w:r w:rsidRPr="0072758C">
        <w:rPr>
          <w:i/>
          <w:iCs/>
          <w:lang w:val="en-AU"/>
        </w:rPr>
        <w:t>Judaism</w:t>
      </w:r>
      <w:proofErr w:type="gramEnd"/>
      <w:r w:rsidRPr="0072758C">
        <w:rPr>
          <w:i/>
          <w:iCs/>
          <w:lang w:val="en-AU"/>
        </w:rPr>
        <w:t xml:space="preserve"> and the Exhortation of Jesus in Matthew 5:38</w:t>
      </w:r>
      <w:r w:rsidR="005676E2" w:rsidRPr="0072758C">
        <w:rPr>
          <w:i/>
          <w:iCs/>
          <w:lang w:val="en-AU"/>
        </w:rPr>
        <w:t>–</w:t>
      </w:r>
      <w:r w:rsidRPr="0072758C">
        <w:rPr>
          <w:i/>
          <w:iCs/>
          <w:lang w:val="en-AU"/>
        </w:rPr>
        <w:t>42</w:t>
      </w:r>
      <w:r w:rsidRPr="0072758C">
        <w:rPr>
          <w:lang w:val="en-AU"/>
        </w:rPr>
        <w:t>, 142.</w:t>
      </w:r>
    </w:p>
    <w:p w14:paraId="67F3A349" w14:textId="77777777" w:rsidR="00194C28" w:rsidRPr="0072758C" w:rsidRDefault="00194C28" w:rsidP="00E12E31">
      <w:pPr>
        <w:pStyle w:val="EndnoteText"/>
        <w:rPr>
          <w:lang w:val="en-AU"/>
        </w:rPr>
      </w:pPr>
    </w:p>
  </w:footnote>
  <w:footnote w:id="504">
    <w:p w14:paraId="682D7737" w14:textId="63C528EB" w:rsidR="00403AF4"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Stassen and Gushee, </w:t>
      </w:r>
      <w:r w:rsidRPr="0072758C">
        <w:rPr>
          <w:i/>
          <w:iCs/>
          <w:lang w:val="en-AU"/>
        </w:rPr>
        <w:t>Kingdom Ethics</w:t>
      </w:r>
      <w:r w:rsidRPr="0072758C">
        <w:rPr>
          <w:lang w:val="en-AU"/>
        </w:rPr>
        <w:t>, 139.</w:t>
      </w:r>
      <w:r w:rsidR="00403AF4" w:rsidRPr="0072758C">
        <w:rPr>
          <w:lang w:val="en-AU"/>
        </w:rPr>
        <w:t xml:space="preserve"> For a similar concept of changing attitudes for a call to respond to violence differently, see Peter J. Judge, “Violence and Nonviolence in the Sermon on the Mount: Jesus’ Call for Attitude Adjustment</w:t>
      </w:r>
      <w:r w:rsidR="00BA5EAE" w:rsidRPr="0072758C">
        <w:rPr>
          <w:lang w:val="en-AU"/>
        </w:rPr>
        <w:t>,</w:t>
      </w:r>
      <w:r w:rsidR="00403AF4" w:rsidRPr="0072758C">
        <w:rPr>
          <w:lang w:val="en-AU"/>
        </w:rPr>
        <w:t>” </w:t>
      </w:r>
      <w:r w:rsidR="00403AF4" w:rsidRPr="0072758C">
        <w:rPr>
          <w:i/>
          <w:iCs/>
          <w:lang w:val="en-AU"/>
        </w:rPr>
        <w:t>The Bible Today</w:t>
      </w:r>
      <w:r w:rsidR="00403AF4" w:rsidRPr="0072758C">
        <w:rPr>
          <w:lang w:val="en-AU"/>
        </w:rPr>
        <w:t> 55 (2017): 13–19. </w:t>
      </w:r>
    </w:p>
  </w:footnote>
  <w:footnote w:id="505">
    <w:p w14:paraId="35935F35" w14:textId="77777777" w:rsidR="00194C28" w:rsidRPr="0072758C" w:rsidRDefault="00194C28" w:rsidP="00E12E31">
      <w:pPr>
        <w:pStyle w:val="EndnoteText"/>
        <w:rPr>
          <w:lang w:val="en-AU"/>
        </w:rPr>
      </w:pPr>
    </w:p>
    <w:p w14:paraId="71B84EFD" w14:textId="1F35D319"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Richard A. Burridge, </w:t>
      </w:r>
      <w:r w:rsidRPr="0072758C">
        <w:rPr>
          <w:i/>
          <w:iCs/>
          <w:lang w:val="en-AU"/>
        </w:rPr>
        <w:t>Imitating Jesus</w:t>
      </w:r>
      <w:r w:rsidRPr="0072758C">
        <w:rPr>
          <w:lang w:val="en-AU"/>
        </w:rPr>
        <w:t xml:space="preserve"> (Grand Rapids: Eerdmans, 2007), 216.</w:t>
      </w:r>
    </w:p>
    <w:p w14:paraId="6EF0350E" w14:textId="77777777" w:rsidR="00194C28" w:rsidRPr="0072758C" w:rsidRDefault="00194C28" w:rsidP="00E12E31">
      <w:pPr>
        <w:pStyle w:val="EndnoteText"/>
        <w:rPr>
          <w:lang w:val="en-AU"/>
        </w:rPr>
      </w:pPr>
    </w:p>
  </w:footnote>
  <w:footnote w:id="506">
    <w:p w14:paraId="1C7C81EA" w14:textId="22DF1699"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Davis, </w:t>
      </w:r>
      <w:r w:rsidRPr="0072758C">
        <w:rPr>
          <w:i/>
          <w:iCs/>
          <w:lang w:val="en-AU"/>
        </w:rPr>
        <w:t xml:space="preserve">Lex Talionis in Early </w:t>
      </w:r>
      <w:proofErr w:type="gramStart"/>
      <w:r w:rsidRPr="0072758C">
        <w:rPr>
          <w:i/>
          <w:iCs/>
          <w:lang w:val="en-AU"/>
        </w:rPr>
        <w:t>Judaism</w:t>
      </w:r>
      <w:proofErr w:type="gramEnd"/>
      <w:r w:rsidRPr="0072758C">
        <w:rPr>
          <w:i/>
          <w:iCs/>
          <w:lang w:val="en-AU"/>
        </w:rPr>
        <w:t xml:space="preserve"> and the Exhortation of Jesus in Matthew 5:38</w:t>
      </w:r>
      <w:r w:rsidR="005676E2" w:rsidRPr="0072758C">
        <w:rPr>
          <w:i/>
          <w:iCs/>
          <w:lang w:val="en-AU"/>
        </w:rPr>
        <w:t>–</w:t>
      </w:r>
      <w:r w:rsidRPr="0072758C">
        <w:rPr>
          <w:i/>
          <w:iCs/>
          <w:lang w:val="en-AU"/>
        </w:rPr>
        <w:t>42</w:t>
      </w:r>
      <w:r w:rsidRPr="0072758C">
        <w:rPr>
          <w:lang w:val="en-AU"/>
        </w:rPr>
        <w:t>, 142.</w:t>
      </w:r>
    </w:p>
  </w:footnote>
  <w:footnote w:id="507">
    <w:p w14:paraId="6F90BB8E" w14:textId="77777777" w:rsidR="00194C28" w:rsidRPr="0072758C" w:rsidRDefault="00194C28" w:rsidP="00E12E31">
      <w:pPr>
        <w:pStyle w:val="EndnoteText"/>
        <w:rPr>
          <w:lang w:val="en-AU"/>
        </w:rPr>
      </w:pPr>
    </w:p>
    <w:p w14:paraId="1E7836B7" w14:textId="77777777"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Ibid.</w:t>
      </w:r>
    </w:p>
  </w:footnote>
  <w:footnote w:id="508">
    <w:p w14:paraId="04D7D556" w14:textId="77777777" w:rsidR="00194C28" w:rsidRPr="0072758C" w:rsidRDefault="00194C28" w:rsidP="00E12E31">
      <w:pPr>
        <w:pStyle w:val="EndnoteText"/>
        <w:rPr>
          <w:lang w:val="en-AU"/>
        </w:rPr>
      </w:pPr>
    </w:p>
    <w:p w14:paraId="67200953" w14:textId="77777777"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Ibid.</w:t>
      </w:r>
    </w:p>
    <w:p w14:paraId="5312A120" w14:textId="77777777" w:rsidR="00194C28" w:rsidRPr="0072758C" w:rsidRDefault="00194C28" w:rsidP="00E12E31">
      <w:pPr>
        <w:pStyle w:val="EndnoteText"/>
        <w:rPr>
          <w:lang w:val="en-AU"/>
        </w:rPr>
      </w:pPr>
    </w:p>
  </w:footnote>
  <w:footnote w:id="509">
    <w:p w14:paraId="67DE0B95" w14:textId="12F9C4EA" w:rsidR="0087463F"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Cf. F. W. Danker, </w:t>
      </w:r>
      <w:r w:rsidR="00863B47" w:rsidRPr="0072758C">
        <w:rPr>
          <w:lang w:val="en-AU"/>
        </w:rPr>
        <w:t>“</w:t>
      </w:r>
      <w:r w:rsidRPr="0072758C">
        <w:rPr>
          <w:lang w:val="en-AU"/>
        </w:rPr>
        <w:t>Luke 16.16—an Opposition Logion,</w:t>
      </w:r>
      <w:r w:rsidR="00863B47" w:rsidRPr="0072758C">
        <w:rPr>
          <w:lang w:val="en-AU"/>
        </w:rPr>
        <w:t>”</w:t>
      </w:r>
      <w:r w:rsidRPr="0072758C">
        <w:rPr>
          <w:lang w:val="en-AU"/>
        </w:rPr>
        <w:t xml:space="preserve"> </w:t>
      </w:r>
      <w:r w:rsidRPr="0072758C">
        <w:rPr>
          <w:i/>
          <w:lang w:val="en-AU"/>
        </w:rPr>
        <w:t>J</w:t>
      </w:r>
      <w:r w:rsidR="007039C3" w:rsidRPr="0072758C">
        <w:rPr>
          <w:i/>
          <w:lang w:val="en-AU"/>
        </w:rPr>
        <w:t xml:space="preserve">ournal of Biblical Literature </w:t>
      </w:r>
      <w:r w:rsidRPr="0072758C">
        <w:rPr>
          <w:lang w:val="en-AU"/>
        </w:rPr>
        <w:t>77 (1958): 231</w:t>
      </w:r>
      <w:r w:rsidR="005676E2" w:rsidRPr="0072758C">
        <w:rPr>
          <w:lang w:val="en-AU"/>
        </w:rPr>
        <w:t>–</w:t>
      </w:r>
      <w:r w:rsidRPr="0072758C">
        <w:rPr>
          <w:lang w:val="en-AU"/>
        </w:rPr>
        <w:t xml:space="preserve">243; S. G. F. Brandon, </w:t>
      </w:r>
      <w:proofErr w:type="gramStart"/>
      <w:r w:rsidRPr="0072758C">
        <w:rPr>
          <w:i/>
          <w:lang w:val="en-AU"/>
        </w:rPr>
        <w:t>Jesus</w:t>
      </w:r>
      <w:proofErr w:type="gramEnd"/>
      <w:r w:rsidRPr="0072758C">
        <w:rPr>
          <w:i/>
          <w:lang w:val="en-AU"/>
        </w:rPr>
        <w:t xml:space="preserve"> and the Zealots</w:t>
      </w:r>
      <w:r w:rsidRPr="0072758C">
        <w:rPr>
          <w:lang w:val="en-AU"/>
        </w:rPr>
        <w:t xml:space="preserve"> (Manchester: Manchester University, 1971), 200.</w:t>
      </w:r>
      <w:r w:rsidR="0087463F" w:rsidRPr="0072758C">
        <w:rPr>
          <w:lang w:val="en-AU"/>
        </w:rPr>
        <w:t xml:space="preserve"> For a discussion of violence and God according to Job, see Ken Brown, “How to Charge God with Murder: The Role of the ‘Witness in Heaven’ in Job 16</w:t>
      </w:r>
      <w:r w:rsidR="007039C3" w:rsidRPr="0072758C">
        <w:rPr>
          <w:lang w:val="en-AU"/>
        </w:rPr>
        <w:t>,</w:t>
      </w:r>
      <w:r w:rsidR="0087463F" w:rsidRPr="0072758C">
        <w:rPr>
          <w:lang w:val="en-AU"/>
        </w:rPr>
        <w:t>” </w:t>
      </w:r>
      <w:r w:rsidR="0087463F" w:rsidRPr="0072758C">
        <w:rPr>
          <w:i/>
          <w:iCs/>
          <w:lang w:val="en-AU"/>
        </w:rPr>
        <w:t>The Catholic Biblical Quarterly</w:t>
      </w:r>
      <w:r w:rsidR="0087463F" w:rsidRPr="0072758C">
        <w:rPr>
          <w:lang w:val="en-AU"/>
        </w:rPr>
        <w:t> 81</w:t>
      </w:r>
      <w:r w:rsidR="00C13DAF" w:rsidRPr="0072758C">
        <w:rPr>
          <w:lang w:val="en-AU"/>
        </w:rPr>
        <w:t xml:space="preserve"> </w:t>
      </w:r>
      <w:r w:rsidR="0087463F" w:rsidRPr="0072758C">
        <w:rPr>
          <w:lang w:val="en-AU"/>
        </w:rPr>
        <w:t>(2019): 16–32.</w:t>
      </w:r>
    </w:p>
    <w:p w14:paraId="01A68E11" w14:textId="77777777" w:rsidR="00194C28" w:rsidRPr="0072758C" w:rsidRDefault="00194C28" w:rsidP="00E12E31">
      <w:pPr>
        <w:pStyle w:val="EndnoteText"/>
        <w:rPr>
          <w:lang w:val="en-AU"/>
        </w:rPr>
      </w:pPr>
    </w:p>
  </w:footnote>
  <w:footnote w:id="510">
    <w:p w14:paraId="24354E04" w14:textId="3A9A92DD" w:rsidR="002E790C"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Niebuhr, </w:t>
      </w:r>
      <w:r w:rsidRPr="0072758C">
        <w:rPr>
          <w:i/>
          <w:lang w:val="en-AU"/>
        </w:rPr>
        <w:t>Moral Man &amp; Immoral Society: A Study in Ethics and Politics</w:t>
      </w:r>
      <w:r w:rsidRPr="0072758C">
        <w:rPr>
          <w:lang w:val="en-AU"/>
        </w:rPr>
        <w:t>, 264.</w:t>
      </w:r>
      <w:r w:rsidR="002E790C" w:rsidRPr="0072758C">
        <w:rPr>
          <w:lang w:val="en-AU"/>
        </w:rPr>
        <w:t xml:space="preserve">  For further discussion of Niebuhr and nonviolence, see William Werpehowski, “Reinhold Niebuhr” In </w:t>
      </w:r>
      <w:proofErr w:type="gramStart"/>
      <w:r w:rsidR="002E790C" w:rsidRPr="0072758C">
        <w:rPr>
          <w:i/>
          <w:iCs/>
          <w:lang w:val="en-AU"/>
        </w:rPr>
        <w:t>The</w:t>
      </w:r>
      <w:proofErr w:type="gramEnd"/>
      <w:r w:rsidR="002E790C" w:rsidRPr="0072758C">
        <w:rPr>
          <w:i/>
          <w:iCs/>
          <w:lang w:val="en-AU"/>
        </w:rPr>
        <w:t xml:space="preserve"> Wiley Blackwell Companion to Political Theology</w:t>
      </w:r>
      <w:r w:rsidR="002E790C" w:rsidRPr="0072758C">
        <w:rPr>
          <w:lang w:val="en-AU"/>
        </w:rPr>
        <w:t>, 178–91</w:t>
      </w:r>
      <w:r w:rsidR="00390D8F" w:rsidRPr="0072758C">
        <w:rPr>
          <w:lang w:val="en-AU"/>
        </w:rPr>
        <w:t xml:space="preserve">, eds </w:t>
      </w:r>
      <w:r w:rsidR="008E44B4" w:rsidRPr="0072758C">
        <w:rPr>
          <w:lang w:val="en-AU"/>
        </w:rPr>
        <w:t>Peter Scott and William Cavanaugh</w:t>
      </w:r>
      <w:r w:rsidR="002E790C" w:rsidRPr="0072758C">
        <w:rPr>
          <w:lang w:val="en-AU"/>
        </w:rPr>
        <w:t xml:space="preserve"> West Sussex, UK</w:t>
      </w:r>
      <w:r w:rsidR="008E44B4" w:rsidRPr="0072758C">
        <w:rPr>
          <w:lang w:val="en-AU"/>
        </w:rPr>
        <w:t>: Blackwell Publishing</w:t>
      </w:r>
      <w:r w:rsidR="002E790C" w:rsidRPr="0072758C">
        <w:rPr>
          <w:lang w:val="en-AU"/>
        </w:rPr>
        <w:t>, 2019.</w:t>
      </w:r>
    </w:p>
    <w:p w14:paraId="6A069DEC" w14:textId="77777777" w:rsidR="00194C28" w:rsidRPr="0072758C" w:rsidRDefault="00194C28" w:rsidP="00E12E31">
      <w:pPr>
        <w:pStyle w:val="EndnoteText"/>
        <w:rPr>
          <w:lang w:val="en-AU"/>
        </w:rPr>
      </w:pPr>
    </w:p>
  </w:footnote>
  <w:footnote w:id="511">
    <w:p w14:paraId="1AE5545B" w14:textId="25B3D012"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Niebuhr presents pacifism with a dilemma be heretical or be irrelevant. Those that have attempted to apply the Jesus ethic to the social level are heretical, partly due to their misunderstanding concerning the nature and application of the Jesus ethic. The heretical pacifists attempt to justify their use of the Jesus ethic to the social realm by way of nonviolence. This misconstrues the nature of the Jesus ethic, which is one of non-resistance, not nonviolence and can be coercive on some levels. P</w:t>
      </w:r>
      <w:r w:rsidRPr="0072758C">
        <w:rPr>
          <w:rFonts w:ascii="Times" w:eastAsiaTheme="minorEastAsia" w:hAnsi="Times" w:cstheme="minorBidi"/>
          <w:lang w:val="en-AU"/>
        </w:rPr>
        <w:t xml:space="preserve">roponents from both the Christian realist and pacifist camps that have sought to distance Reinhold Niebuhr from the just war position, and it is not my intent to provide a full analysis of Niebuhr, Yoder, and the alternative Christian realism. However, for instance, the Christian realist John D. Carlson questions if Niebuhr is in the just war camp, see John D. Carlson, </w:t>
      </w:r>
      <w:r w:rsidR="00863B47" w:rsidRPr="0072758C">
        <w:rPr>
          <w:rFonts w:ascii="Times" w:eastAsiaTheme="minorEastAsia" w:hAnsi="Times" w:cstheme="minorBidi"/>
          <w:lang w:val="en-AU"/>
        </w:rPr>
        <w:t>“</w:t>
      </w:r>
      <w:r w:rsidRPr="0072758C">
        <w:rPr>
          <w:rFonts w:ascii="Times" w:eastAsiaTheme="minorEastAsia" w:hAnsi="Times" w:cstheme="minorBidi"/>
          <w:lang w:val="en-AU"/>
        </w:rPr>
        <w:t>Is There a Christian Realist Theory of War and Peace? Reinhold Niebuhr and Just War Thought,</w:t>
      </w:r>
      <w:r w:rsidR="00863B47" w:rsidRPr="0072758C">
        <w:rPr>
          <w:rFonts w:ascii="Times" w:eastAsiaTheme="minorEastAsia" w:hAnsi="Times" w:cstheme="minorBidi"/>
          <w:lang w:val="en-AU"/>
        </w:rPr>
        <w:t>”</w:t>
      </w:r>
      <w:r w:rsidRPr="0072758C">
        <w:rPr>
          <w:rFonts w:ascii="Times" w:eastAsiaTheme="minorEastAsia" w:hAnsi="Times" w:cstheme="minorBidi"/>
          <w:lang w:val="en-AU"/>
        </w:rPr>
        <w:t xml:space="preserve"> 133. Furthermore, the Mennonite pacifist John Yoder distinguishes realism and just war as distinct types, both in contrast to the pacifist position. See John Howard Yoder, </w:t>
      </w:r>
      <w:r w:rsidR="00863B47" w:rsidRPr="0072758C">
        <w:rPr>
          <w:rFonts w:ascii="Times" w:eastAsiaTheme="minorEastAsia" w:hAnsi="Times" w:cstheme="minorBidi"/>
          <w:lang w:val="en-AU"/>
        </w:rPr>
        <w:t>“</w:t>
      </w:r>
      <w:r w:rsidRPr="0072758C">
        <w:rPr>
          <w:rFonts w:ascii="Times" w:eastAsiaTheme="minorEastAsia" w:hAnsi="Times" w:cstheme="minorBidi"/>
          <w:lang w:val="en-AU"/>
        </w:rPr>
        <w:t xml:space="preserve">How Many Ways Are There to Think Morally About </w:t>
      </w:r>
      <w:proofErr w:type="gramStart"/>
      <w:r w:rsidRPr="0072758C">
        <w:rPr>
          <w:rFonts w:ascii="Times" w:eastAsiaTheme="minorEastAsia" w:hAnsi="Times" w:cstheme="minorBidi"/>
          <w:lang w:val="en-AU"/>
        </w:rPr>
        <w:t>War?,</w:t>
      </w:r>
      <w:proofErr w:type="gramEnd"/>
      <w:r w:rsidR="00863B47" w:rsidRPr="0072758C">
        <w:rPr>
          <w:rFonts w:ascii="Times" w:eastAsiaTheme="minorEastAsia" w:hAnsi="Times" w:cstheme="minorBidi"/>
          <w:lang w:val="en-AU"/>
        </w:rPr>
        <w:t>”</w:t>
      </w:r>
      <w:r w:rsidRPr="0072758C">
        <w:rPr>
          <w:rFonts w:ascii="Times" w:eastAsiaTheme="minorEastAsia" w:hAnsi="Times" w:cstheme="minorBidi"/>
          <w:lang w:val="en-AU"/>
        </w:rPr>
        <w:t xml:space="preserve"> </w:t>
      </w:r>
      <w:r w:rsidRPr="0072758C">
        <w:rPr>
          <w:rFonts w:ascii="Times" w:eastAsiaTheme="minorEastAsia" w:hAnsi="Times" w:cstheme="minorBidi"/>
          <w:i/>
          <w:lang w:val="en-AU"/>
        </w:rPr>
        <w:t>Journal of Law and Religion</w:t>
      </w:r>
      <w:r w:rsidRPr="0072758C">
        <w:rPr>
          <w:rFonts w:ascii="Times" w:eastAsiaTheme="minorEastAsia" w:hAnsi="Times" w:cstheme="minorBidi"/>
          <w:lang w:val="en-AU"/>
        </w:rPr>
        <w:t xml:space="preserve"> 11 (1995): 83–107. This essay is a more refined presentation of Yoder</w:t>
      </w:r>
      <w:r w:rsidR="005C71CB" w:rsidRPr="0072758C">
        <w:rPr>
          <w:rFonts w:ascii="Times" w:eastAsiaTheme="minorEastAsia" w:hAnsi="Times" w:cstheme="minorBidi"/>
          <w:lang w:val="en-AU"/>
        </w:rPr>
        <w:t>’</w:t>
      </w:r>
      <w:r w:rsidRPr="0072758C">
        <w:rPr>
          <w:rFonts w:ascii="Times" w:eastAsiaTheme="minorEastAsia" w:hAnsi="Times" w:cstheme="minorBidi"/>
          <w:lang w:val="en-AU"/>
        </w:rPr>
        <w:t xml:space="preserve">s earlier work on typologies concerning the ethics of war, </w:t>
      </w:r>
      <w:r w:rsidRPr="0072758C">
        <w:rPr>
          <w:rFonts w:ascii="Times" w:eastAsiaTheme="minorEastAsia" w:hAnsi="Times" w:cstheme="minorBidi"/>
          <w:iCs/>
          <w:lang w:val="en-AU"/>
        </w:rPr>
        <w:t>see</w:t>
      </w:r>
      <w:r w:rsidRPr="0072758C">
        <w:rPr>
          <w:rFonts w:ascii="Times" w:eastAsiaTheme="minorEastAsia" w:hAnsi="Times" w:cstheme="minorBidi"/>
          <w:i/>
          <w:lang w:val="en-AU"/>
        </w:rPr>
        <w:t xml:space="preserve"> </w:t>
      </w:r>
      <w:r w:rsidRPr="0072758C">
        <w:rPr>
          <w:rFonts w:ascii="Times" w:eastAsiaTheme="minorEastAsia" w:hAnsi="Times" w:cstheme="minorBidi"/>
          <w:lang w:val="en-AU"/>
        </w:rPr>
        <w:t xml:space="preserve">Yoder, </w:t>
      </w:r>
      <w:r w:rsidRPr="0072758C">
        <w:rPr>
          <w:rFonts w:ascii="Times" w:eastAsiaTheme="minorEastAsia" w:hAnsi="Times" w:cstheme="minorBidi"/>
          <w:i/>
          <w:lang w:val="en-AU"/>
        </w:rPr>
        <w:t>Christian Attitudes to War, Peace, and Revolution</w:t>
      </w:r>
      <w:r w:rsidRPr="0072758C">
        <w:rPr>
          <w:rFonts w:ascii="Times" w:eastAsiaTheme="minorEastAsia" w:hAnsi="Times" w:cstheme="minorBidi"/>
          <w:lang w:val="en-AU"/>
        </w:rPr>
        <w:t xml:space="preserve">, 27–41, chapter two is entitled </w:t>
      </w:r>
      <w:r w:rsidR="00863B47" w:rsidRPr="0072758C">
        <w:rPr>
          <w:rFonts w:ascii="Times" w:eastAsiaTheme="minorEastAsia" w:hAnsi="Times" w:cstheme="minorBidi"/>
          <w:lang w:val="en-AU"/>
        </w:rPr>
        <w:t>“</w:t>
      </w:r>
      <w:r w:rsidRPr="0072758C">
        <w:rPr>
          <w:rFonts w:ascii="Times" w:eastAsiaTheme="minorEastAsia" w:hAnsi="Times" w:cstheme="minorBidi"/>
          <w:lang w:val="en-AU"/>
        </w:rPr>
        <w:t>Refining Our Typology on the Ethics of War.</w:t>
      </w:r>
      <w:r w:rsidR="00863B47" w:rsidRPr="0072758C">
        <w:rPr>
          <w:rFonts w:ascii="Times" w:eastAsiaTheme="minorEastAsia" w:hAnsi="Times" w:cstheme="minorBidi"/>
          <w:lang w:val="en-AU"/>
        </w:rPr>
        <w:t>”</w:t>
      </w:r>
    </w:p>
    <w:p w14:paraId="6AE1F6EE" w14:textId="77777777" w:rsidR="00194C28" w:rsidRPr="0072758C" w:rsidRDefault="00194C28" w:rsidP="00E12E31">
      <w:pPr>
        <w:pStyle w:val="EndnoteText"/>
        <w:rPr>
          <w:lang w:val="en-AU"/>
        </w:rPr>
      </w:pPr>
    </w:p>
  </w:footnote>
  <w:footnote w:id="512">
    <w:p w14:paraId="79CAFA6C" w14:textId="77777777"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Worth, </w:t>
      </w:r>
      <w:r w:rsidRPr="0072758C">
        <w:rPr>
          <w:i/>
          <w:iCs/>
          <w:lang w:val="en-AU"/>
        </w:rPr>
        <w:t xml:space="preserve">The Sermon on the Mount, </w:t>
      </w:r>
      <w:r w:rsidRPr="0072758C">
        <w:rPr>
          <w:lang w:val="en-AU"/>
        </w:rPr>
        <w:t>246.</w:t>
      </w:r>
    </w:p>
  </w:footnote>
  <w:footnote w:id="513">
    <w:p w14:paraId="7AF60C13" w14:textId="77777777" w:rsidR="00194C28" w:rsidRPr="0072758C" w:rsidDel="00D14F60" w:rsidRDefault="00194C28" w:rsidP="00E12E31">
      <w:pPr>
        <w:pStyle w:val="EndnoteText"/>
        <w:rPr>
          <w:lang w:val="en-AU"/>
        </w:rPr>
      </w:pPr>
      <w:r w:rsidRPr="0072758C">
        <w:rPr>
          <w:lang w:val="en-AU"/>
        </w:rPr>
        <w:tab/>
      </w:r>
      <w:r w:rsidRPr="0072758C">
        <w:rPr>
          <w:lang w:val="en-AU"/>
        </w:rPr>
        <w:tab/>
      </w:r>
    </w:p>
    <w:p w14:paraId="4C3A2512" w14:textId="06FDA185"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Victor E.  Reichart, </w:t>
      </w:r>
      <w:r w:rsidRPr="0072758C">
        <w:rPr>
          <w:i/>
          <w:iCs/>
          <w:lang w:val="en-AU"/>
        </w:rPr>
        <w:t>Job: With Hebrew Text and English Translation</w:t>
      </w:r>
      <w:r w:rsidRPr="0072758C">
        <w:rPr>
          <w:lang w:val="en-AU"/>
        </w:rPr>
        <w:t xml:space="preserve"> (Hindhead: Soncino, 1946), 82.</w:t>
      </w:r>
    </w:p>
    <w:p w14:paraId="4B2A2862" w14:textId="77777777" w:rsidR="00E12E31" w:rsidRPr="0072758C" w:rsidRDefault="00E12E31" w:rsidP="00E12E31">
      <w:pPr>
        <w:pStyle w:val="EndnoteText"/>
        <w:ind w:firstLine="720"/>
        <w:rPr>
          <w:lang w:val="en-AU"/>
        </w:rPr>
      </w:pPr>
    </w:p>
  </w:footnote>
  <w:footnote w:id="514">
    <w:p w14:paraId="6DACFA3B" w14:textId="2FACDCA4"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Edgar C.S. Gibson, </w:t>
      </w:r>
      <w:r w:rsidRPr="0072758C">
        <w:rPr>
          <w:i/>
          <w:iCs/>
          <w:lang w:val="en-AU"/>
        </w:rPr>
        <w:t xml:space="preserve">Book of Job Westminster Commentary Series </w:t>
      </w:r>
      <w:r w:rsidRPr="0072758C">
        <w:rPr>
          <w:lang w:val="en-AU"/>
        </w:rPr>
        <w:t>(Greenwood, SC: Attic, 1976), 119.</w:t>
      </w:r>
    </w:p>
  </w:footnote>
  <w:footnote w:id="515">
    <w:p w14:paraId="009353FB" w14:textId="77777777" w:rsidR="00E12E31" w:rsidRPr="0072758C" w:rsidRDefault="00E12E31">
      <w:pPr>
        <w:pStyle w:val="EndnoteText"/>
        <w:rPr>
          <w:lang w:val="en-AU"/>
        </w:rPr>
      </w:pPr>
    </w:p>
    <w:p w14:paraId="20088958" w14:textId="7F5F2820" w:rsidR="00194C28" w:rsidRPr="0072758C" w:rsidRDefault="00194C28" w:rsidP="00E12E31">
      <w:pPr>
        <w:pStyle w:val="EndnoteText"/>
        <w:ind w:firstLine="720"/>
        <w:rPr>
          <w:lang w:val="en-AU"/>
        </w:rPr>
      </w:pPr>
      <w:r w:rsidRPr="0072758C">
        <w:rPr>
          <w:rStyle w:val="FootnoteReference"/>
          <w:lang w:val="en-AU"/>
        </w:rPr>
        <w:footnoteRef/>
      </w:r>
      <w:r w:rsidRPr="0072758C">
        <w:rPr>
          <w:lang w:val="en-AU"/>
        </w:rPr>
        <w:t xml:space="preserve"> Francis Brown et al., </w:t>
      </w:r>
      <w:r w:rsidRPr="0072758C">
        <w:rPr>
          <w:i/>
          <w:iCs/>
          <w:lang w:val="en-AU"/>
        </w:rPr>
        <w:t xml:space="preserve">The Brown, Driver, Briggs </w:t>
      </w:r>
      <w:proofErr w:type="gramStart"/>
      <w:r w:rsidRPr="0072758C">
        <w:rPr>
          <w:i/>
          <w:iCs/>
          <w:lang w:val="en-AU"/>
        </w:rPr>
        <w:t>Hebrew</w:t>
      </w:r>
      <w:proofErr w:type="gramEnd"/>
      <w:r w:rsidRPr="0072758C">
        <w:rPr>
          <w:i/>
          <w:iCs/>
          <w:lang w:val="en-AU"/>
        </w:rPr>
        <w:t xml:space="preserve"> and English Lexicon</w:t>
      </w:r>
      <w:r w:rsidRPr="0072758C">
        <w:rPr>
          <w:lang w:val="en-AU"/>
        </w:rPr>
        <w:t> (Peabody: Hendrickson Publishers, 2015), 357</w:t>
      </w:r>
      <w:r w:rsidR="005676E2" w:rsidRPr="0072758C">
        <w:rPr>
          <w:lang w:val="en-AU"/>
        </w:rPr>
        <w:t>–</w:t>
      </w:r>
      <w:r w:rsidRPr="0072758C">
        <w:rPr>
          <w:lang w:val="en-AU"/>
        </w:rPr>
        <w:t>358.</w:t>
      </w:r>
    </w:p>
    <w:p w14:paraId="0289BBA1" w14:textId="77777777" w:rsidR="00194C28" w:rsidRPr="0072758C" w:rsidRDefault="00194C28" w:rsidP="00E12E31">
      <w:pPr>
        <w:pStyle w:val="EndnoteText"/>
        <w:rPr>
          <w:lang w:val="en-AU"/>
        </w:rPr>
      </w:pPr>
    </w:p>
  </w:footnote>
  <w:footnote w:id="516">
    <w:p w14:paraId="51B49C5B" w14:textId="59FDF6DA" w:rsidR="00141798" w:rsidRPr="0072758C" w:rsidRDefault="00194C28" w:rsidP="008E7031">
      <w:pPr>
        <w:pStyle w:val="EndnoteText"/>
        <w:ind w:firstLine="720"/>
        <w:rPr>
          <w:lang w:val="en-AU"/>
        </w:rPr>
      </w:pPr>
      <w:r w:rsidRPr="0072758C">
        <w:rPr>
          <w:rStyle w:val="FootnoteReference"/>
          <w:lang w:val="en-AU"/>
        </w:rPr>
        <w:footnoteRef/>
      </w:r>
      <w:r w:rsidRPr="0072758C">
        <w:rPr>
          <w:lang w:val="en-AU"/>
        </w:rPr>
        <w:t xml:space="preserve"> Edgar C.S. Gibson, </w:t>
      </w:r>
      <w:r w:rsidRPr="0072758C">
        <w:rPr>
          <w:i/>
          <w:iCs/>
          <w:lang w:val="en-AU"/>
        </w:rPr>
        <w:t>Book of Job</w:t>
      </w:r>
      <w:r w:rsidRPr="0072758C">
        <w:rPr>
          <w:lang w:val="en-AU"/>
        </w:rPr>
        <w:t>, 249</w:t>
      </w:r>
      <w:r w:rsidR="005676E2" w:rsidRPr="0072758C">
        <w:rPr>
          <w:lang w:val="en-AU"/>
        </w:rPr>
        <w:t>–</w:t>
      </w:r>
      <w:r w:rsidRPr="0072758C">
        <w:rPr>
          <w:lang w:val="en-AU"/>
        </w:rPr>
        <w:t>50.</w:t>
      </w:r>
      <w:r w:rsidR="00DD1026" w:rsidRPr="0072758C">
        <w:rPr>
          <w:lang w:val="en-AU"/>
        </w:rPr>
        <w:t xml:space="preserve"> For a view of Lamentations 3 and the role of </w:t>
      </w:r>
      <w:r w:rsidR="00AA4576" w:rsidRPr="0072758C">
        <w:rPr>
          <w:lang w:val="en-AU"/>
        </w:rPr>
        <w:t>s</w:t>
      </w:r>
      <w:r w:rsidR="00141798" w:rsidRPr="0072758C">
        <w:rPr>
          <w:lang w:val="en-AU"/>
        </w:rPr>
        <w:t>orrow</w:t>
      </w:r>
      <w:r w:rsidR="005062F1" w:rsidRPr="0072758C">
        <w:rPr>
          <w:lang w:val="en-AU"/>
        </w:rPr>
        <w:t>.</w:t>
      </w:r>
    </w:p>
    <w:p w14:paraId="22BDDC65" w14:textId="77777777" w:rsidR="00194C28" w:rsidRPr="0072758C" w:rsidRDefault="00194C28" w:rsidP="008E7031">
      <w:pPr>
        <w:pStyle w:val="EndnoteText"/>
        <w:rPr>
          <w:lang w:val="en-AU"/>
        </w:rPr>
      </w:pPr>
    </w:p>
  </w:footnote>
  <w:footnote w:id="517">
    <w:p w14:paraId="68BCE0BC" w14:textId="3A425AD9" w:rsidR="00194C28" w:rsidRPr="0072758C" w:rsidRDefault="00194C28" w:rsidP="008E7031">
      <w:pPr>
        <w:pStyle w:val="EndnoteText"/>
        <w:ind w:firstLine="720"/>
        <w:rPr>
          <w:lang w:val="en-AU"/>
        </w:rPr>
      </w:pPr>
      <w:r w:rsidRPr="0072758C">
        <w:rPr>
          <w:rStyle w:val="FootnoteReference"/>
          <w:lang w:val="en-AU"/>
        </w:rPr>
        <w:footnoteRef/>
      </w:r>
      <w:r w:rsidRPr="0072758C">
        <w:rPr>
          <w:lang w:val="en-AU"/>
        </w:rPr>
        <w:t xml:space="preserve"> Norman C. Habel, </w:t>
      </w:r>
      <w:r w:rsidRPr="0072758C">
        <w:rPr>
          <w:i/>
          <w:iCs/>
          <w:lang w:val="en-AU"/>
        </w:rPr>
        <w:t xml:space="preserve">Jeremiah/ Lamentations, </w:t>
      </w:r>
      <w:r w:rsidRPr="0072758C">
        <w:rPr>
          <w:lang w:val="en-AU"/>
        </w:rPr>
        <w:t>Concordia Commentary (St. Louis: Concordia, 1968), 407.</w:t>
      </w:r>
    </w:p>
    <w:p w14:paraId="31068887" w14:textId="77777777" w:rsidR="00194C28" w:rsidRPr="0072758C" w:rsidRDefault="00194C28" w:rsidP="008E7031">
      <w:pPr>
        <w:pStyle w:val="EndnoteText"/>
        <w:rPr>
          <w:lang w:val="en-AU"/>
        </w:rPr>
      </w:pPr>
    </w:p>
  </w:footnote>
  <w:footnote w:id="518">
    <w:p w14:paraId="62B08306" w14:textId="065F0B1D" w:rsidR="00194C28" w:rsidRPr="0072758C" w:rsidRDefault="00194C28" w:rsidP="008E7031">
      <w:pPr>
        <w:pStyle w:val="EndnoteText"/>
        <w:ind w:firstLine="720"/>
        <w:rPr>
          <w:i/>
          <w:iCs/>
          <w:lang w:val="en-AU"/>
        </w:rPr>
      </w:pPr>
      <w:r w:rsidRPr="0072758C">
        <w:rPr>
          <w:rStyle w:val="FootnoteReference"/>
          <w:lang w:val="en-AU"/>
        </w:rPr>
        <w:footnoteRef/>
      </w:r>
      <w:r w:rsidRPr="0072758C">
        <w:rPr>
          <w:lang w:val="en-AU"/>
        </w:rPr>
        <w:t xml:space="preserve"> Worth, </w:t>
      </w:r>
      <w:r w:rsidRPr="0072758C">
        <w:rPr>
          <w:i/>
          <w:iCs/>
          <w:lang w:val="en-AU"/>
        </w:rPr>
        <w:t xml:space="preserve">The Sermon on the Mount, </w:t>
      </w:r>
      <w:r w:rsidRPr="0072758C">
        <w:rPr>
          <w:iCs/>
          <w:lang w:val="en-AU"/>
        </w:rPr>
        <w:t>252</w:t>
      </w:r>
      <w:r w:rsidRPr="0072758C">
        <w:rPr>
          <w:i/>
          <w:iCs/>
          <w:lang w:val="en-AU"/>
        </w:rPr>
        <w:t>.</w:t>
      </w:r>
    </w:p>
    <w:p w14:paraId="073A1368" w14:textId="77777777" w:rsidR="00194C28" w:rsidRPr="0072758C" w:rsidRDefault="00194C28" w:rsidP="008E7031">
      <w:pPr>
        <w:pStyle w:val="EndnoteText"/>
        <w:rPr>
          <w:i/>
          <w:iCs/>
          <w:lang w:val="en-AU"/>
        </w:rPr>
      </w:pPr>
    </w:p>
  </w:footnote>
  <w:footnote w:id="519">
    <w:p w14:paraId="6012E304" w14:textId="31190A82" w:rsidR="007A77A0" w:rsidRPr="0072758C" w:rsidRDefault="00194C28" w:rsidP="008E7031">
      <w:pPr>
        <w:pStyle w:val="EndnoteText"/>
        <w:ind w:firstLine="720"/>
        <w:rPr>
          <w:lang w:val="en-AU"/>
        </w:rPr>
      </w:pPr>
      <w:r w:rsidRPr="0072758C">
        <w:rPr>
          <w:rStyle w:val="FootnoteReference"/>
          <w:lang w:val="en-AU"/>
        </w:rPr>
        <w:footnoteRef/>
      </w:r>
      <w:r w:rsidRPr="0072758C">
        <w:rPr>
          <w:lang w:val="en-AU"/>
        </w:rPr>
        <w:t xml:space="preserve"> Vermes, </w:t>
      </w:r>
      <w:r w:rsidRPr="0072758C">
        <w:rPr>
          <w:i/>
          <w:iCs/>
          <w:lang w:val="en-AU"/>
        </w:rPr>
        <w:t xml:space="preserve">The Religion of Jesus the Jew, </w:t>
      </w:r>
      <w:r w:rsidRPr="0072758C">
        <w:rPr>
          <w:lang w:val="en-AU"/>
        </w:rPr>
        <w:t>253</w:t>
      </w:r>
      <w:r w:rsidR="007A77A0" w:rsidRPr="0072758C">
        <w:rPr>
          <w:lang w:val="en-AU"/>
        </w:rPr>
        <w:t>.</w:t>
      </w:r>
    </w:p>
  </w:footnote>
  <w:footnote w:id="520">
    <w:p w14:paraId="07C55F5B" w14:textId="77777777" w:rsidR="00194C28" w:rsidRPr="0072758C" w:rsidRDefault="00194C28" w:rsidP="008E7031">
      <w:pPr>
        <w:pStyle w:val="EndnoteText"/>
        <w:rPr>
          <w:lang w:val="en-AU"/>
        </w:rPr>
      </w:pPr>
    </w:p>
    <w:p w14:paraId="39E7ECA4" w14:textId="77777777" w:rsidR="00194C28" w:rsidRPr="0072758C" w:rsidRDefault="00194C28" w:rsidP="008E7031">
      <w:pPr>
        <w:pStyle w:val="EndnoteText"/>
        <w:ind w:firstLine="720"/>
        <w:rPr>
          <w:lang w:val="en-AU"/>
        </w:rPr>
      </w:pPr>
      <w:r w:rsidRPr="0072758C">
        <w:rPr>
          <w:rStyle w:val="FootnoteReference"/>
          <w:lang w:val="en-AU"/>
        </w:rPr>
        <w:footnoteRef/>
      </w:r>
      <w:r w:rsidRPr="0072758C">
        <w:rPr>
          <w:lang w:val="en-AU"/>
        </w:rPr>
        <w:t xml:space="preserve"> M. D. Goulder, </w:t>
      </w:r>
      <w:r w:rsidRPr="0072758C">
        <w:rPr>
          <w:i/>
          <w:iCs/>
          <w:lang w:val="en-AU"/>
        </w:rPr>
        <w:t>Midrash and Lection in Matthew</w:t>
      </w:r>
      <w:r w:rsidRPr="0072758C">
        <w:rPr>
          <w:lang w:val="en-AU"/>
        </w:rPr>
        <w:t xml:space="preserve"> (London: SPCK, 1977), 293.</w:t>
      </w:r>
    </w:p>
    <w:p w14:paraId="116E2D77" w14:textId="77777777" w:rsidR="00194C28" w:rsidRPr="0072758C" w:rsidRDefault="00194C28" w:rsidP="008E7031">
      <w:pPr>
        <w:pStyle w:val="EndnoteText"/>
        <w:rPr>
          <w:lang w:val="en-AU"/>
        </w:rPr>
      </w:pPr>
    </w:p>
  </w:footnote>
  <w:footnote w:id="521">
    <w:p w14:paraId="4AD2F88F" w14:textId="1DBFBBDE" w:rsidR="00194C28" w:rsidRPr="0072758C" w:rsidRDefault="00194C28" w:rsidP="008E7031">
      <w:pPr>
        <w:pStyle w:val="EndnoteText"/>
        <w:ind w:firstLine="720"/>
        <w:rPr>
          <w:lang w:val="en-AU"/>
        </w:rPr>
      </w:pPr>
      <w:r w:rsidRPr="0072758C">
        <w:rPr>
          <w:rStyle w:val="FootnoteReference"/>
          <w:lang w:val="en-AU"/>
        </w:rPr>
        <w:footnoteRef/>
      </w:r>
      <w:r w:rsidRPr="0072758C">
        <w:rPr>
          <w:lang w:val="en-AU"/>
        </w:rPr>
        <w:t xml:space="preserve"> See Isaiah 50:1 (NRSV) </w:t>
      </w:r>
      <w:r w:rsidR="00863B47" w:rsidRPr="0072758C">
        <w:rPr>
          <w:lang w:val="en-AU"/>
        </w:rPr>
        <w:t>“</w:t>
      </w:r>
      <w:r w:rsidRPr="0072758C">
        <w:rPr>
          <w:lang w:val="en-AU"/>
        </w:rPr>
        <w:t>Thus says the Lord: Where is your mother</w:t>
      </w:r>
      <w:r w:rsidR="005C71CB" w:rsidRPr="0072758C">
        <w:rPr>
          <w:lang w:val="en-AU"/>
        </w:rPr>
        <w:t>’</w:t>
      </w:r>
      <w:r w:rsidRPr="0072758C">
        <w:rPr>
          <w:lang w:val="en-AU"/>
        </w:rPr>
        <w:t>s bill of divorce with which I put her away? Or which of my creditors is it to whom I have sold you? No, because of your sins you were sold, and for your transgressions your mother was put away</w:t>
      </w:r>
      <w:r w:rsidR="00BA5EAE" w:rsidRPr="0072758C">
        <w:rPr>
          <w:lang w:val="en-AU"/>
        </w:rPr>
        <w:t>,</w:t>
      </w:r>
      <w:r w:rsidR="00863B47" w:rsidRPr="0072758C">
        <w:rPr>
          <w:lang w:val="en-AU"/>
        </w:rPr>
        <w:t>”</w:t>
      </w:r>
    </w:p>
    <w:p w14:paraId="1A9666FC" w14:textId="77777777" w:rsidR="00194C28" w:rsidRPr="0072758C" w:rsidRDefault="00194C28" w:rsidP="008E7031">
      <w:pPr>
        <w:pStyle w:val="EndnoteText"/>
        <w:rPr>
          <w:lang w:val="en-AU"/>
        </w:rPr>
      </w:pPr>
    </w:p>
  </w:footnote>
  <w:footnote w:id="522">
    <w:p w14:paraId="16F98DA4" w14:textId="22D7B2D8" w:rsidR="00194C28" w:rsidRPr="0072758C" w:rsidRDefault="00194C28" w:rsidP="008E7031">
      <w:pPr>
        <w:pStyle w:val="EndnoteText"/>
        <w:ind w:firstLine="720"/>
        <w:rPr>
          <w:lang w:val="en-AU"/>
        </w:rPr>
      </w:pPr>
      <w:r w:rsidRPr="0072758C">
        <w:rPr>
          <w:rStyle w:val="FootnoteReference"/>
          <w:lang w:val="en-AU"/>
        </w:rPr>
        <w:footnoteRef/>
      </w:r>
      <w:r w:rsidRPr="0072758C">
        <w:rPr>
          <w:lang w:val="en-AU"/>
        </w:rPr>
        <w:t xml:space="preserve"> </w:t>
      </w:r>
      <w:r w:rsidRPr="0072758C">
        <w:rPr>
          <w:i/>
          <w:iCs/>
          <w:lang w:val="en-AU"/>
        </w:rPr>
        <w:t>Haftorah</w:t>
      </w:r>
      <w:r w:rsidRPr="0072758C">
        <w:rPr>
          <w:lang w:val="en-AU"/>
        </w:rPr>
        <w:t xml:space="preserve"> became into use after 168 BCE, but no one knows for certain its origins.</w:t>
      </w:r>
    </w:p>
    <w:p w14:paraId="47F4C4A3" w14:textId="77777777" w:rsidR="00194C28" w:rsidRPr="0072758C" w:rsidRDefault="00194C28" w:rsidP="008E7031">
      <w:pPr>
        <w:pStyle w:val="EndnoteText"/>
        <w:rPr>
          <w:lang w:val="en-AU"/>
        </w:rPr>
      </w:pPr>
    </w:p>
  </w:footnote>
  <w:footnote w:id="523">
    <w:p w14:paraId="044BCED4" w14:textId="4A2545F6" w:rsidR="00A133E3" w:rsidRPr="0072758C" w:rsidRDefault="00194C28" w:rsidP="008E7031">
      <w:pPr>
        <w:pStyle w:val="EndnoteText"/>
        <w:ind w:firstLine="720"/>
        <w:rPr>
          <w:lang w:val="en-AU"/>
        </w:rPr>
      </w:pPr>
      <w:r w:rsidRPr="0072758C">
        <w:rPr>
          <w:rStyle w:val="FootnoteReference"/>
          <w:lang w:val="en-AU"/>
        </w:rPr>
        <w:footnoteRef/>
      </w:r>
      <w:r w:rsidRPr="0072758C">
        <w:rPr>
          <w:lang w:val="en-AU"/>
        </w:rPr>
        <w:t xml:space="preserve"> J. A. Fitzmyer, </w:t>
      </w:r>
      <w:r w:rsidR="00863B47" w:rsidRPr="0072758C">
        <w:rPr>
          <w:lang w:val="en-AU"/>
        </w:rPr>
        <w:t>“</w:t>
      </w:r>
      <w:r w:rsidRPr="0072758C">
        <w:rPr>
          <w:lang w:val="en-AU"/>
        </w:rPr>
        <w:t>Divorce among First-Century Palestinian Jews,</w:t>
      </w:r>
      <w:r w:rsidR="00863B47" w:rsidRPr="0072758C">
        <w:rPr>
          <w:lang w:val="en-AU"/>
        </w:rPr>
        <w:t>”</w:t>
      </w:r>
      <w:r w:rsidRPr="0072758C">
        <w:rPr>
          <w:lang w:val="en-AU"/>
        </w:rPr>
        <w:t xml:space="preserve"> </w:t>
      </w:r>
      <w:r w:rsidRPr="0072758C">
        <w:rPr>
          <w:i/>
          <w:iCs/>
          <w:lang w:val="en-AU"/>
        </w:rPr>
        <w:t>Eretz Yisrael</w:t>
      </w:r>
      <w:r w:rsidRPr="0072758C">
        <w:rPr>
          <w:lang w:val="en-AU"/>
        </w:rPr>
        <w:t xml:space="preserve"> 14 (1978): 103</w:t>
      </w:r>
      <w:r w:rsidR="005676E2" w:rsidRPr="0072758C">
        <w:rPr>
          <w:lang w:val="en-AU"/>
        </w:rPr>
        <w:t>–</w:t>
      </w:r>
      <w:r w:rsidRPr="0072758C">
        <w:rPr>
          <w:lang w:val="en-AU"/>
        </w:rPr>
        <w:t xml:space="preserve">10; J. R. Mueller, </w:t>
      </w:r>
      <w:r w:rsidR="00863B47" w:rsidRPr="0072758C">
        <w:rPr>
          <w:lang w:val="en-AU"/>
        </w:rPr>
        <w:t>“</w:t>
      </w:r>
      <w:r w:rsidRPr="0072758C">
        <w:rPr>
          <w:lang w:val="en-AU"/>
        </w:rPr>
        <w:t>The Temple Scroll and the Gospel Divorce Texts,</w:t>
      </w:r>
      <w:r w:rsidR="00863B47" w:rsidRPr="0072758C">
        <w:rPr>
          <w:lang w:val="en-AU"/>
        </w:rPr>
        <w:t>”</w:t>
      </w:r>
      <w:r w:rsidRPr="0072758C">
        <w:rPr>
          <w:lang w:val="en-AU"/>
        </w:rPr>
        <w:t xml:space="preserve"> </w:t>
      </w:r>
      <w:r w:rsidRPr="0072758C">
        <w:rPr>
          <w:i/>
          <w:iCs/>
          <w:lang w:val="en-AU"/>
        </w:rPr>
        <w:t>RevQ 10</w:t>
      </w:r>
      <w:r w:rsidRPr="0072758C">
        <w:rPr>
          <w:lang w:val="en-AU"/>
        </w:rPr>
        <w:t xml:space="preserve"> (1979</w:t>
      </w:r>
      <w:r w:rsidR="005676E2" w:rsidRPr="0072758C">
        <w:rPr>
          <w:lang w:val="en-AU"/>
        </w:rPr>
        <w:t>–</w:t>
      </w:r>
      <w:r w:rsidRPr="0072758C">
        <w:rPr>
          <w:lang w:val="en-AU"/>
        </w:rPr>
        <w:t>1981): 247</w:t>
      </w:r>
      <w:r w:rsidR="005676E2" w:rsidRPr="0072758C">
        <w:rPr>
          <w:lang w:val="en-AU"/>
        </w:rPr>
        <w:t>–</w:t>
      </w:r>
      <w:r w:rsidRPr="0072758C">
        <w:rPr>
          <w:lang w:val="en-AU"/>
        </w:rPr>
        <w:t>75.</w:t>
      </w:r>
      <w:r w:rsidR="00A133E3" w:rsidRPr="0072758C">
        <w:rPr>
          <w:lang w:val="en-AU"/>
        </w:rPr>
        <w:t xml:space="preserve">  See also, Casey Deryl Elledge, “‘From the Beginning It Was Not so...’: Jesus, Divorce, and Remarriage in Light of the Dead Sea Scrolls</w:t>
      </w:r>
      <w:r w:rsidR="00BA5EAE" w:rsidRPr="0072758C">
        <w:rPr>
          <w:lang w:val="en-AU"/>
        </w:rPr>
        <w:t>,</w:t>
      </w:r>
      <w:r w:rsidR="00A133E3" w:rsidRPr="0072758C">
        <w:rPr>
          <w:lang w:val="en-AU"/>
        </w:rPr>
        <w:t>” </w:t>
      </w:r>
      <w:r w:rsidR="00A133E3" w:rsidRPr="0072758C">
        <w:rPr>
          <w:i/>
          <w:iCs/>
          <w:lang w:val="en-AU"/>
        </w:rPr>
        <w:t>Perspectives in Religious Studies</w:t>
      </w:r>
      <w:r w:rsidR="00A133E3" w:rsidRPr="0072758C">
        <w:rPr>
          <w:lang w:val="en-AU"/>
        </w:rPr>
        <w:t> 37 (2010): 371–89; James R. Mueller</w:t>
      </w:r>
      <w:r w:rsidR="00C13DAF" w:rsidRPr="0072758C">
        <w:rPr>
          <w:lang w:val="en-AU"/>
        </w:rPr>
        <w:t>,</w:t>
      </w:r>
      <w:r w:rsidR="00A133E3" w:rsidRPr="0072758C">
        <w:rPr>
          <w:lang w:val="en-AU"/>
        </w:rPr>
        <w:t xml:space="preserve"> “The Temple Scroll and the Gospel Divorce Texts</w:t>
      </w:r>
      <w:r w:rsidR="007039C3" w:rsidRPr="0072758C">
        <w:rPr>
          <w:lang w:val="en-AU"/>
        </w:rPr>
        <w:t>,</w:t>
      </w:r>
      <w:r w:rsidR="00A133E3" w:rsidRPr="0072758C">
        <w:rPr>
          <w:lang w:val="en-AU"/>
        </w:rPr>
        <w:t>” </w:t>
      </w:r>
      <w:r w:rsidR="00A133E3" w:rsidRPr="0072758C">
        <w:rPr>
          <w:i/>
          <w:iCs/>
          <w:lang w:val="en-AU"/>
        </w:rPr>
        <w:t>Revue de Qumrân</w:t>
      </w:r>
      <w:r w:rsidR="00A133E3" w:rsidRPr="0072758C">
        <w:rPr>
          <w:lang w:val="en-AU"/>
        </w:rPr>
        <w:t> 10 (1980): 247–56.</w:t>
      </w:r>
    </w:p>
  </w:footnote>
  <w:footnote w:id="524">
    <w:p w14:paraId="7EBB99FA" w14:textId="77777777" w:rsidR="00194C28" w:rsidRPr="0072758C" w:rsidRDefault="00194C28" w:rsidP="008E7031">
      <w:pPr>
        <w:pStyle w:val="EndnoteText"/>
        <w:rPr>
          <w:lang w:val="en-AU"/>
        </w:rPr>
      </w:pPr>
    </w:p>
    <w:p w14:paraId="7E0EFE02" w14:textId="77777777" w:rsidR="00194C28" w:rsidRPr="0072758C" w:rsidRDefault="00194C28" w:rsidP="008E7031">
      <w:pPr>
        <w:pStyle w:val="EndnoteText"/>
        <w:ind w:firstLine="720"/>
        <w:rPr>
          <w:iCs/>
          <w:lang w:val="en-AU"/>
        </w:rPr>
      </w:pPr>
      <w:r w:rsidRPr="0072758C">
        <w:rPr>
          <w:rStyle w:val="FootnoteReference"/>
          <w:lang w:val="en-AU"/>
        </w:rPr>
        <w:footnoteRef/>
      </w:r>
      <w:r w:rsidRPr="0072758C">
        <w:rPr>
          <w:lang w:val="en-AU"/>
        </w:rPr>
        <w:t xml:space="preserve"> Worth, </w:t>
      </w:r>
      <w:r w:rsidRPr="0072758C">
        <w:rPr>
          <w:i/>
          <w:iCs/>
          <w:lang w:val="en-AU"/>
        </w:rPr>
        <w:t xml:space="preserve">The Sermon on the Mount, </w:t>
      </w:r>
      <w:r w:rsidRPr="0072758C">
        <w:rPr>
          <w:iCs/>
          <w:lang w:val="en-AU"/>
        </w:rPr>
        <w:t>253.</w:t>
      </w:r>
    </w:p>
    <w:p w14:paraId="20338C0A" w14:textId="77777777" w:rsidR="00194C28" w:rsidRPr="0072758C" w:rsidRDefault="00194C28" w:rsidP="008E7031">
      <w:pPr>
        <w:pStyle w:val="EndnoteText"/>
        <w:rPr>
          <w:iCs/>
          <w:lang w:val="en-AU"/>
        </w:rPr>
      </w:pPr>
    </w:p>
  </w:footnote>
  <w:footnote w:id="525">
    <w:p w14:paraId="7490121A" w14:textId="69F42535" w:rsidR="00194C28" w:rsidRPr="0072758C" w:rsidRDefault="00194C28" w:rsidP="008E7031">
      <w:pPr>
        <w:pStyle w:val="EndnoteText"/>
        <w:ind w:firstLine="720"/>
        <w:rPr>
          <w:lang w:val="en-AU"/>
        </w:rPr>
      </w:pPr>
      <w:r w:rsidRPr="0072758C">
        <w:rPr>
          <w:rStyle w:val="FootnoteReference"/>
          <w:lang w:val="en-AU"/>
        </w:rPr>
        <w:footnoteRef/>
      </w:r>
      <w:r w:rsidRPr="0072758C">
        <w:rPr>
          <w:lang w:val="en-AU"/>
        </w:rPr>
        <w:t xml:space="preserve"> Warren Carter, </w:t>
      </w:r>
      <w:proofErr w:type="gramStart"/>
      <w:r w:rsidRPr="0072758C">
        <w:rPr>
          <w:i/>
          <w:lang w:val="en-AU"/>
        </w:rPr>
        <w:t>Matthew</w:t>
      </w:r>
      <w:proofErr w:type="gramEnd"/>
      <w:r w:rsidRPr="0072758C">
        <w:rPr>
          <w:i/>
          <w:lang w:val="en-AU"/>
        </w:rPr>
        <w:t xml:space="preserve"> and Empire</w:t>
      </w:r>
      <w:r w:rsidRPr="0072758C">
        <w:rPr>
          <w:lang w:val="en-AU"/>
        </w:rPr>
        <w:t xml:space="preserve">, 32. </w:t>
      </w:r>
    </w:p>
    <w:p w14:paraId="56444E60" w14:textId="77777777" w:rsidR="008E7031" w:rsidRPr="0072758C" w:rsidRDefault="008E7031" w:rsidP="008E7031">
      <w:pPr>
        <w:pStyle w:val="EndnoteText"/>
        <w:ind w:firstLine="720"/>
        <w:rPr>
          <w:lang w:val="en-AU"/>
        </w:rPr>
      </w:pPr>
    </w:p>
  </w:footnote>
  <w:footnote w:id="526">
    <w:p w14:paraId="37B78666" w14:textId="3CDF94C5" w:rsidR="00A1684D" w:rsidRPr="0072758C" w:rsidRDefault="002E1250" w:rsidP="008E7031">
      <w:pPr>
        <w:pStyle w:val="EndnoteText"/>
        <w:ind w:firstLine="720"/>
        <w:rPr>
          <w:lang w:val="en-AU"/>
        </w:rPr>
      </w:pPr>
      <w:r w:rsidRPr="0072758C">
        <w:rPr>
          <w:rStyle w:val="FootnoteReference"/>
          <w:lang w:val="en-AU"/>
        </w:rPr>
        <w:footnoteRef/>
      </w:r>
      <w:r w:rsidRPr="0072758C">
        <w:rPr>
          <w:lang w:val="en-AU"/>
        </w:rPr>
        <w:t xml:space="preserve"> DeSilva, </w:t>
      </w:r>
      <w:r w:rsidRPr="0072758C">
        <w:rPr>
          <w:i/>
          <w:lang w:val="en-AU"/>
        </w:rPr>
        <w:t>The Jewish Teachers of Jesus, James, and Jude</w:t>
      </w:r>
      <w:r w:rsidRPr="0072758C">
        <w:rPr>
          <w:lang w:val="en-AU"/>
        </w:rPr>
        <w:t>, 12.</w:t>
      </w:r>
      <w:r w:rsidR="00A1684D" w:rsidRPr="0072758C">
        <w:rPr>
          <w:lang w:val="en-AU"/>
        </w:rPr>
        <w:t xml:space="preserve">  See also David E. Aune, “The Influence of Roman Imperial Court Ceremonial on the Apocalypse of John</w:t>
      </w:r>
      <w:r w:rsidR="00BA5EAE" w:rsidRPr="0072758C">
        <w:rPr>
          <w:lang w:val="en-AU"/>
        </w:rPr>
        <w:t>,</w:t>
      </w:r>
      <w:r w:rsidR="00A1684D" w:rsidRPr="0072758C">
        <w:rPr>
          <w:lang w:val="en-AU"/>
        </w:rPr>
        <w:t>” </w:t>
      </w:r>
      <w:r w:rsidR="00A1684D" w:rsidRPr="0072758C">
        <w:rPr>
          <w:i/>
          <w:iCs/>
          <w:lang w:val="en-AU"/>
        </w:rPr>
        <w:t>Biblical Research</w:t>
      </w:r>
      <w:r w:rsidR="00A1684D" w:rsidRPr="0072758C">
        <w:rPr>
          <w:lang w:val="en-AU"/>
        </w:rPr>
        <w:t> 28 (1983): 5–26.</w:t>
      </w:r>
    </w:p>
  </w:footnote>
  <w:footnote w:id="527">
    <w:p w14:paraId="7543D5EA" w14:textId="77777777" w:rsidR="002E1250" w:rsidRPr="0072758C" w:rsidRDefault="002E1250" w:rsidP="008E7031">
      <w:pPr>
        <w:pStyle w:val="EndnoteText"/>
        <w:rPr>
          <w:lang w:val="en-AU"/>
        </w:rPr>
      </w:pPr>
    </w:p>
    <w:p w14:paraId="467273C9" w14:textId="2B03DC7C" w:rsidR="002E1250" w:rsidRPr="0072758C" w:rsidRDefault="002E1250" w:rsidP="008E7031">
      <w:pPr>
        <w:pStyle w:val="EndnoteText"/>
        <w:ind w:firstLine="720"/>
        <w:rPr>
          <w:lang w:val="en-AU"/>
        </w:rPr>
      </w:pPr>
      <w:r w:rsidRPr="0072758C">
        <w:rPr>
          <w:rStyle w:val="FootnoteReference"/>
          <w:lang w:val="en-AU"/>
        </w:rPr>
        <w:footnoteRef/>
      </w:r>
      <w:r w:rsidRPr="0072758C">
        <w:rPr>
          <w:lang w:val="en-AU"/>
        </w:rPr>
        <w:t xml:space="preserve"> </w:t>
      </w:r>
      <w:r w:rsidR="00A1684D" w:rsidRPr="0072758C">
        <w:rPr>
          <w:lang w:val="en-AU"/>
        </w:rPr>
        <w:t xml:space="preserve">DeSilva, </w:t>
      </w:r>
      <w:r w:rsidR="00A1684D" w:rsidRPr="0072758C">
        <w:rPr>
          <w:i/>
          <w:lang w:val="en-AU"/>
        </w:rPr>
        <w:t>The Jewish Teachers of Jesus, James, and Jude</w:t>
      </w:r>
      <w:r w:rsidR="00A1684D" w:rsidRPr="0072758C">
        <w:rPr>
          <w:lang w:val="en-AU"/>
        </w:rPr>
        <w:t xml:space="preserve">, </w:t>
      </w:r>
      <w:r w:rsidRPr="0072758C">
        <w:rPr>
          <w:lang w:val="en-AU"/>
        </w:rPr>
        <w:t>236–237.</w:t>
      </w:r>
    </w:p>
    <w:p w14:paraId="2FD0B093" w14:textId="77777777" w:rsidR="002E1250" w:rsidRPr="0072758C" w:rsidRDefault="002E1250" w:rsidP="008E7031">
      <w:pPr>
        <w:pStyle w:val="EndnoteText"/>
        <w:rPr>
          <w:lang w:val="en-AU"/>
        </w:rPr>
      </w:pPr>
    </w:p>
  </w:footnote>
  <w:footnote w:id="528">
    <w:p w14:paraId="77A18F81" w14:textId="5E2E19AA" w:rsidR="00CF0754" w:rsidRPr="0072758C" w:rsidRDefault="002E1250" w:rsidP="00C13DAF">
      <w:pPr>
        <w:pStyle w:val="EndnoteText"/>
        <w:ind w:firstLine="720"/>
        <w:rPr>
          <w:rFonts w:eastAsiaTheme="minorHAnsi"/>
          <w:i/>
          <w:iCs/>
          <w:lang w:val="en-AU"/>
        </w:rPr>
      </w:pPr>
      <w:r w:rsidRPr="0072758C">
        <w:rPr>
          <w:rStyle w:val="FootnoteReference"/>
          <w:lang w:val="en-AU"/>
        </w:rPr>
        <w:footnoteRef/>
      </w:r>
      <w:r w:rsidRPr="0072758C">
        <w:rPr>
          <w:lang w:val="en-AU"/>
        </w:rPr>
        <w:t xml:space="preserve"> </w:t>
      </w:r>
      <w:r w:rsidRPr="0072758C">
        <w:rPr>
          <w:rFonts w:eastAsiaTheme="minorHAnsi"/>
          <w:lang w:val="en-AU"/>
        </w:rPr>
        <w:t xml:space="preserve">Roland H. Bainton, </w:t>
      </w:r>
      <w:r w:rsidRPr="0072758C">
        <w:rPr>
          <w:rFonts w:eastAsiaTheme="minorHAnsi"/>
          <w:i/>
          <w:iCs/>
          <w:lang w:val="en-AU"/>
        </w:rPr>
        <w:t>Christian Attitudes Toward War and Peace: A Historical</w:t>
      </w:r>
      <w:r w:rsidR="00C13DAF" w:rsidRPr="0072758C">
        <w:rPr>
          <w:rFonts w:eastAsiaTheme="minorHAnsi"/>
          <w:i/>
          <w:iCs/>
          <w:lang w:val="en-AU"/>
        </w:rPr>
        <w:t xml:space="preserve"> </w:t>
      </w:r>
      <w:r w:rsidRPr="0072758C">
        <w:rPr>
          <w:rFonts w:eastAsiaTheme="minorHAnsi"/>
          <w:i/>
          <w:iCs/>
          <w:lang w:val="en-AU"/>
        </w:rPr>
        <w:t>Survey and Critical Re-Evaluation</w:t>
      </w:r>
      <w:r w:rsidRPr="0072758C">
        <w:rPr>
          <w:rFonts w:eastAsiaTheme="minorHAnsi"/>
          <w:lang w:val="en-AU"/>
        </w:rPr>
        <w:t xml:space="preserve"> (New York: Abingdon, 1960), 66</w:t>
      </w:r>
      <w:r w:rsidR="00D44A82" w:rsidRPr="0072758C">
        <w:rPr>
          <w:rFonts w:eastAsiaTheme="minorHAnsi"/>
          <w:lang w:val="en-AU"/>
        </w:rPr>
        <w:t>; Patrick G Barber, “Christian Views of Military Participation Prior to the Reign of Constantine</w:t>
      </w:r>
      <w:r w:rsidR="00BA5EAE" w:rsidRPr="0072758C">
        <w:rPr>
          <w:rFonts w:eastAsiaTheme="minorHAnsi"/>
          <w:lang w:val="en-AU"/>
        </w:rPr>
        <w:t>,</w:t>
      </w:r>
      <w:r w:rsidR="00D44A82" w:rsidRPr="0072758C">
        <w:rPr>
          <w:rFonts w:eastAsiaTheme="minorHAnsi"/>
          <w:lang w:val="en-AU"/>
        </w:rPr>
        <w:t>” </w:t>
      </w:r>
      <w:r w:rsidR="00D44A82" w:rsidRPr="0072758C">
        <w:rPr>
          <w:rFonts w:eastAsiaTheme="minorHAnsi"/>
          <w:i/>
          <w:iCs/>
          <w:lang w:val="en-AU"/>
        </w:rPr>
        <w:t>Restoration Quarterly</w:t>
      </w:r>
      <w:r w:rsidR="00D44A82" w:rsidRPr="0072758C">
        <w:rPr>
          <w:rFonts w:eastAsiaTheme="minorHAnsi"/>
          <w:lang w:val="en-AU"/>
        </w:rPr>
        <w:t> 53 (2011): 101–12. </w:t>
      </w:r>
      <w:r w:rsidR="00CF0754" w:rsidRPr="0072758C">
        <w:rPr>
          <w:rFonts w:eastAsiaTheme="minorHAnsi"/>
          <w:lang w:val="en-AU"/>
        </w:rPr>
        <w:t>It is worth noting that during Constantine rule, Jews were only allowed to access the Temple Mount once a year and</w:t>
      </w:r>
      <w:r w:rsidR="00812705" w:rsidRPr="0072758C">
        <w:rPr>
          <w:rFonts w:eastAsiaTheme="minorHAnsi"/>
          <w:lang w:val="en-AU"/>
        </w:rPr>
        <w:t xml:space="preserve"> </w:t>
      </w:r>
      <w:proofErr w:type="gramStart"/>
      <w:r w:rsidR="00CF0754" w:rsidRPr="0072758C">
        <w:rPr>
          <w:rFonts w:eastAsiaTheme="minorHAnsi"/>
          <w:lang w:val="en-AU"/>
        </w:rPr>
        <w:t>this influenced roles of occupation</w:t>
      </w:r>
      <w:proofErr w:type="gramEnd"/>
      <w:r w:rsidR="00CF0754" w:rsidRPr="0072758C">
        <w:rPr>
          <w:rFonts w:eastAsiaTheme="minorHAnsi"/>
          <w:lang w:val="en-AU"/>
        </w:rPr>
        <w:t>, see F. M. Loewenberg, “Did Jews Abandon the Temple Mount</w:t>
      </w:r>
      <w:r w:rsidR="00812705" w:rsidRPr="0072758C">
        <w:rPr>
          <w:rFonts w:eastAsiaTheme="minorHAnsi"/>
          <w:lang w:val="en-AU"/>
        </w:rPr>
        <w:t>,</w:t>
      </w:r>
      <w:r w:rsidR="00CF0754" w:rsidRPr="0072758C">
        <w:rPr>
          <w:rFonts w:eastAsiaTheme="minorHAnsi"/>
          <w:lang w:val="en-AU"/>
        </w:rPr>
        <w:t>” </w:t>
      </w:r>
      <w:r w:rsidR="00CF0754" w:rsidRPr="0072758C">
        <w:rPr>
          <w:rFonts w:eastAsiaTheme="minorHAnsi"/>
          <w:i/>
          <w:iCs/>
          <w:lang w:val="en-AU"/>
        </w:rPr>
        <w:t>Middle East Quarterly</w:t>
      </w:r>
      <w:r w:rsidR="00CF0754" w:rsidRPr="0072758C">
        <w:rPr>
          <w:rFonts w:eastAsiaTheme="minorHAnsi"/>
          <w:lang w:val="en-AU"/>
        </w:rPr>
        <w:t> 20 (2013): 37–48.</w:t>
      </w:r>
    </w:p>
    <w:p w14:paraId="2CA8F19C" w14:textId="77777777" w:rsidR="002E1250" w:rsidRPr="0072758C" w:rsidRDefault="002E1250" w:rsidP="00F5340B">
      <w:pPr>
        <w:pStyle w:val="EndnoteText"/>
        <w:rPr>
          <w:lang w:val="en-AU"/>
        </w:rPr>
      </w:pPr>
    </w:p>
  </w:footnote>
  <w:footnote w:id="529">
    <w:p w14:paraId="6849B5E7" w14:textId="77777777" w:rsidR="002E1250" w:rsidRPr="0072758C" w:rsidRDefault="002E1250" w:rsidP="00F5340B">
      <w:pPr>
        <w:pStyle w:val="EndnoteText"/>
        <w:ind w:firstLine="720"/>
        <w:rPr>
          <w:lang w:val="en-AU"/>
        </w:rPr>
      </w:pPr>
      <w:r w:rsidRPr="0072758C">
        <w:rPr>
          <w:rStyle w:val="FootnoteReference"/>
          <w:lang w:val="en-AU"/>
        </w:rPr>
        <w:footnoteRef/>
      </w:r>
      <w:r w:rsidRPr="0072758C">
        <w:rPr>
          <w:lang w:val="en-AU"/>
        </w:rPr>
        <w:t xml:space="preserve"> Umphrey Lee, </w:t>
      </w:r>
      <w:r w:rsidRPr="0072758C">
        <w:rPr>
          <w:i/>
          <w:iCs/>
          <w:lang w:val="en-AU"/>
        </w:rPr>
        <w:t>The Historic Church and Modern Pacifism</w:t>
      </w:r>
      <w:r w:rsidRPr="0072758C">
        <w:rPr>
          <w:lang w:val="en-AU"/>
        </w:rPr>
        <w:t xml:space="preserve"> (New York: Abingdon, 1943), 50.</w:t>
      </w:r>
    </w:p>
    <w:p w14:paraId="6ED43CA7" w14:textId="77777777" w:rsidR="002E1250" w:rsidRPr="0072758C" w:rsidRDefault="002E1250" w:rsidP="00F5340B">
      <w:pPr>
        <w:pStyle w:val="EndnoteText"/>
        <w:rPr>
          <w:lang w:val="en-AU"/>
        </w:rPr>
      </w:pPr>
    </w:p>
  </w:footnote>
  <w:footnote w:id="530">
    <w:p w14:paraId="5F27B56C" w14:textId="77777777" w:rsidR="002E1250" w:rsidRPr="0072758C" w:rsidRDefault="002E1250" w:rsidP="00F5340B">
      <w:pPr>
        <w:pStyle w:val="EndnoteText"/>
        <w:ind w:firstLine="720"/>
        <w:rPr>
          <w:rFonts w:eastAsiaTheme="minorHAnsi"/>
          <w:lang w:val="en-AU"/>
        </w:rPr>
      </w:pPr>
      <w:r w:rsidRPr="0072758C">
        <w:rPr>
          <w:rStyle w:val="FootnoteReference"/>
          <w:lang w:val="en-AU"/>
        </w:rPr>
        <w:footnoteRef/>
      </w:r>
      <w:r w:rsidRPr="0072758C">
        <w:rPr>
          <w:lang w:val="en-AU"/>
        </w:rPr>
        <w:t xml:space="preserve"> </w:t>
      </w:r>
      <w:r w:rsidRPr="0072758C">
        <w:rPr>
          <w:rFonts w:eastAsiaTheme="minorHAnsi"/>
          <w:lang w:val="en-AU"/>
        </w:rPr>
        <w:t xml:space="preserve">James Moffatt, “War,” in </w:t>
      </w:r>
      <w:r w:rsidRPr="0072758C">
        <w:rPr>
          <w:rFonts w:eastAsiaTheme="minorHAnsi"/>
          <w:i/>
          <w:iCs/>
          <w:lang w:val="en-AU"/>
        </w:rPr>
        <w:t>Dictionary of the Apostolic Church</w:t>
      </w:r>
      <w:r w:rsidRPr="0072758C">
        <w:rPr>
          <w:rFonts w:eastAsiaTheme="minorHAnsi"/>
          <w:lang w:val="en-AU"/>
        </w:rPr>
        <w:t xml:space="preserve"> (New York: Charles Scribner’s Sons, 1919), 2:660.</w:t>
      </w:r>
    </w:p>
    <w:p w14:paraId="1167D9A9" w14:textId="77777777" w:rsidR="002E1250" w:rsidRPr="0072758C" w:rsidRDefault="002E1250" w:rsidP="00F5340B">
      <w:pPr>
        <w:pStyle w:val="EndnoteText"/>
        <w:rPr>
          <w:lang w:val="en-AU"/>
        </w:rPr>
      </w:pPr>
    </w:p>
  </w:footnote>
  <w:footnote w:id="531">
    <w:p w14:paraId="5815F1AC" w14:textId="77777777" w:rsidR="002E1250" w:rsidRPr="0072758C" w:rsidRDefault="002E1250" w:rsidP="00F5340B">
      <w:pPr>
        <w:pStyle w:val="EndnoteText"/>
        <w:ind w:firstLine="720"/>
        <w:rPr>
          <w:rFonts w:eastAsiaTheme="minorHAnsi"/>
          <w:lang w:val="en-AU"/>
        </w:rPr>
      </w:pPr>
      <w:r w:rsidRPr="0072758C">
        <w:rPr>
          <w:rStyle w:val="FootnoteReference"/>
          <w:lang w:val="en-AU"/>
        </w:rPr>
        <w:footnoteRef/>
      </w:r>
      <w:r w:rsidRPr="0072758C">
        <w:rPr>
          <w:lang w:val="en-AU"/>
        </w:rPr>
        <w:t xml:space="preserve"> </w:t>
      </w:r>
      <w:r w:rsidRPr="0072758C">
        <w:rPr>
          <w:rFonts w:eastAsiaTheme="minorHAnsi"/>
          <w:lang w:val="en-AU"/>
        </w:rPr>
        <w:t xml:space="preserve">Origen, </w:t>
      </w:r>
      <w:r w:rsidRPr="0072758C">
        <w:rPr>
          <w:rFonts w:eastAsiaTheme="minorHAnsi"/>
          <w:i/>
          <w:iCs/>
          <w:lang w:val="en-AU"/>
        </w:rPr>
        <w:t>Contra Celsum 8.68</w:t>
      </w:r>
      <w:r w:rsidRPr="0072758C">
        <w:rPr>
          <w:rFonts w:eastAsiaTheme="minorHAnsi"/>
          <w:lang w:val="en-AU"/>
        </w:rPr>
        <w:t xml:space="preserve"> (London: Cambridge,1965), 504.</w:t>
      </w:r>
    </w:p>
    <w:p w14:paraId="5CE5460C" w14:textId="77777777" w:rsidR="002E1250" w:rsidRPr="0072758C" w:rsidRDefault="002E1250" w:rsidP="00F5340B">
      <w:pPr>
        <w:pStyle w:val="EndnoteText"/>
        <w:rPr>
          <w:rFonts w:eastAsiaTheme="minorHAnsi"/>
          <w:lang w:val="en-AU"/>
        </w:rPr>
      </w:pPr>
    </w:p>
  </w:footnote>
  <w:footnote w:id="532">
    <w:p w14:paraId="62BD3025" w14:textId="77777777" w:rsidR="002E1250" w:rsidRPr="0072758C" w:rsidRDefault="002E1250" w:rsidP="00F5340B">
      <w:pPr>
        <w:pStyle w:val="EndnoteText"/>
        <w:ind w:firstLine="720"/>
        <w:rPr>
          <w:rFonts w:eastAsiaTheme="minorHAnsi"/>
          <w:i/>
          <w:iCs/>
          <w:lang w:val="en-AU"/>
        </w:rPr>
      </w:pPr>
      <w:r w:rsidRPr="0072758C">
        <w:rPr>
          <w:rStyle w:val="FootnoteReference"/>
          <w:lang w:val="en-AU"/>
        </w:rPr>
        <w:footnoteRef/>
      </w:r>
      <w:r w:rsidRPr="0072758C">
        <w:rPr>
          <w:rFonts w:eastAsiaTheme="minorHAnsi"/>
          <w:lang w:val="en-AU"/>
        </w:rPr>
        <w:t xml:space="preserve">Roland H. Bainton, </w:t>
      </w:r>
      <w:r w:rsidRPr="0072758C">
        <w:rPr>
          <w:rFonts w:eastAsiaTheme="minorHAnsi"/>
          <w:i/>
          <w:iCs/>
          <w:lang w:val="en-AU"/>
        </w:rPr>
        <w:t>Christian Attitudes Toward War and Peace: A Historical Survey and</w:t>
      </w:r>
    </w:p>
    <w:p w14:paraId="0EECE9F7" w14:textId="77777777" w:rsidR="002E1250" w:rsidRPr="0072758C" w:rsidRDefault="002E1250" w:rsidP="00F5340B">
      <w:pPr>
        <w:pStyle w:val="EndnoteText"/>
        <w:rPr>
          <w:lang w:val="en-AU"/>
        </w:rPr>
      </w:pPr>
      <w:r w:rsidRPr="0072758C">
        <w:rPr>
          <w:i/>
          <w:iCs/>
          <w:lang w:val="en-AU"/>
        </w:rPr>
        <w:t xml:space="preserve">Critical Re-Evaluation </w:t>
      </w:r>
      <w:r w:rsidRPr="0072758C">
        <w:rPr>
          <w:lang w:val="en-AU"/>
        </w:rPr>
        <w:t>(New York: Abingdon, 1960).</w:t>
      </w:r>
    </w:p>
    <w:p w14:paraId="31D85923" w14:textId="77777777" w:rsidR="002E1250" w:rsidRPr="0072758C" w:rsidRDefault="002E1250" w:rsidP="00F5340B">
      <w:pPr>
        <w:pStyle w:val="EndnoteText"/>
        <w:rPr>
          <w:lang w:val="en-AU"/>
        </w:rPr>
      </w:pPr>
    </w:p>
  </w:footnote>
  <w:footnote w:id="533">
    <w:p w14:paraId="53E0543A" w14:textId="77777777" w:rsidR="002E1250" w:rsidRPr="0072758C" w:rsidRDefault="002E1250" w:rsidP="00F5340B">
      <w:pPr>
        <w:pStyle w:val="EndnoteText"/>
        <w:ind w:firstLine="720"/>
        <w:rPr>
          <w:lang w:val="en-AU"/>
        </w:rPr>
      </w:pPr>
      <w:r w:rsidRPr="0072758C">
        <w:rPr>
          <w:rStyle w:val="FootnoteReference"/>
          <w:lang w:val="en-AU"/>
        </w:rPr>
        <w:footnoteRef/>
      </w:r>
      <w:r w:rsidRPr="0072758C">
        <w:rPr>
          <w:lang w:val="en-AU"/>
        </w:rPr>
        <w:t xml:space="preserve"> Tertullian</w:t>
      </w:r>
      <w:r w:rsidRPr="0072758C">
        <w:rPr>
          <w:rFonts w:eastAsiaTheme="minorHAnsi"/>
          <w:lang w:val="en-AU"/>
        </w:rPr>
        <w:t xml:space="preserve">, </w:t>
      </w:r>
      <w:r w:rsidRPr="0072758C">
        <w:rPr>
          <w:rFonts w:eastAsiaTheme="minorHAnsi"/>
          <w:i/>
          <w:iCs/>
          <w:lang w:val="en-AU"/>
        </w:rPr>
        <w:t>De Corona Militis. The Ante-Nicene Fathers</w:t>
      </w:r>
      <w:r w:rsidRPr="0072758C">
        <w:rPr>
          <w:rFonts w:eastAsiaTheme="minorHAnsi"/>
          <w:lang w:val="en-AU"/>
        </w:rPr>
        <w:t xml:space="preserve"> </w:t>
      </w:r>
      <w:r w:rsidRPr="0072758C">
        <w:rPr>
          <w:lang w:val="en-AU"/>
        </w:rPr>
        <w:t>(Grand Rapids: Eerdmans, 1885).</w:t>
      </w:r>
    </w:p>
    <w:p w14:paraId="600C1DF8" w14:textId="77777777" w:rsidR="002E1250" w:rsidRPr="0072758C" w:rsidRDefault="002E1250" w:rsidP="00F5340B">
      <w:pPr>
        <w:pStyle w:val="EndnoteText"/>
        <w:rPr>
          <w:lang w:val="en-AU"/>
        </w:rPr>
      </w:pPr>
    </w:p>
  </w:footnote>
  <w:footnote w:id="534">
    <w:p w14:paraId="4BE69852" w14:textId="3E37B058" w:rsidR="002E1250" w:rsidRPr="0072758C" w:rsidRDefault="002E1250" w:rsidP="00B50B42">
      <w:pPr>
        <w:pStyle w:val="EndnoteText"/>
        <w:ind w:firstLine="720"/>
        <w:rPr>
          <w:lang w:val="en-AU"/>
        </w:rPr>
      </w:pPr>
      <w:r w:rsidRPr="0072758C">
        <w:rPr>
          <w:rStyle w:val="FootnoteReference"/>
          <w:lang w:val="en-AU"/>
        </w:rPr>
        <w:footnoteRef/>
      </w:r>
      <w:r w:rsidRPr="0072758C">
        <w:rPr>
          <w:lang w:val="en-AU"/>
        </w:rPr>
        <w:t xml:space="preserve"> </w:t>
      </w:r>
      <w:r w:rsidRPr="0072758C">
        <w:rPr>
          <w:rFonts w:eastAsiaTheme="minorHAnsi"/>
          <w:lang w:val="en-AU"/>
        </w:rPr>
        <w:t xml:space="preserve">Knut Willem Ruyter, “Pacifism and Military Service in the Early Church,” </w:t>
      </w:r>
      <w:r w:rsidRPr="0072758C">
        <w:rPr>
          <w:rFonts w:eastAsiaTheme="minorHAnsi"/>
          <w:i/>
          <w:iCs/>
          <w:lang w:val="en-AU"/>
        </w:rPr>
        <w:t>Cross Currents</w:t>
      </w:r>
      <w:r w:rsidRPr="0072758C">
        <w:rPr>
          <w:rFonts w:eastAsiaTheme="minorHAnsi"/>
          <w:lang w:val="en-AU"/>
        </w:rPr>
        <w:t xml:space="preserve"> 32 (1982): 61. </w:t>
      </w:r>
    </w:p>
    <w:p w14:paraId="686E6AD6" w14:textId="77777777" w:rsidR="002E1250" w:rsidRPr="0072758C" w:rsidRDefault="002E1250" w:rsidP="00F5340B">
      <w:pPr>
        <w:pStyle w:val="EndnoteText"/>
        <w:rPr>
          <w:lang w:val="en-AU"/>
        </w:rPr>
      </w:pPr>
    </w:p>
  </w:footnote>
  <w:footnote w:id="535">
    <w:p w14:paraId="6F0586E8" w14:textId="25AEAB9D" w:rsidR="002E1250" w:rsidRPr="0072758C" w:rsidRDefault="002E1250" w:rsidP="00F5340B">
      <w:pPr>
        <w:pStyle w:val="EndnoteText"/>
        <w:ind w:firstLine="720"/>
        <w:rPr>
          <w:lang w:val="en-AU"/>
        </w:rPr>
      </w:pPr>
      <w:r w:rsidRPr="0072758C">
        <w:rPr>
          <w:rStyle w:val="FootnoteReference"/>
          <w:lang w:val="en-AU"/>
        </w:rPr>
        <w:footnoteRef/>
      </w:r>
      <w:r w:rsidRPr="0072758C">
        <w:rPr>
          <w:lang w:val="en-AU"/>
        </w:rPr>
        <w:t xml:space="preserve"> </w:t>
      </w:r>
      <w:r w:rsidRPr="0072758C">
        <w:rPr>
          <w:rFonts w:eastAsiaTheme="minorHAnsi"/>
          <w:lang w:val="en-AU"/>
        </w:rPr>
        <w:t xml:space="preserve">Justin Martyr, </w:t>
      </w:r>
      <w:r w:rsidRPr="0072758C">
        <w:rPr>
          <w:rFonts w:eastAsiaTheme="minorHAnsi"/>
          <w:i/>
          <w:iCs/>
          <w:lang w:val="en-AU"/>
        </w:rPr>
        <w:t>Dialogue with Trypho</w:t>
      </w:r>
      <w:r w:rsidRPr="0072758C">
        <w:rPr>
          <w:rFonts w:eastAsiaTheme="minorHAnsi"/>
          <w:lang w:val="en-AU"/>
        </w:rPr>
        <w:t xml:space="preserve"> </w:t>
      </w:r>
      <w:r w:rsidRPr="0072758C">
        <w:rPr>
          <w:lang w:val="en-AU"/>
        </w:rPr>
        <w:t>(New York: Christian Heritage, 1948)</w:t>
      </w:r>
      <w:r w:rsidR="00812705" w:rsidRPr="0072758C">
        <w:rPr>
          <w:lang w:val="en-AU"/>
        </w:rPr>
        <w:t>.</w:t>
      </w:r>
    </w:p>
    <w:p w14:paraId="42155317" w14:textId="77777777" w:rsidR="002E1250" w:rsidRPr="0072758C" w:rsidRDefault="002E1250" w:rsidP="00AB7CAD">
      <w:pPr>
        <w:pStyle w:val="EndnoteText"/>
        <w:rPr>
          <w:lang w:val="en-AU"/>
        </w:rPr>
      </w:pPr>
    </w:p>
  </w:footnote>
  <w:footnote w:id="536">
    <w:p w14:paraId="472166E8" w14:textId="77777777" w:rsidR="002E1250" w:rsidRPr="0072758C" w:rsidRDefault="002E1250" w:rsidP="00F5340B">
      <w:pPr>
        <w:pStyle w:val="EndnoteText"/>
        <w:ind w:firstLine="720"/>
        <w:rPr>
          <w:rFonts w:eastAsiaTheme="minorHAnsi"/>
          <w:i/>
          <w:iCs/>
          <w:lang w:val="en-AU"/>
        </w:rPr>
      </w:pPr>
      <w:r w:rsidRPr="0072758C">
        <w:rPr>
          <w:rStyle w:val="FootnoteReference"/>
          <w:lang w:val="en-AU"/>
        </w:rPr>
        <w:footnoteRef/>
      </w:r>
      <w:r w:rsidRPr="0072758C">
        <w:rPr>
          <w:lang w:val="en-AU"/>
        </w:rPr>
        <w:t xml:space="preserve"> Darrell </w:t>
      </w:r>
      <w:r w:rsidRPr="0072758C">
        <w:rPr>
          <w:rFonts w:eastAsiaTheme="minorHAnsi"/>
          <w:lang w:val="en-AU"/>
        </w:rPr>
        <w:t xml:space="preserve">Cole, </w:t>
      </w:r>
      <w:r w:rsidRPr="0072758C">
        <w:rPr>
          <w:rFonts w:eastAsiaTheme="minorHAnsi"/>
          <w:i/>
          <w:iCs/>
          <w:lang w:val="en-AU"/>
        </w:rPr>
        <w:t>When God Says War is Right: The Christian’s Perspective on When and</w:t>
      </w:r>
    </w:p>
    <w:p w14:paraId="0A0FABA5" w14:textId="0A140DD9" w:rsidR="00596E2B" w:rsidRPr="0072758C" w:rsidRDefault="002E1250" w:rsidP="00F5340B">
      <w:pPr>
        <w:pStyle w:val="EndnoteText"/>
        <w:rPr>
          <w:lang w:val="en-AU"/>
        </w:rPr>
      </w:pPr>
      <w:r w:rsidRPr="0072758C">
        <w:rPr>
          <w:i/>
          <w:iCs/>
          <w:lang w:val="en-AU"/>
        </w:rPr>
        <w:t>How to Fight</w:t>
      </w:r>
      <w:r w:rsidRPr="0072758C">
        <w:rPr>
          <w:lang w:val="en-AU"/>
        </w:rPr>
        <w:t xml:space="preserve"> (Colorado Springs: WaterBrook, 2002), 9.</w:t>
      </w:r>
      <w:r w:rsidR="00596E2B" w:rsidRPr="0072758C">
        <w:rPr>
          <w:lang w:val="en-AU"/>
        </w:rPr>
        <w:t xml:space="preserve"> For more discussion of Jewish and Roman perspectives on fighting, see Maren R. Niehoff, “A Jew for Roman Tastes: The Parting of the Ways in Justin Martyr’s Dialogue with Trypho from a Post-Colonial Perspective</w:t>
      </w:r>
      <w:r w:rsidR="00BA5EAE" w:rsidRPr="0072758C">
        <w:rPr>
          <w:lang w:val="en-AU"/>
        </w:rPr>
        <w:t>,</w:t>
      </w:r>
      <w:r w:rsidR="00596E2B" w:rsidRPr="0072758C">
        <w:rPr>
          <w:lang w:val="en-AU"/>
        </w:rPr>
        <w:t>” </w:t>
      </w:r>
      <w:r w:rsidR="00596E2B" w:rsidRPr="0072758C">
        <w:rPr>
          <w:i/>
          <w:iCs/>
          <w:lang w:val="en-AU"/>
        </w:rPr>
        <w:t>Journal of Early Christian Studies</w:t>
      </w:r>
      <w:r w:rsidR="00596E2B" w:rsidRPr="0072758C">
        <w:rPr>
          <w:lang w:val="en-AU"/>
        </w:rPr>
        <w:t> 27 (2019): 549–78. </w:t>
      </w:r>
    </w:p>
    <w:p w14:paraId="28561311" w14:textId="77777777" w:rsidR="002E1250" w:rsidRPr="0072758C" w:rsidRDefault="002E1250" w:rsidP="00F5340B">
      <w:pPr>
        <w:pStyle w:val="EndnoteText"/>
        <w:rPr>
          <w:lang w:val="en-AU"/>
        </w:rPr>
      </w:pPr>
    </w:p>
  </w:footnote>
  <w:footnote w:id="537">
    <w:p w14:paraId="09262A54" w14:textId="77777777" w:rsidR="002E1250" w:rsidRPr="0072758C" w:rsidRDefault="002E1250" w:rsidP="00F5340B">
      <w:pPr>
        <w:pStyle w:val="EndnoteText"/>
        <w:ind w:firstLine="720"/>
        <w:rPr>
          <w:lang w:val="en-AU"/>
        </w:rPr>
      </w:pPr>
      <w:r w:rsidRPr="0072758C">
        <w:rPr>
          <w:rStyle w:val="FootnoteReference"/>
          <w:lang w:val="en-AU"/>
        </w:rPr>
        <w:footnoteRef/>
      </w:r>
      <w:r w:rsidRPr="0072758C">
        <w:rPr>
          <w:lang w:val="en-AU"/>
        </w:rPr>
        <w:t xml:space="preserve"> </w:t>
      </w:r>
      <w:r w:rsidRPr="0072758C">
        <w:rPr>
          <w:rFonts w:eastAsiaTheme="minorHAnsi"/>
          <w:lang w:val="en-AU"/>
        </w:rPr>
        <w:t xml:space="preserve">Clement of Alexandria, </w:t>
      </w:r>
      <w:r w:rsidRPr="0072758C">
        <w:rPr>
          <w:rFonts w:eastAsiaTheme="minorHAnsi"/>
          <w:i/>
          <w:iCs/>
          <w:lang w:val="en-AU"/>
        </w:rPr>
        <w:t>Exhortation to the Greeks 10.100.</w:t>
      </w:r>
      <w:r w:rsidRPr="0072758C">
        <w:rPr>
          <w:rFonts w:eastAsiaTheme="minorHAnsi"/>
          <w:lang w:val="en-AU"/>
        </w:rPr>
        <w:t>2</w:t>
      </w:r>
      <w:r w:rsidRPr="0072758C">
        <w:rPr>
          <w:lang w:val="en-AU"/>
        </w:rPr>
        <w:t>, 10.</w:t>
      </w:r>
    </w:p>
    <w:p w14:paraId="18328001" w14:textId="77777777" w:rsidR="002E1250" w:rsidRPr="0072758C" w:rsidRDefault="002E1250" w:rsidP="00F5340B">
      <w:pPr>
        <w:pStyle w:val="EndnoteText"/>
        <w:rPr>
          <w:lang w:val="en-AU"/>
        </w:rPr>
      </w:pPr>
    </w:p>
  </w:footnote>
  <w:footnote w:id="538">
    <w:p w14:paraId="688518A8" w14:textId="77777777" w:rsidR="002E1250" w:rsidRPr="0072758C" w:rsidRDefault="002E1250" w:rsidP="00F5340B">
      <w:pPr>
        <w:pStyle w:val="EndnoteText"/>
        <w:ind w:firstLine="720"/>
        <w:rPr>
          <w:lang w:val="en-AU"/>
        </w:rPr>
      </w:pPr>
      <w:r w:rsidRPr="0072758C">
        <w:rPr>
          <w:rStyle w:val="FootnoteReference"/>
          <w:lang w:val="en-AU"/>
        </w:rPr>
        <w:footnoteRef/>
      </w:r>
      <w:r w:rsidRPr="0072758C">
        <w:rPr>
          <w:lang w:val="en-AU"/>
        </w:rPr>
        <w:t xml:space="preserve"> William Swartley, </w:t>
      </w:r>
      <w:r w:rsidRPr="0072758C">
        <w:rPr>
          <w:i/>
          <w:iCs/>
          <w:lang w:val="en-AU"/>
        </w:rPr>
        <w:t xml:space="preserve">Slavery, Sabbath, War &amp; Women </w:t>
      </w:r>
      <w:r w:rsidRPr="0072758C">
        <w:rPr>
          <w:lang w:val="en-AU"/>
        </w:rPr>
        <w:t>(Scottsdale: Herald, 1983), 101.</w:t>
      </w:r>
    </w:p>
    <w:p w14:paraId="550FDF9D" w14:textId="77777777" w:rsidR="002E1250" w:rsidRPr="0072758C" w:rsidRDefault="002E1250" w:rsidP="00F5340B">
      <w:pPr>
        <w:pStyle w:val="EndnoteText"/>
        <w:rPr>
          <w:lang w:val="en-AU"/>
        </w:rPr>
      </w:pPr>
    </w:p>
  </w:footnote>
  <w:footnote w:id="539">
    <w:p w14:paraId="5D026A2B" w14:textId="77777777" w:rsidR="002E1250" w:rsidRPr="0072758C" w:rsidRDefault="002E1250" w:rsidP="00AB7CAD">
      <w:pPr>
        <w:pStyle w:val="EndnoteText"/>
        <w:ind w:firstLine="720"/>
        <w:rPr>
          <w:lang w:val="en-AU"/>
        </w:rPr>
      </w:pPr>
      <w:r w:rsidRPr="0072758C">
        <w:rPr>
          <w:rStyle w:val="FootnoteReference"/>
          <w:lang w:val="en-AU"/>
        </w:rPr>
        <w:footnoteRef/>
      </w:r>
      <w:r w:rsidRPr="0072758C">
        <w:rPr>
          <w:lang w:val="en-AU"/>
        </w:rPr>
        <w:t xml:space="preserve"> Lachs, </w:t>
      </w:r>
      <w:r w:rsidRPr="0072758C">
        <w:rPr>
          <w:i/>
          <w:iCs/>
          <w:lang w:val="en-AU"/>
        </w:rPr>
        <w:t>A Rabbinic Commentary on the New Testament</w:t>
      </w:r>
      <w:r w:rsidRPr="0072758C">
        <w:rPr>
          <w:lang w:val="en-AU"/>
        </w:rPr>
        <w:t>, 104.</w:t>
      </w:r>
    </w:p>
  </w:footnote>
  <w:footnote w:id="540">
    <w:p w14:paraId="40AFCF2F" w14:textId="77777777" w:rsidR="002E1250" w:rsidRPr="0072758C" w:rsidRDefault="002E1250" w:rsidP="00AB7CAD">
      <w:pPr>
        <w:pStyle w:val="EndnoteText"/>
        <w:rPr>
          <w:lang w:val="en-AU"/>
        </w:rPr>
      </w:pPr>
    </w:p>
    <w:p w14:paraId="33AC1691" w14:textId="77777777" w:rsidR="002E1250" w:rsidRPr="0072758C" w:rsidRDefault="002E1250" w:rsidP="00AB7CAD">
      <w:pPr>
        <w:pStyle w:val="EndnoteText"/>
        <w:ind w:firstLine="720"/>
        <w:rPr>
          <w:lang w:val="en-AU"/>
        </w:rPr>
      </w:pPr>
      <w:r w:rsidRPr="0072758C">
        <w:rPr>
          <w:rStyle w:val="FootnoteReference"/>
          <w:lang w:val="en-AU"/>
        </w:rPr>
        <w:footnoteRef/>
      </w:r>
      <w:r w:rsidRPr="0072758C">
        <w:rPr>
          <w:lang w:val="en-AU"/>
        </w:rPr>
        <w:t xml:space="preserve"> Davis, </w:t>
      </w:r>
      <w:r w:rsidRPr="0072758C">
        <w:rPr>
          <w:i/>
          <w:iCs/>
          <w:lang w:val="en-AU"/>
        </w:rPr>
        <w:t xml:space="preserve">Lex Talionis in Early </w:t>
      </w:r>
      <w:proofErr w:type="gramStart"/>
      <w:r w:rsidRPr="0072758C">
        <w:rPr>
          <w:i/>
          <w:iCs/>
          <w:lang w:val="en-AU"/>
        </w:rPr>
        <w:t>Judaism</w:t>
      </w:r>
      <w:proofErr w:type="gramEnd"/>
      <w:r w:rsidRPr="0072758C">
        <w:rPr>
          <w:i/>
          <w:iCs/>
          <w:lang w:val="en-AU"/>
        </w:rPr>
        <w:t xml:space="preserve"> and the Exhortation of Jesus in Matthew 5:38–42</w:t>
      </w:r>
      <w:r w:rsidRPr="0072758C">
        <w:rPr>
          <w:lang w:val="en-AU"/>
        </w:rPr>
        <w:t>, 142.</w:t>
      </w:r>
    </w:p>
    <w:p w14:paraId="6BEA8001" w14:textId="77777777" w:rsidR="002E1250" w:rsidRPr="0072758C" w:rsidRDefault="002E1250" w:rsidP="00AB7CAD">
      <w:pPr>
        <w:pStyle w:val="EndnoteText"/>
        <w:rPr>
          <w:lang w:val="en-AU"/>
        </w:rPr>
      </w:pPr>
    </w:p>
  </w:footnote>
  <w:footnote w:id="541">
    <w:p w14:paraId="2337B5FA" w14:textId="7C3DAF26" w:rsidR="00DD34F4"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w:t>
      </w:r>
      <w:r w:rsidRPr="0072758C">
        <w:rPr>
          <w:iCs/>
          <w:lang w:val="en-AU"/>
        </w:rPr>
        <w:t>See</w:t>
      </w:r>
      <w:r w:rsidRPr="0072758C">
        <w:rPr>
          <w:i/>
          <w:lang w:val="en-AU"/>
        </w:rPr>
        <w:t xml:space="preserve"> </w:t>
      </w:r>
      <w:r w:rsidRPr="0072758C">
        <w:rPr>
          <w:lang w:val="en-AU"/>
        </w:rPr>
        <w:t>Craig S Keener</w:t>
      </w:r>
      <w:r w:rsidRPr="0072758C">
        <w:rPr>
          <w:i/>
          <w:lang w:val="en-AU"/>
        </w:rPr>
        <w:t xml:space="preserve">, The Gospel </w:t>
      </w:r>
      <w:r w:rsidR="00447B9E">
        <w:rPr>
          <w:i/>
          <w:lang w:val="en-AU"/>
        </w:rPr>
        <w:t>of</w:t>
      </w:r>
      <w:r w:rsidRPr="0072758C">
        <w:rPr>
          <w:i/>
          <w:lang w:val="en-AU"/>
        </w:rPr>
        <w:t xml:space="preserve"> Matthew </w:t>
      </w:r>
      <w:r w:rsidRPr="0072758C">
        <w:rPr>
          <w:lang w:val="en-AU"/>
        </w:rPr>
        <w:t xml:space="preserve">Grand Rapids: Eerdmans, 2009, 195; Keener remarks that nudity was an </w:t>
      </w:r>
      <w:r w:rsidR="00863B47" w:rsidRPr="0072758C">
        <w:rPr>
          <w:lang w:val="en-AU"/>
        </w:rPr>
        <w:t>“</w:t>
      </w:r>
      <w:r w:rsidRPr="0072758C">
        <w:rPr>
          <w:lang w:val="en-AU"/>
        </w:rPr>
        <w:t>intolerable dishonor in Palestinian society</w:t>
      </w:r>
      <w:r w:rsidR="00863B47" w:rsidRPr="0072758C">
        <w:rPr>
          <w:lang w:val="en-AU"/>
        </w:rPr>
        <w:t>”</w:t>
      </w:r>
      <w:r w:rsidRPr="0072758C">
        <w:rPr>
          <w:lang w:val="en-AU"/>
        </w:rPr>
        <w:t xml:space="preserve"> and appeals to Gen 3:7, 10–11; 9:22; Jub. 3:21–22, 30–31; 7:8–10, 20; 1QS 7:12; Sifre Deut. 320.5.2; cf. W. D. Davies and Dale C. Allison, </w:t>
      </w:r>
      <w:r w:rsidRPr="0072758C">
        <w:rPr>
          <w:i/>
          <w:iCs/>
          <w:lang w:val="en-AU"/>
        </w:rPr>
        <w:t>Matthew 1–7</w:t>
      </w:r>
      <w:r w:rsidRPr="0072758C">
        <w:rPr>
          <w:lang w:val="en-AU"/>
        </w:rPr>
        <w:t xml:space="preserve"> (ICC; New York: T&amp;T Clark,1988), 545; Carson, </w:t>
      </w:r>
      <w:r w:rsidRPr="0072758C">
        <w:rPr>
          <w:i/>
          <w:iCs/>
          <w:lang w:val="en-AU"/>
        </w:rPr>
        <w:t>Matthew</w:t>
      </w:r>
      <w:r w:rsidRPr="0072758C">
        <w:rPr>
          <w:lang w:val="en-AU"/>
        </w:rPr>
        <w:t>, 190. Also, the OT prohibited taking a poor person</w:t>
      </w:r>
      <w:r w:rsidR="005C71CB" w:rsidRPr="0072758C">
        <w:rPr>
          <w:lang w:val="en-AU"/>
        </w:rPr>
        <w:t>’</w:t>
      </w:r>
      <w:r w:rsidRPr="0072758C">
        <w:rPr>
          <w:lang w:val="en-AU"/>
        </w:rPr>
        <w:t>s cloak since, as the outer garment, it served as a bed for the night (Exod 22:25–27; Deut 24:12–13).</w:t>
      </w:r>
      <w:r w:rsidR="00DD34F4" w:rsidRPr="0072758C">
        <w:rPr>
          <w:lang w:val="en-AU"/>
        </w:rPr>
        <w:t xml:space="preserve">  For a discussion about ἱμάτιον and the role of nudity and modesty, see Elizabeth Smith, “Himations and Fancy Hairdos: A Note on 1 Peter 3.3</w:t>
      </w:r>
      <w:r w:rsidR="00BA5EAE" w:rsidRPr="0072758C">
        <w:rPr>
          <w:lang w:val="en-AU"/>
        </w:rPr>
        <w:t>,</w:t>
      </w:r>
      <w:r w:rsidR="00DD34F4" w:rsidRPr="0072758C">
        <w:rPr>
          <w:lang w:val="en-AU"/>
        </w:rPr>
        <w:t>” </w:t>
      </w:r>
      <w:r w:rsidR="00DD34F4" w:rsidRPr="0072758C">
        <w:rPr>
          <w:i/>
          <w:iCs/>
          <w:lang w:val="en-AU"/>
        </w:rPr>
        <w:t>Journal for the Study of the New Testament</w:t>
      </w:r>
      <w:r w:rsidR="00DD34F4" w:rsidRPr="0072758C">
        <w:rPr>
          <w:lang w:val="en-AU"/>
        </w:rPr>
        <w:t> 42</w:t>
      </w:r>
      <w:r w:rsidR="00E83F6C" w:rsidRPr="0072758C">
        <w:rPr>
          <w:lang w:val="en-AU"/>
        </w:rPr>
        <w:t xml:space="preserve"> </w:t>
      </w:r>
      <w:r w:rsidR="00DD34F4" w:rsidRPr="0072758C">
        <w:rPr>
          <w:lang w:val="en-AU"/>
        </w:rPr>
        <w:t xml:space="preserve">(2019): 237–41. </w:t>
      </w:r>
    </w:p>
    <w:p w14:paraId="42FCA1A2" w14:textId="77777777" w:rsidR="00194C28" w:rsidRPr="0072758C" w:rsidRDefault="00194C28" w:rsidP="00AB7CAD">
      <w:pPr>
        <w:pStyle w:val="EndnoteText"/>
        <w:rPr>
          <w:lang w:val="en-AU"/>
        </w:rPr>
      </w:pPr>
    </w:p>
  </w:footnote>
  <w:footnote w:id="542">
    <w:p w14:paraId="70D1AEFF" w14:textId="77777777"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Lachs, </w:t>
      </w:r>
      <w:r w:rsidRPr="0072758C">
        <w:rPr>
          <w:i/>
          <w:iCs/>
          <w:lang w:val="en-AU"/>
        </w:rPr>
        <w:t>A Rabbinic Commentary on the New Testament</w:t>
      </w:r>
      <w:r w:rsidRPr="0072758C">
        <w:rPr>
          <w:lang w:val="en-AU"/>
        </w:rPr>
        <w:t>, 104.</w:t>
      </w:r>
    </w:p>
    <w:p w14:paraId="37336319" w14:textId="77777777" w:rsidR="00194C28" w:rsidRPr="0072758C" w:rsidRDefault="00194C28" w:rsidP="00AB7CAD">
      <w:pPr>
        <w:pStyle w:val="EndnoteText"/>
        <w:rPr>
          <w:lang w:val="en-AU"/>
        </w:rPr>
      </w:pPr>
    </w:p>
  </w:footnote>
  <w:footnote w:id="543">
    <w:p w14:paraId="496D96AA" w14:textId="77777777" w:rsidR="00194C28"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Craig S. Keener, </w:t>
      </w:r>
      <w:r w:rsidRPr="0072758C">
        <w:rPr>
          <w:i/>
          <w:iCs/>
          <w:lang w:val="en-AU"/>
        </w:rPr>
        <w:t>The Gospel of Matthew: A Socio-Rhetorical Commentary</w:t>
      </w:r>
      <w:r w:rsidRPr="0072758C">
        <w:rPr>
          <w:lang w:val="en-AU"/>
        </w:rPr>
        <w:t xml:space="preserve"> (Grand Rapids: Eerdmans, 2009), 195.</w:t>
      </w:r>
    </w:p>
    <w:p w14:paraId="0C39D6C5" w14:textId="77777777" w:rsidR="00194C28" w:rsidRPr="0072758C" w:rsidRDefault="00194C28" w:rsidP="00AB7CAD">
      <w:pPr>
        <w:pStyle w:val="EndnoteText"/>
        <w:rPr>
          <w:lang w:val="en-AU"/>
        </w:rPr>
      </w:pPr>
    </w:p>
  </w:footnote>
  <w:footnote w:id="544">
    <w:p w14:paraId="4D0D39B0" w14:textId="19DCE481" w:rsidR="00C71046" w:rsidRPr="0072758C" w:rsidRDefault="00194C28" w:rsidP="00AB7CAD">
      <w:pPr>
        <w:pStyle w:val="EndnoteText"/>
        <w:ind w:firstLine="720"/>
        <w:rPr>
          <w:lang w:val="en-AU"/>
        </w:rPr>
      </w:pPr>
      <w:r w:rsidRPr="0072758C">
        <w:rPr>
          <w:rStyle w:val="FootnoteReference"/>
          <w:lang w:val="en-AU"/>
        </w:rPr>
        <w:footnoteRef/>
      </w:r>
      <w:r w:rsidRPr="0072758C">
        <w:rPr>
          <w:lang w:val="en-AU"/>
        </w:rPr>
        <w:t xml:space="preserve"> D. A. Carson, </w:t>
      </w:r>
      <w:r w:rsidRPr="0072758C">
        <w:rPr>
          <w:i/>
          <w:iCs/>
          <w:lang w:val="en-AU"/>
        </w:rPr>
        <w:t>Matthew Expositor</w:t>
      </w:r>
      <w:r w:rsidR="005C71CB" w:rsidRPr="0072758C">
        <w:rPr>
          <w:i/>
          <w:iCs/>
          <w:lang w:val="en-AU"/>
        </w:rPr>
        <w:t>’</w:t>
      </w:r>
      <w:r w:rsidRPr="0072758C">
        <w:rPr>
          <w:i/>
          <w:iCs/>
          <w:lang w:val="en-AU"/>
        </w:rPr>
        <w:t>s Bible Commentary</w:t>
      </w:r>
      <w:r w:rsidRPr="0072758C">
        <w:rPr>
          <w:lang w:val="en-AU"/>
        </w:rPr>
        <w:t xml:space="preserve"> (Grand Rapids: Zondervan, 2010), 190.</w:t>
      </w:r>
      <w:r w:rsidR="00C71046" w:rsidRPr="0072758C">
        <w:rPr>
          <w:lang w:val="en-AU"/>
        </w:rPr>
        <w:t xml:space="preserve"> The Sermon on the Mount follows a concept of precedent; thus, there is protection for people under previous law.  For info on the Sermon on the Mount precedent, see J. Neoh, “The Rhetoric of Precedent and Fulfilment in the Sermon on the Mount and the Common Law</w:t>
      </w:r>
      <w:r w:rsidR="00BA5EAE" w:rsidRPr="0072758C">
        <w:rPr>
          <w:lang w:val="en-AU"/>
        </w:rPr>
        <w:t>,</w:t>
      </w:r>
      <w:r w:rsidR="00C71046" w:rsidRPr="0072758C">
        <w:rPr>
          <w:lang w:val="en-AU"/>
        </w:rPr>
        <w:t>” </w:t>
      </w:r>
      <w:r w:rsidR="00C71046" w:rsidRPr="0072758C">
        <w:rPr>
          <w:i/>
          <w:iCs/>
          <w:lang w:val="en-AU"/>
        </w:rPr>
        <w:t xml:space="preserve">Law, </w:t>
      </w:r>
      <w:proofErr w:type="gramStart"/>
      <w:r w:rsidR="00C71046" w:rsidRPr="0072758C">
        <w:rPr>
          <w:i/>
          <w:iCs/>
          <w:lang w:val="en-AU"/>
        </w:rPr>
        <w:t>Culture</w:t>
      </w:r>
      <w:proofErr w:type="gramEnd"/>
      <w:r w:rsidR="00C71046" w:rsidRPr="0072758C">
        <w:rPr>
          <w:i/>
          <w:iCs/>
          <w:lang w:val="en-AU"/>
        </w:rPr>
        <w:t xml:space="preserve"> and the Humanities</w:t>
      </w:r>
      <w:r w:rsidR="00C71046" w:rsidRPr="0072758C">
        <w:rPr>
          <w:lang w:val="en-AU"/>
        </w:rPr>
        <w:t> 12 (2016): 419–47. </w:t>
      </w:r>
    </w:p>
    <w:p w14:paraId="36199D76" w14:textId="77777777" w:rsidR="00194C28" w:rsidRPr="0072758C" w:rsidRDefault="00194C28" w:rsidP="00AB7CAD">
      <w:pPr>
        <w:pStyle w:val="EndnoteText"/>
        <w:rPr>
          <w:lang w:val="en-AU"/>
        </w:rPr>
      </w:pPr>
    </w:p>
  </w:footnote>
  <w:footnote w:id="545">
    <w:p w14:paraId="1CFA2418" w14:textId="7777777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W. D. Davies and Dale C. Allison, </w:t>
      </w:r>
      <w:r w:rsidRPr="0072758C">
        <w:rPr>
          <w:i/>
          <w:iCs/>
          <w:lang w:val="en-AU"/>
        </w:rPr>
        <w:t>Matthew 1–7</w:t>
      </w:r>
      <w:r w:rsidRPr="0072758C">
        <w:rPr>
          <w:lang w:val="en-AU"/>
        </w:rPr>
        <w:t xml:space="preserve"> (New York: T&amp;T Clark, 1988), 541.</w:t>
      </w:r>
    </w:p>
    <w:p w14:paraId="434773D3" w14:textId="77777777" w:rsidR="00194C28" w:rsidRPr="0072758C" w:rsidRDefault="00194C28" w:rsidP="00F5340B">
      <w:pPr>
        <w:pStyle w:val="EndnoteText"/>
        <w:rPr>
          <w:lang w:val="en-AU"/>
        </w:rPr>
      </w:pPr>
    </w:p>
  </w:footnote>
  <w:footnote w:id="546">
    <w:p w14:paraId="775D6431" w14:textId="7777777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Claudia Claridge, </w:t>
      </w:r>
      <w:r w:rsidRPr="0072758C">
        <w:rPr>
          <w:i/>
          <w:iCs/>
          <w:lang w:val="en-AU"/>
        </w:rPr>
        <w:t>Hyperbole in English: A Corpus-based Study of Exaggeration</w:t>
      </w:r>
      <w:r w:rsidRPr="0072758C">
        <w:rPr>
          <w:lang w:val="en-AU"/>
        </w:rPr>
        <w:t xml:space="preserve"> (New York: Cambridge University Press, 2011), 6.</w:t>
      </w:r>
    </w:p>
    <w:p w14:paraId="54D99AEB" w14:textId="77777777" w:rsidR="00194C28" w:rsidRPr="0072758C" w:rsidRDefault="00194C28" w:rsidP="00F5340B">
      <w:pPr>
        <w:pStyle w:val="EndnoteText"/>
        <w:rPr>
          <w:lang w:val="en-AU"/>
        </w:rPr>
      </w:pPr>
    </w:p>
  </w:footnote>
  <w:footnote w:id="547">
    <w:p w14:paraId="5BF05B47" w14:textId="327EF13E"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Paul Foster, </w:t>
      </w:r>
      <w:r w:rsidRPr="0072758C">
        <w:rPr>
          <w:i/>
          <w:iCs/>
          <w:lang w:val="en-AU"/>
        </w:rPr>
        <w:t xml:space="preserve">Community, Law and Mission </w:t>
      </w:r>
      <w:proofErr w:type="gramStart"/>
      <w:r w:rsidRPr="0072758C">
        <w:rPr>
          <w:i/>
          <w:iCs/>
          <w:lang w:val="en-AU"/>
        </w:rPr>
        <w:t>In</w:t>
      </w:r>
      <w:proofErr w:type="gramEnd"/>
      <w:r w:rsidRPr="0072758C">
        <w:rPr>
          <w:i/>
          <w:iCs/>
          <w:lang w:val="en-AU"/>
        </w:rPr>
        <w:t xml:space="preserve"> Matthew</w:t>
      </w:r>
      <w:r w:rsidR="005C71CB" w:rsidRPr="0072758C">
        <w:rPr>
          <w:i/>
          <w:iCs/>
          <w:lang w:val="en-AU"/>
        </w:rPr>
        <w:t>’</w:t>
      </w:r>
      <w:r w:rsidRPr="0072758C">
        <w:rPr>
          <w:i/>
          <w:iCs/>
          <w:lang w:val="en-AU"/>
        </w:rPr>
        <w:t>s Gospel</w:t>
      </w:r>
      <w:r w:rsidRPr="0072758C">
        <w:rPr>
          <w:lang w:val="en-AU"/>
        </w:rPr>
        <w:t> (Tübingen: Mohr Siebeck, 2004), 128.</w:t>
      </w:r>
    </w:p>
    <w:p w14:paraId="2EEAA296" w14:textId="77777777" w:rsidR="00194C28" w:rsidRPr="0072758C" w:rsidRDefault="00194C28" w:rsidP="00F5340B">
      <w:pPr>
        <w:pStyle w:val="EndnoteText"/>
        <w:rPr>
          <w:lang w:val="en-AU"/>
        </w:rPr>
      </w:pPr>
    </w:p>
  </w:footnote>
  <w:footnote w:id="548">
    <w:p w14:paraId="7A6C2EA1" w14:textId="0A9EB324" w:rsidR="00194C28" w:rsidRPr="0072758C" w:rsidRDefault="00194C28" w:rsidP="00F5340B">
      <w:pPr>
        <w:pStyle w:val="EndnoteText"/>
        <w:ind w:firstLine="720"/>
        <w:rPr>
          <w:i/>
          <w:iCs/>
          <w:lang w:val="en-AU"/>
        </w:rPr>
      </w:pPr>
      <w:r w:rsidRPr="0072758C">
        <w:rPr>
          <w:rStyle w:val="FootnoteReference"/>
          <w:lang w:val="en-AU"/>
        </w:rPr>
        <w:footnoteRef/>
      </w:r>
      <w:r w:rsidRPr="0072758C">
        <w:rPr>
          <w:lang w:val="en-AU"/>
        </w:rPr>
        <w:t xml:space="preserve"> France, Richard</w:t>
      </w:r>
      <w:r w:rsidR="00812705" w:rsidRPr="0072758C">
        <w:rPr>
          <w:lang w:val="en-AU"/>
        </w:rPr>
        <w:t>,</w:t>
      </w:r>
      <w:r w:rsidRPr="0072758C">
        <w:rPr>
          <w:lang w:val="en-AU"/>
        </w:rPr>
        <w:t xml:space="preserve"> </w:t>
      </w:r>
      <w:r w:rsidR="00812705" w:rsidRPr="0072758C">
        <w:rPr>
          <w:lang w:val="en-AU"/>
        </w:rPr>
        <w:t>“</w:t>
      </w:r>
      <w:r w:rsidRPr="0072758C">
        <w:rPr>
          <w:lang w:val="en-AU"/>
        </w:rPr>
        <w:t>The Gospel of Matthew</w:t>
      </w:r>
      <w:r w:rsidR="00812705" w:rsidRPr="0072758C">
        <w:rPr>
          <w:lang w:val="en-AU"/>
        </w:rPr>
        <w:t>,”</w:t>
      </w:r>
      <w:r w:rsidRPr="0072758C">
        <w:rPr>
          <w:lang w:val="en-AU"/>
        </w:rPr>
        <w:t xml:space="preserve"> </w:t>
      </w:r>
      <w:r w:rsidRPr="0072758C">
        <w:rPr>
          <w:i/>
          <w:iCs/>
          <w:lang w:val="en-AU"/>
        </w:rPr>
        <w:t>The New International Commentary on the</w:t>
      </w:r>
    </w:p>
    <w:p w14:paraId="2345C409" w14:textId="77777777" w:rsidR="00194C28" w:rsidRPr="0072758C" w:rsidRDefault="00194C28" w:rsidP="00F5340B">
      <w:pPr>
        <w:pStyle w:val="EndnoteText"/>
        <w:rPr>
          <w:lang w:val="en-AU"/>
        </w:rPr>
      </w:pPr>
      <w:r w:rsidRPr="0072758C">
        <w:rPr>
          <w:i/>
          <w:iCs/>
          <w:lang w:val="en-AU"/>
        </w:rPr>
        <w:t>New Testament</w:t>
      </w:r>
      <w:r w:rsidRPr="0072758C">
        <w:rPr>
          <w:lang w:val="en-AU"/>
        </w:rPr>
        <w:t>, 221.</w:t>
      </w:r>
    </w:p>
    <w:p w14:paraId="467E5653" w14:textId="77777777" w:rsidR="00194C28" w:rsidRPr="0072758C" w:rsidRDefault="00194C28" w:rsidP="00F5340B">
      <w:pPr>
        <w:pStyle w:val="EndnoteText"/>
        <w:rPr>
          <w:lang w:val="en-AU"/>
        </w:rPr>
      </w:pPr>
    </w:p>
  </w:footnote>
  <w:footnote w:id="549">
    <w:p w14:paraId="77C28BCF" w14:textId="7777777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Levine, Amy-Jill, and Marc Zvi Brettler, </w:t>
      </w:r>
      <w:r w:rsidRPr="0072758C">
        <w:rPr>
          <w:i/>
          <w:iCs/>
          <w:lang w:val="en-AU"/>
        </w:rPr>
        <w:t>The Jewish Annotated New Testament</w:t>
      </w:r>
      <w:r w:rsidRPr="0072758C">
        <w:rPr>
          <w:lang w:val="en-AU"/>
        </w:rPr>
        <w:t>, 12.</w:t>
      </w:r>
    </w:p>
    <w:p w14:paraId="7D7A8659" w14:textId="77777777" w:rsidR="00194C28" w:rsidRPr="0072758C" w:rsidRDefault="00194C28" w:rsidP="00F5340B">
      <w:pPr>
        <w:pStyle w:val="EndnoteText"/>
        <w:rPr>
          <w:lang w:val="en-AU"/>
        </w:rPr>
      </w:pPr>
    </w:p>
  </w:footnote>
  <w:footnote w:id="550">
    <w:p w14:paraId="6080F1CD" w14:textId="7777777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Ibid.</w:t>
      </w:r>
    </w:p>
    <w:p w14:paraId="4DC92DD9" w14:textId="77777777" w:rsidR="00194C28" w:rsidRPr="0072758C" w:rsidRDefault="00194C28" w:rsidP="00F5340B">
      <w:pPr>
        <w:pStyle w:val="EndnoteText"/>
        <w:rPr>
          <w:lang w:val="en-AU"/>
        </w:rPr>
      </w:pPr>
    </w:p>
  </w:footnote>
  <w:footnote w:id="551">
    <w:p w14:paraId="7915F168" w14:textId="77AEEFE6" w:rsidR="00194C28" w:rsidRPr="0072758C" w:rsidRDefault="00194C28" w:rsidP="00812705">
      <w:pPr>
        <w:pStyle w:val="EndnoteText"/>
        <w:ind w:firstLine="720"/>
        <w:rPr>
          <w:i/>
          <w:iCs/>
          <w:lang w:val="en-AU"/>
        </w:rPr>
      </w:pPr>
      <w:r w:rsidRPr="0072758C">
        <w:rPr>
          <w:rStyle w:val="FootnoteReference"/>
          <w:lang w:val="en-AU"/>
        </w:rPr>
        <w:footnoteRef/>
      </w:r>
      <w:r w:rsidRPr="0072758C">
        <w:rPr>
          <w:lang w:val="en-AU"/>
        </w:rPr>
        <w:t xml:space="preserve"> Rules of conduct for Roman Officers were mandated and ensured that Romans could not abuse their commission as an officer.  To breech this commission as an officer could lead to fines and punishment.  For more details on the military structure for military officers in the Roman Army, see</w:t>
      </w:r>
      <w:r w:rsidRPr="0072758C">
        <w:rPr>
          <w:i/>
          <w:iCs/>
          <w:lang w:val="en-AU"/>
        </w:rPr>
        <w:t xml:space="preserve"> </w:t>
      </w:r>
      <w:r w:rsidRPr="0072758C">
        <w:rPr>
          <w:lang w:val="en-AU"/>
        </w:rPr>
        <w:t xml:space="preserve">J. P. Roth, </w:t>
      </w:r>
      <w:r w:rsidRPr="0072758C">
        <w:rPr>
          <w:i/>
          <w:iCs/>
          <w:lang w:val="en-AU"/>
        </w:rPr>
        <w:t xml:space="preserve">The Logistics of the Roman Army at War 264 BC </w:t>
      </w:r>
      <w:r w:rsidR="005676E2" w:rsidRPr="0072758C">
        <w:rPr>
          <w:i/>
          <w:iCs/>
          <w:lang w:val="en-AU"/>
        </w:rPr>
        <w:t>–</w:t>
      </w:r>
      <w:r w:rsidRPr="0072758C">
        <w:rPr>
          <w:i/>
          <w:iCs/>
          <w:lang w:val="en-AU"/>
        </w:rPr>
        <w:t xml:space="preserve"> AD 235</w:t>
      </w:r>
      <w:r w:rsidRPr="0072758C">
        <w:rPr>
          <w:lang w:val="en-AU"/>
        </w:rPr>
        <w:t xml:space="preserve"> (Leiden: Brill, </w:t>
      </w:r>
      <w:r w:rsidR="00CC2A62" w:rsidRPr="0072758C">
        <w:rPr>
          <w:lang w:val="en-AU"/>
        </w:rPr>
        <w:t>2012</w:t>
      </w:r>
      <w:r w:rsidRPr="0072758C">
        <w:rPr>
          <w:lang w:val="en-AU"/>
        </w:rPr>
        <w:t xml:space="preserve">); R. Alston, </w:t>
      </w:r>
      <w:r w:rsidR="00863B47" w:rsidRPr="0072758C">
        <w:rPr>
          <w:lang w:val="en-AU"/>
        </w:rPr>
        <w:t>“</w:t>
      </w:r>
      <w:r w:rsidRPr="0072758C">
        <w:rPr>
          <w:lang w:val="en-AU"/>
        </w:rPr>
        <w:t>Roman Military Pay from Caesar to Diocletian</w:t>
      </w:r>
      <w:r w:rsidR="00812705" w:rsidRPr="0072758C">
        <w:rPr>
          <w:lang w:val="en-AU"/>
        </w:rPr>
        <w:t>,</w:t>
      </w:r>
      <w:r w:rsidR="00863B47" w:rsidRPr="0072758C">
        <w:rPr>
          <w:lang w:val="en-AU"/>
        </w:rPr>
        <w:t>”</w:t>
      </w:r>
      <w:r w:rsidRPr="0072758C">
        <w:rPr>
          <w:lang w:val="en-AU"/>
        </w:rPr>
        <w:t xml:space="preserve"> </w:t>
      </w:r>
      <w:r w:rsidRPr="0072758C">
        <w:rPr>
          <w:i/>
          <w:iCs/>
          <w:lang w:val="en-AU"/>
        </w:rPr>
        <w:t xml:space="preserve">Journal of Roman Studies </w:t>
      </w:r>
      <w:r w:rsidRPr="0072758C">
        <w:rPr>
          <w:lang w:val="en-AU"/>
        </w:rPr>
        <w:t>84 (1994): 113</w:t>
      </w:r>
      <w:r w:rsidR="005676E2" w:rsidRPr="0072758C">
        <w:rPr>
          <w:lang w:val="en-AU"/>
        </w:rPr>
        <w:t>–</w:t>
      </w:r>
      <w:r w:rsidRPr="0072758C">
        <w:rPr>
          <w:lang w:val="en-AU"/>
        </w:rPr>
        <w:t xml:space="preserve">123;  D. Armstrong, </w:t>
      </w:r>
      <w:r w:rsidR="00863B47" w:rsidRPr="0072758C">
        <w:rPr>
          <w:lang w:val="en-AU"/>
        </w:rPr>
        <w:t>“</w:t>
      </w:r>
      <w:r w:rsidRPr="0072758C">
        <w:rPr>
          <w:lang w:val="en-AU"/>
        </w:rPr>
        <w:t>Caesar</w:t>
      </w:r>
      <w:r w:rsidR="005C71CB" w:rsidRPr="0072758C">
        <w:rPr>
          <w:lang w:val="en-AU"/>
        </w:rPr>
        <w:t>’</w:t>
      </w:r>
      <w:r w:rsidRPr="0072758C">
        <w:rPr>
          <w:lang w:val="en-AU"/>
        </w:rPr>
        <w:t>s Art of War</w:t>
      </w:r>
      <w:r w:rsidR="00812705" w:rsidRPr="0072758C">
        <w:rPr>
          <w:lang w:val="en-AU"/>
        </w:rPr>
        <w:t>,</w:t>
      </w:r>
      <w:r w:rsidR="00863B47" w:rsidRPr="0072758C">
        <w:rPr>
          <w:lang w:val="en-AU"/>
        </w:rPr>
        <w:t>”</w:t>
      </w:r>
      <w:r w:rsidRPr="0072758C">
        <w:rPr>
          <w:lang w:val="en-AU"/>
        </w:rPr>
        <w:t xml:space="preserve"> </w:t>
      </w:r>
      <w:r w:rsidRPr="0072758C">
        <w:rPr>
          <w:i/>
          <w:iCs/>
          <w:lang w:val="en-AU"/>
        </w:rPr>
        <w:t>Classical Weekly</w:t>
      </w:r>
      <w:r w:rsidRPr="0072758C">
        <w:rPr>
          <w:lang w:val="en-AU"/>
        </w:rPr>
        <w:t xml:space="preserve"> (1939): 291</w:t>
      </w:r>
      <w:r w:rsidR="005676E2" w:rsidRPr="0072758C">
        <w:rPr>
          <w:lang w:val="en-AU"/>
        </w:rPr>
        <w:t>–</w:t>
      </w:r>
      <w:r w:rsidRPr="0072758C">
        <w:rPr>
          <w:lang w:val="en-AU"/>
        </w:rPr>
        <w:t xml:space="preserve">293; P. J. Cuff, </w:t>
      </w:r>
      <w:r w:rsidR="00863B47" w:rsidRPr="0072758C">
        <w:rPr>
          <w:lang w:val="en-AU"/>
        </w:rPr>
        <w:t>“</w:t>
      </w:r>
      <w:r w:rsidRPr="0072758C">
        <w:rPr>
          <w:lang w:val="en-AU"/>
        </w:rPr>
        <w:t>Caesar the Soldier</w:t>
      </w:r>
      <w:r w:rsidR="00812705" w:rsidRPr="0072758C">
        <w:rPr>
          <w:lang w:val="en-AU"/>
        </w:rPr>
        <w:t>,</w:t>
      </w:r>
      <w:r w:rsidR="00863B47" w:rsidRPr="0072758C">
        <w:rPr>
          <w:lang w:val="en-AU"/>
        </w:rPr>
        <w:t>”</w:t>
      </w:r>
      <w:r w:rsidRPr="0072758C">
        <w:rPr>
          <w:i/>
          <w:iCs/>
          <w:lang w:val="en-AU"/>
        </w:rPr>
        <w:t xml:space="preserve"> G&amp;R</w:t>
      </w:r>
      <w:r w:rsidRPr="0072758C">
        <w:rPr>
          <w:lang w:val="en-AU"/>
        </w:rPr>
        <w:t xml:space="preserve"> (1957): 29</w:t>
      </w:r>
      <w:r w:rsidR="005676E2" w:rsidRPr="0072758C">
        <w:rPr>
          <w:lang w:val="en-AU"/>
        </w:rPr>
        <w:t>–</w:t>
      </w:r>
      <w:r w:rsidRPr="0072758C">
        <w:rPr>
          <w:lang w:val="en-AU"/>
        </w:rPr>
        <w:t xml:space="preserve">35;  L. J. F. Keppie, </w:t>
      </w:r>
      <w:r w:rsidR="00863B47" w:rsidRPr="0072758C">
        <w:rPr>
          <w:lang w:val="en-AU"/>
        </w:rPr>
        <w:t>“</w:t>
      </w:r>
      <w:r w:rsidRPr="0072758C">
        <w:rPr>
          <w:lang w:val="en-AU"/>
        </w:rPr>
        <w:t>Vexilla Veteranorum</w:t>
      </w:r>
      <w:r w:rsidR="00812705" w:rsidRPr="0072758C">
        <w:rPr>
          <w:lang w:val="en-AU"/>
        </w:rPr>
        <w:t>,</w:t>
      </w:r>
      <w:r w:rsidR="00863B47" w:rsidRPr="0072758C">
        <w:rPr>
          <w:lang w:val="en-AU"/>
        </w:rPr>
        <w:t>”</w:t>
      </w:r>
      <w:r w:rsidRPr="0072758C">
        <w:rPr>
          <w:lang w:val="en-AU"/>
        </w:rPr>
        <w:t xml:space="preserve"> </w:t>
      </w:r>
      <w:r w:rsidR="00812705" w:rsidRPr="0072758C">
        <w:rPr>
          <w:i/>
          <w:iCs/>
          <w:lang w:val="en-AU"/>
        </w:rPr>
        <w:t xml:space="preserve">Papers of the British School at Rome </w:t>
      </w:r>
      <w:r w:rsidRPr="0072758C">
        <w:rPr>
          <w:lang w:val="en-AU"/>
        </w:rPr>
        <w:t>(1973): 8</w:t>
      </w:r>
      <w:r w:rsidR="005676E2" w:rsidRPr="0072758C">
        <w:rPr>
          <w:lang w:val="en-AU"/>
        </w:rPr>
        <w:t>–</w:t>
      </w:r>
      <w:r w:rsidRPr="0072758C">
        <w:rPr>
          <w:lang w:val="en-AU"/>
        </w:rPr>
        <w:t>17. For further scholarship on the amount of pay an officer could be fined from his yearly salary, see</w:t>
      </w:r>
      <w:r w:rsidRPr="0072758C">
        <w:rPr>
          <w:i/>
          <w:iCs/>
          <w:lang w:val="en-AU"/>
        </w:rPr>
        <w:t xml:space="preserve"> </w:t>
      </w:r>
      <w:r w:rsidRPr="0072758C">
        <w:rPr>
          <w:lang w:val="en-AU"/>
        </w:rPr>
        <w:t xml:space="preserve">G. R. Watson, </w:t>
      </w:r>
      <w:r w:rsidR="00863B47" w:rsidRPr="0072758C">
        <w:rPr>
          <w:lang w:val="en-AU"/>
        </w:rPr>
        <w:t>“</w:t>
      </w:r>
      <w:r w:rsidRPr="0072758C">
        <w:rPr>
          <w:lang w:val="en-AU"/>
        </w:rPr>
        <w:t>The Pay of the Roman Army: Suetonius, Dio and the quartum stipendium</w:t>
      </w:r>
      <w:r w:rsidR="0001660D" w:rsidRPr="0072758C">
        <w:rPr>
          <w:lang w:val="en-AU"/>
        </w:rPr>
        <w:t>,</w:t>
      </w:r>
      <w:r w:rsidR="00863B47" w:rsidRPr="0072758C">
        <w:rPr>
          <w:lang w:val="en-AU"/>
        </w:rPr>
        <w:t>”</w:t>
      </w:r>
      <w:r w:rsidRPr="0072758C">
        <w:rPr>
          <w:lang w:val="en-AU"/>
        </w:rPr>
        <w:t xml:space="preserve"> </w:t>
      </w:r>
      <w:r w:rsidRPr="0072758C">
        <w:rPr>
          <w:i/>
          <w:iCs/>
          <w:lang w:val="en-AU"/>
        </w:rPr>
        <w:t>Historia</w:t>
      </w:r>
      <w:r w:rsidRPr="0072758C">
        <w:rPr>
          <w:lang w:val="en-AU"/>
        </w:rPr>
        <w:t xml:space="preserve"> 5 (1956): 332</w:t>
      </w:r>
      <w:r w:rsidR="005676E2" w:rsidRPr="0072758C">
        <w:rPr>
          <w:lang w:val="en-AU"/>
        </w:rPr>
        <w:t>–</w:t>
      </w:r>
      <w:r w:rsidRPr="0072758C">
        <w:rPr>
          <w:lang w:val="en-AU"/>
        </w:rPr>
        <w:t xml:space="preserve">340. </w:t>
      </w:r>
    </w:p>
    <w:p w14:paraId="6B0481A3" w14:textId="77777777" w:rsidR="00194C28" w:rsidRPr="0072758C" w:rsidRDefault="00194C28" w:rsidP="00F5340B">
      <w:pPr>
        <w:pStyle w:val="EndnoteText"/>
        <w:rPr>
          <w:lang w:val="en-AU"/>
        </w:rPr>
      </w:pPr>
    </w:p>
  </w:footnote>
  <w:footnote w:id="552">
    <w:p w14:paraId="39F0B8A5" w14:textId="7777777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Hagner, </w:t>
      </w:r>
      <w:r w:rsidRPr="0072758C">
        <w:rPr>
          <w:i/>
          <w:lang w:val="en-AU"/>
        </w:rPr>
        <w:t>Matthew 1–13</w:t>
      </w:r>
      <w:r w:rsidRPr="0072758C">
        <w:rPr>
          <w:lang w:val="en-AU"/>
        </w:rPr>
        <w:t>, 132.</w:t>
      </w:r>
    </w:p>
    <w:p w14:paraId="62E87179" w14:textId="77777777" w:rsidR="00194C28" w:rsidRPr="0072758C" w:rsidRDefault="00194C28" w:rsidP="00F5340B">
      <w:pPr>
        <w:pStyle w:val="EndnoteText"/>
        <w:rPr>
          <w:lang w:val="en-AU"/>
        </w:rPr>
      </w:pPr>
    </w:p>
  </w:footnote>
  <w:footnote w:id="553">
    <w:p w14:paraId="0A561F81" w14:textId="0E0309B6"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Gordon Zerbe, Non-Retaliation in Early Jewish and New Testament Texts: Ethical Themes in Social Contexts (Sheffield Academic Press, 1993), 185.</w:t>
      </w:r>
    </w:p>
    <w:p w14:paraId="25034499" w14:textId="77777777" w:rsidR="00194C28" w:rsidRPr="0072758C" w:rsidRDefault="00194C28" w:rsidP="00F5340B">
      <w:pPr>
        <w:pStyle w:val="EndnoteText"/>
        <w:rPr>
          <w:lang w:val="en-AU"/>
        </w:rPr>
      </w:pPr>
    </w:p>
  </w:footnote>
  <w:footnote w:id="554">
    <w:p w14:paraId="096B65EC" w14:textId="5A257A22"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Hans Dieter Betz, </w:t>
      </w:r>
      <w:r w:rsidRPr="0072758C">
        <w:rPr>
          <w:i/>
          <w:lang w:val="en-AU"/>
        </w:rPr>
        <w:t xml:space="preserve">Essays </w:t>
      </w:r>
      <w:proofErr w:type="gramStart"/>
      <w:r w:rsidRPr="0072758C">
        <w:rPr>
          <w:i/>
          <w:lang w:val="en-AU"/>
        </w:rPr>
        <w:t>On</w:t>
      </w:r>
      <w:proofErr w:type="gramEnd"/>
      <w:r w:rsidRPr="0072758C">
        <w:rPr>
          <w:i/>
          <w:lang w:val="en-AU"/>
        </w:rPr>
        <w:t xml:space="preserve"> The Sermon On The Mount</w:t>
      </w:r>
      <w:r w:rsidRPr="0072758C">
        <w:rPr>
          <w:lang w:val="en-AU"/>
        </w:rPr>
        <w:t> (Minneapolis: Fortress Press, 2009), 290.</w:t>
      </w:r>
    </w:p>
    <w:p w14:paraId="7831B505" w14:textId="77777777" w:rsidR="00194C28" w:rsidRPr="0072758C" w:rsidRDefault="00194C28" w:rsidP="00F5340B">
      <w:pPr>
        <w:pStyle w:val="EndnoteText"/>
        <w:rPr>
          <w:lang w:val="en-AU"/>
        </w:rPr>
      </w:pPr>
    </w:p>
  </w:footnote>
  <w:footnote w:id="555">
    <w:p w14:paraId="28730CA7" w14:textId="1B0622F8"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Walter Wink, </w:t>
      </w:r>
      <w:r w:rsidR="00863B47" w:rsidRPr="0072758C">
        <w:rPr>
          <w:lang w:val="en-AU"/>
        </w:rPr>
        <w:t>“</w:t>
      </w:r>
      <w:r w:rsidRPr="0072758C">
        <w:rPr>
          <w:lang w:val="en-AU"/>
        </w:rPr>
        <w:t>Neither Passivity Nor Violence: Jesus</w:t>
      </w:r>
      <w:r w:rsidR="005C71CB" w:rsidRPr="0072758C">
        <w:rPr>
          <w:lang w:val="en-AU"/>
        </w:rPr>
        <w:t>’</w:t>
      </w:r>
      <w:r w:rsidRPr="0072758C">
        <w:rPr>
          <w:lang w:val="en-AU"/>
        </w:rPr>
        <w:t xml:space="preserve"> Third Way,</w:t>
      </w:r>
      <w:r w:rsidR="00863B47" w:rsidRPr="0072758C">
        <w:rPr>
          <w:lang w:val="en-AU"/>
        </w:rPr>
        <w:t>”</w:t>
      </w:r>
      <w:r w:rsidRPr="0072758C">
        <w:rPr>
          <w:lang w:val="en-AU"/>
        </w:rPr>
        <w:t xml:space="preserve"> in </w:t>
      </w:r>
      <w:r w:rsidRPr="0072758C">
        <w:rPr>
          <w:i/>
          <w:lang w:val="en-AU"/>
        </w:rPr>
        <w:t>The Love of Enemy and Nonretaliation in the New Testament</w:t>
      </w:r>
      <w:r w:rsidRPr="0072758C">
        <w:rPr>
          <w:lang w:val="en-AU"/>
        </w:rPr>
        <w:t xml:space="preserve"> (Louisville: Westminster John Knox, 1992), 105; Walter Wink</w:t>
      </w:r>
      <w:r w:rsidR="005C71CB" w:rsidRPr="0072758C">
        <w:rPr>
          <w:lang w:val="en-AU"/>
        </w:rPr>
        <w:t>’</w:t>
      </w:r>
      <w:r w:rsidRPr="0072758C">
        <w:rPr>
          <w:lang w:val="en-AU"/>
        </w:rPr>
        <w:t xml:space="preserve">s work has been built upon by scholarship of subsequent writers such as R.H. Worth, </w:t>
      </w:r>
      <w:r w:rsidRPr="0072758C">
        <w:rPr>
          <w:i/>
          <w:iCs/>
          <w:lang w:val="en-AU"/>
        </w:rPr>
        <w:t>The Sermon on the Mount: Its Old Testament Roots</w:t>
      </w:r>
      <w:r w:rsidRPr="0072758C">
        <w:rPr>
          <w:lang w:val="en-AU"/>
        </w:rPr>
        <w:t xml:space="preserve"> (Mahwah: Paulist Press, 1997); L. Desroches, </w:t>
      </w:r>
      <w:r w:rsidRPr="0072758C">
        <w:rPr>
          <w:i/>
          <w:iCs/>
          <w:lang w:val="en-AU"/>
        </w:rPr>
        <w:t>Allow the Waters: Anger, Fear, Power, Work, Sexuality, Community—and the Spirituality and Practice of Nonviolence</w:t>
      </w:r>
      <w:r w:rsidRPr="0072758C">
        <w:rPr>
          <w:lang w:val="en-AU"/>
        </w:rPr>
        <w:t xml:space="preserve"> (Ottawa: Dunamis, 1996); J. Nelson-Pallmeyer, </w:t>
      </w:r>
      <w:r w:rsidRPr="0072758C">
        <w:rPr>
          <w:i/>
          <w:iCs/>
          <w:lang w:val="en-AU"/>
        </w:rPr>
        <w:t>Saving Christianity from Empire</w:t>
      </w:r>
      <w:r w:rsidRPr="0072758C">
        <w:rPr>
          <w:lang w:val="en-AU"/>
        </w:rPr>
        <w:t xml:space="preserve"> (New York: Continuum, 2005). </w:t>
      </w:r>
    </w:p>
    <w:p w14:paraId="15291AAB" w14:textId="77777777" w:rsidR="00194C28" w:rsidRPr="0072758C" w:rsidRDefault="00194C28" w:rsidP="00F5340B">
      <w:pPr>
        <w:pStyle w:val="EndnoteText"/>
        <w:rPr>
          <w:lang w:val="en-AU"/>
        </w:rPr>
      </w:pPr>
    </w:p>
  </w:footnote>
  <w:footnote w:id="556">
    <w:p w14:paraId="64F0D2B5" w14:textId="609FDB8E"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Craig S Keener, </w:t>
      </w:r>
      <w:r w:rsidRPr="0072758C">
        <w:rPr>
          <w:i/>
          <w:lang w:val="en-AU"/>
        </w:rPr>
        <w:t xml:space="preserve">The Gospel </w:t>
      </w:r>
      <w:r w:rsidR="00447B9E">
        <w:rPr>
          <w:i/>
          <w:lang w:val="en-AU"/>
        </w:rPr>
        <w:t>of</w:t>
      </w:r>
      <w:r w:rsidRPr="0072758C">
        <w:rPr>
          <w:i/>
          <w:lang w:val="en-AU"/>
        </w:rPr>
        <w:t xml:space="preserve"> Matthew</w:t>
      </w:r>
      <w:r w:rsidRPr="0072758C">
        <w:rPr>
          <w:lang w:val="en-AU"/>
        </w:rPr>
        <w:t> (Grand Rapids: Eerdmans, 2009).</w:t>
      </w:r>
    </w:p>
    <w:p w14:paraId="05D059A0" w14:textId="77777777" w:rsidR="00194C28" w:rsidRPr="0072758C" w:rsidRDefault="00194C28" w:rsidP="00F5340B">
      <w:pPr>
        <w:pStyle w:val="EndnoteText"/>
        <w:rPr>
          <w:lang w:val="en-AU"/>
        </w:rPr>
      </w:pPr>
    </w:p>
  </w:footnote>
  <w:footnote w:id="557">
    <w:p w14:paraId="50F3D996" w14:textId="2E8542D5"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Marjorie Hewitt Suchocki, </w:t>
      </w:r>
      <w:r w:rsidRPr="0072758C">
        <w:rPr>
          <w:i/>
          <w:iCs/>
          <w:lang w:val="en-AU"/>
        </w:rPr>
        <w:t xml:space="preserve">The Fall to Violence: Original Sin in Relational Theology </w:t>
      </w:r>
      <w:r w:rsidRPr="0072758C">
        <w:rPr>
          <w:lang w:val="en-AU"/>
        </w:rPr>
        <w:t xml:space="preserve">(New York:  Continuum, 1995). Suchocki teaches in </w:t>
      </w:r>
      <w:r w:rsidRPr="0072758C">
        <w:rPr>
          <w:i/>
          <w:iCs/>
          <w:lang w:val="en-AU"/>
        </w:rPr>
        <w:t>the Fall to Violence</w:t>
      </w:r>
      <w:r w:rsidRPr="0072758C">
        <w:rPr>
          <w:lang w:val="en-AU"/>
        </w:rPr>
        <w:t xml:space="preserve"> that suggests that process theology and relational theology are the core teachings for Suchocki. </w:t>
      </w:r>
    </w:p>
    <w:p w14:paraId="315DCA7C" w14:textId="6DF0FBAC" w:rsidR="00194C28" w:rsidRPr="0072758C" w:rsidRDefault="00194C28" w:rsidP="00F5340B">
      <w:pPr>
        <w:pStyle w:val="EndnoteText"/>
        <w:rPr>
          <w:lang w:val="en-AU"/>
        </w:rPr>
      </w:pPr>
      <w:r w:rsidRPr="0072758C">
        <w:rPr>
          <w:lang w:val="en-AU"/>
        </w:rPr>
        <w:t xml:space="preserve"> </w:t>
      </w:r>
    </w:p>
  </w:footnote>
  <w:footnote w:id="558">
    <w:p w14:paraId="250B09DF" w14:textId="327574F7" w:rsidR="00194C28" w:rsidRPr="0072758C" w:rsidRDefault="00194C28" w:rsidP="00F5340B">
      <w:pPr>
        <w:pStyle w:val="EndnoteText"/>
        <w:ind w:firstLine="720"/>
        <w:rPr>
          <w:i/>
          <w:iCs/>
          <w:lang w:val="en-AU"/>
        </w:rPr>
      </w:pPr>
      <w:r w:rsidRPr="0072758C">
        <w:rPr>
          <w:rStyle w:val="FootnoteReference"/>
          <w:lang w:val="en-AU"/>
        </w:rPr>
        <w:footnoteRef/>
      </w:r>
      <w:r w:rsidRPr="0072758C">
        <w:rPr>
          <w:lang w:val="en-AU"/>
        </w:rPr>
        <w:t xml:space="preserve"> Davis, James F. </w:t>
      </w:r>
      <w:r w:rsidRPr="0072758C">
        <w:rPr>
          <w:i/>
          <w:iCs/>
          <w:lang w:val="en-AU"/>
        </w:rPr>
        <w:t xml:space="preserve">Lex Talionis in Early </w:t>
      </w:r>
      <w:proofErr w:type="gramStart"/>
      <w:r w:rsidRPr="0072758C">
        <w:rPr>
          <w:i/>
          <w:iCs/>
          <w:lang w:val="en-AU"/>
        </w:rPr>
        <w:t>Judaism</w:t>
      </w:r>
      <w:proofErr w:type="gramEnd"/>
      <w:r w:rsidRPr="0072758C">
        <w:rPr>
          <w:i/>
          <w:iCs/>
          <w:lang w:val="en-AU"/>
        </w:rPr>
        <w:t xml:space="preserve"> and the Exhortation of Jesus in Matthew 5:38</w:t>
      </w:r>
      <w:r w:rsidR="005676E2" w:rsidRPr="0072758C">
        <w:rPr>
          <w:i/>
          <w:iCs/>
          <w:lang w:val="en-AU"/>
        </w:rPr>
        <w:t>–</w:t>
      </w:r>
    </w:p>
    <w:p w14:paraId="33867313" w14:textId="77777777" w:rsidR="00194C28" w:rsidRPr="0072758C" w:rsidRDefault="00194C28" w:rsidP="00F5340B">
      <w:pPr>
        <w:pStyle w:val="EndnoteText"/>
        <w:rPr>
          <w:lang w:val="en-AU"/>
        </w:rPr>
      </w:pPr>
      <w:r w:rsidRPr="0072758C">
        <w:rPr>
          <w:i/>
          <w:iCs/>
          <w:lang w:val="en-AU"/>
        </w:rPr>
        <w:t>42</w:t>
      </w:r>
      <w:r w:rsidRPr="0072758C">
        <w:rPr>
          <w:lang w:val="en-AU"/>
        </w:rPr>
        <w:t xml:space="preserve">, 138. </w:t>
      </w:r>
    </w:p>
    <w:p w14:paraId="47F9692F" w14:textId="77777777" w:rsidR="00194C28" w:rsidRPr="0072758C" w:rsidRDefault="00194C28" w:rsidP="00F5340B">
      <w:pPr>
        <w:pStyle w:val="EndnoteText"/>
        <w:rPr>
          <w:lang w:val="en-AU"/>
        </w:rPr>
      </w:pPr>
    </w:p>
  </w:footnote>
  <w:footnote w:id="559">
    <w:p w14:paraId="4644FC47" w14:textId="5235CDC1" w:rsidR="00194C28" w:rsidRPr="0072758C" w:rsidRDefault="00194C28" w:rsidP="00F5340B">
      <w:pPr>
        <w:pStyle w:val="EndnoteText"/>
        <w:ind w:firstLine="720"/>
        <w:rPr>
          <w:rFonts w:cstheme="minorBidi"/>
          <w:lang w:val="en-AU"/>
        </w:rPr>
      </w:pPr>
      <w:r w:rsidRPr="0072758C">
        <w:rPr>
          <w:rStyle w:val="FootnoteReference"/>
          <w:lang w:val="en-AU"/>
        </w:rPr>
        <w:footnoteRef/>
      </w:r>
      <w:r w:rsidRPr="0072758C">
        <w:rPr>
          <w:lang w:val="en-AU"/>
        </w:rPr>
        <w:t xml:space="preserve"> </w:t>
      </w:r>
      <w:r w:rsidRPr="0072758C">
        <w:rPr>
          <w:rFonts w:cstheme="minorBidi"/>
          <w:b/>
          <w:bCs/>
          <w:color w:val="666666"/>
          <w:lang w:val="en-AU"/>
        </w:rPr>
        <w:t> </w:t>
      </w:r>
      <w:r w:rsidRPr="0072758C">
        <w:rPr>
          <w:rFonts w:cstheme="minorBidi"/>
          <w:color w:val="000000"/>
          <w:lang w:val="en-AU"/>
        </w:rPr>
        <w:t>Robert C Tannehill, </w:t>
      </w:r>
      <w:r w:rsidRPr="0072758C">
        <w:rPr>
          <w:rFonts w:cstheme="minorBidi"/>
          <w:i/>
          <w:color w:val="000000"/>
          <w:lang w:val="en-AU"/>
        </w:rPr>
        <w:t xml:space="preserve">The Sword </w:t>
      </w:r>
      <w:r w:rsidR="00447B9E" w:rsidRPr="0072758C">
        <w:rPr>
          <w:rFonts w:cstheme="minorBidi"/>
          <w:i/>
          <w:color w:val="000000"/>
          <w:lang w:val="en-AU"/>
        </w:rPr>
        <w:t xml:space="preserve">of his </w:t>
      </w:r>
      <w:r w:rsidRPr="0072758C">
        <w:rPr>
          <w:rFonts w:cstheme="minorBidi"/>
          <w:i/>
          <w:color w:val="000000"/>
          <w:lang w:val="en-AU"/>
        </w:rPr>
        <w:t>Mouth</w:t>
      </w:r>
      <w:r w:rsidRPr="0072758C">
        <w:rPr>
          <w:rFonts w:cstheme="minorBidi"/>
          <w:color w:val="000000"/>
          <w:lang w:val="en-AU"/>
        </w:rPr>
        <w:t> (Philadelphia: Fortress Press, 1981).</w:t>
      </w:r>
    </w:p>
    <w:p w14:paraId="5F8EFF37" w14:textId="77777777" w:rsidR="00194C28" w:rsidRPr="0072758C" w:rsidRDefault="00194C28" w:rsidP="00F5340B">
      <w:pPr>
        <w:pStyle w:val="EndnoteText"/>
        <w:rPr>
          <w:lang w:val="en-AU"/>
        </w:rPr>
      </w:pPr>
    </w:p>
  </w:footnote>
  <w:footnote w:id="560">
    <w:p w14:paraId="0BE1CF81" w14:textId="435D360C" w:rsidR="00194C28" w:rsidRPr="0072758C" w:rsidRDefault="00194C28" w:rsidP="00F5340B">
      <w:pPr>
        <w:pStyle w:val="EndnoteText"/>
        <w:ind w:firstLine="720"/>
        <w:rPr>
          <w:i/>
          <w:iCs/>
          <w:lang w:val="en-AU"/>
        </w:rPr>
      </w:pPr>
      <w:r w:rsidRPr="0072758C">
        <w:rPr>
          <w:rStyle w:val="FootnoteReference"/>
          <w:lang w:val="en-AU"/>
        </w:rPr>
        <w:footnoteRef/>
      </w:r>
      <w:r w:rsidRPr="0072758C">
        <w:rPr>
          <w:lang w:val="en-AU"/>
        </w:rPr>
        <w:t xml:space="preserve">  Davis, James F. </w:t>
      </w:r>
      <w:r w:rsidRPr="0072758C">
        <w:rPr>
          <w:i/>
          <w:iCs/>
          <w:lang w:val="en-AU"/>
        </w:rPr>
        <w:t xml:space="preserve">Lex Talionis in Early </w:t>
      </w:r>
      <w:proofErr w:type="gramStart"/>
      <w:r w:rsidRPr="0072758C">
        <w:rPr>
          <w:i/>
          <w:iCs/>
          <w:lang w:val="en-AU"/>
        </w:rPr>
        <w:t>Judaism</w:t>
      </w:r>
      <w:proofErr w:type="gramEnd"/>
      <w:r w:rsidRPr="0072758C">
        <w:rPr>
          <w:i/>
          <w:iCs/>
          <w:lang w:val="en-AU"/>
        </w:rPr>
        <w:t xml:space="preserve"> and the Exhortation of Jesus in Matthew 5:38</w:t>
      </w:r>
      <w:r w:rsidR="005676E2" w:rsidRPr="0072758C">
        <w:rPr>
          <w:i/>
          <w:iCs/>
          <w:lang w:val="en-AU"/>
        </w:rPr>
        <w:t>–</w:t>
      </w:r>
    </w:p>
    <w:p w14:paraId="70E23844" w14:textId="77777777" w:rsidR="00194C28" w:rsidRPr="0072758C" w:rsidRDefault="00194C28" w:rsidP="00F5340B">
      <w:pPr>
        <w:pStyle w:val="EndnoteText"/>
        <w:rPr>
          <w:lang w:val="en-AU"/>
        </w:rPr>
      </w:pPr>
      <w:r w:rsidRPr="0072758C">
        <w:rPr>
          <w:i/>
          <w:iCs/>
          <w:lang w:val="en-AU"/>
        </w:rPr>
        <w:t>42</w:t>
      </w:r>
      <w:r w:rsidRPr="0072758C">
        <w:rPr>
          <w:lang w:val="en-AU"/>
        </w:rPr>
        <w:t xml:space="preserve">, 138. </w:t>
      </w:r>
    </w:p>
    <w:p w14:paraId="31956F95" w14:textId="77777777" w:rsidR="00194C28" w:rsidRPr="0072758C" w:rsidRDefault="00194C28" w:rsidP="00F5340B">
      <w:pPr>
        <w:pStyle w:val="EndnoteText"/>
        <w:rPr>
          <w:lang w:val="en-AU"/>
        </w:rPr>
      </w:pPr>
    </w:p>
  </w:footnote>
  <w:footnote w:id="561">
    <w:p w14:paraId="34FE9601" w14:textId="1BCC9B75"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For more research on the use of violence and war techniques with the Roman military officer and war techniques by the governments, see further research with A. Goldsworthy, </w:t>
      </w:r>
      <w:r w:rsidRPr="0072758C">
        <w:rPr>
          <w:i/>
          <w:iCs/>
          <w:lang w:val="en-AU"/>
        </w:rPr>
        <w:t>The Roman Army at War 100 BC – AD 200</w:t>
      </w:r>
      <w:r w:rsidRPr="0072758C">
        <w:rPr>
          <w:lang w:val="en-AU"/>
        </w:rPr>
        <w:t xml:space="preserve"> (Oxford: Clarendon Press, 1996); V. D. Hanson, </w:t>
      </w:r>
      <w:r w:rsidRPr="0072758C">
        <w:rPr>
          <w:i/>
          <w:iCs/>
          <w:lang w:val="en-AU"/>
        </w:rPr>
        <w:t>Makers of Ancient Strategy: From the Persian Wars to the Fall of Rome</w:t>
      </w:r>
      <w:r w:rsidRPr="0072758C">
        <w:rPr>
          <w:lang w:val="en-AU"/>
        </w:rPr>
        <w:t xml:space="preserve"> (Princeton: Princeton University Press, 2010); J. Heurgon, </w:t>
      </w:r>
      <w:r w:rsidRPr="0072758C">
        <w:rPr>
          <w:i/>
          <w:iCs/>
          <w:lang w:val="en-AU"/>
        </w:rPr>
        <w:t>The Rise of Rome</w:t>
      </w:r>
      <w:r w:rsidRPr="0072758C">
        <w:rPr>
          <w:lang w:val="en-AU"/>
        </w:rPr>
        <w:t xml:space="preserve"> (Berkeley: University of California Press, 1973);  H. M. D. Parker, </w:t>
      </w:r>
      <w:r w:rsidRPr="0072758C">
        <w:rPr>
          <w:i/>
          <w:iCs/>
          <w:lang w:val="en-AU"/>
        </w:rPr>
        <w:t>The Roman Legions</w:t>
      </w:r>
      <w:r w:rsidRPr="0072758C">
        <w:rPr>
          <w:lang w:val="en-AU"/>
        </w:rPr>
        <w:t xml:space="preserve"> (Cambridge: Heffer, 1958); S. E. Phang, </w:t>
      </w:r>
      <w:r w:rsidRPr="0072758C">
        <w:rPr>
          <w:i/>
          <w:iCs/>
          <w:lang w:val="en-AU"/>
        </w:rPr>
        <w:t>Roman Military Service: Ideologies of Discipline in the Late Republic and Early Principate</w:t>
      </w:r>
      <w:r w:rsidRPr="0072758C">
        <w:rPr>
          <w:lang w:val="en-AU"/>
        </w:rPr>
        <w:t xml:space="preserve"> (Cambridge: Cambridge University Press, 2008); G. R. Watson, </w:t>
      </w:r>
      <w:r w:rsidRPr="0072758C">
        <w:rPr>
          <w:i/>
          <w:iCs/>
          <w:lang w:val="en-AU"/>
        </w:rPr>
        <w:t>The Roman Soldier</w:t>
      </w:r>
      <w:r w:rsidRPr="0072758C">
        <w:rPr>
          <w:lang w:val="en-AU"/>
        </w:rPr>
        <w:t xml:space="preserve"> (London: Thames and Hudson, 1969).</w:t>
      </w:r>
    </w:p>
    <w:p w14:paraId="0A07F079" w14:textId="555A0EB8" w:rsidR="00194C28" w:rsidRPr="0072758C" w:rsidRDefault="00194C28" w:rsidP="00F5340B">
      <w:pPr>
        <w:pStyle w:val="EndnoteText"/>
        <w:rPr>
          <w:lang w:val="en-AU"/>
        </w:rPr>
      </w:pPr>
      <w:r w:rsidRPr="0072758C">
        <w:rPr>
          <w:lang w:val="en-AU"/>
        </w:rPr>
        <w:t xml:space="preserve"> </w:t>
      </w:r>
    </w:p>
  </w:footnote>
  <w:footnote w:id="562">
    <w:p w14:paraId="4CE669BD" w14:textId="7777777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Amy-Jill Levine and Marc Zvi Brettler, </w:t>
      </w:r>
      <w:r w:rsidRPr="0072758C">
        <w:rPr>
          <w:i/>
          <w:iCs/>
          <w:lang w:val="en-AU"/>
        </w:rPr>
        <w:t>The Jewish Annotated New Testament</w:t>
      </w:r>
      <w:r w:rsidRPr="0072758C">
        <w:rPr>
          <w:lang w:val="en-AU"/>
        </w:rPr>
        <w:t>, 12.</w:t>
      </w:r>
    </w:p>
    <w:p w14:paraId="3E7363DB" w14:textId="77777777" w:rsidR="00194C28" w:rsidRPr="0072758C" w:rsidRDefault="00194C28" w:rsidP="00F5340B">
      <w:pPr>
        <w:pStyle w:val="EndnoteText"/>
        <w:rPr>
          <w:lang w:val="en-AU"/>
        </w:rPr>
      </w:pPr>
    </w:p>
  </w:footnote>
  <w:footnote w:id="563">
    <w:p w14:paraId="6BCAAD7C" w14:textId="1C8AF985" w:rsidR="00194C28" w:rsidRPr="0072758C" w:rsidRDefault="00194C28" w:rsidP="00F5340B">
      <w:pPr>
        <w:pStyle w:val="EndnoteText"/>
        <w:ind w:firstLine="720"/>
        <w:rPr>
          <w:i/>
          <w:iCs/>
          <w:lang w:val="en-AU"/>
        </w:rPr>
      </w:pPr>
      <w:r w:rsidRPr="0072758C">
        <w:rPr>
          <w:rStyle w:val="FootnoteReference"/>
          <w:lang w:val="en-AU"/>
        </w:rPr>
        <w:footnoteRef/>
      </w:r>
      <w:r w:rsidRPr="0072758C">
        <w:rPr>
          <w:lang w:val="en-AU"/>
        </w:rPr>
        <w:t xml:space="preserve"> James F. Davis. </w:t>
      </w:r>
      <w:r w:rsidRPr="0072758C">
        <w:rPr>
          <w:i/>
          <w:iCs/>
          <w:lang w:val="en-AU"/>
        </w:rPr>
        <w:t>Lex Talionis in Early Judaism and the Exhortation of Jesus in Matthew 5:38</w:t>
      </w:r>
      <w:r w:rsidR="005676E2" w:rsidRPr="0072758C">
        <w:rPr>
          <w:i/>
          <w:iCs/>
          <w:lang w:val="en-AU"/>
        </w:rPr>
        <w:t>–</w:t>
      </w:r>
    </w:p>
    <w:p w14:paraId="596E6196" w14:textId="77777777" w:rsidR="00194C28" w:rsidRPr="0072758C" w:rsidRDefault="00194C28" w:rsidP="00F5340B">
      <w:pPr>
        <w:pStyle w:val="EndnoteText"/>
        <w:rPr>
          <w:lang w:val="en-AU"/>
        </w:rPr>
      </w:pPr>
      <w:r w:rsidRPr="0072758C">
        <w:rPr>
          <w:i/>
          <w:iCs/>
          <w:lang w:val="en-AU"/>
        </w:rPr>
        <w:t>42</w:t>
      </w:r>
      <w:r w:rsidRPr="0072758C">
        <w:rPr>
          <w:lang w:val="en-AU"/>
        </w:rPr>
        <w:t xml:space="preserve">, 145. </w:t>
      </w:r>
    </w:p>
    <w:p w14:paraId="7AA294ED" w14:textId="77777777" w:rsidR="00194C28" w:rsidRPr="0072758C" w:rsidRDefault="00194C28" w:rsidP="00F5340B">
      <w:pPr>
        <w:pStyle w:val="EndnoteText"/>
        <w:rPr>
          <w:lang w:val="en-AU"/>
        </w:rPr>
      </w:pPr>
    </w:p>
  </w:footnote>
  <w:footnote w:id="564">
    <w:p w14:paraId="4A383558" w14:textId="7777777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See Josephus, </w:t>
      </w:r>
      <w:r w:rsidRPr="0072758C">
        <w:rPr>
          <w:i/>
          <w:iCs/>
          <w:lang w:val="en-AU"/>
        </w:rPr>
        <w:t>Antiquities 13</w:t>
      </w:r>
      <w:r w:rsidRPr="0072758C">
        <w:rPr>
          <w:lang w:val="en-AU"/>
        </w:rPr>
        <w:t>, 2, 3.</w:t>
      </w:r>
    </w:p>
    <w:p w14:paraId="69634483" w14:textId="77777777" w:rsidR="00194C28" w:rsidRPr="0072758C" w:rsidRDefault="00194C28" w:rsidP="00F5340B">
      <w:pPr>
        <w:pStyle w:val="EndnoteText"/>
        <w:rPr>
          <w:lang w:val="en-AU"/>
        </w:rPr>
      </w:pPr>
    </w:p>
  </w:footnote>
  <w:footnote w:id="565">
    <w:p w14:paraId="204843BD" w14:textId="7777777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Levine, Amy-Jill, and Marc Zvi Brettler, </w:t>
      </w:r>
      <w:r w:rsidRPr="0072758C">
        <w:rPr>
          <w:i/>
          <w:iCs/>
          <w:lang w:val="en-AU"/>
        </w:rPr>
        <w:t>The Jewish Annotated New Testament</w:t>
      </w:r>
      <w:r w:rsidRPr="0072758C">
        <w:rPr>
          <w:lang w:val="en-AU"/>
        </w:rPr>
        <w:t>, 12.</w:t>
      </w:r>
    </w:p>
    <w:p w14:paraId="0F5B5D97" w14:textId="77777777" w:rsidR="00194C28" w:rsidRPr="0072758C" w:rsidRDefault="00194C28" w:rsidP="00F5340B">
      <w:pPr>
        <w:pStyle w:val="EndnoteText"/>
        <w:rPr>
          <w:lang w:val="en-AU"/>
        </w:rPr>
      </w:pPr>
    </w:p>
  </w:footnote>
  <w:footnote w:id="566">
    <w:p w14:paraId="3F22189C"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Ibid.</w:t>
      </w:r>
    </w:p>
  </w:footnote>
  <w:footnote w:id="567">
    <w:p w14:paraId="1A16FFB3" w14:textId="77777777" w:rsidR="00194C28" w:rsidRPr="0072758C" w:rsidRDefault="00194C28" w:rsidP="00BC7015">
      <w:pPr>
        <w:pStyle w:val="EndnoteText"/>
        <w:rPr>
          <w:lang w:val="en-AU"/>
        </w:rPr>
      </w:pPr>
    </w:p>
    <w:p w14:paraId="7F5C467F" w14:textId="3F98D8D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David Stern, </w:t>
      </w:r>
      <w:r w:rsidRPr="0072758C">
        <w:rPr>
          <w:i/>
          <w:iCs/>
          <w:lang w:val="en-AU"/>
        </w:rPr>
        <w:t>Complete Jewish Bible</w:t>
      </w:r>
      <w:r w:rsidRPr="0072758C">
        <w:rPr>
          <w:lang w:val="en-AU"/>
        </w:rPr>
        <w:t xml:space="preserve"> (Clarksville: Jewish New Testament </w:t>
      </w:r>
    </w:p>
    <w:p w14:paraId="1209797D" w14:textId="77777777" w:rsidR="00194C28" w:rsidRPr="0072758C" w:rsidRDefault="00194C28" w:rsidP="00BC7015">
      <w:pPr>
        <w:pStyle w:val="EndnoteText"/>
        <w:rPr>
          <w:lang w:val="en-AU"/>
        </w:rPr>
      </w:pPr>
      <w:r w:rsidRPr="0072758C">
        <w:rPr>
          <w:lang w:val="en-AU"/>
        </w:rPr>
        <w:t>Publications, 1998), 29.</w:t>
      </w:r>
    </w:p>
    <w:p w14:paraId="108673EC" w14:textId="77777777" w:rsidR="00194C28" w:rsidRPr="0072758C" w:rsidRDefault="00194C28" w:rsidP="00BC7015">
      <w:pPr>
        <w:pStyle w:val="EndnoteText"/>
        <w:rPr>
          <w:lang w:val="en-AU"/>
        </w:rPr>
      </w:pPr>
    </w:p>
  </w:footnote>
  <w:footnote w:id="568">
    <w:p w14:paraId="1119F177" w14:textId="189ED2C1" w:rsidR="00194C28" w:rsidRPr="0072758C" w:rsidRDefault="00194C28" w:rsidP="00BC7015">
      <w:pPr>
        <w:pStyle w:val="EndnoteText"/>
        <w:ind w:firstLine="720"/>
        <w:rPr>
          <w:i/>
          <w:iCs/>
          <w:lang w:val="en-AU"/>
        </w:rPr>
      </w:pPr>
      <w:r w:rsidRPr="0072758C">
        <w:rPr>
          <w:rStyle w:val="FootnoteReference"/>
          <w:lang w:val="en-AU"/>
        </w:rPr>
        <w:footnoteRef/>
      </w:r>
      <w:r w:rsidRPr="0072758C">
        <w:rPr>
          <w:lang w:val="en-AU"/>
        </w:rPr>
        <w:t xml:space="preserve"> Davis, James F. </w:t>
      </w:r>
      <w:r w:rsidRPr="0072758C">
        <w:rPr>
          <w:i/>
          <w:iCs/>
          <w:lang w:val="en-AU"/>
        </w:rPr>
        <w:t xml:space="preserve">Lex Talionis in Early </w:t>
      </w:r>
      <w:proofErr w:type="gramStart"/>
      <w:r w:rsidRPr="0072758C">
        <w:rPr>
          <w:i/>
          <w:iCs/>
          <w:lang w:val="en-AU"/>
        </w:rPr>
        <w:t>Judaism</w:t>
      </w:r>
      <w:proofErr w:type="gramEnd"/>
      <w:r w:rsidRPr="0072758C">
        <w:rPr>
          <w:i/>
          <w:iCs/>
          <w:lang w:val="en-AU"/>
        </w:rPr>
        <w:t xml:space="preserve"> and the Exhortation of Jesus in Matthew 5:38</w:t>
      </w:r>
      <w:r w:rsidR="005676E2" w:rsidRPr="0072758C">
        <w:rPr>
          <w:i/>
          <w:iCs/>
          <w:lang w:val="en-AU"/>
        </w:rPr>
        <w:t>–</w:t>
      </w:r>
    </w:p>
    <w:p w14:paraId="2B5115B5" w14:textId="77777777" w:rsidR="00194C28" w:rsidRPr="0072758C" w:rsidRDefault="00194C28" w:rsidP="00BC7015">
      <w:pPr>
        <w:pStyle w:val="EndnoteText"/>
        <w:rPr>
          <w:lang w:val="en-AU"/>
        </w:rPr>
      </w:pPr>
      <w:r w:rsidRPr="0072758C">
        <w:rPr>
          <w:i/>
          <w:iCs/>
          <w:lang w:val="en-AU"/>
        </w:rPr>
        <w:t xml:space="preserve">42, </w:t>
      </w:r>
      <w:r w:rsidRPr="0072758C">
        <w:rPr>
          <w:lang w:val="en-AU"/>
        </w:rPr>
        <w:t>145.</w:t>
      </w:r>
    </w:p>
  </w:footnote>
  <w:footnote w:id="569">
    <w:p w14:paraId="75159E2E" w14:textId="77777777" w:rsidR="00BC7015" w:rsidRPr="0072758C" w:rsidRDefault="00BC7015" w:rsidP="00BC7015">
      <w:pPr>
        <w:pStyle w:val="EndnoteText"/>
        <w:ind w:firstLine="720"/>
        <w:rPr>
          <w:lang w:val="en-AU"/>
        </w:rPr>
      </w:pPr>
    </w:p>
    <w:p w14:paraId="60BA926D" w14:textId="009F29DC" w:rsidR="00194C28" w:rsidRPr="0072758C" w:rsidRDefault="00194C28" w:rsidP="00BC7015">
      <w:pPr>
        <w:pStyle w:val="EndnoteText"/>
        <w:ind w:firstLine="720"/>
        <w:rPr>
          <w:rFonts w:cstheme="minorBidi"/>
          <w:color w:val="000000"/>
          <w:lang w:val="en-AU"/>
        </w:rPr>
      </w:pPr>
      <w:r w:rsidRPr="0072758C">
        <w:rPr>
          <w:rStyle w:val="FootnoteReference"/>
          <w:lang w:val="en-AU"/>
        </w:rPr>
        <w:footnoteRef/>
      </w:r>
      <w:r w:rsidRPr="0072758C">
        <w:rPr>
          <w:lang w:val="en-AU"/>
        </w:rPr>
        <w:t xml:space="preserve"> </w:t>
      </w:r>
      <w:r w:rsidRPr="0072758C">
        <w:rPr>
          <w:rFonts w:cstheme="minorBidi"/>
          <w:b/>
          <w:bCs/>
          <w:color w:val="666666"/>
          <w:lang w:val="en-AU"/>
        </w:rPr>
        <w:t> </w:t>
      </w:r>
      <w:r w:rsidRPr="0072758C">
        <w:rPr>
          <w:rFonts w:cstheme="minorBidi"/>
          <w:color w:val="000000"/>
          <w:lang w:val="en-AU"/>
        </w:rPr>
        <w:t>Dale C Allison and W. D Davies, </w:t>
      </w:r>
      <w:r w:rsidRPr="0072758C">
        <w:rPr>
          <w:rFonts w:cstheme="minorBidi"/>
          <w:i/>
          <w:color w:val="000000"/>
          <w:lang w:val="en-AU"/>
        </w:rPr>
        <w:t>Matthew</w:t>
      </w:r>
      <w:r w:rsidRPr="0072758C">
        <w:rPr>
          <w:rFonts w:cstheme="minorBidi"/>
          <w:color w:val="000000"/>
          <w:lang w:val="en-AU"/>
        </w:rPr>
        <w:t> (London: T &amp; T Clark International, 2004), 541.</w:t>
      </w:r>
    </w:p>
    <w:p w14:paraId="709038FC" w14:textId="77777777" w:rsidR="00194C28" w:rsidRPr="0072758C" w:rsidRDefault="00194C28" w:rsidP="00F5340B">
      <w:pPr>
        <w:pStyle w:val="EndnoteText"/>
        <w:rPr>
          <w:rFonts w:cstheme="minorBidi"/>
          <w:lang w:val="en-AU"/>
        </w:rPr>
      </w:pPr>
    </w:p>
  </w:footnote>
  <w:footnote w:id="570">
    <w:p w14:paraId="67E71022" w14:textId="0ACBF0B0"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Walter Wink, </w:t>
      </w:r>
      <w:proofErr w:type="gramStart"/>
      <w:r w:rsidRPr="0072758C">
        <w:rPr>
          <w:i/>
          <w:iCs/>
          <w:lang w:val="en-AU"/>
        </w:rPr>
        <w:t>Jesus</w:t>
      </w:r>
      <w:proofErr w:type="gramEnd"/>
      <w:r w:rsidRPr="0072758C">
        <w:rPr>
          <w:i/>
          <w:iCs/>
          <w:lang w:val="en-AU"/>
        </w:rPr>
        <w:t xml:space="preserve"> and Nonviolence</w:t>
      </w:r>
      <w:r w:rsidRPr="0072758C">
        <w:rPr>
          <w:lang w:val="en-AU"/>
        </w:rPr>
        <w:t> (Minneapolis: Fortress, 2003)</w:t>
      </w:r>
      <w:r w:rsidR="00C13DAF" w:rsidRPr="0072758C">
        <w:rPr>
          <w:lang w:val="en-AU"/>
        </w:rPr>
        <w:t>,</w:t>
      </w:r>
      <w:r w:rsidRPr="0072758C">
        <w:rPr>
          <w:lang w:val="en-AU"/>
        </w:rPr>
        <w:t xml:space="preserve"> 103.</w:t>
      </w:r>
    </w:p>
    <w:p w14:paraId="2662DA78" w14:textId="77777777" w:rsidR="00194C28" w:rsidRPr="0072758C" w:rsidRDefault="00194C28" w:rsidP="00F5340B">
      <w:pPr>
        <w:pStyle w:val="EndnoteText"/>
        <w:rPr>
          <w:lang w:val="en-AU"/>
        </w:rPr>
      </w:pPr>
    </w:p>
  </w:footnote>
  <w:footnote w:id="571">
    <w:p w14:paraId="3963F992" w14:textId="4FBFC678"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France, Richard, </w:t>
      </w:r>
      <w:r w:rsidRPr="0072758C">
        <w:rPr>
          <w:i/>
          <w:iCs/>
          <w:lang w:val="en-AU"/>
        </w:rPr>
        <w:t>The Gospel of Matthew</w:t>
      </w:r>
      <w:r w:rsidRPr="0072758C">
        <w:rPr>
          <w:lang w:val="en-AU"/>
        </w:rPr>
        <w:t>, 222</w:t>
      </w:r>
      <w:r w:rsidR="005676E2" w:rsidRPr="0072758C">
        <w:rPr>
          <w:lang w:val="en-AU"/>
        </w:rPr>
        <w:t>–</w:t>
      </w:r>
      <w:r w:rsidRPr="0072758C">
        <w:rPr>
          <w:lang w:val="en-AU"/>
        </w:rPr>
        <w:t>223.</w:t>
      </w:r>
    </w:p>
  </w:footnote>
  <w:footnote w:id="572">
    <w:p w14:paraId="0D472342" w14:textId="77777777" w:rsidR="00194C28" w:rsidRPr="0072758C" w:rsidRDefault="00194C28" w:rsidP="00BC7015">
      <w:pPr>
        <w:pStyle w:val="EndnoteText"/>
        <w:rPr>
          <w:lang w:val="en-AU"/>
        </w:rPr>
      </w:pPr>
    </w:p>
    <w:p w14:paraId="7D20660D"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Goulder, </w:t>
      </w:r>
      <w:r w:rsidRPr="0072758C">
        <w:rPr>
          <w:i/>
          <w:iCs/>
          <w:lang w:val="en-AU"/>
        </w:rPr>
        <w:t>Midrash and Lection in Matthew</w:t>
      </w:r>
      <w:r w:rsidRPr="0072758C">
        <w:rPr>
          <w:lang w:val="en-AU"/>
        </w:rPr>
        <w:t>, 294.</w:t>
      </w:r>
    </w:p>
    <w:p w14:paraId="5EF80113" w14:textId="77777777" w:rsidR="00194C28" w:rsidRPr="0072758C" w:rsidRDefault="00194C28" w:rsidP="00BC7015">
      <w:pPr>
        <w:pStyle w:val="EndnoteText"/>
        <w:rPr>
          <w:lang w:val="en-AU"/>
        </w:rPr>
      </w:pPr>
    </w:p>
  </w:footnote>
  <w:footnote w:id="573">
    <w:p w14:paraId="7786B76D" w14:textId="55AF4AD3" w:rsidR="001A39FD"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Francois P. Viljoen, </w:t>
      </w:r>
      <w:r w:rsidR="00863B47" w:rsidRPr="0072758C">
        <w:rPr>
          <w:lang w:val="en-AU"/>
        </w:rPr>
        <w:t>“</w:t>
      </w:r>
      <w:r w:rsidRPr="0072758C">
        <w:rPr>
          <w:lang w:val="en-AU"/>
        </w:rPr>
        <w:t xml:space="preserve">Jesus Halakhic Argumentation on The True Intention </w:t>
      </w:r>
      <w:r w:rsidR="00447B9E" w:rsidRPr="0072758C">
        <w:rPr>
          <w:lang w:val="en-AU"/>
        </w:rPr>
        <w:t xml:space="preserve">of the </w:t>
      </w:r>
      <w:r w:rsidRPr="0072758C">
        <w:rPr>
          <w:lang w:val="en-AU"/>
        </w:rPr>
        <w:t xml:space="preserve">Law </w:t>
      </w:r>
      <w:r w:rsidR="00447B9E">
        <w:rPr>
          <w:lang w:val="en-AU"/>
        </w:rPr>
        <w:t>i</w:t>
      </w:r>
      <w:r w:rsidRPr="0072758C">
        <w:rPr>
          <w:lang w:val="en-AU"/>
        </w:rPr>
        <w:t>n Matthew,</w:t>
      </w:r>
      <w:r w:rsidR="00863B47" w:rsidRPr="0072758C">
        <w:rPr>
          <w:lang w:val="en-AU"/>
        </w:rPr>
        <w:t>”</w:t>
      </w:r>
      <w:r w:rsidRPr="0072758C">
        <w:rPr>
          <w:lang w:val="en-AU"/>
        </w:rPr>
        <w:t> </w:t>
      </w:r>
      <w:r w:rsidRPr="0072758C">
        <w:rPr>
          <w:i/>
          <w:iCs/>
          <w:lang w:val="en-AU"/>
        </w:rPr>
        <w:t>Verbum et Ecclesia</w:t>
      </w:r>
      <w:r w:rsidRPr="0072758C">
        <w:rPr>
          <w:lang w:val="en-AU"/>
        </w:rPr>
        <w:t> 34 (2013).</w:t>
      </w:r>
      <w:r w:rsidR="001A39FD" w:rsidRPr="0072758C">
        <w:rPr>
          <w:lang w:val="en-AU"/>
        </w:rPr>
        <w:t xml:space="preserve">  See also John P. Meier, “Did the Historical Jesus Prohibit All Oaths? Part 2</w:t>
      </w:r>
      <w:r w:rsidR="00BA5EAE" w:rsidRPr="0072758C">
        <w:rPr>
          <w:lang w:val="en-AU"/>
        </w:rPr>
        <w:t>,</w:t>
      </w:r>
      <w:r w:rsidR="001A39FD" w:rsidRPr="0072758C">
        <w:rPr>
          <w:lang w:val="en-AU"/>
        </w:rPr>
        <w:t>” </w:t>
      </w:r>
      <w:r w:rsidR="001A39FD" w:rsidRPr="0072758C">
        <w:rPr>
          <w:i/>
          <w:iCs/>
          <w:lang w:val="en-AU"/>
        </w:rPr>
        <w:t>Journal for the Study of the Historical Jesus</w:t>
      </w:r>
      <w:r w:rsidR="001A39FD" w:rsidRPr="0072758C">
        <w:rPr>
          <w:lang w:val="en-AU"/>
        </w:rPr>
        <w:t> 6 (2008): 3–24.</w:t>
      </w:r>
    </w:p>
    <w:p w14:paraId="2D9EF39C" w14:textId="77777777" w:rsidR="00194C28" w:rsidRPr="0072758C" w:rsidRDefault="00194C28" w:rsidP="00BC7015">
      <w:pPr>
        <w:pStyle w:val="EndnoteText"/>
        <w:rPr>
          <w:lang w:val="en-AU"/>
        </w:rPr>
      </w:pPr>
    </w:p>
  </w:footnote>
  <w:footnote w:id="574">
    <w:p w14:paraId="45F47286"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Günther Bornkamm, </w:t>
      </w:r>
      <w:r w:rsidRPr="0072758C">
        <w:rPr>
          <w:i/>
          <w:iCs/>
          <w:lang w:val="en-AU"/>
        </w:rPr>
        <w:t xml:space="preserve">Tradition and Interpretation </w:t>
      </w:r>
      <w:proofErr w:type="gramStart"/>
      <w:r w:rsidRPr="0072758C">
        <w:rPr>
          <w:i/>
          <w:iCs/>
          <w:lang w:val="en-AU"/>
        </w:rPr>
        <w:t>In</w:t>
      </w:r>
      <w:proofErr w:type="gramEnd"/>
      <w:r w:rsidRPr="0072758C">
        <w:rPr>
          <w:i/>
          <w:iCs/>
          <w:lang w:val="en-AU"/>
        </w:rPr>
        <w:t xml:space="preserve"> Matthew</w:t>
      </w:r>
      <w:r w:rsidRPr="0072758C">
        <w:rPr>
          <w:lang w:val="en-AU"/>
        </w:rPr>
        <w:t> (London: SCM Press, 1963).</w:t>
      </w:r>
    </w:p>
    <w:p w14:paraId="4DDA6A20" w14:textId="77777777" w:rsidR="00194C28" w:rsidRPr="0072758C" w:rsidRDefault="00194C28" w:rsidP="00BC7015">
      <w:pPr>
        <w:pStyle w:val="EndnoteText"/>
        <w:rPr>
          <w:lang w:val="en-AU"/>
        </w:rPr>
      </w:pPr>
    </w:p>
  </w:footnote>
  <w:footnote w:id="575">
    <w:p w14:paraId="4F263999" w14:textId="16DDF9A0"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J. Andrew Overman, </w:t>
      </w:r>
      <w:proofErr w:type="gramStart"/>
      <w:r w:rsidRPr="0072758C">
        <w:rPr>
          <w:i/>
          <w:iCs/>
          <w:lang w:val="en-AU"/>
        </w:rPr>
        <w:t>Church</w:t>
      </w:r>
      <w:proofErr w:type="gramEnd"/>
      <w:r w:rsidRPr="0072758C">
        <w:rPr>
          <w:i/>
          <w:iCs/>
          <w:lang w:val="en-AU"/>
        </w:rPr>
        <w:t xml:space="preserve"> and Community in Crisis</w:t>
      </w:r>
      <w:r w:rsidRPr="0072758C">
        <w:rPr>
          <w:lang w:val="en-AU"/>
        </w:rPr>
        <w:t> (Valley Forge: Trinity, 1996), 82; Herman Nicolaas Bernhard Ridderbos, </w:t>
      </w:r>
      <w:r w:rsidRPr="0072758C">
        <w:rPr>
          <w:i/>
          <w:iCs/>
          <w:lang w:val="en-AU"/>
        </w:rPr>
        <w:t>Matthew</w:t>
      </w:r>
      <w:r w:rsidRPr="0072758C">
        <w:rPr>
          <w:lang w:val="en-AU"/>
        </w:rPr>
        <w:t> (Grand Rapids: Zondervan, 1987), 299.</w:t>
      </w:r>
    </w:p>
    <w:p w14:paraId="087C729C" w14:textId="77777777" w:rsidR="00194C28" w:rsidRPr="0072758C" w:rsidRDefault="00194C28" w:rsidP="00BC7015">
      <w:pPr>
        <w:pStyle w:val="EndnoteText"/>
        <w:rPr>
          <w:lang w:val="en-AU"/>
        </w:rPr>
      </w:pPr>
    </w:p>
  </w:footnote>
  <w:footnote w:id="576">
    <w:p w14:paraId="29457DDA"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Stern, </w:t>
      </w:r>
      <w:r w:rsidRPr="0072758C">
        <w:rPr>
          <w:i/>
          <w:iCs/>
          <w:lang w:val="en-AU"/>
        </w:rPr>
        <w:t>Jewish New Testament Commentary</w:t>
      </w:r>
      <w:r w:rsidRPr="0072758C">
        <w:rPr>
          <w:lang w:val="en-AU"/>
        </w:rPr>
        <w:t>, 1229.</w:t>
      </w:r>
    </w:p>
    <w:p w14:paraId="69F9C9FE" w14:textId="77777777" w:rsidR="00194C28" w:rsidRPr="0072758C" w:rsidRDefault="00194C28" w:rsidP="00BC7015">
      <w:pPr>
        <w:pStyle w:val="EndnoteText"/>
        <w:rPr>
          <w:lang w:val="en-AU"/>
        </w:rPr>
      </w:pPr>
    </w:p>
  </w:footnote>
  <w:footnote w:id="577">
    <w:p w14:paraId="06D12DD4" w14:textId="38E3026C" w:rsidR="00EA1D42"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J. N. Epstein and E. Z. Melamed, </w:t>
      </w:r>
      <w:r w:rsidRPr="0072758C">
        <w:rPr>
          <w:i/>
          <w:iCs/>
          <w:lang w:val="en-AU"/>
        </w:rPr>
        <w:t>Mekhilta de-Rabbi Shimon bar Yochai</w:t>
      </w:r>
      <w:r w:rsidRPr="0072758C">
        <w:rPr>
          <w:lang w:val="en-AU"/>
        </w:rPr>
        <w:t xml:space="preserve"> (Jerusalem: Mekize Nirdamim, 1979), 169, 172; W. David Nelson, </w:t>
      </w:r>
      <w:r w:rsidRPr="0072758C">
        <w:rPr>
          <w:i/>
          <w:iCs/>
          <w:lang w:val="en-AU"/>
        </w:rPr>
        <w:t>Mekhilta de-Rabbi Shimon bar Yoḥai</w:t>
      </w:r>
      <w:r w:rsidRPr="0072758C">
        <w:rPr>
          <w:lang w:val="en-AU"/>
        </w:rPr>
        <w:t xml:space="preserve"> (Philadelphia: Jewish Publication Society, 2006), 277–78, 281–82.</w:t>
      </w:r>
      <w:r w:rsidR="00EA1D42" w:rsidRPr="0072758C">
        <w:rPr>
          <w:lang w:val="en-AU"/>
        </w:rPr>
        <w:t xml:space="preserve">  For further discussion on </w:t>
      </w:r>
      <w:r w:rsidR="00EA1D42" w:rsidRPr="0072758C">
        <w:rPr>
          <w:rtl/>
          <w:lang w:val="en-AU"/>
        </w:rPr>
        <w:t>אָהַב</w:t>
      </w:r>
      <w:r w:rsidR="00EA1D42" w:rsidRPr="0072758C">
        <w:rPr>
          <w:lang w:val="en-AU"/>
        </w:rPr>
        <w:t xml:space="preserve">, see Hikaru Kumon, “Did Ancient Israelites Fall in </w:t>
      </w:r>
      <w:proofErr w:type="gramStart"/>
      <w:r w:rsidR="00EA1D42" w:rsidRPr="0072758C">
        <w:rPr>
          <w:lang w:val="en-AU"/>
        </w:rPr>
        <w:t>Love?:</w:t>
      </w:r>
      <w:proofErr w:type="gramEnd"/>
      <w:r w:rsidR="00EA1D42" w:rsidRPr="0072758C">
        <w:rPr>
          <w:lang w:val="en-AU"/>
        </w:rPr>
        <w:t xml:space="preserve"> A Cross-Linguistic Semantic Approach to </w:t>
      </w:r>
      <w:r w:rsidR="00EA1D42" w:rsidRPr="0072758C">
        <w:rPr>
          <w:rtl/>
          <w:lang w:val="en-AU"/>
        </w:rPr>
        <w:t>אהב</w:t>
      </w:r>
      <w:r w:rsidR="00BA5EAE" w:rsidRPr="0072758C">
        <w:rPr>
          <w:lang w:val="en-AU"/>
        </w:rPr>
        <w:t>,</w:t>
      </w:r>
      <w:r w:rsidR="00EA1D42" w:rsidRPr="0072758C">
        <w:rPr>
          <w:lang w:val="en-AU"/>
        </w:rPr>
        <w:t>” </w:t>
      </w:r>
      <w:r w:rsidR="00EA1D42" w:rsidRPr="0072758C">
        <w:rPr>
          <w:i/>
          <w:iCs/>
          <w:lang w:val="en-AU"/>
        </w:rPr>
        <w:t>Hebrew Studies</w:t>
      </w:r>
      <w:r w:rsidR="00EA1D42" w:rsidRPr="0072758C">
        <w:rPr>
          <w:lang w:val="en-AU"/>
        </w:rPr>
        <w:t> 62 (2021): 7–32.</w:t>
      </w:r>
    </w:p>
    <w:p w14:paraId="65F6E239" w14:textId="77777777" w:rsidR="00194C28" w:rsidRPr="0072758C" w:rsidRDefault="00194C28" w:rsidP="00BC7015">
      <w:pPr>
        <w:pStyle w:val="EndnoteText"/>
        <w:rPr>
          <w:lang w:val="en-AU"/>
        </w:rPr>
      </w:pPr>
    </w:p>
  </w:footnote>
  <w:footnote w:id="578">
    <w:p w14:paraId="004F0CAB" w14:textId="0EE082D1" w:rsidR="00B80FDF" w:rsidRPr="0072758C" w:rsidRDefault="00B80FDF" w:rsidP="00BC7015">
      <w:pPr>
        <w:pStyle w:val="EndnoteText"/>
        <w:ind w:firstLine="720"/>
        <w:rPr>
          <w:lang w:val="en-AU"/>
        </w:rPr>
      </w:pPr>
      <w:r w:rsidRPr="0072758C">
        <w:rPr>
          <w:rStyle w:val="FootnoteReference"/>
          <w:lang w:val="en-AU"/>
        </w:rPr>
        <w:footnoteRef/>
      </w:r>
      <w:r w:rsidRPr="0072758C">
        <w:rPr>
          <w:lang w:val="en-AU"/>
        </w:rPr>
        <w:t xml:space="preserve"> For a discussion on </w:t>
      </w:r>
      <w:bookmarkStart w:id="178" w:name="_Hlk119054004"/>
      <w:r w:rsidR="00447B9E">
        <w:rPr>
          <w:lang w:val="el-GR"/>
        </w:rPr>
        <w:t>ἀ</w:t>
      </w:r>
      <w:r w:rsidRPr="0072758C">
        <w:rPr>
          <w:lang w:val="en-AU"/>
        </w:rPr>
        <w:t>γαπ</w:t>
      </w:r>
      <w:r w:rsidR="00447B9E">
        <w:rPr>
          <w:lang w:val="el-GR"/>
        </w:rPr>
        <w:t>ά</w:t>
      </w:r>
      <w:r w:rsidRPr="0072758C">
        <w:rPr>
          <w:lang w:val="en-AU"/>
        </w:rPr>
        <w:t>ω</w:t>
      </w:r>
      <w:bookmarkEnd w:id="178"/>
      <w:r w:rsidRPr="0072758C">
        <w:rPr>
          <w:lang w:val="en-AU"/>
        </w:rPr>
        <w:t>, please see Andrew R. Talbert, “</w:t>
      </w:r>
      <w:r w:rsidR="0001660D" w:rsidRPr="0072758C">
        <w:rPr>
          <w:lang w:val="en-AU"/>
        </w:rPr>
        <w:t xml:space="preserve">The Synonymous Rendering of Aristotelian </w:t>
      </w:r>
      <w:r w:rsidRPr="0072758C">
        <w:rPr>
          <w:lang w:val="en-AU"/>
        </w:rPr>
        <w:t xml:space="preserve">Φιλέω </w:t>
      </w:r>
      <w:r w:rsidR="00447B9E">
        <w:rPr>
          <w:lang w:val="en-AU"/>
        </w:rPr>
        <w:t>w</w:t>
      </w:r>
      <w:r w:rsidR="0001660D" w:rsidRPr="0072758C">
        <w:rPr>
          <w:lang w:val="en-AU"/>
        </w:rPr>
        <w:t xml:space="preserve">ith </w:t>
      </w:r>
      <w:r w:rsidRPr="0072758C">
        <w:rPr>
          <w:lang w:val="en-AU"/>
        </w:rPr>
        <w:t xml:space="preserve">Ἀγαπάω </w:t>
      </w:r>
      <w:r w:rsidR="00447B9E">
        <w:rPr>
          <w:lang w:val="en-AU"/>
        </w:rPr>
        <w:t>i</w:t>
      </w:r>
      <w:r w:rsidR="0001660D" w:rsidRPr="0072758C">
        <w:rPr>
          <w:lang w:val="en-AU"/>
        </w:rPr>
        <w:t xml:space="preserve">n </w:t>
      </w:r>
      <w:r w:rsidR="00447B9E">
        <w:rPr>
          <w:lang w:val="en-AU"/>
        </w:rPr>
        <w:t>t</w:t>
      </w:r>
      <w:r w:rsidR="0001660D" w:rsidRPr="0072758C">
        <w:rPr>
          <w:lang w:val="en-AU"/>
        </w:rPr>
        <w:t xml:space="preserve">he Gospel </w:t>
      </w:r>
      <w:r w:rsidR="00447B9E">
        <w:rPr>
          <w:lang w:val="en-AU"/>
        </w:rPr>
        <w:t>o</w:t>
      </w:r>
      <w:r w:rsidR="0001660D" w:rsidRPr="0072758C">
        <w:rPr>
          <w:lang w:val="en-AU"/>
        </w:rPr>
        <w:t>f John</w:t>
      </w:r>
      <w:r w:rsidR="00BA5EAE" w:rsidRPr="0072758C">
        <w:rPr>
          <w:lang w:val="en-AU"/>
        </w:rPr>
        <w:t>,</w:t>
      </w:r>
      <w:r w:rsidRPr="0072758C">
        <w:rPr>
          <w:lang w:val="en-AU"/>
        </w:rPr>
        <w:t>” </w:t>
      </w:r>
      <w:r w:rsidRPr="0072758C">
        <w:rPr>
          <w:i/>
          <w:iCs/>
          <w:lang w:val="en-AU"/>
        </w:rPr>
        <w:t>Journal of Greco-Roman Christianity and Judaism</w:t>
      </w:r>
      <w:r w:rsidRPr="0072758C">
        <w:rPr>
          <w:lang w:val="en-AU"/>
        </w:rPr>
        <w:t> 16 (2020): 9–29. </w:t>
      </w:r>
    </w:p>
    <w:p w14:paraId="3207D928" w14:textId="77777777" w:rsidR="00B80FDF" w:rsidRPr="0072758C" w:rsidRDefault="00B80FDF" w:rsidP="00BC7015">
      <w:pPr>
        <w:pStyle w:val="EndnoteText"/>
        <w:rPr>
          <w:lang w:val="en-AU"/>
        </w:rPr>
      </w:pPr>
    </w:p>
  </w:footnote>
  <w:footnote w:id="579">
    <w:p w14:paraId="2EC6FF26" w14:textId="54B0A1EF"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Geza Vermes </w:t>
      </w:r>
      <w:r w:rsidR="00863B47" w:rsidRPr="0072758C">
        <w:rPr>
          <w:lang w:val="en-AU"/>
        </w:rPr>
        <w:t>“</w:t>
      </w:r>
      <w:r w:rsidRPr="0072758C">
        <w:rPr>
          <w:lang w:val="en-AU"/>
        </w:rPr>
        <w:t>Manual of Discipline 1QS,</w:t>
      </w:r>
      <w:r w:rsidR="00863B47" w:rsidRPr="0072758C">
        <w:rPr>
          <w:lang w:val="en-AU"/>
        </w:rPr>
        <w:t>”</w:t>
      </w:r>
      <w:r w:rsidRPr="0072758C">
        <w:rPr>
          <w:lang w:val="en-AU"/>
        </w:rPr>
        <w:t xml:space="preserve"> </w:t>
      </w:r>
      <w:r w:rsidRPr="0072758C">
        <w:rPr>
          <w:i/>
          <w:iCs/>
          <w:lang w:val="en-AU"/>
        </w:rPr>
        <w:t>The Complete Dead Sea Scrolls in English</w:t>
      </w:r>
      <w:r w:rsidRPr="0072758C">
        <w:rPr>
          <w:lang w:val="en-AU"/>
        </w:rPr>
        <w:t xml:space="preserve"> (London: Penguin, 2004), 99.  This follows the biblical verse of Psalms 139:22 </w:t>
      </w:r>
      <w:r w:rsidR="00863B47" w:rsidRPr="0072758C">
        <w:rPr>
          <w:lang w:val="en-AU"/>
        </w:rPr>
        <w:t>“</w:t>
      </w:r>
      <w:r w:rsidRPr="0072758C">
        <w:rPr>
          <w:lang w:val="en-AU"/>
        </w:rPr>
        <w:t>I hate them with perfect hatred: I count them mine enemies.</w:t>
      </w:r>
      <w:r w:rsidR="00863B47" w:rsidRPr="0072758C">
        <w:rPr>
          <w:lang w:val="en-AU"/>
        </w:rPr>
        <w:t>”</w:t>
      </w:r>
    </w:p>
    <w:p w14:paraId="23372189" w14:textId="77777777" w:rsidR="00194C28" w:rsidRPr="0072758C" w:rsidRDefault="00194C28" w:rsidP="00BC7015">
      <w:pPr>
        <w:pStyle w:val="EndnoteText"/>
        <w:rPr>
          <w:lang w:val="en-AU"/>
        </w:rPr>
      </w:pPr>
    </w:p>
  </w:footnote>
  <w:footnote w:id="580">
    <w:p w14:paraId="150E3840" w14:textId="3C9B50D1"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w:t>
      </w:r>
      <w:r w:rsidR="00BE3E75" w:rsidRPr="0072758C">
        <w:rPr>
          <w:lang w:val="en-AU"/>
        </w:rPr>
        <w:t>E.g.,</w:t>
      </w:r>
      <w:r w:rsidRPr="0072758C">
        <w:rPr>
          <w:lang w:val="en-AU"/>
        </w:rPr>
        <w:t xml:space="preserve"> See Donald A. Hagner, </w:t>
      </w:r>
      <w:r w:rsidRPr="0072758C">
        <w:rPr>
          <w:i/>
          <w:iCs/>
          <w:lang w:val="en-AU"/>
        </w:rPr>
        <w:t>Word Biblical Commentary</w:t>
      </w:r>
      <w:r w:rsidRPr="0072758C">
        <w:rPr>
          <w:lang w:val="en-AU"/>
        </w:rPr>
        <w:t xml:space="preserve"> (Nashville: Word, 1993), 33:134; (Collegeville: 1991), 1:89.</w:t>
      </w:r>
    </w:p>
  </w:footnote>
  <w:footnote w:id="581">
    <w:p w14:paraId="6F9C2737" w14:textId="77777777" w:rsidR="00F12E0B" w:rsidRPr="0072758C" w:rsidRDefault="00F12E0B" w:rsidP="00BC7015">
      <w:pPr>
        <w:pStyle w:val="EndnoteText"/>
        <w:rPr>
          <w:lang w:val="en-AU"/>
        </w:rPr>
      </w:pPr>
    </w:p>
    <w:p w14:paraId="0FB067EE" w14:textId="602F9627" w:rsidR="00F12E0B" w:rsidRPr="0072758C" w:rsidRDefault="00F12E0B" w:rsidP="00BC7015">
      <w:pPr>
        <w:pStyle w:val="EndnoteText"/>
        <w:ind w:firstLine="720"/>
        <w:rPr>
          <w:lang w:val="en-AU"/>
        </w:rPr>
      </w:pPr>
      <w:r w:rsidRPr="0072758C">
        <w:rPr>
          <w:rStyle w:val="FootnoteReference"/>
          <w:lang w:val="en-AU"/>
        </w:rPr>
        <w:footnoteRef/>
      </w:r>
      <w:r w:rsidRPr="0072758C">
        <w:rPr>
          <w:lang w:val="en-AU"/>
        </w:rPr>
        <w:t xml:space="preserve"> For a discussion of ἐθνικός, see Panos Koromvokis, “1915: Ο Εθνικός Διχασμός by George Th. Mavrogordatos</w:t>
      </w:r>
      <w:r w:rsidR="00C20AFE" w:rsidRPr="0072758C">
        <w:rPr>
          <w:lang w:val="en-AU"/>
        </w:rPr>
        <w:t>,</w:t>
      </w:r>
      <w:r w:rsidRPr="0072758C">
        <w:rPr>
          <w:lang w:val="en-AU"/>
        </w:rPr>
        <w:t xml:space="preserve">” 37 (2019): 199–201. </w:t>
      </w:r>
    </w:p>
  </w:footnote>
  <w:footnote w:id="582">
    <w:p w14:paraId="286A305B" w14:textId="77777777" w:rsidR="00194C28" w:rsidRPr="0072758C" w:rsidRDefault="00194C28" w:rsidP="00BC7015">
      <w:pPr>
        <w:pStyle w:val="EndnoteText"/>
        <w:rPr>
          <w:lang w:val="en-AU"/>
        </w:rPr>
      </w:pPr>
    </w:p>
    <w:p w14:paraId="51E3B24A" w14:textId="4234AB61"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Lachs, </w:t>
      </w:r>
      <w:r w:rsidRPr="0072758C">
        <w:rPr>
          <w:i/>
          <w:iCs/>
          <w:lang w:val="en-AU"/>
        </w:rPr>
        <w:t>A Rabbinic Commentary on the New Testament</w:t>
      </w:r>
      <w:r w:rsidRPr="0072758C">
        <w:rPr>
          <w:lang w:val="en-AU"/>
        </w:rPr>
        <w:t>, 109.</w:t>
      </w:r>
    </w:p>
  </w:footnote>
  <w:footnote w:id="583">
    <w:p w14:paraId="5D909A8F" w14:textId="77777777" w:rsidR="00194C28" w:rsidRPr="0072758C" w:rsidRDefault="00194C28" w:rsidP="00BC7015">
      <w:pPr>
        <w:pStyle w:val="EndnoteText"/>
        <w:rPr>
          <w:lang w:val="en-AU"/>
        </w:rPr>
      </w:pPr>
    </w:p>
    <w:p w14:paraId="0F863958"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Lachs, </w:t>
      </w:r>
      <w:r w:rsidRPr="0072758C">
        <w:rPr>
          <w:i/>
          <w:iCs/>
          <w:lang w:val="en-AU"/>
        </w:rPr>
        <w:t>A Rabbinic Commentary on the New Testament</w:t>
      </w:r>
      <w:r w:rsidRPr="0072758C">
        <w:rPr>
          <w:lang w:val="en-AU"/>
        </w:rPr>
        <w:t>, 110.</w:t>
      </w:r>
    </w:p>
    <w:p w14:paraId="2B528CD5" w14:textId="77777777" w:rsidR="00194C28" w:rsidRPr="0072758C" w:rsidRDefault="00194C28" w:rsidP="00BC7015">
      <w:pPr>
        <w:pStyle w:val="EndnoteText"/>
        <w:rPr>
          <w:lang w:val="en-AU"/>
        </w:rPr>
      </w:pPr>
    </w:p>
  </w:footnote>
  <w:footnote w:id="584">
    <w:p w14:paraId="06A64B55" w14:textId="4191F87A"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Michael Fagenblat, </w:t>
      </w:r>
      <w:r w:rsidR="00863B47" w:rsidRPr="0072758C">
        <w:rPr>
          <w:lang w:val="en-AU"/>
        </w:rPr>
        <w:t>“</w:t>
      </w:r>
      <w:r w:rsidRPr="0072758C">
        <w:rPr>
          <w:lang w:val="en-AU"/>
        </w:rPr>
        <w:t>The Concept of Neighbour in Jewish and Christian Ethics,</w:t>
      </w:r>
      <w:r w:rsidR="00863B47" w:rsidRPr="0072758C">
        <w:rPr>
          <w:lang w:val="en-AU"/>
        </w:rPr>
        <w:t>”</w:t>
      </w:r>
      <w:r w:rsidRPr="0072758C">
        <w:rPr>
          <w:lang w:val="en-AU"/>
        </w:rPr>
        <w:t xml:space="preserve"> in </w:t>
      </w:r>
      <w:r w:rsidRPr="0072758C">
        <w:rPr>
          <w:i/>
          <w:iCs/>
          <w:lang w:val="en-AU"/>
        </w:rPr>
        <w:t>The Jewish Annotated New Testament</w:t>
      </w:r>
      <w:r w:rsidRPr="0072758C">
        <w:rPr>
          <w:lang w:val="en-AU"/>
        </w:rPr>
        <w:t xml:space="preserve"> (Oxford: Oxford University Press, 2011), 542.</w:t>
      </w:r>
      <w:r w:rsidR="00BF34D8" w:rsidRPr="0072758C">
        <w:rPr>
          <w:lang w:val="en-AU"/>
        </w:rPr>
        <w:t xml:space="preserve"> To better understand ἐθνικός in the Jewish context, see Justin Paley, “Reading 3 John Within a Jewish Framework: An Overdue Reconsideration of the Text</w:t>
      </w:r>
      <w:r w:rsidR="00C00B08" w:rsidRPr="0072758C">
        <w:rPr>
          <w:lang w:val="en-AU"/>
        </w:rPr>
        <w:t>,</w:t>
      </w:r>
      <w:r w:rsidR="00BF34D8" w:rsidRPr="0072758C">
        <w:rPr>
          <w:lang w:val="en-AU"/>
        </w:rPr>
        <w:t>” </w:t>
      </w:r>
      <w:r w:rsidR="00BF34D8" w:rsidRPr="0072758C">
        <w:rPr>
          <w:i/>
          <w:iCs/>
          <w:lang w:val="en-AU"/>
        </w:rPr>
        <w:t>Expository Times</w:t>
      </w:r>
      <w:r w:rsidR="00BF34D8" w:rsidRPr="0072758C">
        <w:rPr>
          <w:lang w:val="en-AU"/>
        </w:rPr>
        <w:t> 132 (2021): 421–25. </w:t>
      </w:r>
    </w:p>
  </w:footnote>
  <w:footnote w:id="585">
    <w:p w14:paraId="5D07186F" w14:textId="77777777" w:rsidR="00BC7015" w:rsidRPr="0072758C" w:rsidRDefault="00BC7015">
      <w:pPr>
        <w:pStyle w:val="EndnoteText"/>
        <w:rPr>
          <w:lang w:val="en-AU"/>
        </w:rPr>
      </w:pPr>
    </w:p>
    <w:p w14:paraId="34A4B666" w14:textId="08EF3D16" w:rsidR="00194C28" w:rsidRPr="0072758C" w:rsidRDefault="00194C28" w:rsidP="00BC7015">
      <w:pPr>
        <w:pStyle w:val="EndnoteText"/>
        <w:ind w:firstLine="720"/>
        <w:rPr>
          <w:i/>
          <w:lang w:val="en-AU"/>
        </w:rPr>
      </w:pPr>
      <w:r w:rsidRPr="0072758C">
        <w:rPr>
          <w:rStyle w:val="FootnoteReference"/>
          <w:lang w:val="en-AU"/>
        </w:rPr>
        <w:footnoteRef/>
      </w:r>
      <w:r w:rsidRPr="0072758C">
        <w:rPr>
          <w:lang w:val="en-AU"/>
        </w:rPr>
        <w:t xml:space="preserve"> Stern, </w:t>
      </w:r>
      <w:r w:rsidRPr="0072758C">
        <w:rPr>
          <w:i/>
          <w:iCs/>
          <w:lang w:val="en-AU"/>
        </w:rPr>
        <w:t>Jewish New Testament Commentary,</w:t>
      </w:r>
      <w:r w:rsidRPr="0072758C">
        <w:rPr>
          <w:iCs/>
          <w:lang w:val="en-AU"/>
        </w:rPr>
        <w:t xml:space="preserve"> 30; </w:t>
      </w:r>
      <w:r w:rsidRPr="0072758C">
        <w:rPr>
          <w:i/>
          <w:lang w:val="en-AU"/>
        </w:rPr>
        <w:t xml:space="preserve">Orchot Tzaddikim </w:t>
      </w:r>
      <w:r w:rsidRPr="0072758C">
        <w:rPr>
          <w:lang w:val="en-AU"/>
        </w:rPr>
        <w:t>is a German book on Jewish ethics from the 1400s.</w:t>
      </w:r>
    </w:p>
  </w:footnote>
  <w:footnote w:id="586">
    <w:p w14:paraId="2DF63B93" w14:textId="77777777" w:rsidR="00194C28" w:rsidRPr="0072758C" w:rsidRDefault="00194C28" w:rsidP="00BC7015">
      <w:pPr>
        <w:pStyle w:val="EndnoteText"/>
        <w:rPr>
          <w:lang w:val="en-AU"/>
        </w:rPr>
      </w:pPr>
    </w:p>
    <w:p w14:paraId="5A584C0B" w14:textId="77777777" w:rsidR="00194C28" w:rsidRPr="0072758C" w:rsidRDefault="00194C28" w:rsidP="00BC7015">
      <w:pPr>
        <w:pStyle w:val="EndnoteText"/>
        <w:ind w:firstLine="720"/>
        <w:rPr>
          <w:iCs/>
          <w:lang w:val="en-AU"/>
        </w:rPr>
      </w:pPr>
      <w:r w:rsidRPr="0072758C">
        <w:rPr>
          <w:rStyle w:val="FootnoteReference"/>
          <w:lang w:val="en-AU"/>
        </w:rPr>
        <w:footnoteRef/>
      </w:r>
      <w:r w:rsidRPr="0072758C">
        <w:rPr>
          <w:lang w:val="en-AU"/>
        </w:rPr>
        <w:t xml:space="preserve"> Proverbs 24.17; 25.21; Josephus, </w:t>
      </w:r>
      <w:r w:rsidRPr="0072758C">
        <w:rPr>
          <w:i/>
          <w:lang w:val="en-AU"/>
        </w:rPr>
        <w:t>ag.Ap.2.211</w:t>
      </w:r>
      <w:r w:rsidRPr="0072758C">
        <w:rPr>
          <w:iCs/>
          <w:lang w:val="en-AU"/>
        </w:rPr>
        <w:t>.</w:t>
      </w:r>
    </w:p>
  </w:footnote>
  <w:footnote w:id="587">
    <w:p w14:paraId="086A3371" w14:textId="77777777" w:rsidR="00194C28" w:rsidRPr="0072758C" w:rsidRDefault="00194C28" w:rsidP="00BC7015">
      <w:pPr>
        <w:pStyle w:val="EndnoteText"/>
        <w:rPr>
          <w:lang w:val="en-AU"/>
        </w:rPr>
      </w:pPr>
    </w:p>
    <w:p w14:paraId="6D4429AD" w14:textId="5630C6D6"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Levine and Brettler, </w:t>
      </w:r>
      <w:r w:rsidRPr="0072758C">
        <w:rPr>
          <w:i/>
          <w:iCs/>
          <w:lang w:val="en-AU"/>
        </w:rPr>
        <w:t xml:space="preserve">The Jewish Annotated New Testament, </w:t>
      </w:r>
      <w:r w:rsidRPr="0072758C">
        <w:rPr>
          <w:iCs/>
          <w:lang w:val="en-AU"/>
        </w:rPr>
        <w:t xml:space="preserve">12; </w:t>
      </w:r>
      <w:r w:rsidRPr="0072758C">
        <w:rPr>
          <w:lang w:val="en-AU"/>
        </w:rPr>
        <w:t>Matthew 22:37</w:t>
      </w:r>
      <w:r w:rsidR="005676E2" w:rsidRPr="0072758C">
        <w:rPr>
          <w:lang w:val="en-AU"/>
        </w:rPr>
        <w:t>–</w:t>
      </w:r>
      <w:r w:rsidRPr="0072758C">
        <w:rPr>
          <w:lang w:val="en-AU"/>
        </w:rPr>
        <w:t xml:space="preserve">39 quotes the Jewish prayer the </w:t>
      </w:r>
      <w:r w:rsidRPr="0072758C">
        <w:rPr>
          <w:i/>
          <w:lang w:val="en-AU"/>
        </w:rPr>
        <w:t>Shema</w:t>
      </w:r>
      <w:r w:rsidRPr="0072758C">
        <w:rPr>
          <w:lang w:val="en-AU"/>
        </w:rPr>
        <w:t xml:space="preserve"> taken from </w:t>
      </w:r>
      <w:r w:rsidRPr="0072758C">
        <w:rPr>
          <w:color w:val="1A1A1A"/>
          <w:lang w:val="en-AU"/>
        </w:rPr>
        <w:t>Deuteronomy 6:4</w:t>
      </w:r>
      <w:r w:rsidR="005676E2" w:rsidRPr="0072758C">
        <w:rPr>
          <w:color w:val="1A1A1A"/>
          <w:lang w:val="en-AU"/>
        </w:rPr>
        <w:t>–</w:t>
      </w:r>
      <w:r w:rsidRPr="0072758C">
        <w:rPr>
          <w:color w:val="1A1A1A"/>
          <w:lang w:val="en-AU"/>
        </w:rPr>
        <w:t>9.</w:t>
      </w:r>
      <w:r w:rsidRPr="0072758C">
        <w:rPr>
          <w:lang w:val="en-AU"/>
        </w:rPr>
        <w:t xml:space="preserve"> </w:t>
      </w:r>
    </w:p>
    <w:p w14:paraId="6AFFB174" w14:textId="77777777" w:rsidR="00194C28" w:rsidRPr="0072758C" w:rsidRDefault="00194C28" w:rsidP="00BC7015">
      <w:pPr>
        <w:pStyle w:val="EndnoteText"/>
        <w:rPr>
          <w:lang w:val="en-AU"/>
        </w:rPr>
      </w:pPr>
    </w:p>
  </w:footnote>
  <w:footnote w:id="588">
    <w:p w14:paraId="6E47A6A6"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Rudolf Bultmann</w:t>
      </w:r>
      <w:r w:rsidRPr="0072758C">
        <w:rPr>
          <w:i/>
          <w:iCs/>
          <w:lang w:val="en-AU"/>
        </w:rPr>
        <w:t>, The History of the Synoptic Tradition</w:t>
      </w:r>
      <w:r w:rsidRPr="0072758C">
        <w:rPr>
          <w:lang w:val="en-AU"/>
        </w:rPr>
        <w:t xml:space="preserve"> (New York: Harper &amp; Row, 1963), 105.</w:t>
      </w:r>
    </w:p>
    <w:p w14:paraId="4DD123B8" w14:textId="77777777" w:rsidR="00194C28" w:rsidRPr="0072758C" w:rsidRDefault="00194C28" w:rsidP="00BC7015">
      <w:pPr>
        <w:pStyle w:val="EndnoteText"/>
        <w:rPr>
          <w:lang w:val="en-AU"/>
        </w:rPr>
      </w:pPr>
    </w:p>
  </w:footnote>
  <w:footnote w:id="589">
    <w:p w14:paraId="13CD5A90" w14:textId="0533E3DA"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John Piper, </w:t>
      </w:r>
      <w:r w:rsidR="00863B47" w:rsidRPr="0072758C">
        <w:rPr>
          <w:lang w:val="en-AU"/>
        </w:rPr>
        <w:t>“</w:t>
      </w:r>
      <w:r w:rsidRPr="0072758C">
        <w:rPr>
          <w:lang w:val="en-AU"/>
        </w:rPr>
        <w:t>Love your enemies</w:t>
      </w:r>
      <w:r w:rsidR="00863B47" w:rsidRPr="0072758C">
        <w:rPr>
          <w:lang w:val="en-AU"/>
        </w:rPr>
        <w:t>”</w:t>
      </w:r>
      <w:r w:rsidRPr="0072758C">
        <w:rPr>
          <w:lang w:val="en-AU"/>
        </w:rPr>
        <w:t xml:space="preserve">: </w:t>
      </w:r>
      <w:r w:rsidRPr="0072758C">
        <w:rPr>
          <w:i/>
          <w:iCs/>
          <w:lang w:val="en-AU"/>
        </w:rPr>
        <w:t>Jesus</w:t>
      </w:r>
      <w:r w:rsidR="005C71CB" w:rsidRPr="0072758C">
        <w:rPr>
          <w:i/>
          <w:iCs/>
          <w:lang w:val="en-AU"/>
        </w:rPr>
        <w:t>’</w:t>
      </w:r>
      <w:r w:rsidRPr="0072758C">
        <w:rPr>
          <w:i/>
          <w:iCs/>
          <w:lang w:val="en-AU"/>
        </w:rPr>
        <w:t xml:space="preserve"> Love Command in the Synoptic Gospels and the Early Christian Paraenesis: A History of the Tradition and Interpretation of Its Uses</w:t>
      </w:r>
      <w:r w:rsidRPr="0072758C">
        <w:rPr>
          <w:lang w:val="en-AU"/>
        </w:rPr>
        <w:t xml:space="preserve"> (Cambridge: Cambridge University Press, 1979)</w:t>
      </w:r>
      <w:r w:rsidR="00013BF9" w:rsidRPr="0072758C">
        <w:rPr>
          <w:lang w:val="en-AU"/>
        </w:rPr>
        <w:t>,</w:t>
      </w:r>
      <w:r w:rsidRPr="0072758C">
        <w:rPr>
          <w:lang w:val="en-AU"/>
        </w:rPr>
        <w:t xml:space="preserve"> 64, 91–92.</w:t>
      </w:r>
      <w:r w:rsidR="00D15F28" w:rsidRPr="0072758C">
        <w:rPr>
          <w:lang w:val="en-AU"/>
        </w:rPr>
        <w:t xml:space="preserve">  See also Sara Raup Johnson, Rubén R. Dupertuis, and Chris Shea</w:t>
      </w:r>
      <w:r w:rsidR="0050287A" w:rsidRPr="0072758C">
        <w:rPr>
          <w:lang w:val="en-AU"/>
        </w:rPr>
        <w:t>,</w:t>
      </w:r>
      <w:r w:rsidR="00D15F28" w:rsidRPr="0072758C">
        <w:rPr>
          <w:lang w:val="en-AU"/>
        </w:rPr>
        <w:t> </w:t>
      </w:r>
      <w:r w:rsidR="00D15F28" w:rsidRPr="0072758C">
        <w:rPr>
          <w:i/>
          <w:iCs/>
          <w:lang w:val="en-AU"/>
        </w:rPr>
        <w:t xml:space="preserve">Reading </w:t>
      </w:r>
      <w:proofErr w:type="gramStart"/>
      <w:r w:rsidR="00D15F28" w:rsidRPr="0072758C">
        <w:rPr>
          <w:i/>
          <w:iCs/>
          <w:lang w:val="en-AU"/>
        </w:rPr>
        <w:t>And</w:t>
      </w:r>
      <w:proofErr w:type="gramEnd"/>
      <w:r w:rsidR="00D15F28" w:rsidRPr="0072758C">
        <w:rPr>
          <w:i/>
          <w:iCs/>
          <w:lang w:val="en-AU"/>
        </w:rPr>
        <w:t xml:space="preserve"> Teaching Ancient Fiction</w:t>
      </w:r>
      <w:r w:rsidR="0050287A" w:rsidRPr="0072758C">
        <w:rPr>
          <w:lang w:val="en-AU"/>
        </w:rPr>
        <w:t xml:space="preserve"> (</w:t>
      </w:r>
      <w:r w:rsidR="00D15F28" w:rsidRPr="0072758C">
        <w:rPr>
          <w:lang w:val="en-AU"/>
        </w:rPr>
        <w:t>Atlanta: S</w:t>
      </w:r>
      <w:r w:rsidR="0050287A" w:rsidRPr="0072758C">
        <w:rPr>
          <w:lang w:val="en-AU"/>
        </w:rPr>
        <w:t>ociety of Biblical Literature,</w:t>
      </w:r>
      <w:r w:rsidR="00D15F28" w:rsidRPr="0072758C">
        <w:rPr>
          <w:lang w:val="en-AU"/>
        </w:rPr>
        <w:t xml:space="preserve"> 2018</w:t>
      </w:r>
      <w:r w:rsidR="0050287A" w:rsidRPr="0072758C">
        <w:rPr>
          <w:lang w:val="en-AU"/>
        </w:rPr>
        <w:t>)</w:t>
      </w:r>
      <w:r w:rsidR="00D15F28" w:rsidRPr="0072758C">
        <w:rPr>
          <w:lang w:val="en-AU"/>
        </w:rPr>
        <w:t>.</w:t>
      </w:r>
    </w:p>
    <w:p w14:paraId="02DEE9C3" w14:textId="77777777" w:rsidR="00D15F28" w:rsidRPr="0072758C" w:rsidRDefault="00D15F28" w:rsidP="00BC7015">
      <w:pPr>
        <w:pStyle w:val="EndnoteText"/>
        <w:rPr>
          <w:lang w:val="en-AU"/>
        </w:rPr>
      </w:pPr>
    </w:p>
  </w:footnote>
  <w:footnote w:id="590">
    <w:p w14:paraId="7E6BE966" w14:textId="434EFD40" w:rsidR="00200278" w:rsidRPr="0072758C" w:rsidRDefault="00200278" w:rsidP="00BC7015">
      <w:pPr>
        <w:pStyle w:val="EndnoteText"/>
        <w:ind w:firstLine="720"/>
        <w:rPr>
          <w:lang w:val="en-AU"/>
        </w:rPr>
      </w:pPr>
      <w:r w:rsidRPr="0072758C">
        <w:rPr>
          <w:rStyle w:val="FootnoteReference"/>
          <w:lang w:val="en-AU"/>
        </w:rPr>
        <w:footnoteRef/>
      </w:r>
      <w:r w:rsidRPr="0072758C">
        <w:rPr>
          <w:lang w:val="en-AU"/>
        </w:rPr>
        <w:t xml:space="preserve"> Luke 6:27, however, differs in how a sinner is identified.  Simply put, for Matthew a tax-collector was a despised person who was attributed as sinner.  A tax-collector equated with a sinner in Matt 5:46 and tax-collectors were often Jewish.  They were despised as collaborators, but Jesus accepted Zacchaeus (Luke 19:1-10). In Luke, people’s occupations of characters are not usually named.</w:t>
      </w:r>
    </w:p>
    <w:p w14:paraId="5D1AB3CD" w14:textId="77777777" w:rsidR="00200278" w:rsidRPr="0072758C" w:rsidRDefault="00200278" w:rsidP="00BC7015">
      <w:pPr>
        <w:pStyle w:val="EndnoteText"/>
        <w:rPr>
          <w:lang w:val="en-AU"/>
        </w:rPr>
      </w:pPr>
    </w:p>
  </w:footnote>
  <w:footnote w:id="591">
    <w:p w14:paraId="5BEA7FA3" w14:textId="42054831" w:rsidR="00194C28" w:rsidRPr="0072758C" w:rsidRDefault="00194C28" w:rsidP="00BC7015">
      <w:pPr>
        <w:pStyle w:val="EndnoteText"/>
        <w:ind w:firstLine="720"/>
        <w:rPr>
          <w:i/>
          <w:iCs/>
          <w:lang w:val="en-AU"/>
        </w:rPr>
      </w:pPr>
      <w:r w:rsidRPr="0072758C">
        <w:rPr>
          <w:rStyle w:val="FootnoteReference"/>
          <w:lang w:val="en-AU"/>
        </w:rPr>
        <w:footnoteRef/>
      </w:r>
      <w:r w:rsidRPr="0072758C">
        <w:rPr>
          <w:lang w:val="en-AU"/>
        </w:rPr>
        <w:t xml:space="preserve"> Vermes, </w:t>
      </w:r>
      <w:r w:rsidRPr="0072758C">
        <w:rPr>
          <w:i/>
          <w:iCs/>
          <w:lang w:val="en-AU"/>
        </w:rPr>
        <w:t xml:space="preserve">The Religion of Jesus the Jew, </w:t>
      </w:r>
      <w:r w:rsidRPr="0072758C">
        <w:rPr>
          <w:iCs/>
          <w:lang w:val="en-AU"/>
        </w:rPr>
        <w:t>157</w:t>
      </w:r>
      <w:r w:rsidRPr="0072758C">
        <w:rPr>
          <w:i/>
          <w:iCs/>
          <w:lang w:val="en-AU"/>
        </w:rPr>
        <w:t>.</w:t>
      </w:r>
    </w:p>
  </w:footnote>
  <w:footnote w:id="592">
    <w:p w14:paraId="0FE70004" w14:textId="77777777" w:rsidR="00194C28" w:rsidRPr="0072758C" w:rsidRDefault="00194C28" w:rsidP="00BC7015">
      <w:pPr>
        <w:pStyle w:val="EndnoteText"/>
        <w:rPr>
          <w:lang w:val="en-AU"/>
        </w:rPr>
      </w:pPr>
    </w:p>
    <w:p w14:paraId="2BF84609" w14:textId="760A567E" w:rsidR="00194C28" w:rsidRPr="0072758C" w:rsidRDefault="00194C28" w:rsidP="00466891">
      <w:pPr>
        <w:pStyle w:val="EndnoteText"/>
        <w:ind w:firstLine="720"/>
        <w:rPr>
          <w:lang w:val="en-AU"/>
        </w:rPr>
      </w:pPr>
      <w:r w:rsidRPr="0072758C">
        <w:rPr>
          <w:rStyle w:val="FootnoteReference"/>
          <w:lang w:val="en-AU"/>
        </w:rPr>
        <w:footnoteRef/>
      </w:r>
      <w:r w:rsidRPr="0072758C">
        <w:rPr>
          <w:lang w:val="en-AU"/>
        </w:rPr>
        <w:t xml:space="preserve"> Warren Carter, </w:t>
      </w:r>
      <w:r w:rsidR="00863B47" w:rsidRPr="0072758C">
        <w:rPr>
          <w:lang w:val="en-AU"/>
        </w:rPr>
        <w:t>“</w:t>
      </w:r>
      <w:r w:rsidRPr="0072758C">
        <w:rPr>
          <w:lang w:val="en-AU"/>
        </w:rPr>
        <w:t>Love Your Enemies,</w:t>
      </w:r>
      <w:r w:rsidR="00863B47" w:rsidRPr="0072758C">
        <w:rPr>
          <w:lang w:val="en-AU"/>
        </w:rPr>
        <w:t>”</w:t>
      </w:r>
      <w:r w:rsidRPr="0072758C">
        <w:rPr>
          <w:lang w:val="en-AU"/>
        </w:rPr>
        <w:t xml:space="preserve"> </w:t>
      </w:r>
      <w:r w:rsidRPr="0072758C">
        <w:rPr>
          <w:i/>
          <w:iCs/>
          <w:lang w:val="en-AU"/>
        </w:rPr>
        <w:t>Word &amp; World</w:t>
      </w:r>
      <w:r w:rsidRPr="0072758C">
        <w:rPr>
          <w:lang w:val="en-AU"/>
        </w:rPr>
        <w:t xml:space="preserve"> 28 (2008): 21</w:t>
      </w:r>
    </w:p>
  </w:footnote>
  <w:footnote w:id="593">
    <w:p w14:paraId="6EA3A407" w14:textId="77777777" w:rsidR="00194C28" w:rsidRPr="0072758C" w:rsidRDefault="00194C28" w:rsidP="00BC7015">
      <w:pPr>
        <w:pStyle w:val="EndnoteText"/>
        <w:rPr>
          <w:lang w:val="en-AU"/>
        </w:rPr>
      </w:pPr>
    </w:p>
    <w:p w14:paraId="16D89BCE"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Levine and Brettler, </w:t>
      </w:r>
      <w:r w:rsidRPr="0072758C">
        <w:rPr>
          <w:i/>
          <w:iCs/>
          <w:lang w:val="en-AU"/>
        </w:rPr>
        <w:t xml:space="preserve">The Jewish Annotated New Testament, </w:t>
      </w:r>
      <w:r w:rsidRPr="0072758C">
        <w:rPr>
          <w:iCs/>
          <w:lang w:val="en-AU"/>
        </w:rPr>
        <w:t>12.</w:t>
      </w:r>
    </w:p>
  </w:footnote>
  <w:footnote w:id="594">
    <w:p w14:paraId="0EDDD9AC" w14:textId="77777777" w:rsidR="00194C28" w:rsidRPr="0072758C" w:rsidRDefault="00194C28" w:rsidP="00BC7015">
      <w:pPr>
        <w:pStyle w:val="EndnoteText"/>
        <w:rPr>
          <w:lang w:val="en-AU"/>
        </w:rPr>
      </w:pPr>
    </w:p>
    <w:p w14:paraId="6FF458EC" w14:textId="77777777" w:rsidR="00194C28" w:rsidRPr="0072758C" w:rsidRDefault="00194C28" w:rsidP="00BC7015">
      <w:pPr>
        <w:pStyle w:val="EndnoteText"/>
        <w:ind w:firstLine="720"/>
        <w:rPr>
          <w:iCs/>
          <w:lang w:val="en-AU"/>
        </w:rPr>
      </w:pPr>
      <w:r w:rsidRPr="0072758C">
        <w:rPr>
          <w:rStyle w:val="FootnoteReference"/>
          <w:lang w:val="en-AU"/>
        </w:rPr>
        <w:footnoteRef/>
      </w:r>
      <w:r w:rsidRPr="0072758C">
        <w:rPr>
          <w:lang w:val="en-AU"/>
        </w:rPr>
        <w:t xml:space="preserve"> Ibid.</w:t>
      </w:r>
    </w:p>
  </w:footnote>
  <w:footnote w:id="595">
    <w:p w14:paraId="0C0453D8" w14:textId="77777777" w:rsidR="00194C28" w:rsidRPr="0072758C" w:rsidRDefault="00194C28" w:rsidP="00BC7015">
      <w:pPr>
        <w:pStyle w:val="EndnoteText"/>
        <w:rPr>
          <w:lang w:val="en-AU"/>
        </w:rPr>
      </w:pPr>
    </w:p>
    <w:p w14:paraId="1D112D8F"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Lachs, </w:t>
      </w:r>
      <w:r w:rsidRPr="0072758C">
        <w:rPr>
          <w:i/>
          <w:iCs/>
          <w:lang w:val="en-AU"/>
        </w:rPr>
        <w:t>A Rabbinic Commentary on the New Testament</w:t>
      </w:r>
      <w:r w:rsidRPr="0072758C">
        <w:rPr>
          <w:lang w:val="en-AU"/>
        </w:rPr>
        <w:t>, 109.</w:t>
      </w:r>
    </w:p>
  </w:footnote>
  <w:footnote w:id="596">
    <w:p w14:paraId="370D813F" w14:textId="77777777" w:rsidR="00194C28" w:rsidRPr="0072758C" w:rsidRDefault="00194C28" w:rsidP="00BC7015">
      <w:pPr>
        <w:pStyle w:val="EndnoteText"/>
        <w:rPr>
          <w:lang w:val="en-AU"/>
        </w:rPr>
      </w:pPr>
    </w:p>
    <w:p w14:paraId="2E26C982" w14:textId="6E6E8F69" w:rsidR="00194C28" w:rsidRPr="0072758C" w:rsidRDefault="00194C28" w:rsidP="00BC7015">
      <w:pPr>
        <w:pStyle w:val="EndnoteText"/>
        <w:ind w:firstLine="720"/>
        <w:rPr>
          <w:iCs/>
          <w:lang w:val="en-AU"/>
        </w:rPr>
      </w:pPr>
      <w:r w:rsidRPr="0072758C">
        <w:rPr>
          <w:rStyle w:val="FootnoteReference"/>
          <w:lang w:val="en-AU"/>
        </w:rPr>
        <w:footnoteRef/>
      </w:r>
      <w:r w:rsidRPr="0072758C">
        <w:rPr>
          <w:lang w:val="en-AU"/>
        </w:rPr>
        <w:t xml:space="preserve"> Stern, </w:t>
      </w:r>
      <w:r w:rsidRPr="0072758C">
        <w:rPr>
          <w:i/>
          <w:iCs/>
          <w:lang w:val="en-AU"/>
        </w:rPr>
        <w:t>Jewish New Testament Commentary,</w:t>
      </w:r>
      <w:r w:rsidRPr="0072758C">
        <w:rPr>
          <w:iCs/>
          <w:lang w:val="en-AU"/>
        </w:rPr>
        <w:t xml:space="preserve"> 30.</w:t>
      </w:r>
      <w:r w:rsidR="005A09EE" w:rsidRPr="0072758C">
        <w:rPr>
          <w:iCs/>
          <w:lang w:val="en-AU"/>
        </w:rPr>
        <w:t xml:space="preserve"> See also Cecilia Wassen, “Jesus’ Table Fellowship with ‘Toll Collectors and Sinners</w:t>
      </w:r>
      <w:r w:rsidR="00C82226" w:rsidRPr="0072758C">
        <w:rPr>
          <w:iCs/>
          <w:lang w:val="en-AU"/>
        </w:rPr>
        <w:t>,</w:t>
      </w:r>
      <w:r w:rsidR="005A09EE" w:rsidRPr="0072758C">
        <w:rPr>
          <w:iCs/>
          <w:lang w:val="en-AU"/>
        </w:rPr>
        <w:t>’” </w:t>
      </w:r>
      <w:r w:rsidR="005A09EE" w:rsidRPr="0072758C">
        <w:rPr>
          <w:i/>
          <w:iCs/>
          <w:lang w:val="en-AU"/>
        </w:rPr>
        <w:t>Journal for the Study of the Historical Jesus</w:t>
      </w:r>
      <w:r w:rsidR="005A09EE" w:rsidRPr="0072758C">
        <w:rPr>
          <w:iCs/>
          <w:lang w:val="en-AU"/>
        </w:rPr>
        <w:t xml:space="preserve"> 14 (2016): 137–57. </w:t>
      </w:r>
    </w:p>
    <w:p w14:paraId="21653D19" w14:textId="77777777" w:rsidR="005A09EE" w:rsidRPr="0072758C" w:rsidRDefault="005A09EE" w:rsidP="00BC7015">
      <w:pPr>
        <w:pStyle w:val="EndnoteText"/>
        <w:rPr>
          <w:iCs/>
          <w:lang w:val="en-AU"/>
        </w:rPr>
      </w:pPr>
    </w:p>
  </w:footnote>
  <w:footnote w:id="597">
    <w:p w14:paraId="0D564D51" w14:textId="2BC6C460" w:rsidR="00CC6C85"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Curtiss Hutt, </w:t>
      </w:r>
      <w:r w:rsidR="00863B47" w:rsidRPr="0072758C">
        <w:rPr>
          <w:lang w:val="en-AU"/>
        </w:rPr>
        <w:t>“</w:t>
      </w:r>
      <w:r w:rsidRPr="0072758C">
        <w:rPr>
          <w:lang w:val="en-AU"/>
        </w:rPr>
        <w:t>Be Ye Approved Money Changers! Reexamining The Social Contexts of The Saying and Its Interpretation</w:t>
      </w:r>
      <w:r w:rsidR="00C82226" w:rsidRPr="0072758C">
        <w:rPr>
          <w:lang w:val="en-AU"/>
        </w:rPr>
        <w:t>,</w:t>
      </w:r>
      <w:r w:rsidR="00863B47" w:rsidRPr="0072758C">
        <w:rPr>
          <w:lang w:val="en-AU"/>
        </w:rPr>
        <w:t>”</w:t>
      </w:r>
      <w:r w:rsidRPr="0072758C">
        <w:rPr>
          <w:lang w:val="en-AU"/>
        </w:rPr>
        <w:t> </w:t>
      </w:r>
      <w:r w:rsidRPr="0072758C">
        <w:rPr>
          <w:i/>
          <w:iCs/>
          <w:lang w:val="en-AU"/>
        </w:rPr>
        <w:t>Journal of Biblical Literature</w:t>
      </w:r>
      <w:r w:rsidRPr="0072758C">
        <w:rPr>
          <w:lang w:val="en-AU"/>
        </w:rPr>
        <w:t> 131 (2012): 606.</w:t>
      </w:r>
      <w:r w:rsidR="00CC6C85" w:rsidRPr="0072758C">
        <w:rPr>
          <w:lang w:val="en-AU"/>
        </w:rPr>
        <w:t xml:space="preserve"> For more on the Roman </w:t>
      </w:r>
      <w:r w:rsidR="007445DB" w:rsidRPr="0072758C">
        <w:rPr>
          <w:lang w:val="en-AU"/>
        </w:rPr>
        <w:t>system</w:t>
      </w:r>
      <w:r w:rsidR="00CC6C85" w:rsidRPr="0072758C">
        <w:rPr>
          <w:lang w:val="en-AU"/>
        </w:rPr>
        <w:t xml:space="preserve"> of taxation, see Darwin L., King and Carl J. Case, and Jared L. Roosa. “The Comprehensive Taxation System Existing during the Roman Empire</w:t>
      </w:r>
      <w:r w:rsidR="00C82226" w:rsidRPr="0072758C">
        <w:rPr>
          <w:lang w:val="en-AU"/>
        </w:rPr>
        <w:t>,</w:t>
      </w:r>
      <w:r w:rsidR="00CC6C85" w:rsidRPr="0072758C">
        <w:rPr>
          <w:lang w:val="en-AU"/>
        </w:rPr>
        <w:t>” </w:t>
      </w:r>
      <w:r w:rsidR="00CC6C85" w:rsidRPr="0072758C">
        <w:rPr>
          <w:i/>
          <w:iCs/>
          <w:lang w:val="en-AU"/>
        </w:rPr>
        <w:t>Journal of Business &amp; Accounting</w:t>
      </w:r>
      <w:r w:rsidR="00CC6C85" w:rsidRPr="0072758C">
        <w:rPr>
          <w:lang w:val="en-AU"/>
        </w:rPr>
        <w:t> 12</w:t>
      </w:r>
      <w:r w:rsidR="00CE7661" w:rsidRPr="0072758C">
        <w:rPr>
          <w:lang w:val="en-AU"/>
        </w:rPr>
        <w:t xml:space="preserve"> </w:t>
      </w:r>
      <w:r w:rsidR="00CC6C85" w:rsidRPr="0072758C">
        <w:rPr>
          <w:lang w:val="en-AU"/>
        </w:rPr>
        <w:t>(2019): 64–78.</w:t>
      </w:r>
    </w:p>
    <w:p w14:paraId="4B25AA23" w14:textId="77777777" w:rsidR="00CC6C85" w:rsidRPr="0072758C" w:rsidRDefault="00CC6C85" w:rsidP="00BC7015">
      <w:pPr>
        <w:pStyle w:val="EndnoteText"/>
        <w:rPr>
          <w:lang w:val="en-AU"/>
        </w:rPr>
      </w:pPr>
    </w:p>
  </w:footnote>
  <w:footnote w:id="598">
    <w:p w14:paraId="4093A1FF" w14:textId="2E11D19F" w:rsidR="007D439B" w:rsidRPr="0072758C" w:rsidRDefault="00657CB1" w:rsidP="00BC7015">
      <w:pPr>
        <w:pStyle w:val="EndnoteText"/>
        <w:ind w:firstLine="720"/>
        <w:rPr>
          <w:lang w:val="en-AU"/>
        </w:rPr>
      </w:pPr>
      <w:r w:rsidRPr="0072758C">
        <w:rPr>
          <w:rStyle w:val="FootnoteReference"/>
          <w:lang w:val="en-AU"/>
        </w:rPr>
        <w:footnoteRef/>
      </w:r>
      <w:r w:rsidRPr="0072758C">
        <w:rPr>
          <w:lang w:val="en-AU"/>
        </w:rPr>
        <w:t xml:space="preserve"> In this dissertation I do not attempt to attribute different Beatitudes to Jesus and what Jesus said empirically.  M. E. Boring has done research showing how the Q source and the first three Beatitudes are related, see</w:t>
      </w:r>
      <w:r w:rsidRPr="0072758C">
        <w:rPr>
          <w:i/>
          <w:iCs/>
          <w:lang w:val="en-AU"/>
        </w:rPr>
        <w:t xml:space="preserve">, </w:t>
      </w:r>
      <w:r w:rsidRPr="0072758C">
        <w:rPr>
          <w:lang w:val="en-AU"/>
        </w:rPr>
        <w:t>M. E. Boring, “The Historical-Critical Method’s ‘Criteria of Authenticity’: The Beatitudes in Q and Thomas as a Test Case</w:t>
      </w:r>
      <w:r w:rsidR="00C82226" w:rsidRPr="0072758C">
        <w:rPr>
          <w:lang w:val="en-AU"/>
        </w:rPr>
        <w:t>,</w:t>
      </w:r>
      <w:r w:rsidRPr="0072758C">
        <w:rPr>
          <w:lang w:val="en-AU"/>
        </w:rPr>
        <w:t xml:space="preserve">” </w:t>
      </w:r>
      <w:r w:rsidRPr="0072758C">
        <w:rPr>
          <w:i/>
          <w:iCs/>
          <w:lang w:val="en-AU"/>
        </w:rPr>
        <w:t>Semeia</w:t>
      </w:r>
      <w:r w:rsidRPr="0072758C">
        <w:rPr>
          <w:lang w:val="en-AU"/>
        </w:rPr>
        <w:t xml:space="preserve"> 44 (1988)</w:t>
      </w:r>
      <w:r w:rsidR="00013BF9" w:rsidRPr="0072758C">
        <w:rPr>
          <w:lang w:val="en-AU"/>
        </w:rPr>
        <w:t>:</w:t>
      </w:r>
      <w:r w:rsidRPr="0072758C">
        <w:rPr>
          <w:lang w:val="en-AU"/>
        </w:rPr>
        <w:t xml:space="preserve"> 9−44.</w:t>
      </w:r>
      <w:r w:rsidR="007D439B" w:rsidRPr="0072758C">
        <w:rPr>
          <w:lang w:val="en-AU"/>
        </w:rPr>
        <w:t xml:space="preserve"> For research on Jesus and Q, see Alicia J. Batten, “The Jesus Tradition and the Letter of James</w:t>
      </w:r>
      <w:r w:rsidR="00BA5EAE" w:rsidRPr="0072758C">
        <w:rPr>
          <w:lang w:val="en-AU"/>
        </w:rPr>
        <w:t>,</w:t>
      </w:r>
      <w:r w:rsidR="007D439B" w:rsidRPr="0072758C">
        <w:rPr>
          <w:lang w:val="en-AU"/>
        </w:rPr>
        <w:t>” </w:t>
      </w:r>
      <w:r w:rsidR="007D439B" w:rsidRPr="0072758C">
        <w:rPr>
          <w:i/>
          <w:iCs/>
          <w:lang w:val="en-AU"/>
        </w:rPr>
        <w:t>Review and Expositor: An International Baptist Journal</w:t>
      </w:r>
      <w:r w:rsidR="007D439B" w:rsidRPr="0072758C">
        <w:rPr>
          <w:lang w:val="en-AU"/>
        </w:rPr>
        <w:t> 108 (2011): 381–90.</w:t>
      </w:r>
    </w:p>
  </w:footnote>
  <w:footnote w:id="599">
    <w:p w14:paraId="09DA61FB" w14:textId="77777777" w:rsidR="00657CB1" w:rsidRPr="0072758C" w:rsidRDefault="00657CB1" w:rsidP="00BC7015">
      <w:pPr>
        <w:pStyle w:val="EndnoteText"/>
        <w:rPr>
          <w:lang w:val="en-AU"/>
        </w:rPr>
      </w:pPr>
    </w:p>
    <w:p w14:paraId="7D9DA419" w14:textId="507363B4" w:rsidR="00092CD9" w:rsidRPr="0072758C" w:rsidRDefault="00657CB1" w:rsidP="00BC7015">
      <w:pPr>
        <w:pStyle w:val="EndnoteText"/>
        <w:ind w:firstLine="720"/>
        <w:rPr>
          <w:lang w:val="en-AU"/>
        </w:rPr>
      </w:pPr>
      <w:r w:rsidRPr="0072758C">
        <w:rPr>
          <w:rStyle w:val="FootnoteReference"/>
          <w:lang w:val="en-AU"/>
        </w:rPr>
        <w:footnoteRef/>
      </w:r>
      <w:r w:rsidRPr="0072758C">
        <w:rPr>
          <w:lang w:val="en-AU"/>
        </w:rPr>
        <w:t xml:space="preserve"> Vermes, </w:t>
      </w:r>
      <w:r w:rsidRPr="0072758C">
        <w:rPr>
          <w:i/>
          <w:iCs/>
          <w:lang w:val="en-AU"/>
        </w:rPr>
        <w:t>The Religion of Jesus the Jew</w:t>
      </w:r>
      <w:r w:rsidRPr="0072758C">
        <w:rPr>
          <w:lang w:val="en-AU"/>
        </w:rPr>
        <w:t>, 184.</w:t>
      </w:r>
      <w:r w:rsidR="00092CD9" w:rsidRPr="0072758C">
        <w:rPr>
          <w:lang w:val="en-AU"/>
        </w:rPr>
        <w:t xml:space="preserve"> For study into the Hellenistic backgrounds and Jewish backgrounds</w:t>
      </w:r>
      <w:r w:rsidR="003C0928" w:rsidRPr="0072758C">
        <w:rPr>
          <w:lang w:val="en-AU"/>
        </w:rPr>
        <w:t>.</w:t>
      </w:r>
    </w:p>
  </w:footnote>
  <w:footnote w:id="600">
    <w:p w14:paraId="476674D4" w14:textId="77777777" w:rsidR="00657CB1" w:rsidRPr="0072758C" w:rsidRDefault="00657CB1" w:rsidP="00F5340B">
      <w:pPr>
        <w:pStyle w:val="EndnoteText"/>
        <w:rPr>
          <w:lang w:val="en-AU"/>
        </w:rPr>
      </w:pPr>
    </w:p>
    <w:p w14:paraId="1D5B19D2" w14:textId="0E682905" w:rsidR="00462722" w:rsidRPr="0072758C" w:rsidRDefault="00657CB1" w:rsidP="00BC7015">
      <w:pPr>
        <w:pStyle w:val="EndnoteText"/>
        <w:ind w:firstLine="720"/>
        <w:rPr>
          <w:lang w:val="en-AU"/>
        </w:rPr>
      </w:pPr>
      <w:r w:rsidRPr="0072758C">
        <w:rPr>
          <w:rStyle w:val="FootnoteReference"/>
          <w:lang w:val="en-AU"/>
        </w:rPr>
        <w:footnoteRef/>
      </w:r>
      <w:r w:rsidRPr="0072758C">
        <w:rPr>
          <w:lang w:val="en-AU"/>
        </w:rPr>
        <w:t xml:space="preserve"> John P. Meier, </w:t>
      </w:r>
      <w:r w:rsidRPr="0072758C">
        <w:rPr>
          <w:i/>
          <w:iCs/>
          <w:lang w:val="en-AU"/>
        </w:rPr>
        <w:t>A Marginal Jew: Mentor, Message, and Miracles</w:t>
      </w:r>
      <w:r w:rsidRPr="0072758C">
        <w:rPr>
          <w:lang w:val="en-AU"/>
        </w:rPr>
        <w:t xml:space="preserve"> (Doubleday, 1994), 2:238.</w:t>
      </w:r>
      <w:r w:rsidR="00462722" w:rsidRPr="0072758C">
        <w:rPr>
          <w:lang w:val="en-AU"/>
        </w:rPr>
        <w:t xml:space="preserve">  See also George Philip, “Theological Education as Matthean Mission: Challenges from the Indian Context</w:t>
      </w:r>
      <w:r w:rsidR="00BA5EAE" w:rsidRPr="0072758C">
        <w:rPr>
          <w:lang w:val="en-AU"/>
        </w:rPr>
        <w:t>,</w:t>
      </w:r>
      <w:r w:rsidR="00462722" w:rsidRPr="0072758C">
        <w:rPr>
          <w:lang w:val="en-AU"/>
        </w:rPr>
        <w:t>” </w:t>
      </w:r>
      <w:r w:rsidR="00462722" w:rsidRPr="0072758C">
        <w:rPr>
          <w:i/>
          <w:iCs/>
          <w:lang w:val="en-AU"/>
        </w:rPr>
        <w:t>Journal of Biblical Theology</w:t>
      </w:r>
      <w:r w:rsidR="00462722" w:rsidRPr="0072758C">
        <w:rPr>
          <w:lang w:val="en-AU"/>
        </w:rPr>
        <w:t> 4 (2021): 105–26.</w:t>
      </w:r>
    </w:p>
  </w:footnote>
  <w:footnote w:id="601">
    <w:p w14:paraId="5850E436" w14:textId="77777777" w:rsidR="00657CB1" w:rsidRPr="0072758C" w:rsidRDefault="00657CB1" w:rsidP="00BC7015">
      <w:pPr>
        <w:pStyle w:val="EndnoteText"/>
        <w:rPr>
          <w:lang w:val="en-AU"/>
        </w:rPr>
      </w:pPr>
    </w:p>
    <w:p w14:paraId="3DE036EE" w14:textId="41FF296A" w:rsidR="00657CB1" w:rsidRPr="0072758C" w:rsidRDefault="00657CB1" w:rsidP="00BC7015">
      <w:pPr>
        <w:pStyle w:val="EndnoteText"/>
        <w:ind w:firstLine="720"/>
        <w:rPr>
          <w:lang w:val="en-AU"/>
        </w:rPr>
      </w:pPr>
      <w:r w:rsidRPr="0072758C">
        <w:rPr>
          <w:rStyle w:val="FootnoteReference"/>
          <w:lang w:val="en-AU"/>
        </w:rPr>
        <w:footnoteRef/>
      </w:r>
      <w:r w:rsidRPr="0072758C">
        <w:rPr>
          <w:lang w:val="en-AU"/>
        </w:rPr>
        <w:t xml:space="preserve"> George Kennedy, </w:t>
      </w:r>
      <w:r w:rsidRPr="0072758C">
        <w:rPr>
          <w:i/>
          <w:iCs/>
          <w:lang w:val="en-AU"/>
        </w:rPr>
        <w:t xml:space="preserve">New Testament Interpretation Through Rhetorical Criticism </w:t>
      </w:r>
      <w:r w:rsidRPr="0072758C">
        <w:rPr>
          <w:lang w:val="en-AU"/>
        </w:rPr>
        <w:t>(Chapel Hill: University of North Carolina Press, 1984), 40.</w:t>
      </w:r>
    </w:p>
  </w:footnote>
  <w:footnote w:id="602">
    <w:p w14:paraId="13DD10CE" w14:textId="77777777" w:rsidR="00657CB1" w:rsidRPr="0072758C" w:rsidRDefault="00657CB1" w:rsidP="00BC7015">
      <w:pPr>
        <w:pStyle w:val="EndnoteText"/>
        <w:rPr>
          <w:lang w:val="en-AU"/>
        </w:rPr>
      </w:pPr>
    </w:p>
    <w:p w14:paraId="22DA774B" w14:textId="77777777" w:rsidR="00657CB1" w:rsidRPr="0072758C" w:rsidRDefault="00657CB1" w:rsidP="00BC7015">
      <w:pPr>
        <w:pStyle w:val="EndnoteText"/>
        <w:ind w:firstLine="720"/>
        <w:rPr>
          <w:lang w:val="en-AU"/>
        </w:rPr>
      </w:pPr>
      <w:r w:rsidRPr="0072758C">
        <w:rPr>
          <w:rStyle w:val="FootnoteReference"/>
          <w:lang w:val="en-AU"/>
        </w:rPr>
        <w:footnoteRef/>
      </w:r>
      <w:r w:rsidRPr="0072758C">
        <w:rPr>
          <w:lang w:val="en-AU"/>
        </w:rPr>
        <w:t xml:space="preserve"> Kennedy, </w:t>
      </w:r>
      <w:r w:rsidRPr="0072758C">
        <w:rPr>
          <w:i/>
          <w:iCs/>
          <w:lang w:val="en-AU"/>
        </w:rPr>
        <w:t>New Testament Interpretation</w:t>
      </w:r>
      <w:r w:rsidRPr="0072758C">
        <w:rPr>
          <w:lang w:val="en-AU"/>
        </w:rPr>
        <w:t>, 40.</w:t>
      </w:r>
    </w:p>
    <w:p w14:paraId="321F4486" w14:textId="77777777" w:rsidR="00657CB1" w:rsidRPr="0072758C" w:rsidRDefault="00657CB1" w:rsidP="00BC7015">
      <w:pPr>
        <w:pStyle w:val="EndnoteText"/>
        <w:rPr>
          <w:lang w:val="en-AU"/>
        </w:rPr>
      </w:pPr>
    </w:p>
  </w:footnote>
  <w:footnote w:id="603">
    <w:p w14:paraId="78EA7297" w14:textId="698A9AA0" w:rsidR="00C55C4E" w:rsidRPr="0072758C" w:rsidRDefault="00EC4276" w:rsidP="00BC7015">
      <w:pPr>
        <w:pStyle w:val="EndnoteText"/>
        <w:ind w:firstLine="720"/>
        <w:rPr>
          <w:lang w:val="en-AU"/>
        </w:rPr>
      </w:pPr>
      <w:r w:rsidRPr="0072758C">
        <w:rPr>
          <w:rStyle w:val="FootnoteReference"/>
          <w:lang w:val="en-AU"/>
        </w:rPr>
        <w:footnoteRef/>
      </w:r>
      <w:r w:rsidRPr="0072758C">
        <w:rPr>
          <w:lang w:val="en-AU"/>
        </w:rPr>
        <w:t xml:space="preserve"> Davis, </w:t>
      </w:r>
      <w:r w:rsidRPr="0072758C">
        <w:rPr>
          <w:i/>
          <w:iCs/>
          <w:lang w:val="en-AU"/>
        </w:rPr>
        <w:t>Lex Talionis in Early Judaism</w:t>
      </w:r>
      <w:r w:rsidRPr="0072758C">
        <w:rPr>
          <w:lang w:val="en-AU"/>
        </w:rPr>
        <w:t>, 167.</w:t>
      </w:r>
      <w:r w:rsidR="00C55C4E" w:rsidRPr="0072758C">
        <w:rPr>
          <w:lang w:val="en-AU"/>
        </w:rPr>
        <w:t xml:space="preserve"> For a discussion on the crowds Jesus addressed, see John W. Gladstone, “Three Bible Studies: Jesus, the Crowds and the Kingdom</w:t>
      </w:r>
      <w:r w:rsidR="00C82226" w:rsidRPr="0072758C">
        <w:rPr>
          <w:lang w:val="en-AU"/>
        </w:rPr>
        <w:t>,</w:t>
      </w:r>
      <w:r w:rsidR="00C55C4E" w:rsidRPr="0072758C">
        <w:rPr>
          <w:lang w:val="en-AU"/>
        </w:rPr>
        <w:t>” </w:t>
      </w:r>
      <w:r w:rsidR="00C55C4E" w:rsidRPr="0072758C">
        <w:rPr>
          <w:i/>
          <w:iCs/>
          <w:lang w:val="en-AU"/>
        </w:rPr>
        <w:t>Religion and Society</w:t>
      </w:r>
      <w:r w:rsidR="00C55C4E" w:rsidRPr="0072758C">
        <w:rPr>
          <w:lang w:val="en-AU"/>
        </w:rPr>
        <w:t> 36</w:t>
      </w:r>
      <w:r w:rsidR="00A24406" w:rsidRPr="0072758C">
        <w:rPr>
          <w:lang w:val="en-AU"/>
        </w:rPr>
        <w:t xml:space="preserve"> </w:t>
      </w:r>
      <w:r w:rsidR="00C55C4E" w:rsidRPr="0072758C">
        <w:rPr>
          <w:lang w:val="en-AU"/>
        </w:rPr>
        <w:t>(1989): 44–51.</w:t>
      </w:r>
      <w:r w:rsidR="00D212B5" w:rsidRPr="0072758C">
        <w:rPr>
          <w:lang w:val="en-AU"/>
        </w:rPr>
        <w:t xml:space="preserve"> See also Goldston on the First Matthean antithesis and early rabbinic interpretation, Matthew S. Goldstone, “Murder, Anger, and Altars: The First Matthean Antithesis in Light of Exodus 21:14 and Its Early Rabbinic Interpretation</w:t>
      </w:r>
      <w:r w:rsidR="00BA5EAE" w:rsidRPr="0072758C">
        <w:rPr>
          <w:lang w:val="en-AU"/>
        </w:rPr>
        <w:t>,</w:t>
      </w:r>
      <w:r w:rsidR="00D212B5" w:rsidRPr="0072758C">
        <w:rPr>
          <w:lang w:val="en-AU"/>
        </w:rPr>
        <w:t>” </w:t>
      </w:r>
      <w:r w:rsidR="00D212B5" w:rsidRPr="0072758C">
        <w:rPr>
          <w:i/>
          <w:iCs/>
          <w:lang w:val="en-AU"/>
        </w:rPr>
        <w:t>Novum Testamentum</w:t>
      </w:r>
      <w:r w:rsidR="00D212B5" w:rsidRPr="0072758C">
        <w:rPr>
          <w:lang w:val="en-AU"/>
        </w:rPr>
        <w:t> 59 (2017): 339–54.</w:t>
      </w:r>
    </w:p>
  </w:footnote>
  <w:footnote w:id="604">
    <w:p w14:paraId="04A75FF1" w14:textId="08634FA5" w:rsidR="00657CB1" w:rsidRPr="0072758C" w:rsidRDefault="00657CB1" w:rsidP="00BC7015">
      <w:pPr>
        <w:pStyle w:val="EndnoteText"/>
        <w:ind w:firstLine="720"/>
        <w:rPr>
          <w:lang w:val="en-AU"/>
        </w:rPr>
      </w:pPr>
      <w:r w:rsidRPr="0072758C">
        <w:rPr>
          <w:rStyle w:val="FootnoteReference"/>
          <w:lang w:val="en-AU"/>
        </w:rPr>
        <w:footnoteRef/>
      </w:r>
      <w:r w:rsidRPr="0072758C">
        <w:rPr>
          <w:lang w:val="en-AU"/>
        </w:rPr>
        <w:t xml:space="preserve"> Davis, </w:t>
      </w:r>
      <w:r w:rsidRPr="0072758C">
        <w:rPr>
          <w:i/>
          <w:iCs/>
          <w:lang w:val="en-AU"/>
        </w:rPr>
        <w:t>Lex Talionis in Early Judaism</w:t>
      </w:r>
      <w:r w:rsidRPr="0072758C">
        <w:rPr>
          <w:lang w:val="en-AU"/>
        </w:rPr>
        <w:t>, 167.</w:t>
      </w:r>
      <w:r w:rsidR="00484AFA" w:rsidRPr="0072758C">
        <w:rPr>
          <w:lang w:val="en-AU"/>
        </w:rPr>
        <w:t xml:space="preserve"> For an interpretation of the law and Rabbinic sources, see Michal Bar-Asher Siegal, “Matthew 5:22: The Insult ‘Fool’ and the Interpretation of the Law in Christian and Rabbinic Sources</w:t>
      </w:r>
      <w:r w:rsidR="00C82226" w:rsidRPr="0072758C">
        <w:rPr>
          <w:lang w:val="en-AU"/>
        </w:rPr>
        <w:t>,</w:t>
      </w:r>
      <w:r w:rsidR="00484AFA" w:rsidRPr="0072758C">
        <w:rPr>
          <w:lang w:val="en-AU"/>
        </w:rPr>
        <w:t>” </w:t>
      </w:r>
      <w:r w:rsidR="00484AFA" w:rsidRPr="0072758C">
        <w:rPr>
          <w:i/>
          <w:iCs/>
          <w:lang w:val="en-AU"/>
        </w:rPr>
        <w:t>Revue de l’histoire Des Religions</w:t>
      </w:r>
      <w:r w:rsidR="00484AFA" w:rsidRPr="0072758C">
        <w:rPr>
          <w:lang w:val="en-AU"/>
        </w:rPr>
        <w:t> 234 (2017): 5–23.</w:t>
      </w:r>
    </w:p>
    <w:p w14:paraId="351C463D" w14:textId="77777777" w:rsidR="00484AFA" w:rsidRPr="0072758C" w:rsidRDefault="00484AFA" w:rsidP="00BC7015">
      <w:pPr>
        <w:pStyle w:val="EndnoteText"/>
        <w:rPr>
          <w:lang w:val="en-AU"/>
        </w:rPr>
      </w:pPr>
    </w:p>
  </w:footnote>
  <w:footnote w:id="605">
    <w:p w14:paraId="24185155" w14:textId="77777777" w:rsidR="00657CB1" w:rsidRPr="0072758C" w:rsidRDefault="00657CB1" w:rsidP="00BC7015">
      <w:pPr>
        <w:pStyle w:val="EndnoteText"/>
        <w:ind w:firstLine="720"/>
        <w:rPr>
          <w:lang w:val="en-AU"/>
        </w:rPr>
      </w:pPr>
      <w:r w:rsidRPr="0072758C">
        <w:rPr>
          <w:rStyle w:val="FootnoteReference"/>
          <w:lang w:val="en-AU"/>
        </w:rPr>
        <w:footnoteRef/>
      </w:r>
      <w:r w:rsidRPr="0072758C">
        <w:rPr>
          <w:lang w:val="en-AU"/>
        </w:rPr>
        <w:t xml:space="preserve"> Talbert, </w:t>
      </w:r>
      <w:r w:rsidRPr="0072758C">
        <w:rPr>
          <w:i/>
          <w:iCs/>
          <w:lang w:val="en-AU"/>
        </w:rPr>
        <w:t>Reading the Sermon on the Mount</w:t>
      </w:r>
      <w:r w:rsidRPr="0072758C">
        <w:rPr>
          <w:lang w:val="en-AU"/>
        </w:rPr>
        <w:t>, 3.</w:t>
      </w:r>
    </w:p>
  </w:footnote>
  <w:footnote w:id="606">
    <w:p w14:paraId="53F4E6DF" w14:textId="77777777" w:rsidR="00657CB1" w:rsidRPr="0072758C" w:rsidRDefault="00657CB1" w:rsidP="00BC7015">
      <w:pPr>
        <w:pStyle w:val="EndnoteText"/>
        <w:rPr>
          <w:lang w:val="en-AU"/>
        </w:rPr>
      </w:pPr>
    </w:p>
    <w:p w14:paraId="7549CD4E" w14:textId="0176CBAA" w:rsidR="00657CB1" w:rsidRPr="0072758C" w:rsidRDefault="00657CB1" w:rsidP="00BC7015">
      <w:pPr>
        <w:pStyle w:val="EndnoteText"/>
        <w:ind w:firstLine="720"/>
        <w:rPr>
          <w:iCs/>
          <w:lang w:val="en-AU"/>
        </w:rPr>
      </w:pPr>
      <w:r w:rsidRPr="0072758C">
        <w:rPr>
          <w:rStyle w:val="FootnoteReference"/>
          <w:lang w:val="en-AU"/>
        </w:rPr>
        <w:footnoteRef/>
      </w:r>
      <w:r w:rsidRPr="0072758C">
        <w:rPr>
          <w:lang w:val="en-AU"/>
        </w:rPr>
        <w:t xml:space="preserve"> Vermes, </w:t>
      </w:r>
      <w:r w:rsidRPr="0072758C">
        <w:rPr>
          <w:i/>
          <w:iCs/>
          <w:lang w:val="en-AU"/>
        </w:rPr>
        <w:t xml:space="preserve">The Religion of Jesus the Jew, </w:t>
      </w:r>
      <w:r w:rsidRPr="0072758C">
        <w:rPr>
          <w:iCs/>
          <w:lang w:val="en-AU"/>
        </w:rPr>
        <w:t>20.</w:t>
      </w:r>
      <w:r w:rsidR="00040F67" w:rsidRPr="0072758C">
        <w:rPr>
          <w:iCs/>
          <w:lang w:val="en-AU"/>
        </w:rPr>
        <w:t xml:space="preserve"> For an understanding </w:t>
      </w:r>
      <w:r w:rsidR="00BB0CC7" w:rsidRPr="0072758C">
        <w:rPr>
          <w:iCs/>
          <w:lang w:val="en-AU"/>
        </w:rPr>
        <w:t>of the</w:t>
      </w:r>
      <w:r w:rsidR="00040F67" w:rsidRPr="0072758C">
        <w:rPr>
          <w:iCs/>
          <w:lang w:val="en-AU"/>
        </w:rPr>
        <w:t xml:space="preserve"> Sermon on the Mount and Jewish exegesis, see Serge. Ruzer, “‘Love Your Enemy’ Precept in the Sermon on the Mount in the Context of Early Jewish Exegesis: A New Perspective</w:t>
      </w:r>
      <w:r w:rsidR="00BA5EAE" w:rsidRPr="0072758C">
        <w:rPr>
          <w:iCs/>
          <w:lang w:val="en-AU"/>
        </w:rPr>
        <w:t>,</w:t>
      </w:r>
      <w:r w:rsidR="00040F67" w:rsidRPr="0072758C">
        <w:rPr>
          <w:iCs/>
          <w:lang w:val="en-AU"/>
        </w:rPr>
        <w:t>” </w:t>
      </w:r>
      <w:r w:rsidR="00040F67" w:rsidRPr="0072758C">
        <w:rPr>
          <w:i/>
          <w:iCs/>
          <w:lang w:val="en-AU"/>
        </w:rPr>
        <w:t>Revue Biblique</w:t>
      </w:r>
      <w:r w:rsidR="008D46B2" w:rsidRPr="0072758C">
        <w:rPr>
          <w:iCs/>
          <w:lang w:val="en-AU"/>
        </w:rPr>
        <w:t xml:space="preserve"> </w:t>
      </w:r>
      <w:r w:rsidR="00040F67" w:rsidRPr="0072758C">
        <w:rPr>
          <w:iCs/>
          <w:lang w:val="en-AU"/>
        </w:rPr>
        <w:t>111 (2004): 193–208</w:t>
      </w:r>
      <w:r w:rsidR="00C93D0B" w:rsidRPr="0072758C">
        <w:rPr>
          <w:iCs/>
          <w:lang w:val="en-AU"/>
        </w:rPr>
        <w:t>.</w:t>
      </w:r>
    </w:p>
  </w:footnote>
  <w:footnote w:id="607">
    <w:p w14:paraId="5AF77ADA" w14:textId="77777777" w:rsidR="00657CB1" w:rsidRPr="0072758C" w:rsidRDefault="00657CB1" w:rsidP="00BC7015">
      <w:pPr>
        <w:pStyle w:val="EndnoteText"/>
        <w:rPr>
          <w:lang w:val="en-AU"/>
        </w:rPr>
      </w:pPr>
    </w:p>
    <w:p w14:paraId="6330E75E" w14:textId="77777777" w:rsidR="00657CB1" w:rsidRPr="0072758C" w:rsidRDefault="00657CB1" w:rsidP="00BC7015">
      <w:pPr>
        <w:pStyle w:val="EndnoteText"/>
        <w:ind w:firstLine="720"/>
        <w:rPr>
          <w:iCs/>
          <w:lang w:val="en-AU"/>
        </w:rPr>
      </w:pPr>
      <w:r w:rsidRPr="0072758C">
        <w:rPr>
          <w:rStyle w:val="FootnoteReference"/>
          <w:lang w:val="en-AU"/>
        </w:rPr>
        <w:footnoteRef/>
      </w:r>
      <w:r w:rsidRPr="0072758C">
        <w:rPr>
          <w:lang w:val="en-AU"/>
        </w:rPr>
        <w:t xml:space="preserve"> Vermes, </w:t>
      </w:r>
      <w:r w:rsidRPr="0072758C">
        <w:rPr>
          <w:i/>
          <w:iCs/>
          <w:lang w:val="en-AU"/>
        </w:rPr>
        <w:t xml:space="preserve">The Religion of Jesus the Jew, </w:t>
      </w:r>
      <w:r w:rsidRPr="0072758C">
        <w:rPr>
          <w:lang w:val="en-AU"/>
        </w:rPr>
        <w:t>12.</w:t>
      </w:r>
    </w:p>
  </w:footnote>
  <w:footnote w:id="608">
    <w:p w14:paraId="6628E9BF" w14:textId="77777777" w:rsidR="00657CB1" w:rsidRPr="0072758C" w:rsidRDefault="00657CB1" w:rsidP="00BC7015">
      <w:pPr>
        <w:pStyle w:val="EndnoteText"/>
        <w:rPr>
          <w:lang w:val="en-AU"/>
        </w:rPr>
      </w:pPr>
    </w:p>
    <w:p w14:paraId="4A9C341B" w14:textId="343A7F4E" w:rsidR="00657CB1" w:rsidRPr="0072758C" w:rsidRDefault="00657CB1" w:rsidP="00BC7015">
      <w:pPr>
        <w:pStyle w:val="EndnoteText"/>
        <w:ind w:firstLine="720"/>
        <w:rPr>
          <w:lang w:val="en-AU"/>
        </w:rPr>
      </w:pPr>
      <w:r w:rsidRPr="0072758C">
        <w:rPr>
          <w:rStyle w:val="FootnoteReference"/>
          <w:lang w:val="en-AU"/>
        </w:rPr>
        <w:footnoteRef/>
      </w:r>
      <w:r w:rsidRPr="0072758C">
        <w:rPr>
          <w:lang w:val="en-AU"/>
        </w:rPr>
        <w:t xml:space="preserve"> Bruce Chilton, Anthony Le Donne and Jacob Neusner, </w:t>
      </w:r>
      <w:r w:rsidRPr="0072758C">
        <w:rPr>
          <w:i/>
          <w:iCs/>
          <w:lang w:val="en-AU"/>
        </w:rPr>
        <w:t xml:space="preserve">Soundings in </w:t>
      </w:r>
      <w:r w:rsidR="00D32D8F">
        <w:rPr>
          <w:i/>
          <w:iCs/>
          <w:lang w:val="en-AU"/>
        </w:rPr>
        <w:t>t</w:t>
      </w:r>
      <w:r w:rsidRPr="0072758C">
        <w:rPr>
          <w:i/>
          <w:iCs/>
          <w:lang w:val="en-AU"/>
        </w:rPr>
        <w:t xml:space="preserve">he Religion </w:t>
      </w:r>
      <w:r w:rsidR="00D32D8F">
        <w:rPr>
          <w:i/>
          <w:iCs/>
          <w:lang w:val="en-AU"/>
        </w:rPr>
        <w:t>o</w:t>
      </w:r>
      <w:r w:rsidRPr="0072758C">
        <w:rPr>
          <w:i/>
          <w:iCs/>
          <w:lang w:val="en-AU"/>
        </w:rPr>
        <w:t xml:space="preserve">f Jesus </w:t>
      </w:r>
      <w:r w:rsidRPr="0072758C">
        <w:rPr>
          <w:lang w:val="en-AU"/>
        </w:rPr>
        <w:t>(Minneapolis: Fortress Press, 2012), 82.  Ibid</w:t>
      </w:r>
      <w:r w:rsidR="00C82226" w:rsidRPr="0072758C">
        <w:rPr>
          <w:lang w:val="en-AU"/>
        </w:rPr>
        <w:t>.</w:t>
      </w:r>
      <w:r w:rsidRPr="0072758C">
        <w:rPr>
          <w:lang w:val="en-AU"/>
        </w:rPr>
        <w:t xml:space="preserve"> further states, “Jewish Christian adherents to Judaism were those who followed Torah completely but acknowledged Jesus (Yeshua) as the </w:t>
      </w:r>
      <w:r w:rsidR="00592DC0" w:rsidRPr="0072758C">
        <w:rPr>
          <w:i/>
          <w:rtl/>
          <w:lang w:val="en-AU"/>
        </w:rPr>
        <w:t>משיח</w:t>
      </w:r>
      <w:r w:rsidRPr="0072758C">
        <w:rPr>
          <w:i/>
          <w:lang w:val="en-AU"/>
        </w:rPr>
        <w:t xml:space="preserve">. </w:t>
      </w:r>
      <w:r w:rsidRPr="0072758C">
        <w:rPr>
          <w:lang w:val="en-AU"/>
        </w:rPr>
        <w:t xml:space="preserve">This view creates a split between Rabbinic Judaism and Proto-orthodox Christianity separated from Judaism sometime after the destruction of the Second Temple and those in scholarship contend there were many competing Jewish sects at this time.” </w:t>
      </w:r>
    </w:p>
    <w:p w14:paraId="6587C2FA" w14:textId="77777777" w:rsidR="00657CB1" w:rsidRPr="0072758C" w:rsidRDefault="00657CB1" w:rsidP="00BC7015">
      <w:pPr>
        <w:pStyle w:val="EndnoteText"/>
        <w:rPr>
          <w:lang w:val="en-AU"/>
        </w:rPr>
      </w:pPr>
    </w:p>
  </w:footnote>
  <w:footnote w:id="609">
    <w:p w14:paraId="1E941776" w14:textId="0F295B31" w:rsidR="006E2D54" w:rsidRPr="00A720B3" w:rsidRDefault="00657CB1" w:rsidP="00BC7015">
      <w:pPr>
        <w:pStyle w:val="EndnoteText"/>
        <w:ind w:firstLine="720"/>
        <w:rPr>
          <w:lang w:val="en-AU"/>
        </w:rPr>
      </w:pPr>
      <w:r w:rsidRPr="0072758C">
        <w:rPr>
          <w:rStyle w:val="FootnoteReference"/>
          <w:lang w:val="en-AU"/>
        </w:rPr>
        <w:footnoteRef/>
      </w:r>
      <w:r w:rsidRPr="0072758C">
        <w:rPr>
          <w:lang w:val="en-AU"/>
        </w:rPr>
        <w:t xml:space="preserve"> For scholarship regarding the Hellenistic influence of Judaism, see</w:t>
      </w:r>
      <w:r w:rsidRPr="0072758C">
        <w:rPr>
          <w:i/>
          <w:iCs/>
          <w:lang w:val="en-AU"/>
        </w:rPr>
        <w:t xml:space="preserve">, </w:t>
      </w:r>
      <w:r w:rsidRPr="0072758C">
        <w:rPr>
          <w:lang w:val="en-AU"/>
        </w:rPr>
        <w:t>G. Gardner and K.L. Osterloh</w:t>
      </w:r>
      <w:r w:rsidRPr="0072758C">
        <w:rPr>
          <w:i/>
          <w:iCs/>
          <w:lang w:val="en-AU"/>
        </w:rPr>
        <w:t xml:space="preserve"> (eds.), </w:t>
      </w:r>
      <w:r w:rsidRPr="0072758C">
        <w:rPr>
          <w:lang w:val="en-AU"/>
        </w:rPr>
        <w:t>“Antiquity in Antiquity: Jewish and Christian Pasts in the Greco-Roman World”</w:t>
      </w:r>
      <w:r w:rsidRPr="0072758C">
        <w:rPr>
          <w:i/>
          <w:iCs/>
          <w:lang w:val="en-AU"/>
        </w:rPr>
        <w:t xml:space="preserve"> Journal for the Study of Judaism </w:t>
      </w:r>
      <w:r w:rsidRPr="0072758C">
        <w:rPr>
          <w:lang w:val="en-AU"/>
        </w:rPr>
        <w:t>51 (2010)</w:t>
      </w:r>
      <w:r w:rsidR="00ED25A9" w:rsidRPr="0072758C">
        <w:rPr>
          <w:lang w:val="en-AU"/>
        </w:rPr>
        <w:t>:</w:t>
      </w:r>
      <w:r w:rsidRPr="0072758C">
        <w:rPr>
          <w:lang w:val="en-AU"/>
        </w:rPr>
        <w:t xml:space="preserve"> 106–107.  For scholarship surrounding the Hellenistic reforms in Judea, see</w:t>
      </w:r>
      <w:r w:rsidRPr="0072758C">
        <w:rPr>
          <w:i/>
          <w:iCs/>
          <w:lang w:val="en-AU"/>
        </w:rPr>
        <w:t xml:space="preserve">, </w:t>
      </w:r>
      <w:r w:rsidRPr="0072758C">
        <w:rPr>
          <w:lang w:val="en-AU"/>
        </w:rPr>
        <w:t xml:space="preserve">John Collins, “Cult and Culture. The Limits of Hellenization in Judea,” in </w:t>
      </w:r>
      <w:r w:rsidRPr="0072758C">
        <w:rPr>
          <w:i/>
          <w:iCs/>
          <w:lang w:val="en-AU"/>
        </w:rPr>
        <w:t>Jewish Cult and Hellenistic Culture,</w:t>
      </w:r>
      <w:r w:rsidRPr="0072758C">
        <w:rPr>
          <w:lang w:val="en-AU"/>
        </w:rPr>
        <w:t xml:space="preserve"> Eds. Craig </w:t>
      </w:r>
      <w:proofErr w:type="gramStart"/>
      <w:r w:rsidRPr="0072758C">
        <w:rPr>
          <w:lang w:val="en-AU"/>
        </w:rPr>
        <w:t>Evans</w:t>
      </w:r>
      <w:proofErr w:type="gramEnd"/>
      <w:r w:rsidRPr="0072758C">
        <w:rPr>
          <w:lang w:val="en-AU"/>
        </w:rPr>
        <w:t xml:space="preserve"> and Peter Fling (Leiden: Brill, 2005)</w:t>
      </w:r>
      <w:r w:rsidR="00013BF9" w:rsidRPr="0072758C">
        <w:rPr>
          <w:lang w:val="en-AU"/>
        </w:rPr>
        <w:t>:</w:t>
      </w:r>
      <w:r w:rsidRPr="0072758C">
        <w:rPr>
          <w:lang w:val="en-AU"/>
        </w:rPr>
        <w:t xml:space="preserve"> 21–43; Anathea Portier-Young, </w:t>
      </w:r>
      <w:r w:rsidRPr="0072758C">
        <w:rPr>
          <w:i/>
          <w:iCs/>
          <w:lang w:val="en-AU"/>
        </w:rPr>
        <w:t>Apocalypse against Empire: Theologies of Resistance in Early Judaism</w:t>
      </w:r>
      <w:r w:rsidR="0073588D" w:rsidRPr="0072758C">
        <w:rPr>
          <w:lang w:val="en-AU"/>
        </w:rPr>
        <w:t>,</w:t>
      </w:r>
      <w:r w:rsidRPr="0072758C">
        <w:rPr>
          <w:lang w:val="en-AU"/>
        </w:rPr>
        <w:t xml:space="preserve"> 175–216; Martha Himmelfarb, “Judaism and Hellenism in 2 Maccabees</w:t>
      </w:r>
      <w:r w:rsidR="0073588D" w:rsidRPr="0072758C">
        <w:rPr>
          <w:lang w:val="en-AU"/>
        </w:rPr>
        <w:t>,</w:t>
      </w:r>
      <w:r w:rsidRPr="0072758C">
        <w:rPr>
          <w:lang w:val="en-AU"/>
        </w:rPr>
        <w:t xml:space="preserve">” </w:t>
      </w:r>
      <w:r w:rsidRPr="0072758C">
        <w:rPr>
          <w:i/>
          <w:iCs/>
          <w:lang w:val="en-AU"/>
        </w:rPr>
        <w:t>Poetics Today</w:t>
      </w:r>
      <w:r w:rsidRPr="0072758C">
        <w:rPr>
          <w:lang w:val="en-AU"/>
        </w:rPr>
        <w:t xml:space="preserve"> 19</w:t>
      </w:r>
      <w:r w:rsidR="00B4620E" w:rsidRPr="0072758C">
        <w:rPr>
          <w:lang w:val="en-AU"/>
        </w:rPr>
        <w:t xml:space="preserve"> </w:t>
      </w:r>
      <w:r w:rsidRPr="0072758C">
        <w:rPr>
          <w:lang w:val="en-AU"/>
        </w:rPr>
        <w:t xml:space="preserve">(1998): 19–40; Peter Schäfer, </w:t>
      </w:r>
      <w:r w:rsidRPr="0072758C">
        <w:rPr>
          <w:i/>
          <w:iCs/>
          <w:lang w:val="en-AU"/>
        </w:rPr>
        <w:t>The History of the Jews in the Greco-Roman World</w:t>
      </w:r>
      <w:r w:rsidRPr="0072758C">
        <w:rPr>
          <w:lang w:val="en-AU"/>
        </w:rPr>
        <w:t xml:space="preserve"> (Abington: Routledge, 2013).  For further scholarship on the topics of Hellenistic reform for the Jews, see</w:t>
      </w:r>
      <w:r w:rsidRPr="0072758C">
        <w:rPr>
          <w:i/>
          <w:iCs/>
          <w:lang w:val="en-AU"/>
        </w:rPr>
        <w:t xml:space="preserve">, </w:t>
      </w:r>
      <w:r w:rsidRPr="0072758C">
        <w:rPr>
          <w:lang w:val="en-AU"/>
        </w:rPr>
        <w:t xml:space="preserve">E. J. Bickerman, </w:t>
      </w:r>
      <w:r w:rsidRPr="0072758C">
        <w:rPr>
          <w:i/>
          <w:iCs/>
          <w:lang w:val="en-AU"/>
        </w:rPr>
        <w:t>The God of the Maccabees</w:t>
      </w:r>
      <w:r w:rsidRPr="0072758C">
        <w:rPr>
          <w:lang w:val="en-AU"/>
        </w:rPr>
        <w:t xml:space="preserve"> (Leiden: Brill, 1979).</w:t>
      </w:r>
      <w:r w:rsidR="006E2D54" w:rsidRPr="0072758C">
        <w:rPr>
          <w:lang w:val="en-AU"/>
        </w:rPr>
        <w:t xml:space="preserve">  See also Daniel Johansson, “The Dichotomy of Judaism and Hellenism Revisited: Roots and Reception of the Gospel</w:t>
      </w:r>
      <w:r w:rsidR="00BA5EAE" w:rsidRPr="0072758C">
        <w:rPr>
          <w:lang w:val="en-AU"/>
        </w:rPr>
        <w:t>,</w:t>
      </w:r>
      <w:r w:rsidR="006E2D54" w:rsidRPr="0072758C">
        <w:rPr>
          <w:lang w:val="en-AU"/>
        </w:rPr>
        <w:t>” </w:t>
      </w:r>
      <w:r w:rsidR="006E2D54" w:rsidRPr="0072758C">
        <w:rPr>
          <w:i/>
          <w:iCs/>
          <w:lang w:val="en-AU"/>
        </w:rPr>
        <w:t>Concordia Theological Quarterly</w:t>
      </w:r>
      <w:r w:rsidR="006E2D54" w:rsidRPr="0072758C">
        <w:rPr>
          <w:lang w:val="en-AU"/>
        </w:rPr>
        <w:t> 80</w:t>
      </w:r>
      <w:r w:rsidR="003119C3" w:rsidRPr="0072758C">
        <w:rPr>
          <w:lang w:val="en-AU"/>
        </w:rPr>
        <w:t xml:space="preserve"> </w:t>
      </w:r>
      <w:r w:rsidR="006E2D54" w:rsidRPr="0072758C">
        <w:rPr>
          <w:lang w:val="en-AU"/>
        </w:rPr>
        <w:t>(2016): 101–12.</w:t>
      </w:r>
      <w:r w:rsidR="00A720B3">
        <w:rPr>
          <w:lang w:val="en-AU"/>
        </w:rPr>
        <w:t xml:space="preserve"> Visotzky contends during the first three centuries CE that Hebrew was spoke only in the south and diminished into academia while Greek was spoken in the cities and Aramaic in the villages, see Burton L Visotzky, </w:t>
      </w:r>
      <w:r w:rsidR="00A720B3">
        <w:rPr>
          <w:i/>
          <w:iCs/>
          <w:lang w:val="en-AU"/>
        </w:rPr>
        <w:t>Aphrodite and the Rabbis</w:t>
      </w:r>
      <w:r w:rsidR="00A720B3">
        <w:rPr>
          <w:lang w:val="en-AU"/>
        </w:rPr>
        <w:t xml:space="preserve"> (New York: St. Martin’s Press, 2016).  Sota 7:1, 21b suggest that the Shema</w:t>
      </w:r>
      <w:r w:rsidR="00BA04BF">
        <w:rPr>
          <w:lang w:val="en-AU"/>
        </w:rPr>
        <w:t xml:space="preserve"> can be</w:t>
      </w:r>
      <w:r w:rsidR="00A720B3">
        <w:rPr>
          <w:lang w:val="en-AU"/>
        </w:rPr>
        <w:t xml:space="preserve"> spoken in Greek </w:t>
      </w:r>
      <w:r w:rsidR="00BA04BF">
        <w:rPr>
          <w:lang w:val="en-AU"/>
        </w:rPr>
        <w:t xml:space="preserve">which highlights the acceptance of Greek prayers in the Jewish service. </w:t>
      </w:r>
      <w:r w:rsidR="00A720B3">
        <w:rPr>
          <w:lang w:val="en-AU"/>
        </w:rPr>
        <w:t xml:space="preserve"> </w:t>
      </w:r>
      <w:r w:rsidR="00BA04BF">
        <w:rPr>
          <w:lang w:val="en-AU"/>
        </w:rPr>
        <w:t xml:space="preserve">Visotzky suggests that Greek was widely used in Jewish synagogue service. </w:t>
      </w:r>
    </w:p>
    <w:p w14:paraId="27B09DF1" w14:textId="77777777" w:rsidR="00657CB1" w:rsidRPr="0072758C" w:rsidRDefault="00657CB1" w:rsidP="00BC7015">
      <w:pPr>
        <w:pStyle w:val="EndnoteText"/>
        <w:rPr>
          <w:lang w:val="en-AU"/>
        </w:rPr>
      </w:pPr>
    </w:p>
  </w:footnote>
  <w:footnote w:id="610">
    <w:p w14:paraId="3DA7F9CC" w14:textId="77777777" w:rsidR="00657CB1" w:rsidRPr="0072758C" w:rsidRDefault="00657CB1" w:rsidP="00BC7015">
      <w:pPr>
        <w:pStyle w:val="EndnoteText"/>
        <w:ind w:firstLine="720"/>
        <w:rPr>
          <w:lang w:val="en-AU"/>
        </w:rPr>
      </w:pPr>
      <w:r w:rsidRPr="0072758C">
        <w:rPr>
          <w:rStyle w:val="FootnoteReference"/>
          <w:lang w:val="en-AU"/>
        </w:rPr>
        <w:footnoteRef/>
      </w:r>
      <w:r w:rsidRPr="0072758C">
        <w:rPr>
          <w:lang w:val="en-AU"/>
        </w:rPr>
        <w:t xml:space="preserve"> Martin Hengel, </w:t>
      </w:r>
      <w:r w:rsidRPr="0072758C">
        <w:rPr>
          <w:i/>
          <w:iCs/>
          <w:lang w:val="en-AU"/>
        </w:rPr>
        <w:t xml:space="preserve">Judentum und Hellenismus: Studien zu ihrer Begegnung unter besonderer Berücksichtigung Palästinas bis zur Mitte des 2.Jh. v.Chr. Wissenschaftliche Untersuchungen zum Neuen Testament </w:t>
      </w:r>
      <w:r w:rsidRPr="0072758C">
        <w:rPr>
          <w:lang w:val="en-AU"/>
        </w:rPr>
        <w:t>10 (Tübingen: Mohr Siebeck, 1969), 193.</w:t>
      </w:r>
    </w:p>
    <w:p w14:paraId="7026D961" w14:textId="77777777" w:rsidR="00657CB1" w:rsidRPr="0072758C" w:rsidRDefault="00657CB1" w:rsidP="00BC7015">
      <w:pPr>
        <w:pStyle w:val="EndnoteText"/>
        <w:rPr>
          <w:lang w:val="en-AU"/>
        </w:rPr>
      </w:pPr>
    </w:p>
  </w:footnote>
  <w:footnote w:id="611">
    <w:p w14:paraId="1D6E4903" w14:textId="332A1847" w:rsidR="00657CB1" w:rsidRPr="00661E91" w:rsidRDefault="00657CB1" w:rsidP="00BC7015">
      <w:pPr>
        <w:pStyle w:val="EndnoteText"/>
        <w:ind w:firstLine="720"/>
        <w:rPr>
          <w:lang w:val="en-AU"/>
        </w:rPr>
      </w:pPr>
      <w:r w:rsidRPr="0072758C">
        <w:rPr>
          <w:rStyle w:val="FootnoteReference"/>
          <w:lang w:val="en-AU"/>
        </w:rPr>
        <w:footnoteRef/>
      </w:r>
      <w:r w:rsidRPr="0072758C">
        <w:rPr>
          <w:lang w:val="en-AU"/>
        </w:rPr>
        <w:t xml:space="preserve"> </w:t>
      </w:r>
      <w:r w:rsidRPr="0072758C">
        <w:rPr>
          <w:iCs/>
          <w:lang w:val="en-AU"/>
        </w:rPr>
        <w:t>See</w:t>
      </w:r>
      <w:r w:rsidRPr="0072758C">
        <w:rPr>
          <w:lang w:val="en-AU"/>
        </w:rPr>
        <w:t xml:space="preserve"> Walter Ameling, ed., </w:t>
      </w:r>
      <w:r w:rsidRPr="0072758C">
        <w:rPr>
          <w:i/>
          <w:lang w:val="en-AU"/>
        </w:rPr>
        <w:t>Inscriptiones Judaicae Orientis</w:t>
      </w:r>
      <w:r w:rsidRPr="0072758C">
        <w:rPr>
          <w:i/>
          <w:iCs/>
          <w:lang w:val="en-AU"/>
        </w:rPr>
        <w:t xml:space="preserve"> Kleinasien</w:t>
      </w:r>
      <w:r w:rsidRPr="0072758C">
        <w:rPr>
          <w:lang w:val="en-AU"/>
        </w:rPr>
        <w:t xml:space="preserve"> (Tübingen: Mohr Siebeck, 2004), 414–422. </w:t>
      </w:r>
      <w:r w:rsidR="00661E91">
        <w:rPr>
          <w:lang w:val="en-AU"/>
        </w:rPr>
        <w:t xml:space="preserve"> </w:t>
      </w:r>
      <w:r w:rsidR="00661E91">
        <w:t xml:space="preserve">Joslyn-Siemiatkoski, suggests that even Mishna Avot grew out of and was influenced by Hellenism, see Joslyn-Siemiatkoski, </w:t>
      </w:r>
      <w:r w:rsidR="00661E91" w:rsidRPr="00090025">
        <w:rPr>
          <w:i/>
          <w:iCs/>
        </w:rPr>
        <w:t>The More Torah,</w:t>
      </w:r>
      <w:r w:rsidR="00661E91">
        <w:t xml:space="preserve"> 13. </w:t>
      </w:r>
    </w:p>
  </w:footnote>
  <w:footnote w:id="612">
    <w:p w14:paraId="2AF3CBC9" w14:textId="77777777" w:rsidR="00657CB1" w:rsidRPr="0072758C" w:rsidRDefault="00657CB1" w:rsidP="00BC7015">
      <w:pPr>
        <w:pStyle w:val="EndnoteText"/>
        <w:rPr>
          <w:lang w:val="en-AU"/>
        </w:rPr>
      </w:pPr>
    </w:p>
    <w:p w14:paraId="65DDB3BC" w14:textId="114BEAED" w:rsidR="00657CB1" w:rsidRPr="0072758C" w:rsidRDefault="00657CB1" w:rsidP="00BC7015">
      <w:pPr>
        <w:pStyle w:val="EndnoteText"/>
        <w:ind w:firstLine="720"/>
        <w:rPr>
          <w:lang w:val="en-AU"/>
        </w:rPr>
      </w:pPr>
      <w:r w:rsidRPr="0072758C">
        <w:rPr>
          <w:rStyle w:val="FootnoteReference"/>
          <w:lang w:val="en-AU"/>
        </w:rPr>
        <w:footnoteRef/>
      </w:r>
      <w:r w:rsidRPr="0072758C">
        <w:rPr>
          <w:lang w:val="en-AU"/>
        </w:rPr>
        <w:t xml:space="preserve"> For a discussion on how the poor people under Hellenism transitioned to Roman rule and the impact it had on divergent views in change, see</w:t>
      </w:r>
      <w:r w:rsidRPr="0072758C">
        <w:rPr>
          <w:i/>
          <w:iCs/>
          <w:lang w:val="en-AU"/>
        </w:rPr>
        <w:t xml:space="preserve">, </w:t>
      </w:r>
      <w:r w:rsidRPr="0072758C">
        <w:rPr>
          <w:lang w:val="en-AU"/>
        </w:rPr>
        <w:t xml:space="preserve">John J. Collins, </w:t>
      </w:r>
      <w:r w:rsidRPr="0072758C">
        <w:rPr>
          <w:i/>
          <w:iCs/>
          <w:lang w:val="en-AU"/>
        </w:rPr>
        <w:t>Between Athens and Jerusalem: Jewish Identity in the Hellenistic Diaspora</w:t>
      </w:r>
      <w:r w:rsidRPr="0072758C">
        <w:rPr>
          <w:lang w:val="en-AU"/>
        </w:rPr>
        <w:t xml:space="preserve"> (Grand Rapids:  Eerdmans, 1999).</w:t>
      </w:r>
    </w:p>
    <w:p w14:paraId="28803B4C" w14:textId="77777777" w:rsidR="00BC7015" w:rsidRPr="0072758C" w:rsidRDefault="00BC7015" w:rsidP="00BC7015">
      <w:pPr>
        <w:pStyle w:val="EndnoteText"/>
        <w:ind w:firstLine="720"/>
        <w:rPr>
          <w:lang w:val="en-AU"/>
        </w:rPr>
      </w:pPr>
    </w:p>
  </w:footnote>
  <w:footnote w:id="613">
    <w:p w14:paraId="4B6FFCE3" w14:textId="04D28616" w:rsidR="000A1C26" w:rsidRPr="0072758C" w:rsidRDefault="000A1C26" w:rsidP="00BC7015">
      <w:pPr>
        <w:pStyle w:val="EndnoteText"/>
        <w:ind w:firstLine="720"/>
        <w:rPr>
          <w:lang w:val="en-AU"/>
        </w:rPr>
      </w:pPr>
      <w:r w:rsidRPr="0072758C">
        <w:rPr>
          <w:rStyle w:val="FootnoteReference"/>
          <w:lang w:val="en-AU"/>
        </w:rPr>
        <w:footnoteRef/>
      </w:r>
      <w:r w:rsidRPr="0072758C">
        <w:rPr>
          <w:lang w:val="en-AU"/>
        </w:rPr>
        <w:t xml:space="preserve"> Larry Hurtado, “Pre-70 CE Jewish Opposition to Christ Devotion,” </w:t>
      </w:r>
      <w:r w:rsidRPr="0072758C">
        <w:rPr>
          <w:i/>
          <w:iCs/>
          <w:lang w:val="en-AU"/>
        </w:rPr>
        <w:t>The Journal of Theological Studies</w:t>
      </w:r>
      <w:r w:rsidRPr="0072758C">
        <w:rPr>
          <w:lang w:val="en-AU"/>
        </w:rPr>
        <w:t xml:space="preserve"> 50 (1999): 33–34</w:t>
      </w:r>
    </w:p>
    <w:p w14:paraId="22456729" w14:textId="77777777" w:rsidR="000A1C26" w:rsidRPr="0072758C" w:rsidRDefault="000A1C26" w:rsidP="00BC7015">
      <w:pPr>
        <w:pStyle w:val="EndnoteText"/>
        <w:rPr>
          <w:lang w:val="en-AU"/>
        </w:rPr>
      </w:pPr>
    </w:p>
  </w:footnote>
  <w:footnote w:id="614">
    <w:p w14:paraId="5B934970" w14:textId="77777777" w:rsidR="000A1C26" w:rsidRPr="0072758C" w:rsidRDefault="000A1C26" w:rsidP="00BC7015">
      <w:pPr>
        <w:pStyle w:val="EndnoteText"/>
        <w:ind w:firstLine="720"/>
        <w:rPr>
          <w:lang w:val="en-AU"/>
        </w:rPr>
      </w:pPr>
      <w:r w:rsidRPr="0072758C">
        <w:rPr>
          <w:rStyle w:val="FootnoteReference"/>
          <w:lang w:val="en-AU"/>
        </w:rPr>
        <w:footnoteRef/>
      </w:r>
      <w:r w:rsidRPr="0072758C">
        <w:rPr>
          <w:lang w:val="en-AU"/>
        </w:rPr>
        <w:t xml:space="preserve"> Viljoen, “Jesus’ Teaching on the Torah in the Sermon on the Mount,” 145.</w:t>
      </w:r>
    </w:p>
    <w:p w14:paraId="3C753AB5" w14:textId="77777777" w:rsidR="000A1C26" w:rsidRPr="0072758C" w:rsidRDefault="000A1C26" w:rsidP="00F623D4">
      <w:pPr>
        <w:pStyle w:val="EndnoteText"/>
        <w:rPr>
          <w:lang w:val="en-AU"/>
        </w:rPr>
      </w:pPr>
    </w:p>
  </w:footnote>
  <w:footnote w:id="615">
    <w:p w14:paraId="785A169B" w14:textId="77777777" w:rsidR="000A1C26" w:rsidRPr="0072758C" w:rsidRDefault="000A1C26" w:rsidP="00F623D4">
      <w:pPr>
        <w:pStyle w:val="EndnoteText"/>
        <w:ind w:firstLine="720"/>
        <w:rPr>
          <w:lang w:val="en-AU"/>
        </w:rPr>
      </w:pPr>
      <w:r w:rsidRPr="0072758C">
        <w:rPr>
          <w:rStyle w:val="FootnoteReference"/>
          <w:lang w:val="en-AU"/>
        </w:rPr>
        <w:footnoteRef/>
      </w:r>
      <w:r w:rsidRPr="0072758C">
        <w:rPr>
          <w:lang w:val="en-AU"/>
        </w:rPr>
        <w:t xml:space="preserve"> Anthony J Saldarini, </w:t>
      </w:r>
      <w:r w:rsidRPr="0072758C">
        <w:rPr>
          <w:i/>
          <w:iCs/>
          <w:lang w:val="en-AU"/>
        </w:rPr>
        <w:t>Matthew’s Christian-Jewish Community</w:t>
      </w:r>
      <w:r w:rsidRPr="0072758C">
        <w:rPr>
          <w:lang w:val="en-AU"/>
        </w:rPr>
        <w:t>, 1–2.</w:t>
      </w:r>
    </w:p>
  </w:footnote>
  <w:footnote w:id="616">
    <w:p w14:paraId="05452BB6" w14:textId="77777777" w:rsidR="00657CB1" w:rsidRPr="0072758C" w:rsidRDefault="00657CB1" w:rsidP="00F623D4">
      <w:pPr>
        <w:pStyle w:val="EndnoteText"/>
        <w:rPr>
          <w:lang w:val="en-AU"/>
        </w:rPr>
      </w:pPr>
    </w:p>
    <w:p w14:paraId="49AA949F" w14:textId="77777777" w:rsidR="00657CB1" w:rsidRPr="0072758C" w:rsidRDefault="00657CB1" w:rsidP="00F623D4">
      <w:pPr>
        <w:pStyle w:val="EndnoteText"/>
        <w:ind w:firstLine="720"/>
        <w:rPr>
          <w:lang w:val="en-AU"/>
        </w:rPr>
      </w:pPr>
      <w:r w:rsidRPr="0072758C">
        <w:rPr>
          <w:rStyle w:val="FootnoteReference"/>
          <w:lang w:val="en-AU"/>
        </w:rPr>
        <w:footnoteRef/>
      </w:r>
      <w:r w:rsidRPr="0072758C">
        <w:rPr>
          <w:lang w:val="en-AU"/>
        </w:rPr>
        <w:t xml:space="preserve"> Betz, </w:t>
      </w:r>
      <w:r w:rsidRPr="0072758C">
        <w:rPr>
          <w:i/>
          <w:iCs/>
          <w:lang w:val="en-AU"/>
        </w:rPr>
        <w:t xml:space="preserve">Essays on the Sermon on the Mount, </w:t>
      </w:r>
      <w:r w:rsidRPr="0072758C">
        <w:rPr>
          <w:lang w:val="en-AU"/>
        </w:rPr>
        <w:t>17.</w:t>
      </w:r>
    </w:p>
  </w:footnote>
  <w:footnote w:id="617">
    <w:p w14:paraId="44345BD3" w14:textId="77777777" w:rsidR="00657CB1" w:rsidRPr="0072758C" w:rsidRDefault="00657CB1" w:rsidP="00F623D4">
      <w:pPr>
        <w:pStyle w:val="EndnoteText"/>
        <w:rPr>
          <w:lang w:val="en-AU"/>
        </w:rPr>
      </w:pPr>
    </w:p>
    <w:p w14:paraId="688EE70C" w14:textId="3AC77411" w:rsidR="00B63319" w:rsidRPr="0072758C" w:rsidRDefault="00657CB1" w:rsidP="00F623D4">
      <w:pPr>
        <w:pStyle w:val="EndnoteText"/>
        <w:ind w:firstLine="720"/>
        <w:rPr>
          <w:lang w:val="en-AU"/>
        </w:rPr>
      </w:pPr>
      <w:r w:rsidRPr="0072758C">
        <w:rPr>
          <w:rStyle w:val="FootnoteReference"/>
          <w:lang w:val="en-AU"/>
        </w:rPr>
        <w:footnoteRef/>
      </w:r>
      <w:r w:rsidRPr="0072758C">
        <w:rPr>
          <w:lang w:val="en-AU"/>
        </w:rPr>
        <w:t xml:space="preserve"> Amy-Jill Levine, </w:t>
      </w:r>
      <w:r w:rsidRPr="0072758C">
        <w:rPr>
          <w:i/>
          <w:iCs/>
          <w:lang w:val="en-AU"/>
        </w:rPr>
        <w:t>The Misunderstood Jew: The Church and the Scandal of the Jewish Jesus</w:t>
      </w:r>
      <w:r w:rsidRPr="0072758C">
        <w:rPr>
          <w:lang w:val="en-AU"/>
        </w:rPr>
        <w:t> (San Francisco: HarperSanFrancisco, 2007)</w:t>
      </w:r>
      <w:r w:rsidRPr="0072758C">
        <w:rPr>
          <w:i/>
          <w:iCs/>
          <w:lang w:val="en-AU"/>
        </w:rPr>
        <w:t xml:space="preserve">, </w:t>
      </w:r>
      <w:r w:rsidRPr="0072758C">
        <w:rPr>
          <w:iCs/>
          <w:lang w:val="en-AU"/>
        </w:rPr>
        <w:t>111</w:t>
      </w:r>
      <w:r w:rsidRPr="0072758C">
        <w:rPr>
          <w:i/>
          <w:iCs/>
          <w:lang w:val="en-AU"/>
        </w:rPr>
        <w:t>.</w:t>
      </w:r>
      <w:r w:rsidR="00B63319" w:rsidRPr="0072758C">
        <w:rPr>
          <w:i/>
          <w:iCs/>
          <w:lang w:val="en-AU"/>
        </w:rPr>
        <w:t xml:space="preserve"> </w:t>
      </w:r>
      <w:r w:rsidR="00B63319" w:rsidRPr="0072758C">
        <w:rPr>
          <w:lang w:val="en-AU"/>
        </w:rPr>
        <w:t>For a discussion on loving enemies in the context of rituali</w:t>
      </w:r>
      <w:r w:rsidR="008D2EB1" w:rsidRPr="0072758C">
        <w:rPr>
          <w:lang w:val="en-AU"/>
        </w:rPr>
        <w:t>s</w:t>
      </w:r>
      <w:r w:rsidR="00B63319" w:rsidRPr="0072758C">
        <w:rPr>
          <w:lang w:val="en-AU"/>
        </w:rPr>
        <w:t>ed violence, see Nestor M. Ravilas, “Precarious Life, Justified Aggression, and Ritualized Violence: Is There a Place for ‘Loving Your Enemy’ in a World of Violence</w:t>
      </w:r>
      <w:r w:rsidR="009B3256" w:rsidRPr="0072758C">
        <w:rPr>
          <w:lang w:val="en-AU"/>
        </w:rPr>
        <w:t>,</w:t>
      </w:r>
      <w:r w:rsidR="00B63319" w:rsidRPr="0072758C">
        <w:rPr>
          <w:lang w:val="en-AU"/>
        </w:rPr>
        <w:t>” </w:t>
      </w:r>
      <w:r w:rsidR="00B63319" w:rsidRPr="0072758C">
        <w:rPr>
          <w:i/>
          <w:iCs/>
          <w:lang w:val="en-AU"/>
        </w:rPr>
        <w:t>The Asia Journal of Theology</w:t>
      </w:r>
      <w:r w:rsidR="00B63319" w:rsidRPr="0072758C">
        <w:rPr>
          <w:lang w:val="en-AU"/>
        </w:rPr>
        <w:t> 31</w:t>
      </w:r>
      <w:r w:rsidR="003B20F1" w:rsidRPr="0072758C">
        <w:rPr>
          <w:lang w:val="en-AU"/>
        </w:rPr>
        <w:t xml:space="preserve"> </w:t>
      </w:r>
      <w:r w:rsidR="00B63319" w:rsidRPr="0072758C">
        <w:rPr>
          <w:lang w:val="en-AU"/>
        </w:rPr>
        <w:t>(2017): 82–98.</w:t>
      </w:r>
    </w:p>
    <w:p w14:paraId="2A7EFFAF" w14:textId="77777777" w:rsidR="00657CB1" w:rsidRPr="0072758C" w:rsidRDefault="00657CB1" w:rsidP="00F623D4">
      <w:pPr>
        <w:pStyle w:val="EndnoteText"/>
        <w:rPr>
          <w:lang w:val="en-AU"/>
        </w:rPr>
      </w:pPr>
    </w:p>
  </w:footnote>
  <w:footnote w:id="618">
    <w:p w14:paraId="6523A6E7" w14:textId="77777777" w:rsidR="00657CB1" w:rsidRPr="0072758C" w:rsidRDefault="00657CB1" w:rsidP="00F623D4">
      <w:pPr>
        <w:pStyle w:val="EndnoteText"/>
        <w:ind w:firstLine="720"/>
        <w:rPr>
          <w:lang w:val="en-AU"/>
        </w:rPr>
      </w:pPr>
      <w:r w:rsidRPr="0072758C">
        <w:rPr>
          <w:rStyle w:val="FootnoteReference"/>
          <w:lang w:val="en-AU"/>
        </w:rPr>
        <w:footnoteRef/>
      </w:r>
      <w:r w:rsidRPr="0072758C">
        <w:rPr>
          <w:lang w:val="en-AU"/>
        </w:rPr>
        <w:t xml:space="preserve"> Bernard J. Lee, </w:t>
      </w:r>
      <w:r w:rsidRPr="0072758C">
        <w:rPr>
          <w:i/>
          <w:iCs/>
          <w:lang w:val="en-AU"/>
        </w:rPr>
        <w:t>The Galilean Jewishness of Jesus</w:t>
      </w:r>
      <w:r w:rsidRPr="0072758C">
        <w:rPr>
          <w:lang w:val="en-AU"/>
        </w:rPr>
        <w:t xml:space="preserve"> (New York: Paulist, 1988), 67.</w:t>
      </w:r>
    </w:p>
    <w:p w14:paraId="23C6CCF4" w14:textId="77777777" w:rsidR="00657CB1" w:rsidRPr="0072758C" w:rsidRDefault="00657CB1" w:rsidP="00F623D4">
      <w:pPr>
        <w:pStyle w:val="EndnoteText"/>
        <w:rPr>
          <w:lang w:val="en-AU"/>
        </w:rPr>
      </w:pPr>
    </w:p>
  </w:footnote>
  <w:footnote w:id="619">
    <w:p w14:paraId="4C9F3869" w14:textId="4EA413E5" w:rsidR="00465B38" w:rsidRPr="0072758C" w:rsidRDefault="00465B38" w:rsidP="00F623D4">
      <w:pPr>
        <w:pStyle w:val="EndnoteText"/>
        <w:ind w:firstLine="720"/>
        <w:rPr>
          <w:lang w:val="en-AU"/>
        </w:rPr>
      </w:pPr>
      <w:r w:rsidRPr="0072758C">
        <w:rPr>
          <w:rStyle w:val="FootnoteReference"/>
          <w:lang w:val="en-AU"/>
        </w:rPr>
        <w:footnoteRef/>
      </w:r>
      <w:r w:rsidRPr="0072758C">
        <w:rPr>
          <w:lang w:val="en-AU"/>
        </w:rPr>
        <w:t xml:space="preserve"> John Barton, “The Hebrew Bible: Formation and Character</w:t>
      </w:r>
      <w:r w:rsidR="00BA5EAE" w:rsidRPr="0072758C">
        <w:rPr>
          <w:lang w:val="en-AU"/>
        </w:rPr>
        <w:t>,</w:t>
      </w:r>
      <w:r w:rsidRPr="0072758C">
        <w:rPr>
          <w:lang w:val="en-AU"/>
        </w:rPr>
        <w:t>” In </w:t>
      </w:r>
      <w:r w:rsidRPr="0072758C">
        <w:rPr>
          <w:i/>
          <w:iCs/>
          <w:lang w:val="en-AU"/>
        </w:rPr>
        <w:t>Companion Encyclopedia of Theology</w:t>
      </w:r>
      <w:r w:rsidRPr="0072758C">
        <w:rPr>
          <w:lang w:val="en-AU"/>
        </w:rPr>
        <w:t xml:space="preserve">, 7–27 </w:t>
      </w:r>
      <w:r w:rsidR="008D46B2" w:rsidRPr="0072758C">
        <w:rPr>
          <w:lang w:val="en-AU"/>
        </w:rPr>
        <w:t>(</w:t>
      </w:r>
      <w:r w:rsidRPr="0072758C">
        <w:rPr>
          <w:lang w:val="en-AU"/>
        </w:rPr>
        <w:t>London</w:t>
      </w:r>
      <w:r w:rsidR="008D46B2" w:rsidRPr="0072758C">
        <w:rPr>
          <w:lang w:val="en-AU"/>
        </w:rPr>
        <w:t>: Routledge</w:t>
      </w:r>
      <w:r w:rsidRPr="0072758C">
        <w:rPr>
          <w:lang w:val="en-AU"/>
        </w:rPr>
        <w:t>, 1995</w:t>
      </w:r>
      <w:r w:rsidR="008D46B2" w:rsidRPr="0072758C">
        <w:rPr>
          <w:lang w:val="en-AU"/>
        </w:rPr>
        <w:t>)</w:t>
      </w:r>
      <w:r w:rsidRPr="0072758C">
        <w:rPr>
          <w:lang w:val="en-AU"/>
        </w:rPr>
        <w:t>; Katharine J. Dell, “How Much Wisdom Literature Has Its Roots in the Pre-Exilic Period?” In </w:t>
      </w:r>
      <w:r w:rsidRPr="0072758C">
        <w:rPr>
          <w:i/>
          <w:iCs/>
          <w:lang w:val="en-AU"/>
        </w:rPr>
        <w:t>In Search of Pre-Exilic Israel: Proceedings of the Oxford Old Testament Seminar</w:t>
      </w:r>
      <w:r w:rsidRPr="0072758C">
        <w:rPr>
          <w:lang w:val="en-AU"/>
        </w:rPr>
        <w:t>, 251–71</w:t>
      </w:r>
      <w:r w:rsidR="00C93C1C" w:rsidRPr="0072758C">
        <w:rPr>
          <w:lang w:val="en-AU"/>
        </w:rPr>
        <w:t xml:space="preserve"> (</w:t>
      </w:r>
      <w:r w:rsidRPr="0072758C">
        <w:rPr>
          <w:lang w:val="en-AU"/>
        </w:rPr>
        <w:t>London</w:t>
      </w:r>
      <w:r w:rsidR="00C93C1C" w:rsidRPr="0072758C">
        <w:rPr>
          <w:lang w:val="en-AU"/>
        </w:rPr>
        <w:t>: T &amp; T Clark</w:t>
      </w:r>
      <w:r w:rsidRPr="0072758C">
        <w:rPr>
          <w:lang w:val="en-AU"/>
        </w:rPr>
        <w:t>, 2004</w:t>
      </w:r>
      <w:r w:rsidR="00C93C1C" w:rsidRPr="0072758C">
        <w:rPr>
          <w:lang w:val="en-AU"/>
        </w:rPr>
        <w:t>)</w:t>
      </w:r>
      <w:r w:rsidRPr="0072758C">
        <w:rPr>
          <w:lang w:val="en-AU"/>
        </w:rPr>
        <w:t>; Douglas Sean O’Donnell, “The End of Ecclesiastes: An Introduction to an Enigmatic Book</w:t>
      </w:r>
      <w:r w:rsidR="00C93C1C" w:rsidRPr="0072758C">
        <w:rPr>
          <w:lang w:val="en-AU"/>
        </w:rPr>
        <w:t>,</w:t>
      </w:r>
      <w:r w:rsidRPr="0072758C">
        <w:rPr>
          <w:lang w:val="en-AU"/>
        </w:rPr>
        <w:t>” </w:t>
      </w:r>
      <w:r w:rsidRPr="0072758C">
        <w:rPr>
          <w:i/>
          <w:iCs/>
          <w:lang w:val="en-AU"/>
        </w:rPr>
        <w:t>The Journal of the Evangelical Homiletics Society</w:t>
      </w:r>
      <w:r w:rsidRPr="0072758C">
        <w:rPr>
          <w:lang w:val="en-AU"/>
        </w:rPr>
        <w:t xml:space="preserve"> 21 </w:t>
      </w:r>
      <w:r w:rsidR="00521C2B" w:rsidRPr="0072758C">
        <w:rPr>
          <w:lang w:val="en-AU"/>
        </w:rPr>
        <w:t>(</w:t>
      </w:r>
      <w:r w:rsidRPr="0072758C">
        <w:rPr>
          <w:lang w:val="en-AU"/>
        </w:rPr>
        <w:t>2021): 87–101.</w:t>
      </w:r>
    </w:p>
    <w:p w14:paraId="7BF699DF" w14:textId="0CD66744" w:rsidR="00465B38" w:rsidRPr="0072758C" w:rsidRDefault="00465B38" w:rsidP="00F623D4">
      <w:pPr>
        <w:pStyle w:val="EndnoteText"/>
        <w:rPr>
          <w:lang w:val="en-AU"/>
        </w:rPr>
      </w:pPr>
    </w:p>
  </w:footnote>
  <w:footnote w:id="620">
    <w:p w14:paraId="53C0AF77" w14:textId="636DE5E8" w:rsidR="00BC7015" w:rsidRPr="0072758C" w:rsidRDefault="00657CB1" w:rsidP="00444F10">
      <w:pPr>
        <w:pStyle w:val="EndnoteText"/>
        <w:ind w:firstLine="720"/>
        <w:rPr>
          <w:lang w:val="en-AU"/>
        </w:rPr>
      </w:pPr>
      <w:r w:rsidRPr="0072758C">
        <w:rPr>
          <w:rStyle w:val="FootnoteReference"/>
          <w:lang w:val="en-AU"/>
        </w:rPr>
        <w:footnoteRef/>
      </w:r>
      <w:r w:rsidRPr="0072758C">
        <w:rPr>
          <w:lang w:val="en-AU"/>
        </w:rPr>
        <w:t xml:space="preserve"> For more information regarding the imagery of the God as the king, suzerain, or a monarch and how these images began before the exile and continues into early Christian thinking, see Anne Moore, </w:t>
      </w:r>
      <w:r w:rsidRPr="0072758C">
        <w:rPr>
          <w:i/>
          <w:iCs/>
          <w:lang w:val="en-AU"/>
        </w:rPr>
        <w:t>Moving Beyond Symbol and Myth: Understanding the Kingship of God of the Hebrew Bible through Metaphor</w:t>
      </w:r>
      <w:r w:rsidRPr="0072758C">
        <w:rPr>
          <w:lang w:val="en-AU"/>
        </w:rPr>
        <w:t xml:space="preserve"> (New York: Peter Lang, 2009). For the role of the prophet and how the role of the prophet ceased to be noted in Biblical writings early post-exilic period, see</w:t>
      </w:r>
      <w:r w:rsidRPr="0072758C">
        <w:rPr>
          <w:i/>
          <w:iCs/>
          <w:lang w:val="en-AU"/>
        </w:rPr>
        <w:t xml:space="preserve"> </w:t>
      </w:r>
      <w:r w:rsidRPr="0072758C">
        <w:rPr>
          <w:lang w:val="en-AU"/>
        </w:rPr>
        <w:t xml:space="preserve">Julius Wellhausen, </w:t>
      </w:r>
      <w:r w:rsidRPr="0072758C">
        <w:rPr>
          <w:i/>
          <w:iCs/>
          <w:lang w:val="en-AU"/>
        </w:rPr>
        <w:t xml:space="preserve">Prolegomenon to the History of Ancient Israel </w:t>
      </w:r>
      <w:r w:rsidRPr="0072758C">
        <w:rPr>
          <w:lang w:val="en-AU"/>
        </w:rPr>
        <w:t xml:space="preserve">(Cleveland: Meridian, 1965), 402–404; Yehezkel Kaufmann, </w:t>
      </w:r>
      <w:r w:rsidRPr="0072758C">
        <w:rPr>
          <w:i/>
          <w:iCs/>
          <w:lang w:val="en-AU"/>
        </w:rPr>
        <w:t>Toledot ha-’emunah ha-yisra’elit</w:t>
      </w:r>
      <w:r w:rsidRPr="0072758C">
        <w:rPr>
          <w:lang w:val="en-AU"/>
        </w:rPr>
        <w:t xml:space="preserve"> (Jerusalem: Bialik Institute, 1955), 4:378–403; </w:t>
      </w:r>
      <w:r w:rsidRPr="0072758C">
        <w:rPr>
          <w:rFonts w:eastAsiaTheme="minorHAnsi"/>
          <w:lang w:val="en-AU"/>
        </w:rPr>
        <w:t xml:space="preserve">Frank M. Cross, </w:t>
      </w:r>
      <w:r w:rsidRPr="0072758C">
        <w:rPr>
          <w:rFonts w:eastAsiaTheme="minorHAnsi"/>
          <w:i/>
          <w:iCs/>
          <w:lang w:val="en-AU"/>
        </w:rPr>
        <w:t>Canaanite Myth and Hebrew Epic</w:t>
      </w:r>
      <w:r w:rsidRPr="0072758C">
        <w:rPr>
          <w:rFonts w:eastAsiaTheme="minorHAnsi"/>
          <w:lang w:val="en-AU"/>
        </w:rPr>
        <w:t xml:space="preserve"> (Cambridge: Harvard University Press, 1973), 223</w:t>
      </w:r>
      <w:r w:rsidRPr="0072758C">
        <w:rPr>
          <w:lang w:val="en-AU"/>
        </w:rPr>
        <w:t xml:space="preserve">; </w:t>
      </w:r>
      <w:r w:rsidRPr="0072758C">
        <w:rPr>
          <w:rFonts w:eastAsiaTheme="minorHAnsi"/>
          <w:lang w:val="en-AU"/>
        </w:rPr>
        <w:t xml:space="preserve">Paul D. Hanson, </w:t>
      </w:r>
      <w:r w:rsidRPr="0072758C">
        <w:rPr>
          <w:rFonts w:eastAsiaTheme="minorHAnsi"/>
          <w:i/>
          <w:iCs/>
          <w:lang w:val="en-AU"/>
        </w:rPr>
        <w:t>The Dawn of the Apocalyptic</w:t>
      </w:r>
      <w:r w:rsidRPr="0072758C">
        <w:rPr>
          <w:rFonts w:eastAsiaTheme="minorHAnsi"/>
          <w:lang w:val="en-AU"/>
        </w:rPr>
        <w:t xml:space="preserve"> (Philadelphia: Fortress, 1975), 16; David L. Petersen, </w:t>
      </w:r>
      <w:r w:rsidRPr="0072758C">
        <w:rPr>
          <w:rFonts w:eastAsiaTheme="minorHAnsi"/>
          <w:i/>
          <w:iCs/>
          <w:lang w:val="en-AU"/>
        </w:rPr>
        <w:t xml:space="preserve">Late Israelite Prophecy: Studies in Deutero-Prophetic Literature and in Chronicles </w:t>
      </w:r>
      <w:r w:rsidRPr="0072758C">
        <w:rPr>
          <w:rFonts w:eastAsiaTheme="minorHAnsi"/>
          <w:lang w:val="en-AU"/>
        </w:rPr>
        <w:t>(Missoula: Scholars Press, 1977), 2–6</w:t>
      </w:r>
      <w:r w:rsidRPr="0072758C">
        <w:rPr>
          <w:lang w:val="en-AU"/>
        </w:rPr>
        <w:t xml:space="preserve">.  There are examples from the </w:t>
      </w:r>
      <w:r w:rsidRPr="0072758C">
        <w:rPr>
          <w:i/>
          <w:iCs/>
          <w:lang w:val="en-AU"/>
        </w:rPr>
        <w:t xml:space="preserve">Mishnaic </w:t>
      </w:r>
      <w:r w:rsidRPr="0072758C">
        <w:rPr>
          <w:lang w:val="en-AU"/>
        </w:rPr>
        <w:t xml:space="preserve">period that demonstrate how the Jewish view of prophets being an active and current tool in </w:t>
      </w:r>
      <w:r w:rsidR="009B3256" w:rsidRPr="0072758C">
        <w:rPr>
          <w:lang w:val="en-AU"/>
        </w:rPr>
        <w:t>religion</w:t>
      </w:r>
      <w:r w:rsidRPr="0072758C">
        <w:rPr>
          <w:lang w:val="en-AU"/>
        </w:rPr>
        <w:t xml:space="preserve"> by the Second Temple period had diminished, see</w:t>
      </w:r>
      <w:r w:rsidRPr="0072758C">
        <w:rPr>
          <w:i/>
          <w:iCs/>
          <w:lang w:val="en-AU"/>
        </w:rPr>
        <w:t xml:space="preserve">, </w:t>
      </w:r>
      <w:r w:rsidRPr="0072758C">
        <w:rPr>
          <w:lang w:val="en-AU"/>
        </w:rPr>
        <w:t>M. Sotah 9:12; T. Sotah 13:2–3; B. Sanhedrin 11a; B. Yoma’ 9b; B. Sotah 48b. For scholarship on how the role of the prophet was not part of Judaism at the time of the Second Temple, see</w:t>
      </w:r>
      <w:r w:rsidRPr="0072758C">
        <w:rPr>
          <w:i/>
          <w:iCs/>
          <w:lang w:val="en-AU"/>
        </w:rPr>
        <w:t xml:space="preserve"> </w:t>
      </w:r>
      <w:r w:rsidRPr="0072758C">
        <w:rPr>
          <w:lang w:val="en-AU"/>
        </w:rPr>
        <w:t xml:space="preserve">Frederick E. Greenspahn, “Why Prophecy Ceased,” </w:t>
      </w:r>
      <w:r w:rsidRPr="0072758C">
        <w:rPr>
          <w:i/>
          <w:iCs/>
          <w:lang w:val="en-AU"/>
        </w:rPr>
        <w:t>Journal of Biblical Literature</w:t>
      </w:r>
      <w:r w:rsidRPr="0072758C">
        <w:rPr>
          <w:lang w:val="en-AU"/>
        </w:rPr>
        <w:t xml:space="preserve"> 108 (1989): 37–49; Michael H. Floyd, </w:t>
      </w:r>
      <w:r w:rsidRPr="0072758C">
        <w:rPr>
          <w:i/>
          <w:iCs/>
          <w:lang w:val="en-AU"/>
        </w:rPr>
        <w:t>Introduction to Prophets, Prophecy, and Prophetic Texts in Second Temple Judaism</w:t>
      </w:r>
      <w:r w:rsidRPr="0072758C">
        <w:rPr>
          <w:lang w:val="en-AU"/>
        </w:rPr>
        <w:t xml:space="preserve"> (New York: T. &amp; T. Clark, 2006), 1–25. The view that the role of a prophet was not active anymore post biblical time extended after the time of Jesus in the rise of the Early Church,</w:t>
      </w:r>
      <w:r w:rsidRPr="0072758C">
        <w:rPr>
          <w:i/>
          <w:iCs/>
          <w:lang w:val="en-AU"/>
        </w:rPr>
        <w:t xml:space="preserve"> </w:t>
      </w:r>
      <w:r w:rsidRPr="0072758C">
        <w:rPr>
          <w:lang w:val="en-AU"/>
        </w:rPr>
        <w:t>see</w:t>
      </w:r>
      <w:r w:rsidRPr="0072758C">
        <w:rPr>
          <w:i/>
          <w:iCs/>
          <w:lang w:val="en-AU"/>
        </w:rPr>
        <w:t xml:space="preserve"> </w:t>
      </w:r>
      <w:r w:rsidRPr="0072758C">
        <w:rPr>
          <w:lang w:val="en-AU"/>
        </w:rPr>
        <w:t xml:space="preserve">David E. Aune, </w:t>
      </w:r>
      <w:r w:rsidRPr="0072758C">
        <w:rPr>
          <w:i/>
          <w:iCs/>
          <w:lang w:val="en-AU"/>
        </w:rPr>
        <w:t xml:space="preserve">Prophecy in Early Christianity and the Ancient Mediterranean World </w:t>
      </w:r>
      <w:r w:rsidRPr="0072758C">
        <w:rPr>
          <w:lang w:val="en-AU"/>
        </w:rPr>
        <w:t xml:space="preserve">(Grand Rapids, MI: Eerdmans, 1991), 103–106; Richard A. Horsley, “‘Like One of the Prophets of Old’: Two Types of Popular Prophets at the Time of Jesus,” </w:t>
      </w:r>
      <w:r w:rsidRPr="0072758C">
        <w:rPr>
          <w:i/>
          <w:iCs/>
          <w:lang w:val="en-AU"/>
        </w:rPr>
        <w:t>Catholic Biblical Quarterly</w:t>
      </w:r>
      <w:r w:rsidRPr="0072758C">
        <w:rPr>
          <w:lang w:val="en-AU"/>
        </w:rPr>
        <w:t xml:space="preserve"> 47 (1985): 435–63.</w:t>
      </w:r>
    </w:p>
    <w:p w14:paraId="0A19F02B" w14:textId="77777777" w:rsidR="00444F10" w:rsidRPr="0072758C" w:rsidRDefault="00444F10" w:rsidP="00444F10">
      <w:pPr>
        <w:pStyle w:val="EndnoteText"/>
        <w:ind w:firstLine="720"/>
        <w:rPr>
          <w:lang w:val="en-AU"/>
        </w:rPr>
      </w:pPr>
    </w:p>
  </w:footnote>
  <w:footnote w:id="621">
    <w:p w14:paraId="3A0C6CC2" w14:textId="0454577C" w:rsidR="00DC3E4A" w:rsidRPr="0072758C" w:rsidRDefault="00657CB1" w:rsidP="00F623D4">
      <w:pPr>
        <w:pStyle w:val="EndnoteText"/>
        <w:ind w:firstLine="720"/>
        <w:rPr>
          <w:lang w:val="en-AU"/>
        </w:rPr>
      </w:pPr>
      <w:r w:rsidRPr="0072758C">
        <w:rPr>
          <w:rStyle w:val="FootnoteReference"/>
          <w:lang w:val="en-AU"/>
        </w:rPr>
        <w:footnoteRef/>
      </w:r>
      <w:r w:rsidRPr="0072758C">
        <w:rPr>
          <w:lang w:val="en-AU"/>
        </w:rPr>
        <w:t xml:space="preserve"> John P Meier, </w:t>
      </w:r>
      <w:r w:rsidRPr="0072758C">
        <w:rPr>
          <w:i/>
          <w:iCs/>
          <w:lang w:val="en-AU"/>
        </w:rPr>
        <w:t xml:space="preserve">Law and History </w:t>
      </w:r>
      <w:proofErr w:type="gramStart"/>
      <w:r w:rsidRPr="0072758C">
        <w:rPr>
          <w:i/>
          <w:iCs/>
          <w:lang w:val="en-AU"/>
        </w:rPr>
        <w:t>In</w:t>
      </w:r>
      <w:proofErr w:type="gramEnd"/>
      <w:r w:rsidRPr="0072758C">
        <w:rPr>
          <w:i/>
          <w:iCs/>
          <w:lang w:val="en-AU"/>
        </w:rPr>
        <w:t xml:space="preserve"> Matthew’s Gospel</w:t>
      </w:r>
      <w:r w:rsidRPr="0072758C">
        <w:rPr>
          <w:lang w:val="en-AU"/>
        </w:rPr>
        <w:t> (Rome: Biblical Institute, 1976), 71</w:t>
      </w:r>
      <w:r w:rsidR="00465B38" w:rsidRPr="0072758C">
        <w:rPr>
          <w:lang w:val="en-AU"/>
        </w:rPr>
        <w:t>; Christian Schneider, “Divine Wisdom: The Christological Interpretation of Sapientia in Johannes von Tepl’s Der Ackermann</w:t>
      </w:r>
      <w:r w:rsidR="00BA5EAE" w:rsidRPr="0072758C">
        <w:rPr>
          <w:lang w:val="en-AU"/>
        </w:rPr>
        <w:t>,</w:t>
      </w:r>
      <w:r w:rsidR="00465B38" w:rsidRPr="0072758C">
        <w:rPr>
          <w:lang w:val="en-AU"/>
        </w:rPr>
        <w:t>” </w:t>
      </w:r>
      <w:r w:rsidR="00465B38" w:rsidRPr="0072758C">
        <w:rPr>
          <w:i/>
          <w:iCs/>
          <w:lang w:val="en-AU"/>
        </w:rPr>
        <w:t>The German Quarterly</w:t>
      </w:r>
      <w:r w:rsidR="00465B38" w:rsidRPr="0072758C">
        <w:rPr>
          <w:lang w:val="en-AU"/>
        </w:rPr>
        <w:t xml:space="preserve"> 87 (2014): 277–96; </w:t>
      </w:r>
      <w:r w:rsidR="00B91DA8" w:rsidRPr="0072758C">
        <w:rPr>
          <w:lang w:val="en-AU"/>
        </w:rPr>
        <w:t xml:space="preserve">Joel S. </w:t>
      </w:r>
      <w:r w:rsidR="00465B38" w:rsidRPr="0072758C">
        <w:rPr>
          <w:lang w:val="en-AU"/>
        </w:rPr>
        <w:t xml:space="preserve">Burnett, </w:t>
      </w:r>
      <w:r w:rsidR="00465B38" w:rsidRPr="0072758C">
        <w:rPr>
          <w:i/>
          <w:iCs/>
          <w:lang w:val="en-AU"/>
        </w:rPr>
        <w:t>Where Is God? Divine Absence in the Hebrew Bible</w:t>
      </w:r>
      <w:r w:rsidR="00465B38" w:rsidRPr="0072758C">
        <w:rPr>
          <w:lang w:val="en-AU"/>
        </w:rPr>
        <w:t xml:space="preserve"> </w:t>
      </w:r>
      <w:r w:rsidR="009B3256" w:rsidRPr="0072758C">
        <w:rPr>
          <w:lang w:val="en-AU"/>
        </w:rPr>
        <w:t>(</w:t>
      </w:r>
      <w:r w:rsidR="00465B38" w:rsidRPr="0072758C">
        <w:rPr>
          <w:lang w:val="en-AU"/>
        </w:rPr>
        <w:t>Minneapolis: Fortress, 2010</w:t>
      </w:r>
      <w:r w:rsidR="009B3256" w:rsidRPr="0072758C">
        <w:rPr>
          <w:lang w:val="en-AU"/>
        </w:rPr>
        <w:t>)</w:t>
      </w:r>
      <w:r w:rsidR="00BA2677" w:rsidRPr="0072758C">
        <w:rPr>
          <w:lang w:val="en-AU"/>
        </w:rPr>
        <w:t>.</w:t>
      </w:r>
    </w:p>
    <w:p w14:paraId="2712BBDB" w14:textId="77777777" w:rsidR="00657CB1" w:rsidRPr="0072758C" w:rsidRDefault="00657CB1" w:rsidP="00F623D4">
      <w:pPr>
        <w:pStyle w:val="EndnoteText"/>
        <w:rPr>
          <w:i/>
          <w:iCs/>
          <w:lang w:val="en-AU"/>
        </w:rPr>
      </w:pPr>
    </w:p>
  </w:footnote>
  <w:footnote w:id="622">
    <w:p w14:paraId="14BD9382" w14:textId="77777777" w:rsidR="00657CB1" w:rsidRPr="0072758C" w:rsidRDefault="00657CB1" w:rsidP="00F623D4">
      <w:pPr>
        <w:pStyle w:val="EndnoteText"/>
        <w:ind w:firstLine="720"/>
        <w:rPr>
          <w:lang w:val="en-AU"/>
        </w:rPr>
      </w:pPr>
      <w:r w:rsidRPr="0072758C">
        <w:rPr>
          <w:rStyle w:val="FootnoteReference"/>
          <w:lang w:val="en-AU"/>
        </w:rPr>
        <w:footnoteRef/>
      </w:r>
      <w:r w:rsidRPr="0072758C">
        <w:rPr>
          <w:lang w:val="en-AU"/>
        </w:rPr>
        <w:t xml:space="preserve"> Betz, </w:t>
      </w:r>
      <w:r w:rsidRPr="0072758C">
        <w:rPr>
          <w:i/>
          <w:iCs/>
          <w:lang w:val="en-AU"/>
        </w:rPr>
        <w:t>Essays on the Sermon on the Mount</w:t>
      </w:r>
      <w:r w:rsidRPr="0072758C">
        <w:rPr>
          <w:lang w:val="en-AU"/>
        </w:rPr>
        <w:t>, 22.</w:t>
      </w:r>
    </w:p>
    <w:p w14:paraId="47D098A0" w14:textId="77777777" w:rsidR="00657CB1" w:rsidRPr="0072758C" w:rsidRDefault="00657CB1" w:rsidP="00F623D4">
      <w:pPr>
        <w:pStyle w:val="EndnoteText"/>
        <w:rPr>
          <w:lang w:val="en-AU"/>
        </w:rPr>
      </w:pPr>
    </w:p>
  </w:footnote>
  <w:footnote w:id="623">
    <w:p w14:paraId="3C36C56D" w14:textId="1DC67A1E" w:rsidR="00596F0A" w:rsidRPr="0072758C" w:rsidRDefault="00657CB1" w:rsidP="00F623D4">
      <w:pPr>
        <w:pStyle w:val="EndnoteText"/>
        <w:ind w:firstLine="720"/>
        <w:rPr>
          <w:lang w:val="en-AU"/>
        </w:rPr>
      </w:pPr>
      <w:r w:rsidRPr="0072758C">
        <w:rPr>
          <w:rStyle w:val="FootnoteReference"/>
          <w:lang w:val="en-AU"/>
        </w:rPr>
        <w:footnoteRef/>
      </w:r>
      <w:r w:rsidRPr="0072758C">
        <w:rPr>
          <w:lang w:val="en-AU"/>
        </w:rPr>
        <w:t xml:space="preserve"> Ulrich Luz and Rosemary Selle, </w:t>
      </w:r>
      <w:r w:rsidRPr="0072758C">
        <w:rPr>
          <w:i/>
          <w:iCs/>
          <w:lang w:val="en-AU"/>
        </w:rPr>
        <w:t xml:space="preserve">Studies </w:t>
      </w:r>
      <w:proofErr w:type="gramStart"/>
      <w:r w:rsidRPr="0072758C">
        <w:rPr>
          <w:i/>
          <w:iCs/>
          <w:lang w:val="en-AU"/>
        </w:rPr>
        <w:t>In</w:t>
      </w:r>
      <w:proofErr w:type="gramEnd"/>
      <w:r w:rsidRPr="0072758C">
        <w:rPr>
          <w:i/>
          <w:iCs/>
          <w:lang w:val="en-AU"/>
        </w:rPr>
        <w:t xml:space="preserve"> Matthew</w:t>
      </w:r>
      <w:r w:rsidRPr="0072758C">
        <w:rPr>
          <w:lang w:val="en-AU"/>
        </w:rPr>
        <w:t> (Grand Rapids: Eerdmans, 2005), 221</w:t>
      </w:r>
      <w:r w:rsidR="00596F0A" w:rsidRPr="0072758C">
        <w:rPr>
          <w:lang w:val="en-AU"/>
        </w:rPr>
        <w:t>; Lawrence M. Wills, “Scribal Methods in Matthew and Mishnah Abot</w:t>
      </w:r>
      <w:r w:rsidR="00BA5EAE" w:rsidRPr="0072758C">
        <w:rPr>
          <w:lang w:val="en-AU"/>
        </w:rPr>
        <w:t>,</w:t>
      </w:r>
      <w:r w:rsidR="00596F0A" w:rsidRPr="0072758C">
        <w:rPr>
          <w:lang w:val="en-AU"/>
        </w:rPr>
        <w:t>” </w:t>
      </w:r>
      <w:r w:rsidR="00596F0A" w:rsidRPr="0072758C">
        <w:rPr>
          <w:i/>
          <w:iCs/>
          <w:lang w:val="en-AU"/>
        </w:rPr>
        <w:t>The Catholic Biblical Quarterly</w:t>
      </w:r>
      <w:r w:rsidR="00D51712" w:rsidRPr="0072758C">
        <w:rPr>
          <w:lang w:val="en-AU"/>
        </w:rPr>
        <w:t xml:space="preserve"> </w:t>
      </w:r>
      <w:r w:rsidR="00596F0A" w:rsidRPr="0072758C">
        <w:rPr>
          <w:lang w:val="en-AU"/>
        </w:rPr>
        <w:t>63</w:t>
      </w:r>
      <w:r w:rsidR="00D51712" w:rsidRPr="0072758C">
        <w:rPr>
          <w:lang w:val="en-AU"/>
        </w:rPr>
        <w:t xml:space="preserve"> (</w:t>
      </w:r>
      <w:r w:rsidR="00596F0A" w:rsidRPr="0072758C">
        <w:rPr>
          <w:lang w:val="en-AU"/>
        </w:rPr>
        <w:t>2001</w:t>
      </w:r>
      <w:r w:rsidR="00D51712" w:rsidRPr="0072758C">
        <w:rPr>
          <w:lang w:val="en-AU"/>
        </w:rPr>
        <w:t xml:space="preserve">): </w:t>
      </w:r>
      <w:r w:rsidR="00596F0A" w:rsidRPr="0072758C">
        <w:rPr>
          <w:lang w:val="en-AU"/>
        </w:rPr>
        <w:t>241–57.</w:t>
      </w:r>
    </w:p>
  </w:footnote>
  <w:footnote w:id="624">
    <w:p w14:paraId="39261CF0" w14:textId="77777777" w:rsidR="00657CB1" w:rsidRPr="0072758C" w:rsidRDefault="00657CB1" w:rsidP="00F623D4">
      <w:pPr>
        <w:pStyle w:val="EndnoteText"/>
        <w:rPr>
          <w:lang w:val="en-AU"/>
        </w:rPr>
      </w:pPr>
    </w:p>
    <w:p w14:paraId="1A2D8495" w14:textId="25186C83" w:rsidR="00125836" w:rsidRPr="0072758C" w:rsidRDefault="00657CB1" w:rsidP="009C6C1E">
      <w:pPr>
        <w:pStyle w:val="EndnoteText"/>
        <w:ind w:firstLine="720"/>
        <w:rPr>
          <w:lang w:val="en-AU"/>
        </w:rPr>
      </w:pPr>
      <w:r w:rsidRPr="0072758C">
        <w:rPr>
          <w:rStyle w:val="FootnoteReference"/>
          <w:lang w:val="en-AU"/>
        </w:rPr>
        <w:footnoteRef/>
      </w:r>
      <w:r w:rsidRPr="0072758C">
        <w:rPr>
          <w:lang w:val="en-AU"/>
        </w:rPr>
        <w:t xml:space="preserve"> Brad H. Young, </w:t>
      </w:r>
      <w:r w:rsidRPr="0072758C">
        <w:rPr>
          <w:i/>
          <w:iCs/>
          <w:lang w:val="en-AU"/>
        </w:rPr>
        <w:t>Meet the Rabbis</w:t>
      </w:r>
      <w:r w:rsidRPr="0072758C">
        <w:rPr>
          <w:lang w:val="en-AU"/>
        </w:rPr>
        <w:t xml:space="preserve"> (Peabody: Hendrickson, 2007), 120.</w:t>
      </w:r>
      <w:r w:rsidR="00596F0A" w:rsidRPr="0072758C">
        <w:rPr>
          <w:lang w:val="en-AU"/>
        </w:rPr>
        <w:t xml:space="preserve"> </w:t>
      </w:r>
      <w:r w:rsidR="00125836" w:rsidRPr="0072758C">
        <w:rPr>
          <w:lang w:val="en-AU"/>
        </w:rPr>
        <w:t xml:space="preserve">In a book review by </w:t>
      </w:r>
      <w:r w:rsidR="00BA4672" w:rsidRPr="0072758C">
        <w:rPr>
          <w:lang w:val="en-AU"/>
        </w:rPr>
        <w:t>Ottenheijm</w:t>
      </w:r>
      <w:r w:rsidR="00125836" w:rsidRPr="0072758C">
        <w:rPr>
          <w:lang w:val="en-AU"/>
        </w:rPr>
        <w:t xml:space="preserve"> on </w:t>
      </w:r>
      <w:r w:rsidR="00125836" w:rsidRPr="0072758C">
        <w:rPr>
          <w:i/>
          <w:iCs/>
          <w:lang w:val="en-AU"/>
        </w:rPr>
        <w:t>Meet the Rabbis</w:t>
      </w:r>
      <w:r w:rsidR="00125836" w:rsidRPr="0072758C">
        <w:rPr>
          <w:lang w:val="en-AU"/>
        </w:rPr>
        <w:t xml:space="preserve">, </w:t>
      </w:r>
      <w:r w:rsidR="00BA4672" w:rsidRPr="0072758C">
        <w:rPr>
          <w:lang w:val="en-AU"/>
        </w:rPr>
        <w:t xml:space="preserve">he affirms that the Sermon on the Mount has significant parallels to the Jewish and the rabbis found in </w:t>
      </w:r>
      <w:r w:rsidR="00BA4672" w:rsidRPr="0072758C">
        <w:rPr>
          <w:i/>
          <w:iCs/>
          <w:lang w:val="en-AU"/>
        </w:rPr>
        <w:t>Mishna</w:t>
      </w:r>
      <w:r w:rsidR="00BA4672" w:rsidRPr="0072758C">
        <w:rPr>
          <w:lang w:val="en-AU"/>
        </w:rPr>
        <w:t>. For Ottenheijm, Young</w:t>
      </w:r>
      <w:r w:rsidR="001C1710" w:rsidRPr="0072758C">
        <w:rPr>
          <w:lang w:val="en-AU"/>
        </w:rPr>
        <w:t>’</w:t>
      </w:r>
      <w:r w:rsidR="00BA4672" w:rsidRPr="0072758C">
        <w:rPr>
          <w:lang w:val="en-AU"/>
        </w:rPr>
        <w:t xml:space="preserve">s work is correct in suggesting that the Sermon on the Mount has moral foundations from Judaism and intellectual thought, see </w:t>
      </w:r>
      <w:r w:rsidR="00125836" w:rsidRPr="0072758C">
        <w:rPr>
          <w:lang w:val="en-AU"/>
        </w:rPr>
        <w:t>Eric Ottenheijm</w:t>
      </w:r>
      <w:r w:rsidR="00BA2677" w:rsidRPr="0072758C">
        <w:rPr>
          <w:lang w:val="en-AU"/>
        </w:rPr>
        <w:t>,</w:t>
      </w:r>
      <w:r w:rsidR="00125836" w:rsidRPr="0072758C">
        <w:rPr>
          <w:lang w:val="en-AU"/>
        </w:rPr>
        <w:t xml:space="preserve"> “Meet the Rabbis: Rabbinic Thought and the Teachings of Jesus Brad H. Young</w:t>
      </w:r>
      <w:r w:rsidR="00BA5EAE" w:rsidRPr="0072758C">
        <w:rPr>
          <w:lang w:val="en-AU"/>
        </w:rPr>
        <w:t>,</w:t>
      </w:r>
      <w:r w:rsidR="00125836" w:rsidRPr="0072758C">
        <w:rPr>
          <w:lang w:val="en-AU"/>
        </w:rPr>
        <w:t>” </w:t>
      </w:r>
      <w:r w:rsidR="00125836" w:rsidRPr="0072758C">
        <w:rPr>
          <w:i/>
          <w:iCs/>
          <w:lang w:val="en-AU"/>
        </w:rPr>
        <w:t>Journal for the Study of Judaism in the Persian, Hellenistic, and Roman Period</w:t>
      </w:r>
      <w:r w:rsidR="00125836" w:rsidRPr="0072758C">
        <w:rPr>
          <w:lang w:val="en-AU"/>
        </w:rPr>
        <w:t> 41 (2010): 147–48. </w:t>
      </w:r>
    </w:p>
    <w:p w14:paraId="4929F641" w14:textId="77777777" w:rsidR="00934C8D" w:rsidRPr="0072758C" w:rsidRDefault="00934C8D" w:rsidP="00F623D4">
      <w:pPr>
        <w:pStyle w:val="EndnoteText"/>
        <w:rPr>
          <w:lang w:val="en-AU"/>
        </w:rPr>
      </w:pPr>
    </w:p>
  </w:footnote>
  <w:footnote w:id="625">
    <w:p w14:paraId="3158357D" w14:textId="33827A04" w:rsidR="00D067C4" w:rsidRPr="0072758C" w:rsidRDefault="000A1C26" w:rsidP="00BA2677">
      <w:pPr>
        <w:pStyle w:val="EndnoteText"/>
        <w:ind w:firstLine="720"/>
        <w:rPr>
          <w:i/>
          <w:iCs/>
          <w:lang w:val="en-AU"/>
        </w:rPr>
      </w:pPr>
      <w:r w:rsidRPr="0072758C">
        <w:rPr>
          <w:rStyle w:val="FootnoteReference"/>
          <w:lang w:val="en-AU"/>
        </w:rPr>
        <w:footnoteRef/>
      </w:r>
      <w:r w:rsidRPr="0072758C">
        <w:rPr>
          <w:lang w:val="en-AU"/>
        </w:rPr>
        <w:t xml:space="preserve"> See</w:t>
      </w:r>
      <w:r w:rsidRPr="0072758C">
        <w:rPr>
          <w:i/>
          <w:iCs/>
          <w:lang w:val="en-AU"/>
        </w:rPr>
        <w:t xml:space="preserve"> </w:t>
      </w:r>
      <w:r w:rsidRPr="0072758C">
        <w:rPr>
          <w:lang w:val="en-AU"/>
        </w:rPr>
        <w:t xml:space="preserve">Hyam Maccoby, “Jesus the Pharisee,” </w:t>
      </w:r>
      <w:r w:rsidRPr="0072758C">
        <w:rPr>
          <w:i/>
          <w:iCs/>
          <w:lang w:val="en-AU"/>
        </w:rPr>
        <w:t>Jewish Quarterly</w:t>
      </w:r>
      <w:r w:rsidRPr="0072758C">
        <w:rPr>
          <w:lang w:val="en-AU"/>
        </w:rPr>
        <w:t xml:space="preserve"> 194 (2004): 39–42; In this article, Maccoby cuts through the anti-Pharisee bias in the New Testament to argue that Jesus was a part of this movement. </w:t>
      </w:r>
      <w:r w:rsidR="00D067C4" w:rsidRPr="0072758C">
        <w:rPr>
          <w:lang w:val="en-AU"/>
        </w:rPr>
        <w:t>For discussion of Jesus, pedagogy, and rabbis see Bart J. Koet, “About the Pedagogy of Jesus and the Later Rabbis: Birger Gerhardsson’s Memory and Manuscript as a Contribution to New Testament Research</w:t>
      </w:r>
      <w:r w:rsidR="00BA5EAE" w:rsidRPr="0072758C">
        <w:rPr>
          <w:lang w:val="en-AU"/>
        </w:rPr>
        <w:t>,</w:t>
      </w:r>
      <w:r w:rsidR="00D067C4" w:rsidRPr="0072758C">
        <w:rPr>
          <w:lang w:val="en-AU"/>
        </w:rPr>
        <w:t>” </w:t>
      </w:r>
      <w:r w:rsidR="00BA2677" w:rsidRPr="0072758C">
        <w:rPr>
          <w:i/>
          <w:iCs/>
          <w:lang w:val="en-AU"/>
        </w:rPr>
        <w:t>NTT Journal for Theology and the Study of Religion</w:t>
      </w:r>
      <w:r w:rsidR="00D067C4" w:rsidRPr="0072758C">
        <w:rPr>
          <w:lang w:val="en-AU"/>
        </w:rPr>
        <w:t> 73</w:t>
      </w:r>
      <w:r w:rsidR="005633D7" w:rsidRPr="0072758C">
        <w:rPr>
          <w:lang w:val="en-AU"/>
        </w:rPr>
        <w:t xml:space="preserve"> </w:t>
      </w:r>
      <w:r w:rsidR="00D067C4" w:rsidRPr="0072758C">
        <w:rPr>
          <w:lang w:val="en-AU"/>
        </w:rPr>
        <w:t>(2019): 299–306.</w:t>
      </w:r>
    </w:p>
    <w:p w14:paraId="6A63456D" w14:textId="77777777" w:rsidR="000A1C26" w:rsidRPr="0072758C" w:rsidRDefault="000A1C26" w:rsidP="00F623D4">
      <w:pPr>
        <w:pStyle w:val="EndnoteText"/>
        <w:rPr>
          <w:lang w:val="en-AU"/>
        </w:rPr>
      </w:pPr>
    </w:p>
  </w:footnote>
  <w:footnote w:id="626">
    <w:p w14:paraId="7D6B58B6" w14:textId="77777777" w:rsidR="000A1C26" w:rsidRPr="0072758C" w:rsidRDefault="000A1C26" w:rsidP="00BC7015">
      <w:pPr>
        <w:pStyle w:val="EndnoteText"/>
        <w:ind w:firstLine="720"/>
        <w:rPr>
          <w:lang w:val="en-AU"/>
        </w:rPr>
      </w:pPr>
      <w:r w:rsidRPr="0072758C">
        <w:rPr>
          <w:rStyle w:val="FootnoteReference"/>
          <w:lang w:val="en-AU"/>
        </w:rPr>
        <w:footnoteRef/>
      </w:r>
      <w:r w:rsidRPr="0072758C">
        <w:rPr>
          <w:lang w:val="en-AU"/>
        </w:rPr>
        <w:t xml:space="preserve"> See</w:t>
      </w:r>
      <w:r w:rsidRPr="0072758C">
        <w:rPr>
          <w:i/>
          <w:iCs/>
          <w:lang w:val="en-AU"/>
        </w:rPr>
        <w:t xml:space="preserve"> </w:t>
      </w:r>
      <w:r w:rsidRPr="0072758C">
        <w:rPr>
          <w:lang w:val="en-AU"/>
        </w:rPr>
        <w:t>Peter Schäfer</w:t>
      </w:r>
      <w:r w:rsidRPr="0072758C">
        <w:rPr>
          <w:i/>
          <w:iCs/>
          <w:lang w:val="en-AU"/>
        </w:rPr>
        <w:t>, Jesus in the Talmud</w:t>
      </w:r>
      <w:r w:rsidRPr="0072758C">
        <w:rPr>
          <w:lang w:val="en-AU"/>
        </w:rPr>
        <w:t xml:space="preserve"> (Princeton: Princeton University Press, 2007), 41–62; Adiel Schremer, </w:t>
      </w:r>
      <w:r w:rsidRPr="0072758C">
        <w:rPr>
          <w:i/>
          <w:iCs/>
          <w:lang w:val="en-AU"/>
        </w:rPr>
        <w:t>Brothers Estranged: Heresy, Christianity, and Jewish Identity in Late Antiquity</w:t>
      </w:r>
      <w:r w:rsidRPr="0072758C">
        <w:rPr>
          <w:lang w:val="en-AU"/>
        </w:rPr>
        <w:t xml:space="preserve"> (Oxford: Oxford University Press, 2009), 87–100.</w:t>
      </w:r>
    </w:p>
    <w:p w14:paraId="1A373076" w14:textId="77777777" w:rsidR="000A1C26" w:rsidRPr="0072758C" w:rsidRDefault="000A1C26" w:rsidP="00F623D4">
      <w:pPr>
        <w:pStyle w:val="EndnoteText"/>
        <w:rPr>
          <w:lang w:val="en-AU"/>
        </w:rPr>
      </w:pPr>
    </w:p>
  </w:footnote>
  <w:footnote w:id="627">
    <w:p w14:paraId="1A5A5E01" w14:textId="0057AAB5" w:rsidR="00BA2677" w:rsidRPr="0072758C" w:rsidRDefault="000A1C26" w:rsidP="00BA2677">
      <w:pPr>
        <w:pStyle w:val="EndnoteText"/>
        <w:ind w:firstLine="720"/>
        <w:rPr>
          <w:lang w:val="en-AU"/>
        </w:rPr>
      </w:pPr>
      <w:r w:rsidRPr="0072758C">
        <w:rPr>
          <w:rStyle w:val="FootnoteReference"/>
          <w:lang w:val="en-AU"/>
        </w:rPr>
        <w:footnoteRef/>
      </w:r>
      <w:r w:rsidRPr="0072758C">
        <w:rPr>
          <w:lang w:val="en-AU"/>
        </w:rPr>
        <w:t xml:space="preserve"> Daniel Joslyn-Siemiatkoski, “Moses Received the Torah at Sinai and Handed It On (Mishnah Avot 1:1): The Relevance of the Written and Oral Torah for Christians,” </w:t>
      </w:r>
      <w:r w:rsidRPr="0072758C">
        <w:rPr>
          <w:i/>
          <w:iCs/>
          <w:lang w:val="en-AU"/>
        </w:rPr>
        <w:t>Anglican Theological Review</w:t>
      </w:r>
      <w:r w:rsidRPr="0072758C">
        <w:rPr>
          <w:lang w:val="en-AU"/>
        </w:rPr>
        <w:t xml:space="preserve"> 91 (2009), 443.</w:t>
      </w:r>
      <w:r w:rsidR="00EF2506" w:rsidRPr="0072758C">
        <w:rPr>
          <w:lang w:val="en-AU"/>
        </w:rPr>
        <w:t xml:space="preserve"> For a discussion on Jesus in the Talmud and how that reflects his observance, see </w:t>
      </w:r>
      <w:r w:rsidR="00BA2677" w:rsidRPr="0072758C">
        <w:rPr>
          <w:lang w:val="en-AU"/>
        </w:rPr>
        <w:t>Federico Dal Bo, “Jesus’ Punishment in Hell in the Latin Translation of the Babylonian Talmud: A Passage from Tractate Gittin in the Extractores de Talmud</w:t>
      </w:r>
      <w:r w:rsidR="001C1710" w:rsidRPr="0072758C">
        <w:rPr>
          <w:lang w:val="en-AU"/>
        </w:rPr>
        <w:t>,</w:t>
      </w:r>
      <w:r w:rsidR="00BA2677" w:rsidRPr="0072758C">
        <w:rPr>
          <w:lang w:val="en-AU"/>
        </w:rPr>
        <w:t>” </w:t>
      </w:r>
      <w:r w:rsidR="00BA2677" w:rsidRPr="0072758C">
        <w:rPr>
          <w:i/>
          <w:lang w:val="en-AU"/>
        </w:rPr>
        <w:t>Henoch</w:t>
      </w:r>
      <w:r w:rsidR="00BA2677" w:rsidRPr="0072758C">
        <w:rPr>
          <w:lang w:val="en-AU"/>
        </w:rPr>
        <w:t> 40 (2018): 165–95.</w:t>
      </w:r>
    </w:p>
    <w:p w14:paraId="2C25F8FD" w14:textId="77777777" w:rsidR="00BA2677" w:rsidRPr="0072758C" w:rsidRDefault="00BA2677" w:rsidP="00BC7015">
      <w:pPr>
        <w:pStyle w:val="EndnoteText"/>
        <w:ind w:firstLine="720"/>
        <w:rPr>
          <w:lang w:val="en-AU"/>
        </w:rPr>
      </w:pPr>
    </w:p>
    <w:p w14:paraId="773FDF67" w14:textId="77777777" w:rsidR="00EF2506" w:rsidRPr="0072758C" w:rsidRDefault="00EF2506" w:rsidP="00F623D4">
      <w:pPr>
        <w:pStyle w:val="EndnoteText"/>
        <w:rPr>
          <w:lang w:val="en-AU"/>
        </w:rPr>
      </w:pPr>
    </w:p>
  </w:footnote>
  <w:footnote w:id="628">
    <w:p w14:paraId="49FD244B" w14:textId="3D0BD483" w:rsidR="0073654D" w:rsidRPr="0072758C" w:rsidRDefault="00657CB1" w:rsidP="00F5340B">
      <w:pPr>
        <w:pStyle w:val="EndnoteText"/>
        <w:ind w:firstLine="720"/>
        <w:rPr>
          <w:lang w:val="en-AU"/>
        </w:rPr>
      </w:pPr>
      <w:r w:rsidRPr="0072758C">
        <w:rPr>
          <w:rStyle w:val="FootnoteReference"/>
          <w:lang w:val="en-AU"/>
        </w:rPr>
        <w:footnoteRef/>
      </w:r>
      <w:r w:rsidRPr="0072758C">
        <w:rPr>
          <w:lang w:val="en-AU"/>
        </w:rPr>
        <w:t xml:space="preserve"> Stephen M. Wylen, </w:t>
      </w:r>
      <w:r w:rsidRPr="0072758C">
        <w:rPr>
          <w:i/>
          <w:iCs/>
          <w:lang w:val="en-AU"/>
        </w:rPr>
        <w:t xml:space="preserve">The Jews in the Time of Jesus </w:t>
      </w:r>
      <w:r w:rsidRPr="0072758C">
        <w:rPr>
          <w:lang w:val="en-AU"/>
        </w:rPr>
        <w:t>(New York: Paulist, 1996), 164.</w:t>
      </w:r>
      <w:r w:rsidR="005A1D10" w:rsidRPr="0072758C">
        <w:rPr>
          <w:lang w:val="en-AU"/>
        </w:rPr>
        <w:t xml:space="preserve"> The Mosaic history extends into Talmud.  See Jean-Marie Auwers, “Jesus in the Talmud and Ancient Rabbinical Literature</w:t>
      </w:r>
      <w:r w:rsidR="00BA5EAE" w:rsidRPr="0072758C">
        <w:rPr>
          <w:lang w:val="en-AU"/>
        </w:rPr>
        <w:t>,</w:t>
      </w:r>
      <w:r w:rsidR="005A1D10" w:rsidRPr="0072758C">
        <w:rPr>
          <w:lang w:val="en-AU"/>
        </w:rPr>
        <w:t>” </w:t>
      </w:r>
      <w:r w:rsidR="005A1D10" w:rsidRPr="0072758C">
        <w:rPr>
          <w:i/>
          <w:iCs/>
          <w:lang w:val="en-AU"/>
        </w:rPr>
        <w:t>R</w:t>
      </w:r>
      <w:r w:rsidR="009A1A28" w:rsidRPr="0072758C">
        <w:rPr>
          <w:i/>
          <w:iCs/>
          <w:lang w:val="en-AU"/>
        </w:rPr>
        <w:t>evue Theologique De Louvain</w:t>
      </w:r>
      <w:r w:rsidR="005A1D10" w:rsidRPr="0072758C">
        <w:rPr>
          <w:lang w:val="en-AU"/>
        </w:rPr>
        <w:t> 47 (2016): 594–96. </w:t>
      </w:r>
      <w:r w:rsidR="0073654D" w:rsidRPr="0072758C">
        <w:rPr>
          <w:lang w:val="en-AU"/>
        </w:rPr>
        <w:t xml:space="preserve">For a discussion of the </w:t>
      </w:r>
      <w:r w:rsidR="001A6A1D" w:rsidRPr="0072758C">
        <w:rPr>
          <w:lang w:val="en-AU"/>
        </w:rPr>
        <w:t>Mosaic</w:t>
      </w:r>
      <w:r w:rsidR="0073654D" w:rsidRPr="0072758C">
        <w:rPr>
          <w:lang w:val="en-AU"/>
        </w:rPr>
        <w:t xml:space="preserve"> history in the broader Christianity, see Philip La. G. du Toit, “Reconsidering ‘Law’ in Hebrews</w:t>
      </w:r>
      <w:r w:rsidR="00BA5EAE" w:rsidRPr="0072758C">
        <w:rPr>
          <w:lang w:val="en-AU"/>
        </w:rPr>
        <w:t>,</w:t>
      </w:r>
      <w:r w:rsidR="0073654D" w:rsidRPr="0072758C">
        <w:rPr>
          <w:lang w:val="en-AU"/>
        </w:rPr>
        <w:t>” </w:t>
      </w:r>
      <w:r w:rsidR="0073654D" w:rsidRPr="0072758C">
        <w:rPr>
          <w:i/>
          <w:iCs/>
          <w:lang w:val="en-AU"/>
        </w:rPr>
        <w:t>Verbum et Ecclesia</w:t>
      </w:r>
      <w:r w:rsidR="0073654D" w:rsidRPr="0072758C">
        <w:rPr>
          <w:lang w:val="en-AU"/>
        </w:rPr>
        <w:t xml:space="preserve"> 42 (2021): 1–7. </w:t>
      </w:r>
    </w:p>
    <w:p w14:paraId="4E9479D3" w14:textId="77777777" w:rsidR="00F5340B" w:rsidRPr="0072758C" w:rsidRDefault="00F5340B" w:rsidP="00F5340B">
      <w:pPr>
        <w:pStyle w:val="EndnoteText"/>
        <w:ind w:firstLine="720"/>
        <w:rPr>
          <w:lang w:val="en-AU"/>
        </w:rPr>
      </w:pPr>
    </w:p>
  </w:footnote>
  <w:footnote w:id="629">
    <w:p w14:paraId="0352EE00" w14:textId="72DF6C12" w:rsidR="00657CB1" w:rsidRPr="0072758C" w:rsidRDefault="00657CB1" w:rsidP="00F5340B">
      <w:pPr>
        <w:pStyle w:val="EndnoteText"/>
        <w:ind w:firstLine="720"/>
        <w:rPr>
          <w:lang w:val="en-AU"/>
        </w:rPr>
      </w:pPr>
      <w:r w:rsidRPr="0072758C">
        <w:rPr>
          <w:rStyle w:val="FootnoteReference"/>
          <w:lang w:val="en-AU"/>
        </w:rPr>
        <w:footnoteRef/>
      </w:r>
      <w:r w:rsidRPr="0072758C">
        <w:rPr>
          <w:lang w:val="en-AU"/>
        </w:rPr>
        <w:t xml:space="preserve"> Anna Wierzbicka, </w:t>
      </w:r>
      <w:r w:rsidRPr="0072758C">
        <w:rPr>
          <w:i/>
          <w:iCs/>
          <w:lang w:val="en-AU"/>
        </w:rPr>
        <w:t>What Did Jesus Mean? Explaining the Sermon on the Mount and the Parables in Simple and Universal Human Concepts</w:t>
      </w:r>
      <w:r w:rsidRPr="0072758C">
        <w:rPr>
          <w:lang w:val="en-AU"/>
        </w:rPr>
        <w:t xml:space="preserve"> (Oxford: Oxford University Press, 2001), 29.</w:t>
      </w:r>
      <w:r w:rsidR="005A1D10" w:rsidRPr="0072758C">
        <w:rPr>
          <w:lang w:val="en-AU"/>
        </w:rPr>
        <w:t xml:space="preserve"> See also, Ian Lambert, “Introducing the Beatitudes: A Sermon Addressing Poverty of Spirit</w:t>
      </w:r>
      <w:r w:rsidR="00BA5EAE" w:rsidRPr="0072758C">
        <w:rPr>
          <w:lang w:val="en-AU"/>
        </w:rPr>
        <w:t>,</w:t>
      </w:r>
      <w:r w:rsidR="005A1D10" w:rsidRPr="0072758C">
        <w:rPr>
          <w:lang w:val="en-AU"/>
        </w:rPr>
        <w:t>” </w:t>
      </w:r>
      <w:r w:rsidR="005A1D10" w:rsidRPr="0072758C">
        <w:rPr>
          <w:i/>
          <w:iCs/>
          <w:lang w:val="en-AU"/>
        </w:rPr>
        <w:t>St Mark’s Review</w:t>
      </w:r>
      <w:r w:rsidR="005A1D10" w:rsidRPr="0072758C">
        <w:rPr>
          <w:lang w:val="en-AU"/>
        </w:rPr>
        <w:t> 227 (2014): 41–45.</w:t>
      </w:r>
    </w:p>
  </w:footnote>
  <w:footnote w:id="630">
    <w:p w14:paraId="15262446" w14:textId="77777777" w:rsidR="008C3643" w:rsidRDefault="008C3643" w:rsidP="008C3643">
      <w:pPr>
        <w:pStyle w:val="FootnoteText"/>
        <w:ind w:firstLine="720"/>
      </w:pPr>
    </w:p>
    <w:p w14:paraId="78FB26B7" w14:textId="58F67633" w:rsidR="008C3643" w:rsidRPr="00ED0F6A" w:rsidRDefault="008C3643" w:rsidP="00ED0F6A">
      <w:pPr>
        <w:pStyle w:val="FootnoteText"/>
        <w:ind w:firstLine="720"/>
        <w:rPr>
          <w:lang w:val="en-US"/>
        </w:rPr>
      </w:pPr>
      <w:r>
        <w:rPr>
          <w:rStyle w:val="FootnoteReference"/>
        </w:rPr>
        <w:footnoteRef/>
      </w:r>
      <w:r>
        <w:t xml:space="preserve"> </w:t>
      </w:r>
      <w:r w:rsidR="00FD3635">
        <w:t xml:space="preserve">Culpepper contends that the purpose of the fifth antithesis is to break the spiral of violence in a situation by resisting evil or coercion, see R. Alan Culpepper, </w:t>
      </w:r>
      <w:r w:rsidR="00FD3635">
        <w:rPr>
          <w:i/>
          <w:iCs/>
        </w:rPr>
        <w:t xml:space="preserve">Matthew </w:t>
      </w:r>
      <w:r w:rsidR="00FD3635">
        <w:t xml:space="preserve">(Louisville:  Westminster John Knox Press,  2021),  116. </w:t>
      </w:r>
    </w:p>
  </w:footnote>
  <w:footnote w:id="631">
    <w:p w14:paraId="1F812CDA" w14:textId="77777777" w:rsidR="00657CB1" w:rsidRPr="0072758C" w:rsidRDefault="00657CB1" w:rsidP="00F623D4">
      <w:pPr>
        <w:pStyle w:val="EndnoteText"/>
        <w:rPr>
          <w:lang w:val="en-AU"/>
        </w:rPr>
      </w:pPr>
    </w:p>
  </w:footnote>
  <w:footnote w:id="632">
    <w:p w14:paraId="39A2592D" w14:textId="77777777" w:rsidR="00657CB1" w:rsidRPr="0072758C" w:rsidRDefault="00657CB1" w:rsidP="00AB7CAD">
      <w:pPr>
        <w:pStyle w:val="EndnoteText"/>
        <w:ind w:firstLine="720"/>
        <w:rPr>
          <w:lang w:val="en-AU"/>
        </w:rPr>
      </w:pPr>
      <w:r w:rsidRPr="0072758C">
        <w:rPr>
          <w:rStyle w:val="FootnoteReference"/>
          <w:lang w:val="en-AU"/>
        </w:rPr>
        <w:footnoteRef/>
      </w:r>
      <w:r w:rsidRPr="0072758C">
        <w:rPr>
          <w:lang w:val="en-AU"/>
        </w:rPr>
        <w:t xml:space="preserve"> Richard B. Hays, </w:t>
      </w:r>
      <w:r w:rsidRPr="0072758C">
        <w:rPr>
          <w:i/>
          <w:iCs/>
          <w:lang w:val="en-AU"/>
        </w:rPr>
        <w:t>The Moral Vision of the New Testament,</w:t>
      </w:r>
      <w:r w:rsidRPr="0072758C">
        <w:rPr>
          <w:lang w:val="en-AU"/>
        </w:rPr>
        <w:t xml:space="preserve"> 324.</w:t>
      </w:r>
    </w:p>
    <w:p w14:paraId="2443E3BF" w14:textId="77777777" w:rsidR="00657CB1" w:rsidRPr="0072758C" w:rsidRDefault="00657CB1" w:rsidP="00F623D4">
      <w:pPr>
        <w:pStyle w:val="EndnoteText"/>
        <w:rPr>
          <w:lang w:val="en-AU"/>
        </w:rPr>
      </w:pPr>
    </w:p>
  </w:footnote>
  <w:footnote w:id="633">
    <w:p w14:paraId="425BDC94" w14:textId="3E3C82F3" w:rsidR="00194C28" w:rsidRPr="0072758C" w:rsidRDefault="00194C28" w:rsidP="00F623D4">
      <w:pPr>
        <w:pStyle w:val="EndnoteText"/>
        <w:ind w:firstLine="720"/>
        <w:rPr>
          <w:lang w:val="en-AU"/>
        </w:rPr>
      </w:pPr>
      <w:r w:rsidRPr="0072758C">
        <w:rPr>
          <w:rStyle w:val="FootnoteReference"/>
          <w:lang w:val="en-AU"/>
        </w:rPr>
        <w:footnoteRef/>
      </w:r>
      <w:r w:rsidRPr="0072758C">
        <w:rPr>
          <w:lang w:val="en-AU"/>
        </w:rPr>
        <w:t xml:space="preserve"> See Amram Tropper, </w:t>
      </w:r>
      <w:r w:rsidRPr="0072758C">
        <w:rPr>
          <w:i/>
          <w:iCs/>
          <w:lang w:val="en-AU"/>
        </w:rPr>
        <w:t>Wisdom, Politics, and Historiography: Tractate Avot in the Context of the Graeco-Roman Near East</w:t>
      </w:r>
      <w:r w:rsidRPr="0072758C">
        <w:rPr>
          <w:lang w:val="en-AU"/>
        </w:rPr>
        <w:t xml:space="preserve"> (Oxford: Oxford University Press, 2004)</w:t>
      </w:r>
      <w:r w:rsidR="001C1710" w:rsidRPr="0072758C">
        <w:rPr>
          <w:lang w:val="en-AU"/>
        </w:rPr>
        <w:t>,</w:t>
      </w:r>
      <w:r w:rsidRPr="0072758C">
        <w:rPr>
          <w:lang w:val="en-AU"/>
        </w:rPr>
        <w:t xml:space="preserve"> 40–41 for scholarship regarding government.</w:t>
      </w:r>
    </w:p>
    <w:p w14:paraId="5929F1E1" w14:textId="77777777" w:rsidR="00194C28" w:rsidRPr="0072758C" w:rsidRDefault="00194C28" w:rsidP="00F623D4">
      <w:pPr>
        <w:pStyle w:val="EndnoteText"/>
        <w:rPr>
          <w:lang w:val="en-AU"/>
        </w:rPr>
      </w:pPr>
    </w:p>
  </w:footnote>
  <w:footnote w:id="634">
    <w:p w14:paraId="393135F5" w14:textId="77777777" w:rsidR="00194C28" w:rsidRPr="0072758C" w:rsidRDefault="00194C28" w:rsidP="00F623D4">
      <w:pPr>
        <w:pStyle w:val="EndnoteText"/>
        <w:ind w:firstLine="720"/>
        <w:rPr>
          <w:lang w:val="en-AU"/>
        </w:rPr>
      </w:pPr>
      <w:r w:rsidRPr="0072758C">
        <w:rPr>
          <w:rStyle w:val="FootnoteReference"/>
          <w:lang w:val="en-AU"/>
        </w:rPr>
        <w:footnoteRef/>
      </w:r>
      <w:r w:rsidRPr="0072758C">
        <w:rPr>
          <w:lang w:val="en-AU"/>
        </w:rPr>
        <w:t xml:space="preserve"> See</w:t>
      </w:r>
      <w:r w:rsidRPr="0072758C">
        <w:rPr>
          <w:i/>
          <w:iCs/>
          <w:lang w:val="en-AU"/>
        </w:rPr>
        <w:t xml:space="preserve"> </w:t>
      </w:r>
      <w:r w:rsidRPr="0072758C">
        <w:rPr>
          <w:lang w:val="en-AU"/>
        </w:rPr>
        <w:t>in Hebrew</w:t>
      </w:r>
      <w:r w:rsidRPr="0072758C">
        <w:rPr>
          <w:i/>
          <w:iCs/>
          <w:lang w:val="en-AU"/>
        </w:rPr>
        <w:t xml:space="preserve"> Pirkei Avot</w:t>
      </w:r>
      <w:r w:rsidRPr="0072758C">
        <w:rPr>
          <w:lang w:val="en-AU"/>
        </w:rPr>
        <w:t xml:space="preserve"> 1:12 </w:t>
      </w:r>
    </w:p>
    <w:p w14:paraId="2FEFBD17" w14:textId="77777777" w:rsidR="00194C28" w:rsidRPr="0072758C" w:rsidRDefault="00194C28" w:rsidP="00F623D4">
      <w:pPr>
        <w:pStyle w:val="EndnoteText"/>
        <w:rPr>
          <w:highlight w:val="yellow"/>
          <w:lang w:val="en-AU"/>
        </w:rPr>
      </w:pPr>
      <w:r w:rsidRPr="0072758C">
        <w:rPr>
          <w:rtl/>
          <w:lang w:val="en-AU"/>
        </w:rPr>
        <w:t>הִלֵּל וְשַׁמַּאי קִבְּלוּ מֵהֶם. הִלֵּל אוֹמֵר, הֱוֵי מִתַּלְמִידָיו שֶׁל אַהֲרֹן, אוֹהֵב שָׁלוֹם וְרוֹדֵף שָׁלוֹם, אוֹהֵב אֶת הַבְּרִיּוֹת וּמְקָרְבָן לַתּוֹרָה</w:t>
      </w:r>
      <w:r w:rsidRPr="0072758C">
        <w:rPr>
          <w:lang w:val="en-AU"/>
        </w:rPr>
        <w:t>:</w:t>
      </w:r>
    </w:p>
    <w:p w14:paraId="1B35E0F7" w14:textId="77777777" w:rsidR="00194C28" w:rsidRPr="0072758C" w:rsidRDefault="00194C28" w:rsidP="00F623D4">
      <w:pPr>
        <w:pStyle w:val="EndnoteText"/>
        <w:rPr>
          <w:i/>
          <w:iCs/>
          <w:lang w:val="en-AU"/>
        </w:rPr>
      </w:pPr>
    </w:p>
  </w:footnote>
  <w:footnote w:id="635">
    <w:p w14:paraId="25424CA8" w14:textId="39500C74" w:rsidR="00194C28" w:rsidRPr="0072758C" w:rsidRDefault="00194C28" w:rsidP="00F623D4">
      <w:pPr>
        <w:pStyle w:val="EndnoteText"/>
        <w:ind w:firstLine="720"/>
        <w:rPr>
          <w:lang w:val="en-AU"/>
        </w:rPr>
      </w:pPr>
      <w:r w:rsidRPr="0072758C">
        <w:rPr>
          <w:rStyle w:val="FootnoteReference"/>
          <w:lang w:val="en-AU"/>
        </w:rPr>
        <w:footnoteRef/>
      </w:r>
      <w:r w:rsidRPr="0072758C">
        <w:rPr>
          <w:lang w:val="en-AU"/>
        </w:rPr>
        <w:t xml:space="preserve"> Violence occurred frequently between Jews and Roman leadership.  There are two examples, previously discussed: the Roman-Jewish War of 66</w:t>
      </w:r>
      <w:r w:rsidR="005676E2" w:rsidRPr="0072758C">
        <w:rPr>
          <w:lang w:val="en-AU"/>
        </w:rPr>
        <w:t>–</w:t>
      </w:r>
      <w:r w:rsidRPr="0072758C">
        <w:rPr>
          <w:lang w:val="en-AU"/>
        </w:rPr>
        <w:t>73 CE and the Bar Kochba Rebellion demonstrate the rising tension for the Jews under Roman occupation.</w:t>
      </w:r>
      <w:r w:rsidR="00AD0378" w:rsidRPr="0072758C">
        <w:rPr>
          <w:lang w:val="en-AU"/>
        </w:rPr>
        <w:t xml:space="preserve">  See also, H.W.</w:t>
      </w:r>
      <w:r w:rsidR="00D83E3F" w:rsidRPr="0072758C">
        <w:rPr>
          <w:lang w:val="en-AU"/>
        </w:rPr>
        <w:t xml:space="preserve"> </w:t>
      </w:r>
      <w:r w:rsidR="00AD0378" w:rsidRPr="0072758C">
        <w:rPr>
          <w:lang w:val="en-AU"/>
        </w:rPr>
        <w:t>Basser, “B. Yoma 35B: Some Observations Concerning Divine Mediators and Rabbis</w:t>
      </w:r>
      <w:r w:rsidR="00BA5EAE" w:rsidRPr="0072758C">
        <w:rPr>
          <w:lang w:val="en-AU"/>
        </w:rPr>
        <w:t>,</w:t>
      </w:r>
      <w:r w:rsidR="00AD0378" w:rsidRPr="0072758C">
        <w:rPr>
          <w:lang w:val="en-AU"/>
        </w:rPr>
        <w:t>” </w:t>
      </w:r>
      <w:r w:rsidR="00AD0378" w:rsidRPr="0072758C">
        <w:rPr>
          <w:i/>
          <w:iCs/>
          <w:lang w:val="en-AU"/>
        </w:rPr>
        <w:t>Review of Rabbinic Judaism</w:t>
      </w:r>
      <w:r w:rsidR="00AD0378" w:rsidRPr="0072758C">
        <w:rPr>
          <w:lang w:val="en-AU"/>
        </w:rPr>
        <w:t> 22</w:t>
      </w:r>
      <w:r w:rsidR="005633D7" w:rsidRPr="0072758C">
        <w:rPr>
          <w:lang w:val="en-AU"/>
        </w:rPr>
        <w:t xml:space="preserve"> (2019)</w:t>
      </w:r>
      <w:r w:rsidR="00AD0378" w:rsidRPr="0072758C">
        <w:rPr>
          <w:lang w:val="en-AU"/>
        </w:rPr>
        <w:t>: 133–51. </w:t>
      </w:r>
    </w:p>
    <w:p w14:paraId="5903B510" w14:textId="77777777" w:rsidR="00AD0378" w:rsidRPr="0072758C" w:rsidRDefault="00AD0378" w:rsidP="00F623D4">
      <w:pPr>
        <w:pStyle w:val="EndnoteText"/>
        <w:rPr>
          <w:lang w:val="en-AU"/>
        </w:rPr>
      </w:pPr>
    </w:p>
  </w:footnote>
  <w:footnote w:id="636">
    <w:p w14:paraId="1D148E7C" w14:textId="4CF95DB5" w:rsidR="00F3534D" w:rsidRPr="0072758C" w:rsidRDefault="00194C28" w:rsidP="005633D7">
      <w:pPr>
        <w:pStyle w:val="EndnoteText"/>
        <w:ind w:firstLine="720"/>
        <w:rPr>
          <w:lang w:val="en-AU"/>
        </w:rPr>
      </w:pPr>
      <w:r w:rsidRPr="0072758C">
        <w:rPr>
          <w:rStyle w:val="FootnoteReference"/>
          <w:lang w:val="en-AU"/>
        </w:rPr>
        <w:footnoteRef/>
      </w:r>
      <w:r w:rsidRPr="0072758C">
        <w:rPr>
          <w:lang w:val="en-AU"/>
        </w:rPr>
        <w:t xml:space="preserve"> Marcus Lehmann and Liepman Philip Prins, </w:t>
      </w:r>
      <w:r w:rsidRPr="0072758C">
        <w:rPr>
          <w:i/>
          <w:iCs/>
          <w:lang w:val="en-AU"/>
        </w:rPr>
        <w:t>The Lehmann-Prins Pirkei Avoth</w:t>
      </w:r>
      <w:r w:rsidRPr="0072758C">
        <w:rPr>
          <w:lang w:val="en-AU"/>
        </w:rPr>
        <w:t> (Jerusalem: Feldheim, 1992), 3.</w:t>
      </w:r>
      <w:r w:rsidR="00F3534D" w:rsidRPr="0072758C">
        <w:rPr>
          <w:lang w:val="en-AU"/>
        </w:rPr>
        <w:t xml:space="preserve"> For more on Judaism view of love of a fellow human, see Jonathan Sacks, “The Love That Brings New Life into the World</w:t>
      </w:r>
      <w:r w:rsidR="00F8250F" w:rsidRPr="0072758C">
        <w:rPr>
          <w:lang w:val="en-AU"/>
        </w:rPr>
        <w:t>,</w:t>
      </w:r>
      <w:r w:rsidR="00F3534D" w:rsidRPr="0072758C">
        <w:rPr>
          <w:lang w:val="en-AU"/>
        </w:rPr>
        <w:t>” </w:t>
      </w:r>
      <w:r w:rsidR="00F3534D" w:rsidRPr="0072758C">
        <w:rPr>
          <w:i/>
          <w:iCs/>
          <w:lang w:val="en-AU"/>
        </w:rPr>
        <w:t>National Catholic Bioethics Quarterly</w:t>
      </w:r>
      <w:r w:rsidR="00F3534D" w:rsidRPr="0072758C">
        <w:rPr>
          <w:lang w:val="en-AU"/>
        </w:rPr>
        <w:t> 15</w:t>
      </w:r>
      <w:r w:rsidR="005633D7" w:rsidRPr="0072758C">
        <w:rPr>
          <w:lang w:val="en-AU"/>
        </w:rPr>
        <w:t xml:space="preserve"> </w:t>
      </w:r>
      <w:r w:rsidR="00F3534D" w:rsidRPr="0072758C">
        <w:rPr>
          <w:lang w:val="en-AU"/>
        </w:rPr>
        <w:t>(2015): 129–35. </w:t>
      </w:r>
    </w:p>
    <w:p w14:paraId="7EA854C2" w14:textId="77777777" w:rsidR="00194C28" w:rsidRPr="0072758C" w:rsidRDefault="00194C28" w:rsidP="00F623D4">
      <w:pPr>
        <w:pStyle w:val="EndnoteText"/>
        <w:rPr>
          <w:lang w:val="en-AU"/>
        </w:rPr>
      </w:pPr>
    </w:p>
  </w:footnote>
  <w:footnote w:id="637">
    <w:p w14:paraId="1AC88599" w14:textId="5CBE401F"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Brad H. Young, </w:t>
      </w:r>
      <w:r w:rsidRPr="0072758C">
        <w:rPr>
          <w:i/>
          <w:iCs/>
          <w:lang w:val="en-AU"/>
        </w:rPr>
        <w:t>Meet the Rabbis: Rabbinic Thought and the Teachings of Jesus</w:t>
      </w:r>
      <w:r w:rsidRPr="0072758C">
        <w:rPr>
          <w:lang w:val="en-AU"/>
        </w:rPr>
        <w:t xml:space="preserve"> (Peabody: Hendrickson, 2007), 190. </w:t>
      </w:r>
    </w:p>
    <w:p w14:paraId="19BA0072" w14:textId="77777777" w:rsidR="00194C28" w:rsidRPr="0072758C" w:rsidRDefault="00194C28" w:rsidP="00BC7015">
      <w:pPr>
        <w:pStyle w:val="EndnoteText"/>
        <w:rPr>
          <w:lang w:val="en-AU"/>
        </w:rPr>
      </w:pPr>
    </w:p>
  </w:footnote>
  <w:footnote w:id="638">
    <w:p w14:paraId="4FBB2B2A" w14:textId="59F337BC" w:rsidR="00AE379A" w:rsidRPr="0072758C" w:rsidRDefault="00194C28" w:rsidP="00E668AF">
      <w:pPr>
        <w:pStyle w:val="EndnoteText"/>
        <w:ind w:firstLine="720"/>
        <w:rPr>
          <w:iCs/>
          <w:lang w:val="en-AU"/>
        </w:rPr>
      </w:pPr>
      <w:r w:rsidRPr="0072758C">
        <w:rPr>
          <w:rStyle w:val="FootnoteReference"/>
          <w:lang w:val="en-AU"/>
        </w:rPr>
        <w:footnoteRef/>
      </w:r>
      <w:r w:rsidRPr="0072758C">
        <w:rPr>
          <w:lang w:val="en-AU"/>
        </w:rPr>
        <w:t xml:space="preserve"> Saldarini, </w:t>
      </w:r>
      <w:r w:rsidRPr="0072758C">
        <w:rPr>
          <w:i/>
          <w:iCs/>
          <w:lang w:val="en-AU"/>
        </w:rPr>
        <w:t>Matthew</w:t>
      </w:r>
      <w:r w:rsidR="005C71CB" w:rsidRPr="0072758C">
        <w:rPr>
          <w:i/>
          <w:iCs/>
          <w:lang w:val="en-AU"/>
        </w:rPr>
        <w:t>’</w:t>
      </w:r>
      <w:r w:rsidRPr="0072758C">
        <w:rPr>
          <w:i/>
          <w:iCs/>
          <w:lang w:val="en-AU"/>
        </w:rPr>
        <w:t xml:space="preserve">s Christian-Jewish Community, </w:t>
      </w:r>
      <w:r w:rsidRPr="0072758C">
        <w:rPr>
          <w:iCs/>
          <w:lang w:val="en-AU"/>
        </w:rPr>
        <w:t>48.</w:t>
      </w:r>
      <w:r w:rsidR="00AE379A" w:rsidRPr="0072758C">
        <w:rPr>
          <w:iCs/>
          <w:lang w:val="en-AU"/>
        </w:rPr>
        <w:t xml:space="preserve"> For more discussion of </w:t>
      </w:r>
      <w:r w:rsidR="008F1074" w:rsidRPr="0072758C">
        <w:rPr>
          <w:iCs/>
          <w:lang w:val="en-AU"/>
        </w:rPr>
        <w:t>Sadducean</w:t>
      </w:r>
      <w:r w:rsidR="00AE379A" w:rsidRPr="0072758C">
        <w:rPr>
          <w:iCs/>
          <w:lang w:val="en-AU"/>
        </w:rPr>
        <w:t xml:space="preserve"> history and Roman influence, see John J. Ensminger, “The Sadducean Persecution of the Christians in Rome and Jerusalem, AD 58 to 65</w:t>
      </w:r>
      <w:r w:rsidR="00BA5EAE" w:rsidRPr="0072758C">
        <w:rPr>
          <w:iCs/>
          <w:lang w:val="en-AU"/>
        </w:rPr>
        <w:t>,</w:t>
      </w:r>
      <w:r w:rsidR="00AE379A" w:rsidRPr="0072758C">
        <w:rPr>
          <w:iCs/>
          <w:lang w:val="en-AU"/>
        </w:rPr>
        <w:t>” </w:t>
      </w:r>
      <w:r w:rsidR="00AE379A" w:rsidRPr="0072758C">
        <w:rPr>
          <w:i/>
          <w:iCs/>
          <w:lang w:val="en-AU"/>
        </w:rPr>
        <w:t>Southwestern Journal of Theology</w:t>
      </w:r>
      <w:r w:rsidR="00AE379A" w:rsidRPr="0072758C">
        <w:rPr>
          <w:iCs/>
          <w:lang w:val="en-AU"/>
        </w:rPr>
        <w:t> 30 (1988): 9–13. </w:t>
      </w:r>
    </w:p>
  </w:footnote>
  <w:footnote w:id="639">
    <w:p w14:paraId="698918A8" w14:textId="77777777" w:rsidR="00194C28" w:rsidRPr="0072758C" w:rsidRDefault="00194C28" w:rsidP="00BC7015">
      <w:pPr>
        <w:pStyle w:val="EndnoteText"/>
        <w:rPr>
          <w:lang w:val="en-AU"/>
        </w:rPr>
      </w:pPr>
    </w:p>
    <w:p w14:paraId="4B83D4D3" w14:textId="7B21CC16" w:rsidR="00194C28" w:rsidRPr="0072758C" w:rsidRDefault="00194C28" w:rsidP="00BC7015">
      <w:pPr>
        <w:pStyle w:val="EndnoteText"/>
        <w:ind w:firstLine="720"/>
        <w:rPr>
          <w:i/>
          <w:iCs/>
          <w:lang w:val="en-AU"/>
        </w:rPr>
      </w:pPr>
      <w:r w:rsidRPr="0072758C">
        <w:rPr>
          <w:rStyle w:val="FootnoteReference"/>
          <w:lang w:val="en-AU"/>
        </w:rPr>
        <w:footnoteRef/>
      </w:r>
      <w:r w:rsidRPr="0072758C">
        <w:rPr>
          <w:lang w:val="en-AU"/>
        </w:rPr>
        <w:t xml:space="preserve"> Saldarini, </w:t>
      </w:r>
      <w:r w:rsidRPr="0072758C">
        <w:rPr>
          <w:i/>
          <w:iCs/>
          <w:lang w:val="en-AU"/>
        </w:rPr>
        <w:t>Matthew</w:t>
      </w:r>
      <w:r w:rsidR="005C71CB" w:rsidRPr="0072758C">
        <w:rPr>
          <w:i/>
          <w:iCs/>
          <w:lang w:val="en-AU"/>
        </w:rPr>
        <w:t>’</w:t>
      </w:r>
      <w:r w:rsidRPr="0072758C">
        <w:rPr>
          <w:i/>
          <w:iCs/>
          <w:lang w:val="en-AU"/>
        </w:rPr>
        <w:t>s Christian-Jewish Community</w:t>
      </w:r>
      <w:r w:rsidRPr="0072758C">
        <w:rPr>
          <w:lang w:val="en-AU"/>
        </w:rPr>
        <w:t xml:space="preserve">, </w:t>
      </w:r>
      <w:r w:rsidRPr="0072758C">
        <w:rPr>
          <w:iCs/>
          <w:lang w:val="en-AU"/>
        </w:rPr>
        <w:t>52</w:t>
      </w:r>
      <w:r w:rsidRPr="0072758C">
        <w:rPr>
          <w:i/>
          <w:iCs/>
          <w:lang w:val="en-AU"/>
        </w:rPr>
        <w:t>.</w:t>
      </w:r>
    </w:p>
    <w:p w14:paraId="1B887CCB" w14:textId="77777777" w:rsidR="00194C28" w:rsidRPr="0072758C" w:rsidRDefault="00194C28" w:rsidP="00BC7015">
      <w:pPr>
        <w:pStyle w:val="EndnoteText"/>
        <w:rPr>
          <w:i/>
          <w:iCs/>
          <w:lang w:val="en-AU"/>
        </w:rPr>
      </w:pPr>
    </w:p>
  </w:footnote>
  <w:footnote w:id="640">
    <w:p w14:paraId="24134C31" w14:textId="04D16479" w:rsidR="0031563E"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Saldarini, </w:t>
      </w:r>
      <w:r w:rsidRPr="0072758C">
        <w:rPr>
          <w:i/>
          <w:iCs/>
          <w:lang w:val="en-AU"/>
        </w:rPr>
        <w:t>Matthew</w:t>
      </w:r>
      <w:r w:rsidR="005C71CB" w:rsidRPr="0072758C">
        <w:rPr>
          <w:i/>
          <w:iCs/>
          <w:lang w:val="en-AU"/>
        </w:rPr>
        <w:t>’</w:t>
      </w:r>
      <w:r w:rsidRPr="0072758C">
        <w:rPr>
          <w:i/>
          <w:iCs/>
          <w:lang w:val="en-AU"/>
        </w:rPr>
        <w:t>s Christian-Jewish Community</w:t>
      </w:r>
      <w:r w:rsidRPr="0072758C">
        <w:rPr>
          <w:lang w:val="en-AU"/>
        </w:rPr>
        <w:t>, 49.</w:t>
      </w:r>
      <w:r w:rsidR="0031563E" w:rsidRPr="0072758C">
        <w:rPr>
          <w:lang w:val="en-AU"/>
        </w:rPr>
        <w:t xml:space="preserve"> For more discussion of the roll of Judaism and Hellenization, see Richard Lee Kalmin, “Between Rome and Mesopotamia: Josephus in Sasanian Persia</w:t>
      </w:r>
      <w:r w:rsidR="00BA5EAE" w:rsidRPr="0072758C">
        <w:rPr>
          <w:lang w:val="en-AU"/>
        </w:rPr>
        <w:t>,</w:t>
      </w:r>
      <w:r w:rsidR="0031563E" w:rsidRPr="0072758C">
        <w:rPr>
          <w:lang w:val="en-AU"/>
        </w:rPr>
        <w:t>” In </w:t>
      </w:r>
      <w:r w:rsidR="0031563E" w:rsidRPr="0072758C">
        <w:rPr>
          <w:i/>
          <w:iCs/>
          <w:lang w:val="en-AU"/>
        </w:rPr>
        <w:t>Ancient Judaism in Its Hellenistic Context</w:t>
      </w:r>
      <w:r w:rsidR="0031563E" w:rsidRPr="0072758C">
        <w:rPr>
          <w:lang w:val="en-AU"/>
        </w:rPr>
        <w:t>, 205–42. Leiden, 2005. </w:t>
      </w:r>
    </w:p>
  </w:footnote>
  <w:footnote w:id="641">
    <w:p w14:paraId="4902F95E" w14:textId="77777777" w:rsidR="00194C28" w:rsidRPr="0072758C" w:rsidRDefault="00194C28" w:rsidP="00BC7015">
      <w:pPr>
        <w:pStyle w:val="EndnoteText"/>
        <w:rPr>
          <w:lang w:val="en-AU"/>
        </w:rPr>
      </w:pPr>
    </w:p>
    <w:p w14:paraId="12255AE0" w14:textId="3F72F47A"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w:t>
      </w:r>
      <w:r w:rsidR="009129D8" w:rsidRPr="0072758C">
        <w:rPr>
          <w:lang w:val="en-AU"/>
        </w:rPr>
        <w:t xml:space="preserve">Saldarini, </w:t>
      </w:r>
      <w:r w:rsidR="009129D8" w:rsidRPr="0072758C">
        <w:rPr>
          <w:i/>
          <w:iCs/>
          <w:lang w:val="en-AU"/>
        </w:rPr>
        <w:t>Matthew’s Christian-Jewish Community</w:t>
      </w:r>
      <w:r w:rsidR="009129D8" w:rsidRPr="0072758C">
        <w:rPr>
          <w:lang w:val="en-AU"/>
        </w:rPr>
        <w:t xml:space="preserve">, </w:t>
      </w:r>
      <w:r w:rsidRPr="0072758C">
        <w:rPr>
          <w:lang w:val="en-AU"/>
        </w:rPr>
        <w:t>49.</w:t>
      </w:r>
    </w:p>
    <w:p w14:paraId="3E1C010B" w14:textId="77777777" w:rsidR="00194C28" w:rsidRPr="0072758C" w:rsidRDefault="00194C28" w:rsidP="00BC7015">
      <w:pPr>
        <w:pStyle w:val="EndnoteText"/>
        <w:rPr>
          <w:szCs w:val="22"/>
          <w:lang w:val="en-AU"/>
        </w:rPr>
      </w:pPr>
    </w:p>
  </w:footnote>
  <w:footnote w:id="642">
    <w:p w14:paraId="464F8A10" w14:textId="4A41CA73" w:rsidR="00810CFA"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Carroll Quigley, </w:t>
      </w:r>
      <w:r w:rsidR="00F8250F" w:rsidRPr="0072758C">
        <w:rPr>
          <w:lang w:val="en-AU"/>
        </w:rPr>
        <w:t xml:space="preserve">“Christ and Time:  Swiss or Mediterranean,” </w:t>
      </w:r>
      <w:r w:rsidRPr="0072758C">
        <w:rPr>
          <w:i/>
          <w:iCs/>
          <w:lang w:val="en-AU"/>
        </w:rPr>
        <w:t>The Social World of the Gospels</w:t>
      </w:r>
      <w:r w:rsidRPr="0072758C">
        <w:rPr>
          <w:lang w:val="en-AU"/>
        </w:rPr>
        <w:t xml:space="preserve"> (London and New York: Routledge, 1996), 183.</w:t>
      </w:r>
      <w:r w:rsidR="009804B7" w:rsidRPr="0072758C">
        <w:rPr>
          <w:lang w:val="en-AU"/>
        </w:rPr>
        <w:t xml:space="preserve"> For more on </w:t>
      </w:r>
      <w:r w:rsidR="009804B7" w:rsidRPr="0072758C">
        <w:rPr>
          <w:i/>
          <w:iCs/>
          <w:lang w:val="en-AU"/>
        </w:rPr>
        <w:t xml:space="preserve">Virgil </w:t>
      </w:r>
      <w:r w:rsidR="009804B7" w:rsidRPr="0072758C">
        <w:rPr>
          <w:lang w:val="en-AU"/>
        </w:rPr>
        <w:t>see Anne Gosling</w:t>
      </w:r>
      <w:r w:rsidR="00F8250F" w:rsidRPr="0072758C">
        <w:rPr>
          <w:lang w:val="en-AU"/>
        </w:rPr>
        <w:t>,</w:t>
      </w:r>
      <w:r w:rsidR="009804B7" w:rsidRPr="0072758C">
        <w:rPr>
          <w:lang w:val="en-AU"/>
        </w:rPr>
        <w:t xml:space="preserve"> “Sending up the Founder: Ovid and the Apotheosis of Romulus</w:t>
      </w:r>
      <w:r w:rsidR="005F12AD" w:rsidRPr="0072758C">
        <w:rPr>
          <w:lang w:val="en-AU"/>
        </w:rPr>
        <w:t>,</w:t>
      </w:r>
      <w:r w:rsidR="009804B7" w:rsidRPr="0072758C">
        <w:rPr>
          <w:lang w:val="en-AU"/>
        </w:rPr>
        <w:t>” </w:t>
      </w:r>
      <w:r w:rsidR="009804B7" w:rsidRPr="0072758C">
        <w:rPr>
          <w:i/>
          <w:iCs/>
          <w:lang w:val="en-AU"/>
        </w:rPr>
        <w:t>Acta Classica</w:t>
      </w:r>
      <w:r w:rsidR="009804B7" w:rsidRPr="0072758C">
        <w:rPr>
          <w:lang w:val="en-AU"/>
        </w:rPr>
        <w:t> 45 (2002): 51–69.</w:t>
      </w:r>
      <w:r w:rsidR="00810CFA" w:rsidRPr="0072758C">
        <w:rPr>
          <w:lang w:val="en-AU"/>
        </w:rPr>
        <w:t xml:space="preserve">  This is supported by Sabin Roman’s research on the Western Roman Empires and the expansion of size, territory, and coinage, see Sabin Roman, and Erika Palmer</w:t>
      </w:r>
      <w:r w:rsidR="00F8250F" w:rsidRPr="0072758C">
        <w:rPr>
          <w:lang w:val="en-AU"/>
        </w:rPr>
        <w:t>,</w:t>
      </w:r>
      <w:r w:rsidR="00810CFA" w:rsidRPr="0072758C">
        <w:rPr>
          <w:lang w:val="en-AU"/>
        </w:rPr>
        <w:t xml:space="preserve"> “The Growth and Decline of the Western Roman Empire: Quantifying the Dynamics of Army Size, Territory, and Coinage</w:t>
      </w:r>
      <w:r w:rsidR="005F12AD" w:rsidRPr="0072758C">
        <w:rPr>
          <w:lang w:val="en-AU"/>
        </w:rPr>
        <w:t>,</w:t>
      </w:r>
      <w:r w:rsidR="00810CFA" w:rsidRPr="0072758C">
        <w:rPr>
          <w:lang w:val="en-AU"/>
        </w:rPr>
        <w:t>” </w:t>
      </w:r>
      <w:r w:rsidR="00810CFA" w:rsidRPr="0072758C">
        <w:rPr>
          <w:i/>
          <w:iCs/>
          <w:lang w:val="en-AU"/>
        </w:rPr>
        <w:t>Cliodynamics: The Journal of Theoretical &amp; Mathematical History</w:t>
      </w:r>
      <w:r w:rsidR="00810CFA" w:rsidRPr="0072758C">
        <w:rPr>
          <w:lang w:val="en-AU"/>
        </w:rPr>
        <w:t> 10</w:t>
      </w:r>
      <w:r w:rsidR="005633D7" w:rsidRPr="0072758C">
        <w:rPr>
          <w:lang w:val="en-AU"/>
        </w:rPr>
        <w:t xml:space="preserve"> </w:t>
      </w:r>
      <w:r w:rsidR="00810CFA" w:rsidRPr="0072758C">
        <w:rPr>
          <w:lang w:val="en-AU"/>
        </w:rPr>
        <w:t>(2019): 1–23.</w:t>
      </w:r>
    </w:p>
    <w:p w14:paraId="4316912B" w14:textId="77777777" w:rsidR="00194C28" w:rsidRPr="0072758C" w:rsidRDefault="00194C28" w:rsidP="00BC7015">
      <w:pPr>
        <w:pStyle w:val="EndnoteText"/>
        <w:rPr>
          <w:lang w:val="en-AU"/>
        </w:rPr>
      </w:pPr>
    </w:p>
  </w:footnote>
  <w:footnote w:id="643">
    <w:p w14:paraId="53CBF96F"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Carter, </w:t>
      </w:r>
      <w:proofErr w:type="gramStart"/>
      <w:r w:rsidRPr="0072758C">
        <w:rPr>
          <w:i/>
          <w:iCs/>
          <w:lang w:val="en-AU"/>
        </w:rPr>
        <w:t>Matthew</w:t>
      </w:r>
      <w:proofErr w:type="gramEnd"/>
      <w:r w:rsidRPr="0072758C">
        <w:rPr>
          <w:i/>
          <w:iCs/>
          <w:lang w:val="en-AU"/>
        </w:rPr>
        <w:t xml:space="preserve"> and Empire</w:t>
      </w:r>
      <w:r w:rsidRPr="0072758C">
        <w:rPr>
          <w:lang w:val="en-AU"/>
        </w:rPr>
        <w:t>, 127.</w:t>
      </w:r>
    </w:p>
    <w:p w14:paraId="532CF6DB" w14:textId="77777777" w:rsidR="00194C28" w:rsidRPr="0072758C" w:rsidRDefault="00194C28" w:rsidP="00BC7015">
      <w:pPr>
        <w:pStyle w:val="EndnoteText"/>
        <w:rPr>
          <w:lang w:val="en-AU"/>
        </w:rPr>
      </w:pPr>
    </w:p>
  </w:footnote>
  <w:footnote w:id="644">
    <w:p w14:paraId="0240D878" w14:textId="6D1B7A00" w:rsidR="00F17F2F" w:rsidRPr="0072758C" w:rsidRDefault="00F331B3" w:rsidP="00BC7015">
      <w:pPr>
        <w:pStyle w:val="EndnoteText"/>
        <w:ind w:firstLine="720"/>
        <w:rPr>
          <w:lang w:val="en-AU"/>
        </w:rPr>
      </w:pPr>
      <w:r w:rsidRPr="0072758C">
        <w:rPr>
          <w:rStyle w:val="FootnoteReference"/>
          <w:lang w:val="en-AU"/>
        </w:rPr>
        <w:footnoteRef/>
      </w:r>
      <w:r w:rsidRPr="0072758C">
        <w:rPr>
          <w:lang w:val="en-AU"/>
        </w:rPr>
        <w:t xml:space="preserve"> James G. Crossley, “Book Review of </w:t>
      </w:r>
      <w:r w:rsidRPr="0072758C">
        <w:rPr>
          <w:i/>
          <w:iCs/>
          <w:lang w:val="en-AU"/>
        </w:rPr>
        <w:t>Lex Talionis in Early Judaism and the Exhortation of Jesus in Matthew 5:38–42</w:t>
      </w:r>
      <w:r w:rsidRPr="0072758C">
        <w:rPr>
          <w:lang w:val="en-AU"/>
        </w:rPr>
        <w:t>,” 50.</w:t>
      </w:r>
      <w:r w:rsidR="00F17F2F" w:rsidRPr="0072758C">
        <w:rPr>
          <w:lang w:val="en-AU"/>
        </w:rPr>
        <w:t xml:space="preserve"> See also Francois P. Viljoen, “A Call for Peacemaking: A Perspective from the Sermon on the Mount</w:t>
      </w:r>
      <w:r w:rsidR="005F12AD" w:rsidRPr="0072758C">
        <w:rPr>
          <w:lang w:val="en-AU"/>
        </w:rPr>
        <w:t>,</w:t>
      </w:r>
      <w:r w:rsidR="00F17F2F" w:rsidRPr="0072758C">
        <w:rPr>
          <w:lang w:val="en-AU"/>
        </w:rPr>
        <w:t>” </w:t>
      </w:r>
      <w:r w:rsidR="00F17F2F" w:rsidRPr="0072758C">
        <w:rPr>
          <w:i/>
          <w:iCs/>
          <w:lang w:val="en-AU"/>
        </w:rPr>
        <w:t>In Die Skriflig</w:t>
      </w:r>
      <w:r w:rsidR="00F17F2F" w:rsidRPr="0072758C">
        <w:rPr>
          <w:lang w:val="en-AU"/>
        </w:rPr>
        <w:t> 55 (2021): 1–8.</w:t>
      </w:r>
    </w:p>
  </w:footnote>
  <w:footnote w:id="645">
    <w:p w14:paraId="49E1A21A" w14:textId="77777777" w:rsidR="00F331B3" w:rsidRPr="0072758C" w:rsidRDefault="00F331B3" w:rsidP="00BC7015">
      <w:pPr>
        <w:pStyle w:val="EndnoteText"/>
        <w:rPr>
          <w:lang w:val="en-AU"/>
        </w:rPr>
      </w:pPr>
    </w:p>
    <w:p w14:paraId="681D1DC7" w14:textId="2E452E66" w:rsidR="00AB5569" w:rsidRPr="0072758C" w:rsidRDefault="00F331B3" w:rsidP="006D55D1">
      <w:pPr>
        <w:pStyle w:val="EndnoteText"/>
        <w:ind w:firstLine="720"/>
        <w:rPr>
          <w:lang w:val="en-AU"/>
        </w:rPr>
      </w:pPr>
      <w:r w:rsidRPr="0072758C">
        <w:rPr>
          <w:rStyle w:val="FootnoteReference"/>
          <w:lang w:val="en-AU"/>
        </w:rPr>
        <w:footnoteRef/>
      </w:r>
      <w:r w:rsidRPr="0072758C">
        <w:rPr>
          <w:lang w:val="en-AU"/>
        </w:rPr>
        <w:t xml:space="preserve"> David H. Stern, </w:t>
      </w:r>
      <w:r w:rsidRPr="0072758C">
        <w:rPr>
          <w:i/>
          <w:iCs/>
          <w:lang w:val="en-AU"/>
        </w:rPr>
        <w:t>Jewish New Testament Commentary</w:t>
      </w:r>
      <w:r w:rsidRPr="0072758C">
        <w:rPr>
          <w:lang w:val="en-AU"/>
        </w:rPr>
        <w:t>, 29.</w:t>
      </w:r>
      <w:r w:rsidR="00B93540" w:rsidRPr="0072758C">
        <w:rPr>
          <w:lang w:val="en-AU"/>
        </w:rPr>
        <w:t xml:space="preserve"> Goldstone also agrees that Matthean Antithesis resembles early Rabbinic interpretation, see Matthew Goldstone, “Murder, Anger, and Altars </w:t>
      </w:r>
      <w:proofErr w:type="gramStart"/>
      <w:r w:rsidR="00B93540" w:rsidRPr="0072758C">
        <w:rPr>
          <w:lang w:val="en-AU"/>
        </w:rPr>
        <w:t>The</w:t>
      </w:r>
      <w:proofErr w:type="gramEnd"/>
      <w:r w:rsidR="00B93540" w:rsidRPr="0072758C">
        <w:rPr>
          <w:lang w:val="en-AU"/>
        </w:rPr>
        <w:t xml:space="preserve"> First Matthean Antithesis in Light of Exodus 21: 14 and Its Early Rabbinic Interpretation</w:t>
      </w:r>
      <w:r w:rsidR="00EC1425" w:rsidRPr="0072758C">
        <w:rPr>
          <w:lang w:val="en-AU"/>
        </w:rPr>
        <w:t>,</w:t>
      </w:r>
      <w:r w:rsidR="00B93540" w:rsidRPr="0072758C">
        <w:rPr>
          <w:lang w:val="en-AU"/>
        </w:rPr>
        <w:t>” </w:t>
      </w:r>
      <w:r w:rsidR="00B93540" w:rsidRPr="0072758C">
        <w:rPr>
          <w:i/>
          <w:iCs/>
          <w:lang w:val="en-AU"/>
        </w:rPr>
        <w:t>N</w:t>
      </w:r>
      <w:r w:rsidR="00EC1425" w:rsidRPr="0072758C">
        <w:rPr>
          <w:i/>
          <w:iCs/>
          <w:lang w:val="en-AU"/>
        </w:rPr>
        <w:t xml:space="preserve">ovum Testamentum </w:t>
      </w:r>
      <w:r w:rsidR="00B93540" w:rsidRPr="0072758C">
        <w:rPr>
          <w:lang w:val="en-AU"/>
        </w:rPr>
        <w:t>59 (2017): 339–54.</w:t>
      </w:r>
      <w:r w:rsidR="006D55D1" w:rsidRPr="0072758C">
        <w:rPr>
          <w:lang w:val="en-AU"/>
        </w:rPr>
        <w:t xml:space="preserve"> </w:t>
      </w:r>
      <w:r w:rsidR="00B93540" w:rsidRPr="0072758C">
        <w:rPr>
          <w:lang w:val="en-AU"/>
        </w:rPr>
        <w:t>Turan also suggests that there is a rabbinical parallel to the Sermon on the Mount and the rabbinic midrash legend of Oshaiah, wherein the similar use of the eye as a microcosm and indicator of the broader physical health of a person is explored, see Sinai (Tamas) Turan, “A Neglected Rabbinic Parallel to the Sermon on the Mount (Matthew 6:22-23; Luke 11:34-36)</w:t>
      </w:r>
      <w:r w:rsidR="00EC1425" w:rsidRPr="0072758C">
        <w:rPr>
          <w:lang w:val="en-AU"/>
        </w:rPr>
        <w:t>,</w:t>
      </w:r>
      <w:r w:rsidR="00B93540" w:rsidRPr="0072758C">
        <w:rPr>
          <w:lang w:val="en-AU"/>
        </w:rPr>
        <w:t>” </w:t>
      </w:r>
      <w:r w:rsidR="00B93540" w:rsidRPr="0072758C">
        <w:rPr>
          <w:i/>
          <w:iCs/>
          <w:lang w:val="en-AU"/>
        </w:rPr>
        <w:t>Journal of Biblical Literature</w:t>
      </w:r>
      <w:r w:rsidR="00B93540" w:rsidRPr="0072758C">
        <w:rPr>
          <w:lang w:val="en-AU"/>
        </w:rPr>
        <w:t xml:space="preserve"> 127 (2008): 81–93. </w:t>
      </w:r>
      <w:r w:rsidR="005E0551" w:rsidRPr="0072758C">
        <w:rPr>
          <w:lang w:val="en-AU"/>
        </w:rPr>
        <w:t xml:space="preserve">See also </w:t>
      </w:r>
      <w:r w:rsidR="00AB5569" w:rsidRPr="0072758C">
        <w:rPr>
          <w:lang w:val="en-AU"/>
        </w:rPr>
        <w:t>Gary J. Dorrien, “Social Ethics and the Politics of Jesus</w:t>
      </w:r>
      <w:r w:rsidR="00EC1425" w:rsidRPr="0072758C">
        <w:rPr>
          <w:lang w:val="en-AU"/>
        </w:rPr>
        <w:t>,</w:t>
      </w:r>
      <w:r w:rsidR="00AB5569" w:rsidRPr="0072758C">
        <w:rPr>
          <w:lang w:val="en-AU"/>
        </w:rPr>
        <w:t>” </w:t>
      </w:r>
      <w:r w:rsidR="00AB5569" w:rsidRPr="0072758C">
        <w:rPr>
          <w:i/>
          <w:iCs/>
          <w:lang w:val="en-AU"/>
        </w:rPr>
        <w:t>Modern Believing</w:t>
      </w:r>
      <w:r w:rsidR="00AB5569" w:rsidRPr="0072758C">
        <w:rPr>
          <w:lang w:val="en-AU"/>
        </w:rPr>
        <w:t> 62 (2021): 242–51.</w:t>
      </w:r>
    </w:p>
    <w:p w14:paraId="56E1D65D" w14:textId="77777777" w:rsidR="00AB7CAD" w:rsidRPr="0072758C" w:rsidRDefault="00AB7CAD" w:rsidP="00BC7015">
      <w:pPr>
        <w:pStyle w:val="EndnoteText"/>
        <w:ind w:firstLine="720"/>
        <w:rPr>
          <w:lang w:val="en-AU"/>
        </w:rPr>
      </w:pPr>
    </w:p>
  </w:footnote>
  <w:footnote w:id="646">
    <w:p w14:paraId="12C218EB" w14:textId="54E02003" w:rsidR="00C40690" w:rsidRDefault="00C40690" w:rsidP="00C40690">
      <w:pPr>
        <w:pStyle w:val="FootnoteText"/>
        <w:ind w:firstLine="720"/>
        <w:rPr>
          <w:lang w:val="en-AU"/>
        </w:rPr>
      </w:pPr>
      <w:r>
        <w:rPr>
          <w:rStyle w:val="FootnoteReference"/>
        </w:rPr>
        <w:footnoteRef/>
      </w:r>
      <w:r>
        <w:t xml:space="preserve"> </w:t>
      </w:r>
      <w:r w:rsidRPr="0072758C">
        <w:rPr>
          <w:lang w:val="en-AU"/>
        </w:rPr>
        <w:t>Vermes</w:t>
      </w:r>
      <w:r w:rsidRPr="0072758C">
        <w:rPr>
          <w:i/>
          <w:iCs/>
          <w:lang w:val="en-AU"/>
        </w:rPr>
        <w:t xml:space="preserve">, </w:t>
      </w:r>
      <w:r w:rsidRPr="0072758C">
        <w:rPr>
          <w:lang w:val="en-AU"/>
        </w:rPr>
        <w:t>36</w:t>
      </w:r>
    </w:p>
    <w:p w14:paraId="3538FE9D" w14:textId="77777777" w:rsidR="00C40690" w:rsidRPr="00C40690" w:rsidRDefault="00C40690" w:rsidP="00C40690">
      <w:pPr>
        <w:pStyle w:val="FootnoteText"/>
        <w:ind w:firstLine="720"/>
        <w:rPr>
          <w:lang w:val="en-US"/>
        </w:rPr>
      </w:pPr>
    </w:p>
  </w:footnote>
  <w:footnote w:id="647">
    <w:p w14:paraId="5F1310AB" w14:textId="2717C343" w:rsidR="00F331B3" w:rsidRPr="0072758C" w:rsidRDefault="00F331B3" w:rsidP="00BC7015">
      <w:pPr>
        <w:pStyle w:val="EndnoteText"/>
        <w:rPr>
          <w:lang w:val="en-AU"/>
        </w:rPr>
      </w:pPr>
      <w:r w:rsidRPr="0072758C">
        <w:rPr>
          <w:lang w:val="en-AU"/>
        </w:rPr>
        <w:tab/>
      </w:r>
      <w:r w:rsidRPr="0072758C">
        <w:rPr>
          <w:rStyle w:val="FootnoteReference"/>
          <w:lang w:val="en-AU"/>
        </w:rPr>
        <w:footnoteRef/>
      </w:r>
      <w:r w:rsidRPr="0072758C">
        <w:rPr>
          <w:lang w:val="en-AU"/>
        </w:rPr>
        <w:t xml:space="preserve"> </w:t>
      </w:r>
      <w:r w:rsidR="00C40690">
        <w:rPr>
          <w:lang w:val="en-AU"/>
        </w:rPr>
        <w:t>Ibid</w:t>
      </w:r>
      <w:r w:rsidRPr="0072758C">
        <w:rPr>
          <w:lang w:val="en-AU"/>
        </w:rPr>
        <w:t>.</w:t>
      </w:r>
      <w:r w:rsidR="00A56F00">
        <w:rPr>
          <w:lang w:val="en-AU"/>
        </w:rPr>
        <w:t xml:space="preserve"> See also Culpepper, 117.</w:t>
      </w:r>
    </w:p>
    <w:p w14:paraId="24C4D2DC" w14:textId="77777777" w:rsidR="00AD74AE" w:rsidRPr="0072758C" w:rsidRDefault="00AD74AE" w:rsidP="00BC7015">
      <w:pPr>
        <w:pStyle w:val="EndnoteText"/>
        <w:rPr>
          <w:lang w:val="en-AU"/>
        </w:rPr>
      </w:pPr>
    </w:p>
  </w:footnote>
  <w:footnote w:id="648">
    <w:p w14:paraId="58A3DC3C" w14:textId="2571E81C" w:rsidR="00B466FC"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Boris Repschinski, </w:t>
      </w:r>
      <w:r w:rsidRPr="0072758C">
        <w:rPr>
          <w:i/>
          <w:iCs/>
          <w:lang w:val="en-AU"/>
        </w:rPr>
        <w:t xml:space="preserve">The Controversy Stories </w:t>
      </w:r>
      <w:r w:rsidR="00AF292D" w:rsidRPr="0072758C">
        <w:rPr>
          <w:i/>
          <w:iCs/>
          <w:lang w:val="en-AU"/>
        </w:rPr>
        <w:t>i</w:t>
      </w:r>
      <w:r w:rsidRPr="0072758C">
        <w:rPr>
          <w:i/>
          <w:iCs/>
          <w:lang w:val="en-AU"/>
        </w:rPr>
        <w:t xml:space="preserve">n The Gospel </w:t>
      </w:r>
      <w:r w:rsidR="00AD74AE" w:rsidRPr="0072758C">
        <w:rPr>
          <w:i/>
          <w:iCs/>
          <w:lang w:val="en-AU"/>
        </w:rPr>
        <w:t>of</w:t>
      </w:r>
      <w:r w:rsidRPr="0072758C">
        <w:rPr>
          <w:i/>
          <w:iCs/>
          <w:lang w:val="en-AU"/>
        </w:rPr>
        <w:t xml:space="preserve"> Matthew</w:t>
      </w:r>
      <w:r w:rsidRPr="0072758C">
        <w:rPr>
          <w:lang w:val="en-AU"/>
        </w:rPr>
        <w:t> (Göttingen: Vandenhoeck &amp; Ruprecht, 2000), 107.</w:t>
      </w:r>
      <w:r w:rsidR="00B466FC" w:rsidRPr="0072758C">
        <w:rPr>
          <w:lang w:val="en-AU"/>
        </w:rPr>
        <w:t xml:space="preserve"> For further discussion on Jesus and social justice topics, see Gary J Dorrien</w:t>
      </w:r>
      <w:r w:rsidR="00EC1425" w:rsidRPr="0072758C">
        <w:rPr>
          <w:lang w:val="en-AU"/>
        </w:rPr>
        <w:t>,</w:t>
      </w:r>
      <w:r w:rsidR="00B466FC" w:rsidRPr="0072758C">
        <w:rPr>
          <w:lang w:val="en-AU"/>
        </w:rPr>
        <w:t xml:space="preserve"> “Social Ethics and the Politics of Jesus</w:t>
      </w:r>
      <w:r w:rsidR="00EC1425" w:rsidRPr="0072758C">
        <w:rPr>
          <w:lang w:val="en-AU"/>
        </w:rPr>
        <w:t>,</w:t>
      </w:r>
      <w:r w:rsidR="00B466FC" w:rsidRPr="0072758C">
        <w:rPr>
          <w:lang w:val="en-AU"/>
        </w:rPr>
        <w:t>” </w:t>
      </w:r>
      <w:r w:rsidR="00B466FC" w:rsidRPr="0072758C">
        <w:rPr>
          <w:i/>
          <w:iCs/>
          <w:lang w:val="en-AU"/>
        </w:rPr>
        <w:t>Modern Believing</w:t>
      </w:r>
      <w:r w:rsidR="00B466FC" w:rsidRPr="0072758C">
        <w:rPr>
          <w:lang w:val="en-AU"/>
        </w:rPr>
        <w:t> 62 (2021): 242–51</w:t>
      </w:r>
      <w:r w:rsidR="00463364" w:rsidRPr="0072758C">
        <w:rPr>
          <w:lang w:val="en-AU"/>
        </w:rPr>
        <w:t>.</w:t>
      </w:r>
    </w:p>
    <w:p w14:paraId="6DC0EC7C" w14:textId="77777777" w:rsidR="00194C28" w:rsidRPr="0072758C" w:rsidRDefault="00194C28" w:rsidP="00BC7015">
      <w:pPr>
        <w:pStyle w:val="EndnoteText"/>
        <w:rPr>
          <w:lang w:val="en-AU"/>
        </w:rPr>
      </w:pPr>
    </w:p>
  </w:footnote>
  <w:footnote w:id="649">
    <w:p w14:paraId="7CDFA051"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Marcus J. Borg, </w:t>
      </w:r>
      <w:r w:rsidRPr="0072758C">
        <w:rPr>
          <w:i/>
          <w:iCs/>
          <w:lang w:val="en-AU"/>
        </w:rPr>
        <w:t xml:space="preserve">Jesus: A New Vision </w:t>
      </w:r>
      <w:r w:rsidRPr="0072758C">
        <w:rPr>
          <w:lang w:val="en-AU"/>
        </w:rPr>
        <w:t>(London: SPCK, 1994), 139.</w:t>
      </w:r>
    </w:p>
  </w:footnote>
  <w:footnote w:id="650">
    <w:p w14:paraId="2A1638B1" w14:textId="77777777" w:rsidR="00194C28" w:rsidRPr="0072758C" w:rsidRDefault="00194C28" w:rsidP="00BC7015">
      <w:pPr>
        <w:pStyle w:val="EndnoteText"/>
        <w:rPr>
          <w:lang w:val="en-AU"/>
        </w:rPr>
      </w:pPr>
    </w:p>
    <w:p w14:paraId="31899C1E" w14:textId="5448D1A0"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Ibid., 137</w:t>
      </w:r>
      <w:r w:rsidR="005676E2" w:rsidRPr="0072758C">
        <w:rPr>
          <w:lang w:val="en-AU"/>
        </w:rPr>
        <w:t>–</w:t>
      </w:r>
      <w:r w:rsidRPr="0072758C">
        <w:rPr>
          <w:lang w:val="en-AU"/>
        </w:rPr>
        <w:t>38.</w:t>
      </w:r>
    </w:p>
    <w:p w14:paraId="0736FF1F" w14:textId="77777777" w:rsidR="00194C28" w:rsidRPr="0072758C" w:rsidRDefault="00194C28" w:rsidP="00BC7015">
      <w:pPr>
        <w:pStyle w:val="EndnoteText"/>
        <w:rPr>
          <w:lang w:val="en-AU"/>
        </w:rPr>
      </w:pPr>
    </w:p>
  </w:footnote>
  <w:footnote w:id="651">
    <w:p w14:paraId="5E7C9AA7" w14:textId="7D37F56B" w:rsidR="005E0551" w:rsidRPr="0072758C" w:rsidRDefault="005A52AC" w:rsidP="00AB2072">
      <w:pPr>
        <w:pStyle w:val="EndnoteText"/>
        <w:ind w:firstLine="720"/>
        <w:rPr>
          <w:lang w:val="en-AU"/>
        </w:rPr>
      </w:pPr>
      <w:r w:rsidRPr="0072758C">
        <w:rPr>
          <w:rStyle w:val="FootnoteReference"/>
          <w:lang w:val="en-AU"/>
        </w:rPr>
        <w:footnoteRef/>
      </w:r>
      <w:r w:rsidRPr="0072758C">
        <w:rPr>
          <w:lang w:val="en-AU"/>
        </w:rPr>
        <w:t xml:space="preserve"> SIFRA (Aram. </w:t>
      </w:r>
      <w:r w:rsidRPr="0072758C">
        <w:rPr>
          <w:rtl/>
          <w:lang w:val="en-AU"/>
        </w:rPr>
        <w:t>סִפְרָא</w:t>
      </w:r>
      <w:r w:rsidRPr="0072758C">
        <w:rPr>
          <w:lang w:val="en-AU"/>
        </w:rPr>
        <w:t xml:space="preserve">), is a midrash </w:t>
      </w:r>
      <w:r w:rsidR="006E3653" w:rsidRPr="0072758C">
        <w:rPr>
          <w:lang w:val="en-AU"/>
        </w:rPr>
        <w:t>halakha</w:t>
      </w:r>
      <w:r w:rsidRPr="0072758C">
        <w:rPr>
          <w:lang w:val="en-AU"/>
        </w:rPr>
        <w:t xml:space="preserve"> from the school of R. Akiva on the Book of Leviticus. The Aramaic word sifra means book. </w:t>
      </w:r>
      <w:r w:rsidR="006E3653">
        <w:rPr>
          <w:lang w:val="en-AU"/>
        </w:rPr>
        <w:t xml:space="preserve">The role of ‘love your brother’ and ‘do not hate’ is very quintessential Jesus sounding and New Testament canon. There is a parallel and for the sake of brevity in the dissertation is not expounded more. </w:t>
      </w:r>
      <w:r w:rsidRPr="0072758C">
        <w:rPr>
          <w:lang w:val="en-AU"/>
        </w:rPr>
        <w:t>For more understanding of Sifra, see Jacob Neusner, “Extra- and Non-Documentary Writing in the Rabbinic Canon of Late Antiquity: Non-Documentary Writing in Sifra, Sifré to Numbers, Sifré to Deuteronomy, Mekhilta Attributed to R. Ishmael, and Leviticus Rabbah</w:t>
      </w:r>
      <w:r w:rsidR="00EC1425" w:rsidRPr="0072758C">
        <w:rPr>
          <w:lang w:val="en-AU"/>
        </w:rPr>
        <w:t>,</w:t>
      </w:r>
      <w:r w:rsidRPr="0072758C">
        <w:rPr>
          <w:lang w:val="en-AU"/>
        </w:rPr>
        <w:t>” </w:t>
      </w:r>
      <w:r w:rsidRPr="0072758C">
        <w:rPr>
          <w:i/>
          <w:iCs/>
          <w:lang w:val="en-AU"/>
        </w:rPr>
        <w:t>The Review of Rabbinic Judaism</w:t>
      </w:r>
      <w:r w:rsidRPr="0072758C">
        <w:rPr>
          <w:lang w:val="en-AU"/>
        </w:rPr>
        <w:t> 10 (2007): 11–76.</w:t>
      </w:r>
      <w:r w:rsidR="005E0551" w:rsidRPr="0072758C">
        <w:rPr>
          <w:lang w:val="en-AU"/>
        </w:rPr>
        <w:t xml:space="preserve"> See also, Matthew S. Goldstone, </w:t>
      </w:r>
      <w:r w:rsidR="005E0551" w:rsidRPr="0072758C">
        <w:rPr>
          <w:i/>
          <w:iCs/>
          <w:lang w:val="en-AU"/>
        </w:rPr>
        <w:t>The Dangerous Duty of Rebuke: Leviticus 19:17 in Early Jewish and Christian Interpretation</w:t>
      </w:r>
      <w:r w:rsidR="005E0551" w:rsidRPr="0072758C">
        <w:rPr>
          <w:lang w:val="en-AU"/>
        </w:rPr>
        <w:t xml:space="preserve"> </w:t>
      </w:r>
      <w:r w:rsidR="00EC1425" w:rsidRPr="0072758C">
        <w:rPr>
          <w:lang w:val="en-AU"/>
        </w:rPr>
        <w:t>(</w:t>
      </w:r>
      <w:r w:rsidR="005E0551" w:rsidRPr="0072758C">
        <w:rPr>
          <w:lang w:val="en-AU"/>
        </w:rPr>
        <w:t>Leiden: Brill, 2018.</w:t>
      </w:r>
      <w:r w:rsidR="00EC1425" w:rsidRPr="0072758C">
        <w:rPr>
          <w:lang w:val="en-AU"/>
        </w:rPr>
        <w:t>)</w:t>
      </w:r>
    </w:p>
    <w:p w14:paraId="08F659C6" w14:textId="77777777" w:rsidR="005A52AC" w:rsidRPr="0072758C" w:rsidRDefault="005A52AC" w:rsidP="00BC7015">
      <w:pPr>
        <w:pStyle w:val="EndnoteText"/>
        <w:rPr>
          <w:lang w:val="en-AU"/>
        </w:rPr>
      </w:pPr>
    </w:p>
  </w:footnote>
  <w:footnote w:id="652">
    <w:p w14:paraId="63E60208" w14:textId="3D14821B" w:rsidR="00194C28" w:rsidRPr="0072758C" w:rsidRDefault="00194C28" w:rsidP="00AB2072">
      <w:pPr>
        <w:pStyle w:val="EndnoteText"/>
        <w:ind w:firstLine="720"/>
        <w:rPr>
          <w:lang w:val="en-AU"/>
        </w:rPr>
      </w:pPr>
      <w:r w:rsidRPr="0072758C">
        <w:rPr>
          <w:rStyle w:val="FootnoteReference"/>
          <w:lang w:val="en-AU"/>
        </w:rPr>
        <w:footnoteRef/>
      </w:r>
      <w:r w:rsidRPr="0072758C">
        <w:rPr>
          <w:lang w:val="en-AU"/>
        </w:rPr>
        <w:t xml:space="preserve"> See Menahem Kahana, </w:t>
      </w:r>
      <w:r w:rsidR="00863B47" w:rsidRPr="0072758C">
        <w:rPr>
          <w:lang w:val="en-AU"/>
        </w:rPr>
        <w:t>“</w:t>
      </w:r>
      <w:r w:rsidRPr="0072758C">
        <w:rPr>
          <w:lang w:val="en-AU"/>
        </w:rPr>
        <w:t>The Halakhic Midrashim,</w:t>
      </w:r>
      <w:r w:rsidR="00863B47" w:rsidRPr="0072758C">
        <w:rPr>
          <w:lang w:val="en-AU"/>
        </w:rPr>
        <w:t>”</w:t>
      </w:r>
      <w:r w:rsidRPr="0072758C">
        <w:rPr>
          <w:lang w:val="en-AU"/>
        </w:rPr>
        <w:t xml:space="preserve"> in </w:t>
      </w:r>
      <w:r w:rsidRPr="0072758C">
        <w:rPr>
          <w:i/>
          <w:iCs/>
          <w:lang w:val="en-AU"/>
        </w:rPr>
        <w:t xml:space="preserve">Midrash and Targum, Liturgy, Poetry, Mysticism, Contracts, Inscriptions, Ancient </w:t>
      </w:r>
      <w:proofErr w:type="gramStart"/>
      <w:r w:rsidRPr="0072758C">
        <w:rPr>
          <w:i/>
          <w:iCs/>
          <w:lang w:val="en-AU"/>
        </w:rPr>
        <w:t>Science</w:t>
      </w:r>
      <w:proofErr w:type="gramEnd"/>
      <w:r w:rsidRPr="0072758C">
        <w:rPr>
          <w:i/>
          <w:iCs/>
          <w:lang w:val="en-AU"/>
        </w:rPr>
        <w:t xml:space="preserve"> and the Languages of Rabbinic Literature</w:t>
      </w:r>
      <w:r w:rsidR="00EC1425" w:rsidRPr="0072758C">
        <w:rPr>
          <w:lang w:val="en-AU"/>
        </w:rPr>
        <w:t xml:space="preserve"> </w:t>
      </w:r>
      <w:r w:rsidRPr="0072758C">
        <w:rPr>
          <w:lang w:val="en-AU"/>
        </w:rPr>
        <w:t xml:space="preserve">(Philadelphia: Fortress, 2006), 2:17–26.  This dating for Akiva could possibly be during the period in which Matthew was written. </w:t>
      </w:r>
    </w:p>
    <w:p w14:paraId="09E8C879" w14:textId="77777777" w:rsidR="00194C28" w:rsidRPr="0072758C" w:rsidRDefault="00194C28" w:rsidP="00BC7015">
      <w:pPr>
        <w:pStyle w:val="EndnoteText"/>
        <w:rPr>
          <w:lang w:val="en-AU"/>
        </w:rPr>
      </w:pPr>
    </w:p>
  </w:footnote>
  <w:footnote w:id="653">
    <w:p w14:paraId="425F7C16" w14:textId="36D6111B" w:rsidR="00194C28" w:rsidRPr="0072758C" w:rsidRDefault="00194C28" w:rsidP="00B4620E">
      <w:pPr>
        <w:pStyle w:val="EndnoteText"/>
        <w:ind w:firstLine="720"/>
        <w:rPr>
          <w:lang w:val="en-AU"/>
        </w:rPr>
      </w:pPr>
      <w:r w:rsidRPr="0072758C">
        <w:rPr>
          <w:rStyle w:val="FootnoteReference"/>
          <w:lang w:val="en-AU"/>
        </w:rPr>
        <w:footnoteRef/>
      </w:r>
      <w:r w:rsidRPr="0072758C">
        <w:rPr>
          <w:lang w:val="en-AU"/>
        </w:rPr>
        <w:t xml:space="preserve"> For another rabbinic example of slapping engendering a particularly high level of humiliation, see m. B. Qam. 8:6. It is also possible that the three actions described correspond to different types of interpersonal relationships: superiors, peers, and inferiors see Walter Wink, </w:t>
      </w:r>
      <w:r w:rsidR="00863B47" w:rsidRPr="0072758C">
        <w:rPr>
          <w:lang w:val="en-AU"/>
        </w:rPr>
        <w:t>“</w:t>
      </w:r>
      <w:r w:rsidRPr="0072758C">
        <w:rPr>
          <w:lang w:val="en-AU"/>
        </w:rPr>
        <w:t>Neither Passivity nor Violence: Jesus</w:t>
      </w:r>
      <w:r w:rsidR="005C71CB" w:rsidRPr="0072758C">
        <w:rPr>
          <w:lang w:val="en-AU"/>
        </w:rPr>
        <w:t>’</w:t>
      </w:r>
      <w:r w:rsidRPr="0072758C">
        <w:rPr>
          <w:lang w:val="en-AU"/>
        </w:rPr>
        <w:t xml:space="preserve"> Third Way,</w:t>
      </w:r>
      <w:r w:rsidR="00863B47" w:rsidRPr="0072758C">
        <w:rPr>
          <w:lang w:val="en-AU"/>
        </w:rPr>
        <w:t>”</w:t>
      </w:r>
      <w:r w:rsidRPr="0072758C">
        <w:rPr>
          <w:lang w:val="en-AU"/>
        </w:rPr>
        <w:t xml:space="preserve"> in </w:t>
      </w:r>
      <w:r w:rsidRPr="0072758C">
        <w:rPr>
          <w:i/>
          <w:iCs/>
          <w:lang w:val="en-AU"/>
        </w:rPr>
        <w:t>The Love of Enemy and Nonretaliation in the New Testament</w:t>
      </w:r>
      <w:r w:rsidRPr="0072758C">
        <w:rPr>
          <w:lang w:val="en-AU"/>
        </w:rPr>
        <w:t>, ed. Willard Swartly (Louisville: John Knox, 1992), 105).</w:t>
      </w:r>
    </w:p>
    <w:p w14:paraId="64281F52" w14:textId="77777777" w:rsidR="00194C28" w:rsidRPr="0072758C" w:rsidRDefault="00194C28" w:rsidP="00BC7015">
      <w:pPr>
        <w:pStyle w:val="EndnoteText"/>
        <w:rPr>
          <w:lang w:val="en-AU"/>
        </w:rPr>
      </w:pPr>
    </w:p>
  </w:footnote>
  <w:footnote w:id="654">
    <w:p w14:paraId="724689FE" w14:textId="0E20FAC2" w:rsidR="00194C28" w:rsidRPr="0072758C" w:rsidRDefault="00194C28" w:rsidP="00AB2072">
      <w:pPr>
        <w:pStyle w:val="EndnoteText"/>
        <w:ind w:firstLine="720"/>
        <w:rPr>
          <w:lang w:val="en-AU"/>
        </w:rPr>
      </w:pPr>
      <w:r w:rsidRPr="0072758C">
        <w:rPr>
          <w:rStyle w:val="FootnoteReference"/>
          <w:lang w:val="en-AU"/>
        </w:rPr>
        <w:footnoteRef/>
      </w:r>
      <w:r w:rsidRPr="0072758C">
        <w:rPr>
          <w:lang w:val="en-AU"/>
        </w:rPr>
        <w:t xml:space="preserve"> Jacob Chinitz, </w:t>
      </w:r>
      <w:r w:rsidR="00863B47" w:rsidRPr="0072758C">
        <w:rPr>
          <w:lang w:val="en-AU"/>
        </w:rPr>
        <w:t>“</w:t>
      </w:r>
      <w:r w:rsidRPr="0072758C">
        <w:rPr>
          <w:lang w:val="en-AU"/>
        </w:rPr>
        <w:t>An Eye for an Eye-An Old Canard,</w:t>
      </w:r>
      <w:r w:rsidR="00863B47" w:rsidRPr="0072758C">
        <w:rPr>
          <w:lang w:val="en-AU"/>
        </w:rPr>
        <w:t>”</w:t>
      </w:r>
      <w:r w:rsidRPr="0072758C">
        <w:rPr>
          <w:lang w:val="en-AU"/>
        </w:rPr>
        <w:t xml:space="preserve"> </w:t>
      </w:r>
      <w:r w:rsidRPr="0072758C">
        <w:rPr>
          <w:i/>
          <w:iCs/>
          <w:lang w:val="en-AU"/>
        </w:rPr>
        <w:t>Jewish Biblical Quarterly</w:t>
      </w:r>
      <w:r w:rsidRPr="0072758C">
        <w:rPr>
          <w:lang w:val="en-AU"/>
        </w:rPr>
        <w:t xml:space="preserve"> 23 (1995): 79.</w:t>
      </w:r>
    </w:p>
  </w:footnote>
  <w:footnote w:id="655">
    <w:p w14:paraId="1728C31F" w14:textId="77777777" w:rsidR="00194C28" w:rsidRPr="0072758C" w:rsidRDefault="00194C28" w:rsidP="00BC7015">
      <w:pPr>
        <w:pStyle w:val="EndnoteText"/>
        <w:rPr>
          <w:lang w:val="en-AU"/>
        </w:rPr>
      </w:pPr>
    </w:p>
    <w:p w14:paraId="11D23AD4" w14:textId="7155661F" w:rsidR="00194C28" w:rsidRPr="0072758C" w:rsidRDefault="00194C28" w:rsidP="00AB2072">
      <w:pPr>
        <w:pStyle w:val="EndnoteText"/>
        <w:ind w:firstLine="720"/>
        <w:rPr>
          <w:lang w:val="en-AU"/>
        </w:rPr>
      </w:pPr>
      <w:r w:rsidRPr="0072758C">
        <w:rPr>
          <w:rStyle w:val="FootnoteReference"/>
          <w:lang w:val="en-AU"/>
        </w:rPr>
        <w:footnoteRef/>
      </w:r>
      <w:r w:rsidRPr="0072758C">
        <w:rPr>
          <w:lang w:val="en-AU"/>
        </w:rPr>
        <w:t xml:space="preserve"> Dorothy Jean Weaver, </w:t>
      </w:r>
      <w:r w:rsidR="00863B47" w:rsidRPr="0072758C">
        <w:rPr>
          <w:lang w:val="en-AU"/>
        </w:rPr>
        <w:t>“</w:t>
      </w:r>
      <w:r w:rsidRPr="0072758C">
        <w:rPr>
          <w:lang w:val="en-AU"/>
        </w:rPr>
        <w:t xml:space="preserve">Transforming Nonresistance: From Lex Talionis to </w:t>
      </w:r>
      <w:r w:rsidR="005C71CB" w:rsidRPr="0072758C">
        <w:rPr>
          <w:lang w:val="en-AU"/>
        </w:rPr>
        <w:t>‘</w:t>
      </w:r>
      <w:r w:rsidRPr="0072758C">
        <w:rPr>
          <w:lang w:val="en-AU"/>
        </w:rPr>
        <w:t>Do Not Resist</w:t>
      </w:r>
    </w:p>
    <w:p w14:paraId="4927A431" w14:textId="45E8633B" w:rsidR="00194C28" w:rsidRPr="0072758C" w:rsidRDefault="00194C28" w:rsidP="00BC7015">
      <w:pPr>
        <w:pStyle w:val="EndnoteText"/>
        <w:rPr>
          <w:lang w:val="en-AU"/>
        </w:rPr>
      </w:pPr>
      <w:r w:rsidRPr="0072758C">
        <w:rPr>
          <w:lang w:val="en-AU"/>
        </w:rPr>
        <w:t>the Evil One,</w:t>
      </w:r>
      <w:r w:rsidR="005C71CB" w:rsidRPr="0072758C">
        <w:rPr>
          <w:lang w:val="en-AU"/>
        </w:rPr>
        <w:t>’</w:t>
      </w:r>
      <w:r w:rsidR="00863B47" w:rsidRPr="0072758C">
        <w:rPr>
          <w:lang w:val="en-AU"/>
        </w:rPr>
        <w:t>”</w:t>
      </w:r>
      <w:r w:rsidRPr="0072758C">
        <w:rPr>
          <w:lang w:val="en-AU"/>
        </w:rPr>
        <w:t xml:space="preserve"> in </w:t>
      </w:r>
      <w:r w:rsidRPr="0072758C">
        <w:rPr>
          <w:i/>
          <w:iCs/>
          <w:lang w:val="en-AU"/>
        </w:rPr>
        <w:t>The Love of Enemy and Nonretaliation in the New Testament</w:t>
      </w:r>
      <w:r w:rsidR="00390D8F" w:rsidRPr="0072758C">
        <w:rPr>
          <w:i/>
          <w:iCs/>
          <w:lang w:val="en-AU"/>
        </w:rPr>
        <w:t xml:space="preserve">, ed. </w:t>
      </w:r>
      <w:r w:rsidR="00390D8F" w:rsidRPr="0072758C">
        <w:rPr>
          <w:lang w:val="en-AU"/>
        </w:rPr>
        <w:t>Willard Swartly</w:t>
      </w:r>
      <w:r w:rsidRPr="0072758C">
        <w:rPr>
          <w:lang w:val="en-AU"/>
        </w:rPr>
        <w:t xml:space="preserve"> (Louisville: Westminster/John Knox, 1992), 54.</w:t>
      </w:r>
      <w:r w:rsidR="00A56F00">
        <w:rPr>
          <w:lang w:val="en-AU"/>
        </w:rPr>
        <w:t xml:space="preserve"> </w:t>
      </w:r>
    </w:p>
    <w:p w14:paraId="10D2C917" w14:textId="77777777" w:rsidR="00194C28" w:rsidRPr="0072758C" w:rsidRDefault="00194C28" w:rsidP="00BC7015">
      <w:pPr>
        <w:pStyle w:val="EndnoteText"/>
        <w:rPr>
          <w:lang w:val="en-AU"/>
        </w:rPr>
      </w:pPr>
    </w:p>
  </w:footnote>
  <w:footnote w:id="656">
    <w:p w14:paraId="0179304E" w14:textId="1B879FEF" w:rsidR="00194C28" w:rsidRPr="0072758C" w:rsidRDefault="00194C28" w:rsidP="00AB2072">
      <w:pPr>
        <w:pStyle w:val="EndnoteText"/>
        <w:ind w:firstLine="720"/>
        <w:rPr>
          <w:lang w:val="en-AU"/>
        </w:rPr>
      </w:pPr>
      <w:r w:rsidRPr="0072758C">
        <w:rPr>
          <w:rStyle w:val="FootnoteReference"/>
          <w:lang w:val="en-AU"/>
        </w:rPr>
        <w:footnoteRef/>
      </w:r>
      <w:r w:rsidRPr="0072758C">
        <w:rPr>
          <w:lang w:val="en-AU"/>
        </w:rPr>
        <w:t xml:space="preserve"> Ibid., 56.</w:t>
      </w:r>
      <w:r w:rsidR="00A56F00">
        <w:rPr>
          <w:lang w:val="en-AU"/>
        </w:rPr>
        <w:t xml:space="preserve"> Culpepper also agrees indicating this is a transformative and radical call for reconsidering an </w:t>
      </w:r>
      <w:proofErr w:type="gramStart"/>
      <w:r w:rsidR="00A56F00">
        <w:rPr>
          <w:lang w:val="en-AU"/>
        </w:rPr>
        <w:t>offenders</w:t>
      </w:r>
      <w:proofErr w:type="gramEnd"/>
      <w:r w:rsidR="00A56F00">
        <w:rPr>
          <w:lang w:val="en-AU"/>
        </w:rPr>
        <w:t xml:space="preserve"> act, see Culpepper, 117.</w:t>
      </w:r>
    </w:p>
  </w:footnote>
  <w:footnote w:id="657">
    <w:p w14:paraId="213ED59D" w14:textId="77777777" w:rsidR="00194C28" w:rsidRPr="0072758C" w:rsidRDefault="00194C28" w:rsidP="00BC7015">
      <w:pPr>
        <w:pStyle w:val="EndnoteText"/>
        <w:rPr>
          <w:lang w:val="en-AU"/>
        </w:rPr>
      </w:pPr>
    </w:p>
    <w:p w14:paraId="0295A123" w14:textId="77777777" w:rsidR="00194C28" w:rsidRPr="0072758C" w:rsidRDefault="00194C28" w:rsidP="00AB2072">
      <w:pPr>
        <w:pStyle w:val="EndnoteText"/>
        <w:ind w:firstLine="720"/>
        <w:rPr>
          <w:i/>
          <w:iCs/>
          <w:lang w:val="en-AU"/>
        </w:rPr>
      </w:pPr>
      <w:r w:rsidRPr="0072758C">
        <w:rPr>
          <w:rStyle w:val="FootnoteReference"/>
          <w:lang w:val="en-AU"/>
        </w:rPr>
        <w:footnoteRef/>
      </w:r>
      <w:r w:rsidRPr="0072758C">
        <w:rPr>
          <w:lang w:val="en-AU"/>
        </w:rPr>
        <w:t xml:space="preserve"> Hans Dieter Betz, </w:t>
      </w:r>
      <w:r w:rsidRPr="0072758C">
        <w:rPr>
          <w:i/>
          <w:iCs/>
          <w:lang w:val="en-AU"/>
        </w:rPr>
        <w:t>The Sermon on the Mount: A Commentary on the Sermon on the Mount</w:t>
      </w:r>
    </w:p>
    <w:p w14:paraId="5DEBB0B9" w14:textId="721E93DF" w:rsidR="00651EE6" w:rsidRPr="0072758C" w:rsidRDefault="00194C28" w:rsidP="006D55D1">
      <w:pPr>
        <w:pStyle w:val="EndnoteText"/>
        <w:rPr>
          <w:lang w:val="en-AU"/>
        </w:rPr>
      </w:pPr>
      <w:r w:rsidRPr="0072758C">
        <w:rPr>
          <w:i/>
          <w:iCs/>
          <w:lang w:val="en-AU"/>
        </w:rPr>
        <w:t xml:space="preserve">including the Sermon on the Plain </w:t>
      </w:r>
      <w:r w:rsidRPr="0072758C">
        <w:rPr>
          <w:lang w:val="en-AU"/>
        </w:rPr>
        <w:t>(Minneapolis: Fortress, 1995), 280</w:t>
      </w:r>
      <w:r w:rsidR="005676E2" w:rsidRPr="0072758C">
        <w:rPr>
          <w:lang w:val="en-AU"/>
        </w:rPr>
        <w:t>–</w:t>
      </w:r>
      <w:r w:rsidRPr="0072758C">
        <w:rPr>
          <w:lang w:val="en-AU"/>
        </w:rPr>
        <w:t xml:space="preserve">285. </w:t>
      </w:r>
      <w:r w:rsidR="00651EE6" w:rsidRPr="0072758C">
        <w:rPr>
          <w:lang w:val="en-AU"/>
        </w:rPr>
        <w:t>To define ‘equal retribution’ see, J.P.</w:t>
      </w:r>
      <w:r w:rsidR="00FE30DC" w:rsidRPr="0072758C">
        <w:rPr>
          <w:lang w:val="en-AU"/>
        </w:rPr>
        <w:t xml:space="preserve"> </w:t>
      </w:r>
      <w:r w:rsidR="00651EE6" w:rsidRPr="0072758C">
        <w:rPr>
          <w:lang w:val="en-AU"/>
        </w:rPr>
        <w:t xml:space="preserve">Mañalich, </w:t>
      </w:r>
      <w:r w:rsidR="00FE30DC" w:rsidRPr="0072758C">
        <w:rPr>
          <w:lang w:val="en-AU"/>
        </w:rPr>
        <w:t>“</w:t>
      </w:r>
      <w:r w:rsidR="00651EE6" w:rsidRPr="0072758C">
        <w:rPr>
          <w:lang w:val="en-AU"/>
        </w:rPr>
        <w:t>Respect and Retribution: Legal Punishment in the Metaphysics of Morals</w:t>
      </w:r>
      <w:r w:rsidR="00EC1425" w:rsidRPr="0072758C">
        <w:rPr>
          <w:lang w:val="en-AU"/>
        </w:rPr>
        <w:t>,</w:t>
      </w:r>
      <w:r w:rsidR="00651EE6" w:rsidRPr="0072758C">
        <w:rPr>
          <w:lang w:val="en-AU"/>
        </w:rPr>
        <w:t>” </w:t>
      </w:r>
      <w:r w:rsidR="00651EE6" w:rsidRPr="0072758C">
        <w:rPr>
          <w:i/>
          <w:iCs/>
          <w:lang w:val="en-AU"/>
        </w:rPr>
        <w:t>Revista de Ciencia Politica</w:t>
      </w:r>
      <w:r w:rsidR="00651EE6" w:rsidRPr="0072758C">
        <w:rPr>
          <w:lang w:val="en-AU"/>
        </w:rPr>
        <w:t> 38</w:t>
      </w:r>
      <w:r w:rsidR="007B3532" w:rsidRPr="0072758C">
        <w:rPr>
          <w:lang w:val="en-AU"/>
        </w:rPr>
        <w:t xml:space="preserve"> (2022)</w:t>
      </w:r>
      <w:r w:rsidR="00651EE6" w:rsidRPr="0072758C">
        <w:rPr>
          <w:lang w:val="en-AU"/>
        </w:rPr>
        <w:t xml:space="preserve">: 507–26. </w:t>
      </w:r>
    </w:p>
    <w:p w14:paraId="37329FAE" w14:textId="77777777" w:rsidR="00194C28" w:rsidRPr="0072758C" w:rsidRDefault="00194C28" w:rsidP="00BC7015">
      <w:pPr>
        <w:pStyle w:val="EndnoteText"/>
        <w:rPr>
          <w:lang w:val="en-AU"/>
        </w:rPr>
      </w:pPr>
    </w:p>
  </w:footnote>
  <w:footnote w:id="658">
    <w:p w14:paraId="2C24B18D" w14:textId="2EDE51F8"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Betz, </w:t>
      </w:r>
      <w:r w:rsidRPr="0072758C">
        <w:rPr>
          <w:i/>
          <w:iCs/>
          <w:lang w:val="en-AU"/>
        </w:rPr>
        <w:t>The Sermon on the Mount</w:t>
      </w:r>
      <w:r w:rsidRPr="0072758C">
        <w:rPr>
          <w:lang w:val="en-AU"/>
        </w:rPr>
        <w:t>, 280.</w:t>
      </w:r>
    </w:p>
  </w:footnote>
  <w:footnote w:id="659">
    <w:p w14:paraId="16BC31D0" w14:textId="77777777" w:rsidR="00194C28" w:rsidRPr="0072758C" w:rsidRDefault="00194C28" w:rsidP="00BC7015">
      <w:pPr>
        <w:pStyle w:val="EndnoteText"/>
        <w:rPr>
          <w:lang w:val="en-AU"/>
        </w:rPr>
      </w:pPr>
    </w:p>
    <w:p w14:paraId="4CCFA5E5" w14:textId="0C734DA9"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Craig Keener, </w:t>
      </w:r>
      <w:r w:rsidRPr="0072758C">
        <w:rPr>
          <w:i/>
          <w:iCs/>
          <w:lang w:val="en-AU"/>
        </w:rPr>
        <w:t>A Commentary on the Gospel of Matthew</w:t>
      </w:r>
      <w:r w:rsidRPr="0072758C">
        <w:rPr>
          <w:lang w:val="en-AU"/>
        </w:rPr>
        <w:t xml:space="preserve"> (Grand Rapids: Eerdmans, 1999), 195.</w:t>
      </w:r>
    </w:p>
    <w:p w14:paraId="3E77039E" w14:textId="77777777" w:rsidR="00194C28" w:rsidRPr="0072758C" w:rsidRDefault="00194C28" w:rsidP="00BC7015">
      <w:pPr>
        <w:pStyle w:val="EndnoteText"/>
        <w:rPr>
          <w:lang w:val="en-AU"/>
        </w:rPr>
      </w:pPr>
    </w:p>
  </w:footnote>
  <w:footnote w:id="660">
    <w:p w14:paraId="42224C5D" w14:textId="7B2A53AE" w:rsidR="00CE0665"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Emile Szlechter, </w:t>
      </w:r>
      <w:r w:rsidRPr="0072758C">
        <w:rPr>
          <w:i/>
          <w:iCs/>
          <w:lang w:val="en-AU"/>
        </w:rPr>
        <w:t>Les Lois d</w:t>
      </w:r>
      <w:r w:rsidR="005C71CB" w:rsidRPr="0072758C">
        <w:rPr>
          <w:i/>
          <w:iCs/>
          <w:lang w:val="en-AU"/>
        </w:rPr>
        <w:t>’</w:t>
      </w:r>
      <w:r w:rsidRPr="0072758C">
        <w:rPr>
          <w:i/>
          <w:iCs/>
          <w:lang w:val="en-AU"/>
        </w:rPr>
        <w:t xml:space="preserve">Eshnunna </w:t>
      </w:r>
      <w:r w:rsidRPr="0072758C">
        <w:rPr>
          <w:lang w:val="en-AU"/>
        </w:rPr>
        <w:t xml:space="preserve">(Paris: Recueil Sirey, 1954). </w:t>
      </w:r>
      <w:r w:rsidR="00CE0665" w:rsidRPr="0072758C">
        <w:rPr>
          <w:lang w:val="en-AU"/>
        </w:rPr>
        <w:t xml:space="preserve"> For a study of loan interest in the Code of Hammurabi, Laws of Eshnunna and the Hebrew Bible see Hee Sung Lee, “The Comparative Study of Loan Interest between ANE and OT</w:t>
      </w:r>
      <w:r w:rsidR="00B74DC3" w:rsidRPr="0072758C">
        <w:rPr>
          <w:lang w:val="en-AU"/>
        </w:rPr>
        <w:t>,</w:t>
      </w:r>
      <w:r w:rsidR="00CE0665" w:rsidRPr="0072758C">
        <w:rPr>
          <w:lang w:val="en-AU"/>
        </w:rPr>
        <w:t>” 7</w:t>
      </w:r>
      <w:r w:rsidR="001C2113" w:rsidRPr="0072758C">
        <w:rPr>
          <w:lang w:val="en-AU"/>
        </w:rPr>
        <w:t>7</w:t>
      </w:r>
      <w:r w:rsidR="001C2113" w:rsidRPr="0072758C">
        <w:rPr>
          <w:i/>
          <w:iCs/>
          <w:lang w:val="en-AU"/>
        </w:rPr>
        <w:t xml:space="preserve"> </w:t>
      </w:r>
      <w:r w:rsidR="00CE0665" w:rsidRPr="0072758C">
        <w:rPr>
          <w:lang w:val="en-AU"/>
        </w:rPr>
        <w:t xml:space="preserve">(2016): 291–316. </w:t>
      </w:r>
    </w:p>
  </w:footnote>
  <w:footnote w:id="661">
    <w:p w14:paraId="551C17E9" w14:textId="77777777" w:rsidR="00194C28" w:rsidRPr="0072758C" w:rsidRDefault="00194C28" w:rsidP="00BC7015">
      <w:pPr>
        <w:pStyle w:val="EndnoteText"/>
        <w:rPr>
          <w:lang w:val="en-AU"/>
        </w:rPr>
      </w:pPr>
    </w:p>
    <w:p w14:paraId="31CE17B1" w14:textId="11EE62B6"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John E. Hartley, </w:t>
      </w:r>
      <w:r w:rsidRPr="0072758C">
        <w:rPr>
          <w:i/>
          <w:iCs/>
          <w:lang w:val="en-AU"/>
        </w:rPr>
        <w:t>Leviticus, Word Biblical Commentary</w:t>
      </w:r>
      <w:r w:rsidRPr="0072758C">
        <w:rPr>
          <w:lang w:val="en-AU"/>
        </w:rPr>
        <w:t xml:space="preserve"> (Dallas: Word Books, 1992), 4:411.</w:t>
      </w:r>
    </w:p>
  </w:footnote>
  <w:footnote w:id="662">
    <w:p w14:paraId="4A6FB72B" w14:textId="77777777" w:rsidR="00194C28" w:rsidRPr="0072758C" w:rsidRDefault="00194C28" w:rsidP="00BC7015">
      <w:pPr>
        <w:pStyle w:val="EndnoteText"/>
        <w:rPr>
          <w:lang w:val="en-AU"/>
        </w:rPr>
      </w:pPr>
    </w:p>
    <w:p w14:paraId="3AD2CC9B" w14:textId="600AD29E" w:rsidR="00194C28" w:rsidRPr="0072758C" w:rsidRDefault="00194C28" w:rsidP="00AB2072">
      <w:pPr>
        <w:pStyle w:val="EndnoteText"/>
        <w:ind w:firstLine="720"/>
        <w:rPr>
          <w:lang w:val="en-AU"/>
        </w:rPr>
      </w:pPr>
      <w:r w:rsidRPr="0072758C">
        <w:rPr>
          <w:rStyle w:val="FootnoteReference"/>
          <w:lang w:val="en-AU"/>
        </w:rPr>
        <w:footnoteRef/>
      </w:r>
      <w:r w:rsidRPr="0072758C">
        <w:rPr>
          <w:lang w:val="en-AU"/>
        </w:rPr>
        <w:t xml:space="preserve">  Matthew 5:39, Hosea 11:4, and 1 Esdras 4:30. </w:t>
      </w:r>
    </w:p>
  </w:footnote>
  <w:footnote w:id="663">
    <w:p w14:paraId="440023EF" w14:textId="77777777" w:rsidR="00194C28" w:rsidRPr="0072758C" w:rsidRDefault="00194C28" w:rsidP="00BC7015">
      <w:pPr>
        <w:pStyle w:val="EndnoteText"/>
        <w:rPr>
          <w:lang w:val="en-AU"/>
        </w:rPr>
      </w:pPr>
    </w:p>
    <w:p w14:paraId="546F688E" w14:textId="06510E9A" w:rsidR="00194C28" w:rsidRPr="0072758C" w:rsidRDefault="00194C28" w:rsidP="00AB2072">
      <w:pPr>
        <w:pStyle w:val="EndnoteText"/>
        <w:ind w:firstLine="720"/>
        <w:rPr>
          <w:lang w:val="en-AU"/>
        </w:rPr>
      </w:pPr>
      <w:r w:rsidRPr="0072758C">
        <w:rPr>
          <w:rStyle w:val="FootnoteReference"/>
          <w:lang w:val="en-AU"/>
        </w:rPr>
        <w:footnoteRef/>
      </w:r>
      <w:r w:rsidRPr="0072758C">
        <w:rPr>
          <w:lang w:val="en-AU"/>
        </w:rPr>
        <w:t xml:space="preserve"> Davis, </w:t>
      </w:r>
      <w:r w:rsidRPr="0072758C">
        <w:rPr>
          <w:i/>
          <w:iCs/>
          <w:lang w:val="en-AU"/>
        </w:rPr>
        <w:t xml:space="preserve">Lex Talionis in Early </w:t>
      </w:r>
      <w:proofErr w:type="gramStart"/>
      <w:r w:rsidRPr="0072758C">
        <w:rPr>
          <w:i/>
          <w:iCs/>
          <w:lang w:val="en-AU"/>
        </w:rPr>
        <w:t>Judaism</w:t>
      </w:r>
      <w:proofErr w:type="gramEnd"/>
      <w:r w:rsidRPr="0072758C">
        <w:rPr>
          <w:i/>
          <w:iCs/>
          <w:lang w:val="en-AU"/>
        </w:rPr>
        <w:t xml:space="preserve"> and the Exhortation of Jesus in Matthew 5:38</w:t>
      </w:r>
      <w:r w:rsidR="005676E2" w:rsidRPr="0072758C">
        <w:rPr>
          <w:i/>
          <w:iCs/>
          <w:lang w:val="en-AU"/>
        </w:rPr>
        <w:t>–</w:t>
      </w:r>
      <w:r w:rsidRPr="0072758C">
        <w:rPr>
          <w:i/>
          <w:iCs/>
          <w:lang w:val="en-AU"/>
        </w:rPr>
        <w:t>42</w:t>
      </w:r>
      <w:r w:rsidRPr="0072758C">
        <w:rPr>
          <w:lang w:val="en-AU"/>
        </w:rPr>
        <w:t>, 142.</w:t>
      </w:r>
    </w:p>
    <w:p w14:paraId="510AFC88" w14:textId="77777777" w:rsidR="00194C28" w:rsidRPr="0072758C" w:rsidRDefault="00194C28" w:rsidP="00BC7015">
      <w:pPr>
        <w:pStyle w:val="EndnoteText"/>
        <w:rPr>
          <w:lang w:val="en-AU"/>
        </w:rPr>
      </w:pPr>
      <w:r w:rsidRPr="0072758C">
        <w:rPr>
          <w:lang w:val="en-AU"/>
        </w:rPr>
        <w:tab/>
      </w:r>
    </w:p>
  </w:footnote>
  <w:footnote w:id="664">
    <w:p w14:paraId="2D86CB4B" w14:textId="77777777" w:rsidR="00194C28" w:rsidRPr="0072758C" w:rsidRDefault="00194C28" w:rsidP="00AB2072">
      <w:pPr>
        <w:pStyle w:val="EndnoteText"/>
        <w:ind w:firstLine="720"/>
        <w:rPr>
          <w:lang w:val="en-AU"/>
        </w:rPr>
      </w:pPr>
      <w:r w:rsidRPr="0072758C">
        <w:rPr>
          <w:rStyle w:val="FootnoteReference"/>
          <w:lang w:val="en-AU"/>
        </w:rPr>
        <w:footnoteRef/>
      </w:r>
      <w:r w:rsidRPr="0072758C">
        <w:rPr>
          <w:lang w:val="en-AU"/>
        </w:rPr>
        <w:t xml:space="preserve"> Stassen and Gushee, </w:t>
      </w:r>
      <w:r w:rsidRPr="0072758C">
        <w:rPr>
          <w:i/>
          <w:iCs/>
          <w:lang w:val="en-AU"/>
        </w:rPr>
        <w:t>Kingdom Ethics</w:t>
      </w:r>
      <w:r w:rsidRPr="0072758C">
        <w:rPr>
          <w:lang w:val="en-AU"/>
        </w:rPr>
        <w:t>, 139.</w:t>
      </w:r>
    </w:p>
  </w:footnote>
  <w:footnote w:id="665">
    <w:p w14:paraId="2731C694" w14:textId="77777777" w:rsidR="00194C28" w:rsidRPr="0072758C" w:rsidRDefault="00194C28" w:rsidP="00BC7015">
      <w:pPr>
        <w:pStyle w:val="EndnoteText"/>
        <w:rPr>
          <w:lang w:val="en-AU"/>
        </w:rPr>
      </w:pPr>
    </w:p>
    <w:p w14:paraId="3B9BD66F"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Davis, </w:t>
      </w:r>
      <w:r w:rsidRPr="0072758C">
        <w:rPr>
          <w:i/>
          <w:iCs/>
          <w:lang w:val="en-AU"/>
        </w:rPr>
        <w:t>Lex Talionis in Early Judaism</w:t>
      </w:r>
      <w:r w:rsidRPr="0072758C">
        <w:rPr>
          <w:lang w:val="en-AU"/>
        </w:rPr>
        <w:t>, 142.</w:t>
      </w:r>
    </w:p>
  </w:footnote>
  <w:footnote w:id="666">
    <w:p w14:paraId="647E42C7" w14:textId="77777777" w:rsidR="00194C28" w:rsidRPr="0072758C" w:rsidRDefault="00194C28" w:rsidP="00BC7015">
      <w:pPr>
        <w:pStyle w:val="EndnoteText"/>
        <w:rPr>
          <w:lang w:val="en-AU"/>
        </w:rPr>
      </w:pPr>
    </w:p>
    <w:p w14:paraId="5AD4C00E" w14:textId="55B3E984"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w:t>
      </w:r>
      <w:r w:rsidR="000C3E35" w:rsidRPr="0072758C">
        <w:rPr>
          <w:lang w:val="en-AU"/>
        </w:rPr>
        <w:t xml:space="preserve">Davis, </w:t>
      </w:r>
      <w:r w:rsidR="000C3E35" w:rsidRPr="0072758C">
        <w:rPr>
          <w:i/>
          <w:iCs/>
          <w:lang w:val="en-AU"/>
        </w:rPr>
        <w:t>Lex Talionis in Early Judaism</w:t>
      </w:r>
      <w:r w:rsidR="000C3E35" w:rsidRPr="0072758C">
        <w:rPr>
          <w:lang w:val="en-AU"/>
        </w:rPr>
        <w:t>, 142</w:t>
      </w:r>
    </w:p>
  </w:footnote>
  <w:footnote w:id="667">
    <w:p w14:paraId="2ED8CB47" w14:textId="77777777" w:rsidR="00194C28" w:rsidRPr="0072758C" w:rsidRDefault="00194C28" w:rsidP="00BC7015">
      <w:pPr>
        <w:pStyle w:val="EndnoteText"/>
        <w:rPr>
          <w:lang w:val="en-AU"/>
        </w:rPr>
      </w:pPr>
    </w:p>
    <w:p w14:paraId="531D8036" w14:textId="46897BFD" w:rsidR="002B3DE1" w:rsidRPr="0072758C" w:rsidRDefault="00194C28" w:rsidP="006D55D1">
      <w:pPr>
        <w:pStyle w:val="EndnoteText"/>
        <w:ind w:firstLine="720"/>
        <w:rPr>
          <w:lang w:val="en-AU"/>
        </w:rPr>
      </w:pPr>
      <w:r w:rsidRPr="0072758C">
        <w:rPr>
          <w:rStyle w:val="FootnoteReference"/>
          <w:lang w:val="en-AU"/>
        </w:rPr>
        <w:footnoteRef/>
      </w:r>
      <w:r w:rsidRPr="0072758C">
        <w:rPr>
          <w:lang w:val="en-AU"/>
        </w:rPr>
        <w:t xml:space="preserve"> </w:t>
      </w:r>
      <w:r w:rsidR="000C3E35" w:rsidRPr="0072758C">
        <w:rPr>
          <w:lang w:val="en-AU"/>
        </w:rPr>
        <w:t xml:space="preserve">Davis, </w:t>
      </w:r>
      <w:r w:rsidR="000C3E35" w:rsidRPr="0072758C">
        <w:rPr>
          <w:i/>
          <w:iCs/>
          <w:lang w:val="en-AU"/>
        </w:rPr>
        <w:t>Lex Talionis in Early Judaism</w:t>
      </w:r>
      <w:r w:rsidR="000C3E35" w:rsidRPr="0072758C">
        <w:rPr>
          <w:lang w:val="en-AU"/>
        </w:rPr>
        <w:t>, 142</w:t>
      </w:r>
      <w:r w:rsidR="002B3DE1" w:rsidRPr="0072758C">
        <w:rPr>
          <w:lang w:val="en-AU"/>
        </w:rPr>
        <w:t>.  See also Walter T. Wilson, “A Third Form of Righteousness: The Theme and Contribution of Matthew 6.19-7.12 in the Sermon on the Mount</w:t>
      </w:r>
      <w:r w:rsidR="00B74DC3" w:rsidRPr="0072758C">
        <w:rPr>
          <w:lang w:val="en-AU"/>
        </w:rPr>
        <w:t>,</w:t>
      </w:r>
      <w:r w:rsidR="002B3DE1" w:rsidRPr="0072758C">
        <w:rPr>
          <w:lang w:val="en-AU"/>
        </w:rPr>
        <w:t>” </w:t>
      </w:r>
      <w:r w:rsidR="002B3DE1" w:rsidRPr="0072758C">
        <w:rPr>
          <w:i/>
          <w:iCs/>
          <w:lang w:val="en-AU"/>
        </w:rPr>
        <w:t>New Testament Studies</w:t>
      </w:r>
      <w:r w:rsidR="002B3DE1" w:rsidRPr="0072758C">
        <w:rPr>
          <w:lang w:val="en-AU"/>
        </w:rPr>
        <w:t> 53 (2007): 303–24.</w:t>
      </w:r>
    </w:p>
    <w:p w14:paraId="6E7CD8B2" w14:textId="77777777" w:rsidR="000C3E35" w:rsidRPr="0072758C" w:rsidRDefault="000C3E35" w:rsidP="00BC7015">
      <w:pPr>
        <w:pStyle w:val="EndnoteText"/>
        <w:rPr>
          <w:lang w:val="en-AU"/>
        </w:rPr>
      </w:pPr>
    </w:p>
  </w:footnote>
  <w:footnote w:id="668">
    <w:p w14:paraId="516AB421" w14:textId="014DA881"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William Swartley, </w:t>
      </w:r>
      <w:r w:rsidRPr="0072758C">
        <w:rPr>
          <w:i/>
          <w:iCs/>
          <w:lang w:val="en-AU"/>
        </w:rPr>
        <w:t xml:space="preserve">Slavery, Sabbath, War &amp; Women </w:t>
      </w:r>
      <w:r w:rsidRPr="0072758C">
        <w:rPr>
          <w:lang w:val="en-AU"/>
        </w:rPr>
        <w:t>(Scottsdale: Herald, 1983), 101.</w:t>
      </w:r>
    </w:p>
  </w:footnote>
  <w:footnote w:id="669">
    <w:p w14:paraId="62D60396" w14:textId="77777777" w:rsidR="00194C28" w:rsidRPr="0072758C" w:rsidRDefault="00194C28" w:rsidP="00BC7015">
      <w:pPr>
        <w:pStyle w:val="EndnoteText"/>
        <w:rPr>
          <w:lang w:val="en-AU"/>
        </w:rPr>
      </w:pPr>
    </w:p>
    <w:p w14:paraId="475485DB" w14:textId="6FEDA05F"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Richard A. Burridge, </w:t>
      </w:r>
      <w:r w:rsidRPr="0072758C">
        <w:rPr>
          <w:i/>
          <w:iCs/>
          <w:lang w:val="en-AU"/>
        </w:rPr>
        <w:t>Imitating Jesus</w:t>
      </w:r>
      <w:r w:rsidRPr="0072758C">
        <w:rPr>
          <w:lang w:val="en-AU"/>
        </w:rPr>
        <w:t xml:space="preserve"> (Grand Rapids: Eerdmans, 2007), 216.</w:t>
      </w:r>
    </w:p>
    <w:p w14:paraId="0A2E4CE8" w14:textId="77777777" w:rsidR="00E22D34" w:rsidRPr="0072758C" w:rsidRDefault="00E22D34" w:rsidP="00BC7015">
      <w:pPr>
        <w:pStyle w:val="EndnoteText"/>
        <w:rPr>
          <w:lang w:val="en-AU"/>
        </w:rPr>
      </w:pPr>
    </w:p>
  </w:footnote>
  <w:footnote w:id="670">
    <w:p w14:paraId="109FFFC6"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See James Douglas Grant Dunn, </w:t>
      </w:r>
      <w:proofErr w:type="gramStart"/>
      <w:r w:rsidRPr="0072758C">
        <w:rPr>
          <w:i/>
          <w:iCs/>
          <w:lang w:val="en-AU"/>
        </w:rPr>
        <w:t>Jews</w:t>
      </w:r>
      <w:proofErr w:type="gramEnd"/>
      <w:r w:rsidRPr="0072758C">
        <w:rPr>
          <w:i/>
          <w:iCs/>
          <w:lang w:val="en-AU"/>
        </w:rPr>
        <w:t xml:space="preserve"> and Christians</w:t>
      </w:r>
      <w:r w:rsidRPr="0072758C">
        <w:rPr>
          <w:lang w:val="en-AU"/>
        </w:rPr>
        <w:t> (Grand Rapids: Eerdmans, 2009).</w:t>
      </w:r>
    </w:p>
    <w:p w14:paraId="652400E8" w14:textId="77777777" w:rsidR="00194C28" w:rsidRPr="0072758C" w:rsidRDefault="00194C28" w:rsidP="00BC7015">
      <w:pPr>
        <w:pStyle w:val="EndnoteText"/>
        <w:rPr>
          <w:lang w:val="en-AU"/>
        </w:rPr>
      </w:pPr>
    </w:p>
  </w:footnote>
  <w:footnote w:id="671">
    <w:p w14:paraId="08322F9A" w14:textId="2B2AAE7C" w:rsidR="00BD0E28" w:rsidRPr="0072758C" w:rsidRDefault="00194C28" w:rsidP="006D55D1">
      <w:pPr>
        <w:pStyle w:val="EndnoteText"/>
        <w:ind w:firstLine="720"/>
        <w:rPr>
          <w:lang w:val="en-AU"/>
        </w:rPr>
      </w:pPr>
      <w:r w:rsidRPr="0072758C">
        <w:rPr>
          <w:rStyle w:val="FootnoteReference"/>
          <w:lang w:val="en-AU"/>
        </w:rPr>
        <w:footnoteRef/>
      </w:r>
      <w:r w:rsidRPr="0072758C">
        <w:rPr>
          <w:lang w:val="en-AU"/>
        </w:rPr>
        <w:t xml:space="preserve"> Michael L. Satlow, </w:t>
      </w:r>
      <w:r w:rsidR="00863B47" w:rsidRPr="0072758C">
        <w:rPr>
          <w:lang w:val="en-AU"/>
        </w:rPr>
        <w:t>“</w:t>
      </w:r>
      <w:r w:rsidRPr="0072758C">
        <w:rPr>
          <w:lang w:val="en-AU"/>
        </w:rPr>
        <w:t>Beyond Influence: Toward a New Historiographic Paradigm,</w:t>
      </w:r>
      <w:r w:rsidR="00863B47" w:rsidRPr="0072758C">
        <w:rPr>
          <w:lang w:val="en-AU"/>
        </w:rPr>
        <w:t>”</w:t>
      </w:r>
      <w:r w:rsidRPr="0072758C">
        <w:rPr>
          <w:lang w:val="en-AU"/>
        </w:rPr>
        <w:t xml:space="preserve"> in </w:t>
      </w:r>
      <w:r w:rsidRPr="0072758C">
        <w:rPr>
          <w:i/>
          <w:iCs/>
          <w:lang w:val="en-AU"/>
        </w:rPr>
        <w:t xml:space="preserve">Jewish Literatures and Cultures: Context and Intertext </w:t>
      </w:r>
      <w:r w:rsidRPr="0072758C">
        <w:rPr>
          <w:lang w:val="en-AU"/>
        </w:rPr>
        <w:t>(Providence: Brown Judaic Studies, 2008), 40.</w:t>
      </w:r>
      <w:r w:rsidR="00BD0E28" w:rsidRPr="0072758C">
        <w:rPr>
          <w:lang w:val="en-AU"/>
        </w:rPr>
        <w:t xml:space="preserve">  For a discussion of Jesus and the role of the Sanhedrin, see Dan Jaffé, “History of a Marginal Disciple: The Figure of Jesus in the Talmud, a New Paradigm</w:t>
      </w:r>
      <w:r w:rsidR="00B74DC3" w:rsidRPr="0072758C">
        <w:rPr>
          <w:lang w:val="en-AU"/>
        </w:rPr>
        <w:t>,</w:t>
      </w:r>
      <w:r w:rsidR="00BD0E28" w:rsidRPr="0072758C">
        <w:rPr>
          <w:lang w:val="en-AU"/>
        </w:rPr>
        <w:t>” </w:t>
      </w:r>
      <w:r w:rsidR="00BD0E28" w:rsidRPr="0072758C">
        <w:rPr>
          <w:i/>
          <w:iCs/>
          <w:lang w:val="en-AU"/>
        </w:rPr>
        <w:t>Revue Des Études Juives</w:t>
      </w:r>
      <w:r w:rsidR="00BD0E28" w:rsidRPr="0072758C">
        <w:rPr>
          <w:lang w:val="en-AU"/>
        </w:rPr>
        <w:t xml:space="preserve"> 177 (2018): 1–22. </w:t>
      </w:r>
    </w:p>
    <w:p w14:paraId="0AF8F2B8" w14:textId="77777777" w:rsidR="00194C28" w:rsidRPr="0072758C" w:rsidRDefault="00194C28" w:rsidP="00BC7015">
      <w:pPr>
        <w:pStyle w:val="EndnoteText"/>
        <w:rPr>
          <w:lang w:val="en-AU"/>
        </w:rPr>
      </w:pPr>
    </w:p>
  </w:footnote>
  <w:footnote w:id="672">
    <w:p w14:paraId="0B844394" w14:textId="77777777" w:rsidR="00194C28" w:rsidRPr="0072758C" w:rsidRDefault="00194C28" w:rsidP="00BC7015">
      <w:pPr>
        <w:pStyle w:val="EndnoteText"/>
        <w:ind w:firstLine="720"/>
        <w:rPr>
          <w:i/>
          <w:iCs/>
          <w:lang w:val="en-AU"/>
        </w:rPr>
      </w:pPr>
      <w:r w:rsidRPr="0072758C">
        <w:rPr>
          <w:rStyle w:val="FootnoteReference"/>
          <w:lang w:val="en-AU"/>
        </w:rPr>
        <w:footnoteRef/>
      </w:r>
      <w:r w:rsidRPr="0072758C">
        <w:rPr>
          <w:lang w:val="en-AU"/>
        </w:rPr>
        <w:t xml:space="preserve"> Burridge, </w:t>
      </w:r>
      <w:r w:rsidRPr="0072758C">
        <w:rPr>
          <w:i/>
          <w:iCs/>
          <w:lang w:val="en-AU"/>
        </w:rPr>
        <w:t>Imitating Jesus, 216.</w:t>
      </w:r>
    </w:p>
  </w:footnote>
  <w:footnote w:id="673">
    <w:p w14:paraId="6C214A39" w14:textId="77777777" w:rsidR="00194C28" w:rsidRPr="0072758C" w:rsidRDefault="00194C28" w:rsidP="00BC7015">
      <w:pPr>
        <w:pStyle w:val="EndnoteText"/>
        <w:rPr>
          <w:lang w:val="en-AU"/>
        </w:rPr>
      </w:pPr>
    </w:p>
    <w:p w14:paraId="54295528"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Religious law protected citizens in </w:t>
      </w:r>
      <w:r w:rsidRPr="0072758C">
        <w:rPr>
          <w:i/>
          <w:lang w:val="en-AU"/>
        </w:rPr>
        <w:t xml:space="preserve">Pirkei Avot </w:t>
      </w:r>
      <w:r w:rsidRPr="0072758C">
        <w:rPr>
          <w:lang w:val="en-AU"/>
        </w:rPr>
        <w:t xml:space="preserve">2:14, Psalms 37:21 and Proverbs 22:7. </w:t>
      </w:r>
    </w:p>
    <w:p w14:paraId="50B4C176" w14:textId="77777777" w:rsidR="00194C28" w:rsidRPr="0072758C" w:rsidRDefault="00194C28" w:rsidP="00BC7015">
      <w:pPr>
        <w:pStyle w:val="EndnoteText"/>
        <w:rPr>
          <w:lang w:val="en-AU"/>
        </w:rPr>
      </w:pPr>
      <w:r w:rsidRPr="0072758C">
        <w:rPr>
          <w:lang w:val="en-AU"/>
        </w:rPr>
        <w:tab/>
      </w:r>
    </w:p>
  </w:footnote>
  <w:footnote w:id="674">
    <w:p w14:paraId="7AFA5446" w14:textId="38402076" w:rsidR="00334502"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w:t>
      </w:r>
      <w:r w:rsidR="00334502" w:rsidRPr="0072758C">
        <w:rPr>
          <w:lang w:val="en-AU"/>
        </w:rPr>
        <w:t xml:space="preserve">Burridge, </w:t>
      </w:r>
      <w:r w:rsidR="00334502" w:rsidRPr="0072758C">
        <w:rPr>
          <w:i/>
          <w:iCs/>
          <w:lang w:val="en-AU"/>
        </w:rPr>
        <w:t xml:space="preserve">Imitating Jesus, </w:t>
      </w:r>
      <w:r w:rsidR="00334502" w:rsidRPr="0072758C">
        <w:rPr>
          <w:lang w:val="en-AU"/>
        </w:rPr>
        <w:t>216</w:t>
      </w:r>
      <w:r w:rsidR="00334502" w:rsidRPr="0072758C">
        <w:rPr>
          <w:i/>
          <w:iCs/>
          <w:lang w:val="en-AU"/>
        </w:rPr>
        <w:t xml:space="preserve">. </w:t>
      </w:r>
      <w:r w:rsidR="00334502" w:rsidRPr="0072758C">
        <w:rPr>
          <w:lang w:val="en-AU"/>
        </w:rPr>
        <w:t xml:space="preserve">For further research on the role of nudity and shame in the Greco-Roman Judaism, see </w:t>
      </w:r>
      <w:r w:rsidR="00334502" w:rsidRPr="0072758C">
        <w:rPr>
          <w:iCs/>
          <w:lang w:val="en-AU"/>
        </w:rPr>
        <w:t>Michael Poliakoff</w:t>
      </w:r>
      <w:r w:rsidR="00B74DC3" w:rsidRPr="0072758C">
        <w:rPr>
          <w:iCs/>
          <w:lang w:val="en-AU"/>
        </w:rPr>
        <w:t>,</w:t>
      </w:r>
      <w:r w:rsidR="00334502" w:rsidRPr="0072758C">
        <w:rPr>
          <w:iCs/>
          <w:lang w:val="en-AU"/>
        </w:rPr>
        <w:t xml:space="preserve"> “They Should Cover Their Shame’: Attitudes toward Nudity in Greco-Roman Judaism</w:t>
      </w:r>
      <w:r w:rsidR="00B74DC3" w:rsidRPr="0072758C">
        <w:rPr>
          <w:iCs/>
          <w:lang w:val="en-AU"/>
        </w:rPr>
        <w:t>,</w:t>
      </w:r>
      <w:r w:rsidR="00334502" w:rsidRPr="0072758C">
        <w:rPr>
          <w:iCs/>
          <w:lang w:val="en-AU"/>
        </w:rPr>
        <w:t>” </w:t>
      </w:r>
      <w:r w:rsidR="00334502" w:rsidRPr="0072758C">
        <w:rPr>
          <w:i/>
          <w:iCs/>
          <w:lang w:val="en-AU"/>
        </w:rPr>
        <w:t>Notes in the History of Art</w:t>
      </w:r>
      <w:r w:rsidR="00334502" w:rsidRPr="0072758C">
        <w:rPr>
          <w:iCs/>
          <w:lang w:val="en-AU"/>
        </w:rPr>
        <w:t> 12</w:t>
      </w:r>
      <w:r w:rsidR="0089234E" w:rsidRPr="0072758C">
        <w:rPr>
          <w:iCs/>
          <w:lang w:val="en-AU"/>
        </w:rPr>
        <w:t xml:space="preserve"> </w:t>
      </w:r>
      <w:r w:rsidR="00334502" w:rsidRPr="0072758C">
        <w:rPr>
          <w:iCs/>
          <w:lang w:val="en-AU"/>
        </w:rPr>
        <w:t>(1993): 56–62. </w:t>
      </w:r>
    </w:p>
    <w:p w14:paraId="1FF89937" w14:textId="77777777" w:rsidR="00B47627" w:rsidRPr="0072758C" w:rsidRDefault="00B47627" w:rsidP="00BC7015">
      <w:pPr>
        <w:pStyle w:val="EndnoteText"/>
        <w:rPr>
          <w:lang w:val="en-AU"/>
        </w:rPr>
      </w:pPr>
    </w:p>
  </w:footnote>
  <w:footnote w:id="675">
    <w:p w14:paraId="72602952" w14:textId="028A2D41" w:rsidR="00334502"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Fabian E Udoh, </w:t>
      </w:r>
      <w:r w:rsidRPr="0072758C">
        <w:rPr>
          <w:i/>
          <w:iCs/>
          <w:lang w:val="en-AU"/>
        </w:rPr>
        <w:t>To Caesar What Is Caesar</w:t>
      </w:r>
      <w:r w:rsidR="005C71CB" w:rsidRPr="0072758C">
        <w:rPr>
          <w:i/>
          <w:iCs/>
          <w:lang w:val="en-AU"/>
        </w:rPr>
        <w:t>’</w:t>
      </w:r>
      <w:r w:rsidRPr="0072758C">
        <w:rPr>
          <w:i/>
          <w:iCs/>
          <w:lang w:val="en-AU"/>
        </w:rPr>
        <w:t>s</w:t>
      </w:r>
      <w:r w:rsidRPr="0072758C">
        <w:rPr>
          <w:lang w:val="en-AU"/>
        </w:rPr>
        <w:t> (Providence: Brown Judaic Studies, 2006), 31.</w:t>
      </w:r>
      <w:r w:rsidR="00334502" w:rsidRPr="0072758C">
        <w:rPr>
          <w:lang w:val="en-AU"/>
        </w:rPr>
        <w:t xml:space="preserve"> </w:t>
      </w:r>
    </w:p>
    <w:p w14:paraId="39C83F6D" w14:textId="77777777" w:rsidR="0046680C" w:rsidRPr="0072758C" w:rsidRDefault="0046680C" w:rsidP="00BC7015">
      <w:pPr>
        <w:pStyle w:val="EndnoteText"/>
        <w:rPr>
          <w:lang w:val="en-AU"/>
        </w:rPr>
      </w:pPr>
    </w:p>
  </w:footnote>
  <w:footnote w:id="676">
    <w:p w14:paraId="3C05E85B"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Dale C. Allison, </w:t>
      </w:r>
      <w:r w:rsidRPr="0072758C">
        <w:rPr>
          <w:i/>
          <w:lang w:val="en-AU"/>
        </w:rPr>
        <w:t>The Sermon on the Mount</w:t>
      </w:r>
      <w:r w:rsidRPr="0072758C">
        <w:rPr>
          <w:lang w:val="en-AU"/>
        </w:rPr>
        <w:t xml:space="preserve"> (New York: Crossroad, 1999), 93.</w:t>
      </w:r>
    </w:p>
    <w:p w14:paraId="49AFBA1C" w14:textId="77777777" w:rsidR="00194C28" w:rsidRPr="0072758C" w:rsidRDefault="00194C28" w:rsidP="00BC7015">
      <w:pPr>
        <w:pStyle w:val="EndnoteText"/>
        <w:rPr>
          <w:lang w:val="en-AU"/>
        </w:rPr>
      </w:pPr>
    </w:p>
  </w:footnote>
  <w:footnote w:id="677">
    <w:p w14:paraId="66565334" w14:textId="77777777" w:rsidR="00194C28" w:rsidRPr="0072758C" w:rsidRDefault="00194C28" w:rsidP="00BC7015">
      <w:pPr>
        <w:pStyle w:val="EndnoteText"/>
        <w:rPr>
          <w:lang w:val="en-AU"/>
        </w:rPr>
      </w:pPr>
    </w:p>
    <w:p w14:paraId="18C2ED4D" w14:textId="1722C7B0"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Niebuhr teaches pacifism and that justice sometimes requires force and love. See Niebuhr</w:t>
      </w:r>
      <w:r w:rsidR="005C71CB" w:rsidRPr="0072758C">
        <w:rPr>
          <w:lang w:val="en-AU"/>
        </w:rPr>
        <w:t>’</w:t>
      </w:r>
      <w:r w:rsidRPr="0072758C">
        <w:rPr>
          <w:lang w:val="en-AU"/>
        </w:rPr>
        <w:t xml:space="preserve">s works such as </w:t>
      </w:r>
      <w:r w:rsidRPr="0072758C">
        <w:rPr>
          <w:i/>
          <w:iCs/>
          <w:lang w:val="en-AU"/>
        </w:rPr>
        <w:t>Moral Man and Immoral Society</w:t>
      </w:r>
      <w:r w:rsidRPr="0072758C">
        <w:rPr>
          <w:lang w:val="en-AU"/>
        </w:rPr>
        <w:t xml:space="preserve"> (New York: Scribners, 1932), </w:t>
      </w:r>
      <w:r w:rsidRPr="0072758C">
        <w:rPr>
          <w:i/>
          <w:iCs/>
          <w:lang w:val="en-AU"/>
        </w:rPr>
        <w:t>Christianity and Power Politics</w:t>
      </w:r>
      <w:r w:rsidRPr="0072758C">
        <w:rPr>
          <w:lang w:val="en-AU"/>
        </w:rPr>
        <w:t xml:space="preserve"> (New York: Scribners, 1940), and </w:t>
      </w:r>
      <w:r w:rsidRPr="0072758C">
        <w:rPr>
          <w:i/>
          <w:iCs/>
          <w:lang w:val="en-AU"/>
        </w:rPr>
        <w:t>Christian Realism and Political Problems</w:t>
      </w:r>
      <w:r w:rsidRPr="0072758C">
        <w:rPr>
          <w:lang w:val="en-AU"/>
        </w:rPr>
        <w:t xml:space="preserve"> (New York: Scribners, 1953). </w:t>
      </w:r>
    </w:p>
    <w:p w14:paraId="09165CAC" w14:textId="77777777" w:rsidR="00194C28" w:rsidRPr="0072758C" w:rsidRDefault="00194C28" w:rsidP="00BC7015">
      <w:pPr>
        <w:pStyle w:val="EndnoteText"/>
        <w:rPr>
          <w:lang w:val="en-AU"/>
        </w:rPr>
      </w:pPr>
    </w:p>
  </w:footnote>
  <w:footnote w:id="678">
    <w:p w14:paraId="39EDE0B7" w14:textId="5E28DB2C"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Pacifist theologian John Howard Yoder advocated the avoidance of war as a political policy. Yoder writes: The Politics of Jesus, (Grand Rapids: Eerdmans, 1994); </w:t>
      </w:r>
      <w:r w:rsidR="009C6C1E" w:rsidRPr="0072758C">
        <w:rPr>
          <w:lang w:val="en-AU"/>
        </w:rPr>
        <w:t xml:space="preserve">Ibid., </w:t>
      </w:r>
      <w:r w:rsidRPr="0072758C">
        <w:rPr>
          <w:i/>
          <w:iCs/>
          <w:lang w:val="en-AU"/>
        </w:rPr>
        <w:t>Varieties of Christian Pacifism</w:t>
      </w:r>
      <w:r w:rsidRPr="0072758C">
        <w:rPr>
          <w:lang w:val="en-AU"/>
        </w:rPr>
        <w:t xml:space="preserve"> (Scottdale: Herald, 1992); </w:t>
      </w:r>
      <w:r w:rsidR="009C6C1E" w:rsidRPr="0072758C">
        <w:rPr>
          <w:lang w:val="en-AU"/>
        </w:rPr>
        <w:t xml:space="preserve">Ibid., </w:t>
      </w:r>
      <w:r w:rsidRPr="0072758C">
        <w:rPr>
          <w:i/>
          <w:iCs/>
          <w:lang w:val="en-AU"/>
        </w:rPr>
        <w:t>When War Is Unjust</w:t>
      </w:r>
      <w:r w:rsidRPr="0072758C">
        <w:rPr>
          <w:lang w:val="en-AU"/>
        </w:rPr>
        <w:t xml:space="preserve"> (Eugene: Wipf and Stock, 2001).</w:t>
      </w:r>
    </w:p>
  </w:footnote>
  <w:footnote w:id="679">
    <w:p w14:paraId="75D2A917" w14:textId="77777777" w:rsidR="00194C28" w:rsidRPr="0072758C" w:rsidRDefault="00194C28" w:rsidP="00BC7015">
      <w:pPr>
        <w:pStyle w:val="EndnoteText"/>
        <w:rPr>
          <w:lang w:val="en-AU"/>
        </w:rPr>
      </w:pPr>
    </w:p>
    <w:p w14:paraId="3E84808D" w14:textId="449788E6" w:rsidR="002A04E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Swartley, </w:t>
      </w:r>
      <w:r w:rsidRPr="0072758C">
        <w:rPr>
          <w:i/>
          <w:iCs/>
          <w:lang w:val="en-AU"/>
        </w:rPr>
        <w:t>Slavery, Sabbath, War &amp; Women</w:t>
      </w:r>
      <w:r w:rsidRPr="0072758C">
        <w:rPr>
          <w:lang w:val="en-AU"/>
        </w:rPr>
        <w:t>, 121.</w:t>
      </w:r>
      <w:r w:rsidR="002A04E8" w:rsidRPr="0072758C">
        <w:rPr>
          <w:lang w:val="en-AU"/>
        </w:rPr>
        <w:t xml:space="preserve"> For a discussion of early Christian sword handling and violence, see N. Clayton Croy,</w:t>
      </w:r>
      <w:r w:rsidR="00C02DAB" w:rsidRPr="0072758C">
        <w:rPr>
          <w:lang w:val="en-AU"/>
        </w:rPr>
        <w:t xml:space="preserve"> </w:t>
      </w:r>
      <w:r w:rsidR="002A04E8" w:rsidRPr="0072758C">
        <w:rPr>
          <w:lang w:val="en-AU"/>
        </w:rPr>
        <w:t>“Sword Handling: The Early Christian Reception of Matthew</w:t>
      </w:r>
      <w:r w:rsidR="00C02DAB" w:rsidRPr="0072758C">
        <w:rPr>
          <w:lang w:val="en-AU"/>
        </w:rPr>
        <w:t xml:space="preserve"> </w:t>
      </w:r>
      <w:r w:rsidR="002A04E8" w:rsidRPr="0072758C">
        <w:rPr>
          <w:lang w:val="en-AU"/>
        </w:rPr>
        <w:t>10:34</w:t>
      </w:r>
      <w:r w:rsidR="00C02DAB" w:rsidRPr="0072758C">
        <w:rPr>
          <w:lang w:val="en-AU"/>
        </w:rPr>
        <w:t>,</w:t>
      </w:r>
      <w:r w:rsidR="002A04E8" w:rsidRPr="0072758C">
        <w:rPr>
          <w:lang w:val="en-AU"/>
        </w:rPr>
        <w:t>” </w:t>
      </w:r>
      <w:r w:rsidR="002A04E8" w:rsidRPr="0072758C">
        <w:rPr>
          <w:i/>
          <w:iCs/>
          <w:lang w:val="en-AU"/>
        </w:rPr>
        <w:t>Journal of the Bible &amp; Its Reception</w:t>
      </w:r>
      <w:r w:rsidR="002A04E8" w:rsidRPr="0072758C">
        <w:rPr>
          <w:lang w:val="en-AU"/>
        </w:rPr>
        <w:t> 6</w:t>
      </w:r>
      <w:r w:rsidR="0089234E" w:rsidRPr="0072758C">
        <w:rPr>
          <w:lang w:val="en-AU"/>
        </w:rPr>
        <w:t xml:space="preserve"> </w:t>
      </w:r>
      <w:r w:rsidR="002A04E8" w:rsidRPr="0072758C">
        <w:rPr>
          <w:lang w:val="en-AU"/>
        </w:rPr>
        <w:t>(2019): 135–62.</w:t>
      </w:r>
    </w:p>
    <w:p w14:paraId="7E5EFB48" w14:textId="77777777" w:rsidR="00194C28" w:rsidRPr="0072758C" w:rsidRDefault="00194C28" w:rsidP="00BC7015">
      <w:pPr>
        <w:pStyle w:val="EndnoteText"/>
        <w:rPr>
          <w:lang w:val="en-AU"/>
        </w:rPr>
      </w:pPr>
    </w:p>
  </w:footnote>
  <w:footnote w:id="680">
    <w:p w14:paraId="1CDB0294" w14:textId="1D71147A"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John Donahue, </w:t>
      </w:r>
      <w:r w:rsidR="00863B47" w:rsidRPr="0072758C">
        <w:rPr>
          <w:lang w:val="en-AU"/>
        </w:rPr>
        <w:t>“</w:t>
      </w:r>
      <w:r w:rsidRPr="0072758C">
        <w:rPr>
          <w:lang w:val="en-AU"/>
        </w:rPr>
        <w:t>The Good News of Peace,</w:t>
      </w:r>
      <w:r w:rsidR="00863B47" w:rsidRPr="0072758C">
        <w:rPr>
          <w:lang w:val="en-AU"/>
        </w:rPr>
        <w:t>”</w:t>
      </w:r>
      <w:r w:rsidRPr="0072758C">
        <w:rPr>
          <w:lang w:val="en-AU"/>
        </w:rPr>
        <w:t xml:space="preserve"> </w:t>
      </w:r>
      <w:r w:rsidRPr="0072758C">
        <w:rPr>
          <w:i/>
          <w:iCs/>
          <w:lang w:val="en-AU"/>
        </w:rPr>
        <w:t>The Way: Contemporary Christian Spirituality</w:t>
      </w:r>
      <w:r w:rsidR="00052057" w:rsidRPr="0072758C">
        <w:rPr>
          <w:lang w:val="en-AU"/>
        </w:rPr>
        <w:t xml:space="preserve"> 22</w:t>
      </w:r>
      <w:r w:rsidRPr="0072758C">
        <w:rPr>
          <w:lang w:val="en-AU"/>
        </w:rPr>
        <w:t xml:space="preserve"> (1982)</w:t>
      </w:r>
      <w:r w:rsidR="00B50B42" w:rsidRPr="0072758C">
        <w:rPr>
          <w:lang w:val="en-AU"/>
        </w:rPr>
        <w:t xml:space="preserve">: </w:t>
      </w:r>
      <w:r w:rsidRPr="0072758C">
        <w:rPr>
          <w:lang w:val="en-AU"/>
        </w:rPr>
        <w:t xml:space="preserve">98. </w:t>
      </w:r>
    </w:p>
    <w:p w14:paraId="18FEA057" w14:textId="77777777" w:rsidR="00194C28" w:rsidRPr="0072758C" w:rsidRDefault="00194C28" w:rsidP="00BC7015">
      <w:pPr>
        <w:pStyle w:val="EndnoteText"/>
        <w:rPr>
          <w:lang w:val="en-AU"/>
        </w:rPr>
      </w:pPr>
    </w:p>
  </w:footnote>
  <w:footnote w:id="681">
    <w:p w14:paraId="7B59E266"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Stassen and Gushee, </w:t>
      </w:r>
      <w:r w:rsidRPr="0072758C">
        <w:rPr>
          <w:i/>
          <w:iCs/>
          <w:lang w:val="en-AU"/>
        </w:rPr>
        <w:t>Kingdom Ethics</w:t>
      </w:r>
      <w:r w:rsidRPr="0072758C">
        <w:rPr>
          <w:lang w:val="en-AU"/>
        </w:rPr>
        <w:t xml:space="preserve">, 156.; Richard Hays, </w:t>
      </w:r>
      <w:r w:rsidRPr="0072758C">
        <w:rPr>
          <w:i/>
          <w:iCs/>
          <w:lang w:val="en-AU"/>
        </w:rPr>
        <w:t>Moral Vision of the New Testament: Community, Cross, New Creation: A Contemporary Introduction to Christian Ethics</w:t>
      </w:r>
      <w:r w:rsidRPr="0072758C">
        <w:rPr>
          <w:lang w:val="en-AU"/>
        </w:rPr>
        <w:t xml:space="preserve"> (NY: Harper Collins, 1996). </w:t>
      </w:r>
    </w:p>
    <w:p w14:paraId="424F571E" w14:textId="77777777" w:rsidR="00194C28" w:rsidRPr="0072758C" w:rsidRDefault="00194C28" w:rsidP="00BC7015">
      <w:pPr>
        <w:pStyle w:val="EndnoteText"/>
        <w:rPr>
          <w:lang w:val="en-AU"/>
        </w:rPr>
      </w:pPr>
    </w:p>
  </w:footnote>
  <w:footnote w:id="682">
    <w:p w14:paraId="6E632AC7" w14:textId="3728C77E" w:rsidR="007222E4" w:rsidRPr="0072758C" w:rsidRDefault="00194C28" w:rsidP="006D55D1">
      <w:pPr>
        <w:pStyle w:val="EndnoteText"/>
        <w:ind w:firstLine="720"/>
        <w:rPr>
          <w:lang w:val="en-AU"/>
        </w:rPr>
      </w:pPr>
      <w:r w:rsidRPr="0072758C">
        <w:rPr>
          <w:rStyle w:val="FootnoteReference"/>
          <w:lang w:val="en-AU"/>
        </w:rPr>
        <w:footnoteRef/>
      </w:r>
      <w:r w:rsidRPr="0072758C">
        <w:rPr>
          <w:lang w:val="en-AU"/>
        </w:rPr>
        <w:t xml:space="preserve"> Williard Swartley, </w:t>
      </w:r>
      <w:r w:rsidRPr="0072758C">
        <w:rPr>
          <w:i/>
          <w:iCs/>
          <w:lang w:val="en-AU"/>
        </w:rPr>
        <w:t>Covenant of Peace: The Missing Peace in New Testament Theology and Ethics</w:t>
      </w:r>
      <w:r w:rsidRPr="0072758C">
        <w:rPr>
          <w:lang w:val="en-AU"/>
        </w:rPr>
        <w:t xml:space="preserve"> (Grand Rapids: Eerdmans, 2006), 46. </w:t>
      </w:r>
      <w:r w:rsidR="007222E4" w:rsidRPr="0072758C">
        <w:rPr>
          <w:lang w:val="en-AU"/>
        </w:rPr>
        <w:t>For more discussion on nonviolent resistance through love, see Katja Ekman, “Enemy Love and the Reinvention of Identity</w:t>
      </w:r>
      <w:r w:rsidR="00FE30DC" w:rsidRPr="0072758C">
        <w:rPr>
          <w:lang w:val="en-AU"/>
        </w:rPr>
        <w:t>,</w:t>
      </w:r>
      <w:r w:rsidR="007222E4" w:rsidRPr="0072758C">
        <w:rPr>
          <w:lang w:val="en-AU"/>
        </w:rPr>
        <w:t>” </w:t>
      </w:r>
      <w:r w:rsidR="007222E4" w:rsidRPr="0072758C">
        <w:rPr>
          <w:i/>
          <w:iCs/>
          <w:lang w:val="en-AU"/>
        </w:rPr>
        <w:t>HTS T</w:t>
      </w:r>
      <w:r w:rsidR="005071D8" w:rsidRPr="0072758C">
        <w:rPr>
          <w:i/>
          <w:iCs/>
          <w:lang w:val="en-AU"/>
        </w:rPr>
        <w:t xml:space="preserve">eologiese Studies – Theological Studies </w:t>
      </w:r>
      <w:r w:rsidR="007222E4" w:rsidRPr="0072758C">
        <w:rPr>
          <w:lang w:val="en-AU"/>
        </w:rPr>
        <w:t>77</w:t>
      </w:r>
      <w:r w:rsidR="0089234E" w:rsidRPr="0072758C">
        <w:rPr>
          <w:lang w:val="en-AU"/>
        </w:rPr>
        <w:t xml:space="preserve"> </w:t>
      </w:r>
      <w:r w:rsidR="007222E4" w:rsidRPr="0072758C">
        <w:rPr>
          <w:lang w:val="en-AU"/>
        </w:rPr>
        <w:t>(2021).</w:t>
      </w:r>
    </w:p>
    <w:p w14:paraId="12231348" w14:textId="77777777" w:rsidR="00194C28" w:rsidRPr="0072758C" w:rsidRDefault="00194C28" w:rsidP="00BC7015">
      <w:pPr>
        <w:pStyle w:val="EndnoteText"/>
        <w:rPr>
          <w:lang w:val="en-AU"/>
        </w:rPr>
      </w:pPr>
    </w:p>
  </w:footnote>
  <w:footnote w:id="683">
    <w:p w14:paraId="66A764EE"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Borg, </w:t>
      </w:r>
      <w:r w:rsidRPr="0072758C">
        <w:rPr>
          <w:i/>
          <w:iCs/>
          <w:lang w:val="en-AU"/>
        </w:rPr>
        <w:t>Jesus: A New Vision</w:t>
      </w:r>
      <w:r w:rsidRPr="0072758C">
        <w:rPr>
          <w:lang w:val="en-AU"/>
        </w:rPr>
        <w:t>, 137.</w:t>
      </w:r>
    </w:p>
    <w:p w14:paraId="3ED7EC02" w14:textId="77777777" w:rsidR="00194C28" w:rsidRPr="0072758C" w:rsidRDefault="00194C28" w:rsidP="00BC7015">
      <w:pPr>
        <w:pStyle w:val="EndnoteText"/>
        <w:rPr>
          <w:lang w:val="en-AU"/>
        </w:rPr>
      </w:pPr>
    </w:p>
  </w:footnote>
  <w:footnote w:id="684">
    <w:p w14:paraId="7E770F89" w14:textId="59F628C2"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For further understanding on the Jewish concept from the sages on justice having a just means and a just end, see Lenn Evan Goodman, </w:t>
      </w:r>
      <w:r w:rsidRPr="0072758C">
        <w:rPr>
          <w:i/>
          <w:iCs/>
          <w:lang w:val="en-AU"/>
        </w:rPr>
        <w:t>Love Thy Neighbour as Thyself</w:t>
      </w:r>
      <w:r w:rsidRPr="0072758C">
        <w:rPr>
          <w:lang w:val="en-AU"/>
        </w:rPr>
        <w:t xml:space="preserve"> (Oxford: Oxford University Press, 2008), 22.</w:t>
      </w:r>
    </w:p>
    <w:p w14:paraId="4093B813" w14:textId="389BE8FD" w:rsidR="00194C28" w:rsidRPr="0072758C" w:rsidRDefault="00194C28" w:rsidP="00BC7015">
      <w:pPr>
        <w:pStyle w:val="EndnoteText"/>
        <w:rPr>
          <w:lang w:val="en-AU"/>
        </w:rPr>
      </w:pPr>
    </w:p>
  </w:footnote>
  <w:footnote w:id="685">
    <w:p w14:paraId="40167B0A" w14:textId="77777777" w:rsidR="00B46309" w:rsidRPr="0072758C" w:rsidRDefault="00194C28" w:rsidP="00B46309">
      <w:pPr>
        <w:pStyle w:val="EndnoteText"/>
        <w:ind w:firstLine="720"/>
        <w:rPr>
          <w:lang w:val="en-AU"/>
        </w:rPr>
      </w:pPr>
      <w:r w:rsidRPr="0072758C">
        <w:rPr>
          <w:rStyle w:val="FootnoteReference"/>
          <w:lang w:val="en-AU"/>
        </w:rPr>
        <w:footnoteRef/>
      </w:r>
      <w:r w:rsidRPr="0072758C">
        <w:rPr>
          <w:lang w:val="en-AU"/>
        </w:rPr>
        <w:t xml:space="preserve"> See Klaus Berger, </w:t>
      </w:r>
      <w:r w:rsidRPr="0072758C">
        <w:rPr>
          <w:i/>
          <w:iCs/>
          <w:lang w:val="en-AU"/>
        </w:rPr>
        <w:t>Die Gesetzesauslegung Jesu: Ihr historischer Hintergrund im Judentum und im Alten Testament 1: Markus und Parallelen</w:t>
      </w:r>
      <w:r w:rsidRPr="0072758C">
        <w:rPr>
          <w:lang w:val="en-AU"/>
        </w:rPr>
        <w:t xml:space="preserve"> (</w:t>
      </w:r>
      <w:r w:rsidR="00B46309" w:rsidRPr="0072758C">
        <w:rPr>
          <w:lang w:val="en-AU"/>
        </w:rPr>
        <w:t xml:space="preserve">Wissenschaftliche Monographien zum Alten und Neuen Testament </w:t>
      </w:r>
    </w:p>
    <w:p w14:paraId="7C85D1A1" w14:textId="34B2D91F" w:rsidR="00194C28" w:rsidRPr="0072758C" w:rsidRDefault="00194C28" w:rsidP="00B46309">
      <w:pPr>
        <w:pStyle w:val="EndnoteText"/>
        <w:rPr>
          <w:lang w:val="en-AU"/>
        </w:rPr>
      </w:pPr>
      <w:r w:rsidRPr="0072758C">
        <w:rPr>
          <w:lang w:val="en-AU"/>
        </w:rPr>
        <w:t xml:space="preserve">40; Neukirchen-Vluyn: Neukirchener, 1972), 175–76; Christoph Burchard, </w:t>
      </w:r>
      <w:r w:rsidR="00863B47" w:rsidRPr="0072758C">
        <w:rPr>
          <w:lang w:val="en-AU"/>
        </w:rPr>
        <w:t>“</w:t>
      </w:r>
      <w:r w:rsidRPr="0072758C">
        <w:rPr>
          <w:lang w:val="en-AU"/>
        </w:rPr>
        <w:t>Das Doppelte Liebesgebot in der frühen christlichen Überlieferung,</w:t>
      </w:r>
      <w:r w:rsidR="00863B47" w:rsidRPr="0072758C">
        <w:rPr>
          <w:lang w:val="en-AU"/>
        </w:rPr>
        <w:t>”</w:t>
      </w:r>
      <w:r w:rsidRPr="0072758C">
        <w:rPr>
          <w:lang w:val="en-AU"/>
        </w:rPr>
        <w:t xml:space="preserve"> in </w:t>
      </w:r>
      <w:r w:rsidRPr="0072758C">
        <w:rPr>
          <w:i/>
          <w:iCs/>
          <w:lang w:val="en-AU"/>
        </w:rPr>
        <w:t>Der Ruf Jesu und die Antwort der Gemeinde: Exegetische Untersuchungen Joachim Jeremias zum 70</w:t>
      </w:r>
      <w:r w:rsidRPr="0072758C">
        <w:rPr>
          <w:lang w:val="en-AU"/>
        </w:rPr>
        <w:t xml:space="preserve">. </w:t>
      </w:r>
      <w:r w:rsidRPr="0072758C">
        <w:rPr>
          <w:i/>
          <w:iCs/>
          <w:lang w:val="en-AU"/>
        </w:rPr>
        <w:t>Geburtstag</w:t>
      </w:r>
      <w:r w:rsidRPr="0072758C">
        <w:rPr>
          <w:lang w:val="en-AU"/>
        </w:rPr>
        <w:t xml:space="preserve"> (Göttingen: Vandenhoeck &amp; Ruprecht, 1970), 39–62, esp. 54, repr. in Burchard, </w:t>
      </w:r>
      <w:r w:rsidRPr="0072758C">
        <w:rPr>
          <w:i/>
          <w:iCs/>
          <w:lang w:val="en-AU"/>
        </w:rPr>
        <w:t>Studien zur Theologie, Sprache und Umwelt des neuen Testaments</w:t>
      </w:r>
      <w:r w:rsidRPr="0072758C">
        <w:rPr>
          <w:lang w:val="en-AU"/>
        </w:rPr>
        <w:t xml:space="preserve"> (Tübingen: Mohr Siebeck, 1998), 3–26</w:t>
      </w:r>
      <w:r w:rsidR="00630C09" w:rsidRPr="0072758C">
        <w:rPr>
          <w:lang w:val="en-AU"/>
        </w:rPr>
        <w:t>.</w:t>
      </w:r>
    </w:p>
    <w:p w14:paraId="34C80394" w14:textId="77777777" w:rsidR="00194C28" w:rsidRPr="0072758C" w:rsidRDefault="00194C28" w:rsidP="00BC7015">
      <w:pPr>
        <w:pStyle w:val="EndnoteText"/>
        <w:rPr>
          <w:lang w:val="en-AU"/>
        </w:rPr>
      </w:pPr>
    </w:p>
  </w:footnote>
  <w:footnote w:id="686">
    <w:p w14:paraId="783E026E" w14:textId="39FD6609"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Katherine Doob Sakenfeld, </w:t>
      </w:r>
      <w:r w:rsidR="00863B47" w:rsidRPr="0072758C">
        <w:rPr>
          <w:lang w:val="en-AU"/>
        </w:rPr>
        <w:t>“</w:t>
      </w:r>
      <w:r w:rsidRPr="0072758C">
        <w:rPr>
          <w:lang w:val="en-AU"/>
        </w:rPr>
        <w:t>Love: Old Testament,</w:t>
      </w:r>
      <w:r w:rsidR="00863B47" w:rsidRPr="0072758C">
        <w:rPr>
          <w:lang w:val="en-AU"/>
        </w:rPr>
        <w:t>”</w:t>
      </w:r>
      <w:r w:rsidRPr="0072758C">
        <w:rPr>
          <w:lang w:val="en-AU"/>
        </w:rPr>
        <w:t xml:space="preserve"> </w:t>
      </w:r>
      <w:r w:rsidR="00475C63" w:rsidRPr="0072758C">
        <w:rPr>
          <w:lang w:val="en-AU"/>
        </w:rPr>
        <w:t xml:space="preserve">In </w:t>
      </w:r>
      <w:proofErr w:type="gramStart"/>
      <w:r w:rsidR="00475C63" w:rsidRPr="0072758C">
        <w:rPr>
          <w:i/>
          <w:iCs/>
          <w:lang w:val="en-AU"/>
        </w:rPr>
        <w:t>The</w:t>
      </w:r>
      <w:proofErr w:type="gramEnd"/>
      <w:r w:rsidR="00475C63" w:rsidRPr="0072758C">
        <w:rPr>
          <w:i/>
          <w:iCs/>
          <w:lang w:val="en-AU"/>
        </w:rPr>
        <w:t xml:space="preserve"> Anchor Bible dictionary, ed. David Freedom </w:t>
      </w:r>
      <w:r w:rsidR="00475C63" w:rsidRPr="0072758C">
        <w:rPr>
          <w:lang w:val="en-AU"/>
        </w:rPr>
        <w:t xml:space="preserve">(New York: Doubleday, 1992), </w:t>
      </w:r>
      <w:r w:rsidRPr="0072758C">
        <w:rPr>
          <w:lang w:val="en-AU"/>
        </w:rPr>
        <w:t>375–8.</w:t>
      </w:r>
    </w:p>
    <w:p w14:paraId="7DF0229B" w14:textId="77777777" w:rsidR="00194C28" w:rsidRPr="0072758C" w:rsidRDefault="00194C28" w:rsidP="00BC7015">
      <w:pPr>
        <w:pStyle w:val="EndnoteText"/>
        <w:rPr>
          <w:lang w:val="en-AU"/>
        </w:rPr>
      </w:pPr>
    </w:p>
  </w:footnote>
  <w:footnote w:id="687">
    <w:p w14:paraId="006C7CD6"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W. D Davies and Dale C Allison, </w:t>
      </w:r>
      <w:r w:rsidRPr="0072758C">
        <w:rPr>
          <w:i/>
          <w:iCs/>
          <w:lang w:val="en-AU"/>
        </w:rPr>
        <w:t xml:space="preserve">A Critical and Exegetical Commentary </w:t>
      </w:r>
      <w:proofErr w:type="gramStart"/>
      <w:r w:rsidRPr="0072758C">
        <w:rPr>
          <w:i/>
          <w:iCs/>
          <w:lang w:val="en-AU"/>
        </w:rPr>
        <w:t>On</w:t>
      </w:r>
      <w:proofErr w:type="gramEnd"/>
      <w:r w:rsidRPr="0072758C">
        <w:rPr>
          <w:i/>
          <w:iCs/>
          <w:lang w:val="en-AU"/>
        </w:rPr>
        <w:t xml:space="preserve"> The Gospel According To Matthew</w:t>
      </w:r>
      <w:r w:rsidRPr="0072758C">
        <w:rPr>
          <w:lang w:val="en-AU"/>
        </w:rPr>
        <w:t> (Edinburgh: T. &amp; T. Clark, 1988), 566.</w:t>
      </w:r>
    </w:p>
    <w:p w14:paraId="5CFDE034" w14:textId="77777777" w:rsidR="00194C28" w:rsidRPr="0072758C" w:rsidRDefault="00194C28" w:rsidP="00BC7015">
      <w:pPr>
        <w:pStyle w:val="EndnoteText"/>
        <w:rPr>
          <w:lang w:val="en-AU"/>
        </w:rPr>
      </w:pPr>
    </w:p>
  </w:footnote>
  <w:footnote w:id="688">
    <w:p w14:paraId="128F0928" w14:textId="59063153"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Mark Allan Powell, </w:t>
      </w:r>
      <w:r w:rsidR="00863B47" w:rsidRPr="0072758C">
        <w:rPr>
          <w:lang w:val="en-AU"/>
        </w:rPr>
        <w:t>“</w:t>
      </w:r>
      <w:r w:rsidRPr="0072758C">
        <w:rPr>
          <w:lang w:val="en-AU"/>
        </w:rPr>
        <w:t>Matthew and the Margins</w:t>
      </w:r>
      <w:r w:rsidR="00863B47" w:rsidRPr="0072758C">
        <w:rPr>
          <w:lang w:val="en-AU"/>
        </w:rPr>
        <w:t>”</w:t>
      </w:r>
      <w:r w:rsidRPr="0072758C">
        <w:rPr>
          <w:lang w:val="en-AU"/>
        </w:rPr>
        <w:t xml:space="preserve"> (Maryknoll: Orbis, 2000); Shaye J. D Cohen, </w:t>
      </w:r>
      <w:r w:rsidRPr="0072758C">
        <w:rPr>
          <w:i/>
          <w:iCs/>
          <w:lang w:val="en-AU"/>
        </w:rPr>
        <w:t>From the Maccabees to the Mishna</w:t>
      </w:r>
      <w:r w:rsidRPr="0072758C">
        <w:rPr>
          <w:lang w:val="en-AU"/>
        </w:rPr>
        <w:t> (Louisville: Westminster John Knox, 2014).</w:t>
      </w:r>
    </w:p>
    <w:p w14:paraId="145EEF71" w14:textId="77777777" w:rsidR="00194C28" w:rsidRPr="0072758C" w:rsidRDefault="00194C28" w:rsidP="00BC7015">
      <w:pPr>
        <w:pStyle w:val="EndnoteText"/>
        <w:rPr>
          <w:lang w:val="en-AU"/>
        </w:rPr>
      </w:pPr>
    </w:p>
  </w:footnote>
  <w:footnote w:id="689">
    <w:p w14:paraId="19148677" w14:textId="77777777" w:rsidR="00194C28" w:rsidRPr="0072758C" w:rsidRDefault="00194C28" w:rsidP="00BC7015">
      <w:pPr>
        <w:pStyle w:val="EndnoteText"/>
        <w:ind w:firstLine="720"/>
        <w:rPr>
          <w:lang w:val="en-AU"/>
        </w:rPr>
      </w:pPr>
      <w:r w:rsidRPr="0072758C">
        <w:rPr>
          <w:rStyle w:val="FootnoteReference"/>
          <w:lang w:val="en-AU"/>
        </w:rPr>
        <w:footnoteRef/>
      </w:r>
      <w:r w:rsidRPr="0072758C">
        <w:rPr>
          <w:lang w:val="en-AU"/>
        </w:rPr>
        <w:t xml:space="preserve"> E. P. Sanders, </w:t>
      </w:r>
      <w:proofErr w:type="gramStart"/>
      <w:r w:rsidRPr="0072758C">
        <w:rPr>
          <w:i/>
          <w:iCs/>
          <w:lang w:val="en-AU"/>
        </w:rPr>
        <w:t>Jesus</w:t>
      </w:r>
      <w:proofErr w:type="gramEnd"/>
      <w:r w:rsidRPr="0072758C">
        <w:rPr>
          <w:i/>
          <w:iCs/>
          <w:lang w:val="en-AU"/>
        </w:rPr>
        <w:t xml:space="preserve"> and Judaism</w:t>
      </w:r>
      <w:r w:rsidRPr="0072758C">
        <w:rPr>
          <w:lang w:val="en-AU"/>
        </w:rPr>
        <w:t xml:space="preserve"> (London: SCM, 1985), 90. </w:t>
      </w:r>
    </w:p>
    <w:p w14:paraId="4377307D" w14:textId="77777777" w:rsidR="00194C28" w:rsidRPr="0072758C" w:rsidRDefault="00194C28" w:rsidP="00BC7015">
      <w:pPr>
        <w:pStyle w:val="EndnoteText"/>
        <w:rPr>
          <w:lang w:val="en-AU"/>
        </w:rPr>
      </w:pPr>
    </w:p>
  </w:footnote>
  <w:footnote w:id="690">
    <w:p w14:paraId="4E8BFA29" w14:textId="7105025E"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Harry Joshua Leon, </w:t>
      </w:r>
      <w:r w:rsidRPr="0072758C">
        <w:rPr>
          <w:i/>
          <w:iCs/>
          <w:lang w:val="en-AU"/>
        </w:rPr>
        <w:t>The Jews of Ancient Rome</w:t>
      </w:r>
      <w:r w:rsidRPr="0072758C">
        <w:rPr>
          <w:lang w:val="en-AU"/>
        </w:rPr>
        <w:t xml:space="preserve"> (Philadelphia: Jewish Publication Society of America, 1960), 3. The Sabbath is a study more in-depth than this dissertation, for a list of the Greco-Roman references to the Sabbath, see the index of Menahem Stern, </w:t>
      </w:r>
      <w:r w:rsidRPr="0072758C">
        <w:rPr>
          <w:i/>
          <w:iCs/>
          <w:lang w:val="en-AU"/>
        </w:rPr>
        <w:t xml:space="preserve">Greek and Latin Authors on Jews and </w:t>
      </w:r>
      <w:proofErr w:type="gramStart"/>
      <w:r w:rsidRPr="0072758C">
        <w:rPr>
          <w:i/>
          <w:iCs/>
          <w:lang w:val="en-AU"/>
        </w:rPr>
        <w:t xml:space="preserve">Judaism </w:t>
      </w:r>
      <w:r w:rsidRPr="0072758C">
        <w:rPr>
          <w:lang w:val="en-AU"/>
        </w:rPr>
        <w:t xml:space="preserve"> </w:t>
      </w:r>
      <w:r w:rsidR="000C602E" w:rsidRPr="0072758C">
        <w:rPr>
          <w:lang w:val="en-AU"/>
        </w:rPr>
        <w:t>(</w:t>
      </w:r>
      <w:proofErr w:type="gramEnd"/>
      <w:r w:rsidRPr="0072758C">
        <w:rPr>
          <w:lang w:val="en-AU"/>
        </w:rPr>
        <w:t xml:space="preserve">Jerusalem: The Israel Academy of Sciences and Humanities, 1984), 3:146. Sadducees only accepted the 5 books of Moses as authoritative; the Pharisees accepted the Prophets and Writings as well as the Pentateuch; however, they all agreed on the authoritative power of the Pentateuch. </w:t>
      </w:r>
    </w:p>
    <w:p w14:paraId="6B08CD0F" w14:textId="77777777" w:rsidR="00194C28" w:rsidRPr="0072758C" w:rsidRDefault="00194C28" w:rsidP="00F5340B">
      <w:pPr>
        <w:pStyle w:val="EndnoteText"/>
        <w:rPr>
          <w:lang w:val="en-AU"/>
        </w:rPr>
      </w:pPr>
    </w:p>
  </w:footnote>
  <w:footnote w:id="691">
    <w:p w14:paraId="4BAFB44E" w14:textId="05752BDA"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Borg, </w:t>
      </w:r>
      <w:r w:rsidRPr="0072758C">
        <w:rPr>
          <w:i/>
          <w:iCs/>
          <w:lang w:val="en-AU"/>
        </w:rPr>
        <w:t>Jesus: A New Vision</w:t>
      </w:r>
      <w:r w:rsidRPr="0072758C">
        <w:rPr>
          <w:lang w:val="en-AU"/>
        </w:rPr>
        <w:t>, 127</w:t>
      </w:r>
      <w:r w:rsidR="005676E2" w:rsidRPr="0072758C">
        <w:rPr>
          <w:lang w:val="en-AU"/>
        </w:rPr>
        <w:t>–</w:t>
      </w:r>
      <w:r w:rsidRPr="0072758C">
        <w:rPr>
          <w:lang w:val="en-AU"/>
        </w:rPr>
        <w:t>8.</w:t>
      </w:r>
    </w:p>
    <w:p w14:paraId="2EA4F7EB" w14:textId="77777777" w:rsidR="00194C28" w:rsidRPr="0072758C" w:rsidRDefault="00194C28" w:rsidP="00F5340B">
      <w:pPr>
        <w:pStyle w:val="EndnoteText"/>
        <w:rPr>
          <w:lang w:val="en-AU"/>
        </w:rPr>
      </w:pPr>
    </w:p>
  </w:footnote>
  <w:footnote w:id="692">
    <w:p w14:paraId="09C7B536" w14:textId="3B03CCC6"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Geza Vermes, </w:t>
      </w:r>
      <w:r w:rsidR="00863B47" w:rsidRPr="0072758C">
        <w:rPr>
          <w:lang w:val="en-AU"/>
        </w:rPr>
        <w:t>“</w:t>
      </w:r>
      <w:r w:rsidRPr="0072758C">
        <w:rPr>
          <w:lang w:val="en-AU"/>
        </w:rPr>
        <w:t>From Jewish to Gentile,</w:t>
      </w:r>
      <w:r w:rsidR="00863B47" w:rsidRPr="0072758C">
        <w:rPr>
          <w:lang w:val="en-AU"/>
        </w:rPr>
        <w:t>”</w:t>
      </w:r>
      <w:r w:rsidRPr="0072758C">
        <w:rPr>
          <w:lang w:val="en-AU"/>
        </w:rPr>
        <w:t xml:space="preserve"> </w:t>
      </w:r>
      <w:r w:rsidRPr="0072758C">
        <w:rPr>
          <w:i/>
          <w:lang w:val="en-AU"/>
        </w:rPr>
        <w:t>Biblical Archaeology Review</w:t>
      </w:r>
      <w:r w:rsidRPr="0072758C">
        <w:rPr>
          <w:lang w:val="en-AU"/>
        </w:rPr>
        <w:t xml:space="preserve"> (2012), 38:53.</w:t>
      </w:r>
    </w:p>
  </w:footnote>
  <w:footnote w:id="693">
    <w:p w14:paraId="53E04144" w14:textId="77777777" w:rsidR="00194C28" w:rsidRPr="0072758C" w:rsidRDefault="00194C28" w:rsidP="00F5340B">
      <w:pPr>
        <w:pStyle w:val="EndnoteText"/>
        <w:rPr>
          <w:lang w:val="en-AU"/>
        </w:rPr>
      </w:pPr>
    </w:p>
    <w:p w14:paraId="5D349F26" w14:textId="7D3517C8"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Jonathan G.  Campbell, </w:t>
      </w:r>
      <w:r w:rsidR="00863B47" w:rsidRPr="0072758C">
        <w:rPr>
          <w:lang w:val="en-AU"/>
        </w:rPr>
        <w:t>“</w:t>
      </w:r>
      <w:r w:rsidRPr="0072758C">
        <w:rPr>
          <w:lang w:val="en-AU"/>
        </w:rPr>
        <w:t>4QMMT and the Tripartite Canon,</w:t>
      </w:r>
      <w:r w:rsidR="00863B47" w:rsidRPr="0072758C">
        <w:rPr>
          <w:lang w:val="en-AU"/>
        </w:rPr>
        <w:t>”</w:t>
      </w:r>
      <w:r w:rsidRPr="0072758C">
        <w:rPr>
          <w:lang w:val="en-AU"/>
        </w:rPr>
        <w:t xml:space="preserve"> </w:t>
      </w:r>
      <w:r w:rsidRPr="0072758C">
        <w:rPr>
          <w:i/>
          <w:iCs/>
          <w:lang w:val="en-AU"/>
        </w:rPr>
        <w:t>Journal of Jewish Studies,</w:t>
      </w:r>
      <w:r w:rsidRPr="0072758C">
        <w:rPr>
          <w:lang w:val="en-AU"/>
        </w:rPr>
        <w:t xml:space="preserve"> (2000), 51: 184.</w:t>
      </w:r>
    </w:p>
  </w:footnote>
  <w:footnote w:id="694">
    <w:p w14:paraId="555D6EB9" w14:textId="77777777" w:rsidR="00194C28" w:rsidRPr="0072758C" w:rsidRDefault="00194C28" w:rsidP="00F5340B">
      <w:pPr>
        <w:pStyle w:val="EndnoteText"/>
        <w:rPr>
          <w:lang w:val="en-AU"/>
        </w:rPr>
      </w:pPr>
    </w:p>
    <w:p w14:paraId="7C6D811A" w14:textId="23D4AA74"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Vermes, </w:t>
      </w:r>
      <w:r w:rsidR="00863B47" w:rsidRPr="0072758C">
        <w:rPr>
          <w:lang w:val="en-AU"/>
        </w:rPr>
        <w:t>“</w:t>
      </w:r>
      <w:r w:rsidRPr="0072758C">
        <w:rPr>
          <w:lang w:val="en-AU"/>
        </w:rPr>
        <w:t>From Jewish to Gentile,</w:t>
      </w:r>
      <w:r w:rsidR="00863B47" w:rsidRPr="0072758C">
        <w:rPr>
          <w:lang w:val="en-AU"/>
        </w:rPr>
        <w:t>”</w:t>
      </w:r>
      <w:r w:rsidRPr="0072758C">
        <w:rPr>
          <w:lang w:val="en-AU"/>
        </w:rPr>
        <w:t xml:space="preserve"> 54.</w:t>
      </w:r>
      <w:r w:rsidR="0070257A" w:rsidRPr="0072758C">
        <w:rPr>
          <w:lang w:val="en-AU"/>
        </w:rPr>
        <w:t xml:space="preserve"> </w:t>
      </w:r>
    </w:p>
    <w:p w14:paraId="309BDA64" w14:textId="77777777" w:rsidR="0070257A" w:rsidRPr="0072758C" w:rsidRDefault="0070257A" w:rsidP="00F5340B">
      <w:pPr>
        <w:pStyle w:val="EndnoteText"/>
        <w:rPr>
          <w:color w:val="FF0000"/>
          <w:lang w:val="en-AU"/>
        </w:rPr>
      </w:pPr>
    </w:p>
  </w:footnote>
  <w:footnote w:id="695">
    <w:p w14:paraId="38CF2AE3" w14:textId="1493831B"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Saldarini, </w:t>
      </w:r>
      <w:r w:rsidRPr="0072758C">
        <w:rPr>
          <w:i/>
          <w:iCs/>
          <w:lang w:val="en-AU"/>
        </w:rPr>
        <w:t>Matthew</w:t>
      </w:r>
      <w:r w:rsidR="005C71CB" w:rsidRPr="0072758C">
        <w:rPr>
          <w:i/>
          <w:iCs/>
          <w:lang w:val="en-AU"/>
        </w:rPr>
        <w:t>’</w:t>
      </w:r>
      <w:r w:rsidRPr="0072758C">
        <w:rPr>
          <w:i/>
          <w:iCs/>
          <w:lang w:val="en-AU"/>
        </w:rPr>
        <w:t>s Christian-Jewish Community</w:t>
      </w:r>
      <w:r w:rsidRPr="0072758C">
        <w:rPr>
          <w:lang w:val="en-AU"/>
        </w:rPr>
        <w:t>, 124.</w:t>
      </w:r>
    </w:p>
  </w:footnote>
  <w:footnote w:id="696">
    <w:p w14:paraId="7EAD1356" w14:textId="77777777" w:rsidR="00194C28" w:rsidRPr="0072758C" w:rsidRDefault="00194C28" w:rsidP="00F5340B">
      <w:pPr>
        <w:pStyle w:val="EndnoteText"/>
        <w:rPr>
          <w:lang w:val="en-AU"/>
        </w:rPr>
      </w:pPr>
    </w:p>
    <w:p w14:paraId="50CBD861" w14:textId="7777777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Worth, </w:t>
      </w:r>
      <w:r w:rsidRPr="0072758C">
        <w:rPr>
          <w:i/>
          <w:iCs/>
          <w:lang w:val="en-AU"/>
        </w:rPr>
        <w:t>The Sermon on the Mount</w:t>
      </w:r>
      <w:r w:rsidRPr="0072758C">
        <w:rPr>
          <w:lang w:val="en-AU"/>
        </w:rPr>
        <w:t>, 224.</w:t>
      </w:r>
    </w:p>
    <w:p w14:paraId="3738F11B" w14:textId="77777777" w:rsidR="00194C28" w:rsidRPr="0072758C" w:rsidRDefault="00194C28" w:rsidP="00F5340B">
      <w:pPr>
        <w:pStyle w:val="EndnoteText"/>
        <w:rPr>
          <w:lang w:val="en-AU"/>
        </w:rPr>
      </w:pPr>
    </w:p>
  </w:footnote>
  <w:footnote w:id="697">
    <w:p w14:paraId="1E8679EB" w14:textId="3B5D45AE"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Saldarini, </w:t>
      </w:r>
      <w:r w:rsidRPr="0072758C">
        <w:rPr>
          <w:i/>
          <w:iCs/>
          <w:lang w:val="en-AU"/>
        </w:rPr>
        <w:t>Matthew</w:t>
      </w:r>
      <w:r w:rsidR="005C71CB" w:rsidRPr="0072758C">
        <w:rPr>
          <w:i/>
          <w:iCs/>
          <w:lang w:val="en-AU"/>
        </w:rPr>
        <w:t>’</w:t>
      </w:r>
      <w:r w:rsidRPr="0072758C">
        <w:rPr>
          <w:i/>
          <w:iCs/>
          <w:lang w:val="en-AU"/>
        </w:rPr>
        <w:t>s Christian-Jewish Community</w:t>
      </w:r>
      <w:r w:rsidRPr="0072758C">
        <w:rPr>
          <w:lang w:val="en-AU"/>
        </w:rPr>
        <w:t>, 125.</w:t>
      </w:r>
    </w:p>
    <w:p w14:paraId="27FFEF6F" w14:textId="77777777" w:rsidR="00194C28" w:rsidRPr="0072758C" w:rsidRDefault="00194C28" w:rsidP="00F5340B">
      <w:pPr>
        <w:pStyle w:val="EndnoteText"/>
        <w:rPr>
          <w:sz w:val="22"/>
          <w:szCs w:val="22"/>
          <w:lang w:val="en-AU"/>
        </w:rPr>
      </w:pPr>
    </w:p>
  </w:footnote>
  <w:footnote w:id="698">
    <w:p w14:paraId="20913E9B" w14:textId="5DF2E6AE"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John Oslyn-Siemiatkoski, </w:t>
      </w:r>
      <w:r w:rsidR="00863B47" w:rsidRPr="0072758C">
        <w:rPr>
          <w:lang w:val="en-AU"/>
        </w:rPr>
        <w:t>“</w:t>
      </w:r>
      <w:r w:rsidRPr="0072758C">
        <w:rPr>
          <w:lang w:val="en-AU"/>
        </w:rPr>
        <w:t>Moses Received the Torah at Sinai and Handed It On. Mishna Avot 1:1: The Relevance of the Written and Oral Torah for Christians,</w:t>
      </w:r>
      <w:r w:rsidR="00863B47" w:rsidRPr="0072758C">
        <w:rPr>
          <w:lang w:val="en-AU"/>
        </w:rPr>
        <w:t>”</w:t>
      </w:r>
      <w:r w:rsidRPr="0072758C">
        <w:rPr>
          <w:lang w:val="en-AU"/>
        </w:rPr>
        <w:t xml:space="preserve"> </w:t>
      </w:r>
      <w:r w:rsidRPr="0072758C">
        <w:rPr>
          <w:i/>
          <w:iCs/>
          <w:lang w:val="en-AU"/>
        </w:rPr>
        <w:t>Anglican Theological Review</w:t>
      </w:r>
      <w:r w:rsidRPr="0072758C">
        <w:rPr>
          <w:lang w:val="en-AU"/>
        </w:rPr>
        <w:t xml:space="preserve"> </w:t>
      </w:r>
      <w:r w:rsidRPr="0072758C">
        <w:rPr>
          <w:rFonts w:cs="Georgia"/>
          <w:szCs w:val="28"/>
          <w:lang w:val="en-AU"/>
        </w:rPr>
        <w:t xml:space="preserve">91 </w:t>
      </w:r>
      <w:r w:rsidRPr="0072758C">
        <w:rPr>
          <w:lang w:val="en-AU"/>
        </w:rPr>
        <w:t>(2009), 463.</w:t>
      </w:r>
    </w:p>
  </w:footnote>
  <w:footnote w:id="699">
    <w:p w14:paraId="7F1B8C82" w14:textId="77777777" w:rsidR="00194C28" w:rsidRPr="0072758C" w:rsidRDefault="00194C28" w:rsidP="00F5340B">
      <w:pPr>
        <w:pStyle w:val="EndnoteText"/>
        <w:rPr>
          <w:lang w:val="en-AU"/>
        </w:rPr>
      </w:pPr>
    </w:p>
    <w:p w14:paraId="5EEA4D03" w14:textId="325F0C77"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Saldarini, </w:t>
      </w:r>
      <w:r w:rsidRPr="0072758C">
        <w:rPr>
          <w:i/>
          <w:iCs/>
          <w:lang w:val="en-AU"/>
        </w:rPr>
        <w:t>Matthew</w:t>
      </w:r>
      <w:r w:rsidR="005C71CB" w:rsidRPr="0072758C">
        <w:rPr>
          <w:i/>
          <w:iCs/>
          <w:lang w:val="en-AU"/>
        </w:rPr>
        <w:t>’</w:t>
      </w:r>
      <w:r w:rsidRPr="0072758C">
        <w:rPr>
          <w:i/>
          <w:iCs/>
          <w:lang w:val="en-AU"/>
        </w:rPr>
        <w:t>s Christian-Jewish Community</w:t>
      </w:r>
      <w:r w:rsidRPr="0072758C">
        <w:rPr>
          <w:lang w:val="en-AU"/>
        </w:rPr>
        <w:t>, 126.</w:t>
      </w:r>
    </w:p>
    <w:p w14:paraId="5D995A9C" w14:textId="77777777" w:rsidR="00194C28" w:rsidRPr="0072758C" w:rsidRDefault="00194C28" w:rsidP="00F5340B">
      <w:pPr>
        <w:pStyle w:val="EndnoteText"/>
        <w:rPr>
          <w:lang w:val="en-AU"/>
        </w:rPr>
      </w:pPr>
    </w:p>
  </w:footnote>
  <w:footnote w:id="700">
    <w:p w14:paraId="5F35E970" w14:textId="6B7C84BB" w:rsidR="00194C28" w:rsidRPr="0072758C" w:rsidRDefault="00194C28" w:rsidP="00F5340B">
      <w:pPr>
        <w:pStyle w:val="EndnoteText"/>
        <w:ind w:firstLine="720"/>
        <w:rPr>
          <w:lang w:val="en-AU"/>
        </w:rPr>
      </w:pPr>
      <w:r w:rsidRPr="0072758C">
        <w:rPr>
          <w:rStyle w:val="FootnoteReference"/>
          <w:lang w:val="en-AU"/>
        </w:rPr>
        <w:footnoteRef/>
      </w:r>
      <w:r w:rsidRPr="0072758C">
        <w:rPr>
          <w:lang w:val="en-AU"/>
        </w:rPr>
        <w:t xml:space="preserve"> Margaret Y. MacDonald</w:t>
      </w:r>
      <w:r w:rsidR="006E7E66" w:rsidRPr="0072758C">
        <w:rPr>
          <w:lang w:val="en-AU"/>
        </w:rPr>
        <w:t>,</w:t>
      </w:r>
      <w:r w:rsidRPr="0072758C">
        <w:rPr>
          <w:lang w:val="en-AU"/>
        </w:rPr>
        <w:t xml:space="preserve"> </w:t>
      </w:r>
      <w:r w:rsidRPr="0072758C">
        <w:rPr>
          <w:i/>
          <w:iCs/>
          <w:lang w:val="en-AU"/>
        </w:rPr>
        <w:t>The Pauline Churches: A Socio-Historical Study of Institutionalization in the Pauline and Deutero-Pauline Writings</w:t>
      </w:r>
      <w:r w:rsidRPr="0072758C">
        <w:rPr>
          <w:lang w:val="en-AU"/>
        </w:rPr>
        <w:t xml:space="preserve"> (Cambridge: Cambridge University Press, 1988), 34, 39. </w:t>
      </w:r>
    </w:p>
    <w:p w14:paraId="32495491" w14:textId="77777777" w:rsidR="00194C28" w:rsidRPr="0072758C" w:rsidRDefault="00194C28" w:rsidP="002C208D">
      <w:pPr>
        <w:pStyle w:val="EndnoteText"/>
        <w:rPr>
          <w:lang w:val="en-A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689690"/>
      <w:docPartObj>
        <w:docPartGallery w:val="Page Numbers (Top of Page)"/>
        <w:docPartUnique/>
      </w:docPartObj>
    </w:sdtPr>
    <w:sdtContent>
      <w:p w14:paraId="7D765277" w14:textId="106B3903" w:rsidR="004A3112" w:rsidRDefault="004A3112" w:rsidP="004B1E9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597F52" w14:textId="77777777" w:rsidR="004A3112" w:rsidRDefault="004A3112" w:rsidP="004A311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213534"/>
      <w:docPartObj>
        <w:docPartGallery w:val="Page Numbers (Top of Page)"/>
        <w:docPartUnique/>
      </w:docPartObj>
    </w:sdtPr>
    <w:sdtContent>
      <w:p w14:paraId="6DC46B91" w14:textId="65625497" w:rsidR="004B1E94" w:rsidRDefault="004B1E94" w:rsidP="00F13D2F">
        <w:pPr>
          <w:pStyle w:val="Header"/>
          <w:framePr w:wrap="none" w:vAnchor="text" w:hAnchor="margin" w:xAlign="right" w:y="1"/>
          <w:rPr>
            <w:rStyle w:val="PageNumber"/>
          </w:rPr>
        </w:pPr>
        <w:r w:rsidRPr="004B1E94">
          <w:rPr>
            <w:rStyle w:val="PageNumber"/>
            <w:rFonts w:ascii="Times New Roman" w:hAnsi="Times New Roman"/>
          </w:rPr>
          <w:fldChar w:fldCharType="begin"/>
        </w:r>
        <w:r w:rsidRPr="004B1E94">
          <w:rPr>
            <w:rStyle w:val="PageNumber"/>
            <w:rFonts w:ascii="Times New Roman" w:hAnsi="Times New Roman"/>
          </w:rPr>
          <w:instrText xml:space="preserve"> PAGE </w:instrText>
        </w:r>
        <w:r w:rsidRPr="004B1E94">
          <w:rPr>
            <w:rStyle w:val="PageNumber"/>
            <w:rFonts w:ascii="Times New Roman" w:hAnsi="Times New Roman"/>
          </w:rPr>
          <w:fldChar w:fldCharType="separate"/>
        </w:r>
        <w:r w:rsidRPr="004B1E94">
          <w:rPr>
            <w:rStyle w:val="PageNumber"/>
            <w:rFonts w:ascii="Times New Roman" w:hAnsi="Times New Roman"/>
            <w:noProof/>
          </w:rPr>
          <w:t>25</w:t>
        </w:r>
        <w:r w:rsidRPr="004B1E94">
          <w:rPr>
            <w:rStyle w:val="PageNumber"/>
            <w:rFonts w:ascii="Times New Roman" w:hAnsi="Times New Roman"/>
          </w:rPr>
          <w:fldChar w:fldCharType="end"/>
        </w:r>
      </w:p>
    </w:sdtContent>
  </w:sdt>
  <w:p w14:paraId="7A393651" w14:textId="77777777" w:rsidR="004A3112" w:rsidRPr="00C15A19" w:rsidRDefault="004A3112" w:rsidP="004A3112">
    <w:pPr>
      <w:pStyle w:val="Header"/>
      <w:ind w:right="360"/>
      <w:jc w:val="right"/>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EFB69" w14:textId="2AF2AA45" w:rsidR="00A02A06" w:rsidRDefault="00A02A06" w:rsidP="006F3050">
    <w:pPr>
      <w:pStyle w:val="Header"/>
      <w:framePr w:wrap="none" w:vAnchor="text" w:hAnchor="margin" w:xAlign="right" w:y="1"/>
      <w:rPr>
        <w:rStyle w:val="PageNumber"/>
      </w:rPr>
    </w:pPr>
  </w:p>
  <w:p w14:paraId="1716DE49" w14:textId="77777777" w:rsidR="00A02A06" w:rsidRDefault="00A02A06" w:rsidP="00C15A19">
    <w:pPr>
      <w:pStyle w:val="Header"/>
      <w:ind w:right="360"/>
    </w:pPr>
  </w:p>
</w:hdr>
</file>

<file path=word/intelligence.xml><?xml version="1.0" encoding="utf-8"?>
<int:Intelligence xmlns:int="http://schemas.microsoft.com/office/intelligence/2019/intelligence">
  <int:IntelligenceSettings/>
  <int:Manifest>
    <int:WordHash hashCode="tFLWsjs8KPhYcv" id="pu84R3xi"/>
  </int:Manifest>
  <int:Observations>
    <int:Content id="pu84R3xi">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7F636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6C54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EC9F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83470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AE6C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823E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248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C622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4E24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838A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C6301"/>
    <w:multiLevelType w:val="multilevel"/>
    <w:tmpl w:val="EB28F47E"/>
    <w:lvl w:ilvl="0">
      <w:start w:val="1"/>
      <w:numFmt w:val="decimal"/>
      <w:lvlText w:val="%1"/>
      <w:lvlJc w:val="left"/>
      <w:pPr>
        <w:ind w:left="360" w:hanging="360"/>
      </w:pPr>
      <w:rPr>
        <w:rFonts w:hint="default"/>
      </w:rPr>
    </w:lvl>
    <w:lvl w:ilvl="1">
      <w:start w:val="4"/>
      <w:numFmt w:val="decimal"/>
      <w:lvlText w:val="%1.%2"/>
      <w:lvlJc w:val="left"/>
      <w:pPr>
        <w:ind w:left="2061"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0DD6014D"/>
    <w:multiLevelType w:val="hybridMultilevel"/>
    <w:tmpl w:val="C30A071A"/>
    <w:lvl w:ilvl="0" w:tplc="221842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4CD22C5"/>
    <w:multiLevelType w:val="hybridMultilevel"/>
    <w:tmpl w:val="26366816"/>
    <w:lvl w:ilvl="0" w:tplc="77F217BE">
      <w:start w:val="1"/>
      <w:numFmt w:val="decimal"/>
      <w:lvlText w:val="%1."/>
      <w:lvlJc w:val="left"/>
      <w:pPr>
        <w:ind w:left="1440" w:hanging="360"/>
      </w:pPr>
    </w:lvl>
    <w:lvl w:ilvl="1" w:tplc="408E094C" w:tentative="1">
      <w:start w:val="1"/>
      <w:numFmt w:val="lowerLetter"/>
      <w:lvlText w:val="%2."/>
      <w:lvlJc w:val="left"/>
      <w:pPr>
        <w:ind w:left="2160" w:hanging="360"/>
      </w:pPr>
    </w:lvl>
    <w:lvl w:ilvl="2" w:tplc="0730073A" w:tentative="1">
      <w:start w:val="1"/>
      <w:numFmt w:val="lowerRoman"/>
      <w:lvlText w:val="%3."/>
      <w:lvlJc w:val="right"/>
      <w:pPr>
        <w:ind w:left="2880" w:hanging="180"/>
      </w:pPr>
    </w:lvl>
    <w:lvl w:ilvl="3" w:tplc="7CF68D84" w:tentative="1">
      <w:start w:val="1"/>
      <w:numFmt w:val="decimal"/>
      <w:lvlText w:val="%4."/>
      <w:lvlJc w:val="left"/>
      <w:pPr>
        <w:ind w:left="3600" w:hanging="360"/>
      </w:pPr>
    </w:lvl>
    <w:lvl w:ilvl="4" w:tplc="69E4ED6E" w:tentative="1">
      <w:start w:val="1"/>
      <w:numFmt w:val="lowerLetter"/>
      <w:lvlText w:val="%5."/>
      <w:lvlJc w:val="left"/>
      <w:pPr>
        <w:ind w:left="4320" w:hanging="360"/>
      </w:pPr>
    </w:lvl>
    <w:lvl w:ilvl="5" w:tplc="201072BE" w:tentative="1">
      <w:start w:val="1"/>
      <w:numFmt w:val="lowerRoman"/>
      <w:lvlText w:val="%6."/>
      <w:lvlJc w:val="right"/>
      <w:pPr>
        <w:ind w:left="5040" w:hanging="180"/>
      </w:pPr>
    </w:lvl>
    <w:lvl w:ilvl="6" w:tplc="735630C4" w:tentative="1">
      <w:start w:val="1"/>
      <w:numFmt w:val="decimal"/>
      <w:lvlText w:val="%7."/>
      <w:lvlJc w:val="left"/>
      <w:pPr>
        <w:ind w:left="5760" w:hanging="360"/>
      </w:pPr>
    </w:lvl>
    <w:lvl w:ilvl="7" w:tplc="47562FA6" w:tentative="1">
      <w:start w:val="1"/>
      <w:numFmt w:val="lowerLetter"/>
      <w:lvlText w:val="%8."/>
      <w:lvlJc w:val="left"/>
      <w:pPr>
        <w:ind w:left="6480" w:hanging="360"/>
      </w:pPr>
    </w:lvl>
    <w:lvl w:ilvl="8" w:tplc="5DAE3DE4" w:tentative="1">
      <w:start w:val="1"/>
      <w:numFmt w:val="lowerRoman"/>
      <w:lvlText w:val="%9."/>
      <w:lvlJc w:val="right"/>
      <w:pPr>
        <w:ind w:left="7200" w:hanging="180"/>
      </w:pPr>
    </w:lvl>
  </w:abstractNum>
  <w:abstractNum w:abstractNumId="13" w15:restartNumberingAfterBreak="0">
    <w:nsid w:val="1C785315"/>
    <w:multiLevelType w:val="multilevel"/>
    <w:tmpl w:val="4C500D96"/>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1057079"/>
    <w:multiLevelType w:val="multilevel"/>
    <w:tmpl w:val="3352570E"/>
    <w:lvl w:ilvl="0">
      <w:start w:val="1"/>
      <w:numFmt w:val="decimal"/>
      <w:lvlText w:val="%1."/>
      <w:lvlJc w:val="left"/>
      <w:pPr>
        <w:ind w:left="1080" w:hanging="360"/>
      </w:pPr>
      <w:rPr>
        <w:rFonts w:hint="default"/>
        <w:i w:val="0"/>
        <w:iCs/>
      </w:rPr>
    </w:lvl>
    <w:lvl w:ilvl="1">
      <w:start w:val="4"/>
      <w:numFmt w:val="decimal"/>
      <w:isLgl/>
      <w:lvlText w:val="%1.%2"/>
      <w:lvlJc w:val="left"/>
      <w:pPr>
        <w:ind w:left="186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15" w15:restartNumberingAfterBreak="0">
    <w:nsid w:val="22165117"/>
    <w:multiLevelType w:val="multilevel"/>
    <w:tmpl w:val="339C35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86C67C2"/>
    <w:multiLevelType w:val="multilevel"/>
    <w:tmpl w:val="E5D23CDC"/>
    <w:lvl w:ilvl="0">
      <w:start w:val="4"/>
      <w:numFmt w:val="decimal"/>
      <w:lvlText w:val="%1"/>
      <w:lvlJc w:val="left"/>
      <w:pPr>
        <w:ind w:left="360" w:hanging="360"/>
      </w:pPr>
      <w:rPr>
        <w:rFonts w:hint="default"/>
      </w:rPr>
    </w:lvl>
    <w:lvl w:ilvl="1">
      <w:start w:val="1"/>
      <w:numFmt w:val="decimal"/>
      <w:lvlText w:val="%1.%2"/>
      <w:lvlJc w:val="left"/>
      <w:pPr>
        <w:ind w:left="1211" w:hanging="360"/>
      </w:pPr>
      <w:rPr>
        <w:rFonts w:asciiTheme="majorHAnsi" w:hAnsiTheme="majorHAnsi"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9F37B8B"/>
    <w:multiLevelType w:val="hybridMultilevel"/>
    <w:tmpl w:val="BC208AA0"/>
    <w:lvl w:ilvl="0" w:tplc="B1442F2E">
      <w:start w:val="1"/>
      <w:numFmt w:val="decimal"/>
      <w:lvlText w:val="%1."/>
      <w:lvlJc w:val="left"/>
      <w:pPr>
        <w:ind w:left="720" w:hanging="360"/>
      </w:pPr>
    </w:lvl>
    <w:lvl w:ilvl="1" w:tplc="6928B85C" w:tentative="1">
      <w:start w:val="1"/>
      <w:numFmt w:val="lowerLetter"/>
      <w:lvlText w:val="%2."/>
      <w:lvlJc w:val="left"/>
      <w:pPr>
        <w:ind w:left="1440" w:hanging="360"/>
      </w:pPr>
    </w:lvl>
    <w:lvl w:ilvl="2" w:tplc="168C38B2" w:tentative="1">
      <w:start w:val="1"/>
      <w:numFmt w:val="lowerRoman"/>
      <w:lvlText w:val="%3."/>
      <w:lvlJc w:val="right"/>
      <w:pPr>
        <w:ind w:left="2160" w:hanging="180"/>
      </w:pPr>
    </w:lvl>
    <w:lvl w:ilvl="3" w:tplc="642AF922" w:tentative="1">
      <w:start w:val="1"/>
      <w:numFmt w:val="decimal"/>
      <w:lvlText w:val="%4."/>
      <w:lvlJc w:val="left"/>
      <w:pPr>
        <w:ind w:left="2880" w:hanging="360"/>
      </w:pPr>
    </w:lvl>
    <w:lvl w:ilvl="4" w:tplc="24088EDC" w:tentative="1">
      <w:start w:val="1"/>
      <w:numFmt w:val="lowerLetter"/>
      <w:lvlText w:val="%5."/>
      <w:lvlJc w:val="left"/>
      <w:pPr>
        <w:ind w:left="3600" w:hanging="360"/>
      </w:pPr>
    </w:lvl>
    <w:lvl w:ilvl="5" w:tplc="FA4A7E52" w:tentative="1">
      <w:start w:val="1"/>
      <w:numFmt w:val="lowerRoman"/>
      <w:lvlText w:val="%6."/>
      <w:lvlJc w:val="right"/>
      <w:pPr>
        <w:ind w:left="4320" w:hanging="180"/>
      </w:pPr>
    </w:lvl>
    <w:lvl w:ilvl="6" w:tplc="98B84836" w:tentative="1">
      <w:start w:val="1"/>
      <w:numFmt w:val="decimal"/>
      <w:lvlText w:val="%7."/>
      <w:lvlJc w:val="left"/>
      <w:pPr>
        <w:ind w:left="5040" w:hanging="360"/>
      </w:pPr>
    </w:lvl>
    <w:lvl w:ilvl="7" w:tplc="C2FE0ACE" w:tentative="1">
      <w:start w:val="1"/>
      <w:numFmt w:val="lowerLetter"/>
      <w:lvlText w:val="%8."/>
      <w:lvlJc w:val="left"/>
      <w:pPr>
        <w:ind w:left="5760" w:hanging="360"/>
      </w:pPr>
    </w:lvl>
    <w:lvl w:ilvl="8" w:tplc="F9946D06" w:tentative="1">
      <w:start w:val="1"/>
      <w:numFmt w:val="lowerRoman"/>
      <w:lvlText w:val="%9."/>
      <w:lvlJc w:val="right"/>
      <w:pPr>
        <w:ind w:left="6480" w:hanging="180"/>
      </w:pPr>
    </w:lvl>
  </w:abstractNum>
  <w:abstractNum w:abstractNumId="18" w15:restartNumberingAfterBreak="0">
    <w:nsid w:val="334D5F1D"/>
    <w:multiLevelType w:val="hybridMultilevel"/>
    <w:tmpl w:val="35CEB0EE"/>
    <w:lvl w:ilvl="0" w:tplc="ACB0590C">
      <w:start w:val="1"/>
      <w:numFmt w:val="decimal"/>
      <w:lvlText w:val="%1."/>
      <w:lvlJc w:val="left"/>
      <w:pPr>
        <w:ind w:left="720" w:hanging="360"/>
      </w:pPr>
    </w:lvl>
    <w:lvl w:ilvl="1" w:tplc="7E4E0602" w:tentative="1">
      <w:start w:val="1"/>
      <w:numFmt w:val="lowerLetter"/>
      <w:lvlText w:val="%2."/>
      <w:lvlJc w:val="left"/>
      <w:pPr>
        <w:ind w:left="1440" w:hanging="360"/>
      </w:pPr>
    </w:lvl>
    <w:lvl w:ilvl="2" w:tplc="DCDEF394" w:tentative="1">
      <w:start w:val="1"/>
      <w:numFmt w:val="lowerRoman"/>
      <w:lvlText w:val="%3."/>
      <w:lvlJc w:val="right"/>
      <w:pPr>
        <w:ind w:left="2160" w:hanging="180"/>
      </w:pPr>
    </w:lvl>
    <w:lvl w:ilvl="3" w:tplc="150E3E9E" w:tentative="1">
      <w:start w:val="1"/>
      <w:numFmt w:val="decimal"/>
      <w:lvlText w:val="%4."/>
      <w:lvlJc w:val="left"/>
      <w:pPr>
        <w:ind w:left="2880" w:hanging="360"/>
      </w:pPr>
    </w:lvl>
    <w:lvl w:ilvl="4" w:tplc="AC468370" w:tentative="1">
      <w:start w:val="1"/>
      <w:numFmt w:val="lowerLetter"/>
      <w:lvlText w:val="%5."/>
      <w:lvlJc w:val="left"/>
      <w:pPr>
        <w:ind w:left="3600" w:hanging="360"/>
      </w:pPr>
    </w:lvl>
    <w:lvl w:ilvl="5" w:tplc="BD8C4F3C" w:tentative="1">
      <w:start w:val="1"/>
      <w:numFmt w:val="lowerRoman"/>
      <w:lvlText w:val="%6."/>
      <w:lvlJc w:val="right"/>
      <w:pPr>
        <w:ind w:left="4320" w:hanging="180"/>
      </w:pPr>
    </w:lvl>
    <w:lvl w:ilvl="6" w:tplc="34588026" w:tentative="1">
      <w:start w:val="1"/>
      <w:numFmt w:val="decimal"/>
      <w:lvlText w:val="%7."/>
      <w:lvlJc w:val="left"/>
      <w:pPr>
        <w:ind w:left="5040" w:hanging="360"/>
      </w:pPr>
    </w:lvl>
    <w:lvl w:ilvl="7" w:tplc="B310F5F4" w:tentative="1">
      <w:start w:val="1"/>
      <w:numFmt w:val="lowerLetter"/>
      <w:lvlText w:val="%8."/>
      <w:lvlJc w:val="left"/>
      <w:pPr>
        <w:ind w:left="5760" w:hanging="360"/>
      </w:pPr>
    </w:lvl>
    <w:lvl w:ilvl="8" w:tplc="516E7826" w:tentative="1">
      <w:start w:val="1"/>
      <w:numFmt w:val="lowerRoman"/>
      <w:lvlText w:val="%9."/>
      <w:lvlJc w:val="right"/>
      <w:pPr>
        <w:ind w:left="6480" w:hanging="180"/>
      </w:pPr>
    </w:lvl>
  </w:abstractNum>
  <w:abstractNum w:abstractNumId="19" w15:restartNumberingAfterBreak="0">
    <w:nsid w:val="3E260B41"/>
    <w:multiLevelType w:val="multilevel"/>
    <w:tmpl w:val="E5D23CDC"/>
    <w:lvl w:ilvl="0">
      <w:start w:val="4"/>
      <w:numFmt w:val="decimal"/>
      <w:lvlText w:val="%1"/>
      <w:lvlJc w:val="left"/>
      <w:pPr>
        <w:ind w:left="360" w:hanging="360"/>
      </w:pPr>
      <w:rPr>
        <w:rFonts w:hint="default"/>
      </w:rPr>
    </w:lvl>
    <w:lvl w:ilvl="1">
      <w:start w:val="1"/>
      <w:numFmt w:val="decimal"/>
      <w:lvlText w:val="%1.%2"/>
      <w:lvlJc w:val="left"/>
      <w:pPr>
        <w:ind w:left="1080" w:hanging="360"/>
      </w:pPr>
      <w:rPr>
        <w:rFonts w:asciiTheme="majorHAnsi" w:hAnsiTheme="majorHAnsi"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0CB6314"/>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1" w15:restartNumberingAfterBreak="0">
    <w:nsid w:val="48176FFC"/>
    <w:multiLevelType w:val="hybridMultilevel"/>
    <w:tmpl w:val="5BBC98EA"/>
    <w:lvl w:ilvl="0" w:tplc="325C5800">
      <w:start w:val="2"/>
      <w:numFmt w:val="bullet"/>
      <w:lvlText w:val=""/>
      <w:lvlJc w:val="left"/>
      <w:pPr>
        <w:ind w:left="720" w:hanging="360"/>
      </w:pPr>
      <w:rPr>
        <w:rFonts w:ascii="Wingdings" w:eastAsia="Times New Roman" w:hAnsi="Wingdings" w:cs="Times New Roman" w:hint="default"/>
      </w:rPr>
    </w:lvl>
    <w:lvl w:ilvl="1" w:tplc="0C090003" w:tentative="1">
      <w:start w:val="1"/>
      <w:numFmt w:val="bullet"/>
      <w:lvlText w:val="o"/>
      <w:lvlJc w:val="left"/>
      <w:pPr>
        <w:ind w:left="1440" w:hanging="360"/>
      </w:pPr>
      <w:rPr>
        <w:rFonts w:ascii="Courier New" w:hAnsi="Courier New" w:cs="Consola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nsolas"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nsolas"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14266A"/>
    <w:multiLevelType w:val="multilevel"/>
    <w:tmpl w:val="CF78BE58"/>
    <w:lvl w:ilvl="0">
      <w:start w:val="3"/>
      <w:numFmt w:val="decimal"/>
      <w:lvlText w:val="%1"/>
      <w:lvlJc w:val="left"/>
      <w:pPr>
        <w:ind w:left="480" w:hanging="480"/>
      </w:pPr>
      <w:rPr>
        <w:rFonts w:hint="default"/>
      </w:rPr>
    </w:lvl>
    <w:lvl w:ilvl="1">
      <w:start w:val="2"/>
      <w:numFmt w:val="decimal"/>
      <w:lvlText w:val="%1.%2"/>
      <w:lvlJc w:val="left"/>
      <w:pPr>
        <w:ind w:left="1380" w:hanging="480"/>
      </w:pPr>
      <w:rPr>
        <w:rFonts w:hint="default"/>
      </w:rPr>
    </w:lvl>
    <w:lvl w:ilvl="2">
      <w:start w:val="3"/>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4AA0279F"/>
    <w:multiLevelType w:val="multilevel"/>
    <w:tmpl w:val="785CF926"/>
    <w:lvl w:ilvl="0">
      <w:start w:val="1"/>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1810029"/>
    <w:multiLevelType w:val="multilevel"/>
    <w:tmpl w:val="B37C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A70743"/>
    <w:multiLevelType w:val="multilevel"/>
    <w:tmpl w:val="F57C229A"/>
    <w:lvl w:ilvl="0">
      <w:start w:val="1"/>
      <w:numFmt w:val="decimal"/>
      <w:pStyle w:val="ChapterTitle"/>
      <w:lvlText w:val="%1."/>
      <w:lvlJc w:val="left"/>
      <w:pPr>
        <w:tabs>
          <w:tab w:val="num" w:pos="0"/>
        </w:tabs>
      </w:pPr>
      <w:rPr>
        <w:rFonts w:cs="Times New Roman" w:hint="default"/>
        <w:vanish/>
      </w:rPr>
    </w:lvl>
    <w:lvl w:ilvl="1">
      <w:start w:val="1"/>
      <w:numFmt w:val="decimal"/>
      <w:pStyle w:val="1stLevelParagraph"/>
      <w:lvlText w:val="%1.%2"/>
      <w:lvlJc w:val="left"/>
      <w:pPr>
        <w:tabs>
          <w:tab w:val="num" w:pos="1134"/>
        </w:tabs>
        <w:ind w:left="1134" w:hanging="1134"/>
      </w:pPr>
      <w:rPr>
        <w:rFonts w:cs="Times New Roman" w:hint="default"/>
      </w:rPr>
    </w:lvl>
    <w:lvl w:ilvl="2">
      <w:start w:val="1"/>
      <w:numFmt w:val="lowerLetter"/>
      <w:pStyle w:val="3rdlevelchapter"/>
      <w:lvlText w:val="%3."/>
      <w:lvlJc w:val="left"/>
      <w:pPr>
        <w:tabs>
          <w:tab w:val="num" w:pos="1985"/>
        </w:tabs>
        <w:ind w:left="1985" w:hanging="851"/>
      </w:pPr>
      <w:rPr>
        <w:rFonts w:cs="Times New Roman" w:hint="default"/>
      </w:rPr>
    </w:lvl>
    <w:lvl w:ilvl="3">
      <w:start w:val="1"/>
      <w:numFmt w:val="decimal"/>
      <w:lvlText w:val="(%4)"/>
      <w:lvlJc w:val="left"/>
      <w:pPr>
        <w:tabs>
          <w:tab w:val="num" w:pos="2835"/>
        </w:tabs>
        <w:ind w:left="2835" w:hanging="850"/>
      </w:pPr>
      <w:rPr>
        <w:rFonts w:cs="Times New Roman" w:hint="default"/>
      </w:rPr>
    </w:lvl>
    <w:lvl w:ilvl="4">
      <w:start w:val="1"/>
      <w:numFmt w:val="lowerLetter"/>
      <w:pStyle w:val="4thlevelchapter"/>
      <w:lvlText w:val="(%5)"/>
      <w:lvlJc w:val="left"/>
      <w:pPr>
        <w:tabs>
          <w:tab w:val="num" w:pos="3686"/>
        </w:tabs>
        <w:ind w:left="3686" w:hanging="851"/>
      </w:pPr>
      <w:rPr>
        <w:rFonts w:cs="Times New Roman" w:hint="default"/>
      </w:rPr>
    </w:lvl>
    <w:lvl w:ilvl="5">
      <w:start w:val="1"/>
      <w:numFmt w:val="lowerRoman"/>
      <w:lvlText w:val="%6."/>
      <w:lvlJc w:val="left"/>
      <w:pPr>
        <w:tabs>
          <w:tab w:val="num" w:pos="4536"/>
        </w:tabs>
        <w:ind w:left="4536" w:hanging="850"/>
      </w:pPr>
      <w:rPr>
        <w:rFonts w:cs="Times New Roman" w:hint="default"/>
      </w:rPr>
    </w:lvl>
    <w:lvl w:ilvl="6">
      <w:start w:val="1"/>
      <w:numFmt w:val="lowerRoman"/>
      <w:pStyle w:val="6thlevelchapter"/>
      <w:lvlText w:val="(%7)"/>
      <w:lvlJc w:val="left"/>
      <w:pPr>
        <w:tabs>
          <w:tab w:val="num" w:pos="5387"/>
        </w:tabs>
        <w:ind w:left="5387" w:hanging="851"/>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6" w15:restartNumberingAfterBreak="0">
    <w:nsid w:val="55335A66"/>
    <w:multiLevelType w:val="multilevel"/>
    <w:tmpl w:val="B442C190"/>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55BB2EA6"/>
    <w:multiLevelType w:val="multilevel"/>
    <w:tmpl w:val="81645A78"/>
    <w:lvl w:ilvl="0">
      <w:start w:val="1"/>
      <w:numFmt w:val="bullet"/>
      <w:pStyle w:val="1B1st-levelbullet"/>
      <w:lvlText w:val=""/>
      <w:lvlJc w:val="left"/>
      <w:pPr>
        <w:tabs>
          <w:tab w:val="num" w:pos="567"/>
        </w:tabs>
        <w:ind w:left="567" w:hanging="567"/>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auto"/>
      </w:rPr>
    </w:lvl>
    <w:lvl w:ilvl="2">
      <w:start w:val="1"/>
      <w:numFmt w:val="bullet"/>
      <w:pStyle w:val="5thlevelchapter"/>
      <w:lvlText w:val=""/>
      <w:lvlJc w:val="left"/>
      <w:pPr>
        <w:tabs>
          <w:tab w:val="num" w:pos="1701"/>
        </w:tabs>
        <w:ind w:left="1701" w:hanging="567"/>
      </w:pPr>
      <w:rPr>
        <w:rFonts w:ascii="Symbol" w:hAnsi="Symbol" w:hint="default"/>
        <w:color w:val="auto"/>
      </w:rPr>
    </w:lvl>
    <w:lvl w:ilvl="3">
      <w:start w:val="1"/>
      <w:numFmt w:val="decimal"/>
      <w:lvlText w:val="%1.%2.%3.%4"/>
      <w:lvlJc w:val="left"/>
      <w:pPr>
        <w:tabs>
          <w:tab w:val="num" w:pos="-837"/>
        </w:tabs>
        <w:ind w:left="-837" w:hanging="864"/>
      </w:pPr>
      <w:rPr>
        <w:rFonts w:cs="Times New Roman" w:hint="default"/>
      </w:rPr>
    </w:lvl>
    <w:lvl w:ilvl="4">
      <w:start w:val="1"/>
      <w:numFmt w:val="decimal"/>
      <w:lvlText w:val="%1.%2.%3.%4.%5"/>
      <w:lvlJc w:val="left"/>
      <w:pPr>
        <w:tabs>
          <w:tab w:val="num" w:pos="-693"/>
        </w:tabs>
        <w:ind w:left="-693" w:hanging="1008"/>
      </w:pPr>
      <w:rPr>
        <w:rFonts w:cs="Times New Roman" w:hint="default"/>
      </w:rPr>
    </w:lvl>
    <w:lvl w:ilvl="5">
      <w:start w:val="1"/>
      <w:numFmt w:val="decimal"/>
      <w:lvlText w:val="%1.%2.%3.%4.%5.%6"/>
      <w:lvlJc w:val="left"/>
      <w:pPr>
        <w:tabs>
          <w:tab w:val="num" w:pos="-549"/>
        </w:tabs>
        <w:ind w:left="-549" w:hanging="1152"/>
      </w:pPr>
      <w:rPr>
        <w:rFonts w:cs="Times New Roman" w:hint="default"/>
      </w:rPr>
    </w:lvl>
    <w:lvl w:ilvl="6">
      <w:start w:val="1"/>
      <w:numFmt w:val="decimal"/>
      <w:lvlText w:val="%1.%2.%3.%4.%5.%6.%7"/>
      <w:lvlJc w:val="left"/>
      <w:pPr>
        <w:tabs>
          <w:tab w:val="num" w:pos="-405"/>
        </w:tabs>
        <w:ind w:left="-405" w:hanging="1296"/>
      </w:pPr>
      <w:rPr>
        <w:rFonts w:cs="Times New Roman" w:hint="default"/>
      </w:rPr>
    </w:lvl>
    <w:lvl w:ilvl="7">
      <w:start w:val="1"/>
      <w:numFmt w:val="decimal"/>
      <w:lvlText w:val="%1.%2.%3.%4.%5.%6.%7.%8"/>
      <w:lvlJc w:val="left"/>
      <w:pPr>
        <w:tabs>
          <w:tab w:val="num" w:pos="-261"/>
        </w:tabs>
        <w:ind w:left="-261" w:hanging="1440"/>
      </w:pPr>
      <w:rPr>
        <w:rFonts w:cs="Times New Roman" w:hint="default"/>
      </w:rPr>
    </w:lvl>
    <w:lvl w:ilvl="8">
      <w:start w:val="1"/>
      <w:numFmt w:val="decimal"/>
      <w:lvlText w:val="%1.%2.%3.%4.%5.%6.%7.%8.%9"/>
      <w:lvlJc w:val="left"/>
      <w:pPr>
        <w:tabs>
          <w:tab w:val="num" w:pos="-117"/>
        </w:tabs>
        <w:ind w:left="-117" w:hanging="1584"/>
      </w:pPr>
      <w:rPr>
        <w:rFonts w:cs="Times New Roman" w:hint="default"/>
      </w:rPr>
    </w:lvl>
  </w:abstractNum>
  <w:abstractNum w:abstractNumId="28" w15:restartNumberingAfterBreak="0">
    <w:nsid w:val="599B480D"/>
    <w:multiLevelType w:val="hybridMultilevel"/>
    <w:tmpl w:val="461ADA6E"/>
    <w:lvl w:ilvl="0" w:tplc="E1EA81F2">
      <w:start w:val="1"/>
      <w:numFmt w:val="decimal"/>
      <w:lvlText w:val="%1."/>
      <w:lvlJc w:val="left"/>
      <w:pPr>
        <w:ind w:left="720" w:hanging="360"/>
      </w:pPr>
    </w:lvl>
    <w:lvl w:ilvl="1" w:tplc="81228650">
      <w:start w:val="1"/>
      <w:numFmt w:val="lowerLetter"/>
      <w:lvlText w:val="%2."/>
      <w:lvlJc w:val="left"/>
      <w:pPr>
        <w:ind w:left="1440" w:hanging="360"/>
      </w:pPr>
    </w:lvl>
    <w:lvl w:ilvl="2" w:tplc="19066394">
      <w:start w:val="1"/>
      <w:numFmt w:val="lowerLetter"/>
      <w:lvlText w:val="%3)"/>
      <w:lvlJc w:val="left"/>
      <w:pPr>
        <w:ind w:left="2340" w:hanging="360"/>
      </w:pPr>
    </w:lvl>
    <w:lvl w:ilvl="3" w:tplc="C39021E6">
      <w:start w:val="1"/>
      <w:numFmt w:val="lowerLetter"/>
      <w:lvlText w:val="%4)"/>
      <w:lvlJc w:val="left"/>
      <w:pPr>
        <w:ind w:left="2880" w:hanging="360"/>
      </w:pPr>
    </w:lvl>
    <w:lvl w:ilvl="4" w:tplc="B6E01E8E">
      <w:start w:val="1"/>
      <w:numFmt w:val="lowerLetter"/>
      <w:lvlText w:val="%5."/>
      <w:lvlJc w:val="left"/>
      <w:pPr>
        <w:ind w:left="3600" w:hanging="360"/>
      </w:pPr>
    </w:lvl>
    <w:lvl w:ilvl="5" w:tplc="6D0E40D0">
      <w:start w:val="1"/>
      <w:numFmt w:val="lowerRoman"/>
      <w:lvlText w:val="%6."/>
      <w:lvlJc w:val="right"/>
      <w:pPr>
        <w:ind w:left="4320" w:hanging="180"/>
      </w:pPr>
    </w:lvl>
    <w:lvl w:ilvl="6" w:tplc="F9F01A0E" w:tentative="1">
      <w:start w:val="1"/>
      <w:numFmt w:val="decimal"/>
      <w:lvlText w:val="%7."/>
      <w:lvlJc w:val="left"/>
      <w:pPr>
        <w:ind w:left="5040" w:hanging="360"/>
      </w:pPr>
    </w:lvl>
    <w:lvl w:ilvl="7" w:tplc="F2DC8086" w:tentative="1">
      <w:start w:val="1"/>
      <w:numFmt w:val="lowerLetter"/>
      <w:lvlText w:val="%8."/>
      <w:lvlJc w:val="left"/>
      <w:pPr>
        <w:ind w:left="5760" w:hanging="360"/>
      </w:pPr>
    </w:lvl>
    <w:lvl w:ilvl="8" w:tplc="0E96DD96" w:tentative="1">
      <w:start w:val="1"/>
      <w:numFmt w:val="lowerRoman"/>
      <w:lvlText w:val="%9."/>
      <w:lvlJc w:val="right"/>
      <w:pPr>
        <w:ind w:left="6480" w:hanging="180"/>
      </w:pPr>
    </w:lvl>
  </w:abstractNum>
  <w:abstractNum w:abstractNumId="29" w15:restartNumberingAfterBreak="0">
    <w:nsid w:val="5A9E28E9"/>
    <w:multiLevelType w:val="hybridMultilevel"/>
    <w:tmpl w:val="69AC63D4"/>
    <w:lvl w:ilvl="0" w:tplc="0B3A35FE">
      <w:start w:val="1"/>
      <w:numFmt w:val="decimal"/>
      <w:lvlText w:val="%1."/>
      <w:lvlJc w:val="left"/>
      <w:pPr>
        <w:ind w:left="720" w:hanging="360"/>
      </w:pPr>
    </w:lvl>
    <w:lvl w:ilvl="1" w:tplc="B408227A" w:tentative="1">
      <w:start w:val="1"/>
      <w:numFmt w:val="lowerLetter"/>
      <w:lvlText w:val="%2."/>
      <w:lvlJc w:val="left"/>
      <w:pPr>
        <w:ind w:left="1440" w:hanging="360"/>
      </w:pPr>
    </w:lvl>
    <w:lvl w:ilvl="2" w:tplc="00C6E71E" w:tentative="1">
      <w:start w:val="1"/>
      <w:numFmt w:val="lowerRoman"/>
      <w:lvlText w:val="%3."/>
      <w:lvlJc w:val="right"/>
      <w:pPr>
        <w:ind w:left="2160" w:hanging="180"/>
      </w:pPr>
    </w:lvl>
    <w:lvl w:ilvl="3" w:tplc="F4F63092" w:tentative="1">
      <w:start w:val="1"/>
      <w:numFmt w:val="decimal"/>
      <w:lvlText w:val="%4."/>
      <w:lvlJc w:val="left"/>
      <w:pPr>
        <w:ind w:left="2880" w:hanging="360"/>
      </w:pPr>
    </w:lvl>
    <w:lvl w:ilvl="4" w:tplc="C9EE6888" w:tentative="1">
      <w:start w:val="1"/>
      <w:numFmt w:val="lowerLetter"/>
      <w:lvlText w:val="%5."/>
      <w:lvlJc w:val="left"/>
      <w:pPr>
        <w:ind w:left="3600" w:hanging="360"/>
      </w:pPr>
    </w:lvl>
    <w:lvl w:ilvl="5" w:tplc="A33814E4" w:tentative="1">
      <w:start w:val="1"/>
      <w:numFmt w:val="lowerRoman"/>
      <w:lvlText w:val="%6."/>
      <w:lvlJc w:val="right"/>
      <w:pPr>
        <w:ind w:left="4320" w:hanging="180"/>
      </w:pPr>
    </w:lvl>
    <w:lvl w:ilvl="6" w:tplc="C32ACE80" w:tentative="1">
      <w:start w:val="1"/>
      <w:numFmt w:val="decimal"/>
      <w:lvlText w:val="%7."/>
      <w:lvlJc w:val="left"/>
      <w:pPr>
        <w:ind w:left="5040" w:hanging="360"/>
      </w:pPr>
    </w:lvl>
    <w:lvl w:ilvl="7" w:tplc="B5981BE8" w:tentative="1">
      <w:start w:val="1"/>
      <w:numFmt w:val="lowerLetter"/>
      <w:lvlText w:val="%8."/>
      <w:lvlJc w:val="left"/>
      <w:pPr>
        <w:ind w:left="5760" w:hanging="360"/>
      </w:pPr>
    </w:lvl>
    <w:lvl w:ilvl="8" w:tplc="D5E8BBE6" w:tentative="1">
      <w:start w:val="1"/>
      <w:numFmt w:val="lowerRoman"/>
      <w:lvlText w:val="%9."/>
      <w:lvlJc w:val="right"/>
      <w:pPr>
        <w:ind w:left="6480" w:hanging="180"/>
      </w:pPr>
    </w:lvl>
  </w:abstractNum>
  <w:abstractNum w:abstractNumId="30" w15:restartNumberingAfterBreak="0">
    <w:nsid w:val="5C1548AC"/>
    <w:multiLevelType w:val="multilevel"/>
    <w:tmpl w:val="58CE54CA"/>
    <w:lvl w:ilvl="0">
      <w:start w:val="3"/>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5C277D45"/>
    <w:multiLevelType w:val="multilevel"/>
    <w:tmpl w:val="3EC68B44"/>
    <w:lvl w:ilvl="0">
      <w:start w:val="1"/>
      <w:numFmt w:val="decimal"/>
      <w:lvlText w:val="%1"/>
      <w:lvlJc w:val="left"/>
      <w:pPr>
        <w:ind w:left="360" w:hanging="360"/>
      </w:pPr>
      <w:rPr>
        <w:rFonts w:hint="default"/>
        <w:b w:val="0"/>
      </w:rPr>
    </w:lvl>
    <w:lvl w:ilvl="1">
      <w:start w:val="1"/>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32" w15:restartNumberingAfterBreak="0">
    <w:nsid w:val="686E0991"/>
    <w:multiLevelType w:val="hybridMultilevel"/>
    <w:tmpl w:val="7DF81EA0"/>
    <w:lvl w:ilvl="0" w:tplc="F912E900">
      <w:start w:val="1"/>
      <w:numFmt w:val="decimal"/>
      <w:lvlText w:val="%1."/>
      <w:lvlJc w:val="left"/>
      <w:pPr>
        <w:ind w:left="1440" w:hanging="360"/>
      </w:pPr>
    </w:lvl>
    <w:lvl w:ilvl="1" w:tplc="4E740842" w:tentative="1">
      <w:start w:val="1"/>
      <w:numFmt w:val="lowerLetter"/>
      <w:lvlText w:val="%2."/>
      <w:lvlJc w:val="left"/>
      <w:pPr>
        <w:ind w:left="2160" w:hanging="360"/>
      </w:pPr>
    </w:lvl>
    <w:lvl w:ilvl="2" w:tplc="11F6757C" w:tentative="1">
      <w:start w:val="1"/>
      <w:numFmt w:val="lowerRoman"/>
      <w:lvlText w:val="%3."/>
      <w:lvlJc w:val="right"/>
      <w:pPr>
        <w:ind w:left="2880" w:hanging="180"/>
      </w:pPr>
    </w:lvl>
    <w:lvl w:ilvl="3" w:tplc="A04862B0" w:tentative="1">
      <w:start w:val="1"/>
      <w:numFmt w:val="decimal"/>
      <w:lvlText w:val="%4."/>
      <w:lvlJc w:val="left"/>
      <w:pPr>
        <w:ind w:left="3600" w:hanging="360"/>
      </w:pPr>
    </w:lvl>
    <w:lvl w:ilvl="4" w:tplc="8FECC590" w:tentative="1">
      <w:start w:val="1"/>
      <w:numFmt w:val="lowerLetter"/>
      <w:lvlText w:val="%5."/>
      <w:lvlJc w:val="left"/>
      <w:pPr>
        <w:ind w:left="4320" w:hanging="360"/>
      </w:pPr>
    </w:lvl>
    <w:lvl w:ilvl="5" w:tplc="B66A73EE" w:tentative="1">
      <w:start w:val="1"/>
      <w:numFmt w:val="lowerRoman"/>
      <w:lvlText w:val="%6."/>
      <w:lvlJc w:val="right"/>
      <w:pPr>
        <w:ind w:left="5040" w:hanging="180"/>
      </w:pPr>
    </w:lvl>
    <w:lvl w:ilvl="6" w:tplc="DE68C1CE" w:tentative="1">
      <w:start w:val="1"/>
      <w:numFmt w:val="decimal"/>
      <w:lvlText w:val="%7."/>
      <w:lvlJc w:val="left"/>
      <w:pPr>
        <w:ind w:left="5760" w:hanging="360"/>
      </w:pPr>
    </w:lvl>
    <w:lvl w:ilvl="7" w:tplc="7B08545C" w:tentative="1">
      <w:start w:val="1"/>
      <w:numFmt w:val="lowerLetter"/>
      <w:lvlText w:val="%8."/>
      <w:lvlJc w:val="left"/>
      <w:pPr>
        <w:ind w:left="6480" w:hanging="360"/>
      </w:pPr>
    </w:lvl>
    <w:lvl w:ilvl="8" w:tplc="D75ECA0C" w:tentative="1">
      <w:start w:val="1"/>
      <w:numFmt w:val="lowerRoman"/>
      <w:lvlText w:val="%9."/>
      <w:lvlJc w:val="right"/>
      <w:pPr>
        <w:ind w:left="7200" w:hanging="180"/>
      </w:pPr>
    </w:lvl>
  </w:abstractNum>
  <w:abstractNum w:abstractNumId="33" w15:restartNumberingAfterBreak="0">
    <w:nsid w:val="69AB1A90"/>
    <w:multiLevelType w:val="multilevel"/>
    <w:tmpl w:val="CEDC6E9C"/>
    <w:lvl w:ilvl="0">
      <w:start w:val="1"/>
      <w:numFmt w:val="decimal"/>
      <w:lvlText w:val="%1."/>
      <w:lvlJc w:val="left"/>
      <w:pPr>
        <w:ind w:left="1080" w:hanging="360"/>
      </w:pPr>
      <w:rPr>
        <w:rFonts w:hint="default"/>
      </w:rPr>
    </w:lvl>
    <w:lvl w:ilvl="1">
      <w:start w:val="4"/>
      <w:numFmt w:val="decimal"/>
      <w:isLgl/>
      <w:lvlText w:val="%1.%2"/>
      <w:lvlJc w:val="left"/>
      <w:pPr>
        <w:ind w:left="186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34" w15:restartNumberingAfterBreak="0">
    <w:nsid w:val="6E9231A0"/>
    <w:multiLevelType w:val="multilevel"/>
    <w:tmpl w:val="35CEB0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3CD55DD"/>
    <w:multiLevelType w:val="multilevel"/>
    <w:tmpl w:val="F1C49222"/>
    <w:lvl w:ilvl="0">
      <w:start w:val="1"/>
      <w:numFmt w:val="decimal"/>
      <w:lvlText w:val="%1."/>
      <w:lvlJc w:val="left"/>
      <w:pPr>
        <w:ind w:left="1140" w:hanging="420"/>
      </w:pPr>
      <w:rPr>
        <w:rFonts w:hint="default"/>
      </w:rPr>
    </w:lvl>
    <w:lvl w:ilvl="1">
      <w:start w:val="8"/>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6" w15:restartNumberingAfterBreak="0">
    <w:nsid w:val="76D52204"/>
    <w:multiLevelType w:val="hybridMultilevel"/>
    <w:tmpl w:val="B41E6536"/>
    <w:lvl w:ilvl="0" w:tplc="FB9E6D64">
      <w:start w:val="1"/>
      <w:numFmt w:val="decimal"/>
      <w:lvlText w:val="%1."/>
      <w:lvlJc w:val="left"/>
      <w:pPr>
        <w:ind w:left="1140" w:hanging="4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7B5D74E1"/>
    <w:multiLevelType w:val="hybridMultilevel"/>
    <w:tmpl w:val="35C2D5B4"/>
    <w:lvl w:ilvl="0" w:tplc="C24448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70337C"/>
    <w:multiLevelType w:val="multilevel"/>
    <w:tmpl w:val="A4EEED06"/>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7C9828AA"/>
    <w:multiLevelType w:val="multilevel"/>
    <w:tmpl w:val="72C0A270"/>
    <w:lvl w:ilvl="0">
      <w:start w:val="1"/>
      <w:numFmt w:val="decimal"/>
      <w:pStyle w:val="11st-levelparagraph"/>
      <w:lvlText w:val="%1."/>
      <w:lvlJc w:val="left"/>
      <w:pPr>
        <w:tabs>
          <w:tab w:val="num" w:pos="567"/>
        </w:tabs>
      </w:pPr>
      <w:rPr>
        <w:rFonts w:cs="Times New Roman" w:hint="default"/>
      </w:rPr>
    </w:lvl>
    <w:lvl w:ilvl="1">
      <w:start w:val="1"/>
      <w:numFmt w:val="lowerLetter"/>
      <w:pStyle w:val="a2nd-levelparagraph"/>
      <w:lvlText w:val="%2."/>
      <w:lvlJc w:val="left"/>
      <w:pPr>
        <w:tabs>
          <w:tab w:val="num" w:pos="1134"/>
        </w:tabs>
        <w:ind w:left="1134" w:hanging="567"/>
      </w:pPr>
      <w:rPr>
        <w:rFonts w:cs="Times New Roman" w:hint="default"/>
      </w:rPr>
    </w:lvl>
    <w:lvl w:ilvl="2">
      <w:start w:val="1"/>
      <w:numFmt w:val="decimal"/>
      <w:pStyle w:val="13rd-levelparagraph"/>
      <w:lvlText w:val="(%3)"/>
      <w:lvlJc w:val="left"/>
      <w:pPr>
        <w:tabs>
          <w:tab w:val="num" w:pos="1701"/>
        </w:tabs>
        <w:ind w:left="1701" w:hanging="567"/>
      </w:pPr>
      <w:rPr>
        <w:rFonts w:cs="Times New Roman" w:hint="default"/>
      </w:rPr>
    </w:lvl>
    <w:lvl w:ilvl="3">
      <w:start w:val="1"/>
      <w:numFmt w:val="lowerLetter"/>
      <w:pStyle w:val="a4th-levelparagraph"/>
      <w:lvlText w:val="(%4)"/>
      <w:lvlJc w:val="left"/>
      <w:pPr>
        <w:tabs>
          <w:tab w:val="num" w:pos="2268"/>
        </w:tabs>
        <w:ind w:left="2268" w:hanging="567"/>
      </w:pPr>
      <w:rPr>
        <w:rFonts w:cs="Times New Roman" w:hint="default"/>
      </w:rPr>
    </w:lvl>
    <w:lvl w:ilvl="4">
      <w:start w:val="1"/>
      <w:numFmt w:val="lowerRoman"/>
      <w:pStyle w:val="Footer"/>
      <w:lvlText w:val="%5."/>
      <w:lvlJc w:val="left"/>
      <w:pPr>
        <w:tabs>
          <w:tab w:val="num" w:pos="2835"/>
        </w:tabs>
        <w:ind w:left="2835" w:hanging="567"/>
      </w:pPr>
      <w:rPr>
        <w:rFonts w:cs="Times New Roman" w:hint="default"/>
      </w:rPr>
    </w:lvl>
    <w:lvl w:ilvl="5">
      <w:start w:val="1"/>
      <w:numFmt w:val="lowerRoman"/>
      <w:pStyle w:val="i6th-levelparagraph"/>
      <w:lvlText w:val="(%6)"/>
      <w:lvlJc w:val="left"/>
      <w:pPr>
        <w:tabs>
          <w:tab w:val="num" w:pos="3555"/>
        </w:tabs>
        <w:ind w:left="3402" w:hanging="567"/>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0" w15:restartNumberingAfterBreak="0">
    <w:nsid w:val="7FF47AC9"/>
    <w:multiLevelType w:val="multilevel"/>
    <w:tmpl w:val="7C844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4219687">
    <w:abstractNumId w:val="27"/>
  </w:num>
  <w:num w:numId="2" w16cid:durableId="1171606463">
    <w:abstractNumId w:val="25"/>
  </w:num>
  <w:num w:numId="3" w16cid:durableId="197360524">
    <w:abstractNumId w:val="39"/>
  </w:num>
  <w:num w:numId="4" w16cid:durableId="473371902">
    <w:abstractNumId w:val="20"/>
  </w:num>
  <w:num w:numId="5" w16cid:durableId="1680042984">
    <w:abstractNumId w:val="28"/>
  </w:num>
  <w:num w:numId="6" w16cid:durableId="1343432971">
    <w:abstractNumId w:val="10"/>
  </w:num>
  <w:num w:numId="7" w16cid:durableId="1491946105">
    <w:abstractNumId w:val="38"/>
  </w:num>
  <w:num w:numId="8" w16cid:durableId="995454485">
    <w:abstractNumId w:val="13"/>
  </w:num>
  <w:num w:numId="9" w16cid:durableId="461384881">
    <w:abstractNumId w:val="26"/>
  </w:num>
  <w:num w:numId="10" w16cid:durableId="1070151381">
    <w:abstractNumId w:val="22"/>
  </w:num>
  <w:num w:numId="11" w16cid:durableId="1962955672">
    <w:abstractNumId w:val="30"/>
  </w:num>
  <w:num w:numId="12" w16cid:durableId="2093967868">
    <w:abstractNumId w:val="16"/>
  </w:num>
  <w:num w:numId="13" w16cid:durableId="2127113156">
    <w:abstractNumId w:val="9"/>
  </w:num>
  <w:num w:numId="14" w16cid:durableId="1939169061">
    <w:abstractNumId w:val="7"/>
  </w:num>
  <w:num w:numId="15" w16cid:durableId="77991768">
    <w:abstractNumId w:val="6"/>
  </w:num>
  <w:num w:numId="16" w16cid:durableId="1508906420">
    <w:abstractNumId w:val="5"/>
  </w:num>
  <w:num w:numId="17" w16cid:durableId="1582564190">
    <w:abstractNumId w:val="4"/>
  </w:num>
  <w:num w:numId="18" w16cid:durableId="443574092">
    <w:abstractNumId w:val="8"/>
  </w:num>
  <w:num w:numId="19" w16cid:durableId="2099061569">
    <w:abstractNumId w:val="3"/>
  </w:num>
  <w:num w:numId="20" w16cid:durableId="1116682778">
    <w:abstractNumId w:val="2"/>
  </w:num>
  <w:num w:numId="21" w16cid:durableId="1846821856">
    <w:abstractNumId w:val="1"/>
  </w:num>
  <w:num w:numId="22" w16cid:durableId="1012218944">
    <w:abstractNumId w:val="0"/>
  </w:num>
  <w:num w:numId="23" w16cid:durableId="1728411258">
    <w:abstractNumId w:val="23"/>
  </w:num>
  <w:num w:numId="24" w16cid:durableId="1874463500">
    <w:abstractNumId w:val="32"/>
  </w:num>
  <w:num w:numId="25" w16cid:durableId="78067494">
    <w:abstractNumId w:val="12"/>
  </w:num>
  <w:num w:numId="26" w16cid:durableId="1496610602">
    <w:abstractNumId w:val="18"/>
  </w:num>
  <w:num w:numId="27" w16cid:durableId="1178614542">
    <w:abstractNumId w:val="34"/>
  </w:num>
  <w:num w:numId="28" w16cid:durableId="925846246">
    <w:abstractNumId w:val="29"/>
  </w:num>
  <w:num w:numId="29" w16cid:durableId="1862012511">
    <w:abstractNumId w:val="17"/>
  </w:num>
  <w:num w:numId="30" w16cid:durableId="630600928">
    <w:abstractNumId w:val="19"/>
  </w:num>
  <w:num w:numId="31" w16cid:durableId="916594005">
    <w:abstractNumId w:val="31"/>
  </w:num>
  <w:num w:numId="32" w16cid:durableId="391581159">
    <w:abstractNumId w:val="14"/>
  </w:num>
  <w:num w:numId="33" w16cid:durableId="1864440306">
    <w:abstractNumId w:val="33"/>
  </w:num>
  <w:num w:numId="34" w16cid:durableId="43019489">
    <w:abstractNumId w:val="21"/>
  </w:num>
  <w:num w:numId="35" w16cid:durableId="2091197587">
    <w:abstractNumId w:val="40"/>
  </w:num>
  <w:num w:numId="36" w16cid:durableId="329598438">
    <w:abstractNumId w:val="37"/>
  </w:num>
  <w:num w:numId="37" w16cid:durableId="735738372">
    <w:abstractNumId w:val="36"/>
  </w:num>
  <w:num w:numId="38" w16cid:durableId="1976789505">
    <w:abstractNumId w:val="35"/>
  </w:num>
  <w:num w:numId="39" w16cid:durableId="1981574150">
    <w:abstractNumId w:val="24"/>
  </w:num>
  <w:num w:numId="40" w16cid:durableId="1327005376">
    <w:abstractNumId w:val="11"/>
  </w:num>
  <w:num w:numId="41" w16cid:durableId="105933118">
    <w:abstractNumId w:val="15"/>
  </w:num>
  <w:num w:numId="42" w16cid:durableId="8336431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855682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401552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activeWritingStyle w:appName="MSWord" w:lang="pl-PL" w:vendorID="64" w:dllVersion="0" w:nlCheck="1" w:checkStyle="0"/>
  <w:activeWritingStyle w:appName="MSWord" w:lang="de-DE" w:vendorID="64" w:dllVersion="0" w:nlCheck="1" w:checkStyle="0"/>
  <w:activeWritingStyle w:appName="MSWord" w:lang="nl-NL" w:vendorID="64" w:dllVersion="0" w:nlCheck="1" w:checkStyle="0"/>
  <w:activeWritingStyle w:appName="MSWord" w:lang="ja-JP" w:vendorID="64" w:dllVersion="0" w:nlCheck="1" w:checkStyle="1"/>
  <w:activeWritingStyle w:appName="MSWord" w:lang="en-NZ" w:vendorID="64" w:dllVersion="0" w:nlCheck="1" w:checkStyle="0"/>
  <w:proofState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I0trA0N7cwsLAwMjdR0lEKTi0uzszPAykwrAUAcihGUiwAAAA="/>
  </w:docVars>
  <w:rsids>
    <w:rsidRoot w:val="0000070B"/>
    <w:rsid w:val="000000CB"/>
    <w:rsid w:val="00000476"/>
    <w:rsid w:val="0000070B"/>
    <w:rsid w:val="00000904"/>
    <w:rsid w:val="000011FB"/>
    <w:rsid w:val="00001AEA"/>
    <w:rsid w:val="00001C40"/>
    <w:rsid w:val="000025E3"/>
    <w:rsid w:val="00002F9A"/>
    <w:rsid w:val="00003214"/>
    <w:rsid w:val="00003C18"/>
    <w:rsid w:val="0000427F"/>
    <w:rsid w:val="0000467F"/>
    <w:rsid w:val="00004713"/>
    <w:rsid w:val="00004800"/>
    <w:rsid w:val="000048CF"/>
    <w:rsid w:val="00004BB5"/>
    <w:rsid w:val="00004BF8"/>
    <w:rsid w:val="00004C25"/>
    <w:rsid w:val="00005692"/>
    <w:rsid w:val="0000582D"/>
    <w:rsid w:val="00005937"/>
    <w:rsid w:val="000064A9"/>
    <w:rsid w:val="00006958"/>
    <w:rsid w:val="00006CE4"/>
    <w:rsid w:val="00006D8D"/>
    <w:rsid w:val="000108C1"/>
    <w:rsid w:val="00010AE4"/>
    <w:rsid w:val="00010B4C"/>
    <w:rsid w:val="00010BA6"/>
    <w:rsid w:val="00010DF7"/>
    <w:rsid w:val="00010E0B"/>
    <w:rsid w:val="00010ECE"/>
    <w:rsid w:val="00010F55"/>
    <w:rsid w:val="00011074"/>
    <w:rsid w:val="000112F4"/>
    <w:rsid w:val="00011801"/>
    <w:rsid w:val="00011EA2"/>
    <w:rsid w:val="000122E9"/>
    <w:rsid w:val="00012476"/>
    <w:rsid w:val="0001259C"/>
    <w:rsid w:val="0001298E"/>
    <w:rsid w:val="000129FA"/>
    <w:rsid w:val="00012CFF"/>
    <w:rsid w:val="00013012"/>
    <w:rsid w:val="00013BF9"/>
    <w:rsid w:val="00013D30"/>
    <w:rsid w:val="000143B1"/>
    <w:rsid w:val="000145E8"/>
    <w:rsid w:val="00014916"/>
    <w:rsid w:val="00014BEE"/>
    <w:rsid w:val="00014D5C"/>
    <w:rsid w:val="00015009"/>
    <w:rsid w:val="00015D1D"/>
    <w:rsid w:val="00016341"/>
    <w:rsid w:val="0001634C"/>
    <w:rsid w:val="0001660D"/>
    <w:rsid w:val="00016BEB"/>
    <w:rsid w:val="00017142"/>
    <w:rsid w:val="00017438"/>
    <w:rsid w:val="00017805"/>
    <w:rsid w:val="000179AF"/>
    <w:rsid w:val="00017B82"/>
    <w:rsid w:val="00017D0C"/>
    <w:rsid w:val="00017E9F"/>
    <w:rsid w:val="00017F89"/>
    <w:rsid w:val="00020E16"/>
    <w:rsid w:val="00020F27"/>
    <w:rsid w:val="000211DE"/>
    <w:rsid w:val="0002132D"/>
    <w:rsid w:val="00021697"/>
    <w:rsid w:val="00021B0E"/>
    <w:rsid w:val="00021CD6"/>
    <w:rsid w:val="00021DC2"/>
    <w:rsid w:val="00021F8D"/>
    <w:rsid w:val="00022A34"/>
    <w:rsid w:val="00022B2D"/>
    <w:rsid w:val="00023442"/>
    <w:rsid w:val="0002379B"/>
    <w:rsid w:val="00023BF2"/>
    <w:rsid w:val="00024254"/>
    <w:rsid w:val="00024A8A"/>
    <w:rsid w:val="00024F8F"/>
    <w:rsid w:val="00024FB4"/>
    <w:rsid w:val="00025006"/>
    <w:rsid w:val="0002503F"/>
    <w:rsid w:val="0002561F"/>
    <w:rsid w:val="000257DE"/>
    <w:rsid w:val="00025AE1"/>
    <w:rsid w:val="00025BBA"/>
    <w:rsid w:val="00025F4B"/>
    <w:rsid w:val="00026123"/>
    <w:rsid w:val="00026214"/>
    <w:rsid w:val="00027224"/>
    <w:rsid w:val="00027540"/>
    <w:rsid w:val="00027604"/>
    <w:rsid w:val="00027982"/>
    <w:rsid w:val="00027C57"/>
    <w:rsid w:val="00027D0F"/>
    <w:rsid w:val="00030115"/>
    <w:rsid w:val="000301B0"/>
    <w:rsid w:val="00030206"/>
    <w:rsid w:val="0003179D"/>
    <w:rsid w:val="00031932"/>
    <w:rsid w:val="00031CFF"/>
    <w:rsid w:val="00032C2B"/>
    <w:rsid w:val="0003332D"/>
    <w:rsid w:val="00033C90"/>
    <w:rsid w:val="00033CE0"/>
    <w:rsid w:val="00034672"/>
    <w:rsid w:val="000346AC"/>
    <w:rsid w:val="00034D47"/>
    <w:rsid w:val="00034D5D"/>
    <w:rsid w:val="00034EE6"/>
    <w:rsid w:val="00035121"/>
    <w:rsid w:val="00035655"/>
    <w:rsid w:val="00035954"/>
    <w:rsid w:val="00035AFA"/>
    <w:rsid w:val="00035DF6"/>
    <w:rsid w:val="00035E6C"/>
    <w:rsid w:val="00036ABE"/>
    <w:rsid w:val="00036DC8"/>
    <w:rsid w:val="00036F12"/>
    <w:rsid w:val="00036F72"/>
    <w:rsid w:val="0003727F"/>
    <w:rsid w:val="000372C7"/>
    <w:rsid w:val="000375D0"/>
    <w:rsid w:val="00037FDE"/>
    <w:rsid w:val="00040166"/>
    <w:rsid w:val="0004031F"/>
    <w:rsid w:val="00040693"/>
    <w:rsid w:val="00040A4C"/>
    <w:rsid w:val="00040AAC"/>
    <w:rsid w:val="00040D3D"/>
    <w:rsid w:val="00040F67"/>
    <w:rsid w:val="00041759"/>
    <w:rsid w:val="00041919"/>
    <w:rsid w:val="0004198E"/>
    <w:rsid w:val="00042486"/>
    <w:rsid w:val="0004285F"/>
    <w:rsid w:val="000429BA"/>
    <w:rsid w:val="00042B04"/>
    <w:rsid w:val="0004327F"/>
    <w:rsid w:val="00043313"/>
    <w:rsid w:val="0004380C"/>
    <w:rsid w:val="00043C3F"/>
    <w:rsid w:val="0004407D"/>
    <w:rsid w:val="00044319"/>
    <w:rsid w:val="00044AE5"/>
    <w:rsid w:val="0004500B"/>
    <w:rsid w:val="00045094"/>
    <w:rsid w:val="00045096"/>
    <w:rsid w:val="0004547F"/>
    <w:rsid w:val="000454D0"/>
    <w:rsid w:val="000455B2"/>
    <w:rsid w:val="00045927"/>
    <w:rsid w:val="00045A10"/>
    <w:rsid w:val="00046413"/>
    <w:rsid w:val="00046BAC"/>
    <w:rsid w:val="00046DE1"/>
    <w:rsid w:val="000473B7"/>
    <w:rsid w:val="000473D7"/>
    <w:rsid w:val="00047CEE"/>
    <w:rsid w:val="00047D0B"/>
    <w:rsid w:val="00050A57"/>
    <w:rsid w:val="00050B34"/>
    <w:rsid w:val="0005109E"/>
    <w:rsid w:val="00051294"/>
    <w:rsid w:val="0005131C"/>
    <w:rsid w:val="00051C70"/>
    <w:rsid w:val="00051CB0"/>
    <w:rsid w:val="00051D13"/>
    <w:rsid w:val="00051D2B"/>
    <w:rsid w:val="00052057"/>
    <w:rsid w:val="00052911"/>
    <w:rsid w:val="00052C9A"/>
    <w:rsid w:val="00052E39"/>
    <w:rsid w:val="00052E85"/>
    <w:rsid w:val="00052F4B"/>
    <w:rsid w:val="0005337F"/>
    <w:rsid w:val="00053483"/>
    <w:rsid w:val="000534AE"/>
    <w:rsid w:val="00054121"/>
    <w:rsid w:val="0005422E"/>
    <w:rsid w:val="00054CA1"/>
    <w:rsid w:val="00054D6B"/>
    <w:rsid w:val="000553D2"/>
    <w:rsid w:val="00055628"/>
    <w:rsid w:val="000557E0"/>
    <w:rsid w:val="00055B96"/>
    <w:rsid w:val="00055C50"/>
    <w:rsid w:val="00055D1C"/>
    <w:rsid w:val="00056349"/>
    <w:rsid w:val="0005688C"/>
    <w:rsid w:val="00056C02"/>
    <w:rsid w:val="00057498"/>
    <w:rsid w:val="000577D2"/>
    <w:rsid w:val="000578AA"/>
    <w:rsid w:val="00057B12"/>
    <w:rsid w:val="0006000E"/>
    <w:rsid w:val="00060364"/>
    <w:rsid w:val="000604AA"/>
    <w:rsid w:val="0006068B"/>
    <w:rsid w:val="00060947"/>
    <w:rsid w:val="0006101B"/>
    <w:rsid w:val="00061393"/>
    <w:rsid w:val="000615D4"/>
    <w:rsid w:val="0006165C"/>
    <w:rsid w:val="00061BC9"/>
    <w:rsid w:val="00062446"/>
    <w:rsid w:val="000627F7"/>
    <w:rsid w:val="00062963"/>
    <w:rsid w:val="0006377A"/>
    <w:rsid w:val="00063890"/>
    <w:rsid w:val="000643F9"/>
    <w:rsid w:val="000644C6"/>
    <w:rsid w:val="0006456F"/>
    <w:rsid w:val="00064B6E"/>
    <w:rsid w:val="00064F3B"/>
    <w:rsid w:val="000654E3"/>
    <w:rsid w:val="000655A6"/>
    <w:rsid w:val="000658DA"/>
    <w:rsid w:val="000659CC"/>
    <w:rsid w:val="00066903"/>
    <w:rsid w:val="00066A01"/>
    <w:rsid w:val="00066B09"/>
    <w:rsid w:val="00066C79"/>
    <w:rsid w:val="00066E18"/>
    <w:rsid w:val="00066EA8"/>
    <w:rsid w:val="00066EFD"/>
    <w:rsid w:val="0006766B"/>
    <w:rsid w:val="0006775E"/>
    <w:rsid w:val="00067A27"/>
    <w:rsid w:val="00067C32"/>
    <w:rsid w:val="00067E68"/>
    <w:rsid w:val="0007050B"/>
    <w:rsid w:val="0007080D"/>
    <w:rsid w:val="00071519"/>
    <w:rsid w:val="0007173F"/>
    <w:rsid w:val="000717E4"/>
    <w:rsid w:val="00071C62"/>
    <w:rsid w:val="00071D85"/>
    <w:rsid w:val="00071E79"/>
    <w:rsid w:val="000721DC"/>
    <w:rsid w:val="000722EA"/>
    <w:rsid w:val="000727AC"/>
    <w:rsid w:val="00072933"/>
    <w:rsid w:val="000729DB"/>
    <w:rsid w:val="000730AA"/>
    <w:rsid w:val="00073661"/>
    <w:rsid w:val="00073740"/>
    <w:rsid w:val="0007376F"/>
    <w:rsid w:val="00073829"/>
    <w:rsid w:val="00073965"/>
    <w:rsid w:val="00073ABC"/>
    <w:rsid w:val="00074226"/>
    <w:rsid w:val="000746F3"/>
    <w:rsid w:val="00074B2F"/>
    <w:rsid w:val="00074F36"/>
    <w:rsid w:val="0007521E"/>
    <w:rsid w:val="0007581A"/>
    <w:rsid w:val="00075D70"/>
    <w:rsid w:val="000760BD"/>
    <w:rsid w:val="0007689B"/>
    <w:rsid w:val="00076BA8"/>
    <w:rsid w:val="00077389"/>
    <w:rsid w:val="00077477"/>
    <w:rsid w:val="000774AD"/>
    <w:rsid w:val="000774E9"/>
    <w:rsid w:val="000775F5"/>
    <w:rsid w:val="00077DD7"/>
    <w:rsid w:val="0008011A"/>
    <w:rsid w:val="000802FB"/>
    <w:rsid w:val="0008035D"/>
    <w:rsid w:val="000806E4"/>
    <w:rsid w:val="0008071A"/>
    <w:rsid w:val="000807F4"/>
    <w:rsid w:val="00081754"/>
    <w:rsid w:val="00082793"/>
    <w:rsid w:val="00082A4E"/>
    <w:rsid w:val="0008375A"/>
    <w:rsid w:val="00083785"/>
    <w:rsid w:val="00083A2F"/>
    <w:rsid w:val="00083A57"/>
    <w:rsid w:val="00083FA9"/>
    <w:rsid w:val="0008402C"/>
    <w:rsid w:val="0008476B"/>
    <w:rsid w:val="00084D5F"/>
    <w:rsid w:val="00084DFD"/>
    <w:rsid w:val="0008545C"/>
    <w:rsid w:val="00085484"/>
    <w:rsid w:val="0008576D"/>
    <w:rsid w:val="00085CDD"/>
    <w:rsid w:val="000860E9"/>
    <w:rsid w:val="000862B9"/>
    <w:rsid w:val="00086415"/>
    <w:rsid w:val="00086D9C"/>
    <w:rsid w:val="000876D9"/>
    <w:rsid w:val="00087713"/>
    <w:rsid w:val="000900F7"/>
    <w:rsid w:val="0009020C"/>
    <w:rsid w:val="000902B2"/>
    <w:rsid w:val="00090D7B"/>
    <w:rsid w:val="0009104E"/>
    <w:rsid w:val="00091272"/>
    <w:rsid w:val="000914B7"/>
    <w:rsid w:val="000915B1"/>
    <w:rsid w:val="0009189D"/>
    <w:rsid w:val="000918A0"/>
    <w:rsid w:val="000918F2"/>
    <w:rsid w:val="00091E5A"/>
    <w:rsid w:val="00092210"/>
    <w:rsid w:val="00092C7D"/>
    <w:rsid w:val="00092CD9"/>
    <w:rsid w:val="000933FF"/>
    <w:rsid w:val="0009349C"/>
    <w:rsid w:val="000935C3"/>
    <w:rsid w:val="0009391E"/>
    <w:rsid w:val="00093F5A"/>
    <w:rsid w:val="000947CD"/>
    <w:rsid w:val="00094AF1"/>
    <w:rsid w:val="00094D6D"/>
    <w:rsid w:val="000959C3"/>
    <w:rsid w:val="00095F5D"/>
    <w:rsid w:val="000968D9"/>
    <w:rsid w:val="00096B13"/>
    <w:rsid w:val="00096D4B"/>
    <w:rsid w:val="00096E5B"/>
    <w:rsid w:val="00097189"/>
    <w:rsid w:val="00097356"/>
    <w:rsid w:val="000978A8"/>
    <w:rsid w:val="00097F32"/>
    <w:rsid w:val="000A08A8"/>
    <w:rsid w:val="000A0CCE"/>
    <w:rsid w:val="000A0F52"/>
    <w:rsid w:val="000A1728"/>
    <w:rsid w:val="000A1946"/>
    <w:rsid w:val="000A1B36"/>
    <w:rsid w:val="000A1C26"/>
    <w:rsid w:val="000A1E65"/>
    <w:rsid w:val="000A26CA"/>
    <w:rsid w:val="000A2AC9"/>
    <w:rsid w:val="000A2EC0"/>
    <w:rsid w:val="000A3181"/>
    <w:rsid w:val="000A324F"/>
    <w:rsid w:val="000A3C6F"/>
    <w:rsid w:val="000A3D4F"/>
    <w:rsid w:val="000A4BC3"/>
    <w:rsid w:val="000A4EC7"/>
    <w:rsid w:val="000A4F17"/>
    <w:rsid w:val="000A54D2"/>
    <w:rsid w:val="000A55CD"/>
    <w:rsid w:val="000A62A3"/>
    <w:rsid w:val="000A6D02"/>
    <w:rsid w:val="000A6EF8"/>
    <w:rsid w:val="000A6F56"/>
    <w:rsid w:val="000A7EF3"/>
    <w:rsid w:val="000A7F68"/>
    <w:rsid w:val="000B04EE"/>
    <w:rsid w:val="000B0C4C"/>
    <w:rsid w:val="000B10E2"/>
    <w:rsid w:val="000B15B3"/>
    <w:rsid w:val="000B1B8A"/>
    <w:rsid w:val="000B1BE2"/>
    <w:rsid w:val="000B1E33"/>
    <w:rsid w:val="000B20CD"/>
    <w:rsid w:val="000B28A2"/>
    <w:rsid w:val="000B2ECA"/>
    <w:rsid w:val="000B2F01"/>
    <w:rsid w:val="000B2F6E"/>
    <w:rsid w:val="000B3484"/>
    <w:rsid w:val="000B37E7"/>
    <w:rsid w:val="000B3858"/>
    <w:rsid w:val="000B41AB"/>
    <w:rsid w:val="000B4469"/>
    <w:rsid w:val="000B4A17"/>
    <w:rsid w:val="000B504E"/>
    <w:rsid w:val="000B60A2"/>
    <w:rsid w:val="000B61FC"/>
    <w:rsid w:val="000B6490"/>
    <w:rsid w:val="000B6670"/>
    <w:rsid w:val="000B7279"/>
    <w:rsid w:val="000B7690"/>
    <w:rsid w:val="000B79C7"/>
    <w:rsid w:val="000B7CD3"/>
    <w:rsid w:val="000B7F0C"/>
    <w:rsid w:val="000C05FE"/>
    <w:rsid w:val="000C0804"/>
    <w:rsid w:val="000C082D"/>
    <w:rsid w:val="000C0977"/>
    <w:rsid w:val="000C0A9C"/>
    <w:rsid w:val="000C0D6C"/>
    <w:rsid w:val="000C0DA5"/>
    <w:rsid w:val="000C13DA"/>
    <w:rsid w:val="000C18BA"/>
    <w:rsid w:val="000C1F42"/>
    <w:rsid w:val="000C2138"/>
    <w:rsid w:val="000C242B"/>
    <w:rsid w:val="000C251F"/>
    <w:rsid w:val="000C2815"/>
    <w:rsid w:val="000C289D"/>
    <w:rsid w:val="000C297A"/>
    <w:rsid w:val="000C29D6"/>
    <w:rsid w:val="000C2AA8"/>
    <w:rsid w:val="000C2B1B"/>
    <w:rsid w:val="000C2C4A"/>
    <w:rsid w:val="000C333F"/>
    <w:rsid w:val="000C3528"/>
    <w:rsid w:val="000C3538"/>
    <w:rsid w:val="000C35F9"/>
    <w:rsid w:val="000C3D62"/>
    <w:rsid w:val="000C3E35"/>
    <w:rsid w:val="000C4717"/>
    <w:rsid w:val="000C47BA"/>
    <w:rsid w:val="000C4854"/>
    <w:rsid w:val="000C49D8"/>
    <w:rsid w:val="000C4E5F"/>
    <w:rsid w:val="000C54B5"/>
    <w:rsid w:val="000C57CF"/>
    <w:rsid w:val="000C602E"/>
    <w:rsid w:val="000C60EE"/>
    <w:rsid w:val="000C640B"/>
    <w:rsid w:val="000C65C6"/>
    <w:rsid w:val="000C67D5"/>
    <w:rsid w:val="000C6A4F"/>
    <w:rsid w:val="000C6CD6"/>
    <w:rsid w:val="000C79DD"/>
    <w:rsid w:val="000C7A00"/>
    <w:rsid w:val="000C7C50"/>
    <w:rsid w:val="000D01CB"/>
    <w:rsid w:val="000D0410"/>
    <w:rsid w:val="000D0900"/>
    <w:rsid w:val="000D0C16"/>
    <w:rsid w:val="000D136F"/>
    <w:rsid w:val="000D1874"/>
    <w:rsid w:val="000D1E3C"/>
    <w:rsid w:val="000D1EA2"/>
    <w:rsid w:val="000D20A0"/>
    <w:rsid w:val="000D211D"/>
    <w:rsid w:val="000D25E5"/>
    <w:rsid w:val="000D2956"/>
    <w:rsid w:val="000D2E1C"/>
    <w:rsid w:val="000D3916"/>
    <w:rsid w:val="000D4037"/>
    <w:rsid w:val="000D42B1"/>
    <w:rsid w:val="000D48F5"/>
    <w:rsid w:val="000D4F9F"/>
    <w:rsid w:val="000D52D3"/>
    <w:rsid w:val="000D5520"/>
    <w:rsid w:val="000D5716"/>
    <w:rsid w:val="000D58E6"/>
    <w:rsid w:val="000D5987"/>
    <w:rsid w:val="000D5BF4"/>
    <w:rsid w:val="000D6704"/>
    <w:rsid w:val="000D687E"/>
    <w:rsid w:val="000D68B5"/>
    <w:rsid w:val="000D68CF"/>
    <w:rsid w:val="000D6A81"/>
    <w:rsid w:val="000D6B83"/>
    <w:rsid w:val="000D7048"/>
    <w:rsid w:val="000D7077"/>
    <w:rsid w:val="000D7809"/>
    <w:rsid w:val="000D792E"/>
    <w:rsid w:val="000D7BBB"/>
    <w:rsid w:val="000D7BF7"/>
    <w:rsid w:val="000D7DA8"/>
    <w:rsid w:val="000D7E82"/>
    <w:rsid w:val="000E0075"/>
    <w:rsid w:val="000E0339"/>
    <w:rsid w:val="000E0474"/>
    <w:rsid w:val="000E0547"/>
    <w:rsid w:val="000E08B9"/>
    <w:rsid w:val="000E0B97"/>
    <w:rsid w:val="000E1489"/>
    <w:rsid w:val="000E1492"/>
    <w:rsid w:val="000E1614"/>
    <w:rsid w:val="000E209C"/>
    <w:rsid w:val="000E2266"/>
    <w:rsid w:val="000E2CCD"/>
    <w:rsid w:val="000E2D4F"/>
    <w:rsid w:val="000E384E"/>
    <w:rsid w:val="000E3CF7"/>
    <w:rsid w:val="000E3D0B"/>
    <w:rsid w:val="000E3E1B"/>
    <w:rsid w:val="000E4D59"/>
    <w:rsid w:val="000E5174"/>
    <w:rsid w:val="000E58F2"/>
    <w:rsid w:val="000E5960"/>
    <w:rsid w:val="000E5D87"/>
    <w:rsid w:val="000E5DED"/>
    <w:rsid w:val="000E6694"/>
    <w:rsid w:val="000E6B84"/>
    <w:rsid w:val="000E6CF2"/>
    <w:rsid w:val="000E6D8D"/>
    <w:rsid w:val="000E6F6C"/>
    <w:rsid w:val="000E7615"/>
    <w:rsid w:val="000E7964"/>
    <w:rsid w:val="000E7B2C"/>
    <w:rsid w:val="000E7C91"/>
    <w:rsid w:val="000F0260"/>
    <w:rsid w:val="000F0326"/>
    <w:rsid w:val="000F08F1"/>
    <w:rsid w:val="000F0E1A"/>
    <w:rsid w:val="000F1952"/>
    <w:rsid w:val="000F222A"/>
    <w:rsid w:val="000F22E0"/>
    <w:rsid w:val="000F254C"/>
    <w:rsid w:val="000F26E8"/>
    <w:rsid w:val="000F27D2"/>
    <w:rsid w:val="000F2BAE"/>
    <w:rsid w:val="000F2EE6"/>
    <w:rsid w:val="000F32B1"/>
    <w:rsid w:val="000F401B"/>
    <w:rsid w:val="000F4118"/>
    <w:rsid w:val="000F4151"/>
    <w:rsid w:val="000F4274"/>
    <w:rsid w:val="000F44EE"/>
    <w:rsid w:val="000F4907"/>
    <w:rsid w:val="000F4D0D"/>
    <w:rsid w:val="000F4FC4"/>
    <w:rsid w:val="000F5286"/>
    <w:rsid w:val="000F52BB"/>
    <w:rsid w:val="000F534A"/>
    <w:rsid w:val="000F5457"/>
    <w:rsid w:val="000F546B"/>
    <w:rsid w:val="000F55C8"/>
    <w:rsid w:val="000F5D39"/>
    <w:rsid w:val="000F6094"/>
    <w:rsid w:val="000F64E9"/>
    <w:rsid w:val="000F6901"/>
    <w:rsid w:val="000F6D41"/>
    <w:rsid w:val="000F7C11"/>
    <w:rsid w:val="000F7E2E"/>
    <w:rsid w:val="00100351"/>
    <w:rsid w:val="001003B5"/>
    <w:rsid w:val="0010091A"/>
    <w:rsid w:val="00100959"/>
    <w:rsid w:val="00101274"/>
    <w:rsid w:val="00101CE1"/>
    <w:rsid w:val="00101E78"/>
    <w:rsid w:val="00101E82"/>
    <w:rsid w:val="00101FAB"/>
    <w:rsid w:val="001027B1"/>
    <w:rsid w:val="00103110"/>
    <w:rsid w:val="00103595"/>
    <w:rsid w:val="001035D4"/>
    <w:rsid w:val="00103817"/>
    <w:rsid w:val="0010395D"/>
    <w:rsid w:val="00103E4A"/>
    <w:rsid w:val="00103E76"/>
    <w:rsid w:val="00104573"/>
    <w:rsid w:val="00104841"/>
    <w:rsid w:val="00104C7B"/>
    <w:rsid w:val="00104DEF"/>
    <w:rsid w:val="00105596"/>
    <w:rsid w:val="00106475"/>
    <w:rsid w:val="001070F6"/>
    <w:rsid w:val="001072D4"/>
    <w:rsid w:val="001078F4"/>
    <w:rsid w:val="001079C2"/>
    <w:rsid w:val="001079FC"/>
    <w:rsid w:val="00107D4A"/>
    <w:rsid w:val="0011007A"/>
    <w:rsid w:val="0011020A"/>
    <w:rsid w:val="001106BC"/>
    <w:rsid w:val="001106D9"/>
    <w:rsid w:val="00110A51"/>
    <w:rsid w:val="001113A8"/>
    <w:rsid w:val="001115F4"/>
    <w:rsid w:val="00111BF0"/>
    <w:rsid w:val="00111E9A"/>
    <w:rsid w:val="00111FEE"/>
    <w:rsid w:val="001123B9"/>
    <w:rsid w:val="0011251C"/>
    <w:rsid w:val="00112AA2"/>
    <w:rsid w:val="00112C12"/>
    <w:rsid w:val="00113ADA"/>
    <w:rsid w:val="001143A9"/>
    <w:rsid w:val="00114883"/>
    <w:rsid w:val="00114C61"/>
    <w:rsid w:val="00114E15"/>
    <w:rsid w:val="00115144"/>
    <w:rsid w:val="0011568E"/>
    <w:rsid w:val="001156BB"/>
    <w:rsid w:val="00116CEB"/>
    <w:rsid w:val="001170C0"/>
    <w:rsid w:val="001171D7"/>
    <w:rsid w:val="00117774"/>
    <w:rsid w:val="00117949"/>
    <w:rsid w:val="001179E1"/>
    <w:rsid w:val="00117D47"/>
    <w:rsid w:val="00117E24"/>
    <w:rsid w:val="0012035B"/>
    <w:rsid w:val="001205F0"/>
    <w:rsid w:val="0012063C"/>
    <w:rsid w:val="0012086B"/>
    <w:rsid w:val="00120DA3"/>
    <w:rsid w:val="001210B7"/>
    <w:rsid w:val="00121AA0"/>
    <w:rsid w:val="00121BC5"/>
    <w:rsid w:val="00121CD7"/>
    <w:rsid w:val="00121DDB"/>
    <w:rsid w:val="00122092"/>
    <w:rsid w:val="00122859"/>
    <w:rsid w:val="001228EF"/>
    <w:rsid w:val="001232AE"/>
    <w:rsid w:val="001235B3"/>
    <w:rsid w:val="001238F1"/>
    <w:rsid w:val="00123AEF"/>
    <w:rsid w:val="001242F8"/>
    <w:rsid w:val="001243DC"/>
    <w:rsid w:val="0012483E"/>
    <w:rsid w:val="001249D1"/>
    <w:rsid w:val="00124B51"/>
    <w:rsid w:val="00124D26"/>
    <w:rsid w:val="001250BC"/>
    <w:rsid w:val="001250F9"/>
    <w:rsid w:val="00125387"/>
    <w:rsid w:val="001255FC"/>
    <w:rsid w:val="00125667"/>
    <w:rsid w:val="001256D0"/>
    <w:rsid w:val="00125756"/>
    <w:rsid w:val="00125836"/>
    <w:rsid w:val="00126C7A"/>
    <w:rsid w:val="001271A3"/>
    <w:rsid w:val="001272F9"/>
    <w:rsid w:val="00130591"/>
    <w:rsid w:val="00130A7F"/>
    <w:rsid w:val="00130D4A"/>
    <w:rsid w:val="001310A5"/>
    <w:rsid w:val="0013110E"/>
    <w:rsid w:val="0013197F"/>
    <w:rsid w:val="00131F71"/>
    <w:rsid w:val="00132026"/>
    <w:rsid w:val="001323CA"/>
    <w:rsid w:val="001329B6"/>
    <w:rsid w:val="00132D5C"/>
    <w:rsid w:val="00132E1E"/>
    <w:rsid w:val="00133127"/>
    <w:rsid w:val="00133172"/>
    <w:rsid w:val="001336D9"/>
    <w:rsid w:val="00133CE3"/>
    <w:rsid w:val="00133E4E"/>
    <w:rsid w:val="0013414E"/>
    <w:rsid w:val="001342A0"/>
    <w:rsid w:val="0013497E"/>
    <w:rsid w:val="00134BE9"/>
    <w:rsid w:val="0013557A"/>
    <w:rsid w:val="00135835"/>
    <w:rsid w:val="001358FB"/>
    <w:rsid w:val="00135D69"/>
    <w:rsid w:val="00136040"/>
    <w:rsid w:val="00136347"/>
    <w:rsid w:val="001363AE"/>
    <w:rsid w:val="00137B5E"/>
    <w:rsid w:val="00140400"/>
    <w:rsid w:val="00140462"/>
    <w:rsid w:val="00140517"/>
    <w:rsid w:val="00140843"/>
    <w:rsid w:val="00140870"/>
    <w:rsid w:val="00140A19"/>
    <w:rsid w:val="00140B35"/>
    <w:rsid w:val="001411DD"/>
    <w:rsid w:val="00141798"/>
    <w:rsid w:val="00141CC9"/>
    <w:rsid w:val="00141E59"/>
    <w:rsid w:val="00142804"/>
    <w:rsid w:val="001433FA"/>
    <w:rsid w:val="00143510"/>
    <w:rsid w:val="0014355D"/>
    <w:rsid w:val="001444B8"/>
    <w:rsid w:val="00145343"/>
    <w:rsid w:val="001453BF"/>
    <w:rsid w:val="001454AE"/>
    <w:rsid w:val="001455C0"/>
    <w:rsid w:val="00145D81"/>
    <w:rsid w:val="00145EA8"/>
    <w:rsid w:val="001461FF"/>
    <w:rsid w:val="00146AA8"/>
    <w:rsid w:val="00146CA6"/>
    <w:rsid w:val="00147059"/>
    <w:rsid w:val="00147346"/>
    <w:rsid w:val="001477AB"/>
    <w:rsid w:val="0014783A"/>
    <w:rsid w:val="00147A19"/>
    <w:rsid w:val="00147AA8"/>
    <w:rsid w:val="00150123"/>
    <w:rsid w:val="00150555"/>
    <w:rsid w:val="001505A3"/>
    <w:rsid w:val="00150668"/>
    <w:rsid w:val="001509BF"/>
    <w:rsid w:val="00150CED"/>
    <w:rsid w:val="00150FB9"/>
    <w:rsid w:val="00151441"/>
    <w:rsid w:val="001517AB"/>
    <w:rsid w:val="00151D13"/>
    <w:rsid w:val="00151EAB"/>
    <w:rsid w:val="00152403"/>
    <w:rsid w:val="00152420"/>
    <w:rsid w:val="001527E4"/>
    <w:rsid w:val="001532B0"/>
    <w:rsid w:val="00153578"/>
    <w:rsid w:val="00153BD4"/>
    <w:rsid w:val="00153DC0"/>
    <w:rsid w:val="00154344"/>
    <w:rsid w:val="00154985"/>
    <w:rsid w:val="00154A02"/>
    <w:rsid w:val="00155475"/>
    <w:rsid w:val="001556C5"/>
    <w:rsid w:val="001558D1"/>
    <w:rsid w:val="001562AF"/>
    <w:rsid w:val="001567A4"/>
    <w:rsid w:val="00156CB0"/>
    <w:rsid w:val="00157023"/>
    <w:rsid w:val="00157B87"/>
    <w:rsid w:val="00157E88"/>
    <w:rsid w:val="001601A2"/>
    <w:rsid w:val="001606AD"/>
    <w:rsid w:val="001607CE"/>
    <w:rsid w:val="00160849"/>
    <w:rsid w:val="00160AB6"/>
    <w:rsid w:val="00160D09"/>
    <w:rsid w:val="00161069"/>
    <w:rsid w:val="001610AF"/>
    <w:rsid w:val="00161388"/>
    <w:rsid w:val="001614D2"/>
    <w:rsid w:val="00161A55"/>
    <w:rsid w:val="001622F2"/>
    <w:rsid w:val="00162548"/>
    <w:rsid w:val="001626BD"/>
    <w:rsid w:val="0016289E"/>
    <w:rsid w:val="00162922"/>
    <w:rsid w:val="00162979"/>
    <w:rsid w:val="001629CE"/>
    <w:rsid w:val="00162F0A"/>
    <w:rsid w:val="001633D4"/>
    <w:rsid w:val="001638F0"/>
    <w:rsid w:val="00164342"/>
    <w:rsid w:val="0016474D"/>
    <w:rsid w:val="001648BB"/>
    <w:rsid w:val="0016542B"/>
    <w:rsid w:val="0016571B"/>
    <w:rsid w:val="001658C7"/>
    <w:rsid w:val="00165CAB"/>
    <w:rsid w:val="00165E93"/>
    <w:rsid w:val="001663CE"/>
    <w:rsid w:val="0016641E"/>
    <w:rsid w:val="00166669"/>
    <w:rsid w:val="0016678B"/>
    <w:rsid w:val="00166B57"/>
    <w:rsid w:val="00166CCF"/>
    <w:rsid w:val="00166D62"/>
    <w:rsid w:val="001672D0"/>
    <w:rsid w:val="00167E2C"/>
    <w:rsid w:val="001701E7"/>
    <w:rsid w:val="00170671"/>
    <w:rsid w:val="0017072B"/>
    <w:rsid w:val="00170F0A"/>
    <w:rsid w:val="00170F66"/>
    <w:rsid w:val="0017156B"/>
    <w:rsid w:val="001716D3"/>
    <w:rsid w:val="00171A30"/>
    <w:rsid w:val="00171A75"/>
    <w:rsid w:val="00171F05"/>
    <w:rsid w:val="00172050"/>
    <w:rsid w:val="001723E2"/>
    <w:rsid w:val="00172B4A"/>
    <w:rsid w:val="00172B87"/>
    <w:rsid w:val="0017331D"/>
    <w:rsid w:val="00173441"/>
    <w:rsid w:val="00173AAE"/>
    <w:rsid w:val="00174246"/>
    <w:rsid w:val="0017436F"/>
    <w:rsid w:val="00174454"/>
    <w:rsid w:val="00174624"/>
    <w:rsid w:val="00174670"/>
    <w:rsid w:val="00174AED"/>
    <w:rsid w:val="00174AF1"/>
    <w:rsid w:val="00174DE0"/>
    <w:rsid w:val="00175C6A"/>
    <w:rsid w:val="00175D40"/>
    <w:rsid w:val="00175F95"/>
    <w:rsid w:val="0017606E"/>
    <w:rsid w:val="001761B4"/>
    <w:rsid w:val="00176B3D"/>
    <w:rsid w:val="00176CD9"/>
    <w:rsid w:val="00176E9F"/>
    <w:rsid w:val="001772EF"/>
    <w:rsid w:val="00177727"/>
    <w:rsid w:val="00177DA6"/>
    <w:rsid w:val="00177F26"/>
    <w:rsid w:val="00180466"/>
    <w:rsid w:val="001804EC"/>
    <w:rsid w:val="0018054B"/>
    <w:rsid w:val="00180582"/>
    <w:rsid w:val="00180D88"/>
    <w:rsid w:val="001811CA"/>
    <w:rsid w:val="001818CC"/>
    <w:rsid w:val="001819B4"/>
    <w:rsid w:val="00181A4E"/>
    <w:rsid w:val="00181EA6"/>
    <w:rsid w:val="001824A3"/>
    <w:rsid w:val="001826F8"/>
    <w:rsid w:val="00182CE0"/>
    <w:rsid w:val="00183337"/>
    <w:rsid w:val="0018351E"/>
    <w:rsid w:val="00183665"/>
    <w:rsid w:val="001836DE"/>
    <w:rsid w:val="001837D8"/>
    <w:rsid w:val="00183A6D"/>
    <w:rsid w:val="001844F5"/>
    <w:rsid w:val="001846B5"/>
    <w:rsid w:val="001849D4"/>
    <w:rsid w:val="00184BBF"/>
    <w:rsid w:val="00184BE2"/>
    <w:rsid w:val="00184D39"/>
    <w:rsid w:val="00184DCC"/>
    <w:rsid w:val="0018532B"/>
    <w:rsid w:val="0018554D"/>
    <w:rsid w:val="001856C9"/>
    <w:rsid w:val="001858B5"/>
    <w:rsid w:val="0018603B"/>
    <w:rsid w:val="001864EC"/>
    <w:rsid w:val="00186B20"/>
    <w:rsid w:val="00186F1B"/>
    <w:rsid w:val="00186F88"/>
    <w:rsid w:val="001878AC"/>
    <w:rsid w:val="001878EF"/>
    <w:rsid w:val="00187943"/>
    <w:rsid w:val="001879D6"/>
    <w:rsid w:val="00187B2B"/>
    <w:rsid w:val="00187B42"/>
    <w:rsid w:val="00187BC3"/>
    <w:rsid w:val="00187D99"/>
    <w:rsid w:val="00190062"/>
    <w:rsid w:val="001901D9"/>
    <w:rsid w:val="001904CE"/>
    <w:rsid w:val="0019067A"/>
    <w:rsid w:val="00190EDE"/>
    <w:rsid w:val="001915D8"/>
    <w:rsid w:val="00191843"/>
    <w:rsid w:val="00191D4D"/>
    <w:rsid w:val="00191E1D"/>
    <w:rsid w:val="00192402"/>
    <w:rsid w:val="0019291D"/>
    <w:rsid w:val="001929B2"/>
    <w:rsid w:val="00192E5F"/>
    <w:rsid w:val="00194259"/>
    <w:rsid w:val="0019475C"/>
    <w:rsid w:val="001948AB"/>
    <w:rsid w:val="001948CF"/>
    <w:rsid w:val="00194C28"/>
    <w:rsid w:val="001950DE"/>
    <w:rsid w:val="001960C9"/>
    <w:rsid w:val="00196176"/>
    <w:rsid w:val="001961EB"/>
    <w:rsid w:val="001967B2"/>
    <w:rsid w:val="0019685C"/>
    <w:rsid w:val="0019686F"/>
    <w:rsid w:val="001968C1"/>
    <w:rsid w:val="00196994"/>
    <w:rsid w:val="00196BB3"/>
    <w:rsid w:val="00196EDC"/>
    <w:rsid w:val="001974BC"/>
    <w:rsid w:val="00197B9A"/>
    <w:rsid w:val="001A0821"/>
    <w:rsid w:val="001A084A"/>
    <w:rsid w:val="001A0BE2"/>
    <w:rsid w:val="001A0CD3"/>
    <w:rsid w:val="001A102E"/>
    <w:rsid w:val="001A18C8"/>
    <w:rsid w:val="001A1B0A"/>
    <w:rsid w:val="001A1DF3"/>
    <w:rsid w:val="001A3261"/>
    <w:rsid w:val="001A32C1"/>
    <w:rsid w:val="001A34F0"/>
    <w:rsid w:val="001A35FB"/>
    <w:rsid w:val="001A3687"/>
    <w:rsid w:val="001A383C"/>
    <w:rsid w:val="001A39FD"/>
    <w:rsid w:val="001A3BE2"/>
    <w:rsid w:val="001A4DA2"/>
    <w:rsid w:val="001A4F33"/>
    <w:rsid w:val="001A579F"/>
    <w:rsid w:val="001A5823"/>
    <w:rsid w:val="001A5D67"/>
    <w:rsid w:val="001A60D4"/>
    <w:rsid w:val="001A6413"/>
    <w:rsid w:val="001A667D"/>
    <w:rsid w:val="001A69B4"/>
    <w:rsid w:val="001A6A1D"/>
    <w:rsid w:val="001A6E79"/>
    <w:rsid w:val="001A72D7"/>
    <w:rsid w:val="001A741D"/>
    <w:rsid w:val="001A7704"/>
    <w:rsid w:val="001A7CD4"/>
    <w:rsid w:val="001A7D5E"/>
    <w:rsid w:val="001A7E24"/>
    <w:rsid w:val="001A7E7C"/>
    <w:rsid w:val="001B056B"/>
    <w:rsid w:val="001B0C16"/>
    <w:rsid w:val="001B10D0"/>
    <w:rsid w:val="001B117F"/>
    <w:rsid w:val="001B1226"/>
    <w:rsid w:val="001B13A1"/>
    <w:rsid w:val="001B1527"/>
    <w:rsid w:val="001B167F"/>
    <w:rsid w:val="001B1945"/>
    <w:rsid w:val="001B19BD"/>
    <w:rsid w:val="001B1C1D"/>
    <w:rsid w:val="001B1D2F"/>
    <w:rsid w:val="001B2002"/>
    <w:rsid w:val="001B2081"/>
    <w:rsid w:val="001B2A76"/>
    <w:rsid w:val="001B2CB9"/>
    <w:rsid w:val="001B2EDA"/>
    <w:rsid w:val="001B34E9"/>
    <w:rsid w:val="001B3561"/>
    <w:rsid w:val="001B3676"/>
    <w:rsid w:val="001B371A"/>
    <w:rsid w:val="001B3B12"/>
    <w:rsid w:val="001B423E"/>
    <w:rsid w:val="001B4632"/>
    <w:rsid w:val="001B4988"/>
    <w:rsid w:val="001B4AE8"/>
    <w:rsid w:val="001B4C30"/>
    <w:rsid w:val="001B4E88"/>
    <w:rsid w:val="001B4FAD"/>
    <w:rsid w:val="001B621D"/>
    <w:rsid w:val="001B6271"/>
    <w:rsid w:val="001B6ABA"/>
    <w:rsid w:val="001B6AF6"/>
    <w:rsid w:val="001B6BDD"/>
    <w:rsid w:val="001B6CA4"/>
    <w:rsid w:val="001B7677"/>
    <w:rsid w:val="001C01DA"/>
    <w:rsid w:val="001C058C"/>
    <w:rsid w:val="001C0A59"/>
    <w:rsid w:val="001C11D6"/>
    <w:rsid w:val="001C136D"/>
    <w:rsid w:val="001C1710"/>
    <w:rsid w:val="001C1860"/>
    <w:rsid w:val="001C1D5C"/>
    <w:rsid w:val="001C1D68"/>
    <w:rsid w:val="001C2113"/>
    <w:rsid w:val="001C2284"/>
    <w:rsid w:val="001C2B1F"/>
    <w:rsid w:val="001C2C6F"/>
    <w:rsid w:val="001C3A29"/>
    <w:rsid w:val="001C3D6D"/>
    <w:rsid w:val="001C4267"/>
    <w:rsid w:val="001C4285"/>
    <w:rsid w:val="001C4361"/>
    <w:rsid w:val="001C438E"/>
    <w:rsid w:val="001C5286"/>
    <w:rsid w:val="001C54B7"/>
    <w:rsid w:val="001C5504"/>
    <w:rsid w:val="001C5F1A"/>
    <w:rsid w:val="001C633B"/>
    <w:rsid w:val="001C638C"/>
    <w:rsid w:val="001C6400"/>
    <w:rsid w:val="001C674C"/>
    <w:rsid w:val="001C6798"/>
    <w:rsid w:val="001C6961"/>
    <w:rsid w:val="001C6CE9"/>
    <w:rsid w:val="001C6E8B"/>
    <w:rsid w:val="001C7785"/>
    <w:rsid w:val="001C7C24"/>
    <w:rsid w:val="001C7E4D"/>
    <w:rsid w:val="001C7E6D"/>
    <w:rsid w:val="001D01FF"/>
    <w:rsid w:val="001D1218"/>
    <w:rsid w:val="001D16D7"/>
    <w:rsid w:val="001D1809"/>
    <w:rsid w:val="001D1925"/>
    <w:rsid w:val="001D1B21"/>
    <w:rsid w:val="001D1D9B"/>
    <w:rsid w:val="001D1E7A"/>
    <w:rsid w:val="001D22E5"/>
    <w:rsid w:val="001D238E"/>
    <w:rsid w:val="001D27E9"/>
    <w:rsid w:val="001D2D79"/>
    <w:rsid w:val="001D2E25"/>
    <w:rsid w:val="001D2EEB"/>
    <w:rsid w:val="001D32D1"/>
    <w:rsid w:val="001D3478"/>
    <w:rsid w:val="001D34AF"/>
    <w:rsid w:val="001D3BE5"/>
    <w:rsid w:val="001D3F28"/>
    <w:rsid w:val="001D3F5E"/>
    <w:rsid w:val="001D45A4"/>
    <w:rsid w:val="001D475F"/>
    <w:rsid w:val="001D4819"/>
    <w:rsid w:val="001D4EE0"/>
    <w:rsid w:val="001D5A1A"/>
    <w:rsid w:val="001D5AE6"/>
    <w:rsid w:val="001D6243"/>
    <w:rsid w:val="001D625E"/>
    <w:rsid w:val="001D6521"/>
    <w:rsid w:val="001D6827"/>
    <w:rsid w:val="001D697C"/>
    <w:rsid w:val="001D6C3B"/>
    <w:rsid w:val="001D6F86"/>
    <w:rsid w:val="001D711E"/>
    <w:rsid w:val="001D780B"/>
    <w:rsid w:val="001D7DCD"/>
    <w:rsid w:val="001E0306"/>
    <w:rsid w:val="001E0858"/>
    <w:rsid w:val="001E09D6"/>
    <w:rsid w:val="001E0D25"/>
    <w:rsid w:val="001E19E9"/>
    <w:rsid w:val="001E1B98"/>
    <w:rsid w:val="001E2041"/>
    <w:rsid w:val="001E2161"/>
    <w:rsid w:val="001E22A2"/>
    <w:rsid w:val="001E2361"/>
    <w:rsid w:val="001E24C1"/>
    <w:rsid w:val="001E2628"/>
    <w:rsid w:val="001E2882"/>
    <w:rsid w:val="001E29E2"/>
    <w:rsid w:val="001E3FBB"/>
    <w:rsid w:val="001E415F"/>
    <w:rsid w:val="001E4B68"/>
    <w:rsid w:val="001E4F0E"/>
    <w:rsid w:val="001E52D0"/>
    <w:rsid w:val="001E5695"/>
    <w:rsid w:val="001E5A83"/>
    <w:rsid w:val="001E5DDA"/>
    <w:rsid w:val="001E75D8"/>
    <w:rsid w:val="001E79A1"/>
    <w:rsid w:val="001E7BA3"/>
    <w:rsid w:val="001E7F50"/>
    <w:rsid w:val="001F089D"/>
    <w:rsid w:val="001F0FD4"/>
    <w:rsid w:val="001F1160"/>
    <w:rsid w:val="001F1873"/>
    <w:rsid w:val="001F18B9"/>
    <w:rsid w:val="001F18EA"/>
    <w:rsid w:val="001F1A26"/>
    <w:rsid w:val="001F1A67"/>
    <w:rsid w:val="001F1E9D"/>
    <w:rsid w:val="001F212A"/>
    <w:rsid w:val="001F221E"/>
    <w:rsid w:val="001F23BE"/>
    <w:rsid w:val="001F279E"/>
    <w:rsid w:val="001F27F0"/>
    <w:rsid w:val="001F29AD"/>
    <w:rsid w:val="001F2DAC"/>
    <w:rsid w:val="001F2F90"/>
    <w:rsid w:val="001F2FC4"/>
    <w:rsid w:val="001F3076"/>
    <w:rsid w:val="001F3364"/>
    <w:rsid w:val="001F3502"/>
    <w:rsid w:val="001F384E"/>
    <w:rsid w:val="001F3BA6"/>
    <w:rsid w:val="001F3C71"/>
    <w:rsid w:val="001F46FD"/>
    <w:rsid w:val="001F4AEA"/>
    <w:rsid w:val="001F526E"/>
    <w:rsid w:val="001F5557"/>
    <w:rsid w:val="001F59E1"/>
    <w:rsid w:val="001F5B26"/>
    <w:rsid w:val="001F62FE"/>
    <w:rsid w:val="001F6EC6"/>
    <w:rsid w:val="001F6F97"/>
    <w:rsid w:val="001F7170"/>
    <w:rsid w:val="001F74B8"/>
    <w:rsid w:val="001F768E"/>
    <w:rsid w:val="001F76A6"/>
    <w:rsid w:val="001F7BCD"/>
    <w:rsid w:val="00200278"/>
    <w:rsid w:val="00200414"/>
    <w:rsid w:val="002004E1"/>
    <w:rsid w:val="00200565"/>
    <w:rsid w:val="002007B2"/>
    <w:rsid w:val="00200C8D"/>
    <w:rsid w:val="00201021"/>
    <w:rsid w:val="0020162C"/>
    <w:rsid w:val="00201641"/>
    <w:rsid w:val="0020177F"/>
    <w:rsid w:val="0020195C"/>
    <w:rsid w:val="002019DD"/>
    <w:rsid w:val="00201C8F"/>
    <w:rsid w:val="00202247"/>
    <w:rsid w:val="002027DD"/>
    <w:rsid w:val="00202ED5"/>
    <w:rsid w:val="00203030"/>
    <w:rsid w:val="00203057"/>
    <w:rsid w:val="002035BE"/>
    <w:rsid w:val="0020389F"/>
    <w:rsid w:val="00203995"/>
    <w:rsid w:val="002041F5"/>
    <w:rsid w:val="00204625"/>
    <w:rsid w:val="00204DAC"/>
    <w:rsid w:val="00205037"/>
    <w:rsid w:val="00205692"/>
    <w:rsid w:val="00205764"/>
    <w:rsid w:val="002057AB"/>
    <w:rsid w:val="00205D1E"/>
    <w:rsid w:val="00205F8B"/>
    <w:rsid w:val="00206077"/>
    <w:rsid w:val="0020609F"/>
    <w:rsid w:val="00206192"/>
    <w:rsid w:val="0020660E"/>
    <w:rsid w:val="00206A4C"/>
    <w:rsid w:val="002070AC"/>
    <w:rsid w:val="0020742E"/>
    <w:rsid w:val="002074C0"/>
    <w:rsid w:val="002074CB"/>
    <w:rsid w:val="002100F6"/>
    <w:rsid w:val="0021074C"/>
    <w:rsid w:val="0021097A"/>
    <w:rsid w:val="002109EB"/>
    <w:rsid w:val="002110D8"/>
    <w:rsid w:val="00211352"/>
    <w:rsid w:val="0021173B"/>
    <w:rsid w:val="00211792"/>
    <w:rsid w:val="00211845"/>
    <w:rsid w:val="00211BF9"/>
    <w:rsid w:val="00211CF3"/>
    <w:rsid w:val="00211EAA"/>
    <w:rsid w:val="00211FB0"/>
    <w:rsid w:val="002123A9"/>
    <w:rsid w:val="002123C1"/>
    <w:rsid w:val="00212A88"/>
    <w:rsid w:val="00212A9D"/>
    <w:rsid w:val="00212AAA"/>
    <w:rsid w:val="00213696"/>
    <w:rsid w:val="002136D8"/>
    <w:rsid w:val="00214482"/>
    <w:rsid w:val="002144E7"/>
    <w:rsid w:val="002149FB"/>
    <w:rsid w:val="00214C2E"/>
    <w:rsid w:val="00215131"/>
    <w:rsid w:val="002159A6"/>
    <w:rsid w:val="00215C54"/>
    <w:rsid w:val="002169EB"/>
    <w:rsid w:val="00216A25"/>
    <w:rsid w:val="00216DED"/>
    <w:rsid w:val="0021720E"/>
    <w:rsid w:val="0021721C"/>
    <w:rsid w:val="00220B4F"/>
    <w:rsid w:val="00220B9C"/>
    <w:rsid w:val="00220C0D"/>
    <w:rsid w:val="00220FD6"/>
    <w:rsid w:val="002211A2"/>
    <w:rsid w:val="0022164A"/>
    <w:rsid w:val="00221A29"/>
    <w:rsid w:val="00222D57"/>
    <w:rsid w:val="0022419D"/>
    <w:rsid w:val="0022464B"/>
    <w:rsid w:val="00224790"/>
    <w:rsid w:val="00225045"/>
    <w:rsid w:val="00225A75"/>
    <w:rsid w:val="00225AD7"/>
    <w:rsid w:val="00225D29"/>
    <w:rsid w:val="002261EB"/>
    <w:rsid w:val="0022624A"/>
    <w:rsid w:val="002268B3"/>
    <w:rsid w:val="002269F4"/>
    <w:rsid w:val="0022773C"/>
    <w:rsid w:val="002277AC"/>
    <w:rsid w:val="00227ED5"/>
    <w:rsid w:val="00227FA4"/>
    <w:rsid w:val="002308E9"/>
    <w:rsid w:val="00230B0F"/>
    <w:rsid w:val="00230CA5"/>
    <w:rsid w:val="00230E7D"/>
    <w:rsid w:val="00230F62"/>
    <w:rsid w:val="00230FF0"/>
    <w:rsid w:val="00231056"/>
    <w:rsid w:val="0023110F"/>
    <w:rsid w:val="002313CD"/>
    <w:rsid w:val="002314AA"/>
    <w:rsid w:val="002314C1"/>
    <w:rsid w:val="00231539"/>
    <w:rsid w:val="002315C4"/>
    <w:rsid w:val="0023196D"/>
    <w:rsid w:val="00231AB8"/>
    <w:rsid w:val="00231C04"/>
    <w:rsid w:val="002320C3"/>
    <w:rsid w:val="00232B34"/>
    <w:rsid w:val="00233299"/>
    <w:rsid w:val="00233333"/>
    <w:rsid w:val="002334CF"/>
    <w:rsid w:val="002335E9"/>
    <w:rsid w:val="002335FC"/>
    <w:rsid w:val="00233A90"/>
    <w:rsid w:val="00233ECF"/>
    <w:rsid w:val="00234195"/>
    <w:rsid w:val="0023421E"/>
    <w:rsid w:val="00234443"/>
    <w:rsid w:val="002345AD"/>
    <w:rsid w:val="00234D61"/>
    <w:rsid w:val="0023524C"/>
    <w:rsid w:val="002355DC"/>
    <w:rsid w:val="00236731"/>
    <w:rsid w:val="00236AE6"/>
    <w:rsid w:val="00236AFF"/>
    <w:rsid w:val="00236F40"/>
    <w:rsid w:val="002370DF"/>
    <w:rsid w:val="00237400"/>
    <w:rsid w:val="00240411"/>
    <w:rsid w:val="00240B3D"/>
    <w:rsid w:val="00240B48"/>
    <w:rsid w:val="00240C85"/>
    <w:rsid w:val="0024167D"/>
    <w:rsid w:val="002417F8"/>
    <w:rsid w:val="00241A59"/>
    <w:rsid w:val="00241CE4"/>
    <w:rsid w:val="00242626"/>
    <w:rsid w:val="0024305B"/>
    <w:rsid w:val="0024331E"/>
    <w:rsid w:val="002436FD"/>
    <w:rsid w:val="0024395B"/>
    <w:rsid w:val="002439C5"/>
    <w:rsid w:val="002443DC"/>
    <w:rsid w:val="00244A78"/>
    <w:rsid w:val="00244E36"/>
    <w:rsid w:val="00244FC5"/>
    <w:rsid w:val="0024541A"/>
    <w:rsid w:val="00245CC4"/>
    <w:rsid w:val="002467E5"/>
    <w:rsid w:val="00247F11"/>
    <w:rsid w:val="00250347"/>
    <w:rsid w:val="0025074C"/>
    <w:rsid w:val="002507E0"/>
    <w:rsid w:val="00250904"/>
    <w:rsid w:val="00250996"/>
    <w:rsid w:val="00250E53"/>
    <w:rsid w:val="00250E9D"/>
    <w:rsid w:val="00250EE4"/>
    <w:rsid w:val="00251482"/>
    <w:rsid w:val="00251A71"/>
    <w:rsid w:val="00251DD3"/>
    <w:rsid w:val="00251F75"/>
    <w:rsid w:val="0025231D"/>
    <w:rsid w:val="002526CD"/>
    <w:rsid w:val="00252A4C"/>
    <w:rsid w:val="00252B32"/>
    <w:rsid w:val="00252B33"/>
    <w:rsid w:val="00253530"/>
    <w:rsid w:val="002536E5"/>
    <w:rsid w:val="00253A86"/>
    <w:rsid w:val="00253CC1"/>
    <w:rsid w:val="00254087"/>
    <w:rsid w:val="002546D4"/>
    <w:rsid w:val="00254A6F"/>
    <w:rsid w:val="00254CCF"/>
    <w:rsid w:val="0025551B"/>
    <w:rsid w:val="00255A1C"/>
    <w:rsid w:val="00256568"/>
    <w:rsid w:val="00256C2B"/>
    <w:rsid w:val="00256D00"/>
    <w:rsid w:val="00256D4F"/>
    <w:rsid w:val="00256D75"/>
    <w:rsid w:val="00257031"/>
    <w:rsid w:val="0025717D"/>
    <w:rsid w:val="0025731F"/>
    <w:rsid w:val="002579C4"/>
    <w:rsid w:val="00257EBD"/>
    <w:rsid w:val="00257EF3"/>
    <w:rsid w:val="0026033B"/>
    <w:rsid w:val="00260358"/>
    <w:rsid w:val="002604A5"/>
    <w:rsid w:val="00260701"/>
    <w:rsid w:val="0026071F"/>
    <w:rsid w:val="00261A68"/>
    <w:rsid w:val="0026200C"/>
    <w:rsid w:val="002626E9"/>
    <w:rsid w:val="00262712"/>
    <w:rsid w:val="002627CD"/>
    <w:rsid w:val="00262A7A"/>
    <w:rsid w:val="00262D60"/>
    <w:rsid w:val="002630E4"/>
    <w:rsid w:val="0026328B"/>
    <w:rsid w:val="002638B2"/>
    <w:rsid w:val="002639CE"/>
    <w:rsid w:val="00263D3F"/>
    <w:rsid w:val="00264169"/>
    <w:rsid w:val="0026436F"/>
    <w:rsid w:val="0026448C"/>
    <w:rsid w:val="00264687"/>
    <w:rsid w:val="0026477F"/>
    <w:rsid w:val="002648A8"/>
    <w:rsid w:val="002649FE"/>
    <w:rsid w:val="002655A7"/>
    <w:rsid w:val="002656E4"/>
    <w:rsid w:val="00265C02"/>
    <w:rsid w:val="00266843"/>
    <w:rsid w:val="00266A64"/>
    <w:rsid w:val="00266D01"/>
    <w:rsid w:val="00267068"/>
    <w:rsid w:val="00267131"/>
    <w:rsid w:val="00267242"/>
    <w:rsid w:val="0026729D"/>
    <w:rsid w:val="00267B95"/>
    <w:rsid w:val="00267D74"/>
    <w:rsid w:val="002700E4"/>
    <w:rsid w:val="0027064A"/>
    <w:rsid w:val="00270A5A"/>
    <w:rsid w:val="00270D75"/>
    <w:rsid w:val="002710A1"/>
    <w:rsid w:val="0027162A"/>
    <w:rsid w:val="0027185D"/>
    <w:rsid w:val="00271968"/>
    <w:rsid w:val="00271C70"/>
    <w:rsid w:val="00271FBC"/>
    <w:rsid w:val="00272434"/>
    <w:rsid w:val="0027295E"/>
    <w:rsid w:val="00272EAB"/>
    <w:rsid w:val="0027314D"/>
    <w:rsid w:val="00273766"/>
    <w:rsid w:val="0027390A"/>
    <w:rsid w:val="002739D3"/>
    <w:rsid w:val="002745C6"/>
    <w:rsid w:val="00275069"/>
    <w:rsid w:val="00275815"/>
    <w:rsid w:val="00275899"/>
    <w:rsid w:val="00275955"/>
    <w:rsid w:val="00275B31"/>
    <w:rsid w:val="00276062"/>
    <w:rsid w:val="002767C9"/>
    <w:rsid w:val="00276964"/>
    <w:rsid w:val="00276AE5"/>
    <w:rsid w:val="00276B0D"/>
    <w:rsid w:val="00276F6A"/>
    <w:rsid w:val="0027731E"/>
    <w:rsid w:val="00277656"/>
    <w:rsid w:val="00277A2F"/>
    <w:rsid w:val="00277A96"/>
    <w:rsid w:val="00277ED6"/>
    <w:rsid w:val="00277F40"/>
    <w:rsid w:val="00280A21"/>
    <w:rsid w:val="00280A3B"/>
    <w:rsid w:val="00280BBA"/>
    <w:rsid w:val="00280CCF"/>
    <w:rsid w:val="002816A3"/>
    <w:rsid w:val="0028187F"/>
    <w:rsid w:val="002818B7"/>
    <w:rsid w:val="00281FA3"/>
    <w:rsid w:val="00281FCC"/>
    <w:rsid w:val="0028228D"/>
    <w:rsid w:val="00282A44"/>
    <w:rsid w:val="00282D52"/>
    <w:rsid w:val="0028321B"/>
    <w:rsid w:val="002834FD"/>
    <w:rsid w:val="0028351F"/>
    <w:rsid w:val="00283EB9"/>
    <w:rsid w:val="002846BB"/>
    <w:rsid w:val="002846CD"/>
    <w:rsid w:val="002852DD"/>
    <w:rsid w:val="002854B0"/>
    <w:rsid w:val="00285A72"/>
    <w:rsid w:val="00285CE8"/>
    <w:rsid w:val="00285E46"/>
    <w:rsid w:val="00285E7F"/>
    <w:rsid w:val="00285FFB"/>
    <w:rsid w:val="0028618D"/>
    <w:rsid w:val="0028632C"/>
    <w:rsid w:val="0028649D"/>
    <w:rsid w:val="00286EA5"/>
    <w:rsid w:val="0028736A"/>
    <w:rsid w:val="002876EE"/>
    <w:rsid w:val="002877F8"/>
    <w:rsid w:val="00287A56"/>
    <w:rsid w:val="00287F7F"/>
    <w:rsid w:val="002903FC"/>
    <w:rsid w:val="002904D6"/>
    <w:rsid w:val="002917C6"/>
    <w:rsid w:val="002917CC"/>
    <w:rsid w:val="00291834"/>
    <w:rsid w:val="00291CA2"/>
    <w:rsid w:val="00291E28"/>
    <w:rsid w:val="0029265F"/>
    <w:rsid w:val="002926F1"/>
    <w:rsid w:val="00292ABA"/>
    <w:rsid w:val="00292B3E"/>
    <w:rsid w:val="00292D8D"/>
    <w:rsid w:val="00293241"/>
    <w:rsid w:val="00293576"/>
    <w:rsid w:val="00293716"/>
    <w:rsid w:val="00293BFA"/>
    <w:rsid w:val="00293D7D"/>
    <w:rsid w:val="00294129"/>
    <w:rsid w:val="00294251"/>
    <w:rsid w:val="00294382"/>
    <w:rsid w:val="002943E1"/>
    <w:rsid w:val="0029466F"/>
    <w:rsid w:val="002953DD"/>
    <w:rsid w:val="002955A6"/>
    <w:rsid w:val="0029570C"/>
    <w:rsid w:val="002958EC"/>
    <w:rsid w:val="00295BDB"/>
    <w:rsid w:val="00295F01"/>
    <w:rsid w:val="00295FA1"/>
    <w:rsid w:val="002960C2"/>
    <w:rsid w:val="00296120"/>
    <w:rsid w:val="002964C5"/>
    <w:rsid w:val="00296AC0"/>
    <w:rsid w:val="002975C5"/>
    <w:rsid w:val="002975EC"/>
    <w:rsid w:val="00297BFA"/>
    <w:rsid w:val="00297FCB"/>
    <w:rsid w:val="00297FE2"/>
    <w:rsid w:val="002A008D"/>
    <w:rsid w:val="002A04E8"/>
    <w:rsid w:val="002A0B36"/>
    <w:rsid w:val="002A0DEC"/>
    <w:rsid w:val="002A106A"/>
    <w:rsid w:val="002A1586"/>
    <w:rsid w:val="002A1826"/>
    <w:rsid w:val="002A2693"/>
    <w:rsid w:val="002A272E"/>
    <w:rsid w:val="002A28E2"/>
    <w:rsid w:val="002A2A8E"/>
    <w:rsid w:val="002A2D60"/>
    <w:rsid w:val="002A2EB1"/>
    <w:rsid w:val="002A30BC"/>
    <w:rsid w:val="002A33F1"/>
    <w:rsid w:val="002A365E"/>
    <w:rsid w:val="002A392B"/>
    <w:rsid w:val="002A4873"/>
    <w:rsid w:val="002A4C31"/>
    <w:rsid w:val="002A4F47"/>
    <w:rsid w:val="002A5045"/>
    <w:rsid w:val="002A539A"/>
    <w:rsid w:val="002A581C"/>
    <w:rsid w:val="002A5DAC"/>
    <w:rsid w:val="002A5EE5"/>
    <w:rsid w:val="002A60AF"/>
    <w:rsid w:val="002A64FA"/>
    <w:rsid w:val="002A6798"/>
    <w:rsid w:val="002A6881"/>
    <w:rsid w:val="002A6BEB"/>
    <w:rsid w:val="002A6D38"/>
    <w:rsid w:val="002A6F69"/>
    <w:rsid w:val="002A70B8"/>
    <w:rsid w:val="002A722B"/>
    <w:rsid w:val="002A7302"/>
    <w:rsid w:val="002B0399"/>
    <w:rsid w:val="002B06CF"/>
    <w:rsid w:val="002B0AB4"/>
    <w:rsid w:val="002B0AEB"/>
    <w:rsid w:val="002B0AF2"/>
    <w:rsid w:val="002B0B07"/>
    <w:rsid w:val="002B0B95"/>
    <w:rsid w:val="002B0C3E"/>
    <w:rsid w:val="002B14F8"/>
    <w:rsid w:val="002B1A77"/>
    <w:rsid w:val="002B2129"/>
    <w:rsid w:val="002B24E9"/>
    <w:rsid w:val="002B2631"/>
    <w:rsid w:val="002B2763"/>
    <w:rsid w:val="002B2B1B"/>
    <w:rsid w:val="002B34C9"/>
    <w:rsid w:val="002B3874"/>
    <w:rsid w:val="002B3DE1"/>
    <w:rsid w:val="002B3FE6"/>
    <w:rsid w:val="002B41E2"/>
    <w:rsid w:val="002B4C76"/>
    <w:rsid w:val="002B5310"/>
    <w:rsid w:val="002B5BC8"/>
    <w:rsid w:val="002B5D92"/>
    <w:rsid w:val="002B621F"/>
    <w:rsid w:val="002B62BF"/>
    <w:rsid w:val="002B6373"/>
    <w:rsid w:val="002B698D"/>
    <w:rsid w:val="002B6A3C"/>
    <w:rsid w:val="002B6C5C"/>
    <w:rsid w:val="002B6D90"/>
    <w:rsid w:val="002B7041"/>
    <w:rsid w:val="002B7150"/>
    <w:rsid w:val="002B72B7"/>
    <w:rsid w:val="002B76DE"/>
    <w:rsid w:val="002B7A00"/>
    <w:rsid w:val="002B7AFC"/>
    <w:rsid w:val="002B7F4B"/>
    <w:rsid w:val="002C15C6"/>
    <w:rsid w:val="002C16A3"/>
    <w:rsid w:val="002C1A9A"/>
    <w:rsid w:val="002C1AB9"/>
    <w:rsid w:val="002C1E2C"/>
    <w:rsid w:val="002C208D"/>
    <w:rsid w:val="002C34F4"/>
    <w:rsid w:val="002C3C2B"/>
    <w:rsid w:val="002C3EA5"/>
    <w:rsid w:val="002C413D"/>
    <w:rsid w:val="002C4164"/>
    <w:rsid w:val="002C4565"/>
    <w:rsid w:val="002C4888"/>
    <w:rsid w:val="002C4CF2"/>
    <w:rsid w:val="002C52D8"/>
    <w:rsid w:val="002C5B66"/>
    <w:rsid w:val="002C5FF7"/>
    <w:rsid w:val="002C61D2"/>
    <w:rsid w:val="002C697A"/>
    <w:rsid w:val="002C6F3C"/>
    <w:rsid w:val="002C771E"/>
    <w:rsid w:val="002C77D0"/>
    <w:rsid w:val="002D128B"/>
    <w:rsid w:val="002D15E7"/>
    <w:rsid w:val="002D1749"/>
    <w:rsid w:val="002D249B"/>
    <w:rsid w:val="002D27ED"/>
    <w:rsid w:val="002D2B70"/>
    <w:rsid w:val="002D2D58"/>
    <w:rsid w:val="002D2D9B"/>
    <w:rsid w:val="002D2E51"/>
    <w:rsid w:val="002D3344"/>
    <w:rsid w:val="002D33D0"/>
    <w:rsid w:val="002D3477"/>
    <w:rsid w:val="002D3849"/>
    <w:rsid w:val="002D3AAE"/>
    <w:rsid w:val="002D3DA2"/>
    <w:rsid w:val="002D42E5"/>
    <w:rsid w:val="002D4DEC"/>
    <w:rsid w:val="002D51C6"/>
    <w:rsid w:val="002D570E"/>
    <w:rsid w:val="002D585A"/>
    <w:rsid w:val="002D591F"/>
    <w:rsid w:val="002D597F"/>
    <w:rsid w:val="002D5BF4"/>
    <w:rsid w:val="002D5C42"/>
    <w:rsid w:val="002D664D"/>
    <w:rsid w:val="002D6AAF"/>
    <w:rsid w:val="002D701A"/>
    <w:rsid w:val="002D7918"/>
    <w:rsid w:val="002D7BB5"/>
    <w:rsid w:val="002D7D54"/>
    <w:rsid w:val="002D7E4F"/>
    <w:rsid w:val="002D7F61"/>
    <w:rsid w:val="002E0B2C"/>
    <w:rsid w:val="002E1250"/>
    <w:rsid w:val="002E1A92"/>
    <w:rsid w:val="002E1E86"/>
    <w:rsid w:val="002E1F7C"/>
    <w:rsid w:val="002E1F88"/>
    <w:rsid w:val="002E258A"/>
    <w:rsid w:val="002E2B41"/>
    <w:rsid w:val="002E30E2"/>
    <w:rsid w:val="002E3181"/>
    <w:rsid w:val="002E3CB5"/>
    <w:rsid w:val="002E3E5B"/>
    <w:rsid w:val="002E3EB1"/>
    <w:rsid w:val="002E45E2"/>
    <w:rsid w:val="002E462A"/>
    <w:rsid w:val="002E4988"/>
    <w:rsid w:val="002E565B"/>
    <w:rsid w:val="002E5AC3"/>
    <w:rsid w:val="002E5B09"/>
    <w:rsid w:val="002E6351"/>
    <w:rsid w:val="002E67D0"/>
    <w:rsid w:val="002E6C7E"/>
    <w:rsid w:val="002E6CDC"/>
    <w:rsid w:val="002E6D64"/>
    <w:rsid w:val="002E705D"/>
    <w:rsid w:val="002E71D1"/>
    <w:rsid w:val="002E725E"/>
    <w:rsid w:val="002E7435"/>
    <w:rsid w:val="002E745B"/>
    <w:rsid w:val="002E7577"/>
    <w:rsid w:val="002E75DE"/>
    <w:rsid w:val="002E7754"/>
    <w:rsid w:val="002E790C"/>
    <w:rsid w:val="002E79FB"/>
    <w:rsid w:val="002F04DB"/>
    <w:rsid w:val="002F09C7"/>
    <w:rsid w:val="002F0E4F"/>
    <w:rsid w:val="002F129D"/>
    <w:rsid w:val="002F13DB"/>
    <w:rsid w:val="002F19C1"/>
    <w:rsid w:val="002F1B17"/>
    <w:rsid w:val="002F1E42"/>
    <w:rsid w:val="002F2119"/>
    <w:rsid w:val="002F21A1"/>
    <w:rsid w:val="002F220B"/>
    <w:rsid w:val="002F2AD5"/>
    <w:rsid w:val="002F3818"/>
    <w:rsid w:val="002F46DE"/>
    <w:rsid w:val="002F4869"/>
    <w:rsid w:val="002F4ACF"/>
    <w:rsid w:val="002F4EFD"/>
    <w:rsid w:val="002F5421"/>
    <w:rsid w:val="002F5927"/>
    <w:rsid w:val="002F69FD"/>
    <w:rsid w:val="002F7042"/>
    <w:rsid w:val="002F7BCC"/>
    <w:rsid w:val="00300210"/>
    <w:rsid w:val="00300C42"/>
    <w:rsid w:val="00300C78"/>
    <w:rsid w:val="0030120D"/>
    <w:rsid w:val="00301221"/>
    <w:rsid w:val="003017E5"/>
    <w:rsid w:val="00301A01"/>
    <w:rsid w:val="00301E23"/>
    <w:rsid w:val="00302BB0"/>
    <w:rsid w:val="00302F8E"/>
    <w:rsid w:val="00303059"/>
    <w:rsid w:val="00303104"/>
    <w:rsid w:val="0030328B"/>
    <w:rsid w:val="00303452"/>
    <w:rsid w:val="00303477"/>
    <w:rsid w:val="00303C95"/>
    <w:rsid w:val="00304075"/>
    <w:rsid w:val="003047FA"/>
    <w:rsid w:val="00304B4B"/>
    <w:rsid w:val="00304EB4"/>
    <w:rsid w:val="00305076"/>
    <w:rsid w:val="003051CB"/>
    <w:rsid w:val="003053ED"/>
    <w:rsid w:val="003059FE"/>
    <w:rsid w:val="00305D1F"/>
    <w:rsid w:val="003066F4"/>
    <w:rsid w:val="003068DA"/>
    <w:rsid w:val="003073F7"/>
    <w:rsid w:val="00307C78"/>
    <w:rsid w:val="0031005A"/>
    <w:rsid w:val="003101B4"/>
    <w:rsid w:val="003106EB"/>
    <w:rsid w:val="00310A78"/>
    <w:rsid w:val="0031108A"/>
    <w:rsid w:val="00311799"/>
    <w:rsid w:val="0031194E"/>
    <w:rsid w:val="003119C3"/>
    <w:rsid w:val="00311D23"/>
    <w:rsid w:val="00312141"/>
    <w:rsid w:val="00312589"/>
    <w:rsid w:val="003126C6"/>
    <w:rsid w:val="00312CBB"/>
    <w:rsid w:val="00312FEC"/>
    <w:rsid w:val="003130D3"/>
    <w:rsid w:val="003134F8"/>
    <w:rsid w:val="00313F93"/>
    <w:rsid w:val="00314552"/>
    <w:rsid w:val="003146BC"/>
    <w:rsid w:val="0031482D"/>
    <w:rsid w:val="00314A49"/>
    <w:rsid w:val="00314CBE"/>
    <w:rsid w:val="00314D3E"/>
    <w:rsid w:val="0031529B"/>
    <w:rsid w:val="0031556D"/>
    <w:rsid w:val="0031563E"/>
    <w:rsid w:val="00316364"/>
    <w:rsid w:val="00316543"/>
    <w:rsid w:val="0031679D"/>
    <w:rsid w:val="0031688A"/>
    <w:rsid w:val="003170B2"/>
    <w:rsid w:val="003173BF"/>
    <w:rsid w:val="0031740C"/>
    <w:rsid w:val="0031745D"/>
    <w:rsid w:val="003179C4"/>
    <w:rsid w:val="00320023"/>
    <w:rsid w:val="0032043F"/>
    <w:rsid w:val="003207D4"/>
    <w:rsid w:val="003209BA"/>
    <w:rsid w:val="00320BAD"/>
    <w:rsid w:val="00320BFF"/>
    <w:rsid w:val="003211CF"/>
    <w:rsid w:val="003211EE"/>
    <w:rsid w:val="003211EF"/>
    <w:rsid w:val="003212BB"/>
    <w:rsid w:val="003212D4"/>
    <w:rsid w:val="003213CB"/>
    <w:rsid w:val="00321813"/>
    <w:rsid w:val="00321998"/>
    <w:rsid w:val="00321BDB"/>
    <w:rsid w:val="00321F89"/>
    <w:rsid w:val="0032216F"/>
    <w:rsid w:val="00322857"/>
    <w:rsid w:val="00322896"/>
    <w:rsid w:val="003228BF"/>
    <w:rsid w:val="00322ABC"/>
    <w:rsid w:val="00322E0B"/>
    <w:rsid w:val="00322EE5"/>
    <w:rsid w:val="003234AE"/>
    <w:rsid w:val="0032357A"/>
    <w:rsid w:val="00323700"/>
    <w:rsid w:val="0032386F"/>
    <w:rsid w:val="0032388B"/>
    <w:rsid w:val="00323A1C"/>
    <w:rsid w:val="00324455"/>
    <w:rsid w:val="003244E1"/>
    <w:rsid w:val="00324B91"/>
    <w:rsid w:val="00324F87"/>
    <w:rsid w:val="00325604"/>
    <w:rsid w:val="00325834"/>
    <w:rsid w:val="003267ED"/>
    <w:rsid w:val="0032681F"/>
    <w:rsid w:val="0032701E"/>
    <w:rsid w:val="0032762E"/>
    <w:rsid w:val="00327A00"/>
    <w:rsid w:val="00327A5E"/>
    <w:rsid w:val="00327CE2"/>
    <w:rsid w:val="00327EB5"/>
    <w:rsid w:val="003303F2"/>
    <w:rsid w:val="0033048C"/>
    <w:rsid w:val="00330773"/>
    <w:rsid w:val="00330C39"/>
    <w:rsid w:val="003316DB"/>
    <w:rsid w:val="00331B63"/>
    <w:rsid w:val="00331F04"/>
    <w:rsid w:val="00332B03"/>
    <w:rsid w:val="00332B09"/>
    <w:rsid w:val="00332BC8"/>
    <w:rsid w:val="00332C81"/>
    <w:rsid w:val="00332E2F"/>
    <w:rsid w:val="00332E63"/>
    <w:rsid w:val="0033335F"/>
    <w:rsid w:val="00333B2E"/>
    <w:rsid w:val="00333CCF"/>
    <w:rsid w:val="00333DDB"/>
    <w:rsid w:val="00333FCF"/>
    <w:rsid w:val="003341EF"/>
    <w:rsid w:val="00334382"/>
    <w:rsid w:val="00334502"/>
    <w:rsid w:val="00334B34"/>
    <w:rsid w:val="00334BA9"/>
    <w:rsid w:val="003351DB"/>
    <w:rsid w:val="00335204"/>
    <w:rsid w:val="00335392"/>
    <w:rsid w:val="0033576F"/>
    <w:rsid w:val="00335D64"/>
    <w:rsid w:val="00335D6C"/>
    <w:rsid w:val="00335F00"/>
    <w:rsid w:val="0033683D"/>
    <w:rsid w:val="00336D70"/>
    <w:rsid w:val="00337533"/>
    <w:rsid w:val="00337A79"/>
    <w:rsid w:val="00337F0F"/>
    <w:rsid w:val="00337F35"/>
    <w:rsid w:val="00337F8B"/>
    <w:rsid w:val="00340130"/>
    <w:rsid w:val="003402D8"/>
    <w:rsid w:val="0034062E"/>
    <w:rsid w:val="00340B69"/>
    <w:rsid w:val="00340D54"/>
    <w:rsid w:val="00341114"/>
    <w:rsid w:val="0034131E"/>
    <w:rsid w:val="003413D0"/>
    <w:rsid w:val="00341866"/>
    <w:rsid w:val="00342091"/>
    <w:rsid w:val="00342817"/>
    <w:rsid w:val="00342891"/>
    <w:rsid w:val="00342A33"/>
    <w:rsid w:val="00342BDD"/>
    <w:rsid w:val="00342EDB"/>
    <w:rsid w:val="00342F86"/>
    <w:rsid w:val="003437DE"/>
    <w:rsid w:val="00343DC2"/>
    <w:rsid w:val="0034411D"/>
    <w:rsid w:val="00344248"/>
    <w:rsid w:val="00344336"/>
    <w:rsid w:val="00344C8C"/>
    <w:rsid w:val="00344F15"/>
    <w:rsid w:val="00345077"/>
    <w:rsid w:val="003450C9"/>
    <w:rsid w:val="00345F4D"/>
    <w:rsid w:val="00346151"/>
    <w:rsid w:val="003461E7"/>
    <w:rsid w:val="0034637A"/>
    <w:rsid w:val="00346D86"/>
    <w:rsid w:val="003474A0"/>
    <w:rsid w:val="003478C8"/>
    <w:rsid w:val="00347BDD"/>
    <w:rsid w:val="00350086"/>
    <w:rsid w:val="003501BA"/>
    <w:rsid w:val="00350290"/>
    <w:rsid w:val="00350B8D"/>
    <w:rsid w:val="003510B2"/>
    <w:rsid w:val="003515DA"/>
    <w:rsid w:val="00351EEB"/>
    <w:rsid w:val="003522B5"/>
    <w:rsid w:val="0035254A"/>
    <w:rsid w:val="00352852"/>
    <w:rsid w:val="0035303A"/>
    <w:rsid w:val="0035330E"/>
    <w:rsid w:val="00353B86"/>
    <w:rsid w:val="00354453"/>
    <w:rsid w:val="0035488D"/>
    <w:rsid w:val="00354C40"/>
    <w:rsid w:val="00355328"/>
    <w:rsid w:val="003553ED"/>
    <w:rsid w:val="0035548E"/>
    <w:rsid w:val="00355994"/>
    <w:rsid w:val="003559D6"/>
    <w:rsid w:val="00355C36"/>
    <w:rsid w:val="0035616D"/>
    <w:rsid w:val="00356487"/>
    <w:rsid w:val="003564CC"/>
    <w:rsid w:val="003566B0"/>
    <w:rsid w:val="003566E3"/>
    <w:rsid w:val="00356801"/>
    <w:rsid w:val="00356857"/>
    <w:rsid w:val="00356A1A"/>
    <w:rsid w:val="00356E90"/>
    <w:rsid w:val="003570B2"/>
    <w:rsid w:val="003575A2"/>
    <w:rsid w:val="003576CC"/>
    <w:rsid w:val="003577AE"/>
    <w:rsid w:val="003577C2"/>
    <w:rsid w:val="00357C24"/>
    <w:rsid w:val="00357C86"/>
    <w:rsid w:val="0036012A"/>
    <w:rsid w:val="003601A7"/>
    <w:rsid w:val="00360374"/>
    <w:rsid w:val="00360ABE"/>
    <w:rsid w:val="00360E26"/>
    <w:rsid w:val="00360F76"/>
    <w:rsid w:val="00361183"/>
    <w:rsid w:val="00361828"/>
    <w:rsid w:val="00361975"/>
    <w:rsid w:val="00362CC2"/>
    <w:rsid w:val="00363642"/>
    <w:rsid w:val="003637C6"/>
    <w:rsid w:val="00363A8D"/>
    <w:rsid w:val="00363B1D"/>
    <w:rsid w:val="00363C1C"/>
    <w:rsid w:val="00363C6F"/>
    <w:rsid w:val="00363DB1"/>
    <w:rsid w:val="00363E2A"/>
    <w:rsid w:val="00363FF2"/>
    <w:rsid w:val="003640BF"/>
    <w:rsid w:val="0036422E"/>
    <w:rsid w:val="0036475E"/>
    <w:rsid w:val="003648F2"/>
    <w:rsid w:val="0036494C"/>
    <w:rsid w:val="00364A24"/>
    <w:rsid w:val="00364D29"/>
    <w:rsid w:val="00364E33"/>
    <w:rsid w:val="00364F85"/>
    <w:rsid w:val="003650E6"/>
    <w:rsid w:val="0036539B"/>
    <w:rsid w:val="003657AB"/>
    <w:rsid w:val="00365D0F"/>
    <w:rsid w:val="00365D4A"/>
    <w:rsid w:val="00365E22"/>
    <w:rsid w:val="00366833"/>
    <w:rsid w:val="00366A0C"/>
    <w:rsid w:val="0036700C"/>
    <w:rsid w:val="00367067"/>
    <w:rsid w:val="003678F5"/>
    <w:rsid w:val="003679B7"/>
    <w:rsid w:val="00367F84"/>
    <w:rsid w:val="00370041"/>
    <w:rsid w:val="003703C1"/>
    <w:rsid w:val="0037042E"/>
    <w:rsid w:val="003704B7"/>
    <w:rsid w:val="0037061C"/>
    <w:rsid w:val="00370D2C"/>
    <w:rsid w:val="00370D79"/>
    <w:rsid w:val="003716A7"/>
    <w:rsid w:val="00371795"/>
    <w:rsid w:val="003717E4"/>
    <w:rsid w:val="00371C7E"/>
    <w:rsid w:val="003722BA"/>
    <w:rsid w:val="00372392"/>
    <w:rsid w:val="0037294D"/>
    <w:rsid w:val="00372D21"/>
    <w:rsid w:val="00372DFB"/>
    <w:rsid w:val="003731A5"/>
    <w:rsid w:val="0037335F"/>
    <w:rsid w:val="0037351D"/>
    <w:rsid w:val="003744ED"/>
    <w:rsid w:val="003747C5"/>
    <w:rsid w:val="00375D47"/>
    <w:rsid w:val="00375F7F"/>
    <w:rsid w:val="003764E8"/>
    <w:rsid w:val="00376640"/>
    <w:rsid w:val="003769D1"/>
    <w:rsid w:val="00376A39"/>
    <w:rsid w:val="00376EA7"/>
    <w:rsid w:val="003773E6"/>
    <w:rsid w:val="00377ABA"/>
    <w:rsid w:val="00377D41"/>
    <w:rsid w:val="00377F21"/>
    <w:rsid w:val="00380930"/>
    <w:rsid w:val="003809BE"/>
    <w:rsid w:val="00381083"/>
    <w:rsid w:val="00381452"/>
    <w:rsid w:val="00381763"/>
    <w:rsid w:val="00382196"/>
    <w:rsid w:val="0038221B"/>
    <w:rsid w:val="0038252F"/>
    <w:rsid w:val="00382E91"/>
    <w:rsid w:val="00382F63"/>
    <w:rsid w:val="00383AE7"/>
    <w:rsid w:val="00384065"/>
    <w:rsid w:val="00384980"/>
    <w:rsid w:val="00384F61"/>
    <w:rsid w:val="003851D3"/>
    <w:rsid w:val="003853F0"/>
    <w:rsid w:val="00385E24"/>
    <w:rsid w:val="00385EDB"/>
    <w:rsid w:val="0038632A"/>
    <w:rsid w:val="0038674E"/>
    <w:rsid w:val="003867B5"/>
    <w:rsid w:val="00386A5A"/>
    <w:rsid w:val="00386AE6"/>
    <w:rsid w:val="0038732E"/>
    <w:rsid w:val="00387E83"/>
    <w:rsid w:val="003901F5"/>
    <w:rsid w:val="00390201"/>
    <w:rsid w:val="003905D4"/>
    <w:rsid w:val="00390D8F"/>
    <w:rsid w:val="00390E34"/>
    <w:rsid w:val="00390FF8"/>
    <w:rsid w:val="003919A1"/>
    <w:rsid w:val="00391C78"/>
    <w:rsid w:val="0039201B"/>
    <w:rsid w:val="0039242C"/>
    <w:rsid w:val="00392A4D"/>
    <w:rsid w:val="00393675"/>
    <w:rsid w:val="0039370D"/>
    <w:rsid w:val="00393BF2"/>
    <w:rsid w:val="00393DA5"/>
    <w:rsid w:val="00394799"/>
    <w:rsid w:val="00394DC5"/>
    <w:rsid w:val="00395F14"/>
    <w:rsid w:val="0039628C"/>
    <w:rsid w:val="00396404"/>
    <w:rsid w:val="00396609"/>
    <w:rsid w:val="0039673A"/>
    <w:rsid w:val="0039678A"/>
    <w:rsid w:val="00396850"/>
    <w:rsid w:val="003969B5"/>
    <w:rsid w:val="00396C09"/>
    <w:rsid w:val="00396F4C"/>
    <w:rsid w:val="003973CC"/>
    <w:rsid w:val="0039780E"/>
    <w:rsid w:val="00397813"/>
    <w:rsid w:val="00397C36"/>
    <w:rsid w:val="00397F21"/>
    <w:rsid w:val="003A0395"/>
    <w:rsid w:val="003A0416"/>
    <w:rsid w:val="003A0811"/>
    <w:rsid w:val="003A09F6"/>
    <w:rsid w:val="003A1126"/>
    <w:rsid w:val="003A17D0"/>
    <w:rsid w:val="003A2142"/>
    <w:rsid w:val="003A225D"/>
    <w:rsid w:val="003A26E9"/>
    <w:rsid w:val="003A2A13"/>
    <w:rsid w:val="003A2C35"/>
    <w:rsid w:val="003A2CDA"/>
    <w:rsid w:val="003A2E4C"/>
    <w:rsid w:val="003A3330"/>
    <w:rsid w:val="003A3737"/>
    <w:rsid w:val="003A374E"/>
    <w:rsid w:val="003A46E6"/>
    <w:rsid w:val="003A4D96"/>
    <w:rsid w:val="003A4FBF"/>
    <w:rsid w:val="003A5045"/>
    <w:rsid w:val="003A5639"/>
    <w:rsid w:val="003A573C"/>
    <w:rsid w:val="003A5B33"/>
    <w:rsid w:val="003A61E8"/>
    <w:rsid w:val="003A652B"/>
    <w:rsid w:val="003A655D"/>
    <w:rsid w:val="003A6714"/>
    <w:rsid w:val="003A7097"/>
    <w:rsid w:val="003A744F"/>
    <w:rsid w:val="003B0AD3"/>
    <w:rsid w:val="003B0DF6"/>
    <w:rsid w:val="003B0E04"/>
    <w:rsid w:val="003B0FEA"/>
    <w:rsid w:val="003B1C38"/>
    <w:rsid w:val="003B1D2C"/>
    <w:rsid w:val="003B1FCE"/>
    <w:rsid w:val="003B20F1"/>
    <w:rsid w:val="003B223E"/>
    <w:rsid w:val="003B26F6"/>
    <w:rsid w:val="003B2C5C"/>
    <w:rsid w:val="003B314B"/>
    <w:rsid w:val="003B3224"/>
    <w:rsid w:val="003B363C"/>
    <w:rsid w:val="003B37FF"/>
    <w:rsid w:val="003B397E"/>
    <w:rsid w:val="003B3C56"/>
    <w:rsid w:val="003B450C"/>
    <w:rsid w:val="003B450F"/>
    <w:rsid w:val="003B4BC0"/>
    <w:rsid w:val="003B56E8"/>
    <w:rsid w:val="003B58C8"/>
    <w:rsid w:val="003B597D"/>
    <w:rsid w:val="003B5B30"/>
    <w:rsid w:val="003B5C50"/>
    <w:rsid w:val="003B5EA1"/>
    <w:rsid w:val="003B62E6"/>
    <w:rsid w:val="003B62FC"/>
    <w:rsid w:val="003B659B"/>
    <w:rsid w:val="003B689B"/>
    <w:rsid w:val="003B6AF2"/>
    <w:rsid w:val="003B74C3"/>
    <w:rsid w:val="003B7884"/>
    <w:rsid w:val="003B7966"/>
    <w:rsid w:val="003B7C27"/>
    <w:rsid w:val="003B7D68"/>
    <w:rsid w:val="003B7E80"/>
    <w:rsid w:val="003B7F35"/>
    <w:rsid w:val="003B7F5E"/>
    <w:rsid w:val="003C0583"/>
    <w:rsid w:val="003C0928"/>
    <w:rsid w:val="003C0B42"/>
    <w:rsid w:val="003C0E12"/>
    <w:rsid w:val="003C0F4D"/>
    <w:rsid w:val="003C11B3"/>
    <w:rsid w:val="003C15DC"/>
    <w:rsid w:val="003C17AB"/>
    <w:rsid w:val="003C1B91"/>
    <w:rsid w:val="003C1BCE"/>
    <w:rsid w:val="003C1CBB"/>
    <w:rsid w:val="003C2AE8"/>
    <w:rsid w:val="003C2B44"/>
    <w:rsid w:val="003C2B88"/>
    <w:rsid w:val="003C373B"/>
    <w:rsid w:val="003C4400"/>
    <w:rsid w:val="003C45E4"/>
    <w:rsid w:val="003C4A96"/>
    <w:rsid w:val="003C4C77"/>
    <w:rsid w:val="003C4E00"/>
    <w:rsid w:val="003C602D"/>
    <w:rsid w:val="003C659F"/>
    <w:rsid w:val="003C67F6"/>
    <w:rsid w:val="003C6BE3"/>
    <w:rsid w:val="003C6D0C"/>
    <w:rsid w:val="003C6DBF"/>
    <w:rsid w:val="003C7243"/>
    <w:rsid w:val="003C7522"/>
    <w:rsid w:val="003C79CE"/>
    <w:rsid w:val="003C79F3"/>
    <w:rsid w:val="003D04E0"/>
    <w:rsid w:val="003D0656"/>
    <w:rsid w:val="003D092D"/>
    <w:rsid w:val="003D0933"/>
    <w:rsid w:val="003D0CD2"/>
    <w:rsid w:val="003D0DB9"/>
    <w:rsid w:val="003D1096"/>
    <w:rsid w:val="003D10D9"/>
    <w:rsid w:val="003D10DC"/>
    <w:rsid w:val="003D17B4"/>
    <w:rsid w:val="003D1E2F"/>
    <w:rsid w:val="003D21C4"/>
    <w:rsid w:val="003D25BD"/>
    <w:rsid w:val="003D2CEA"/>
    <w:rsid w:val="003D2E4C"/>
    <w:rsid w:val="003D2E58"/>
    <w:rsid w:val="003D357B"/>
    <w:rsid w:val="003D3F24"/>
    <w:rsid w:val="003D4067"/>
    <w:rsid w:val="003D4449"/>
    <w:rsid w:val="003D4911"/>
    <w:rsid w:val="003D518C"/>
    <w:rsid w:val="003D54AB"/>
    <w:rsid w:val="003D5838"/>
    <w:rsid w:val="003D59E9"/>
    <w:rsid w:val="003D64DB"/>
    <w:rsid w:val="003D653D"/>
    <w:rsid w:val="003D6B31"/>
    <w:rsid w:val="003D6B67"/>
    <w:rsid w:val="003D721A"/>
    <w:rsid w:val="003D7ADA"/>
    <w:rsid w:val="003E03F9"/>
    <w:rsid w:val="003E0A87"/>
    <w:rsid w:val="003E0B51"/>
    <w:rsid w:val="003E0C01"/>
    <w:rsid w:val="003E0EC3"/>
    <w:rsid w:val="003E0F61"/>
    <w:rsid w:val="003E1031"/>
    <w:rsid w:val="003E146C"/>
    <w:rsid w:val="003E14E9"/>
    <w:rsid w:val="003E1B98"/>
    <w:rsid w:val="003E2AE6"/>
    <w:rsid w:val="003E3581"/>
    <w:rsid w:val="003E38AF"/>
    <w:rsid w:val="003E4376"/>
    <w:rsid w:val="003E47EB"/>
    <w:rsid w:val="003E4BDC"/>
    <w:rsid w:val="003E5580"/>
    <w:rsid w:val="003E5EC3"/>
    <w:rsid w:val="003E64B1"/>
    <w:rsid w:val="003E6588"/>
    <w:rsid w:val="003E69F0"/>
    <w:rsid w:val="003E6FFB"/>
    <w:rsid w:val="003E712B"/>
    <w:rsid w:val="003E72B4"/>
    <w:rsid w:val="003E7BD7"/>
    <w:rsid w:val="003F002C"/>
    <w:rsid w:val="003F0059"/>
    <w:rsid w:val="003F0123"/>
    <w:rsid w:val="003F0DFA"/>
    <w:rsid w:val="003F1899"/>
    <w:rsid w:val="003F1B96"/>
    <w:rsid w:val="003F1FDA"/>
    <w:rsid w:val="003F21FC"/>
    <w:rsid w:val="003F2236"/>
    <w:rsid w:val="003F2306"/>
    <w:rsid w:val="003F25E6"/>
    <w:rsid w:val="003F3101"/>
    <w:rsid w:val="003F31FB"/>
    <w:rsid w:val="003F3215"/>
    <w:rsid w:val="003F375E"/>
    <w:rsid w:val="003F3F44"/>
    <w:rsid w:val="003F4182"/>
    <w:rsid w:val="003F4503"/>
    <w:rsid w:val="003F4638"/>
    <w:rsid w:val="003F47F8"/>
    <w:rsid w:val="003F4D35"/>
    <w:rsid w:val="003F4EEC"/>
    <w:rsid w:val="003F4F2E"/>
    <w:rsid w:val="003F5177"/>
    <w:rsid w:val="003F536B"/>
    <w:rsid w:val="003F53C8"/>
    <w:rsid w:val="003F540E"/>
    <w:rsid w:val="003F54DE"/>
    <w:rsid w:val="003F5705"/>
    <w:rsid w:val="003F59B6"/>
    <w:rsid w:val="003F5A96"/>
    <w:rsid w:val="003F5FF9"/>
    <w:rsid w:val="003F6022"/>
    <w:rsid w:val="003F607F"/>
    <w:rsid w:val="003F66C3"/>
    <w:rsid w:val="003F6913"/>
    <w:rsid w:val="003F6D9F"/>
    <w:rsid w:val="003F733F"/>
    <w:rsid w:val="003F7AE6"/>
    <w:rsid w:val="003F7B59"/>
    <w:rsid w:val="003F7DE2"/>
    <w:rsid w:val="00400035"/>
    <w:rsid w:val="004009DC"/>
    <w:rsid w:val="00400E34"/>
    <w:rsid w:val="0040103C"/>
    <w:rsid w:val="0040199A"/>
    <w:rsid w:val="004020DC"/>
    <w:rsid w:val="00402374"/>
    <w:rsid w:val="00402BDB"/>
    <w:rsid w:val="00402C36"/>
    <w:rsid w:val="00402D03"/>
    <w:rsid w:val="00402E77"/>
    <w:rsid w:val="00402F9E"/>
    <w:rsid w:val="00403203"/>
    <w:rsid w:val="004034FF"/>
    <w:rsid w:val="00403618"/>
    <w:rsid w:val="00403AF4"/>
    <w:rsid w:val="00403C4B"/>
    <w:rsid w:val="00403D7D"/>
    <w:rsid w:val="004041CA"/>
    <w:rsid w:val="004043BE"/>
    <w:rsid w:val="00404B34"/>
    <w:rsid w:val="00404D01"/>
    <w:rsid w:val="00405463"/>
    <w:rsid w:val="0040559A"/>
    <w:rsid w:val="00405713"/>
    <w:rsid w:val="00405CC4"/>
    <w:rsid w:val="00405FE5"/>
    <w:rsid w:val="00406401"/>
    <w:rsid w:val="0040696D"/>
    <w:rsid w:val="00406A3C"/>
    <w:rsid w:val="00406AFA"/>
    <w:rsid w:val="00406B5D"/>
    <w:rsid w:val="004074FA"/>
    <w:rsid w:val="00407597"/>
    <w:rsid w:val="004075B6"/>
    <w:rsid w:val="00407A0C"/>
    <w:rsid w:val="00407A57"/>
    <w:rsid w:val="00407ACF"/>
    <w:rsid w:val="00407D8A"/>
    <w:rsid w:val="00410342"/>
    <w:rsid w:val="00410BF7"/>
    <w:rsid w:val="00410CAF"/>
    <w:rsid w:val="00410D63"/>
    <w:rsid w:val="004119DC"/>
    <w:rsid w:val="0041201B"/>
    <w:rsid w:val="00412182"/>
    <w:rsid w:val="0041232E"/>
    <w:rsid w:val="0041233C"/>
    <w:rsid w:val="004128E8"/>
    <w:rsid w:val="00412AFB"/>
    <w:rsid w:val="00412BA0"/>
    <w:rsid w:val="00412D77"/>
    <w:rsid w:val="00412D9C"/>
    <w:rsid w:val="00413025"/>
    <w:rsid w:val="004131A0"/>
    <w:rsid w:val="00413216"/>
    <w:rsid w:val="004132B1"/>
    <w:rsid w:val="00413430"/>
    <w:rsid w:val="00415478"/>
    <w:rsid w:val="00415CEC"/>
    <w:rsid w:val="00416289"/>
    <w:rsid w:val="004166ED"/>
    <w:rsid w:val="004167B1"/>
    <w:rsid w:val="004167BE"/>
    <w:rsid w:val="00416C46"/>
    <w:rsid w:val="00416C83"/>
    <w:rsid w:val="004170E8"/>
    <w:rsid w:val="004171EB"/>
    <w:rsid w:val="0041726F"/>
    <w:rsid w:val="0041745B"/>
    <w:rsid w:val="0041774C"/>
    <w:rsid w:val="00417AA2"/>
    <w:rsid w:val="00417B1B"/>
    <w:rsid w:val="004200FA"/>
    <w:rsid w:val="00420C8A"/>
    <w:rsid w:val="00420EF3"/>
    <w:rsid w:val="00421419"/>
    <w:rsid w:val="00421A83"/>
    <w:rsid w:val="00421DB9"/>
    <w:rsid w:val="00421FF6"/>
    <w:rsid w:val="0042225F"/>
    <w:rsid w:val="0042276E"/>
    <w:rsid w:val="00422925"/>
    <w:rsid w:val="00423156"/>
    <w:rsid w:val="004237C5"/>
    <w:rsid w:val="00424288"/>
    <w:rsid w:val="00424ADC"/>
    <w:rsid w:val="00424D0F"/>
    <w:rsid w:val="00425334"/>
    <w:rsid w:val="00425B90"/>
    <w:rsid w:val="00426266"/>
    <w:rsid w:val="00426634"/>
    <w:rsid w:val="00426D2C"/>
    <w:rsid w:val="00426EF6"/>
    <w:rsid w:val="004275E3"/>
    <w:rsid w:val="004276C9"/>
    <w:rsid w:val="00427BC1"/>
    <w:rsid w:val="004300DF"/>
    <w:rsid w:val="00430187"/>
    <w:rsid w:val="00430E74"/>
    <w:rsid w:val="00430FCF"/>
    <w:rsid w:val="00430FDA"/>
    <w:rsid w:val="00431569"/>
    <w:rsid w:val="00431746"/>
    <w:rsid w:val="00431ACE"/>
    <w:rsid w:val="00431CAB"/>
    <w:rsid w:val="00431F57"/>
    <w:rsid w:val="00432113"/>
    <w:rsid w:val="0043279B"/>
    <w:rsid w:val="00432855"/>
    <w:rsid w:val="00432D77"/>
    <w:rsid w:val="0043303D"/>
    <w:rsid w:val="00433134"/>
    <w:rsid w:val="00433164"/>
    <w:rsid w:val="004331D6"/>
    <w:rsid w:val="004332BC"/>
    <w:rsid w:val="004333E4"/>
    <w:rsid w:val="00433CF9"/>
    <w:rsid w:val="00433D7F"/>
    <w:rsid w:val="00434E3D"/>
    <w:rsid w:val="00434EF5"/>
    <w:rsid w:val="00434FC1"/>
    <w:rsid w:val="0043522C"/>
    <w:rsid w:val="00435395"/>
    <w:rsid w:val="004355C7"/>
    <w:rsid w:val="0043586F"/>
    <w:rsid w:val="00435978"/>
    <w:rsid w:val="00435AC9"/>
    <w:rsid w:val="004361A8"/>
    <w:rsid w:val="00436E22"/>
    <w:rsid w:val="00436E47"/>
    <w:rsid w:val="0043724D"/>
    <w:rsid w:val="00437369"/>
    <w:rsid w:val="0043737C"/>
    <w:rsid w:val="00437882"/>
    <w:rsid w:val="00437BFA"/>
    <w:rsid w:val="0044014A"/>
    <w:rsid w:val="00440195"/>
    <w:rsid w:val="00440196"/>
    <w:rsid w:val="004406B0"/>
    <w:rsid w:val="004417F6"/>
    <w:rsid w:val="0044275D"/>
    <w:rsid w:val="004427E2"/>
    <w:rsid w:val="004429A0"/>
    <w:rsid w:val="00442E7E"/>
    <w:rsid w:val="00443016"/>
    <w:rsid w:val="00443380"/>
    <w:rsid w:val="00443D9E"/>
    <w:rsid w:val="00444278"/>
    <w:rsid w:val="004447B6"/>
    <w:rsid w:val="00444D71"/>
    <w:rsid w:val="00444F10"/>
    <w:rsid w:val="0044529B"/>
    <w:rsid w:val="00446886"/>
    <w:rsid w:val="00446A42"/>
    <w:rsid w:val="00446A8E"/>
    <w:rsid w:val="00446BF1"/>
    <w:rsid w:val="00446E31"/>
    <w:rsid w:val="00446F53"/>
    <w:rsid w:val="0044715A"/>
    <w:rsid w:val="00447AA8"/>
    <w:rsid w:val="00447B9E"/>
    <w:rsid w:val="00447FE1"/>
    <w:rsid w:val="00447FF8"/>
    <w:rsid w:val="0045000F"/>
    <w:rsid w:val="004506C4"/>
    <w:rsid w:val="00450F5B"/>
    <w:rsid w:val="00451466"/>
    <w:rsid w:val="00451625"/>
    <w:rsid w:val="00451688"/>
    <w:rsid w:val="00451732"/>
    <w:rsid w:val="004519B4"/>
    <w:rsid w:val="00451D70"/>
    <w:rsid w:val="004521BC"/>
    <w:rsid w:val="00452A48"/>
    <w:rsid w:val="00452B7D"/>
    <w:rsid w:val="00453450"/>
    <w:rsid w:val="004536B3"/>
    <w:rsid w:val="004536DB"/>
    <w:rsid w:val="0045373C"/>
    <w:rsid w:val="004539FC"/>
    <w:rsid w:val="00453A6C"/>
    <w:rsid w:val="004542B5"/>
    <w:rsid w:val="00455441"/>
    <w:rsid w:val="00455CE1"/>
    <w:rsid w:val="00455D55"/>
    <w:rsid w:val="00455DAA"/>
    <w:rsid w:val="00456770"/>
    <w:rsid w:val="00456F58"/>
    <w:rsid w:val="0045714D"/>
    <w:rsid w:val="0045725D"/>
    <w:rsid w:val="00457648"/>
    <w:rsid w:val="00457C01"/>
    <w:rsid w:val="00457F90"/>
    <w:rsid w:val="00460AF2"/>
    <w:rsid w:val="00460E7A"/>
    <w:rsid w:val="0046139C"/>
    <w:rsid w:val="0046142D"/>
    <w:rsid w:val="0046142E"/>
    <w:rsid w:val="004615BB"/>
    <w:rsid w:val="00461612"/>
    <w:rsid w:val="004624BC"/>
    <w:rsid w:val="004626B3"/>
    <w:rsid w:val="00462722"/>
    <w:rsid w:val="00462B8F"/>
    <w:rsid w:val="00462FCA"/>
    <w:rsid w:val="00463364"/>
    <w:rsid w:val="00463935"/>
    <w:rsid w:val="00463C22"/>
    <w:rsid w:val="00464409"/>
    <w:rsid w:val="00464556"/>
    <w:rsid w:val="00464A26"/>
    <w:rsid w:val="00465B38"/>
    <w:rsid w:val="00465F70"/>
    <w:rsid w:val="00466087"/>
    <w:rsid w:val="004663CA"/>
    <w:rsid w:val="0046680C"/>
    <w:rsid w:val="00466891"/>
    <w:rsid w:val="004675FA"/>
    <w:rsid w:val="00467B28"/>
    <w:rsid w:val="00467CA3"/>
    <w:rsid w:val="00467D4E"/>
    <w:rsid w:val="00467DD9"/>
    <w:rsid w:val="00467DF7"/>
    <w:rsid w:val="004700E5"/>
    <w:rsid w:val="004708DF"/>
    <w:rsid w:val="00470950"/>
    <w:rsid w:val="00470CAC"/>
    <w:rsid w:val="00470D34"/>
    <w:rsid w:val="00471087"/>
    <w:rsid w:val="004711A5"/>
    <w:rsid w:val="004719F9"/>
    <w:rsid w:val="00471C41"/>
    <w:rsid w:val="00471C77"/>
    <w:rsid w:val="00471C82"/>
    <w:rsid w:val="0047209A"/>
    <w:rsid w:val="00472556"/>
    <w:rsid w:val="00472E26"/>
    <w:rsid w:val="00472E37"/>
    <w:rsid w:val="00473092"/>
    <w:rsid w:val="00473D02"/>
    <w:rsid w:val="00473D12"/>
    <w:rsid w:val="00473D16"/>
    <w:rsid w:val="00473D66"/>
    <w:rsid w:val="00473FC8"/>
    <w:rsid w:val="0047449E"/>
    <w:rsid w:val="00474870"/>
    <w:rsid w:val="00475056"/>
    <w:rsid w:val="004755EF"/>
    <w:rsid w:val="00475762"/>
    <w:rsid w:val="00475946"/>
    <w:rsid w:val="00475A54"/>
    <w:rsid w:val="00475C63"/>
    <w:rsid w:val="00475FA6"/>
    <w:rsid w:val="00475FAC"/>
    <w:rsid w:val="00476A8C"/>
    <w:rsid w:val="00477405"/>
    <w:rsid w:val="00477749"/>
    <w:rsid w:val="00477CD7"/>
    <w:rsid w:val="00477DB7"/>
    <w:rsid w:val="00480293"/>
    <w:rsid w:val="00480517"/>
    <w:rsid w:val="00480B78"/>
    <w:rsid w:val="00480CAE"/>
    <w:rsid w:val="00481043"/>
    <w:rsid w:val="004810F4"/>
    <w:rsid w:val="004813D8"/>
    <w:rsid w:val="00481461"/>
    <w:rsid w:val="00481913"/>
    <w:rsid w:val="00481EA5"/>
    <w:rsid w:val="004820EA"/>
    <w:rsid w:val="0048281D"/>
    <w:rsid w:val="0048283C"/>
    <w:rsid w:val="00482C61"/>
    <w:rsid w:val="00482DD7"/>
    <w:rsid w:val="00482F09"/>
    <w:rsid w:val="0048374E"/>
    <w:rsid w:val="00483D1F"/>
    <w:rsid w:val="00483D22"/>
    <w:rsid w:val="0048424B"/>
    <w:rsid w:val="004842C4"/>
    <w:rsid w:val="004842D1"/>
    <w:rsid w:val="00484335"/>
    <w:rsid w:val="0048434F"/>
    <w:rsid w:val="004849AA"/>
    <w:rsid w:val="00484AFA"/>
    <w:rsid w:val="00484DE2"/>
    <w:rsid w:val="004853CD"/>
    <w:rsid w:val="00485887"/>
    <w:rsid w:val="00485D2D"/>
    <w:rsid w:val="00485E2B"/>
    <w:rsid w:val="004861C5"/>
    <w:rsid w:val="00486A8B"/>
    <w:rsid w:val="00486CF6"/>
    <w:rsid w:val="00486F76"/>
    <w:rsid w:val="00487621"/>
    <w:rsid w:val="0049059A"/>
    <w:rsid w:val="00490C1A"/>
    <w:rsid w:val="0049124C"/>
    <w:rsid w:val="0049168E"/>
    <w:rsid w:val="00491AE5"/>
    <w:rsid w:val="004928EE"/>
    <w:rsid w:val="00492E6F"/>
    <w:rsid w:val="0049345D"/>
    <w:rsid w:val="004950C8"/>
    <w:rsid w:val="00495179"/>
    <w:rsid w:val="00495375"/>
    <w:rsid w:val="004953CB"/>
    <w:rsid w:val="00495C4D"/>
    <w:rsid w:val="00495CF8"/>
    <w:rsid w:val="004963D9"/>
    <w:rsid w:val="00496A98"/>
    <w:rsid w:val="00496D37"/>
    <w:rsid w:val="00496F6C"/>
    <w:rsid w:val="004979F4"/>
    <w:rsid w:val="004A01A2"/>
    <w:rsid w:val="004A0702"/>
    <w:rsid w:val="004A08C4"/>
    <w:rsid w:val="004A0AAA"/>
    <w:rsid w:val="004A0CC3"/>
    <w:rsid w:val="004A21EB"/>
    <w:rsid w:val="004A2416"/>
    <w:rsid w:val="004A2ADB"/>
    <w:rsid w:val="004A30C6"/>
    <w:rsid w:val="004A3112"/>
    <w:rsid w:val="004A3C4A"/>
    <w:rsid w:val="004A3DCE"/>
    <w:rsid w:val="004A3F3D"/>
    <w:rsid w:val="004A40E3"/>
    <w:rsid w:val="004A415D"/>
    <w:rsid w:val="004A4415"/>
    <w:rsid w:val="004A4F8B"/>
    <w:rsid w:val="004A5AA0"/>
    <w:rsid w:val="004A5C4D"/>
    <w:rsid w:val="004A618D"/>
    <w:rsid w:val="004A6349"/>
    <w:rsid w:val="004A6B93"/>
    <w:rsid w:val="004A754D"/>
    <w:rsid w:val="004A7861"/>
    <w:rsid w:val="004B0C36"/>
    <w:rsid w:val="004B0E1B"/>
    <w:rsid w:val="004B0EAD"/>
    <w:rsid w:val="004B0FE0"/>
    <w:rsid w:val="004B113B"/>
    <w:rsid w:val="004B1404"/>
    <w:rsid w:val="004B188C"/>
    <w:rsid w:val="004B1D0C"/>
    <w:rsid w:val="004B1D27"/>
    <w:rsid w:val="004B1E94"/>
    <w:rsid w:val="004B1F3E"/>
    <w:rsid w:val="004B2A06"/>
    <w:rsid w:val="004B2B49"/>
    <w:rsid w:val="004B34EA"/>
    <w:rsid w:val="004B38F2"/>
    <w:rsid w:val="004B3E3A"/>
    <w:rsid w:val="004B41C6"/>
    <w:rsid w:val="004B4658"/>
    <w:rsid w:val="004B5680"/>
    <w:rsid w:val="004B5CA3"/>
    <w:rsid w:val="004B61F7"/>
    <w:rsid w:val="004B6B2E"/>
    <w:rsid w:val="004B6FE8"/>
    <w:rsid w:val="004B708D"/>
    <w:rsid w:val="004B71A8"/>
    <w:rsid w:val="004B7784"/>
    <w:rsid w:val="004B7CFA"/>
    <w:rsid w:val="004C01A9"/>
    <w:rsid w:val="004C0330"/>
    <w:rsid w:val="004C04D9"/>
    <w:rsid w:val="004C0BB6"/>
    <w:rsid w:val="004C0EB5"/>
    <w:rsid w:val="004C1076"/>
    <w:rsid w:val="004C17EE"/>
    <w:rsid w:val="004C1A36"/>
    <w:rsid w:val="004C1CD5"/>
    <w:rsid w:val="004C1F7D"/>
    <w:rsid w:val="004C2048"/>
    <w:rsid w:val="004C22A4"/>
    <w:rsid w:val="004C2931"/>
    <w:rsid w:val="004C316D"/>
    <w:rsid w:val="004C35CB"/>
    <w:rsid w:val="004C3865"/>
    <w:rsid w:val="004C3E2B"/>
    <w:rsid w:val="004C3F11"/>
    <w:rsid w:val="004C41CF"/>
    <w:rsid w:val="004C428F"/>
    <w:rsid w:val="004C4A67"/>
    <w:rsid w:val="004C4C15"/>
    <w:rsid w:val="004C4CA8"/>
    <w:rsid w:val="004C59A5"/>
    <w:rsid w:val="004C5BEE"/>
    <w:rsid w:val="004C5CB0"/>
    <w:rsid w:val="004C6515"/>
    <w:rsid w:val="004C6683"/>
    <w:rsid w:val="004C6753"/>
    <w:rsid w:val="004C6DFE"/>
    <w:rsid w:val="004C6E04"/>
    <w:rsid w:val="004C7E23"/>
    <w:rsid w:val="004C7E33"/>
    <w:rsid w:val="004C7F40"/>
    <w:rsid w:val="004D0363"/>
    <w:rsid w:val="004D0496"/>
    <w:rsid w:val="004D083A"/>
    <w:rsid w:val="004D0B26"/>
    <w:rsid w:val="004D0C81"/>
    <w:rsid w:val="004D0D42"/>
    <w:rsid w:val="004D1498"/>
    <w:rsid w:val="004D1817"/>
    <w:rsid w:val="004D2155"/>
    <w:rsid w:val="004D2238"/>
    <w:rsid w:val="004D2620"/>
    <w:rsid w:val="004D28DB"/>
    <w:rsid w:val="004D2A0F"/>
    <w:rsid w:val="004D2A89"/>
    <w:rsid w:val="004D2BA6"/>
    <w:rsid w:val="004D36FE"/>
    <w:rsid w:val="004D3C73"/>
    <w:rsid w:val="004D43FD"/>
    <w:rsid w:val="004D4A00"/>
    <w:rsid w:val="004D4A88"/>
    <w:rsid w:val="004D4B5C"/>
    <w:rsid w:val="004D4C36"/>
    <w:rsid w:val="004D4CD6"/>
    <w:rsid w:val="004D4E88"/>
    <w:rsid w:val="004D53BA"/>
    <w:rsid w:val="004D5667"/>
    <w:rsid w:val="004D5B8A"/>
    <w:rsid w:val="004D624F"/>
    <w:rsid w:val="004D6549"/>
    <w:rsid w:val="004D6637"/>
    <w:rsid w:val="004D69B1"/>
    <w:rsid w:val="004D7190"/>
    <w:rsid w:val="004D732E"/>
    <w:rsid w:val="004D7482"/>
    <w:rsid w:val="004D74A3"/>
    <w:rsid w:val="004D7697"/>
    <w:rsid w:val="004E0148"/>
    <w:rsid w:val="004E05B1"/>
    <w:rsid w:val="004E0B01"/>
    <w:rsid w:val="004E0D88"/>
    <w:rsid w:val="004E1126"/>
    <w:rsid w:val="004E1243"/>
    <w:rsid w:val="004E1781"/>
    <w:rsid w:val="004E2399"/>
    <w:rsid w:val="004E23D5"/>
    <w:rsid w:val="004E2642"/>
    <w:rsid w:val="004E301C"/>
    <w:rsid w:val="004E3656"/>
    <w:rsid w:val="004E36BD"/>
    <w:rsid w:val="004E36BF"/>
    <w:rsid w:val="004E38BB"/>
    <w:rsid w:val="004E3974"/>
    <w:rsid w:val="004E3CEE"/>
    <w:rsid w:val="004E3E28"/>
    <w:rsid w:val="004E408A"/>
    <w:rsid w:val="004E48E9"/>
    <w:rsid w:val="004E4A56"/>
    <w:rsid w:val="004E5266"/>
    <w:rsid w:val="004E5938"/>
    <w:rsid w:val="004E5C47"/>
    <w:rsid w:val="004E6153"/>
    <w:rsid w:val="004E6400"/>
    <w:rsid w:val="004E7202"/>
    <w:rsid w:val="004E78E8"/>
    <w:rsid w:val="004E7981"/>
    <w:rsid w:val="004E7C32"/>
    <w:rsid w:val="004E7CCB"/>
    <w:rsid w:val="004E7EA0"/>
    <w:rsid w:val="004F033A"/>
    <w:rsid w:val="004F0395"/>
    <w:rsid w:val="004F0432"/>
    <w:rsid w:val="004F04E4"/>
    <w:rsid w:val="004F0A95"/>
    <w:rsid w:val="004F0BE0"/>
    <w:rsid w:val="004F0C0B"/>
    <w:rsid w:val="004F1523"/>
    <w:rsid w:val="004F1C00"/>
    <w:rsid w:val="004F26DE"/>
    <w:rsid w:val="004F2708"/>
    <w:rsid w:val="004F2ED5"/>
    <w:rsid w:val="004F3469"/>
    <w:rsid w:val="004F3551"/>
    <w:rsid w:val="004F37E9"/>
    <w:rsid w:val="004F386A"/>
    <w:rsid w:val="004F3FEC"/>
    <w:rsid w:val="004F44B1"/>
    <w:rsid w:val="004F4602"/>
    <w:rsid w:val="004F5028"/>
    <w:rsid w:val="004F548A"/>
    <w:rsid w:val="004F5ABA"/>
    <w:rsid w:val="004F6299"/>
    <w:rsid w:val="004F64DA"/>
    <w:rsid w:val="004F7095"/>
    <w:rsid w:val="004F7251"/>
    <w:rsid w:val="004F7607"/>
    <w:rsid w:val="004F7634"/>
    <w:rsid w:val="004F768A"/>
    <w:rsid w:val="004F77C3"/>
    <w:rsid w:val="004F7E0A"/>
    <w:rsid w:val="004F7FDE"/>
    <w:rsid w:val="005000A6"/>
    <w:rsid w:val="0050014C"/>
    <w:rsid w:val="00500A6D"/>
    <w:rsid w:val="00500B4B"/>
    <w:rsid w:val="00500F0F"/>
    <w:rsid w:val="00501AAE"/>
    <w:rsid w:val="00501C21"/>
    <w:rsid w:val="00502643"/>
    <w:rsid w:val="0050287A"/>
    <w:rsid w:val="0050287B"/>
    <w:rsid w:val="00502B0D"/>
    <w:rsid w:val="0050305B"/>
    <w:rsid w:val="00503B24"/>
    <w:rsid w:val="00503B65"/>
    <w:rsid w:val="00503E64"/>
    <w:rsid w:val="005044ED"/>
    <w:rsid w:val="00504C5F"/>
    <w:rsid w:val="00504D6A"/>
    <w:rsid w:val="00504DF1"/>
    <w:rsid w:val="00504FA4"/>
    <w:rsid w:val="00504FBD"/>
    <w:rsid w:val="00505537"/>
    <w:rsid w:val="0050569C"/>
    <w:rsid w:val="00505884"/>
    <w:rsid w:val="00505BAA"/>
    <w:rsid w:val="00505D3D"/>
    <w:rsid w:val="005062F1"/>
    <w:rsid w:val="00506825"/>
    <w:rsid w:val="0050685D"/>
    <w:rsid w:val="00506C8E"/>
    <w:rsid w:val="00506F72"/>
    <w:rsid w:val="0050704E"/>
    <w:rsid w:val="00507137"/>
    <w:rsid w:val="005071D8"/>
    <w:rsid w:val="00507599"/>
    <w:rsid w:val="00507627"/>
    <w:rsid w:val="00507AFE"/>
    <w:rsid w:val="005101E8"/>
    <w:rsid w:val="005101F6"/>
    <w:rsid w:val="005103AE"/>
    <w:rsid w:val="005103D9"/>
    <w:rsid w:val="00510629"/>
    <w:rsid w:val="00510B0C"/>
    <w:rsid w:val="00510FB4"/>
    <w:rsid w:val="0051104F"/>
    <w:rsid w:val="0051132A"/>
    <w:rsid w:val="005113CF"/>
    <w:rsid w:val="00511462"/>
    <w:rsid w:val="005119C6"/>
    <w:rsid w:val="00511D11"/>
    <w:rsid w:val="00511E58"/>
    <w:rsid w:val="00512A04"/>
    <w:rsid w:val="00512AF4"/>
    <w:rsid w:val="005132E6"/>
    <w:rsid w:val="00513456"/>
    <w:rsid w:val="005138EC"/>
    <w:rsid w:val="005142EA"/>
    <w:rsid w:val="0051473D"/>
    <w:rsid w:val="0051485B"/>
    <w:rsid w:val="005149AB"/>
    <w:rsid w:val="00514BCA"/>
    <w:rsid w:val="00515215"/>
    <w:rsid w:val="005157D3"/>
    <w:rsid w:val="00515A94"/>
    <w:rsid w:val="00515F65"/>
    <w:rsid w:val="005166FF"/>
    <w:rsid w:val="00517617"/>
    <w:rsid w:val="00517959"/>
    <w:rsid w:val="00517BA1"/>
    <w:rsid w:val="005201C7"/>
    <w:rsid w:val="005204A7"/>
    <w:rsid w:val="005205F8"/>
    <w:rsid w:val="00520C52"/>
    <w:rsid w:val="00521081"/>
    <w:rsid w:val="0052126B"/>
    <w:rsid w:val="005213FD"/>
    <w:rsid w:val="0052176E"/>
    <w:rsid w:val="00521A8B"/>
    <w:rsid w:val="00521C2B"/>
    <w:rsid w:val="00521C8F"/>
    <w:rsid w:val="005229D3"/>
    <w:rsid w:val="00523452"/>
    <w:rsid w:val="005236D4"/>
    <w:rsid w:val="005239C7"/>
    <w:rsid w:val="0052412D"/>
    <w:rsid w:val="00524915"/>
    <w:rsid w:val="00524957"/>
    <w:rsid w:val="00524A09"/>
    <w:rsid w:val="00524ECD"/>
    <w:rsid w:val="005250D3"/>
    <w:rsid w:val="005250E5"/>
    <w:rsid w:val="0052565A"/>
    <w:rsid w:val="00525A23"/>
    <w:rsid w:val="0052649A"/>
    <w:rsid w:val="0052745B"/>
    <w:rsid w:val="00527ECE"/>
    <w:rsid w:val="00527EEF"/>
    <w:rsid w:val="005300B7"/>
    <w:rsid w:val="005304F2"/>
    <w:rsid w:val="005306D1"/>
    <w:rsid w:val="00530769"/>
    <w:rsid w:val="00530DD9"/>
    <w:rsid w:val="00531469"/>
    <w:rsid w:val="00531778"/>
    <w:rsid w:val="00532284"/>
    <w:rsid w:val="005322A5"/>
    <w:rsid w:val="00532324"/>
    <w:rsid w:val="00532332"/>
    <w:rsid w:val="00532CDC"/>
    <w:rsid w:val="00532E10"/>
    <w:rsid w:val="00533C9B"/>
    <w:rsid w:val="0053456E"/>
    <w:rsid w:val="00534633"/>
    <w:rsid w:val="00534F3B"/>
    <w:rsid w:val="00535063"/>
    <w:rsid w:val="005350CD"/>
    <w:rsid w:val="0053511F"/>
    <w:rsid w:val="005353DB"/>
    <w:rsid w:val="00535E71"/>
    <w:rsid w:val="005373B3"/>
    <w:rsid w:val="0053780B"/>
    <w:rsid w:val="005408C3"/>
    <w:rsid w:val="005408DE"/>
    <w:rsid w:val="005410D4"/>
    <w:rsid w:val="00541215"/>
    <w:rsid w:val="00541830"/>
    <w:rsid w:val="00541ECB"/>
    <w:rsid w:val="005423C5"/>
    <w:rsid w:val="0054244C"/>
    <w:rsid w:val="00542BC0"/>
    <w:rsid w:val="00542D28"/>
    <w:rsid w:val="00542D9E"/>
    <w:rsid w:val="00542FDA"/>
    <w:rsid w:val="00543758"/>
    <w:rsid w:val="00543D58"/>
    <w:rsid w:val="0054444B"/>
    <w:rsid w:val="00544A00"/>
    <w:rsid w:val="00544A4D"/>
    <w:rsid w:val="00544BEB"/>
    <w:rsid w:val="005450F5"/>
    <w:rsid w:val="005453FD"/>
    <w:rsid w:val="00545C5D"/>
    <w:rsid w:val="00545DB9"/>
    <w:rsid w:val="00546328"/>
    <w:rsid w:val="005463EE"/>
    <w:rsid w:val="005468BC"/>
    <w:rsid w:val="00546C42"/>
    <w:rsid w:val="005472F2"/>
    <w:rsid w:val="00547486"/>
    <w:rsid w:val="005501E3"/>
    <w:rsid w:val="00550400"/>
    <w:rsid w:val="00550849"/>
    <w:rsid w:val="0055116F"/>
    <w:rsid w:val="00551C0B"/>
    <w:rsid w:val="00551FCA"/>
    <w:rsid w:val="005527A3"/>
    <w:rsid w:val="00552E86"/>
    <w:rsid w:val="005535ED"/>
    <w:rsid w:val="005536CA"/>
    <w:rsid w:val="005538C2"/>
    <w:rsid w:val="00553ADC"/>
    <w:rsid w:val="00553D7D"/>
    <w:rsid w:val="00554195"/>
    <w:rsid w:val="00554A35"/>
    <w:rsid w:val="00554D91"/>
    <w:rsid w:val="00554F8B"/>
    <w:rsid w:val="00555395"/>
    <w:rsid w:val="00555C38"/>
    <w:rsid w:val="00555D17"/>
    <w:rsid w:val="005563F8"/>
    <w:rsid w:val="00556718"/>
    <w:rsid w:val="00556C53"/>
    <w:rsid w:val="00556CD5"/>
    <w:rsid w:val="00556E11"/>
    <w:rsid w:val="005573D3"/>
    <w:rsid w:val="005578E4"/>
    <w:rsid w:val="0055798F"/>
    <w:rsid w:val="00557AA8"/>
    <w:rsid w:val="00557B2E"/>
    <w:rsid w:val="005603C2"/>
    <w:rsid w:val="00560595"/>
    <w:rsid w:val="0056063C"/>
    <w:rsid w:val="0056064B"/>
    <w:rsid w:val="0056088C"/>
    <w:rsid w:val="00560DBF"/>
    <w:rsid w:val="00560E81"/>
    <w:rsid w:val="00561128"/>
    <w:rsid w:val="00561F05"/>
    <w:rsid w:val="0056204D"/>
    <w:rsid w:val="00562C48"/>
    <w:rsid w:val="005632F6"/>
    <w:rsid w:val="005633D7"/>
    <w:rsid w:val="00563A3B"/>
    <w:rsid w:val="00563B4E"/>
    <w:rsid w:val="00563F7B"/>
    <w:rsid w:val="0056425C"/>
    <w:rsid w:val="00564D20"/>
    <w:rsid w:val="00564D98"/>
    <w:rsid w:val="00564E12"/>
    <w:rsid w:val="00564E93"/>
    <w:rsid w:val="00565178"/>
    <w:rsid w:val="005661F7"/>
    <w:rsid w:val="00566A3B"/>
    <w:rsid w:val="005676E2"/>
    <w:rsid w:val="0057015A"/>
    <w:rsid w:val="00570167"/>
    <w:rsid w:val="00570998"/>
    <w:rsid w:val="00571162"/>
    <w:rsid w:val="00571B5E"/>
    <w:rsid w:val="00571FF8"/>
    <w:rsid w:val="00572510"/>
    <w:rsid w:val="00572F21"/>
    <w:rsid w:val="0057323C"/>
    <w:rsid w:val="005732D5"/>
    <w:rsid w:val="0057341A"/>
    <w:rsid w:val="00573C19"/>
    <w:rsid w:val="00573D10"/>
    <w:rsid w:val="00574006"/>
    <w:rsid w:val="005740D8"/>
    <w:rsid w:val="00574A3E"/>
    <w:rsid w:val="00575827"/>
    <w:rsid w:val="00575B51"/>
    <w:rsid w:val="00575D46"/>
    <w:rsid w:val="005760A1"/>
    <w:rsid w:val="0057656D"/>
    <w:rsid w:val="00576E22"/>
    <w:rsid w:val="005778C0"/>
    <w:rsid w:val="00577A94"/>
    <w:rsid w:val="00577BA5"/>
    <w:rsid w:val="0058051E"/>
    <w:rsid w:val="00580522"/>
    <w:rsid w:val="005805BE"/>
    <w:rsid w:val="0058190D"/>
    <w:rsid w:val="00581ADA"/>
    <w:rsid w:val="00581DDD"/>
    <w:rsid w:val="00582242"/>
    <w:rsid w:val="00582323"/>
    <w:rsid w:val="00582378"/>
    <w:rsid w:val="005824A2"/>
    <w:rsid w:val="00582651"/>
    <w:rsid w:val="005828E8"/>
    <w:rsid w:val="00582921"/>
    <w:rsid w:val="00583115"/>
    <w:rsid w:val="0058348A"/>
    <w:rsid w:val="005840CC"/>
    <w:rsid w:val="00584167"/>
    <w:rsid w:val="00584A4A"/>
    <w:rsid w:val="0058511B"/>
    <w:rsid w:val="00585235"/>
    <w:rsid w:val="0058535C"/>
    <w:rsid w:val="0058545D"/>
    <w:rsid w:val="00585653"/>
    <w:rsid w:val="00585A0A"/>
    <w:rsid w:val="0058650A"/>
    <w:rsid w:val="00586B59"/>
    <w:rsid w:val="00586FE1"/>
    <w:rsid w:val="00587313"/>
    <w:rsid w:val="005873ED"/>
    <w:rsid w:val="005874CC"/>
    <w:rsid w:val="00587789"/>
    <w:rsid w:val="00587979"/>
    <w:rsid w:val="005901EB"/>
    <w:rsid w:val="00590206"/>
    <w:rsid w:val="0059061B"/>
    <w:rsid w:val="005906BC"/>
    <w:rsid w:val="0059088D"/>
    <w:rsid w:val="00590CBD"/>
    <w:rsid w:val="00590DDA"/>
    <w:rsid w:val="005910C8"/>
    <w:rsid w:val="005911FF"/>
    <w:rsid w:val="005913FE"/>
    <w:rsid w:val="0059162C"/>
    <w:rsid w:val="0059186D"/>
    <w:rsid w:val="00591A1C"/>
    <w:rsid w:val="00591CE4"/>
    <w:rsid w:val="0059280A"/>
    <w:rsid w:val="00592DC0"/>
    <w:rsid w:val="00593172"/>
    <w:rsid w:val="0059348A"/>
    <w:rsid w:val="00593971"/>
    <w:rsid w:val="0059397F"/>
    <w:rsid w:val="00594CB6"/>
    <w:rsid w:val="00594E0E"/>
    <w:rsid w:val="005950B2"/>
    <w:rsid w:val="00595158"/>
    <w:rsid w:val="005955F6"/>
    <w:rsid w:val="00595669"/>
    <w:rsid w:val="0059570A"/>
    <w:rsid w:val="00595CB0"/>
    <w:rsid w:val="005960F9"/>
    <w:rsid w:val="00596147"/>
    <w:rsid w:val="0059665D"/>
    <w:rsid w:val="005967A0"/>
    <w:rsid w:val="005968FE"/>
    <w:rsid w:val="00596A67"/>
    <w:rsid w:val="00596B42"/>
    <w:rsid w:val="00596E2B"/>
    <w:rsid w:val="00596E61"/>
    <w:rsid w:val="00596F0A"/>
    <w:rsid w:val="00596F6A"/>
    <w:rsid w:val="005971A2"/>
    <w:rsid w:val="00597551"/>
    <w:rsid w:val="00597FCF"/>
    <w:rsid w:val="005A0462"/>
    <w:rsid w:val="005A0510"/>
    <w:rsid w:val="005A073E"/>
    <w:rsid w:val="005A09EE"/>
    <w:rsid w:val="005A0D79"/>
    <w:rsid w:val="005A10BD"/>
    <w:rsid w:val="005A1180"/>
    <w:rsid w:val="005A1B14"/>
    <w:rsid w:val="005A1D10"/>
    <w:rsid w:val="005A263B"/>
    <w:rsid w:val="005A2735"/>
    <w:rsid w:val="005A2953"/>
    <w:rsid w:val="005A2C85"/>
    <w:rsid w:val="005A2CE0"/>
    <w:rsid w:val="005A344B"/>
    <w:rsid w:val="005A3877"/>
    <w:rsid w:val="005A410F"/>
    <w:rsid w:val="005A42C6"/>
    <w:rsid w:val="005A456E"/>
    <w:rsid w:val="005A4D34"/>
    <w:rsid w:val="005A500A"/>
    <w:rsid w:val="005A52AC"/>
    <w:rsid w:val="005A56B8"/>
    <w:rsid w:val="005A56D9"/>
    <w:rsid w:val="005A5DF6"/>
    <w:rsid w:val="005A6652"/>
    <w:rsid w:val="005A677D"/>
    <w:rsid w:val="005A6962"/>
    <w:rsid w:val="005A6A96"/>
    <w:rsid w:val="005A7C39"/>
    <w:rsid w:val="005A7DB5"/>
    <w:rsid w:val="005B060C"/>
    <w:rsid w:val="005B0797"/>
    <w:rsid w:val="005B08F0"/>
    <w:rsid w:val="005B0939"/>
    <w:rsid w:val="005B152B"/>
    <w:rsid w:val="005B18AD"/>
    <w:rsid w:val="005B1D4B"/>
    <w:rsid w:val="005B1E02"/>
    <w:rsid w:val="005B2EBC"/>
    <w:rsid w:val="005B2F99"/>
    <w:rsid w:val="005B3457"/>
    <w:rsid w:val="005B34C2"/>
    <w:rsid w:val="005B34C4"/>
    <w:rsid w:val="005B396F"/>
    <w:rsid w:val="005B3DB3"/>
    <w:rsid w:val="005B3EEA"/>
    <w:rsid w:val="005B4271"/>
    <w:rsid w:val="005B4468"/>
    <w:rsid w:val="005B44AB"/>
    <w:rsid w:val="005B470A"/>
    <w:rsid w:val="005B4908"/>
    <w:rsid w:val="005B4BE1"/>
    <w:rsid w:val="005B4C18"/>
    <w:rsid w:val="005B5481"/>
    <w:rsid w:val="005B5509"/>
    <w:rsid w:val="005B5632"/>
    <w:rsid w:val="005B5CD7"/>
    <w:rsid w:val="005B5E1D"/>
    <w:rsid w:val="005B6515"/>
    <w:rsid w:val="005B68EF"/>
    <w:rsid w:val="005B6948"/>
    <w:rsid w:val="005B752B"/>
    <w:rsid w:val="005B7761"/>
    <w:rsid w:val="005B779F"/>
    <w:rsid w:val="005B77C9"/>
    <w:rsid w:val="005B7BFE"/>
    <w:rsid w:val="005B7E70"/>
    <w:rsid w:val="005C00C8"/>
    <w:rsid w:val="005C032C"/>
    <w:rsid w:val="005C0878"/>
    <w:rsid w:val="005C09E3"/>
    <w:rsid w:val="005C0DFF"/>
    <w:rsid w:val="005C16EF"/>
    <w:rsid w:val="005C17A4"/>
    <w:rsid w:val="005C18CB"/>
    <w:rsid w:val="005C18F8"/>
    <w:rsid w:val="005C1F49"/>
    <w:rsid w:val="005C1F65"/>
    <w:rsid w:val="005C1FF1"/>
    <w:rsid w:val="005C22A8"/>
    <w:rsid w:val="005C23FE"/>
    <w:rsid w:val="005C2813"/>
    <w:rsid w:val="005C2A7A"/>
    <w:rsid w:val="005C2A9A"/>
    <w:rsid w:val="005C337B"/>
    <w:rsid w:val="005C397B"/>
    <w:rsid w:val="005C3DA9"/>
    <w:rsid w:val="005C3EE7"/>
    <w:rsid w:val="005C40B1"/>
    <w:rsid w:val="005C467E"/>
    <w:rsid w:val="005C47B6"/>
    <w:rsid w:val="005C4B32"/>
    <w:rsid w:val="005C4CB4"/>
    <w:rsid w:val="005C4DE1"/>
    <w:rsid w:val="005C54E7"/>
    <w:rsid w:val="005C61C1"/>
    <w:rsid w:val="005C6566"/>
    <w:rsid w:val="005C65AC"/>
    <w:rsid w:val="005C672E"/>
    <w:rsid w:val="005C6C49"/>
    <w:rsid w:val="005C71CB"/>
    <w:rsid w:val="005C7785"/>
    <w:rsid w:val="005C78D7"/>
    <w:rsid w:val="005D025B"/>
    <w:rsid w:val="005D026C"/>
    <w:rsid w:val="005D04F2"/>
    <w:rsid w:val="005D1003"/>
    <w:rsid w:val="005D11C8"/>
    <w:rsid w:val="005D125C"/>
    <w:rsid w:val="005D1646"/>
    <w:rsid w:val="005D175C"/>
    <w:rsid w:val="005D1929"/>
    <w:rsid w:val="005D1E94"/>
    <w:rsid w:val="005D254D"/>
    <w:rsid w:val="005D2578"/>
    <w:rsid w:val="005D29A6"/>
    <w:rsid w:val="005D2B4E"/>
    <w:rsid w:val="005D2CD7"/>
    <w:rsid w:val="005D30B3"/>
    <w:rsid w:val="005D3388"/>
    <w:rsid w:val="005D3476"/>
    <w:rsid w:val="005D35D1"/>
    <w:rsid w:val="005D383B"/>
    <w:rsid w:val="005D3CD0"/>
    <w:rsid w:val="005D3D1D"/>
    <w:rsid w:val="005D40FE"/>
    <w:rsid w:val="005D4623"/>
    <w:rsid w:val="005D47D1"/>
    <w:rsid w:val="005D4990"/>
    <w:rsid w:val="005D55CC"/>
    <w:rsid w:val="005D5703"/>
    <w:rsid w:val="005D63C8"/>
    <w:rsid w:val="005D64B0"/>
    <w:rsid w:val="005D6623"/>
    <w:rsid w:val="005D6B8F"/>
    <w:rsid w:val="005D6C62"/>
    <w:rsid w:val="005D6ECE"/>
    <w:rsid w:val="005D6F4B"/>
    <w:rsid w:val="005D7123"/>
    <w:rsid w:val="005D7355"/>
    <w:rsid w:val="005D7DDD"/>
    <w:rsid w:val="005E0551"/>
    <w:rsid w:val="005E0560"/>
    <w:rsid w:val="005E0D75"/>
    <w:rsid w:val="005E1B2F"/>
    <w:rsid w:val="005E222E"/>
    <w:rsid w:val="005E2359"/>
    <w:rsid w:val="005E2C48"/>
    <w:rsid w:val="005E2F03"/>
    <w:rsid w:val="005E31BE"/>
    <w:rsid w:val="005E3926"/>
    <w:rsid w:val="005E4C3D"/>
    <w:rsid w:val="005E4D53"/>
    <w:rsid w:val="005E4EAA"/>
    <w:rsid w:val="005E52B5"/>
    <w:rsid w:val="005E5351"/>
    <w:rsid w:val="005E54F8"/>
    <w:rsid w:val="005E59FD"/>
    <w:rsid w:val="005E60B1"/>
    <w:rsid w:val="005E60C0"/>
    <w:rsid w:val="005E61DE"/>
    <w:rsid w:val="005E6226"/>
    <w:rsid w:val="005E649B"/>
    <w:rsid w:val="005E6A02"/>
    <w:rsid w:val="005E6F80"/>
    <w:rsid w:val="005E6FAC"/>
    <w:rsid w:val="005E723E"/>
    <w:rsid w:val="005E7496"/>
    <w:rsid w:val="005E7F87"/>
    <w:rsid w:val="005F0114"/>
    <w:rsid w:val="005F103D"/>
    <w:rsid w:val="005F12AD"/>
    <w:rsid w:val="005F1AC7"/>
    <w:rsid w:val="005F1E45"/>
    <w:rsid w:val="005F21A9"/>
    <w:rsid w:val="005F22EC"/>
    <w:rsid w:val="005F2579"/>
    <w:rsid w:val="005F25AA"/>
    <w:rsid w:val="005F274C"/>
    <w:rsid w:val="005F2F99"/>
    <w:rsid w:val="005F30A6"/>
    <w:rsid w:val="005F314F"/>
    <w:rsid w:val="005F33A0"/>
    <w:rsid w:val="005F3487"/>
    <w:rsid w:val="005F3A67"/>
    <w:rsid w:val="005F457E"/>
    <w:rsid w:val="005F5133"/>
    <w:rsid w:val="005F521B"/>
    <w:rsid w:val="005F56F7"/>
    <w:rsid w:val="005F5BF9"/>
    <w:rsid w:val="005F5C36"/>
    <w:rsid w:val="005F6112"/>
    <w:rsid w:val="005F6623"/>
    <w:rsid w:val="005F6C81"/>
    <w:rsid w:val="005F6D96"/>
    <w:rsid w:val="005F6DFC"/>
    <w:rsid w:val="005F6E9A"/>
    <w:rsid w:val="005F7057"/>
    <w:rsid w:val="005F738B"/>
    <w:rsid w:val="005F75F9"/>
    <w:rsid w:val="005F77DE"/>
    <w:rsid w:val="005F7D64"/>
    <w:rsid w:val="005F7D69"/>
    <w:rsid w:val="005F7E5E"/>
    <w:rsid w:val="006002A8"/>
    <w:rsid w:val="0060087A"/>
    <w:rsid w:val="0060088E"/>
    <w:rsid w:val="00600D2D"/>
    <w:rsid w:val="006011BF"/>
    <w:rsid w:val="0060131A"/>
    <w:rsid w:val="00601488"/>
    <w:rsid w:val="006017F7"/>
    <w:rsid w:val="00601843"/>
    <w:rsid w:val="0060195D"/>
    <w:rsid w:val="00601D0A"/>
    <w:rsid w:val="00601EC8"/>
    <w:rsid w:val="006023F8"/>
    <w:rsid w:val="00602561"/>
    <w:rsid w:val="006028F8"/>
    <w:rsid w:val="00602F75"/>
    <w:rsid w:val="0060301E"/>
    <w:rsid w:val="0060333E"/>
    <w:rsid w:val="00603766"/>
    <w:rsid w:val="0060492B"/>
    <w:rsid w:val="00604E3A"/>
    <w:rsid w:val="006056BF"/>
    <w:rsid w:val="00606167"/>
    <w:rsid w:val="00606183"/>
    <w:rsid w:val="006061A0"/>
    <w:rsid w:val="00606476"/>
    <w:rsid w:val="00606767"/>
    <w:rsid w:val="00606804"/>
    <w:rsid w:val="006068A2"/>
    <w:rsid w:val="00606C61"/>
    <w:rsid w:val="006075D2"/>
    <w:rsid w:val="006079A4"/>
    <w:rsid w:val="00607F29"/>
    <w:rsid w:val="0061002A"/>
    <w:rsid w:val="006100F2"/>
    <w:rsid w:val="00610710"/>
    <w:rsid w:val="00610AA6"/>
    <w:rsid w:val="00610BBD"/>
    <w:rsid w:val="00610EDA"/>
    <w:rsid w:val="006111DA"/>
    <w:rsid w:val="00611617"/>
    <w:rsid w:val="006118AB"/>
    <w:rsid w:val="00612178"/>
    <w:rsid w:val="006134FF"/>
    <w:rsid w:val="0061377C"/>
    <w:rsid w:val="00613E3B"/>
    <w:rsid w:val="0061438E"/>
    <w:rsid w:val="0061446B"/>
    <w:rsid w:val="00614D3D"/>
    <w:rsid w:val="006153BB"/>
    <w:rsid w:val="0061553D"/>
    <w:rsid w:val="00616249"/>
    <w:rsid w:val="00616924"/>
    <w:rsid w:val="00616936"/>
    <w:rsid w:val="00616ADB"/>
    <w:rsid w:val="00616BC9"/>
    <w:rsid w:val="00616CBD"/>
    <w:rsid w:val="0061706A"/>
    <w:rsid w:val="00617115"/>
    <w:rsid w:val="006178FE"/>
    <w:rsid w:val="00617BEC"/>
    <w:rsid w:val="00617C4C"/>
    <w:rsid w:val="00617D23"/>
    <w:rsid w:val="00617EEE"/>
    <w:rsid w:val="0062018C"/>
    <w:rsid w:val="00620278"/>
    <w:rsid w:val="006203A8"/>
    <w:rsid w:val="00620595"/>
    <w:rsid w:val="00620701"/>
    <w:rsid w:val="00620BB9"/>
    <w:rsid w:val="00621468"/>
    <w:rsid w:val="00621558"/>
    <w:rsid w:val="00621CF8"/>
    <w:rsid w:val="00622336"/>
    <w:rsid w:val="00622407"/>
    <w:rsid w:val="00622F91"/>
    <w:rsid w:val="00622FB6"/>
    <w:rsid w:val="00623199"/>
    <w:rsid w:val="006232D0"/>
    <w:rsid w:val="00623305"/>
    <w:rsid w:val="00623450"/>
    <w:rsid w:val="0062390B"/>
    <w:rsid w:val="00623E23"/>
    <w:rsid w:val="00623E4C"/>
    <w:rsid w:val="00624000"/>
    <w:rsid w:val="0062407C"/>
    <w:rsid w:val="0062430E"/>
    <w:rsid w:val="00624B2B"/>
    <w:rsid w:val="00624B9B"/>
    <w:rsid w:val="00624BF1"/>
    <w:rsid w:val="00624E52"/>
    <w:rsid w:val="0062503A"/>
    <w:rsid w:val="006252A0"/>
    <w:rsid w:val="00625922"/>
    <w:rsid w:val="006261D3"/>
    <w:rsid w:val="00626219"/>
    <w:rsid w:val="00626469"/>
    <w:rsid w:val="006268DA"/>
    <w:rsid w:val="00626CAB"/>
    <w:rsid w:val="006273CC"/>
    <w:rsid w:val="00627D3D"/>
    <w:rsid w:val="006301A4"/>
    <w:rsid w:val="00630684"/>
    <w:rsid w:val="00630C09"/>
    <w:rsid w:val="00630F50"/>
    <w:rsid w:val="0063154B"/>
    <w:rsid w:val="00631775"/>
    <w:rsid w:val="0063186E"/>
    <w:rsid w:val="00631B14"/>
    <w:rsid w:val="0063253F"/>
    <w:rsid w:val="00632578"/>
    <w:rsid w:val="0063274E"/>
    <w:rsid w:val="006327F7"/>
    <w:rsid w:val="00634A59"/>
    <w:rsid w:val="00635682"/>
    <w:rsid w:val="0063576F"/>
    <w:rsid w:val="0063583C"/>
    <w:rsid w:val="0063591F"/>
    <w:rsid w:val="00635B89"/>
    <w:rsid w:val="0063617A"/>
    <w:rsid w:val="00636CBF"/>
    <w:rsid w:val="00636E34"/>
    <w:rsid w:val="00637191"/>
    <w:rsid w:val="006371D6"/>
    <w:rsid w:val="006372C0"/>
    <w:rsid w:val="0063750A"/>
    <w:rsid w:val="00637BA5"/>
    <w:rsid w:val="00637D76"/>
    <w:rsid w:val="0064029A"/>
    <w:rsid w:val="0064074E"/>
    <w:rsid w:val="00640BD9"/>
    <w:rsid w:val="00640EF3"/>
    <w:rsid w:val="006410D8"/>
    <w:rsid w:val="006410E7"/>
    <w:rsid w:val="00641A72"/>
    <w:rsid w:val="00641C14"/>
    <w:rsid w:val="00641C66"/>
    <w:rsid w:val="00641F48"/>
    <w:rsid w:val="00642B04"/>
    <w:rsid w:val="00642D15"/>
    <w:rsid w:val="00643B84"/>
    <w:rsid w:val="006442D6"/>
    <w:rsid w:val="006444BE"/>
    <w:rsid w:val="0064455C"/>
    <w:rsid w:val="0064457F"/>
    <w:rsid w:val="006447EC"/>
    <w:rsid w:val="006448E3"/>
    <w:rsid w:val="00644A85"/>
    <w:rsid w:val="00644B26"/>
    <w:rsid w:val="00644CB2"/>
    <w:rsid w:val="00644ED7"/>
    <w:rsid w:val="00644FA9"/>
    <w:rsid w:val="006455FD"/>
    <w:rsid w:val="006459B6"/>
    <w:rsid w:val="00645E19"/>
    <w:rsid w:val="0064652A"/>
    <w:rsid w:val="00646615"/>
    <w:rsid w:val="00646CC3"/>
    <w:rsid w:val="00646F6A"/>
    <w:rsid w:val="006470E7"/>
    <w:rsid w:val="006504B3"/>
    <w:rsid w:val="0065083E"/>
    <w:rsid w:val="00650ACF"/>
    <w:rsid w:val="00650D0B"/>
    <w:rsid w:val="00651263"/>
    <w:rsid w:val="00651C8F"/>
    <w:rsid w:val="00651EE6"/>
    <w:rsid w:val="00652607"/>
    <w:rsid w:val="00652657"/>
    <w:rsid w:val="0065275B"/>
    <w:rsid w:val="006527D5"/>
    <w:rsid w:val="006529E3"/>
    <w:rsid w:val="00652C85"/>
    <w:rsid w:val="00653079"/>
    <w:rsid w:val="00653111"/>
    <w:rsid w:val="00653560"/>
    <w:rsid w:val="00653844"/>
    <w:rsid w:val="00653C18"/>
    <w:rsid w:val="00653D5C"/>
    <w:rsid w:val="00653DC5"/>
    <w:rsid w:val="006540C0"/>
    <w:rsid w:val="0065449E"/>
    <w:rsid w:val="006549BC"/>
    <w:rsid w:val="00654ABE"/>
    <w:rsid w:val="00654CA7"/>
    <w:rsid w:val="00654E40"/>
    <w:rsid w:val="00654EAF"/>
    <w:rsid w:val="00655432"/>
    <w:rsid w:val="006556AE"/>
    <w:rsid w:val="006559EA"/>
    <w:rsid w:val="00655A79"/>
    <w:rsid w:val="00655CB3"/>
    <w:rsid w:val="00656222"/>
    <w:rsid w:val="00656CB1"/>
    <w:rsid w:val="00657840"/>
    <w:rsid w:val="00657CB1"/>
    <w:rsid w:val="00657D21"/>
    <w:rsid w:val="00657E32"/>
    <w:rsid w:val="00657F2F"/>
    <w:rsid w:val="006607E3"/>
    <w:rsid w:val="00660F0A"/>
    <w:rsid w:val="0066182C"/>
    <w:rsid w:val="00661897"/>
    <w:rsid w:val="00661E91"/>
    <w:rsid w:val="00661EF3"/>
    <w:rsid w:val="00661F45"/>
    <w:rsid w:val="00661F8C"/>
    <w:rsid w:val="006622FD"/>
    <w:rsid w:val="00662589"/>
    <w:rsid w:val="00662628"/>
    <w:rsid w:val="006626D7"/>
    <w:rsid w:val="00662AF9"/>
    <w:rsid w:val="006630A7"/>
    <w:rsid w:val="006632D3"/>
    <w:rsid w:val="00663383"/>
    <w:rsid w:val="006633E2"/>
    <w:rsid w:val="006636E8"/>
    <w:rsid w:val="00663B3C"/>
    <w:rsid w:val="006656E3"/>
    <w:rsid w:val="006656E5"/>
    <w:rsid w:val="00665BC9"/>
    <w:rsid w:val="00665BFE"/>
    <w:rsid w:val="00665E0A"/>
    <w:rsid w:val="006666E0"/>
    <w:rsid w:val="00666CBC"/>
    <w:rsid w:val="00666F28"/>
    <w:rsid w:val="00667416"/>
    <w:rsid w:val="00667BF6"/>
    <w:rsid w:val="00670674"/>
    <w:rsid w:val="00671173"/>
    <w:rsid w:val="00671424"/>
    <w:rsid w:val="0067164E"/>
    <w:rsid w:val="0067175E"/>
    <w:rsid w:val="00672309"/>
    <w:rsid w:val="00672689"/>
    <w:rsid w:val="00672796"/>
    <w:rsid w:val="00672FC7"/>
    <w:rsid w:val="00673724"/>
    <w:rsid w:val="00673AE8"/>
    <w:rsid w:val="00673C99"/>
    <w:rsid w:val="00673D19"/>
    <w:rsid w:val="00673DDA"/>
    <w:rsid w:val="00674090"/>
    <w:rsid w:val="00674547"/>
    <w:rsid w:val="0067460E"/>
    <w:rsid w:val="006748DE"/>
    <w:rsid w:val="00674D93"/>
    <w:rsid w:val="00675764"/>
    <w:rsid w:val="00675770"/>
    <w:rsid w:val="0067582C"/>
    <w:rsid w:val="00675BB9"/>
    <w:rsid w:val="00675CC2"/>
    <w:rsid w:val="00675CDB"/>
    <w:rsid w:val="00676154"/>
    <w:rsid w:val="006763F2"/>
    <w:rsid w:val="006764C6"/>
    <w:rsid w:val="006777BE"/>
    <w:rsid w:val="00677957"/>
    <w:rsid w:val="006779CE"/>
    <w:rsid w:val="00677E2A"/>
    <w:rsid w:val="00677E3D"/>
    <w:rsid w:val="00680050"/>
    <w:rsid w:val="006803AA"/>
    <w:rsid w:val="0068047C"/>
    <w:rsid w:val="00680BC8"/>
    <w:rsid w:val="006815CA"/>
    <w:rsid w:val="00681637"/>
    <w:rsid w:val="00681C0A"/>
    <w:rsid w:val="00681CD4"/>
    <w:rsid w:val="0068239D"/>
    <w:rsid w:val="0068264F"/>
    <w:rsid w:val="00682A6B"/>
    <w:rsid w:val="00682D88"/>
    <w:rsid w:val="00683CE5"/>
    <w:rsid w:val="00684058"/>
    <w:rsid w:val="006843DF"/>
    <w:rsid w:val="0068461C"/>
    <w:rsid w:val="00684791"/>
    <w:rsid w:val="006849D8"/>
    <w:rsid w:val="00684BA6"/>
    <w:rsid w:val="006854F2"/>
    <w:rsid w:val="00685C8F"/>
    <w:rsid w:val="00686347"/>
    <w:rsid w:val="006866DF"/>
    <w:rsid w:val="00686A0A"/>
    <w:rsid w:val="00686A19"/>
    <w:rsid w:val="00686E0F"/>
    <w:rsid w:val="00687693"/>
    <w:rsid w:val="00687E91"/>
    <w:rsid w:val="00690BA2"/>
    <w:rsid w:val="00690BF4"/>
    <w:rsid w:val="006916C0"/>
    <w:rsid w:val="00691A8B"/>
    <w:rsid w:val="00691D53"/>
    <w:rsid w:val="00691DDF"/>
    <w:rsid w:val="00691FEC"/>
    <w:rsid w:val="0069209C"/>
    <w:rsid w:val="0069246B"/>
    <w:rsid w:val="006929FB"/>
    <w:rsid w:val="006930A0"/>
    <w:rsid w:val="0069316C"/>
    <w:rsid w:val="00693386"/>
    <w:rsid w:val="006934A6"/>
    <w:rsid w:val="006940C6"/>
    <w:rsid w:val="0069497A"/>
    <w:rsid w:val="00694C1A"/>
    <w:rsid w:val="00694E63"/>
    <w:rsid w:val="0069513E"/>
    <w:rsid w:val="00695BEE"/>
    <w:rsid w:val="00696595"/>
    <w:rsid w:val="006974EF"/>
    <w:rsid w:val="00697504"/>
    <w:rsid w:val="006A0077"/>
    <w:rsid w:val="006A0641"/>
    <w:rsid w:val="006A0ABF"/>
    <w:rsid w:val="006A0FC0"/>
    <w:rsid w:val="006A1043"/>
    <w:rsid w:val="006A1591"/>
    <w:rsid w:val="006A1653"/>
    <w:rsid w:val="006A18E3"/>
    <w:rsid w:val="006A1D5C"/>
    <w:rsid w:val="006A220B"/>
    <w:rsid w:val="006A254B"/>
    <w:rsid w:val="006A275B"/>
    <w:rsid w:val="006A27B3"/>
    <w:rsid w:val="006A293A"/>
    <w:rsid w:val="006A29C2"/>
    <w:rsid w:val="006A2E20"/>
    <w:rsid w:val="006A3038"/>
    <w:rsid w:val="006A31EC"/>
    <w:rsid w:val="006A3312"/>
    <w:rsid w:val="006A351B"/>
    <w:rsid w:val="006A3F7D"/>
    <w:rsid w:val="006A40F0"/>
    <w:rsid w:val="006A421F"/>
    <w:rsid w:val="006A4858"/>
    <w:rsid w:val="006A485A"/>
    <w:rsid w:val="006A52EF"/>
    <w:rsid w:val="006A5642"/>
    <w:rsid w:val="006A5E6D"/>
    <w:rsid w:val="006A5EEF"/>
    <w:rsid w:val="006A64ED"/>
    <w:rsid w:val="006A67A0"/>
    <w:rsid w:val="006A73B3"/>
    <w:rsid w:val="006A7C82"/>
    <w:rsid w:val="006B0248"/>
    <w:rsid w:val="006B03B0"/>
    <w:rsid w:val="006B03F5"/>
    <w:rsid w:val="006B062F"/>
    <w:rsid w:val="006B0DBA"/>
    <w:rsid w:val="006B1A80"/>
    <w:rsid w:val="006B1C10"/>
    <w:rsid w:val="006B27C5"/>
    <w:rsid w:val="006B2C88"/>
    <w:rsid w:val="006B3080"/>
    <w:rsid w:val="006B3FC2"/>
    <w:rsid w:val="006B482F"/>
    <w:rsid w:val="006B4873"/>
    <w:rsid w:val="006B487F"/>
    <w:rsid w:val="006B4F2F"/>
    <w:rsid w:val="006B5552"/>
    <w:rsid w:val="006B575A"/>
    <w:rsid w:val="006B5D8B"/>
    <w:rsid w:val="006B69FF"/>
    <w:rsid w:val="006B6B49"/>
    <w:rsid w:val="006B70BF"/>
    <w:rsid w:val="006B716E"/>
    <w:rsid w:val="006B74F8"/>
    <w:rsid w:val="006C0048"/>
    <w:rsid w:val="006C07D5"/>
    <w:rsid w:val="006C0EFF"/>
    <w:rsid w:val="006C0FFC"/>
    <w:rsid w:val="006C1215"/>
    <w:rsid w:val="006C1432"/>
    <w:rsid w:val="006C17BA"/>
    <w:rsid w:val="006C187B"/>
    <w:rsid w:val="006C191A"/>
    <w:rsid w:val="006C1EE5"/>
    <w:rsid w:val="006C26B3"/>
    <w:rsid w:val="006C2823"/>
    <w:rsid w:val="006C2E19"/>
    <w:rsid w:val="006C3238"/>
    <w:rsid w:val="006C375D"/>
    <w:rsid w:val="006C3783"/>
    <w:rsid w:val="006C37D8"/>
    <w:rsid w:val="006C3B14"/>
    <w:rsid w:val="006C3CC3"/>
    <w:rsid w:val="006C48E2"/>
    <w:rsid w:val="006C4AE8"/>
    <w:rsid w:val="006C50CC"/>
    <w:rsid w:val="006C51B0"/>
    <w:rsid w:val="006C616C"/>
    <w:rsid w:val="006C6173"/>
    <w:rsid w:val="006C631D"/>
    <w:rsid w:val="006C6CDC"/>
    <w:rsid w:val="006C6EB1"/>
    <w:rsid w:val="006C7457"/>
    <w:rsid w:val="006C7867"/>
    <w:rsid w:val="006D010A"/>
    <w:rsid w:val="006D0876"/>
    <w:rsid w:val="006D0CBA"/>
    <w:rsid w:val="006D0E77"/>
    <w:rsid w:val="006D0FAA"/>
    <w:rsid w:val="006D11B0"/>
    <w:rsid w:val="006D153B"/>
    <w:rsid w:val="006D1A91"/>
    <w:rsid w:val="006D245E"/>
    <w:rsid w:val="006D2731"/>
    <w:rsid w:val="006D2E47"/>
    <w:rsid w:val="006D2F84"/>
    <w:rsid w:val="006D32C8"/>
    <w:rsid w:val="006D335A"/>
    <w:rsid w:val="006D3BB2"/>
    <w:rsid w:val="006D3C87"/>
    <w:rsid w:val="006D3D1E"/>
    <w:rsid w:val="006D3E16"/>
    <w:rsid w:val="006D3E3E"/>
    <w:rsid w:val="006D3F74"/>
    <w:rsid w:val="006D414A"/>
    <w:rsid w:val="006D41DD"/>
    <w:rsid w:val="006D4236"/>
    <w:rsid w:val="006D44ED"/>
    <w:rsid w:val="006D4C7E"/>
    <w:rsid w:val="006D4DA4"/>
    <w:rsid w:val="006D4DAC"/>
    <w:rsid w:val="006D4DBB"/>
    <w:rsid w:val="006D50EA"/>
    <w:rsid w:val="006D55D1"/>
    <w:rsid w:val="006D5F48"/>
    <w:rsid w:val="006D627F"/>
    <w:rsid w:val="006D6B4F"/>
    <w:rsid w:val="006D6C09"/>
    <w:rsid w:val="006D6C38"/>
    <w:rsid w:val="006D7875"/>
    <w:rsid w:val="006D78F1"/>
    <w:rsid w:val="006D7B08"/>
    <w:rsid w:val="006D7E75"/>
    <w:rsid w:val="006D7F47"/>
    <w:rsid w:val="006E016A"/>
    <w:rsid w:val="006E065E"/>
    <w:rsid w:val="006E0885"/>
    <w:rsid w:val="006E08A2"/>
    <w:rsid w:val="006E0C4B"/>
    <w:rsid w:val="006E0EA7"/>
    <w:rsid w:val="006E0F84"/>
    <w:rsid w:val="006E0FD7"/>
    <w:rsid w:val="006E12FB"/>
    <w:rsid w:val="006E1378"/>
    <w:rsid w:val="006E1874"/>
    <w:rsid w:val="006E1927"/>
    <w:rsid w:val="006E1955"/>
    <w:rsid w:val="006E19AA"/>
    <w:rsid w:val="006E1ADE"/>
    <w:rsid w:val="006E1B16"/>
    <w:rsid w:val="006E1D46"/>
    <w:rsid w:val="006E2683"/>
    <w:rsid w:val="006E28FE"/>
    <w:rsid w:val="006E29E0"/>
    <w:rsid w:val="006E2D54"/>
    <w:rsid w:val="006E2F25"/>
    <w:rsid w:val="006E3365"/>
    <w:rsid w:val="006E3653"/>
    <w:rsid w:val="006E3C9C"/>
    <w:rsid w:val="006E3F67"/>
    <w:rsid w:val="006E425F"/>
    <w:rsid w:val="006E428D"/>
    <w:rsid w:val="006E491B"/>
    <w:rsid w:val="006E4F13"/>
    <w:rsid w:val="006E54F3"/>
    <w:rsid w:val="006E5736"/>
    <w:rsid w:val="006E5D7B"/>
    <w:rsid w:val="006E619D"/>
    <w:rsid w:val="006E6347"/>
    <w:rsid w:val="006E66C8"/>
    <w:rsid w:val="006E6921"/>
    <w:rsid w:val="006E6BE1"/>
    <w:rsid w:val="006E6C29"/>
    <w:rsid w:val="006E6FB7"/>
    <w:rsid w:val="006E710B"/>
    <w:rsid w:val="006E72FF"/>
    <w:rsid w:val="006E7AC9"/>
    <w:rsid w:val="006E7E66"/>
    <w:rsid w:val="006F0541"/>
    <w:rsid w:val="006F0675"/>
    <w:rsid w:val="006F130C"/>
    <w:rsid w:val="006F21AC"/>
    <w:rsid w:val="006F224E"/>
    <w:rsid w:val="006F251C"/>
    <w:rsid w:val="006F268C"/>
    <w:rsid w:val="006F2F1A"/>
    <w:rsid w:val="006F2F3D"/>
    <w:rsid w:val="006F3050"/>
    <w:rsid w:val="006F311E"/>
    <w:rsid w:val="006F3452"/>
    <w:rsid w:val="006F3681"/>
    <w:rsid w:val="006F38B5"/>
    <w:rsid w:val="006F3BA2"/>
    <w:rsid w:val="006F4CC3"/>
    <w:rsid w:val="006F4CC7"/>
    <w:rsid w:val="006F51B9"/>
    <w:rsid w:val="006F54DB"/>
    <w:rsid w:val="006F566F"/>
    <w:rsid w:val="006F58B3"/>
    <w:rsid w:val="006F59A5"/>
    <w:rsid w:val="006F60AC"/>
    <w:rsid w:val="006F718B"/>
    <w:rsid w:val="006F76C5"/>
    <w:rsid w:val="006F7E70"/>
    <w:rsid w:val="0070037B"/>
    <w:rsid w:val="00700676"/>
    <w:rsid w:val="00700DC1"/>
    <w:rsid w:val="00700FCD"/>
    <w:rsid w:val="007010C6"/>
    <w:rsid w:val="007013D6"/>
    <w:rsid w:val="00701A8A"/>
    <w:rsid w:val="00701EB2"/>
    <w:rsid w:val="007021D6"/>
    <w:rsid w:val="00702270"/>
    <w:rsid w:val="00702373"/>
    <w:rsid w:val="007024E1"/>
    <w:rsid w:val="00702504"/>
    <w:rsid w:val="0070257A"/>
    <w:rsid w:val="007039C3"/>
    <w:rsid w:val="00703A1B"/>
    <w:rsid w:val="00703A65"/>
    <w:rsid w:val="00703D0D"/>
    <w:rsid w:val="00703F6D"/>
    <w:rsid w:val="007042B8"/>
    <w:rsid w:val="00704512"/>
    <w:rsid w:val="007046C8"/>
    <w:rsid w:val="0070486F"/>
    <w:rsid w:val="00705018"/>
    <w:rsid w:val="007050D3"/>
    <w:rsid w:val="007050E6"/>
    <w:rsid w:val="00705C8A"/>
    <w:rsid w:val="0070604D"/>
    <w:rsid w:val="0070619A"/>
    <w:rsid w:val="00706348"/>
    <w:rsid w:val="0070641D"/>
    <w:rsid w:val="007065D2"/>
    <w:rsid w:val="00706703"/>
    <w:rsid w:val="00706B36"/>
    <w:rsid w:val="007072C4"/>
    <w:rsid w:val="00707ADB"/>
    <w:rsid w:val="00710353"/>
    <w:rsid w:val="0071074B"/>
    <w:rsid w:val="007107DB"/>
    <w:rsid w:val="00710C59"/>
    <w:rsid w:val="00710F01"/>
    <w:rsid w:val="007110C2"/>
    <w:rsid w:val="00711BC4"/>
    <w:rsid w:val="00711D2A"/>
    <w:rsid w:val="00712232"/>
    <w:rsid w:val="00712840"/>
    <w:rsid w:val="007135A2"/>
    <w:rsid w:val="0071361B"/>
    <w:rsid w:val="00713ABF"/>
    <w:rsid w:val="00714313"/>
    <w:rsid w:val="00714782"/>
    <w:rsid w:val="007148D9"/>
    <w:rsid w:val="00714912"/>
    <w:rsid w:val="00714D66"/>
    <w:rsid w:val="007150D7"/>
    <w:rsid w:val="00715278"/>
    <w:rsid w:val="00715385"/>
    <w:rsid w:val="00715543"/>
    <w:rsid w:val="00715767"/>
    <w:rsid w:val="00715A03"/>
    <w:rsid w:val="00715DF2"/>
    <w:rsid w:val="00715ECF"/>
    <w:rsid w:val="0071666F"/>
    <w:rsid w:val="00716754"/>
    <w:rsid w:val="007169B2"/>
    <w:rsid w:val="00716B15"/>
    <w:rsid w:val="00716FDE"/>
    <w:rsid w:val="007172AD"/>
    <w:rsid w:val="00717698"/>
    <w:rsid w:val="00717972"/>
    <w:rsid w:val="00717A68"/>
    <w:rsid w:val="00717BCA"/>
    <w:rsid w:val="00717CEB"/>
    <w:rsid w:val="00717DA8"/>
    <w:rsid w:val="00720005"/>
    <w:rsid w:val="00720056"/>
    <w:rsid w:val="0072018A"/>
    <w:rsid w:val="0072037C"/>
    <w:rsid w:val="00720653"/>
    <w:rsid w:val="00720B33"/>
    <w:rsid w:val="00720D87"/>
    <w:rsid w:val="0072133B"/>
    <w:rsid w:val="00721801"/>
    <w:rsid w:val="00721B56"/>
    <w:rsid w:val="00722269"/>
    <w:rsid w:val="007222E4"/>
    <w:rsid w:val="007224B6"/>
    <w:rsid w:val="007225F0"/>
    <w:rsid w:val="00722D78"/>
    <w:rsid w:val="0072308F"/>
    <w:rsid w:val="00723800"/>
    <w:rsid w:val="00724A34"/>
    <w:rsid w:val="00724F8D"/>
    <w:rsid w:val="007251BF"/>
    <w:rsid w:val="00725242"/>
    <w:rsid w:val="007253D8"/>
    <w:rsid w:val="00725CA9"/>
    <w:rsid w:val="00726379"/>
    <w:rsid w:val="00726DA6"/>
    <w:rsid w:val="00726FA6"/>
    <w:rsid w:val="0072758C"/>
    <w:rsid w:val="00727985"/>
    <w:rsid w:val="00727D15"/>
    <w:rsid w:val="00727FA0"/>
    <w:rsid w:val="00730296"/>
    <w:rsid w:val="00730DD2"/>
    <w:rsid w:val="00731A17"/>
    <w:rsid w:val="00732446"/>
    <w:rsid w:val="00732796"/>
    <w:rsid w:val="00732CB0"/>
    <w:rsid w:val="00733261"/>
    <w:rsid w:val="00733388"/>
    <w:rsid w:val="00733EDC"/>
    <w:rsid w:val="00734301"/>
    <w:rsid w:val="00734462"/>
    <w:rsid w:val="00734913"/>
    <w:rsid w:val="007356CD"/>
    <w:rsid w:val="00735770"/>
    <w:rsid w:val="0073588D"/>
    <w:rsid w:val="007363C8"/>
    <w:rsid w:val="0073654D"/>
    <w:rsid w:val="0073661C"/>
    <w:rsid w:val="00736D17"/>
    <w:rsid w:val="00736D66"/>
    <w:rsid w:val="00737280"/>
    <w:rsid w:val="007377CE"/>
    <w:rsid w:val="0073793D"/>
    <w:rsid w:val="0074048C"/>
    <w:rsid w:val="00740826"/>
    <w:rsid w:val="00740C48"/>
    <w:rsid w:val="0074100F"/>
    <w:rsid w:val="00741221"/>
    <w:rsid w:val="00741874"/>
    <w:rsid w:val="00741BA4"/>
    <w:rsid w:val="00742C54"/>
    <w:rsid w:val="00742E16"/>
    <w:rsid w:val="007432F0"/>
    <w:rsid w:val="007438C6"/>
    <w:rsid w:val="00743FAD"/>
    <w:rsid w:val="0074439E"/>
    <w:rsid w:val="00744505"/>
    <w:rsid w:val="007445DB"/>
    <w:rsid w:val="007449D9"/>
    <w:rsid w:val="00744B63"/>
    <w:rsid w:val="00744C92"/>
    <w:rsid w:val="00744E73"/>
    <w:rsid w:val="00744F61"/>
    <w:rsid w:val="00745176"/>
    <w:rsid w:val="007456DA"/>
    <w:rsid w:val="00745BEF"/>
    <w:rsid w:val="007461FC"/>
    <w:rsid w:val="007463AC"/>
    <w:rsid w:val="00746A64"/>
    <w:rsid w:val="00746ECA"/>
    <w:rsid w:val="00747130"/>
    <w:rsid w:val="007477B7"/>
    <w:rsid w:val="00747D68"/>
    <w:rsid w:val="007501A5"/>
    <w:rsid w:val="0075048B"/>
    <w:rsid w:val="007506D3"/>
    <w:rsid w:val="007506DA"/>
    <w:rsid w:val="00750887"/>
    <w:rsid w:val="007508C9"/>
    <w:rsid w:val="00750ABD"/>
    <w:rsid w:val="00750D40"/>
    <w:rsid w:val="00750E6E"/>
    <w:rsid w:val="007512E0"/>
    <w:rsid w:val="00751399"/>
    <w:rsid w:val="00751407"/>
    <w:rsid w:val="00751488"/>
    <w:rsid w:val="007515E6"/>
    <w:rsid w:val="00751636"/>
    <w:rsid w:val="007518D3"/>
    <w:rsid w:val="00751F82"/>
    <w:rsid w:val="0075236C"/>
    <w:rsid w:val="007524A4"/>
    <w:rsid w:val="007524D5"/>
    <w:rsid w:val="00752583"/>
    <w:rsid w:val="0075281E"/>
    <w:rsid w:val="00752C3A"/>
    <w:rsid w:val="00753531"/>
    <w:rsid w:val="00753882"/>
    <w:rsid w:val="00753DBD"/>
    <w:rsid w:val="007540B1"/>
    <w:rsid w:val="007543DE"/>
    <w:rsid w:val="0075475A"/>
    <w:rsid w:val="00754EED"/>
    <w:rsid w:val="00754F30"/>
    <w:rsid w:val="00755398"/>
    <w:rsid w:val="00755887"/>
    <w:rsid w:val="00755BB3"/>
    <w:rsid w:val="00755FE2"/>
    <w:rsid w:val="0075606F"/>
    <w:rsid w:val="00756079"/>
    <w:rsid w:val="00756257"/>
    <w:rsid w:val="007563D7"/>
    <w:rsid w:val="00756B47"/>
    <w:rsid w:val="00756D7F"/>
    <w:rsid w:val="00756FFB"/>
    <w:rsid w:val="00757656"/>
    <w:rsid w:val="007576EC"/>
    <w:rsid w:val="00757A98"/>
    <w:rsid w:val="00757E6C"/>
    <w:rsid w:val="007602D6"/>
    <w:rsid w:val="007602FE"/>
    <w:rsid w:val="00760FCF"/>
    <w:rsid w:val="007616D5"/>
    <w:rsid w:val="007619F7"/>
    <w:rsid w:val="00761AF1"/>
    <w:rsid w:val="00761F68"/>
    <w:rsid w:val="00762000"/>
    <w:rsid w:val="00762209"/>
    <w:rsid w:val="0076239A"/>
    <w:rsid w:val="00762566"/>
    <w:rsid w:val="00762696"/>
    <w:rsid w:val="00762DEA"/>
    <w:rsid w:val="00762E4B"/>
    <w:rsid w:val="00763233"/>
    <w:rsid w:val="007634F3"/>
    <w:rsid w:val="007636D4"/>
    <w:rsid w:val="007639B0"/>
    <w:rsid w:val="00763B53"/>
    <w:rsid w:val="00763E8D"/>
    <w:rsid w:val="0076409B"/>
    <w:rsid w:val="00765572"/>
    <w:rsid w:val="00765852"/>
    <w:rsid w:val="00766366"/>
    <w:rsid w:val="00766425"/>
    <w:rsid w:val="0076646F"/>
    <w:rsid w:val="007669C8"/>
    <w:rsid w:val="00766A33"/>
    <w:rsid w:val="00766AAA"/>
    <w:rsid w:val="00766AB5"/>
    <w:rsid w:val="00766FC3"/>
    <w:rsid w:val="0076733F"/>
    <w:rsid w:val="007676E5"/>
    <w:rsid w:val="007677E2"/>
    <w:rsid w:val="00767A7F"/>
    <w:rsid w:val="00770D3B"/>
    <w:rsid w:val="00770E5C"/>
    <w:rsid w:val="00770E7F"/>
    <w:rsid w:val="00770F0E"/>
    <w:rsid w:val="00771150"/>
    <w:rsid w:val="00771734"/>
    <w:rsid w:val="007717A9"/>
    <w:rsid w:val="00771B92"/>
    <w:rsid w:val="00773075"/>
    <w:rsid w:val="0077446A"/>
    <w:rsid w:val="00774FFF"/>
    <w:rsid w:val="0077530B"/>
    <w:rsid w:val="00775484"/>
    <w:rsid w:val="007756CE"/>
    <w:rsid w:val="007760D8"/>
    <w:rsid w:val="007762C4"/>
    <w:rsid w:val="007763C9"/>
    <w:rsid w:val="007764E7"/>
    <w:rsid w:val="007769BE"/>
    <w:rsid w:val="00776F3C"/>
    <w:rsid w:val="00777370"/>
    <w:rsid w:val="00777515"/>
    <w:rsid w:val="00777D6E"/>
    <w:rsid w:val="00777E7D"/>
    <w:rsid w:val="00780092"/>
    <w:rsid w:val="007802A2"/>
    <w:rsid w:val="0078033F"/>
    <w:rsid w:val="0078045C"/>
    <w:rsid w:val="0078062B"/>
    <w:rsid w:val="007812EE"/>
    <w:rsid w:val="00781331"/>
    <w:rsid w:val="0078160F"/>
    <w:rsid w:val="00781689"/>
    <w:rsid w:val="00781839"/>
    <w:rsid w:val="00781917"/>
    <w:rsid w:val="0078231C"/>
    <w:rsid w:val="007824FF"/>
    <w:rsid w:val="00782B1D"/>
    <w:rsid w:val="00782D8E"/>
    <w:rsid w:val="00783148"/>
    <w:rsid w:val="00783364"/>
    <w:rsid w:val="00784BC6"/>
    <w:rsid w:val="00784EF2"/>
    <w:rsid w:val="00786689"/>
    <w:rsid w:val="00786815"/>
    <w:rsid w:val="00787366"/>
    <w:rsid w:val="007875E6"/>
    <w:rsid w:val="00787C2D"/>
    <w:rsid w:val="00787C3A"/>
    <w:rsid w:val="00787E3D"/>
    <w:rsid w:val="007906FD"/>
    <w:rsid w:val="007907FB"/>
    <w:rsid w:val="00790B83"/>
    <w:rsid w:val="00791F6A"/>
    <w:rsid w:val="00792245"/>
    <w:rsid w:val="007929BF"/>
    <w:rsid w:val="00792C54"/>
    <w:rsid w:val="007931EF"/>
    <w:rsid w:val="007938CA"/>
    <w:rsid w:val="00793944"/>
    <w:rsid w:val="00793AAE"/>
    <w:rsid w:val="00793BF7"/>
    <w:rsid w:val="0079408B"/>
    <w:rsid w:val="00794422"/>
    <w:rsid w:val="007945DC"/>
    <w:rsid w:val="00794840"/>
    <w:rsid w:val="00794974"/>
    <w:rsid w:val="00794C6D"/>
    <w:rsid w:val="00795255"/>
    <w:rsid w:val="0079544D"/>
    <w:rsid w:val="00795B0D"/>
    <w:rsid w:val="00795E8B"/>
    <w:rsid w:val="007968AA"/>
    <w:rsid w:val="007968B8"/>
    <w:rsid w:val="0079692F"/>
    <w:rsid w:val="00796AC7"/>
    <w:rsid w:val="007971BE"/>
    <w:rsid w:val="007973E3"/>
    <w:rsid w:val="00797629"/>
    <w:rsid w:val="007979D3"/>
    <w:rsid w:val="00797A9C"/>
    <w:rsid w:val="007A0012"/>
    <w:rsid w:val="007A00B8"/>
    <w:rsid w:val="007A0287"/>
    <w:rsid w:val="007A0535"/>
    <w:rsid w:val="007A0660"/>
    <w:rsid w:val="007A0F3D"/>
    <w:rsid w:val="007A131F"/>
    <w:rsid w:val="007A18FF"/>
    <w:rsid w:val="007A260D"/>
    <w:rsid w:val="007A2906"/>
    <w:rsid w:val="007A2D8F"/>
    <w:rsid w:val="007A2F5F"/>
    <w:rsid w:val="007A31D7"/>
    <w:rsid w:val="007A3224"/>
    <w:rsid w:val="007A3A1C"/>
    <w:rsid w:val="007A3B57"/>
    <w:rsid w:val="007A3DAB"/>
    <w:rsid w:val="007A4135"/>
    <w:rsid w:val="007A413D"/>
    <w:rsid w:val="007A45A9"/>
    <w:rsid w:val="007A4D6C"/>
    <w:rsid w:val="007A500D"/>
    <w:rsid w:val="007A551E"/>
    <w:rsid w:val="007A5BE0"/>
    <w:rsid w:val="007A6088"/>
    <w:rsid w:val="007A665A"/>
    <w:rsid w:val="007A69CF"/>
    <w:rsid w:val="007A6AD1"/>
    <w:rsid w:val="007A6AEF"/>
    <w:rsid w:val="007A6BE4"/>
    <w:rsid w:val="007A6C1B"/>
    <w:rsid w:val="007A72BB"/>
    <w:rsid w:val="007A7611"/>
    <w:rsid w:val="007A7642"/>
    <w:rsid w:val="007A7799"/>
    <w:rsid w:val="007A77A0"/>
    <w:rsid w:val="007A7C51"/>
    <w:rsid w:val="007B01F2"/>
    <w:rsid w:val="007B020B"/>
    <w:rsid w:val="007B0352"/>
    <w:rsid w:val="007B03BB"/>
    <w:rsid w:val="007B0519"/>
    <w:rsid w:val="007B0C58"/>
    <w:rsid w:val="007B0CEF"/>
    <w:rsid w:val="007B0E2D"/>
    <w:rsid w:val="007B1983"/>
    <w:rsid w:val="007B1C45"/>
    <w:rsid w:val="007B200B"/>
    <w:rsid w:val="007B25D7"/>
    <w:rsid w:val="007B2C93"/>
    <w:rsid w:val="007B2FC0"/>
    <w:rsid w:val="007B33D3"/>
    <w:rsid w:val="007B3532"/>
    <w:rsid w:val="007B3E04"/>
    <w:rsid w:val="007B4110"/>
    <w:rsid w:val="007B440C"/>
    <w:rsid w:val="007B4551"/>
    <w:rsid w:val="007B4558"/>
    <w:rsid w:val="007B4A62"/>
    <w:rsid w:val="007B4F3D"/>
    <w:rsid w:val="007B4F7B"/>
    <w:rsid w:val="007B549A"/>
    <w:rsid w:val="007B56A0"/>
    <w:rsid w:val="007B5965"/>
    <w:rsid w:val="007B5972"/>
    <w:rsid w:val="007B5E28"/>
    <w:rsid w:val="007B6532"/>
    <w:rsid w:val="007B6AA1"/>
    <w:rsid w:val="007B71E1"/>
    <w:rsid w:val="007B761F"/>
    <w:rsid w:val="007B7745"/>
    <w:rsid w:val="007B79AD"/>
    <w:rsid w:val="007B79E8"/>
    <w:rsid w:val="007B7CE1"/>
    <w:rsid w:val="007C0388"/>
    <w:rsid w:val="007C0425"/>
    <w:rsid w:val="007C07F0"/>
    <w:rsid w:val="007C083C"/>
    <w:rsid w:val="007C09E1"/>
    <w:rsid w:val="007C0FCC"/>
    <w:rsid w:val="007C113F"/>
    <w:rsid w:val="007C1199"/>
    <w:rsid w:val="007C13AC"/>
    <w:rsid w:val="007C17D4"/>
    <w:rsid w:val="007C181E"/>
    <w:rsid w:val="007C1CFA"/>
    <w:rsid w:val="007C1D5C"/>
    <w:rsid w:val="007C1E2D"/>
    <w:rsid w:val="007C1F05"/>
    <w:rsid w:val="007C2147"/>
    <w:rsid w:val="007C2819"/>
    <w:rsid w:val="007C284C"/>
    <w:rsid w:val="007C2AC1"/>
    <w:rsid w:val="007C2B3C"/>
    <w:rsid w:val="007C34D9"/>
    <w:rsid w:val="007C362C"/>
    <w:rsid w:val="007C459E"/>
    <w:rsid w:val="007C47A9"/>
    <w:rsid w:val="007C4C1E"/>
    <w:rsid w:val="007C4CFD"/>
    <w:rsid w:val="007C5089"/>
    <w:rsid w:val="007C52C0"/>
    <w:rsid w:val="007C5646"/>
    <w:rsid w:val="007C5954"/>
    <w:rsid w:val="007C59D5"/>
    <w:rsid w:val="007C5DDF"/>
    <w:rsid w:val="007C5E4F"/>
    <w:rsid w:val="007C5F7B"/>
    <w:rsid w:val="007C60BF"/>
    <w:rsid w:val="007C64A8"/>
    <w:rsid w:val="007C66D3"/>
    <w:rsid w:val="007C6CE0"/>
    <w:rsid w:val="007C77FD"/>
    <w:rsid w:val="007C7A40"/>
    <w:rsid w:val="007C7A78"/>
    <w:rsid w:val="007C7C2D"/>
    <w:rsid w:val="007C7C52"/>
    <w:rsid w:val="007D048A"/>
    <w:rsid w:val="007D094F"/>
    <w:rsid w:val="007D0A78"/>
    <w:rsid w:val="007D0DE7"/>
    <w:rsid w:val="007D121E"/>
    <w:rsid w:val="007D1888"/>
    <w:rsid w:val="007D19E9"/>
    <w:rsid w:val="007D21F3"/>
    <w:rsid w:val="007D2950"/>
    <w:rsid w:val="007D2AFA"/>
    <w:rsid w:val="007D2E6D"/>
    <w:rsid w:val="007D40B6"/>
    <w:rsid w:val="007D415E"/>
    <w:rsid w:val="007D439B"/>
    <w:rsid w:val="007D476B"/>
    <w:rsid w:val="007D4B2B"/>
    <w:rsid w:val="007D4D45"/>
    <w:rsid w:val="007D5442"/>
    <w:rsid w:val="007D5825"/>
    <w:rsid w:val="007D5D58"/>
    <w:rsid w:val="007D6406"/>
    <w:rsid w:val="007D683C"/>
    <w:rsid w:val="007D6BDC"/>
    <w:rsid w:val="007D6E5D"/>
    <w:rsid w:val="007D6E94"/>
    <w:rsid w:val="007D6F7C"/>
    <w:rsid w:val="007D7378"/>
    <w:rsid w:val="007D7498"/>
    <w:rsid w:val="007D79F9"/>
    <w:rsid w:val="007D7C84"/>
    <w:rsid w:val="007E0C7D"/>
    <w:rsid w:val="007E0CFA"/>
    <w:rsid w:val="007E13DC"/>
    <w:rsid w:val="007E15EB"/>
    <w:rsid w:val="007E15F7"/>
    <w:rsid w:val="007E195C"/>
    <w:rsid w:val="007E24EA"/>
    <w:rsid w:val="007E275E"/>
    <w:rsid w:val="007E28AC"/>
    <w:rsid w:val="007E2926"/>
    <w:rsid w:val="007E2A78"/>
    <w:rsid w:val="007E2D55"/>
    <w:rsid w:val="007E35CA"/>
    <w:rsid w:val="007E3644"/>
    <w:rsid w:val="007E3662"/>
    <w:rsid w:val="007E3C70"/>
    <w:rsid w:val="007E4174"/>
    <w:rsid w:val="007E42DB"/>
    <w:rsid w:val="007E4A41"/>
    <w:rsid w:val="007E4C6A"/>
    <w:rsid w:val="007E4FF7"/>
    <w:rsid w:val="007E5002"/>
    <w:rsid w:val="007E538F"/>
    <w:rsid w:val="007E550F"/>
    <w:rsid w:val="007E5769"/>
    <w:rsid w:val="007E5783"/>
    <w:rsid w:val="007E58E2"/>
    <w:rsid w:val="007E5B67"/>
    <w:rsid w:val="007E62E6"/>
    <w:rsid w:val="007E661D"/>
    <w:rsid w:val="007E6760"/>
    <w:rsid w:val="007E6BC2"/>
    <w:rsid w:val="007E6F7E"/>
    <w:rsid w:val="007E706E"/>
    <w:rsid w:val="007E7277"/>
    <w:rsid w:val="007E788B"/>
    <w:rsid w:val="007E7D78"/>
    <w:rsid w:val="007F0433"/>
    <w:rsid w:val="007F063D"/>
    <w:rsid w:val="007F09B5"/>
    <w:rsid w:val="007F0E01"/>
    <w:rsid w:val="007F151A"/>
    <w:rsid w:val="007F151F"/>
    <w:rsid w:val="007F1671"/>
    <w:rsid w:val="007F17A7"/>
    <w:rsid w:val="007F23BF"/>
    <w:rsid w:val="007F23CE"/>
    <w:rsid w:val="007F247A"/>
    <w:rsid w:val="007F2F10"/>
    <w:rsid w:val="007F34A5"/>
    <w:rsid w:val="007F370D"/>
    <w:rsid w:val="007F3CF6"/>
    <w:rsid w:val="007F4169"/>
    <w:rsid w:val="007F4459"/>
    <w:rsid w:val="007F52D1"/>
    <w:rsid w:val="007F55B1"/>
    <w:rsid w:val="007F5AAE"/>
    <w:rsid w:val="007F5C6C"/>
    <w:rsid w:val="007F6818"/>
    <w:rsid w:val="007F6E09"/>
    <w:rsid w:val="007F7149"/>
    <w:rsid w:val="007F7B94"/>
    <w:rsid w:val="007F7FE8"/>
    <w:rsid w:val="00800417"/>
    <w:rsid w:val="0080064D"/>
    <w:rsid w:val="008009C6"/>
    <w:rsid w:val="008014B4"/>
    <w:rsid w:val="00801D5C"/>
    <w:rsid w:val="00801F8C"/>
    <w:rsid w:val="00801FCC"/>
    <w:rsid w:val="0080213D"/>
    <w:rsid w:val="008023F5"/>
    <w:rsid w:val="00803208"/>
    <w:rsid w:val="00803210"/>
    <w:rsid w:val="0080336D"/>
    <w:rsid w:val="00803699"/>
    <w:rsid w:val="008036B5"/>
    <w:rsid w:val="00803757"/>
    <w:rsid w:val="00803A71"/>
    <w:rsid w:val="008040A1"/>
    <w:rsid w:val="00804279"/>
    <w:rsid w:val="00804368"/>
    <w:rsid w:val="00804694"/>
    <w:rsid w:val="0080477D"/>
    <w:rsid w:val="00805350"/>
    <w:rsid w:val="008056B3"/>
    <w:rsid w:val="008058AF"/>
    <w:rsid w:val="00805DFD"/>
    <w:rsid w:val="00806301"/>
    <w:rsid w:val="0080667D"/>
    <w:rsid w:val="0080694F"/>
    <w:rsid w:val="00806FD4"/>
    <w:rsid w:val="0080702F"/>
    <w:rsid w:val="0081002C"/>
    <w:rsid w:val="0081022A"/>
    <w:rsid w:val="00810592"/>
    <w:rsid w:val="00810875"/>
    <w:rsid w:val="00810ADD"/>
    <w:rsid w:val="00810C13"/>
    <w:rsid w:val="00810CFA"/>
    <w:rsid w:val="00810F2A"/>
    <w:rsid w:val="00811236"/>
    <w:rsid w:val="008114AA"/>
    <w:rsid w:val="00811D40"/>
    <w:rsid w:val="008121ED"/>
    <w:rsid w:val="008124F2"/>
    <w:rsid w:val="00812705"/>
    <w:rsid w:val="00812879"/>
    <w:rsid w:val="00812F2B"/>
    <w:rsid w:val="008130CC"/>
    <w:rsid w:val="00813292"/>
    <w:rsid w:val="00813493"/>
    <w:rsid w:val="00814241"/>
    <w:rsid w:val="008144FA"/>
    <w:rsid w:val="00814756"/>
    <w:rsid w:val="0081486C"/>
    <w:rsid w:val="0081507E"/>
    <w:rsid w:val="00815222"/>
    <w:rsid w:val="00815551"/>
    <w:rsid w:val="00815EC0"/>
    <w:rsid w:val="00815F70"/>
    <w:rsid w:val="0081604A"/>
    <w:rsid w:val="00816110"/>
    <w:rsid w:val="0081678C"/>
    <w:rsid w:val="00816859"/>
    <w:rsid w:val="00816AEB"/>
    <w:rsid w:val="00816C93"/>
    <w:rsid w:val="00816D64"/>
    <w:rsid w:val="00817BB4"/>
    <w:rsid w:val="00817DEF"/>
    <w:rsid w:val="0082023F"/>
    <w:rsid w:val="00820268"/>
    <w:rsid w:val="0082027A"/>
    <w:rsid w:val="00820391"/>
    <w:rsid w:val="008203B7"/>
    <w:rsid w:val="00820431"/>
    <w:rsid w:val="0082070F"/>
    <w:rsid w:val="0082073D"/>
    <w:rsid w:val="00820A0B"/>
    <w:rsid w:val="00820D32"/>
    <w:rsid w:val="00821004"/>
    <w:rsid w:val="00821020"/>
    <w:rsid w:val="008215AA"/>
    <w:rsid w:val="0082166E"/>
    <w:rsid w:val="008217BA"/>
    <w:rsid w:val="00821D37"/>
    <w:rsid w:val="00821DC0"/>
    <w:rsid w:val="00821ECF"/>
    <w:rsid w:val="008226CA"/>
    <w:rsid w:val="00822F93"/>
    <w:rsid w:val="008230D8"/>
    <w:rsid w:val="00823413"/>
    <w:rsid w:val="00823429"/>
    <w:rsid w:val="00823597"/>
    <w:rsid w:val="00823AFD"/>
    <w:rsid w:val="00823BE8"/>
    <w:rsid w:val="00823E99"/>
    <w:rsid w:val="008240CD"/>
    <w:rsid w:val="00824456"/>
    <w:rsid w:val="0082457D"/>
    <w:rsid w:val="008249A9"/>
    <w:rsid w:val="00824B5A"/>
    <w:rsid w:val="00824FA3"/>
    <w:rsid w:val="00825379"/>
    <w:rsid w:val="0082574F"/>
    <w:rsid w:val="00825D9E"/>
    <w:rsid w:val="00825E23"/>
    <w:rsid w:val="00826156"/>
    <w:rsid w:val="00826181"/>
    <w:rsid w:val="008262D1"/>
    <w:rsid w:val="008263F6"/>
    <w:rsid w:val="00826486"/>
    <w:rsid w:val="0082666D"/>
    <w:rsid w:val="0082674D"/>
    <w:rsid w:val="00826B16"/>
    <w:rsid w:val="00826B9D"/>
    <w:rsid w:val="00826D2A"/>
    <w:rsid w:val="00826E6D"/>
    <w:rsid w:val="00826F8B"/>
    <w:rsid w:val="008270AD"/>
    <w:rsid w:val="00827655"/>
    <w:rsid w:val="008278D0"/>
    <w:rsid w:val="00827A86"/>
    <w:rsid w:val="00827DA0"/>
    <w:rsid w:val="00830197"/>
    <w:rsid w:val="008304D1"/>
    <w:rsid w:val="008308FB"/>
    <w:rsid w:val="00830C37"/>
    <w:rsid w:val="00830FBF"/>
    <w:rsid w:val="00831068"/>
    <w:rsid w:val="00831272"/>
    <w:rsid w:val="00831384"/>
    <w:rsid w:val="008318A5"/>
    <w:rsid w:val="00831906"/>
    <w:rsid w:val="00831DD0"/>
    <w:rsid w:val="008321D5"/>
    <w:rsid w:val="00832654"/>
    <w:rsid w:val="0083272C"/>
    <w:rsid w:val="00832B53"/>
    <w:rsid w:val="00832BBB"/>
    <w:rsid w:val="00832CB5"/>
    <w:rsid w:val="0083377F"/>
    <w:rsid w:val="008338AD"/>
    <w:rsid w:val="00833C44"/>
    <w:rsid w:val="00833FF9"/>
    <w:rsid w:val="00834136"/>
    <w:rsid w:val="0083421F"/>
    <w:rsid w:val="008344CF"/>
    <w:rsid w:val="008345A6"/>
    <w:rsid w:val="0083473E"/>
    <w:rsid w:val="0083485D"/>
    <w:rsid w:val="0083594D"/>
    <w:rsid w:val="00836080"/>
    <w:rsid w:val="008360EE"/>
    <w:rsid w:val="00836AB3"/>
    <w:rsid w:val="00836B37"/>
    <w:rsid w:val="00836CD3"/>
    <w:rsid w:val="00837221"/>
    <w:rsid w:val="00837B29"/>
    <w:rsid w:val="008402D5"/>
    <w:rsid w:val="00840565"/>
    <w:rsid w:val="00841045"/>
    <w:rsid w:val="008411E3"/>
    <w:rsid w:val="00841495"/>
    <w:rsid w:val="008414E7"/>
    <w:rsid w:val="008416B6"/>
    <w:rsid w:val="00841AAE"/>
    <w:rsid w:val="00841DCF"/>
    <w:rsid w:val="00841E2F"/>
    <w:rsid w:val="0084200A"/>
    <w:rsid w:val="008420FA"/>
    <w:rsid w:val="008424A7"/>
    <w:rsid w:val="0084258B"/>
    <w:rsid w:val="0084266F"/>
    <w:rsid w:val="008426FE"/>
    <w:rsid w:val="0084379C"/>
    <w:rsid w:val="00843858"/>
    <w:rsid w:val="00843A94"/>
    <w:rsid w:val="00843DA3"/>
    <w:rsid w:val="00843E43"/>
    <w:rsid w:val="00843FE8"/>
    <w:rsid w:val="008443DB"/>
    <w:rsid w:val="008446DF"/>
    <w:rsid w:val="00844B5F"/>
    <w:rsid w:val="008455A8"/>
    <w:rsid w:val="008457ED"/>
    <w:rsid w:val="00846608"/>
    <w:rsid w:val="00846D78"/>
    <w:rsid w:val="00846E4B"/>
    <w:rsid w:val="008470D6"/>
    <w:rsid w:val="00847103"/>
    <w:rsid w:val="008475A4"/>
    <w:rsid w:val="00847C0C"/>
    <w:rsid w:val="00850D4B"/>
    <w:rsid w:val="0085142E"/>
    <w:rsid w:val="0085160A"/>
    <w:rsid w:val="008516CB"/>
    <w:rsid w:val="00851D5F"/>
    <w:rsid w:val="00851FDA"/>
    <w:rsid w:val="00852846"/>
    <w:rsid w:val="0085289A"/>
    <w:rsid w:val="0085311C"/>
    <w:rsid w:val="008539DE"/>
    <w:rsid w:val="00853FC2"/>
    <w:rsid w:val="00854281"/>
    <w:rsid w:val="00854563"/>
    <w:rsid w:val="00854AD9"/>
    <w:rsid w:val="00854AF9"/>
    <w:rsid w:val="00854EE5"/>
    <w:rsid w:val="00855CE4"/>
    <w:rsid w:val="0085617A"/>
    <w:rsid w:val="00856518"/>
    <w:rsid w:val="00856660"/>
    <w:rsid w:val="0085668E"/>
    <w:rsid w:val="0085690A"/>
    <w:rsid w:val="0085698A"/>
    <w:rsid w:val="00856B89"/>
    <w:rsid w:val="00856D23"/>
    <w:rsid w:val="008571B0"/>
    <w:rsid w:val="0085721B"/>
    <w:rsid w:val="00857250"/>
    <w:rsid w:val="00857781"/>
    <w:rsid w:val="008579CE"/>
    <w:rsid w:val="00857FC3"/>
    <w:rsid w:val="0086014E"/>
    <w:rsid w:val="0086092E"/>
    <w:rsid w:val="00860975"/>
    <w:rsid w:val="00860A82"/>
    <w:rsid w:val="00860C48"/>
    <w:rsid w:val="00860E00"/>
    <w:rsid w:val="00860E9F"/>
    <w:rsid w:val="0086114A"/>
    <w:rsid w:val="008617B9"/>
    <w:rsid w:val="00861B84"/>
    <w:rsid w:val="00862674"/>
    <w:rsid w:val="00862EA8"/>
    <w:rsid w:val="00862EEC"/>
    <w:rsid w:val="008631C9"/>
    <w:rsid w:val="008633E0"/>
    <w:rsid w:val="00863B47"/>
    <w:rsid w:val="008645C6"/>
    <w:rsid w:val="0086478A"/>
    <w:rsid w:val="0086502C"/>
    <w:rsid w:val="008657D3"/>
    <w:rsid w:val="00865899"/>
    <w:rsid w:val="00865DB2"/>
    <w:rsid w:val="00865E67"/>
    <w:rsid w:val="00865EE0"/>
    <w:rsid w:val="00866125"/>
    <w:rsid w:val="00867777"/>
    <w:rsid w:val="00867FA7"/>
    <w:rsid w:val="00867FC3"/>
    <w:rsid w:val="00870062"/>
    <w:rsid w:val="00870C21"/>
    <w:rsid w:val="00870FA1"/>
    <w:rsid w:val="008711AE"/>
    <w:rsid w:val="00871C62"/>
    <w:rsid w:val="008724B6"/>
    <w:rsid w:val="00872964"/>
    <w:rsid w:val="00872F30"/>
    <w:rsid w:val="00873747"/>
    <w:rsid w:val="00873934"/>
    <w:rsid w:val="00873B35"/>
    <w:rsid w:val="00873E56"/>
    <w:rsid w:val="00873E6B"/>
    <w:rsid w:val="00873EFB"/>
    <w:rsid w:val="00873F38"/>
    <w:rsid w:val="0087463F"/>
    <w:rsid w:val="00874A5B"/>
    <w:rsid w:val="0087525D"/>
    <w:rsid w:val="0087535F"/>
    <w:rsid w:val="00875399"/>
    <w:rsid w:val="008753D3"/>
    <w:rsid w:val="00876365"/>
    <w:rsid w:val="008764D7"/>
    <w:rsid w:val="0087673C"/>
    <w:rsid w:val="00876ABD"/>
    <w:rsid w:val="00876FEE"/>
    <w:rsid w:val="0087754D"/>
    <w:rsid w:val="008776BD"/>
    <w:rsid w:val="00877932"/>
    <w:rsid w:val="00877DA6"/>
    <w:rsid w:val="00877E6C"/>
    <w:rsid w:val="00880256"/>
    <w:rsid w:val="008806BD"/>
    <w:rsid w:val="008816C0"/>
    <w:rsid w:val="00881B8D"/>
    <w:rsid w:val="00881CF8"/>
    <w:rsid w:val="008820BF"/>
    <w:rsid w:val="008821B2"/>
    <w:rsid w:val="008822C6"/>
    <w:rsid w:val="008825E8"/>
    <w:rsid w:val="00882A3E"/>
    <w:rsid w:val="00882F1D"/>
    <w:rsid w:val="0088312B"/>
    <w:rsid w:val="0088334E"/>
    <w:rsid w:val="0088374C"/>
    <w:rsid w:val="0088387C"/>
    <w:rsid w:val="008838BF"/>
    <w:rsid w:val="008839E7"/>
    <w:rsid w:val="00883AEF"/>
    <w:rsid w:val="00883DD1"/>
    <w:rsid w:val="00883FF9"/>
    <w:rsid w:val="00884082"/>
    <w:rsid w:val="00884301"/>
    <w:rsid w:val="00884995"/>
    <w:rsid w:val="00884AD2"/>
    <w:rsid w:val="0088509B"/>
    <w:rsid w:val="00885C57"/>
    <w:rsid w:val="00885EDD"/>
    <w:rsid w:val="00885F91"/>
    <w:rsid w:val="00886213"/>
    <w:rsid w:val="008867D2"/>
    <w:rsid w:val="00886CC6"/>
    <w:rsid w:val="008874F4"/>
    <w:rsid w:val="00887690"/>
    <w:rsid w:val="008876F8"/>
    <w:rsid w:val="00887878"/>
    <w:rsid w:val="00887BD5"/>
    <w:rsid w:val="008902F5"/>
    <w:rsid w:val="00890350"/>
    <w:rsid w:val="00890694"/>
    <w:rsid w:val="00890ACA"/>
    <w:rsid w:val="00890B19"/>
    <w:rsid w:val="00890DCA"/>
    <w:rsid w:val="008910BE"/>
    <w:rsid w:val="008919EB"/>
    <w:rsid w:val="00891BE5"/>
    <w:rsid w:val="00891D3E"/>
    <w:rsid w:val="00891DA2"/>
    <w:rsid w:val="0089234E"/>
    <w:rsid w:val="00892470"/>
    <w:rsid w:val="008926CF"/>
    <w:rsid w:val="00892757"/>
    <w:rsid w:val="008927F5"/>
    <w:rsid w:val="00892E89"/>
    <w:rsid w:val="00892F8C"/>
    <w:rsid w:val="0089322F"/>
    <w:rsid w:val="00893286"/>
    <w:rsid w:val="00893616"/>
    <w:rsid w:val="00893B87"/>
    <w:rsid w:val="00894019"/>
    <w:rsid w:val="008943DF"/>
    <w:rsid w:val="00894424"/>
    <w:rsid w:val="00894656"/>
    <w:rsid w:val="008948A7"/>
    <w:rsid w:val="00894B9A"/>
    <w:rsid w:val="00894C6B"/>
    <w:rsid w:val="00894F92"/>
    <w:rsid w:val="008950E4"/>
    <w:rsid w:val="008950F0"/>
    <w:rsid w:val="00895306"/>
    <w:rsid w:val="00895434"/>
    <w:rsid w:val="00895DCA"/>
    <w:rsid w:val="0089642A"/>
    <w:rsid w:val="00896460"/>
    <w:rsid w:val="008965C9"/>
    <w:rsid w:val="00896B95"/>
    <w:rsid w:val="00896FD3"/>
    <w:rsid w:val="00897292"/>
    <w:rsid w:val="008973CD"/>
    <w:rsid w:val="008A02E4"/>
    <w:rsid w:val="008A0C2B"/>
    <w:rsid w:val="008A0C37"/>
    <w:rsid w:val="008A0C73"/>
    <w:rsid w:val="008A0F2C"/>
    <w:rsid w:val="008A0FD5"/>
    <w:rsid w:val="008A137B"/>
    <w:rsid w:val="008A1549"/>
    <w:rsid w:val="008A181B"/>
    <w:rsid w:val="008A2037"/>
    <w:rsid w:val="008A2129"/>
    <w:rsid w:val="008A23E2"/>
    <w:rsid w:val="008A2740"/>
    <w:rsid w:val="008A279E"/>
    <w:rsid w:val="008A27E9"/>
    <w:rsid w:val="008A2801"/>
    <w:rsid w:val="008A29EE"/>
    <w:rsid w:val="008A2AFA"/>
    <w:rsid w:val="008A3657"/>
    <w:rsid w:val="008A36B3"/>
    <w:rsid w:val="008A3FDC"/>
    <w:rsid w:val="008A4299"/>
    <w:rsid w:val="008A4AEB"/>
    <w:rsid w:val="008A4EB8"/>
    <w:rsid w:val="008A5124"/>
    <w:rsid w:val="008A5A2A"/>
    <w:rsid w:val="008A5B1A"/>
    <w:rsid w:val="008A5C4F"/>
    <w:rsid w:val="008A6095"/>
    <w:rsid w:val="008A63EE"/>
    <w:rsid w:val="008A6AB0"/>
    <w:rsid w:val="008A779E"/>
    <w:rsid w:val="008A782A"/>
    <w:rsid w:val="008A7D5C"/>
    <w:rsid w:val="008B041F"/>
    <w:rsid w:val="008B0608"/>
    <w:rsid w:val="008B0810"/>
    <w:rsid w:val="008B082A"/>
    <w:rsid w:val="008B0C4F"/>
    <w:rsid w:val="008B0CEE"/>
    <w:rsid w:val="008B0EBC"/>
    <w:rsid w:val="008B193E"/>
    <w:rsid w:val="008B1D12"/>
    <w:rsid w:val="008B1D6C"/>
    <w:rsid w:val="008B29A4"/>
    <w:rsid w:val="008B2D62"/>
    <w:rsid w:val="008B3088"/>
    <w:rsid w:val="008B361C"/>
    <w:rsid w:val="008B3E8D"/>
    <w:rsid w:val="008B3F21"/>
    <w:rsid w:val="008B4064"/>
    <w:rsid w:val="008B481B"/>
    <w:rsid w:val="008B497F"/>
    <w:rsid w:val="008B49A4"/>
    <w:rsid w:val="008B4EF4"/>
    <w:rsid w:val="008B531A"/>
    <w:rsid w:val="008B5A45"/>
    <w:rsid w:val="008B612F"/>
    <w:rsid w:val="008B6234"/>
    <w:rsid w:val="008B656C"/>
    <w:rsid w:val="008B692F"/>
    <w:rsid w:val="008B6DC7"/>
    <w:rsid w:val="008B7F1A"/>
    <w:rsid w:val="008C089C"/>
    <w:rsid w:val="008C0D0A"/>
    <w:rsid w:val="008C1355"/>
    <w:rsid w:val="008C1383"/>
    <w:rsid w:val="008C13DB"/>
    <w:rsid w:val="008C1942"/>
    <w:rsid w:val="008C196B"/>
    <w:rsid w:val="008C19E4"/>
    <w:rsid w:val="008C2424"/>
    <w:rsid w:val="008C2475"/>
    <w:rsid w:val="008C2D2F"/>
    <w:rsid w:val="008C2E77"/>
    <w:rsid w:val="008C3643"/>
    <w:rsid w:val="008C3C74"/>
    <w:rsid w:val="008C439C"/>
    <w:rsid w:val="008C452A"/>
    <w:rsid w:val="008C4556"/>
    <w:rsid w:val="008C457F"/>
    <w:rsid w:val="008C4759"/>
    <w:rsid w:val="008C47E1"/>
    <w:rsid w:val="008C5250"/>
    <w:rsid w:val="008C55C4"/>
    <w:rsid w:val="008C5789"/>
    <w:rsid w:val="008C5D73"/>
    <w:rsid w:val="008C6331"/>
    <w:rsid w:val="008C67EA"/>
    <w:rsid w:val="008C683F"/>
    <w:rsid w:val="008C68BC"/>
    <w:rsid w:val="008C6C9C"/>
    <w:rsid w:val="008C746A"/>
    <w:rsid w:val="008C759B"/>
    <w:rsid w:val="008C7911"/>
    <w:rsid w:val="008C7EDD"/>
    <w:rsid w:val="008C7F49"/>
    <w:rsid w:val="008C7FBC"/>
    <w:rsid w:val="008D00E7"/>
    <w:rsid w:val="008D067A"/>
    <w:rsid w:val="008D0A73"/>
    <w:rsid w:val="008D0D9A"/>
    <w:rsid w:val="008D107A"/>
    <w:rsid w:val="008D17C8"/>
    <w:rsid w:val="008D1903"/>
    <w:rsid w:val="008D1D72"/>
    <w:rsid w:val="008D2335"/>
    <w:rsid w:val="008D233D"/>
    <w:rsid w:val="008D2A02"/>
    <w:rsid w:val="008D2EB1"/>
    <w:rsid w:val="008D34EB"/>
    <w:rsid w:val="008D36F6"/>
    <w:rsid w:val="008D3E87"/>
    <w:rsid w:val="008D4202"/>
    <w:rsid w:val="008D4443"/>
    <w:rsid w:val="008D45D7"/>
    <w:rsid w:val="008D46B2"/>
    <w:rsid w:val="008D4D1C"/>
    <w:rsid w:val="008D4E85"/>
    <w:rsid w:val="008D5666"/>
    <w:rsid w:val="008D5C7D"/>
    <w:rsid w:val="008D5D44"/>
    <w:rsid w:val="008D5E08"/>
    <w:rsid w:val="008D5F15"/>
    <w:rsid w:val="008D6803"/>
    <w:rsid w:val="008D69DD"/>
    <w:rsid w:val="008D6ABD"/>
    <w:rsid w:val="008D6C6D"/>
    <w:rsid w:val="008D6EBB"/>
    <w:rsid w:val="008D71A6"/>
    <w:rsid w:val="008D7311"/>
    <w:rsid w:val="008D7401"/>
    <w:rsid w:val="008D7AF6"/>
    <w:rsid w:val="008D7F37"/>
    <w:rsid w:val="008E0268"/>
    <w:rsid w:val="008E0895"/>
    <w:rsid w:val="008E0B1D"/>
    <w:rsid w:val="008E109D"/>
    <w:rsid w:val="008E1480"/>
    <w:rsid w:val="008E192C"/>
    <w:rsid w:val="008E1AC9"/>
    <w:rsid w:val="008E1BF7"/>
    <w:rsid w:val="008E1D34"/>
    <w:rsid w:val="008E1F29"/>
    <w:rsid w:val="008E1FE2"/>
    <w:rsid w:val="008E2062"/>
    <w:rsid w:val="008E24DC"/>
    <w:rsid w:val="008E24EA"/>
    <w:rsid w:val="008E2655"/>
    <w:rsid w:val="008E2D08"/>
    <w:rsid w:val="008E31CB"/>
    <w:rsid w:val="008E32D5"/>
    <w:rsid w:val="008E35F8"/>
    <w:rsid w:val="008E3616"/>
    <w:rsid w:val="008E392D"/>
    <w:rsid w:val="008E3C93"/>
    <w:rsid w:val="008E3CC2"/>
    <w:rsid w:val="008E41DB"/>
    <w:rsid w:val="008E44B4"/>
    <w:rsid w:val="008E47C9"/>
    <w:rsid w:val="008E524C"/>
    <w:rsid w:val="008E53C8"/>
    <w:rsid w:val="008E53CC"/>
    <w:rsid w:val="008E569D"/>
    <w:rsid w:val="008E56CD"/>
    <w:rsid w:val="008E66EF"/>
    <w:rsid w:val="008E6730"/>
    <w:rsid w:val="008E68B7"/>
    <w:rsid w:val="008E7031"/>
    <w:rsid w:val="008E703A"/>
    <w:rsid w:val="008E70F0"/>
    <w:rsid w:val="008E74FB"/>
    <w:rsid w:val="008E77A1"/>
    <w:rsid w:val="008E7A58"/>
    <w:rsid w:val="008E7BEF"/>
    <w:rsid w:val="008F022D"/>
    <w:rsid w:val="008F05FE"/>
    <w:rsid w:val="008F0994"/>
    <w:rsid w:val="008F0D73"/>
    <w:rsid w:val="008F0E81"/>
    <w:rsid w:val="008F0EFF"/>
    <w:rsid w:val="008F1074"/>
    <w:rsid w:val="008F10BE"/>
    <w:rsid w:val="008F16E8"/>
    <w:rsid w:val="008F1B57"/>
    <w:rsid w:val="008F1F5E"/>
    <w:rsid w:val="008F2112"/>
    <w:rsid w:val="008F26CC"/>
    <w:rsid w:val="008F287E"/>
    <w:rsid w:val="008F3568"/>
    <w:rsid w:val="008F3DF1"/>
    <w:rsid w:val="008F402B"/>
    <w:rsid w:val="008F4261"/>
    <w:rsid w:val="008F4301"/>
    <w:rsid w:val="008F459B"/>
    <w:rsid w:val="008F4B0F"/>
    <w:rsid w:val="008F545D"/>
    <w:rsid w:val="008F5A7A"/>
    <w:rsid w:val="008F668F"/>
    <w:rsid w:val="008F6FA1"/>
    <w:rsid w:val="008F7CCE"/>
    <w:rsid w:val="008F7CEE"/>
    <w:rsid w:val="00900021"/>
    <w:rsid w:val="00900337"/>
    <w:rsid w:val="00900DE2"/>
    <w:rsid w:val="00901023"/>
    <w:rsid w:val="009012D7"/>
    <w:rsid w:val="00901435"/>
    <w:rsid w:val="009016C5"/>
    <w:rsid w:val="009017CB"/>
    <w:rsid w:val="00901906"/>
    <w:rsid w:val="00901E43"/>
    <w:rsid w:val="00901E98"/>
    <w:rsid w:val="00902A4A"/>
    <w:rsid w:val="009037C5"/>
    <w:rsid w:val="00903D5C"/>
    <w:rsid w:val="00904284"/>
    <w:rsid w:val="00905C9D"/>
    <w:rsid w:val="00905E00"/>
    <w:rsid w:val="009064F6"/>
    <w:rsid w:val="00906D35"/>
    <w:rsid w:val="0090759C"/>
    <w:rsid w:val="009077B8"/>
    <w:rsid w:val="00907C11"/>
    <w:rsid w:val="00907F9E"/>
    <w:rsid w:val="009108BF"/>
    <w:rsid w:val="0091092D"/>
    <w:rsid w:val="00910D77"/>
    <w:rsid w:val="00910E0E"/>
    <w:rsid w:val="00910E11"/>
    <w:rsid w:val="00910F8F"/>
    <w:rsid w:val="009111D1"/>
    <w:rsid w:val="0091167A"/>
    <w:rsid w:val="009121C2"/>
    <w:rsid w:val="009129D8"/>
    <w:rsid w:val="00912A15"/>
    <w:rsid w:val="00912DD8"/>
    <w:rsid w:val="009130CE"/>
    <w:rsid w:val="00915701"/>
    <w:rsid w:val="00915804"/>
    <w:rsid w:val="00915947"/>
    <w:rsid w:val="009159E1"/>
    <w:rsid w:val="00915B85"/>
    <w:rsid w:val="009162D5"/>
    <w:rsid w:val="00916401"/>
    <w:rsid w:val="009165AE"/>
    <w:rsid w:val="00916ABF"/>
    <w:rsid w:val="00917C0D"/>
    <w:rsid w:val="00917FD1"/>
    <w:rsid w:val="009204C6"/>
    <w:rsid w:val="009207F4"/>
    <w:rsid w:val="00920962"/>
    <w:rsid w:val="00920E10"/>
    <w:rsid w:val="009211B6"/>
    <w:rsid w:val="009211F8"/>
    <w:rsid w:val="009212CE"/>
    <w:rsid w:val="009214AE"/>
    <w:rsid w:val="00921512"/>
    <w:rsid w:val="00921DEE"/>
    <w:rsid w:val="00922D93"/>
    <w:rsid w:val="009231BA"/>
    <w:rsid w:val="00923279"/>
    <w:rsid w:val="009233AB"/>
    <w:rsid w:val="00923CED"/>
    <w:rsid w:val="0092417D"/>
    <w:rsid w:val="00924205"/>
    <w:rsid w:val="00924447"/>
    <w:rsid w:val="00924517"/>
    <w:rsid w:val="0092472E"/>
    <w:rsid w:val="00924A46"/>
    <w:rsid w:val="00924E90"/>
    <w:rsid w:val="00924FB8"/>
    <w:rsid w:val="009255C5"/>
    <w:rsid w:val="00926210"/>
    <w:rsid w:val="00926668"/>
    <w:rsid w:val="00926C15"/>
    <w:rsid w:val="00926C3D"/>
    <w:rsid w:val="00926E9E"/>
    <w:rsid w:val="00927D79"/>
    <w:rsid w:val="00930005"/>
    <w:rsid w:val="00930077"/>
    <w:rsid w:val="0093052B"/>
    <w:rsid w:val="00930547"/>
    <w:rsid w:val="00930654"/>
    <w:rsid w:val="009307C7"/>
    <w:rsid w:val="00930C3C"/>
    <w:rsid w:val="00931250"/>
    <w:rsid w:val="00931F03"/>
    <w:rsid w:val="00931FA1"/>
    <w:rsid w:val="009326E4"/>
    <w:rsid w:val="009329E2"/>
    <w:rsid w:val="00932B90"/>
    <w:rsid w:val="009330B2"/>
    <w:rsid w:val="0093319E"/>
    <w:rsid w:val="009333A6"/>
    <w:rsid w:val="0093355B"/>
    <w:rsid w:val="00933F13"/>
    <w:rsid w:val="0093474D"/>
    <w:rsid w:val="009347D7"/>
    <w:rsid w:val="00934C8D"/>
    <w:rsid w:val="009351E1"/>
    <w:rsid w:val="009352A3"/>
    <w:rsid w:val="009359C8"/>
    <w:rsid w:val="00935AC9"/>
    <w:rsid w:val="00935AE5"/>
    <w:rsid w:val="00935D4A"/>
    <w:rsid w:val="00935E3D"/>
    <w:rsid w:val="00935F5E"/>
    <w:rsid w:val="009360CC"/>
    <w:rsid w:val="00936243"/>
    <w:rsid w:val="009363D4"/>
    <w:rsid w:val="00936908"/>
    <w:rsid w:val="00936BAA"/>
    <w:rsid w:val="00936CB2"/>
    <w:rsid w:val="00937504"/>
    <w:rsid w:val="009378BE"/>
    <w:rsid w:val="00937C1F"/>
    <w:rsid w:val="00937E64"/>
    <w:rsid w:val="00937EA1"/>
    <w:rsid w:val="00937F49"/>
    <w:rsid w:val="00940262"/>
    <w:rsid w:val="00940270"/>
    <w:rsid w:val="0094040B"/>
    <w:rsid w:val="0094073F"/>
    <w:rsid w:val="00940D90"/>
    <w:rsid w:val="009415DE"/>
    <w:rsid w:val="00941C37"/>
    <w:rsid w:val="00941CBE"/>
    <w:rsid w:val="00941F1E"/>
    <w:rsid w:val="0094234B"/>
    <w:rsid w:val="0094266F"/>
    <w:rsid w:val="00942AC2"/>
    <w:rsid w:val="00942BAB"/>
    <w:rsid w:val="00943765"/>
    <w:rsid w:val="0094380F"/>
    <w:rsid w:val="00944812"/>
    <w:rsid w:val="009448D8"/>
    <w:rsid w:val="00944934"/>
    <w:rsid w:val="00944E30"/>
    <w:rsid w:val="00944E32"/>
    <w:rsid w:val="00945104"/>
    <w:rsid w:val="00945233"/>
    <w:rsid w:val="00945546"/>
    <w:rsid w:val="00945A4F"/>
    <w:rsid w:val="00945CCD"/>
    <w:rsid w:val="00945E60"/>
    <w:rsid w:val="00946369"/>
    <w:rsid w:val="009468FE"/>
    <w:rsid w:val="00946C24"/>
    <w:rsid w:val="00946D69"/>
    <w:rsid w:val="00946D6B"/>
    <w:rsid w:val="00946E17"/>
    <w:rsid w:val="00946F0D"/>
    <w:rsid w:val="00946F2D"/>
    <w:rsid w:val="009471B6"/>
    <w:rsid w:val="00947445"/>
    <w:rsid w:val="0094790F"/>
    <w:rsid w:val="00947AE9"/>
    <w:rsid w:val="00947D2E"/>
    <w:rsid w:val="00947E0F"/>
    <w:rsid w:val="00947FB1"/>
    <w:rsid w:val="009505F1"/>
    <w:rsid w:val="00950607"/>
    <w:rsid w:val="00950714"/>
    <w:rsid w:val="00950BBF"/>
    <w:rsid w:val="00950CC3"/>
    <w:rsid w:val="00951636"/>
    <w:rsid w:val="009517B9"/>
    <w:rsid w:val="00951841"/>
    <w:rsid w:val="00951903"/>
    <w:rsid w:val="00952234"/>
    <w:rsid w:val="009526EC"/>
    <w:rsid w:val="0095277B"/>
    <w:rsid w:val="00952C7E"/>
    <w:rsid w:val="00952FD6"/>
    <w:rsid w:val="00953371"/>
    <w:rsid w:val="009535C2"/>
    <w:rsid w:val="0095362B"/>
    <w:rsid w:val="0095389B"/>
    <w:rsid w:val="00953DB4"/>
    <w:rsid w:val="009542C2"/>
    <w:rsid w:val="0095445F"/>
    <w:rsid w:val="009551BF"/>
    <w:rsid w:val="00955348"/>
    <w:rsid w:val="00955900"/>
    <w:rsid w:val="00955A38"/>
    <w:rsid w:val="0095606C"/>
    <w:rsid w:val="009560DD"/>
    <w:rsid w:val="009567EA"/>
    <w:rsid w:val="009572AE"/>
    <w:rsid w:val="00957405"/>
    <w:rsid w:val="00957885"/>
    <w:rsid w:val="00957ADB"/>
    <w:rsid w:val="009602BB"/>
    <w:rsid w:val="0096094A"/>
    <w:rsid w:val="00960A6F"/>
    <w:rsid w:val="00960D95"/>
    <w:rsid w:val="009614D4"/>
    <w:rsid w:val="009616BE"/>
    <w:rsid w:val="009616F8"/>
    <w:rsid w:val="00961970"/>
    <w:rsid w:val="00961D06"/>
    <w:rsid w:val="00962BF6"/>
    <w:rsid w:val="00962E59"/>
    <w:rsid w:val="00963028"/>
    <w:rsid w:val="00963331"/>
    <w:rsid w:val="009636BC"/>
    <w:rsid w:val="009639C2"/>
    <w:rsid w:val="009639ED"/>
    <w:rsid w:val="0096436B"/>
    <w:rsid w:val="0096457D"/>
    <w:rsid w:val="00964657"/>
    <w:rsid w:val="00964D64"/>
    <w:rsid w:val="00965CE6"/>
    <w:rsid w:val="00966484"/>
    <w:rsid w:val="0096679F"/>
    <w:rsid w:val="00966CA1"/>
    <w:rsid w:val="00966CE0"/>
    <w:rsid w:val="00966D22"/>
    <w:rsid w:val="00966EC5"/>
    <w:rsid w:val="00967234"/>
    <w:rsid w:val="0096727A"/>
    <w:rsid w:val="009672C0"/>
    <w:rsid w:val="00967FCA"/>
    <w:rsid w:val="00970019"/>
    <w:rsid w:val="00970861"/>
    <w:rsid w:val="00970958"/>
    <w:rsid w:val="0097095B"/>
    <w:rsid w:val="009709DB"/>
    <w:rsid w:val="00970BEB"/>
    <w:rsid w:val="00970FBF"/>
    <w:rsid w:val="00970FC6"/>
    <w:rsid w:val="0097116A"/>
    <w:rsid w:val="009711D8"/>
    <w:rsid w:val="00971250"/>
    <w:rsid w:val="00971755"/>
    <w:rsid w:val="0097240C"/>
    <w:rsid w:val="00972BD2"/>
    <w:rsid w:val="00972DBB"/>
    <w:rsid w:val="00972E45"/>
    <w:rsid w:val="00972E84"/>
    <w:rsid w:val="00973BED"/>
    <w:rsid w:val="00974141"/>
    <w:rsid w:val="00974301"/>
    <w:rsid w:val="009743B8"/>
    <w:rsid w:val="0097448D"/>
    <w:rsid w:val="00974528"/>
    <w:rsid w:val="00974549"/>
    <w:rsid w:val="00974666"/>
    <w:rsid w:val="00974EB8"/>
    <w:rsid w:val="009755FE"/>
    <w:rsid w:val="00975641"/>
    <w:rsid w:val="00975B18"/>
    <w:rsid w:val="00975B46"/>
    <w:rsid w:val="00975B48"/>
    <w:rsid w:val="00975B8D"/>
    <w:rsid w:val="00975BE8"/>
    <w:rsid w:val="00976550"/>
    <w:rsid w:val="00976594"/>
    <w:rsid w:val="009767BE"/>
    <w:rsid w:val="00976F64"/>
    <w:rsid w:val="00977017"/>
    <w:rsid w:val="0097720D"/>
    <w:rsid w:val="0097748A"/>
    <w:rsid w:val="00977CC6"/>
    <w:rsid w:val="009804B7"/>
    <w:rsid w:val="00980656"/>
    <w:rsid w:val="00981C14"/>
    <w:rsid w:val="00982A70"/>
    <w:rsid w:val="00982BFB"/>
    <w:rsid w:val="00982C12"/>
    <w:rsid w:val="009831B6"/>
    <w:rsid w:val="00983C1B"/>
    <w:rsid w:val="00984785"/>
    <w:rsid w:val="00984A0A"/>
    <w:rsid w:val="00984BAA"/>
    <w:rsid w:val="009851CC"/>
    <w:rsid w:val="00985333"/>
    <w:rsid w:val="00985644"/>
    <w:rsid w:val="00985696"/>
    <w:rsid w:val="00985713"/>
    <w:rsid w:val="0098595D"/>
    <w:rsid w:val="00986649"/>
    <w:rsid w:val="009866A8"/>
    <w:rsid w:val="009866F4"/>
    <w:rsid w:val="00987108"/>
    <w:rsid w:val="00987399"/>
    <w:rsid w:val="0098754A"/>
    <w:rsid w:val="00987A2D"/>
    <w:rsid w:val="00987BF1"/>
    <w:rsid w:val="00987D33"/>
    <w:rsid w:val="00987E50"/>
    <w:rsid w:val="00987FC5"/>
    <w:rsid w:val="00990264"/>
    <w:rsid w:val="009902C1"/>
    <w:rsid w:val="00990707"/>
    <w:rsid w:val="0099071A"/>
    <w:rsid w:val="00990AB8"/>
    <w:rsid w:val="00990B61"/>
    <w:rsid w:val="00990C96"/>
    <w:rsid w:val="00990D51"/>
    <w:rsid w:val="009912B7"/>
    <w:rsid w:val="009923E2"/>
    <w:rsid w:val="0099287D"/>
    <w:rsid w:val="009928FA"/>
    <w:rsid w:val="00993617"/>
    <w:rsid w:val="00993CAA"/>
    <w:rsid w:val="00994011"/>
    <w:rsid w:val="009940FD"/>
    <w:rsid w:val="009942C7"/>
    <w:rsid w:val="009944AF"/>
    <w:rsid w:val="00994D39"/>
    <w:rsid w:val="00994E10"/>
    <w:rsid w:val="00994FE6"/>
    <w:rsid w:val="00995C2C"/>
    <w:rsid w:val="00995FEE"/>
    <w:rsid w:val="009963CD"/>
    <w:rsid w:val="00996523"/>
    <w:rsid w:val="00996DC7"/>
    <w:rsid w:val="00996E7A"/>
    <w:rsid w:val="00997B09"/>
    <w:rsid w:val="00997F3A"/>
    <w:rsid w:val="009A05D7"/>
    <w:rsid w:val="009A0FDE"/>
    <w:rsid w:val="009A179E"/>
    <w:rsid w:val="009A1909"/>
    <w:rsid w:val="009A19F6"/>
    <w:rsid w:val="009A1A28"/>
    <w:rsid w:val="009A1DA3"/>
    <w:rsid w:val="009A1E60"/>
    <w:rsid w:val="009A2304"/>
    <w:rsid w:val="009A2BAD"/>
    <w:rsid w:val="009A3247"/>
    <w:rsid w:val="009A37A2"/>
    <w:rsid w:val="009A40E0"/>
    <w:rsid w:val="009A41FB"/>
    <w:rsid w:val="009A4F1E"/>
    <w:rsid w:val="009A5174"/>
    <w:rsid w:val="009A51A6"/>
    <w:rsid w:val="009A5473"/>
    <w:rsid w:val="009A5718"/>
    <w:rsid w:val="009A5BD9"/>
    <w:rsid w:val="009A5C76"/>
    <w:rsid w:val="009A605B"/>
    <w:rsid w:val="009A69E8"/>
    <w:rsid w:val="009A6C1D"/>
    <w:rsid w:val="009A6C54"/>
    <w:rsid w:val="009A6C7D"/>
    <w:rsid w:val="009A6CFD"/>
    <w:rsid w:val="009A6D6E"/>
    <w:rsid w:val="009A74E1"/>
    <w:rsid w:val="009A7A7A"/>
    <w:rsid w:val="009A7F72"/>
    <w:rsid w:val="009B00F4"/>
    <w:rsid w:val="009B0685"/>
    <w:rsid w:val="009B0825"/>
    <w:rsid w:val="009B0BAF"/>
    <w:rsid w:val="009B0D14"/>
    <w:rsid w:val="009B0F4A"/>
    <w:rsid w:val="009B2071"/>
    <w:rsid w:val="009B2CDD"/>
    <w:rsid w:val="009B2E3E"/>
    <w:rsid w:val="009B2F0A"/>
    <w:rsid w:val="009B2F19"/>
    <w:rsid w:val="009B3256"/>
    <w:rsid w:val="009B3D21"/>
    <w:rsid w:val="009B4040"/>
    <w:rsid w:val="009B4291"/>
    <w:rsid w:val="009B44ED"/>
    <w:rsid w:val="009B4853"/>
    <w:rsid w:val="009B4E21"/>
    <w:rsid w:val="009B53B2"/>
    <w:rsid w:val="009B55CE"/>
    <w:rsid w:val="009B5BB4"/>
    <w:rsid w:val="009B5C8E"/>
    <w:rsid w:val="009B63E6"/>
    <w:rsid w:val="009B6722"/>
    <w:rsid w:val="009B7870"/>
    <w:rsid w:val="009B7C25"/>
    <w:rsid w:val="009B7C97"/>
    <w:rsid w:val="009B7D16"/>
    <w:rsid w:val="009C06C0"/>
    <w:rsid w:val="009C0813"/>
    <w:rsid w:val="009C1135"/>
    <w:rsid w:val="009C1AA1"/>
    <w:rsid w:val="009C1AAB"/>
    <w:rsid w:val="009C21C9"/>
    <w:rsid w:val="009C254D"/>
    <w:rsid w:val="009C2704"/>
    <w:rsid w:val="009C2B25"/>
    <w:rsid w:val="009C3419"/>
    <w:rsid w:val="009C3826"/>
    <w:rsid w:val="009C383C"/>
    <w:rsid w:val="009C3DB7"/>
    <w:rsid w:val="009C43E4"/>
    <w:rsid w:val="009C4C9C"/>
    <w:rsid w:val="009C5163"/>
    <w:rsid w:val="009C5581"/>
    <w:rsid w:val="009C5593"/>
    <w:rsid w:val="009C63CF"/>
    <w:rsid w:val="009C6765"/>
    <w:rsid w:val="009C6C1E"/>
    <w:rsid w:val="009C6D2A"/>
    <w:rsid w:val="009C7122"/>
    <w:rsid w:val="009C760A"/>
    <w:rsid w:val="009C78EE"/>
    <w:rsid w:val="009D058C"/>
    <w:rsid w:val="009D077A"/>
    <w:rsid w:val="009D0821"/>
    <w:rsid w:val="009D0EC6"/>
    <w:rsid w:val="009D1405"/>
    <w:rsid w:val="009D1754"/>
    <w:rsid w:val="009D19C4"/>
    <w:rsid w:val="009D2C24"/>
    <w:rsid w:val="009D2D90"/>
    <w:rsid w:val="009D2DCC"/>
    <w:rsid w:val="009D3014"/>
    <w:rsid w:val="009D301D"/>
    <w:rsid w:val="009D3224"/>
    <w:rsid w:val="009D3BA4"/>
    <w:rsid w:val="009D3C12"/>
    <w:rsid w:val="009D411E"/>
    <w:rsid w:val="009D4BA5"/>
    <w:rsid w:val="009D5497"/>
    <w:rsid w:val="009D5638"/>
    <w:rsid w:val="009D5662"/>
    <w:rsid w:val="009D57BE"/>
    <w:rsid w:val="009D5E9C"/>
    <w:rsid w:val="009D5EB8"/>
    <w:rsid w:val="009D616B"/>
    <w:rsid w:val="009D65B5"/>
    <w:rsid w:val="009D6A09"/>
    <w:rsid w:val="009D6C1B"/>
    <w:rsid w:val="009D6DE1"/>
    <w:rsid w:val="009D6DF1"/>
    <w:rsid w:val="009D7538"/>
    <w:rsid w:val="009D767C"/>
    <w:rsid w:val="009D782E"/>
    <w:rsid w:val="009E0029"/>
    <w:rsid w:val="009E104C"/>
    <w:rsid w:val="009E1280"/>
    <w:rsid w:val="009E1501"/>
    <w:rsid w:val="009E1E2C"/>
    <w:rsid w:val="009E1F25"/>
    <w:rsid w:val="009E216E"/>
    <w:rsid w:val="009E22D8"/>
    <w:rsid w:val="009E29AA"/>
    <w:rsid w:val="009E2C29"/>
    <w:rsid w:val="009E2FAF"/>
    <w:rsid w:val="009E344C"/>
    <w:rsid w:val="009E350C"/>
    <w:rsid w:val="009E3613"/>
    <w:rsid w:val="009E3B44"/>
    <w:rsid w:val="009E3C7E"/>
    <w:rsid w:val="009E3E68"/>
    <w:rsid w:val="009E416F"/>
    <w:rsid w:val="009E435F"/>
    <w:rsid w:val="009E4892"/>
    <w:rsid w:val="009E49BE"/>
    <w:rsid w:val="009E5825"/>
    <w:rsid w:val="009E582F"/>
    <w:rsid w:val="009E5F83"/>
    <w:rsid w:val="009E620C"/>
    <w:rsid w:val="009E67AC"/>
    <w:rsid w:val="009E6A69"/>
    <w:rsid w:val="009E6D15"/>
    <w:rsid w:val="009E7B66"/>
    <w:rsid w:val="009E7B69"/>
    <w:rsid w:val="009F03DE"/>
    <w:rsid w:val="009F05C0"/>
    <w:rsid w:val="009F09C6"/>
    <w:rsid w:val="009F0B70"/>
    <w:rsid w:val="009F116F"/>
    <w:rsid w:val="009F1247"/>
    <w:rsid w:val="009F1288"/>
    <w:rsid w:val="009F13F3"/>
    <w:rsid w:val="009F1555"/>
    <w:rsid w:val="009F1B88"/>
    <w:rsid w:val="009F2250"/>
    <w:rsid w:val="009F235D"/>
    <w:rsid w:val="009F2A39"/>
    <w:rsid w:val="009F2ABD"/>
    <w:rsid w:val="009F2E63"/>
    <w:rsid w:val="009F3012"/>
    <w:rsid w:val="009F364C"/>
    <w:rsid w:val="009F3E70"/>
    <w:rsid w:val="009F3FF5"/>
    <w:rsid w:val="009F42F7"/>
    <w:rsid w:val="009F4893"/>
    <w:rsid w:val="009F490B"/>
    <w:rsid w:val="009F4A03"/>
    <w:rsid w:val="009F4A5B"/>
    <w:rsid w:val="009F4B4E"/>
    <w:rsid w:val="009F560B"/>
    <w:rsid w:val="009F59B5"/>
    <w:rsid w:val="009F5D32"/>
    <w:rsid w:val="009F61A8"/>
    <w:rsid w:val="009F61E9"/>
    <w:rsid w:val="009F6A63"/>
    <w:rsid w:val="009F7279"/>
    <w:rsid w:val="009F7A31"/>
    <w:rsid w:val="009F7CB3"/>
    <w:rsid w:val="009F7D76"/>
    <w:rsid w:val="00A003DF"/>
    <w:rsid w:val="00A006E8"/>
    <w:rsid w:val="00A012F4"/>
    <w:rsid w:val="00A01472"/>
    <w:rsid w:val="00A01BF3"/>
    <w:rsid w:val="00A01DC5"/>
    <w:rsid w:val="00A023B9"/>
    <w:rsid w:val="00A02A06"/>
    <w:rsid w:val="00A0318D"/>
    <w:rsid w:val="00A0327B"/>
    <w:rsid w:val="00A03504"/>
    <w:rsid w:val="00A03593"/>
    <w:rsid w:val="00A036BD"/>
    <w:rsid w:val="00A037D8"/>
    <w:rsid w:val="00A037EF"/>
    <w:rsid w:val="00A03A4F"/>
    <w:rsid w:val="00A04236"/>
    <w:rsid w:val="00A042A4"/>
    <w:rsid w:val="00A04FBE"/>
    <w:rsid w:val="00A05000"/>
    <w:rsid w:val="00A0518E"/>
    <w:rsid w:val="00A0548F"/>
    <w:rsid w:val="00A054F2"/>
    <w:rsid w:val="00A059AD"/>
    <w:rsid w:val="00A05A4A"/>
    <w:rsid w:val="00A068F9"/>
    <w:rsid w:val="00A06D43"/>
    <w:rsid w:val="00A06E3E"/>
    <w:rsid w:val="00A075C2"/>
    <w:rsid w:val="00A0775F"/>
    <w:rsid w:val="00A077A8"/>
    <w:rsid w:val="00A07833"/>
    <w:rsid w:val="00A07907"/>
    <w:rsid w:val="00A10AD6"/>
    <w:rsid w:val="00A10C3E"/>
    <w:rsid w:val="00A10E2E"/>
    <w:rsid w:val="00A11A37"/>
    <w:rsid w:val="00A12AAE"/>
    <w:rsid w:val="00A12E6B"/>
    <w:rsid w:val="00A133E3"/>
    <w:rsid w:val="00A13CCE"/>
    <w:rsid w:val="00A14000"/>
    <w:rsid w:val="00A1404E"/>
    <w:rsid w:val="00A144E9"/>
    <w:rsid w:val="00A14558"/>
    <w:rsid w:val="00A14CDD"/>
    <w:rsid w:val="00A14DDA"/>
    <w:rsid w:val="00A15475"/>
    <w:rsid w:val="00A154F8"/>
    <w:rsid w:val="00A157F9"/>
    <w:rsid w:val="00A15CBD"/>
    <w:rsid w:val="00A15F5B"/>
    <w:rsid w:val="00A15F63"/>
    <w:rsid w:val="00A16823"/>
    <w:rsid w:val="00A1684D"/>
    <w:rsid w:val="00A173A4"/>
    <w:rsid w:val="00A173AE"/>
    <w:rsid w:val="00A17AF3"/>
    <w:rsid w:val="00A17D64"/>
    <w:rsid w:val="00A20177"/>
    <w:rsid w:val="00A20422"/>
    <w:rsid w:val="00A2076A"/>
    <w:rsid w:val="00A208D6"/>
    <w:rsid w:val="00A20E66"/>
    <w:rsid w:val="00A2127C"/>
    <w:rsid w:val="00A21792"/>
    <w:rsid w:val="00A21BD4"/>
    <w:rsid w:val="00A21E80"/>
    <w:rsid w:val="00A21FAF"/>
    <w:rsid w:val="00A224F2"/>
    <w:rsid w:val="00A2305D"/>
    <w:rsid w:val="00A231F7"/>
    <w:rsid w:val="00A233BA"/>
    <w:rsid w:val="00A233F2"/>
    <w:rsid w:val="00A24406"/>
    <w:rsid w:val="00A2458E"/>
    <w:rsid w:val="00A2539B"/>
    <w:rsid w:val="00A257FD"/>
    <w:rsid w:val="00A25A08"/>
    <w:rsid w:val="00A25FE0"/>
    <w:rsid w:val="00A26063"/>
    <w:rsid w:val="00A26A85"/>
    <w:rsid w:val="00A26E82"/>
    <w:rsid w:val="00A273CC"/>
    <w:rsid w:val="00A2780C"/>
    <w:rsid w:val="00A27CC3"/>
    <w:rsid w:val="00A27D18"/>
    <w:rsid w:val="00A27D2F"/>
    <w:rsid w:val="00A30AE0"/>
    <w:rsid w:val="00A30EA5"/>
    <w:rsid w:val="00A3118D"/>
    <w:rsid w:val="00A3156B"/>
    <w:rsid w:val="00A316F9"/>
    <w:rsid w:val="00A32514"/>
    <w:rsid w:val="00A32C31"/>
    <w:rsid w:val="00A32F54"/>
    <w:rsid w:val="00A330F3"/>
    <w:rsid w:val="00A333D5"/>
    <w:rsid w:val="00A33814"/>
    <w:rsid w:val="00A339FC"/>
    <w:rsid w:val="00A33A3A"/>
    <w:rsid w:val="00A33DD7"/>
    <w:rsid w:val="00A34029"/>
    <w:rsid w:val="00A34107"/>
    <w:rsid w:val="00A347F3"/>
    <w:rsid w:val="00A34897"/>
    <w:rsid w:val="00A34B4F"/>
    <w:rsid w:val="00A35763"/>
    <w:rsid w:val="00A35C99"/>
    <w:rsid w:val="00A3640B"/>
    <w:rsid w:val="00A36735"/>
    <w:rsid w:val="00A3692E"/>
    <w:rsid w:val="00A36E53"/>
    <w:rsid w:val="00A37020"/>
    <w:rsid w:val="00A37077"/>
    <w:rsid w:val="00A3722E"/>
    <w:rsid w:val="00A37CE7"/>
    <w:rsid w:val="00A37E4B"/>
    <w:rsid w:val="00A37FCD"/>
    <w:rsid w:val="00A403BF"/>
    <w:rsid w:val="00A4083A"/>
    <w:rsid w:val="00A40933"/>
    <w:rsid w:val="00A4195C"/>
    <w:rsid w:val="00A41A10"/>
    <w:rsid w:val="00A429BC"/>
    <w:rsid w:val="00A43418"/>
    <w:rsid w:val="00A44A4A"/>
    <w:rsid w:val="00A453CF"/>
    <w:rsid w:val="00A45D59"/>
    <w:rsid w:val="00A45ED5"/>
    <w:rsid w:val="00A4653F"/>
    <w:rsid w:val="00A46955"/>
    <w:rsid w:val="00A46D18"/>
    <w:rsid w:val="00A4732A"/>
    <w:rsid w:val="00A47A31"/>
    <w:rsid w:val="00A47B1E"/>
    <w:rsid w:val="00A50806"/>
    <w:rsid w:val="00A50A30"/>
    <w:rsid w:val="00A50AB2"/>
    <w:rsid w:val="00A50CC0"/>
    <w:rsid w:val="00A50DE6"/>
    <w:rsid w:val="00A50F3A"/>
    <w:rsid w:val="00A50FA2"/>
    <w:rsid w:val="00A511F7"/>
    <w:rsid w:val="00A5140B"/>
    <w:rsid w:val="00A519CF"/>
    <w:rsid w:val="00A52740"/>
    <w:rsid w:val="00A52768"/>
    <w:rsid w:val="00A528FE"/>
    <w:rsid w:val="00A5298B"/>
    <w:rsid w:val="00A52A78"/>
    <w:rsid w:val="00A52D74"/>
    <w:rsid w:val="00A539B1"/>
    <w:rsid w:val="00A53DE2"/>
    <w:rsid w:val="00A53FA4"/>
    <w:rsid w:val="00A54304"/>
    <w:rsid w:val="00A54506"/>
    <w:rsid w:val="00A5489E"/>
    <w:rsid w:val="00A549EB"/>
    <w:rsid w:val="00A54B53"/>
    <w:rsid w:val="00A54E70"/>
    <w:rsid w:val="00A54EF8"/>
    <w:rsid w:val="00A5538C"/>
    <w:rsid w:val="00A55F4A"/>
    <w:rsid w:val="00A56F00"/>
    <w:rsid w:val="00A57077"/>
    <w:rsid w:val="00A57AE2"/>
    <w:rsid w:val="00A57D95"/>
    <w:rsid w:val="00A60095"/>
    <w:rsid w:val="00A6032C"/>
    <w:rsid w:val="00A6038F"/>
    <w:rsid w:val="00A605B4"/>
    <w:rsid w:val="00A607BF"/>
    <w:rsid w:val="00A6092E"/>
    <w:rsid w:val="00A60B08"/>
    <w:rsid w:val="00A60B75"/>
    <w:rsid w:val="00A60F9F"/>
    <w:rsid w:val="00A61471"/>
    <w:rsid w:val="00A618A1"/>
    <w:rsid w:val="00A626FD"/>
    <w:rsid w:val="00A63036"/>
    <w:rsid w:val="00A6316D"/>
    <w:rsid w:val="00A6335B"/>
    <w:rsid w:val="00A636B0"/>
    <w:rsid w:val="00A6379F"/>
    <w:rsid w:val="00A63839"/>
    <w:rsid w:val="00A63949"/>
    <w:rsid w:val="00A63A7A"/>
    <w:rsid w:val="00A63C25"/>
    <w:rsid w:val="00A63E7A"/>
    <w:rsid w:val="00A64B0F"/>
    <w:rsid w:val="00A64C19"/>
    <w:rsid w:val="00A64FDA"/>
    <w:rsid w:val="00A65154"/>
    <w:rsid w:val="00A658DE"/>
    <w:rsid w:val="00A66249"/>
    <w:rsid w:val="00A663F2"/>
    <w:rsid w:val="00A6657B"/>
    <w:rsid w:val="00A6658E"/>
    <w:rsid w:val="00A665B7"/>
    <w:rsid w:val="00A669B3"/>
    <w:rsid w:val="00A6739F"/>
    <w:rsid w:val="00A67584"/>
    <w:rsid w:val="00A67623"/>
    <w:rsid w:val="00A67CEA"/>
    <w:rsid w:val="00A67DE7"/>
    <w:rsid w:val="00A703A8"/>
    <w:rsid w:val="00A7066A"/>
    <w:rsid w:val="00A7069F"/>
    <w:rsid w:val="00A7080D"/>
    <w:rsid w:val="00A70EEF"/>
    <w:rsid w:val="00A7112A"/>
    <w:rsid w:val="00A71363"/>
    <w:rsid w:val="00A714B7"/>
    <w:rsid w:val="00A714D8"/>
    <w:rsid w:val="00A71C79"/>
    <w:rsid w:val="00A71CBF"/>
    <w:rsid w:val="00A71F68"/>
    <w:rsid w:val="00A720B3"/>
    <w:rsid w:val="00A7241D"/>
    <w:rsid w:val="00A724BF"/>
    <w:rsid w:val="00A72848"/>
    <w:rsid w:val="00A72903"/>
    <w:rsid w:val="00A729A3"/>
    <w:rsid w:val="00A72E4E"/>
    <w:rsid w:val="00A731ED"/>
    <w:rsid w:val="00A73B05"/>
    <w:rsid w:val="00A73C74"/>
    <w:rsid w:val="00A74758"/>
    <w:rsid w:val="00A74804"/>
    <w:rsid w:val="00A74888"/>
    <w:rsid w:val="00A74C4A"/>
    <w:rsid w:val="00A74C4F"/>
    <w:rsid w:val="00A75908"/>
    <w:rsid w:val="00A75940"/>
    <w:rsid w:val="00A76135"/>
    <w:rsid w:val="00A761E2"/>
    <w:rsid w:val="00A76288"/>
    <w:rsid w:val="00A77D65"/>
    <w:rsid w:val="00A77EB0"/>
    <w:rsid w:val="00A77F02"/>
    <w:rsid w:val="00A80634"/>
    <w:rsid w:val="00A80D02"/>
    <w:rsid w:val="00A80D8A"/>
    <w:rsid w:val="00A80E33"/>
    <w:rsid w:val="00A80EEA"/>
    <w:rsid w:val="00A80F12"/>
    <w:rsid w:val="00A80F66"/>
    <w:rsid w:val="00A81549"/>
    <w:rsid w:val="00A81909"/>
    <w:rsid w:val="00A81C88"/>
    <w:rsid w:val="00A81E0E"/>
    <w:rsid w:val="00A81FBD"/>
    <w:rsid w:val="00A820C0"/>
    <w:rsid w:val="00A826CC"/>
    <w:rsid w:val="00A82854"/>
    <w:rsid w:val="00A82F0B"/>
    <w:rsid w:val="00A834B0"/>
    <w:rsid w:val="00A83558"/>
    <w:rsid w:val="00A8390A"/>
    <w:rsid w:val="00A83DC9"/>
    <w:rsid w:val="00A84563"/>
    <w:rsid w:val="00A84674"/>
    <w:rsid w:val="00A85B96"/>
    <w:rsid w:val="00A85E59"/>
    <w:rsid w:val="00A862D9"/>
    <w:rsid w:val="00A86AA4"/>
    <w:rsid w:val="00A86DAD"/>
    <w:rsid w:val="00A86EE7"/>
    <w:rsid w:val="00A87073"/>
    <w:rsid w:val="00A87380"/>
    <w:rsid w:val="00A876F6"/>
    <w:rsid w:val="00A877BD"/>
    <w:rsid w:val="00A87956"/>
    <w:rsid w:val="00A87ED4"/>
    <w:rsid w:val="00A87FCE"/>
    <w:rsid w:val="00A901F0"/>
    <w:rsid w:val="00A905C1"/>
    <w:rsid w:val="00A909C6"/>
    <w:rsid w:val="00A91171"/>
    <w:rsid w:val="00A914ED"/>
    <w:rsid w:val="00A91842"/>
    <w:rsid w:val="00A91C70"/>
    <w:rsid w:val="00A91D39"/>
    <w:rsid w:val="00A91EFF"/>
    <w:rsid w:val="00A9215A"/>
    <w:rsid w:val="00A921FB"/>
    <w:rsid w:val="00A922A0"/>
    <w:rsid w:val="00A9235E"/>
    <w:rsid w:val="00A92D12"/>
    <w:rsid w:val="00A92F31"/>
    <w:rsid w:val="00A93037"/>
    <w:rsid w:val="00A936E0"/>
    <w:rsid w:val="00A937EA"/>
    <w:rsid w:val="00A9399D"/>
    <w:rsid w:val="00A939D0"/>
    <w:rsid w:val="00A93E49"/>
    <w:rsid w:val="00A93F7D"/>
    <w:rsid w:val="00A9470A"/>
    <w:rsid w:val="00A94B03"/>
    <w:rsid w:val="00A94C2D"/>
    <w:rsid w:val="00A94D4C"/>
    <w:rsid w:val="00A9508E"/>
    <w:rsid w:val="00A95324"/>
    <w:rsid w:val="00A954B0"/>
    <w:rsid w:val="00A95515"/>
    <w:rsid w:val="00A95DD3"/>
    <w:rsid w:val="00A960A2"/>
    <w:rsid w:val="00A96677"/>
    <w:rsid w:val="00A96FE3"/>
    <w:rsid w:val="00A97352"/>
    <w:rsid w:val="00A97393"/>
    <w:rsid w:val="00A975DB"/>
    <w:rsid w:val="00A97992"/>
    <w:rsid w:val="00A97CC7"/>
    <w:rsid w:val="00A97CFA"/>
    <w:rsid w:val="00A97D18"/>
    <w:rsid w:val="00A97EEC"/>
    <w:rsid w:val="00AA01A5"/>
    <w:rsid w:val="00AA0A03"/>
    <w:rsid w:val="00AA0CE5"/>
    <w:rsid w:val="00AA0E63"/>
    <w:rsid w:val="00AA176A"/>
    <w:rsid w:val="00AA178E"/>
    <w:rsid w:val="00AA185C"/>
    <w:rsid w:val="00AA27A3"/>
    <w:rsid w:val="00AA2931"/>
    <w:rsid w:val="00AA3620"/>
    <w:rsid w:val="00AA3746"/>
    <w:rsid w:val="00AA3B37"/>
    <w:rsid w:val="00AA3BA7"/>
    <w:rsid w:val="00AA3C2F"/>
    <w:rsid w:val="00AA3E15"/>
    <w:rsid w:val="00AA4576"/>
    <w:rsid w:val="00AA476A"/>
    <w:rsid w:val="00AA4917"/>
    <w:rsid w:val="00AA49BA"/>
    <w:rsid w:val="00AA49DC"/>
    <w:rsid w:val="00AA4F78"/>
    <w:rsid w:val="00AA5228"/>
    <w:rsid w:val="00AA5576"/>
    <w:rsid w:val="00AA5677"/>
    <w:rsid w:val="00AA5A65"/>
    <w:rsid w:val="00AA5C51"/>
    <w:rsid w:val="00AA5CCA"/>
    <w:rsid w:val="00AA5ED5"/>
    <w:rsid w:val="00AA6C4D"/>
    <w:rsid w:val="00AA6C63"/>
    <w:rsid w:val="00AA6F57"/>
    <w:rsid w:val="00AA756A"/>
    <w:rsid w:val="00AA768B"/>
    <w:rsid w:val="00AA7942"/>
    <w:rsid w:val="00AA7B0F"/>
    <w:rsid w:val="00AB0533"/>
    <w:rsid w:val="00AB062F"/>
    <w:rsid w:val="00AB170D"/>
    <w:rsid w:val="00AB1970"/>
    <w:rsid w:val="00AB1E83"/>
    <w:rsid w:val="00AB2072"/>
    <w:rsid w:val="00AB2839"/>
    <w:rsid w:val="00AB2AF6"/>
    <w:rsid w:val="00AB2CA7"/>
    <w:rsid w:val="00AB2CBB"/>
    <w:rsid w:val="00AB2E76"/>
    <w:rsid w:val="00AB32E8"/>
    <w:rsid w:val="00AB33C2"/>
    <w:rsid w:val="00AB33D0"/>
    <w:rsid w:val="00AB3438"/>
    <w:rsid w:val="00AB3482"/>
    <w:rsid w:val="00AB3645"/>
    <w:rsid w:val="00AB3BCA"/>
    <w:rsid w:val="00AB5313"/>
    <w:rsid w:val="00AB5361"/>
    <w:rsid w:val="00AB5569"/>
    <w:rsid w:val="00AB55A8"/>
    <w:rsid w:val="00AB588F"/>
    <w:rsid w:val="00AB6717"/>
    <w:rsid w:val="00AB68DE"/>
    <w:rsid w:val="00AB6EF4"/>
    <w:rsid w:val="00AB7AD4"/>
    <w:rsid w:val="00AB7CAD"/>
    <w:rsid w:val="00AC05BA"/>
    <w:rsid w:val="00AC08EF"/>
    <w:rsid w:val="00AC0949"/>
    <w:rsid w:val="00AC0C84"/>
    <w:rsid w:val="00AC0F60"/>
    <w:rsid w:val="00AC1027"/>
    <w:rsid w:val="00AC140F"/>
    <w:rsid w:val="00AC18A2"/>
    <w:rsid w:val="00AC1FEA"/>
    <w:rsid w:val="00AC2262"/>
    <w:rsid w:val="00AC22FF"/>
    <w:rsid w:val="00AC27C5"/>
    <w:rsid w:val="00AC300C"/>
    <w:rsid w:val="00AC3228"/>
    <w:rsid w:val="00AC32CA"/>
    <w:rsid w:val="00AC39F1"/>
    <w:rsid w:val="00AC3D71"/>
    <w:rsid w:val="00AC44E0"/>
    <w:rsid w:val="00AC4566"/>
    <w:rsid w:val="00AC48AA"/>
    <w:rsid w:val="00AC4CEA"/>
    <w:rsid w:val="00AC4FD1"/>
    <w:rsid w:val="00AC51FA"/>
    <w:rsid w:val="00AC5666"/>
    <w:rsid w:val="00AC5778"/>
    <w:rsid w:val="00AC5C2A"/>
    <w:rsid w:val="00AC5C6A"/>
    <w:rsid w:val="00AC6399"/>
    <w:rsid w:val="00AC63A0"/>
    <w:rsid w:val="00AC63F8"/>
    <w:rsid w:val="00AC6E15"/>
    <w:rsid w:val="00AC7023"/>
    <w:rsid w:val="00AC72F0"/>
    <w:rsid w:val="00AC7471"/>
    <w:rsid w:val="00AC763F"/>
    <w:rsid w:val="00AC791C"/>
    <w:rsid w:val="00AD0039"/>
    <w:rsid w:val="00AD0058"/>
    <w:rsid w:val="00AD01F7"/>
    <w:rsid w:val="00AD0378"/>
    <w:rsid w:val="00AD044A"/>
    <w:rsid w:val="00AD0BF8"/>
    <w:rsid w:val="00AD0C67"/>
    <w:rsid w:val="00AD0D30"/>
    <w:rsid w:val="00AD1021"/>
    <w:rsid w:val="00AD1132"/>
    <w:rsid w:val="00AD1181"/>
    <w:rsid w:val="00AD1342"/>
    <w:rsid w:val="00AD15EA"/>
    <w:rsid w:val="00AD1771"/>
    <w:rsid w:val="00AD1776"/>
    <w:rsid w:val="00AD17B0"/>
    <w:rsid w:val="00AD28C0"/>
    <w:rsid w:val="00AD2DB0"/>
    <w:rsid w:val="00AD3120"/>
    <w:rsid w:val="00AD31D0"/>
    <w:rsid w:val="00AD4618"/>
    <w:rsid w:val="00AD4625"/>
    <w:rsid w:val="00AD4CDC"/>
    <w:rsid w:val="00AD5AC9"/>
    <w:rsid w:val="00AD5C62"/>
    <w:rsid w:val="00AD6343"/>
    <w:rsid w:val="00AD63C6"/>
    <w:rsid w:val="00AD64BC"/>
    <w:rsid w:val="00AD6839"/>
    <w:rsid w:val="00AD68D7"/>
    <w:rsid w:val="00AD692A"/>
    <w:rsid w:val="00AD6943"/>
    <w:rsid w:val="00AD6B7E"/>
    <w:rsid w:val="00AD70C8"/>
    <w:rsid w:val="00AD7284"/>
    <w:rsid w:val="00AD74AE"/>
    <w:rsid w:val="00AD7550"/>
    <w:rsid w:val="00AD7995"/>
    <w:rsid w:val="00AD79DE"/>
    <w:rsid w:val="00AD7CBD"/>
    <w:rsid w:val="00AE00FF"/>
    <w:rsid w:val="00AE02EA"/>
    <w:rsid w:val="00AE09C4"/>
    <w:rsid w:val="00AE1239"/>
    <w:rsid w:val="00AE21E6"/>
    <w:rsid w:val="00AE2663"/>
    <w:rsid w:val="00AE2730"/>
    <w:rsid w:val="00AE2F9D"/>
    <w:rsid w:val="00AE3062"/>
    <w:rsid w:val="00AE379A"/>
    <w:rsid w:val="00AE3965"/>
    <w:rsid w:val="00AE3B14"/>
    <w:rsid w:val="00AE3F03"/>
    <w:rsid w:val="00AE4862"/>
    <w:rsid w:val="00AE4ADD"/>
    <w:rsid w:val="00AE4D5A"/>
    <w:rsid w:val="00AE4F8B"/>
    <w:rsid w:val="00AE564A"/>
    <w:rsid w:val="00AE59BE"/>
    <w:rsid w:val="00AE5C4B"/>
    <w:rsid w:val="00AE5EA3"/>
    <w:rsid w:val="00AE5F17"/>
    <w:rsid w:val="00AE60D3"/>
    <w:rsid w:val="00AE63D7"/>
    <w:rsid w:val="00AE6474"/>
    <w:rsid w:val="00AE6627"/>
    <w:rsid w:val="00AE6AA6"/>
    <w:rsid w:val="00AE6F28"/>
    <w:rsid w:val="00AE70FA"/>
    <w:rsid w:val="00AE7C11"/>
    <w:rsid w:val="00AF003A"/>
    <w:rsid w:val="00AF0545"/>
    <w:rsid w:val="00AF06A2"/>
    <w:rsid w:val="00AF07CD"/>
    <w:rsid w:val="00AF0A33"/>
    <w:rsid w:val="00AF0A9B"/>
    <w:rsid w:val="00AF0D48"/>
    <w:rsid w:val="00AF0F52"/>
    <w:rsid w:val="00AF11D7"/>
    <w:rsid w:val="00AF1D54"/>
    <w:rsid w:val="00AF292D"/>
    <w:rsid w:val="00AF2A14"/>
    <w:rsid w:val="00AF2E41"/>
    <w:rsid w:val="00AF37FD"/>
    <w:rsid w:val="00AF3FDF"/>
    <w:rsid w:val="00AF40A3"/>
    <w:rsid w:val="00AF419C"/>
    <w:rsid w:val="00AF4B63"/>
    <w:rsid w:val="00AF4C2A"/>
    <w:rsid w:val="00AF4D27"/>
    <w:rsid w:val="00AF535F"/>
    <w:rsid w:val="00AF546D"/>
    <w:rsid w:val="00AF61E1"/>
    <w:rsid w:val="00AF633F"/>
    <w:rsid w:val="00AF659D"/>
    <w:rsid w:val="00AF7071"/>
    <w:rsid w:val="00AF7265"/>
    <w:rsid w:val="00B013F3"/>
    <w:rsid w:val="00B01A33"/>
    <w:rsid w:val="00B02706"/>
    <w:rsid w:val="00B0293D"/>
    <w:rsid w:val="00B02B73"/>
    <w:rsid w:val="00B02C3A"/>
    <w:rsid w:val="00B02ED7"/>
    <w:rsid w:val="00B03076"/>
    <w:rsid w:val="00B03657"/>
    <w:rsid w:val="00B03736"/>
    <w:rsid w:val="00B03A98"/>
    <w:rsid w:val="00B03F69"/>
    <w:rsid w:val="00B040CF"/>
    <w:rsid w:val="00B047F2"/>
    <w:rsid w:val="00B04813"/>
    <w:rsid w:val="00B0492C"/>
    <w:rsid w:val="00B0520D"/>
    <w:rsid w:val="00B05564"/>
    <w:rsid w:val="00B05BBA"/>
    <w:rsid w:val="00B0637C"/>
    <w:rsid w:val="00B063BE"/>
    <w:rsid w:val="00B071F0"/>
    <w:rsid w:val="00B0750E"/>
    <w:rsid w:val="00B076FE"/>
    <w:rsid w:val="00B102EA"/>
    <w:rsid w:val="00B103A9"/>
    <w:rsid w:val="00B103E1"/>
    <w:rsid w:val="00B107D7"/>
    <w:rsid w:val="00B10906"/>
    <w:rsid w:val="00B113E8"/>
    <w:rsid w:val="00B11437"/>
    <w:rsid w:val="00B11808"/>
    <w:rsid w:val="00B1183C"/>
    <w:rsid w:val="00B11A01"/>
    <w:rsid w:val="00B11A03"/>
    <w:rsid w:val="00B11B9A"/>
    <w:rsid w:val="00B12109"/>
    <w:rsid w:val="00B123DD"/>
    <w:rsid w:val="00B12864"/>
    <w:rsid w:val="00B12877"/>
    <w:rsid w:val="00B12A14"/>
    <w:rsid w:val="00B12DDA"/>
    <w:rsid w:val="00B12E61"/>
    <w:rsid w:val="00B13AD8"/>
    <w:rsid w:val="00B13DB3"/>
    <w:rsid w:val="00B13E62"/>
    <w:rsid w:val="00B13E78"/>
    <w:rsid w:val="00B1402A"/>
    <w:rsid w:val="00B14105"/>
    <w:rsid w:val="00B14132"/>
    <w:rsid w:val="00B153C3"/>
    <w:rsid w:val="00B157A6"/>
    <w:rsid w:val="00B15A85"/>
    <w:rsid w:val="00B15EB8"/>
    <w:rsid w:val="00B160F8"/>
    <w:rsid w:val="00B16539"/>
    <w:rsid w:val="00B165D4"/>
    <w:rsid w:val="00B16B59"/>
    <w:rsid w:val="00B16C06"/>
    <w:rsid w:val="00B174DD"/>
    <w:rsid w:val="00B1773A"/>
    <w:rsid w:val="00B17C0E"/>
    <w:rsid w:val="00B17F7C"/>
    <w:rsid w:val="00B201C2"/>
    <w:rsid w:val="00B203BC"/>
    <w:rsid w:val="00B20BA9"/>
    <w:rsid w:val="00B21B7D"/>
    <w:rsid w:val="00B21E44"/>
    <w:rsid w:val="00B21ED1"/>
    <w:rsid w:val="00B22945"/>
    <w:rsid w:val="00B22B3B"/>
    <w:rsid w:val="00B2304B"/>
    <w:rsid w:val="00B23BB0"/>
    <w:rsid w:val="00B23D4F"/>
    <w:rsid w:val="00B23E4E"/>
    <w:rsid w:val="00B2423A"/>
    <w:rsid w:val="00B250F5"/>
    <w:rsid w:val="00B25286"/>
    <w:rsid w:val="00B25764"/>
    <w:rsid w:val="00B2622D"/>
    <w:rsid w:val="00B26C4A"/>
    <w:rsid w:val="00B275DC"/>
    <w:rsid w:val="00B27BFF"/>
    <w:rsid w:val="00B27D10"/>
    <w:rsid w:val="00B30606"/>
    <w:rsid w:val="00B30A60"/>
    <w:rsid w:val="00B30BF9"/>
    <w:rsid w:val="00B30CBB"/>
    <w:rsid w:val="00B30E55"/>
    <w:rsid w:val="00B31389"/>
    <w:rsid w:val="00B31496"/>
    <w:rsid w:val="00B314D8"/>
    <w:rsid w:val="00B31B15"/>
    <w:rsid w:val="00B31E16"/>
    <w:rsid w:val="00B32087"/>
    <w:rsid w:val="00B3267C"/>
    <w:rsid w:val="00B3325D"/>
    <w:rsid w:val="00B33787"/>
    <w:rsid w:val="00B33833"/>
    <w:rsid w:val="00B3386C"/>
    <w:rsid w:val="00B3447F"/>
    <w:rsid w:val="00B3483D"/>
    <w:rsid w:val="00B348D4"/>
    <w:rsid w:val="00B34EEB"/>
    <w:rsid w:val="00B35541"/>
    <w:rsid w:val="00B35D67"/>
    <w:rsid w:val="00B36714"/>
    <w:rsid w:val="00B36DBC"/>
    <w:rsid w:val="00B36F84"/>
    <w:rsid w:val="00B3736C"/>
    <w:rsid w:val="00B37D0D"/>
    <w:rsid w:val="00B37DCE"/>
    <w:rsid w:val="00B37FFB"/>
    <w:rsid w:val="00B40023"/>
    <w:rsid w:val="00B403FE"/>
    <w:rsid w:val="00B404C1"/>
    <w:rsid w:val="00B40AF2"/>
    <w:rsid w:val="00B40E6B"/>
    <w:rsid w:val="00B4105F"/>
    <w:rsid w:val="00B41132"/>
    <w:rsid w:val="00B415FE"/>
    <w:rsid w:val="00B42070"/>
    <w:rsid w:val="00B4276D"/>
    <w:rsid w:val="00B42B9C"/>
    <w:rsid w:val="00B42C54"/>
    <w:rsid w:val="00B42DB8"/>
    <w:rsid w:val="00B42EFB"/>
    <w:rsid w:val="00B434DF"/>
    <w:rsid w:val="00B437A3"/>
    <w:rsid w:val="00B43AA9"/>
    <w:rsid w:val="00B4415E"/>
    <w:rsid w:val="00B4443F"/>
    <w:rsid w:val="00B4483D"/>
    <w:rsid w:val="00B44CEB"/>
    <w:rsid w:val="00B44E71"/>
    <w:rsid w:val="00B4620E"/>
    <w:rsid w:val="00B46309"/>
    <w:rsid w:val="00B466FC"/>
    <w:rsid w:val="00B468BE"/>
    <w:rsid w:val="00B46F39"/>
    <w:rsid w:val="00B470A4"/>
    <w:rsid w:val="00B47227"/>
    <w:rsid w:val="00B4751B"/>
    <w:rsid w:val="00B47627"/>
    <w:rsid w:val="00B477FB"/>
    <w:rsid w:val="00B47A05"/>
    <w:rsid w:val="00B47DE7"/>
    <w:rsid w:val="00B5045A"/>
    <w:rsid w:val="00B50B42"/>
    <w:rsid w:val="00B5117F"/>
    <w:rsid w:val="00B5142F"/>
    <w:rsid w:val="00B51565"/>
    <w:rsid w:val="00B516BD"/>
    <w:rsid w:val="00B51C83"/>
    <w:rsid w:val="00B53040"/>
    <w:rsid w:val="00B535C8"/>
    <w:rsid w:val="00B545EF"/>
    <w:rsid w:val="00B545F9"/>
    <w:rsid w:val="00B5476C"/>
    <w:rsid w:val="00B547BF"/>
    <w:rsid w:val="00B54CA5"/>
    <w:rsid w:val="00B54CBB"/>
    <w:rsid w:val="00B54E03"/>
    <w:rsid w:val="00B5513D"/>
    <w:rsid w:val="00B55639"/>
    <w:rsid w:val="00B5587A"/>
    <w:rsid w:val="00B55A27"/>
    <w:rsid w:val="00B55BB0"/>
    <w:rsid w:val="00B56024"/>
    <w:rsid w:val="00B56308"/>
    <w:rsid w:val="00B5653D"/>
    <w:rsid w:val="00B5663F"/>
    <w:rsid w:val="00B56719"/>
    <w:rsid w:val="00B56EBD"/>
    <w:rsid w:val="00B57DF3"/>
    <w:rsid w:val="00B57E19"/>
    <w:rsid w:val="00B600A4"/>
    <w:rsid w:val="00B60326"/>
    <w:rsid w:val="00B60602"/>
    <w:rsid w:val="00B607E3"/>
    <w:rsid w:val="00B60CC7"/>
    <w:rsid w:val="00B6109B"/>
    <w:rsid w:val="00B61F24"/>
    <w:rsid w:val="00B62912"/>
    <w:rsid w:val="00B629AB"/>
    <w:rsid w:val="00B62AD8"/>
    <w:rsid w:val="00B62CF9"/>
    <w:rsid w:val="00B62F33"/>
    <w:rsid w:val="00B63319"/>
    <w:rsid w:val="00B6354A"/>
    <w:rsid w:val="00B638E5"/>
    <w:rsid w:val="00B63965"/>
    <w:rsid w:val="00B64524"/>
    <w:rsid w:val="00B6488C"/>
    <w:rsid w:val="00B648EE"/>
    <w:rsid w:val="00B64C0B"/>
    <w:rsid w:val="00B64C1A"/>
    <w:rsid w:val="00B64D81"/>
    <w:rsid w:val="00B64F60"/>
    <w:rsid w:val="00B64FA4"/>
    <w:rsid w:val="00B65536"/>
    <w:rsid w:val="00B65C64"/>
    <w:rsid w:val="00B662D6"/>
    <w:rsid w:val="00B66CAF"/>
    <w:rsid w:val="00B673C1"/>
    <w:rsid w:val="00B676B3"/>
    <w:rsid w:val="00B67D1C"/>
    <w:rsid w:val="00B705A4"/>
    <w:rsid w:val="00B708EC"/>
    <w:rsid w:val="00B7145B"/>
    <w:rsid w:val="00B714EE"/>
    <w:rsid w:val="00B715CA"/>
    <w:rsid w:val="00B72210"/>
    <w:rsid w:val="00B722F1"/>
    <w:rsid w:val="00B72566"/>
    <w:rsid w:val="00B72E59"/>
    <w:rsid w:val="00B72FA3"/>
    <w:rsid w:val="00B730DF"/>
    <w:rsid w:val="00B73A82"/>
    <w:rsid w:val="00B73D7C"/>
    <w:rsid w:val="00B74374"/>
    <w:rsid w:val="00B74A35"/>
    <w:rsid w:val="00B74ADB"/>
    <w:rsid w:val="00B74C9F"/>
    <w:rsid w:val="00B74DC3"/>
    <w:rsid w:val="00B752E0"/>
    <w:rsid w:val="00B756E8"/>
    <w:rsid w:val="00B75C71"/>
    <w:rsid w:val="00B75D5E"/>
    <w:rsid w:val="00B7618E"/>
    <w:rsid w:val="00B76BA4"/>
    <w:rsid w:val="00B77216"/>
    <w:rsid w:val="00B77268"/>
    <w:rsid w:val="00B77D18"/>
    <w:rsid w:val="00B77EF0"/>
    <w:rsid w:val="00B77F4E"/>
    <w:rsid w:val="00B77F68"/>
    <w:rsid w:val="00B8009D"/>
    <w:rsid w:val="00B80434"/>
    <w:rsid w:val="00B80A48"/>
    <w:rsid w:val="00B80B7D"/>
    <w:rsid w:val="00B80DB3"/>
    <w:rsid w:val="00B80FDF"/>
    <w:rsid w:val="00B81204"/>
    <w:rsid w:val="00B81375"/>
    <w:rsid w:val="00B822F2"/>
    <w:rsid w:val="00B82B9C"/>
    <w:rsid w:val="00B82BFB"/>
    <w:rsid w:val="00B83A06"/>
    <w:rsid w:val="00B83DC6"/>
    <w:rsid w:val="00B83DE1"/>
    <w:rsid w:val="00B84A73"/>
    <w:rsid w:val="00B84EB3"/>
    <w:rsid w:val="00B8500B"/>
    <w:rsid w:val="00B85644"/>
    <w:rsid w:val="00B859B2"/>
    <w:rsid w:val="00B85B8F"/>
    <w:rsid w:val="00B860F4"/>
    <w:rsid w:val="00B8610F"/>
    <w:rsid w:val="00B86361"/>
    <w:rsid w:val="00B865F2"/>
    <w:rsid w:val="00B86AE3"/>
    <w:rsid w:val="00B871F6"/>
    <w:rsid w:val="00B872BF"/>
    <w:rsid w:val="00B877CD"/>
    <w:rsid w:val="00B87DE7"/>
    <w:rsid w:val="00B90539"/>
    <w:rsid w:val="00B9057C"/>
    <w:rsid w:val="00B90AAA"/>
    <w:rsid w:val="00B90ABB"/>
    <w:rsid w:val="00B90CED"/>
    <w:rsid w:val="00B910BB"/>
    <w:rsid w:val="00B91692"/>
    <w:rsid w:val="00B91739"/>
    <w:rsid w:val="00B91DA8"/>
    <w:rsid w:val="00B925AD"/>
    <w:rsid w:val="00B92C97"/>
    <w:rsid w:val="00B9321E"/>
    <w:rsid w:val="00B93357"/>
    <w:rsid w:val="00B933D0"/>
    <w:rsid w:val="00B93540"/>
    <w:rsid w:val="00B936E2"/>
    <w:rsid w:val="00B9379B"/>
    <w:rsid w:val="00B93957"/>
    <w:rsid w:val="00B93AAB"/>
    <w:rsid w:val="00B93B5F"/>
    <w:rsid w:val="00B93F2B"/>
    <w:rsid w:val="00B949AF"/>
    <w:rsid w:val="00B949D9"/>
    <w:rsid w:val="00B95128"/>
    <w:rsid w:val="00B9530A"/>
    <w:rsid w:val="00B9533C"/>
    <w:rsid w:val="00B95436"/>
    <w:rsid w:val="00B95DC6"/>
    <w:rsid w:val="00B95EB9"/>
    <w:rsid w:val="00B9615E"/>
    <w:rsid w:val="00B96737"/>
    <w:rsid w:val="00B97073"/>
    <w:rsid w:val="00B97419"/>
    <w:rsid w:val="00B97774"/>
    <w:rsid w:val="00B97C51"/>
    <w:rsid w:val="00B97E27"/>
    <w:rsid w:val="00B97E52"/>
    <w:rsid w:val="00BA01CC"/>
    <w:rsid w:val="00BA022E"/>
    <w:rsid w:val="00BA02F1"/>
    <w:rsid w:val="00BA04BF"/>
    <w:rsid w:val="00BA056D"/>
    <w:rsid w:val="00BA0A3A"/>
    <w:rsid w:val="00BA0A3B"/>
    <w:rsid w:val="00BA0A73"/>
    <w:rsid w:val="00BA0AE3"/>
    <w:rsid w:val="00BA0BB0"/>
    <w:rsid w:val="00BA0CA7"/>
    <w:rsid w:val="00BA0E26"/>
    <w:rsid w:val="00BA0EC5"/>
    <w:rsid w:val="00BA1285"/>
    <w:rsid w:val="00BA1912"/>
    <w:rsid w:val="00BA1A2F"/>
    <w:rsid w:val="00BA1B90"/>
    <w:rsid w:val="00BA1BF9"/>
    <w:rsid w:val="00BA1D36"/>
    <w:rsid w:val="00BA1E54"/>
    <w:rsid w:val="00BA1FF1"/>
    <w:rsid w:val="00BA2677"/>
    <w:rsid w:val="00BA2C6D"/>
    <w:rsid w:val="00BA2DD7"/>
    <w:rsid w:val="00BA2F44"/>
    <w:rsid w:val="00BA3094"/>
    <w:rsid w:val="00BA33FD"/>
    <w:rsid w:val="00BA37F6"/>
    <w:rsid w:val="00BA3A1E"/>
    <w:rsid w:val="00BA406A"/>
    <w:rsid w:val="00BA4172"/>
    <w:rsid w:val="00BA43A9"/>
    <w:rsid w:val="00BA4437"/>
    <w:rsid w:val="00BA4672"/>
    <w:rsid w:val="00BA4B64"/>
    <w:rsid w:val="00BA4ED8"/>
    <w:rsid w:val="00BA520A"/>
    <w:rsid w:val="00BA5686"/>
    <w:rsid w:val="00BA57BA"/>
    <w:rsid w:val="00BA5850"/>
    <w:rsid w:val="00BA5869"/>
    <w:rsid w:val="00BA5A35"/>
    <w:rsid w:val="00BA5B56"/>
    <w:rsid w:val="00BA5CC1"/>
    <w:rsid w:val="00BA5EAE"/>
    <w:rsid w:val="00BA619F"/>
    <w:rsid w:val="00BA64D0"/>
    <w:rsid w:val="00BA68BB"/>
    <w:rsid w:val="00BA6BB0"/>
    <w:rsid w:val="00BA74A5"/>
    <w:rsid w:val="00BA7D63"/>
    <w:rsid w:val="00BA7DF7"/>
    <w:rsid w:val="00BB0380"/>
    <w:rsid w:val="00BB0AEB"/>
    <w:rsid w:val="00BB0BDA"/>
    <w:rsid w:val="00BB0CC7"/>
    <w:rsid w:val="00BB0ED0"/>
    <w:rsid w:val="00BB17DF"/>
    <w:rsid w:val="00BB192F"/>
    <w:rsid w:val="00BB27DE"/>
    <w:rsid w:val="00BB2814"/>
    <w:rsid w:val="00BB31FC"/>
    <w:rsid w:val="00BB3322"/>
    <w:rsid w:val="00BB3491"/>
    <w:rsid w:val="00BB4202"/>
    <w:rsid w:val="00BB518F"/>
    <w:rsid w:val="00BB51DA"/>
    <w:rsid w:val="00BB5393"/>
    <w:rsid w:val="00BB5781"/>
    <w:rsid w:val="00BB5BC3"/>
    <w:rsid w:val="00BB5F0B"/>
    <w:rsid w:val="00BB61BA"/>
    <w:rsid w:val="00BB642B"/>
    <w:rsid w:val="00BB674C"/>
    <w:rsid w:val="00BB6BBC"/>
    <w:rsid w:val="00BB6D43"/>
    <w:rsid w:val="00BB7384"/>
    <w:rsid w:val="00BB7576"/>
    <w:rsid w:val="00BB78B4"/>
    <w:rsid w:val="00BC0941"/>
    <w:rsid w:val="00BC0B2A"/>
    <w:rsid w:val="00BC0B40"/>
    <w:rsid w:val="00BC0C1E"/>
    <w:rsid w:val="00BC0C26"/>
    <w:rsid w:val="00BC1291"/>
    <w:rsid w:val="00BC1B3B"/>
    <w:rsid w:val="00BC21D3"/>
    <w:rsid w:val="00BC2279"/>
    <w:rsid w:val="00BC24AC"/>
    <w:rsid w:val="00BC24C5"/>
    <w:rsid w:val="00BC26E4"/>
    <w:rsid w:val="00BC2766"/>
    <w:rsid w:val="00BC2789"/>
    <w:rsid w:val="00BC285D"/>
    <w:rsid w:val="00BC2AAC"/>
    <w:rsid w:val="00BC2B70"/>
    <w:rsid w:val="00BC2CAC"/>
    <w:rsid w:val="00BC30E4"/>
    <w:rsid w:val="00BC3909"/>
    <w:rsid w:val="00BC42D5"/>
    <w:rsid w:val="00BC4993"/>
    <w:rsid w:val="00BC4ABF"/>
    <w:rsid w:val="00BC4B84"/>
    <w:rsid w:val="00BC4C06"/>
    <w:rsid w:val="00BC4C55"/>
    <w:rsid w:val="00BC4CAF"/>
    <w:rsid w:val="00BC4E5D"/>
    <w:rsid w:val="00BC5B17"/>
    <w:rsid w:val="00BC6233"/>
    <w:rsid w:val="00BC6527"/>
    <w:rsid w:val="00BC6594"/>
    <w:rsid w:val="00BC6BED"/>
    <w:rsid w:val="00BC6E6B"/>
    <w:rsid w:val="00BC7015"/>
    <w:rsid w:val="00BC73DC"/>
    <w:rsid w:val="00BC7554"/>
    <w:rsid w:val="00BC777D"/>
    <w:rsid w:val="00BD0527"/>
    <w:rsid w:val="00BD053B"/>
    <w:rsid w:val="00BD06D4"/>
    <w:rsid w:val="00BD0E28"/>
    <w:rsid w:val="00BD0E5F"/>
    <w:rsid w:val="00BD102C"/>
    <w:rsid w:val="00BD10D8"/>
    <w:rsid w:val="00BD1103"/>
    <w:rsid w:val="00BD19EC"/>
    <w:rsid w:val="00BD1B35"/>
    <w:rsid w:val="00BD1C3D"/>
    <w:rsid w:val="00BD1CA0"/>
    <w:rsid w:val="00BD213A"/>
    <w:rsid w:val="00BD2769"/>
    <w:rsid w:val="00BD2848"/>
    <w:rsid w:val="00BD2E78"/>
    <w:rsid w:val="00BD3561"/>
    <w:rsid w:val="00BD36C4"/>
    <w:rsid w:val="00BD38C7"/>
    <w:rsid w:val="00BD447F"/>
    <w:rsid w:val="00BD4815"/>
    <w:rsid w:val="00BD48D5"/>
    <w:rsid w:val="00BD4A56"/>
    <w:rsid w:val="00BD4A7D"/>
    <w:rsid w:val="00BD4CF1"/>
    <w:rsid w:val="00BD5009"/>
    <w:rsid w:val="00BD51B9"/>
    <w:rsid w:val="00BD5597"/>
    <w:rsid w:val="00BD5D13"/>
    <w:rsid w:val="00BD5F58"/>
    <w:rsid w:val="00BD6358"/>
    <w:rsid w:val="00BD6477"/>
    <w:rsid w:val="00BD6519"/>
    <w:rsid w:val="00BD6C72"/>
    <w:rsid w:val="00BD73C1"/>
    <w:rsid w:val="00BD7A89"/>
    <w:rsid w:val="00BD7FBE"/>
    <w:rsid w:val="00BE029B"/>
    <w:rsid w:val="00BE080B"/>
    <w:rsid w:val="00BE0AE8"/>
    <w:rsid w:val="00BE1716"/>
    <w:rsid w:val="00BE19CA"/>
    <w:rsid w:val="00BE1FE4"/>
    <w:rsid w:val="00BE30A5"/>
    <w:rsid w:val="00BE313F"/>
    <w:rsid w:val="00BE368A"/>
    <w:rsid w:val="00BE37CD"/>
    <w:rsid w:val="00BE39F4"/>
    <w:rsid w:val="00BE3AFD"/>
    <w:rsid w:val="00BE3E75"/>
    <w:rsid w:val="00BE4257"/>
    <w:rsid w:val="00BE45AA"/>
    <w:rsid w:val="00BE4A52"/>
    <w:rsid w:val="00BE4B24"/>
    <w:rsid w:val="00BE4CDC"/>
    <w:rsid w:val="00BE4DF5"/>
    <w:rsid w:val="00BE4E0B"/>
    <w:rsid w:val="00BE5569"/>
    <w:rsid w:val="00BE5817"/>
    <w:rsid w:val="00BE5CD3"/>
    <w:rsid w:val="00BE5E50"/>
    <w:rsid w:val="00BE5EB7"/>
    <w:rsid w:val="00BE67B6"/>
    <w:rsid w:val="00BE67BF"/>
    <w:rsid w:val="00BE697E"/>
    <w:rsid w:val="00BE6BA3"/>
    <w:rsid w:val="00BE713C"/>
    <w:rsid w:val="00BE72FC"/>
    <w:rsid w:val="00BE7FCE"/>
    <w:rsid w:val="00BF0429"/>
    <w:rsid w:val="00BF04CF"/>
    <w:rsid w:val="00BF0DCF"/>
    <w:rsid w:val="00BF0E8E"/>
    <w:rsid w:val="00BF112F"/>
    <w:rsid w:val="00BF15B3"/>
    <w:rsid w:val="00BF17E0"/>
    <w:rsid w:val="00BF1CC3"/>
    <w:rsid w:val="00BF1D67"/>
    <w:rsid w:val="00BF1F4A"/>
    <w:rsid w:val="00BF201A"/>
    <w:rsid w:val="00BF23AA"/>
    <w:rsid w:val="00BF24E0"/>
    <w:rsid w:val="00BF2677"/>
    <w:rsid w:val="00BF2AA4"/>
    <w:rsid w:val="00BF2ED0"/>
    <w:rsid w:val="00BF3017"/>
    <w:rsid w:val="00BF34AE"/>
    <w:rsid w:val="00BF34D8"/>
    <w:rsid w:val="00BF36A2"/>
    <w:rsid w:val="00BF370B"/>
    <w:rsid w:val="00BF3C1C"/>
    <w:rsid w:val="00BF3F9D"/>
    <w:rsid w:val="00BF41AE"/>
    <w:rsid w:val="00BF44F9"/>
    <w:rsid w:val="00BF4A03"/>
    <w:rsid w:val="00BF50B9"/>
    <w:rsid w:val="00BF53CE"/>
    <w:rsid w:val="00BF572E"/>
    <w:rsid w:val="00BF57B2"/>
    <w:rsid w:val="00BF5FCD"/>
    <w:rsid w:val="00BF6021"/>
    <w:rsid w:val="00BF60BA"/>
    <w:rsid w:val="00BF6254"/>
    <w:rsid w:val="00BF67EB"/>
    <w:rsid w:val="00BF68A8"/>
    <w:rsid w:val="00BF6A0B"/>
    <w:rsid w:val="00BF79A5"/>
    <w:rsid w:val="00BF7CFA"/>
    <w:rsid w:val="00C0006D"/>
    <w:rsid w:val="00C00160"/>
    <w:rsid w:val="00C00B08"/>
    <w:rsid w:val="00C00ED1"/>
    <w:rsid w:val="00C013B7"/>
    <w:rsid w:val="00C013BC"/>
    <w:rsid w:val="00C0212C"/>
    <w:rsid w:val="00C02DAB"/>
    <w:rsid w:val="00C02E7A"/>
    <w:rsid w:val="00C02E84"/>
    <w:rsid w:val="00C04075"/>
    <w:rsid w:val="00C0417A"/>
    <w:rsid w:val="00C04226"/>
    <w:rsid w:val="00C0427A"/>
    <w:rsid w:val="00C046CA"/>
    <w:rsid w:val="00C04BFE"/>
    <w:rsid w:val="00C04D0B"/>
    <w:rsid w:val="00C04D16"/>
    <w:rsid w:val="00C04DF9"/>
    <w:rsid w:val="00C0501B"/>
    <w:rsid w:val="00C055A7"/>
    <w:rsid w:val="00C059A0"/>
    <w:rsid w:val="00C05FB8"/>
    <w:rsid w:val="00C0687A"/>
    <w:rsid w:val="00C075D5"/>
    <w:rsid w:val="00C07946"/>
    <w:rsid w:val="00C07E2D"/>
    <w:rsid w:val="00C07F76"/>
    <w:rsid w:val="00C102D6"/>
    <w:rsid w:val="00C104B4"/>
    <w:rsid w:val="00C104E6"/>
    <w:rsid w:val="00C107AA"/>
    <w:rsid w:val="00C108E0"/>
    <w:rsid w:val="00C10E3B"/>
    <w:rsid w:val="00C10ECE"/>
    <w:rsid w:val="00C10FBA"/>
    <w:rsid w:val="00C11459"/>
    <w:rsid w:val="00C11850"/>
    <w:rsid w:val="00C11994"/>
    <w:rsid w:val="00C11C65"/>
    <w:rsid w:val="00C11C8B"/>
    <w:rsid w:val="00C12590"/>
    <w:rsid w:val="00C12A3D"/>
    <w:rsid w:val="00C12D7B"/>
    <w:rsid w:val="00C1347A"/>
    <w:rsid w:val="00C136F2"/>
    <w:rsid w:val="00C13DAF"/>
    <w:rsid w:val="00C14010"/>
    <w:rsid w:val="00C144F1"/>
    <w:rsid w:val="00C14516"/>
    <w:rsid w:val="00C149F9"/>
    <w:rsid w:val="00C15279"/>
    <w:rsid w:val="00C1529D"/>
    <w:rsid w:val="00C15668"/>
    <w:rsid w:val="00C15A19"/>
    <w:rsid w:val="00C15A68"/>
    <w:rsid w:val="00C15C58"/>
    <w:rsid w:val="00C16034"/>
    <w:rsid w:val="00C167AB"/>
    <w:rsid w:val="00C167D5"/>
    <w:rsid w:val="00C169F9"/>
    <w:rsid w:val="00C16C3A"/>
    <w:rsid w:val="00C16E77"/>
    <w:rsid w:val="00C170B3"/>
    <w:rsid w:val="00C17934"/>
    <w:rsid w:val="00C17B16"/>
    <w:rsid w:val="00C17C75"/>
    <w:rsid w:val="00C20062"/>
    <w:rsid w:val="00C2017F"/>
    <w:rsid w:val="00C20190"/>
    <w:rsid w:val="00C2049E"/>
    <w:rsid w:val="00C20753"/>
    <w:rsid w:val="00C20A54"/>
    <w:rsid w:val="00C20AFE"/>
    <w:rsid w:val="00C20EA2"/>
    <w:rsid w:val="00C21560"/>
    <w:rsid w:val="00C2156E"/>
    <w:rsid w:val="00C215A1"/>
    <w:rsid w:val="00C21AEE"/>
    <w:rsid w:val="00C21B95"/>
    <w:rsid w:val="00C21EAF"/>
    <w:rsid w:val="00C22152"/>
    <w:rsid w:val="00C221B2"/>
    <w:rsid w:val="00C228D8"/>
    <w:rsid w:val="00C23314"/>
    <w:rsid w:val="00C23406"/>
    <w:rsid w:val="00C23653"/>
    <w:rsid w:val="00C237AA"/>
    <w:rsid w:val="00C239F7"/>
    <w:rsid w:val="00C25145"/>
    <w:rsid w:val="00C256E9"/>
    <w:rsid w:val="00C260AE"/>
    <w:rsid w:val="00C2613E"/>
    <w:rsid w:val="00C266F2"/>
    <w:rsid w:val="00C26A79"/>
    <w:rsid w:val="00C26E46"/>
    <w:rsid w:val="00C2709E"/>
    <w:rsid w:val="00C271C2"/>
    <w:rsid w:val="00C27AFC"/>
    <w:rsid w:val="00C27C3A"/>
    <w:rsid w:val="00C27EEE"/>
    <w:rsid w:val="00C27F18"/>
    <w:rsid w:val="00C30375"/>
    <w:rsid w:val="00C307D7"/>
    <w:rsid w:val="00C30807"/>
    <w:rsid w:val="00C30823"/>
    <w:rsid w:val="00C31000"/>
    <w:rsid w:val="00C31133"/>
    <w:rsid w:val="00C31811"/>
    <w:rsid w:val="00C31CFA"/>
    <w:rsid w:val="00C3210E"/>
    <w:rsid w:val="00C321F5"/>
    <w:rsid w:val="00C32374"/>
    <w:rsid w:val="00C32B14"/>
    <w:rsid w:val="00C32BAD"/>
    <w:rsid w:val="00C32F17"/>
    <w:rsid w:val="00C33149"/>
    <w:rsid w:val="00C3350D"/>
    <w:rsid w:val="00C335ED"/>
    <w:rsid w:val="00C33BDF"/>
    <w:rsid w:val="00C34ACA"/>
    <w:rsid w:val="00C35082"/>
    <w:rsid w:val="00C35BA1"/>
    <w:rsid w:val="00C36180"/>
    <w:rsid w:val="00C367C3"/>
    <w:rsid w:val="00C36E2A"/>
    <w:rsid w:val="00C3733B"/>
    <w:rsid w:val="00C40690"/>
    <w:rsid w:val="00C408BC"/>
    <w:rsid w:val="00C40A5D"/>
    <w:rsid w:val="00C40A88"/>
    <w:rsid w:val="00C40D3C"/>
    <w:rsid w:val="00C410B2"/>
    <w:rsid w:val="00C412EA"/>
    <w:rsid w:val="00C4148E"/>
    <w:rsid w:val="00C41557"/>
    <w:rsid w:val="00C415DC"/>
    <w:rsid w:val="00C417F4"/>
    <w:rsid w:val="00C422D7"/>
    <w:rsid w:val="00C423B8"/>
    <w:rsid w:val="00C42588"/>
    <w:rsid w:val="00C43255"/>
    <w:rsid w:val="00C433B0"/>
    <w:rsid w:val="00C436E4"/>
    <w:rsid w:val="00C4378F"/>
    <w:rsid w:val="00C438B5"/>
    <w:rsid w:val="00C439C7"/>
    <w:rsid w:val="00C43E13"/>
    <w:rsid w:val="00C4411A"/>
    <w:rsid w:val="00C448F0"/>
    <w:rsid w:val="00C44AE6"/>
    <w:rsid w:val="00C45412"/>
    <w:rsid w:val="00C4547F"/>
    <w:rsid w:val="00C46419"/>
    <w:rsid w:val="00C4660F"/>
    <w:rsid w:val="00C466CF"/>
    <w:rsid w:val="00C466F1"/>
    <w:rsid w:val="00C46DBA"/>
    <w:rsid w:val="00C46F56"/>
    <w:rsid w:val="00C47344"/>
    <w:rsid w:val="00C47403"/>
    <w:rsid w:val="00C4749B"/>
    <w:rsid w:val="00C47817"/>
    <w:rsid w:val="00C47AEB"/>
    <w:rsid w:val="00C513FE"/>
    <w:rsid w:val="00C51460"/>
    <w:rsid w:val="00C51AA9"/>
    <w:rsid w:val="00C520B0"/>
    <w:rsid w:val="00C5252B"/>
    <w:rsid w:val="00C528C7"/>
    <w:rsid w:val="00C52A6F"/>
    <w:rsid w:val="00C52AC8"/>
    <w:rsid w:val="00C52FA9"/>
    <w:rsid w:val="00C532CE"/>
    <w:rsid w:val="00C53459"/>
    <w:rsid w:val="00C53D52"/>
    <w:rsid w:val="00C54148"/>
    <w:rsid w:val="00C544DF"/>
    <w:rsid w:val="00C54697"/>
    <w:rsid w:val="00C54C92"/>
    <w:rsid w:val="00C54F9B"/>
    <w:rsid w:val="00C552AD"/>
    <w:rsid w:val="00C55878"/>
    <w:rsid w:val="00C55B80"/>
    <w:rsid w:val="00C55C4E"/>
    <w:rsid w:val="00C55F07"/>
    <w:rsid w:val="00C55FA3"/>
    <w:rsid w:val="00C56068"/>
    <w:rsid w:val="00C560D9"/>
    <w:rsid w:val="00C56558"/>
    <w:rsid w:val="00C56C63"/>
    <w:rsid w:val="00C57196"/>
    <w:rsid w:val="00C5721F"/>
    <w:rsid w:val="00C579B4"/>
    <w:rsid w:val="00C57A04"/>
    <w:rsid w:val="00C57A16"/>
    <w:rsid w:val="00C57E8A"/>
    <w:rsid w:val="00C605BC"/>
    <w:rsid w:val="00C610E3"/>
    <w:rsid w:val="00C61830"/>
    <w:rsid w:val="00C61C05"/>
    <w:rsid w:val="00C61DB9"/>
    <w:rsid w:val="00C61DBE"/>
    <w:rsid w:val="00C629DE"/>
    <w:rsid w:val="00C630CE"/>
    <w:rsid w:val="00C632F4"/>
    <w:rsid w:val="00C635A6"/>
    <w:rsid w:val="00C63961"/>
    <w:rsid w:val="00C63B2C"/>
    <w:rsid w:val="00C64214"/>
    <w:rsid w:val="00C64474"/>
    <w:rsid w:val="00C648B7"/>
    <w:rsid w:val="00C64C92"/>
    <w:rsid w:val="00C64FFD"/>
    <w:rsid w:val="00C65053"/>
    <w:rsid w:val="00C6582D"/>
    <w:rsid w:val="00C65CD2"/>
    <w:rsid w:val="00C65E2E"/>
    <w:rsid w:val="00C66385"/>
    <w:rsid w:val="00C665DE"/>
    <w:rsid w:val="00C66808"/>
    <w:rsid w:val="00C66B90"/>
    <w:rsid w:val="00C67AA7"/>
    <w:rsid w:val="00C702F1"/>
    <w:rsid w:val="00C70711"/>
    <w:rsid w:val="00C707E0"/>
    <w:rsid w:val="00C70C49"/>
    <w:rsid w:val="00C71046"/>
    <w:rsid w:val="00C71BE0"/>
    <w:rsid w:val="00C71DD4"/>
    <w:rsid w:val="00C7216B"/>
    <w:rsid w:val="00C72503"/>
    <w:rsid w:val="00C7280A"/>
    <w:rsid w:val="00C72DD6"/>
    <w:rsid w:val="00C733AD"/>
    <w:rsid w:val="00C7346A"/>
    <w:rsid w:val="00C736D4"/>
    <w:rsid w:val="00C74508"/>
    <w:rsid w:val="00C74744"/>
    <w:rsid w:val="00C74DB3"/>
    <w:rsid w:val="00C75C01"/>
    <w:rsid w:val="00C75D0F"/>
    <w:rsid w:val="00C76220"/>
    <w:rsid w:val="00C7661D"/>
    <w:rsid w:val="00C76E0B"/>
    <w:rsid w:val="00C7718E"/>
    <w:rsid w:val="00C77777"/>
    <w:rsid w:val="00C7779A"/>
    <w:rsid w:val="00C77BF3"/>
    <w:rsid w:val="00C80037"/>
    <w:rsid w:val="00C801D4"/>
    <w:rsid w:val="00C80332"/>
    <w:rsid w:val="00C80675"/>
    <w:rsid w:val="00C8082D"/>
    <w:rsid w:val="00C80C46"/>
    <w:rsid w:val="00C810D2"/>
    <w:rsid w:val="00C81143"/>
    <w:rsid w:val="00C81752"/>
    <w:rsid w:val="00C8177B"/>
    <w:rsid w:val="00C81968"/>
    <w:rsid w:val="00C81B21"/>
    <w:rsid w:val="00C81D18"/>
    <w:rsid w:val="00C82076"/>
    <w:rsid w:val="00C82226"/>
    <w:rsid w:val="00C8231B"/>
    <w:rsid w:val="00C834DF"/>
    <w:rsid w:val="00C839DC"/>
    <w:rsid w:val="00C84290"/>
    <w:rsid w:val="00C84B73"/>
    <w:rsid w:val="00C85375"/>
    <w:rsid w:val="00C8557A"/>
    <w:rsid w:val="00C858E5"/>
    <w:rsid w:val="00C85AF7"/>
    <w:rsid w:val="00C85F66"/>
    <w:rsid w:val="00C869EE"/>
    <w:rsid w:val="00C87196"/>
    <w:rsid w:val="00C87203"/>
    <w:rsid w:val="00C87B0F"/>
    <w:rsid w:val="00C87B26"/>
    <w:rsid w:val="00C87B6B"/>
    <w:rsid w:val="00C9012D"/>
    <w:rsid w:val="00C90458"/>
    <w:rsid w:val="00C9097D"/>
    <w:rsid w:val="00C90ADA"/>
    <w:rsid w:val="00C90BB2"/>
    <w:rsid w:val="00C9120D"/>
    <w:rsid w:val="00C91742"/>
    <w:rsid w:val="00C91ACF"/>
    <w:rsid w:val="00C91D5B"/>
    <w:rsid w:val="00C921EF"/>
    <w:rsid w:val="00C92298"/>
    <w:rsid w:val="00C92780"/>
    <w:rsid w:val="00C9299D"/>
    <w:rsid w:val="00C92A2A"/>
    <w:rsid w:val="00C92D09"/>
    <w:rsid w:val="00C92EC2"/>
    <w:rsid w:val="00C932BC"/>
    <w:rsid w:val="00C93C1C"/>
    <w:rsid w:val="00C93D0B"/>
    <w:rsid w:val="00C941FB"/>
    <w:rsid w:val="00C945BF"/>
    <w:rsid w:val="00C94789"/>
    <w:rsid w:val="00C94B7E"/>
    <w:rsid w:val="00C94BDA"/>
    <w:rsid w:val="00C9534A"/>
    <w:rsid w:val="00C954E4"/>
    <w:rsid w:val="00C95CD8"/>
    <w:rsid w:val="00C95DB9"/>
    <w:rsid w:val="00C96619"/>
    <w:rsid w:val="00C966D4"/>
    <w:rsid w:val="00C966E8"/>
    <w:rsid w:val="00C9678B"/>
    <w:rsid w:val="00C96BAA"/>
    <w:rsid w:val="00C96F99"/>
    <w:rsid w:val="00C9704F"/>
    <w:rsid w:val="00C97518"/>
    <w:rsid w:val="00C978CD"/>
    <w:rsid w:val="00C97AA6"/>
    <w:rsid w:val="00CA0805"/>
    <w:rsid w:val="00CA0E95"/>
    <w:rsid w:val="00CA10B0"/>
    <w:rsid w:val="00CA1B43"/>
    <w:rsid w:val="00CA1E57"/>
    <w:rsid w:val="00CA25CE"/>
    <w:rsid w:val="00CA2634"/>
    <w:rsid w:val="00CA2E6A"/>
    <w:rsid w:val="00CA347D"/>
    <w:rsid w:val="00CA3641"/>
    <w:rsid w:val="00CA3D79"/>
    <w:rsid w:val="00CA42CF"/>
    <w:rsid w:val="00CA495B"/>
    <w:rsid w:val="00CA4A9F"/>
    <w:rsid w:val="00CA4D0C"/>
    <w:rsid w:val="00CA50AD"/>
    <w:rsid w:val="00CA533D"/>
    <w:rsid w:val="00CA54A4"/>
    <w:rsid w:val="00CA5802"/>
    <w:rsid w:val="00CA58BA"/>
    <w:rsid w:val="00CA5C6C"/>
    <w:rsid w:val="00CA6253"/>
    <w:rsid w:val="00CA637B"/>
    <w:rsid w:val="00CA68FC"/>
    <w:rsid w:val="00CA6944"/>
    <w:rsid w:val="00CA6E09"/>
    <w:rsid w:val="00CA7907"/>
    <w:rsid w:val="00CB008A"/>
    <w:rsid w:val="00CB0138"/>
    <w:rsid w:val="00CB0470"/>
    <w:rsid w:val="00CB0573"/>
    <w:rsid w:val="00CB0639"/>
    <w:rsid w:val="00CB070D"/>
    <w:rsid w:val="00CB07B0"/>
    <w:rsid w:val="00CB10CA"/>
    <w:rsid w:val="00CB1492"/>
    <w:rsid w:val="00CB1715"/>
    <w:rsid w:val="00CB17DE"/>
    <w:rsid w:val="00CB19AB"/>
    <w:rsid w:val="00CB21A9"/>
    <w:rsid w:val="00CB2414"/>
    <w:rsid w:val="00CB2473"/>
    <w:rsid w:val="00CB2527"/>
    <w:rsid w:val="00CB2637"/>
    <w:rsid w:val="00CB2763"/>
    <w:rsid w:val="00CB397D"/>
    <w:rsid w:val="00CB39BC"/>
    <w:rsid w:val="00CB3A04"/>
    <w:rsid w:val="00CB455D"/>
    <w:rsid w:val="00CB4577"/>
    <w:rsid w:val="00CB45CE"/>
    <w:rsid w:val="00CB562B"/>
    <w:rsid w:val="00CB5652"/>
    <w:rsid w:val="00CB5FF7"/>
    <w:rsid w:val="00CB6222"/>
    <w:rsid w:val="00CB6231"/>
    <w:rsid w:val="00CB63DE"/>
    <w:rsid w:val="00CB66EC"/>
    <w:rsid w:val="00CB6BDC"/>
    <w:rsid w:val="00CB751C"/>
    <w:rsid w:val="00CB7569"/>
    <w:rsid w:val="00CB7D5B"/>
    <w:rsid w:val="00CC0042"/>
    <w:rsid w:val="00CC0788"/>
    <w:rsid w:val="00CC0921"/>
    <w:rsid w:val="00CC0952"/>
    <w:rsid w:val="00CC0D47"/>
    <w:rsid w:val="00CC0D9F"/>
    <w:rsid w:val="00CC11AA"/>
    <w:rsid w:val="00CC147B"/>
    <w:rsid w:val="00CC1F8A"/>
    <w:rsid w:val="00CC21EF"/>
    <w:rsid w:val="00CC26AD"/>
    <w:rsid w:val="00CC2A62"/>
    <w:rsid w:val="00CC2E7F"/>
    <w:rsid w:val="00CC340C"/>
    <w:rsid w:val="00CC3531"/>
    <w:rsid w:val="00CC3B70"/>
    <w:rsid w:val="00CC4298"/>
    <w:rsid w:val="00CC44CC"/>
    <w:rsid w:val="00CC47A7"/>
    <w:rsid w:val="00CC55E0"/>
    <w:rsid w:val="00CC596F"/>
    <w:rsid w:val="00CC5B52"/>
    <w:rsid w:val="00CC5EB5"/>
    <w:rsid w:val="00CC6C85"/>
    <w:rsid w:val="00CC6F07"/>
    <w:rsid w:val="00CC6FB7"/>
    <w:rsid w:val="00CC7AA2"/>
    <w:rsid w:val="00CC7D47"/>
    <w:rsid w:val="00CD0935"/>
    <w:rsid w:val="00CD106C"/>
    <w:rsid w:val="00CD1166"/>
    <w:rsid w:val="00CD1D81"/>
    <w:rsid w:val="00CD1F70"/>
    <w:rsid w:val="00CD232A"/>
    <w:rsid w:val="00CD23E6"/>
    <w:rsid w:val="00CD2462"/>
    <w:rsid w:val="00CD27B6"/>
    <w:rsid w:val="00CD2832"/>
    <w:rsid w:val="00CD2C59"/>
    <w:rsid w:val="00CD3281"/>
    <w:rsid w:val="00CD3434"/>
    <w:rsid w:val="00CD36CF"/>
    <w:rsid w:val="00CD3823"/>
    <w:rsid w:val="00CD3CAE"/>
    <w:rsid w:val="00CD410D"/>
    <w:rsid w:val="00CD4299"/>
    <w:rsid w:val="00CD450E"/>
    <w:rsid w:val="00CD45C4"/>
    <w:rsid w:val="00CD4933"/>
    <w:rsid w:val="00CD4A7D"/>
    <w:rsid w:val="00CD4A8F"/>
    <w:rsid w:val="00CD4D2A"/>
    <w:rsid w:val="00CD5DF5"/>
    <w:rsid w:val="00CD6154"/>
    <w:rsid w:val="00CD648D"/>
    <w:rsid w:val="00CD6D7C"/>
    <w:rsid w:val="00CD6EE6"/>
    <w:rsid w:val="00CD70FA"/>
    <w:rsid w:val="00CE02AC"/>
    <w:rsid w:val="00CE04A4"/>
    <w:rsid w:val="00CE04AC"/>
    <w:rsid w:val="00CE05D6"/>
    <w:rsid w:val="00CE0665"/>
    <w:rsid w:val="00CE0C07"/>
    <w:rsid w:val="00CE0CB4"/>
    <w:rsid w:val="00CE0D29"/>
    <w:rsid w:val="00CE0F28"/>
    <w:rsid w:val="00CE1022"/>
    <w:rsid w:val="00CE1062"/>
    <w:rsid w:val="00CE11CB"/>
    <w:rsid w:val="00CE19BF"/>
    <w:rsid w:val="00CE1A05"/>
    <w:rsid w:val="00CE1ED8"/>
    <w:rsid w:val="00CE20EE"/>
    <w:rsid w:val="00CE2801"/>
    <w:rsid w:val="00CE2CE0"/>
    <w:rsid w:val="00CE2CEA"/>
    <w:rsid w:val="00CE3556"/>
    <w:rsid w:val="00CE357F"/>
    <w:rsid w:val="00CE35E4"/>
    <w:rsid w:val="00CE36AE"/>
    <w:rsid w:val="00CE40A5"/>
    <w:rsid w:val="00CE40EE"/>
    <w:rsid w:val="00CE416E"/>
    <w:rsid w:val="00CE45F3"/>
    <w:rsid w:val="00CE46E8"/>
    <w:rsid w:val="00CE4B44"/>
    <w:rsid w:val="00CE4E71"/>
    <w:rsid w:val="00CE501E"/>
    <w:rsid w:val="00CE533D"/>
    <w:rsid w:val="00CE5B92"/>
    <w:rsid w:val="00CE5E98"/>
    <w:rsid w:val="00CE5F9C"/>
    <w:rsid w:val="00CE6052"/>
    <w:rsid w:val="00CE61D3"/>
    <w:rsid w:val="00CE7008"/>
    <w:rsid w:val="00CE7495"/>
    <w:rsid w:val="00CE7612"/>
    <w:rsid w:val="00CE7661"/>
    <w:rsid w:val="00CE76CD"/>
    <w:rsid w:val="00CE7829"/>
    <w:rsid w:val="00CE7E52"/>
    <w:rsid w:val="00CE7F01"/>
    <w:rsid w:val="00CE7FDA"/>
    <w:rsid w:val="00CF0052"/>
    <w:rsid w:val="00CF0239"/>
    <w:rsid w:val="00CF0754"/>
    <w:rsid w:val="00CF085F"/>
    <w:rsid w:val="00CF0AB3"/>
    <w:rsid w:val="00CF27FB"/>
    <w:rsid w:val="00CF2B12"/>
    <w:rsid w:val="00CF2B5C"/>
    <w:rsid w:val="00CF2B75"/>
    <w:rsid w:val="00CF2BBA"/>
    <w:rsid w:val="00CF2E04"/>
    <w:rsid w:val="00CF2EFF"/>
    <w:rsid w:val="00CF359D"/>
    <w:rsid w:val="00CF3995"/>
    <w:rsid w:val="00CF3A2F"/>
    <w:rsid w:val="00CF3C6C"/>
    <w:rsid w:val="00CF3E65"/>
    <w:rsid w:val="00CF3ED6"/>
    <w:rsid w:val="00CF43A9"/>
    <w:rsid w:val="00CF462D"/>
    <w:rsid w:val="00CF48FA"/>
    <w:rsid w:val="00CF4933"/>
    <w:rsid w:val="00CF4980"/>
    <w:rsid w:val="00CF4EFF"/>
    <w:rsid w:val="00CF5099"/>
    <w:rsid w:val="00CF5418"/>
    <w:rsid w:val="00CF54A3"/>
    <w:rsid w:val="00CF57B9"/>
    <w:rsid w:val="00CF6105"/>
    <w:rsid w:val="00CF6A85"/>
    <w:rsid w:val="00CF78EC"/>
    <w:rsid w:val="00CF7A47"/>
    <w:rsid w:val="00CF7CA5"/>
    <w:rsid w:val="00CF7E8E"/>
    <w:rsid w:val="00D00405"/>
    <w:rsid w:val="00D00854"/>
    <w:rsid w:val="00D00D43"/>
    <w:rsid w:val="00D01117"/>
    <w:rsid w:val="00D01F9F"/>
    <w:rsid w:val="00D02761"/>
    <w:rsid w:val="00D032FF"/>
    <w:rsid w:val="00D03314"/>
    <w:rsid w:val="00D039F9"/>
    <w:rsid w:val="00D03C65"/>
    <w:rsid w:val="00D03D60"/>
    <w:rsid w:val="00D04120"/>
    <w:rsid w:val="00D0423A"/>
    <w:rsid w:val="00D04848"/>
    <w:rsid w:val="00D04922"/>
    <w:rsid w:val="00D04C41"/>
    <w:rsid w:val="00D04C61"/>
    <w:rsid w:val="00D05108"/>
    <w:rsid w:val="00D053C8"/>
    <w:rsid w:val="00D054F8"/>
    <w:rsid w:val="00D05F02"/>
    <w:rsid w:val="00D0620E"/>
    <w:rsid w:val="00D06661"/>
    <w:rsid w:val="00D067C4"/>
    <w:rsid w:val="00D06BD6"/>
    <w:rsid w:val="00D07AB6"/>
    <w:rsid w:val="00D07C0A"/>
    <w:rsid w:val="00D10402"/>
    <w:rsid w:val="00D10B01"/>
    <w:rsid w:val="00D10E32"/>
    <w:rsid w:val="00D10F39"/>
    <w:rsid w:val="00D10F7A"/>
    <w:rsid w:val="00D11405"/>
    <w:rsid w:val="00D11515"/>
    <w:rsid w:val="00D11C24"/>
    <w:rsid w:val="00D124BF"/>
    <w:rsid w:val="00D126AE"/>
    <w:rsid w:val="00D13151"/>
    <w:rsid w:val="00D139AD"/>
    <w:rsid w:val="00D14031"/>
    <w:rsid w:val="00D14053"/>
    <w:rsid w:val="00D14AA8"/>
    <w:rsid w:val="00D150E3"/>
    <w:rsid w:val="00D151D9"/>
    <w:rsid w:val="00D155A1"/>
    <w:rsid w:val="00D155B8"/>
    <w:rsid w:val="00D15678"/>
    <w:rsid w:val="00D15A87"/>
    <w:rsid w:val="00D15ECF"/>
    <w:rsid w:val="00D15F28"/>
    <w:rsid w:val="00D15FC9"/>
    <w:rsid w:val="00D161F2"/>
    <w:rsid w:val="00D16401"/>
    <w:rsid w:val="00D16D24"/>
    <w:rsid w:val="00D1708A"/>
    <w:rsid w:val="00D173C8"/>
    <w:rsid w:val="00D17526"/>
    <w:rsid w:val="00D17564"/>
    <w:rsid w:val="00D177C7"/>
    <w:rsid w:val="00D17881"/>
    <w:rsid w:val="00D17C6D"/>
    <w:rsid w:val="00D20006"/>
    <w:rsid w:val="00D20108"/>
    <w:rsid w:val="00D203EE"/>
    <w:rsid w:val="00D20584"/>
    <w:rsid w:val="00D20917"/>
    <w:rsid w:val="00D20EC1"/>
    <w:rsid w:val="00D20F04"/>
    <w:rsid w:val="00D2114E"/>
    <w:rsid w:val="00D2127A"/>
    <w:rsid w:val="00D212B5"/>
    <w:rsid w:val="00D2155C"/>
    <w:rsid w:val="00D21CDE"/>
    <w:rsid w:val="00D21F01"/>
    <w:rsid w:val="00D226D1"/>
    <w:rsid w:val="00D22B22"/>
    <w:rsid w:val="00D23446"/>
    <w:rsid w:val="00D23541"/>
    <w:rsid w:val="00D23756"/>
    <w:rsid w:val="00D238D6"/>
    <w:rsid w:val="00D23C01"/>
    <w:rsid w:val="00D246C8"/>
    <w:rsid w:val="00D24CAB"/>
    <w:rsid w:val="00D254BA"/>
    <w:rsid w:val="00D25D36"/>
    <w:rsid w:val="00D25F23"/>
    <w:rsid w:val="00D2651E"/>
    <w:rsid w:val="00D2681A"/>
    <w:rsid w:val="00D26BE7"/>
    <w:rsid w:val="00D26EF4"/>
    <w:rsid w:val="00D270B6"/>
    <w:rsid w:val="00D27627"/>
    <w:rsid w:val="00D27DDC"/>
    <w:rsid w:val="00D3039A"/>
    <w:rsid w:val="00D303D6"/>
    <w:rsid w:val="00D3041C"/>
    <w:rsid w:val="00D30B68"/>
    <w:rsid w:val="00D30E31"/>
    <w:rsid w:val="00D30F72"/>
    <w:rsid w:val="00D312C2"/>
    <w:rsid w:val="00D31A4D"/>
    <w:rsid w:val="00D31C60"/>
    <w:rsid w:val="00D320D7"/>
    <w:rsid w:val="00D32966"/>
    <w:rsid w:val="00D32D8F"/>
    <w:rsid w:val="00D338BD"/>
    <w:rsid w:val="00D33BC9"/>
    <w:rsid w:val="00D33D30"/>
    <w:rsid w:val="00D33FA9"/>
    <w:rsid w:val="00D34282"/>
    <w:rsid w:val="00D3428D"/>
    <w:rsid w:val="00D3445C"/>
    <w:rsid w:val="00D34579"/>
    <w:rsid w:val="00D34E46"/>
    <w:rsid w:val="00D351F0"/>
    <w:rsid w:val="00D358EB"/>
    <w:rsid w:val="00D35B94"/>
    <w:rsid w:val="00D360EE"/>
    <w:rsid w:val="00D36688"/>
    <w:rsid w:val="00D3677B"/>
    <w:rsid w:val="00D36804"/>
    <w:rsid w:val="00D370E5"/>
    <w:rsid w:val="00D3726D"/>
    <w:rsid w:val="00D373CA"/>
    <w:rsid w:val="00D37C58"/>
    <w:rsid w:val="00D37F04"/>
    <w:rsid w:val="00D37F31"/>
    <w:rsid w:val="00D400FD"/>
    <w:rsid w:val="00D4054C"/>
    <w:rsid w:val="00D4096E"/>
    <w:rsid w:val="00D40E67"/>
    <w:rsid w:val="00D41F77"/>
    <w:rsid w:val="00D42118"/>
    <w:rsid w:val="00D424D5"/>
    <w:rsid w:val="00D42A79"/>
    <w:rsid w:val="00D432EC"/>
    <w:rsid w:val="00D438ED"/>
    <w:rsid w:val="00D44508"/>
    <w:rsid w:val="00D4467A"/>
    <w:rsid w:val="00D44894"/>
    <w:rsid w:val="00D44A82"/>
    <w:rsid w:val="00D44B98"/>
    <w:rsid w:val="00D44DFD"/>
    <w:rsid w:val="00D45588"/>
    <w:rsid w:val="00D45EC1"/>
    <w:rsid w:val="00D4618F"/>
    <w:rsid w:val="00D461ED"/>
    <w:rsid w:val="00D46387"/>
    <w:rsid w:val="00D463A1"/>
    <w:rsid w:val="00D4669C"/>
    <w:rsid w:val="00D469AD"/>
    <w:rsid w:val="00D46A37"/>
    <w:rsid w:val="00D46D7C"/>
    <w:rsid w:val="00D46DC5"/>
    <w:rsid w:val="00D46FD2"/>
    <w:rsid w:val="00D4724B"/>
    <w:rsid w:val="00D472B6"/>
    <w:rsid w:val="00D47800"/>
    <w:rsid w:val="00D47AC8"/>
    <w:rsid w:val="00D47F75"/>
    <w:rsid w:val="00D5049A"/>
    <w:rsid w:val="00D508F2"/>
    <w:rsid w:val="00D50974"/>
    <w:rsid w:val="00D51360"/>
    <w:rsid w:val="00D51712"/>
    <w:rsid w:val="00D51A87"/>
    <w:rsid w:val="00D51B78"/>
    <w:rsid w:val="00D51C3A"/>
    <w:rsid w:val="00D51EA4"/>
    <w:rsid w:val="00D51FB1"/>
    <w:rsid w:val="00D5242A"/>
    <w:rsid w:val="00D524A0"/>
    <w:rsid w:val="00D5253A"/>
    <w:rsid w:val="00D52618"/>
    <w:rsid w:val="00D52690"/>
    <w:rsid w:val="00D527BE"/>
    <w:rsid w:val="00D531E7"/>
    <w:rsid w:val="00D537CC"/>
    <w:rsid w:val="00D53859"/>
    <w:rsid w:val="00D539F3"/>
    <w:rsid w:val="00D53A32"/>
    <w:rsid w:val="00D54068"/>
    <w:rsid w:val="00D540BC"/>
    <w:rsid w:val="00D54138"/>
    <w:rsid w:val="00D541D0"/>
    <w:rsid w:val="00D54F71"/>
    <w:rsid w:val="00D54FFD"/>
    <w:rsid w:val="00D554CE"/>
    <w:rsid w:val="00D55C4B"/>
    <w:rsid w:val="00D55D8E"/>
    <w:rsid w:val="00D56815"/>
    <w:rsid w:val="00D568E7"/>
    <w:rsid w:val="00D56C46"/>
    <w:rsid w:val="00D57132"/>
    <w:rsid w:val="00D57853"/>
    <w:rsid w:val="00D60196"/>
    <w:rsid w:val="00D6049F"/>
    <w:rsid w:val="00D60608"/>
    <w:rsid w:val="00D60C02"/>
    <w:rsid w:val="00D60C9D"/>
    <w:rsid w:val="00D60C9E"/>
    <w:rsid w:val="00D60FE0"/>
    <w:rsid w:val="00D61A2F"/>
    <w:rsid w:val="00D62074"/>
    <w:rsid w:val="00D6236E"/>
    <w:rsid w:val="00D62FF1"/>
    <w:rsid w:val="00D63090"/>
    <w:rsid w:val="00D63273"/>
    <w:rsid w:val="00D6343B"/>
    <w:rsid w:val="00D63A60"/>
    <w:rsid w:val="00D63BF8"/>
    <w:rsid w:val="00D63C25"/>
    <w:rsid w:val="00D63DD5"/>
    <w:rsid w:val="00D63EF2"/>
    <w:rsid w:val="00D649FE"/>
    <w:rsid w:val="00D64C29"/>
    <w:rsid w:val="00D64E6F"/>
    <w:rsid w:val="00D65030"/>
    <w:rsid w:val="00D65239"/>
    <w:rsid w:val="00D65306"/>
    <w:rsid w:val="00D65651"/>
    <w:rsid w:val="00D6594C"/>
    <w:rsid w:val="00D659A2"/>
    <w:rsid w:val="00D65B3E"/>
    <w:rsid w:val="00D66347"/>
    <w:rsid w:val="00D663EF"/>
    <w:rsid w:val="00D66471"/>
    <w:rsid w:val="00D664C6"/>
    <w:rsid w:val="00D666E1"/>
    <w:rsid w:val="00D668B7"/>
    <w:rsid w:val="00D66C0B"/>
    <w:rsid w:val="00D66CA6"/>
    <w:rsid w:val="00D66EF1"/>
    <w:rsid w:val="00D672E5"/>
    <w:rsid w:val="00D674A5"/>
    <w:rsid w:val="00D67837"/>
    <w:rsid w:val="00D67950"/>
    <w:rsid w:val="00D67CC9"/>
    <w:rsid w:val="00D67E5B"/>
    <w:rsid w:val="00D702F1"/>
    <w:rsid w:val="00D707E6"/>
    <w:rsid w:val="00D70B93"/>
    <w:rsid w:val="00D70DF1"/>
    <w:rsid w:val="00D71FE9"/>
    <w:rsid w:val="00D72278"/>
    <w:rsid w:val="00D722AA"/>
    <w:rsid w:val="00D7237E"/>
    <w:rsid w:val="00D727DD"/>
    <w:rsid w:val="00D727E9"/>
    <w:rsid w:val="00D73132"/>
    <w:rsid w:val="00D735C1"/>
    <w:rsid w:val="00D738CA"/>
    <w:rsid w:val="00D73F17"/>
    <w:rsid w:val="00D74152"/>
    <w:rsid w:val="00D74283"/>
    <w:rsid w:val="00D74675"/>
    <w:rsid w:val="00D74979"/>
    <w:rsid w:val="00D75154"/>
    <w:rsid w:val="00D75267"/>
    <w:rsid w:val="00D755BC"/>
    <w:rsid w:val="00D75973"/>
    <w:rsid w:val="00D75C67"/>
    <w:rsid w:val="00D75CAE"/>
    <w:rsid w:val="00D75E4B"/>
    <w:rsid w:val="00D76027"/>
    <w:rsid w:val="00D7639B"/>
    <w:rsid w:val="00D765B4"/>
    <w:rsid w:val="00D7666A"/>
    <w:rsid w:val="00D768FE"/>
    <w:rsid w:val="00D76D3F"/>
    <w:rsid w:val="00D770F9"/>
    <w:rsid w:val="00D771EE"/>
    <w:rsid w:val="00D77555"/>
    <w:rsid w:val="00D777DA"/>
    <w:rsid w:val="00D77A96"/>
    <w:rsid w:val="00D77D1E"/>
    <w:rsid w:val="00D8028A"/>
    <w:rsid w:val="00D81059"/>
    <w:rsid w:val="00D813CC"/>
    <w:rsid w:val="00D8170C"/>
    <w:rsid w:val="00D819D7"/>
    <w:rsid w:val="00D81EBA"/>
    <w:rsid w:val="00D8241C"/>
    <w:rsid w:val="00D82553"/>
    <w:rsid w:val="00D8267E"/>
    <w:rsid w:val="00D8268D"/>
    <w:rsid w:val="00D82815"/>
    <w:rsid w:val="00D82EB7"/>
    <w:rsid w:val="00D83195"/>
    <w:rsid w:val="00D83E04"/>
    <w:rsid w:val="00D83E3F"/>
    <w:rsid w:val="00D83ECD"/>
    <w:rsid w:val="00D83F1D"/>
    <w:rsid w:val="00D8407F"/>
    <w:rsid w:val="00D84573"/>
    <w:rsid w:val="00D849BD"/>
    <w:rsid w:val="00D84A6D"/>
    <w:rsid w:val="00D85280"/>
    <w:rsid w:val="00D856CE"/>
    <w:rsid w:val="00D85E46"/>
    <w:rsid w:val="00D86903"/>
    <w:rsid w:val="00D86BBD"/>
    <w:rsid w:val="00D86BC6"/>
    <w:rsid w:val="00D86F0C"/>
    <w:rsid w:val="00D8709B"/>
    <w:rsid w:val="00D87207"/>
    <w:rsid w:val="00D8761D"/>
    <w:rsid w:val="00D87644"/>
    <w:rsid w:val="00D87C58"/>
    <w:rsid w:val="00D90325"/>
    <w:rsid w:val="00D9042C"/>
    <w:rsid w:val="00D906F5"/>
    <w:rsid w:val="00D90A84"/>
    <w:rsid w:val="00D90AC6"/>
    <w:rsid w:val="00D90B80"/>
    <w:rsid w:val="00D90C7B"/>
    <w:rsid w:val="00D90CB8"/>
    <w:rsid w:val="00D910B4"/>
    <w:rsid w:val="00D92079"/>
    <w:rsid w:val="00D928E6"/>
    <w:rsid w:val="00D93037"/>
    <w:rsid w:val="00D93F58"/>
    <w:rsid w:val="00D95410"/>
    <w:rsid w:val="00D95586"/>
    <w:rsid w:val="00D956DA"/>
    <w:rsid w:val="00D95964"/>
    <w:rsid w:val="00D96249"/>
    <w:rsid w:val="00D9644C"/>
    <w:rsid w:val="00D96485"/>
    <w:rsid w:val="00D96BEC"/>
    <w:rsid w:val="00D96FAF"/>
    <w:rsid w:val="00D973B6"/>
    <w:rsid w:val="00D9779C"/>
    <w:rsid w:val="00D9783E"/>
    <w:rsid w:val="00D97CCD"/>
    <w:rsid w:val="00DA0713"/>
    <w:rsid w:val="00DA26A7"/>
    <w:rsid w:val="00DA2AE3"/>
    <w:rsid w:val="00DA2EFC"/>
    <w:rsid w:val="00DA3108"/>
    <w:rsid w:val="00DA3317"/>
    <w:rsid w:val="00DA3483"/>
    <w:rsid w:val="00DA35CD"/>
    <w:rsid w:val="00DA414F"/>
    <w:rsid w:val="00DA48B8"/>
    <w:rsid w:val="00DA4D59"/>
    <w:rsid w:val="00DA4F35"/>
    <w:rsid w:val="00DA52CA"/>
    <w:rsid w:val="00DA52D6"/>
    <w:rsid w:val="00DA54AD"/>
    <w:rsid w:val="00DA5A54"/>
    <w:rsid w:val="00DA5D95"/>
    <w:rsid w:val="00DA6246"/>
    <w:rsid w:val="00DA6441"/>
    <w:rsid w:val="00DA6752"/>
    <w:rsid w:val="00DA6791"/>
    <w:rsid w:val="00DA6B2A"/>
    <w:rsid w:val="00DA70E6"/>
    <w:rsid w:val="00DA74C1"/>
    <w:rsid w:val="00DA7BBA"/>
    <w:rsid w:val="00DB092D"/>
    <w:rsid w:val="00DB0C63"/>
    <w:rsid w:val="00DB0D57"/>
    <w:rsid w:val="00DB0F62"/>
    <w:rsid w:val="00DB0FB4"/>
    <w:rsid w:val="00DB11B5"/>
    <w:rsid w:val="00DB1204"/>
    <w:rsid w:val="00DB1733"/>
    <w:rsid w:val="00DB1925"/>
    <w:rsid w:val="00DB1F02"/>
    <w:rsid w:val="00DB1F06"/>
    <w:rsid w:val="00DB1F16"/>
    <w:rsid w:val="00DB25D0"/>
    <w:rsid w:val="00DB25E1"/>
    <w:rsid w:val="00DB2772"/>
    <w:rsid w:val="00DB2932"/>
    <w:rsid w:val="00DB33FB"/>
    <w:rsid w:val="00DB345C"/>
    <w:rsid w:val="00DB3468"/>
    <w:rsid w:val="00DB3710"/>
    <w:rsid w:val="00DB3960"/>
    <w:rsid w:val="00DB3ABF"/>
    <w:rsid w:val="00DB3D14"/>
    <w:rsid w:val="00DB3E5B"/>
    <w:rsid w:val="00DB42CD"/>
    <w:rsid w:val="00DB4F91"/>
    <w:rsid w:val="00DB57A4"/>
    <w:rsid w:val="00DB5A4E"/>
    <w:rsid w:val="00DB5A91"/>
    <w:rsid w:val="00DB6117"/>
    <w:rsid w:val="00DB6B87"/>
    <w:rsid w:val="00DB7255"/>
    <w:rsid w:val="00DB7590"/>
    <w:rsid w:val="00DB7777"/>
    <w:rsid w:val="00DB78DF"/>
    <w:rsid w:val="00DC03B8"/>
    <w:rsid w:val="00DC0BF2"/>
    <w:rsid w:val="00DC0E7C"/>
    <w:rsid w:val="00DC0F82"/>
    <w:rsid w:val="00DC119D"/>
    <w:rsid w:val="00DC1602"/>
    <w:rsid w:val="00DC17BF"/>
    <w:rsid w:val="00DC17F1"/>
    <w:rsid w:val="00DC18CD"/>
    <w:rsid w:val="00DC1F12"/>
    <w:rsid w:val="00DC23F2"/>
    <w:rsid w:val="00DC24B1"/>
    <w:rsid w:val="00DC2669"/>
    <w:rsid w:val="00DC284D"/>
    <w:rsid w:val="00DC2D8D"/>
    <w:rsid w:val="00DC2ED6"/>
    <w:rsid w:val="00DC2F81"/>
    <w:rsid w:val="00DC3240"/>
    <w:rsid w:val="00DC3D0D"/>
    <w:rsid w:val="00DC3E4A"/>
    <w:rsid w:val="00DC4A07"/>
    <w:rsid w:val="00DC4B4F"/>
    <w:rsid w:val="00DC4C65"/>
    <w:rsid w:val="00DC5369"/>
    <w:rsid w:val="00DC55EC"/>
    <w:rsid w:val="00DC5A59"/>
    <w:rsid w:val="00DC5BF4"/>
    <w:rsid w:val="00DC5E18"/>
    <w:rsid w:val="00DC64A4"/>
    <w:rsid w:val="00DC73B5"/>
    <w:rsid w:val="00DC75AA"/>
    <w:rsid w:val="00DC7ABE"/>
    <w:rsid w:val="00DC7D0D"/>
    <w:rsid w:val="00DC7FDB"/>
    <w:rsid w:val="00DD0780"/>
    <w:rsid w:val="00DD08B2"/>
    <w:rsid w:val="00DD0BFC"/>
    <w:rsid w:val="00DD100C"/>
    <w:rsid w:val="00DD1026"/>
    <w:rsid w:val="00DD133F"/>
    <w:rsid w:val="00DD168B"/>
    <w:rsid w:val="00DD18BC"/>
    <w:rsid w:val="00DD1A34"/>
    <w:rsid w:val="00DD1B58"/>
    <w:rsid w:val="00DD2142"/>
    <w:rsid w:val="00DD21AB"/>
    <w:rsid w:val="00DD2434"/>
    <w:rsid w:val="00DD2723"/>
    <w:rsid w:val="00DD2CD2"/>
    <w:rsid w:val="00DD2F43"/>
    <w:rsid w:val="00DD34F4"/>
    <w:rsid w:val="00DD3574"/>
    <w:rsid w:val="00DD3D4C"/>
    <w:rsid w:val="00DD4AEF"/>
    <w:rsid w:val="00DD4D97"/>
    <w:rsid w:val="00DD4E2D"/>
    <w:rsid w:val="00DD4E7F"/>
    <w:rsid w:val="00DD4EBA"/>
    <w:rsid w:val="00DD5306"/>
    <w:rsid w:val="00DD5683"/>
    <w:rsid w:val="00DD587B"/>
    <w:rsid w:val="00DD5A8B"/>
    <w:rsid w:val="00DD6BC6"/>
    <w:rsid w:val="00DD7BA1"/>
    <w:rsid w:val="00DD7E7A"/>
    <w:rsid w:val="00DD7EC5"/>
    <w:rsid w:val="00DE00B1"/>
    <w:rsid w:val="00DE087B"/>
    <w:rsid w:val="00DE08DE"/>
    <w:rsid w:val="00DE14C0"/>
    <w:rsid w:val="00DE1E31"/>
    <w:rsid w:val="00DE200B"/>
    <w:rsid w:val="00DE24EF"/>
    <w:rsid w:val="00DE257E"/>
    <w:rsid w:val="00DE276B"/>
    <w:rsid w:val="00DE279B"/>
    <w:rsid w:val="00DE2CA3"/>
    <w:rsid w:val="00DE2FA0"/>
    <w:rsid w:val="00DE34C8"/>
    <w:rsid w:val="00DE3FDC"/>
    <w:rsid w:val="00DE417B"/>
    <w:rsid w:val="00DE4706"/>
    <w:rsid w:val="00DE47DF"/>
    <w:rsid w:val="00DE4B02"/>
    <w:rsid w:val="00DE4B07"/>
    <w:rsid w:val="00DE4C26"/>
    <w:rsid w:val="00DE4FA5"/>
    <w:rsid w:val="00DE517B"/>
    <w:rsid w:val="00DE53E0"/>
    <w:rsid w:val="00DE5910"/>
    <w:rsid w:val="00DE5931"/>
    <w:rsid w:val="00DE5B17"/>
    <w:rsid w:val="00DE6D6F"/>
    <w:rsid w:val="00DE733C"/>
    <w:rsid w:val="00DE73F6"/>
    <w:rsid w:val="00DE7662"/>
    <w:rsid w:val="00DE7E23"/>
    <w:rsid w:val="00DF011F"/>
    <w:rsid w:val="00DF0255"/>
    <w:rsid w:val="00DF0382"/>
    <w:rsid w:val="00DF04D1"/>
    <w:rsid w:val="00DF08A6"/>
    <w:rsid w:val="00DF0A08"/>
    <w:rsid w:val="00DF0AC1"/>
    <w:rsid w:val="00DF0E7B"/>
    <w:rsid w:val="00DF11CE"/>
    <w:rsid w:val="00DF1385"/>
    <w:rsid w:val="00DF1957"/>
    <w:rsid w:val="00DF2BEE"/>
    <w:rsid w:val="00DF3A38"/>
    <w:rsid w:val="00DF4E44"/>
    <w:rsid w:val="00DF5CB0"/>
    <w:rsid w:val="00DF5D0C"/>
    <w:rsid w:val="00DF62FB"/>
    <w:rsid w:val="00DF62FC"/>
    <w:rsid w:val="00DF6421"/>
    <w:rsid w:val="00DF6C31"/>
    <w:rsid w:val="00DF7A03"/>
    <w:rsid w:val="00DF7B2C"/>
    <w:rsid w:val="00DF7FD3"/>
    <w:rsid w:val="00E0001B"/>
    <w:rsid w:val="00E007AD"/>
    <w:rsid w:val="00E007B3"/>
    <w:rsid w:val="00E00CF6"/>
    <w:rsid w:val="00E00DC8"/>
    <w:rsid w:val="00E01243"/>
    <w:rsid w:val="00E0129D"/>
    <w:rsid w:val="00E01BA6"/>
    <w:rsid w:val="00E01E74"/>
    <w:rsid w:val="00E01E75"/>
    <w:rsid w:val="00E024C8"/>
    <w:rsid w:val="00E025FB"/>
    <w:rsid w:val="00E0273B"/>
    <w:rsid w:val="00E0284E"/>
    <w:rsid w:val="00E0287F"/>
    <w:rsid w:val="00E02A8F"/>
    <w:rsid w:val="00E02E25"/>
    <w:rsid w:val="00E02F58"/>
    <w:rsid w:val="00E03C86"/>
    <w:rsid w:val="00E03DC1"/>
    <w:rsid w:val="00E03EA9"/>
    <w:rsid w:val="00E042AE"/>
    <w:rsid w:val="00E045E1"/>
    <w:rsid w:val="00E054CF"/>
    <w:rsid w:val="00E05921"/>
    <w:rsid w:val="00E059DE"/>
    <w:rsid w:val="00E05B7A"/>
    <w:rsid w:val="00E05EEC"/>
    <w:rsid w:val="00E067BA"/>
    <w:rsid w:val="00E06B2E"/>
    <w:rsid w:val="00E06BA2"/>
    <w:rsid w:val="00E07553"/>
    <w:rsid w:val="00E077D2"/>
    <w:rsid w:val="00E07F79"/>
    <w:rsid w:val="00E1034F"/>
    <w:rsid w:val="00E10946"/>
    <w:rsid w:val="00E109FE"/>
    <w:rsid w:val="00E10E8A"/>
    <w:rsid w:val="00E1162E"/>
    <w:rsid w:val="00E1168A"/>
    <w:rsid w:val="00E11732"/>
    <w:rsid w:val="00E11F0F"/>
    <w:rsid w:val="00E11F78"/>
    <w:rsid w:val="00E122AB"/>
    <w:rsid w:val="00E12E31"/>
    <w:rsid w:val="00E12E78"/>
    <w:rsid w:val="00E12F02"/>
    <w:rsid w:val="00E12F23"/>
    <w:rsid w:val="00E13425"/>
    <w:rsid w:val="00E134B3"/>
    <w:rsid w:val="00E138D4"/>
    <w:rsid w:val="00E13C85"/>
    <w:rsid w:val="00E13EAF"/>
    <w:rsid w:val="00E13F43"/>
    <w:rsid w:val="00E14210"/>
    <w:rsid w:val="00E1454E"/>
    <w:rsid w:val="00E14C2C"/>
    <w:rsid w:val="00E15421"/>
    <w:rsid w:val="00E15A8B"/>
    <w:rsid w:val="00E15D3E"/>
    <w:rsid w:val="00E15FC9"/>
    <w:rsid w:val="00E16053"/>
    <w:rsid w:val="00E1631B"/>
    <w:rsid w:val="00E1664F"/>
    <w:rsid w:val="00E166EF"/>
    <w:rsid w:val="00E167E2"/>
    <w:rsid w:val="00E174C3"/>
    <w:rsid w:val="00E1772C"/>
    <w:rsid w:val="00E17F2D"/>
    <w:rsid w:val="00E2036E"/>
    <w:rsid w:val="00E203FA"/>
    <w:rsid w:val="00E204B0"/>
    <w:rsid w:val="00E2065E"/>
    <w:rsid w:val="00E206EC"/>
    <w:rsid w:val="00E2083E"/>
    <w:rsid w:val="00E21076"/>
    <w:rsid w:val="00E211AF"/>
    <w:rsid w:val="00E211EF"/>
    <w:rsid w:val="00E21246"/>
    <w:rsid w:val="00E21413"/>
    <w:rsid w:val="00E214D1"/>
    <w:rsid w:val="00E2153A"/>
    <w:rsid w:val="00E216BA"/>
    <w:rsid w:val="00E22228"/>
    <w:rsid w:val="00E2227F"/>
    <w:rsid w:val="00E222AC"/>
    <w:rsid w:val="00E2267A"/>
    <w:rsid w:val="00E22A5A"/>
    <w:rsid w:val="00E22D34"/>
    <w:rsid w:val="00E2325E"/>
    <w:rsid w:val="00E23A99"/>
    <w:rsid w:val="00E23AC3"/>
    <w:rsid w:val="00E23C68"/>
    <w:rsid w:val="00E23D4C"/>
    <w:rsid w:val="00E2456F"/>
    <w:rsid w:val="00E2565D"/>
    <w:rsid w:val="00E25BF8"/>
    <w:rsid w:val="00E264A3"/>
    <w:rsid w:val="00E2659D"/>
    <w:rsid w:val="00E269D5"/>
    <w:rsid w:val="00E26AFD"/>
    <w:rsid w:val="00E26CC7"/>
    <w:rsid w:val="00E27B15"/>
    <w:rsid w:val="00E27EA0"/>
    <w:rsid w:val="00E27EEE"/>
    <w:rsid w:val="00E30455"/>
    <w:rsid w:val="00E30551"/>
    <w:rsid w:val="00E30CA3"/>
    <w:rsid w:val="00E30E1A"/>
    <w:rsid w:val="00E316DD"/>
    <w:rsid w:val="00E31B87"/>
    <w:rsid w:val="00E31ED2"/>
    <w:rsid w:val="00E3201F"/>
    <w:rsid w:val="00E3217E"/>
    <w:rsid w:val="00E324C0"/>
    <w:rsid w:val="00E3259D"/>
    <w:rsid w:val="00E328D7"/>
    <w:rsid w:val="00E32B24"/>
    <w:rsid w:val="00E3320A"/>
    <w:rsid w:val="00E33576"/>
    <w:rsid w:val="00E3393D"/>
    <w:rsid w:val="00E33ADB"/>
    <w:rsid w:val="00E34294"/>
    <w:rsid w:val="00E34306"/>
    <w:rsid w:val="00E34A96"/>
    <w:rsid w:val="00E34C92"/>
    <w:rsid w:val="00E34D04"/>
    <w:rsid w:val="00E35288"/>
    <w:rsid w:val="00E35416"/>
    <w:rsid w:val="00E358B1"/>
    <w:rsid w:val="00E358C4"/>
    <w:rsid w:val="00E35B5C"/>
    <w:rsid w:val="00E35F2F"/>
    <w:rsid w:val="00E36260"/>
    <w:rsid w:val="00E3664D"/>
    <w:rsid w:val="00E3670F"/>
    <w:rsid w:val="00E3671C"/>
    <w:rsid w:val="00E3682F"/>
    <w:rsid w:val="00E3688F"/>
    <w:rsid w:val="00E3716D"/>
    <w:rsid w:val="00E371F4"/>
    <w:rsid w:val="00E37324"/>
    <w:rsid w:val="00E3737C"/>
    <w:rsid w:val="00E37F45"/>
    <w:rsid w:val="00E4024E"/>
    <w:rsid w:val="00E40E80"/>
    <w:rsid w:val="00E418B3"/>
    <w:rsid w:val="00E42DAB"/>
    <w:rsid w:val="00E43667"/>
    <w:rsid w:val="00E43906"/>
    <w:rsid w:val="00E43C44"/>
    <w:rsid w:val="00E43D6B"/>
    <w:rsid w:val="00E44235"/>
    <w:rsid w:val="00E44387"/>
    <w:rsid w:val="00E4512E"/>
    <w:rsid w:val="00E45A53"/>
    <w:rsid w:val="00E45E7F"/>
    <w:rsid w:val="00E4671C"/>
    <w:rsid w:val="00E46A13"/>
    <w:rsid w:val="00E46A2A"/>
    <w:rsid w:val="00E46C45"/>
    <w:rsid w:val="00E46FE3"/>
    <w:rsid w:val="00E475A0"/>
    <w:rsid w:val="00E47620"/>
    <w:rsid w:val="00E4781C"/>
    <w:rsid w:val="00E479B0"/>
    <w:rsid w:val="00E47D45"/>
    <w:rsid w:val="00E47F39"/>
    <w:rsid w:val="00E5025B"/>
    <w:rsid w:val="00E50BEC"/>
    <w:rsid w:val="00E50E41"/>
    <w:rsid w:val="00E5148B"/>
    <w:rsid w:val="00E5197F"/>
    <w:rsid w:val="00E52418"/>
    <w:rsid w:val="00E524D8"/>
    <w:rsid w:val="00E52893"/>
    <w:rsid w:val="00E52943"/>
    <w:rsid w:val="00E52A08"/>
    <w:rsid w:val="00E52D5F"/>
    <w:rsid w:val="00E52EF7"/>
    <w:rsid w:val="00E52F1E"/>
    <w:rsid w:val="00E533C9"/>
    <w:rsid w:val="00E53E0E"/>
    <w:rsid w:val="00E5413C"/>
    <w:rsid w:val="00E54629"/>
    <w:rsid w:val="00E54C46"/>
    <w:rsid w:val="00E54C48"/>
    <w:rsid w:val="00E5511B"/>
    <w:rsid w:val="00E554D5"/>
    <w:rsid w:val="00E556F7"/>
    <w:rsid w:val="00E55C31"/>
    <w:rsid w:val="00E55D4D"/>
    <w:rsid w:val="00E55F33"/>
    <w:rsid w:val="00E55FD8"/>
    <w:rsid w:val="00E56225"/>
    <w:rsid w:val="00E56258"/>
    <w:rsid w:val="00E5679B"/>
    <w:rsid w:val="00E56A61"/>
    <w:rsid w:val="00E56AC7"/>
    <w:rsid w:val="00E56DFF"/>
    <w:rsid w:val="00E57BFE"/>
    <w:rsid w:val="00E60585"/>
    <w:rsid w:val="00E608B1"/>
    <w:rsid w:val="00E61DC1"/>
    <w:rsid w:val="00E62345"/>
    <w:rsid w:val="00E6299C"/>
    <w:rsid w:val="00E63373"/>
    <w:rsid w:val="00E63819"/>
    <w:rsid w:val="00E64123"/>
    <w:rsid w:val="00E6435C"/>
    <w:rsid w:val="00E6452C"/>
    <w:rsid w:val="00E64928"/>
    <w:rsid w:val="00E64CFB"/>
    <w:rsid w:val="00E64E8B"/>
    <w:rsid w:val="00E64EA9"/>
    <w:rsid w:val="00E6503E"/>
    <w:rsid w:val="00E65319"/>
    <w:rsid w:val="00E65349"/>
    <w:rsid w:val="00E655CB"/>
    <w:rsid w:val="00E65CCA"/>
    <w:rsid w:val="00E65E2A"/>
    <w:rsid w:val="00E6667B"/>
    <w:rsid w:val="00E667B6"/>
    <w:rsid w:val="00E667CC"/>
    <w:rsid w:val="00E668AF"/>
    <w:rsid w:val="00E66BC7"/>
    <w:rsid w:val="00E66E00"/>
    <w:rsid w:val="00E67312"/>
    <w:rsid w:val="00E67498"/>
    <w:rsid w:val="00E705F4"/>
    <w:rsid w:val="00E70E1A"/>
    <w:rsid w:val="00E7119A"/>
    <w:rsid w:val="00E713CF"/>
    <w:rsid w:val="00E71497"/>
    <w:rsid w:val="00E714FE"/>
    <w:rsid w:val="00E7158E"/>
    <w:rsid w:val="00E715F5"/>
    <w:rsid w:val="00E717BC"/>
    <w:rsid w:val="00E71B5E"/>
    <w:rsid w:val="00E71C87"/>
    <w:rsid w:val="00E71E1B"/>
    <w:rsid w:val="00E72224"/>
    <w:rsid w:val="00E72609"/>
    <w:rsid w:val="00E72A47"/>
    <w:rsid w:val="00E72BC1"/>
    <w:rsid w:val="00E73A09"/>
    <w:rsid w:val="00E7403F"/>
    <w:rsid w:val="00E74214"/>
    <w:rsid w:val="00E74677"/>
    <w:rsid w:val="00E74801"/>
    <w:rsid w:val="00E748AA"/>
    <w:rsid w:val="00E74A1B"/>
    <w:rsid w:val="00E75001"/>
    <w:rsid w:val="00E7520D"/>
    <w:rsid w:val="00E764AB"/>
    <w:rsid w:val="00E764FC"/>
    <w:rsid w:val="00E7663B"/>
    <w:rsid w:val="00E77006"/>
    <w:rsid w:val="00E77122"/>
    <w:rsid w:val="00E777A2"/>
    <w:rsid w:val="00E77BB5"/>
    <w:rsid w:val="00E80F15"/>
    <w:rsid w:val="00E81327"/>
    <w:rsid w:val="00E81BF9"/>
    <w:rsid w:val="00E81D52"/>
    <w:rsid w:val="00E81DAF"/>
    <w:rsid w:val="00E81FE1"/>
    <w:rsid w:val="00E82C6D"/>
    <w:rsid w:val="00E837EF"/>
    <w:rsid w:val="00E83B24"/>
    <w:rsid w:val="00E83E8E"/>
    <w:rsid w:val="00E83F6C"/>
    <w:rsid w:val="00E8428E"/>
    <w:rsid w:val="00E84622"/>
    <w:rsid w:val="00E85C57"/>
    <w:rsid w:val="00E85D2E"/>
    <w:rsid w:val="00E85F13"/>
    <w:rsid w:val="00E86560"/>
    <w:rsid w:val="00E8661E"/>
    <w:rsid w:val="00E868F7"/>
    <w:rsid w:val="00E86944"/>
    <w:rsid w:val="00E86A85"/>
    <w:rsid w:val="00E86ADB"/>
    <w:rsid w:val="00E86E83"/>
    <w:rsid w:val="00E86EE5"/>
    <w:rsid w:val="00E86EF6"/>
    <w:rsid w:val="00E86F12"/>
    <w:rsid w:val="00E87187"/>
    <w:rsid w:val="00E872FC"/>
    <w:rsid w:val="00E8748E"/>
    <w:rsid w:val="00E876E2"/>
    <w:rsid w:val="00E87960"/>
    <w:rsid w:val="00E87D54"/>
    <w:rsid w:val="00E87FCA"/>
    <w:rsid w:val="00E90710"/>
    <w:rsid w:val="00E90A38"/>
    <w:rsid w:val="00E90BA5"/>
    <w:rsid w:val="00E90C76"/>
    <w:rsid w:val="00E90FEC"/>
    <w:rsid w:val="00E9133D"/>
    <w:rsid w:val="00E91349"/>
    <w:rsid w:val="00E91765"/>
    <w:rsid w:val="00E91A93"/>
    <w:rsid w:val="00E92082"/>
    <w:rsid w:val="00E921C6"/>
    <w:rsid w:val="00E92474"/>
    <w:rsid w:val="00E9252B"/>
    <w:rsid w:val="00E92993"/>
    <w:rsid w:val="00E92AF7"/>
    <w:rsid w:val="00E92DDF"/>
    <w:rsid w:val="00E931CC"/>
    <w:rsid w:val="00E932AF"/>
    <w:rsid w:val="00E9366B"/>
    <w:rsid w:val="00E93B95"/>
    <w:rsid w:val="00E942FC"/>
    <w:rsid w:val="00E948C7"/>
    <w:rsid w:val="00E94EF7"/>
    <w:rsid w:val="00E951AD"/>
    <w:rsid w:val="00E9535C"/>
    <w:rsid w:val="00E95550"/>
    <w:rsid w:val="00E95573"/>
    <w:rsid w:val="00E95D16"/>
    <w:rsid w:val="00E964C8"/>
    <w:rsid w:val="00E96921"/>
    <w:rsid w:val="00E96958"/>
    <w:rsid w:val="00E969C8"/>
    <w:rsid w:val="00E96ABE"/>
    <w:rsid w:val="00E96BCB"/>
    <w:rsid w:val="00E96EBC"/>
    <w:rsid w:val="00E970DC"/>
    <w:rsid w:val="00E97292"/>
    <w:rsid w:val="00E97845"/>
    <w:rsid w:val="00EA0A31"/>
    <w:rsid w:val="00EA0EFF"/>
    <w:rsid w:val="00EA1A71"/>
    <w:rsid w:val="00EA1BE6"/>
    <w:rsid w:val="00EA1D42"/>
    <w:rsid w:val="00EA29FA"/>
    <w:rsid w:val="00EA3572"/>
    <w:rsid w:val="00EA396B"/>
    <w:rsid w:val="00EA3A81"/>
    <w:rsid w:val="00EA43D9"/>
    <w:rsid w:val="00EA4554"/>
    <w:rsid w:val="00EA467E"/>
    <w:rsid w:val="00EA4CBB"/>
    <w:rsid w:val="00EA5112"/>
    <w:rsid w:val="00EA53DD"/>
    <w:rsid w:val="00EA5B08"/>
    <w:rsid w:val="00EA6569"/>
    <w:rsid w:val="00EA6886"/>
    <w:rsid w:val="00EA6904"/>
    <w:rsid w:val="00EA699A"/>
    <w:rsid w:val="00EA6EFC"/>
    <w:rsid w:val="00EA721A"/>
    <w:rsid w:val="00EA752C"/>
    <w:rsid w:val="00EA7B4F"/>
    <w:rsid w:val="00EB0141"/>
    <w:rsid w:val="00EB03AB"/>
    <w:rsid w:val="00EB03B0"/>
    <w:rsid w:val="00EB048E"/>
    <w:rsid w:val="00EB072A"/>
    <w:rsid w:val="00EB08D4"/>
    <w:rsid w:val="00EB0C17"/>
    <w:rsid w:val="00EB0C5B"/>
    <w:rsid w:val="00EB0E4C"/>
    <w:rsid w:val="00EB0F37"/>
    <w:rsid w:val="00EB1014"/>
    <w:rsid w:val="00EB1093"/>
    <w:rsid w:val="00EB1098"/>
    <w:rsid w:val="00EB1154"/>
    <w:rsid w:val="00EB13CA"/>
    <w:rsid w:val="00EB22C5"/>
    <w:rsid w:val="00EB22E4"/>
    <w:rsid w:val="00EB287E"/>
    <w:rsid w:val="00EB2A5D"/>
    <w:rsid w:val="00EB2C23"/>
    <w:rsid w:val="00EB2E61"/>
    <w:rsid w:val="00EB2EFE"/>
    <w:rsid w:val="00EB2F46"/>
    <w:rsid w:val="00EB33CF"/>
    <w:rsid w:val="00EB3419"/>
    <w:rsid w:val="00EB38D3"/>
    <w:rsid w:val="00EB3F1A"/>
    <w:rsid w:val="00EB3F4C"/>
    <w:rsid w:val="00EB4403"/>
    <w:rsid w:val="00EB4751"/>
    <w:rsid w:val="00EB4CEE"/>
    <w:rsid w:val="00EB4D22"/>
    <w:rsid w:val="00EB4E43"/>
    <w:rsid w:val="00EB5624"/>
    <w:rsid w:val="00EB57B2"/>
    <w:rsid w:val="00EB5CD3"/>
    <w:rsid w:val="00EB6ABB"/>
    <w:rsid w:val="00EB7014"/>
    <w:rsid w:val="00EB716B"/>
    <w:rsid w:val="00EB7306"/>
    <w:rsid w:val="00EB7566"/>
    <w:rsid w:val="00EB793E"/>
    <w:rsid w:val="00EB7C7A"/>
    <w:rsid w:val="00EB7C9F"/>
    <w:rsid w:val="00EC01D4"/>
    <w:rsid w:val="00EC0591"/>
    <w:rsid w:val="00EC066C"/>
    <w:rsid w:val="00EC0681"/>
    <w:rsid w:val="00EC0778"/>
    <w:rsid w:val="00EC07BC"/>
    <w:rsid w:val="00EC0867"/>
    <w:rsid w:val="00EC0EA5"/>
    <w:rsid w:val="00EC100D"/>
    <w:rsid w:val="00EC103D"/>
    <w:rsid w:val="00EC13FC"/>
    <w:rsid w:val="00EC1425"/>
    <w:rsid w:val="00EC1BB8"/>
    <w:rsid w:val="00EC1C14"/>
    <w:rsid w:val="00EC1D5A"/>
    <w:rsid w:val="00EC22F9"/>
    <w:rsid w:val="00EC33DA"/>
    <w:rsid w:val="00EC35AF"/>
    <w:rsid w:val="00EC3B1D"/>
    <w:rsid w:val="00EC3C27"/>
    <w:rsid w:val="00EC41B2"/>
    <w:rsid w:val="00EC4276"/>
    <w:rsid w:val="00EC448F"/>
    <w:rsid w:val="00EC4DD5"/>
    <w:rsid w:val="00EC50FE"/>
    <w:rsid w:val="00EC5F7A"/>
    <w:rsid w:val="00EC63EE"/>
    <w:rsid w:val="00EC6833"/>
    <w:rsid w:val="00EC71E1"/>
    <w:rsid w:val="00EC73FB"/>
    <w:rsid w:val="00EC76C3"/>
    <w:rsid w:val="00EC7E49"/>
    <w:rsid w:val="00ED0169"/>
    <w:rsid w:val="00ED0838"/>
    <w:rsid w:val="00ED08DA"/>
    <w:rsid w:val="00ED0F6A"/>
    <w:rsid w:val="00ED1059"/>
    <w:rsid w:val="00ED165B"/>
    <w:rsid w:val="00ED17A2"/>
    <w:rsid w:val="00ED1F1C"/>
    <w:rsid w:val="00ED2151"/>
    <w:rsid w:val="00ED2308"/>
    <w:rsid w:val="00ED25A9"/>
    <w:rsid w:val="00ED25FD"/>
    <w:rsid w:val="00ED29A8"/>
    <w:rsid w:val="00ED2CDF"/>
    <w:rsid w:val="00ED3927"/>
    <w:rsid w:val="00ED3BB8"/>
    <w:rsid w:val="00ED4075"/>
    <w:rsid w:val="00ED4787"/>
    <w:rsid w:val="00ED491A"/>
    <w:rsid w:val="00ED4DC7"/>
    <w:rsid w:val="00ED581E"/>
    <w:rsid w:val="00ED61F7"/>
    <w:rsid w:val="00ED657F"/>
    <w:rsid w:val="00ED69FC"/>
    <w:rsid w:val="00ED6A88"/>
    <w:rsid w:val="00ED7132"/>
    <w:rsid w:val="00ED7629"/>
    <w:rsid w:val="00ED7BE2"/>
    <w:rsid w:val="00ED7CD5"/>
    <w:rsid w:val="00EE0050"/>
    <w:rsid w:val="00EE00FA"/>
    <w:rsid w:val="00EE0331"/>
    <w:rsid w:val="00EE03A8"/>
    <w:rsid w:val="00EE045C"/>
    <w:rsid w:val="00EE0BFE"/>
    <w:rsid w:val="00EE1107"/>
    <w:rsid w:val="00EE13DB"/>
    <w:rsid w:val="00EE158D"/>
    <w:rsid w:val="00EE2169"/>
    <w:rsid w:val="00EE2292"/>
    <w:rsid w:val="00EE269A"/>
    <w:rsid w:val="00EE2C31"/>
    <w:rsid w:val="00EE2CA3"/>
    <w:rsid w:val="00EE2DBE"/>
    <w:rsid w:val="00EE31A7"/>
    <w:rsid w:val="00EE337B"/>
    <w:rsid w:val="00EE3635"/>
    <w:rsid w:val="00EE4178"/>
    <w:rsid w:val="00EE44E1"/>
    <w:rsid w:val="00EE4606"/>
    <w:rsid w:val="00EE4A3E"/>
    <w:rsid w:val="00EE4AC3"/>
    <w:rsid w:val="00EE4B0A"/>
    <w:rsid w:val="00EE5293"/>
    <w:rsid w:val="00EE5F10"/>
    <w:rsid w:val="00EE60F0"/>
    <w:rsid w:val="00EE621D"/>
    <w:rsid w:val="00EE6A90"/>
    <w:rsid w:val="00EE6B04"/>
    <w:rsid w:val="00EE761D"/>
    <w:rsid w:val="00EE7750"/>
    <w:rsid w:val="00EE78DE"/>
    <w:rsid w:val="00EF01BA"/>
    <w:rsid w:val="00EF032E"/>
    <w:rsid w:val="00EF03CF"/>
    <w:rsid w:val="00EF042A"/>
    <w:rsid w:val="00EF042F"/>
    <w:rsid w:val="00EF0B04"/>
    <w:rsid w:val="00EF0BC1"/>
    <w:rsid w:val="00EF0EFD"/>
    <w:rsid w:val="00EF10C0"/>
    <w:rsid w:val="00EF1AFD"/>
    <w:rsid w:val="00EF1BD4"/>
    <w:rsid w:val="00EF1D0F"/>
    <w:rsid w:val="00EF1F24"/>
    <w:rsid w:val="00EF1FBE"/>
    <w:rsid w:val="00EF207A"/>
    <w:rsid w:val="00EF24FE"/>
    <w:rsid w:val="00EF2506"/>
    <w:rsid w:val="00EF3273"/>
    <w:rsid w:val="00EF3B88"/>
    <w:rsid w:val="00EF3D9F"/>
    <w:rsid w:val="00EF3DCD"/>
    <w:rsid w:val="00EF49AA"/>
    <w:rsid w:val="00EF4E49"/>
    <w:rsid w:val="00EF53A0"/>
    <w:rsid w:val="00EF55D4"/>
    <w:rsid w:val="00EF5CAD"/>
    <w:rsid w:val="00EF5ECD"/>
    <w:rsid w:val="00EF69F9"/>
    <w:rsid w:val="00EF6A1D"/>
    <w:rsid w:val="00EF6ADB"/>
    <w:rsid w:val="00EF6B8D"/>
    <w:rsid w:val="00EF6FDD"/>
    <w:rsid w:val="00EF707E"/>
    <w:rsid w:val="00EF7AFE"/>
    <w:rsid w:val="00F0075D"/>
    <w:rsid w:val="00F0080C"/>
    <w:rsid w:val="00F0092F"/>
    <w:rsid w:val="00F00D2B"/>
    <w:rsid w:val="00F00DAB"/>
    <w:rsid w:val="00F00FFA"/>
    <w:rsid w:val="00F011FC"/>
    <w:rsid w:val="00F013F4"/>
    <w:rsid w:val="00F014FD"/>
    <w:rsid w:val="00F01A5C"/>
    <w:rsid w:val="00F02331"/>
    <w:rsid w:val="00F02C80"/>
    <w:rsid w:val="00F02CB7"/>
    <w:rsid w:val="00F03841"/>
    <w:rsid w:val="00F03D58"/>
    <w:rsid w:val="00F03F89"/>
    <w:rsid w:val="00F0480F"/>
    <w:rsid w:val="00F04A82"/>
    <w:rsid w:val="00F0514D"/>
    <w:rsid w:val="00F052E9"/>
    <w:rsid w:val="00F05AB0"/>
    <w:rsid w:val="00F061D2"/>
    <w:rsid w:val="00F064FC"/>
    <w:rsid w:val="00F06B3C"/>
    <w:rsid w:val="00F06C75"/>
    <w:rsid w:val="00F06C9C"/>
    <w:rsid w:val="00F07319"/>
    <w:rsid w:val="00F074AB"/>
    <w:rsid w:val="00F07C63"/>
    <w:rsid w:val="00F10EC7"/>
    <w:rsid w:val="00F115C8"/>
    <w:rsid w:val="00F1187D"/>
    <w:rsid w:val="00F11D17"/>
    <w:rsid w:val="00F121D2"/>
    <w:rsid w:val="00F12446"/>
    <w:rsid w:val="00F1258A"/>
    <w:rsid w:val="00F12E0B"/>
    <w:rsid w:val="00F131B7"/>
    <w:rsid w:val="00F13287"/>
    <w:rsid w:val="00F134B3"/>
    <w:rsid w:val="00F13C9E"/>
    <w:rsid w:val="00F14013"/>
    <w:rsid w:val="00F147F6"/>
    <w:rsid w:val="00F14A13"/>
    <w:rsid w:val="00F14C23"/>
    <w:rsid w:val="00F14C71"/>
    <w:rsid w:val="00F14E8B"/>
    <w:rsid w:val="00F1514F"/>
    <w:rsid w:val="00F15722"/>
    <w:rsid w:val="00F159B3"/>
    <w:rsid w:val="00F1624D"/>
    <w:rsid w:val="00F16374"/>
    <w:rsid w:val="00F163D7"/>
    <w:rsid w:val="00F16526"/>
    <w:rsid w:val="00F16627"/>
    <w:rsid w:val="00F168F8"/>
    <w:rsid w:val="00F16AC4"/>
    <w:rsid w:val="00F172A8"/>
    <w:rsid w:val="00F17359"/>
    <w:rsid w:val="00F1739E"/>
    <w:rsid w:val="00F175D8"/>
    <w:rsid w:val="00F17682"/>
    <w:rsid w:val="00F17882"/>
    <w:rsid w:val="00F17F2F"/>
    <w:rsid w:val="00F2001D"/>
    <w:rsid w:val="00F2011C"/>
    <w:rsid w:val="00F20159"/>
    <w:rsid w:val="00F2021D"/>
    <w:rsid w:val="00F20471"/>
    <w:rsid w:val="00F2055E"/>
    <w:rsid w:val="00F20A17"/>
    <w:rsid w:val="00F2100A"/>
    <w:rsid w:val="00F212EC"/>
    <w:rsid w:val="00F214AA"/>
    <w:rsid w:val="00F21920"/>
    <w:rsid w:val="00F21A00"/>
    <w:rsid w:val="00F21C11"/>
    <w:rsid w:val="00F2221B"/>
    <w:rsid w:val="00F225EB"/>
    <w:rsid w:val="00F22827"/>
    <w:rsid w:val="00F22870"/>
    <w:rsid w:val="00F229F0"/>
    <w:rsid w:val="00F22E68"/>
    <w:rsid w:val="00F23A95"/>
    <w:rsid w:val="00F23CAA"/>
    <w:rsid w:val="00F24171"/>
    <w:rsid w:val="00F24440"/>
    <w:rsid w:val="00F24D33"/>
    <w:rsid w:val="00F25505"/>
    <w:rsid w:val="00F25566"/>
    <w:rsid w:val="00F25662"/>
    <w:rsid w:val="00F257C6"/>
    <w:rsid w:val="00F2595F"/>
    <w:rsid w:val="00F25DF4"/>
    <w:rsid w:val="00F26042"/>
    <w:rsid w:val="00F269D2"/>
    <w:rsid w:val="00F26FB8"/>
    <w:rsid w:val="00F2711E"/>
    <w:rsid w:val="00F2758C"/>
    <w:rsid w:val="00F27731"/>
    <w:rsid w:val="00F304EF"/>
    <w:rsid w:val="00F30AC2"/>
    <w:rsid w:val="00F30FCC"/>
    <w:rsid w:val="00F30FD0"/>
    <w:rsid w:val="00F31028"/>
    <w:rsid w:val="00F31425"/>
    <w:rsid w:val="00F3181E"/>
    <w:rsid w:val="00F31C2A"/>
    <w:rsid w:val="00F3217F"/>
    <w:rsid w:val="00F32311"/>
    <w:rsid w:val="00F323DB"/>
    <w:rsid w:val="00F324B9"/>
    <w:rsid w:val="00F32852"/>
    <w:rsid w:val="00F32A80"/>
    <w:rsid w:val="00F32B0B"/>
    <w:rsid w:val="00F32C24"/>
    <w:rsid w:val="00F33132"/>
    <w:rsid w:val="00F331B3"/>
    <w:rsid w:val="00F332AA"/>
    <w:rsid w:val="00F33672"/>
    <w:rsid w:val="00F3389E"/>
    <w:rsid w:val="00F33B7C"/>
    <w:rsid w:val="00F33D6F"/>
    <w:rsid w:val="00F3455B"/>
    <w:rsid w:val="00F34680"/>
    <w:rsid w:val="00F34727"/>
    <w:rsid w:val="00F34D4D"/>
    <w:rsid w:val="00F34F57"/>
    <w:rsid w:val="00F34FAC"/>
    <w:rsid w:val="00F3517C"/>
    <w:rsid w:val="00F3534D"/>
    <w:rsid w:val="00F3677B"/>
    <w:rsid w:val="00F3692A"/>
    <w:rsid w:val="00F378F6"/>
    <w:rsid w:val="00F37B8D"/>
    <w:rsid w:val="00F4032B"/>
    <w:rsid w:val="00F411F2"/>
    <w:rsid w:val="00F4121D"/>
    <w:rsid w:val="00F41340"/>
    <w:rsid w:val="00F41954"/>
    <w:rsid w:val="00F41CA9"/>
    <w:rsid w:val="00F41F42"/>
    <w:rsid w:val="00F41F93"/>
    <w:rsid w:val="00F42212"/>
    <w:rsid w:val="00F426A8"/>
    <w:rsid w:val="00F42E84"/>
    <w:rsid w:val="00F42F85"/>
    <w:rsid w:val="00F44119"/>
    <w:rsid w:val="00F4414F"/>
    <w:rsid w:val="00F44577"/>
    <w:rsid w:val="00F4463B"/>
    <w:rsid w:val="00F44A32"/>
    <w:rsid w:val="00F44D08"/>
    <w:rsid w:val="00F44D0C"/>
    <w:rsid w:val="00F44E88"/>
    <w:rsid w:val="00F4549D"/>
    <w:rsid w:val="00F45DE0"/>
    <w:rsid w:val="00F465DF"/>
    <w:rsid w:val="00F46753"/>
    <w:rsid w:val="00F469D9"/>
    <w:rsid w:val="00F46A86"/>
    <w:rsid w:val="00F47521"/>
    <w:rsid w:val="00F475AF"/>
    <w:rsid w:val="00F4767F"/>
    <w:rsid w:val="00F47DF2"/>
    <w:rsid w:val="00F518C7"/>
    <w:rsid w:val="00F51A18"/>
    <w:rsid w:val="00F51B54"/>
    <w:rsid w:val="00F51C2E"/>
    <w:rsid w:val="00F521B0"/>
    <w:rsid w:val="00F5340B"/>
    <w:rsid w:val="00F53ECC"/>
    <w:rsid w:val="00F540C6"/>
    <w:rsid w:val="00F542CB"/>
    <w:rsid w:val="00F54637"/>
    <w:rsid w:val="00F54A8D"/>
    <w:rsid w:val="00F54BE2"/>
    <w:rsid w:val="00F55093"/>
    <w:rsid w:val="00F5538A"/>
    <w:rsid w:val="00F554BF"/>
    <w:rsid w:val="00F55657"/>
    <w:rsid w:val="00F55A39"/>
    <w:rsid w:val="00F55B80"/>
    <w:rsid w:val="00F55BBE"/>
    <w:rsid w:val="00F55CC6"/>
    <w:rsid w:val="00F56516"/>
    <w:rsid w:val="00F565FE"/>
    <w:rsid w:val="00F568EF"/>
    <w:rsid w:val="00F56FCC"/>
    <w:rsid w:val="00F57445"/>
    <w:rsid w:val="00F577A2"/>
    <w:rsid w:val="00F57FBA"/>
    <w:rsid w:val="00F601C5"/>
    <w:rsid w:val="00F6062C"/>
    <w:rsid w:val="00F60918"/>
    <w:rsid w:val="00F609E2"/>
    <w:rsid w:val="00F60A3C"/>
    <w:rsid w:val="00F60AF4"/>
    <w:rsid w:val="00F60E8D"/>
    <w:rsid w:val="00F60ED0"/>
    <w:rsid w:val="00F60FEE"/>
    <w:rsid w:val="00F61681"/>
    <w:rsid w:val="00F61826"/>
    <w:rsid w:val="00F61CE8"/>
    <w:rsid w:val="00F623D4"/>
    <w:rsid w:val="00F624F0"/>
    <w:rsid w:val="00F6256C"/>
    <w:rsid w:val="00F628D5"/>
    <w:rsid w:val="00F62945"/>
    <w:rsid w:val="00F62961"/>
    <w:rsid w:val="00F62BC1"/>
    <w:rsid w:val="00F62C0C"/>
    <w:rsid w:val="00F62F3F"/>
    <w:rsid w:val="00F6351B"/>
    <w:rsid w:val="00F63D90"/>
    <w:rsid w:val="00F63F20"/>
    <w:rsid w:val="00F641C3"/>
    <w:rsid w:val="00F64665"/>
    <w:rsid w:val="00F656F9"/>
    <w:rsid w:val="00F66065"/>
    <w:rsid w:val="00F66086"/>
    <w:rsid w:val="00F66688"/>
    <w:rsid w:val="00F66C52"/>
    <w:rsid w:val="00F66DB1"/>
    <w:rsid w:val="00F670A1"/>
    <w:rsid w:val="00F6795C"/>
    <w:rsid w:val="00F67C06"/>
    <w:rsid w:val="00F67E91"/>
    <w:rsid w:val="00F700B5"/>
    <w:rsid w:val="00F70A8C"/>
    <w:rsid w:val="00F71120"/>
    <w:rsid w:val="00F71454"/>
    <w:rsid w:val="00F7251F"/>
    <w:rsid w:val="00F72B02"/>
    <w:rsid w:val="00F732A0"/>
    <w:rsid w:val="00F732B5"/>
    <w:rsid w:val="00F7352F"/>
    <w:rsid w:val="00F73693"/>
    <w:rsid w:val="00F738B9"/>
    <w:rsid w:val="00F740BF"/>
    <w:rsid w:val="00F74162"/>
    <w:rsid w:val="00F74543"/>
    <w:rsid w:val="00F74762"/>
    <w:rsid w:val="00F74923"/>
    <w:rsid w:val="00F74965"/>
    <w:rsid w:val="00F74AA9"/>
    <w:rsid w:val="00F74DD6"/>
    <w:rsid w:val="00F75445"/>
    <w:rsid w:val="00F75B8D"/>
    <w:rsid w:val="00F75D95"/>
    <w:rsid w:val="00F75ECC"/>
    <w:rsid w:val="00F75EE5"/>
    <w:rsid w:val="00F75F21"/>
    <w:rsid w:val="00F7625A"/>
    <w:rsid w:val="00F763E4"/>
    <w:rsid w:val="00F763FE"/>
    <w:rsid w:val="00F76587"/>
    <w:rsid w:val="00F76A1B"/>
    <w:rsid w:val="00F76C34"/>
    <w:rsid w:val="00F76D25"/>
    <w:rsid w:val="00F76D71"/>
    <w:rsid w:val="00F77003"/>
    <w:rsid w:val="00F77287"/>
    <w:rsid w:val="00F77422"/>
    <w:rsid w:val="00F77DD0"/>
    <w:rsid w:val="00F77F04"/>
    <w:rsid w:val="00F80243"/>
    <w:rsid w:val="00F804F2"/>
    <w:rsid w:val="00F807CD"/>
    <w:rsid w:val="00F808D7"/>
    <w:rsid w:val="00F80BD3"/>
    <w:rsid w:val="00F812C8"/>
    <w:rsid w:val="00F815AE"/>
    <w:rsid w:val="00F8196A"/>
    <w:rsid w:val="00F82003"/>
    <w:rsid w:val="00F8250F"/>
    <w:rsid w:val="00F82A31"/>
    <w:rsid w:val="00F82A82"/>
    <w:rsid w:val="00F832F1"/>
    <w:rsid w:val="00F83E5A"/>
    <w:rsid w:val="00F843D3"/>
    <w:rsid w:val="00F8477C"/>
    <w:rsid w:val="00F8491D"/>
    <w:rsid w:val="00F8530E"/>
    <w:rsid w:val="00F856B1"/>
    <w:rsid w:val="00F85713"/>
    <w:rsid w:val="00F8578A"/>
    <w:rsid w:val="00F857C2"/>
    <w:rsid w:val="00F8590F"/>
    <w:rsid w:val="00F85A79"/>
    <w:rsid w:val="00F864FE"/>
    <w:rsid w:val="00F86BB0"/>
    <w:rsid w:val="00F87555"/>
    <w:rsid w:val="00F87691"/>
    <w:rsid w:val="00F87A28"/>
    <w:rsid w:val="00F87D08"/>
    <w:rsid w:val="00F87FCC"/>
    <w:rsid w:val="00F90018"/>
    <w:rsid w:val="00F90283"/>
    <w:rsid w:val="00F9045E"/>
    <w:rsid w:val="00F90819"/>
    <w:rsid w:val="00F90BCF"/>
    <w:rsid w:val="00F90D48"/>
    <w:rsid w:val="00F910B3"/>
    <w:rsid w:val="00F91100"/>
    <w:rsid w:val="00F911F2"/>
    <w:rsid w:val="00F91A9D"/>
    <w:rsid w:val="00F91BE0"/>
    <w:rsid w:val="00F9210D"/>
    <w:rsid w:val="00F9285B"/>
    <w:rsid w:val="00F92CDE"/>
    <w:rsid w:val="00F93105"/>
    <w:rsid w:val="00F933F8"/>
    <w:rsid w:val="00F93706"/>
    <w:rsid w:val="00F93892"/>
    <w:rsid w:val="00F94165"/>
    <w:rsid w:val="00F946B9"/>
    <w:rsid w:val="00F948F7"/>
    <w:rsid w:val="00F94F23"/>
    <w:rsid w:val="00F94F78"/>
    <w:rsid w:val="00F951CC"/>
    <w:rsid w:val="00F95401"/>
    <w:rsid w:val="00F956A7"/>
    <w:rsid w:val="00F96A84"/>
    <w:rsid w:val="00F96EA5"/>
    <w:rsid w:val="00F96F0C"/>
    <w:rsid w:val="00F97116"/>
    <w:rsid w:val="00F9745E"/>
    <w:rsid w:val="00F97922"/>
    <w:rsid w:val="00F97960"/>
    <w:rsid w:val="00F97DFF"/>
    <w:rsid w:val="00FA0145"/>
    <w:rsid w:val="00FA0EB8"/>
    <w:rsid w:val="00FA0F49"/>
    <w:rsid w:val="00FA0FB1"/>
    <w:rsid w:val="00FA1AAE"/>
    <w:rsid w:val="00FA1DCF"/>
    <w:rsid w:val="00FA1E97"/>
    <w:rsid w:val="00FA1EF6"/>
    <w:rsid w:val="00FA20A2"/>
    <w:rsid w:val="00FA286E"/>
    <w:rsid w:val="00FA2E9F"/>
    <w:rsid w:val="00FA31A6"/>
    <w:rsid w:val="00FA3275"/>
    <w:rsid w:val="00FA349B"/>
    <w:rsid w:val="00FA3783"/>
    <w:rsid w:val="00FA44C8"/>
    <w:rsid w:val="00FA474A"/>
    <w:rsid w:val="00FA5019"/>
    <w:rsid w:val="00FA5056"/>
    <w:rsid w:val="00FA5723"/>
    <w:rsid w:val="00FA5739"/>
    <w:rsid w:val="00FA5926"/>
    <w:rsid w:val="00FA62DF"/>
    <w:rsid w:val="00FA67FE"/>
    <w:rsid w:val="00FA6B47"/>
    <w:rsid w:val="00FA7058"/>
    <w:rsid w:val="00FA7554"/>
    <w:rsid w:val="00FA7B25"/>
    <w:rsid w:val="00FA7E94"/>
    <w:rsid w:val="00FA7F5E"/>
    <w:rsid w:val="00FB013D"/>
    <w:rsid w:val="00FB0280"/>
    <w:rsid w:val="00FB077A"/>
    <w:rsid w:val="00FB0C5F"/>
    <w:rsid w:val="00FB0DC2"/>
    <w:rsid w:val="00FB12A7"/>
    <w:rsid w:val="00FB1E79"/>
    <w:rsid w:val="00FB22C8"/>
    <w:rsid w:val="00FB2376"/>
    <w:rsid w:val="00FB25D5"/>
    <w:rsid w:val="00FB292B"/>
    <w:rsid w:val="00FB2D03"/>
    <w:rsid w:val="00FB3139"/>
    <w:rsid w:val="00FB3208"/>
    <w:rsid w:val="00FB46EE"/>
    <w:rsid w:val="00FB4D5B"/>
    <w:rsid w:val="00FB503A"/>
    <w:rsid w:val="00FB52C5"/>
    <w:rsid w:val="00FB53B9"/>
    <w:rsid w:val="00FB551B"/>
    <w:rsid w:val="00FB5780"/>
    <w:rsid w:val="00FB6C2F"/>
    <w:rsid w:val="00FB6DB6"/>
    <w:rsid w:val="00FB7050"/>
    <w:rsid w:val="00FB7D2C"/>
    <w:rsid w:val="00FB7F7D"/>
    <w:rsid w:val="00FC0299"/>
    <w:rsid w:val="00FC0D20"/>
    <w:rsid w:val="00FC1184"/>
    <w:rsid w:val="00FC1224"/>
    <w:rsid w:val="00FC1C4D"/>
    <w:rsid w:val="00FC1E90"/>
    <w:rsid w:val="00FC1FE8"/>
    <w:rsid w:val="00FC205D"/>
    <w:rsid w:val="00FC333A"/>
    <w:rsid w:val="00FC34AB"/>
    <w:rsid w:val="00FC35B6"/>
    <w:rsid w:val="00FC371C"/>
    <w:rsid w:val="00FC3B7A"/>
    <w:rsid w:val="00FC49FF"/>
    <w:rsid w:val="00FC4EF5"/>
    <w:rsid w:val="00FC5E6B"/>
    <w:rsid w:val="00FC5F42"/>
    <w:rsid w:val="00FC60AB"/>
    <w:rsid w:val="00FC60C4"/>
    <w:rsid w:val="00FC69CC"/>
    <w:rsid w:val="00FC6C77"/>
    <w:rsid w:val="00FC71FC"/>
    <w:rsid w:val="00FC7743"/>
    <w:rsid w:val="00FC7BD9"/>
    <w:rsid w:val="00FC7C07"/>
    <w:rsid w:val="00FC7C20"/>
    <w:rsid w:val="00FC7C50"/>
    <w:rsid w:val="00FC7FAC"/>
    <w:rsid w:val="00FD0136"/>
    <w:rsid w:val="00FD04FE"/>
    <w:rsid w:val="00FD073D"/>
    <w:rsid w:val="00FD0926"/>
    <w:rsid w:val="00FD0B54"/>
    <w:rsid w:val="00FD0C9E"/>
    <w:rsid w:val="00FD0D78"/>
    <w:rsid w:val="00FD1084"/>
    <w:rsid w:val="00FD109E"/>
    <w:rsid w:val="00FD177B"/>
    <w:rsid w:val="00FD1CC3"/>
    <w:rsid w:val="00FD1CF5"/>
    <w:rsid w:val="00FD1D09"/>
    <w:rsid w:val="00FD25A9"/>
    <w:rsid w:val="00FD2A35"/>
    <w:rsid w:val="00FD2CFC"/>
    <w:rsid w:val="00FD2F00"/>
    <w:rsid w:val="00FD302E"/>
    <w:rsid w:val="00FD3127"/>
    <w:rsid w:val="00FD33B4"/>
    <w:rsid w:val="00FD3635"/>
    <w:rsid w:val="00FD38C3"/>
    <w:rsid w:val="00FD397F"/>
    <w:rsid w:val="00FD3D5C"/>
    <w:rsid w:val="00FD3DC2"/>
    <w:rsid w:val="00FD4153"/>
    <w:rsid w:val="00FD43B4"/>
    <w:rsid w:val="00FD4452"/>
    <w:rsid w:val="00FD533C"/>
    <w:rsid w:val="00FD5D76"/>
    <w:rsid w:val="00FD5F44"/>
    <w:rsid w:val="00FD6B9F"/>
    <w:rsid w:val="00FD6BA8"/>
    <w:rsid w:val="00FD6E02"/>
    <w:rsid w:val="00FD762A"/>
    <w:rsid w:val="00FD7992"/>
    <w:rsid w:val="00FD7B4E"/>
    <w:rsid w:val="00FD7B90"/>
    <w:rsid w:val="00FD7D34"/>
    <w:rsid w:val="00FD7DE0"/>
    <w:rsid w:val="00FE0B52"/>
    <w:rsid w:val="00FE128F"/>
    <w:rsid w:val="00FE158E"/>
    <w:rsid w:val="00FE1FE7"/>
    <w:rsid w:val="00FE218B"/>
    <w:rsid w:val="00FE253D"/>
    <w:rsid w:val="00FE2D70"/>
    <w:rsid w:val="00FE2F7B"/>
    <w:rsid w:val="00FE2FFD"/>
    <w:rsid w:val="00FE3070"/>
    <w:rsid w:val="00FE30DC"/>
    <w:rsid w:val="00FE31E7"/>
    <w:rsid w:val="00FE3501"/>
    <w:rsid w:val="00FE3590"/>
    <w:rsid w:val="00FE3AD5"/>
    <w:rsid w:val="00FE4029"/>
    <w:rsid w:val="00FE4099"/>
    <w:rsid w:val="00FE448A"/>
    <w:rsid w:val="00FE4B88"/>
    <w:rsid w:val="00FE4BDE"/>
    <w:rsid w:val="00FE4DDD"/>
    <w:rsid w:val="00FE4E0E"/>
    <w:rsid w:val="00FE5285"/>
    <w:rsid w:val="00FE5346"/>
    <w:rsid w:val="00FE5431"/>
    <w:rsid w:val="00FE57F3"/>
    <w:rsid w:val="00FE5867"/>
    <w:rsid w:val="00FE5922"/>
    <w:rsid w:val="00FE59DB"/>
    <w:rsid w:val="00FE59F8"/>
    <w:rsid w:val="00FE5E84"/>
    <w:rsid w:val="00FE6032"/>
    <w:rsid w:val="00FE66A7"/>
    <w:rsid w:val="00FE6B3A"/>
    <w:rsid w:val="00FE7232"/>
    <w:rsid w:val="00FE770B"/>
    <w:rsid w:val="00FE7D5C"/>
    <w:rsid w:val="00FF0010"/>
    <w:rsid w:val="00FF00A3"/>
    <w:rsid w:val="00FF0189"/>
    <w:rsid w:val="00FF021B"/>
    <w:rsid w:val="00FF1125"/>
    <w:rsid w:val="00FF12C3"/>
    <w:rsid w:val="00FF12E9"/>
    <w:rsid w:val="00FF13C3"/>
    <w:rsid w:val="00FF1A37"/>
    <w:rsid w:val="00FF1BB7"/>
    <w:rsid w:val="00FF1F72"/>
    <w:rsid w:val="00FF2061"/>
    <w:rsid w:val="00FF241B"/>
    <w:rsid w:val="00FF2732"/>
    <w:rsid w:val="00FF2B4B"/>
    <w:rsid w:val="00FF3174"/>
    <w:rsid w:val="00FF351B"/>
    <w:rsid w:val="00FF3907"/>
    <w:rsid w:val="00FF39F0"/>
    <w:rsid w:val="00FF4840"/>
    <w:rsid w:val="00FF4D5F"/>
    <w:rsid w:val="00FF4E93"/>
    <w:rsid w:val="00FF53A8"/>
    <w:rsid w:val="00FF5F51"/>
    <w:rsid w:val="00FF6233"/>
    <w:rsid w:val="00FF6564"/>
    <w:rsid w:val="00FF6765"/>
    <w:rsid w:val="00FF678F"/>
    <w:rsid w:val="00FF6F16"/>
    <w:rsid w:val="00FF726E"/>
    <w:rsid w:val="00FF7729"/>
    <w:rsid w:val="00FF7AF2"/>
    <w:rsid w:val="00FF7CA2"/>
    <w:rsid w:val="01B55689"/>
  </w:rsids>
  <m:mathPr>
    <m:mathFont m:val="Cambria Math"/>
    <m:brkBin m:val="before"/>
    <m:brkBinSub m:val="--"/>
    <m:smallFrac/>
    <m:dispDef/>
    <m:lMargin m:val="0"/>
    <m:rMargin m:val="0"/>
    <m:defJc m:val="centerGroup"/>
    <m:wrapRight/>
    <m:intLim m:val="subSup"/>
    <m:naryLim m:val="subSup"/>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7AC97"/>
  <w15:docId w15:val="{526E7571-79A7-A641-A0A6-6639B1EBC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color w:val="000000" w:themeColor="text1"/>
        <w:sz w:val="24"/>
        <w:szCs w:val="24"/>
        <w:lang w:val="en-US" w:eastAsia="en-US" w:bidi="he-IL"/>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513E"/>
    <w:rPr>
      <w:rFonts w:eastAsia="Times New Roman"/>
      <w:color w:val="auto"/>
    </w:rPr>
  </w:style>
  <w:style w:type="paragraph" w:styleId="Heading1">
    <w:name w:val="heading 1"/>
    <w:basedOn w:val="Normal"/>
    <w:next w:val="Normal"/>
    <w:link w:val="Heading1Char"/>
    <w:autoRedefine/>
    <w:uiPriority w:val="9"/>
    <w:qFormat/>
    <w:rsid w:val="009F5D32"/>
    <w:pPr>
      <w:keepNext/>
      <w:keepLines/>
      <w:spacing w:before="480" w:line="480" w:lineRule="auto"/>
      <w:jc w:val="center"/>
      <w:outlineLvl w:val="0"/>
    </w:pPr>
    <w:rPr>
      <w:rFonts w:eastAsiaTheme="majorEastAsia"/>
      <w:b/>
      <w:iCs/>
      <w:smallCaps/>
      <w:sz w:val="28"/>
      <w:szCs w:val="28"/>
      <w:lang w:eastAsia="ja-JP"/>
    </w:rPr>
  </w:style>
  <w:style w:type="paragraph" w:styleId="Heading2">
    <w:name w:val="heading 2"/>
    <w:basedOn w:val="C11st-levelchapterparagraph"/>
    <w:next w:val="Normal"/>
    <w:link w:val="Heading2Char"/>
    <w:uiPriority w:val="9"/>
    <w:qFormat/>
    <w:rsid w:val="00A95DD3"/>
    <w:pPr>
      <w:outlineLvl w:val="1"/>
    </w:pPr>
    <w:rPr>
      <w:rFonts w:eastAsiaTheme="minorHAnsi"/>
      <w:sz w:val="24"/>
      <w:szCs w:val="24"/>
      <w:lang w:val="en-AU"/>
    </w:rPr>
  </w:style>
  <w:style w:type="paragraph" w:styleId="Heading3">
    <w:name w:val="heading 3"/>
    <w:basedOn w:val="C22nd-levelchapterparagraph"/>
    <w:next w:val="Normal"/>
    <w:link w:val="Heading3Char"/>
    <w:uiPriority w:val="9"/>
    <w:qFormat/>
    <w:rsid w:val="00A95DD3"/>
    <w:pPr>
      <w:outlineLvl w:val="2"/>
    </w:pPr>
    <w:rPr>
      <w:szCs w:val="24"/>
      <w:lang w:val="en-AU"/>
    </w:rPr>
  </w:style>
  <w:style w:type="paragraph" w:styleId="Heading4">
    <w:name w:val="heading 4"/>
    <w:basedOn w:val="Normal"/>
    <w:next w:val="Normal"/>
    <w:link w:val="Heading4Char"/>
    <w:uiPriority w:val="9"/>
    <w:qFormat/>
    <w:rsid w:val="0000070B"/>
    <w:pPr>
      <w:keepNext/>
      <w:keepLines/>
      <w:numPr>
        <w:ilvl w:val="3"/>
        <w:numId w:val="4"/>
      </w:numPr>
      <w:spacing w:before="200"/>
      <w:outlineLvl w:val="3"/>
    </w:pPr>
    <w:rPr>
      <w:rFonts w:asciiTheme="majorHAnsi" w:eastAsiaTheme="majorEastAsia" w:hAnsiTheme="majorHAnsi" w:cstheme="majorBidi"/>
      <w:b/>
      <w:bCs/>
      <w:i/>
      <w:iCs/>
      <w:color w:val="4F81BD" w:themeColor="accent1"/>
      <w:lang w:eastAsia="ja-JP"/>
    </w:rPr>
  </w:style>
  <w:style w:type="paragraph" w:styleId="Heading5">
    <w:name w:val="heading 5"/>
    <w:basedOn w:val="Normal"/>
    <w:next w:val="Normal"/>
    <w:link w:val="Heading5Char"/>
    <w:uiPriority w:val="9"/>
    <w:qFormat/>
    <w:rsid w:val="0000070B"/>
    <w:pPr>
      <w:keepNext/>
      <w:keepLines/>
      <w:numPr>
        <w:ilvl w:val="4"/>
        <w:numId w:val="4"/>
      </w:numPr>
      <w:spacing w:before="200"/>
      <w:outlineLvl w:val="4"/>
    </w:pPr>
    <w:rPr>
      <w:rFonts w:asciiTheme="majorHAnsi" w:eastAsiaTheme="majorEastAsia" w:hAnsiTheme="majorHAnsi" w:cstheme="majorBidi"/>
      <w:color w:val="244061" w:themeColor="accent1" w:themeShade="80"/>
      <w:lang w:eastAsia="ja-JP"/>
    </w:rPr>
  </w:style>
  <w:style w:type="paragraph" w:styleId="Heading6">
    <w:name w:val="heading 6"/>
    <w:basedOn w:val="Normal"/>
    <w:next w:val="Normal"/>
    <w:link w:val="Heading6Char"/>
    <w:uiPriority w:val="9"/>
    <w:qFormat/>
    <w:rsid w:val="0000070B"/>
    <w:pPr>
      <w:keepNext/>
      <w:keepLines/>
      <w:numPr>
        <w:ilvl w:val="5"/>
        <w:numId w:val="4"/>
      </w:numPr>
      <w:spacing w:before="200"/>
      <w:outlineLvl w:val="5"/>
    </w:pPr>
    <w:rPr>
      <w:rFonts w:asciiTheme="majorHAnsi" w:eastAsiaTheme="majorEastAsia" w:hAnsiTheme="majorHAnsi" w:cstheme="majorBidi"/>
      <w:i/>
      <w:iCs/>
      <w:color w:val="244061" w:themeColor="accent1" w:themeShade="80"/>
      <w:lang w:eastAsia="ja-JP"/>
    </w:rPr>
  </w:style>
  <w:style w:type="paragraph" w:styleId="Heading7">
    <w:name w:val="heading 7"/>
    <w:basedOn w:val="Normal"/>
    <w:next w:val="Normal"/>
    <w:link w:val="Heading7Char"/>
    <w:rsid w:val="0000070B"/>
    <w:pPr>
      <w:keepNext/>
      <w:keepLines/>
      <w:numPr>
        <w:ilvl w:val="6"/>
        <w:numId w:val="4"/>
      </w:numPr>
      <w:spacing w:before="200"/>
      <w:outlineLvl w:val="6"/>
    </w:pPr>
    <w:rPr>
      <w:rFonts w:asciiTheme="majorHAnsi" w:eastAsiaTheme="majorEastAsia" w:hAnsiTheme="majorHAnsi" w:cstheme="majorBidi"/>
      <w:i/>
      <w:iCs/>
      <w:color w:val="404040" w:themeColor="text1" w:themeTint="BF"/>
      <w:lang w:eastAsia="ja-JP"/>
    </w:rPr>
  </w:style>
  <w:style w:type="paragraph" w:styleId="Heading8">
    <w:name w:val="heading 8"/>
    <w:basedOn w:val="Normal"/>
    <w:next w:val="Normal"/>
    <w:link w:val="Heading8Char"/>
    <w:rsid w:val="0000070B"/>
    <w:pPr>
      <w:keepNext/>
      <w:keepLines/>
      <w:numPr>
        <w:ilvl w:val="7"/>
        <w:numId w:val="4"/>
      </w:numPr>
      <w:spacing w:before="200"/>
      <w:outlineLvl w:val="7"/>
    </w:pPr>
    <w:rPr>
      <w:rFonts w:asciiTheme="majorHAnsi" w:eastAsiaTheme="majorEastAsia" w:hAnsiTheme="majorHAnsi" w:cstheme="majorBidi"/>
      <w:color w:val="363636" w:themeColor="text1" w:themeTint="C9"/>
      <w:sz w:val="20"/>
      <w:szCs w:val="20"/>
      <w:lang w:eastAsia="ja-JP"/>
    </w:rPr>
  </w:style>
  <w:style w:type="paragraph" w:styleId="Heading9">
    <w:name w:val="heading 9"/>
    <w:basedOn w:val="Normal"/>
    <w:next w:val="Normal"/>
    <w:link w:val="Heading9Char"/>
    <w:rsid w:val="0000070B"/>
    <w:pPr>
      <w:keepNext/>
      <w:keepLines/>
      <w:numPr>
        <w:ilvl w:val="8"/>
        <w:numId w:val="4"/>
      </w:numPr>
      <w:spacing w:before="200"/>
      <w:outlineLvl w:val="8"/>
    </w:pPr>
    <w:rPr>
      <w:rFonts w:asciiTheme="majorHAnsi" w:eastAsiaTheme="majorEastAsia" w:hAnsiTheme="majorHAnsi" w:cstheme="majorBidi"/>
      <w:i/>
      <w:iCs/>
      <w:color w:val="363636" w:themeColor="text1" w:themeTint="C9"/>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D32"/>
    <w:rPr>
      <w:rFonts w:eastAsiaTheme="majorEastAsia"/>
      <w:b/>
      <w:iCs/>
      <w:smallCaps/>
      <w:color w:val="auto"/>
      <w:sz w:val="28"/>
      <w:szCs w:val="28"/>
      <w:lang w:eastAsia="ja-JP"/>
    </w:rPr>
  </w:style>
  <w:style w:type="character" w:customStyle="1" w:styleId="Heading2Char">
    <w:name w:val="Heading 2 Char"/>
    <w:basedOn w:val="DefaultParagraphFont"/>
    <w:link w:val="Heading2"/>
    <w:rsid w:val="00A95DD3"/>
    <w:rPr>
      <w:rFonts w:eastAsiaTheme="minorHAnsi"/>
      <w:b/>
      <w:color w:val="auto"/>
      <w:lang w:val="en-AU"/>
    </w:rPr>
  </w:style>
  <w:style w:type="character" w:customStyle="1" w:styleId="Heading3Char">
    <w:name w:val="Heading 3 Char"/>
    <w:basedOn w:val="DefaultParagraphFont"/>
    <w:link w:val="Heading3"/>
    <w:rsid w:val="00A95DD3"/>
    <w:rPr>
      <w:rFonts w:eastAsia="Times New Roman"/>
      <w:b/>
      <w:color w:val="auto"/>
      <w:lang w:val="en-AU"/>
    </w:rPr>
  </w:style>
  <w:style w:type="character" w:customStyle="1" w:styleId="Heading4Char">
    <w:name w:val="Heading 4 Char"/>
    <w:basedOn w:val="DefaultParagraphFont"/>
    <w:link w:val="Heading4"/>
    <w:rsid w:val="0000070B"/>
    <w:rPr>
      <w:rFonts w:asciiTheme="majorHAnsi" w:eastAsiaTheme="majorEastAsia" w:hAnsiTheme="majorHAnsi" w:cstheme="majorBidi"/>
      <w:b/>
      <w:bCs/>
      <w:i/>
      <w:iCs/>
      <w:color w:val="4F81BD" w:themeColor="accent1"/>
      <w:lang w:eastAsia="ja-JP"/>
    </w:rPr>
  </w:style>
  <w:style w:type="character" w:customStyle="1" w:styleId="Heading5Char">
    <w:name w:val="Heading 5 Char"/>
    <w:basedOn w:val="DefaultParagraphFont"/>
    <w:link w:val="Heading5"/>
    <w:rsid w:val="0000070B"/>
    <w:rPr>
      <w:rFonts w:asciiTheme="majorHAnsi" w:eastAsiaTheme="majorEastAsia" w:hAnsiTheme="majorHAnsi" w:cstheme="majorBidi"/>
      <w:color w:val="244061" w:themeColor="accent1" w:themeShade="80"/>
      <w:lang w:eastAsia="ja-JP"/>
    </w:rPr>
  </w:style>
  <w:style w:type="character" w:customStyle="1" w:styleId="Heading6Char">
    <w:name w:val="Heading 6 Char"/>
    <w:basedOn w:val="DefaultParagraphFont"/>
    <w:link w:val="Heading6"/>
    <w:rsid w:val="0000070B"/>
    <w:rPr>
      <w:rFonts w:asciiTheme="majorHAnsi" w:eastAsiaTheme="majorEastAsia" w:hAnsiTheme="majorHAnsi" w:cstheme="majorBidi"/>
      <w:i/>
      <w:iCs/>
      <w:color w:val="244061" w:themeColor="accent1" w:themeShade="80"/>
      <w:lang w:eastAsia="ja-JP"/>
    </w:rPr>
  </w:style>
  <w:style w:type="character" w:customStyle="1" w:styleId="Heading7Char">
    <w:name w:val="Heading 7 Char"/>
    <w:basedOn w:val="DefaultParagraphFont"/>
    <w:link w:val="Heading7"/>
    <w:rsid w:val="0000070B"/>
    <w:rPr>
      <w:rFonts w:asciiTheme="majorHAnsi" w:eastAsiaTheme="majorEastAsia" w:hAnsiTheme="majorHAnsi" w:cstheme="majorBidi"/>
      <w:i/>
      <w:iCs/>
      <w:color w:val="404040" w:themeColor="text1" w:themeTint="BF"/>
      <w:lang w:eastAsia="ja-JP"/>
    </w:rPr>
  </w:style>
  <w:style w:type="character" w:customStyle="1" w:styleId="Heading8Char">
    <w:name w:val="Heading 8 Char"/>
    <w:basedOn w:val="DefaultParagraphFont"/>
    <w:link w:val="Heading8"/>
    <w:rsid w:val="0000070B"/>
    <w:rPr>
      <w:rFonts w:asciiTheme="majorHAnsi" w:eastAsiaTheme="majorEastAsia" w:hAnsiTheme="majorHAnsi" w:cstheme="majorBidi"/>
      <w:color w:val="363636" w:themeColor="text1" w:themeTint="C9"/>
      <w:sz w:val="20"/>
      <w:szCs w:val="20"/>
      <w:lang w:eastAsia="ja-JP"/>
    </w:rPr>
  </w:style>
  <w:style w:type="character" w:customStyle="1" w:styleId="Heading9Char">
    <w:name w:val="Heading 9 Char"/>
    <w:basedOn w:val="DefaultParagraphFont"/>
    <w:link w:val="Heading9"/>
    <w:rsid w:val="0000070B"/>
    <w:rPr>
      <w:rFonts w:asciiTheme="majorHAnsi" w:eastAsiaTheme="majorEastAsia" w:hAnsiTheme="majorHAnsi" w:cstheme="majorBidi"/>
      <w:i/>
      <w:iCs/>
      <w:color w:val="363636" w:themeColor="text1" w:themeTint="C9"/>
      <w:sz w:val="20"/>
      <w:szCs w:val="20"/>
      <w:lang w:eastAsia="ja-JP"/>
    </w:rPr>
  </w:style>
  <w:style w:type="paragraph" w:styleId="BalloonText">
    <w:name w:val="Balloon Text"/>
    <w:basedOn w:val="Normal"/>
    <w:link w:val="BalloonTextChar3"/>
    <w:uiPriority w:val="99"/>
    <w:unhideWhenUsed/>
    <w:rsid w:val="0000070B"/>
    <w:rPr>
      <w:rFonts w:ascii="Lucida Grande" w:eastAsiaTheme="minorHAnsi" w:hAnsi="Lucida Grande"/>
      <w:sz w:val="18"/>
      <w:szCs w:val="18"/>
      <w:lang w:val="en-NZ"/>
    </w:rPr>
  </w:style>
  <w:style w:type="character" w:customStyle="1" w:styleId="BalloonTextChar">
    <w:name w:val="Balloon Text Char"/>
    <w:basedOn w:val="DefaultParagraphFont"/>
    <w:uiPriority w:val="99"/>
    <w:semiHidden/>
    <w:rsid w:val="0000070B"/>
    <w:rPr>
      <w:rFonts w:ascii="Lucida Grande" w:hAnsi="Lucida Grande"/>
      <w:sz w:val="18"/>
      <w:szCs w:val="18"/>
    </w:rPr>
  </w:style>
  <w:style w:type="paragraph" w:styleId="FootnoteText">
    <w:name w:val="footnote text"/>
    <w:basedOn w:val="Normal"/>
    <w:link w:val="FootnoteTextChar"/>
    <w:rsid w:val="00F4463B"/>
    <w:rPr>
      <w:rFonts w:eastAsiaTheme="minorHAnsi"/>
      <w:sz w:val="20"/>
      <w:szCs w:val="20"/>
      <w:lang w:val="en-NZ"/>
    </w:rPr>
  </w:style>
  <w:style w:type="character" w:customStyle="1" w:styleId="FootnoteTextChar">
    <w:name w:val="Footnote Text Char"/>
    <w:basedOn w:val="DefaultParagraphFont"/>
    <w:link w:val="FootnoteText"/>
    <w:rsid w:val="00F4463B"/>
    <w:rPr>
      <w:rFonts w:eastAsiaTheme="minorHAnsi"/>
      <w:color w:val="auto"/>
      <w:sz w:val="20"/>
      <w:szCs w:val="20"/>
      <w:lang w:val="en-NZ"/>
    </w:rPr>
  </w:style>
  <w:style w:type="character" w:styleId="FootnoteReference">
    <w:name w:val="footnote reference"/>
    <w:basedOn w:val="DefaultParagraphFont"/>
    <w:rsid w:val="0000070B"/>
    <w:rPr>
      <w:vertAlign w:val="superscript"/>
    </w:rPr>
  </w:style>
  <w:style w:type="paragraph" w:styleId="CommentText">
    <w:name w:val="annotation text"/>
    <w:basedOn w:val="Normal"/>
    <w:link w:val="CommentTextChar"/>
    <w:rsid w:val="0000070B"/>
    <w:rPr>
      <w:sz w:val="20"/>
      <w:szCs w:val="20"/>
      <w:lang w:eastAsia="ja-JP"/>
    </w:rPr>
  </w:style>
  <w:style w:type="character" w:customStyle="1" w:styleId="CommentTextChar">
    <w:name w:val="Comment Text Char"/>
    <w:basedOn w:val="DefaultParagraphFont"/>
    <w:link w:val="CommentText"/>
    <w:rsid w:val="0000070B"/>
    <w:rPr>
      <w:sz w:val="20"/>
      <w:szCs w:val="20"/>
      <w:lang w:eastAsia="ja-JP"/>
    </w:rPr>
  </w:style>
  <w:style w:type="character" w:styleId="CommentReference">
    <w:name w:val="annotation reference"/>
    <w:basedOn w:val="DefaultParagraphFont"/>
    <w:rsid w:val="0000070B"/>
    <w:rPr>
      <w:sz w:val="16"/>
      <w:szCs w:val="16"/>
    </w:rPr>
  </w:style>
  <w:style w:type="character" w:customStyle="1" w:styleId="BalloonTextChar3">
    <w:name w:val="Balloon Text Char3"/>
    <w:basedOn w:val="DefaultParagraphFont"/>
    <w:link w:val="BalloonText"/>
    <w:uiPriority w:val="99"/>
    <w:rsid w:val="0000070B"/>
    <w:rPr>
      <w:rFonts w:ascii="Lucida Grande" w:eastAsiaTheme="minorHAnsi" w:hAnsi="Lucida Grande"/>
      <w:sz w:val="18"/>
      <w:szCs w:val="18"/>
      <w:lang w:val="en-NZ"/>
    </w:rPr>
  </w:style>
  <w:style w:type="paragraph" w:customStyle="1" w:styleId="13rd-levelparagraph">
    <w:name w:val="(1) 3rd-level paragraph"/>
    <w:basedOn w:val="Normal"/>
    <w:link w:val="13rd-levelparagraphChar"/>
    <w:uiPriority w:val="5"/>
    <w:qFormat/>
    <w:rsid w:val="0000070B"/>
    <w:pPr>
      <w:numPr>
        <w:ilvl w:val="2"/>
        <w:numId w:val="3"/>
      </w:numPr>
      <w:spacing w:before="240" w:after="200" w:line="276" w:lineRule="auto"/>
    </w:pPr>
    <w:rPr>
      <w:rFonts w:ascii="Arial" w:hAnsi="Arial"/>
      <w:szCs w:val="22"/>
      <w:lang w:val="en-NZ"/>
    </w:rPr>
  </w:style>
  <w:style w:type="character" w:customStyle="1" w:styleId="13rd-levelparagraphChar">
    <w:name w:val="(1) 3rd-level paragraph Char"/>
    <w:basedOn w:val="DefaultParagraphFont"/>
    <w:link w:val="13rd-levelparagraph"/>
    <w:uiPriority w:val="5"/>
    <w:rsid w:val="0000070B"/>
    <w:rPr>
      <w:rFonts w:ascii="Arial" w:eastAsia="Times New Roman" w:hAnsi="Arial"/>
      <w:szCs w:val="22"/>
      <w:lang w:val="en-NZ"/>
    </w:rPr>
  </w:style>
  <w:style w:type="paragraph" w:customStyle="1" w:styleId="a4th-levelparagraph">
    <w:name w:val="(a) 4th-level paragraph"/>
    <w:basedOn w:val="Normal"/>
    <w:link w:val="a4th-levelparagraphChar"/>
    <w:uiPriority w:val="6"/>
    <w:qFormat/>
    <w:rsid w:val="0000070B"/>
    <w:pPr>
      <w:numPr>
        <w:ilvl w:val="3"/>
        <w:numId w:val="3"/>
      </w:numPr>
      <w:spacing w:before="240" w:after="200" w:line="276" w:lineRule="auto"/>
    </w:pPr>
    <w:rPr>
      <w:rFonts w:ascii="Arial" w:hAnsi="Arial"/>
      <w:szCs w:val="22"/>
      <w:lang w:val="en-NZ"/>
    </w:rPr>
  </w:style>
  <w:style w:type="character" w:customStyle="1" w:styleId="a4th-levelparagraphChar">
    <w:name w:val="(a) 4th-level paragraph Char"/>
    <w:basedOn w:val="DefaultParagraphFont"/>
    <w:link w:val="a4th-levelparagraph"/>
    <w:uiPriority w:val="6"/>
    <w:rsid w:val="0000070B"/>
    <w:rPr>
      <w:rFonts w:ascii="Arial" w:eastAsia="Times New Roman" w:hAnsi="Arial"/>
      <w:szCs w:val="22"/>
      <w:lang w:val="en-NZ"/>
    </w:rPr>
  </w:style>
  <w:style w:type="paragraph" w:customStyle="1" w:styleId="i6th-levelparagraph">
    <w:name w:val="(i) 6th-level paragraph"/>
    <w:basedOn w:val="Normal"/>
    <w:link w:val="i6th-levelparagraphChar"/>
    <w:uiPriority w:val="8"/>
    <w:qFormat/>
    <w:rsid w:val="0000070B"/>
    <w:pPr>
      <w:numPr>
        <w:ilvl w:val="5"/>
        <w:numId w:val="3"/>
      </w:numPr>
      <w:tabs>
        <w:tab w:val="left" w:pos="3402"/>
      </w:tabs>
      <w:spacing w:before="240" w:after="200" w:line="276" w:lineRule="auto"/>
    </w:pPr>
    <w:rPr>
      <w:rFonts w:ascii="Arial" w:hAnsi="Arial"/>
      <w:szCs w:val="22"/>
      <w:lang w:val="en-NZ"/>
    </w:rPr>
  </w:style>
  <w:style w:type="character" w:customStyle="1" w:styleId="i6th-levelparagraphChar">
    <w:name w:val="(i) 6th-level paragraph Char"/>
    <w:basedOn w:val="DefaultParagraphFont"/>
    <w:link w:val="i6th-levelparagraph"/>
    <w:uiPriority w:val="8"/>
    <w:rsid w:val="0000070B"/>
    <w:rPr>
      <w:rFonts w:ascii="Arial" w:eastAsia="Times New Roman" w:hAnsi="Arial"/>
      <w:szCs w:val="22"/>
      <w:lang w:val="en-NZ"/>
    </w:rPr>
  </w:style>
  <w:style w:type="paragraph" w:customStyle="1" w:styleId="11st-levelparagraph">
    <w:name w:val="1. 1st-level paragraph"/>
    <w:basedOn w:val="Normal"/>
    <w:link w:val="11st-levelparagraphChar"/>
    <w:uiPriority w:val="3"/>
    <w:qFormat/>
    <w:rsid w:val="0000070B"/>
    <w:pPr>
      <w:numPr>
        <w:numId w:val="3"/>
      </w:numPr>
      <w:spacing w:before="240" w:after="200" w:line="276" w:lineRule="auto"/>
    </w:pPr>
    <w:rPr>
      <w:rFonts w:ascii="Arial" w:hAnsi="Arial"/>
      <w:szCs w:val="22"/>
      <w:lang w:val="en-NZ"/>
    </w:rPr>
  </w:style>
  <w:style w:type="character" w:customStyle="1" w:styleId="11st-levelparagraphChar">
    <w:name w:val="1. 1st-level paragraph Char"/>
    <w:basedOn w:val="DefaultParagraphFont"/>
    <w:link w:val="11st-levelparagraph"/>
    <w:uiPriority w:val="3"/>
    <w:rsid w:val="0000070B"/>
    <w:rPr>
      <w:rFonts w:ascii="Arial" w:eastAsia="Times New Roman" w:hAnsi="Arial"/>
      <w:szCs w:val="22"/>
      <w:lang w:val="en-NZ"/>
    </w:rPr>
  </w:style>
  <w:style w:type="paragraph" w:customStyle="1" w:styleId="1B1st-levelbullet">
    <w:name w:val="1B 1st-level bullet"/>
    <w:basedOn w:val="Normal"/>
    <w:link w:val="1B1st-levelbulletChar"/>
    <w:uiPriority w:val="9"/>
    <w:qFormat/>
    <w:rsid w:val="0000070B"/>
    <w:pPr>
      <w:numPr>
        <w:numId w:val="1"/>
      </w:numPr>
      <w:spacing w:before="240" w:after="200" w:line="276" w:lineRule="auto"/>
    </w:pPr>
    <w:rPr>
      <w:rFonts w:ascii="Arial" w:hAnsi="Arial"/>
      <w:szCs w:val="22"/>
      <w:lang w:val="en-NZ"/>
    </w:rPr>
  </w:style>
  <w:style w:type="character" w:customStyle="1" w:styleId="1B1st-levelbulletChar">
    <w:name w:val="1B 1st-level bullet Char"/>
    <w:basedOn w:val="DefaultParagraphFont"/>
    <w:link w:val="1B1st-levelbullet"/>
    <w:uiPriority w:val="9"/>
    <w:rsid w:val="0000070B"/>
    <w:rPr>
      <w:rFonts w:ascii="Arial" w:eastAsia="Times New Roman" w:hAnsi="Arial"/>
      <w:szCs w:val="22"/>
      <w:lang w:val="en-NZ"/>
    </w:rPr>
  </w:style>
  <w:style w:type="paragraph" w:customStyle="1" w:styleId="1stlevelchapter">
    <w:name w:val="1st level chapter"/>
    <w:basedOn w:val="Normal"/>
    <w:uiPriority w:val="99"/>
    <w:semiHidden/>
    <w:rsid w:val="0000070B"/>
    <w:pPr>
      <w:tabs>
        <w:tab w:val="num" w:pos="1134"/>
      </w:tabs>
      <w:spacing w:before="240" w:after="200" w:line="276" w:lineRule="auto"/>
      <w:ind w:left="1134" w:hanging="1134"/>
    </w:pPr>
    <w:rPr>
      <w:rFonts w:ascii="Arial" w:hAnsi="Arial"/>
      <w:szCs w:val="22"/>
      <w:lang w:val="en-NZ"/>
    </w:rPr>
  </w:style>
  <w:style w:type="paragraph" w:customStyle="1" w:styleId="1stLevelParagraph">
    <w:name w:val="1st Level Paragraph"/>
    <w:basedOn w:val="Normal"/>
    <w:link w:val="1stLevelParagraphChar"/>
    <w:autoRedefine/>
    <w:uiPriority w:val="1"/>
    <w:semiHidden/>
    <w:qFormat/>
    <w:rsid w:val="0000070B"/>
    <w:pPr>
      <w:numPr>
        <w:ilvl w:val="1"/>
        <w:numId w:val="2"/>
      </w:numPr>
      <w:tabs>
        <w:tab w:val="clear" w:pos="1134"/>
        <w:tab w:val="left" w:pos="567"/>
      </w:tabs>
      <w:autoSpaceDE w:val="0"/>
      <w:autoSpaceDN w:val="0"/>
      <w:adjustRightInd w:val="0"/>
      <w:spacing w:before="240" w:after="200" w:line="276" w:lineRule="auto"/>
      <w:ind w:left="0" w:firstLine="0"/>
      <w:outlineLvl w:val="0"/>
    </w:pPr>
    <w:rPr>
      <w:rFonts w:ascii="Arial" w:hAnsi="Arial"/>
      <w:szCs w:val="22"/>
      <w:lang w:val="en-NZ" w:eastAsia="en-GB"/>
    </w:rPr>
  </w:style>
  <w:style w:type="character" w:customStyle="1" w:styleId="1stLevelParagraphChar">
    <w:name w:val="1st Level Paragraph Char"/>
    <w:basedOn w:val="DefaultParagraphFont"/>
    <w:link w:val="1stLevelParagraph"/>
    <w:uiPriority w:val="1"/>
    <w:semiHidden/>
    <w:rsid w:val="0000070B"/>
    <w:rPr>
      <w:rFonts w:ascii="Arial" w:eastAsia="Times New Roman" w:hAnsi="Arial"/>
      <w:szCs w:val="22"/>
      <w:lang w:val="en-NZ" w:eastAsia="en-GB"/>
    </w:rPr>
  </w:style>
  <w:style w:type="paragraph" w:customStyle="1" w:styleId="2B2nd-levelbullet">
    <w:name w:val="2B 2nd-level bullet"/>
    <w:basedOn w:val="Normal"/>
    <w:link w:val="2B2nd-levelbulletChar"/>
    <w:uiPriority w:val="9"/>
    <w:qFormat/>
    <w:rsid w:val="0000070B"/>
    <w:pPr>
      <w:tabs>
        <w:tab w:val="num" w:pos="1134"/>
      </w:tabs>
      <w:spacing w:before="240" w:after="200" w:line="276" w:lineRule="auto"/>
      <w:ind w:left="1134" w:hanging="567"/>
    </w:pPr>
    <w:rPr>
      <w:rFonts w:ascii="Arial" w:hAnsi="Arial"/>
      <w:szCs w:val="22"/>
      <w:lang w:val="en-NZ"/>
    </w:rPr>
  </w:style>
  <w:style w:type="character" w:customStyle="1" w:styleId="2B2nd-levelbulletChar">
    <w:name w:val="2B 2nd-level bullet Char"/>
    <w:basedOn w:val="DefaultParagraphFont"/>
    <w:link w:val="2B2nd-levelbullet"/>
    <w:uiPriority w:val="9"/>
    <w:rsid w:val="0000070B"/>
    <w:rPr>
      <w:rFonts w:ascii="Arial" w:eastAsia="Times New Roman" w:hAnsi="Arial"/>
      <w:szCs w:val="22"/>
      <w:lang w:val="en-NZ"/>
    </w:rPr>
  </w:style>
  <w:style w:type="paragraph" w:customStyle="1" w:styleId="2ndlevelchapter">
    <w:name w:val="2nd level chapter"/>
    <w:basedOn w:val="1stlevelchapter"/>
    <w:uiPriority w:val="99"/>
    <w:semiHidden/>
    <w:rsid w:val="0000070B"/>
    <w:pPr>
      <w:tabs>
        <w:tab w:val="clear" w:pos="1134"/>
        <w:tab w:val="num" w:pos="567"/>
        <w:tab w:val="num" w:pos="1985"/>
      </w:tabs>
      <w:ind w:left="1985" w:hanging="851"/>
    </w:pPr>
  </w:style>
  <w:style w:type="paragraph" w:customStyle="1" w:styleId="3B3rd-levelbullet">
    <w:name w:val="3B 3rd-level bullet"/>
    <w:basedOn w:val="Normal"/>
    <w:link w:val="3B3rd-levelbulletChar"/>
    <w:uiPriority w:val="9"/>
    <w:qFormat/>
    <w:rsid w:val="0000070B"/>
    <w:pPr>
      <w:tabs>
        <w:tab w:val="num" w:pos="1701"/>
      </w:tabs>
      <w:spacing w:before="240" w:after="200" w:line="276" w:lineRule="auto"/>
      <w:ind w:left="1701" w:hanging="567"/>
    </w:pPr>
    <w:rPr>
      <w:rFonts w:ascii="Arial" w:hAnsi="Arial"/>
      <w:szCs w:val="22"/>
      <w:lang w:val="en-NZ"/>
    </w:rPr>
  </w:style>
  <w:style w:type="character" w:customStyle="1" w:styleId="3B3rd-levelbulletChar">
    <w:name w:val="3B 3rd-level bullet Char"/>
    <w:basedOn w:val="DefaultParagraphFont"/>
    <w:link w:val="3B3rd-levelbullet"/>
    <w:uiPriority w:val="9"/>
    <w:rsid w:val="0000070B"/>
    <w:rPr>
      <w:rFonts w:ascii="Arial" w:eastAsia="Times New Roman" w:hAnsi="Arial"/>
      <w:szCs w:val="22"/>
      <w:lang w:val="en-NZ"/>
    </w:rPr>
  </w:style>
  <w:style w:type="paragraph" w:customStyle="1" w:styleId="3rdlevelchapter">
    <w:name w:val="3rd level chapter"/>
    <w:basedOn w:val="2ndlevelchapter"/>
    <w:uiPriority w:val="99"/>
    <w:semiHidden/>
    <w:rsid w:val="0000070B"/>
    <w:pPr>
      <w:numPr>
        <w:ilvl w:val="2"/>
        <w:numId w:val="2"/>
      </w:numPr>
      <w:tabs>
        <w:tab w:val="clear" w:pos="1985"/>
        <w:tab w:val="num" w:pos="2835"/>
      </w:tabs>
      <w:ind w:left="2835" w:hanging="850"/>
    </w:pPr>
  </w:style>
  <w:style w:type="paragraph" w:customStyle="1" w:styleId="4thlevelchapter">
    <w:name w:val="4th level chapter"/>
    <w:basedOn w:val="3rdlevelchapter"/>
    <w:uiPriority w:val="99"/>
    <w:semiHidden/>
    <w:rsid w:val="0000070B"/>
    <w:pPr>
      <w:numPr>
        <w:ilvl w:val="4"/>
      </w:numPr>
    </w:pPr>
  </w:style>
  <w:style w:type="paragraph" w:customStyle="1" w:styleId="5thlevelchapter">
    <w:name w:val="5th level chapter"/>
    <w:basedOn w:val="4thlevelchapter"/>
    <w:uiPriority w:val="99"/>
    <w:semiHidden/>
    <w:rsid w:val="0000070B"/>
    <w:pPr>
      <w:numPr>
        <w:ilvl w:val="2"/>
        <w:numId w:val="1"/>
      </w:numPr>
      <w:tabs>
        <w:tab w:val="clear" w:pos="1701"/>
        <w:tab w:val="num" w:pos="4536"/>
      </w:tabs>
      <w:ind w:left="4536" w:hanging="850"/>
    </w:pPr>
  </w:style>
  <w:style w:type="paragraph" w:customStyle="1" w:styleId="6thlevelchapter">
    <w:name w:val="6th level chapter"/>
    <w:basedOn w:val="5thlevelchapter"/>
    <w:uiPriority w:val="99"/>
    <w:semiHidden/>
    <w:rsid w:val="0000070B"/>
    <w:pPr>
      <w:numPr>
        <w:ilvl w:val="6"/>
        <w:numId w:val="2"/>
      </w:numPr>
    </w:pPr>
  </w:style>
  <w:style w:type="paragraph" w:customStyle="1" w:styleId="a2nd-levelparagraph">
    <w:name w:val="a. 2nd-level paragraph"/>
    <w:basedOn w:val="Normal"/>
    <w:link w:val="a2nd-levelparagraphChar"/>
    <w:uiPriority w:val="4"/>
    <w:qFormat/>
    <w:rsid w:val="0000070B"/>
    <w:pPr>
      <w:numPr>
        <w:ilvl w:val="1"/>
        <w:numId w:val="3"/>
      </w:numPr>
      <w:spacing w:before="240" w:after="200" w:line="276" w:lineRule="auto"/>
    </w:pPr>
    <w:rPr>
      <w:rFonts w:ascii="Arial" w:hAnsi="Arial"/>
      <w:szCs w:val="22"/>
      <w:lang w:val="en-NZ"/>
    </w:rPr>
  </w:style>
  <w:style w:type="character" w:customStyle="1" w:styleId="a2nd-levelparagraphChar">
    <w:name w:val="a. 2nd-level paragraph Char"/>
    <w:basedOn w:val="DefaultParagraphFont"/>
    <w:link w:val="a2nd-levelparagraph"/>
    <w:uiPriority w:val="4"/>
    <w:rsid w:val="0000070B"/>
    <w:rPr>
      <w:rFonts w:ascii="Arial" w:eastAsia="Times New Roman" w:hAnsi="Arial"/>
      <w:szCs w:val="22"/>
      <w:lang w:val="en-NZ"/>
    </w:rPr>
  </w:style>
  <w:style w:type="paragraph" w:styleId="BodyText">
    <w:name w:val="Body Text"/>
    <w:basedOn w:val="Normal"/>
    <w:link w:val="BodyTextChar"/>
    <w:uiPriority w:val="99"/>
    <w:semiHidden/>
    <w:rsid w:val="0000070B"/>
    <w:pPr>
      <w:spacing w:after="120" w:line="276" w:lineRule="auto"/>
    </w:pPr>
    <w:rPr>
      <w:rFonts w:eastAsiaTheme="minorHAnsi"/>
      <w:sz w:val="22"/>
      <w:szCs w:val="22"/>
      <w:lang w:val="en-NZ"/>
    </w:rPr>
  </w:style>
  <w:style w:type="character" w:customStyle="1" w:styleId="BodyTextChar">
    <w:name w:val="Body Text Char"/>
    <w:basedOn w:val="DefaultParagraphFont"/>
    <w:link w:val="BodyText"/>
    <w:uiPriority w:val="99"/>
    <w:semiHidden/>
    <w:rsid w:val="0000070B"/>
    <w:rPr>
      <w:rFonts w:eastAsiaTheme="minorHAnsi"/>
      <w:sz w:val="22"/>
      <w:szCs w:val="22"/>
      <w:lang w:val="en-NZ"/>
    </w:rPr>
  </w:style>
  <w:style w:type="paragraph" w:customStyle="1" w:styleId="BTBodyText">
    <w:name w:val="BT Body Text"/>
    <w:basedOn w:val="Normal"/>
    <w:link w:val="BTBodyTextChar"/>
    <w:uiPriority w:val="2"/>
    <w:qFormat/>
    <w:rsid w:val="0000070B"/>
    <w:pPr>
      <w:spacing w:before="240" w:after="200" w:line="276" w:lineRule="auto"/>
    </w:pPr>
    <w:rPr>
      <w:rFonts w:ascii="Arial" w:eastAsiaTheme="minorHAnsi" w:hAnsi="Arial"/>
      <w:szCs w:val="22"/>
      <w:lang w:val="en-NZ"/>
    </w:rPr>
  </w:style>
  <w:style w:type="character" w:customStyle="1" w:styleId="BTBodyTextChar">
    <w:name w:val="BT Body Text Char"/>
    <w:basedOn w:val="DefaultParagraphFont"/>
    <w:link w:val="BTBodyText"/>
    <w:uiPriority w:val="2"/>
    <w:rsid w:val="0000070B"/>
    <w:rPr>
      <w:rFonts w:ascii="Arial" w:eastAsiaTheme="minorHAnsi" w:hAnsi="Arial"/>
      <w:szCs w:val="22"/>
      <w:lang w:val="en-NZ"/>
    </w:rPr>
  </w:style>
  <w:style w:type="paragraph" w:customStyle="1" w:styleId="C11st-levelchapterparagraph">
    <w:name w:val="C1 1st-level chapter paragraph"/>
    <w:basedOn w:val="1stlevelchapter"/>
    <w:link w:val="C11st-levelchapterparagraphChar"/>
    <w:uiPriority w:val="23"/>
    <w:qFormat/>
    <w:rsid w:val="001C5504"/>
    <w:pPr>
      <w:keepNext/>
      <w:keepLines/>
      <w:tabs>
        <w:tab w:val="clear" w:pos="1134"/>
      </w:tabs>
      <w:spacing w:before="360"/>
      <w:ind w:left="0" w:firstLine="0"/>
      <w:jc w:val="center"/>
    </w:pPr>
    <w:rPr>
      <w:rFonts w:ascii="Times New Roman" w:hAnsi="Times New Roman"/>
      <w:b/>
      <w:sz w:val="26"/>
      <w:szCs w:val="26"/>
    </w:rPr>
  </w:style>
  <w:style w:type="character" w:customStyle="1" w:styleId="C11st-levelchapterparagraphChar">
    <w:name w:val="C1 1st-level chapter paragraph Char"/>
    <w:basedOn w:val="DefaultParagraphFont"/>
    <w:link w:val="C11st-levelchapterparagraph"/>
    <w:uiPriority w:val="23"/>
    <w:rsid w:val="001C5504"/>
    <w:rPr>
      <w:rFonts w:eastAsia="Times New Roman"/>
      <w:b/>
      <w:color w:val="auto"/>
      <w:sz w:val="26"/>
      <w:szCs w:val="26"/>
      <w:lang w:val="en-NZ"/>
    </w:rPr>
  </w:style>
  <w:style w:type="paragraph" w:customStyle="1" w:styleId="C22nd-levelchapterparagraph">
    <w:name w:val="C2 2nd-level chapter paragraph"/>
    <w:basedOn w:val="2ndlevelchapter"/>
    <w:link w:val="C22nd-levelchapterparagraphChar"/>
    <w:uiPriority w:val="23"/>
    <w:qFormat/>
    <w:rsid w:val="007F247A"/>
    <w:pPr>
      <w:keepNext/>
      <w:tabs>
        <w:tab w:val="clear" w:pos="567"/>
      </w:tabs>
      <w:spacing w:before="360"/>
      <w:ind w:left="0" w:firstLine="0"/>
    </w:pPr>
    <w:rPr>
      <w:rFonts w:ascii="Times New Roman" w:hAnsi="Times New Roman"/>
      <w:b/>
    </w:rPr>
  </w:style>
  <w:style w:type="character" w:customStyle="1" w:styleId="C22nd-levelchapterparagraphChar">
    <w:name w:val="C2 2nd-level chapter paragraph Char"/>
    <w:basedOn w:val="DefaultParagraphFont"/>
    <w:link w:val="C22nd-levelchapterparagraph"/>
    <w:uiPriority w:val="23"/>
    <w:rsid w:val="007F247A"/>
    <w:rPr>
      <w:rFonts w:eastAsia="Times New Roman"/>
      <w:b/>
      <w:color w:val="auto"/>
      <w:szCs w:val="22"/>
      <w:lang w:val="en-NZ"/>
    </w:rPr>
  </w:style>
  <w:style w:type="paragraph" w:customStyle="1" w:styleId="C33rd-levelchapterparagraph">
    <w:name w:val="C3 3rd-level chapter paragraph"/>
    <w:basedOn w:val="3rdlevelchapter"/>
    <w:link w:val="C33rd-levelchapterparagraphChar"/>
    <w:uiPriority w:val="23"/>
    <w:qFormat/>
    <w:rsid w:val="00D246C8"/>
    <w:pPr>
      <w:keepNext/>
      <w:numPr>
        <w:ilvl w:val="0"/>
        <w:numId w:val="0"/>
      </w:numPr>
      <w:jc w:val="both"/>
    </w:pPr>
    <w:rPr>
      <w:rFonts w:ascii="Times New Roman" w:hAnsi="Times New Roman"/>
      <w:b/>
    </w:rPr>
  </w:style>
  <w:style w:type="character" w:customStyle="1" w:styleId="C33rd-levelchapterparagraphChar">
    <w:name w:val="C3 3rd-level chapter paragraph Char"/>
    <w:basedOn w:val="DefaultParagraphFont"/>
    <w:link w:val="C33rd-levelchapterparagraph"/>
    <w:uiPriority w:val="23"/>
    <w:rsid w:val="00D246C8"/>
    <w:rPr>
      <w:rFonts w:eastAsia="Times New Roman"/>
      <w:b/>
      <w:color w:val="auto"/>
      <w:szCs w:val="22"/>
      <w:lang w:val="en-NZ"/>
    </w:rPr>
  </w:style>
  <w:style w:type="paragraph" w:customStyle="1" w:styleId="C44th-levelchapterparagraph">
    <w:name w:val="C4 4th-level chapter paragraph"/>
    <w:basedOn w:val="4thlevelchapter"/>
    <w:link w:val="C44th-levelchapterparagraphChar"/>
    <w:uiPriority w:val="23"/>
    <w:qFormat/>
    <w:rsid w:val="0000070B"/>
    <w:pPr>
      <w:numPr>
        <w:ilvl w:val="0"/>
        <w:numId w:val="0"/>
      </w:numPr>
      <w:jc w:val="both"/>
    </w:pPr>
  </w:style>
  <w:style w:type="character" w:customStyle="1" w:styleId="C44th-levelchapterparagraphChar">
    <w:name w:val="C4 4th-level chapter paragraph Char"/>
    <w:basedOn w:val="DefaultParagraphFont"/>
    <w:link w:val="C44th-levelchapterparagraph"/>
    <w:uiPriority w:val="23"/>
    <w:rsid w:val="0000070B"/>
    <w:rPr>
      <w:rFonts w:ascii="Arial" w:eastAsia="Times New Roman" w:hAnsi="Arial"/>
      <w:szCs w:val="22"/>
      <w:lang w:val="en-NZ"/>
    </w:rPr>
  </w:style>
  <w:style w:type="paragraph" w:customStyle="1" w:styleId="C55th-levelchapterparagraph">
    <w:name w:val="C5 5th-level chapter paragraph"/>
    <w:basedOn w:val="5thlevelchapter"/>
    <w:link w:val="C55th-levelchapterparagraphChar"/>
    <w:uiPriority w:val="23"/>
    <w:qFormat/>
    <w:rsid w:val="0000070B"/>
    <w:pPr>
      <w:numPr>
        <w:ilvl w:val="0"/>
        <w:numId w:val="0"/>
      </w:numPr>
      <w:jc w:val="both"/>
    </w:pPr>
  </w:style>
  <w:style w:type="character" w:customStyle="1" w:styleId="C55th-levelchapterparagraphChar">
    <w:name w:val="C5 5th-level chapter paragraph Char"/>
    <w:basedOn w:val="DefaultParagraphFont"/>
    <w:link w:val="C55th-levelchapterparagraph"/>
    <w:uiPriority w:val="23"/>
    <w:rsid w:val="0000070B"/>
    <w:rPr>
      <w:rFonts w:ascii="Arial" w:eastAsia="Times New Roman" w:hAnsi="Arial"/>
      <w:szCs w:val="22"/>
      <w:lang w:val="en-NZ"/>
    </w:rPr>
  </w:style>
  <w:style w:type="paragraph" w:customStyle="1" w:styleId="C66th-levelchapterparagraph">
    <w:name w:val="C6 6th-level chapter paragraph"/>
    <w:basedOn w:val="6thlevelchapter"/>
    <w:link w:val="C66th-levelchapterparagraphChar"/>
    <w:uiPriority w:val="23"/>
    <w:qFormat/>
    <w:rsid w:val="0000070B"/>
    <w:pPr>
      <w:numPr>
        <w:ilvl w:val="0"/>
        <w:numId w:val="0"/>
      </w:numPr>
      <w:jc w:val="both"/>
    </w:pPr>
  </w:style>
  <w:style w:type="character" w:customStyle="1" w:styleId="C66th-levelchapterparagraphChar">
    <w:name w:val="C6 6th-level chapter paragraph Char"/>
    <w:basedOn w:val="DefaultParagraphFont"/>
    <w:link w:val="C66th-levelchapterparagraph"/>
    <w:uiPriority w:val="23"/>
    <w:rsid w:val="0000070B"/>
    <w:rPr>
      <w:rFonts w:ascii="Arial" w:eastAsia="Times New Roman" w:hAnsi="Arial"/>
      <w:szCs w:val="22"/>
      <w:lang w:val="en-NZ"/>
    </w:rPr>
  </w:style>
  <w:style w:type="paragraph" w:customStyle="1" w:styleId="CBChapterBodyText">
    <w:name w:val="CB Chapter Body Text"/>
    <w:basedOn w:val="Normal"/>
    <w:link w:val="CBChapterBodyTextChar"/>
    <w:uiPriority w:val="23"/>
    <w:qFormat/>
    <w:rsid w:val="0000070B"/>
    <w:pPr>
      <w:spacing w:before="240" w:after="200" w:line="276" w:lineRule="auto"/>
      <w:jc w:val="both"/>
    </w:pPr>
    <w:rPr>
      <w:rFonts w:ascii="Arial" w:eastAsiaTheme="minorHAnsi" w:hAnsi="Arial"/>
      <w:szCs w:val="22"/>
      <w:lang w:val="en-NZ"/>
    </w:rPr>
  </w:style>
  <w:style w:type="character" w:customStyle="1" w:styleId="CBChapterBodyTextChar">
    <w:name w:val="CB Chapter Body Text Char"/>
    <w:basedOn w:val="DefaultParagraphFont"/>
    <w:link w:val="CBChapterBodyText"/>
    <w:uiPriority w:val="23"/>
    <w:rsid w:val="0000070B"/>
    <w:rPr>
      <w:rFonts w:ascii="Arial" w:eastAsiaTheme="minorHAnsi" w:hAnsi="Arial"/>
      <w:szCs w:val="22"/>
      <w:lang w:val="en-NZ"/>
    </w:rPr>
  </w:style>
  <w:style w:type="paragraph" w:customStyle="1" w:styleId="ChapterTitle">
    <w:name w:val="Chapter Title"/>
    <w:basedOn w:val="Normal"/>
    <w:next w:val="13rd-levelparagraph"/>
    <w:uiPriority w:val="99"/>
    <w:rsid w:val="0000070B"/>
    <w:pPr>
      <w:keepNext/>
      <w:numPr>
        <w:numId w:val="2"/>
      </w:numPr>
      <w:spacing w:before="240" w:after="200" w:line="276" w:lineRule="auto"/>
      <w:jc w:val="center"/>
      <w:outlineLvl w:val="1"/>
    </w:pPr>
    <w:rPr>
      <w:rFonts w:ascii="Arial" w:hAnsi="Arial"/>
      <w:b/>
      <w:caps/>
      <w:sz w:val="32"/>
      <w:szCs w:val="32"/>
      <w:lang w:val="en-NZ"/>
    </w:rPr>
  </w:style>
  <w:style w:type="paragraph" w:customStyle="1" w:styleId="CTChapterTitle">
    <w:name w:val="CT Chapter Title"/>
    <w:basedOn w:val="Normal"/>
    <w:link w:val="CTChapterTitleChar"/>
    <w:uiPriority w:val="21"/>
    <w:qFormat/>
    <w:rsid w:val="0000070B"/>
    <w:pPr>
      <w:keepNext/>
      <w:spacing w:after="200" w:line="276" w:lineRule="auto"/>
      <w:jc w:val="center"/>
      <w:outlineLvl w:val="1"/>
    </w:pPr>
    <w:rPr>
      <w:rFonts w:ascii="Arial" w:eastAsiaTheme="minorHAnsi" w:hAnsi="Arial"/>
      <w:b/>
      <w:caps/>
      <w:sz w:val="32"/>
      <w:szCs w:val="22"/>
      <w:lang w:val="en-NZ"/>
    </w:rPr>
  </w:style>
  <w:style w:type="character" w:customStyle="1" w:styleId="CTChapterTitleChar">
    <w:name w:val="CT Chapter Title Char"/>
    <w:basedOn w:val="DefaultParagraphFont"/>
    <w:link w:val="CTChapterTitle"/>
    <w:uiPriority w:val="21"/>
    <w:rsid w:val="0000070B"/>
    <w:rPr>
      <w:rFonts w:ascii="Arial" w:eastAsiaTheme="minorHAnsi" w:hAnsi="Arial"/>
      <w:b/>
      <w:caps/>
      <w:sz w:val="32"/>
      <w:szCs w:val="22"/>
      <w:lang w:val="en-NZ"/>
    </w:rPr>
  </w:style>
  <w:style w:type="paragraph" w:customStyle="1" w:styleId="GGroupHeading">
    <w:name w:val="G Group Heading"/>
    <w:basedOn w:val="Normal"/>
    <w:link w:val="GGroupHeadingChar"/>
    <w:uiPriority w:val="1"/>
    <w:qFormat/>
    <w:rsid w:val="0000070B"/>
    <w:pPr>
      <w:keepNext/>
      <w:spacing w:before="240" w:after="200" w:line="276" w:lineRule="auto"/>
      <w:outlineLvl w:val="1"/>
    </w:pPr>
    <w:rPr>
      <w:rFonts w:ascii="Arial" w:eastAsiaTheme="minorHAnsi" w:hAnsi="Arial"/>
      <w:b/>
      <w:szCs w:val="22"/>
      <w:lang w:val="en-NZ"/>
    </w:rPr>
  </w:style>
  <w:style w:type="character" w:customStyle="1" w:styleId="GGroupHeadingChar">
    <w:name w:val="G Group Heading Char"/>
    <w:basedOn w:val="DefaultParagraphFont"/>
    <w:link w:val="GGroupHeading"/>
    <w:uiPriority w:val="1"/>
    <w:rsid w:val="0000070B"/>
    <w:rPr>
      <w:rFonts w:ascii="Arial" w:eastAsiaTheme="minorHAnsi" w:hAnsi="Arial"/>
      <w:b/>
      <w:szCs w:val="22"/>
      <w:lang w:val="en-NZ"/>
    </w:rPr>
  </w:style>
  <w:style w:type="paragraph" w:styleId="Header">
    <w:name w:val="header"/>
    <w:basedOn w:val="Normal"/>
    <w:link w:val="HeaderChar"/>
    <w:uiPriority w:val="99"/>
    <w:rsid w:val="0000070B"/>
    <w:pPr>
      <w:tabs>
        <w:tab w:val="center" w:pos="4536"/>
        <w:tab w:val="right" w:pos="8640"/>
      </w:tabs>
      <w:spacing w:after="200" w:line="276" w:lineRule="auto"/>
      <w:jc w:val="center"/>
    </w:pPr>
    <w:rPr>
      <w:rFonts w:ascii="Arial" w:hAnsi="Arial"/>
      <w:b/>
      <w:szCs w:val="22"/>
      <w:lang w:val="en-NZ"/>
    </w:rPr>
  </w:style>
  <w:style w:type="character" w:customStyle="1" w:styleId="HeaderChar">
    <w:name w:val="Header Char"/>
    <w:basedOn w:val="DefaultParagraphFont"/>
    <w:link w:val="Header"/>
    <w:uiPriority w:val="99"/>
    <w:rsid w:val="0000070B"/>
    <w:rPr>
      <w:rFonts w:ascii="Arial" w:eastAsia="Times New Roman" w:hAnsi="Arial"/>
      <w:b/>
      <w:szCs w:val="22"/>
      <w:lang w:val="en-NZ"/>
    </w:rPr>
  </w:style>
  <w:style w:type="paragraph" w:customStyle="1" w:styleId="i5th-levelparagraph">
    <w:name w:val="i. 5th-level paragraph"/>
    <w:basedOn w:val="Normal"/>
    <w:link w:val="i5th-levelparagraphChar"/>
    <w:uiPriority w:val="7"/>
    <w:qFormat/>
    <w:rsid w:val="0000070B"/>
    <w:pPr>
      <w:tabs>
        <w:tab w:val="num" w:pos="2835"/>
      </w:tabs>
      <w:spacing w:before="240" w:after="200" w:line="276" w:lineRule="auto"/>
      <w:ind w:left="2835" w:hanging="567"/>
    </w:pPr>
    <w:rPr>
      <w:rFonts w:ascii="Arial" w:hAnsi="Arial"/>
      <w:szCs w:val="22"/>
      <w:lang w:val="en-NZ"/>
    </w:rPr>
  </w:style>
  <w:style w:type="character" w:customStyle="1" w:styleId="i5th-levelparagraphChar">
    <w:name w:val="i. 5th-level paragraph Char"/>
    <w:basedOn w:val="DefaultParagraphFont"/>
    <w:link w:val="i5th-levelparagraph"/>
    <w:uiPriority w:val="7"/>
    <w:rsid w:val="0000070B"/>
    <w:rPr>
      <w:rFonts w:ascii="Arial" w:eastAsia="Times New Roman" w:hAnsi="Arial"/>
      <w:szCs w:val="22"/>
      <w:lang w:val="en-NZ"/>
    </w:rPr>
  </w:style>
  <w:style w:type="character" w:styleId="PageNumber">
    <w:name w:val="page number"/>
    <w:basedOn w:val="DefaultParagraphFont"/>
    <w:uiPriority w:val="99"/>
    <w:rsid w:val="0000070B"/>
    <w:rPr>
      <w:rFonts w:ascii="Arial" w:hAnsi="Arial" w:cs="Times New Roman"/>
    </w:rPr>
  </w:style>
  <w:style w:type="paragraph" w:customStyle="1" w:styleId="PTPrimaryTitle">
    <w:name w:val="PT Primary Title"/>
    <w:basedOn w:val="Normal"/>
    <w:link w:val="PTPrimaryTitleChar"/>
    <w:uiPriority w:val="20"/>
    <w:qFormat/>
    <w:rsid w:val="0000070B"/>
    <w:pPr>
      <w:keepNext/>
      <w:spacing w:after="240" w:line="276" w:lineRule="auto"/>
      <w:jc w:val="center"/>
      <w:outlineLvl w:val="0"/>
    </w:pPr>
    <w:rPr>
      <w:rFonts w:ascii="Arial" w:eastAsiaTheme="minorHAnsi" w:hAnsi="Arial"/>
      <w:b/>
      <w:caps/>
      <w:sz w:val="36"/>
      <w:szCs w:val="22"/>
      <w:lang w:val="en-NZ"/>
    </w:rPr>
  </w:style>
  <w:style w:type="character" w:customStyle="1" w:styleId="PTPrimaryTitleChar">
    <w:name w:val="PT Primary Title Char"/>
    <w:basedOn w:val="DefaultParagraphFont"/>
    <w:link w:val="PTPrimaryTitle"/>
    <w:uiPriority w:val="20"/>
    <w:rsid w:val="0000070B"/>
    <w:rPr>
      <w:rFonts w:ascii="Arial" w:eastAsiaTheme="minorHAnsi" w:hAnsi="Arial"/>
      <w:b/>
      <w:caps/>
      <w:sz w:val="36"/>
      <w:szCs w:val="22"/>
      <w:lang w:val="en-NZ"/>
    </w:rPr>
  </w:style>
  <w:style w:type="paragraph" w:customStyle="1" w:styleId="STSectionTitle">
    <w:name w:val="ST Section Title"/>
    <w:basedOn w:val="Normal"/>
    <w:link w:val="STSectionTitleChar"/>
    <w:uiPriority w:val="22"/>
    <w:qFormat/>
    <w:rsid w:val="0000070B"/>
    <w:pPr>
      <w:spacing w:before="240" w:after="200" w:line="276" w:lineRule="auto"/>
      <w:jc w:val="center"/>
      <w:outlineLvl w:val="2"/>
    </w:pPr>
    <w:rPr>
      <w:rFonts w:ascii="Arial" w:eastAsiaTheme="minorHAnsi" w:hAnsi="Arial"/>
      <w:b/>
      <w:caps/>
      <w:sz w:val="28"/>
      <w:szCs w:val="22"/>
      <w:lang w:val="en-NZ"/>
    </w:rPr>
  </w:style>
  <w:style w:type="character" w:customStyle="1" w:styleId="STSectionTitleChar">
    <w:name w:val="ST Section Title Char"/>
    <w:basedOn w:val="DefaultParagraphFont"/>
    <w:link w:val="STSectionTitle"/>
    <w:uiPriority w:val="22"/>
    <w:rsid w:val="0000070B"/>
    <w:rPr>
      <w:rFonts w:ascii="Arial" w:eastAsiaTheme="minorHAnsi" w:hAnsi="Arial"/>
      <w:b/>
      <w:caps/>
      <w:sz w:val="28"/>
      <w:szCs w:val="22"/>
      <w:lang w:val="en-NZ"/>
    </w:rPr>
  </w:style>
  <w:style w:type="paragraph" w:customStyle="1" w:styleId="TTitleHeading">
    <w:name w:val="T Title Heading"/>
    <w:basedOn w:val="Normal"/>
    <w:link w:val="TTitleHeadingChar"/>
    <w:qFormat/>
    <w:rsid w:val="0000070B"/>
    <w:pPr>
      <w:keepNext/>
      <w:spacing w:before="240" w:after="200" w:line="276" w:lineRule="auto"/>
      <w:outlineLvl w:val="0"/>
    </w:pPr>
    <w:rPr>
      <w:rFonts w:ascii="Arial" w:eastAsiaTheme="minorHAnsi" w:hAnsi="Arial"/>
      <w:b/>
      <w:caps/>
      <w:szCs w:val="22"/>
      <w:lang w:val="en-NZ"/>
    </w:rPr>
  </w:style>
  <w:style w:type="character" w:customStyle="1" w:styleId="TTitleHeadingChar">
    <w:name w:val="T Title Heading Char"/>
    <w:basedOn w:val="DefaultParagraphFont"/>
    <w:link w:val="TTitleHeading"/>
    <w:rsid w:val="0000070B"/>
    <w:rPr>
      <w:rFonts w:ascii="Arial" w:eastAsiaTheme="minorHAnsi" w:hAnsi="Arial"/>
      <w:b/>
      <w:caps/>
      <w:szCs w:val="22"/>
      <w:lang w:val="en-NZ"/>
    </w:rPr>
  </w:style>
  <w:style w:type="paragraph" w:styleId="Footer">
    <w:name w:val="footer"/>
    <w:basedOn w:val="Normal"/>
    <w:link w:val="FooterChar"/>
    <w:uiPriority w:val="99"/>
    <w:rsid w:val="0000070B"/>
    <w:pPr>
      <w:numPr>
        <w:ilvl w:val="4"/>
        <w:numId w:val="3"/>
      </w:numPr>
      <w:tabs>
        <w:tab w:val="clear" w:pos="2835"/>
        <w:tab w:val="center" w:pos="4513"/>
        <w:tab w:val="right" w:pos="9026"/>
      </w:tabs>
      <w:ind w:left="0" w:firstLine="0"/>
    </w:pPr>
    <w:rPr>
      <w:rFonts w:eastAsiaTheme="minorHAnsi"/>
      <w:sz w:val="22"/>
      <w:szCs w:val="22"/>
      <w:lang w:val="en-NZ"/>
    </w:rPr>
  </w:style>
  <w:style w:type="character" w:customStyle="1" w:styleId="FooterChar">
    <w:name w:val="Footer Char"/>
    <w:basedOn w:val="DefaultParagraphFont"/>
    <w:link w:val="Footer"/>
    <w:uiPriority w:val="99"/>
    <w:rsid w:val="0000070B"/>
    <w:rPr>
      <w:rFonts w:eastAsiaTheme="minorHAnsi"/>
      <w:sz w:val="22"/>
      <w:szCs w:val="22"/>
      <w:lang w:val="en-NZ"/>
    </w:rPr>
  </w:style>
  <w:style w:type="character" w:customStyle="1" w:styleId="BalloonTextChar2">
    <w:name w:val="Balloon Text Char2"/>
    <w:basedOn w:val="DefaultParagraphFont"/>
    <w:uiPriority w:val="99"/>
    <w:rsid w:val="0000070B"/>
    <w:rPr>
      <w:rFonts w:ascii="Lucida Grande" w:eastAsiaTheme="minorEastAsia" w:hAnsi="Lucida Grande"/>
      <w:sz w:val="18"/>
      <w:szCs w:val="18"/>
      <w:lang w:eastAsia="ja-JP"/>
    </w:rPr>
  </w:style>
  <w:style w:type="paragraph" w:styleId="ListParagraph">
    <w:name w:val="List Paragraph"/>
    <w:basedOn w:val="Normal"/>
    <w:uiPriority w:val="34"/>
    <w:qFormat/>
    <w:rsid w:val="0000070B"/>
    <w:pPr>
      <w:ind w:left="720"/>
      <w:contextualSpacing/>
    </w:pPr>
    <w:rPr>
      <w:lang w:eastAsia="ja-JP"/>
    </w:rPr>
  </w:style>
  <w:style w:type="paragraph" w:styleId="NormalWeb">
    <w:name w:val="Normal (Web)"/>
    <w:basedOn w:val="Normal"/>
    <w:uiPriority w:val="99"/>
    <w:rsid w:val="0000070B"/>
    <w:pPr>
      <w:spacing w:beforeLines="1" w:afterLines="1"/>
    </w:pPr>
    <w:rPr>
      <w:rFonts w:ascii="Times" w:hAnsi="Times"/>
      <w:sz w:val="20"/>
      <w:szCs w:val="20"/>
      <w:lang w:eastAsia="ja-JP"/>
    </w:rPr>
  </w:style>
  <w:style w:type="paragraph" w:styleId="Bibliography">
    <w:name w:val="Bibliography"/>
    <w:basedOn w:val="Normal"/>
    <w:next w:val="Normal"/>
    <w:uiPriority w:val="37"/>
    <w:rsid w:val="0000070B"/>
    <w:pPr>
      <w:spacing w:after="200" w:line="276" w:lineRule="auto"/>
    </w:pPr>
    <w:rPr>
      <w:sz w:val="22"/>
      <w:szCs w:val="22"/>
      <w:lang w:eastAsia="ja-JP"/>
    </w:rPr>
  </w:style>
  <w:style w:type="character" w:customStyle="1" w:styleId="BalloonTextChar1">
    <w:name w:val="Balloon Text Char1"/>
    <w:basedOn w:val="DefaultParagraphFont"/>
    <w:rsid w:val="0000070B"/>
    <w:rPr>
      <w:rFonts w:ascii="Tahoma" w:hAnsi="Tahoma" w:cs="Tahoma"/>
      <w:sz w:val="16"/>
      <w:szCs w:val="16"/>
    </w:rPr>
  </w:style>
  <w:style w:type="paragraph" w:styleId="TOC1">
    <w:name w:val="toc 1"/>
    <w:basedOn w:val="Normal"/>
    <w:next w:val="Normal"/>
    <w:autoRedefine/>
    <w:uiPriority w:val="39"/>
    <w:rsid w:val="000C65C6"/>
    <w:pPr>
      <w:tabs>
        <w:tab w:val="right" w:leader="dot" w:pos="9010"/>
      </w:tabs>
      <w:spacing w:before="120" w:after="120"/>
    </w:pPr>
    <w:rPr>
      <w:b/>
      <w:bCs/>
      <w:caps/>
      <w:szCs w:val="20"/>
    </w:rPr>
  </w:style>
  <w:style w:type="paragraph" w:styleId="TOC2">
    <w:name w:val="toc 2"/>
    <w:basedOn w:val="Normal"/>
    <w:next w:val="Normal"/>
    <w:autoRedefine/>
    <w:uiPriority w:val="39"/>
    <w:rsid w:val="00204DAC"/>
    <w:pPr>
      <w:tabs>
        <w:tab w:val="right" w:leader="dot" w:pos="9372"/>
      </w:tabs>
      <w:ind w:left="240"/>
    </w:pPr>
    <w:rPr>
      <w:sz w:val="22"/>
      <w:szCs w:val="20"/>
    </w:rPr>
  </w:style>
  <w:style w:type="paragraph" w:styleId="TOC3">
    <w:name w:val="toc 3"/>
    <w:basedOn w:val="Normal"/>
    <w:next w:val="Normal"/>
    <w:autoRedefine/>
    <w:uiPriority w:val="39"/>
    <w:rsid w:val="00AD17B0"/>
    <w:pPr>
      <w:ind w:left="480"/>
    </w:pPr>
    <w:rPr>
      <w:iCs/>
      <w:sz w:val="20"/>
      <w:szCs w:val="20"/>
    </w:rPr>
  </w:style>
  <w:style w:type="paragraph" w:styleId="TOC4">
    <w:name w:val="toc 4"/>
    <w:basedOn w:val="Normal"/>
    <w:next w:val="Normal"/>
    <w:autoRedefine/>
    <w:uiPriority w:val="39"/>
    <w:rsid w:val="0000070B"/>
    <w:pPr>
      <w:ind w:left="720"/>
    </w:pPr>
    <w:rPr>
      <w:rFonts w:asciiTheme="minorHAnsi" w:hAnsiTheme="minorHAnsi"/>
      <w:sz w:val="18"/>
      <w:szCs w:val="18"/>
    </w:rPr>
  </w:style>
  <w:style w:type="paragraph" w:styleId="TOC5">
    <w:name w:val="toc 5"/>
    <w:basedOn w:val="Normal"/>
    <w:next w:val="Normal"/>
    <w:autoRedefine/>
    <w:uiPriority w:val="39"/>
    <w:rsid w:val="0000070B"/>
    <w:pPr>
      <w:ind w:left="960"/>
    </w:pPr>
    <w:rPr>
      <w:rFonts w:asciiTheme="minorHAnsi" w:hAnsiTheme="minorHAnsi"/>
      <w:sz w:val="18"/>
      <w:szCs w:val="18"/>
    </w:rPr>
  </w:style>
  <w:style w:type="paragraph" w:styleId="TOC6">
    <w:name w:val="toc 6"/>
    <w:basedOn w:val="Normal"/>
    <w:next w:val="Normal"/>
    <w:autoRedefine/>
    <w:uiPriority w:val="39"/>
    <w:rsid w:val="0000070B"/>
    <w:pPr>
      <w:ind w:left="1200"/>
    </w:pPr>
    <w:rPr>
      <w:rFonts w:asciiTheme="minorHAnsi" w:hAnsiTheme="minorHAnsi"/>
      <w:sz w:val="18"/>
      <w:szCs w:val="18"/>
    </w:rPr>
  </w:style>
  <w:style w:type="paragraph" w:styleId="TOC7">
    <w:name w:val="toc 7"/>
    <w:basedOn w:val="Normal"/>
    <w:next w:val="Normal"/>
    <w:autoRedefine/>
    <w:uiPriority w:val="39"/>
    <w:rsid w:val="0000070B"/>
    <w:pPr>
      <w:ind w:left="1440"/>
    </w:pPr>
    <w:rPr>
      <w:rFonts w:asciiTheme="minorHAnsi" w:hAnsiTheme="minorHAnsi"/>
      <w:sz w:val="18"/>
      <w:szCs w:val="18"/>
    </w:rPr>
  </w:style>
  <w:style w:type="paragraph" w:styleId="TOC8">
    <w:name w:val="toc 8"/>
    <w:basedOn w:val="Normal"/>
    <w:next w:val="Normal"/>
    <w:autoRedefine/>
    <w:uiPriority w:val="39"/>
    <w:rsid w:val="0000070B"/>
    <w:pPr>
      <w:ind w:left="1680"/>
    </w:pPr>
    <w:rPr>
      <w:rFonts w:asciiTheme="minorHAnsi" w:hAnsiTheme="minorHAnsi"/>
      <w:sz w:val="18"/>
      <w:szCs w:val="18"/>
    </w:rPr>
  </w:style>
  <w:style w:type="paragraph" w:styleId="TOC9">
    <w:name w:val="toc 9"/>
    <w:basedOn w:val="Normal"/>
    <w:next w:val="Normal"/>
    <w:autoRedefine/>
    <w:uiPriority w:val="39"/>
    <w:rsid w:val="0000070B"/>
    <w:pPr>
      <w:ind w:left="1920"/>
    </w:pPr>
    <w:rPr>
      <w:rFonts w:asciiTheme="minorHAnsi" w:hAnsiTheme="minorHAnsi"/>
      <w:sz w:val="18"/>
      <w:szCs w:val="18"/>
    </w:rPr>
  </w:style>
  <w:style w:type="paragraph" w:styleId="TOCHeading">
    <w:name w:val="TOC Heading"/>
    <w:basedOn w:val="Heading1"/>
    <w:next w:val="Normal"/>
    <w:uiPriority w:val="39"/>
    <w:unhideWhenUsed/>
    <w:qFormat/>
    <w:rsid w:val="0000070B"/>
    <w:pPr>
      <w:outlineLvl w:val="9"/>
    </w:pPr>
  </w:style>
  <w:style w:type="paragraph" w:styleId="CommentSubject">
    <w:name w:val="annotation subject"/>
    <w:basedOn w:val="CommentText"/>
    <w:next w:val="CommentText"/>
    <w:link w:val="CommentSubjectChar"/>
    <w:rsid w:val="0000070B"/>
    <w:rPr>
      <w:b/>
      <w:bCs/>
    </w:rPr>
  </w:style>
  <w:style w:type="character" w:customStyle="1" w:styleId="CommentSubjectChar">
    <w:name w:val="Comment Subject Char"/>
    <w:basedOn w:val="CommentTextChar"/>
    <w:link w:val="CommentSubject"/>
    <w:rsid w:val="0000070B"/>
    <w:rPr>
      <w:b/>
      <w:bCs/>
      <w:sz w:val="20"/>
      <w:szCs w:val="20"/>
      <w:lang w:eastAsia="ja-JP"/>
    </w:rPr>
  </w:style>
  <w:style w:type="paragraph" w:styleId="Title">
    <w:name w:val="Title"/>
    <w:basedOn w:val="Normal"/>
    <w:next w:val="Normal"/>
    <w:link w:val="TitleChar"/>
    <w:uiPriority w:val="10"/>
    <w:qFormat/>
    <w:rsid w:val="000007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rsid w:val="0000070B"/>
    <w:rPr>
      <w:rFonts w:asciiTheme="majorHAnsi" w:eastAsiaTheme="majorEastAsia" w:hAnsiTheme="majorHAnsi" w:cstheme="majorBidi"/>
      <w:color w:val="17365D" w:themeColor="text2" w:themeShade="BF"/>
      <w:spacing w:val="5"/>
      <w:kern w:val="28"/>
      <w:sz w:val="52"/>
      <w:szCs w:val="52"/>
      <w:lang w:eastAsia="ja-JP"/>
    </w:rPr>
  </w:style>
  <w:style w:type="character" w:styleId="SubtleEmphasis">
    <w:name w:val="Subtle Emphasis"/>
    <w:basedOn w:val="DefaultParagraphFont"/>
    <w:rsid w:val="0000070B"/>
    <w:rPr>
      <w:i/>
      <w:iCs/>
      <w:color w:val="808080" w:themeColor="text1" w:themeTint="7F"/>
    </w:rPr>
  </w:style>
  <w:style w:type="paragraph" w:styleId="TableofAuthorities">
    <w:name w:val="table of authorities"/>
    <w:basedOn w:val="Normal"/>
    <w:next w:val="Normal"/>
    <w:rsid w:val="0000070B"/>
    <w:pPr>
      <w:ind w:left="240" w:hanging="240"/>
    </w:pPr>
    <w:rPr>
      <w:lang w:eastAsia="ja-JP"/>
    </w:rPr>
  </w:style>
  <w:style w:type="paragraph" w:styleId="PlainText">
    <w:name w:val="Plain Text"/>
    <w:basedOn w:val="Normal"/>
    <w:link w:val="PlainTextChar"/>
    <w:rsid w:val="0000070B"/>
    <w:rPr>
      <w:rFonts w:ascii="Consolas" w:hAnsi="Consolas"/>
      <w:sz w:val="21"/>
      <w:szCs w:val="21"/>
      <w:lang w:eastAsia="ja-JP"/>
    </w:rPr>
  </w:style>
  <w:style w:type="character" w:customStyle="1" w:styleId="PlainTextChar">
    <w:name w:val="Plain Text Char"/>
    <w:basedOn w:val="DefaultParagraphFont"/>
    <w:link w:val="PlainText"/>
    <w:rsid w:val="0000070B"/>
    <w:rPr>
      <w:rFonts w:ascii="Consolas" w:hAnsi="Consolas"/>
      <w:sz w:val="21"/>
      <w:szCs w:val="21"/>
      <w:lang w:eastAsia="ja-JP"/>
    </w:rPr>
  </w:style>
  <w:style w:type="paragraph" w:styleId="NormalIndent">
    <w:name w:val="Normal Indent"/>
    <w:basedOn w:val="Normal"/>
    <w:rsid w:val="0000070B"/>
    <w:pPr>
      <w:ind w:left="720"/>
    </w:pPr>
    <w:rPr>
      <w:lang w:eastAsia="ja-JP"/>
    </w:rPr>
  </w:style>
  <w:style w:type="paragraph" w:styleId="Caption">
    <w:name w:val="caption"/>
    <w:basedOn w:val="Normal"/>
    <w:next w:val="Normal"/>
    <w:rsid w:val="0000070B"/>
    <w:pPr>
      <w:spacing w:after="200"/>
    </w:pPr>
    <w:rPr>
      <w:b/>
      <w:bCs/>
      <w:color w:val="4F81BD" w:themeColor="accent1"/>
      <w:sz w:val="18"/>
      <w:szCs w:val="18"/>
      <w:lang w:eastAsia="ja-JP"/>
    </w:rPr>
  </w:style>
  <w:style w:type="character" w:customStyle="1" w:styleId="apple-converted-space">
    <w:name w:val="apple-converted-space"/>
    <w:basedOn w:val="DefaultParagraphFont"/>
    <w:rsid w:val="0000070B"/>
  </w:style>
  <w:style w:type="character" w:styleId="Emphasis">
    <w:name w:val="Emphasis"/>
    <w:basedOn w:val="DefaultParagraphFont"/>
    <w:uiPriority w:val="20"/>
    <w:qFormat/>
    <w:rsid w:val="0000070B"/>
    <w:rPr>
      <w:i/>
      <w:iCs/>
    </w:rPr>
  </w:style>
  <w:style w:type="character" w:styleId="Hyperlink">
    <w:name w:val="Hyperlink"/>
    <w:basedOn w:val="DefaultParagraphFont"/>
    <w:uiPriority w:val="99"/>
    <w:unhideWhenUsed/>
    <w:rsid w:val="0000070B"/>
    <w:rPr>
      <w:color w:val="0000FF" w:themeColor="hyperlink"/>
      <w:u w:val="single"/>
    </w:rPr>
  </w:style>
  <w:style w:type="paragraph" w:styleId="Index1">
    <w:name w:val="index 1"/>
    <w:basedOn w:val="Normal"/>
    <w:next w:val="Normal"/>
    <w:autoRedefine/>
    <w:rsid w:val="0000070B"/>
    <w:pPr>
      <w:ind w:left="240" w:hanging="240"/>
    </w:pPr>
    <w:rPr>
      <w:lang w:eastAsia="ja-JP"/>
    </w:rPr>
  </w:style>
  <w:style w:type="paragraph" w:styleId="IndexHeading">
    <w:name w:val="index heading"/>
    <w:basedOn w:val="Normal"/>
    <w:next w:val="Index1"/>
    <w:rsid w:val="0000070B"/>
    <w:rPr>
      <w:rFonts w:asciiTheme="majorHAnsi" w:eastAsiaTheme="majorEastAsia" w:hAnsiTheme="majorHAnsi" w:cstheme="majorBidi"/>
      <w:b/>
      <w:bCs/>
      <w:lang w:eastAsia="ja-JP"/>
    </w:rPr>
  </w:style>
  <w:style w:type="paragraph" w:styleId="EndnoteText">
    <w:name w:val="endnote text"/>
    <w:basedOn w:val="Normal"/>
    <w:link w:val="EndnoteTextChar"/>
    <w:rsid w:val="0000070B"/>
    <w:rPr>
      <w:sz w:val="20"/>
      <w:szCs w:val="20"/>
      <w:lang w:eastAsia="ja-JP"/>
    </w:rPr>
  </w:style>
  <w:style w:type="character" w:customStyle="1" w:styleId="EndnoteTextChar">
    <w:name w:val="Endnote Text Char"/>
    <w:basedOn w:val="DefaultParagraphFont"/>
    <w:link w:val="EndnoteText"/>
    <w:rsid w:val="0000070B"/>
    <w:rPr>
      <w:sz w:val="20"/>
      <w:szCs w:val="20"/>
      <w:lang w:eastAsia="ja-JP"/>
    </w:rPr>
  </w:style>
  <w:style w:type="character" w:styleId="EndnoteReference">
    <w:name w:val="endnote reference"/>
    <w:basedOn w:val="DefaultParagraphFont"/>
    <w:rsid w:val="0000070B"/>
    <w:rPr>
      <w:vertAlign w:val="superscript"/>
    </w:rPr>
  </w:style>
  <w:style w:type="paragraph" w:customStyle="1" w:styleId="hanging">
    <w:name w:val="hanging"/>
    <w:basedOn w:val="Normal"/>
    <w:rsid w:val="0000070B"/>
    <w:pPr>
      <w:spacing w:before="100" w:beforeAutospacing="1" w:after="100" w:afterAutospacing="1"/>
    </w:pPr>
    <w:rPr>
      <w:lang w:eastAsia="ja-JP"/>
    </w:rPr>
  </w:style>
  <w:style w:type="paragraph" w:styleId="DocumentMap">
    <w:name w:val="Document Map"/>
    <w:basedOn w:val="Normal"/>
    <w:link w:val="DocumentMapChar"/>
    <w:rsid w:val="0000070B"/>
    <w:rPr>
      <w:rFonts w:ascii="Lucida Grande" w:hAnsi="Lucida Grande"/>
      <w:lang w:eastAsia="ja-JP"/>
    </w:rPr>
  </w:style>
  <w:style w:type="character" w:customStyle="1" w:styleId="DocumentMapChar">
    <w:name w:val="Document Map Char"/>
    <w:basedOn w:val="DefaultParagraphFont"/>
    <w:link w:val="DocumentMap"/>
    <w:rsid w:val="0000070B"/>
    <w:rPr>
      <w:rFonts w:ascii="Lucida Grande" w:hAnsi="Lucida Grande"/>
      <w:lang w:eastAsia="ja-JP"/>
    </w:rPr>
  </w:style>
  <w:style w:type="paragraph" w:styleId="Revision">
    <w:name w:val="Revision"/>
    <w:hidden/>
    <w:rsid w:val="0000070B"/>
    <w:rPr>
      <w:lang w:val="en-NZ" w:eastAsia="ja-JP"/>
    </w:rPr>
  </w:style>
  <w:style w:type="character" w:customStyle="1" w:styleId="reflink">
    <w:name w:val="reflink"/>
    <w:basedOn w:val="DefaultParagraphFont"/>
    <w:rsid w:val="0000070B"/>
  </w:style>
  <w:style w:type="character" w:styleId="Strong">
    <w:name w:val="Strong"/>
    <w:basedOn w:val="DefaultParagraphFont"/>
    <w:uiPriority w:val="22"/>
    <w:qFormat/>
    <w:rsid w:val="0000070B"/>
    <w:rPr>
      <w:b/>
    </w:rPr>
  </w:style>
  <w:style w:type="character" w:customStyle="1" w:styleId="verse-7">
    <w:name w:val="verse-7"/>
    <w:basedOn w:val="DefaultParagraphFont"/>
    <w:rsid w:val="0000070B"/>
  </w:style>
  <w:style w:type="table" w:styleId="TableGrid">
    <w:name w:val="Table Grid"/>
    <w:basedOn w:val="TableNormal"/>
    <w:uiPriority w:val="59"/>
    <w:rsid w:val="0000070B"/>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C1661"/>
    <w:rPr>
      <w:color w:val="800080" w:themeColor="followedHyperlink"/>
      <w:u w:val="single"/>
    </w:rPr>
  </w:style>
  <w:style w:type="character" w:customStyle="1" w:styleId="UnresolvedMention1">
    <w:name w:val="Unresolved Mention1"/>
    <w:basedOn w:val="DefaultParagraphFont"/>
    <w:uiPriority w:val="99"/>
    <w:semiHidden/>
    <w:unhideWhenUsed/>
    <w:rsid w:val="00B9258C"/>
    <w:rPr>
      <w:color w:val="808080"/>
      <w:shd w:val="clear" w:color="auto" w:fill="E6E6E6"/>
    </w:rPr>
  </w:style>
  <w:style w:type="character" w:customStyle="1" w:styleId="verse-25">
    <w:name w:val="verse-25"/>
    <w:basedOn w:val="DefaultParagraphFont"/>
    <w:rsid w:val="007E3829"/>
  </w:style>
  <w:style w:type="character" w:customStyle="1" w:styleId="verse-26">
    <w:name w:val="verse-26"/>
    <w:basedOn w:val="DefaultParagraphFont"/>
    <w:rsid w:val="007E3829"/>
  </w:style>
  <w:style w:type="character" w:customStyle="1" w:styleId="verse-27">
    <w:name w:val="verse-27"/>
    <w:basedOn w:val="DefaultParagraphFont"/>
    <w:rsid w:val="007E3829"/>
  </w:style>
  <w:style w:type="character" w:customStyle="1" w:styleId="verse-28">
    <w:name w:val="verse-28"/>
    <w:basedOn w:val="DefaultParagraphFont"/>
    <w:rsid w:val="007E3829"/>
  </w:style>
  <w:style w:type="character" w:customStyle="1" w:styleId="verse-29">
    <w:name w:val="verse-29"/>
    <w:basedOn w:val="DefaultParagraphFont"/>
    <w:rsid w:val="007E3829"/>
  </w:style>
  <w:style w:type="character" w:customStyle="1" w:styleId="verse-30">
    <w:name w:val="verse-30"/>
    <w:basedOn w:val="DefaultParagraphFont"/>
    <w:rsid w:val="007E3829"/>
  </w:style>
  <w:style w:type="character" w:customStyle="1" w:styleId="verse-43">
    <w:name w:val="verse-43"/>
    <w:basedOn w:val="DefaultParagraphFont"/>
    <w:rsid w:val="009F1F5D"/>
  </w:style>
  <w:style w:type="character" w:customStyle="1" w:styleId="verse-44">
    <w:name w:val="verse-44"/>
    <w:basedOn w:val="DefaultParagraphFont"/>
    <w:rsid w:val="009F1F5D"/>
  </w:style>
  <w:style w:type="character" w:customStyle="1" w:styleId="verse-45">
    <w:name w:val="verse-45"/>
    <w:basedOn w:val="DefaultParagraphFont"/>
    <w:rsid w:val="009F1F5D"/>
  </w:style>
  <w:style w:type="character" w:customStyle="1" w:styleId="verse-46">
    <w:name w:val="verse-46"/>
    <w:basedOn w:val="DefaultParagraphFont"/>
    <w:rsid w:val="009F1F5D"/>
  </w:style>
  <w:style w:type="character" w:customStyle="1" w:styleId="verse-47">
    <w:name w:val="verse-47"/>
    <w:basedOn w:val="DefaultParagraphFont"/>
    <w:rsid w:val="009F1F5D"/>
  </w:style>
  <w:style w:type="character" w:customStyle="1" w:styleId="verse-48">
    <w:name w:val="verse-48"/>
    <w:basedOn w:val="DefaultParagraphFont"/>
    <w:rsid w:val="009F1F5D"/>
  </w:style>
  <w:style w:type="character" w:customStyle="1" w:styleId="hit">
    <w:name w:val="hit"/>
    <w:basedOn w:val="DefaultParagraphFont"/>
    <w:rsid w:val="00473356"/>
  </w:style>
  <w:style w:type="character" w:customStyle="1" w:styleId="UnresolvedMention2">
    <w:name w:val="Unresolved Mention2"/>
    <w:basedOn w:val="DefaultParagraphFont"/>
    <w:uiPriority w:val="99"/>
    <w:semiHidden/>
    <w:unhideWhenUsed/>
    <w:rsid w:val="00BD42C5"/>
    <w:rPr>
      <w:color w:val="605E5C"/>
      <w:shd w:val="clear" w:color="auto" w:fill="E1DFDD"/>
    </w:rPr>
  </w:style>
  <w:style w:type="paragraph" w:customStyle="1" w:styleId="Titlepagetext">
    <w:name w:val="Title page text"/>
    <w:basedOn w:val="Normal"/>
    <w:next w:val="BodyText"/>
    <w:qFormat/>
    <w:rsid w:val="0036207E"/>
    <w:pPr>
      <w:spacing w:before="120" w:after="120" w:line="360" w:lineRule="auto"/>
      <w:jc w:val="center"/>
    </w:pPr>
    <w:rPr>
      <w:rFonts w:eastAsiaTheme="minorHAnsi" w:cstheme="minorBidi"/>
      <w:b/>
      <w:szCs w:val="22"/>
      <w:lang w:val="en-AU"/>
    </w:rPr>
  </w:style>
  <w:style w:type="character" w:customStyle="1" w:styleId="glossaryitem">
    <w:name w:val="glossary_item"/>
    <w:basedOn w:val="DefaultParagraphFont"/>
    <w:rsid w:val="00373902"/>
  </w:style>
  <w:style w:type="paragraph" w:customStyle="1" w:styleId="he">
    <w:name w:val="he"/>
    <w:basedOn w:val="Normal"/>
    <w:rsid w:val="00D74BD9"/>
    <w:pPr>
      <w:spacing w:beforeLines="1" w:afterLines="1"/>
    </w:pPr>
    <w:rPr>
      <w:rFonts w:ascii="Times" w:hAnsi="Times" w:cstheme="minorBidi"/>
      <w:sz w:val="20"/>
      <w:szCs w:val="20"/>
    </w:rPr>
  </w:style>
  <w:style w:type="paragraph" w:customStyle="1" w:styleId="en">
    <w:name w:val="en"/>
    <w:basedOn w:val="Normal"/>
    <w:rsid w:val="00D74BD9"/>
    <w:pPr>
      <w:spacing w:beforeLines="1" w:afterLines="1"/>
    </w:pPr>
    <w:rPr>
      <w:rFonts w:ascii="Times" w:hAnsi="Times" w:cstheme="minorBidi"/>
      <w:sz w:val="20"/>
      <w:szCs w:val="20"/>
    </w:rPr>
  </w:style>
  <w:style w:type="character" w:customStyle="1" w:styleId="selectable">
    <w:name w:val="selectable"/>
    <w:basedOn w:val="DefaultParagraphFont"/>
    <w:rsid w:val="002068B1"/>
  </w:style>
  <w:style w:type="character" w:styleId="LineNumber">
    <w:name w:val="line number"/>
    <w:basedOn w:val="DefaultParagraphFont"/>
    <w:semiHidden/>
    <w:unhideWhenUsed/>
    <w:rsid w:val="00934FB5"/>
  </w:style>
  <w:style w:type="character" w:customStyle="1" w:styleId="script-hebrew">
    <w:name w:val="script-hebrew"/>
    <w:basedOn w:val="DefaultParagraphFont"/>
    <w:rsid w:val="000D5D88"/>
  </w:style>
  <w:style w:type="character" w:customStyle="1" w:styleId="ipa">
    <w:name w:val="ipa"/>
    <w:basedOn w:val="DefaultParagraphFont"/>
    <w:rsid w:val="000D5D88"/>
  </w:style>
  <w:style w:type="character" w:customStyle="1" w:styleId="UnresolvedMention3">
    <w:name w:val="Unresolved Mention3"/>
    <w:basedOn w:val="DefaultParagraphFont"/>
    <w:uiPriority w:val="99"/>
    <w:semiHidden/>
    <w:unhideWhenUsed/>
    <w:rsid w:val="00301AC0"/>
    <w:rPr>
      <w:color w:val="605E5C"/>
      <w:shd w:val="clear" w:color="auto" w:fill="E1DFDD"/>
    </w:rPr>
  </w:style>
  <w:style w:type="paragraph" w:styleId="HTMLPreformatted">
    <w:name w:val="HTML Preformatted"/>
    <w:basedOn w:val="Normal"/>
    <w:link w:val="HTMLPreformattedChar"/>
    <w:uiPriority w:val="99"/>
    <w:semiHidden/>
    <w:unhideWhenUsed/>
    <w:rsid w:val="006C636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6C636D"/>
    <w:rPr>
      <w:rFonts w:ascii="Consolas" w:eastAsia="Times New Roman" w:hAnsi="Consolas" w:cs="Consolas"/>
      <w:sz w:val="20"/>
      <w:szCs w:val="20"/>
    </w:rPr>
  </w:style>
  <w:style w:type="character" w:customStyle="1" w:styleId="e24kjd">
    <w:name w:val="e24kjd"/>
    <w:basedOn w:val="DefaultParagraphFont"/>
    <w:rsid w:val="00616ADB"/>
  </w:style>
  <w:style w:type="character" w:styleId="HTMLCite">
    <w:name w:val="HTML Cite"/>
    <w:basedOn w:val="DefaultParagraphFont"/>
    <w:uiPriority w:val="99"/>
    <w:semiHidden/>
    <w:unhideWhenUsed/>
    <w:rsid w:val="00364A24"/>
    <w:rPr>
      <w:i/>
      <w:iCs/>
    </w:rPr>
  </w:style>
  <w:style w:type="character" w:customStyle="1" w:styleId="st">
    <w:name w:val="st"/>
    <w:basedOn w:val="DefaultParagraphFont"/>
    <w:rsid w:val="001915D8"/>
  </w:style>
  <w:style w:type="character" w:customStyle="1" w:styleId="UnresolvedMention4">
    <w:name w:val="Unresolved Mention4"/>
    <w:basedOn w:val="DefaultParagraphFont"/>
    <w:uiPriority w:val="99"/>
    <w:semiHidden/>
    <w:unhideWhenUsed/>
    <w:rsid w:val="006A220B"/>
    <w:rPr>
      <w:color w:val="605E5C"/>
      <w:shd w:val="clear" w:color="auto" w:fill="E1DFDD"/>
    </w:rPr>
  </w:style>
  <w:style w:type="character" w:customStyle="1" w:styleId="sc-clxpox">
    <w:name w:val="sc-clxpox"/>
    <w:basedOn w:val="DefaultParagraphFont"/>
    <w:rsid w:val="00566A3B"/>
  </w:style>
  <w:style w:type="character" w:styleId="UnresolvedMention">
    <w:name w:val="Unresolved Mention"/>
    <w:basedOn w:val="DefaultParagraphFont"/>
    <w:uiPriority w:val="99"/>
    <w:semiHidden/>
    <w:unhideWhenUsed/>
    <w:rsid w:val="002E705D"/>
    <w:rPr>
      <w:color w:val="605E5C"/>
      <w:shd w:val="clear" w:color="auto" w:fill="E1DFDD"/>
    </w:rPr>
  </w:style>
  <w:style w:type="character" w:customStyle="1" w:styleId="acopre">
    <w:name w:val="acopre"/>
    <w:basedOn w:val="DefaultParagraphFont"/>
    <w:rsid w:val="00480CAE"/>
  </w:style>
  <w:style w:type="paragraph" w:customStyle="1" w:styleId="Blockquotation">
    <w:name w:val="Block quotation"/>
    <w:basedOn w:val="Normal"/>
    <w:link w:val="BlockquotationChar"/>
    <w:qFormat/>
    <w:rsid w:val="0057323C"/>
    <w:pPr>
      <w:spacing w:before="120" w:after="120"/>
      <w:ind w:left="709" w:right="709"/>
    </w:pPr>
    <w:rPr>
      <w:sz w:val="22"/>
    </w:rPr>
  </w:style>
  <w:style w:type="character" w:customStyle="1" w:styleId="BlockquotationChar">
    <w:name w:val="Block quotation Char"/>
    <w:basedOn w:val="DefaultParagraphFont"/>
    <w:link w:val="Blockquotation"/>
    <w:rsid w:val="0057323C"/>
    <w:rPr>
      <w:rFonts w:eastAsia="Times New Roman"/>
      <w:color w:val="auto"/>
      <w:sz w:val="22"/>
    </w:rPr>
  </w:style>
  <w:style w:type="paragraph" w:styleId="Subtitle">
    <w:name w:val="Subtitle"/>
    <w:basedOn w:val="Normal"/>
    <w:next w:val="Normal"/>
    <w:link w:val="SubtitleChar"/>
    <w:uiPriority w:val="11"/>
    <w:qFormat/>
    <w:rsid w:val="00412D77"/>
    <w:pPr>
      <w:keepNext/>
      <w:keepLines/>
      <w:spacing w:before="360" w:after="80"/>
      <w:ind w:left="720"/>
    </w:pPr>
    <w:rPr>
      <w:rFonts w:ascii="Georgia" w:eastAsia="Georgia" w:hAnsi="Georgia" w:cs="Georgia"/>
      <w:i/>
      <w:color w:val="666666"/>
      <w:sz w:val="48"/>
      <w:szCs w:val="48"/>
      <w:shd w:val="clear" w:color="auto" w:fill="F5F5F5"/>
    </w:rPr>
  </w:style>
  <w:style w:type="character" w:customStyle="1" w:styleId="SubtitleChar">
    <w:name w:val="Subtitle Char"/>
    <w:basedOn w:val="DefaultParagraphFont"/>
    <w:link w:val="Subtitle"/>
    <w:uiPriority w:val="11"/>
    <w:rsid w:val="00412D77"/>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013">
      <w:bodyDiv w:val="1"/>
      <w:marLeft w:val="0"/>
      <w:marRight w:val="0"/>
      <w:marTop w:val="0"/>
      <w:marBottom w:val="0"/>
      <w:divBdr>
        <w:top w:val="none" w:sz="0" w:space="0" w:color="auto"/>
        <w:left w:val="none" w:sz="0" w:space="0" w:color="auto"/>
        <w:bottom w:val="none" w:sz="0" w:space="0" w:color="auto"/>
        <w:right w:val="none" w:sz="0" w:space="0" w:color="auto"/>
      </w:divBdr>
    </w:div>
    <w:div w:id="393549">
      <w:bodyDiv w:val="1"/>
      <w:marLeft w:val="0"/>
      <w:marRight w:val="0"/>
      <w:marTop w:val="0"/>
      <w:marBottom w:val="0"/>
      <w:divBdr>
        <w:top w:val="none" w:sz="0" w:space="0" w:color="auto"/>
        <w:left w:val="none" w:sz="0" w:space="0" w:color="auto"/>
        <w:bottom w:val="none" w:sz="0" w:space="0" w:color="auto"/>
        <w:right w:val="none" w:sz="0" w:space="0" w:color="auto"/>
      </w:divBdr>
    </w:div>
    <w:div w:id="1322238">
      <w:bodyDiv w:val="1"/>
      <w:marLeft w:val="0"/>
      <w:marRight w:val="0"/>
      <w:marTop w:val="0"/>
      <w:marBottom w:val="0"/>
      <w:divBdr>
        <w:top w:val="none" w:sz="0" w:space="0" w:color="auto"/>
        <w:left w:val="none" w:sz="0" w:space="0" w:color="auto"/>
        <w:bottom w:val="none" w:sz="0" w:space="0" w:color="auto"/>
        <w:right w:val="none" w:sz="0" w:space="0" w:color="auto"/>
      </w:divBdr>
    </w:div>
    <w:div w:id="1470568">
      <w:bodyDiv w:val="1"/>
      <w:marLeft w:val="0"/>
      <w:marRight w:val="0"/>
      <w:marTop w:val="0"/>
      <w:marBottom w:val="0"/>
      <w:divBdr>
        <w:top w:val="none" w:sz="0" w:space="0" w:color="auto"/>
        <w:left w:val="none" w:sz="0" w:space="0" w:color="auto"/>
        <w:bottom w:val="none" w:sz="0" w:space="0" w:color="auto"/>
        <w:right w:val="none" w:sz="0" w:space="0" w:color="auto"/>
      </w:divBdr>
    </w:div>
    <w:div w:id="1901575">
      <w:bodyDiv w:val="1"/>
      <w:marLeft w:val="0"/>
      <w:marRight w:val="0"/>
      <w:marTop w:val="0"/>
      <w:marBottom w:val="0"/>
      <w:divBdr>
        <w:top w:val="none" w:sz="0" w:space="0" w:color="auto"/>
        <w:left w:val="none" w:sz="0" w:space="0" w:color="auto"/>
        <w:bottom w:val="none" w:sz="0" w:space="0" w:color="auto"/>
        <w:right w:val="none" w:sz="0" w:space="0" w:color="auto"/>
      </w:divBdr>
    </w:div>
    <w:div w:id="2513815">
      <w:bodyDiv w:val="1"/>
      <w:marLeft w:val="0"/>
      <w:marRight w:val="0"/>
      <w:marTop w:val="0"/>
      <w:marBottom w:val="0"/>
      <w:divBdr>
        <w:top w:val="none" w:sz="0" w:space="0" w:color="auto"/>
        <w:left w:val="none" w:sz="0" w:space="0" w:color="auto"/>
        <w:bottom w:val="none" w:sz="0" w:space="0" w:color="auto"/>
        <w:right w:val="none" w:sz="0" w:space="0" w:color="auto"/>
      </w:divBdr>
    </w:div>
    <w:div w:id="2588320">
      <w:bodyDiv w:val="1"/>
      <w:marLeft w:val="0"/>
      <w:marRight w:val="0"/>
      <w:marTop w:val="0"/>
      <w:marBottom w:val="0"/>
      <w:divBdr>
        <w:top w:val="none" w:sz="0" w:space="0" w:color="auto"/>
        <w:left w:val="none" w:sz="0" w:space="0" w:color="auto"/>
        <w:bottom w:val="none" w:sz="0" w:space="0" w:color="auto"/>
        <w:right w:val="none" w:sz="0" w:space="0" w:color="auto"/>
      </w:divBdr>
    </w:div>
    <w:div w:id="2754030">
      <w:bodyDiv w:val="1"/>
      <w:marLeft w:val="0"/>
      <w:marRight w:val="0"/>
      <w:marTop w:val="0"/>
      <w:marBottom w:val="0"/>
      <w:divBdr>
        <w:top w:val="none" w:sz="0" w:space="0" w:color="auto"/>
        <w:left w:val="none" w:sz="0" w:space="0" w:color="auto"/>
        <w:bottom w:val="none" w:sz="0" w:space="0" w:color="auto"/>
        <w:right w:val="none" w:sz="0" w:space="0" w:color="auto"/>
      </w:divBdr>
    </w:div>
    <w:div w:id="3016663">
      <w:bodyDiv w:val="1"/>
      <w:marLeft w:val="0"/>
      <w:marRight w:val="0"/>
      <w:marTop w:val="0"/>
      <w:marBottom w:val="0"/>
      <w:divBdr>
        <w:top w:val="none" w:sz="0" w:space="0" w:color="auto"/>
        <w:left w:val="none" w:sz="0" w:space="0" w:color="auto"/>
        <w:bottom w:val="none" w:sz="0" w:space="0" w:color="auto"/>
        <w:right w:val="none" w:sz="0" w:space="0" w:color="auto"/>
      </w:divBdr>
    </w:div>
    <w:div w:id="3096029">
      <w:bodyDiv w:val="1"/>
      <w:marLeft w:val="0"/>
      <w:marRight w:val="0"/>
      <w:marTop w:val="0"/>
      <w:marBottom w:val="0"/>
      <w:divBdr>
        <w:top w:val="none" w:sz="0" w:space="0" w:color="auto"/>
        <w:left w:val="none" w:sz="0" w:space="0" w:color="auto"/>
        <w:bottom w:val="none" w:sz="0" w:space="0" w:color="auto"/>
        <w:right w:val="none" w:sz="0" w:space="0" w:color="auto"/>
      </w:divBdr>
    </w:div>
    <w:div w:id="4091618">
      <w:bodyDiv w:val="1"/>
      <w:marLeft w:val="0"/>
      <w:marRight w:val="0"/>
      <w:marTop w:val="0"/>
      <w:marBottom w:val="0"/>
      <w:divBdr>
        <w:top w:val="none" w:sz="0" w:space="0" w:color="auto"/>
        <w:left w:val="none" w:sz="0" w:space="0" w:color="auto"/>
        <w:bottom w:val="none" w:sz="0" w:space="0" w:color="auto"/>
        <w:right w:val="none" w:sz="0" w:space="0" w:color="auto"/>
      </w:divBdr>
    </w:div>
    <w:div w:id="4330660">
      <w:bodyDiv w:val="1"/>
      <w:marLeft w:val="0"/>
      <w:marRight w:val="0"/>
      <w:marTop w:val="0"/>
      <w:marBottom w:val="0"/>
      <w:divBdr>
        <w:top w:val="none" w:sz="0" w:space="0" w:color="auto"/>
        <w:left w:val="none" w:sz="0" w:space="0" w:color="auto"/>
        <w:bottom w:val="none" w:sz="0" w:space="0" w:color="auto"/>
        <w:right w:val="none" w:sz="0" w:space="0" w:color="auto"/>
      </w:divBdr>
    </w:div>
    <w:div w:id="4522525">
      <w:bodyDiv w:val="1"/>
      <w:marLeft w:val="0"/>
      <w:marRight w:val="0"/>
      <w:marTop w:val="0"/>
      <w:marBottom w:val="0"/>
      <w:divBdr>
        <w:top w:val="none" w:sz="0" w:space="0" w:color="auto"/>
        <w:left w:val="none" w:sz="0" w:space="0" w:color="auto"/>
        <w:bottom w:val="none" w:sz="0" w:space="0" w:color="auto"/>
        <w:right w:val="none" w:sz="0" w:space="0" w:color="auto"/>
      </w:divBdr>
    </w:div>
    <w:div w:id="4527908">
      <w:bodyDiv w:val="1"/>
      <w:marLeft w:val="0"/>
      <w:marRight w:val="0"/>
      <w:marTop w:val="0"/>
      <w:marBottom w:val="0"/>
      <w:divBdr>
        <w:top w:val="none" w:sz="0" w:space="0" w:color="auto"/>
        <w:left w:val="none" w:sz="0" w:space="0" w:color="auto"/>
        <w:bottom w:val="none" w:sz="0" w:space="0" w:color="auto"/>
        <w:right w:val="none" w:sz="0" w:space="0" w:color="auto"/>
      </w:divBdr>
    </w:div>
    <w:div w:id="4674324">
      <w:bodyDiv w:val="1"/>
      <w:marLeft w:val="0"/>
      <w:marRight w:val="0"/>
      <w:marTop w:val="0"/>
      <w:marBottom w:val="0"/>
      <w:divBdr>
        <w:top w:val="none" w:sz="0" w:space="0" w:color="auto"/>
        <w:left w:val="none" w:sz="0" w:space="0" w:color="auto"/>
        <w:bottom w:val="none" w:sz="0" w:space="0" w:color="auto"/>
        <w:right w:val="none" w:sz="0" w:space="0" w:color="auto"/>
      </w:divBdr>
    </w:div>
    <w:div w:id="4870379">
      <w:bodyDiv w:val="1"/>
      <w:marLeft w:val="0"/>
      <w:marRight w:val="0"/>
      <w:marTop w:val="0"/>
      <w:marBottom w:val="0"/>
      <w:divBdr>
        <w:top w:val="none" w:sz="0" w:space="0" w:color="auto"/>
        <w:left w:val="none" w:sz="0" w:space="0" w:color="auto"/>
        <w:bottom w:val="none" w:sz="0" w:space="0" w:color="auto"/>
        <w:right w:val="none" w:sz="0" w:space="0" w:color="auto"/>
      </w:divBdr>
    </w:div>
    <w:div w:id="5253388">
      <w:bodyDiv w:val="1"/>
      <w:marLeft w:val="0"/>
      <w:marRight w:val="0"/>
      <w:marTop w:val="0"/>
      <w:marBottom w:val="0"/>
      <w:divBdr>
        <w:top w:val="none" w:sz="0" w:space="0" w:color="auto"/>
        <w:left w:val="none" w:sz="0" w:space="0" w:color="auto"/>
        <w:bottom w:val="none" w:sz="0" w:space="0" w:color="auto"/>
        <w:right w:val="none" w:sz="0" w:space="0" w:color="auto"/>
      </w:divBdr>
    </w:div>
    <w:div w:id="5862004">
      <w:bodyDiv w:val="1"/>
      <w:marLeft w:val="0"/>
      <w:marRight w:val="0"/>
      <w:marTop w:val="0"/>
      <w:marBottom w:val="0"/>
      <w:divBdr>
        <w:top w:val="none" w:sz="0" w:space="0" w:color="auto"/>
        <w:left w:val="none" w:sz="0" w:space="0" w:color="auto"/>
        <w:bottom w:val="none" w:sz="0" w:space="0" w:color="auto"/>
        <w:right w:val="none" w:sz="0" w:space="0" w:color="auto"/>
      </w:divBdr>
    </w:div>
    <w:div w:id="6106006">
      <w:bodyDiv w:val="1"/>
      <w:marLeft w:val="0"/>
      <w:marRight w:val="0"/>
      <w:marTop w:val="0"/>
      <w:marBottom w:val="0"/>
      <w:divBdr>
        <w:top w:val="none" w:sz="0" w:space="0" w:color="auto"/>
        <w:left w:val="none" w:sz="0" w:space="0" w:color="auto"/>
        <w:bottom w:val="none" w:sz="0" w:space="0" w:color="auto"/>
        <w:right w:val="none" w:sz="0" w:space="0" w:color="auto"/>
      </w:divBdr>
    </w:div>
    <w:div w:id="6252774">
      <w:bodyDiv w:val="1"/>
      <w:marLeft w:val="0"/>
      <w:marRight w:val="0"/>
      <w:marTop w:val="0"/>
      <w:marBottom w:val="0"/>
      <w:divBdr>
        <w:top w:val="none" w:sz="0" w:space="0" w:color="auto"/>
        <w:left w:val="none" w:sz="0" w:space="0" w:color="auto"/>
        <w:bottom w:val="none" w:sz="0" w:space="0" w:color="auto"/>
        <w:right w:val="none" w:sz="0" w:space="0" w:color="auto"/>
      </w:divBdr>
    </w:div>
    <w:div w:id="7878045">
      <w:bodyDiv w:val="1"/>
      <w:marLeft w:val="0"/>
      <w:marRight w:val="0"/>
      <w:marTop w:val="0"/>
      <w:marBottom w:val="0"/>
      <w:divBdr>
        <w:top w:val="none" w:sz="0" w:space="0" w:color="auto"/>
        <w:left w:val="none" w:sz="0" w:space="0" w:color="auto"/>
        <w:bottom w:val="none" w:sz="0" w:space="0" w:color="auto"/>
        <w:right w:val="none" w:sz="0" w:space="0" w:color="auto"/>
      </w:divBdr>
    </w:div>
    <w:div w:id="8261165">
      <w:bodyDiv w:val="1"/>
      <w:marLeft w:val="0"/>
      <w:marRight w:val="0"/>
      <w:marTop w:val="0"/>
      <w:marBottom w:val="0"/>
      <w:divBdr>
        <w:top w:val="none" w:sz="0" w:space="0" w:color="auto"/>
        <w:left w:val="none" w:sz="0" w:space="0" w:color="auto"/>
        <w:bottom w:val="none" w:sz="0" w:space="0" w:color="auto"/>
        <w:right w:val="none" w:sz="0" w:space="0" w:color="auto"/>
      </w:divBdr>
    </w:div>
    <w:div w:id="8456266">
      <w:bodyDiv w:val="1"/>
      <w:marLeft w:val="0"/>
      <w:marRight w:val="0"/>
      <w:marTop w:val="0"/>
      <w:marBottom w:val="0"/>
      <w:divBdr>
        <w:top w:val="none" w:sz="0" w:space="0" w:color="auto"/>
        <w:left w:val="none" w:sz="0" w:space="0" w:color="auto"/>
        <w:bottom w:val="none" w:sz="0" w:space="0" w:color="auto"/>
        <w:right w:val="none" w:sz="0" w:space="0" w:color="auto"/>
      </w:divBdr>
    </w:div>
    <w:div w:id="9569491">
      <w:bodyDiv w:val="1"/>
      <w:marLeft w:val="0"/>
      <w:marRight w:val="0"/>
      <w:marTop w:val="0"/>
      <w:marBottom w:val="0"/>
      <w:divBdr>
        <w:top w:val="none" w:sz="0" w:space="0" w:color="auto"/>
        <w:left w:val="none" w:sz="0" w:space="0" w:color="auto"/>
        <w:bottom w:val="none" w:sz="0" w:space="0" w:color="auto"/>
        <w:right w:val="none" w:sz="0" w:space="0" w:color="auto"/>
      </w:divBdr>
    </w:div>
    <w:div w:id="9573700">
      <w:bodyDiv w:val="1"/>
      <w:marLeft w:val="0"/>
      <w:marRight w:val="0"/>
      <w:marTop w:val="0"/>
      <w:marBottom w:val="0"/>
      <w:divBdr>
        <w:top w:val="none" w:sz="0" w:space="0" w:color="auto"/>
        <w:left w:val="none" w:sz="0" w:space="0" w:color="auto"/>
        <w:bottom w:val="none" w:sz="0" w:space="0" w:color="auto"/>
        <w:right w:val="none" w:sz="0" w:space="0" w:color="auto"/>
      </w:divBdr>
    </w:div>
    <w:div w:id="10105835">
      <w:bodyDiv w:val="1"/>
      <w:marLeft w:val="0"/>
      <w:marRight w:val="0"/>
      <w:marTop w:val="0"/>
      <w:marBottom w:val="0"/>
      <w:divBdr>
        <w:top w:val="none" w:sz="0" w:space="0" w:color="auto"/>
        <w:left w:val="none" w:sz="0" w:space="0" w:color="auto"/>
        <w:bottom w:val="none" w:sz="0" w:space="0" w:color="auto"/>
        <w:right w:val="none" w:sz="0" w:space="0" w:color="auto"/>
      </w:divBdr>
    </w:div>
    <w:div w:id="10425050">
      <w:bodyDiv w:val="1"/>
      <w:marLeft w:val="0"/>
      <w:marRight w:val="0"/>
      <w:marTop w:val="0"/>
      <w:marBottom w:val="0"/>
      <w:divBdr>
        <w:top w:val="none" w:sz="0" w:space="0" w:color="auto"/>
        <w:left w:val="none" w:sz="0" w:space="0" w:color="auto"/>
        <w:bottom w:val="none" w:sz="0" w:space="0" w:color="auto"/>
        <w:right w:val="none" w:sz="0" w:space="0" w:color="auto"/>
      </w:divBdr>
    </w:div>
    <w:div w:id="11075992">
      <w:bodyDiv w:val="1"/>
      <w:marLeft w:val="0"/>
      <w:marRight w:val="0"/>
      <w:marTop w:val="0"/>
      <w:marBottom w:val="0"/>
      <w:divBdr>
        <w:top w:val="none" w:sz="0" w:space="0" w:color="auto"/>
        <w:left w:val="none" w:sz="0" w:space="0" w:color="auto"/>
        <w:bottom w:val="none" w:sz="0" w:space="0" w:color="auto"/>
        <w:right w:val="none" w:sz="0" w:space="0" w:color="auto"/>
      </w:divBdr>
    </w:div>
    <w:div w:id="12155411">
      <w:bodyDiv w:val="1"/>
      <w:marLeft w:val="0"/>
      <w:marRight w:val="0"/>
      <w:marTop w:val="0"/>
      <w:marBottom w:val="0"/>
      <w:divBdr>
        <w:top w:val="none" w:sz="0" w:space="0" w:color="auto"/>
        <w:left w:val="none" w:sz="0" w:space="0" w:color="auto"/>
        <w:bottom w:val="none" w:sz="0" w:space="0" w:color="auto"/>
        <w:right w:val="none" w:sz="0" w:space="0" w:color="auto"/>
      </w:divBdr>
    </w:div>
    <w:div w:id="12853429">
      <w:bodyDiv w:val="1"/>
      <w:marLeft w:val="0"/>
      <w:marRight w:val="0"/>
      <w:marTop w:val="0"/>
      <w:marBottom w:val="0"/>
      <w:divBdr>
        <w:top w:val="none" w:sz="0" w:space="0" w:color="auto"/>
        <w:left w:val="none" w:sz="0" w:space="0" w:color="auto"/>
        <w:bottom w:val="none" w:sz="0" w:space="0" w:color="auto"/>
        <w:right w:val="none" w:sz="0" w:space="0" w:color="auto"/>
      </w:divBdr>
    </w:div>
    <w:div w:id="13187892">
      <w:bodyDiv w:val="1"/>
      <w:marLeft w:val="0"/>
      <w:marRight w:val="0"/>
      <w:marTop w:val="0"/>
      <w:marBottom w:val="0"/>
      <w:divBdr>
        <w:top w:val="none" w:sz="0" w:space="0" w:color="auto"/>
        <w:left w:val="none" w:sz="0" w:space="0" w:color="auto"/>
        <w:bottom w:val="none" w:sz="0" w:space="0" w:color="auto"/>
        <w:right w:val="none" w:sz="0" w:space="0" w:color="auto"/>
      </w:divBdr>
    </w:div>
    <w:div w:id="14306481">
      <w:bodyDiv w:val="1"/>
      <w:marLeft w:val="0"/>
      <w:marRight w:val="0"/>
      <w:marTop w:val="0"/>
      <w:marBottom w:val="0"/>
      <w:divBdr>
        <w:top w:val="none" w:sz="0" w:space="0" w:color="auto"/>
        <w:left w:val="none" w:sz="0" w:space="0" w:color="auto"/>
        <w:bottom w:val="none" w:sz="0" w:space="0" w:color="auto"/>
        <w:right w:val="none" w:sz="0" w:space="0" w:color="auto"/>
      </w:divBdr>
    </w:div>
    <w:div w:id="14311091">
      <w:bodyDiv w:val="1"/>
      <w:marLeft w:val="0"/>
      <w:marRight w:val="0"/>
      <w:marTop w:val="0"/>
      <w:marBottom w:val="0"/>
      <w:divBdr>
        <w:top w:val="none" w:sz="0" w:space="0" w:color="auto"/>
        <w:left w:val="none" w:sz="0" w:space="0" w:color="auto"/>
        <w:bottom w:val="none" w:sz="0" w:space="0" w:color="auto"/>
        <w:right w:val="none" w:sz="0" w:space="0" w:color="auto"/>
      </w:divBdr>
    </w:div>
    <w:div w:id="14499279">
      <w:bodyDiv w:val="1"/>
      <w:marLeft w:val="0"/>
      <w:marRight w:val="0"/>
      <w:marTop w:val="0"/>
      <w:marBottom w:val="0"/>
      <w:divBdr>
        <w:top w:val="none" w:sz="0" w:space="0" w:color="auto"/>
        <w:left w:val="none" w:sz="0" w:space="0" w:color="auto"/>
        <w:bottom w:val="none" w:sz="0" w:space="0" w:color="auto"/>
        <w:right w:val="none" w:sz="0" w:space="0" w:color="auto"/>
      </w:divBdr>
    </w:div>
    <w:div w:id="14962044">
      <w:bodyDiv w:val="1"/>
      <w:marLeft w:val="0"/>
      <w:marRight w:val="0"/>
      <w:marTop w:val="0"/>
      <w:marBottom w:val="0"/>
      <w:divBdr>
        <w:top w:val="none" w:sz="0" w:space="0" w:color="auto"/>
        <w:left w:val="none" w:sz="0" w:space="0" w:color="auto"/>
        <w:bottom w:val="none" w:sz="0" w:space="0" w:color="auto"/>
        <w:right w:val="none" w:sz="0" w:space="0" w:color="auto"/>
      </w:divBdr>
    </w:div>
    <w:div w:id="15237026">
      <w:bodyDiv w:val="1"/>
      <w:marLeft w:val="0"/>
      <w:marRight w:val="0"/>
      <w:marTop w:val="0"/>
      <w:marBottom w:val="0"/>
      <w:divBdr>
        <w:top w:val="none" w:sz="0" w:space="0" w:color="auto"/>
        <w:left w:val="none" w:sz="0" w:space="0" w:color="auto"/>
        <w:bottom w:val="none" w:sz="0" w:space="0" w:color="auto"/>
        <w:right w:val="none" w:sz="0" w:space="0" w:color="auto"/>
      </w:divBdr>
    </w:div>
    <w:div w:id="15280062">
      <w:bodyDiv w:val="1"/>
      <w:marLeft w:val="0"/>
      <w:marRight w:val="0"/>
      <w:marTop w:val="0"/>
      <w:marBottom w:val="0"/>
      <w:divBdr>
        <w:top w:val="none" w:sz="0" w:space="0" w:color="auto"/>
        <w:left w:val="none" w:sz="0" w:space="0" w:color="auto"/>
        <w:bottom w:val="none" w:sz="0" w:space="0" w:color="auto"/>
        <w:right w:val="none" w:sz="0" w:space="0" w:color="auto"/>
      </w:divBdr>
    </w:div>
    <w:div w:id="16854803">
      <w:bodyDiv w:val="1"/>
      <w:marLeft w:val="0"/>
      <w:marRight w:val="0"/>
      <w:marTop w:val="0"/>
      <w:marBottom w:val="0"/>
      <w:divBdr>
        <w:top w:val="none" w:sz="0" w:space="0" w:color="auto"/>
        <w:left w:val="none" w:sz="0" w:space="0" w:color="auto"/>
        <w:bottom w:val="none" w:sz="0" w:space="0" w:color="auto"/>
        <w:right w:val="none" w:sz="0" w:space="0" w:color="auto"/>
      </w:divBdr>
    </w:div>
    <w:div w:id="17047125">
      <w:bodyDiv w:val="1"/>
      <w:marLeft w:val="0"/>
      <w:marRight w:val="0"/>
      <w:marTop w:val="0"/>
      <w:marBottom w:val="0"/>
      <w:divBdr>
        <w:top w:val="none" w:sz="0" w:space="0" w:color="auto"/>
        <w:left w:val="none" w:sz="0" w:space="0" w:color="auto"/>
        <w:bottom w:val="none" w:sz="0" w:space="0" w:color="auto"/>
        <w:right w:val="none" w:sz="0" w:space="0" w:color="auto"/>
      </w:divBdr>
    </w:div>
    <w:div w:id="17051808">
      <w:bodyDiv w:val="1"/>
      <w:marLeft w:val="0"/>
      <w:marRight w:val="0"/>
      <w:marTop w:val="0"/>
      <w:marBottom w:val="0"/>
      <w:divBdr>
        <w:top w:val="none" w:sz="0" w:space="0" w:color="auto"/>
        <w:left w:val="none" w:sz="0" w:space="0" w:color="auto"/>
        <w:bottom w:val="none" w:sz="0" w:space="0" w:color="auto"/>
        <w:right w:val="none" w:sz="0" w:space="0" w:color="auto"/>
      </w:divBdr>
    </w:div>
    <w:div w:id="17971421">
      <w:bodyDiv w:val="1"/>
      <w:marLeft w:val="0"/>
      <w:marRight w:val="0"/>
      <w:marTop w:val="0"/>
      <w:marBottom w:val="0"/>
      <w:divBdr>
        <w:top w:val="none" w:sz="0" w:space="0" w:color="auto"/>
        <w:left w:val="none" w:sz="0" w:space="0" w:color="auto"/>
        <w:bottom w:val="none" w:sz="0" w:space="0" w:color="auto"/>
        <w:right w:val="none" w:sz="0" w:space="0" w:color="auto"/>
      </w:divBdr>
    </w:div>
    <w:div w:id="18286193">
      <w:bodyDiv w:val="1"/>
      <w:marLeft w:val="0"/>
      <w:marRight w:val="0"/>
      <w:marTop w:val="0"/>
      <w:marBottom w:val="0"/>
      <w:divBdr>
        <w:top w:val="none" w:sz="0" w:space="0" w:color="auto"/>
        <w:left w:val="none" w:sz="0" w:space="0" w:color="auto"/>
        <w:bottom w:val="none" w:sz="0" w:space="0" w:color="auto"/>
        <w:right w:val="none" w:sz="0" w:space="0" w:color="auto"/>
      </w:divBdr>
    </w:div>
    <w:div w:id="18899872">
      <w:bodyDiv w:val="1"/>
      <w:marLeft w:val="0"/>
      <w:marRight w:val="0"/>
      <w:marTop w:val="0"/>
      <w:marBottom w:val="0"/>
      <w:divBdr>
        <w:top w:val="none" w:sz="0" w:space="0" w:color="auto"/>
        <w:left w:val="none" w:sz="0" w:space="0" w:color="auto"/>
        <w:bottom w:val="none" w:sz="0" w:space="0" w:color="auto"/>
        <w:right w:val="none" w:sz="0" w:space="0" w:color="auto"/>
      </w:divBdr>
    </w:div>
    <w:div w:id="20396836">
      <w:bodyDiv w:val="1"/>
      <w:marLeft w:val="0"/>
      <w:marRight w:val="0"/>
      <w:marTop w:val="0"/>
      <w:marBottom w:val="0"/>
      <w:divBdr>
        <w:top w:val="none" w:sz="0" w:space="0" w:color="auto"/>
        <w:left w:val="none" w:sz="0" w:space="0" w:color="auto"/>
        <w:bottom w:val="none" w:sz="0" w:space="0" w:color="auto"/>
        <w:right w:val="none" w:sz="0" w:space="0" w:color="auto"/>
      </w:divBdr>
    </w:div>
    <w:div w:id="22439993">
      <w:bodyDiv w:val="1"/>
      <w:marLeft w:val="0"/>
      <w:marRight w:val="0"/>
      <w:marTop w:val="0"/>
      <w:marBottom w:val="0"/>
      <w:divBdr>
        <w:top w:val="none" w:sz="0" w:space="0" w:color="auto"/>
        <w:left w:val="none" w:sz="0" w:space="0" w:color="auto"/>
        <w:bottom w:val="none" w:sz="0" w:space="0" w:color="auto"/>
        <w:right w:val="none" w:sz="0" w:space="0" w:color="auto"/>
      </w:divBdr>
    </w:div>
    <w:div w:id="22753115">
      <w:bodyDiv w:val="1"/>
      <w:marLeft w:val="0"/>
      <w:marRight w:val="0"/>
      <w:marTop w:val="0"/>
      <w:marBottom w:val="0"/>
      <w:divBdr>
        <w:top w:val="none" w:sz="0" w:space="0" w:color="auto"/>
        <w:left w:val="none" w:sz="0" w:space="0" w:color="auto"/>
        <w:bottom w:val="none" w:sz="0" w:space="0" w:color="auto"/>
        <w:right w:val="none" w:sz="0" w:space="0" w:color="auto"/>
      </w:divBdr>
    </w:div>
    <w:div w:id="23287466">
      <w:bodyDiv w:val="1"/>
      <w:marLeft w:val="0"/>
      <w:marRight w:val="0"/>
      <w:marTop w:val="0"/>
      <w:marBottom w:val="0"/>
      <w:divBdr>
        <w:top w:val="none" w:sz="0" w:space="0" w:color="auto"/>
        <w:left w:val="none" w:sz="0" w:space="0" w:color="auto"/>
        <w:bottom w:val="none" w:sz="0" w:space="0" w:color="auto"/>
        <w:right w:val="none" w:sz="0" w:space="0" w:color="auto"/>
      </w:divBdr>
    </w:div>
    <w:div w:id="24798405">
      <w:bodyDiv w:val="1"/>
      <w:marLeft w:val="0"/>
      <w:marRight w:val="0"/>
      <w:marTop w:val="0"/>
      <w:marBottom w:val="0"/>
      <w:divBdr>
        <w:top w:val="none" w:sz="0" w:space="0" w:color="auto"/>
        <w:left w:val="none" w:sz="0" w:space="0" w:color="auto"/>
        <w:bottom w:val="none" w:sz="0" w:space="0" w:color="auto"/>
        <w:right w:val="none" w:sz="0" w:space="0" w:color="auto"/>
      </w:divBdr>
    </w:div>
    <w:div w:id="24910008">
      <w:bodyDiv w:val="1"/>
      <w:marLeft w:val="0"/>
      <w:marRight w:val="0"/>
      <w:marTop w:val="0"/>
      <w:marBottom w:val="0"/>
      <w:divBdr>
        <w:top w:val="none" w:sz="0" w:space="0" w:color="auto"/>
        <w:left w:val="none" w:sz="0" w:space="0" w:color="auto"/>
        <w:bottom w:val="none" w:sz="0" w:space="0" w:color="auto"/>
        <w:right w:val="none" w:sz="0" w:space="0" w:color="auto"/>
      </w:divBdr>
    </w:div>
    <w:div w:id="25762476">
      <w:bodyDiv w:val="1"/>
      <w:marLeft w:val="0"/>
      <w:marRight w:val="0"/>
      <w:marTop w:val="0"/>
      <w:marBottom w:val="0"/>
      <w:divBdr>
        <w:top w:val="none" w:sz="0" w:space="0" w:color="auto"/>
        <w:left w:val="none" w:sz="0" w:space="0" w:color="auto"/>
        <w:bottom w:val="none" w:sz="0" w:space="0" w:color="auto"/>
        <w:right w:val="none" w:sz="0" w:space="0" w:color="auto"/>
      </w:divBdr>
    </w:div>
    <w:div w:id="26293600">
      <w:bodyDiv w:val="1"/>
      <w:marLeft w:val="0"/>
      <w:marRight w:val="0"/>
      <w:marTop w:val="0"/>
      <w:marBottom w:val="0"/>
      <w:divBdr>
        <w:top w:val="none" w:sz="0" w:space="0" w:color="auto"/>
        <w:left w:val="none" w:sz="0" w:space="0" w:color="auto"/>
        <w:bottom w:val="none" w:sz="0" w:space="0" w:color="auto"/>
        <w:right w:val="none" w:sz="0" w:space="0" w:color="auto"/>
      </w:divBdr>
    </w:div>
    <w:div w:id="26640039">
      <w:bodyDiv w:val="1"/>
      <w:marLeft w:val="0"/>
      <w:marRight w:val="0"/>
      <w:marTop w:val="0"/>
      <w:marBottom w:val="0"/>
      <w:divBdr>
        <w:top w:val="none" w:sz="0" w:space="0" w:color="auto"/>
        <w:left w:val="none" w:sz="0" w:space="0" w:color="auto"/>
        <w:bottom w:val="none" w:sz="0" w:space="0" w:color="auto"/>
        <w:right w:val="none" w:sz="0" w:space="0" w:color="auto"/>
      </w:divBdr>
    </w:div>
    <w:div w:id="26759245">
      <w:bodyDiv w:val="1"/>
      <w:marLeft w:val="0"/>
      <w:marRight w:val="0"/>
      <w:marTop w:val="0"/>
      <w:marBottom w:val="0"/>
      <w:divBdr>
        <w:top w:val="none" w:sz="0" w:space="0" w:color="auto"/>
        <w:left w:val="none" w:sz="0" w:space="0" w:color="auto"/>
        <w:bottom w:val="none" w:sz="0" w:space="0" w:color="auto"/>
        <w:right w:val="none" w:sz="0" w:space="0" w:color="auto"/>
      </w:divBdr>
    </w:div>
    <w:div w:id="27074435">
      <w:bodyDiv w:val="1"/>
      <w:marLeft w:val="0"/>
      <w:marRight w:val="0"/>
      <w:marTop w:val="0"/>
      <w:marBottom w:val="0"/>
      <w:divBdr>
        <w:top w:val="none" w:sz="0" w:space="0" w:color="auto"/>
        <w:left w:val="none" w:sz="0" w:space="0" w:color="auto"/>
        <w:bottom w:val="none" w:sz="0" w:space="0" w:color="auto"/>
        <w:right w:val="none" w:sz="0" w:space="0" w:color="auto"/>
      </w:divBdr>
    </w:div>
    <w:div w:id="27417185">
      <w:bodyDiv w:val="1"/>
      <w:marLeft w:val="0"/>
      <w:marRight w:val="0"/>
      <w:marTop w:val="0"/>
      <w:marBottom w:val="0"/>
      <w:divBdr>
        <w:top w:val="none" w:sz="0" w:space="0" w:color="auto"/>
        <w:left w:val="none" w:sz="0" w:space="0" w:color="auto"/>
        <w:bottom w:val="none" w:sz="0" w:space="0" w:color="auto"/>
        <w:right w:val="none" w:sz="0" w:space="0" w:color="auto"/>
      </w:divBdr>
    </w:div>
    <w:div w:id="28452747">
      <w:bodyDiv w:val="1"/>
      <w:marLeft w:val="0"/>
      <w:marRight w:val="0"/>
      <w:marTop w:val="0"/>
      <w:marBottom w:val="0"/>
      <w:divBdr>
        <w:top w:val="none" w:sz="0" w:space="0" w:color="auto"/>
        <w:left w:val="none" w:sz="0" w:space="0" w:color="auto"/>
        <w:bottom w:val="none" w:sz="0" w:space="0" w:color="auto"/>
        <w:right w:val="none" w:sz="0" w:space="0" w:color="auto"/>
      </w:divBdr>
    </w:div>
    <w:div w:id="29039080">
      <w:bodyDiv w:val="1"/>
      <w:marLeft w:val="0"/>
      <w:marRight w:val="0"/>
      <w:marTop w:val="0"/>
      <w:marBottom w:val="0"/>
      <w:divBdr>
        <w:top w:val="none" w:sz="0" w:space="0" w:color="auto"/>
        <w:left w:val="none" w:sz="0" w:space="0" w:color="auto"/>
        <w:bottom w:val="none" w:sz="0" w:space="0" w:color="auto"/>
        <w:right w:val="none" w:sz="0" w:space="0" w:color="auto"/>
      </w:divBdr>
    </w:div>
    <w:div w:id="30108895">
      <w:bodyDiv w:val="1"/>
      <w:marLeft w:val="0"/>
      <w:marRight w:val="0"/>
      <w:marTop w:val="0"/>
      <w:marBottom w:val="0"/>
      <w:divBdr>
        <w:top w:val="none" w:sz="0" w:space="0" w:color="auto"/>
        <w:left w:val="none" w:sz="0" w:space="0" w:color="auto"/>
        <w:bottom w:val="none" w:sz="0" w:space="0" w:color="auto"/>
        <w:right w:val="none" w:sz="0" w:space="0" w:color="auto"/>
      </w:divBdr>
    </w:div>
    <w:div w:id="32779482">
      <w:bodyDiv w:val="1"/>
      <w:marLeft w:val="0"/>
      <w:marRight w:val="0"/>
      <w:marTop w:val="0"/>
      <w:marBottom w:val="0"/>
      <w:divBdr>
        <w:top w:val="none" w:sz="0" w:space="0" w:color="auto"/>
        <w:left w:val="none" w:sz="0" w:space="0" w:color="auto"/>
        <w:bottom w:val="none" w:sz="0" w:space="0" w:color="auto"/>
        <w:right w:val="none" w:sz="0" w:space="0" w:color="auto"/>
      </w:divBdr>
      <w:divsChild>
        <w:div w:id="977103298">
          <w:marLeft w:val="0"/>
          <w:marRight w:val="0"/>
          <w:marTop w:val="0"/>
          <w:marBottom w:val="0"/>
          <w:divBdr>
            <w:top w:val="none" w:sz="0" w:space="0" w:color="auto"/>
            <w:left w:val="none" w:sz="0" w:space="0" w:color="auto"/>
            <w:bottom w:val="none" w:sz="0" w:space="0" w:color="auto"/>
            <w:right w:val="none" w:sz="0" w:space="0" w:color="auto"/>
          </w:divBdr>
        </w:div>
        <w:div w:id="1773865631">
          <w:marLeft w:val="0"/>
          <w:marRight w:val="0"/>
          <w:marTop w:val="0"/>
          <w:marBottom w:val="0"/>
          <w:divBdr>
            <w:top w:val="none" w:sz="0" w:space="0" w:color="auto"/>
            <w:left w:val="none" w:sz="0" w:space="0" w:color="auto"/>
            <w:bottom w:val="none" w:sz="0" w:space="0" w:color="auto"/>
            <w:right w:val="none" w:sz="0" w:space="0" w:color="auto"/>
          </w:divBdr>
        </w:div>
      </w:divsChild>
    </w:div>
    <w:div w:id="32929575">
      <w:bodyDiv w:val="1"/>
      <w:marLeft w:val="0"/>
      <w:marRight w:val="0"/>
      <w:marTop w:val="0"/>
      <w:marBottom w:val="0"/>
      <w:divBdr>
        <w:top w:val="none" w:sz="0" w:space="0" w:color="auto"/>
        <w:left w:val="none" w:sz="0" w:space="0" w:color="auto"/>
        <w:bottom w:val="none" w:sz="0" w:space="0" w:color="auto"/>
        <w:right w:val="none" w:sz="0" w:space="0" w:color="auto"/>
      </w:divBdr>
    </w:div>
    <w:div w:id="33897294">
      <w:bodyDiv w:val="1"/>
      <w:marLeft w:val="0"/>
      <w:marRight w:val="0"/>
      <w:marTop w:val="0"/>
      <w:marBottom w:val="0"/>
      <w:divBdr>
        <w:top w:val="none" w:sz="0" w:space="0" w:color="auto"/>
        <w:left w:val="none" w:sz="0" w:space="0" w:color="auto"/>
        <w:bottom w:val="none" w:sz="0" w:space="0" w:color="auto"/>
        <w:right w:val="none" w:sz="0" w:space="0" w:color="auto"/>
      </w:divBdr>
    </w:div>
    <w:div w:id="35088077">
      <w:bodyDiv w:val="1"/>
      <w:marLeft w:val="0"/>
      <w:marRight w:val="0"/>
      <w:marTop w:val="0"/>
      <w:marBottom w:val="0"/>
      <w:divBdr>
        <w:top w:val="none" w:sz="0" w:space="0" w:color="auto"/>
        <w:left w:val="none" w:sz="0" w:space="0" w:color="auto"/>
        <w:bottom w:val="none" w:sz="0" w:space="0" w:color="auto"/>
        <w:right w:val="none" w:sz="0" w:space="0" w:color="auto"/>
      </w:divBdr>
    </w:div>
    <w:div w:id="35278700">
      <w:bodyDiv w:val="1"/>
      <w:marLeft w:val="0"/>
      <w:marRight w:val="0"/>
      <w:marTop w:val="0"/>
      <w:marBottom w:val="0"/>
      <w:divBdr>
        <w:top w:val="none" w:sz="0" w:space="0" w:color="auto"/>
        <w:left w:val="none" w:sz="0" w:space="0" w:color="auto"/>
        <w:bottom w:val="none" w:sz="0" w:space="0" w:color="auto"/>
        <w:right w:val="none" w:sz="0" w:space="0" w:color="auto"/>
      </w:divBdr>
    </w:div>
    <w:div w:id="35352002">
      <w:bodyDiv w:val="1"/>
      <w:marLeft w:val="0"/>
      <w:marRight w:val="0"/>
      <w:marTop w:val="0"/>
      <w:marBottom w:val="0"/>
      <w:divBdr>
        <w:top w:val="none" w:sz="0" w:space="0" w:color="auto"/>
        <w:left w:val="none" w:sz="0" w:space="0" w:color="auto"/>
        <w:bottom w:val="none" w:sz="0" w:space="0" w:color="auto"/>
        <w:right w:val="none" w:sz="0" w:space="0" w:color="auto"/>
      </w:divBdr>
    </w:div>
    <w:div w:id="36123210">
      <w:bodyDiv w:val="1"/>
      <w:marLeft w:val="0"/>
      <w:marRight w:val="0"/>
      <w:marTop w:val="0"/>
      <w:marBottom w:val="0"/>
      <w:divBdr>
        <w:top w:val="none" w:sz="0" w:space="0" w:color="auto"/>
        <w:left w:val="none" w:sz="0" w:space="0" w:color="auto"/>
        <w:bottom w:val="none" w:sz="0" w:space="0" w:color="auto"/>
        <w:right w:val="none" w:sz="0" w:space="0" w:color="auto"/>
      </w:divBdr>
      <w:divsChild>
        <w:div w:id="76678318">
          <w:marLeft w:val="0"/>
          <w:marRight w:val="0"/>
          <w:marTop w:val="0"/>
          <w:marBottom w:val="0"/>
          <w:divBdr>
            <w:top w:val="none" w:sz="0" w:space="0" w:color="auto"/>
            <w:left w:val="none" w:sz="0" w:space="0" w:color="auto"/>
            <w:bottom w:val="none" w:sz="0" w:space="0" w:color="auto"/>
            <w:right w:val="none" w:sz="0" w:space="0" w:color="auto"/>
          </w:divBdr>
        </w:div>
        <w:div w:id="79760681">
          <w:marLeft w:val="0"/>
          <w:marRight w:val="0"/>
          <w:marTop w:val="0"/>
          <w:marBottom w:val="0"/>
          <w:divBdr>
            <w:top w:val="none" w:sz="0" w:space="0" w:color="auto"/>
            <w:left w:val="none" w:sz="0" w:space="0" w:color="auto"/>
            <w:bottom w:val="none" w:sz="0" w:space="0" w:color="auto"/>
            <w:right w:val="none" w:sz="0" w:space="0" w:color="auto"/>
          </w:divBdr>
        </w:div>
        <w:div w:id="1930501352">
          <w:marLeft w:val="0"/>
          <w:marRight w:val="0"/>
          <w:marTop w:val="0"/>
          <w:marBottom w:val="0"/>
          <w:divBdr>
            <w:top w:val="none" w:sz="0" w:space="0" w:color="auto"/>
            <w:left w:val="none" w:sz="0" w:space="0" w:color="auto"/>
            <w:bottom w:val="none" w:sz="0" w:space="0" w:color="auto"/>
            <w:right w:val="none" w:sz="0" w:space="0" w:color="auto"/>
          </w:divBdr>
        </w:div>
      </w:divsChild>
    </w:div>
    <w:div w:id="36248809">
      <w:bodyDiv w:val="1"/>
      <w:marLeft w:val="0"/>
      <w:marRight w:val="0"/>
      <w:marTop w:val="0"/>
      <w:marBottom w:val="0"/>
      <w:divBdr>
        <w:top w:val="none" w:sz="0" w:space="0" w:color="auto"/>
        <w:left w:val="none" w:sz="0" w:space="0" w:color="auto"/>
        <w:bottom w:val="none" w:sz="0" w:space="0" w:color="auto"/>
        <w:right w:val="none" w:sz="0" w:space="0" w:color="auto"/>
      </w:divBdr>
    </w:div>
    <w:div w:id="37438780">
      <w:bodyDiv w:val="1"/>
      <w:marLeft w:val="0"/>
      <w:marRight w:val="0"/>
      <w:marTop w:val="0"/>
      <w:marBottom w:val="0"/>
      <w:divBdr>
        <w:top w:val="none" w:sz="0" w:space="0" w:color="auto"/>
        <w:left w:val="none" w:sz="0" w:space="0" w:color="auto"/>
        <w:bottom w:val="none" w:sz="0" w:space="0" w:color="auto"/>
        <w:right w:val="none" w:sz="0" w:space="0" w:color="auto"/>
      </w:divBdr>
    </w:div>
    <w:div w:id="37626758">
      <w:bodyDiv w:val="1"/>
      <w:marLeft w:val="0"/>
      <w:marRight w:val="0"/>
      <w:marTop w:val="0"/>
      <w:marBottom w:val="0"/>
      <w:divBdr>
        <w:top w:val="none" w:sz="0" w:space="0" w:color="auto"/>
        <w:left w:val="none" w:sz="0" w:space="0" w:color="auto"/>
        <w:bottom w:val="none" w:sz="0" w:space="0" w:color="auto"/>
        <w:right w:val="none" w:sz="0" w:space="0" w:color="auto"/>
      </w:divBdr>
    </w:div>
    <w:div w:id="37748782">
      <w:bodyDiv w:val="1"/>
      <w:marLeft w:val="0"/>
      <w:marRight w:val="0"/>
      <w:marTop w:val="0"/>
      <w:marBottom w:val="0"/>
      <w:divBdr>
        <w:top w:val="none" w:sz="0" w:space="0" w:color="auto"/>
        <w:left w:val="none" w:sz="0" w:space="0" w:color="auto"/>
        <w:bottom w:val="none" w:sz="0" w:space="0" w:color="auto"/>
        <w:right w:val="none" w:sz="0" w:space="0" w:color="auto"/>
      </w:divBdr>
    </w:div>
    <w:div w:id="38361201">
      <w:bodyDiv w:val="1"/>
      <w:marLeft w:val="0"/>
      <w:marRight w:val="0"/>
      <w:marTop w:val="0"/>
      <w:marBottom w:val="0"/>
      <w:divBdr>
        <w:top w:val="none" w:sz="0" w:space="0" w:color="auto"/>
        <w:left w:val="none" w:sz="0" w:space="0" w:color="auto"/>
        <w:bottom w:val="none" w:sz="0" w:space="0" w:color="auto"/>
        <w:right w:val="none" w:sz="0" w:space="0" w:color="auto"/>
      </w:divBdr>
    </w:div>
    <w:div w:id="38866668">
      <w:bodyDiv w:val="1"/>
      <w:marLeft w:val="0"/>
      <w:marRight w:val="0"/>
      <w:marTop w:val="0"/>
      <w:marBottom w:val="0"/>
      <w:divBdr>
        <w:top w:val="none" w:sz="0" w:space="0" w:color="auto"/>
        <w:left w:val="none" w:sz="0" w:space="0" w:color="auto"/>
        <w:bottom w:val="none" w:sz="0" w:space="0" w:color="auto"/>
        <w:right w:val="none" w:sz="0" w:space="0" w:color="auto"/>
      </w:divBdr>
    </w:div>
    <w:div w:id="39135412">
      <w:bodyDiv w:val="1"/>
      <w:marLeft w:val="0"/>
      <w:marRight w:val="0"/>
      <w:marTop w:val="0"/>
      <w:marBottom w:val="0"/>
      <w:divBdr>
        <w:top w:val="none" w:sz="0" w:space="0" w:color="auto"/>
        <w:left w:val="none" w:sz="0" w:space="0" w:color="auto"/>
        <w:bottom w:val="none" w:sz="0" w:space="0" w:color="auto"/>
        <w:right w:val="none" w:sz="0" w:space="0" w:color="auto"/>
      </w:divBdr>
    </w:div>
    <w:div w:id="40567318">
      <w:bodyDiv w:val="1"/>
      <w:marLeft w:val="0"/>
      <w:marRight w:val="0"/>
      <w:marTop w:val="0"/>
      <w:marBottom w:val="0"/>
      <w:divBdr>
        <w:top w:val="none" w:sz="0" w:space="0" w:color="auto"/>
        <w:left w:val="none" w:sz="0" w:space="0" w:color="auto"/>
        <w:bottom w:val="none" w:sz="0" w:space="0" w:color="auto"/>
        <w:right w:val="none" w:sz="0" w:space="0" w:color="auto"/>
      </w:divBdr>
    </w:div>
    <w:div w:id="42025854">
      <w:bodyDiv w:val="1"/>
      <w:marLeft w:val="0"/>
      <w:marRight w:val="0"/>
      <w:marTop w:val="0"/>
      <w:marBottom w:val="0"/>
      <w:divBdr>
        <w:top w:val="none" w:sz="0" w:space="0" w:color="auto"/>
        <w:left w:val="none" w:sz="0" w:space="0" w:color="auto"/>
        <w:bottom w:val="none" w:sz="0" w:space="0" w:color="auto"/>
        <w:right w:val="none" w:sz="0" w:space="0" w:color="auto"/>
      </w:divBdr>
    </w:div>
    <w:div w:id="42292531">
      <w:bodyDiv w:val="1"/>
      <w:marLeft w:val="0"/>
      <w:marRight w:val="0"/>
      <w:marTop w:val="0"/>
      <w:marBottom w:val="0"/>
      <w:divBdr>
        <w:top w:val="none" w:sz="0" w:space="0" w:color="auto"/>
        <w:left w:val="none" w:sz="0" w:space="0" w:color="auto"/>
        <w:bottom w:val="none" w:sz="0" w:space="0" w:color="auto"/>
        <w:right w:val="none" w:sz="0" w:space="0" w:color="auto"/>
      </w:divBdr>
    </w:div>
    <w:div w:id="43406016">
      <w:bodyDiv w:val="1"/>
      <w:marLeft w:val="0"/>
      <w:marRight w:val="0"/>
      <w:marTop w:val="0"/>
      <w:marBottom w:val="0"/>
      <w:divBdr>
        <w:top w:val="none" w:sz="0" w:space="0" w:color="auto"/>
        <w:left w:val="none" w:sz="0" w:space="0" w:color="auto"/>
        <w:bottom w:val="none" w:sz="0" w:space="0" w:color="auto"/>
        <w:right w:val="none" w:sz="0" w:space="0" w:color="auto"/>
      </w:divBdr>
    </w:div>
    <w:div w:id="44256284">
      <w:bodyDiv w:val="1"/>
      <w:marLeft w:val="0"/>
      <w:marRight w:val="0"/>
      <w:marTop w:val="0"/>
      <w:marBottom w:val="0"/>
      <w:divBdr>
        <w:top w:val="none" w:sz="0" w:space="0" w:color="auto"/>
        <w:left w:val="none" w:sz="0" w:space="0" w:color="auto"/>
        <w:bottom w:val="none" w:sz="0" w:space="0" w:color="auto"/>
        <w:right w:val="none" w:sz="0" w:space="0" w:color="auto"/>
      </w:divBdr>
    </w:div>
    <w:div w:id="45642390">
      <w:bodyDiv w:val="1"/>
      <w:marLeft w:val="0"/>
      <w:marRight w:val="0"/>
      <w:marTop w:val="0"/>
      <w:marBottom w:val="0"/>
      <w:divBdr>
        <w:top w:val="none" w:sz="0" w:space="0" w:color="auto"/>
        <w:left w:val="none" w:sz="0" w:space="0" w:color="auto"/>
        <w:bottom w:val="none" w:sz="0" w:space="0" w:color="auto"/>
        <w:right w:val="none" w:sz="0" w:space="0" w:color="auto"/>
      </w:divBdr>
    </w:div>
    <w:div w:id="46152415">
      <w:bodyDiv w:val="1"/>
      <w:marLeft w:val="0"/>
      <w:marRight w:val="0"/>
      <w:marTop w:val="0"/>
      <w:marBottom w:val="0"/>
      <w:divBdr>
        <w:top w:val="none" w:sz="0" w:space="0" w:color="auto"/>
        <w:left w:val="none" w:sz="0" w:space="0" w:color="auto"/>
        <w:bottom w:val="none" w:sz="0" w:space="0" w:color="auto"/>
        <w:right w:val="none" w:sz="0" w:space="0" w:color="auto"/>
      </w:divBdr>
    </w:div>
    <w:div w:id="47462977">
      <w:bodyDiv w:val="1"/>
      <w:marLeft w:val="0"/>
      <w:marRight w:val="0"/>
      <w:marTop w:val="0"/>
      <w:marBottom w:val="0"/>
      <w:divBdr>
        <w:top w:val="none" w:sz="0" w:space="0" w:color="auto"/>
        <w:left w:val="none" w:sz="0" w:space="0" w:color="auto"/>
        <w:bottom w:val="none" w:sz="0" w:space="0" w:color="auto"/>
        <w:right w:val="none" w:sz="0" w:space="0" w:color="auto"/>
      </w:divBdr>
    </w:div>
    <w:div w:id="49888417">
      <w:bodyDiv w:val="1"/>
      <w:marLeft w:val="0"/>
      <w:marRight w:val="0"/>
      <w:marTop w:val="0"/>
      <w:marBottom w:val="0"/>
      <w:divBdr>
        <w:top w:val="none" w:sz="0" w:space="0" w:color="auto"/>
        <w:left w:val="none" w:sz="0" w:space="0" w:color="auto"/>
        <w:bottom w:val="none" w:sz="0" w:space="0" w:color="auto"/>
        <w:right w:val="none" w:sz="0" w:space="0" w:color="auto"/>
      </w:divBdr>
    </w:div>
    <w:div w:id="50814551">
      <w:bodyDiv w:val="1"/>
      <w:marLeft w:val="0"/>
      <w:marRight w:val="0"/>
      <w:marTop w:val="0"/>
      <w:marBottom w:val="0"/>
      <w:divBdr>
        <w:top w:val="none" w:sz="0" w:space="0" w:color="auto"/>
        <w:left w:val="none" w:sz="0" w:space="0" w:color="auto"/>
        <w:bottom w:val="none" w:sz="0" w:space="0" w:color="auto"/>
        <w:right w:val="none" w:sz="0" w:space="0" w:color="auto"/>
      </w:divBdr>
    </w:div>
    <w:div w:id="51008861">
      <w:bodyDiv w:val="1"/>
      <w:marLeft w:val="0"/>
      <w:marRight w:val="0"/>
      <w:marTop w:val="0"/>
      <w:marBottom w:val="0"/>
      <w:divBdr>
        <w:top w:val="none" w:sz="0" w:space="0" w:color="auto"/>
        <w:left w:val="none" w:sz="0" w:space="0" w:color="auto"/>
        <w:bottom w:val="none" w:sz="0" w:space="0" w:color="auto"/>
        <w:right w:val="none" w:sz="0" w:space="0" w:color="auto"/>
      </w:divBdr>
    </w:div>
    <w:div w:id="51083854">
      <w:bodyDiv w:val="1"/>
      <w:marLeft w:val="0"/>
      <w:marRight w:val="0"/>
      <w:marTop w:val="0"/>
      <w:marBottom w:val="0"/>
      <w:divBdr>
        <w:top w:val="none" w:sz="0" w:space="0" w:color="auto"/>
        <w:left w:val="none" w:sz="0" w:space="0" w:color="auto"/>
        <w:bottom w:val="none" w:sz="0" w:space="0" w:color="auto"/>
        <w:right w:val="none" w:sz="0" w:space="0" w:color="auto"/>
      </w:divBdr>
    </w:div>
    <w:div w:id="51315236">
      <w:bodyDiv w:val="1"/>
      <w:marLeft w:val="0"/>
      <w:marRight w:val="0"/>
      <w:marTop w:val="0"/>
      <w:marBottom w:val="0"/>
      <w:divBdr>
        <w:top w:val="none" w:sz="0" w:space="0" w:color="auto"/>
        <w:left w:val="none" w:sz="0" w:space="0" w:color="auto"/>
        <w:bottom w:val="none" w:sz="0" w:space="0" w:color="auto"/>
        <w:right w:val="none" w:sz="0" w:space="0" w:color="auto"/>
      </w:divBdr>
    </w:div>
    <w:div w:id="52196178">
      <w:bodyDiv w:val="1"/>
      <w:marLeft w:val="0"/>
      <w:marRight w:val="0"/>
      <w:marTop w:val="0"/>
      <w:marBottom w:val="0"/>
      <w:divBdr>
        <w:top w:val="none" w:sz="0" w:space="0" w:color="auto"/>
        <w:left w:val="none" w:sz="0" w:space="0" w:color="auto"/>
        <w:bottom w:val="none" w:sz="0" w:space="0" w:color="auto"/>
        <w:right w:val="none" w:sz="0" w:space="0" w:color="auto"/>
      </w:divBdr>
    </w:div>
    <w:div w:id="52313206">
      <w:bodyDiv w:val="1"/>
      <w:marLeft w:val="0"/>
      <w:marRight w:val="0"/>
      <w:marTop w:val="0"/>
      <w:marBottom w:val="0"/>
      <w:divBdr>
        <w:top w:val="none" w:sz="0" w:space="0" w:color="auto"/>
        <w:left w:val="none" w:sz="0" w:space="0" w:color="auto"/>
        <w:bottom w:val="none" w:sz="0" w:space="0" w:color="auto"/>
        <w:right w:val="none" w:sz="0" w:space="0" w:color="auto"/>
      </w:divBdr>
    </w:div>
    <w:div w:id="53236593">
      <w:bodyDiv w:val="1"/>
      <w:marLeft w:val="0"/>
      <w:marRight w:val="0"/>
      <w:marTop w:val="0"/>
      <w:marBottom w:val="0"/>
      <w:divBdr>
        <w:top w:val="none" w:sz="0" w:space="0" w:color="auto"/>
        <w:left w:val="none" w:sz="0" w:space="0" w:color="auto"/>
        <w:bottom w:val="none" w:sz="0" w:space="0" w:color="auto"/>
        <w:right w:val="none" w:sz="0" w:space="0" w:color="auto"/>
      </w:divBdr>
    </w:div>
    <w:div w:id="53503807">
      <w:bodyDiv w:val="1"/>
      <w:marLeft w:val="0"/>
      <w:marRight w:val="0"/>
      <w:marTop w:val="0"/>
      <w:marBottom w:val="0"/>
      <w:divBdr>
        <w:top w:val="none" w:sz="0" w:space="0" w:color="auto"/>
        <w:left w:val="none" w:sz="0" w:space="0" w:color="auto"/>
        <w:bottom w:val="none" w:sz="0" w:space="0" w:color="auto"/>
        <w:right w:val="none" w:sz="0" w:space="0" w:color="auto"/>
      </w:divBdr>
    </w:div>
    <w:div w:id="54595563">
      <w:bodyDiv w:val="1"/>
      <w:marLeft w:val="0"/>
      <w:marRight w:val="0"/>
      <w:marTop w:val="0"/>
      <w:marBottom w:val="0"/>
      <w:divBdr>
        <w:top w:val="none" w:sz="0" w:space="0" w:color="auto"/>
        <w:left w:val="none" w:sz="0" w:space="0" w:color="auto"/>
        <w:bottom w:val="none" w:sz="0" w:space="0" w:color="auto"/>
        <w:right w:val="none" w:sz="0" w:space="0" w:color="auto"/>
      </w:divBdr>
    </w:div>
    <w:div w:id="55397184">
      <w:bodyDiv w:val="1"/>
      <w:marLeft w:val="0"/>
      <w:marRight w:val="0"/>
      <w:marTop w:val="0"/>
      <w:marBottom w:val="0"/>
      <w:divBdr>
        <w:top w:val="none" w:sz="0" w:space="0" w:color="auto"/>
        <w:left w:val="none" w:sz="0" w:space="0" w:color="auto"/>
        <w:bottom w:val="none" w:sz="0" w:space="0" w:color="auto"/>
        <w:right w:val="none" w:sz="0" w:space="0" w:color="auto"/>
      </w:divBdr>
    </w:div>
    <w:div w:id="56246439">
      <w:bodyDiv w:val="1"/>
      <w:marLeft w:val="0"/>
      <w:marRight w:val="0"/>
      <w:marTop w:val="0"/>
      <w:marBottom w:val="0"/>
      <w:divBdr>
        <w:top w:val="none" w:sz="0" w:space="0" w:color="auto"/>
        <w:left w:val="none" w:sz="0" w:space="0" w:color="auto"/>
        <w:bottom w:val="none" w:sz="0" w:space="0" w:color="auto"/>
        <w:right w:val="none" w:sz="0" w:space="0" w:color="auto"/>
      </w:divBdr>
    </w:div>
    <w:div w:id="56629725">
      <w:bodyDiv w:val="1"/>
      <w:marLeft w:val="0"/>
      <w:marRight w:val="0"/>
      <w:marTop w:val="0"/>
      <w:marBottom w:val="0"/>
      <w:divBdr>
        <w:top w:val="none" w:sz="0" w:space="0" w:color="auto"/>
        <w:left w:val="none" w:sz="0" w:space="0" w:color="auto"/>
        <w:bottom w:val="none" w:sz="0" w:space="0" w:color="auto"/>
        <w:right w:val="none" w:sz="0" w:space="0" w:color="auto"/>
      </w:divBdr>
    </w:div>
    <w:div w:id="57286168">
      <w:bodyDiv w:val="1"/>
      <w:marLeft w:val="0"/>
      <w:marRight w:val="0"/>
      <w:marTop w:val="0"/>
      <w:marBottom w:val="0"/>
      <w:divBdr>
        <w:top w:val="none" w:sz="0" w:space="0" w:color="auto"/>
        <w:left w:val="none" w:sz="0" w:space="0" w:color="auto"/>
        <w:bottom w:val="none" w:sz="0" w:space="0" w:color="auto"/>
        <w:right w:val="none" w:sz="0" w:space="0" w:color="auto"/>
      </w:divBdr>
    </w:div>
    <w:div w:id="58788017">
      <w:bodyDiv w:val="1"/>
      <w:marLeft w:val="0"/>
      <w:marRight w:val="0"/>
      <w:marTop w:val="0"/>
      <w:marBottom w:val="0"/>
      <w:divBdr>
        <w:top w:val="none" w:sz="0" w:space="0" w:color="auto"/>
        <w:left w:val="none" w:sz="0" w:space="0" w:color="auto"/>
        <w:bottom w:val="none" w:sz="0" w:space="0" w:color="auto"/>
        <w:right w:val="none" w:sz="0" w:space="0" w:color="auto"/>
      </w:divBdr>
    </w:div>
    <w:div w:id="59181166">
      <w:bodyDiv w:val="1"/>
      <w:marLeft w:val="0"/>
      <w:marRight w:val="0"/>
      <w:marTop w:val="0"/>
      <w:marBottom w:val="0"/>
      <w:divBdr>
        <w:top w:val="none" w:sz="0" w:space="0" w:color="auto"/>
        <w:left w:val="none" w:sz="0" w:space="0" w:color="auto"/>
        <w:bottom w:val="none" w:sz="0" w:space="0" w:color="auto"/>
        <w:right w:val="none" w:sz="0" w:space="0" w:color="auto"/>
      </w:divBdr>
    </w:div>
    <w:div w:id="59596875">
      <w:bodyDiv w:val="1"/>
      <w:marLeft w:val="0"/>
      <w:marRight w:val="0"/>
      <w:marTop w:val="0"/>
      <w:marBottom w:val="0"/>
      <w:divBdr>
        <w:top w:val="none" w:sz="0" w:space="0" w:color="auto"/>
        <w:left w:val="none" w:sz="0" w:space="0" w:color="auto"/>
        <w:bottom w:val="none" w:sz="0" w:space="0" w:color="auto"/>
        <w:right w:val="none" w:sz="0" w:space="0" w:color="auto"/>
      </w:divBdr>
    </w:div>
    <w:div w:id="60905117">
      <w:bodyDiv w:val="1"/>
      <w:marLeft w:val="0"/>
      <w:marRight w:val="0"/>
      <w:marTop w:val="0"/>
      <w:marBottom w:val="0"/>
      <w:divBdr>
        <w:top w:val="none" w:sz="0" w:space="0" w:color="auto"/>
        <w:left w:val="none" w:sz="0" w:space="0" w:color="auto"/>
        <w:bottom w:val="none" w:sz="0" w:space="0" w:color="auto"/>
        <w:right w:val="none" w:sz="0" w:space="0" w:color="auto"/>
      </w:divBdr>
    </w:div>
    <w:div w:id="62531409">
      <w:bodyDiv w:val="1"/>
      <w:marLeft w:val="0"/>
      <w:marRight w:val="0"/>
      <w:marTop w:val="0"/>
      <w:marBottom w:val="0"/>
      <w:divBdr>
        <w:top w:val="none" w:sz="0" w:space="0" w:color="auto"/>
        <w:left w:val="none" w:sz="0" w:space="0" w:color="auto"/>
        <w:bottom w:val="none" w:sz="0" w:space="0" w:color="auto"/>
        <w:right w:val="none" w:sz="0" w:space="0" w:color="auto"/>
      </w:divBdr>
    </w:div>
    <w:div w:id="62727696">
      <w:bodyDiv w:val="1"/>
      <w:marLeft w:val="0"/>
      <w:marRight w:val="0"/>
      <w:marTop w:val="0"/>
      <w:marBottom w:val="0"/>
      <w:divBdr>
        <w:top w:val="none" w:sz="0" w:space="0" w:color="auto"/>
        <w:left w:val="none" w:sz="0" w:space="0" w:color="auto"/>
        <w:bottom w:val="none" w:sz="0" w:space="0" w:color="auto"/>
        <w:right w:val="none" w:sz="0" w:space="0" w:color="auto"/>
      </w:divBdr>
    </w:div>
    <w:div w:id="63334989">
      <w:bodyDiv w:val="1"/>
      <w:marLeft w:val="0"/>
      <w:marRight w:val="0"/>
      <w:marTop w:val="0"/>
      <w:marBottom w:val="0"/>
      <w:divBdr>
        <w:top w:val="none" w:sz="0" w:space="0" w:color="auto"/>
        <w:left w:val="none" w:sz="0" w:space="0" w:color="auto"/>
        <w:bottom w:val="none" w:sz="0" w:space="0" w:color="auto"/>
        <w:right w:val="none" w:sz="0" w:space="0" w:color="auto"/>
      </w:divBdr>
    </w:div>
    <w:div w:id="63573525">
      <w:bodyDiv w:val="1"/>
      <w:marLeft w:val="0"/>
      <w:marRight w:val="0"/>
      <w:marTop w:val="0"/>
      <w:marBottom w:val="0"/>
      <w:divBdr>
        <w:top w:val="none" w:sz="0" w:space="0" w:color="auto"/>
        <w:left w:val="none" w:sz="0" w:space="0" w:color="auto"/>
        <w:bottom w:val="none" w:sz="0" w:space="0" w:color="auto"/>
        <w:right w:val="none" w:sz="0" w:space="0" w:color="auto"/>
      </w:divBdr>
    </w:div>
    <w:div w:id="63652997">
      <w:bodyDiv w:val="1"/>
      <w:marLeft w:val="0"/>
      <w:marRight w:val="0"/>
      <w:marTop w:val="0"/>
      <w:marBottom w:val="0"/>
      <w:divBdr>
        <w:top w:val="none" w:sz="0" w:space="0" w:color="auto"/>
        <w:left w:val="none" w:sz="0" w:space="0" w:color="auto"/>
        <w:bottom w:val="none" w:sz="0" w:space="0" w:color="auto"/>
        <w:right w:val="none" w:sz="0" w:space="0" w:color="auto"/>
      </w:divBdr>
    </w:div>
    <w:div w:id="64841063">
      <w:bodyDiv w:val="1"/>
      <w:marLeft w:val="0"/>
      <w:marRight w:val="0"/>
      <w:marTop w:val="0"/>
      <w:marBottom w:val="0"/>
      <w:divBdr>
        <w:top w:val="none" w:sz="0" w:space="0" w:color="auto"/>
        <w:left w:val="none" w:sz="0" w:space="0" w:color="auto"/>
        <w:bottom w:val="none" w:sz="0" w:space="0" w:color="auto"/>
        <w:right w:val="none" w:sz="0" w:space="0" w:color="auto"/>
      </w:divBdr>
    </w:div>
    <w:div w:id="65493929">
      <w:bodyDiv w:val="1"/>
      <w:marLeft w:val="0"/>
      <w:marRight w:val="0"/>
      <w:marTop w:val="0"/>
      <w:marBottom w:val="0"/>
      <w:divBdr>
        <w:top w:val="none" w:sz="0" w:space="0" w:color="auto"/>
        <w:left w:val="none" w:sz="0" w:space="0" w:color="auto"/>
        <w:bottom w:val="none" w:sz="0" w:space="0" w:color="auto"/>
        <w:right w:val="none" w:sz="0" w:space="0" w:color="auto"/>
      </w:divBdr>
    </w:div>
    <w:div w:id="65691106">
      <w:bodyDiv w:val="1"/>
      <w:marLeft w:val="0"/>
      <w:marRight w:val="0"/>
      <w:marTop w:val="0"/>
      <w:marBottom w:val="0"/>
      <w:divBdr>
        <w:top w:val="none" w:sz="0" w:space="0" w:color="auto"/>
        <w:left w:val="none" w:sz="0" w:space="0" w:color="auto"/>
        <w:bottom w:val="none" w:sz="0" w:space="0" w:color="auto"/>
        <w:right w:val="none" w:sz="0" w:space="0" w:color="auto"/>
      </w:divBdr>
    </w:div>
    <w:div w:id="66460495">
      <w:bodyDiv w:val="1"/>
      <w:marLeft w:val="0"/>
      <w:marRight w:val="0"/>
      <w:marTop w:val="0"/>
      <w:marBottom w:val="0"/>
      <w:divBdr>
        <w:top w:val="none" w:sz="0" w:space="0" w:color="auto"/>
        <w:left w:val="none" w:sz="0" w:space="0" w:color="auto"/>
        <w:bottom w:val="none" w:sz="0" w:space="0" w:color="auto"/>
        <w:right w:val="none" w:sz="0" w:space="0" w:color="auto"/>
      </w:divBdr>
    </w:div>
    <w:div w:id="66542912">
      <w:bodyDiv w:val="1"/>
      <w:marLeft w:val="0"/>
      <w:marRight w:val="0"/>
      <w:marTop w:val="0"/>
      <w:marBottom w:val="0"/>
      <w:divBdr>
        <w:top w:val="none" w:sz="0" w:space="0" w:color="auto"/>
        <w:left w:val="none" w:sz="0" w:space="0" w:color="auto"/>
        <w:bottom w:val="none" w:sz="0" w:space="0" w:color="auto"/>
        <w:right w:val="none" w:sz="0" w:space="0" w:color="auto"/>
      </w:divBdr>
    </w:div>
    <w:div w:id="67045006">
      <w:bodyDiv w:val="1"/>
      <w:marLeft w:val="0"/>
      <w:marRight w:val="0"/>
      <w:marTop w:val="0"/>
      <w:marBottom w:val="0"/>
      <w:divBdr>
        <w:top w:val="none" w:sz="0" w:space="0" w:color="auto"/>
        <w:left w:val="none" w:sz="0" w:space="0" w:color="auto"/>
        <w:bottom w:val="none" w:sz="0" w:space="0" w:color="auto"/>
        <w:right w:val="none" w:sz="0" w:space="0" w:color="auto"/>
      </w:divBdr>
    </w:div>
    <w:div w:id="67197904">
      <w:bodyDiv w:val="1"/>
      <w:marLeft w:val="0"/>
      <w:marRight w:val="0"/>
      <w:marTop w:val="0"/>
      <w:marBottom w:val="0"/>
      <w:divBdr>
        <w:top w:val="none" w:sz="0" w:space="0" w:color="auto"/>
        <w:left w:val="none" w:sz="0" w:space="0" w:color="auto"/>
        <w:bottom w:val="none" w:sz="0" w:space="0" w:color="auto"/>
        <w:right w:val="none" w:sz="0" w:space="0" w:color="auto"/>
      </w:divBdr>
    </w:div>
    <w:div w:id="67653043">
      <w:bodyDiv w:val="1"/>
      <w:marLeft w:val="0"/>
      <w:marRight w:val="0"/>
      <w:marTop w:val="0"/>
      <w:marBottom w:val="0"/>
      <w:divBdr>
        <w:top w:val="none" w:sz="0" w:space="0" w:color="auto"/>
        <w:left w:val="none" w:sz="0" w:space="0" w:color="auto"/>
        <w:bottom w:val="none" w:sz="0" w:space="0" w:color="auto"/>
        <w:right w:val="none" w:sz="0" w:space="0" w:color="auto"/>
      </w:divBdr>
    </w:div>
    <w:div w:id="67770541">
      <w:bodyDiv w:val="1"/>
      <w:marLeft w:val="0"/>
      <w:marRight w:val="0"/>
      <w:marTop w:val="0"/>
      <w:marBottom w:val="0"/>
      <w:divBdr>
        <w:top w:val="none" w:sz="0" w:space="0" w:color="auto"/>
        <w:left w:val="none" w:sz="0" w:space="0" w:color="auto"/>
        <w:bottom w:val="none" w:sz="0" w:space="0" w:color="auto"/>
        <w:right w:val="none" w:sz="0" w:space="0" w:color="auto"/>
      </w:divBdr>
    </w:div>
    <w:div w:id="68769598">
      <w:bodyDiv w:val="1"/>
      <w:marLeft w:val="0"/>
      <w:marRight w:val="0"/>
      <w:marTop w:val="0"/>
      <w:marBottom w:val="0"/>
      <w:divBdr>
        <w:top w:val="none" w:sz="0" w:space="0" w:color="auto"/>
        <w:left w:val="none" w:sz="0" w:space="0" w:color="auto"/>
        <w:bottom w:val="none" w:sz="0" w:space="0" w:color="auto"/>
        <w:right w:val="none" w:sz="0" w:space="0" w:color="auto"/>
      </w:divBdr>
    </w:div>
    <w:div w:id="69347554">
      <w:bodyDiv w:val="1"/>
      <w:marLeft w:val="0"/>
      <w:marRight w:val="0"/>
      <w:marTop w:val="0"/>
      <w:marBottom w:val="0"/>
      <w:divBdr>
        <w:top w:val="none" w:sz="0" w:space="0" w:color="auto"/>
        <w:left w:val="none" w:sz="0" w:space="0" w:color="auto"/>
        <w:bottom w:val="none" w:sz="0" w:space="0" w:color="auto"/>
        <w:right w:val="none" w:sz="0" w:space="0" w:color="auto"/>
      </w:divBdr>
    </w:div>
    <w:div w:id="70008319">
      <w:bodyDiv w:val="1"/>
      <w:marLeft w:val="0"/>
      <w:marRight w:val="0"/>
      <w:marTop w:val="0"/>
      <w:marBottom w:val="0"/>
      <w:divBdr>
        <w:top w:val="none" w:sz="0" w:space="0" w:color="auto"/>
        <w:left w:val="none" w:sz="0" w:space="0" w:color="auto"/>
        <w:bottom w:val="none" w:sz="0" w:space="0" w:color="auto"/>
        <w:right w:val="none" w:sz="0" w:space="0" w:color="auto"/>
      </w:divBdr>
    </w:div>
    <w:div w:id="71007994">
      <w:bodyDiv w:val="1"/>
      <w:marLeft w:val="0"/>
      <w:marRight w:val="0"/>
      <w:marTop w:val="0"/>
      <w:marBottom w:val="0"/>
      <w:divBdr>
        <w:top w:val="none" w:sz="0" w:space="0" w:color="auto"/>
        <w:left w:val="none" w:sz="0" w:space="0" w:color="auto"/>
        <w:bottom w:val="none" w:sz="0" w:space="0" w:color="auto"/>
        <w:right w:val="none" w:sz="0" w:space="0" w:color="auto"/>
      </w:divBdr>
    </w:div>
    <w:div w:id="73090481">
      <w:bodyDiv w:val="1"/>
      <w:marLeft w:val="0"/>
      <w:marRight w:val="0"/>
      <w:marTop w:val="0"/>
      <w:marBottom w:val="0"/>
      <w:divBdr>
        <w:top w:val="none" w:sz="0" w:space="0" w:color="auto"/>
        <w:left w:val="none" w:sz="0" w:space="0" w:color="auto"/>
        <w:bottom w:val="none" w:sz="0" w:space="0" w:color="auto"/>
        <w:right w:val="none" w:sz="0" w:space="0" w:color="auto"/>
      </w:divBdr>
    </w:div>
    <w:div w:id="73671593">
      <w:bodyDiv w:val="1"/>
      <w:marLeft w:val="0"/>
      <w:marRight w:val="0"/>
      <w:marTop w:val="0"/>
      <w:marBottom w:val="0"/>
      <w:divBdr>
        <w:top w:val="none" w:sz="0" w:space="0" w:color="auto"/>
        <w:left w:val="none" w:sz="0" w:space="0" w:color="auto"/>
        <w:bottom w:val="none" w:sz="0" w:space="0" w:color="auto"/>
        <w:right w:val="none" w:sz="0" w:space="0" w:color="auto"/>
      </w:divBdr>
    </w:div>
    <w:div w:id="73821077">
      <w:bodyDiv w:val="1"/>
      <w:marLeft w:val="0"/>
      <w:marRight w:val="0"/>
      <w:marTop w:val="0"/>
      <w:marBottom w:val="0"/>
      <w:divBdr>
        <w:top w:val="none" w:sz="0" w:space="0" w:color="auto"/>
        <w:left w:val="none" w:sz="0" w:space="0" w:color="auto"/>
        <w:bottom w:val="none" w:sz="0" w:space="0" w:color="auto"/>
        <w:right w:val="none" w:sz="0" w:space="0" w:color="auto"/>
      </w:divBdr>
    </w:div>
    <w:div w:id="74283577">
      <w:bodyDiv w:val="1"/>
      <w:marLeft w:val="0"/>
      <w:marRight w:val="0"/>
      <w:marTop w:val="0"/>
      <w:marBottom w:val="0"/>
      <w:divBdr>
        <w:top w:val="none" w:sz="0" w:space="0" w:color="auto"/>
        <w:left w:val="none" w:sz="0" w:space="0" w:color="auto"/>
        <w:bottom w:val="none" w:sz="0" w:space="0" w:color="auto"/>
        <w:right w:val="none" w:sz="0" w:space="0" w:color="auto"/>
      </w:divBdr>
    </w:div>
    <w:div w:id="77289360">
      <w:bodyDiv w:val="1"/>
      <w:marLeft w:val="0"/>
      <w:marRight w:val="0"/>
      <w:marTop w:val="0"/>
      <w:marBottom w:val="0"/>
      <w:divBdr>
        <w:top w:val="none" w:sz="0" w:space="0" w:color="auto"/>
        <w:left w:val="none" w:sz="0" w:space="0" w:color="auto"/>
        <w:bottom w:val="none" w:sz="0" w:space="0" w:color="auto"/>
        <w:right w:val="none" w:sz="0" w:space="0" w:color="auto"/>
      </w:divBdr>
    </w:div>
    <w:div w:id="77480526">
      <w:bodyDiv w:val="1"/>
      <w:marLeft w:val="0"/>
      <w:marRight w:val="0"/>
      <w:marTop w:val="0"/>
      <w:marBottom w:val="0"/>
      <w:divBdr>
        <w:top w:val="none" w:sz="0" w:space="0" w:color="auto"/>
        <w:left w:val="none" w:sz="0" w:space="0" w:color="auto"/>
        <w:bottom w:val="none" w:sz="0" w:space="0" w:color="auto"/>
        <w:right w:val="none" w:sz="0" w:space="0" w:color="auto"/>
      </w:divBdr>
    </w:div>
    <w:div w:id="77600552">
      <w:bodyDiv w:val="1"/>
      <w:marLeft w:val="0"/>
      <w:marRight w:val="0"/>
      <w:marTop w:val="0"/>
      <w:marBottom w:val="0"/>
      <w:divBdr>
        <w:top w:val="none" w:sz="0" w:space="0" w:color="auto"/>
        <w:left w:val="none" w:sz="0" w:space="0" w:color="auto"/>
        <w:bottom w:val="none" w:sz="0" w:space="0" w:color="auto"/>
        <w:right w:val="none" w:sz="0" w:space="0" w:color="auto"/>
      </w:divBdr>
    </w:div>
    <w:div w:id="78139687">
      <w:bodyDiv w:val="1"/>
      <w:marLeft w:val="0"/>
      <w:marRight w:val="0"/>
      <w:marTop w:val="0"/>
      <w:marBottom w:val="0"/>
      <w:divBdr>
        <w:top w:val="none" w:sz="0" w:space="0" w:color="auto"/>
        <w:left w:val="none" w:sz="0" w:space="0" w:color="auto"/>
        <w:bottom w:val="none" w:sz="0" w:space="0" w:color="auto"/>
        <w:right w:val="none" w:sz="0" w:space="0" w:color="auto"/>
      </w:divBdr>
    </w:div>
    <w:div w:id="78526215">
      <w:bodyDiv w:val="1"/>
      <w:marLeft w:val="0"/>
      <w:marRight w:val="0"/>
      <w:marTop w:val="0"/>
      <w:marBottom w:val="0"/>
      <w:divBdr>
        <w:top w:val="none" w:sz="0" w:space="0" w:color="auto"/>
        <w:left w:val="none" w:sz="0" w:space="0" w:color="auto"/>
        <w:bottom w:val="none" w:sz="0" w:space="0" w:color="auto"/>
        <w:right w:val="none" w:sz="0" w:space="0" w:color="auto"/>
      </w:divBdr>
    </w:div>
    <w:div w:id="78529990">
      <w:bodyDiv w:val="1"/>
      <w:marLeft w:val="0"/>
      <w:marRight w:val="0"/>
      <w:marTop w:val="0"/>
      <w:marBottom w:val="0"/>
      <w:divBdr>
        <w:top w:val="none" w:sz="0" w:space="0" w:color="auto"/>
        <w:left w:val="none" w:sz="0" w:space="0" w:color="auto"/>
        <w:bottom w:val="none" w:sz="0" w:space="0" w:color="auto"/>
        <w:right w:val="none" w:sz="0" w:space="0" w:color="auto"/>
      </w:divBdr>
    </w:div>
    <w:div w:id="79252626">
      <w:bodyDiv w:val="1"/>
      <w:marLeft w:val="0"/>
      <w:marRight w:val="0"/>
      <w:marTop w:val="0"/>
      <w:marBottom w:val="0"/>
      <w:divBdr>
        <w:top w:val="none" w:sz="0" w:space="0" w:color="auto"/>
        <w:left w:val="none" w:sz="0" w:space="0" w:color="auto"/>
        <w:bottom w:val="none" w:sz="0" w:space="0" w:color="auto"/>
        <w:right w:val="none" w:sz="0" w:space="0" w:color="auto"/>
      </w:divBdr>
    </w:div>
    <w:div w:id="79758766">
      <w:bodyDiv w:val="1"/>
      <w:marLeft w:val="0"/>
      <w:marRight w:val="0"/>
      <w:marTop w:val="0"/>
      <w:marBottom w:val="0"/>
      <w:divBdr>
        <w:top w:val="none" w:sz="0" w:space="0" w:color="auto"/>
        <w:left w:val="none" w:sz="0" w:space="0" w:color="auto"/>
        <w:bottom w:val="none" w:sz="0" w:space="0" w:color="auto"/>
        <w:right w:val="none" w:sz="0" w:space="0" w:color="auto"/>
      </w:divBdr>
    </w:div>
    <w:div w:id="79914973">
      <w:bodyDiv w:val="1"/>
      <w:marLeft w:val="0"/>
      <w:marRight w:val="0"/>
      <w:marTop w:val="0"/>
      <w:marBottom w:val="0"/>
      <w:divBdr>
        <w:top w:val="none" w:sz="0" w:space="0" w:color="auto"/>
        <w:left w:val="none" w:sz="0" w:space="0" w:color="auto"/>
        <w:bottom w:val="none" w:sz="0" w:space="0" w:color="auto"/>
        <w:right w:val="none" w:sz="0" w:space="0" w:color="auto"/>
      </w:divBdr>
      <w:divsChild>
        <w:div w:id="687174575">
          <w:marLeft w:val="0"/>
          <w:marRight w:val="0"/>
          <w:marTop w:val="0"/>
          <w:marBottom w:val="0"/>
          <w:divBdr>
            <w:top w:val="none" w:sz="0" w:space="0" w:color="auto"/>
            <w:left w:val="none" w:sz="0" w:space="0" w:color="auto"/>
            <w:bottom w:val="none" w:sz="0" w:space="0" w:color="auto"/>
            <w:right w:val="none" w:sz="0" w:space="0" w:color="auto"/>
          </w:divBdr>
        </w:div>
        <w:div w:id="914585674">
          <w:marLeft w:val="0"/>
          <w:marRight w:val="0"/>
          <w:marTop w:val="0"/>
          <w:marBottom w:val="0"/>
          <w:divBdr>
            <w:top w:val="none" w:sz="0" w:space="0" w:color="auto"/>
            <w:left w:val="none" w:sz="0" w:space="0" w:color="auto"/>
            <w:bottom w:val="none" w:sz="0" w:space="0" w:color="auto"/>
            <w:right w:val="none" w:sz="0" w:space="0" w:color="auto"/>
          </w:divBdr>
        </w:div>
        <w:div w:id="1242570347">
          <w:marLeft w:val="0"/>
          <w:marRight w:val="0"/>
          <w:marTop w:val="0"/>
          <w:marBottom w:val="0"/>
          <w:divBdr>
            <w:top w:val="none" w:sz="0" w:space="0" w:color="auto"/>
            <w:left w:val="none" w:sz="0" w:space="0" w:color="auto"/>
            <w:bottom w:val="none" w:sz="0" w:space="0" w:color="auto"/>
            <w:right w:val="none" w:sz="0" w:space="0" w:color="auto"/>
          </w:divBdr>
        </w:div>
        <w:div w:id="70349856">
          <w:marLeft w:val="0"/>
          <w:marRight w:val="0"/>
          <w:marTop w:val="0"/>
          <w:marBottom w:val="0"/>
          <w:divBdr>
            <w:top w:val="none" w:sz="0" w:space="0" w:color="auto"/>
            <w:left w:val="none" w:sz="0" w:space="0" w:color="auto"/>
            <w:bottom w:val="none" w:sz="0" w:space="0" w:color="auto"/>
            <w:right w:val="none" w:sz="0" w:space="0" w:color="auto"/>
          </w:divBdr>
        </w:div>
        <w:div w:id="613951176">
          <w:marLeft w:val="0"/>
          <w:marRight w:val="0"/>
          <w:marTop w:val="0"/>
          <w:marBottom w:val="0"/>
          <w:divBdr>
            <w:top w:val="none" w:sz="0" w:space="0" w:color="auto"/>
            <w:left w:val="none" w:sz="0" w:space="0" w:color="auto"/>
            <w:bottom w:val="none" w:sz="0" w:space="0" w:color="auto"/>
            <w:right w:val="none" w:sz="0" w:space="0" w:color="auto"/>
          </w:divBdr>
        </w:div>
        <w:div w:id="1527447815">
          <w:marLeft w:val="0"/>
          <w:marRight w:val="0"/>
          <w:marTop w:val="0"/>
          <w:marBottom w:val="0"/>
          <w:divBdr>
            <w:top w:val="none" w:sz="0" w:space="0" w:color="auto"/>
            <w:left w:val="none" w:sz="0" w:space="0" w:color="auto"/>
            <w:bottom w:val="none" w:sz="0" w:space="0" w:color="auto"/>
            <w:right w:val="none" w:sz="0" w:space="0" w:color="auto"/>
          </w:divBdr>
        </w:div>
        <w:div w:id="1633901497">
          <w:marLeft w:val="0"/>
          <w:marRight w:val="0"/>
          <w:marTop w:val="0"/>
          <w:marBottom w:val="0"/>
          <w:divBdr>
            <w:top w:val="none" w:sz="0" w:space="0" w:color="auto"/>
            <w:left w:val="none" w:sz="0" w:space="0" w:color="auto"/>
            <w:bottom w:val="none" w:sz="0" w:space="0" w:color="auto"/>
            <w:right w:val="none" w:sz="0" w:space="0" w:color="auto"/>
          </w:divBdr>
        </w:div>
        <w:div w:id="1554075941">
          <w:marLeft w:val="0"/>
          <w:marRight w:val="0"/>
          <w:marTop w:val="0"/>
          <w:marBottom w:val="0"/>
          <w:divBdr>
            <w:top w:val="none" w:sz="0" w:space="0" w:color="auto"/>
            <w:left w:val="none" w:sz="0" w:space="0" w:color="auto"/>
            <w:bottom w:val="none" w:sz="0" w:space="0" w:color="auto"/>
            <w:right w:val="none" w:sz="0" w:space="0" w:color="auto"/>
          </w:divBdr>
        </w:div>
        <w:div w:id="491142442">
          <w:marLeft w:val="0"/>
          <w:marRight w:val="0"/>
          <w:marTop w:val="0"/>
          <w:marBottom w:val="0"/>
          <w:divBdr>
            <w:top w:val="none" w:sz="0" w:space="0" w:color="auto"/>
            <w:left w:val="none" w:sz="0" w:space="0" w:color="auto"/>
            <w:bottom w:val="none" w:sz="0" w:space="0" w:color="auto"/>
            <w:right w:val="none" w:sz="0" w:space="0" w:color="auto"/>
          </w:divBdr>
        </w:div>
      </w:divsChild>
    </w:div>
    <w:div w:id="80107819">
      <w:bodyDiv w:val="1"/>
      <w:marLeft w:val="0"/>
      <w:marRight w:val="0"/>
      <w:marTop w:val="0"/>
      <w:marBottom w:val="0"/>
      <w:divBdr>
        <w:top w:val="none" w:sz="0" w:space="0" w:color="auto"/>
        <w:left w:val="none" w:sz="0" w:space="0" w:color="auto"/>
        <w:bottom w:val="none" w:sz="0" w:space="0" w:color="auto"/>
        <w:right w:val="none" w:sz="0" w:space="0" w:color="auto"/>
      </w:divBdr>
    </w:div>
    <w:div w:id="82068473">
      <w:bodyDiv w:val="1"/>
      <w:marLeft w:val="0"/>
      <w:marRight w:val="0"/>
      <w:marTop w:val="0"/>
      <w:marBottom w:val="0"/>
      <w:divBdr>
        <w:top w:val="none" w:sz="0" w:space="0" w:color="auto"/>
        <w:left w:val="none" w:sz="0" w:space="0" w:color="auto"/>
        <w:bottom w:val="none" w:sz="0" w:space="0" w:color="auto"/>
        <w:right w:val="none" w:sz="0" w:space="0" w:color="auto"/>
      </w:divBdr>
    </w:div>
    <w:div w:id="82260507">
      <w:bodyDiv w:val="1"/>
      <w:marLeft w:val="0"/>
      <w:marRight w:val="0"/>
      <w:marTop w:val="0"/>
      <w:marBottom w:val="0"/>
      <w:divBdr>
        <w:top w:val="none" w:sz="0" w:space="0" w:color="auto"/>
        <w:left w:val="none" w:sz="0" w:space="0" w:color="auto"/>
        <w:bottom w:val="none" w:sz="0" w:space="0" w:color="auto"/>
        <w:right w:val="none" w:sz="0" w:space="0" w:color="auto"/>
      </w:divBdr>
    </w:div>
    <w:div w:id="82264190">
      <w:bodyDiv w:val="1"/>
      <w:marLeft w:val="0"/>
      <w:marRight w:val="0"/>
      <w:marTop w:val="0"/>
      <w:marBottom w:val="0"/>
      <w:divBdr>
        <w:top w:val="none" w:sz="0" w:space="0" w:color="auto"/>
        <w:left w:val="none" w:sz="0" w:space="0" w:color="auto"/>
        <w:bottom w:val="none" w:sz="0" w:space="0" w:color="auto"/>
        <w:right w:val="none" w:sz="0" w:space="0" w:color="auto"/>
      </w:divBdr>
    </w:div>
    <w:div w:id="82379423">
      <w:bodyDiv w:val="1"/>
      <w:marLeft w:val="0"/>
      <w:marRight w:val="0"/>
      <w:marTop w:val="0"/>
      <w:marBottom w:val="0"/>
      <w:divBdr>
        <w:top w:val="none" w:sz="0" w:space="0" w:color="auto"/>
        <w:left w:val="none" w:sz="0" w:space="0" w:color="auto"/>
        <w:bottom w:val="none" w:sz="0" w:space="0" w:color="auto"/>
        <w:right w:val="none" w:sz="0" w:space="0" w:color="auto"/>
      </w:divBdr>
    </w:div>
    <w:div w:id="82533844">
      <w:bodyDiv w:val="1"/>
      <w:marLeft w:val="0"/>
      <w:marRight w:val="0"/>
      <w:marTop w:val="0"/>
      <w:marBottom w:val="0"/>
      <w:divBdr>
        <w:top w:val="none" w:sz="0" w:space="0" w:color="auto"/>
        <w:left w:val="none" w:sz="0" w:space="0" w:color="auto"/>
        <w:bottom w:val="none" w:sz="0" w:space="0" w:color="auto"/>
        <w:right w:val="none" w:sz="0" w:space="0" w:color="auto"/>
      </w:divBdr>
    </w:div>
    <w:div w:id="82800742">
      <w:bodyDiv w:val="1"/>
      <w:marLeft w:val="0"/>
      <w:marRight w:val="0"/>
      <w:marTop w:val="0"/>
      <w:marBottom w:val="0"/>
      <w:divBdr>
        <w:top w:val="none" w:sz="0" w:space="0" w:color="auto"/>
        <w:left w:val="none" w:sz="0" w:space="0" w:color="auto"/>
        <w:bottom w:val="none" w:sz="0" w:space="0" w:color="auto"/>
        <w:right w:val="none" w:sz="0" w:space="0" w:color="auto"/>
      </w:divBdr>
    </w:div>
    <w:div w:id="83301702">
      <w:bodyDiv w:val="1"/>
      <w:marLeft w:val="0"/>
      <w:marRight w:val="0"/>
      <w:marTop w:val="0"/>
      <w:marBottom w:val="0"/>
      <w:divBdr>
        <w:top w:val="none" w:sz="0" w:space="0" w:color="auto"/>
        <w:left w:val="none" w:sz="0" w:space="0" w:color="auto"/>
        <w:bottom w:val="none" w:sz="0" w:space="0" w:color="auto"/>
        <w:right w:val="none" w:sz="0" w:space="0" w:color="auto"/>
      </w:divBdr>
      <w:divsChild>
        <w:div w:id="1555235851">
          <w:marLeft w:val="0"/>
          <w:marRight w:val="0"/>
          <w:marTop w:val="0"/>
          <w:marBottom w:val="0"/>
          <w:divBdr>
            <w:top w:val="none" w:sz="0" w:space="0" w:color="auto"/>
            <w:left w:val="none" w:sz="0" w:space="0" w:color="auto"/>
            <w:bottom w:val="none" w:sz="0" w:space="0" w:color="auto"/>
            <w:right w:val="none" w:sz="0" w:space="0" w:color="auto"/>
          </w:divBdr>
        </w:div>
        <w:div w:id="821966161">
          <w:marLeft w:val="0"/>
          <w:marRight w:val="0"/>
          <w:marTop w:val="0"/>
          <w:marBottom w:val="0"/>
          <w:divBdr>
            <w:top w:val="none" w:sz="0" w:space="0" w:color="auto"/>
            <w:left w:val="none" w:sz="0" w:space="0" w:color="auto"/>
            <w:bottom w:val="none" w:sz="0" w:space="0" w:color="auto"/>
            <w:right w:val="none" w:sz="0" w:space="0" w:color="auto"/>
          </w:divBdr>
        </w:div>
        <w:div w:id="2075345874">
          <w:marLeft w:val="0"/>
          <w:marRight w:val="0"/>
          <w:marTop w:val="0"/>
          <w:marBottom w:val="0"/>
          <w:divBdr>
            <w:top w:val="none" w:sz="0" w:space="0" w:color="auto"/>
            <w:left w:val="none" w:sz="0" w:space="0" w:color="auto"/>
            <w:bottom w:val="none" w:sz="0" w:space="0" w:color="auto"/>
            <w:right w:val="none" w:sz="0" w:space="0" w:color="auto"/>
          </w:divBdr>
        </w:div>
        <w:div w:id="1483110612">
          <w:marLeft w:val="0"/>
          <w:marRight w:val="0"/>
          <w:marTop w:val="0"/>
          <w:marBottom w:val="0"/>
          <w:divBdr>
            <w:top w:val="none" w:sz="0" w:space="0" w:color="auto"/>
            <w:left w:val="none" w:sz="0" w:space="0" w:color="auto"/>
            <w:bottom w:val="none" w:sz="0" w:space="0" w:color="auto"/>
            <w:right w:val="none" w:sz="0" w:space="0" w:color="auto"/>
          </w:divBdr>
        </w:div>
        <w:div w:id="2057504143">
          <w:marLeft w:val="0"/>
          <w:marRight w:val="0"/>
          <w:marTop w:val="0"/>
          <w:marBottom w:val="0"/>
          <w:divBdr>
            <w:top w:val="none" w:sz="0" w:space="0" w:color="auto"/>
            <w:left w:val="none" w:sz="0" w:space="0" w:color="auto"/>
            <w:bottom w:val="none" w:sz="0" w:space="0" w:color="auto"/>
            <w:right w:val="none" w:sz="0" w:space="0" w:color="auto"/>
          </w:divBdr>
        </w:div>
        <w:div w:id="1484465959">
          <w:marLeft w:val="0"/>
          <w:marRight w:val="0"/>
          <w:marTop w:val="0"/>
          <w:marBottom w:val="0"/>
          <w:divBdr>
            <w:top w:val="none" w:sz="0" w:space="0" w:color="auto"/>
            <w:left w:val="none" w:sz="0" w:space="0" w:color="auto"/>
            <w:bottom w:val="none" w:sz="0" w:space="0" w:color="auto"/>
            <w:right w:val="none" w:sz="0" w:space="0" w:color="auto"/>
          </w:divBdr>
        </w:div>
      </w:divsChild>
    </w:div>
    <w:div w:id="83304169">
      <w:bodyDiv w:val="1"/>
      <w:marLeft w:val="0"/>
      <w:marRight w:val="0"/>
      <w:marTop w:val="0"/>
      <w:marBottom w:val="0"/>
      <w:divBdr>
        <w:top w:val="none" w:sz="0" w:space="0" w:color="auto"/>
        <w:left w:val="none" w:sz="0" w:space="0" w:color="auto"/>
        <w:bottom w:val="none" w:sz="0" w:space="0" w:color="auto"/>
        <w:right w:val="none" w:sz="0" w:space="0" w:color="auto"/>
      </w:divBdr>
    </w:div>
    <w:div w:id="85152755">
      <w:bodyDiv w:val="1"/>
      <w:marLeft w:val="0"/>
      <w:marRight w:val="0"/>
      <w:marTop w:val="0"/>
      <w:marBottom w:val="0"/>
      <w:divBdr>
        <w:top w:val="none" w:sz="0" w:space="0" w:color="auto"/>
        <w:left w:val="none" w:sz="0" w:space="0" w:color="auto"/>
        <w:bottom w:val="none" w:sz="0" w:space="0" w:color="auto"/>
        <w:right w:val="none" w:sz="0" w:space="0" w:color="auto"/>
      </w:divBdr>
    </w:div>
    <w:div w:id="85419790">
      <w:bodyDiv w:val="1"/>
      <w:marLeft w:val="0"/>
      <w:marRight w:val="0"/>
      <w:marTop w:val="0"/>
      <w:marBottom w:val="0"/>
      <w:divBdr>
        <w:top w:val="none" w:sz="0" w:space="0" w:color="auto"/>
        <w:left w:val="none" w:sz="0" w:space="0" w:color="auto"/>
        <w:bottom w:val="none" w:sz="0" w:space="0" w:color="auto"/>
        <w:right w:val="none" w:sz="0" w:space="0" w:color="auto"/>
      </w:divBdr>
    </w:div>
    <w:div w:id="85538333">
      <w:bodyDiv w:val="1"/>
      <w:marLeft w:val="0"/>
      <w:marRight w:val="0"/>
      <w:marTop w:val="0"/>
      <w:marBottom w:val="0"/>
      <w:divBdr>
        <w:top w:val="none" w:sz="0" w:space="0" w:color="auto"/>
        <w:left w:val="none" w:sz="0" w:space="0" w:color="auto"/>
        <w:bottom w:val="none" w:sz="0" w:space="0" w:color="auto"/>
        <w:right w:val="none" w:sz="0" w:space="0" w:color="auto"/>
      </w:divBdr>
    </w:div>
    <w:div w:id="86080306">
      <w:bodyDiv w:val="1"/>
      <w:marLeft w:val="0"/>
      <w:marRight w:val="0"/>
      <w:marTop w:val="0"/>
      <w:marBottom w:val="0"/>
      <w:divBdr>
        <w:top w:val="none" w:sz="0" w:space="0" w:color="auto"/>
        <w:left w:val="none" w:sz="0" w:space="0" w:color="auto"/>
        <w:bottom w:val="none" w:sz="0" w:space="0" w:color="auto"/>
        <w:right w:val="none" w:sz="0" w:space="0" w:color="auto"/>
      </w:divBdr>
    </w:div>
    <w:div w:id="86467097">
      <w:bodyDiv w:val="1"/>
      <w:marLeft w:val="0"/>
      <w:marRight w:val="0"/>
      <w:marTop w:val="0"/>
      <w:marBottom w:val="0"/>
      <w:divBdr>
        <w:top w:val="none" w:sz="0" w:space="0" w:color="auto"/>
        <w:left w:val="none" w:sz="0" w:space="0" w:color="auto"/>
        <w:bottom w:val="none" w:sz="0" w:space="0" w:color="auto"/>
        <w:right w:val="none" w:sz="0" w:space="0" w:color="auto"/>
      </w:divBdr>
    </w:div>
    <w:div w:id="86511251">
      <w:bodyDiv w:val="1"/>
      <w:marLeft w:val="0"/>
      <w:marRight w:val="0"/>
      <w:marTop w:val="0"/>
      <w:marBottom w:val="0"/>
      <w:divBdr>
        <w:top w:val="none" w:sz="0" w:space="0" w:color="auto"/>
        <w:left w:val="none" w:sz="0" w:space="0" w:color="auto"/>
        <w:bottom w:val="none" w:sz="0" w:space="0" w:color="auto"/>
        <w:right w:val="none" w:sz="0" w:space="0" w:color="auto"/>
      </w:divBdr>
    </w:div>
    <w:div w:id="86655472">
      <w:bodyDiv w:val="1"/>
      <w:marLeft w:val="0"/>
      <w:marRight w:val="0"/>
      <w:marTop w:val="0"/>
      <w:marBottom w:val="0"/>
      <w:divBdr>
        <w:top w:val="none" w:sz="0" w:space="0" w:color="auto"/>
        <w:left w:val="none" w:sz="0" w:space="0" w:color="auto"/>
        <w:bottom w:val="none" w:sz="0" w:space="0" w:color="auto"/>
        <w:right w:val="none" w:sz="0" w:space="0" w:color="auto"/>
      </w:divBdr>
    </w:div>
    <w:div w:id="86661102">
      <w:bodyDiv w:val="1"/>
      <w:marLeft w:val="0"/>
      <w:marRight w:val="0"/>
      <w:marTop w:val="0"/>
      <w:marBottom w:val="0"/>
      <w:divBdr>
        <w:top w:val="none" w:sz="0" w:space="0" w:color="auto"/>
        <w:left w:val="none" w:sz="0" w:space="0" w:color="auto"/>
        <w:bottom w:val="none" w:sz="0" w:space="0" w:color="auto"/>
        <w:right w:val="none" w:sz="0" w:space="0" w:color="auto"/>
      </w:divBdr>
    </w:div>
    <w:div w:id="87118866">
      <w:bodyDiv w:val="1"/>
      <w:marLeft w:val="0"/>
      <w:marRight w:val="0"/>
      <w:marTop w:val="0"/>
      <w:marBottom w:val="0"/>
      <w:divBdr>
        <w:top w:val="none" w:sz="0" w:space="0" w:color="auto"/>
        <w:left w:val="none" w:sz="0" w:space="0" w:color="auto"/>
        <w:bottom w:val="none" w:sz="0" w:space="0" w:color="auto"/>
        <w:right w:val="none" w:sz="0" w:space="0" w:color="auto"/>
      </w:divBdr>
    </w:div>
    <w:div w:id="87163785">
      <w:bodyDiv w:val="1"/>
      <w:marLeft w:val="0"/>
      <w:marRight w:val="0"/>
      <w:marTop w:val="0"/>
      <w:marBottom w:val="0"/>
      <w:divBdr>
        <w:top w:val="none" w:sz="0" w:space="0" w:color="auto"/>
        <w:left w:val="none" w:sz="0" w:space="0" w:color="auto"/>
        <w:bottom w:val="none" w:sz="0" w:space="0" w:color="auto"/>
        <w:right w:val="none" w:sz="0" w:space="0" w:color="auto"/>
      </w:divBdr>
    </w:div>
    <w:div w:id="87698270">
      <w:bodyDiv w:val="1"/>
      <w:marLeft w:val="0"/>
      <w:marRight w:val="0"/>
      <w:marTop w:val="0"/>
      <w:marBottom w:val="0"/>
      <w:divBdr>
        <w:top w:val="none" w:sz="0" w:space="0" w:color="auto"/>
        <w:left w:val="none" w:sz="0" w:space="0" w:color="auto"/>
        <w:bottom w:val="none" w:sz="0" w:space="0" w:color="auto"/>
        <w:right w:val="none" w:sz="0" w:space="0" w:color="auto"/>
      </w:divBdr>
    </w:div>
    <w:div w:id="88474634">
      <w:bodyDiv w:val="1"/>
      <w:marLeft w:val="0"/>
      <w:marRight w:val="0"/>
      <w:marTop w:val="0"/>
      <w:marBottom w:val="0"/>
      <w:divBdr>
        <w:top w:val="none" w:sz="0" w:space="0" w:color="auto"/>
        <w:left w:val="none" w:sz="0" w:space="0" w:color="auto"/>
        <w:bottom w:val="none" w:sz="0" w:space="0" w:color="auto"/>
        <w:right w:val="none" w:sz="0" w:space="0" w:color="auto"/>
      </w:divBdr>
    </w:div>
    <w:div w:id="90246508">
      <w:bodyDiv w:val="1"/>
      <w:marLeft w:val="0"/>
      <w:marRight w:val="0"/>
      <w:marTop w:val="0"/>
      <w:marBottom w:val="0"/>
      <w:divBdr>
        <w:top w:val="none" w:sz="0" w:space="0" w:color="auto"/>
        <w:left w:val="none" w:sz="0" w:space="0" w:color="auto"/>
        <w:bottom w:val="none" w:sz="0" w:space="0" w:color="auto"/>
        <w:right w:val="none" w:sz="0" w:space="0" w:color="auto"/>
      </w:divBdr>
    </w:div>
    <w:div w:id="90593775">
      <w:bodyDiv w:val="1"/>
      <w:marLeft w:val="0"/>
      <w:marRight w:val="0"/>
      <w:marTop w:val="0"/>
      <w:marBottom w:val="0"/>
      <w:divBdr>
        <w:top w:val="none" w:sz="0" w:space="0" w:color="auto"/>
        <w:left w:val="none" w:sz="0" w:space="0" w:color="auto"/>
        <w:bottom w:val="none" w:sz="0" w:space="0" w:color="auto"/>
        <w:right w:val="none" w:sz="0" w:space="0" w:color="auto"/>
      </w:divBdr>
    </w:div>
    <w:div w:id="90854934">
      <w:bodyDiv w:val="1"/>
      <w:marLeft w:val="0"/>
      <w:marRight w:val="0"/>
      <w:marTop w:val="0"/>
      <w:marBottom w:val="0"/>
      <w:divBdr>
        <w:top w:val="none" w:sz="0" w:space="0" w:color="auto"/>
        <w:left w:val="none" w:sz="0" w:space="0" w:color="auto"/>
        <w:bottom w:val="none" w:sz="0" w:space="0" w:color="auto"/>
        <w:right w:val="none" w:sz="0" w:space="0" w:color="auto"/>
      </w:divBdr>
    </w:div>
    <w:div w:id="91361181">
      <w:bodyDiv w:val="1"/>
      <w:marLeft w:val="0"/>
      <w:marRight w:val="0"/>
      <w:marTop w:val="0"/>
      <w:marBottom w:val="0"/>
      <w:divBdr>
        <w:top w:val="none" w:sz="0" w:space="0" w:color="auto"/>
        <w:left w:val="none" w:sz="0" w:space="0" w:color="auto"/>
        <w:bottom w:val="none" w:sz="0" w:space="0" w:color="auto"/>
        <w:right w:val="none" w:sz="0" w:space="0" w:color="auto"/>
      </w:divBdr>
    </w:div>
    <w:div w:id="91439984">
      <w:bodyDiv w:val="1"/>
      <w:marLeft w:val="0"/>
      <w:marRight w:val="0"/>
      <w:marTop w:val="0"/>
      <w:marBottom w:val="0"/>
      <w:divBdr>
        <w:top w:val="none" w:sz="0" w:space="0" w:color="auto"/>
        <w:left w:val="none" w:sz="0" w:space="0" w:color="auto"/>
        <w:bottom w:val="none" w:sz="0" w:space="0" w:color="auto"/>
        <w:right w:val="none" w:sz="0" w:space="0" w:color="auto"/>
      </w:divBdr>
    </w:div>
    <w:div w:id="91826598">
      <w:bodyDiv w:val="1"/>
      <w:marLeft w:val="0"/>
      <w:marRight w:val="0"/>
      <w:marTop w:val="0"/>
      <w:marBottom w:val="0"/>
      <w:divBdr>
        <w:top w:val="none" w:sz="0" w:space="0" w:color="auto"/>
        <w:left w:val="none" w:sz="0" w:space="0" w:color="auto"/>
        <w:bottom w:val="none" w:sz="0" w:space="0" w:color="auto"/>
        <w:right w:val="none" w:sz="0" w:space="0" w:color="auto"/>
      </w:divBdr>
    </w:div>
    <w:div w:id="91975466">
      <w:bodyDiv w:val="1"/>
      <w:marLeft w:val="0"/>
      <w:marRight w:val="0"/>
      <w:marTop w:val="0"/>
      <w:marBottom w:val="0"/>
      <w:divBdr>
        <w:top w:val="none" w:sz="0" w:space="0" w:color="auto"/>
        <w:left w:val="none" w:sz="0" w:space="0" w:color="auto"/>
        <w:bottom w:val="none" w:sz="0" w:space="0" w:color="auto"/>
        <w:right w:val="none" w:sz="0" w:space="0" w:color="auto"/>
      </w:divBdr>
    </w:div>
    <w:div w:id="93479009">
      <w:bodyDiv w:val="1"/>
      <w:marLeft w:val="0"/>
      <w:marRight w:val="0"/>
      <w:marTop w:val="0"/>
      <w:marBottom w:val="0"/>
      <w:divBdr>
        <w:top w:val="none" w:sz="0" w:space="0" w:color="auto"/>
        <w:left w:val="none" w:sz="0" w:space="0" w:color="auto"/>
        <w:bottom w:val="none" w:sz="0" w:space="0" w:color="auto"/>
        <w:right w:val="none" w:sz="0" w:space="0" w:color="auto"/>
      </w:divBdr>
    </w:div>
    <w:div w:id="94905152">
      <w:bodyDiv w:val="1"/>
      <w:marLeft w:val="0"/>
      <w:marRight w:val="0"/>
      <w:marTop w:val="0"/>
      <w:marBottom w:val="0"/>
      <w:divBdr>
        <w:top w:val="none" w:sz="0" w:space="0" w:color="auto"/>
        <w:left w:val="none" w:sz="0" w:space="0" w:color="auto"/>
        <w:bottom w:val="none" w:sz="0" w:space="0" w:color="auto"/>
        <w:right w:val="none" w:sz="0" w:space="0" w:color="auto"/>
      </w:divBdr>
    </w:div>
    <w:div w:id="95517033">
      <w:bodyDiv w:val="1"/>
      <w:marLeft w:val="0"/>
      <w:marRight w:val="0"/>
      <w:marTop w:val="0"/>
      <w:marBottom w:val="0"/>
      <w:divBdr>
        <w:top w:val="none" w:sz="0" w:space="0" w:color="auto"/>
        <w:left w:val="none" w:sz="0" w:space="0" w:color="auto"/>
        <w:bottom w:val="none" w:sz="0" w:space="0" w:color="auto"/>
        <w:right w:val="none" w:sz="0" w:space="0" w:color="auto"/>
      </w:divBdr>
    </w:div>
    <w:div w:id="96028381">
      <w:bodyDiv w:val="1"/>
      <w:marLeft w:val="0"/>
      <w:marRight w:val="0"/>
      <w:marTop w:val="0"/>
      <w:marBottom w:val="0"/>
      <w:divBdr>
        <w:top w:val="none" w:sz="0" w:space="0" w:color="auto"/>
        <w:left w:val="none" w:sz="0" w:space="0" w:color="auto"/>
        <w:bottom w:val="none" w:sz="0" w:space="0" w:color="auto"/>
        <w:right w:val="none" w:sz="0" w:space="0" w:color="auto"/>
      </w:divBdr>
    </w:div>
    <w:div w:id="96029467">
      <w:bodyDiv w:val="1"/>
      <w:marLeft w:val="0"/>
      <w:marRight w:val="0"/>
      <w:marTop w:val="0"/>
      <w:marBottom w:val="0"/>
      <w:divBdr>
        <w:top w:val="none" w:sz="0" w:space="0" w:color="auto"/>
        <w:left w:val="none" w:sz="0" w:space="0" w:color="auto"/>
        <w:bottom w:val="none" w:sz="0" w:space="0" w:color="auto"/>
        <w:right w:val="none" w:sz="0" w:space="0" w:color="auto"/>
      </w:divBdr>
    </w:div>
    <w:div w:id="97335257">
      <w:bodyDiv w:val="1"/>
      <w:marLeft w:val="0"/>
      <w:marRight w:val="0"/>
      <w:marTop w:val="0"/>
      <w:marBottom w:val="0"/>
      <w:divBdr>
        <w:top w:val="none" w:sz="0" w:space="0" w:color="auto"/>
        <w:left w:val="none" w:sz="0" w:space="0" w:color="auto"/>
        <w:bottom w:val="none" w:sz="0" w:space="0" w:color="auto"/>
        <w:right w:val="none" w:sz="0" w:space="0" w:color="auto"/>
      </w:divBdr>
    </w:div>
    <w:div w:id="97455226">
      <w:bodyDiv w:val="1"/>
      <w:marLeft w:val="0"/>
      <w:marRight w:val="0"/>
      <w:marTop w:val="0"/>
      <w:marBottom w:val="0"/>
      <w:divBdr>
        <w:top w:val="none" w:sz="0" w:space="0" w:color="auto"/>
        <w:left w:val="none" w:sz="0" w:space="0" w:color="auto"/>
        <w:bottom w:val="none" w:sz="0" w:space="0" w:color="auto"/>
        <w:right w:val="none" w:sz="0" w:space="0" w:color="auto"/>
      </w:divBdr>
    </w:div>
    <w:div w:id="97913132">
      <w:bodyDiv w:val="1"/>
      <w:marLeft w:val="0"/>
      <w:marRight w:val="0"/>
      <w:marTop w:val="0"/>
      <w:marBottom w:val="0"/>
      <w:divBdr>
        <w:top w:val="none" w:sz="0" w:space="0" w:color="auto"/>
        <w:left w:val="none" w:sz="0" w:space="0" w:color="auto"/>
        <w:bottom w:val="none" w:sz="0" w:space="0" w:color="auto"/>
        <w:right w:val="none" w:sz="0" w:space="0" w:color="auto"/>
      </w:divBdr>
    </w:div>
    <w:div w:id="98183549">
      <w:bodyDiv w:val="1"/>
      <w:marLeft w:val="0"/>
      <w:marRight w:val="0"/>
      <w:marTop w:val="0"/>
      <w:marBottom w:val="0"/>
      <w:divBdr>
        <w:top w:val="none" w:sz="0" w:space="0" w:color="auto"/>
        <w:left w:val="none" w:sz="0" w:space="0" w:color="auto"/>
        <w:bottom w:val="none" w:sz="0" w:space="0" w:color="auto"/>
        <w:right w:val="none" w:sz="0" w:space="0" w:color="auto"/>
      </w:divBdr>
    </w:div>
    <w:div w:id="98332214">
      <w:bodyDiv w:val="1"/>
      <w:marLeft w:val="0"/>
      <w:marRight w:val="0"/>
      <w:marTop w:val="0"/>
      <w:marBottom w:val="0"/>
      <w:divBdr>
        <w:top w:val="none" w:sz="0" w:space="0" w:color="auto"/>
        <w:left w:val="none" w:sz="0" w:space="0" w:color="auto"/>
        <w:bottom w:val="none" w:sz="0" w:space="0" w:color="auto"/>
        <w:right w:val="none" w:sz="0" w:space="0" w:color="auto"/>
      </w:divBdr>
    </w:div>
    <w:div w:id="98450612">
      <w:bodyDiv w:val="1"/>
      <w:marLeft w:val="0"/>
      <w:marRight w:val="0"/>
      <w:marTop w:val="0"/>
      <w:marBottom w:val="0"/>
      <w:divBdr>
        <w:top w:val="none" w:sz="0" w:space="0" w:color="auto"/>
        <w:left w:val="none" w:sz="0" w:space="0" w:color="auto"/>
        <w:bottom w:val="none" w:sz="0" w:space="0" w:color="auto"/>
        <w:right w:val="none" w:sz="0" w:space="0" w:color="auto"/>
      </w:divBdr>
    </w:div>
    <w:div w:id="98453131">
      <w:bodyDiv w:val="1"/>
      <w:marLeft w:val="0"/>
      <w:marRight w:val="0"/>
      <w:marTop w:val="0"/>
      <w:marBottom w:val="0"/>
      <w:divBdr>
        <w:top w:val="none" w:sz="0" w:space="0" w:color="auto"/>
        <w:left w:val="none" w:sz="0" w:space="0" w:color="auto"/>
        <w:bottom w:val="none" w:sz="0" w:space="0" w:color="auto"/>
        <w:right w:val="none" w:sz="0" w:space="0" w:color="auto"/>
      </w:divBdr>
    </w:div>
    <w:div w:id="98530702">
      <w:bodyDiv w:val="1"/>
      <w:marLeft w:val="0"/>
      <w:marRight w:val="0"/>
      <w:marTop w:val="0"/>
      <w:marBottom w:val="0"/>
      <w:divBdr>
        <w:top w:val="none" w:sz="0" w:space="0" w:color="auto"/>
        <w:left w:val="none" w:sz="0" w:space="0" w:color="auto"/>
        <w:bottom w:val="none" w:sz="0" w:space="0" w:color="auto"/>
        <w:right w:val="none" w:sz="0" w:space="0" w:color="auto"/>
      </w:divBdr>
    </w:div>
    <w:div w:id="98765310">
      <w:bodyDiv w:val="1"/>
      <w:marLeft w:val="0"/>
      <w:marRight w:val="0"/>
      <w:marTop w:val="0"/>
      <w:marBottom w:val="0"/>
      <w:divBdr>
        <w:top w:val="none" w:sz="0" w:space="0" w:color="auto"/>
        <w:left w:val="none" w:sz="0" w:space="0" w:color="auto"/>
        <w:bottom w:val="none" w:sz="0" w:space="0" w:color="auto"/>
        <w:right w:val="none" w:sz="0" w:space="0" w:color="auto"/>
      </w:divBdr>
    </w:div>
    <w:div w:id="99178902">
      <w:bodyDiv w:val="1"/>
      <w:marLeft w:val="0"/>
      <w:marRight w:val="0"/>
      <w:marTop w:val="0"/>
      <w:marBottom w:val="0"/>
      <w:divBdr>
        <w:top w:val="none" w:sz="0" w:space="0" w:color="auto"/>
        <w:left w:val="none" w:sz="0" w:space="0" w:color="auto"/>
        <w:bottom w:val="none" w:sz="0" w:space="0" w:color="auto"/>
        <w:right w:val="none" w:sz="0" w:space="0" w:color="auto"/>
      </w:divBdr>
    </w:div>
    <w:div w:id="100103305">
      <w:bodyDiv w:val="1"/>
      <w:marLeft w:val="0"/>
      <w:marRight w:val="0"/>
      <w:marTop w:val="0"/>
      <w:marBottom w:val="0"/>
      <w:divBdr>
        <w:top w:val="none" w:sz="0" w:space="0" w:color="auto"/>
        <w:left w:val="none" w:sz="0" w:space="0" w:color="auto"/>
        <w:bottom w:val="none" w:sz="0" w:space="0" w:color="auto"/>
        <w:right w:val="none" w:sz="0" w:space="0" w:color="auto"/>
      </w:divBdr>
    </w:div>
    <w:div w:id="101532034">
      <w:bodyDiv w:val="1"/>
      <w:marLeft w:val="0"/>
      <w:marRight w:val="0"/>
      <w:marTop w:val="0"/>
      <w:marBottom w:val="0"/>
      <w:divBdr>
        <w:top w:val="none" w:sz="0" w:space="0" w:color="auto"/>
        <w:left w:val="none" w:sz="0" w:space="0" w:color="auto"/>
        <w:bottom w:val="none" w:sz="0" w:space="0" w:color="auto"/>
        <w:right w:val="none" w:sz="0" w:space="0" w:color="auto"/>
      </w:divBdr>
    </w:div>
    <w:div w:id="101924469">
      <w:bodyDiv w:val="1"/>
      <w:marLeft w:val="0"/>
      <w:marRight w:val="0"/>
      <w:marTop w:val="0"/>
      <w:marBottom w:val="0"/>
      <w:divBdr>
        <w:top w:val="none" w:sz="0" w:space="0" w:color="auto"/>
        <w:left w:val="none" w:sz="0" w:space="0" w:color="auto"/>
        <w:bottom w:val="none" w:sz="0" w:space="0" w:color="auto"/>
        <w:right w:val="none" w:sz="0" w:space="0" w:color="auto"/>
      </w:divBdr>
    </w:div>
    <w:div w:id="102307625">
      <w:bodyDiv w:val="1"/>
      <w:marLeft w:val="0"/>
      <w:marRight w:val="0"/>
      <w:marTop w:val="0"/>
      <w:marBottom w:val="0"/>
      <w:divBdr>
        <w:top w:val="none" w:sz="0" w:space="0" w:color="auto"/>
        <w:left w:val="none" w:sz="0" w:space="0" w:color="auto"/>
        <w:bottom w:val="none" w:sz="0" w:space="0" w:color="auto"/>
        <w:right w:val="none" w:sz="0" w:space="0" w:color="auto"/>
      </w:divBdr>
    </w:div>
    <w:div w:id="102968578">
      <w:bodyDiv w:val="1"/>
      <w:marLeft w:val="0"/>
      <w:marRight w:val="0"/>
      <w:marTop w:val="0"/>
      <w:marBottom w:val="0"/>
      <w:divBdr>
        <w:top w:val="none" w:sz="0" w:space="0" w:color="auto"/>
        <w:left w:val="none" w:sz="0" w:space="0" w:color="auto"/>
        <w:bottom w:val="none" w:sz="0" w:space="0" w:color="auto"/>
        <w:right w:val="none" w:sz="0" w:space="0" w:color="auto"/>
      </w:divBdr>
    </w:div>
    <w:div w:id="103035372">
      <w:bodyDiv w:val="1"/>
      <w:marLeft w:val="0"/>
      <w:marRight w:val="0"/>
      <w:marTop w:val="0"/>
      <w:marBottom w:val="0"/>
      <w:divBdr>
        <w:top w:val="none" w:sz="0" w:space="0" w:color="auto"/>
        <w:left w:val="none" w:sz="0" w:space="0" w:color="auto"/>
        <w:bottom w:val="none" w:sz="0" w:space="0" w:color="auto"/>
        <w:right w:val="none" w:sz="0" w:space="0" w:color="auto"/>
      </w:divBdr>
    </w:div>
    <w:div w:id="103234294">
      <w:bodyDiv w:val="1"/>
      <w:marLeft w:val="0"/>
      <w:marRight w:val="0"/>
      <w:marTop w:val="0"/>
      <w:marBottom w:val="0"/>
      <w:divBdr>
        <w:top w:val="none" w:sz="0" w:space="0" w:color="auto"/>
        <w:left w:val="none" w:sz="0" w:space="0" w:color="auto"/>
        <w:bottom w:val="none" w:sz="0" w:space="0" w:color="auto"/>
        <w:right w:val="none" w:sz="0" w:space="0" w:color="auto"/>
      </w:divBdr>
    </w:div>
    <w:div w:id="103309079">
      <w:bodyDiv w:val="1"/>
      <w:marLeft w:val="0"/>
      <w:marRight w:val="0"/>
      <w:marTop w:val="0"/>
      <w:marBottom w:val="0"/>
      <w:divBdr>
        <w:top w:val="none" w:sz="0" w:space="0" w:color="auto"/>
        <w:left w:val="none" w:sz="0" w:space="0" w:color="auto"/>
        <w:bottom w:val="none" w:sz="0" w:space="0" w:color="auto"/>
        <w:right w:val="none" w:sz="0" w:space="0" w:color="auto"/>
      </w:divBdr>
    </w:div>
    <w:div w:id="103618363">
      <w:bodyDiv w:val="1"/>
      <w:marLeft w:val="0"/>
      <w:marRight w:val="0"/>
      <w:marTop w:val="0"/>
      <w:marBottom w:val="0"/>
      <w:divBdr>
        <w:top w:val="none" w:sz="0" w:space="0" w:color="auto"/>
        <w:left w:val="none" w:sz="0" w:space="0" w:color="auto"/>
        <w:bottom w:val="none" w:sz="0" w:space="0" w:color="auto"/>
        <w:right w:val="none" w:sz="0" w:space="0" w:color="auto"/>
      </w:divBdr>
    </w:div>
    <w:div w:id="104156964">
      <w:bodyDiv w:val="1"/>
      <w:marLeft w:val="0"/>
      <w:marRight w:val="0"/>
      <w:marTop w:val="0"/>
      <w:marBottom w:val="0"/>
      <w:divBdr>
        <w:top w:val="none" w:sz="0" w:space="0" w:color="auto"/>
        <w:left w:val="none" w:sz="0" w:space="0" w:color="auto"/>
        <w:bottom w:val="none" w:sz="0" w:space="0" w:color="auto"/>
        <w:right w:val="none" w:sz="0" w:space="0" w:color="auto"/>
      </w:divBdr>
    </w:div>
    <w:div w:id="104203611">
      <w:bodyDiv w:val="1"/>
      <w:marLeft w:val="0"/>
      <w:marRight w:val="0"/>
      <w:marTop w:val="0"/>
      <w:marBottom w:val="0"/>
      <w:divBdr>
        <w:top w:val="none" w:sz="0" w:space="0" w:color="auto"/>
        <w:left w:val="none" w:sz="0" w:space="0" w:color="auto"/>
        <w:bottom w:val="none" w:sz="0" w:space="0" w:color="auto"/>
        <w:right w:val="none" w:sz="0" w:space="0" w:color="auto"/>
      </w:divBdr>
    </w:div>
    <w:div w:id="104885566">
      <w:bodyDiv w:val="1"/>
      <w:marLeft w:val="0"/>
      <w:marRight w:val="0"/>
      <w:marTop w:val="0"/>
      <w:marBottom w:val="0"/>
      <w:divBdr>
        <w:top w:val="none" w:sz="0" w:space="0" w:color="auto"/>
        <w:left w:val="none" w:sz="0" w:space="0" w:color="auto"/>
        <w:bottom w:val="none" w:sz="0" w:space="0" w:color="auto"/>
        <w:right w:val="none" w:sz="0" w:space="0" w:color="auto"/>
      </w:divBdr>
    </w:div>
    <w:div w:id="105276423">
      <w:bodyDiv w:val="1"/>
      <w:marLeft w:val="0"/>
      <w:marRight w:val="0"/>
      <w:marTop w:val="0"/>
      <w:marBottom w:val="0"/>
      <w:divBdr>
        <w:top w:val="none" w:sz="0" w:space="0" w:color="auto"/>
        <w:left w:val="none" w:sz="0" w:space="0" w:color="auto"/>
        <w:bottom w:val="none" w:sz="0" w:space="0" w:color="auto"/>
        <w:right w:val="none" w:sz="0" w:space="0" w:color="auto"/>
      </w:divBdr>
    </w:div>
    <w:div w:id="106430988">
      <w:bodyDiv w:val="1"/>
      <w:marLeft w:val="0"/>
      <w:marRight w:val="0"/>
      <w:marTop w:val="0"/>
      <w:marBottom w:val="0"/>
      <w:divBdr>
        <w:top w:val="none" w:sz="0" w:space="0" w:color="auto"/>
        <w:left w:val="none" w:sz="0" w:space="0" w:color="auto"/>
        <w:bottom w:val="none" w:sz="0" w:space="0" w:color="auto"/>
        <w:right w:val="none" w:sz="0" w:space="0" w:color="auto"/>
      </w:divBdr>
    </w:div>
    <w:div w:id="106589289">
      <w:bodyDiv w:val="1"/>
      <w:marLeft w:val="0"/>
      <w:marRight w:val="0"/>
      <w:marTop w:val="0"/>
      <w:marBottom w:val="0"/>
      <w:divBdr>
        <w:top w:val="none" w:sz="0" w:space="0" w:color="auto"/>
        <w:left w:val="none" w:sz="0" w:space="0" w:color="auto"/>
        <w:bottom w:val="none" w:sz="0" w:space="0" w:color="auto"/>
        <w:right w:val="none" w:sz="0" w:space="0" w:color="auto"/>
      </w:divBdr>
    </w:div>
    <w:div w:id="106967191">
      <w:bodyDiv w:val="1"/>
      <w:marLeft w:val="0"/>
      <w:marRight w:val="0"/>
      <w:marTop w:val="0"/>
      <w:marBottom w:val="0"/>
      <w:divBdr>
        <w:top w:val="none" w:sz="0" w:space="0" w:color="auto"/>
        <w:left w:val="none" w:sz="0" w:space="0" w:color="auto"/>
        <w:bottom w:val="none" w:sz="0" w:space="0" w:color="auto"/>
        <w:right w:val="none" w:sz="0" w:space="0" w:color="auto"/>
      </w:divBdr>
    </w:div>
    <w:div w:id="107167827">
      <w:bodyDiv w:val="1"/>
      <w:marLeft w:val="0"/>
      <w:marRight w:val="0"/>
      <w:marTop w:val="0"/>
      <w:marBottom w:val="0"/>
      <w:divBdr>
        <w:top w:val="none" w:sz="0" w:space="0" w:color="auto"/>
        <w:left w:val="none" w:sz="0" w:space="0" w:color="auto"/>
        <w:bottom w:val="none" w:sz="0" w:space="0" w:color="auto"/>
        <w:right w:val="none" w:sz="0" w:space="0" w:color="auto"/>
      </w:divBdr>
    </w:div>
    <w:div w:id="107244337">
      <w:bodyDiv w:val="1"/>
      <w:marLeft w:val="0"/>
      <w:marRight w:val="0"/>
      <w:marTop w:val="0"/>
      <w:marBottom w:val="0"/>
      <w:divBdr>
        <w:top w:val="none" w:sz="0" w:space="0" w:color="auto"/>
        <w:left w:val="none" w:sz="0" w:space="0" w:color="auto"/>
        <w:bottom w:val="none" w:sz="0" w:space="0" w:color="auto"/>
        <w:right w:val="none" w:sz="0" w:space="0" w:color="auto"/>
      </w:divBdr>
    </w:div>
    <w:div w:id="107437343">
      <w:bodyDiv w:val="1"/>
      <w:marLeft w:val="0"/>
      <w:marRight w:val="0"/>
      <w:marTop w:val="0"/>
      <w:marBottom w:val="0"/>
      <w:divBdr>
        <w:top w:val="none" w:sz="0" w:space="0" w:color="auto"/>
        <w:left w:val="none" w:sz="0" w:space="0" w:color="auto"/>
        <w:bottom w:val="none" w:sz="0" w:space="0" w:color="auto"/>
        <w:right w:val="none" w:sz="0" w:space="0" w:color="auto"/>
      </w:divBdr>
    </w:div>
    <w:div w:id="107897017">
      <w:bodyDiv w:val="1"/>
      <w:marLeft w:val="0"/>
      <w:marRight w:val="0"/>
      <w:marTop w:val="0"/>
      <w:marBottom w:val="0"/>
      <w:divBdr>
        <w:top w:val="none" w:sz="0" w:space="0" w:color="auto"/>
        <w:left w:val="none" w:sz="0" w:space="0" w:color="auto"/>
        <w:bottom w:val="none" w:sz="0" w:space="0" w:color="auto"/>
        <w:right w:val="none" w:sz="0" w:space="0" w:color="auto"/>
      </w:divBdr>
    </w:div>
    <w:div w:id="108671866">
      <w:bodyDiv w:val="1"/>
      <w:marLeft w:val="0"/>
      <w:marRight w:val="0"/>
      <w:marTop w:val="0"/>
      <w:marBottom w:val="0"/>
      <w:divBdr>
        <w:top w:val="none" w:sz="0" w:space="0" w:color="auto"/>
        <w:left w:val="none" w:sz="0" w:space="0" w:color="auto"/>
        <w:bottom w:val="none" w:sz="0" w:space="0" w:color="auto"/>
        <w:right w:val="none" w:sz="0" w:space="0" w:color="auto"/>
      </w:divBdr>
    </w:div>
    <w:div w:id="109589699">
      <w:bodyDiv w:val="1"/>
      <w:marLeft w:val="0"/>
      <w:marRight w:val="0"/>
      <w:marTop w:val="0"/>
      <w:marBottom w:val="0"/>
      <w:divBdr>
        <w:top w:val="none" w:sz="0" w:space="0" w:color="auto"/>
        <w:left w:val="none" w:sz="0" w:space="0" w:color="auto"/>
        <w:bottom w:val="none" w:sz="0" w:space="0" w:color="auto"/>
        <w:right w:val="none" w:sz="0" w:space="0" w:color="auto"/>
      </w:divBdr>
    </w:div>
    <w:div w:id="110907141">
      <w:bodyDiv w:val="1"/>
      <w:marLeft w:val="0"/>
      <w:marRight w:val="0"/>
      <w:marTop w:val="0"/>
      <w:marBottom w:val="0"/>
      <w:divBdr>
        <w:top w:val="none" w:sz="0" w:space="0" w:color="auto"/>
        <w:left w:val="none" w:sz="0" w:space="0" w:color="auto"/>
        <w:bottom w:val="none" w:sz="0" w:space="0" w:color="auto"/>
        <w:right w:val="none" w:sz="0" w:space="0" w:color="auto"/>
      </w:divBdr>
    </w:div>
    <w:div w:id="112287546">
      <w:bodyDiv w:val="1"/>
      <w:marLeft w:val="0"/>
      <w:marRight w:val="0"/>
      <w:marTop w:val="0"/>
      <w:marBottom w:val="0"/>
      <w:divBdr>
        <w:top w:val="none" w:sz="0" w:space="0" w:color="auto"/>
        <w:left w:val="none" w:sz="0" w:space="0" w:color="auto"/>
        <w:bottom w:val="none" w:sz="0" w:space="0" w:color="auto"/>
        <w:right w:val="none" w:sz="0" w:space="0" w:color="auto"/>
      </w:divBdr>
    </w:div>
    <w:div w:id="112290388">
      <w:bodyDiv w:val="1"/>
      <w:marLeft w:val="0"/>
      <w:marRight w:val="0"/>
      <w:marTop w:val="0"/>
      <w:marBottom w:val="0"/>
      <w:divBdr>
        <w:top w:val="none" w:sz="0" w:space="0" w:color="auto"/>
        <w:left w:val="none" w:sz="0" w:space="0" w:color="auto"/>
        <w:bottom w:val="none" w:sz="0" w:space="0" w:color="auto"/>
        <w:right w:val="none" w:sz="0" w:space="0" w:color="auto"/>
      </w:divBdr>
      <w:divsChild>
        <w:div w:id="854811109">
          <w:marLeft w:val="0"/>
          <w:marRight w:val="0"/>
          <w:marTop w:val="0"/>
          <w:marBottom w:val="0"/>
          <w:divBdr>
            <w:top w:val="none" w:sz="0" w:space="0" w:color="auto"/>
            <w:left w:val="none" w:sz="0" w:space="0" w:color="auto"/>
            <w:bottom w:val="none" w:sz="0" w:space="0" w:color="auto"/>
            <w:right w:val="none" w:sz="0" w:space="0" w:color="auto"/>
          </w:divBdr>
        </w:div>
        <w:div w:id="978727603">
          <w:marLeft w:val="0"/>
          <w:marRight w:val="0"/>
          <w:marTop w:val="0"/>
          <w:marBottom w:val="0"/>
          <w:divBdr>
            <w:top w:val="none" w:sz="0" w:space="0" w:color="auto"/>
            <w:left w:val="none" w:sz="0" w:space="0" w:color="auto"/>
            <w:bottom w:val="none" w:sz="0" w:space="0" w:color="auto"/>
            <w:right w:val="none" w:sz="0" w:space="0" w:color="auto"/>
          </w:divBdr>
        </w:div>
      </w:divsChild>
    </w:div>
    <w:div w:id="112361280">
      <w:bodyDiv w:val="1"/>
      <w:marLeft w:val="0"/>
      <w:marRight w:val="0"/>
      <w:marTop w:val="0"/>
      <w:marBottom w:val="0"/>
      <w:divBdr>
        <w:top w:val="none" w:sz="0" w:space="0" w:color="auto"/>
        <w:left w:val="none" w:sz="0" w:space="0" w:color="auto"/>
        <w:bottom w:val="none" w:sz="0" w:space="0" w:color="auto"/>
        <w:right w:val="none" w:sz="0" w:space="0" w:color="auto"/>
      </w:divBdr>
    </w:div>
    <w:div w:id="112601274">
      <w:bodyDiv w:val="1"/>
      <w:marLeft w:val="0"/>
      <w:marRight w:val="0"/>
      <w:marTop w:val="0"/>
      <w:marBottom w:val="0"/>
      <w:divBdr>
        <w:top w:val="none" w:sz="0" w:space="0" w:color="auto"/>
        <w:left w:val="none" w:sz="0" w:space="0" w:color="auto"/>
        <w:bottom w:val="none" w:sz="0" w:space="0" w:color="auto"/>
        <w:right w:val="none" w:sz="0" w:space="0" w:color="auto"/>
      </w:divBdr>
    </w:div>
    <w:div w:id="112985298">
      <w:bodyDiv w:val="1"/>
      <w:marLeft w:val="0"/>
      <w:marRight w:val="0"/>
      <w:marTop w:val="0"/>
      <w:marBottom w:val="0"/>
      <w:divBdr>
        <w:top w:val="none" w:sz="0" w:space="0" w:color="auto"/>
        <w:left w:val="none" w:sz="0" w:space="0" w:color="auto"/>
        <w:bottom w:val="none" w:sz="0" w:space="0" w:color="auto"/>
        <w:right w:val="none" w:sz="0" w:space="0" w:color="auto"/>
      </w:divBdr>
    </w:div>
    <w:div w:id="113210409">
      <w:bodyDiv w:val="1"/>
      <w:marLeft w:val="0"/>
      <w:marRight w:val="0"/>
      <w:marTop w:val="0"/>
      <w:marBottom w:val="0"/>
      <w:divBdr>
        <w:top w:val="none" w:sz="0" w:space="0" w:color="auto"/>
        <w:left w:val="none" w:sz="0" w:space="0" w:color="auto"/>
        <w:bottom w:val="none" w:sz="0" w:space="0" w:color="auto"/>
        <w:right w:val="none" w:sz="0" w:space="0" w:color="auto"/>
      </w:divBdr>
    </w:div>
    <w:div w:id="113257374">
      <w:bodyDiv w:val="1"/>
      <w:marLeft w:val="0"/>
      <w:marRight w:val="0"/>
      <w:marTop w:val="0"/>
      <w:marBottom w:val="0"/>
      <w:divBdr>
        <w:top w:val="none" w:sz="0" w:space="0" w:color="auto"/>
        <w:left w:val="none" w:sz="0" w:space="0" w:color="auto"/>
        <w:bottom w:val="none" w:sz="0" w:space="0" w:color="auto"/>
        <w:right w:val="none" w:sz="0" w:space="0" w:color="auto"/>
      </w:divBdr>
    </w:div>
    <w:div w:id="113445897">
      <w:bodyDiv w:val="1"/>
      <w:marLeft w:val="0"/>
      <w:marRight w:val="0"/>
      <w:marTop w:val="0"/>
      <w:marBottom w:val="0"/>
      <w:divBdr>
        <w:top w:val="none" w:sz="0" w:space="0" w:color="auto"/>
        <w:left w:val="none" w:sz="0" w:space="0" w:color="auto"/>
        <w:bottom w:val="none" w:sz="0" w:space="0" w:color="auto"/>
        <w:right w:val="none" w:sz="0" w:space="0" w:color="auto"/>
      </w:divBdr>
    </w:div>
    <w:div w:id="115954401">
      <w:bodyDiv w:val="1"/>
      <w:marLeft w:val="0"/>
      <w:marRight w:val="0"/>
      <w:marTop w:val="0"/>
      <w:marBottom w:val="0"/>
      <w:divBdr>
        <w:top w:val="none" w:sz="0" w:space="0" w:color="auto"/>
        <w:left w:val="none" w:sz="0" w:space="0" w:color="auto"/>
        <w:bottom w:val="none" w:sz="0" w:space="0" w:color="auto"/>
        <w:right w:val="none" w:sz="0" w:space="0" w:color="auto"/>
      </w:divBdr>
    </w:div>
    <w:div w:id="117072725">
      <w:bodyDiv w:val="1"/>
      <w:marLeft w:val="0"/>
      <w:marRight w:val="0"/>
      <w:marTop w:val="0"/>
      <w:marBottom w:val="0"/>
      <w:divBdr>
        <w:top w:val="none" w:sz="0" w:space="0" w:color="auto"/>
        <w:left w:val="none" w:sz="0" w:space="0" w:color="auto"/>
        <w:bottom w:val="none" w:sz="0" w:space="0" w:color="auto"/>
        <w:right w:val="none" w:sz="0" w:space="0" w:color="auto"/>
      </w:divBdr>
    </w:div>
    <w:div w:id="118307916">
      <w:bodyDiv w:val="1"/>
      <w:marLeft w:val="0"/>
      <w:marRight w:val="0"/>
      <w:marTop w:val="0"/>
      <w:marBottom w:val="0"/>
      <w:divBdr>
        <w:top w:val="none" w:sz="0" w:space="0" w:color="auto"/>
        <w:left w:val="none" w:sz="0" w:space="0" w:color="auto"/>
        <w:bottom w:val="none" w:sz="0" w:space="0" w:color="auto"/>
        <w:right w:val="none" w:sz="0" w:space="0" w:color="auto"/>
      </w:divBdr>
    </w:div>
    <w:div w:id="118497238">
      <w:bodyDiv w:val="1"/>
      <w:marLeft w:val="0"/>
      <w:marRight w:val="0"/>
      <w:marTop w:val="0"/>
      <w:marBottom w:val="0"/>
      <w:divBdr>
        <w:top w:val="none" w:sz="0" w:space="0" w:color="auto"/>
        <w:left w:val="none" w:sz="0" w:space="0" w:color="auto"/>
        <w:bottom w:val="none" w:sz="0" w:space="0" w:color="auto"/>
        <w:right w:val="none" w:sz="0" w:space="0" w:color="auto"/>
      </w:divBdr>
    </w:div>
    <w:div w:id="119156036">
      <w:bodyDiv w:val="1"/>
      <w:marLeft w:val="0"/>
      <w:marRight w:val="0"/>
      <w:marTop w:val="0"/>
      <w:marBottom w:val="0"/>
      <w:divBdr>
        <w:top w:val="none" w:sz="0" w:space="0" w:color="auto"/>
        <w:left w:val="none" w:sz="0" w:space="0" w:color="auto"/>
        <w:bottom w:val="none" w:sz="0" w:space="0" w:color="auto"/>
        <w:right w:val="none" w:sz="0" w:space="0" w:color="auto"/>
      </w:divBdr>
    </w:div>
    <w:div w:id="119614147">
      <w:bodyDiv w:val="1"/>
      <w:marLeft w:val="0"/>
      <w:marRight w:val="0"/>
      <w:marTop w:val="0"/>
      <w:marBottom w:val="0"/>
      <w:divBdr>
        <w:top w:val="none" w:sz="0" w:space="0" w:color="auto"/>
        <w:left w:val="none" w:sz="0" w:space="0" w:color="auto"/>
        <w:bottom w:val="none" w:sz="0" w:space="0" w:color="auto"/>
        <w:right w:val="none" w:sz="0" w:space="0" w:color="auto"/>
      </w:divBdr>
    </w:div>
    <w:div w:id="120195993">
      <w:bodyDiv w:val="1"/>
      <w:marLeft w:val="0"/>
      <w:marRight w:val="0"/>
      <w:marTop w:val="0"/>
      <w:marBottom w:val="0"/>
      <w:divBdr>
        <w:top w:val="none" w:sz="0" w:space="0" w:color="auto"/>
        <w:left w:val="none" w:sz="0" w:space="0" w:color="auto"/>
        <w:bottom w:val="none" w:sz="0" w:space="0" w:color="auto"/>
        <w:right w:val="none" w:sz="0" w:space="0" w:color="auto"/>
      </w:divBdr>
    </w:div>
    <w:div w:id="120462597">
      <w:bodyDiv w:val="1"/>
      <w:marLeft w:val="0"/>
      <w:marRight w:val="0"/>
      <w:marTop w:val="0"/>
      <w:marBottom w:val="0"/>
      <w:divBdr>
        <w:top w:val="none" w:sz="0" w:space="0" w:color="auto"/>
        <w:left w:val="none" w:sz="0" w:space="0" w:color="auto"/>
        <w:bottom w:val="none" w:sz="0" w:space="0" w:color="auto"/>
        <w:right w:val="none" w:sz="0" w:space="0" w:color="auto"/>
      </w:divBdr>
    </w:div>
    <w:div w:id="120727307">
      <w:bodyDiv w:val="1"/>
      <w:marLeft w:val="0"/>
      <w:marRight w:val="0"/>
      <w:marTop w:val="0"/>
      <w:marBottom w:val="0"/>
      <w:divBdr>
        <w:top w:val="none" w:sz="0" w:space="0" w:color="auto"/>
        <w:left w:val="none" w:sz="0" w:space="0" w:color="auto"/>
        <w:bottom w:val="none" w:sz="0" w:space="0" w:color="auto"/>
        <w:right w:val="none" w:sz="0" w:space="0" w:color="auto"/>
      </w:divBdr>
    </w:div>
    <w:div w:id="120851086">
      <w:bodyDiv w:val="1"/>
      <w:marLeft w:val="0"/>
      <w:marRight w:val="0"/>
      <w:marTop w:val="0"/>
      <w:marBottom w:val="0"/>
      <w:divBdr>
        <w:top w:val="none" w:sz="0" w:space="0" w:color="auto"/>
        <w:left w:val="none" w:sz="0" w:space="0" w:color="auto"/>
        <w:bottom w:val="none" w:sz="0" w:space="0" w:color="auto"/>
        <w:right w:val="none" w:sz="0" w:space="0" w:color="auto"/>
      </w:divBdr>
    </w:div>
    <w:div w:id="121270785">
      <w:bodyDiv w:val="1"/>
      <w:marLeft w:val="0"/>
      <w:marRight w:val="0"/>
      <w:marTop w:val="0"/>
      <w:marBottom w:val="0"/>
      <w:divBdr>
        <w:top w:val="none" w:sz="0" w:space="0" w:color="auto"/>
        <w:left w:val="none" w:sz="0" w:space="0" w:color="auto"/>
        <w:bottom w:val="none" w:sz="0" w:space="0" w:color="auto"/>
        <w:right w:val="none" w:sz="0" w:space="0" w:color="auto"/>
      </w:divBdr>
    </w:div>
    <w:div w:id="121272545">
      <w:bodyDiv w:val="1"/>
      <w:marLeft w:val="0"/>
      <w:marRight w:val="0"/>
      <w:marTop w:val="0"/>
      <w:marBottom w:val="0"/>
      <w:divBdr>
        <w:top w:val="none" w:sz="0" w:space="0" w:color="auto"/>
        <w:left w:val="none" w:sz="0" w:space="0" w:color="auto"/>
        <w:bottom w:val="none" w:sz="0" w:space="0" w:color="auto"/>
        <w:right w:val="none" w:sz="0" w:space="0" w:color="auto"/>
      </w:divBdr>
    </w:div>
    <w:div w:id="121702674">
      <w:bodyDiv w:val="1"/>
      <w:marLeft w:val="0"/>
      <w:marRight w:val="0"/>
      <w:marTop w:val="0"/>
      <w:marBottom w:val="0"/>
      <w:divBdr>
        <w:top w:val="none" w:sz="0" w:space="0" w:color="auto"/>
        <w:left w:val="none" w:sz="0" w:space="0" w:color="auto"/>
        <w:bottom w:val="none" w:sz="0" w:space="0" w:color="auto"/>
        <w:right w:val="none" w:sz="0" w:space="0" w:color="auto"/>
      </w:divBdr>
    </w:div>
    <w:div w:id="121966749">
      <w:bodyDiv w:val="1"/>
      <w:marLeft w:val="0"/>
      <w:marRight w:val="0"/>
      <w:marTop w:val="0"/>
      <w:marBottom w:val="0"/>
      <w:divBdr>
        <w:top w:val="none" w:sz="0" w:space="0" w:color="auto"/>
        <w:left w:val="none" w:sz="0" w:space="0" w:color="auto"/>
        <w:bottom w:val="none" w:sz="0" w:space="0" w:color="auto"/>
        <w:right w:val="none" w:sz="0" w:space="0" w:color="auto"/>
      </w:divBdr>
    </w:div>
    <w:div w:id="122045448">
      <w:bodyDiv w:val="1"/>
      <w:marLeft w:val="0"/>
      <w:marRight w:val="0"/>
      <w:marTop w:val="0"/>
      <w:marBottom w:val="0"/>
      <w:divBdr>
        <w:top w:val="none" w:sz="0" w:space="0" w:color="auto"/>
        <w:left w:val="none" w:sz="0" w:space="0" w:color="auto"/>
        <w:bottom w:val="none" w:sz="0" w:space="0" w:color="auto"/>
        <w:right w:val="none" w:sz="0" w:space="0" w:color="auto"/>
      </w:divBdr>
    </w:div>
    <w:div w:id="122356096">
      <w:bodyDiv w:val="1"/>
      <w:marLeft w:val="0"/>
      <w:marRight w:val="0"/>
      <w:marTop w:val="0"/>
      <w:marBottom w:val="0"/>
      <w:divBdr>
        <w:top w:val="none" w:sz="0" w:space="0" w:color="auto"/>
        <w:left w:val="none" w:sz="0" w:space="0" w:color="auto"/>
        <w:bottom w:val="none" w:sz="0" w:space="0" w:color="auto"/>
        <w:right w:val="none" w:sz="0" w:space="0" w:color="auto"/>
      </w:divBdr>
    </w:div>
    <w:div w:id="122698145">
      <w:bodyDiv w:val="1"/>
      <w:marLeft w:val="0"/>
      <w:marRight w:val="0"/>
      <w:marTop w:val="0"/>
      <w:marBottom w:val="0"/>
      <w:divBdr>
        <w:top w:val="none" w:sz="0" w:space="0" w:color="auto"/>
        <w:left w:val="none" w:sz="0" w:space="0" w:color="auto"/>
        <w:bottom w:val="none" w:sz="0" w:space="0" w:color="auto"/>
        <w:right w:val="none" w:sz="0" w:space="0" w:color="auto"/>
      </w:divBdr>
    </w:div>
    <w:div w:id="123429004">
      <w:bodyDiv w:val="1"/>
      <w:marLeft w:val="0"/>
      <w:marRight w:val="0"/>
      <w:marTop w:val="0"/>
      <w:marBottom w:val="0"/>
      <w:divBdr>
        <w:top w:val="none" w:sz="0" w:space="0" w:color="auto"/>
        <w:left w:val="none" w:sz="0" w:space="0" w:color="auto"/>
        <w:bottom w:val="none" w:sz="0" w:space="0" w:color="auto"/>
        <w:right w:val="none" w:sz="0" w:space="0" w:color="auto"/>
      </w:divBdr>
    </w:div>
    <w:div w:id="123543117">
      <w:bodyDiv w:val="1"/>
      <w:marLeft w:val="0"/>
      <w:marRight w:val="0"/>
      <w:marTop w:val="0"/>
      <w:marBottom w:val="0"/>
      <w:divBdr>
        <w:top w:val="none" w:sz="0" w:space="0" w:color="auto"/>
        <w:left w:val="none" w:sz="0" w:space="0" w:color="auto"/>
        <w:bottom w:val="none" w:sz="0" w:space="0" w:color="auto"/>
        <w:right w:val="none" w:sz="0" w:space="0" w:color="auto"/>
      </w:divBdr>
    </w:div>
    <w:div w:id="123693196">
      <w:bodyDiv w:val="1"/>
      <w:marLeft w:val="0"/>
      <w:marRight w:val="0"/>
      <w:marTop w:val="0"/>
      <w:marBottom w:val="0"/>
      <w:divBdr>
        <w:top w:val="none" w:sz="0" w:space="0" w:color="auto"/>
        <w:left w:val="none" w:sz="0" w:space="0" w:color="auto"/>
        <w:bottom w:val="none" w:sz="0" w:space="0" w:color="auto"/>
        <w:right w:val="none" w:sz="0" w:space="0" w:color="auto"/>
      </w:divBdr>
    </w:div>
    <w:div w:id="124011433">
      <w:bodyDiv w:val="1"/>
      <w:marLeft w:val="0"/>
      <w:marRight w:val="0"/>
      <w:marTop w:val="0"/>
      <w:marBottom w:val="0"/>
      <w:divBdr>
        <w:top w:val="none" w:sz="0" w:space="0" w:color="auto"/>
        <w:left w:val="none" w:sz="0" w:space="0" w:color="auto"/>
        <w:bottom w:val="none" w:sz="0" w:space="0" w:color="auto"/>
        <w:right w:val="none" w:sz="0" w:space="0" w:color="auto"/>
      </w:divBdr>
    </w:div>
    <w:div w:id="124324409">
      <w:bodyDiv w:val="1"/>
      <w:marLeft w:val="0"/>
      <w:marRight w:val="0"/>
      <w:marTop w:val="0"/>
      <w:marBottom w:val="0"/>
      <w:divBdr>
        <w:top w:val="none" w:sz="0" w:space="0" w:color="auto"/>
        <w:left w:val="none" w:sz="0" w:space="0" w:color="auto"/>
        <w:bottom w:val="none" w:sz="0" w:space="0" w:color="auto"/>
        <w:right w:val="none" w:sz="0" w:space="0" w:color="auto"/>
      </w:divBdr>
    </w:div>
    <w:div w:id="124590783">
      <w:bodyDiv w:val="1"/>
      <w:marLeft w:val="0"/>
      <w:marRight w:val="0"/>
      <w:marTop w:val="0"/>
      <w:marBottom w:val="0"/>
      <w:divBdr>
        <w:top w:val="none" w:sz="0" w:space="0" w:color="auto"/>
        <w:left w:val="none" w:sz="0" w:space="0" w:color="auto"/>
        <w:bottom w:val="none" w:sz="0" w:space="0" w:color="auto"/>
        <w:right w:val="none" w:sz="0" w:space="0" w:color="auto"/>
      </w:divBdr>
    </w:div>
    <w:div w:id="125702496">
      <w:bodyDiv w:val="1"/>
      <w:marLeft w:val="0"/>
      <w:marRight w:val="0"/>
      <w:marTop w:val="0"/>
      <w:marBottom w:val="0"/>
      <w:divBdr>
        <w:top w:val="none" w:sz="0" w:space="0" w:color="auto"/>
        <w:left w:val="none" w:sz="0" w:space="0" w:color="auto"/>
        <w:bottom w:val="none" w:sz="0" w:space="0" w:color="auto"/>
        <w:right w:val="none" w:sz="0" w:space="0" w:color="auto"/>
      </w:divBdr>
    </w:div>
    <w:div w:id="126048785">
      <w:bodyDiv w:val="1"/>
      <w:marLeft w:val="0"/>
      <w:marRight w:val="0"/>
      <w:marTop w:val="0"/>
      <w:marBottom w:val="0"/>
      <w:divBdr>
        <w:top w:val="none" w:sz="0" w:space="0" w:color="auto"/>
        <w:left w:val="none" w:sz="0" w:space="0" w:color="auto"/>
        <w:bottom w:val="none" w:sz="0" w:space="0" w:color="auto"/>
        <w:right w:val="none" w:sz="0" w:space="0" w:color="auto"/>
      </w:divBdr>
    </w:div>
    <w:div w:id="126364936">
      <w:bodyDiv w:val="1"/>
      <w:marLeft w:val="0"/>
      <w:marRight w:val="0"/>
      <w:marTop w:val="0"/>
      <w:marBottom w:val="0"/>
      <w:divBdr>
        <w:top w:val="none" w:sz="0" w:space="0" w:color="auto"/>
        <w:left w:val="none" w:sz="0" w:space="0" w:color="auto"/>
        <w:bottom w:val="none" w:sz="0" w:space="0" w:color="auto"/>
        <w:right w:val="none" w:sz="0" w:space="0" w:color="auto"/>
      </w:divBdr>
    </w:div>
    <w:div w:id="127555799">
      <w:bodyDiv w:val="1"/>
      <w:marLeft w:val="0"/>
      <w:marRight w:val="0"/>
      <w:marTop w:val="0"/>
      <w:marBottom w:val="0"/>
      <w:divBdr>
        <w:top w:val="none" w:sz="0" w:space="0" w:color="auto"/>
        <w:left w:val="none" w:sz="0" w:space="0" w:color="auto"/>
        <w:bottom w:val="none" w:sz="0" w:space="0" w:color="auto"/>
        <w:right w:val="none" w:sz="0" w:space="0" w:color="auto"/>
      </w:divBdr>
    </w:div>
    <w:div w:id="127627818">
      <w:bodyDiv w:val="1"/>
      <w:marLeft w:val="0"/>
      <w:marRight w:val="0"/>
      <w:marTop w:val="0"/>
      <w:marBottom w:val="0"/>
      <w:divBdr>
        <w:top w:val="none" w:sz="0" w:space="0" w:color="auto"/>
        <w:left w:val="none" w:sz="0" w:space="0" w:color="auto"/>
        <w:bottom w:val="none" w:sz="0" w:space="0" w:color="auto"/>
        <w:right w:val="none" w:sz="0" w:space="0" w:color="auto"/>
      </w:divBdr>
    </w:div>
    <w:div w:id="127676047">
      <w:bodyDiv w:val="1"/>
      <w:marLeft w:val="0"/>
      <w:marRight w:val="0"/>
      <w:marTop w:val="0"/>
      <w:marBottom w:val="0"/>
      <w:divBdr>
        <w:top w:val="none" w:sz="0" w:space="0" w:color="auto"/>
        <w:left w:val="none" w:sz="0" w:space="0" w:color="auto"/>
        <w:bottom w:val="none" w:sz="0" w:space="0" w:color="auto"/>
        <w:right w:val="none" w:sz="0" w:space="0" w:color="auto"/>
      </w:divBdr>
    </w:div>
    <w:div w:id="128137970">
      <w:bodyDiv w:val="1"/>
      <w:marLeft w:val="0"/>
      <w:marRight w:val="0"/>
      <w:marTop w:val="0"/>
      <w:marBottom w:val="0"/>
      <w:divBdr>
        <w:top w:val="none" w:sz="0" w:space="0" w:color="auto"/>
        <w:left w:val="none" w:sz="0" w:space="0" w:color="auto"/>
        <w:bottom w:val="none" w:sz="0" w:space="0" w:color="auto"/>
        <w:right w:val="none" w:sz="0" w:space="0" w:color="auto"/>
      </w:divBdr>
    </w:div>
    <w:div w:id="128402840">
      <w:bodyDiv w:val="1"/>
      <w:marLeft w:val="0"/>
      <w:marRight w:val="0"/>
      <w:marTop w:val="0"/>
      <w:marBottom w:val="0"/>
      <w:divBdr>
        <w:top w:val="none" w:sz="0" w:space="0" w:color="auto"/>
        <w:left w:val="none" w:sz="0" w:space="0" w:color="auto"/>
        <w:bottom w:val="none" w:sz="0" w:space="0" w:color="auto"/>
        <w:right w:val="none" w:sz="0" w:space="0" w:color="auto"/>
      </w:divBdr>
    </w:div>
    <w:div w:id="128594803">
      <w:bodyDiv w:val="1"/>
      <w:marLeft w:val="0"/>
      <w:marRight w:val="0"/>
      <w:marTop w:val="0"/>
      <w:marBottom w:val="0"/>
      <w:divBdr>
        <w:top w:val="none" w:sz="0" w:space="0" w:color="auto"/>
        <w:left w:val="none" w:sz="0" w:space="0" w:color="auto"/>
        <w:bottom w:val="none" w:sz="0" w:space="0" w:color="auto"/>
        <w:right w:val="none" w:sz="0" w:space="0" w:color="auto"/>
      </w:divBdr>
    </w:div>
    <w:div w:id="129520719">
      <w:bodyDiv w:val="1"/>
      <w:marLeft w:val="0"/>
      <w:marRight w:val="0"/>
      <w:marTop w:val="0"/>
      <w:marBottom w:val="0"/>
      <w:divBdr>
        <w:top w:val="none" w:sz="0" w:space="0" w:color="auto"/>
        <w:left w:val="none" w:sz="0" w:space="0" w:color="auto"/>
        <w:bottom w:val="none" w:sz="0" w:space="0" w:color="auto"/>
        <w:right w:val="none" w:sz="0" w:space="0" w:color="auto"/>
      </w:divBdr>
    </w:div>
    <w:div w:id="130053663">
      <w:bodyDiv w:val="1"/>
      <w:marLeft w:val="0"/>
      <w:marRight w:val="0"/>
      <w:marTop w:val="0"/>
      <w:marBottom w:val="0"/>
      <w:divBdr>
        <w:top w:val="none" w:sz="0" w:space="0" w:color="auto"/>
        <w:left w:val="none" w:sz="0" w:space="0" w:color="auto"/>
        <w:bottom w:val="none" w:sz="0" w:space="0" w:color="auto"/>
        <w:right w:val="none" w:sz="0" w:space="0" w:color="auto"/>
      </w:divBdr>
    </w:div>
    <w:div w:id="131951767">
      <w:bodyDiv w:val="1"/>
      <w:marLeft w:val="0"/>
      <w:marRight w:val="0"/>
      <w:marTop w:val="0"/>
      <w:marBottom w:val="0"/>
      <w:divBdr>
        <w:top w:val="none" w:sz="0" w:space="0" w:color="auto"/>
        <w:left w:val="none" w:sz="0" w:space="0" w:color="auto"/>
        <w:bottom w:val="none" w:sz="0" w:space="0" w:color="auto"/>
        <w:right w:val="none" w:sz="0" w:space="0" w:color="auto"/>
      </w:divBdr>
    </w:div>
    <w:div w:id="132186775">
      <w:bodyDiv w:val="1"/>
      <w:marLeft w:val="0"/>
      <w:marRight w:val="0"/>
      <w:marTop w:val="0"/>
      <w:marBottom w:val="0"/>
      <w:divBdr>
        <w:top w:val="none" w:sz="0" w:space="0" w:color="auto"/>
        <w:left w:val="none" w:sz="0" w:space="0" w:color="auto"/>
        <w:bottom w:val="none" w:sz="0" w:space="0" w:color="auto"/>
        <w:right w:val="none" w:sz="0" w:space="0" w:color="auto"/>
      </w:divBdr>
    </w:div>
    <w:div w:id="132454649">
      <w:bodyDiv w:val="1"/>
      <w:marLeft w:val="0"/>
      <w:marRight w:val="0"/>
      <w:marTop w:val="0"/>
      <w:marBottom w:val="0"/>
      <w:divBdr>
        <w:top w:val="none" w:sz="0" w:space="0" w:color="auto"/>
        <w:left w:val="none" w:sz="0" w:space="0" w:color="auto"/>
        <w:bottom w:val="none" w:sz="0" w:space="0" w:color="auto"/>
        <w:right w:val="none" w:sz="0" w:space="0" w:color="auto"/>
      </w:divBdr>
    </w:div>
    <w:div w:id="133647664">
      <w:bodyDiv w:val="1"/>
      <w:marLeft w:val="0"/>
      <w:marRight w:val="0"/>
      <w:marTop w:val="0"/>
      <w:marBottom w:val="0"/>
      <w:divBdr>
        <w:top w:val="none" w:sz="0" w:space="0" w:color="auto"/>
        <w:left w:val="none" w:sz="0" w:space="0" w:color="auto"/>
        <w:bottom w:val="none" w:sz="0" w:space="0" w:color="auto"/>
        <w:right w:val="none" w:sz="0" w:space="0" w:color="auto"/>
      </w:divBdr>
    </w:div>
    <w:div w:id="135532163">
      <w:bodyDiv w:val="1"/>
      <w:marLeft w:val="0"/>
      <w:marRight w:val="0"/>
      <w:marTop w:val="0"/>
      <w:marBottom w:val="0"/>
      <w:divBdr>
        <w:top w:val="none" w:sz="0" w:space="0" w:color="auto"/>
        <w:left w:val="none" w:sz="0" w:space="0" w:color="auto"/>
        <w:bottom w:val="none" w:sz="0" w:space="0" w:color="auto"/>
        <w:right w:val="none" w:sz="0" w:space="0" w:color="auto"/>
      </w:divBdr>
    </w:div>
    <w:div w:id="136264219">
      <w:bodyDiv w:val="1"/>
      <w:marLeft w:val="0"/>
      <w:marRight w:val="0"/>
      <w:marTop w:val="0"/>
      <w:marBottom w:val="0"/>
      <w:divBdr>
        <w:top w:val="none" w:sz="0" w:space="0" w:color="auto"/>
        <w:left w:val="none" w:sz="0" w:space="0" w:color="auto"/>
        <w:bottom w:val="none" w:sz="0" w:space="0" w:color="auto"/>
        <w:right w:val="none" w:sz="0" w:space="0" w:color="auto"/>
      </w:divBdr>
    </w:div>
    <w:div w:id="136264534">
      <w:bodyDiv w:val="1"/>
      <w:marLeft w:val="0"/>
      <w:marRight w:val="0"/>
      <w:marTop w:val="0"/>
      <w:marBottom w:val="0"/>
      <w:divBdr>
        <w:top w:val="none" w:sz="0" w:space="0" w:color="auto"/>
        <w:left w:val="none" w:sz="0" w:space="0" w:color="auto"/>
        <w:bottom w:val="none" w:sz="0" w:space="0" w:color="auto"/>
        <w:right w:val="none" w:sz="0" w:space="0" w:color="auto"/>
      </w:divBdr>
    </w:div>
    <w:div w:id="136920865">
      <w:bodyDiv w:val="1"/>
      <w:marLeft w:val="0"/>
      <w:marRight w:val="0"/>
      <w:marTop w:val="0"/>
      <w:marBottom w:val="0"/>
      <w:divBdr>
        <w:top w:val="none" w:sz="0" w:space="0" w:color="auto"/>
        <w:left w:val="none" w:sz="0" w:space="0" w:color="auto"/>
        <w:bottom w:val="none" w:sz="0" w:space="0" w:color="auto"/>
        <w:right w:val="none" w:sz="0" w:space="0" w:color="auto"/>
      </w:divBdr>
    </w:div>
    <w:div w:id="137113587">
      <w:bodyDiv w:val="1"/>
      <w:marLeft w:val="0"/>
      <w:marRight w:val="0"/>
      <w:marTop w:val="0"/>
      <w:marBottom w:val="0"/>
      <w:divBdr>
        <w:top w:val="none" w:sz="0" w:space="0" w:color="auto"/>
        <w:left w:val="none" w:sz="0" w:space="0" w:color="auto"/>
        <w:bottom w:val="none" w:sz="0" w:space="0" w:color="auto"/>
        <w:right w:val="none" w:sz="0" w:space="0" w:color="auto"/>
      </w:divBdr>
    </w:div>
    <w:div w:id="137498080">
      <w:bodyDiv w:val="1"/>
      <w:marLeft w:val="0"/>
      <w:marRight w:val="0"/>
      <w:marTop w:val="0"/>
      <w:marBottom w:val="0"/>
      <w:divBdr>
        <w:top w:val="none" w:sz="0" w:space="0" w:color="auto"/>
        <w:left w:val="none" w:sz="0" w:space="0" w:color="auto"/>
        <w:bottom w:val="none" w:sz="0" w:space="0" w:color="auto"/>
        <w:right w:val="none" w:sz="0" w:space="0" w:color="auto"/>
      </w:divBdr>
    </w:div>
    <w:div w:id="137772032">
      <w:bodyDiv w:val="1"/>
      <w:marLeft w:val="0"/>
      <w:marRight w:val="0"/>
      <w:marTop w:val="0"/>
      <w:marBottom w:val="0"/>
      <w:divBdr>
        <w:top w:val="none" w:sz="0" w:space="0" w:color="auto"/>
        <w:left w:val="none" w:sz="0" w:space="0" w:color="auto"/>
        <w:bottom w:val="none" w:sz="0" w:space="0" w:color="auto"/>
        <w:right w:val="none" w:sz="0" w:space="0" w:color="auto"/>
      </w:divBdr>
    </w:div>
    <w:div w:id="137920132">
      <w:bodyDiv w:val="1"/>
      <w:marLeft w:val="0"/>
      <w:marRight w:val="0"/>
      <w:marTop w:val="0"/>
      <w:marBottom w:val="0"/>
      <w:divBdr>
        <w:top w:val="none" w:sz="0" w:space="0" w:color="auto"/>
        <w:left w:val="none" w:sz="0" w:space="0" w:color="auto"/>
        <w:bottom w:val="none" w:sz="0" w:space="0" w:color="auto"/>
        <w:right w:val="none" w:sz="0" w:space="0" w:color="auto"/>
      </w:divBdr>
    </w:div>
    <w:div w:id="138812590">
      <w:bodyDiv w:val="1"/>
      <w:marLeft w:val="0"/>
      <w:marRight w:val="0"/>
      <w:marTop w:val="0"/>
      <w:marBottom w:val="0"/>
      <w:divBdr>
        <w:top w:val="none" w:sz="0" w:space="0" w:color="auto"/>
        <w:left w:val="none" w:sz="0" w:space="0" w:color="auto"/>
        <w:bottom w:val="none" w:sz="0" w:space="0" w:color="auto"/>
        <w:right w:val="none" w:sz="0" w:space="0" w:color="auto"/>
      </w:divBdr>
    </w:div>
    <w:div w:id="138882138">
      <w:bodyDiv w:val="1"/>
      <w:marLeft w:val="0"/>
      <w:marRight w:val="0"/>
      <w:marTop w:val="0"/>
      <w:marBottom w:val="0"/>
      <w:divBdr>
        <w:top w:val="none" w:sz="0" w:space="0" w:color="auto"/>
        <w:left w:val="none" w:sz="0" w:space="0" w:color="auto"/>
        <w:bottom w:val="none" w:sz="0" w:space="0" w:color="auto"/>
        <w:right w:val="none" w:sz="0" w:space="0" w:color="auto"/>
      </w:divBdr>
    </w:div>
    <w:div w:id="139153733">
      <w:bodyDiv w:val="1"/>
      <w:marLeft w:val="0"/>
      <w:marRight w:val="0"/>
      <w:marTop w:val="0"/>
      <w:marBottom w:val="0"/>
      <w:divBdr>
        <w:top w:val="none" w:sz="0" w:space="0" w:color="auto"/>
        <w:left w:val="none" w:sz="0" w:space="0" w:color="auto"/>
        <w:bottom w:val="none" w:sz="0" w:space="0" w:color="auto"/>
        <w:right w:val="none" w:sz="0" w:space="0" w:color="auto"/>
      </w:divBdr>
    </w:div>
    <w:div w:id="140003493">
      <w:bodyDiv w:val="1"/>
      <w:marLeft w:val="0"/>
      <w:marRight w:val="0"/>
      <w:marTop w:val="0"/>
      <w:marBottom w:val="0"/>
      <w:divBdr>
        <w:top w:val="none" w:sz="0" w:space="0" w:color="auto"/>
        <w:left w:val="none" w:sz="0" w:space="0" w:color="auto"/>
        <w:bottom w:val="none" w:sz="0" w:space="0" w:color="auto"/>
        <w:right w:val="none" w:sz="0" w:space="0" w:color="auto"/>
      </w:divBdr>
    </w:div>
    <w:div w:id="141585648">
      <w:bodyDiv w:val="1"/>
      <w:marLeft w:val="0"/>
      <w:marRight w:val="0"/>
      <w:marTop w:val="0"/>
      <w:marBottom w:val="0"/>
      <w:divBdr>
        <w:top w:val="none" w:sz="0" w:space="0" w:color="auto"/>
        <w:left w:val="none" w:sz="0" w:space="0" w:color="auto"/>
        <w:bottom w:val="none" w:sz="0" w:space="0" w:color="auto"/>
        <w:right w:val="none" w:sz="0" w:space="0" w:color="auto"/>
      </w:divBdr>
    </w:div>
    <w:div w:id="143355477">
      <w:bodyDiv w:val="1"/>
      <w:marLeft w:val="0"/>
      <w:marRight w:val="0"/>
      <w:marTop w:val="0"/>
      <w:marBottom w:val="0"/>
      <w:divBdr>
        <w:top w:val="none" w:sz="0" w:space="0" w:color="auto"/>
        <w:left w:val="none" w:sz="0" w:space="0" w:color="auto"/>
        <w:bottom w:val="none" w:sz="0" w:space="0" w:color="auto"/>
        <w:right w:val="none" w:sz="0" w:space="0" w:color="auto"/>
      </w:divBdr>
    </w:div>
    <w:div w:id="143393189">
      <w:bodyDiv w:val="1"/>
      <w:marLeft w:val="0"/>
      <w:marRight w:val="0"/>
      <w:marTop w:val="0"/>
      <w:marBottom w:val="0"/>
      <w:divBdr>
        <w:top w:val="none" w:sz="0" w:space="0" w:color="auto"/>
        <w:left w:val="none" w:sz="0" w:space="0" w:color="auto"/>
        <w:bottom w:val="none" w:sz="0" w:space="0" w:color="auto"/>
        <w:right w:val="none" w:sz="0" w:space="0" w:color="auto"/>
      </w:divBdr>
    </w:div>
    <w:div w:id="143589585">
      <w:bodyDiv w:val="1"/>
      <w:marLeft w:val="0"/>
      <w:marRight w:val="0"/>
      <w:marTop w:val="0"/>
      <w:marBottom w:val="0"/>
      <w:divBdr>
        <w:top w:val="none" w:sz="0" w:space="0" w:color="auto"/>
        <w:left w:val="none" w:sz="0" w:space="0" w:color="auto"/>
        <w:bottom w:val="none" w:sz="0" w:space="0" w:color="auto"/>
        <w:right w:val="none" w:sz="0" w:space="0" w:color="auto"/>
      </w:divBdr>
    </w:div>
    <w:div w:id="144056369">
      <w:bodyDiv w:val="1"/>
      <w:marLeft w:val="0"/>
      <w:marRight w:val="0"/>
      <w:marTop w:val="0"/>
      <w:marBottom w:val="0"/>
      <w:divBdr>
        <w:top w:val="none" w:sz="0" w:space="0" w:color="auto"/>
        <w:left w:val="none" w:sz="0" w:space="0" w:color="auto"/>
        <w:bottom w:val="none" w:sz="0" w:space="0" w:color="auto"/>
        <w:right w:val="none" w:sz="0" w:space="0" w:color="auto"/>
      </w:divBdr>
    </w:div>
    <w:div w:id="144126873">
      <w:bodyDiv w:val="1"/>
      <w:marLeft w:val="0"/>
      <w:marRight w:val="0"/>
      <w:marTop w:val="0"/>
      <w:marBottom w:val="0"/>
      <w:divBdr>
        <w:top w:val="none" w:sz="0" w:space="0" w:color="auto"/>
        <w:left w:val="none" w:sz="0" w:space="0" w:color="auto"/>
        <w:bottom w:val="none" w:sz="0" w:space="0" w:color="auto"/>
        <w:right w:val="none" w:sz="0" w:space="0" w:color="auto"/>
      </w:divBdr>
    </w:div>
    <w:div w:id="145359753">
      <w:bodyDiv w:val="1"/>
      <w:marLeft w:val="0"/>
      <w:marRight w:val="0"/>
      <w:marTop w:val="0"/>
      <w:marBottom w:val="0"/>
      <w:divBdr>
        <w:top w:val="none" w:sz="0" w:space="0" w:color="auto"/>
        <w:left w:val="none" w:sz="0" w:space="0" w:color="auto"/>
        <w:bottom w:val="none" w:sz="0" w:space="0" w:color="auto"/>
        <w:right w:val="none" w:sz="0" w:space="0" w:color="auto"/>
      </w:divBdr>
    </w:div>
    <w:div w:id="145557464">
      <w:bodyDiv w:val="1"/>
      <w:marLeft w:val="0"/>
      <w:marRight w:val="0"/>
      <w:marTop w:val="0"/>
      <w:marBottom w:val="0"/>
      <w:divBdr>
        <w:top w:val="none" w:sz="0" w:space="0" w:color="auto"/>
        <w:left w:val="none" w:sz="0" w:space="0" w:color="auto"/>
        <w:bottom w:val="none" w:sz="0" w:space="0" w:color="auto"/>
        <w:right w:val="none" w:sz="0" w:space="0" w:color="auto"/>
      </w:divBdr>
    </w:div>
    <w:div w:id="146285310">
      <w:bodyDiv w:val="1"/>
      <w:marLeft w:val="0"/>
      <w:marRight w:val="0"/>
      <w:marTop w:val="0"/>
      <w:marBottom w:val="0"/>
      <w:divBdr>
        <w:top w:val="none" w:sz="0" w:space="0" w:color="auto"/>
        <w:left w:val="none" w:sz="0" w:space="0" w:color="auto"/>
        <w:bottom w:val="none" w:sz="0" w:space="0" w:color="auto"/>
        <w:right w:val="none" w:sz="0" w:space="0" w:color="auto"/>
      </w:divBdr>
    </w:div>
    <w:div w:id="146943323">
      <w:bodyDiv w:val="1"/>
      <w:marLeft w:val="0"/>
      <w:marRight w:val="0"/>
      <w:marTop w:val="0"/>
      <w:marBottom w:val="0"/>
      <w:divBdr>
        <w:top w:val="none" w:sz="0" w:space="0" w:color="auto"/>
        <w:left w:val="none" w:sz="0" w:space="0" w:color="auto"/>
        <w:bottom w:val="none" w:sz="0" w:space="0" w:color="auto"/>
        <w:right w:val="none" w:sz="0" w:space="0" w:color="auto"/>
      </w:divBdr>
    </w:div>
    <w:div w:id="147484383">
      <w:bodyDiv w:val="1"/>
      <w:marLeft w:val="0"/>
      <w:marRight w:val="0"/>
      <w:marTop w:val="0"/>
      <w:marBottom w:val="0"/>
      <w:divBdr>
        <w:top w:val="none" w:sz="0" w:space="0" w:color="auto"/>
        <w:left w:val="none" w:sz="0" w:space="0" w:color="auto"/>
        <w:bottom w:val="none" w:sz="0" w:space="0" w:color="auto"/>
        <w:right w:val="none" w:sz="0" w:space="0" w:color="auto"/>
      </w:divBdr>
    </w:div>
    <w:div w:id="147985486">
      <w:bodyDiv w:val="1"/>
      <w:marLeft w:val="0"/>
      <w:marRight w:val="0"/>
      <w:marTop w:val="0"/>
      <w:marBottom w:val="0"/>
      <w:divBdr>
        <w:top w:val="none" w:sz="0" w:space="0" w:color="auto"/>
        <w:left w:val="none" w:sz="0" w:space="0" w:color="auto"/>
        <w:bottom w:val="none" w:sz="0" w:space="0" w:color="auto"/>
        <w:right w:val="none" w:sz="0" w:space="0" w:color="auto"/>
      </w:divBdr>
    </w:div>
    <w:div w:id="148405535">
      <w:bodyDiv w:val="1"/>
      <w:marLeft w:val="0"/>
      <w:marRight w:val="0"/>
      <w:marTop w:val="0"/>
      <w:marBottom w:val="0"/>
      <w:divBdr>
        <w:top w:val="none" w:sz="0" w:space="0" w:color="auto"/>
        <w:left w:val="none" w:sz="0" w:space="0" w:color="auto"/>
        <w:bottom w:val="none" w:sz="0" w:space="0" w:color="auto"/>
        <w:right w:val="none" w:sz="0" w:space="0" w:color="auto"/>
      </w:divBdr>
    </w:div>
    <w:div w:id="148911821">
      <w:bodyDiv w:val="1"/>
      <w:marLeft w:val="0"/>
      <w:marRight w:val="0"/>
      <w:marTop w:val="0"/>
      <w:marBottom w:val="0"/>
      <w:divBdr>
        <w:top w:val="none" w:sz="0" w:space="0" w:color="auto"/>
        <w:left w:val="none" w:sz="0" w:space="0" w:color="auto"/>
        <w:bottom w:val="none" w:sz="0" w:space="0" w:color="auto"/>
        <w:right w:val="none" w:sz="0" w:space="0" w:color="auto"/>
      </w:divBdr>
    </w:div>
    <w:div w:id="150097406">
      <w:bodyDiv w:val="1"/>
      <w:marLeft w:val="0"/>
      <w:marRight w:val="0"/>
      <w:marTop w:val="0"/>
      <w:marBottom w:val="0"/>
      <w:divBdr>
        <w:top w:val="none" w:sz="0" w:space="0" w:color="auto"/>
        <w:left w:val="none" w:sz="0" w:space="0" w:color="auto"/>
        <w:bottom w:val="none" w:sz="0" w:space="0" w:color="auto"/>
        <w:right w:val="none" w:sz="0" w:space="0" w:color="auto"/>
      </w:divBdr>
    </w:div>
    <w:div w:id="150369525">
      <w:bodyDiv w:val="1"/>
      <w:marLeft w:val="0"/>
      <w:marRight w:val="0"/>
      <w:marTop w:val="0"/>
      <w:marBottom w:val="0"/>
      <w:divBdr>
        <w:top w:val="none" w:sz="0" w:space="0" w:color="auto"/>
        <w:left w:val="none" w:sz="0" w:space="0" w:color="auto"/>
        <w:bottom w:val="none" w:sz="0" w:space="0" w:color="auto"/>
        <w:right w:val="none" w:sz="0" w:space="0" w:color="auto"/>
      </w:divBdr>
    </w:div>
    <w:div w:id="150561641">
      <w:bodyDiv w:val="1"/>
      <w:marLeft w:val="0"/>
      <w:marRight w:val="0"/>
      <w:marTop w:val="0"/>
      <w:marBottom w:val="0"/>
      <w:divBdr>
        <w:top w:val="none" w:sz="0" w:space="0" w:color="auto"/>
        <w:left w:val="none" w:sz="0" w:space="0" w:color="auto"/>
        <w:bottom w:val="none" w:sz="0" w:space="0" w:color="auto"/>
        <w:right w:val="none" w:sz="0" w:space="0" w:color="auto"/>
      </w:divBdr>
    </w:div>
    <w:div w:id="150685677">
      <w:bodyDiv w:val="1"/>
      <w:marLeft w:val="0"/>
      <w:marRight w:val="0"/>
      <w:marTop w:val="0"/>
      <w:marBottom w:val="0"/>
      <w:divBdr>
        <w:top w:val="none" w:sz="0" w:space="0" w:color="auto"/>
        <w:left w:val="none" w:sz="0" w:space="0" w:color="auto"/>
        <w:bottom w:val="none" w:sz="0" w:space="0" w:color="auto"/>
        <w:right w:val="none" w:sz="0" w:space="0" w:color="auto"/>
      </w:divBdr>
    </w:div>
    <w:div w:id="150951238">
      <w:bodyDiv w:val="1"/>
      <w:marLeft w:val="0"/>
      <w:marRight w:val="0"/>
      <w:marTop w:val="0"/>
      <w:marBottom w:val="0"/>
      <w:divBdr>
        <w:top w:val="none" w:sz="0" w:space="0" w:color="auto"/>
        <w:left w:val="none" w:sz="0" w:space="0" w:color="auto"/>
        <w:bottom w:val="none" w:sz="0" w:space="0" w:color="auto"/>
        <w:right w:val="none" w:sz="0" w:space="0" w:color="auto"/>
      </w:divBdr>
    </w:div>
    <w:div w:id="151070094">
      <w:bodyDiv w:val="1"/>
      <w:marLeft w:val="0"/>
      <w:marRight w:val="0"/>
      <w:marTop w:val="0"/>
      <w:marBottom w:val="0"/>
      <w:divBdr>
        <w:top w:val="none" w:sz="0" w:space="0" w:color="auto"/>
        <w:left w:val="none" w:sz="0" w:space="0" w:color="auto"/>
        <w:bottom w:val="none" w:sz="0" w:space="0" w:color="auto"/>
        <w:right w:val="none" w:sz="0" w:space="0" w:color="auto"/>
      </w:divBdr>
    </w:div>
    <w:div w:id="151138955">
      <w:bodyDiv w:val="1"/>
      <w:marLeft w:val="0"/>
      <w:marRight w:val="0"/>
      <w:marTop w:val="0"/>
      <w:marBottom w:val="0"/>
      <w:divBdr>
        <w:top w:val="none" w:sz="0" w:space="0" w:color="auto"/>
        <w:left w:val="none" w:sz="0" w:space="0" w:color="auto"/>
        <w:bottom w:val="none" w:sz="0" w:space="0" w:color="auto"/>
        <w:right w:val="none" w:sz="0" w:space="0" w:color="auto"/>
      </w:divBdr>
    </w:div>
    <w:div w:id="151916943">
      <w:bodyDiv w:val="1"/>
      <w:marLeft w:val="0"/>
      <w:marRight w:val="0"/>
      <w:marTop w:val="0"/>
      <w:marBottom w:val="0"/>
      <w:divBdr>
        <w:top w:val="none" w:sz="0" w:space="0" w:color="auto"/>
        <w:left w:val="none" w:sz="0" w:space="0" w:color="auto"/>
        <w:bottom w:val="none" w:sz="0" w:space="0" w:color="auto"/>
        <w:right w:val="none" w:sz="0" w:space="0" w:color="auto"/>
      </w:divBdr>
    </w:div>
    <w:div w:id="152066956">
      <w:bodyDiv w:val="1"/>
      <w:marLeft w:val="0"/>
      <w:marRight w:val="0"/>
      <w:marTop w:val="0"/>
      <w:marBottom w:val="0"/>
      <w:divBdr>
        <w:top w:val="none" w:sz="0" w:space="0" w:color="auto"/>
        <w:left w:val="none" w:sz="0" w:space="0" w:color="auto"/>
        <w:bottom w:val="none" w:sz="0" w:space="0" w:color="auto"/>
        <w:right w:val="none" w:sz="0" w:space="0" w:color="auto"/>
      </w:divBdr>
    </w:div>
    <w:div w:id="152573104">
      <w:bodyDiv w:val="1"/>
      <w:marLeft w:val="0"/>
      <w:marRight w:val="0"/>
      <w:marTop w:val="0"/>
      <w:marBottom w:val="0"/>
      <w:divBdr>
        <w:top w:val="none" w:sz="0" w:space="0" w:color="auto"/>
        <w:left w:val="none" w:sz="0" w:space="0" w:color="auto"/>
        <w:bottom w:val="none" w:sz="0" w:space="0" w:color="auto"/>
        <w:right w:val="none" w:sz="0" w:space="0" w:color="auto"/>
      </w:divBdr>
    </w:div>
    <w:div w:id="152987760">
      <w:bodyDiv w:val="1"/>
      <w:marLeft w:val="0"/>
      <w:marRight w:val="0"/>
      <w:marTop w:val="0"/>
      <w:marBottom w:val="0"/>
      <w:divBdr>
        <w:top w:val="none" w:sz="0" w:space="0" w:color="auto"/>
        <w:left w:val="none" w:sz="0" w:space="0" w:color="auto"/>
        <w:bottom w:val="none" w:sz="0" w:space="0" w:color="auto"/>
        <w:right w:val="none" w:sz="0" w:space="0" w:color="auto"/>
      </w:divBdr>
    </w:div>
    <w:div w:id="153031440">
      <w:bodyDiv w:val="1"/>
      <w:marLeft w:val="0"/>
      <w:marRight w:val="0"/>
      <w:marTop w:val="0"/>
      <w:marBottom w:val="0"/>
      <w:divBdr>
        <w:top w:val="none" w:sz="0" w:space="0" w:color="auto"/>
        <w:left w:val="none" w:sz="0" w:space="0" w:color="auto"/>
        <w:bottom w:val="none" w:sz="0" w:space="0" w:color="auto"/>
        <w:right w:val="none" w:sz="0" w:space="0" w:color="auto"/>
      </w:divBdr>
    </w:div>
    <w:div w:id="153643884">
      <w:bodyDiv w:val="1"/>
      <w:marLeft w:val="0"/>
      <w:marRight w:val="0"/>
      <w:marTop w:val="0"/>
      <w:marBottom w:val="0"/>
      <w:divBdr>
        <w:top w:val="none" w:sz="0" w:space="0" w:color="auto"/>
        <w:left w:val="none" w:sz="0" w:space="0" w:color="auto"/>
        <w:bottom w:val="none" w:sz="0" w:space="0" w:color="auto"/>
        <w:right w:val="none" w:sz="0" w:space="0" w:color="auto"/>
      </w:divBdr>
    </w:div>
    <w:div w:id="154882566">
      <w:bodyDiv w:val="1"/>
      <w:marLeft w:val="0"/>
      <w:marRight w:val="0"/>
      <w:marTop w:val="0"/>
      <w:marBottom w:val="0"/>
      <w:divBdr>
        <w:top w:val="none" w:sz="0" w:space="0" w:color="auto"/>
        <w:left w:val="none" w:sz="0" w:space="0" w:color="auto"/>
        <w:bottom w:val="none" w:sz="0" w:space="0" w:color="auto"/>
        <w:right w:val="none" w:sz="0" w:space="0" w:color="auto"/>
      </w:divBdr>
    </w:div>
    <w:div w:id="155076100">
      <w:bodyDiv w:val="1"/>
      <w:marLeft w:val="0"/>
      <w:marRight w:val="0"/>
      <w:marTop w:val="0"/>
      <w:marBottom w:val="0"/>
      <w:divBdr>
        <w:top w:val="none" w:sz="0" w:space="0" w:color="auto"/>
        <w:left w:val="none" w:sz="0" w:space="0" w:color="auto"/>
        <w:bottom w:val="none" w:sz="0" w:space="0" w:color="auto"/>
        <w:right w:val="none" w:sz="0" w:space="0" w:color="auto"/>
      </w:divBdr>
    </w:div>
    <w:div w:id="155078642">
      <w:bodyDiv w:val="1"/>
      <w:marLeft w:val="0"/>
      <w:marRight w:val="0"/>
      <w:marTop w:val="0"/>
      <w:marBottom w:val="0"/>
      <w:divBdr>
        <w:top w:val="none" w:sz="0" w:space="0" w:color="auto"/>
        <w:left w:val="none" w:sz="0" w:space="0" w:color="auto"/>
        <w:bottom w:val="none" w:sz="0" w:space="0" w:color="auto"/>
        <w:right w:val="none" w:sz="0" w:space="0" w:color="auto"/>
      </w:divBdr>
    </w:div>
    <w:div w:id="155147224">
      <w:bodyDiv w:val="1"/>
      <w:marLeft w:val="0"/>
      <w:marRight w:val="0"/>
      <w:marTop w:val="0"/>
      <w:marBottom w:val="0"/>
      <w:divBdr>
        <w:top w:val="none" w:sz="0" w:space="0" w:color="auto"/>
        <w:left w:val="none" w:sz="0" w:space="0" w:color="auto"/>
        <w:bottom w:val="none" w:sz="0" w:space="0" w:color="auto"/>
        <w:right w:val="none" w:sz="0" w:space="0" w:color="auto"/>
      </w:divBdr>
    </w:div>
    <w:div w:id="155650578">
      <w:bodyDiv w:val="1"/>
      <w:marLeft w:val="0"/>
      <w:marRight w:val="0"/>
      <w:marTop w:val="0"/>
      <w:marBottom w:val="0"/>
      <w:divBdr>
        <w:top w:val="none" w:sz="0" w:space="0" w:color="auto"/>
        <w:left w:val="none" w:sz="0" w:space="0" w:color="auto"/>
        <w:bottom w:val="none" w:sz="0" w:space="0" w:color="auto"/>
        <w:right w:val="none" w:sz="0" w:space="0" w:color="auto"/>
      </w:divBdr>
    </w:div>
    <w:div w:id="156583275">
      <w:bodyDiv w:val="1"/>
      <w:marLeft w:val="0"/>
      <w:marRight w:val="0"/>
      <w:marTop w:val="0"/>
      <w:marBottom w:val="0"/>
      <w:divBdr>
        <w:top w:val="none" w:sz="0" w:space="0" w:color="auto"/>
        <w:left w:val="none" w:sz="0" w:space="0" w:color="auto"/>
        <w:bottom w:val="none" w:sz="0" w:space="0" w:color="auto"/>
        <w:right w:val="none" w:sz="0" w:space="0" w:color="auto"/>
      </w:divBdr>
    </w:div>
    <w:div w:id="156776316">
      <w:bodyDiv w:val="1"/>
      <w:marLeft w:val="0"/>
      <w:marRight w:val="0"/>
      <w:marTop w:val="0"/>
      <w:marBottom w:val="0"/>
      <w:divBdr>
        <w:top w:val="none" w:sz="0" w:space="0" w:color="auto"/>
        <w:left w:val="none" w:sz="0" w:space="0" w:color="auto"/>
        <w:bottom w:val="none" w:sz="0" w:space="0" w:color="auto"/>
        <w:right w:val="none" w:sz="0" w:space="0" w:color="auto"/>
      </w:divBdr>
    </w:div>
    <w:div w:id="157691813">
      <w:bodyDiv w:val="1"/>
      <w:marLeft w:val="0"/>
      <w:marRight w:val="0"/>
      <w:marTop w:val="0"/>
      <w:marBottom w:val="0"/>
      <w:divBdr>
        <w:top w:val="none" w:sz="0" w:space="0" w:color="auto"/>
        <w:left w:val="none" w:sz="0" w:space="0" w:color="auto"/>
        <w:bottom w:val="none" w:sz="0" w:space="0" w:color="auto"/>
        <w:right w:val="none" w:sz="0" w:space="0" w:color="auto"/>
      </w:divBdr>
    </w:div>
    <w:div w:id="158008864">
      <w:bodyDiv w:val="1"/>
      <w:marLeft w:val="0"/>
      <w:marRight w:val="0"/>
      <w:marTop w:val="0"/>
      <w:marBottom w:val="0"/>
      <w:divBdr>
        <w:top w:val="none" w:sz="0" w:space="0" w:color="auto"/>
        <w:left w:val="none" w:sz="0" w:space="0" w:color="auto"/>
        <w:bottom w:val="none" w:sz="0" w:space="0" w:color="auto"/>
        <w:right w:val="none" w:sz="0" w:space="0" w:color="auto"/>
      </w:divBdr>
    </w:div>
    <w:div w:id="161092244">
      <w:bodyDiv w:val="1"/>
      <w:marLeft w:val="0"/>
      <w:marRight w:val="0"/>
      <w:marTop w:val="0"/>
      <w:marBottom w:val="0"/>
      <w:divBdr>
        <w:top w:val="none" w:sz="0" w:space="0" w:color="auto"/>
        <w:left w:val="none" w:sz="0" w:space="0" w:color="auto"/>
        <w:bottom w:val="none" w:sz="0" w:space="0" w:color="auto"/>
        <w:right w:val="none" w:sz="0" w:space="0" w:color="auto"/>
      </w:divBdr>
    </w:div>
    <w:div w:id="162860320">
      <w:bodyDiv w:val="1"/>
      <w:marLeft w:val="0"/>
      <w:marRight w:val="0"/>
      <w:marTop w:val="0"/>
      <w:marBottom w:val="0"/>
      <w:divBdr>
        <w:top w:val="none" w:sz="0" w:space="0" w:color="auto"/>
        <w:left w:val="none" w:sz="0" w:space="0" w:color="auto"/>
        <w:bottom w:val="none" w:sz="0" w:space="0" w:color="auto"/>
        <w:right w:val="none" w:sz="0" w:space="0" w:color="auto"/>
      </w:divBdr>
    </w:div>
    <w:div w:id="163327582">
      <w:bodyDiv w:val="1"/>
      <w:marLeft w:val="0"/>
      <w:marRight w:val="0"/>
      <w:marTop w:val="0"/>
      <w:marBottom w:val="0"/>
      <w:divBdr>
        <w:top w:val="none" w:sz="0" w:space="0" w:color="auto"/>
        <w:left w:val="none" w:sz="0" w:space="0" w:color="auto"/>
        <w:bottom w:val="none" w:sz="0" w:space="0" w:color="auto"/>
        <w:right w:val="none" w:sz="0" w:space="0" w:color="auto"/>
      </w:divBdr>
    </w:div>
    <w:div w:id="164634057">
      <w:bodyDiv w:val="1"/>
      <w:marLeft w:val="0"/>
      <w:marRight w:val="0"/>
      <w:marTop w:val="0"/>
      <w:marBottom w:val="0"/>
      <w:divBdr>
        <w:top w:val="none" w:sz="0" w:space="0" w:color="auto"/>
        <w:left w:val="none" w:sz="0" w:space="0" w:color="auto"/>
        <w:bottom w:val="none" w:sz="0" w:space="0" w:color="auto"/>
        <w:right w:val="none" w:sz="0" w:space="0" w:color="auto"/>
      </w:divBdr>
    </w:div>
    <w:div w:id="165172079">
      <w:bodyDiv w:val="1"/>
      <w:marLeft w:val="0"/>
      <w:marRight w:val="0"/>
      <w:marTop w:val="0"/>
      <w:marBottom w:val="0"/>
      <w:divBdr>
        <w:top w:val="none" w:sz="0" w:space="0" w:color="auto"/>
        <w:left w:val="none" w:sz="0" w:space="0" w:color="auto"/>
        <w:bottom w:val="none" w:sz="0" w:space="0" w:color="auto"/>
        <w:right w:val="none" w:sz="0" w:space="0" w:color="auto"/>
      </w:divBdr>
    </w:div>
    <w:div w:id="166016762">
      <w:bodyDiv w:val="1"/>
      <w:marLeft w:val="0"/>
      <w:marRight w:val="0"/>
      <w:marTop w:val="0"/>
      <w:marBottom w:val="0"/>
      <w:divBdr>
        <w:top w:val="none" w:sz="0" w:space="0" w:color="auto"/>
        <w:left w:val="none" w:sz="0" w:space="0" w:color="auto"/>
        <w:bottom w:val="none" w:sz="0" w:space="0" w:color="auto"/>
        <w:right w:val="none" w:sz="0" w:space="0" w:color="auto"/>
      </w:divBdr>
    </w:div>
    <w:div w:id="166405130">
      <w:bodyDiv w:val="1"/>
      <w:marLeft w:val="0"/>
      <w:marRight w:val="0"/>
      <w:marTop w:val="0"/>
      <w:marBottom w:val="0"/>
      <w:divBdr>
        <w:top w:val="none" w:sz="0" w:space="0" w:color="auto"/>
        <w:left w:val="none" w:sz="0" w:space="0" w:color="auto"/>
        <w:bottom w:val="none" w:sz="0" w:space="0" w:color="auto"/>
        <w:right w:val="none" w:sz="0" w:space="0" w:color="auto"/>
      </w:divBdr>
    </w:div>
    <w:div w:id="166410244">
      <w:bodyDiv w:val="1"/>
      <w:marLeft w:val="0"/>
      <w:marRight w:val="0"/>
      <w:marTop w:val="0"/>
      <w:marBottom w:val="0"/>
      <w:divBdr>
        <w:top w:val="none" w:sz="0" w:space="0" w:color="auto"/>
        <w:left w:val="none" w:sz="0" w:space="0" w:color="auto"/>
        <w:bottom w:val="none" w:sz="0" w:space="0" w:color="auto"/>
        <w:right w:val="none" w:sz="0" w:space="0" w:color="auto"/>
      </w:divBdr>
    </w:div>
    <w:div w:id="167140833">
      <w:bodyDiv w:val="1"/>
      <w:marLeft w:val="0"/>
      <w:marRight w:val="0"/>
      <w:marTop w:val="0"/>
      <w:marBottom w:val="0"/>
      <w:divBdr>
        <w:top w:val="none" w:sz="0" w:space="0" w:color="auto"/>
        <w:left w:val="none" w:sz="0" w:space="0" w:color="auto"/>
        <w:bottom w:val="none" w:sz="0" w:space="0" w:color="auto"/>
        <w:right w:val="none" w:sz="0" w:space="0" w:color="auto"/>
      </w:divBdr>
    </w:div>
    <w:div w:id="167408256">
      <w:bodyDiv w:val="1"/>
      <w:marLeft w:val="0"/>
      <w:marRight w:val="0"/>
      <w:marTop w:val="0"/>
      <w:marBottom w:val="0"/>
      <w:divBdr>
        <w:top w:val="none" w:sz="0" w:space="0" w:color="auto"/>
        <w:left w:val="none" w:sz="0" w:space="0" w:color="auto"/>
        <w:bottom w:val="none" w:sz="0" w:space="0" w:color="auto"/>
        <w:right w:val="none" w:sz="0" w:space="0" w:color="auto"/>
      </w:divBdr>
      <w:divsChild>
        <w:div w:id="1706128603">
          <w:marLeft w:val="0"/>
          <w:marRight w:val="0"/>
          <w:marTop w:val="0"/>
          <w:marBottom w:val="0"/>
          <w:divBdr>
            <w:top w:val="none" w:sz="0" w:space="0" w:color="auto"/>
            <w:left w:val="none" w:sz="0" w:space="0" w:color="auto"/>
            <w:bottom w:val="none" w:sz="0" w:space="0" w:color="auto"/>
            <w:right w:val="none" w:sz="0" w:space="0" w:color="auto"/>
          </w:divBdr>
        </w:div>
        <w:div w:id="618993559">
          <w:marLeft w:val="0"/>
          <w:marRight w:val="0"/>
          <w:marTop w:val="0"/>
          <w:marBottom w:val="0"/>
          <w:divBdr>
            <w:top w:val="none" w:sz="0" w:space="0" w:color="auto"/>
            <w:left w:val="none" w:sz="0" w:space="0" w:color="auto"/>
            <w:bottom w:val="none" w:sz="0" w:space="0" w:color="auto"/>
            <w:right w:val="none" w:sz="0" w:space="0" w:color="auto"/>
          </w:divBdr>
        </w:div>
        <w:div w:id="2029142338">
          <w:marLeft w:val="0"/>
          <w:marRight w:val="0"/>
          <w:marTop w:val="0"/>
          <w:marBottom w:val="0"/>
          <w:divBdr>
            <w:top w:val="none" w:sz="0" w:space="0" w:color="auto"/>
            <w:left w:val="none" w:sz="0" w:space="0" w:color="auto"/>
            <w:bottom w:val="none" w:sz="0" w:space="0" w:color="auto"/>
            <w:right w:val="none" w:sz="0" w:space="0" w:color="auto"/>
          </w:divBdr>
        </w:div>
      </w:divsChild>
    </w:div>
    <w:div w:id="167644648">
      <w:bodyDiv w:val="1"/>
      <w:marLeft w:val="0"/>
      <w:marRight w:val="0"/>
      <w:marTop w:val="0"/>
      <w:marBottom w:val="0"/>
      <w:divBdr>
        <w:top w:val="none" w:sz="0" w:space="0" w:color="auto"/>
        <w:left w:val="none" w:sz="0" w:space="0" w:color="auto"/>
        <w:bottom w:val="none" w:sz="0" w:space="0" w:color="auto"/>
        <w:right w:val="none" w:sz="0" w:space="0" w:color="auto"/>
      </w:divBdr>
    </w:div>
    <w:div w:id="168453457">
      <w:bodyDiv w:val="1"/>
      <w:marLeft w:val="0"/>
      <w:marRight w:val="0"/>
      <w:marTop w:val="0"/>
      <w:marBottom w:val="0"/>
      <w:divBdr>
        <w:top w:val="none" w:sz="0" w:space="0" w:color="auto"/>
        <w:left w:val="none" w:sz="0" w:space="0" w:color="auto"/>
        <w:bottom w:val="none" w:sz="0" w:space="0" w:color="auto"/>
        <w:right w:val="none" w:sz="0" w:space="0" w:color="auto"/>
      </w:divBdr>
    </w:div>
    <w:div w:id="168756657">
      <w:bodyDiv w:val="1"/>
      <w:marLeft w:val="0"/>
      <w:marRight w:val="0"/>
      <w:marTop w:val="0"/>
      <w:marBottom w:val="0"/>
      <w:divBdr>
        <w:top w:val="none" w:sz="0" w:space="0" w:color="auto"/>
        <w:left w:val="none" w:sz="0" w:space="0" w:color="auto"/>
        <w:bottom w:val="none" w:sz="0" w:space="0" w:color="auto"/>
        <w:right w:val="none" w:sz="0" w:space="0" w:color="auto"/>
      </w:divBdr>
    </w:div>
    <w:div w:id="168762522">
      <w:bodyDiv w:val="1"/>
      <w:marLeft w:val="0"/>
      <w:marRight w:val="0"/>
      <w:marTop w:val="0"/>
      <w:marBottom w:val="0"/>
      <w:divBdr>
        <w:top w:val="none" w:sz="0" w:space="0" w:color="auto"/>
        <w:left w:val="none" w:sz="0" w:space="0" w:color="auto"/>
        <w:bottom w:val="none" w:sz="0" w:space="0" w:color="auto"/>
        <w:right w:val="none" w:sz="0" w:space="0" w:color="auto"/>
      </w:divBdr>
    </w:div>
    <w:div w:id="169412105">
      <w:bodyDiv w:val="1"/>
      <w:marLeft w:val="0"/>
      <w:marRight w:val="0"/>
      <w:marTop w:val="0"/>
      <w:marBottom w:val="0"/>
      <w:divBdr>
        <w:top w:val="none" w:sz="0" w:space="0" w:color="auto"/>
        <w:left w:val="none" w:sz="0" w:space="0" w:color="auto"/>
        <w:bottom w:val="none" w:sz="0" w:space="0" w:color="auto"/>
        <w:right w:val="none" w:sz="0" w:space="0" w:color="auto"/>
      </w:divBdr>
    </w:div>
    <w:div w:id="169485879">
      <w:bodyDiv w:val="1"/>
      <w:marLeft w:val="0"/>
      <w:marRight w:val="0"/>
      <w:marTop w:val="0"/>
      <w:marBottom w:val="0"/>
      <w:divBdr>
        <w:top w:val="none" w:sz="0" w:space="0" w:color="auto"/>
        <w:left w:val="none" w:sz="0" w:space="0" w:color="auto"/>
        <w:bottom w:val="none" w:sz="0" w:space="0" w:color="auto"/>
        <w:right w:val="none" w:sz="0" w:space="0" w:color="auto"/>
      </w:divBdr>
    </w:div>
    <w:div w:id="169952285">
      <w:bodyDiv w:val="1"/>
      <w:marLeft w:val="0"/>
      <w:marRight w:val="0"/>
      <w:marTop w:val="0"/>
      <w:marBottom w:val="0"/>
      <w:divBdr>
        <w:top w:val="none" w:sz="0" w:space="0" w:color="auto"/>
        <w:left w:val="none" w:sz="0" w:space="0" w:color="auto"/>
        <w:bottom w:val="none" w:sz="0" w:space="0" w:color="auto"/>
        <w:right w:val="none" w:sz="0" w:space="0" w:color="auto"/>
      </w:divBdr>
    </w:div>
    <w:div w:id="170490766">
      <w:bodyDiv w:val="1"/>
      <w:marLeft w:val="0"/>
      <w:marRight w:val="0"/>
      <w:marTop w:val="0"/>
      <w:marBottom w:val="0"/>
      <w:divBdr>
        <w:top w:val="none" w:sz="0" w:space="0" w:color="auto"/>
        <w:left w:val="none" w:sz="0" w:space="0" w:color="auto"/>
        <w:bottom w:val="none" w:sz="0" w:space="0" w:color="auto"/>
        <w:right w:val="none" w:sz="0" w:space="0" w:color="auto"/>
      </w:divBdr>
    </w:div>
    <w:div w:id="170536394">
      <w:bodyDiv w:val="1"/>
      <w:marLeft w:val="0"/>
      <w:marRight w:val="0"/>
      <w:marTop w:val="0"/>
      <w:marBottom w:val="0"/>
      <w:divBdr>
        <w:top w:val="none" w:sz="0" w:space="0" w:color="auto"/>
        <w:left w:val="none" w:sz="0" w:space="0" w:color="auto"/>
        <w:bottom w:val="none" w:sz="0" w:space="0" w:color="auto"/>
        <w:right w:val="none" w:sz="0" w:space="0" w:color="auto"/>
      </w:divBdr>
    </w:div>
    <w:div w:id="170536816">
      <w:bodyDiv w:val="1"/>
      <w:marLeft w:val="0"/>
      <w:marRight w:val="0"/>
      <w:marTop w:val="0"/>
      <w:marBottom w:val="0"/>
      <w:divBdr>
        <w:top w:val="none" w:sz="0" w:space="0" w:color="auto"/>
        <w:left w:val="none" w:sz="0" w:space="0" w:color="auto"/>
        <w:bottom w:val="none" w:sz="0" w:space="0" w:color="auto"/>
        <w:right w:val="none" w:sz="0" w:space="0" w:color="auto"/>
      </w:divBdr>
    </w:div>
    <w:div w:id="171071024">
      <w:bodyDiv w:val="1"/>
      <w:marLeft w:val="0"/>
      <w:marRight w:val="0"/>
      <w:marTop w:val="0"/>
      <w:marBottom w:val="0"/>
      <w:divBdr>
        <w:top w:val="none" w:sz="0" w:space="0" w:color="auto"/>
        <w:left w:val="none" w:sz="0" w:space="0" w:color="auto"/>
        <w:bottom w:val="none" w:sz="0" w:space="0" w:color="auto"/>
        <w:right w:val="none" w:sz="0" w:space="0" w:color="auto"/>
      </w:divBdr>
    </w:div>
    <w:div w:id="171192481">
      <w:bodyDiv w:val="1"/>
      <w:marLeft w:val="0"/>
      <w:marRight w:val="0"/>
      <w:marTop w:val="0"/>
      <w:marBottom w:val="0"/>
      <w:divBdr>
        <w:top w:val="none" w:sz="0" w:space="0" w:color="auto"/>
        <w:left w:val="none" w:sz="0" w:space="0" w:color="auto"/>
        <w:bottom w:val="none" w:sz="0" w:space="0" w:color="auto"/>
        <w:right w:val="none" w:sz="0" w:space="0" w:color="auto"/>
      </w:divBdr>
    </w:div>
    <w:div w:id="173081743">
      <w:bodyDiv w:val="1"/>
      <w:marLeft w:val="0"/>
      <w:marRight w:val="0"/>
      <w:marTop w:val="0"/>
      <w:marBottom w:val="0"/>
      <w:divBdr>
        <w:top w:val="none" w:sz="0" w:space="0" w:color="auto"/>
        <w:left w:val="none" w:sz="0" w:space="0" w:color="auto"/>
        <w:bottom w:val="none" w:sz="0" w:space="0" w:color="auto"/>
        <w:right w:val="none" w:sz="0" w:space="0" w:color="auto"/>
      </w:divBdr>
    </w:div>
    <w:div w:id="173156434">
      <w:bodyDiv w:val="1"/>
      <w:marLeft w:val="0"/>
      <w:marRight w:val="0"/>
      <w:marTop w:val="0"/>
      <w:marBottom w:val="0"/>
      <w:divBdr>
        <w:top w:val="none" w:sz="0" w:space="0" w:color="auto"/>
        <w:left w:val="none" w:sz="0" w:space="0" w:color="auto"/>
        <w:bottom w:val="none" w:sz="0" w:space="0" w:color="auto"/>
        <w:right w:val="none" w:sz="0" w:space="0" w:color="auto"/>
      </w:divBdr>
      <w:divsChild>
        <w:div w:id="1350256783">
          <w:marLeft w:val="0"/>
          <w:marRight w:val="0"/>
          <w:marTop w:val="0"/>
          <w:marBottom w:val="0"/>
          <w:divBdr>
            <w:top w:val="none" w:sz="0" w:space="0" w:color="auto"/>
            <w:left w:val="none" w:sz="0" w:space="0" w:color="auto"/>
            <w:bottom w:val="none" w:sz="0" w:space="0" w:color="auto"/>
            <w:right w:val="none" w:sz="0" w:space="0" w:color="auto"/>
          </w:divBdr>
        </w:div>
        <w:div w:id="1172455558">
          <w:marLeft w:val="0"/>
          <w:marRight w:val="0"/>
          <w:marTop w:val="0"/>
          <w:marBottom w:val="0"/>
          <w:divBdr>
            <w:top w:val="none" w:sz="0" w:space="0" w:color="auto"/>
            <w:left w:val="none" w:sz="0" w:space="0" w:color="auto"/>
            <w:bottom w:val="none" w:sz="0" w:space="0" w:color="auto"/>
            <w:right w:val="none" w:sz="0" w:space="0" w:color="auto"/>
          </w:divBdr>
        </w:div>
        <w:div w:id="1791245759">
          <w:marLeft w:val="0"/>
          <w:marRight w:val="0"/>
          <w:marTop w:val="0"/>
          <w:marBottom w:val="0"/>
          <w:divBdr>
            <w:top w:val="none" w:sz="0" w:space="0" w:color="auto"/>
            <w:left w:val="none" w:sz="0" w:space="0" w:color="auto"/>
            <w:bottom w:val="none" w:sz="0" w:space="0" w:color="auto"/>
            <w:right w:val="none" w:sz="0" w:space="0" w:color="auto"/>
          </w:divBdr>
        </w:div>
        <w:div w:id="1688407308">
          <w:marLeft w:val="0"/>
          <w:marRight w:val="0"/>
          <w:marTop w:val="0"/>
          <w:marBottom w:val="0"/>
          <w:divBdr>
            <w:top w:val="none" w:sz="0" w:space="0" w:color="auto"/>
            <w:left w:val="none" w:sz="0" w:space="0" w:color="auto"/>
            <w:bottom w:val="none" w:sz="0" w:space="0" w:color="auto"/>
            <w:right w:val="none" w:sz="0" w:space="0" w:color="auto"/>
          </w:divBdr>
        </w:div>
        <w:div w:id="407074141">
          <w:marLeft w:val="0"/>
          <w:marRight w:val="0"/>
          <w:marTop w:val="0"/>
          <w:marBottom w:val="0"/>
          <w:divBdr>
            <w:top w:val="none" w:sz="0" w:space="0" w:color="auto"/>
            <w:left w:val="none" w:sz="0" w:space="0" w:color="auto"/>
            <w:bottom w:val="none" w:sz="0" w:space="0" w:color="auto"/>
            <w:right w:val="none" w:sz="0" w:space="0" w:color="auto"/>
          </w:divBdr>
        </w:div>
      </w:divsChild>
    </w:div>
    <w:div w:id="173419108">
      <w:bodyDiv w:val="1"/>
      <w:marLeft w:val="0"/>
      <w:marRight w:val="0"/>
      <w:marTop w:val="0"/>
      <w:marBottom w:val="0"/>
      <w:divBdr>
        <w:top w:val="none" w:sz="0" w:space="0" w:color="auto"/>
        <w:left w:val="none" w:sz="0" w:space="0" w:color="auto"/>
        <w:bottom w:val="none" w:sz="0" w:space="0" w:color="auto"/>
        <w:right w:val="none" w:sz="0" w:space="0" w:color="auto"/>
      </w:divBdr>
    </w:div>
    <w:div w:id="173423416">
      <w:bodyDiv w:val="1"/>
      <w:marLeft w:val="0"/>
      <w:marRight w:val="0"/>
      <w:marTop w:val="0"/>
      <w:marBottom w:val="0"/>
      <w:divBdr>
        <w:top w:val="none" w:sz="0" w:space="0" w:color="auto"/>
        <w:left w:val="none" w:sz="0" w:space="0" w:color="auto"/>
        <w:bottom w:val="none" w:sz="0" w:space="0" w:color="auto"/>
        <w:right w:val="none" w:sz="0" w:space="0" w:color="auto"/>
      </w:divBdr>
    </w:div>
    <w:div w:id="173544350">
      <w:bodyDiv w:val="1"/>
      <w:marLeft w:val="0"/>
      <w:marRight w:val="0"/>
      <w:marTop w:val="0"/>
      <w:marBottom w:val="0"/>
      <w:divBdr>
        <w:top w:val="none" w:sz="0" w:space="0" w:color="auto"/>
        <w:left w:val="none" w:sz="0" w:space="0" w:color="auto"/>
        <w:bottom w:val="none" w:sz="0" w:space="0" w:color="auto"/>
        <w:right w:val="none" w:sz="0" w:space="0" w:color="auto"/>
      </w:divBdr>
    </w:div>
    <w:div w:id="174004417">
      <w:bodyDiv w:val="1"/>
      <w:marLeft w:val="0"/>
      <w:marRight w:val="0"/>
      <w:marTop w:val="0"/>
      <w:marBottom w:val="0"/>
      <w:divBdr>
        <w:top w:val="none" w:sz="0" w:space="0" w:color="auto"/>
        <w:left w:val="none" w:sz="0" w:space="0" w:color="auto"/>
        <w:bottom w:val="none" w:sz="0" w:space="0" w:color="auto"/>
        <w:right w:val="none" w:sz="0" w:space="0" w:color="auto"/>
      </w:divBdr>
    </w:div>
    <w:div w:id="175927801">
      <w:bodyDiv w:val="1"/>
      <w:marLeft w:val="0"/>
      <w:marRight w:val="0"/>
      <w:marTop w:val="0"/>
      <w:marBottom w:val="0"/>
      <w:divBdr>
        <w:top w:val="none" w:sz="0" w:space="0" w:color="auto"/>
        <w:left w:val="none" w:sz="0" w:space="0" w:color="auto"/>
        <w:bottom w:val="none" w:sz="0" w:space="0" w:color="auto"/>
        <w:right w:val="none" w:sz="0" w:space="0" w:color="auto"/>
      </w:divBdr>
    </w:div>
    <w:div w:id="177279999">
      <w:bodyDiv w:val="1"/>
      <w:marLeft w:val="0"/>
      <w:marRight w:val="0"/>
      <w:marTop w:val="0"/>
      <w:marBottom w:val="0"/>
      <w:divBdr>
        <w:top w:val="none" w:sz="0" w:space="0" w:color="auto"/>
        <w:left w:val="none" w:sz="0" w:space="0" w:color="auto"/>
        <w:bottom w:val="none" w:sz="0" w:space="0" w:color="auto"/>
        <w:right w:val="none" w:sz="0" w:space="0" w:color="auto"/>
      </w:divBdr>
    </w:div>
    <w:div w:id="178744634">
      <w:bodyDiv w:val="1"/>
      <w:marLeft w:val="0"/>
      <w:marRight w:val="0"/>
      <w:marTop w:val="0"/>
      <w:marBottom w:val="0"/>
      <w:divBdr>
        <w:top w:val="none" w:sz="0" w:space="0" w:color="auto"/>
        <w:left w:val="none" w:sz="0" w:space="0" w:color="auto"/>
        <w:bottom w:val="none" w:sz="0" w:space="0" w:color="auto"/>
        <w:right w:val="none" w:sz="0" w:space="0" w:color="auto"/>
      </w:divBdr>
    </w:div>
    <w:div w:id="178932713">
      <w:bodyDiv w:val="1"/>
      <w:marLeft w:val="0"/>
      <w:marRight w:val="0"/>
      <w:marTop w:val="0"/>
      <w:marBottom w:val="0"/>
      <w:divBdr>
        <w:top w:val="none" w:sz="0" w:space="0" w:color="auto"/>
        <w:left w:val="none" w:sz="0" w:space="0" w:color="auto"/>
        <w:bottom w:val="none" w:sz="0" w:space="0" w:color="auto"/>
        <w:right w:val="none" w:sz="0" w:space="0" w:color="auto"/>
      </w:divBdr>
    </w:div>
    <w:div w:id="179126371">
      <w:bodyDiv w:val="1"/>
      <w:marLeft w:val="0"/>
      <w:marRight w:val="0"/>
      <w:marTop w:val="0"/>
      <w:marBottom w:val="0"/>
      <w:divBdr>
        <w:top w:val="none" w:sz="0" w:space="0" w:color="auto"/>
        <w:left w:val="none" w:sz="0" w:space="0" w:color="auto"/>
        <w:bottom w:val="none" w:sz="0" w:space="0" w:color="auto"/>
        <w:right w:val="none" w:sz="0" w:space="0" w:color="auto"/>
      </w:divBdr>
    </w:div>
    <w:div w:id="179316146">
      <w:bodyDiv w:val="1"/>
      <w:marLeft w:val="0"/>
      <w:marRight w:val="0"/>
      <w:marTop w:val="0"/>
      <w:marBottom w:val="0"/>
      <w:divBdr>
        <w:top w:val="none" w:sz="0" w:space="0" w:color="auto"/>
        <w:left w:val="none" w:sz="0" w:space="0" w:color="auto"/>
        <w:bottom w:val="none" w:sz="0" w:space="0" w:color="auto"/>
        <w:right w:val="none" w:sz="0" w:space="0" w:color="auto"/>
      </w:divBdr>
    </w:div>
    <w:div w:id="180437237">
      <w:bodyDiv w:val="1"/>
      <w:marLeft w:val="0"/>
      <w:marRight w:val="0"/>
      <w:marTop w:val="0"/>
      <w:marBottom w:val="0"/>
      <w:divBdr>
        <w:top w:val="none" w:sz="0" w:space="0" w:color="auto"/>
        <w:left w:val="none" w:sz="0" w:space="0" w:color="auto"/>
        <w:bottom w:val="none" w:sz="0" w:space="0" w:color="auto"/>
        <w:right w:val="none" w:sz="0" w:space="0" w:color="auto"/>
      </w:divBdr>
    </w:div>
    <w:div w:id="180514077">
      <w:bodyDiv w:val="1"/>
      <w:marLeft w:val="0"/>
      <w:marRight w:val="0"/>
      <w:marTop w:val="0"/>
      <w:marBottom w:val="0"/>
      <w:divBdr>
        <w:top w:val="none" w:sz="0" w:space="0" w:color="auto"/>
        <w:left w:val="none" w:sz="0" w:space="0" w:color="auto"/>
        <w:bottom w:val="none" w:sz="0" w:space="0" w:color="auto"/>
        <w:right w:val="none" w:sz="0" w:space="0" w:color="auto"/>
      </w:divBdr>
    </w:div>
    <w:div w:id="180516444">
      <w:bodyDiv w:val="1"/>
      <w:marLeft w:val="0"/>
      <w:marRight w:val="0"/>
      <w:marTop w:val="0"/>
      <w:marBottom w:val="0"/>
      <w:divBdr>
        <w:top w:val="none" w:sz="0" w:space="0" w:color="auto"/>
        <w:left w:val="none" w:sz="0" w:space="0" w:color="auto"/>
        <w:bottom w:val="none" w:sz="0" w:space="0" w:color="auto"/>
        <w:right w:val="none" w:sz="0" w:space="0" w:color="auto"/>
      </w:divBdr>
    </w:div>
    <w:div w:id="180705111">
      <w:bodyDiv w:val="1"/>
      <w:marLeft w:val="0"/>
      <w:marRight w:val="0"/>
      <w:marTop w:val="0"/>
      <w:marBottom w:val="0"/>
      <w:divBdr>
        <w:top w:val="none" w:sz="0" w:space="0" w:color="auto"/>
        <w:left w:val="none" w:sz="0" w:space="0" w:color="auto"/>
        <w:bottom w:val="none" w:sz="0" w:space="0" w:color="auto"/>
        <w:right w:val="none" w:sz="0" w:space="0" w:color="auto"/>
      </w:divBdr>
    </w:div>
    <w:div w:id="180820727">
      <w:bodyDiv w:val="1"/>
      <w:marLeft w:val="0"/>
      <w:marRight w:val="0"/>
      <w:marTop w:val="0"/>
      <w:marBottom w:val="0"/>
      <w:divBdr>
        <w:top w:val="none" w:sz="0" w:space="0" w:color="auto"/>
        <w:left w:val="none" w:sz="0" w:space="0" w:color="auto"/>
        <w:bottom w:val="none" w:sz="0" w:space="0" w:color="auto"/>
        <w:right w:val="none" w:sz="0" w:space="0" w:color="auto"/>
      </w:divBdr>
    </w:div>
    <w:div w:id="181283394">
      <w:bodyDiv w:val="1"/>
      <w:marLeft w:val="0"/>
      <w:marRight w:val="0"/>
      <w:marTop w:val="0"/>
      <w:marBottom w:val="0"/>
      <w:divBdr>
        <w:top w:val="none" w:sz="0" w:space="0" w:color="auto"/>
        <w:left w:val="none" w:sz="0" w:space="0" w:color="auto"/>
        <w:bottom w:val="none" w:sz="0" w:space="0" w:color="auto"/>
        <w:right w:val="none" w:sz="0" w:space="0" w:color="auto"/>
      </w:divBdr>
    </w:div>
    <w:div w:id="182936488">
      <w:bodyDiv w:val="1"/>
      <w:marLeft w:val="0"/>
      <w:marRight w:val="0"/>
      <w:marTop w:val="0"/>
      <w:marBottom w:val="0"/>
      <w:divBdr>
        <w:top w:val="none" w:sz="0" w:space="0" w:color="auto"/>
        <w:left w:val="none" w:sz="0" w:space="0" w:color="auto"/>
        <w:bottom w:val="none" w:sz="0" w:space="0" w:color="auto"/>
        <w:right w:val="none" w:sz="0" w:space="0" w:color="auto"/>
      </w:divBdr>
    </w:div>
    <w:div w:id="183062131">
      <w:bodyDiv w:val="1"/>
      <w:marLeft w:val="0"/>
      <w:marRight w:val="0"/>
      <w:marTop w:val="0"/>
      <w:marBottom w:val="0"/>
      <w:divBdr>
        <w:top w:val="none" w:sz="0" w:space="0" w:color="auto"/>
        <w:left w:val="none" w:sz="0" w:space="0" w:color="auto"/>
        <w:bottom w:val="none" w:sz="0" w:space="0" w:color="auto"/>
        <w:right w:val="none" w:sz="0" w:space="0" w:color="auto"/>
      </w:divBdr>
    </w:div>
    <w:div w:id="183130099">
      <w:bodyDiv w:val="1"/>
      <w:marLeft w:val="0"/>
      <w:marRight w:val="0"/>
      <w:marTop w:val="0"/>
      <w:marBottom w:val="0"/>
      <w:divBdr>
        <w:top w:val="none" w:sz="0" w:space="0" w:color="auto"/>
        <w:left w:val="none" w:sz="0" w:space="0" w:color="auto"/>
        <w:bottom w:val="none" w:sz="0" w:space="0" w:color="auto"/>
        <w:right w:val="none" w:sz="0" w:space="0" w:color="auto"/>
      </w:divBdr>
    </w:div>
    <w:div w:id="183829637">
      <w:bodyDiv w:val="1"/>
      <w:marLeft w:val="0"/>
      <w:marRight w:val="0"/>
      <w:marTop w:val="0"/>
      <w:marBottom w:val="0"/>
      <w:divBdr>
        <w:top w:val="none" w:sz="0" w:space="0" w:color="auto"/>
        <w:left w:val="none" w:sz="0" w:space="0" w:color="auto"/>
        <w:bottom w:val="none" w:sz="0" w:space="0" w:color="auto"/>
        <w:right w:val="none" w:sz="0" w:space="0" w:color="auto"/>
      </w:divBdr>
    </w:div>
    <w:div w:id="184293305">
      <w:bodyDiv w:val="1"/>
      <w:marLeft w:val="0"/>
      <w:marRight w:val="0"/>
      <w:marTop w:val="0"/>
      <w:marBottom w:val="0"/>
      <w:divBdr>
        <w:top w:val="none" w:sz="0" w:space="0" w:color="auto"/>
        <w:left w:val="none" w:sz="0" w:space="0" w:color="auto"/>
        <w:bottom w:val="none" w:sz="0" w:space="0" w:color="auto"/>
        <w:right w:val="none" w:sz="0" w:space="0" w:color="auto"/>
      </w:divBdr>
    </w:div>
    <w:div w:id="184296239">
      <w:bodyDiv w:val="1"/>
      <w:marLeft w:val="0"/>
      <w:marRight w:val="0"/>
      <w:marTop w:val="0"/>
      <w:marBottom w:val="0"/>
      <w:divBdr>
        <w:top w:val="none" w:sz="0" w:space="0" w:color="auto"/>
        <w:left w:val="none" w:sz="0" w:space="0" w:color="auto"/>
        <w:bottom w:val="none" w:sz="0" w:space="0" w:color="auto"/>
        <w:right w:val="none" w:sz="0" w:space="0" w:color="auto"/>
      </w:divBdr>
    </w:div>
    <w:div w:id="185140022">
      <w:bodyDiv w:val="1"/>
      <w:marLeft w:val="0"/>
      <w:marRight w:val="0"/>
      <w:marTop w:val="0"/>
      <w:marBottom w:val="0"/>
      <w:divBdr>
        <w:top w:val="none" w:sz="0" w:space="0" w:color="auto"/>
        <w:left w:val="none" w:sz="0" w:space="0" w:color="auto"/>
        <w:bottom w:val="none" w:sz="0" w:space="0" w:color="auto"/>
        <w:right w:val="none" w:sz="0" w:space="0" w:color="auto"/>
      </w:divBdr>
    </w:div>
    <w:div w:id="185405712">
      <w:bodyDiv w:val="1"/>
      <w:marLeft w:val="0"/>
      <w:marRight w:val="0"/>
      <w:marTop w:val="0"/>
      <w:marBottom w:val="0"/>
      <w:divBdr>
        <w:top w:val="none" w:sz="0" w:space="0" w:color="auto"/>
        <w:left w:val="none" w:sz="0" w:space="0" w:color="auto"/>
        <w:bottom w:val="none" w:sz="0" w:space="0" w:color="auto"/>
        <w:right w:val="none" w:sz="0" w:space="0" w:color="auto"/>
      </w:divBdr>
    </w:div>
    <w:div w:id="185607053">
      <w:bodyDiv w:val="1"/>
      <w:marLeft w:val="0"/>
      <w:marRight w:val="0"/>
      <w:marTop w:val="0"/>
      <w:marBottom w:val="0"/>
      <w:divBdr>
        <w:top w:val="none" w:sz="0" w:space="0" w:color="auto"/>
        <w:left w:val="none" w:sz="0" w:space="0" w:color="auto"/>
        <w:bottom w:val="none" w:sz="0" w:space="0" w:color="auto"/>
        <w:right w:val="none" w:sz="0" w:space="0" w:color="auto"/>
      </w:divBdr>
    </w:div>
    <w:div w:id="185749588">
      <w:bodyDiv w:val="1"/>
      <w:marLeft w:val="0"/>
      <w:marRight w:val="0"/>
      <w:marTop w:val="0"/>
      <w:marBottom w:val="0"/>
      <w:divBdr>
        <w:top w:val="none" w:sz="0" w:space="0" w:color="auto"/>
        <w:left w:val="none" w:sz="0" w:space="0" w:color="auto"/>
        <w:bottom w:val="none" w:sz="0" w:space="0" w:color="auto"/>
        <w:right w:val="none" w:sz="0" w:space="0" w:color="auto"/>
      </w:divBdr>
    </w:div>
    <w:div w:id="186212254">
      <w:bodyDiv w:val="1"/>
      <w:marLeft w:val="0"/>
      <w:marRight w:val="0"/>
      <w:marTop w:val="0"/>
      <w:marBottom w:val="0"/>
      <w:divBdr>
        <w:top w:val="none" w:sz="0" w:space="0" w:color="auto"/>
        <w:left w:val="none" w:sz="0" w:space="0" w:color="auto"/>
        <w:bottom w:val="none" w:sz="0" w:space="0" w:color="auto"/>
        <w:right w:val="none" w:sz="0" w:space="0" w:color="auto"/>
      </w:divBdr>
    </w:div>
    <w:div w:id="186723940">
      <w:bodyDiv w:val="1"/>
      <w:marLeft w:val="0"/>
      <w:marRight w:val="0"/>
      <w:marTop w:val="0"/>
      <w:marBottom w:val="0"/>
      <w:divBdr>
        <w:top w:val="none" w:sz="0" w:space="0" w:color="auto"/>
        <w:left w:val="none" w:sz="0" w:space="0" w:color="auto"/>
        <w:bottom w:val="none" w:sz="0" w:space="0" w:color="auto"/>
        <w:right w:val="none" w:sz="0" w:space="0" w:color="auto"/>
      </w:divBdr>
    </w:div>
    <w:div w:id="186874384">
      <w:bodyDiv w:val="1"/>
      <w:marLeft w:val="0"/>
      <w:marRight w:val="0"/>
      <w:marTop w:val="0"/>
      <w:marBottom w:val="0"/>
      <w:divBdr>
        <w:top w:val="none" w:sz="0" w:space="0" w:color="auto"/>
        <w:left w:val="none" w:sz="0" w:space="0" w:color="auto"/>
        <w:bottom w:val="none" w:sz="0" w:space="0" w:color="auto"/>
        <w:right w:val="none" w:sz="0" w:space="0" w:color="auto"/>
      </w:divBdr>
    </w:div>
    <w:div w:id="187186301">
      <w:bodyDiv w:val="1"/>
      <w:marLeft w:val="0"/>
      <w:marRight w:val="0"/>
      <w:marTop w:val="0"/>
      <w:marBottom w:val="0"/>
      <w:divBdr>
        <w:top w:val="none" w:sz="0" w:space="0" w:color="auto"/>
        <w:left w:val="none" w:sz="0" w:space="0" w:color="auto"/>
        <w:bottom w:val="none" w:sz="0" w:space="0" w:color="auto"/>
        <w:right w:val="none" w:sz="0" w:space="0" w:color="auto"/>
      </w:divBdr>
    </w:div>
    <w:div w:id="188616079">
      <w:bodyDiv w:val="1"/>
      <w:marLeft w:val="0"/>
      <w:marRight w:val="0"/>
      <w:marTop w:val="0"/>
      <w:marBottom w:val="0"/>
      <w:divBdr>
        <w:top w:val="none" w:sz="0" w:space="0" w:color="auto"/>
        <w:left w:val="none" w:sz="0" w:space="0" w:color="auto"/>
        <w:bottom w:val="none" w:sz="0" w:space="0" w:color="auto"/>
        <w:right w:val="none" w:sz="0" w:space="0" w:color="auto"/>
      </w:divBdr>
    </w:div>
    <w:div w:id="189077567">
      <w:bodyDiv w:val="1"/>
      <w:marLeft w:val="0"/>
      <w:marRight w:val="0"/>
      <w:marTop w:val="0"/>
      <w:marBottom w:val="0"/>
      <w:divBdr>
        <w:top w:val="none" w:sz="0" w:space="0" w:color="auto"/>
        <w:left w:val="none" w:sz="0" w:space="0" w:color="auto"/>
        <w:bottom w:val="none" w:sz="0" w:space="0" w:color="auto"/>
        <w:right w:val="none" w:sz="0" w:space="0" w:color="auto"/>
      </w:divBdr>
    </w:div>
    <w:div w:id="190000088">
      <w:bodyDiv w:val="1"/>
      <w:marLeft w:val="0"/>
      <w:marRight w:val="0"/>
      <w:marTop w:val="0"/>
      <w:marBottom w:val="0"/>
      <w:divBdr>
        <w:top w:val="none" w:sz="0" w:space="0" w:color="auto"/>
        <w:left w:val="none" w:sz="0" w:space="0" w:color="auto"/>
        <w:bottom w:val="none" w:sz="0" w:space="0" w:color="auto"/>
        <w:right w:val="none" w:sz="0" w:space="0" w:color="auto"/>
      </w:divBdr>
    </w:div>
    <w:div w:id="190463924">
      <w:bodyDiv w:val="1"/>
      <w:marLeft w:val="0"/>
      <w:marRight w:val="0"/>
      <w:marTop w:val="0"/>
      <w:marBottom w:val="0"/>
      <w:divBdr>
        <w:top w:val="none" w:sz="0" w:space="0" w:color="auto"/>
        <w:left w:val="none" w:sz="0" w:space="0" w:color="auto"/>
        <w:bottom w:val="none" w:sz="0" w:space="0" w:color="auto"/>
        <w:right w:val="none" w:sz="0" w:space="0" w:color="auto"/>
      </w:divBdr>
    </w:div>
    <w:div w:id="190648910">
      <w:bodyDiv w:val="1"/>
      <w:marLeft w:val="0"/>
      <w:marRight w:val="0"/>
      <w:marTop w:val="0"/>
      <w:marBottom w:val="0"/>
      <w:divBdr>
        <w:top w:val="none" w:sz="0" w:space="0" w:color="auto"/>
        <w:left w:val="none" w:sz="0" w:space="0" w:color="auto"/>
        <w:bottom w:val="none" w:sz="0" w:space="0" w:color="auto"/>
        <w:right w:val="none" w:sz="0" w:space="0" w:color="auto"/>
      </w:divBdr>
    </w:div>
    <w:div w:id="190649156">
      <w:bodyDiv w:val="1"/>
      <w:marLeft w:val="0"/>
      <w:marRight w:val="0"/>
      <w:marTop w:val="0"/>
      <w:marBottom w:val="0"/>
      <w:divBdr>
        <w:top w:val="none" w:sz="0" w:space="0" w:color="auto"/>
        <w:left w:val="none" w:sz="0" w:space="0" w:color="auto"/>
        <w:bottom w:val="none" w:sz="0" w:space="0" w:color="auto"/>
        <w:right w:val="none" w:sz="0" w:space="0" w:color="auto"/>
      </w:divBdr>
    </w:div>
    <w:div w:id="190922972">
      <w:bodyDiv w:val="1"/>
      <w:marLeft w:val="0"/>
      <w:marRight w:val="0"/>
      <w:marTop w:val="0"/>
      <w:marBottom w:val="0"/>
      <w:divBdr>
        <w:top w:val="none" w:sz="0" w:space="0" w:color="auto"/>
        <w:left w:val="none" w:sz="0" w:space="0" w:color="auto"/>
        <w:bottom w:val="none" w:sz="0" w:space="0" w:color="auto"/>
        <w:right w:val="none" w:sz="0" w:space="0" w:color="auto"/>
      </w:divBdr>
    </w:div>
    <w:div w:id="190923404">
      <w:bodyDiv w:val="1"/>
      <w:marLeft w:val="0"/>
      <w:marRight w:val="0"/>
      <w:marTop w:val="0"/>
      <w:marBottom w:val="0"/>
      <w:divBdr>
        <w:top w:val="none" w:sz="0" w:space="0" w:color="auto"/>
        <w:left w:val="none" w:sz="0" w:space="0" w:color="auto"/>
        <w:bottom w:val="none" w:sz="0" w:space="0" w:color="auto"/>
        <w:right w:val="none" w:sz="0" w:space="0" w:color="auto"/>
      </w:divBdr>
    </w:div>
    <w:div w:id="191236171">
      <w:bodyDiv w:val="1"/>
      <w:marLeft w:val="0"/>
      <w:marRight w:val="0"/>
      <w:marTop w:val="0"/>
      <w:marBottom w:val="0"/>
      <w:divBdr>
        <w:top w:val="none" w:sz="0" w:space="0" w:color="auto"/>
        <w:left w:val="none" w:sz="0" w:space="0" w:color="auto"/>
        <w:bottom w:val="none" w:sz="0" w:space="0" w:color="auto"/>
        <w:right w:val="none" w:sz="0" w:space="0" w:color="auto"/>
      </w:divBdr>
    </w:div>
    <w:div w:id="191768971">
      <w:bodyDiv w:val="1"/>
      <w:marLeft w:val="0"/>
      <w:marRight w:val="0"/>
      <w:marTop w:val="0"/>
      <w:marBottom w:val="0"/>
      <w:divBdr>
        <w:top w:val="none" w:sz="0" w:space="0" w:color="auto"/>
        <w:left w:val="none" w:sz="0" w:space="0" w:color="auto"/>
        <w:bottom w:val="none" w:sz="0" w:space="0" w:color="auto"/>
        <w:right w:val="none" w:sz="0" w:space="0" w:color="auto"/>
      </w:divBdr>
    </w:div>
    <w:div w:id="194730872">
      <w:bodyDiv w:val="1"/>
      <w:marLeft w:val="0"/>
      <w:marRight w:val="0"/>
      <w:marTop w:val="0"/>
      <w:marBottom w:val="0"/>
      <w:divBdr>
        <w:top w:val="none" w:sz="0" w:space="0" w:color="auto"/>
        <w:left w:val="none" w:sz="0" w:space="0" w:color="auto"/>
        <w:bottom w:val="none" w:sz="0" w:space="0" w:color="auto"/>
        <w:right w:val="none" w:sz="0" w:space="0" w:color="auto"/>
      </w:divBdr>
    </w:div>
    <w:div w:id="194928973">
      <w:bodyDiv w:val="1"/>
      <w:marLeft w:val="0"/>
      <w:marRight w:val="0"/>
      <w:marTop w:val="0"/>
      <w:marBottom w:val="0"/>
      <w:divBdr>
        <w:top w:val="none" w:sz="0" w:space="0" w:color="auto"/>
        <w:left w:val="none" w:sz="0" w:space="0" w:color="auto"/>
        <w:bottom w:val="none" w:sz="0" w:space="0" w:color="auto"/>
        <w:right w:val="none" w:sz="0" w:space="0" w:color="auto"/>
      </w:divBdr>
    </w:div>
    <w:div w:id="195194247">
      <w:bodyDiv w:val="1"/>
      <w:marLeft w:val="0"/>
      <w:marRight w:val="0"/>
      <w:marTop w:val="0"/>
      <w:marBottom w:val="0"/>
      <w:divBdr>
        <w:top w:val="none" w:sz="0" w:space="0" w:color="auto"/>
        <w:left w:val="none" w:sz="0" w:space="0" w:color="auto"/>
        <w:bottom w:val="none" w:sz="0" w:space="0" w:color="auto"/>
        <w:right w:val="none" w:sz="0" w:space="0" w:color="auto"/>
      </w:divBdr>
    </w:div>
    <w:div w:id="196312545">
      <w:bodyDiv w:val="1"/>
      <w:marLeft w:val="0"/>
      <w:marRight w:val="0"/>
      <w:marTop w:val="0"/>
      <w:marBottom w:val="0"/>
      <w:divBdr>
        <w:top w:val="none" w:sz="0" w:space="0" w:color="auto"/>
        <w:left w:val="none" w:sz="0" w:space="0" w:color="auto"/>
        <w:bottom w:val="none" w:sz="0" w:space="0" w:color="auto"/>
        <w:right w:val="none" w:sz="0" w:space="0" w:color="auto"/>
      </w:divBdr>
    </w:div>
    <w:div w:id="196361189">
      <w:bodyDiv w:val="1"/>
      <w:marLeft w:val="0"/>
      <w:marRight w:val="0"/>
      <w:marTop w:val="0"/>
      <w:marBottom w:val="0"/>
      <w:divBdr>
        <w:top w:val="none" w:sz="0" w:space="0" w:color="auto"/>
        <w:left w:val="none" w:sz="0" w:space="0" w:color="auto"/>
        <w:bottom w:val="none" w:sz="0" w:space="0" w:color="auto"/>
        <w:right w:val="none" w:sz="0" w:space="0" w:color="auto"/>
      </w:divBdr>
    </w:div>
    <w:div w:id="196548917">
      <w:bodyDiv w:val="1"/>
      <w:marLeft w:val="0"/>
      <w:marRight w:val="0"/>
      <w:marTop w:val="0"/>
      <w:marBottom w:val="0"/>
      <w:divBdr>
        <w:top w:val="none" w:sz="0" w:space="0" w:color="auto"/>
        <w:left w:val="none" w:sz="0" w:space="0" w:color="auto"/>
        <w:bottom w:val="none" w:sz="0" w:space="0" w:color="auto"/>
        <w:right w:val="none" w:sz="0" w:space="0" w:color="auto"/>
      </w:divBdr>
    </w:div>
    <w:div w:id="197740984">
      <w:bodyDiv w:val="1"/>
      <w:marLeft w:val="0"/>
      <w:marRight w:val="0"/>
      <w:marTop w:val="0"/>
      <w:marBottom w:val="0"/>
      <w:divBdr>
        <w:top w:val="none" w:sz="0" w:space="0" w:color="auto"/>
        <w:left w:val="none" w:sz="0" w:space="0" w:color="auto"/>
        <w:bottom w:val="none" w:sz="0" w:space="0" w:color="auto"/>
        <w:right w:val="none" w:sz="0" w:space="0" w:color="auto"/>
      </w:divBdr>
    </w:div>
    <w:div w:id="197741857">
      <w:bodyDiv w:val="1"/>
      <w:marLeft w:val="0"/>
      <w:marRight w:val="0"/>
      <w:marTop w:val="0"/>
      <w:marBottom w:val="0"/>
      <w:divBdr>
        <w:top w:val="none" w:sz="0" w:space="0" w:color="auto"/>
        <w:left w:val="none" w:sz="0" w:space="0" w:color="auto"/>
        <w:bottom w:val="none" w:sz="0" w:space="0" w:color="auto"/>
        <w:right w:val="none" w:sz="0" w:space="0" w:color="auto"/>
      </w:divBdr>
    </w:div>
    <w:div w:id="197937968">
      <w:bodyDiv w:val="1"/>
      <w:marLeft w:val="0"/>
      <w:marRight w:val="0"/>
      <w:marTop w:val="0"/>
      <w:marBottom w:val="0"/>
      <w:divBdr>
        <w:top w:val="none" w:sz="0" w:space="0" w:color="auto"/>
        <w:left w:val="none" w:sz="0" w:space="0" w:color="auto"/>
        <w:bottom w:val="none" w:sz="0" w:space="0" w:color="auto"/>
        <w:right w:val="none" w:sz="0" w:space="0" w:color="auto"/>
      </w:divBdr>
    </w:div>
    <w:div w:id="198052834">
      <w:bodyDiv w:val="1"/>
      <w:marLeft w:val="0"/>
      <w:marRight w:val="0"/>
      <w:marTop w:val="0"/>
      <w:marBottom w:val="0"/>
      <w:divBdr>
        <w:top w:val="none" w:sz="0" w:space="0" w:color="auto"/>
        <w:left w:val="none" w:sz="0" w:space="0" w:color="auto"/>
        <w:bottom w:val="none" w:sz="0" w:space="0" w:color="auto"/>
        <w:right w:val="none" w:sz="0" w:space="0" w:color="auto"/>
      </w:divBdr>
    </w:div>
    <w:div w:id="199781528">
      <w:bodyDiv w:val="1"/>
      <w:marLeft w:val="0"/>
      <w:marRight w:val="0"/>
      <w:marTop w:val="0"/>
      <w:marBottom w:val="0"/>
      <w:divBdr>
        <w:top w:val="none" w:sz="0" w:space="0" w:color="auto"/>
        <w:left w:val="none" w:sz="0" w:space="0" w:color="auto"/>
        <w:bottom w:val="none" w:sz="0" w:space="0" w:color="auto"/>
        <w:right w:val="none" w:sz="0" w:space="0" w:color="auto"/>
      </w:divBdr>
    </w:div>
    <w:div w:id="200435280">
      <w:bodyDiv w:val="1"/>
      <w:marLeft w:val="0"/>
      <w:marRight w:val="0"/>
      <w:marTop w:val="0"/>
      <w:marBottom w:val="0"/>
      <w:divBdr>
        <w:top w:val="none" w:sz="0" w:space="0" w:color="auto"/>
        <w:left w:val="none" w:sz="0" w:space="0" w:color="auto"/>
        <w:bottom w:val="none" w:sz="0" w:space="0" w:color="auto"/>
        <w:right w:val="none" w:sz="0" w:space="0" w:color="auto"/>
      </w:divBdr>
    </w:div>
    <w:div w:id="200676981">
      <w:bodyDiv w:val="1"/>
      <w:marLeft w:val="0"/>
      <w:marRight w:val="0"/>
      <w:marTop w:val="0"/>
      <w:marBottom w:val="0"/>
      <w:divBdr>
        <w:top w:val="none" w:sz="0" w:space="0" w:color="auto"/>
        <w:left w:val="none" w:sz="0" w:space="0" w:color="auto"/>
        <w:bottom w:val="none" w:sz="0" w:space="0" w:color="auto"/>
        <w:right w:val="none" w:sz="0" w:space="0" w:color="auto"/>
      </w:divBdr>
    </w:div>
    <w:div w:id="201093706">
      <w:bodyDiv w:val="1"/>
      <w:marLeft w:val="0"/>
      <w:marRight w:val="0"/>
      <w:marTop w:val="0"/>
      <w:marBottom w:val="0"/>
      <w:divBdr>
        <w:top w:val="none" w:sz="0" w:space="0" w:color="auto"/>
        <w:left w:val="none" w:sz="0" w:space="0" w:color="auto"/>
        <w:bottom w:val="none" w:sz="0" w:space="0" w:color="auto"/>
        <w:right w:val="none" w:sz="0" w:space="0" w:color="auto"/>
      </w:divBdr>
    </w:div>
    <w:div w:id="201285357">
      <w:bodyDiv w:val="1"/>
      <w:marLeft w:val="0"/>
      <w:marRight w:val="0"/>
      <w:marTop w:val="0"/>
      <w:marBottom w:val="0"/>
      <w:divBdr>
        <w:top w:val="none" w:sz="0" w:space="0" w:color="auto"/>
        <w:left w:val="none" w:sz="0" w:space="0" w:color="auto"/>
        <w:bottom w:val="none" w:sz="0" w:space="0" w:color="auto"/>
        <w:right w:val="none" w:sz="0" w:space="0" w:color="auto"/>
      </w:divBdr>
    </w:div>
    <w:div w:id="202333243">
      <w:bodyDiv w:val="1"/>
      <w:marLeft w:val="0"/>
      <w:marRight w:val="0"/>
      <w:marTop w:val="0"/>
      <w:marBottom w:val="0"/>
      <w:divBdr>
        <w:top w:val="none" w:sz="0" w:space="0" w:color="auto"/>
        <w:left w:val="none" w:sz="0" w:space="0" w:color="auto"/>
        <w:bottom w:val="none" w:sz="0" w:space="0" w:color="auto"/>
        <w:right w:val="none" w:sz="0" w:space="0" w:color="auto"/>
      </w:divBdr>
    </w:div>
    <w:div w:id="202980374">
      <w:bodyDiv w:val="1"/>
      <w:marLeft w:val="0"/>
      <w:marRight w:val="0"/>
      <w:marTop w:val="0"/>
      <w:marBottom w:val="0"/>
      <w:divBdr>
        <w:top w:val="none" w:sz="0" w:space="0" w:color="auto"/>
        <w:left w:val="none" w:sz="0" w:space="0" w:color="auto"/>
        <w:bottom w:val="none" w:sz="0" w:space="0" w:color="auto"/>
        <w:right w:val="none" w:sz="0" w:space="0" w:color="auto"/>
      </w:divBdr>
    </w:div>
    <w:div w:id="205601579">
      <w:bodyDiv w:val="1"/>
      <w:marLeft w:val="0"/>
      <w:marRight w:val="0"/>
      <w:marTop w:val="0"/>
      <w:marBottom w:val="0"/>
      <w:divBdr>
        <w:top w:val="none" w:sz="0" w:space="0" w:color="auto"/>
        <w:left w:val="none" w:sz="0" w:space="0" w:color="auto"/>
        <w:bottom w:val="none" w:sz="0" w:space="0" w:color="auto"/>
        <w:right w:val="none" w:sz="0" w:space="0" w:color="auto"/>
      </w:divBdr>
    </w:div>
    <w:div w:id="206450047">
      <w:bodyDiv w:val="1"/>
      <w:marLeft w:val="0"/>
      <w:marRight w:val="0"/>
      <w:marTop w:val="0"/>
      <w:marBottom w:val="0"/>
      <w:divBdr>
        <w:top w:val="none" w:sz="0" w:space="0" w:color="auto"/>
        <w:left w:val="none" w:sz="0" w:space="0" w:color="auto"/>
        <w:bottom w:val="none" w:sz="0" w:space="0" w:color="auto"/>
        <w:right w:val="none" w:sz="0" w:space="0" w:color="auto"/>
      </w:divBdr>
    </w:div>
    <w:div w:id="206646977">
      <w:bodyDiv w:val="1"/>
      <w:marLeft w:val="0"/>
      <w:marRight w:val="0"/>
      <w:marTop w:val="0"/>
      <w:marBottom w:val="0"/>
      <w:divBdr>
        <w:top w:val="none" w:sz="0" w:space="0" w:color="auto"/>
        <w:left w:val="none" w:sz="0" w:space="0" w:color="auto"/>
        <w:bottom w:val="none" w:sz="0" w:space="0" w:color="auto"/>
        <w:right w:val="none" w:sz="0" w:space="0" w:color="auto"/>
      </w:divBdr>
    </w:div>
    <w:div w:id="207106879">
      <w:bodyDiv w:val="1"/>
      <w:marLeft w:val="0"/>
      <w:marRight w:val="0"/>
      <w:marTop w:val="0"/>
      <w:marBottom w:val="0"/>
      <w:divBdr>
        <w:top w:val="none" w:sz="0" w:space="0" w:color="auto"/>
        <w:left w:val="none" w:sz="0" w:space="0" w:color="auto"/>
        <w:bottom w:val="none" w:sz="0" w:space="0" w:color="auto"/>
        <w:right w:val="none" w:sz="0" w:space="0" w:color="auto"/>
      </w:divBdr>
    </w:div>
    <w:div w:id="207109238">
      <w:bodyDiv w:val="1"/>
      <w:marLeft w:val="0"/>
      <w:marRight w:val="0"/>
      <w:marTop w:val="0"/>
      <w:marBottom w:val="0"/>
      <w:divBdr>
        <w:top w:val="none" w:sz="0" w:space="0" w:color="auto"/>
        <w:left w:val="none" w:sz="0" w:space="0" w:color="auto"/>
        <w:bottom w:val="none" w:sz="0" w:space="0" w:color="auto"/>
        <w:right w:val="none" w:sz="0" w:space="0" w:color="auto"/>
      </w:divBdr>
    </w:div>
    <w:div w:id="207880273">
      <w:bodyDiv w:val="1"/>
      <w:marLeft w:val="0"/>
      <w:marRight w:val="0"/>
      <w:marTop w:val="0"/>
      <w:marBottom w:val="0"/>
      <w:divBdr>
        <w:top w:val="none" w:sz="0" w:space="0" w:color="auto"/>
        <w:left w:val="none" w:sz="0" w:space="0" w:color="auto"/>
        <w:bottom w:val="none" w:sz="0" w:space="0" w:color="auto"/>
        <w:right w:val="none" w:sz="0" w:space="0" w:color="auto"/>
      </w:divBdr>
    </w:div>
    <w:div w:id="208153131">
      <w:bodyDiv w:val="1"/>
      <w:marLeft w:val="0"/>
      <w:marRight w:val="0"/>
      <w:marTop w:val="0"/>
      <w:marBottom w:val="0"/>
      <w:divBdr>
        <w:top w:val="none" w:sz="0" w:space="0" w:color="auto"/>
        <w:left w:val="none" w:sz="0" w:space="0" w:color="auto"/>
        <w:bottom w:val="none" w:sz="0" w:space="0" w:color="auto"/>
        <w:right w:val="none" w:sz="0" w:space="0" w:color="auto"/>
      </w:divBdr>
    </w:div>
    <w:div w:id="208300734">
      <w:bodyDiv w:val="1"/>
      <w:marLeft w:val="0"/>
      <w:marRight w:val="0"/>
      <w:marTop w:val="0"/>
      <w:marBottom w:val="0"/>
      <w:divBdr>
        <w:top w:val="none" w:sz="0" w:space="0" w:color="auto"/>
        <w:left w:val="none" w:sz="0" w:space="0" w:color="auto"/>
        <w:bottom w:val="none" w:sz="0" w:space="0" w:color="auto"/>
        <w:right w:val="none" w:sz="0" w:space="0" w:color="auto"/>
      </w:divBdr>
    </w:div>
    <w:div w:id="208882056">
      <w:bodyDiv w:val="1"/>
      <w:marLeft w:val="0"/>
      <w:marRight w:val="0"/>
      <w:marTop w:val="0"/>
      <w:marBottom w:val="0"/>
      <w:divBdr>
        <w:top w:val="none" w:sz="0" w:space="0" w:color="auto"/>
        <w:left w:val="none" w:sz="0" w:space="0" w:color="auto"/>
        <w:bottom w:val="none" w:sz="0" w:space="0" w:color="auto"/>
        <w:right w:val="none" w:sz="0" w:space="0" w:color="auto"/>
      </w:divBdr>
    </w:div>
    <w:div w:id="208958182">
      <w:bodyDiv w:val="1"/>
      <w:marLeft w:val="0"/>
      <w:marRight w:val="0"/>
      <w:marTop w:val="0"/>
      <w:marBottom w:val="0"/>
      <w:divBdr>
        <w:top w:val="none" w:sz="0" w:space="0" w:color="auto"/>
        <w:left w:val="none" w:sz="0" w:space="0" w:color="auto"/>
        <w:bottom w:val="none" w:sz="0" w:space="0" w:color="auto"/>
        <w:right w:val="none" w:sz="0" w:space="0" w:color="auto"/>
      </w:divBdr>
    </w:div>
    <w:div w:id="210849631">
      <w:bodyDiv w:val="1"/>
      <w:marLeft w:val="0"/>
      <w:marRight w:val="0"/>
      <w:marTop w:val="0"/>
      <w:marBottom w:val="0"/>
      <w:divBdr>
        <w:top w:val="none" w:sz="0" w:space="0" w:color="auto"/>
        <w:left w:val="none" w:sz="0" w:space="0" w:color="auto"/>
        <w:bottom w:val="none" w:sz="0" w:space="0" w:color="auto"/>
        <w:right w:val="none" w:sz="0" w:space="0" w:color="auto"/>
      </w:divBdr>
    </w:div>
    <w:div w:id="211356635">
      <w:bodyDiv w:val="1"/>
      <w:marLeft w:val="0"/>
      <w:marRight w:val="0"/>
      <w:marTop w:val="0"/>
      <w:marBottom w:val="0"/>
      <w:divBdr>
        <w:top w:val="none" w:sz="0" w:space="0" w:color="auto"/>
        <w:left w:val="none" w:sz="0" w:space="0" w:color="auto"/>
        <w:bottom w:val="none" w:sz="0" w:space="0" w:color="auto"/>
        <w:right w:val="none" w:sz="0" w:space="0" w:color="auto"/>
      </w:divBdr>
    </w:div>
    <w:div w:id="211618612">
      <w:bodyDiv w:val="1"/>
      <w:marLeft w:val="0"/>
      <w:marRight w:val="0"/>
      <w:marTop w:val="0"/>
      <w:marBottom w:val="0"/>
      <w:divBdr>
        <w:top w:val="none" w:sz="0" w:space="0" w:color="auto"/>
        <w:left w:val="none" w:sz="0" w:space="0" w:color="auto"/>
        <w:bottom w:val="none" w:sz="0" w:space="0" w:color="auto"/>
        <w:right w:val="none" w:sz="0" w:space="0" w:color="auto"/>
      </w:divBdr>
    </w:div>
    <w:div w:id="211892835">
      <w:bodyDiv w:val="1"/>
      <w:marLeft w:val="0"/>
      <w:marRight w:val="0"/>
      <w:marTop w:val="0"/>
      <w:marBottom w:val="0"/>
      <w:divBdr>
        <w:top w:val="none" w:sz="0" w:space="0" w:color="auto"/>
        <w:left w:val="none" w:sz="0" w:space="0" w:color="auto"/>
        <w:bottom w:val="none" w:sz="0" w:space="0" w:color="auto"/>
        <w:right w:val="none" w:sz="0" w:space="0" w:color="auto"/>
      </w:divBdr>
    </w:div>
    <w:div w:id="212469684">
      <w:bodyDiv w:val="1"/>
      <w:marLeft w:val="0"/>
      <w:marRight w:val="0"/>
      <w:marTop w:val="0"/>
      <w:marBottom w:val="0"/>
      <w:divBdr>
        <w:top w:val="none" w:sz="0" w:space="0" w:color="auto"/>
        <w:left w:val="none" w:sz="0" w:space="0" w:color="auto"/>
        <w:bottom w:val="none" w:sz="0" w:space="0" w:color="auto"/>
        <w:right w:val="none" w:sz="0" w:space="0" w:color="auto"/>
      </w:divBdr>
    </w:div>
    <w:div w:id="212469889">
      <w:bodyDiv w:val="1"/>
      <w:marLeft w:val="0"/>
      <w:marRight w:val="0"/>
      <w:marTop w:val="0"/>
      <w:marBottom w:val="0"/>
      <w:divBdr>
        <w:top w:val="none" w:sz="0" w:space="0" w:color="auto"/>
        <w:left w:val="none" w:sz="0" w:space="0" w:color="auto"/>
        <w:bottom w:val="none" w:sz="0" w:space="0" w:color="auto"/>
        <w:right w:val="none" w:sz="0" w:space="0" w:color="auto"/>
      </w:divBdr>
    </w:div>
    <w:div w:id="212935339">
      <w:bodyDiv w:val="1"/>
      <w:marLeft w:val="0"/>
      <w:marRight w:val="0"/>
      <w:marTop w:val="0"/>
      <w:marBottom w:val="0"/>
      <w:divBdr>
        <w:top w:val="none" w:sz="0" w:space="0" w:color="auto"/>
        <w:left w:val="none" w:sz="0" w:space="0" w:color="auto"/>
        <w:bottom w:val="none" w:sz="0" w:space="0" w:color="auto"/>
        <w:right w:val="none" w:sz="0" w:space="0" w:color="auto"/>
      </w:divBdr>
    </w:div>
    <w:div w:id="214631264">
      <w:bodyDiv w:val="1"/>
      <w:marLeft w:val="0"/>
      <w:marRight w:val="0"/>
      <w:marTop w:val="0"/>
      <w:marBottom w:val="0"/>
      <w:divBdr>
        <w:top w:val="none" w:sz="0" w:space="0" w:color="auto"/>
        <w:left w:val="none" w:sz="0" w:space="0" w:color="auto"/>
        <w:bottom w:val="none" w:sz="0" w:space="0" w:color="auto"/>
        <w:right w:val="none" w:sz="0" w:space="0" w:color="auto"/>
      </w:divBdr>
    </w:div>
    <w:div w:id="214708417">
      <w:bodyDiv w:val="1"/>
      <w:marLeft w:val="0"/>
      <w:marRight w:val="0"/>
      <w:marTop w:val="0"/>
      <w:marBottom w:val="0"/>
      <w:divBdr>
        <w:top w:val="none" w:sz="0" w:space="0" w:color="auto"/>
        <w:left w:val="none" w:sz="0" w:space="0" w:color="auto"/>
        <w:bottom w:val="none" w:sz="0" w:space="0" w:color="auto"/>
        <w:right w:val="none" w:sz="0" w:space="0" w:color="auto"/>
      </w:divBdr>
    </w:div>
    <w:div w:id="215700472">
      <w:bodyDiv w:val="1"/>
      <w:marLeft w:val="0"/>
      <w:marRight w:val="0"/>
      <w:marTop w:val="0"/>
      <w:marBottom w:val="0"/>
      <w:divBdr>
        <w:top w:val="none" w:sz="0" w:space="0" w:color="auto"/>
        <w:left w:val="none" w:sz="0" w:space="0" w:color="auto"/>
        <w:bottom w:val="none" w:sz="0" w:space="0" w:color="auto"/>
        <w:right w:val="none" w:sz="0" w:space="0" w:color="auto"/>
      </w:divBdr>
    </w:div>
    <w:div w:id="215971922">
      <w:bodyDiv w:val="1"/>
      <w:marLeft w:val="0"/>
      <w:marRight w:val="0"/>
      <w:marTop w:val="0"/>
      <w:marBottom w:val="0"/>
      <w:divBdr>
        <w:top w:val="none" w:sz="0" w:space="0" w:color="auto"/>
        <w:left w:val="none" w:sz="0" w:space="0" w:color="auto"/>
        <w:bottom w:val="none" w:sz="0" w:space="0" w:color="auto"/>
        <w:right w:val="none" w:sz="0" w:space="0" w:color="auto"/>
      </w:divBdr>
    </w:div>
    <w:div w:id="216356466">
      <w:bodyDiv w:val="1"/>
      <w:marLeft w:val="0"/>
      <w:marRight w:val="0"/>
      <w:marTop w:val="0"/>
      <w:marBottom w:val="0"/>
      <w:divBdr>
        <w:top w:val="none" w:sz="0" w:space="0" w:color="auto"/>
        <w:left w:val="none" w:sz="0" w:space="0" w:color="auto"/>
        <w:bottom w:val="none" w:sz="0" w:space="0" w:color="auto"/>
        <w:right w:val="none" w:sz="0" w:space="0" w:color="auto"/>
      </w:divBdr>
    </w:div>
    <w:div w:id="216625184">
      <w:bodyDiv w:val="1"/>
      <w:marLeft w:val="0"/>
      <w:marRight w:val="0"/>
      <w:marTop w:val="0"/>
      <w:marBottom w:val="0"/>
      <w:divBdr>
        <w:top w:val="none" w:sz="0" w:space="0" w:color="auto"/>
        <w:left w:val="none" w:sz="0" w:space="0" w:color="auto"/>
        <w:bottom w:val="none" w:sz="0" w:space="0" w:color="auto"/>
        <w:right w:val="none" w:sz="0" w:space="0" w:color="auto"/>
      </w:divBdr>
    </w:div>
    <w:div w:id="217135398">
      <w:bodyDiv w:val="1"/>
      <w:marLeft w:val="0"/>
      <w:marRight w:val="0"/>
      <w:marTop w:val="0"/>
      <w:marBottom w:val="0"/>
      <w:divBdr>
        <w:top w:val="none" w:sz="0" w:space="0" w:color="auto"/>
        <w:left w:val="none" w:sz="0" w:space="0" w:color="auto"/>
        <w:bottom w:val="none" w:sz="0" w:space="0" w:color="auto"/>
        <w:right w:val="none" w:sz="0" w:space="0" w:color="auto"/>
      </w:divBdr>
    </w:div>
    <w:div w:id="218128878">
      <w:bodyDiv w:val="1"/>
      <w:marLeft w:val="0"/>
      <w:marRight w:val="0"/>
      <w:marTop w:val="0"/>
      <w:marBottom w:val="0"/>
      <w:divBdr>
        <w:top w:val="none" w:sz="0" w:space="0" w:color="auto"/>
        <w:left w:val="none" w:sz="0" w:space="0" w:color="auto"/>
        <w:bottom w:val="none" w:sz="0" w:space="0" w:color="auto"/>
        <w:right w:val="none" w:sz="0" w:space="0" w:color="auto"/>
      </w:divBdr>
    </w:div>
    <w:div w:id="218129039">
      <w:bodyDiv w:val="1"/>
      <w:marLeft w:val="0"/>
      <w:marRight w:val="0"/>
      <w:marTop w:val="0"/>
      <w:marBottom w:val="0"/>
      <w:divBdr>
        <w:top w:val="none" w:sz="0" w:space="0" w:color="auto"/>
        <w:left w:val="none" w:sz="0" w:space="0" w:color="auto"/>
        <w:bottom w:val="none" w:sz="0" w:space="0" w:color="auto"/>
        <w:right w:val="none" w:sz="0" w:space="0" w:color="auto"/>
      </w:divBdr>
    </w:div>
    <w:div w:id="218832938">
      <w:bodyDiv w:val="1"/>
      <w:marLeft w:val="0"/>
      <w:marRight w:val="0"/>
      <w:marTop w:val="0"/>
      <w:marBottom w:val="0"/>
      <w:divBdr>
        <w:top w:val="none" w:sz="0" w:space="0" w:color="auto"/>
        <w:left w:val="none" w:sz="0" w:space="0" w:color="auto"/>
        <w:bottom w:val="none" w:sz="0" w:space="0" w:color="auto"/>
        <w:right w:val="none" w:sz="0" w:space="0" w:color="auto"/>
      </w:divBdr>
    </w:div>
    <w:div w:id="220559569">
      <w:bodyDiv w:val="1"/>
      <w:marLeft w:val="0"/>
      <w:marRight w:val="0"/>
      <w:marTop w:val="0"/>
      <w:marBottom w:val="0"/>
      <w:divBdr>
        <w:top w:val="none" w:sz="0" w:space="0" w:color="auto"/>
        <w:left w:val="none" w:sz="0" w:space="0" w:color="auto"/>
        <w:bottom w:val="none" w:sz="0" w:space="0" w:color="auto"/>
        <w:right w:val="none" w:sz="0" w:space="0" w:color="auto"/>
      </w:divBdr>
    </w:div>
    <w:div w:id="221336323">
      <w:bodyDiv w:val="1"/>
      <w:marLeft w:val="0"/>
      <w:marRight w:val="0"/>
      <w:marTop w:val="0"/>
      <w:marBottom w:val="0"/>
      <w:divBdr>
        <w:top w:val="none" w:sz="0" w:space="0" w:color="auto"/>
        <w:left w:val="none" w:sz="0" w:space="0" w:color="auto"/>
        <w:bottom w:val="none" w:sz="0" w:space="0" w:color="auto"/>
        <w:right w:val="none" w:sz="0" w:space="0" w:color="auto"/>
      </w:divBdr>
    </w:div>
    <w:div w:id="222065419">
      <w:bodyDiv w:val="1"/>
      <w:marLeft w:val="0"/>
      <w:marRight w:val="0"/>
      <w:marTop w:val="0"/>
      <w:marBottom w:val="0"/>
      <w:divBdr>
        <w:top w:val="none" w:sz="0" w:space="0" w:color="auto"/>
        <w:left w:val="none" w:sz="0" w:space="0" w:color="auto"/>
        <w:bottom w:val="none" w:sz="0" w:space="0" w:color="auto"/>
        <w:right w:val="none" w:sz="0" w:space="0" w:color="auto"/>
      </w:divBdr>
    </w:div>
    <w:div w:id="222494882">
      <w:bodyDiv w:val="1"/>
      <w:marLeft w:val="0"/>
      <w:marRight w:val="0"/>
      <w:marTop w:val="0"/>
      <w:marBottom w:val="0"/>
      <w:divBdr>
        <w:top w:val="none" w:sz="0" w:space="0" w:color="auto"/>
        <w:left w:val="none" w:sz="0" w:space="0" w:color="auto"/>
        <w:bottom w:val="none" w:sz="0" w:space="0" w:color="auto"/>
        <w:right w:val="none" w:sz="0" w:space="0" w:color="auto"/>
      </w:divBdr>
    </w:div>
    <w:div w:id="222913754">
      <w:bodyDiv w:val="1"/>
      <w:marLeft w:val="0"/>
      <w:marRight w:val="0"/>
      <w:marTop w:val="0"/>
      <w:marBottom w:val="0"/>
      <w:divBdr>
        <w:top w:val="none" w:sz="0" w:space="0" w:color="auto"/>
        <w:left w:val="none" w:sz="0" w:space="0" w:color="auto"/>
        <w:bottom w:val="none" w:sz="0" w:space="0" w:color="auto"/>
        <w:right w:val="none" w:sz="0" w:space="0" w:color="auto"/>
      </w:divBdr>
    </w:div>
    <w:div w:id="224875903">
      <w:bodyDiv w:val="1"/>
      <w:marLeft w:val="0"/>
      <w:marRight w:val="0"/>
      <w:marTop w:val="0"/>
      <w:marBottom w:val="0"/>
      <w:divBdr>
        <w:top w:val="none" w:sz="0" w:space="0" w:color="auto"/>
        <w:left w:val="none" w:sz="0" w:space="0" w:color="auto"/>
        <w:bottom w:val="none" w:sz="0" w:space="0" w:color="auto"/>
        <w:right w:val="none" w:sz="0" w:space="0" w:color="auto"/>
      </w:divBdr>
    </w:div>
    <w:div w:id="225264544">
      <w:bodyDiv w:val="1"/>
      <w:marLeft w:val="0"/>
      <w:marRight w:val="0"/>
      <w:marTop w:val="0"/>
      <w:marBottom w:val="0"/>
      <w:divBdr>
        <w:top w:val="none" w:sz="0" w:space="0" w:color="auto"/>
        <w:left w:val="none" w:sz="0" w:space="0" w:color="auto"/>
        <w:bottom w:val="none" w:sz="0" w:space="0" w:color="auto"/>
        <w:right w:val="none" w:sz="0" w:space="0" w:color="auto"/>
      </w:divBdr>
    </w:div>
    <w:div w:id="225343573">
      <w:bodyDiv w:val="1"/>
      <w:marLeft w:val="0"/>
      <w:marRight w:val="0"/>
      <w:marTop w:val="0"/>
      <w:marBottom w:val="0"/>
      <w:divBdr>
        <w:top w:val="none" w:sz="0" w:space="0" w:color="auto"/>
        <w:left w:val="none" w:sz="0" w:space="0" w:color="auto"/>
        <w:bottom w:val="none" w:sz="0" w:space="0" w:color="auto"/>
        <w:right w:val="none" w:sz="0" w:space="0" w:color="auto"/>
      </w:divBdr>
    </w:div>
    <w:div w:id="225728550">
      <w:bodyDiv w:val="1"/>
      <w:marLeft w:val="0"/>
      <w:marRight w:val="0"/>
      <w:marTop w:val="0"/>
      <w:marBottom w:val="0"/>
      <w:divBdr>
        <w:top w:val="none" w:sz="0" w:space="0" w:color="auto"/>
        <w:left w:val="none" w:sz="0" w:space="0" w:color="auto"/>
        <w:bottom w:val="none" w:sz="0" w:space="0" w:color="auto"/>
        <w:right w:val="none" w:sz="0" w:space="0" w:color="auto"/>
      </w:divBdr>
    </w:div>
    <w:div w:id="226766770">
      <w:bodyDiv w:val="1"/>
      <w:marLeft w:val="0"/>
      <w:marRight w:val="0"/>
      <w:marTop w:val="0"/>
      <w:marBottom w:val="0"/>
      <w:divBdr>
        <w:top w:val="none" w:sz="0" w:space="0" w:color="auto"/>
        <w:left w:val="none" w:sz="0" w:space="0" w:color="auto"/>
        <w:bottom w:val="none" w:sz="0" w:space="0" w:color="auto"/>
        <w:right w:val="none" w:sz="0" w:space="0" w:color="auto"/>
      </w:divBdr>
    </w:div>
    <w:div w:id="227032880">
      <w:bodyDiv w:val="1"/>
      <w:marLeft w:val="0"/>
      <w:marRight w:val="0"/>
      <w:marTop w:val="0"/>
      <w:marBottom w:val="0"/>
      <w:divBdr>
        <w:top w:val="none" w:sz="0" w:space="0" w:color="auto"/>
        <w:left w:val="none" w:sz="0" w:space="0" w:color="auto"/>
        <w:bottom w:val="none" w:sz="0" w:space="0" w:color="auto"/>
        <w:right w:val="none" w:sz="0" w:space="0" w:color="auto"/>
      </w:divBdr>
    </w:div>
    <w:div w:id="227231330">
      <w:bodyDiv w:val="1"/>
      <w:marLeft w:val="0"/>
      <w:marRight w:val="0"/>
      <w:marTop w:val="0"/>
      <w:marBottom w:val="0"/>
      <w:divBdr>
        <w:top w:val="none" w:sz="0" w:space="0" w:color="auto"/>
        <w:left w:val="none" w:sz="0" w:space="0" w:color="auto"/>
        <w:bottom w:val="none" w:sz="0" w:space="0" w:color="auto"/>
        <w:right w:val="none" w:sz="0" w:space="0" w:color="auto"/>
      </w:divBdr>
    </w:div>
    <w:div w:id="227615364">
      <w:bodyDiv w:val="1"/>
      <w:marLeft w:val="0"/>
      <w:marRight w:val="0"/>
      <w:marTop w:val="0"/>
      <w:marBottom w:val="0"/>
      <w:divBdr>
        <w:top w:val="none" w:sz="0" w:space="0" w:color="auto"/>
        <w:left w:val="none" w:sz="0" w:space="0" w:color="auto"/>
        <w:bottom w:val="none" w:sz="0" w:space="0" w:color="auto"/>
        <w:right w:val="none" w:sz="0" w:space="0" w:color="auto"/>
      </w:divBdr>
    </w:div>
    <w:div w:id="228200176">
      <w:bodyDiv w:val="1"/>
      <w:marLeft w:val="0"/>
      <w:marRight w:val="0"/>
      <w:marTop w:val="0"/>
      <w:marBottom w:val="0"/>
      <w:divBdr>
        <w:top w:val="none" w:sz="0" w:space="0" w:color="auto"/>
        <w:left w:val="none" w:sz="0" w:space="0" w:color="auto"/>
        <w:bottom w:val="none" w:sz="0" w:space="0" w:color="auto"/>
        <w:right w:val="none" w:sz="0" w:space="0" w:color="auto"/>
      </w:divBdr>
    </w:div>
    <w:div w:id="228467487">
      <w:bodyDiv w:val="1"/>
      <w:marLeft w:val="0"/>
      <w:marRight w:val="0"/>
      <w:marTop w:val="0"/>
      <w:marBottom w:val="0"/>
      <w:divBdr>
        <w:top w:val="none" w:sz="0" w:space="0" w:color="auto"/>
        <w:left w:val="none" w:sz="0" w:space="0" w:color="auto"/>
        <w:bottom w:val="none" w:sz="0" w:space="0" w:color="auto"/>
        <w:right w:val="none" w:sz="0" w:space="0" w:color="auto"/>
      </w:divBdr>
    </w:div>
    <w:div w:id="229577944">
      <w:bodyDiv w:val="1"/>
      <w:marLeft w:val="0"/>
      <w:marRight w:val="0"/>
      <w:marTop w:val="0"/>
      <w:marBottom w:val="0"/>
      <w:divBdr>
        <w:top w:val="none" w:sz="0" w:space="0" w:color="auto"/>
        <w:left w:val="none" w:sz="0" w:space="0" w:color="auto"/>
        <w:bottom w:val="none" w:sz="0" w:space="0" w:color="auto"/>
        <w:right w:val="none" w:sz="0" w:space="0" w:color="auto"/>
      </w:divBdr>
    </w:div>
    <w:div w:id="231157665">
      <w:bodyDiv w:val="1"/>
      <w:marLeft w:val="0"/>
      <w:marRight w:val="0"/>
      <w:marTop w:val="0"/>
      <w:marBottom w:val="0"/>
      <w:divBdr>
        <w:top w:val="none" w:sz="0" w:space="0" w:color="auto"/>
        <w:left w:val="none" w:sz="0" w:space="0" w:color="auto"/>
        <w:bottom w:val="none" w:sz="0" w:space="0" w:color="auto"/>
        <w:right w:val="none" w:sz="0" w:space="0" w:color="auto"/>
      </w:divBdr>
    </w:div>
    <w:div w:id="231502683">
      <w:bodyDiv w:val="1"/>
      <w:marLeft w:val="0"/>
      <w:marRight w:val="0"/>
      <w:marTop w:val="0"/>
      <w:marBottom w:val="0"/>
      <w:divBdr>
        <w:top w:val="none" w:sz="0" w:space="0" w:color="auto"/>
        <w:left w:val="none" w:sz="0" w:space="0" w:color="auto"/>
        <w:bottom w:val="none" w:sz="0" w:space="0" w:color="auto"/>
        <w:right w:val="none" w:sz="0" w:space="0" w:color="auto"/>
      </w:divBdr>
    </w:div>
    <w:div w:id="232784865">
      <w:bodyDiv w:val="1"/>
      <w:marLeft w:val="0"/>
      <w:marRight w:val="0"/>
      <w:marTop w:val="0"/>
      <w:marBottom w:val="0"/>
      <w:divBdr>
        <w:top w:val="none" w:sz="0" w:space="0" w:color="auto"/>
        <w:left w:val="none" w:sz="0" w:space="0" w:color="auto"/>
        <w:bottom w:val="none" w:sz="0" w:space="0" w:color="auto"/>
        <w:right w:val="none" w:sz="0" w:space="0" w:color="auto"/>
      </w:divBdr>
    </w:div>
    <w:div w:id="233318330">
      <w:bodyDiv w:val="1"/>
      <w:marLeft w:val="0"/>
      <w:marRight w:val="0"/>
      <w:marTop w:val="0"/>
      <w:marBottom w:val="0"/>
      <w:divBdr>
        <w:top w:val="none" w:sz="0" w:space="0" w:color="auto"/>
        <w:left w:val="none" w:sz="0" w:space="0" w:color="auto"/>
        <w:bottom w:val="none" w:sz="0" w:space="0" w:color="auto"/>
        <w:right w:val="none" w:sz="0" w:space="0" w:color="auto"/>
      </w:divBdr>
    </w:div>
    <w:div w:id="233322234">
      <w:bodyDiv w:val="1"/>
      <w:marLeft w:val="0"/>
      <w:marRight w:val="0"/>
      <w:marTop w:val="0"/>
      <w:marBottom w:val="0"/>
      <w:divBdr>
        <w:top w:val="none" w:sz="0" w:space="0" w:color="auto"/>
        <w:left w:val="none" w:sz="0" w:space="0" w:color="auto"/>
        <w:bottom w:val="none" w:sz="0" w:space="0" w:color="auto"/>
        <w:right w:val="none" w:sz="0" w:space="0" w:color="auto"/>
      </w:divBdr>
    </w:div>
    <w:div w:id="234122668">
      <w:bodyDiv w:val="1"/>
      <w:marLeft w:val="0"/>
      <w:marRight w:val="0"/>
      <w:marTop w:val="0"/>
      <w:marBottom w:val="0"/>
      <w:divBdr>
        <w:top w:val="none" w:sz="0" w:space="0" w:color="auto"/>
        <w:left w:val="none" w:sz="0" w:space="0" w:color="auto"/>
        <w:bottom w:val="none" w:sz="0" w:space="0" w:color="auto"/>
        <w:right w:val="none" w:sz="0" w:space="0" w:color="auto"/>
      </w:divBdr>
    </w:div>
    <w:div w:id="234245885">
      <w:bodyDiv w:val="1"/>
      <w:marLeft w:val="0"/>
      <w:marRight w:val="0"/>
      <w:marTop w:val="0"/>
      <w:marBottom w:val="0"/>
      <w:divBdr>
        <w:top w:val="none" w:sz="0" w:space="0" w:color="auto"/>
        <w:left w:val="none" w:sz="0" w:space="0" w:color="auto"/>
        <w:bottom w:val="none" w:sz="0" w:space="0" w:color="auto"/>
        <w:right w:val="none" w:sz="0" w:space="0" w:color="auto"/>
      </w:divBdr>
    </w:div>
    <w:div w:id="234291299">
      <w:bodyDiv w:val="1"/>
      <w:marLeft w:val="0"/>
      <w:marRight w:val="0"/>
      <w:marTop w:val="0"/>
      <w:marBottom w:val="0"/>
      <w:divBdr>
        <w:top w:val="none" w:sz="0" w:space="0" w:color="auto"/>
        <w:left w:val="none" w:sz="0" w:space="0" w:color="auto"/>
        <w:bottom w:val="none" w:sz="0" w:space="0" w:color="auto"/>
        <w:right w:val="none" w:sz="0" w:space="0" w:color="auto"/>
      </w:divBdr>
    </w:div>
    <w:div w:id="235479108">
      <w:bodyDiv w:val="1"/>
      <w:marLeft w:val="0"/>
      <w:marRight w:val="0"/>
      <w:marTop w:val="0"/>
      <w:marBottom w:val="0"/>
      <w:divBdr>
        <w:top w:val="none" w:sz="0" w:space="0" w:color="auto"/>
        <w:left w:val="none" w:sz="0" w:space="0" w:color="auto"/>
        <w:bottom w:val="none" w:sz="0" w:space="0" w:color="auto"/>
        <w:right w:val="none" w:sz="0" w:space="0" w:color="auto"/>
      </w:divBdr>
    </w:div>
    <w:div w:id="235483872">
      <w:bodyDiv w:val="1"/>
      <w:marLeft w:val="0"/>
      <w:marRight w:val="0"/>
      <w:marTop w:val="0"/>
      <w:marBottom w:val="0"/>
      <w:divBdr>
        <w:top w:val="none" w:sz="0" w:space="0" w:color="auto"/>
        <w:left w:val="none" w:sz="0" w:space="0" w:color="auto"/>
        <w:bottom w:val="none" w:sz="0" w:space="0" w:color="auto"/>
        <w:right w:val="none" w:sz="0" w:space="0" w:color="auto"/>
      </w:divBdr>
    </w:div>
    <w:div w:id="235552817">
      <w:bodyDiv w:val="1"/>
      <w:marLeft w:val="0"/>
      <w:marRight w:val="0"/>
      <w:marTop w:val="0"/>
      <w:marBottom w:val="0"/>
      <w:divBdr>
        <w:top w:val="none" w:sz="0" w:space="0" w:color="auto"/>
        <w:left w:val="none" w:sz="0" w:space="0" w:color="auto"/>
        <w:bottom w:val="none" w:sz="0" w:space="0" w:color="auto"/>
        <w:right w:val="none" w:sz="0" w:space="0" w:color="auto"/>
      </w:divBdr>
    </w:div>
    <w:div w:id="237129676">
      <w:bodyDiv w:val="1"/>
      <w:marLeft w:val="0"/>
      <w:marRight w:val="0"/>
      <w:marTop w:val="0"/>
      <w:marBottom w:val="0"/>
      <w:divBdr>
        <w:top w:val="none" w:sz="0" w:space="0" w:color="auto"/>
        <w:left w:val="none" w:sz="0" w:space="0" w:color="auto"/>
        <w:bottom w:val="none" w:sz="0" w:space="0" w:color="auto"/>
        <w:right w:val="none" w:sz="0" w:space="0" w:color="auto"/>
      </w:divBdr>
    </w:div>
    <w:div w:id="238642087">
      <w:bodyDiv w:val="1"/>
      <w:marLeft w:val="0"/>
      <w:marRight w:val="0"/>
      <w:marTop w:val="0"/>
      <w:marBottom w:val="0"/>
      <w:divBdr>
        <w:top w:val="none" w:sz="0" w:space="0" w:color="auto"/>
        <w:left w:val="none" w:sz="0" w:space="0" w:color="auto"/>
        <w:bottom w:val="none" w:sz="0" w:space="0" w:color="auto"/>
        <w:right w:val="none" w:sz="0" w:space="0" w:color="auto"/>
      </w:divBdr>
    </w:div>
    <w:div w:id="238712738">
      <w:bodyDiv w:val="1"/>
      <w:marLeft w:val="0"/>
      <w:marRight w:val="0"/>
      <w:marTop w:val="0"/>
      <w:marBottom w:val="0"/>
      <w:divBdr>
        <w:top w:val="none" w:sz="0" w:space="0" w:color="auto"/>
        <w:left w:val="none" w:sz="0" w:space="0" w:color="auto"/>
        <w:bottom w:val="none" w:sz="0" w:space="0" w:color="auto"/>
        <w:right w:val="none" w:sz="0" w:space="0" w:color="auto"/>
      </w:divBdr>
    </w:div>
    <w:div w:id="239410114">
      <w:bodyDiv w:val="1"/>
      <w:marLeft w:val="0"/>
      <w:marRight w:val="0"/>
      <w:marTop w:val="0"/>
      <w:marBottom w:val="0"/>
      <w:divBdr>
        <w:top w:val="none" w:sz="0" w:space="0" w:color="auto"/>
        <w:left w:val="none" w:sz="0" w:space="0" w:color="auto"/>
        <w:bottom w:val="none" w:sz="0" w:space="0" w:color="auto"/>
        <w:right w:val="none" w:sz="0" w:space="0" w:color="auto"/>
      </w:divBdr>
    </w:div>
    <w:div w:id="239603767">
      <w:bodyDiv w:val="1"/>
      <w:marLeft w:val="0"/>
      <w:marRight w:val="0"/>
      <w:marTop w:val="0"/>
      <w:marBottom w:val="0"/>
      <w:divBdr>
        <w:top w:val="none" w:sz="0" w:space="0" w:color="auto"/>
        <w:left w:val="none" w:sz="0" w:space="0" w:color="auto"/>
        <w:bottom w:val="none" w:sz="0" w:space="0" w:color="auto"/>
        <w:right w:val="none" w:sz="0" w:space="0" w:color="auto"/>
      </w:divBdr>
    </w:div>
    <w:div w:id="240877142">
      <w:bodyDiv w:val="1"/>
      <w:marLeft w:val="0"/>
      <w:marRight w:val="0"/>
      <w:marTop w:val="0"/>
      <w:marBottom w:val="0"/>
      <w:divBdr>
        <w:top w:val="none" w:sz="0" w:space="0" w:color="auto"/>
        <w:left w:val="none" w:sz="0" w:space="0" w:color="auto"/>
        <w:bottom w:val="none" w:sz="0" w:space="0" w:color="auto"/>
        <w:right w:val="none" w:sz="0" w:space="0" w:color="auto"/>
      </w:divBdr>
    </w:div>
    <w:div w:id="241304315">
      <w:bodyDiv w:val="1"/>
      <w:marLeft w:val="0"/>
      <w:marRight w:val="0"/>
      <w:marTop w:val="0"/>
      <w:marBottom w:val="0"/>
      <w:divBdr>
        <w:top w:val="none" w:sz="0" w:space="0" w:color="auto"/>
        <w:left w:val="none" w:sz="0" w:space="0" w:color="auto"/>
        <w:bottom w:val="none" w:sz="0" w:space="0" w:color="auto"/>
        <w:right w:val="none" w:sz="0" w:space="0" w:color="auto"/>
      </w:divBdr>
    </w:div>
    <w:div w:id="244580749">
      <w:bodyDiv w:val="1"/>
      <w:marLeft w:val="0"/>
      <w:marRight w:val="0"/>
      <w:marTop w:val="0"/>
      <w:marBottom w:val="0"/>
      <w:divBdr>
        <w:top w:val="none" w:sz="0" w:space="0" w:color="auto"/>
        <w:left w:val="none" w:sz="0" w:space="0" w:color="auto"/>
        <w:bottom w:val="none" w:sz="0" w:space="0" w:color="auto"/>
        <w:right w:val="none" w:sz="0" w:space="0" w:color="auto"/>
      </w:divBdr>
    </w:div>
    <w:div w:id="247270328">
      <w:bodyDiv w:val="1"/>
      <w:marLeft w:val="0"/>
      <w:marRight w:val="0"/>
      <w:marTop w:val="0"/>
      <w:marBottom w:val="0"/>
      <w:divBdr>
        <w:top w:val="none" w:sz="0" w:space="0" w:color="auto"/>
        <w:left w:val="none" w:sz="0" w:space="0" w:color="auto"/>
        <w:bottom w:val="none" w:sz="0" w:space="0" w:color="auto"/>
        <w:right w:val="none" w:sz="0" w:space="0" w:color="auto"/>
      </w:divBdr>
    </w:div>
    <w:div w:id="247543226">
      <w:bodyDiv w:val="1"/>
      <w:marLeft w:val="0"/>
      <w:marRight w:val="0"/>
      <w:marTop w:val="0"/>
      <w:marBottom w:val="0"/>
      <w:divBdr>
        <w:top w:val="none" w:sz="0" w:space="0" w:color="auto"/>
        <w:left w:val="none" w:sz="0" w:space="0" w:color="auto"/>
        <w:bottom w:val="none" w:sz="0" w:space="0" w:color="auto"/>
        <w:right w:val="none" w:sz="0" w:space="0" w:color="auto"/>
      </w:divBdr>
    </w:div>
    <w:div w:id="248004469">
      <w:bodyDiv w:val="1"/>
      <w:marLeft w:val="0"/>
      <w:marRight w:val="0"/>
      <w:marTop w:val="0"/>
      <w:marBottom w:val="0"/>
      <w:divBdr>
        <w:top w:val="none" w:sz="0" w:space="0" w:color="auto"/>
        <w:left w:val="none" w:sz="0" w:space="0" w:color="auto"/>
        <w:bottom w:val="none" w:sz="0" w:space="0" w:color="auto"/>
        <w:right w:val="none" w:sz="0" w:space="0" w:color="auto"/>
      </w:divBdr>
    </w:div>
    <w:div w:id="248391683">
      <w:bodyDiv w:val="1"/>
      <w:marLeft w:val="0"/>
      <w:marRight w:val="0"/>
      <w:marTop w:val="0"/>
      <w:marBottom w:val="0"/>
      <w:divBdr>
        <w:top w:val="none" w:sz="0" w:space="0" w:color="auto"/>
        <w:left w:val="none" w:sz="0" w:space="0" w:color="auto"/>
        <w:bottom w:val="none" w:sz="0" w:space="0" w:color="auto"/>
        <w:right w:val="none" w:sz="0" w:space="0" w:color="auto"/>
      </w:divBdr>
    </w:div>
    <w:div w:id="248462047">
      <w:bodyDiv w:val="1"/>
      <w:marLeft w:val="0"/>
      <w:marRight w:val="0"/>
      <w:marTop w:val="0"/>
      <w:marBottom w:val="0"/>
      <w:divBdr>
        <w:top w:val="none" w:sz="0" w:space="0" w:color="auto"/>
        <w:left w:val="none" w:sz="0" w:space="0" w:color="auto"/>
        <w:bottom w:val="none" w:sz="0" w:space="0" w:color="auto"/>
        <w:right w:val="none" w:sz="0" w:space="0" w:color="auto"/>
      </w:divBdr>
    </w:div>
    <w:div w:id="249117419">
      <w:bodyDiv w:val="1"/>
      <w:marLeft w:val="0"/>
      <w:marRight w:val="0"/>
      <w:marTop w:val="0"/>
      <w:marBottom w:val="0"/>
      <w:divBdr>
        <w:top w:val="none" w:sz="0" w:space="0" w:color="auto"/>
        <w:left w:val="none" w:sz="0" w:space="0" w:color="auto"/>
        <w:bottom w:val="none" w:sz="0" w:space="0" w:color="auto"/>
        <w:right w:val="none" w:sz="0" w:space="0" w:color="auto"/>
      </w:divBdr>
    </w:div>
    <w:div w:id="249315150">
      <w:bodyDiv w:val="1"/>
      <w:marLeft w:val="0"/>
      <w:marRight w:val="0"/>
      <w:marTop w:val="0"/>
      <w:marBottom w:val="0"/>
      <w:divBdr>
        <w:top w:val="none" w:sz="0" w:space="0" w:color="auto"/>
        <w:left w:val="none" w:sz="0" w:space="0" w:color="auto"/>
        <w:bottom w:val="none" w:sz="0" w:space="0" w:color="auto"/>
        <w:right w:val="none" w:sz="0" w:space="0" w:color="auto"/>
      </w:divBdr>
    </w:div>
    <w:div w:id="250168327">
      <w:bodyDiv w:val="1"/>
      <w:marLeft w:val="0"/>
      <w:marRight w:val="0"/>
      <w:marTop w:val="0"/>
      <w:marBottom w:val="0"/>
      <w:divBdr>
        <w:top w:val="none" w:sz="0" w:space="0" w:color="auto"/>
        <w:left w:val="none" w:sz="0" w:space="0" w:color="auto"/>
        <w:bottom w:val="none" w:sz="0" w:space="0" w:color="auto"/>
        <w:right w:val="none" w:sz="0" w:space="0" w:color="auto"/>
      </w:divBdr>
    </w:div>
    <w:div w:id="250362064">
      <w:bodyDiv w:val="1"/>
      <w:marLeft w:val="0"/>
      <w:marRight w:val="0"/>
      <w:marTop w:val="0"/>
      <w:marBottom w:val="0"/>
      <w:divBdr>
        <w:top w:val="none" w:sz="0" w:space="0" w:color="auto"/>
        <w:left w:val="none" w:sz="0" w:space="0" w:color="auto"/>
        <w:bottom w:val="none" w:sz="0" w:space="0" w:color="auto"/>
        <w:right w:val="none" w:sz="0" w:space="0" w:color="auto"/>
      </w:divBdr>
    </w:div>
    <w:div w:id="250435168">
      <w:bodyDiv w:val="1"/>
      <w:marLeft w:val="0"/>
      <w:marRight w:val="0"/>
      <w:marTop w:val="0"/>
      <w:marBottom w:val="0"/>
      <w:divBdr>
        <w:top w:val="none" w:sz="0" w:space="0" w:color="auto"/>
        <w:left w:val="none" w:sz="0" w:space="0" w:color="auto"/>
        <w:bottom w:val="none" w:sz="0" w:space="0" w:color="auto"/>
        <w:right w:val="none" w:sz="0" w:space="0" w:color="auto"/>
      </w:divBdr>
    </w:div>
    <w:div w:id="250898684">
      <w:bodyDiv w:val="1"/>
      <w:marLeft w:val="0"/>
      <w:marRight w:val="0"/>
      <w:marTop w:val="0"/>
      <w:marBottom w:val="0"/>
      <w:divBdr>
        <w:top w:val="none" w:sz="0" w:space="0" w:color="auto"/>
        <w:left w:val="none" w:sz="0" w:space="0" w:color="auto"/>
        <w:bottom w:val="none" w:sz="0" w:space="0" w:color="auto"/>
        <w:right w:val="none" w:sz="0" w:space="0" w:color="auto"/>
      </w:divBdr>
    </w:div>
    <w:div w:id="250938467">
      <w:bodyDiv w:val="1"/>
      <w:marLeft w:val="0"/>
      <w:marRight w:val="0"/>
      <w:marTop w:val="0"/>
      <w:marBottom w:val="0"/>
      <w:divBdr>
        <w:top w:val="none" w:sz="0" w:space="0" w:color="auto"/>
        <w:left w:val="none" w:sz="0" w:space="0" w:color="auto"/>
        <w:bottom w:val="none" w:sz="0" w:space="0" w:color="auto"/>
        <w:right w:val="none" w:sz="0" w:space="0" w:color="auto"/>
      </w:divBdr>
    </w:div>
    <w:div w:id="251742540">
      <w:bodyDiv w:val="1"/>
      <w:marLeft w:val="0"/>
      <w:marRight w:val="0"/>
      <w:marTop w:val="0"/>
      <w:marBottom w:val="0"/>
      <w:divBdr>
        <w:top w:val="none" w:sz="0" w:space="0" w:color="auto"/>
        <w:left w:val="none" w:sz="0" w:space="0" w:color="auto"/>
        <w:bottom w:val="none" w:sz="0" w:space="0" w:color="auto"/>
        <w:right w:val="none" w:sz="0" w:space="0" w:color="auto"/>
      </w:divBdr>
    </w:div>
    <w:div w:id="252009751">
      <w:bodyDiv w:val="1"/>
      <w:marLeft w:val="0"/>
      <w:marRight w:val="0"/>
      <w:marTop w:val="0"/>
      <w:marBottom w:val="0"/>
      <w:divBdr>
        <w:top w:val="none" w:sz="0" w:space="0" w:color="auto"/>
        <w:left w:val="none" w:sz="0" w:space="0" w:color="auto"/>
        <w:bottom w:val="none" w:sz="0" w:space="0" w:color="auto"/>
        <w:right w:val="none" w:sz="0" w:space="0" w:color="auto"/>
      </w:divBdr>
    </w:div>
    <w:div w:id="252011825">
      <w:bodyDiv w:val="1"/>
      <w:marLeft w:val="0"/>
      <w:marRight w:val="0"/>
      <w:marTop w:val="0"/>
      <w:marBottom w:val="0"/>
      <w:divBdr>
        <w:top w:val="none" w:sz="0" w:space="0" w:color="auto"/>
        <w:left w:val="none" w:sz="0" w:space="0" w:color="auto"/>
        <w:bottom w:val="none" w:sz="0" w:space="0" w:color="auto"/>
        <w:right w:val="none" w:sz="0" w:space="0" w:color="auto"/>
      </w:divBdr>
    </w:div>
    <w:div w:id="254754002">
      <w:bodyDiv w:val="1"/>
      <w:marLeft w:val="0"/>
      <w:marRight w:val="0"/>
      <w:marTop w:val="0"/>
      <w:marBottom w:val="0"/>
      <w:divBdr>
        <w:top w:val="none" w:sz="0" w:space="0" w:color="auto"/>
        <w:left w:val="none" w:sz="0" w:space="0" w:color="auto"/>
        <w:bottom w:val="none" w:sz="0" w:space="0" w:color="auto"/>
        <w:right w:val="none" w:sz="0" w:space="0" w:color="auto"/>
      </w:divBdr>
    </w:div>
    <w:div w:id="254823942">
      <w:bodyDiv w:val="1"/>
      <w:marLeft w:val="0"/>
      <w:marRight w:val="0"/>
      <w:marTop w:val="0"/>
      <w:marBottom w:val="0"/>
      <w:divBdr>
        <w:top w:val="none" w:sz="0" w:space="0" w:color="auto"/>
        <w:left w:val="none" w:sz="0" w:space="0" w:color="auto"/>
        <w:bottom w:val="none" w:sz="0" w:space="0" w:color="auto"/>
        <w:right w:val="none" w:sz="0" w:space="0" w:color="auto"/>
      </w:divBdr>
    </w:div>
    <w:div w:id="255290189">
      <w:bodyDiv w:val="1"/>
      <w:marLeft w:val="0"/>
      <w:marRight w:val="0"/>
      <w:marTop w:val="0"/>
      <w:marBottom w:val="0"/>
      <w:divBdr>
        <w:top w:val="none" w:sz="0" w:space="0" w:color="auto"/>
        <w:left w:val="none" w:sz="0" w:space="0" w:color="auto"/>
        <w:bottom w:val="none" w:sz="0" w:space="0" w:color="auto"/>
        <w:right w:val="none" w:sz="0" w:space="0" w:color="auto"/>
      </w:divBdr>
    </w:div>
    <w:div w:id="255481354">
      <w:bodyDiv w:val="1"/>
      <w:marLeft w:val="0"/>
      <w:marRight w:val="0"/>
      <w:marTop w:val="0"/>
      <w:marBottom w:val="0"/>
      <w:divBdr>
        <w:top w:val="none" w:sz="0" w:space="0" w:color="auto"/>
        <w:left w:val="none" w:sz="0" w:space="0" w:color="auto"/>
        <w:bottom w:val="none" w:sz="0" w:space="0" w:color="auto"/>
        <w:right w:val="none" w:sz="0" w:space="0" w:color="auto"/>
      </w:divBdr>
    </w:div>
    <w:div w:id="255675153">
      <w:bodyDiv w:val="1"/>
      <w:marLeft w:val="0"/>
      <w:marRight w:val="0"/>
      <w:marTop w:val="0"/>
      <w:marBottom w:val="0"/>
      <w:divBdr>
        <w:top w:val="none" w:sz="0" w:space="0" w:color="auto"/>
        <w:left w:val="none" w:sz="0" w:space="0" w:color="auto"/>
        <w:bottom w:val="none" w:sz="0" w:space="0" w:color="auto"/>
        <w:right w:val="none" w:sz="0" w:space="0" w:color="auto"/>
      </w:divBdr>
    </w:div>
    <w:div w:id="255872029">
      <w:bodyDiv w:val="1"/>
      <w:marLeft w:val="0"/>
      <w:marRight w:val="0"/>
      <w:marTop w:val="0"/>
      <w:marBottom w:val="0"/>
      <w:divBdr>
        <w:top w:val="none" w:sz="0" w:space="0" w:color="auto"/>
        <w:left w:val="none" w:sz="0" w:space="0" w:color="auto"/>
        <w:bottom w:val="none" w:sz="0" w:space="0" w:color="auto"/>
        <w:right w:val="none" w:sz="0" w:space="0" w:color="auto"/>
      </w:divBdr>
    </w:div>
    <w:div w:id="256212540">
      <w:bodyDiv w:val="1"/>
      <w:marLeft w:val="0"/>
      <w:marRight w:val="0"/>
      <w:marTop w:val="0"/>
      <w:marBottom w:val="0"/>
      <w:divBdr>
        <w:top w:val="none" w:sz="0" w:space="0" w:color="auto"/>
        <w:left w:val="none" w:sz="0" w:space="0" w:color="auto"/>
        <w:bottom w:val="none" w:sz="0" w:space="0" w:color="auto"/>
        <w:right w:val="none" w:sz="0" w:space="0" w:color="auto"/>
      </w:divBdr>
    </w:div>
    <w:div w:id="257829374">
      <w:bodyDiv w:val="1"/>
      <w:marLeft w:val="0"/>
      <w:marRight w:val="0"/>
      <w:marTop w:val="0"/>
      <w:marBottom w:val="0"/>
      <w:divBdr>
        <w:top w:val="none" w:sz="0" w:space="0" w:color="auto"/>
        <w:left w:val="none" w:sz="0" w:space="0" w:color="auto"/>
        <w:bottom w:val="none" w:sz="0" w:space="0" w:color="auto"/>
        <w:right w:val="none" w:sz="0" w:space="0" w:color="auto"/>
      </w:divBdr>
    </w:div>
    <w:div w:id="257905488">
      <w:bodyDiv w:val="1"/>
      <w:marLeft w:val="0"/>
      <w:marRight w:val="0"/>
      <w:marTop w:val="0"/>
      <w:marBottom w:val="0"/>
      <w:divBdr>
        <w:top w:val="none" w:sz="0" w:space="0" w:color="auto"/>
        <w:left w:val="none" w:sz="0" w:space="0" w:color="auto"/>
        <w:bottom w:val="none" w:sz="0" w:space="0" w:color="auto"/>
        <w:right w:val="none" w:sz="0" w:space="0" w:color="auto"/>
      </w:divBdr>
    </w:div>
    <w:div w:id="257980849">
      <w:bodyDiv w:val="1"/>
      <w:marLeft w:val="0"/>
      <w:marRight w:val="0"/>
      <w:marTop w:val="0"/>
      <w:marBottom w:val="0"/>
      <w:divBdr>
        <w:top w:val="none" w:sz="0" w:space="0" w:color="auto"/>
        <w:left w:val="none" w:sz="0" w:space="0" w:color="auto"/>
        <w:bottom w:val="none" w:sz="0" w:space="0" w:color="auto"/>
        <w:right w:val="none" w:sz="0" w:space="0" w:color="auto"/>
      </w:divBdr>
    </w:div>
    <w:div w:id="258174131">
      <w:bodyDiv w:val="1"/>
      <w:marLeft w:val="0"/>
      <w:marRight w:val="0"/>
      <w:marTop w:val="0"/>
      <w:marBottom w:val="0"/>
      <w:divBdr>
        <w:top w:val="none" w:sz="0" w:space="0" w:color="auto"/>
        <w:left w:val="none" w:sz="0" w:space="0" w:color="auto"/>
        <w:bottom w:val="none" w:sz="0" w:space="0" w:color="auto"/>
        <w:right w:val="none" w:sz="0" w:space="0" w:color="auto"/>
      </w:divBdr>
    </w:div>
    <w:div w:id="258414306">
      <w:bodyDiv w:val="1"/>
      <w:marLeft w:val="0"/>
      <w:marRight w:val="0"/>
      <w:marTop w:val="0"/>
      <w:marBottom w:val="0"/>
      <w:divBdr>
        <w:top w:val="none" w:sz="0" w:space="0" w:color="auto"/>
        <w:left w:val="none" w:sz="0" w:space="0" w:color="auto"/>
        <w:bottom w:val="none" w:sz="0" w:space="0" w:color="auto"/>
        <w:right w:val="none" w:sz="0" w:space="0" w:color="auto"/>
      </w:divBdr>
    </w:div>
    <w:div w:id="258678114">
      <w:bodyDiv w:val="1"/>
      <w:marLeft w:val="0"/>
      <w:marRight w:val="0"/>
      <w:marTop w:val="0"/>
      <w:marBottom w:val="0"/>
      <w:divBdr>
        <w:top w:val="none" w:sz="0" w:space="0" w:color="auto"/>
        <w:left w:val="none" w:sz="0" w:space="0" w:color="auto"/>
        <w:bottom w:val="none" w:sz="0" w:space="0" w:color="auto"/>
        <w:right w:val="none" w:sz="0" w:space="0" w:color="auto"/>
      </w:divBdr>
    </w:div>
    <w:div w:id="258947039">
      <w:bodyDiv w:val="1"/>
      <w:marLeft w:val="0"/>
      <w:marRight w:val="0"/>
      <w:marTop w:val="0"/>
      <w:marBottom w:val="0"/>
      <w:divBdr>
        <w:top w:val="none" w:sz="0" w:space="0" w:color="auto"/>
        <w:left w:val="none" w:sz="0" w:space="0" w:color="auto"/>
        <w:bottom w:val="none" w:sz="0" w:space="0" w:color="auto"/>
        <w:right w:val="none" w:sz="0" w:space="0" w:color="auto"/>
      </w:divBdr>
    </w:div>
    <w:div w:id="259684073">
      <w:bodyDiv w:val="1"/>
      <w:marLeft w:val="0"/>
      <w:marRight w:val="0"/>
      <w:marTop w:val="0"/>
      <w:marBottom w:val="0"/>
      <w:divBdr>
        <w:top w:val="none" w:sz="0" w:space="0" w:color="auto"/>
        <w:left w:val="none" w:sz="0" w:space="0" w:color="auto"/>
        <w:bottom w:val="none" w:sz="0" w:space="0" w:color="auto"/>
        <w:right w:val="none" w:sz="0" w:space="0" w:color="auto"/>
      </w:divBdr>
    </w:div>
    <w:div w:id="259997278">
      <w:bodyDiv w:val="1"/>
      <w:marLeft w:val="0"/>
      <w:marRight w:val="0"/>
      <w:marTop w:val="0"/>
      <w:marBottom w:val="0"/>
      <w:divBdr>
        <w:top w:val="none" w:sz="0" w:space="0" w:color="auto"/>
        <w:left w:val="none" w:sz="0" w:space="0" w:color="auto"/>
        <w:bottom w:val="none" w:sz="0" w:space="0" w:color="auto"/>
        <w:right w:val="none" w:sz="0" w:space="0" w:color="auto"/>
      </w:divBdr>
    </w:div>
    <w:div w:id="260646883">
      <w:bodyDiv w:val="1"/>
      <w:marLeft w:val="0"/>
      <w:marRight w:val="0"/>
      <w:marTop w:val="0"/>
      <w:marBottom w:val="0"/>
      <w:divBdr>
        <w:top w:val="none" w:sz="0" w:space="0" w:color="auto"/>
        <w:left w:val="none" w:sz="0" w:space="0" w:color="auto"/>
        <w:bottom w:val="none" w:sz="0" w:space="0" w:color="auto"/>
        <w:right w:val="none" w:sz="0" w:space="0" w:color="auto"/>
      </w:divBdr>
    </w:div>
    <w:div w:id="260919741">
      <w:bodyDiv w:val="1"/>
      <w:marLeft w:val="0"/>
      <w:marRight w:val="0"/>
      <w:marTop w:val="0"/>
      <w:marBottom w:val="0"/>
      <w:divBdr>
        <w:top w:val="none" w:sz="0" w:space="0" w:color="auto"/>
        <w:left w:val="none" w:sz="0" w:space="0" w:color="auto"/>
        <w:bottom w:val="none" w:sz="0" w:space="0" w:color="auto"/>
        <w:right w:val="none" w:sz="0" w:space="0" w:color="auto"/>
      </w:divBdr>
    </w:div>
    <w:div w:id="261258133">
      <w:bodyDiv w:val="1"/>
      <w:marLeft w:val="0"/>
      <w:marRight w:val="0"/>
      <w:marTop w:val="0"/>
      <w:marBottom w:val="0"/>
      <w:divBdr>
        <w:top w:val="none" w:sz="0" w:space="0" w:color="auto"/>
        <w:left w:val="none" w:sz="0" w:space="0" w:color="auto"/>
        <w:bottom w:val="none" w:sz="0" w:space="0" w:color="auto"/>
        <w:right w:val="none" w:sz="0" w:space="0" w:color="auto"/>
      </w:divBdr>
    </w:div>
    <w:div w:id="261495523">
      <w:bodyDiv w:val="1"/>
      <w:marLeft w:val="0"/>
      <w:marRight w:val="0"/>
      <w:marTop w:val="0"/>
      <w:marBottom w:val="0"/>
      <w:divBdr>
        <w:top w:val="none" w:sz="0" w:space="0" w:color="auto"/>
        <w:left w:val="none" w:sz="0" w:space="0" w:color="auto"/>
        <w:bottom w:val="none" w:sz="0" w:space="0" w:color="auto"/>
        <w:right w:val="none" w:sz="0" w:space="0" w:color="auto"/>
      </w:divBdr>
    </w:div>
    <w:div w:id="261498215">
      <w:bodyDiv w:val="1"/>
      <w:marLeft w:val="0"/>
      <w:marRight w:val="0"/>
      <w:marTop w:val="0"/>
      <w:marBottom w:val="0"/>
      <w:divBdr>
        <w:top w:val="none" w:sz="0" w:space="0" w:color="auto"/>
        <w:left w:val="none" w:sz="0" w:space="0" w:color="auto"/>
        <w:bottom w:val="none" w:sz="0" w:space="0" w:color="auto"/>
        <w:right w:val="none" w:sz="0" w:space="0" w:color="auto"/>
      </w:divBdr>
    </w:div>
    <w:div w:id="261501375">
      <w:bodyDiv w:val="1"/>
      <w:marLeft w:val="0"/>
      <w:marRight w:val="0"/>
      <w:marTop w:val="0"/>
      <w:marBottom w:val="0"/>
      <w:divBdr>
        <w:top w:val="none" w:sz="0" w:space="0" w:color="auto"/>
        <w:left w:val="none" w:sz="0" w:space="0" w:color="auto"/>
        <w:bottom w:val="none" w:sz="0" w:space="0" w:color="auto"/>
        <w:right w:val="none" w:sz="0" w:space="0" w:color="auto"/>
      </w:divBdr>
    </w:div>
    <w:div w:id="261651826">
      <w:bodyDiv w:val="1"/>
      <w:marLeft w:val="0"/>
      <w:marRight w:val="0"/>
      <w:marTop w:val="0"/>
      <w:marBottom w:val="0"/>
      <w:divBdr>
        <w:top w:val="none" w:sz="0" w:space="0" w:color="auto"/>
        <w:left w:val="none" w:sz="0" w:space="0" w:color="auto"/>
        <w:bottom w:val="none" w:sz="0" w:space="0" w:color="auto"/>
        <w:right w:val="none" w:sz="0" w:space="0" w:color="auto"/>
      </w:divBdr>
    </w:div>
    <w:div w:id="261767672">
      <w:bodyDiv w:val="1"/>
      <w:marLeft w:val="0"/>
      <w:marRight w:val="0"/>
      <w:marTop w:val="0"/>
      <w:marBottom w:val="0"/>
      <w:divBdr>
        <w:top w:val="none" w:sz="0" w:space="0" w:color="auto"/>
        <w:left w:val="none" w:sz="0" w:space="0" w:color="auto"/>
        <w:bottom w:val="none" w:sz="0" w:space="0" w:color="auto"/>
        <w:right w:val="none" w:sz="0" w:space="0" w:color="auto"/>
      </w:divBdr>
    </w:div>
    <w:div w:id="262883734">
      <w:bodyDiv w:val="1"/>
      <w:marLeft w:val="0"/>
      <w:marRight w:val="0"/>
      <w:marTop w:val="0"/>
      <w:marBottom w:val="0"/>
      <w:divBdr>
        <w:top w:val="none" w:sz="0" w:space="0" w:color="auto"/>
        <w:left w:val="none" w:sz="0" w:space="0" w:color="auto"/>
        <w:bottom w:val="none" w:sz="0" w:space="0" w:color="auto"/>
        <w:right w:val="none" w:sz="0" w:space="0" w:color="auto"/>
      </w:divBdr>
    </w:div>
    <w:div w:id="263272766">
      <w:bodyDiv w:val="1"/>
      <w:marLeft w:val="0"/>
      <w:marRight w:val="0"/>
      <w:marTop w:val="0"/>
      <w:marBottom w:val="0"/>
      <w:divBdr>
        <w:top w:val="none" w:sz="0" w:space="0" w:color="auto"/>
        <w:left w:val="none" w:sz="0" w:space="0" w:color="auto"/>
        <w:bottom w:val="none" w:sz="0" w:space="0" w:color="auto"/>
        <w:right w:val="none" w:sz="0" w:space="0" w:color="auto"/>
      </w:divBdr>
    </w:div>
    <w:div w:id="264122869">
      <w:bodyDiv w:val="1"/>
      <w:marLeft w:val="0"/>
      <w:marRight w:val="0"/>
      <w:marTop w:val="0"/>
      <w:marBottom w:val="0"/>
      <w:divBdr>
        <w:top w:val="none" w:sz="0" w:space="0" w:color="auto"/>
        <w:left w:val="none" w:sz="0" w:space="0" w:color="auto"/>
        <w:bottom w:val="none" w:sz="0" w:space="0" w:color="auto"/>
        <w:right w:val="none" w:sz="0" w:space="0" w:color="auto"/>
      </w:divBdr>
    </w:div>
    <w:div w:id="264769818">
      <w:bodyDiv w:val="1"/>
      <w:marLeft w:val="0"/>
      <w:marRight w:val="0"/>
      <w:marTop w:val="0"/>
      <w:marBottom w:val="0"/>
      <w:divBdr>
        <w:top w:val="none" w:sz="0" w:space="0" w:color="auto"/>
        <w:left w:val="none" w:sz="0" w:space="0" w:color="auto"/>
        <w:bottom w:val="none" w:sz="0" w:space="0" w:color="auto"/>
        <w:right w:val="none" w:sz="0" w:space="0" w:color="auto"/>
      </w:divBdr>
    </w:div>
    <w:div w:id="265115456">
      <w:bodyDiv w:val="1"/>
      <w:marLeft w:val="0"/>
      <w:marRight w:val="0"/>
      <w:marTop w:val="0"/>
      <w:marBottom w:val="0"/>
      <w:divBdr>
        <w:top w:val="none" w:sz="0" w:space="0" w:color="auto"/>
        <w:left w:val="none" w:sz="0" w:space="0" w:color="auto"/>
        <w:bottom w:val="none" w:sz="0" w:space="0" w:color="auto"/>
        <w:right w:val="none" w:sz="0" w:space="0" w:color="auto"/>
      </w:divBdr>
      <w:divsChild>
        <w:div w:id="1512640207">
          <w:marLeft w:val="0"/>
          <w:marRight w:val="0"/>
          <w:marTop w:val="0"/>
          <w:marBottom w:val="0"/>
          <w:divBdr>
            <w:top w:val="none" w:sz="0" w:space="0" w:color="auto"/>
            <w:left w:val="none" w:sz="0" w:space="0" w:color="auto"/>
            <w:bottom w:val="none" w:sz="0" w:space="0" w:color="auto"/>
            <w:right w:val="none" w:sz="0" w:space="0" w:color="auto"/>
          </w:divBdr>
        </w:div>
        <w:div w:id="611862706">
          <w:marLeft w:val="0"/>
          <w:marRight w:val="0"/>
          <w:marTop w:val="0"/>
          <w:marBottom w:val="0"/>
          <w:divBdr>
            <w:top w:val="none" w:sz="0" w:space="0" w:color="auto"/>
            <w:left w:val="none" w:sz="0" w:space="0" w:color="auto"/>
            <w:bottom w:val="none" w:sz="0" w:space="0" w:color="auto"/>
            <w:right w:val="none" w:sz="0" w:space="0" w:color="auto"/>
          </w:divBdr>
        </w:div>
        <w:div w:id="2110078787">
          <w:marLeft w:val="0"/>
          <w:marRight w:val="0"/>
          <w:marTop w:val="0"/>
          <w:marBottom w:val="0"/>
          <w:divBdr>
            <w:top w:val="none" w:sz="0" w:space="0" w:color="auto"/>
            <w:left w:val="none" w:sz="0" w:space="0" w:color="auto"/>
            <w:bottom w:val="none" w:sz="0" w:space="0" w:color="auto"/>
            <w:right w:val="none" w:sz="0" w:space="0" w:color="auto"/>
          </w:divBdr>
        </w:div>
      </w:divsChild>
    </w:div>
    <w:div w:id="265575444">
      <w:bodyDiv w:val="1"/>
      <w:marLeft w:val="0"/>
      <w:marRight w:val="0"/>
      <w:marTop w:val="0"/>
      <w:marBottom w:val="0"/>
      <w:divBdr>
        <w:top w:val="none" w:sz="0" w:space="0" w:color="auto"/>
        <w:left w:val="none" w:sz="0" w:space="0" w:color="auto"/>
        <w:bottom w:val="none" w:sz="0" w:space="0" w:color="auto"/>
        <w:right w:val="none" w:sz="0" w:space="0" w:color="auto"/>
      </w:divBdr>
    </w:div>
    <w:div w:id="265966846">
      <w:bodyDiv w:val="1"/>
      <w:marLeft w:val="0"/>
      <w:marRight w:val="0"/>
      <w:marTop w:val="0"/>
      <w:marBottom w:val="0"/>
      <w:divBdr>
        <w:top w:val="none" w:sz="0" w:space="0" w:color="auto"/>
        <w:left w:val="none" w:sz="0" w:space="0" w:color="auto"/>
        <w:bottom w:val="none" w:sz="0" w:space="0" w:color="auto"/>
        <w:right w:val="none" w:sz="0" w:space="0" w:color="auto"/>
      </w:divBdr>
    </w:div>
    <w:div w:id="266163719">
      <w:bodyDiv w:val="1"/>
      <w:marLeft w:val="0"/>
      <w:marRight w:val="0"/>
      <w:marTop w:val="0"/>
      <w:marBottom w:val="0"/>
      <w:divBdr>
        <w:top w:val="none" w:sz="0" w:space="0" w:color="auto"/>
        <w:left w:val="none" w:sz="0" w:space="0" w:color="auto"/>
        <w:bottom w:val="none" w:sz="0" w:space="0" w:color="auto"/>
        <w:right w:val="none" w:sz="0" w:space="0" w:color="auto"/>
      </w:divBdr>
    </w:div>
    <w:div w:id="266692227">
      <w:bodyDiv w:val="1"/>
      <w:marLeft w:val="0"/>
      <w:marRight w:val="0"/>
      <w:marTop w:val="0"/>
      <w:marBottom w:val="0"/>
      <w:divBdr>
        <w:top w:val="none" w:sz="0" w:space="0" w:color="auto"/>
        <w:left w:val="none" w:sz="0" w:space="0" w:color="auto"/>
        <w:bottom w:val="none" w:sz="0" w:space="0" w:color="auto"/>
        <w:right w:val="none" w:sz="0" w:space="0" w:color="auto"/>
      </w:divBdr>
    </w:div>
    <w:div w:id="266696867">
      <w:bodyDiv w:val="1"/>
      <w:marLeft w:val="0"/>
      <w:marRight w:val="0"/>
      <w:marTop w:val="0"/>
      <w:marBottom w:val="0"/>
      <w:divBdr>
        <w:top w:val="none" w:sz="0" w:space="0" w:color="auto"/>
        <w:left w:val="none" w:sz="0" w:space="0" w:color="auto"/>
        <w:bottom w:val="none" w:sz="0" w:space="0" w:color="auto"/>
        <w:right w:val="none" w:sz="0" w:space="0" w:color="auto"/>
      </w:divBdr>
    </w:div>
    <w:div w:id="267860891">
      <w:bodyDiv w:val="1"/>
      <w:marLeft w:val="0"/>
      <w:marRight w:val="0"/>
      <w:marTop w:val="0"/>
      <w:marBottom w:val="0"/>
      <w:divBdr>
        <w:top w:val="none" w:sz="0" w:space="0" w:color="auto"/>
        <w:left w:val="none" w:sz="0" w:space="0" w:color="auto"/>
        <w:bottom w:val="none" w:sz="0" w:space="0" w:color="auto"/>
        <w:right w:val="none" w:sz="0" w:space="0" w:color="auto"/>
      </w:divBdr>
    </w:div>
    <w:div w:id="268200845">
      <w:bodyDiv w:val="1"/>
      <w:marLeft w:val="0"/>
      <w:marRight w:val="0"/>
      <w:marTop w:val="0"/>
      <w:marBottom w:val="0"/>
      <w:divBdr>
        <w:top w:val="none" w:sz="0" w:space="0" w:color="auto"/>
        <w:left w:val="none" w:sz="0" w:space="0" w:color="auto"/>
        <w:bottom w:val="none" w:sz="0" w:space="0" w:color="auto"/>
        <w:right w:val="none" w:sz="0" w:space="0" w:color="auto"/>
      </w:divBdr>
    </w:div>
    <w:div w:id="268241510">
      <w:bodyDiv w:val="1"/>
      <w:marLeft w:val="0"/>
      <w:marRight w:val="0"/>
      <w:marTop w:val="0"/>
      <w:marBottom w:val="0"/>
      <w:divBdr>
        <w:top w:val="none" w:sz="0" w:space="0" w:color="auto"/>
        <w:left w:val="none" w:sz="0" w:space="0" w:color="auto"/>
        <w:bottom w:val="none" w:sz="0" w:space="0" w:color="auto"/>
        <w:right w:val="none" w:sz="0" w:space="0" w:color="auto"/>
      </w:divBdr>
    </w:div>
    <w:div w:id="268317542">
      <w:bodyDiv w:val="1"/>
      <w:marLeft w:val="0"/>
      <w:marRight w:val="0"/>
      <w:marTop w:val="0"/>
      <w:marBottom w:val="0"/>
      <w:divBdr>
        <w:top w:val="none" w:sz="0" w:space="0" w:color="auto"/>
        <w:left w:val="none" w:sz="0" w:space="0" w:color="auto"/>
        <w:bottom w:val="none" w:sz="0" w:space="0" w:color="auto"/>
        <w:right w:val="none" w:sz="0" w:space="0" w:color="auto"/>
      </w:divBdr>
    </w:div>
    <w:div w:id="269506798">
      <w:bodyDiv w:val="1"/>
      <w:marLeft w:val="0"/>
      <w:marRight w:val="0"/>
      <w:marTop w:val="0"/>
      <w:marBottom w:val="0"/>
      <w:divBdr>
        <w:top w:val="none" w:sz="0" w:space="0" w:color="auto"/>
        <w:left w:val="none" w:sz="0" w:space="0" w:color="auto"/>
        <w:bottom w:val="none" w:sz="0" w:space="0" w:color="auto"/>
        <w:right w:val="none" w:sz="0" w:space="0" w:color="auto"/>
      </w:divBdr>
    </w:div>
    <w:div w:id="269902176">
      <w:bodyDiv w:val="1"/>
      <w:marLeft w:val="0"/>
      <w:marRight w:val="0"/>
      <w:marTop w:val="0"/>
      <w:marBottom w:val="0"/>
      <w:divBdr>
        <w:top w:val="none" w:sz="0" w:space="0" w:color="auto"/>
        <w:left w:val="none" w:sz="0" w:space="0" w:color="auto"/>
        <w:bottom w:val="none" w:sz="0" w:space="0" w:color="auto"/>
        <w:right w:val="none" w:sz="0" w:space="0" w:color="auto"/>
      </w:divBdr>
    </w:div>
    <w:div w:id="270868511">
      <w:bodyDiv w:val="1"/>
      <w:marLeft w:val="0"/>
      <w:marRight w:val="0"/>
      <w:marTop w:val="0"/>
      <w:marBottom w:val="0"/>
      <w:divBdr>
        <w:top w:val="none" w:sz="0" w:space="0" w:color="auto"/>
        <w:left w:val="none" w:sz="0" w:space="0" w:color="auto"/>
        <w:bottom w:val="none" w:sz="0" w:space="0" w:color="auto"/>
        <w:right w:val="none" w:sz="0" w:space="0" w:color="auto"/>
      </w:divBdr>
    </w:div>
    <w:div w:id="273171222">
      <w:bodyDiv w:val="1"/>
      <w:marLeft w:val="0"/>
      <w:marRight w:val="0"/>
      <w:marTop w:val="0"/>
      <w:marBottom w:val="0"/>
      <w:divBdr>
        <w:top w:val="none" w:sz="0" w:space="0" w:color="auto"/>
        <w:left w:val="none" w:sz="0" w:space="0" w:color="auto"/>
        <w:bottom w:val="none" w:sz="0" w:space="0" w:color="auto"/>
        <w:right w:val="none" w:sz="0" w:space="0" w:color="auto"/>
      </w:divBdr>
    </w:div>
    <w:div w:id="273557924">
      <w:bodyDiv w:val="1"/>
      <w:marLeft w:val="0"/>
      <w:marRight w:val="0"/>
      <w:marTop w:val="0"/>
      <w:marBottom w:val="0"/>
      <w:divBdr>
        <w:top w:val="none" w:sz="0" w:space="0" w:color="auto"/>
        <w:left w:val="none" w:sz="0" w:space="0" w:color="auto"/>
        <w:bottom w:val="none" w:sz="0" w:space="0" w:color="auto"/>
        <w:right w:val="none" w:sz="0" w:space="0" w:color="auto"/>
      </w:divBdr>
    </w:div>
    <w:div w:id="273756657">
      <w:bodyDiv w:val="1"/>
      <w:marLeft w:val="0"/>
      <w:marRight w:val="0"/>
      <w:marTop w:val="0"/>
      <w:marBottom w:val="0"/>
      <w:divBdr>
        <w:top w:val="none" w:sz="0" w:space="0" w:color="auto"/>
        <w:left w:val="none" w:sz="0" w:space="0" w:color="auto"/>
        <w:bottom w:val="none" w:sz="0" w:space="0" w:color="auto"/>
        <w:right w:val="none" w:sz="0" w:space="0" w:color="auto"/>
      </w:divBdr>
      <w:divsChild>
        <w:div w:id="880937987">
          <w:marLeft w:val="0"/>
          <w:marRight w:val="0"/>
          <w:marTop w:val="0"/>
          <w:marBottom w:val="0"/>
          <w:divBdr>
            <w:top w:val="none" w:sz="0" w:space="0" w:color="auto"/>
            <w:left w:val="none" w:sz="0" w:space="0" w:color="auto"/>
            <w:bottom w:val="none" w:sz="0" w:space="0" w:color="auto"/>
            <w:right w:val="none" w:sz="0" w:space="0" w:color="auto"/>
          </w:divBdr>
        </w:div>
        <w:div w:id="1601177193">
          <w:marLeft w:val="0"/>
          <w:marRight w:val="0"/>
          <w:marTop w:val="0"/>
          <w:marBottom w:val="0"/>
          <w:divBdr>
            <w:top w:val="none" w:sz="0" w:space="0" w:color="auto"/>
            <w:left w:val="none" w:sz="0" w:space="0" w:color="auto"/>
            <w:bottom w:val="none" w:sz="0" w:space="0" w:color="auto"/>
            <w:right w:val="none" w:sz="0" w:space="0" w:color="auto"/>
          </w:divBdr>
        </w:div>
        <w:div w:id="2099516294">
          <w:marLeft w:val="0"/>
          <w:marRight w:val="0"/>
          <w:marTop w:val="0"/>
          <w:marBottom w:val="0"/>
          <w:divBdr>
            <w:top w:val="none" w:sz="0" w:space="0" w:color="auto"/>
            <w:left w:val="none" w:sz="0" w:space="0" w:color="auto"/>
            <w:bottom w:val="none" w:sz="0" w:space="0" w:color="auto"/>
            <w:right w:val="none" w:sz="0" w:space="0" w:color="auto"/>
          </w:divBdr>
        </w:div>
      </w:divsChild>
    </w:div>
    <w:div w:id="273830377">
      <w:bodyDiv w:val="1"/>
      <w:marLeft w:val="0"/>
      <w:marRight w:val="0"/>
      <w:marTop w:val="0"/>
      <w:marBottom w:val="0"/>
      <w:divBdr>
        <w:top w:val="none" w:sz="0" w:space="0" w:color="auto"/>
        <w:left w:val="none" w:sz="0" w:space="0" w:color="auto"/>
        <w:bottom w:val="none" w:sz="0" w:space="0" w:color="auto"/>
        <w:right w:val="none" w:sz="0" w:space="0" w:color="auto"/>
      </w:divBdr>
    </w:div>
    <w:div w:id="274023629">
      <w:bodyDiv w:val="1"/>
      <w:marLeft w:val="0"/>
      <w:marRight w:val="0"/>
      <w:marTop w:val="0"/>
      <w:marBottom w:val="0"/>
      <w:divBdr>
        <w:top w:val="none" w:sz="0" w:space="0" w:color="auto"/>
        <w:left w:val="none" w:sz="0" w:space="0" w:color="auto"/>
        <w:bottom w:val="none" w:sz="0" w:space="0" w:color="auto"/>
        <w:right w:val="none" w:sz="0" w:space="0" w:color="auto"/>
      </w:divBdr>
    </w:div>
    <w:div w:id="274336093">
      <w:bodyDiv w:val="1"/>
      <w:marLeft w:val="0"/>
      <w:marRight w:val="0"/>
      <w:marTop w:val="0"/>
      <w:marBottom w:val="0"/>
      <w:divBdr>
        <w:top w:val="none" w:sz="0" w:space="0" w:color="auto"/>
        <w:left w:val="none" w:sz="0" w:space="0" w:color="auto"/>
        <w:bottom w:val="none" w:sz="0" w:space="0" w:color="auto"/>
        <w:right w:val="none" w:sz="0" w:space="0" w:color="auto"/>
      </w:divBdr>
    </w:div>
    <w:div w:id="276066055">
      <w:bodyDiv w:val="1"/>
      <w:marLeft w:val="0"/>
      <w:marRight w:val="0"/>
      <w:marTop w:val="0"/>
      <w:marBottom w:val="0"/>
      <w:divBdr>
        <w:top w:val="none" w:sz="0" w:space="0" w:color="auto"/>
        <w:left w:val="none" w:sz="0" w:space="0" w:color="auto"/>
        <w:bottom w:val="none" w:sz="0" w:space="0" w:color="auto"/>
        <w:right w:val="none" w:sz="0" w:space="0" w:color="auto"/>
      </w:divBdr>
    </w:div>
    <w:div w:id="276378125">
      <w:bodyDiv w:val="1"/>
      <w:marLeft w:val="0"/>
      <w:marRight w:val="0"/>
      <w:marTop w:val="0"/>
      <w:marBottom w:val="0"/>
      <w:divBdr>
        <w:top w:val="none" w:sz="0" w:space="0" w:color="auto"/>
        <w:left w:val="none" w:sz="0" w:space="0" w:color="auto"/>
        <w:bottom w:val="none" w:sz="0" w:space="0" w:color="auto"/>
        <w:right w:val="none" w:sz="0" w:space="0" w:color="auto"/>
      </w:divBdr>
    </w:div>
    <w:div w:id="276838262">
      <w:bodyDiv w:val="1"/>
      <w:marLeft w:val="0"/>
      <w:marRight w:val="0"/>
      <w:marTop w:val="0"/>
      <w:marBottom w:val="0"/>
      <w:divBdr>
        <w:top w:val="none" w:sz="0" w:space="0" w:color="auto"/>
        <w:left w:val="none" w:sz="0" w:space="0" w:color="auto"/>
        <w:bottom w:val="none" w:sz="0" w:space="0" w:color="auto"/>
        <w:right w:val="none" w:sz="0" w:space="0" w:color="auto"/>
      </w:divBdr>
    </w:div>
    <w:div w:id="277374483">
      <w:bodyDiv w:val="1"/>
      <w:marLeft w:val="0"/>
      <w:marRight w:val="0"/>
      <w:marTop w:val="0"/>
      <w:marBottom w:val="0"/>
      <w:divBdr>
        <w:top w:val="none" w:sz="0" w:space="0" w:color="auto"/>
        <w:left w:val="none" w:sz="0" w:space="0" w:color="auto"/>
        <w:bottom w:val="none" w:sz="0" w:space="0" w:color="auto"/>
        <w:right w:val="none" w:sz="0" w:space="0" w:color="auto"/>
      </w:divBdr>
    </w:div>
    <w:div w:id="278801108">
      <w:bodyDiv w:val="1"/>
      <w:marLeft w:val="0"/>
      <w:marRight w:val="0"/>
      <w:marTop w:val="0"/>
      <w:marBottom w:val="0"/>
      <w:divBdr>
        <w:top w:val="none" w:sz="0" w:space="0" w:color="auto"/>
        <w:left w:val="none" w:sz="0" w:space="0" w:color="auto"/>
        <w:bottom w:val="none" w:sz="0" w:space="0" w:color="auto"/>
        <w:right w:val="none" w:sz="0" w:space="0" w:color="auto"/>
      </w:divBdr>
    </w:div>
    <w:div w:id="278801901">
      <w:bodyDiv w:val="1"/>
      <w:marLeft w:val="0"/>
      <w:marRight w:val="0"/>
      <w:marTop w:val="0"/>
      <w:marBottom w:val="0"/>
      <w:divBdr>
        <w:top w:val="none" w:sz="0" w:space="0" w:color="auto"/>
        <w:left w:val="none" w:sz="0" w:space="0" w:color="auto"/>
        <w:bottom w:val="none" w:sz="0" w:space="0" w:color="auto"/>
        <w:right w:val="none" w:sz="0" w:space="0" w:color="auto"/>
      </w:divBdr>
    </w:div>
    <w:div w:id="278873246">
      <w:bodyDiv w:val="1"/>
      <w:marLeft w:val="0"/>
      <w:marRight w:val="0"/>
      <w:marTop w:val="0"/>
      <w:marBottom w:val="0"/>
      <w:divBdr>
        <w:top w:val="none" w:sz="0" w:space="0" w:color="auto"/>
        <w:left w:val="none" w:sz="0" w:space="0" w:color="auto"/>
        <w:bottom w:val="none" w:sz="0" w:space="0" w:color="auto"/>
        <w:right w:val="none" w:sz="0" w:space="0" w:color="auto"/>
      </w:divBdr>
    </w:div>
    <w:div w:id="279605398">
      <w:bodyDiv w:val="1"/>
      <w:marLeft w:val="0"/>
      <w:marRight w:val="0"/>
      <w:marTop w:val="0"/>
      <w:marBottom w:val="0"/>
      <w:divBdr>
        <w:top w:val="none" w:sz="0" w:space="0" w:color="auto"/>
        <w:left w:val="none" w:sz="0" w:space="0" w:color="auto"/>
        <w:bottom w:val="none" w:sz="0" w:space="0" w:color="auto"/>
        <w:right w:val="none" w:sz="0" w:space="0" w:color="auto"/>
      </w:divBdr>
    </w:div>
    <w:div w:id="279729489">
      <w:bodyDiv w:val="1"/>
      <w:marLeft w:val="0"/>
      <w:marRight w:val="0"/>
      <w:marTop w:val="0"/>
      <w:marBottom w:val="0"/>
      <w:divBdr>
        <w:top w:val="none" w:sz="0" w:space="0" w:color="auto"/>
        <w:left w:val="none" w:sz="0" w:space="0" w:color="auto"/>
        <w:bottom w:val="none" w:sz="0" w:space="0" w:color="auto"/>
        <w:right w:val="none" w:sz="0" w:space="0" w:color="auto"/>
      </w:divBdr>
    </w:div>
    <w:div w:id="281039746">
      <w:bodyDiv w:val="1"/>
      <w:marLeft w:val="0"/>
      <w:marRight w:val="0"/>
      <w:marTop w:val="0"/>
      <w:marBottom w:val="0"/>
      <w:divBdr>
        <w:top w:val="none" w:sz="0" w:space="0" w:color="auto"/>
        <w:left w:val="none" w:sz="0" w:space="0" w:color="auto"/>
        <w:bottom w:val="none" w:sz="0" w:space="0" w:color="auto"/>
        <w:right w:val="none" w:sz="0" w:space="0" w:color="auto"/>
      </w:divBdr>
      <w:divsChild>
        <w:div w:id="1304846652">
          <w:marLeft w:val="0"/>
          <w:marRight w:val="0"/>
          <w:marTop w:val="0"/>
          <w:marBottom w:val="0"/>
          <w:divBdr>
            <w:top w:val="none" w:sz="0" w:space="0" w:color="auto"/>
            <w:left w:val="none" w:sz="0" w:space="0" w:color="auto"/>
            <w:bottom w:val="none" w:sz="0" w:space="0" w:color="auto"/>
            <w:right w:val="none" w:sz="0" w:space="0" w:color="auto"/>
          </w:divBdr>
        </w:div>
        <w:div w:id="1816726982">
          <w:marLeft w:val="0"/>
          <w:marRight w:val="0"/>
          <w:marTop w:val="0"/>
          <w:marBottom w:val="0"/>
          <w:divBdr>
            <w:top w:val="none" w:sz="0" w:space="0" w:color="auto"/>
            <w:left w:val="none" w:sz="0" w:space="0" w:color="auto"/>
            <w:bottom w:val="none" w:sz="0" w:space="0" w:color="auto"/>
            <w:right w:val="none" w:sz="0" w:space="0" w:color="auto"/>
          </w:divBdr>
        </w:div>
        <w:div w:id="55857698">
          <w:marLeft w:val="0"/>
          <w:marRight w:val="0"/>
          <w:marTop w:val="0"/>
          <w:marBottom w:val="0"/>
          <w:divBdr>
            <w:top w:val="none" w:sz="0" w:space="0" w:color="auto"/>
            <w:left w:val="none" w:sz="0" w:space="0" w:color="auto"/>
            <w:bottom w:val="none" w:sz="0" w:space="0" w:color="auto"/>
            <w:right w:val="none" w:sz="0" w:space="0" w:color="auto"/>
          </w:divBdr>
        </w:div>
      </w:divsChild>
    </w:div>
    <w:div w:id="282352351">
      <w:bodyDiv w:val="1"/>
      <w:marLeft w:val="0"/>
      <w:marRight w:val="0"/>
      <w:marTop w:val="0"/>
      <w:marBottom w:val="0"/>
      <w:divBdr>
        <w:top w:val="none" w:sz="0" w:space="0" w:color="auto"/>
        <w:left w:val="none" w:sz="0" w:space="0" w:color="auto"/>
        <w:bottom w:val="none" w:sz="0" w:space="0" w:color="auto"/>
        <w:right w:val="none" w:sz="0" w:space="0" w:color="auto"/>
      </w:divBdr>
    </w:div>
    <w:div w:id="283733463">
      <w:bodyDiv w:val="1"/>
      <w:marLeft w:val="0"/>
      <w:marRight w:val="0"/>
      <w:marTop w:val="0"/>
      <w:marBottom w:val="0"/>
      <w:divBdr>
        <w:top w:val="none" w:sz="0" w:space="0" w:color="auto"/>
        <w:left w:val="none" w:sz="0" w:space="0" w:color="auto"/>
        <w:bottom w:val="none" w:sz="0" w:space="0" w:color="auto"/>
        <w:right w:val="none" w:sz="0" w:space="0" w:color="auto"/>
      </w:divBdr>
    </w:div>
    <w:div w:id="285738146">
      <w:bodyDiv w:val="1"/>
      <w:marLeft w:val="0"/>
      <w:marRight w:val="0"/>
      <w:marTop w:val="0"/>
      <w:marBottom w:val="0"/>
      <w:divBdr>
        <w:top w:val="none" w:sz="0" w:space="0" w:color="auto"/>
        <w:left w:val="none" w:sz="0" w:space="0" w:color="auto"/>
        <w:bottom w:val="none" w:sz="0" w:space="0" w:color="auto"/>
        <w:right w:val="none" w:sz="0" w:space="0" w:color="auto"/>
      </w:divBdr>
      <w:divsChild>
        <w:div w:id="1101072248">
          <w:marLeft w:val="0"/>
          <w:marRight w:val="0"/>
          <w:marTop w:val="0"/>
          <w:marBottom w:val="0"/>
          <w:divBdr>
            <w:top w:val="none" w:sz="0" w:space="0" w:color="auto"/>
            <w:left w:val="none" w:sz="0" w:space="0" w:color="auto"/>
            <w:bottom w:val="none" w:sz="0" w:space="0" w:color="auto"/>
            <w:right w:val="none" w:sz="0" w:space="0" w:color="auto"/>
          </w:divBdr>
        </w:div>
        <w:div w:id="590241654">
          <w:marLeft w:val="0"/>
          <w:marRight w:val="0"/>
          <w:marTop w:val="0"/>
          <w:marBottom w:val="0"/>
          <w:divBdr>
            <w:top w:val="none" w:sz="0" w:space="0" w:color="auto"/>
            <w:left w:val="none" w:sz="0" w:space="0" w:color="auto"/>
            <w:bottom w:val="none" w:sz="0" w:space="0" w:color="auto"/>
            <w:right w:val="none" w:sz="0" w:space="0" w:color="auto"/>
          </w:divBdr>
        </w:div>
        <w:div w:id="1429159818">
          <w:marLeft w:val="0"/>
          <w:marRight w:val="0"/>
          <w:marTop w:val="0"/>
          <w:marBottom w:val="0"/>
          <w:divBdr>
            <w:top w:val="none" w:sz="0" w:space="0" w:color="auto"/>
            <w:left w:val="none" w:sz="0" w:space="0" w:color="auto"/>
            <w:bottom w:val="none" w:sz="0" w:space="0" w:color="auto"/>
            <w:right w:val="none" w:sz="0" w:space="0" w:color="auto"/>
          </w:divBdr>
        </w:div>
        <w:div w:id="978462679">
          <w:marLeft w:val="0"/>
          <w:marRight w:val="0"/>
          <w:marTop w:val="0"/>
          <w:marBottom w:val="0"/>
          <w:divBdr>
            <w:top w:val="none" w:sz="0" w:space="0" w:color="auto"/>
            <w:left w:val="none" w:sz="0" w:space="0" w:color="auto"/>
            <w:bottom w:val="none" w:sz="0" w:space="0" w:color="auto"/>
            <w:right w:val="none" w:sz="0" w:space="0" w:color="auto"/>
          </w:divBdr>
        </w:div>
        <w:div w:id="150096758">
          <w:marLeft w:val="0"/>
          <w:marRight w:val="0"/>
          <w:marTop w:val="0"/>
          <w:marBottom w:val="0"/>
          <w:divBdr>
            <w:top w:val="none" w:sz="0" w:space="0" w:color="auto"/>
            <w:left w:val="none" w:sz="0" w:space="0" w:color="auto"/>
            <w:bottom w:val="none" w:sz="0" w:space="0" w:color="auto"/>
            <w:right w:val="none" w:sz="0" w:space="0" w:color="auto"/>
          </w:divBdr>
        </w:div>
      </w:divsChild>
    </w:div>
    <w:div w:id="287048603">
      <w:bodyDiv w:val="1"/>
      <w:marLeft w:val="0"/>
      <w:marRight w:val="0"/>
      <w:marTop w:val="0"/>
      <w:marBottom w:val="0"/>
      <w:divBdr>
        <w:top w:val="none" w:sz="0" w:space="0" w:color="auto"/>
        <w:left w:val="none" w:sz="0" w:space="0" w:color="auto"/>
        <w:bottom w:val="none" w:sz="0" w:space="0" w:color="auto"/>
        <w:right w:val="none" w:sz="0" w:space="0" w:color="auto"/>
      </w:divBdr>
    </w:div>
    <w:div w:id="287124643">
      <w:bodyDiv w:val="1"/>
      <w:marLeft w:val="0"/>
      <w:marRight w:val="0"/>
      <w:marTop w:val="0"/>
      <w:marBottom w:val="0"/>
      <w:divBdr>
        <w:top w:val="none" w:sz="0" w:space="0" w:color="auto"/>
        <w:left w:val="none" w:sz="0" w:space="0" w:color="auto"/>
        <w:bottom w:val="none" w:sz="0" w:space="0" w:color="auto"/>
        <w:right w:val="none" w:sz="0" w:space="0" w:color="auto"/>
      </w:divBdr>
    </w:div>
    <w:div w:id="287274079">
      <w:bodyDiv w:val="1"/>
      <w:marLeft w:val="0"/>
      <w:marRight w:val="0"/>
      <w:marTop w:val="0"/>
      <w:marBottom w:val="0"/>
      <w:divBdr>
        <w:top w:val="none" w:sz="0" w:space="0" w:color="auto"/>
        <w:left w:val="none" w:sz="0" w:space="0" w:color="auto"/>
        <w:bottom w:val="none" w:sz="0" w:space="0" w:color="auto"/>
        <w:right w:val="none" w:sz="0" w:space="0" w:color="auto"/>
      </w:divBdr>
    </w:div>
    <w:div w:id="288365452">
      <w:bodyDiv w:val="1"/>
      <w:marLeft w:val="0"/>
      <w:marRight w:val="0"/>
      <w:marTop w:val="0"/>
      <w:marBottom w:val="0"/>
      <w:divBdr>
        <w:top w:val="none" w:sz="0" w:space="0" w:color="auto"/>
        <w:left w:val="none" w:sz="0" w:space="0" w:color="auto"/>
        <w:bottom w:val="none" w:sz="0" w:space="0" w:color="auto"/>
        <w:right w:val="none" w:sz="0" w:space="0" w:color="auto"/>
      </w:divBdr>
    </w:div>
    <w:div w:id="289242049">
      <w:bodyDiv w:val="1"/>
      <w:marLeft w:val="0"/>
      <w:marRight w:val="0"/>
      <w:marTop w:val="0"/>
      <w:marBottom w:val="0"/>
      <w:divBdr>
        <w:top w:val="none" w:sz="0" w:space="0" w:color="auto"/>
        <w:left w:val="none" w:sz="0" w:space="0" w:color="auto"/>
        <w:bottom w:val="none" w:sz="0" w:space="0" w:color="auto"/>
        <w:right w:val="none" w:sz="0" w:space="0" w:color="auto"/>
      </w:divBdr>
    </w:div>
    <w:div w:id="290131150">
      <w:bodyDiv w:val="1"/>
      <w:marLeft w:val="0"/>
      <w:marRight w:val="0"/>
      <w:marTop w:val="0"/>
      <w:marBottom w:val="0"/>
      <w:divBdr>
        <w:top w:val="none" w:sz="0" w:space="0" w:color="auto"/>
        <w:left w:val="none" w:sz="0" w:space="0" w:color="auto"/>
        <w:bottom w:val="none" w:sz="0" w:space="0" w:color="auto"/>
        <w:right w:val="none" w:sz="0" w:space="0" w:color="auto"/>
      </w:divBdr>
    </w:div>
    <w:div w:id="291522791">
      <w:bodyDiv w:val="1"/>
      <w:marLeft w:val="0"/>
      <w:marRight w:val="0"/>
      <w:marTop w:val="0"/>
      <w:marBottom w:val="0"/>
      <w:divBdr>
        <w:top w:val="none" w:sz="0" w:space="0" w:color="auto"/>
        <w:left w:val="none" w:sz="0" w:space="0" w:color="auto"/>
        <w:bottom w:val="none" w:sz="0" w:space="0" w:color="auto"/>
        <w:right w:val="none" w:sz="0" w:space="0" w:color="auto"/>
      </w:divBdr>
    </w:div>
    <w:div w:id="292253489">
      <w:bodyDiv w:val="1"/>
      <w:marLeft w:val="0"/>
      <w:marRight w:val="0"/>
      <w:marTop w:val="0"/>
      <w:marBottom w:val="0"/>
      <w:divBdr>
        <w:top w:val="none" w:sz="0" w:space="0" w:color="auto"/>
        <w:left w:val="none" w:sz="0" w:space="0" w:color="auto"/>
        <w:bottom w:val="none" w:sz="0" w:space="0" w:color="auto"/>
        <w:right w:val="none" w:sz="0" w:space="0" w:color="auto"/>
      </w:divBdr>
    </w:div>
    <w:div w:id="292518068">
      <w:bodyDiv w:val="1"/>
      <w:marLeft w:val="0"/>
      <w:marRight w:val="0"/>
      <w:marTop w:val="0"/>
      <w:marBottom w:val="0"/>
      <w:divBdr>
        <w:top w:val="none" w:sz="0" w:space="0" w:color="auto"/>
        <w:left w:val="none" w:sz="0" w:space="0" w:color="auto"/>
        <w:bottom w:val="none" w:sz="0" w:space="0" w:color="auto"/>
        <w:right w:val="none" w:sz="0" w:space="0" w:color="auto"/>
      </w:divBdr>
    </w:div>
    <w:div w:id="292641380">
      <w:bodyDiv w:val="1"/>
      <w:marLeft w:val="0"/>
      <w:marRight w:val="0"/>
      <w:marTop w:val="0"/>
      <w:marBottom w:val="0"/>
      <w:divBdr>
        <w:top w:val="none" w:sz="0" w:space="0" w:color="auto"/>
        <w:left w:val="none" w:sz="0" w:space="0" w:color="auto"/>
        <w:bottom w:val="none" w:sz="0" w:space="0" w:color="auto"/>
        <w:right w:val="none" w:sz="0" w:space="0" w:color="auto"/>
      </w:divBdr>
    </w:div>
    <w:div w:id="292709484">
      <w:bodyDiv w:val="1"/>
      <w:marLeft w:val="0"/>
      <w:marRight w:val="0"/>
      <w:marTop w:val="0"/>
      <w:marBottom w:val="0"/>
      <w:divBdr>
        <w:top w:val="none" w:sz="0" w:space="0" w:color="auto"/>
        <w:left w:val="none" w:sz="0" w:space="0" w:color="auto"/>
        <w:bottom w:val="none" w:sz="0" w:space="0" w:color="auto"/>
        <w:right w:val="none" w:sz="0" w:space="0" w:color="auto"/>
      </w:divBdr>
    </w:div>
    <w:div w:id="294065390">
      <w:bodyDiv w:val="1"/>
      <w:marLeft w:val="0"/>
      <w:marRight w:val="0"/>
      <w:marTop w:val="0"/>
      <w:marBottom w:val="0"/>
      <w:divBdr>
        <w:top w:val="none" w:sz="0" w:space="0" w:color="auto"/>
        <w:left w:val="none" w:sz="0" w:space="0" w:color="auto"/>
        <w:bottom w:val="none" w:sz="0" w:space="0" w:color="auto"/>
        <w:right w:val="none" w:sz="0" w:space="0" w:color="auto"/>
      </w:divBdr>
    </w:div>
    <w:div w:id="294408864">
      <w:bodyDiv w:val="1"/>
      <w:marLeft w:val="0"/>
      <w:marRight w:val="0"/>
      <w:marTop w:val="0"/>
      <w:marBottom w:val="0"/>
      <w:divBdr>
        <w:top w:val="none" w:sz="0" w:space="0" w:color="auto"/>
        <w:left w:val="none" w:sz="0" w:space="0" w:color="auto"/>
        <w:bottom w:val="none" w:sz="0" w:space="0" w:color="auto"/>
        <w:right w:val="none" w:sz="0" w:space="0" w:color="auto"/>
      </w:divBdr>
    </w:div>
    <w:div w:id="294675757">
      <w:bodyDiv w:val="1"/>
      <w:marLeft w:val="0"/>
      <w:marRight w:val="0"/>
      <w:marTop w:val="0"/>
      <w:marBottom w:val="0"/>
      <w:divBdr>
        <w:top w:val="none" w:sz="0" w:space="0" w:color="auto"/>
        <w:left w:val="none" w:sz="0" w:space="0" w:color="auto"/>
        <w:bottom w:val="none" w:sz="0" w:space="0" w:color="auto"/>
        <w:right w:val="none" w:sz="0" w:space="0" w:color="auto"/>
      </w:divBdr>
    </w:div>
    <w:div w:id="294797096">
      <w:bodyDiv w:val="1"/>
      <w:marLeft w:val="0"/>
      <w:marRight w:val="0"/>
      <w:marTop w:val="0"/>
      <w:marBottom w:val="0"/>
      <w:divBdr>
        <w:top w:val="none" w:sz="0" w:space="0" w:color="auto"/>
        <w:left w:val="none" w:sz="0" w:space="0" w:color="auto"/>
        <w:bottom w:val="none" w:sz="0" w:space="0" w:color="auto"/>
        <w:right w:val="none" w:sz="0" w:space="0" w:color="auto"/>
      </w:divBdr>
    </w:div>
    <w:div w:id="295067834">
      <w:bodyDiv w:val="1"/>
      <w:marLeft w:val="0"/>
      <w:marRight w:val="0"/>
      <w:marTop w:val="0"/>
      <w:marBottom w:val="0"/>
      <w:divBdr>
        <w:top w:val="none" w:sz="0" w:space="0" w:color="auto"/>
        <w:left w:val="none" w:sz="0" w:space="0" w:color="auto"/>
        <w:bottom w:val="none" w:sz="0" w:space="0" w:color="auto"/>
        <w:right w:val="none" w:sz="0" w:space="0" w:color="auto"/>
      </w:divBdr>
    </w:div>
    <w:div w:id="295378139">
      <w:bodyDiv w:val="1"/>
      <w:marLeft w:val="0"/>
      <w:marRight w:val="0"/>
      <w:marTop w:val="0"/>
      <w:marBottom w:val="0"/>
      <w:divBdr>
        <w:top w:val="none" w:sz="0" w:space="0" w:color="auto"/>
        <w:left w:val="none" w:sz="0" w:space="0" w:color="auto"/>
        <w:bottom w:val="none" w:sz="0" w:space="0" w:color="auto"/>
        <w:right w:val="none" w:sz="0" w:space="0" w:color="auto"/>
      </w:divBdr>
    </w:div>
    <w:div w:id="295793601">
      <w:bodyDiv w:val="1"/>
      <w:marLeft w:val="0"/>
      <w:marRight w:val="0"/>
      <w:marTop w:val="0"/>
      <w:marBottom w:val="0"/>
      <w:divBdr>
        <w:top w:val="none" w:sz="0" w:space="0" w:color="auto"/>
        <w:left w:val="none" w:sz="0" w:space="0" w:color="auto"/>
        <w:bottom w:val="none" w:sz="0" w:space="0" w:color="auto"/>
        <w:right w:val="none" w:sz="0" w:space="0" w:color="auto"/>
      </w:divBdr>
    </w:div>
    <w:div w:id="295992657">
      <w:bodyDiv w:val="1"/>
      <w:marLeft w:val="0"/>
      <w:marRight w:val="0"/>
      <w:marTop w:val="0"/>
      <w:marBottom w:val="0"/>
      <w:divBdr>
        <w:top w:val="none" w:sz="0" w:space="0" w:color="auto"/>
        <w:left w:val="none" w:sz="0" w:space="0" w:color="auto"/>
        <w:bottom w:val="none" w:sz="0" w:space="0" w:color="auto"/>
        <w:right w:val="none" w:sz="0" w:space="0" w:color="auto"/>
      </w:divBdr>
    </w:div>
    <w:div w:id="297034164">
      <w:bodyDiv w:val="1"/>
      <w:marLeft w:val="0"/>
      <w:marRight w:val="0"/>
      <w:marTop w:val="0"/>
      <w:marBottom w:val="0"/>
      <w:divBdr>
        <w:top w:val="none" w:sz="0" w:space="0" w:color="auto"/>
        <w:left w:val="none" w:sz="0" w:space="0" w:color="auto"/>
        <w:bottom w:val="none" w:sz="0" w:space="0" w:color="auto"/>
        <w:right w:val="none" w:sz="0" w:space="0" w:color="auto"/>
      </w:divBdr>
    </w:div>
    <w:div w:id="297035867">
      <w:bodyDiv w:val="1"/>
      <w:marLeft w:val="0"/>
      <w:marRight w:val="0"/>
      <w:marTop w:val="0"/>
      <w:marBottom w:val="0"/>
      <w:divBdr>
        <w:top w:val="none" w:sz="0" w:space="0" w:color="auto"/>
        <w:left w:val="none" w:sz="0" w:space="0" w:color="auto"/>
        <w:bottom w:val="none" w:sz="0" w:space="0" w:color="auto"/>
        <w:right w:val="none" w:sz="0" w:space="0" w:color="auto"/>
      </w:divBdr>
    </w:div>
    <w:div w:id="297880919">
      <w:bodyDiv w:val="1"/>
      <w:marLeft w:val="0"/>
      <w:marRight w:val="0"/>
      <w:marTop w:val="0"/>
      <w:marBottom w:val="0"/>
      <w:divBdr>
        <w:top w:val="none" w:sz="0" w:space="0" w:color="auto"/>
        <w:left w:val="none" w:sz="0" w:space="0" w:color="auto"/>
        <w:bottom w:val="none" w:sz="0" w:space="0" w:color="auto"/>
        <w:right w:val="none" w:sz="0" w:space="0" w:color="auto"/>
      </w:divBdr>
    </w:div>
    <w:div w:id="297957282">
      <w:bodyDiv w:val="1"/>
      <w:marLeft w:val="0"/>
      <w:marRight w:val="0"/>
      <w:marTop w:val="0"/>
      <w:marBottom w:val="0"/>
      <w:divBdr>
        <w:top w:val="none" w:sz="0" w:space="0" w:color="auto"/>
        <w:left w:val="none" w:sz="0" w:space="0" w:color="auto"/>
        <w:bottom w:val="none" w:sz="0" w:space="0" w:color="auto"/>
        <w:right w:val="none" w:sz="0" w:space="0" w:color="auto"/>
      </w:divBdr>
    </w:div>
    <w:div w:id="298656921">
      <w:bodyDiv w:val="1"/>
      <w:marLeft w:val="0"/>
      <w:marRight w:val="0"/>
      <w:marTop w:val="0"/>
      <w:marBottom w:val="0"/>
      <w:divBdr>
        <w:top w:val="none" w:sz="0" w:space="0" w:color="auto"/>
        <w:left w:val="none" w:sz="0" w:space="0" w:color="auto"/>
        <w:bottom w:val="none" w:sz="0" w:space="0" w:color="auto"/>
        <w:right w:val="none" w:sz="0" w:space="0" w:color="auto"/>
      </w:divBdr>
    </w:div>
    <w:div w:id="299195555">
      <w:bodyDiv w:val="1"/>
      <w:marLeft w:val="0"/>
      <w:marRight w:val="0"/>
      <w:marTop w:val="0"/>
      <w:marBottom w:val="0"/>
      <w:divBdr>
        <w:top w:val="none" w:sz="0" w:space="0" w:color="auto"/>
        <w:left w:val="none" w:sz="0" w:space="0" w:color="auto"/>
        <w:bottom w:val="none" w:sz="0" w:space="0" w:color="auto"/>
        <w:right w:val="none" w:sz="0" w:space="0" w:color="auto"/>
      </w:divBdr>
      <w:divsChild>
        <w:div w:id="2003044176">
          <w:marLeft w:val="0"/>
          <w:marRight w:val="0"/>
          <w:marTop w:val="0"/>
          <w:marBottom w:val="0"/>
          <w:divBdr>
            <w:top w:val="none" w:sz="0" w:space="0" w:color="auto"/>
            <w:left w:val="none" w:sz="0" w:space="0" w:color="auto"/>
            <w:bottom w:val="none" w:sz="0" w:space="0" w:color="auto"/>
            <w:right w:val="none" w:sz="0" w:space="0" w:color="auto"/>
          </w:divBdr>
        </w:div>
        <w:div w:id="597762711">
          <w:marLeft w:val="0"/>
          <w:marRight w:val="0"/>
          <w:marTop w:val="0"/>
          <w:marBottom w:val="0"/>
          <w:divBdr>
            <w:top w:val="none" w:sz="0" w:space="0" w:color="auto"/>
            <w:left w:val="none" w:sz="0" w:space="0" w:color="auto"/>
            <w:bottom w:val="none" w:sz="0" w:space="0" w:color="auto"/>
            <w:right w:val="none" w:sz="0" w:space="0" w:color="auto"/>
          </w:divBdr>
        </w:div>
        <w:div w:id="444471195">
          <w:marLeft w:val="0"/>
          <w:marRight w:val="0"/>
          <w:marTop w:val="0"/>
          <w:marBottom w:val="0"/>
          <w:divBdr>
            <w:top w:val="none" w:sz="0" w:space="0" w:color="auto"/>
            <w:left w:val="none" w:sz="0" w:space="0" w:color="auto"/>
            <w:bottom w:val="none" w:sz="0" w:space="0" w:color="auto"/>
            <w:right w:val="none" w:sz="0" w:space="0" w:color="auto"/>
          </w:divBdr>
        </w:div>
        <w:div w:id="624428886">
          <w:marLeft w:val="0"/>
          <w:marRight w:val="0"/>
          <w:marTop w:val="0"/>
          <w:marBottom w:val="0"/>
          <w:divBdr>
            <w:top w:val="none" w:sz="0" w:space="0" w:color="auto"/>
            <w:left w:val="none" w:sz="0" w:space="0" w:color="auto"/>
            <w:bottom w:val="none" w:sz="0" w:space="0" w:color="auto"/>
            <w:right w:val="none" w:sz="0" w:space="0" w:color="auto"/>
          </w:divBdr>
        </w:div>
        <w:div w:id="1736658306">
          <w:marLeft w:val="0"/>
          <w:marRight w:val="0"/>
          <w:marTop w:val="0"/>
          <w:marBottom w:val="0"/>
          <w:divBdr>
            <w:top w:val="none" w:sz="0" w:space="0" w:color="auto"/>
            <w:left w:val="none" w:sz="0" w:space="0" w:color="auto"/>
            <w:bottom w:val="none" w:sz="0" w:space="0" w:color="auto"/>
            <w:right w:val="none" w:sz="0" w:space="0" w:color="auto"/>
          </w:divBdr>
        </w:div>
      </w:divsChild>
    </w:div>
    <w:div w:id="299960501">
      <w:bodyDiv w:val="1"/>
      <w:marLeft w:val="0"/>
      <w:marRight w:val="0"/>
      <w:marTop w:val="0"/>
      <w:marBottom w:val="0"/>
      <w:divBdr>
        <w:top w:val="none" w:sz="0" w:space="0" w:color="auto"/>
        <w:left w:val="none" w:sz="0" w:space="0" w:color="auto"/>
        <w:bottom w:val="none" w:sz="0" w:space="0" w:color="auto"/>
        <w:right w:val="none" w:sz="0" w:space="0" w:color="auto"/>
      </w:divBdr>
    </w:div>
    <w:div w:id="299965479">
      <w:bodyDiv w:val="1"/>
      <w:marLeft w:val="0"/>
      <w:marRight w:val="0"/>
      <w:marTop w:val="0"/>
      <w:marBottom w:val="0"/>
      <w:divBdr>
        <w:top w:val="none" w:sz="0" w:space="0" w:color="auto"/>
        <w:left w:val="none" w:sz="0" w:space="0" w:color="auto"/>
        <w:bottom w:val="none" w:sz="0" w:space="0" w:color="auto"/>
        <w:right w:val="none" w:sz="0" w:space="0" w:color="auto"/>
      </w:divBdr>
    </w:div>
    <w:div w:id="301034963">
      <w:bodyDiv w:val="1"/>
      <w:marLeft w:val="0"/>
      <w:marRight w:val="0"/>
      <w:marTop w:val="0"/>
      <w:marBottom w:val="0"/>
      <w:divBdr>
        <w:top w:val="none" w:sz="0" w:space="0" w:color="auto"/>
        <w:left w:val="none" w:sz="0" w:space="0" w:color="auto"/>
        <w:bottom w:val="none" w:sz="0" w:space="0" w:color="auto"/>
        <w:right w:val="none" w:sz="0" w:space="0" w:color="auto"/>
      </w:divBdr>
      <w:divsChild>
        <w:div w:id="1050031712">
          <w:marLeft w:val="0"/>
          <w:marRight w:val="0"/>
          <w:marTop w:val="0"/>
          <w:marBottom w:val="0"/>
          <w:divBdr>
            <w:top w:val="none" w:sz="0" w:space="0" w:color="auto"/>
            <w:left w:val="none" w:sz="0" w:space="0" w:color="auto"/>
            <w:bottom w:val="none" w:sz="0" w:space="0" w:color="auto"/>
            <w:right w:val="none" w:sz="0" w:space="0" w:color="auto"/>
          </w:divBdr>
        </w:div>
        <w:div w:id="600336911">
          <w:marLeft w:val="0"/>
          <w:marRight w:val="0"/>
          <w:marTop w:val="0"/>
          <w:marBottom w:val="0"/>
          <w:divBdr>
            <w:top w:val="none" w:sz="0" w:space="0" w:color="auto"/>
            <w:left w:val="none" w:sz="0" w:space="0" w:color="auto"/>
            <w:bottom w:val="none" w:sz="0" w:space="0" w:color="auto"/>
            <w:right w:val="none" w:sz="0" w:space="0" w:color="auto"/>
          </w:divBdr>
        </w:div>
        <w:div w:id="1938440107">
          <w:marLeft w:val="0"/>
          <w:marRight w:val="0"/>
          <w:marTop w:val="0"/>
          <w:marBottom w:val="0"/>
          <w:divBdr>
            <w:top w:val="none" w:sz="0" w:space="0" w:color="auto"/>
            <w:left w:val="none" w:sz="0" w:space="0" w:color="auto"/>
            <w:bottom w:val="none" w:sz="0" w:space="0" w:color="auto"/>
            <w:right w:val="none" w:sz="0" w:space="0" w:color="auto"/>
          </w:divBdr>
        </w:div>
      </w:divsChild>
    </w:div>
    <w:div w:id="303851754">
      <w:bodyDiv w:val="1"/>
      <w:marLeft w:val="0"/>
      <w:marRight w:val="0"/>
      <w:marTop w:val="0"/>
      <w:marBottom w:val="0"/>
      <w:divBdr>
        <w:top w:val="none" w:sz="0" w:space="0" w:color="auto"/>
        <w:left w:val="none" w:sz="0" w:space="0" w:color="auto"/>
        <w:bottom w:val="none" w:sz="0" w:space="0" w:color="auto"/>
        <w:right w:val="none" w:sz="0" w:space="0" w:color="auto"/>
      </w:divBdr>
    </w:div>
    <w:div w:id="304049887">
      <w:bodyDiv w:val="1"/>
      <w:marLeft w:val="0"/>
      <w:marRight w:val="0"/>
      <w:marTop w:val="0"/>
      <w:marBottom w:val="0"/>
      <w:divBdr>
        <w:top w:val="none" w:sz="0" w:space="0" w:color="auto"/>
        <w:left w:val="none" w:sz="0" w:space="0" w:color="auto"/>
        <w:bottom w:val="none" w:sz="0" w:space="0" w:color="auto"/>
        <w:right w:val="none" w:sz="0" w:space="0" w:color="auto"/>
      </w:divBdr>
    </w:div>
    <w:div w:id="305352788">
      <w:bodyDiv w:val="1"/>
      <w:marLeft w:val="0"/>
      <w:marRight w:val="0"/>
      <w:marTop w:val="0"/>
      <w:marBottom w:val="0"/>
      <w:divBdr>
        <w:top w:val="none" w:sz="0" w:space="0" w:color="auto"/>
        <w:left w:val="none" w:sz="0" w:space="0" w:color="auto"/>
        <w:bottom w:val="none" w:sz="0" w:space="0" w:color="auto"/>
        <w:right w:val="none" w:sz="0" w:space="0" w:color="auto"/>
      </w:divBdr>
    </w:div>
    <w:div w:id="306327466">
      <w:bodyDiv w:val="1"/>
      <w:marLeft w:val="0"/>
      <w:marRight w:val="0"/>
      <w:marTop w:val="0"/>
      <w:marBottom w:val="0"/>
      <w:divBdr>
        <w:top w:val="none" w:sz="0" w:space="0" w:color="auto"/>
        <w:left w:val="none" w:sz="0" w:space="0" w:color="auto"/>
        <w:bottom w:val="none" w:sz="0" w:space="0" w:color="auto"/>
        <w:right w:val="none" w:sz="0" w:space="0" w:color="auto"/>
      </w:divBdr>
    </w:div>
    <w:div w:id="306787097">
      <w:bodyDiv w:val="1"/>
      <w:marLeft w:val="0"/>
      <w:marRight w:val="0"/>
      <w:marTop w:val="0"/>
      <w:marBottom w:val="0"/>
      <w:divBdr>
        <w:top w:val="none" w:sz="0" w:space="0" w:color="auto"/>
        <w:left w:val="none" w:sz="0" w:space="0" w:color="auto"/>
        <w:bottom w:val="none" w:sz="0" w:space="0" w:color="auto"/>
        <w:right w:val="none" w:sz="0" w:space="0" w:color="auto"/>
      </w:divBdr>
    </w:div>
    <w:div w:id="307126732">
      <w:bodyDiv w:val="1"/>
      <w:marLeft w:val="0"/>
      <w:marRight w:val="0"/>
      <w:marTop w:val="0"/>
      <w:marBottom w:val="0"/>
      <w:divBdr>
        <w:top w:val="none" w:sz="0" w:space="0" w:color="auto"/>
        <w:left w:val="none" w:sz="0" w:space="0" w:color="auto"/>
        <w:bottom w:val="none" w:sz="0" w:space="0" w:color="auto"/>
        <w:right w:val="none" w:sz="0" w:space="0" w:color="auto"/>
      </w:divBdr>
    </w:div>
    <w:div w:id="307438708">
      <w:bodyDiv w:val="1"/>
      <w:marLeft w:val="0"/>
      <w:marRight w:val="0"/>
      <w:marTop w:val="0"/>
      <w:marBottom w:val="0"/>
      <w:divBdr>
        <w:top w:val="none" w:sz="0" w:space="0" w:color="auto"/>
        <w:left w:val="none" w:sz="0" w:space="0" w:color="auto"/>
        <w:bottom w:val="none" w:sz="0" w:space="0" w:color="auto"/>
        <w:right w:val="none" w:sz="0" w:space="0" w:color="auto"/>
      </w:divBdr>
    </w:div>
    <w:div w:id="308361973">
      <w:bodyDiv w:val="1"/>
      <w:marLeft w:val="0"/>
      <w:marRight w:val="0"/>
      <w:marTop w:val="0"/>
      <w:marBottom w:val="0"/>
      <w:divBdr>
        <w:top w:val="none" w:sz="0" w:space="0" w:color="auto"/>
        <w:left w:val="none" w:sz="0" w:space="0" w:color="auto"/>
        <w:bottom w:val="none" w:sz="0" w:space="0" w:color="auto"/>
        <w:right w:val="none" w:sz="0" w:space="0" w:color="auto"/>
      </w:divBdr>
    </w:div>
    <w:div w:id="308555619">
      <w:bodyDiv w:val="1"/>
      <w:marLeft w:val="0"/>
      <w:marRight w:val="0"/>
      <w:marTop w:val="0"/>
      <w:marBottom w:val="0"/>
      <w:divBdr>
        <w:top w:val="none" w:sz="0" w:space="0" w:color="auto"/>
        <w:left w:val="none" w:sz="0" w:space="0" w:color="auto"/>
        <w:bottom w:val="none" w:sz="0" w:space="0" w:color="auto"/>
        <w:right w:val="none" w:sz="0" w:space="0" w:color="auto"/>
      </w:divBdr>
    </w:div>
    <w:div w:id="309680090">
      <w:bodyDiv w:val="1"/>
      <w:marLeft w:val="0"/>
      <w:marRight w:val="0"/>
      <w:marTop w:val="0"/>
      <w:marBottom w:val="0"/>
      <w:divBdr>
        <w:top w:val="none" w:sz="0" w:space="0" w:color="auto"/>
        <w:left w:val="none" w:sz="0" w:space="0" w:color="auto"/>
        <w:bottom w:val="none" w:sz="0" w:space="0" w:color="auto"/>
        <w:right w:val="none" w:sz="0" w:space="0" w:color="auto"/>
      </w:divBdr>
    </w:div>
    <w:div w:id="310257834">
      <w:bodyDiv w:val="1"/>
      <w:marLeft w:val="0"/>
      <w:marRight w:val="0"/>
      <w:marTop w:val="0"/>
      <w:marBottom w:val="0"/>
      <w:divBdr>
        <w:top w:val="none" w:sz="0" w:space="0" w:color="auto"/>
        <w:left w:val="none" w:sz="0" w:space="0" w:color="auto"/>
        <w:bottom w:val="none" w:sz="0" w:space="0" w:color="auto"/>
        <w:right w:val="none" w:sz="0" w:space="0" w:color="auto"/>
      </w:divBdr>
    </w:div>
    <w:div w:id="310790946">
      <w:bodyDiv w:val="1"/>
      <w:marLeft w:val="0"/>
      <w:marRight w:val="0"/>
      <w:marTop w:val="0"/>
      <w:marBottom w:val="0"/>
      <w:divBdr>
        <w:top w:val="none" w:sz="0" w:space="0" w:color="auto"/>
        <w:left w:val="none" w:sz="0" w:space="0" w:color="auto"/>
        <w:bottom w:val="none" w:sz="0" w:space="0" w:color="auto"/>
        <w:right w:val="none" w:sz="0" w:space="0" w:color="auto"/>
      </w:divBdr>
    </w:div>
    <w:div w:id="310908453">
      <w:bodyDiv w:val="1"/>
      <w:marLeft w:val="0"/>
      <w:marRight w:val="0"/>
      <w:marTop w:val="0"/>
      <w:marBottom w:val="0"/>
      <w:divBdr>
        <w:top w:val="none" w:sz="0" w:space="0" w:color="auto"/>
        <w:left w:val="none" w:sz="0" w:space="0" w:color="auto"/>
        <w:bottom w:val="none" w:sz="0" w:space="0" w:color="auto"/>
        <w:right w:val="none" w:sz="0" w:space="0" w:color="auto"/>
      </w:divBdr>
      <w:divsChild>
        <w:div w:id="1827550354">
          <w:marLeft w:val="0"/>
          <w:marRight w:val="0"/>
          <w:marTop w:val="0"/>
          <w:marBottom w:val="0"/>
          <w:divBdr>
            <w:top w:val="none" w:sz="0" w:space="0" w:color="auto"/>
            <w:left w:val="none" w:sz="0" w:space="0" w:color="auto"/>
            <w:bottom w:val="none" w:sz="0" w:space="0" w:color="auto"/>
            <w:right w:val="none" w:sz="0" w:space="0" w:color="auto"/>
          </w:divBdr>
        </w:div>
        <w:div w:id="1253665189">
          <w:marLeft w:val="0"/>
          <w:marRight w:val="0"/>
          <w:marTop w:val="0"/>
          <w:marBottom w:val="0"/>
          <w:divBdr>
            <w:top w:val="none" w:sz="0" w:space="0" w:color="auto"/>
            <w:left w:val="none" w:sz="0" w:space="0" w:color="auto"/>
            <w:bottom w:val="none" w:sz="0" w:space="0" w:color="auto"/>
            <w:right w:val="none" w:sz="0" w:space="0" w:color="auto"/>
          </w:divBdr>
        </w:div>
        <w:div w:id="57091368">
          <w:marLeft w:val="0"/>
          <w:marRight w:val="0"/>
          <w:marTop w:val="0"/>
          <w:marBottom w:val="0"/>
          <w:divBdr>
            <w:top w:val="none" w:sz="0" w:space="0" w:color="auto"/>
            <w:left w:val="none" w:sz="0" w:space="0" w:color="auto"/>
            <w:bottom w:val="none" w:sz="0" w:space="0" w:color="auto"/>
            <w:right w:val="none" w:sz="0" w:space="0" w:color="auto"/>
          </w:divBdr>
        </w:div>
        <w:div w:id="193153360">
          <w:marLeft w:val="0"/>
          <w:marRight w:val="0"/>
          <w:marTop w:val="0"/>
          <w:marBottom w:val="0"/>
          <w:divBdr>
            <w:top w:val="none" w:sz="0" w:space="0" w:color="auto"/>
            <w:left w:val="none" w:sz="0" w:space="0" w:color="auto"/>
            <w:bottom w:val="none" w:sz="0" w:space="0" w:color="auto"/>
            <w:right w:val="none" w:sz="0" w:space="0" w:color="auto"/>
          </w:divBdr>
        </w:div>
        <w:div w:id="785002913">
          <w:marLeft w:val="0"/>
          <w:marRight w:val="0"/>
          <w:marTop w:val="0"/>
          <w:marBottom w:val="0"/>
          <w:divBdr>
            <w:top w:val="none" w:sz="0" w:space="0" w:color="auto"/>
            <w:left w:val="none" w:sz="0" w:space="0" w:color="auto"/>
            <w:bottom w:val="none" w:sz="0" w:space="0" w:color="auto"/>
            <w:right w:val="none" w:sz="0" w:space="0" w:color="auto"/>
          </w:divBdr>
        </w:div>
      </w:divsChild>
    </w:div>
    <w:div w:id="311562590">
      <w:bodyDiv w:val="1"/>
      <w:marLeft w:val="0"/>
      <w:marRight w:val="0"/>
      <w:marTop w:val="0"/>
      <w:marBottom w:val="0"/>
      <w:divBdr>
        <w:top w:val="none" w:sz="0" w:space="0" w:color="auto"/>
        <w:left w:val="none" w:sz="0" w:space="0" w:color="auto"/>
        <w:bottom w:val="none" w:sz="0" w:space="0" w:color="auto"/>
        <w:right w:val="none" w:sz="0" w:space="0" w:color="auto"/>
      </w:divBdr>
    </w:div>
    <w:div w:id="311641533">
      <w:bodyDiv w:val="1"/>
      <w:marLeft w:val="0"/>
      <w:marRight w:val="0"/>
      <w:marTop w:val="0"/>
      <w:marBottom w:val="0"/>
      <w:divBdr>
        <w:top w:val="none" w:sz="0" w:space="0" w:color="auto"/>
        <w:left w:val="none" w:sz="0" w:space="0" w:color="auto"/>
        <w:bottom w:val="none" w:sz="0" w:space="0" w:color="auto"/>
        <w:right w:val="none" w:sz="0" w:space="0" w:color="auto"/>
      </w:divBdr>
    </w:div>
    <w:div w:id="314915990">
      <w:bodyDiv w:val="1"/>
      <w:marLeft w:val="0"/>
      <w:marRight w:val="0"/>
      <w:marTop w:val="0"/>
      <w:marBottom w:val="0"/>
      <w:divBdr>
        <w:top w:val="none" w:sz="0" w:space="0" w:color="auto"/>
        <w:left w:val="none" w:sz="0" w:space="0" w:color="auto"/>
        <w:bottom w:val="none" w:sz="0" w:space="0" w:color="auto"/>
        <w:right w:val="none" w:sz="0" w:space="0" w:color="auto"/>
      </w:divBdr>
    </w:div>
    <w:div w:id="315106690">
      <w:bodyDiv w:val="1"/>
      <w:marLeft w:val="0"/>
      <w:marRight w:val="0"/>
      <w:marTop w:val="0"/>
      <w:marBottom w:val="0"/>
      <w:divBdr>
        <w:top w:val="none" w:sz="0" w:space="0" w:color="auto"/>
        <w:left w:val="none" w:sz="0" w:space="0" w:color="auto"/>
        <w:bottom w:val="none" w:sz="0" w:space="0" w:color="auto"/>
        <w:right w:val="none" w:sz="0" w:space="0" w:color="auto"/>
      </w:divBdr>
    </w:div>
    <w:div w:id="315182235">
      <w:bodyDiv w:val="1"/>
      <w:marLeft w:val="0"/>
      <w:marRight w:val="0"/>
      <w:marTop w:val="0"/>
      <w:marBottom w:val="0"/>
      <w:divBdr>
        <w:top w:val="none" w:sz="0" w:space="0" w:color="auto"/>
        <w:left w:val="none" w:sz="0" w:space="0" w:color="auto"/>
        <w:bottom w:val="none" w:sz="0" w:space="0" w:color="auto"/>
        <w:right w:val="none" w:sz="0" w:space="0" w:color="auto"/>
      </w:divBdr>
    </w:div>
    <w:div w:id="315426796">
      <w:bodyDiv w:val="1"/>
      <w:marLeft w:val="0"/>
      <w:marRight w:val="0"/>
      <w:marTop w:val="0"/>
      <w:marBottom w:val="0"/>
      <w:divBdr>
        <w:top w:val="none" w:sz="0" w:space="0" w:color="auto"/>
        <w:left w:val="none" w:sz="0" w:space="0" w:color="auto"/>
        <w:bottom w:val="none" w:sz="0" w:space="0" w:color="auto"/>
        <w:right w:val="none" w:sz="0" w:space="0" w:color="auto"/>
      </w:divBdr>
    </w:div>
    <w:div w:id="315694146">
      <w:bodyDiv w:val="1"/>
      <w:marLeft w:val="0"/>
      <w:marRight w:val="0"/>
      <w:marTop w:val="0"/>
      <w:marBottom w:val="0"/>
      <w:divBdr>
        <w:top w:val="none" w:sz="0" w:space="0" w:color="auto"/>
        <w:left w:val="none" w:sz="0" w:space="0" w:color="auto"/>
        <w:bottom w:val="none" w:sz="0" w:space="0" w:color="auto"/>
        <w:right w:val="none" w:sz="0" w:space="0" w:color="auto"/>
      </w:divBdr>
    </w:div>
    <w:div w:id="315842946">
      <w:bodyDiv w:val="1"/>
      <w:marLeft w:val="0"/>
      <w:marRight w:val="0"/>
      <w:marTop w:val="0"/>
      <w:marBottom w:val="0"/>
      <w:divBdr>
        <w:top w:val="none" w:sz="0" w:space="0" w:color="auto"/>
        <w:left w:val="none" w:sz="0" w:space="0" w:color="auto"/>
        <w:bottom w:val="none" w:sz="0" w:space="0" w:color="auto"/>
        <w:right w:val="none" w:sz="0" w:space="0" w:color="auto"/>
      </w:divBdr>
    </w:div>
    <w:div w:id="316154801">
      <w:bodyDiv w:val="1"/>
      <w:marLeft w:val="0"/>
      <w:marRight w:val="0"/>
      <w:marTop w:val="0"/>
      <w:marBottom w:val="0"/>
      <w:divBdr>
        <w:top w:val="none" w:sz="0" w:space="0" w:color="auto"/>
        <w:left w:val="none" w:sz="0" w:space="0" w:color="auto"/>
        <w:bottom w:val="none" w:sz="0" w:space="0" w:color="auto"/>
        <w:right w:val="none" w:sz="0" w:space="0" w:color="auto"/>
      </w:divBdr>
    </w:div>
    <w:div w:id="316882816">
      <w:bodyDiv w:val="1"/>
      <w:marLeft w:val="0"/>
      <w:marRight w:val="0"/>
      <w:marTop w:val="0"/>
      <w:marBottom w:val="0"/>
      <w:divBdr>
        <w:top w:val="none" w:sz="0" w:space="0" w:color="auto"/>
        <w:left w:val="none" w:sz="0" w:space="0" w:color="auto"/>
        <w:bottom w:val="none" w:sz="0" w:space="0" w:color="auto"/>
        <w:right w:val="none" w:sz="0" w:space="0" w:color="auto"/>
      </w:divBdr>
    </w:div>
    <w:div w:id="317343156">
      <w:bodyDiv w:val="1"/>
      <w:marLeft w:val="0"/>
      <w:marRight w:val="0"/>
      <w:marTop w:val="0"/>
      <w:marBottom w:val="0"/>
      <w:divBdr>
        <w:top w:val="none" w:sz="0" w:space="0" w:color="auto"/>
        <w:left w:val="none" w:sz="0" w:space="0" w:color="auto"/>
        <w:bottom w:val="none" w:sz="0" w:space="0" w:color="auto"/>
        <w:right w:val="none" w:sz="0" w:space="0" w:color="auto"/>
      </w:divBdr>
    </w:div>
    <w:div w:id="318340904">
      <w:bodyDiv w:val="1"/>
      <w:marLeft w:val="0"/>
      <w:marRight w:val="0"/>
      <w:marTop w:val="0"/>
      <w:marBottom w:val="0"/>
      <w:divBdr>
        <w:top w:val="none" w:sz="0" w:space="0" w:color="auto"/>
        <w:left w:val="none" w:sz="0" w:space="0" w:color="auto"/>
        <w:bottom w:val="none" w:sz="0" w:space="0" w:color="auto"/>
        <w:right w:val="none" w:sz="0" w:space="0" w:color="auto"/>
      </w:divBdr>
    </w:div>
    <w:div w:id="318465046">
      <w:bodyDiv w:val="1"/>
      <w:marLeft w:val="0"/>
      <w:marRight w:val="0"/>
      <w:marTop w:val="0"/>
      <w:marBottom w:val="0"/>
      <w:divBdr>
        <w:top w:val="none" w:sz="0" w:space="0" w:color="auto"/>
        <w:left w:val="none" w:sz="0" w:space="0" w:color="auto"/>
        <w:bottom w:val="none" w:sz="0" w:space="0" w:color="auto"/>
        <w:right w:val="none" w:sz="0" w:space="0" w:color="auto"/>
      </w:divBdr>
    </w:div>
    <w:div w:id="318467579">
      <w:bodyDiv w:val="1"/>
      <w:marLeft w:val="0"/>
      <w:marRight w:val="0"/>
      <w:marTop w:val="0"/>
      <w:marBottom w:val="0"/>
      <w:divBdr>
        <w:top w:val="none" w:sz="0" w:space="0" w:color="auto"/>
        <w:left w:val="none" w:sz="0" w:space="0" w:color="auto"/>
        <w:bottom w:val="none" w:sz="0" w:space="0" w:color="auto"/>
        <w:right w:val="none" w:sz="0" w:space="0" w:color="auto"/>
      </w:divBdr>
    </w:div>
    <w:div w:id="318853510">
      <w:bodyDiv w:val="1"/>
      <w:marLeft w:val="0"/>
      <w:marRight w:val="0"/>
      <w:marTop w:val="0"/>
      <w:marBottom w:val="0"/>
      <w:divBdr>
        <w:top w:val="none" w:sz="0" w:space="0" w:color="auto"/>
        <w:left w:val="none" w:sz="0" w:space="0" w:color="auto"/>
        <w:bottom w:val="none" w:sz="0" w:space="0" w:color="auto"/>
        <w:right w:val="none" w:sz="0" w:space="0" w:color="auto"/>
      </w:divBdr>
    </w:div>
    <w:div w:id="318971646">
      <w:bodyDiv w:val="1"/>
      <w:marLeft w:val="0"/>
      <w:marRight w:val="0"/>
      <w:marTop w:val="0"/>
      <w:marBottom w:val="0"/>
      <w:divBdr>
        <w:top w:val="none" w:sz="0" w:space="0" w:color="auto"/>
        <w:left w:val="none" w:sz="0" w:space="0" w:color="auto"/>
        <w:bottom w:val="none" w:sz="0" w:space="0" w:color="auto"/>
        <w:right w:val="none" w:sz="0" w:space="0" w:color="auto"/>
      </w:divBdr>
    </w:div>
    <w:div w:id="319235090">
      <w:bodyDiv w:val="1"/>
      <w:marLeft w:val="0"/>
      <w:marRight w:val="0"/>
      <w:marTop w:val="0"/>
      <w:marBottom w:val="0"/>
      <w:divBdr>
        <w:top w:val="none" w:sz="0" w:space="0" w:color="auto"/>
        <w:left w:val="none" w:sz="0" w:space="0" w:color="auto"/>
        <w:bottom w:val="none" w:sz="0" w:space="0" w:color="auto"/>
        <w:right w:val="none" w:sz="0" w:space="0" w:color="auto"/>
      </w:divBdr>
    </w:div>
    <w:div w:id="319509183">
      <w:bodyDiv w:val="1"/>
      <w:marLeft w:val="0"/>
      <w:marRight w:val="0"/>
      <w:marTop w:val="0"/>
      <w:marBottom w:val="0"/>
      <w:divBdr>
        <w:top w:val="none" w:sz="0" w:space="0" w:color="auto"/>
        <w:left w:val="none" w:sz="0" w:space="0" w:color="auto"/>
        <w:bottom w:val="none" w:sz="0" w:space="0" w:color="auto"/>
        <w:right w:val="none" w:sz="0" w:space="0" w:color="auto"/>
      </w:divBdr>
    </w:div>
    <w:div w:id="319893695">
      <w:bodyDiv w:val="1"/>
      <w:marLeft w:val="0"/>
      <w:marRight w:val="0"/>
      <w:marTop w:val="0"/>
      <w:marBottom w:val="0"/>
      <w:divBdr>
        <w:top w:val="none" w:sz="0" w:space="0" w:color="auto"/>
        <w:left w:val="none" w:sz="0" w:space="0" w:color="auto"/>
        <w:bottom w:val="none" w:sz="0" w:space="0" w:color="auto"/>
        <w:right w:val="none" w:sz="0" w:space="0" w:color="auto"/>
      </w:divBdr>
    </w:div>
    <w:div w:id="320619282">
      <w:bodyDiv w:val="1"/>
      <w:marLeft w:val="0"/>
      <w:marRight w:val="0"/>
      <w:marTop w:val="0"/>
      <w:marBottom w:val="0"/>
      <w:divBdr>
        <w:top w:val="none" w:sz="0" w:space="0" w:color="auto"/>
        <w:left w:val="none" w:sz="0" w:space="0" w:color="auto"/>
        <w:bottom w:val="none" w:sz="0" w:space="0" w:color="auto"/>
        <w:right w:val="none" w:sz="0" w:space="0" w:color="auto"/>
      </w:divBdr>
    </w:div>
    <w:div w:id="322007608">
      <w:bodyDiv w:val="1"/>
      <w:marLeft w:val="0"/>
      <w:marRight w:val="0"/>
      <w:marTop w:val="0"/>
      <w:marBottom w:val="0"/>
      <w:divBdr>
        <w:top w:val="none" w:sz="0" w:space="0" w:color="auto"/>
        <w:left w:val="none" w:sz="0" w:space="0" w:color="auto"/>
        <w:bottom w:val="none" w:sz="0" w:space="0" w:color="auto"/>
        <w:right w:val="none" w:sz="0" w:space="0" w:color="auto"/>
      </w:divBdr>
    </w:div>
    <w:div w:id="322126050">
      <w:bodyDiv w:val="1"/>
      <w:marLeft w:val="0"/>
      <w:marRight w:val="0"/>
      <w:marTop w:val="0"/>
      <w:marBottom w:val="0"/>
      <w:divBdr>
        <w:top w:val="none" w:sz="0" w:space="0" w:color="auto"/>
        <w:left w:val="none" w:sz="0" w:space="0" w:color="auto"/>
        <w:bottom w:val="none" w:sz="0" w:space="0" w:color="auto"/>
        <w:right w:val="none" w:sz="0" w:space="0" w:color="auto"/>
      </w:divBdr>
    </w:div>
    <w:div w:id="323316281">
      <w:bodyDiv w:val="1"/>
      <w:marLeft w:val="0"/>
      <w:marRight w:val="0"/>
      <w:marTop w:val="0"/>
      <w:marBottom w:val="0"/>
      <w:divBdr>
        <w:top w:val="none" w:sz="0" w:space="0" w:color="auto"/>
        <w:left w:val="none" w:sz="0" w:space="0" w:color="auto"/>
        <w:bottom w:val="none" w:sz="0" w:space="0" w:color="auto"/>
        <w:right w:val="none" w:sz="0" w:space="0" w:color="auto"/>
      </w:divBdr>
    </w:div>
    <w:div w:id="323824272">
      <w:bodyDiv w:val="1"/>
      <w:marLeft w:val="0"/>
      <w:marRight w:val="0"/>
      <w:marTop w:val="0"/>
      <w:marBottom w:val="0"/>
      <w:divBdr>
        <w:top w:val="none" w:sz="0" w:space="0" w:color="auto"/>
        <w:left w:val="none" w:sz="0" w:space="0" w:color="auto"/>
        <w:bottom w:val="none" w:sz="0" w:space="0" w:color="auto"/>
        <w:right w:val="none" w:sz="0" w:space="0" w:color="auto"/>
      </w:divBdr>
    </w:div>
    <w:div w:id="324087942">
      <w:bodyDiv w:val="1"/>
      <w:marLeft w:val="0"/>
      <w:marRight w:val="0"/>
      <w:marTop w:val="0"/>
      <w:marBottom w:val="0"/>
      <w:divBdr>
        <w:top w:val="none" w:sz="0" w:space="0" w:color="auto"/>
        <w:left w:val="none" w:sz="0" w:space="0" w:color="auto"/>
        <w:bottom w:val="none" w:sz="0" w:space="0" w:color="auto"/>
        <w:right w:val="none" w:sz="0" w:space="0" w:color="auto"/>
      </w:divBdr>
    </w:div>
    <w:div w:id="324096006">
      <w:bodyDiv w:val="1"/>
      <w:marLeft w:val="0"/>
      <w:marRight w:val="0"/>
      <w:marTop w:val="0"/>
      <w:marBottom w:val="0"/>
      <w:divBdr>
        <w:top w:val="none" w:sz="0" w:space="0" w:color="auto"/>
        <w:left w:val="none" w:sz="0" w:space="0" w:color="auto"/>
        <w:bottom w:val="none" w:sz="0" w:space="0" w:color="auto"/>
        <w:right w:val="none" w:sz="0" w:space="0" w:color="auto"/>
      </w:divBdr>
    </w:div>
    <w:div w:id="324433948">
      <w:bodyDiv w:val="1"/>
      <w:marLeft w:val="0"/>
      <w:marRight w:val="0"/>
      <w:marTop w:val="0"/>
      <w:marBottom w:val="0"/>
      <w:divBdr>
        <w:top w:val="none" w:sz="0" w:space="0" w:color="auto"/>
        <w:left w:val="none" w:sz="0" w:space="0" w:color="auto"/>
        <w:bottom w:val="none" w:sz="0" w:space="0" w:color="auto"/>
        <w:right w:val="none" w:sz="0" w:space="0" w:color="auto"/>
      </w:divBdr>
    </w:div>
    <w:div w:id="325473867">
      <w:bodyDiv w:val="1"/>
      <w:marLeft w:val="0"/>
      <w:marRight w:val="0"/>
      <w:marTop w:val="0"/>
      <w:marBottom w:val="0"/>
      <w:divBdr>
        <w:top w:val="none" w:sz="0" w:space="0" w:color="auto"/>
        <w:left w:val="none" w:sz="0" w:space="0" w:color="auto"/>
        <w:bottom w:val="none" w:sz="0" w:space="0" w:color="auto"/>
        <w:right w:val="none" w:sz="0" w:space="0" w:color="auto"/>
      </w:divBdr>
    </w:div>
    <w:div w:id="325521824">
      <w:bodyDiv w:val="1"/>
      <w:marLeft w:val="0"/>
      <w:marRight w:val="0"/>
      <w:marTop w:val="0"/>
      <w:marBottom w:val="0"/>
      <w:divBdr>
        <w:top w:val="none" w:sz="0" w:space="0" w:color="auto"/>
        <w:left w:val="none" w:sz="0" w:space="0" w:color="auto"/>
        <w:bottom w:val="none" w:sz="0" w:space="0" w:color="auto"/>
        <w:right w:val="none" w:sz="0" w:space="0" w:color="auto"/>
      </w:divBdr>
    </w:div>
    <w:div w:id="325978473">
      <w:bodyDiv w:val="1"/>
      <w:marLeft w:val="0"/>
      <w:marRight w:val="0"/>
      <w:marTop w:val="0"/>
      <w:marBottom w:val="0"/>
      <w:divBdr>
        <w:top w:val="none" w:sz="0" w:space="0" w:color="auto"/>
        <w:left w:val="none" w:sz="0" w:space="0" w:color="auto"/>
        <w:bottom w:val="none" w:sz="0" w:space="0" w:color="auto"/>
        <w:right w:val="none" w:sz="0" w:space="0" w:color="auto"/>
      </w:divBdr>
    </w:div>
    <w:div w:id="327246973">
      <w:bodyDiv w:val="1"/>
      <w:marLeft w:val="0"/>
      <w:marRight w:val="0"/>
      <w:marTop w:val="0"/>
      <w:marBottom w:val="0"/>
      <w:divBdr>
        <w:top w:val="none" w:sz="0" w:space="0" w:color="auto"/>
        <w:left w:val="none" w:sz="0" w:space="0" w:color="auto"/>
        <w:bottom w:val="none" w:sz="0" w:space="0" w:color="auto"/>
        <w:right w:val="none" w:sz="0" w:space="0" w:color="auto"/>
      </w:divBdr>
    </w:div>
    <w:div w:id="327296087">
      <w:bodyDiv w:val="1"/>
      <w:marLeft w:val="0"/>
      <w:marRight w:val="0"/>
      <w:marTop w:val="0"/>
      <w:marBottom w:val="0"/>
      <w:divBdr>
        <w:top w:val="none" w:sz="0" w:space="0" w:color="auto"/>
        <w:left w:val="none" w:sz="0" w:space="0" w:color="auto"/>
        <w:bottom w:val="none" w:sz="0" w:space="0" w:color="auto"/>
        <w:right w:val="none" w:sz="0" w:space="0" w:color="auto"/>
      </w:divBdr>
      <w:divsChild>
        <w:div w:id="1060708809">
          <w:marLeft w:val="0"/>
          <w:marRight w:val="0"/>
          <w:marTop w:val="0"/>
          <w:marBottom w:val="0"/>
          <w:divBdr>
            <w:top w:val="none" w:sz="0" w:space="0" w:color="auto"/>
            <w:left w:val="none" w:sz="0" w:space="0" w:color="auto"/>
            <w:bottom w:val="none" w:sz="0" w:space="0" w:color="auto"/>
            <w:right w:val="none" w:sz="0" w:space="0" w:color="auto"/>
          </w:divBdr>
        </w:div>
        <w:div w:id="648677911">
          <w:marLeft w:val="0"/>
          <w:marRight w:val="0"/>
          <w:marTop w:val="0"/>
          <w:marBottom w:val="0"/>
          <w:divBdr>
            <w:top w:val="none" w:sz="0" w:space="0" w:color="auto"/>
            <w:left w:val="none" w:sz="0" w:space="0" w:color="auto"/>
            <w:bottom w:val="none" w:sz="0" w:space="0" w:color="auto"/>
            <w:right w:val="none" w:sz="0" w:space="0" w:color="auto"/>
          </w:divBdr>
        </w:div>
        <w:div w:id="329338325">
          <w:marLeft w:val="0"/>
          <w:marRight w:val="0"/>
          <w:marTop w:val="0"/>
          <w:marBottom w:val="0"/>
          <w:divBdr>
            <w:top w:val="none" w:sz="0" w:space="0" w:color="auto"/>
            <w:left w:val="none" w:sz="0" w:space="0" w:color="auto"/>
            <w:bottom w:val="none" w:sz="0" w:space="0" w:color="auto"/>
            <w:right w:val="none" w:sz="0" w:space="0" w:color="auto"/>
          </w:divBdr>
        </w:div>
        <w:div w:id="130562015">
          <w:marLeft w:val="0"/>
          <w:marRight w:val="0"/>
          <w:marTop w:val="0"/>
          <w:marBottom w:val="0"/>
          <w:divBdr>
            <w:top w:val="none" w:sz="0" w:space="0" w:color="auto"/>
            <w:left w:val="none" w:sz="0" w:space="0" w:color="auto"/>
            <w:bottom w:val="none" w:sz="0" w:space="0" w:color="auto"/>
            <w:right w:val="none" w:sz="0" w:space="0" w:color="auto"/>
          </w:divBdr>
        </w:div>
        <w:div w:id="51806050">
          <w:marLeft w:val="0"/>
          <w:marRight w:val="0"/>
          <w:marTop w:val="0"/>
          <w:marBottom w:val="0"/>
          <w:divBdr>
            <w:top w:val="none" w:sz="0" w:space="0" w:color="auto"/>
            <w:left w:val="none" w:sz="0" w:space="0" w:color="auto"/>
            <w:bottom w:val="none" w:sz="0" w:space="0" w:color="auto"/>
            <w:right w:val="none" w:sz="0" w:space="0" w:color="auto"/>
          </w:divBdr>
        </w:div>
      </w:divsChild>
    </w:div>
    <w:div w:id="328480447">
      <w:bodyDiv w:val="1"/>
      <w:marLeft w:val="0"/>
      <w:marRight w:val="0"/>
      <w:marTop w:val="0"/>
      <w:marBottom w:val="0"/>
      <w:divBdr>
        <w:top w:val="none" w:sz="0" w:space="0" w:color="auto"/>
        <w:left w:val="none" w:sz="0" w:space="0" w:color="auto"/>
        <w:bottom w:val="none" w:sz="0" w:space="0" w:color="auto"/>
        <w:right w:val="none" w:sz="0" w:space="0" w:color="auto"/>
      </w:divBdr>
    </w:div>
    <w:div w:id="328683056">
      <w:bodyDiv w:val="1"/>
      <w:marLeft w:val="0"/>
      <w:marRight w:val="0"/>
      <w:marTop w:val="0"/>
      <w:marBottom w:val="0"/>
      <w:divBdr>
        <w:top w:val="none" w:sz="0" w:space="0" w:color="auto"/>
        <w:left w:val="none" w:sz="0" w:space="0" w:color="auto"/>
        <w:bottom w:val="none" w:sz="0" w:space="0" w:color="auto"/>
        <w:right w:val="none" w:sz="0" w:space="0" w:color="auto"/>
      </w:divBdr>
    </w:div>
    <w:div w:id="328945246">
      <w:bodyDiv w:val="1"/>
      <w:marLeft w:val="0"/>
      <w:marRight w:val="0"/>
      <w:marTop w:val="0"/>
      <w:marBottom w:val="0"/>
      <w:divBdr>
        <w:top w:val="none" w:sz="0" w:space="0" w:color="auto"/>
        <w:left w:val="none" w:sz="0" w:space="0" w:color="auto"/>
        <w:bottom w:val="none" w:sz="0" w:space="0" w:color="auto"/>
        <w:right w:val="none" w:sz="0" w:space="0" w:color="auto"/>
      </w:divBdr>
    </w:div>
    <w:div w:id="329332939">
      <w:bodyDiv w:val="1"/>
      <w:marLeft w:val="0"/>
      <w:marRight w:val="0"/>
      <w:marTop w:val="0"/>
      <w:marBottom w:val="0"/>
      <w:divBdr>
        <w:top w:val="none" w:sz="0" w:space="0" w:color="auto"/>
        <w:left w:val="none" w:sz="0" w:space="0" w:color="auto"/>
        <w:bottom w:val="none" w:sz="0" w:space="0" w:color="auto"/>
        <w:right w:val="none" w:sz="0" w:space="0" w:color="auto"/>
      </w:divBdr>
    </w:div>
    <w:div w:id="329794130">
      <w:bodyDiv w:val="1"/>
      <w:marLeft w:val="0"/>
      <w:marRight w:val="0"/>
      <w:marTop w:val="0"/>
      <w:marBottom w:val="0"/>
      <w:divBdr>
        <w:top w:val="none" w:sz="0" w:space="0" w:color="auto"/>
        <w:left w:val="none" w:sz="0" w:space="0" w:color="auto"/>
        <w:bottom w:val="none" w:sz="0" w:space="0" w:color="auto"/>
        <w:right w:val="none" w:sz="0" w:space="0" w:color="auto"/>
      </w:divBdr>
    </w:div>
    <w:div w:id="330570302">
      <w:bodyDiv w:val="1"/>
      <w:marLeft w:val="0"/>
      <w:marRight w:val="0"/>
      <w:marTop w:val="0"/>
      <w:marBottom w:val="0"/>
      <w:divBdr>
        <w:top w:val="none" w:sz="0" w:space="0" w:color="auto"/>
        <w:left w:val="none" w:sz="0" w:space="0" w:color="auto"/>
        <w:bottom w:val="none" w:sz="0" w:space="0" w:color="auto"/>
        <w:right w:val="none" w:sz="0" w:space="0" w:color="auto"/>
      </w:divBdr>
    </w:div>
    <w:div w:id="332880855">
      <w:bodyDiv w:val="1"/>
      <w:marLeft w:val="0"/>
      <w:marRight w:val="0"/>
      <w:marTop w:val="0"/>
      <w:marBottom w:val="0"/>
      <w:divBdr>
        <w:top w:val="none" w:sz="0" w:space="0" w:color="auto"/>
        <w:left w:val="none" w:sz="0" w:space="0" w:color="auto"/>
        <w:bottom w:val="none" w:sz="0" w:space="0" w:color="auto"/>
        <w:right w:val="none" w:sz="0" w:space="0" w:color="auto"/>
      </w:divBdr>
    </w:div>
    <w:div w:id="334303037">
      <w:bodyDiv w:val="1"/>
      <w:marLeft w:val="0"/>
      <w:marRight w:val="0"/>
      <w:marTop w:val="0"/>
      <w:marBottom w:val="0"/>
      <w:divBdr>
        <w:top w:val="none" w:sz="0" w:space="0" w:color="auto"/>
        <w:left w:val="none" w:sz="0" w:space="0" w:color="auto"/>
        <w:bottom w:val="none" w:sz="0" w:space="0" w:color="auto"/>
        <w:right w:val="none" w:sz="0" w:space="0" w:color="auto"/>
      </w:divBdr>
    </w:div>
    <w:div w:id="334383062">
      <w:bodyDiv w:val="1"/>
      <w:marLeft w:val="0"/>
      <w:marRight w:val="0"/>
      <w:marTop w:val="0"/>
      <w:marBottom w:val="0"/>
      <w:divBdr>
        <w:top w:val="none" w:sz="0" w:space="0" w:color="auto"/>
        <w:left w:val="none" w:sz="0" w:space="0" w:color="auto"/>
        <w:bottom w:val="none" w:sz="0" w:space="0" w:color="auto"/>
        <w:right w:val="none" w:sz="0" w:space="0" w:color="auto"/>
      </w:divBdr>
    </w:div>
    <w:div w:id="334495985">
      <w:bodyDiv w:val="1"/>
      <w:marLeft w:val="0"/>
      <w:marRight w:val="0"/>
      <w:marTop w:val="0"/>
      <w:marBottom w:val="0"/>
      <w:divBdr>
        <w:top w:val="none" w:sz="0" w:space="0" w:color="auto"/>
        <w:left w:val="none" w:sz="0" w:space="0" w:color="auto"/>
        <w:bottom w:val="none" w:sz="0" w:space="0" w:color="auto"/>
        <w:right w:val="none" w:sz="0" w:space="0" w:color="auto"/>
      </w:divBdr>
    </w:div>
    <w:div w:id="335694520">
      <w:bodyDiv w:val="1"/>
      <w:marLeft w:val="0"/>
      <w:marRight w:val="0"/>
      <w:marTop w:val="0"/>
      <w:marBottom w:val="0"/>
      <w:divBdr>
        <w:top w:val="none" w:sz="0" w:space="0" w:color="auto"/>
        <w:left w:val="none" w:sz="0" w:space="0" w:color="auto"/>
        <w:bottom w:val="none" w:sz="0" w:space="0" w:color="auto"/>
        <w:right w:val="none" w:sz="0" w:space="0" w:color="auto"/>
      </w:divBdr>
    </w:div>
    <w:div w:id="336464467">
      <w:bodyDiv w:val="1"/>
      <w:marLeft w:val="0"/>
      <w:marRight w:val="0"/>
      <w:marTop w:val="0"/>
      <w:marBottom w:val="0"/>
      <w:divBdr>
        <w:top w:val="none" w:sz="0" w:space="0" w:color="auto"/>
        <w:left w:val="none" w:sz="0" w:space="0" w:color="auto"/>
        <w:bottom w:val="none" w:sz="0" w:space="0" w:color="auto"/>
        <w:right w:val="none" w:sz="0" w:space="0" w:color="auto"/>
      </w:divBdr>
    </w:div>
    <w:div w:id="337462766">
      <w:bodyDiv w:val="1"/>
      <w:marLeft w:val="0"/>
      <w:marRight w:val="0"/>
      <w:marTop w:val="0"/>
      <w:marBottom w:val="0"/>
      <w:divBdr>
        <w:top w:val="none" w:sz="0" w:space="0" w:color="auto"/>
        <w:left w:val="none" w:sz="0" w:space="0" w:color="auto"/>
        <w:bottom w:val="none" w:sz="0" w:space="0" w:color="auto"/>
        <w:right w:val="none" w:sz="0" w:space="0" w:color="auto"/>
      </w:divBdr>
    </w:div>
    <w:div w:id="337579033">
      <w:bodyDiv w:val="1"/>
      <w:marLeft w:val="0"/>
      <w:marRight w:val="0"/>
      <w:marTop w:val="0"/>
      <w:marBottom w:val="0"/>
      <w:divBdr>
        <w:top w:val="none" w:sz="0" w:space="0" w:color="auto"/>
        <w:left w:val="none" w:sz="0" w:space="0" w:color="auto"/>
        <w:bottom w:val="none" w:sz="0" w:space="0" w:color="auto"/>
        <w:right w:val="none" w:sz="0" w:space="0" w:color="auto"/>
      </w:divBdr>
    </w:div>
    <w:div w:id="337658039">
      <w:bodyDiv w:val="1"/>
      <w:marLeft w:val="0"/>
      <w:marRight w:val="0"/>
      <w:marTop w:val="0"/>
      <w:marBottom w:val="0"/>
      <w:divBdr>
        <w:top w:val="none" w:sz="0" w:space="0" w:color="auto"/>
        <w:left w:val="none" w:sz="0" w:space="0" w:color="auto"/>
        <w:bottom w:val="none" w:sz="0" w:space="0" w:color="auto"/>
        <w:right w:val="none" w:sz="0" w:space="0" w:color="auto"/>
      </w:divBdr>
    </w:div>
    <w:div w:id="337855065">
      <w:bodyDiv w:val="1"/>
      <w:marLeft w:val="0"/>
      <w:marRight w:val="0"/>
      <w:marTop w:val="0"/>
      <w:marBottom w:val="0"/>
      <w:divBdr>
        <w:top w:val="none" w:sz="0" w:space="0" w:color="auto"/>
        <w:left w:val="none" w:sz="0" w:space="0" w:color="auto"/>
        <w:bottom w:val="none" w:sz="0" w:space="0" w:color="auto"/>
        <w:right w:val="none" w:sz="0" w:space="0" w:color="auto"/>
      </w:divBdr>
    </w:div>
    <w:div w:id="338628308">
      <w:bodyDiv w:val="1"/>
      <w:marLeft w:val="0"/>
      <w:marRight w:val="0"/>
      <w:marTop w:val="0"/>
      <w:marBottom w:val="0"/>
      <w:divBdr>
        <w:top w:val="none" w:sz="0" w:space="0" w:color="auto"/>
        <w:left w:val="none" w:sz="0" w:space="0" w:color="auto"/>
        <w:bottom w:val="none" w:sz="0" w:space="0" w:color="auto"/>
        <w:right w:val="none" w:sz="0" w:space="0" w:color="auto"/>
      </w:divBdr>
    </w:div>
    <w:div w:id="338699804">
      <w:bodyDiv w:val="1"/>
      <w:marLeft w:val="0"/>
      <w:marRight w:val="0"/>
      <w:marTop w:val="0"/>
      <w:marBottom w:val="0"/>
      <w:divBdr>
        <w:top w:val="none" w:sz="0" w:space="0" w:color="auto"/>
        <w:left w:val="none" w:sz="0" w:space="0" w:color="auto"/>
        <w:bottom w:val="none" w:sz="0" w:space="0" w:color="auto"/>
        <w:right w:val="none" w:sz="0" w:space="0" w:color="auto"/>
      </w:divBdr>
    </w:div>
    <w:div w:id="341665016">
      <w:bodyDiv w:val="1"/>
      <w:marLeft w:val="0"/>
      <w:marRight w:val="0"/>
      <w:marTop w:val="0"/>
      <w:marBottom w:val="0"/>
      <w:divBdr>
        <w:top w:val="none" w:sz="0" w:space="0" w:color="auto"/>
        <w:left w:val="none" w:sz="0" w:space="0" w:color="auto"/>
        <w:bottom w:val="none" w:sz="0" w:space="0" w:color="auto"/>
        <w:right w:val="none" w:sz="0" w:space="0" w:color="auto"/>
      </w:divBdr>
    </w:div>
    <w:div w:id="342438037">
      <w:bodyDiv w:val="1"/>
      <w:marLeft w:val="0"/>
      <w:marRight w:val="0"/>
      <w:marTop w:val="0"/>
      <w:marBottom w:val="0"/>
      <w:divBdr>
        <w:top w:val="none" w:sz="0" w:space="0" w:color="auto"/>
        <w:left w:val="none" w:sz="0" w:space="0" w:color="auto"/>
        <w:bottom w:val="none" w:sz="0" w:space="0" w:color="auto"/>
        <w:right w:val="none" w:sz="0" w:space="0" w:color="auto"/>
      </w:divBdr>
    </w:div>
    <w:div w:id="343095529">
      <w:bodyDiv w:val="1"/>
      <w:marLeft w:val="0"/>
      <w:marRight w:val="0"/>
      <w:marTop w:val="0"/>
      <w:marBottom w:val="0"/>
      <w:divBdr>
        <w:top w:val="none" w:sz="0" w:space="0" w:color="auto"/>
        <w:left w:val="none" w:sz="0" w:space="0" w:color="auto"/>
        <w:bottom w:val="none" w:sz="0" w:space="0" w:color="auto"/>
        <w:right w:val="none" w:sz="0" w:space="0" w:color="auto"/>
      </w:divBdr>
    </w:div>
    <w:div w:id="343436802">
      <w:bodyDiv w:val="1"/>
      <w:marLeft w:val="0"/>
      <w:marRight w:val="0"/>
      <w:marTop w:val="0"/>
      <w:marBottom w:val="0"/>
      <w:divBdr>
        <w:top w:val="none" w:sz="0" w:space="0" w:color="auto"/>
        <w:left w:val="none" w:sz="0" w:space="0" w:color="auto"/>
        <w:bottom w:val="none" w:sz="0" w:space="0" w:color="auto"/>
        <w:right w:val="none" w:sz="0" w:space="0" w:color="auto"/>
      </w:divBdr>
    </w:div>
    <w:div w:id="343671548">
      <w:bodyDiv w:val="1"/>
      <w:marLeft w:val="0"/>
      <w:marRight w:val="0"/>
      <w:marTop w:val="0"/>
      <w:marBottom w:val="0"/>
      <w:divBdr>
        <w:top w:val="none" w:sz="0" w:space="0" w:color="auto"/>
        <w:left w:val="none" w:sz="0" w:space="0" w:color="auto"/>
        <w:bottom w:val="none" w:sz="0" w:space="0" w:color="auto"/>
        <w:right w:val="none" w:sz="0" w:space="0" w:color="auto"/>
      </w:divBdr>
    </w:div>
    <w:div w:id="343868315">
      <w:bodyDiv w:val="1"/>
      <w:marLeft w:val="0"/>
      <w:marRight w:val="0"/>
      <w:marTop w:val="0"/>
      <w:marBottom w:val="0"/>
      <w:divBdr>
        <w:top w:val="none" w:sz="0" w:space="0" w:color="auto"/>
        <w:left w:val="none" w:sz="0" w:space="0" w:color="auto"/>
        <w:bottom w:val="none" w:sz="0" w:space="0" w:color="auto"/>
        <w:right w:val="none" w:sz="0" w:space="0" w:color="auto"/>
      </w:divBdr>
    </w:div>
    <w:div w:id="343870534">
      <w:bodyDiv w:val="1"/>
      <w:marLeft w:val="0"/>
      <w:marRight w:val="0"/>
      <w:marTop w:val="0"/>
      <w:marBottom w:val="0"/>
      <w:divBdr>
        <w:top w:val="none" w:sz="0" w:space="0" w:color="auto"/>
        <w:left w:val="none" w:sz="0" w:space="0" w:color="auto"/>
        <w:bottom w:val="none" w:sz="0" w:space="0" w:color="auto"/>
        <w:right w:val="none" w:sz="0" w:space="0" w:color="auto"/>
      </w:divBdr>
    </w:div>
    <w:div w:id="343942433">
      <w:bodyDiv w:val="1"/>
      <w:marLeft w:val="0"/>
      <w:marRight w:val="0"/>
      <w:marTop w:val="0"/>
      <w:marBottom w:val="0"/>
      <w:divBdr>
        <w:top w:val="none" w:sz="0" w:space="0" w:color="auto"/>
        <w:left w:val="none" w:sz="0" w:space="0" w:color="auto"/>
        <w:bottom w:val="none" w:sz="0" w:space="0" w:color="auto"/>
        <w:right w:val="none" w:sz="0" w:space="0" w:color="auto"/>
      </w:divBdr>
    </w:div>
    <w:div w:id="344212576">
      <w:bodyDiv w:val="1"/>
      <w:marLeft w:val="0"/>
      <w:marRight w:val="0"/>
      <w:marTop w:val="0"/>
      <w:marBottom w:val="0"/>
      <w:divBdr>
        <w:top w:val="none" w:sz="0" w:space="0" w:color="auto"/>
        <w:left w:val="none" w:sz="0" w:space="0" w:color="auto"/>
        <w:bottom w:val="none" w:sz="0" w:space="0" w:color="auto"/>
        <w:right w:val="none" w:sz="0" w:space="0" w:color="auto"/>
      </w:divBdr>
    </w:div>
    <w:div w:id="344283292">
      <w:bodyDiv w:val="1"/>
      <w:marLeft w:val="0"/>
      <w:marRight w:val="0"/>
      <w:marTop w:val="0"/>
      <w:marBottom w:val="0"/>
      <w:divBdr>
        <w:top w:val="none" w:sz="0" w:space="0" w:color="auto"/>
        <w:left w:val="none" w:sz="0" w:space="0" w:color="auto"/>
        <w:bottom w:val="none" w:sz="0" w:space="0" w:color="auto"/>
        <w:right w:val="none" w:sz="0" w:space="0" w:color="auto"/>
      </w:divBdr>
    </w:div>
    <w:div w:id="344287478">
      <w:bodyDiv w:val="1"/>
      <w:marLeft w:val="0"/>
      <w:marRight w:val="0"/>
      <w:marTop w:val="0"/>
      <w:marBottom w:val="0"/>
      <w:divBdr>
        <w:top w:val="none" w:sz="0" w:space="0" w:color="auto"/>
        <w:left w:val="none" w:sz="0" w:space="0" w:color="auto"/>
        <w:bottom w:val="none" w:sz="0" w:space="0" w:color="auto"/>
        <w:right w:val="none" w:sz="0" w:space="0" w:color="auto"/>
      </w:divBdr>
    </w:div>
    <w:div w:id="344289403">
      <w:bodyDiv w:val="1"/>
      <w:marLeft w:val="0"/>
      <w:marRight w:val="0"/>
      <w:marTop w:val="0"/>
      <w:marBottom w:val="0"/>
      <w:divBdr>
        <w:top w:val="none" w:sz="0" w:space="0" w:color="auto"/>
        <w:left w:val="none" w:sz="0" w:space="0" w:color="auto"/>
        <w:bottom w:val="none" w:sz="0" w:space="0" w:color="auto"/>
        <w:right w:val="none" w:sz="0" w:space="0" w:color="auto"/>
      </w:divBdr>
    </w:div>
    <w:div w:id="345012706">
      <w:bodyDiv w:val="1"/>
      <w:marLeft w:val="0"/>
      <w:marRight w:val="0"/>
      <w:marTop w:val="0"/>
      <w:marBottom w:val="0"/>
      <w:divBdr>
        <w:top w:val="none" w:sz="0" w:space="0" w:color="auto"/>
        <w:left w:val="none" w:sz="0" w:space="0" w:color="auto"/>
        <w:bottom w:val="none" w:sz="0" w:space="0" w:color="auto"/>
        <w:right w:val="none" w:sz="0" w:space="0" w:color="auto"/>
      </w:divBdr>
    </w:div>
    <w:div w:id="345792855">
      <w:bodyDiv w:val="1"/>
      <w:marLeft w:val="0"/>
      <w:marRight w:val="0"/>
      <w:marTop w:val="0"/>
      <w:marBottom w:val="0"/>
      <w:divBdr>
        <w:top w:val="none" w:sz="0" w:space="0" w:color="auto"/>
        <w:left w:val="none" w:sz="0" w:space="0" w:color="auto"/>
        <w:bottom w:val="none" w:sz="0" w:space="0" w:color="auto"/>
        <w:right w:val="none" w:sz="0" w:space="0" w:color="auto"/>
      </w:divBdr>
    </w:div>
    <w:div w:id="345979613">
      <w:bodyDiv w:val="1"/>
      <w:marLeft w:val="0"/>
      <w:marRight w:val="0"/>
      <w:marTop w:val="0"/>
      <w:marBottom w:val="0"/>
      <w:divBdr>
        <w:top w:val="none" w:sz="0" w:space="0" w:color="auto"/>
        <w:left w:val="none" w:sz="0" w:space="0" w:color="auto"/>
        <w:bottom w:val="none" w:sz="0" w:space="0" w:color="auto"/>
        <w:right w:val="none" w:sz="0" w:space="0" w:color="auto"/>
      </w:divBdr>
    </w:div>
    <w:div w:id="346097919">
      <w:bodyDiv w:val="1"/>
      <w:marLeft w:val="0"/>
      <w:marRight w:val="0"/>
      <w:marTop w:val="0"/>
      <w:marBottom w:val="0"/>
      <w:divBdr>
        <w:top w:val="none" w:sz="0" w:space="0" w:color="auto"/>
        <w:left w:val="none" w:sz="0" w:space="0" w:color="auto"/>
        <w:bottom w:val="none" w:sz="0" w:space="0" w:color="auto"/>
        <w:right w:val="none" w:sz="0" w:space="0" w:color="auto"/>
      </w:divBdr>
      <w:divsChild>
        <w:div w:id="200436061">
          <w:marLeft w:val="0"/>
          <w:marRight w:val="0"/>
          <w:marTop w:val="0"/>
          <w:marBottom w:val="0"/>
          <w:divBdr>
            <w:top w:val="none" w:sz="0" w:space="0" w:color="auto"/>
            <w:left w:val="none" w:sz="0" w:space="0" w:color="auto"/>
            <w:bottom w:val="none" w:sz="0" w:space="0" w:color="auto"/>
            <w:right w:val="none" w:sz="0" w:space="0" w:color="auto"/>
          </w:divBdr>
        </w:div>
        <w:div w:id="1034576068">
          <w:marLeft w:val="0"/>
          <w:marRight w:val="0"/>
          <w:marTop w:val="0"/>
          <w:marBottom w:val="0"/>
          <w:divBdr>
            <w:top w:val="none" w:sz="0" w:space="0" w:color="auto"/>
            <w:left w:val="none" w:sz="0" w:space="0" w:color="auto"/>
            <w:bottom w:val="none" w:sz="0" w:space="0" w:color="auto"/>
            <w:right w:val="none" w:sz="0" w:space="0" w:color="auto"/>
          </w:divBdr>
        </w:div>
        <w:div w:id="1846699688">
          <w:marLeft w:val="0"/>
          <w:marRight w:val="0"/>
          <w:marTop w:val="0"/>
          <w:marBottom w:val="0"/>
          <w:divBdr>
            <w:top w:val="none" w:sz="0" w:space="0" w:color="auto"/>
            <w:left w:val="none" w:sz="0" w:space="0" w:color="auto"/>
            <w:bottom w:val="none" w:sz="0" w:space="0" w:color="auto"/>
            <w:right w:val="none" w:sz="0" w:space="0" w:color="auto"/>
          </w:divBdr>
        </w:div>
        <w:div w:id="1644239948">
          <w:marLeft w:val="0"/>
          <w:marRight w:val="0"/>
          <w:marTop w:val="0"/>
          <w:marBottom w:val="0"/>
          <w:divBdr>
            <w:top w:val="none" w:sz="0" w:space="0" w:color="auto"/>
            <w:left w:val="none" w:sz="0" w:space="0" w:color="auto"/>
            <w:bottom w:val="none" w:sz="0" w:space="0" w:color="auto"/>
            <w:right w:val="none" w:sz="0" w:space="0" w:color="auto"/>
          </w:divBdr>
        </w:div>
        <w:div w:id="687409127">
          <w:marLeft w:val="0"/>
          <w:marRight w:val="0"/>
          <w:marTop w:val="0"/>
          <w:marBottom w:val="0"/>
          <w:divBdr>
            <w:top w:val="none" w:sz="0" w:space="0" w:color="auto"/>
            <w:left w:val="none" w:sz="0" w:space="0" w:color="auto"/>
            <w:bottom w:val="none" w:sz="0" w:space="0" w:color="auto"/>
            <w:right w:val="none" w:sz="0" w:space="0" w:color="auto"/>
          </w:divBdr>
        </w:div>
        <w:div w:id="545222596">
          <w:marLeft w:val="0"/>
          <w:marRight w:val="0"/>
          <w:marTop w:val="0"/>
          <w:marBottom w:val="0"/>
          <w:divBdr>
            <w:top w:val="none" w:sz="0" w:space="0" w:color="auto"/>
            <w:left w:val="none" w:sz="0" w:space="0" w:color="auto"/>
            <w:bottom w:val="none" w:sz="0" w:space="0" w:color="auto"/>
            <w:right w:val="none" w:sz="0" w:space="0" w:color="auto"/>
          </w:divBdr>
        </w:div>
        <w:div w:id="1856380544">
          <w:marLeft w:val="0"/>
          <w:marRight w:val="0"/>
          <w:marTop w:val="0"/>
          <w:marBottom w:val="0"/>
          <w:divBdr>
            <w:top w:val="none" w:sz="0" w:space="0" w:color="auto"/>
            <w:left w:val="none" w:sz="0" w:space="0" w:color="auto"/>
            <w:bottom w:val="none" w:sz="0" w:space="0" w:color="auto"/>
            <w:right w:val="none" w:sz="0" w:space="0" w:color="auto"/>
          </w:divBdr>
        </w:div>
      </w:divsChild>
    </w:div>
    <w:div w:id="346489265">
      <w:bodyDiv w:val="1"/>
      <w:marLeft w:val="0"/>
      <w:marRight w:val="0"/>
      <w:marTop w:val="0"/>
      <w:marBottom w:val="0"/>
      <w:divBdr>
        <w:top w:val="none" w:sz="0" w:space="0" w:color="auto"/>
        <w:left w:val="none" w:sz="0" w:space="0" w:color="auto"/>
        <w:bottom w:val="none" w:sz="0" w:space="0" w:color="auto"/>
        <w:right w:val="none" w:sz="0" w:space="0" w:color="auto"/>
      </w:divBdr>
    </w:div>
    <w:div w:id="346951958">
      <w:bodyDiv w:val="1"/>
      <w:marLeft w:val="0"/>
      <w:marRight w:val="0"/>
      <w:marTop w:val="0"/>
      <w:marBottom w:val="0"/>
      <w:divBdr>
        <w:top w:val="none" w:sz="0" w:space="0" w:color="auto"/>
        <w:left w:val="none" w:sz="0" w:space="0" w:color="auto"/>
        <w:bottom w:val="none" w:sz="0" w:space="0" w:color="auto"/>
        <w:right w:val="none" w:sz="0" w:space="0" w:color="auto"/>
      </w:divBdr>
    </w:div>
    <w:div w:id="346979912">
      <w:bodyDiv w:val="1"/>
      <w:marLeft w:val="0"/>
      <w:marRight w:val="0"/>
      <w:marTop w:val="0"/>
      <w:marBottom w:val="0"/>
      <w:divBdr>
        <w:top w:val="none" w:sz="0" w:space="0" w:color="auto"/>
        <w:left w:val="none" w:sz="0" w:space="0" w:color="auto"/>
        <w:bottom w:val="none" w:sz="0" w:space="0" w:color="auto"/>
        <w:right w:val="none" w:sz="0" w:space="0" w:color="auto"/>
      </w:divBdr>
    </w:div>
    <w:div w:id="347559993">
      <w:bodyDiv w:val="1"/>
      <w:marLeft w:val="0"/>
      <w:marRight w:val="0"/>
      <w:marTop w:val="0"/>
      <w:marBottom w:val="0"/>
      <w:divBdr>
        <w:top w:val="none" w:sz="0" w:space="0" w:color="auto"/>
        <w:left w:val="none" w:sz="0" w:space="0" w:color="auto"/>
        <w:bottom w:val="none" w:sz="0" w:space="0" w:color="auto"/>
        <w:right w:val="none" w:sz="0" w:space="0" w:color="auto"/>
      </w:divBdr>
    </w:div>
    <w:div w:id="347566649">
      <w:bodyDiv w:val="1"/>
      <w:marLeft w:val="0"/>
      <w:marRight w:val="0"/>
      <w:marTop w:val="0"/>
      <w:marBottom w:val="0"/>
      <w:divBdr>
        <w:top w:val="none" w:sz="0" w:space="0" w:color="auto"/>
        <w:left w:val="none" w:sz="0" w:space="0" w:color="auto"/>
        <w:bottom w:val="none" w:sz="0" w:space="0" w:color="auto"/>
        <w:right w:val="none" w:sz="0" w:space="0" w:color="auto"/>
      </w:divBdr>
    </w:div>
    <w:div w:id="348410332">
      <w:bodyDiv w:val="1"/>
      <w:marLeft w:val="0"/>
      <w:marRight w:val="0"/>
      <w:marTop w:val="0"/>
      <w:marBottom w:val="0"/>
      <w:divBdr>
        <w:top w:val="none" w:sz="0" w:space="0" w:color="auto"/>
        <w:left w:val="none" w:sz="0" w:space="0" w:color="auto"/>
        <w:bottom w:val="none" w:sz="0" w:space="0" w:color="auto"/>
        <w:right w:val="none" w:sz="0" w:space="0" w:color="auto"/>
      </w:divBdr>
    </w:div>
    <w:div w:id="349071565">
      <w:bodyDiv w:val="1"/>
      <w:marLeft w:val="0"/>
      <w:marRight w:val="0"/>
      <w:marTop w:val="0"/>
      <w:marBottom w:val="0"/>
      <w:divBdr>
        <w:top w:val="none" w:sz="0" w:space="0" w:color="auto"/>
        <w:left w:val="none" w:sz="0" w:space="0" w:color="auto"/>
        <w:bottom w:val="none" w:sz="0" w:space="0" w:color="auto"/>
        <w:right w:val="none" w:sz="0" w:space="0" w:color="auto"/>
      </w:divBdr>
    </w:div>
    <w:div w:id="349721226">
      <w:bodyDiv w:val="1"/>
      <w:marLeft w:val="0"/>
      <w:marRight w:val="0"/>
      <w:marTop w:val="0"/>
      <w:marBottom w:val="0"/>
      <w:divBdr>
        <w:top w:val="none" w:sz="0" w:space="0" w:color="auto"/>
        <w:left w:val="none" w:sz="0" w:space="0" w:color="auto"/>
        <w:bottom w:val="none" w:sz="0" w:space="0" w:color="auto"/>
        <w:right w:val="none" w:sz="0" w:space="0" w:color="auto"/>
      </w:divBdr>
    </w:div>
    <w:div w:id="349987591">
      <w:bodyDiv w:val="1"/>
      <w:marLeft w:val="0"/>
      <w:marRight w:val="0"/>
      <w:marTop w:val="0"/>
      <w:marBottom w:val="0"/>
      <w:divBdr>
        <w:top w:val="none" w:sz="0" w:space="0" w:color="auto"/>
        <w:left w:val="none" w:sz="0" w:space="0" w:color="auto"/>
        <w:bottom w:val="none" w:sz="0" w:space="0" w:color="auto"/>
        <w:right w:val="none" w:sz="0" w:space="0" w:color="auto"/>
      </w:divBdr>
    </w:div>
    <w:div w:id="350376524">
      <w:bodyDiv w:val="1"/>
      <w:marLeft w:val="0"/>
      <w:marRight w:val="0"/>
      <w:marTop w:val="0"/>
      <w:marBottom w:val="0"/>
      <w:divBdr>
        <w:top w:val="none" w:sz="0" w:space="0" w:color="auto"/>
        <w:left w:val="none" w:sz="0" w:space="0" w:color="auto"/>
        <w:bottom w:val="none" w:sz="0" w:space="0" w:color="auto"/>
        <w:right w:val="none" w:sz="0" w:space="0" w:color="auto"/>
      </w:divBdr>
    </w:div>
    <w:div w:id="351230351">
      <w:bodyDiv w:val="1"/>
      <w:marLeft w:val="0"/>
      <w:marRight w:val="0"/>
      <w:marTop w:val="0"/>
      <w:marBottom w:val="0"/>
      <w:divBdr>
        <w:top w:val="none" w:sz="0" w:space="0" w:color="auto"/>
        <w:left w:val="none" w:sz="0" w:space="0" w:color="auto"/>
        <w:bottom w:val="none" w:sz="0" w:space="0" w:color="auto"/>
        <w:right w:val="none" w:sz="0" w:space="0" w:color="auto"/>
      </w:divBdr>
      <w:divsChild>
        <w:div w:id="2053186842">
          <w:marLeft w:val="0"/>
          <w:marRight w:val="0"/>
          <w:marTop w:val="0"/>
          <w:marBottom w:val="0"/>
          <w:divBdr>
            <w:top w:val="none" w:sz="0" w:space="0" w:color="auto"/>
            <w:left w:val="none" w:sz="0" w:space="0" w:color="auto"/>
            <w:bottom w:val="none" w:sz="0" w:space="0" w:color="auto"/>
            <w:right w:val="none" w:sz="0" w:space="0" w:color="auto"/>
          </w:divBdr>
        </w:div>
        <w:div w:id="1939486423">
          <w:marLeft w:val="0"/>
          <w:marRight w:val="0"/>
          <w:marTop w:val="0"/>
          <w:marBottom w:val="0"/>
          <w:divBdr>
            <w:top w:val="none" w:sz="0" w:space="0" w:color="auto"/>
            <w:left w:val="none" w:sz="0" w:space="0" w:color="auto"/>
            <w:bottom w:val="none" w:sz="0" w:space="0" w:color="auto"/>
            <w:right w:val="none" w:sz="0" w:space="0" w:color="auto"/>
          </w:divBdr>
        </w:div>
        <w:div w:id="2145535121">
          <w:marLeft w:val="0"/>
          <w:marRight w:val="0"/>
          <w:marTop w:val="0"/>
          <w:marBottom w:val="0"/>
          <w:divBdr>
            <w:top w:val="none" w:sz="0" w:space="0" w:color="auto"/>
            <w:left w:val="none" w:sz="0" w:space="0" w:color="auto"/>
            <w:bottom w:val="none" w:sz="0" w:space="0" w:color="auto"/>
            <w:right w:val="none" w:sz="0" w:space="0" w:color="auto"/>
          </w:divBdr>
        </w:div>
      </w:divsChild>
    </w:div>
    <w:div w:id="352077351">
      <w:bodyDiv w:val="1"/>
      <w:marLeft w:val="0"/>
      <w:marRight w:val="0"/>
      <w:marTop w:val="0"/>
      <w:marBottom w:val="0"/>
      <w:divBdr>
        <w:top w:val="none" w:sz="0" w:space="0" w:color="auto"/>
        <w:left w:val="none" w:sz="0" w:space="0" w:color="auto"/>
        <w:bottom w:val="none" w:sz="0" w:space="0" w:color="auto"/>
        <w:right w:val="none" w:sz="0" w:space="0" w:color="auto"/>
      </w:divBdr>
    </w:div>
    <w:div w:id="352465420">
      <w:bodyDiv w:val="1"/>
      <w:marLeft w:val="0"/>
      <w:marRight w:val="0"/>
      <w:marTop w:val="0"/>
      <w:marBottom w:val="0"/>
      <w:divBdr>
        <w:top w:val="none" w:sz="0" w:space="0" w:color="auto"/>
        <w:left w:val="none" w:sz="0" w:space="0" w:color="auto"/>
        <w:bottom w:val="none" w:sz="0" w:space="0" w:color="auto"/>
        <w:right w:val="none" w:sz="0" w:space="0" w:color="auto"/>
      </w:divBdr>
    </w:div>
    <w:div w:id="353463931">
      <w:bodyDiv w:val="1"/>
      <w:marLeft w:val="0"/>
      <w:marRight w:val="0"/>
      <w:marTop w:val="0"/>
      <w:marBottom w:val="0"/>
      <w:divBdr>
        <w:top w:val="none" w:sz="0" w:space="0" w:color="auto"/>
        <w:left w:val="none" w:sz="0" w:space="0" w:color="auto"/>
        <w:bottom w:val="none" w:sz="0" w:space="0" w:color="auto"/>
        <w:right w:val="none" w:sz="0" w:space="0" w:color="auto"/>
      </w:divBdr>
    </w:div>
    <w:div w:id="355153125">
      <w:bodyDiv w:val="1"/>
      <w:marLeft w:val="0"/>
      <w:marRight w:val="0"/>
      <w:marTop w:val="0"/>
      <w:marBottom w:val="0"/>
      <w:divBdr>
        <w:top w:val="none" w:sz="0" w:space="0" w:color="auto"/>
        <w:left w:val="none" w:sz="0" w:space="0" w:color="auto"/>
        <w:bottom w:val="none" w:sz="0" w:space="0" w:color="auto"/>
        <w:right w:val="none" w:sz="0" w:space="0" w:color="auto"/>
      </w:divBdr>
    </w:div>
    <w:div w:id="355354843">
      <w:bodyDiv w:val="1"/>
      <w:marLeft w:val="0"/>
      <w:marRight w:val="0"/>
      <w:marTop w:val="0"/>
      <w:marBottom w:val="0"/>
      <w:divBdr>
        <w:top w:val="none" w:sz="0" w:space="0" w:color="auto"/>
        <w:left w:val="none" w:sz="0" w:space="0" w:color="auto"/>
        <w:bottom w:val="none" w:sz="0" w:space="0" w:color="auto"/>
        <w:right w:val="none" w:sz="0" w:space="0" w:color="auto"/>
      </w:divBdr>
    </w:div>
    <w:div w:id="356084308">
      <w:bodyDiv w:val="1"/>
      <w:marLeft w:val="0"/>
      <w:marRight w:val="0"/>
      <w:marTop w:val="0"/>
      <w:marBottom w:val="0"/>
      <w:divBdr>
        <w:top w:val="none" w:sz="0" w:space="0" w:color="auto"/>
        <w:left w:val="none" w:sz="0" w:space="0" w:color="auto"/>
        <w:bottom w:val="none" w:sz="0" w:space="0" w:color="auto"/>
        <w:right w:val="none" w:sz="0" w:space="0" w:color="auto"/>
      </w:divBdr>
    </w:div>
    <w:div w:id="356200095">
      <w:bodyDiv w:val="1"/>
      <w:marLeft w:val="0"/>
      <w:marRight w:val="0"/>
      <w:marTop w:val="0"/>
      <w:marBottom w:val="0"/>
      <w:divBdr>
        <w:top w:val="none" w:sz="0" w:space="0" w:color="auto"/>
        <w:left w:val="none" w:sz="0" w:space="0" w:color="auto"/>
        <w:bottom w:val="none" w:sz="0" w:space="0" w:color="auto"/>
        <w:right w:val="none" w:sz="0" w:space="0" w:color="auto"/>
      </w:divBdr>
    </w:div>
    <w:div w:id="357705170">
      <w:bodyDiv w:val="1"/>
      <w:marLeft w:val="0"/>
      <w:marRight w:val="0"/>
      <w:marTop w:val="0"/>
      <w:marBottom w:val="0"/>
      <w:divBdr>
        <w:top w:val="none" w:sz="0" w:space="0" w:color="auto"/>
        <w:left w:val="none" w:sz="0" w:space="0" w:color="auto"/>
        <w:bottom w:val="none" w:sz="0" w:space="0" w:color="auto"/>
        <w:right w:val="none" w:sz="0" w:space="0" w:color="auto"/>
      </w:divBdr>
    </w:div>
    <w:div w:id="358816423">
      <w:bodyDiv w:val="1"/>
      <w:marLeft w:val="0"/>
      <w:marRight w:val="0"/>
      <w:marTop w:val="0"/>
      <w:marBottom w:val="0"/>
      <w:divBdr>
        <w:top w:val="none" w:sz="0" w:space="0" w:color="auto"/>
        <w:left w:val="none" w:sz="0" w:space="0" w:color="auto"/>
        <w:bottom w:val="none" w:sz="0" w:space="0" w:color="auto"/>
        <w:right w:val="none" w:sz="0" w:space="0" w:color="auto"/>
      </w:divBdr>
    </w:div>
    <w:div w:id="359744401">
      <w:bodyDiv w:val="1"/>
      <w:marLeft w:val="0"/>
      <w:marRight w:val="0"/>
      <w:marTop w:val="0"/>
      <w:marBottom w:val="0"/>
      <w:divBdr>
        <w:top w:val="none" w:sz="0" w:space="0" w:color="auto"/>
        <w:left w:val="none" w:sz="0" w:space="0" w:color="auto"/>
        <w:bottom w:val="none" w:sz="0" w:space="0" w:color="auto"/>
        <w:right w:val="none" w:sz="0" w:space="0" w:color="auto"/>
      </w:divBdr>
    </w:div>
    <w:div w:id="360128854">
      <w:bodyDiv w:val="1"/>
      <w:marLeft w:val="0"/>
      <w:marRight w:val="0"/>
      <w:marTop w:val="0"/>
      <w:marBottom w:val="0"/>
      <w:divBdr>
        <w:top w:val="none" w:sz="0" w:space="0" w:color="auto"/>
        <w:left w:val="none" w:sz="0" w:space="0" w:color="auto"/>
        <w:bottom w:val="none" w:sz="0" w:space="0" w:color="auto"/>
        <w:right w:val="none" w:sz="0" w:space="0" w:color="auto"/>
      </w:divBdr>
    </w:div>
    <w:div w:id="360203232">
      <w:bodyDiv w:val="1"/>
      <w:marLeft w:val="0"/>
      <w:marRight w:val="0"/>
      <w:marTop w:val="0"/>
      <w:marBottom w:val="0"/>
      <w:divBdr>
        <w:top w:val="none" w:sz="0" w:space="0" w:color="auto"/>
        <w:left w:val="none" w:sz="0" w:space="0" w:color="auto"/>
        <w:bottom w:val="none" w:sz="0" w:space="0" w:color="auto"/>
        <w:right w:val="none" w:sz="0" w:space="0" w:color="auto"/>
      </w:divBdr>
    </w:div>
    <w:div w:id="360322763">
      <w:bodyDiv w:val="1"/>
      <w:marLeft w:val="0"/>
      <w:marRight w:val="0"/>
      <w:marTop w:val="0"/>
      <w:marBottom w:val="0"/>
      <w:divBdr>
        <w:top w:val="none" w:sz="0" w:space="0" w:color="auto"/>
        <w:left w:val="none" w:sz="0" w:space="0" w:color="auto"/>
        <w:bottom w:val="none" w:sz="0" w:space="0" w:color="auto"/>
        <w:right w:val="none" w:sz="0" w:space="0" w:color="auto"/>
      </w:divBdr>
    </w:div>
    <w:div w:id="361051411">
      <w:bodyDiv w:val="1"/>
      <w:marLeft w:val="0"/>
      <w:marRight w:val="0"/>
      <w:marTop w:val="0"/>
      <w:marBottom w:val="0"/>
      <w:divBdr>
        <w:top w:val="none" w:sz="0" w:space="0" w:color="auto"/>
        <w:left w:val="none" w:sz="0" w:space="0" w:color="auto"/>
        <w:bottom w:val="none" w:sz="0" w:space="0" w:color="auto"/>
        <w:right w:val="none" w:sz="0" w:space="0" w:color="auto"/>
      </w:divBdr>
    </w:div>
    <w:div w:id="361127012">
      <w:bodyDiv w:val="1"/>
      <w:marLeft w:val="0"/>
      <w:marRight w:val="0"/>
      <w:marTop w:val="0"/>
      <w:marBottom w:val="0"/>
      <w:divBdr>
        <w:top w:val="none" w:sz="0" w:space="0" w:color="auto"/>
        <w:left w:val="none" w:sz="0" w:space="0" w:color="auto"/>
        <w:bottom w:val="none" w:sz="0" w:space="0" w:color="auto"/>
        <w:right w:val="none" w:sz="0" w:space="0" w:color="auto"/>
      </w:divBdr>
    </w:div>
    <w:div w:id="361514364">
      <w:bodyDiv w:val="1"/>
      <w:marLeft w:val="0"/>
      <w:marRight w:val="0"/>
      <w:marTop w:val="0"/>
      <w:marBottom w:val="0"/>
      <w:divBdr>
        <w:top w:val="none" w:sz="0" w:space="0" w:color="auto"/>
        <w:left w:val="none" w:sz="0" w:space="0" w:color="auto"/>
        <w:bottom w:val="none" w:sz="0" w:space="0" w:color="auto"/>
        <w:right w:val="none" w:sz="0" w:space="0" w:color="auto"/>
      </w:divBdr>
    </w:div>
    <w:div w:id="361516279">
      <w:bodyDiv w:val="1"/>
      <w:marLeft w:val="0"/>
      <w:marRight w:val="0"/>
      <w:marTop w:val="0"/>
      <w:marBottom w:val="0"/>
      <w:divBdr>
        <w:top w:val="none" w:sz="0" w:space="0" w:color="auto"/>
        <w:left w:val="none" w:sz="0" w:space="0" w:color="auto"/>
        <w:bottom w:val="none" w:sz="0" w:space="0" w:color="auto"/>
        <w:right w:val="none" w:sz="0" w:space="0" w:color="auto"/>
      </w:divBdr>
    </w:div>
    <w:div w:id="362294155">
      <w:bodyDiv w:val="1"/>
      <w:marLeft w:val="0"/>
      <w:marRight w:val="0"/>
      <w:marTop w:val="0"/>
      <w:marBottom w:val="0"/>
      <w:divBdr>
        <w:top w:val="none" w:sz="0" w:space="0" w:color="auto"/>
        <w:left w:val="none" w:sz="0" w:space="0" w:color="auto"/>
        <w:bottom w:val="none" w:sz="0" w:space="0" w:color="auto"/>
        <w:right w:val="none" w:sz="0" w:space="0" w:color="auto"/>
      </w:divBdr>
    </w:div>
    <w:div w:id="362900366">
      <w:bodyDiv w:val="1"/>
      <w:marLeft w:val="0"/>
      <w:marRight w:val="0"/>
      <w:marTop w:val="0"/>
      <w:marBottom w:val="0"/>
      <w:divBdr>
        <w:top w:val="none" w:sz="0" w:space="0" w:color="auto"/>
        <w:left w:val="none" w:sz="0" w:space="0" w:color="auto"/>
        <w:bottom w:val="none" w:sz="0" w:space="0" w:color="auto"/>
        <w:right w:val="none" w:sz="0" w:space="0" w:color="auto"/>
      </w:divBdr>
    </w:div>
    <w:div w:id="363212985">
      <w:bodyDiv w:val="1"/>
      <w:marLeft w:val="0"/>
      <w:marRight w:val="0"/>
      <w:marTop w:val="0"/>
      <w:marBottom w:val="0"/>
      <w:divBdr>
        <w:top w:val="none" w:sz="0" w:space="0" w:color="auto"/>
        <w:left w:val="none" w:sz="0" w:space="0" w:color="auto"/>
        <w:bottom w:val="none" w:sz="0" w:space="0" w:color="auto"/>
        <w:right w:val="none" w:sz="0" w:space="0" w:color="auto"/>
      </w:divBdr>
    </w:div>
    <w:div w:id="363335185">
      <w:bodyDiv w:val="1"/>
      <w:marLeft w:val="0"/>
      <w:marRight w:val="0"/>
      <w:marTop w:val="0"/>
      <w:marBottom w:val="0"/>
      <w:divBdr>
        <w:top w:val="none" w:sz="0" w:space="0" w:color="auto"/>
        <w:left w:val="none" w:sz="0" w:space="0" w:color="auto"/>
        <w:bottom w:val="none" w:sz="0" w:space="0" w:color="auto"/>
        <w:right w:val="none" w:sz="0" w:space="0" w:color="auto"/>
      </w:divBdr>
    </w:div>
    <w:div w:id="363556042">
      <w:bodyDiv w:val="1"/>
      <w:marLeft w:val="0"/>
      <w:marRight w:val="0"/>
      <w:marTop w:val="0"/>
      <w:marBottom w:val="0"/>
      <w:divBdr>
        <w:top w:val="none" w:sz="0" w:space="0" w:color="auto"/>
        <w:left w:val="none" w:sz="0" w:space="0" w:color="auto"/>
        <w:bottom w:val="none" w:sz="0" w:space="0" w:color="auto"/>
        <w:right w:val="none" w:sz="0" w:space="0" w:color="auto"/>
      </w:divBdr>
    </w:div>
    <w:div w:id="364060019">
      <w:bodyDiv w:val="1"/>
      <w:marLeft w:val="0"/>
      <w:marRight w:val="0"/>
      <w:marTop w:val="0"/>
      <w:marBottom w:val="0"/>
      <w:divBdr>
        <w:top w:val="none" w:sz="0" w:space="0" w:color="auto"/>
        <w:left w:val="none" w:sz="0" w:space="0" w:color="auto"/>
        <w:bottom w:val="none" w:sz="0" w:space="0" w:color="auto"/>
        <w:right w:val="none" w:sz="0" w:space="0" w:color="auto"/>
      </w:divBdr>
    </w:div>
    <w:div w:id="365257186">
      <w:bodyDiv w:val="1"/>
      <w:marLeft w:val="0"/>
      <w:marRight w:val="0"/>
      <w:marTop w:val="0"/>
      <w:marBottom w:val="0"/>
      <w:divBdr>
        <w:top w:val="none" w:sz="0" w:space="0" w:color="auto"/>
        <w:left w:val="none" w:sz="0" w:space="0" w:color="auto"/>
        <w:bottom w:val="none" w:sz="0" w:space="0" w:color="auto"/>
        <w:right w:val="none" w:sz="0" w:space="0" w:color="auto"/>
      </w:divBdr>
    </w:div>
    <w:div w:id="367412224">
      <w:bodyDiv w:val="1"/>
      <w:marLeft w:val="0"/>
      <w:marRight w:val="0"/>
      <w:marTop w:val="0"/>
      <w:marBottom w:val="0"/>
      <w:divBdr>
        <w:top w:val="none" w:sz="0" w:space="0" w:color="auto"/>
        <w:left w:val="none" w:sz="0" w:space="0" w:color="auto"/>
        <w:bottom w:val="none" w:sz="0" w:space="0" w:color="auto"/>
        <w:right w:val="none" w:sz="0" w:space="0" w:color="auto"/>
      </w:divBdr>
    </w:div>
    <w:div w:id="368143209">
      <w:bodyDiv w:val="1"/>
      <w:marLeft w:val="0"/>
      <w:marRight w:val="0"/>
      <w:marTop w:val="0"/>
      <w:marBottom w:val="0"/>
      <w:divBdr>
        <w:top w:val="none" w:sz="0" w:space="0" w:color="auto"/>
        <w:left w:val="none" w:sz="0" w:space="0" w:color="auto"/>
        <w:bottom w:val="none" w:sz="0" w:space="0" w:color="auto"/>
        <w:right w:val="none" w:sz="0" w:space="0" w:color="auto"/>
      </w:divBdr>
    </w:div>
    <w:div w:id="368266866">
      <w:bodyDiv w:val="1"/>
      <w:marLeft w:val="0"/>
      <w:marRight w:val="0"/>
      <w:marTop w:val="0"/>
      <w:marBottom w:val="0"/>
      <w:divBdr>
        <w:top w:val="none" w:sz="0" w:space="0" w:color="auto"/>
        <w:left w:val="none" w:sz="0" w:space="0" w:color="auto"/>
        <w:bottom w:val="none" w:sz="0" w:space="0" w:color="auto"/>
        <w:right w:val="none" w:sz="0" w:space="0" w:color="auto"/>
      </w:divBdr>
    </w:div>
    <w:div w:id="368576896">
      <w:bodyDiv w:val="1"/>
      <w:marLeft w:val="0"/>
      <w:marRight w:val="0"/>
      <w:marTop w:val="0"/>
      <w:marBottom w:val="0"/>
      <w:divBdr>
        <w:top w:val="none" w:sz="0" w:space="0" w:color="auto"/>
        <w:left w:val="none" w:sz="0" w:space="0" w:color="auto"/>
        <w:bottom w:val="none" w:sz="0" w:space="0" w:color="auto"/>
        <w:right w:val="none" w:sz="0" w:space="0" w:color="auto"/>
      </w:divBdr>
    </w:div>
    <w:div w:id="368728613">
      <w:bodyDiv w:val="1"/>
      <w:marLeft w:val="0"/>
      <w:marRight w:val="0"/>
      <w:marTop w:val="0"/>
      <w:marBottom w:val="0"/>
      <w:divBdr>
        <w:top w:val="none" w:sz="0" w:space="0" w:color="auto"/>
        <w:left w:val="none" w:sz="0" w:space="0" w:color="auto"/>
        <w:bottom w:val="none" w:sz="0" w:space="0" w:color="auto"/>
        <w:right w:val="none" w:sz="0" w:space="0" w:color="auto"/>
      </w:divBdr>
    </w:div>
    <w:div w:id="369771723">
      <w:bodyDiv w:val="1"/>
      <w:marLeft w:val="0"/>
      <w:marRight w:val="0"/>
      <w:marTop w:val="0"/>
      <w:marBottom w:val="0"/>
      <w:divBdr>
        <w:top w:val="none" w:sz="0" w:space="0" w:color="auto"/>
        <w:left w:val="none" w:sz="0" w:space="0" w:color="auto"/>
        <w:bottom w:val="none" w:sz="0" w:space="0" w:color="auto"/>
        <w:right w:val="none" w:sz="0" w:space="0" w:color="auto"/>
      </w:divBdr>
    </w:div>
    <w:div w:id="371080136">
      <w:bodyDiv w:val="1"/>
      <w:marLeft w:val="0"/>
      <w:marRight w:val="0"/>
      <w:marTop w:val="0"/>
      <w:marBottom w:val="0"/>
      <w:divBdr>
        <w:top w:val="none" w:sz="0" w:space="0" w:color="auto"/>
        <w:left w:val="none" w:sz="0" w:space="0" w:color="auto"/>
        <w:bottom w:val="none" w:sz="0" w:space="0" w:color="auto"/>
        <w:right w:val="none" w:sz="0" w:space="0" w:color="auto"/>
      </w:divBdr>
    </w:div>
    <w:div w:id="371153657">
      <w:bodyDiv w:val="1"/>
      <w:marLeft w:val="0"/>
      <w:marRight w:val="0"/>
      <w:marTop w:val="0"/>
      <w:marBottom w:val="0"/>
      <w:divBdr>
        <w:top w:val="none" w:sz="0" w:space="0" w:color="auto"/>
        <w:left w:val="none" w:sz="0" w:space="0" w:color="auto"/>
        <w:bottom w:val="none" w:sz="0" w:space="0" w:color="auto"/>
        <w:right w:val="none" w:sz="0" w:space="0" w:color="auto"/>
      </w:divBdr>
    </w:div>
    <w:div w:id="371223928">
      <w:bodyDiv w:val="1"/>
      <w:marLeft w:val="0"/>
      <w:marRight w:val="0"/>
      <w:marTop w:val="0"/>
      <w:marBottom w:val="0"/>
      <w:divBdr>
        <w:top w:val="none" w:sz="0" w:space="0" w:color="auto"/>
        <w:left w:val="none" w:sz="0" w:space="0" w:color="auto"/>
        <w:bottom w:val="none" w:sz="0" w:space="0" w:color="auto"/>
        <w:right w:val="none" w:sz="0" w:space="0" w:color="auto"/>
      </w:divBdr>
    </w:div>
    <w:div w:id="372728777">
      <w:bodyDiv w:val="1"/>
      <w:marLeft w:val="0"/>
      <w:marRight w:val="0"/>
      <w:marTop w:val="0"/>
      <w:marBottom w:val="0"/>
      <w:divBdr>
        <w:top w:val="none" w:sz="0" w:space="0" w:color="auto"/>
        <w:left w:val="none" w:sz="0" w:space="0" w:color="auto"/>
        <w:bottom w:val="none" w:sz="0" w:space="0" w:color="auto"/>
        <w:right w:val="none" w:sz="0" w:space="0" w:color="auto"/>
      </w:divBdr>
    </w:div>
    <w:div w:id="374351770">
      <w:bodyDiv w:val="1"/>
      <w:marLeft w:val="0"/>
      <w:marRight w:val="0"/>
      <w:marTop w:val="0"/>
      <w:marBottom w:val="0"/>
      <w:divBdr>
        <w:top w:val="none" w:sz="0" w:space="0" w:color="auto"/>
        <w:left w:val="none" w:sz="0" w:space="0" w:color="auto"/>
        <w:bottom w:val="none" w:sz="0" w:space="0" w:color="auto"/>
        <w:right w:val="none" w:sz="0" w:space="0" w:color="auto"/>
      </w:divBdr>
    </w:div>
    <w:div w:id="374544134">
      <w:bodyDiv w:val="1"/>
      <w:marLeft w:val="0"/>
      <w:marRight w:val="0"/>
      <w:marTop w:val="0"/>
      <w:marBottom w:val="0"/>
      <w:divBdr>
        <w:top w:val="none" w:sz="0" w:space="0" w:color="auto"/>
        <w:left w:val="none" w:sz="0" w:space="0" w:color="auto"/>
        <w:bottom w:val="none" w:sz="0" w:space="0" w:color="auto"/>
        <w:right w:val="none" w:sz="0" w:space="0" w:color="auto"/>
      </w:divBdr>
    </w:div>
    <w:div w:id="374551422">
      <w:bodyDiv w:val="1"/>
      <w:marLeft w:val="0"/>
      <w:marRight w:val="0"/>
      <w:marTop w:val="0"/>
      <w:marBottom w:val="0"/>
      <w:divBdr>
        <w:top w:val="none" w:sz="0" w:space="0" w:color="auto"/>
        <w:left w:val="none" w:sz="0" w:space="0" w:color="auto"/>
        <w:bottom w:val="none" w:sz="0" w:space="0" w:color="auto"/>
        <w:right w:val="none" w:sz="0" w:space="0" w:color="auto"/>
      </w:divBdr>
    </w:div>
    <w:div w:id="375205294">
      <w:bodyDiv w:val="1"/>
      <w:marLeft w:val="0"/>
      <w:marRight w:val="0"/>
      <w:marTop w:val="0"/>
      <w:marBottom w:val="0"/>
      <w:divBdr>
        <w:top w:val="none" w:sz="0" w:space="0" w:color="auto"/>
        <w:left w:val="none" w:sz="0" w:space="0" w:color="auto"/>
        <w:bottom w:val="none" w:sz="0" w:space="0" w:color="auto"/>
        <w:right w:val="none" w:sz="0" w:space="0" w:color="auto"/>
      </w:divBdr>
    </w:div>
    <w:div w:id="375930868">
      <w:bodyDiv w:val="1"/>
      <w:marLeft w:val="0"/>
      <w:marRight w:val="0"/>
      <w:marTop w:val="0"/>
      <w:marBottom w:val="0"/>
      <w:divBdr>
        <w:top w:val="none" w:sz="0" w:space="0" w:color="auto"/>
        <w:left w:val="none" w:sz="0" w:space="0" w:color="auto"/>
        <w:bottom w:val="none" w:sz="0" w:space="0" w:color="auto"/>
        <w:right w:val="none" w:sz="0" w:space="0" w:color="auto"/>
      </w:divBdr>
    </w:div>
    <w:div w:id="376201435">
      <w:bodyDiv w:val="1"/>
      <w:marLeft w:val="0"/>
      <w:marRight w:val="0"/>
      <w:marTop w:val="0"/>
      <w:marBottom w:val="0"/>
      <w:divBdr>
        <w:top w:val="none" w:sz="0" w:space="0" w:color="auto"/>
        <w:left w:val="none" w:sz="0" w:space="0" w:color="auto"/>
        <w:bottom w:val="none" w:sz="0" w:space="0" w:color="auto"/>
        <w:right w:val="none" w:sz="0" w:space="0" w:color="auto"/>
      </w:divBdr>
    </w:div>
    <w:div w:id="377971957">
      <w:bodyDiv w:val="1"/>
      <w:marLeft w:val="0"/>
      <w:marRight w:val="0"/>
      <w:marTop w:val="0"/>
      <w:marBottom w:val="0"/>
      <w:divBdr>
        <w:top w:val="none" w:sz="0" w:space="0" w:color="auto"/>
        <w:left w:val="none" w:sz="0" w:space="0" w:color="auto"/>
        <w:bottom w:val="none" w:sz="0" w:space="0" w:color="auto"/>
        <w:right w:val="none" w:sz="0" w:space="0" w:color="auto"/>
      </w:divBdr>
    </w:div>
    <w:div w:id="377976518">
      <w:bodyDiv w:val="1"/>
      <w:marLeft w:val="0"/>
      <w:marRight w:val="0"/>
      <w:marTop w:val="0"/>
      <w:marBottom w:val="0"/>
      <w:divBdr>
        <w:top w:val="none" w:sz="0" w:space="0" w:color="auto"/>
        <w:left w:val="none" w:sz="0" w:space="0" w:color="auto"/>
        <w:bottom w:val="none" w:sz="0" w:space="0" w:color="auto"/>
        <w:right w:val="none" w:sz="0" w:space="0" w:color="auto"/>
      </w:divBdr>
    </w:div>
    <w:div w:id="379400871">
      <w:bodyDiv w:val="1"/>
      <w:marLeft w:val="0"/>
      <w:marRight w:val="0"/>
      <w:marTop w:val="0"/>
      <w:marBottom w:val="0"/>
      <w:divBdr>
        <w:top w:val="none" w:sz="0" w:space="0" w:color="auto"/>
        <w:left w:val="none" w:sz="0" w:space="0" w:color="auto"/>
        <w:bottom w:val="none" w:sz="0" w:space="0" w:color="auto"/>
        <w:right w:val="none" w:sz="0" w:space="0" w:color="auto"/>
      </w:divBdr>
    </w:div>
    <w:div w:id="379524759">
      <w:bodyDiv w:val="1"/>
      <w:marLeft w:val="0"/>
      <w:marRight w:val="0"/>
      <w:marTop w:val="0"/>
      <w:marBottom w:val="0"/>
      <w:divBdr>
        <w:top w:val="none" w:sz="0" w:space="0" w:color="auto"/>
        <w:left w:val="none" w:sz="0" w:space="0" w:color="auto"/>
        <w:bottom w:val="none" w:sz="0" w:space="0" w:color="auto"/>
        <w:right w:val="none" w:sz="0" w:space="0" w:color="auto"/>
      </w:divBdr>
    </w:div>
    <w:div w:id="379792729">
      <w:bodyDiv w:val="1"/>
      <w:marLeft w:val="0"/>
      <w:marRight w:val="0"/>
      <w:marTop w:val="0"/>
      <w:marBottom w:val="0"/>
      <w:divBdr>
        <w:top w:val="none" w:sz="0" w:space="0" w:color="auto"/>
        <w:left w:val="none" w:sz="0" w:space="0" w:color="auto"/>
        <w:bottom w:val="none" w:sz="0" w:space="0" w:color="auto"/>
        <w:right w:val="none" w:sz="0" w:space="0" w:color="auto"/>
      </w:divBdr>
    </w:div>
    <w:div w:id="379942662">
      <w:bodyDiv w:val="1"/>
      <w:marLeft w:val="0"/>
      <w:marRight w:val="0"/>
      <w:marTop w:val="0"/>
      <w:marBottom w:val="0"/>
      <w:divBdr>
        <w:top w:val="none" w:sz="0" w:space="0" w:color="auto"/>
        <w:left w:val="none" w:sz="0" w:space="0" w:color="auto"/>
        <w:bottom w:val="none" w:sz="0" w:space="0" w:color="auto"/>
        <w:right w:val="none" w:sz="0" w:space="0" w:color="auto"/>
      </w:divBdr>
    </w:div>
    <w:div w:id="380179596">
      <w:bodyDiv w:val="1"/>
      <w:marLeft w:val="0"/>
      <w:marRight w:val="0"/>
      <w:marTop w:val="0"/>
      <w:marBottom w:val="0"/>
      <w:divBdr>
        <w:top w:val="none" w:sz="0" w:space="0" w:color="auto"/>
        <w:left w:val="none" w:sz="0" w:space="0" w:color="auto"/>
        <w:bottom w:val="none" w:sz="0" w:space="0" w:color="auto"/>
        <w:right w:val="none" w:sz="0" w:space="0" w:color="auto"/>
      </w:divBdr>
    </w:div>
    <w:div w:id="380639151">
      <w:bodyDiv w:val="1"/>
      <w:marLeft w:val="0"/>
      <w:marRight w:val="0"/>
      <w:marTop w:val="0"/>
      <w:marBottom w:val="0"/>
      <w:divBdr>
        <w:top w:val="none" w:sz="0" w:space="0" w:color="auto"/>
        <w:left w:val="none" w:sz="0" w:space="0" w:color="auto"/>
        <w:bottom w:val="none" w:sz="0" w:space="0" w:color="auto"/>
        <w:right w:val="none" w:sz="0" w:space="0" w:color="auto"/>
      </w:divBdr>
    </w:div>
    <w:div w:id="382213824">
      <w:bodyDiv w:val="1"/>
      <w:marLeft w:val="0"/>
      <w:marRight w:val="0"/>
      <w:marTop w:val="0"/>
      <w:marBottom w:val="0"/>
      <w:divBdr>
        <w:top w:val="none" w:sz="0" w:space="0" w:color="auto"/>
        <w:left w:val="none" w:sz="0" w:space="0" w:color="auto"/>
        <w:bottom w:val="none" w:sz="0" w:space="0" w:color="auto"/>
        <w:right w:val="none" w:sz="0" w:space="0" w:color="auto"/>
      </w:divBdr>
    </w:div>
    <w:div w:id="382408614">
      <w:bodyDiv w:val="1"/>
      <w:marLeft w:val="0"/>
      <w:marRight w:val="0"/>
      <w:marTop w:val="0"/>
      <w:marBottom w:val="0"/>
      <w:divBdr>
        <w:top w:val="none" w:sz="0" w:space="0" w:color="auto"/>
        <w:left w:val="none" w:sz="0" w:space="0" w:color="auto"/>
        <w:bottom w:val="none" w:sz="0" w:space="0" w:color="auto"/>
        <w:right w:val="none" w:sz="0" w:space="0" w:color="auto"/>
      </w:divBdr>
    </w:div>
    <w:div w:id="383332978">
      <w:bodyDiv w:val="1"/>
      <w:marLeft w:val="0"/>
      <w:marRight w:val="0"/>
      <w:marTop w:val="0"/>
      <w:marBottom w:val="0"/>
      <w:divBdr>
        <w:top w:val="none" w:sz="0" w:space="0" w:color="auto"/>
        <w:left w:val="none" w:sz="0" w:space="0" w:color="auto"/>
        <w:bottom w:val="none" w:sz="0" w:space="0" w:color="auto"/>
        <w:right w:val="none" w:sz="0" w:space="0" w:color="auto"/>
      </w:divBdr>
    </w:div>
    <w:div w:id="384764196">
      <w:bodyDiv w:val="1"/>
      <w:marLeft w:val="0"/>
      <w:marRight w:val="0"/>
      <w:marTop w:val="0"/>
      <w:marBottom w:val="0"/>
      <w:divBdr>
        <w:top w:val="none" w:sz="0" w:space="0" w:color="auto"/>
        <w:left w:val="none" w:sz="0" w:space="0" w:color="auto"/>
        <w:bottom w:val="none" w:sz="0" w:space="0" w:color="auto"/>
        <w:right w:val="none" w:sz="0" w:space="0" w:color="auto"/>
      </w:divBdr>
    </w:div>
    <w:div w:id="385841032">
      <w:bodyDiv w:val="1"/>
      <w:marLeft w:val="0"/>
      <w:marRight w:val="0"/>
      <w:marTop w:val="0"/>
      <w:marBottom w:val="0"/>
      <w:divBdr>
        <w:top w:val="none" w:sz="0" w:space="0" w:color="auto"/>
        <w:left w:val="none" w:sz="0" w:space="0" w:color="auto"/>
        <w:bottom w:val="none" w:sz="0" w:space="0" w:color="auto"/>
        <w:right w:val="none" w:sz="0" w:space="0" w:color="auto"/>
      </w:divBdr>
    </w:div>
    <w:div w:id="386955903">
      <w:bodyDiv w:val="1"/>
      <w:marLeft w:val="0"/>
      <w:marRight w:val="0"/>
      <w:marTop w:val="0"/>
      <w:marBottom w:val="0"/>
      <w:divBdr>
        <w:top w:val="none" w:sz="0" w:space="0" w:color="auto"/>
        <w:left w:val="none" w:sz="0" w:space="0" w:color="auto"/>
        <w:bottom w:val="none" w:sz="0" w:space="0" w:color="auto"/>
        <w:right w:val="none" w:sz="0" w:space="0" w:color="auto"/>
      </w:divBdr>
    </w:div>
    <w:div w:id="389885254">
      <w:bodyDiv w:val="1"/>
      <w:marLeft w:val="0"/>
      <w:marRight w:val="0"/>
      <w:marTop w:val="0"/>
      <w:marBottom w:val="0"/>
      <w:divBdr>
        <w:top w:val="none" w:sz="0" w:space="0" w:color="auto"/>
        <w:left w:val="none" w:sz="0" w:space="0" w:color="auto"/>
        <w:bottom w:val="none" w:sz="0" w:space="0" w:color="auto"/>
        <w:right w:val="none" w:sz="0" w:space="0" w:color="auto"/>
      </w:divBdr>
    </w:div>
    <w:div w:id="390159214">
      <w:bodyDiv w:val="1"/>
      <w:marLeft w:val="0"/>
      <w:marRight w:val="0"/>
      <w:marTop w:val="0"/>
      <w:marBottom w:val="0"/>
      <w:divBdr>
        <w:top w:val="none" w:sz="0" w:space="0" w:color="auto"/>
        <w:left w:val="none" w:sz="0" w:space="0" w:color="auto"/>
        <w:bottom w:val="none" w:sz="0" w:space="0" w:color="auto"/>
        <w:right w:val="none" w:sz="0" w:space="0" w:color="auto"/>
      </w:divBdr>
    </w:div>
    <w:div w:id="391200953">
      <w:bodyDiv w:val="1"/>
      <w:marLeft w:val="0"/>
      <w:marRight w:val="0"/>
      <w:marTop w:val="0"/>
      <w:marBottom w:val="0"/>
      <w:divBdr>
        <w:top w:val="none" w:sz="0" w:space="0" w:color="auto"/>
        <w:left w:val="none" w:sz="0" w:space="0" w:color="auto"/>
        <w:bottom w:val="none" w:sz="0" w:space="0" w:color="auto"/>
        <w:right w:val="none" w:sz="0" w:space="0" w:color="auto"/>
      </w:divBdr>
    </w:div>
    <w:div w:id="392196298">
      <w:bodyDiv w:val="1"/>
      <w:marLeft w:val="0"/>
      <w:marRight w:val="0"/>
      <w:marTop w:val="0"/>
      <w:marBottom w:val="0"/>
      <w:divBdr>
        <w:top w:val="none" w:sz="0" w:space="0" w:color="auto"/>
        <w:left w:val="none" w:sz="0" w:space="0" w:color="auto"/>
        <w:bottom w:val="none" w:sz="0" w:space="0" w:color="auto"/>
        <w:right w:val="none" w:sz="0" w:space="0" w:color="auto"/>
      </w:divBdr>
    </w:div>
    <w:div w:id="392385952">
      <w:bodyDiv w:val="1"/>
      <w:marLeft w:val="0"/>
      <w:marRight w:val="0"/>
      <w:marTop w:val="0"/>
      <w:marBottom w:val="0"/>
      <w:divBdr>
        <w:top w:val="none" w:sz="0" w:space="0" w:color="auto"/>
        <w:left w:val="none" w:sz="0" w:space="0" w:color="auto"/>
        <w:bottom w:val="none" w:sz="0" w:space="0" w:color="auto"/>
        <w:right w:val="none" w:sz="0" w:space="0" w:color="auto"/>
      </w:divBdr>
    </w:div>
    <w:div w:id="392967763">
      <w:bodyDiv w:val="1"/>
      <w:marLeft w:val="0"/>
      <w:marRight w:val="0"/>
      <w:marTop w:val="0"/>
      <w:marBottom w:val="0"/>
      <w:divBdr>
        <w:top w:val="none" w:sz="0" w:space="0" w:color="auto"/>
        <w:left w:val="none" w:sz="0" w:space="0" w:color="auto"/>
        <w:bottom w:val="none" w:sz="0" w:space="0" w:color="auto"/>
        <w:right w:val="none" w:sz="0" w:space="0" w:color="auto"/>
      </w:divBdr>
    </w:div>
    <w:div w:id="393046455">
      <w:bodyDiv w:val="1"/>
      <w:marLeft w:val="0"/>
      <w:marRight w:val="0"/>
      <w:marTop w:val="0"/>
      <w:marBottom w:val="0"/>
      <w:divBdr>
        <w:top w:val="none" w:sz="0" w:space="0" w:color="auto"/>
        <w:left w:val="none" w:sz="0" w:space="0" w:color="auto"/>
        <w:bottom w:val="none" w:sz="0" w:space="0" w:color="auto"/>
        <w:right w:val="none" w:sz="0" w:space="0" w:color="auto"/>
      </w:divBdr>
    </w:div>
    <w:div w:id="393623869">
      <w:bodyDiv w:val="1"/>
      <w:marLeft w:val="0"/>
      <w:marRight w:val="0"/>
      <w:marTop w:val="0"/>
      <w:marBottom w:val="0"/>
      <w:divBdr>
        <w:top w:val="none" w:sz="0" w:space="0" w:color="auto"/>
        <w:left w:val="none" w:sz="0" w:space="0" w:color="auto"/>
        <w:bottom w:val="none" w:sz="0" w:space="0" w:color="auto"/>
        <w:right w:val="none" w:sz="0" w:space="0" w:color="auto"/>
      </w:divBdr>
    </w:div>
    <w:div w:id="393897562">
      <w:bodyDiv w:val="1"/>
      <w:marLeft w:val="0"/>
      <w:marRight w:val="0"/>
      <w:marTop w:val="0"/>
      <w:marBottom w:val="0"/>
      <w:divBdr>
        <w:top w:val="none" w:sz="0" w:space="0" w:color="auto"/>
        <w:left w:val="none" w:sz="0" w:space="0" w:color="auto"/>
        <w:bottom w:val="none" w:sz="0" w:space="0" w:color="auto"/>
        <w:right w:val="none" w:sz="0" w:space="0" w:color="auto"/>
      </w:divBdr>
    </w:div>
    <w:div w:id="394670266">
      <w:bodyDiv w:val="1"/>
      <w:marLeft w:val="0"/>
      <w:marRight w:val="0"/>
      <w:marTop w:val="0"/>
      <w:marBottom w:val="0"/>
      <w:divBdr>
        <w:top w:val="none" w:sz="0" w:space="0" w:color="auto"/>
        <w:left w:val="none" w:sz="0" w:space="0" w:color="auto"/>
        <w:bottom w:val="none" w:sz="0" w:space="0" w:color="auto"/>
        <w:right w:val="none" w:sz="0" w:space="0" w:color="auto"/>
      </w:divBdr>
    </w:div>
    <w:div w:id="394938641">
      <w:bodyDiv w:val="1"/>
      <w:marLeft w:val="0"/>
      <w:marRight w:val="0"/>
      <w:marTop w:val="0"/>
      <w:marBottom w:val="0"/>
      <w:divBdr>
        <w:top w:val="none" w:sz="0" w:space="0" w:color="auto"/>
        <w:left w:val="none" w:sz="0" w:space="0" w:color="auto"/>
        <w:bottom w:val="none" w:sz="0" w:space="0" w:color="auto"/>
        <w:right w:val="none" w:sz="0" w:space="0" w:color="auto"/>
      </w:divBdr>
    </w:div>
    <w:div w:id="395398380">
      <w:bodyDiv w:val="1"/>
      <w:marLeft w:val="0"/>
      <w:marRight w:val="0"/>
      <w:marTop w:val="0"/>
      <w:marBottom w:val="0"/>
      <w:divBdr>
        <w:top w:val="none" w:sz="0" w:space="0" w:color="auto"/>
        <w:left w:val="none" w:sz="0" w:space="0" w:color="auto"/>
        <w:bottom w:val="none" w:sz="0" w:space="0" w:color="auto"/>
        <w:right w:val="none" w:sz="0" w:space="0" w:color="auto"/>
      </w:divBdr>
    </w:div>
    <w:div w:id="396516879">
      <w:bodyDiv w:val="1"/>
      <w:marLeft w:val="0"/>
      <w:marRight w:val="0"/>
      <w:marTop w:val="0"/>
      <w:marBottom w:val="0"/>
      <w:divBdr>
        <w:top w:val="none" w:sz="0" w:space="0" w:color="auto"/>
        <w:left w:val="none" w:sz="0" w:space="0" w:color="auto"/>
        <w:bottom w:val="none" w:sz="0" w:space="0" w:color="auto"/>
        <w:right w:val="none" w:sz="0" w:space="0" w:color="auto"/>
      </w:divBdr>
    </w:div>
    <w:div w:id="397094263">
      <w:bodyDiv w:val="1"/>
      <w:marLeft w:val="0"/>
      <w:marRight w:val="0"/>
      <w:marTop w:val="0"/>
      <w:marBottom w:val="0"/>
      <w:divBdr>
        <w:top w:val="none" w:sz="0" w:space="0" w:color="auto"/>
        <w:left w:val="none" w:sz="0" w:space="0" w:color="auto"/>
        <w:bottom w:val="none" w:sz="0" w:space="0" w:color="auto"/>
        <w:right w:val="none" w:sz="0" w:space="0" w:color="auto"/>
      </w:divBdr>
    </w:div>
    <w:div w:id="397242519">
      <w:bodyDiv w:val="1"/>
      <w:marLeft w:val="0"/>
      <w:marRight w:val="0"/>
      <w:marTop w:val="0"/>
      <w:marBottom w:val="0"/>
      <w:divBdr>
        <w:top w:val="none" w:sz="0" w:space="0" w:color="auto"/>
        <w:left w:val="none" w:sz="0" w:space="0" w:color="auto"/>
        <w:bottom w:val="none" w:sz="0" w:space="0" w:color="auto"/>
        <w:right w:val="none" w:sz="0" w:space="0" w:color="auto"/>
      </w:divBdr>
    </w:div>
    <w:div w:id="398286418">
      <w:bodyDiv w:val="1"/>
      <w:marLeft w:val="0"/>
      <w:marRight w:val="0"/>
      <w:marTop w:val="0"/>
      <w:marBottom w:val="0"/>
      <w:divBdr>
        <w:top w:val="none" w:sz="0" w:space="0" w:color="auto"/>
        <w:left w:val="none" w:sz="0" w:space="0" w:color="auto"/>
        <w:bottom w:val="none" w:sz="0" w:space="0" w:color="auto"/>
        <w:right w:val="none" w:sz="0" w:space="0" w:color="auto"/>
      </w:divBdr>
    </w:div>
    <w:div w:id="399405536">
      <w:bodyDiv w:val="1"/>
      <w:marLeft w:val="0"/>
      <w:marRight w:val="0"/>
      <w:marTop w:val="0"/>
      <w:marBottom w:val="0"/>
      <w:divBdr>
        <w:top w:val="none" w:sz="0" w:space="0" w:color="auto"/>
        <w:left w:val="none" w:sz="0" w:space="0" w:color="auto"/>
        <w:bottom w:val="none" w:sz="0" w:space="0" w:color="auto"/>
        <w:right w:val="none" w:sz="0" w:space="0" w:color="auto"/>
      </w:divBdr>
    </w:div>
    <w:div w:id="399905239">
      <w:bodyDiv w:val="1"/>
      <w:marLeft w:val="0"/>
      <w:marRight w:val="0"/>
      <w:marTop w:val="0"/>
      <w:marBottom w:val="0"/>
      <w:divBdr>
        <w:top w:val="none" w:sz="0" w:space="0" w:color="auto"/>
        <w:left w:val="none" w:sz="0" w:space="0" w:color="auto"/>
        <w:bottom w:val="none" w:sz="0" w:space="0" w:color="auto"/>
        <w:right w:val="none" w:sz="0" w:space="0" w:color="auto"/>
      </w:divBdr>
    </w:div>
    <w:div w:id="400057273">
      <w:bodyDiv w:val="1"/>
      <w:marLeft w:val="0"/>
      <w:marRight w:val="0"/>
      <w:marTop w:val="0"/>
      <w:marBottom w:val="0"/>
      <w:divBdr>
        <w:top w:val="none" w:sz="0" w:space="0" w:color="auto"/>
        <w:left w:val="none" w:sz="0" w:space="0" w:color="auto"/>
        <w:bottom w:val="none" w:sz="0" w:space="0" w:color="auto"/>
        <w:right w:val="none" w:sz="0" w:space="0" w:color="auto"/>
      </w:divBdr>
    </w:div>
    <w:div w:id="400102059">
      <w:bodyDiv w:val="1"/>
      <w:marLeft w:val="0"/>
      <w:marRight w:val="0"/>
      <w:marTop w:val="0"/>
      <w:marBottom w:val="0"/>
      <w:divBdr>
        <w:top w:val="none" w:sz="0" w:space="0" w:color="auto"/>
        <w:left w:val="none" w:sz="0" w:space="0" w:color="auto"/>
        <w:bottom w:val="none" w:sz="0" w:space="0" w:color="auto"/>
        <w:right w:val="none" w:sz="0" w:space="0" w:color="auto"/>
      </w:divBdr>
    </w:div>
    <w:div w:id="400253751">
      <w:bodyDiv w:val="1"/>
      <w:marLeft w:val="0"/>
      <w:marRight w:val="0"/>
      <w:marTop w:val="0"/>
      <w:marBottom w:val="0"/>
      <w:divBdr>
        <w:top w:val="none" w:sz="0" w:space="0" w:color="auto"/>
        <w:left w:val="none" w:sz="0" w:space="0" w:color="auto"/>
        <w:bottom w:val="none" w:sz="0" w:space="0" w:color="auto"/>
        <w:right w:val="none" w:sz="0" w:space="0" w:color="auto"/>
      </w:divBdr>
    </w:div>
    <w:div w:id="400296718">
      <w:bodyDiv w:val="1"/>
      <w:marLeft w:val="0"/>
      <w:marRight w:val="0"/>
      <w:marTop w:val="0"/>
      <w:marBottom w:val="0"/>
      <w:divBdr>
        <w:top w:val="none" w:sz="0" w:space="0" w:color="auto"/>
        <w:left w:val="none" w:sz="0" w:space="0" w:color="auto"/>
        <w:bottom w:val="none" w:sz="0" w:space="0" w:color="auto"/>
        <w:right w:val="none" w:sz="0" w:space="0" w:color="auto"/>
      </w:divBdr>
    </w:div>
    <w:div w:id="400830647">
      <w:bodyDiv w:val="1"/>
      <w:marLeft w:val="0"/>
      <w:marRight w:val="0"/>
      <w:marTop w:val="0"/>
      <w:marBottom w:val="0"/>
      <w:divBdr>
        <w:top w:val="none" w:sz="0" w:space="0" w:color="auto"/>
        <w:left w:val="none" w:sz="0" w:space="0" w:color="auto"/>
        <w:bottom w:val="none" w:sz="0" w:space="0" w:color="auto"/>
        <w:right w:val="none" w:sz="0" w:space="0" w:color="auto"/>
      </w:divBdr>
    </w:div>
    <w:div w:id="400830657">
      <w:bodyDiv w:val="1"/>
      <w:marLeft w:val="0"/>
      <w:marRight w:val="0"/>
      <w:marTop w:val="0"/>
      <w:marBottom w:val="0"/>
      <w:divBdr>
        <w:top w:val="none" w:sz="0" w:space="0" w:color="auto"/>
        <w:left w:val="none" w:sz="0" w:space="0" w:color="auto"/>
        <w:bottom w:val="none" w:sz="0" w:space="0" w:color="auto"/>
        <w:right w:val="none" w:sz="0" w:space="0" w:color="auto"/>
      </w:divBdr>
    </w:div>
    <w:div w:id="401146079">
      <w:bodyDiv w:val="1"/>
      <w:marLeft w:val="0"/>
      <w:marRight w:val="0"/>
      <w:marTop w:val="0"/>
      <w:marBottom w:val="0"/>
      <w:divBdr>
        <w:top w:val="none" w:sz="0" w:space="0" w:color="auto"/>
        <w:left w:val="none" w:sz="0" w:space="0" w:color="auto"/>
        <w:bottom w:val="none" w:sz="0" w:space="0" w:color="auto"/>
        <w:right w:val="none" w:sz="0" w:space="0" w:color="auto"/>
      </w:divBdr>
    </w:div>
    <w:div w:id="401872427">
      <w:bodyDiv w:val="1"/>
      <w:marLeft w:val="0"/>
      <w:marRight w:val="0"/>
      <w:marTop w:val="0"/>
      <w:marBottom w:val="0"/>
      <w:divBdr>
        <w:top w:val="none" w:sz="0" w:space="0" w:color="auto"/>
        <w:left w:val="none" w:sz="0" w:space="0" w:color="auto"/>
        <w:bottom w:val="none" w:sz="0" w:space="0" w:color="auto"/>
        <w:right w:val="none" w:sz="0" w:space="0" w:color="auto"/>
      </w:divBdr>
    </w:div>
    <w:div w:id="402417346">
      <w:bodyDiv w:val="1"/>
      <w:marLeft w:val="0"/>
      <w:marRight w:val="0"/>
      <w:marTop w:val="0"/>
      <w:marBottom w:val="0"/>
      <w:divBdr>
        <w:top w:val="none" w:sz="0" w:space="0" w:color="auto"/>
        <w:left w:val="none" w:sz="0" w:space="0" w:color="auto"/>
        <w:bottom w:val="none" w:sz="0" w:space="0" w:color="auto"/>
        <w:right w:val="none" w:sz="0" w:space="0" w:color="auto"/>
      </w:divBdr>
    </w:div>
    <w:div w:id="403259109">
      <w:bodyDiv w:val="1"/>
      <w:marLeft w:val="0"/>
      <w:marRight w:val="0"/>
      <w:marTop w:val="0"/>
      <w:marBottom w:val="0"/>
      <w:divBdr>
        <w:top w:val="none" w:sz="0" w:space="0" w:color="auto"/>
        <w:left w:val="none" w:sz="0" w:space="0" w:color="auto"/>
        <w:bottom w:val="none" w:sz="0" w:space="0" w:color="auto"/>
        <w:right w:val="none" w:sz="0" w:space="0" w:color="auto"/>
      </w:divBdr>
    </w:div>
    <w:div w:id="403374519">
      <w:bodyDiv w:val="1"/>
      <w:marLeft w:val="0"/>
      <w:marRight w:val="0"/>
      <w:marTop w:val="0"/>
      <w:marBottom w:val="0"/>
      <w:divBdr>
        <w:top w:val="none" w:sz="0" w:space="0" w:color="auto"/>
        <w:left w:val="none" w:sz="0" w:space="0" w:color="auto"/>
        <w:bottom w:val="none" w:sz="0" w:space="0" w:color="auto"/>
        <w:right w:val="none" w:sz="0" w:space="0" w:color="auto"/>
      </w:divBdr>
    </w:div>
    <w:div w:id="404298573">
      <w:bodyDiv w:val="1"/>
      <w:marLeft w:val="0"/>
      <w:marRight w:val="0"/>
      <w:marTop w:val="0"/>
      <w:marBottom w:val="0"/>
      <w:divBdr>
        <w:top w:val="none" w:sz="0" w:space="0" w:color="auto"/>
        <w:left w:val="none" w:sz="0" w:space="0" w:color="auto"/>
        <w:bottom w:val="none" w:sz="0" w:space="0" w:color="auto"/>
        <w:right w:val="none" w:sz="0" w:space="0" w:color="auto"/>
      </w:divBdr>
    </w:div>
    <w:div w:id="404500825">
      <w:bodyDiv w:val="1"/>
      <w:marLeft w:val="0"/>
      <w:marRight w:val="0"/>
      <w:marTop w:val="0"/>
      <w:marBottom w:val="0"/>
      <w:divBdr>
        <w:top w:val="none" w:sz="0" w:space="0" w:color="auto"/>
        <w:left w:val="none" w:sz="0" w:space="0" w:color="auto"/>
        <w:bottom w:val="none" w:sz="0" w:space="0" w:color="auto"/>
        <w:right w:val="none" w:sz="0" w:space="0" w:color="auto"/>
      </w:divBdr>
    </w:div>
    <w:div w:id="404642931">
      <w:bodyDiv w:val="1"/>
      <w:marLeft w:val="0"/>
      <w:marRight w:val="0"/>
      <w:marTop w:val="0"/>
      <w:marBottom w:val="0"/>
      <w:divBdr>
        <w:top w:val="none" w:sz="0" w:space="0" w:color="auto"/>
        <w:left w:val="none" w:sz="0" w:space="0" w:color="auto"/>
        <w:bottom w:val="none" w:sz="0" w:space="0" w:color="auto"/>
        <w:right w:val="none" w:sz="0" w:space="0" w:color="auto"/>
      </w:divBdr>
    </w:div>
    <w:div w:id="404645269">
      <w:bodyDiv w:val="1"/>
      <w:marLeft w:val="0"/>
      <w:marRight w:val="0"/>
      <w:marTop w:val="0"/>
      <w:marBottom w:val="0"/>
      <w:divBdr>
        <w:top w:val="none" w:sz="0" w:space="0" w:color="auto"/>
        <w:left w:val="none" w:sz="0" w:space="0" w:color="auto"/>
        <w:bottom w:val="none" w:sz="0" w:space="0" w:color="auto"/>
        <w:right w:val="none" w:sz="0" w:space="0" w:color="auto"/>
      </w:divBdr>
    </w:div>
    <w:div w:id="405536990">
      <w:bodyDiv w:val="1"/>
      <w:marLeft w:val="0"/>
      <w:marRight w:val="0"/>
      <w:marTop w:val="0"/>
      <w:marBottom w:val="0"/>
      <w:divBdr>
        <w:top w:val="none" w:sz="0" w:space="0" w:color="auto"/>
        <w:left w:val="none" w:sz="0" w:space="0" w:color="auto"/>
        <w:bottom w:val="none" w:sz="0" w:space="0" w:color="auto"/>
        <w:right w:val="none" w:sz="0" w:space="0" w:color="auto"/>
      </w:divBdr>
    </w:div>
    <w:div w:id="405886357">
      <w:bodyDiv w:val="1"/>
      <w:marLeft w:val="0"/>
      <w:marRight w:val="0"/>
      <w:marTop w:val="0"/>
      <w:marBottom w:val="0"/>
      <w:divBdr>
        <w:top w:val="none" w:sz="0" w:space="0" w:color="auto"/>
        <w:left w:val="none" w:sz="0" w:space="0" w:color="auto"/>
        <w:bottom w:val="none" w:sz="0" w:space="0" w:color="auto"/>
        <w:right w:val="none" w:sz="0" w:space="0" w:color="auto"/>
      </w:divBdr>
    </w:div>
    <w:div w:id="406608279">
      <w:bodyDiv w:val="1"/>
      <w:marLeft w:val="0"/>
      <w:marRight w:val="0"/>
      <w:marTop w:val="0"/>
      <w:marBottom w:val="0"/>
      <w:divBdr>
        <w:top w:val="none" w:sz="0" w:space="0" w:color="auto"/>
        <w:left w:val="none" w:sz="0" w:space="0" w:color="auto"/>
        <w:bottom w:val="none" w:sz="0" w:space="0" w:color="auto"/>
        <w:right w:val="none" w:sz="0" w:space="0" w:color="auto"/>
      </w:divBdr>
    </w:div>
    <w:div w:id="406609508">
      <w:bodyDiv w:val="1"/>
      <w:marLeft w:val="0"/>
      <w:marRight w:val="0"/>
      <w:marTop w:val="0"/>
      <w:marBottom w:val="0"/>
      <w:divBdr>
        <w:top w:val="none" w:sz="0" w:space="0" w:color="auto"/>
        <w:left w:val="none" w:sz="0" w:space="0" w:color="auto"/>
        <w:bottom w:val="none" w:sz="0" w:space="0" w:color="auto"/>
        <w:right w:val="none" w:sz="0" w:space="0" w:color="auto"/>
      </w:divBdr>
    </w:div>
    <w:div w:id="408043439">
      <w:bodyDiv w:val="1"/>
      <w:marLeft w:val="0"/>
      <w:marRight w:val="0"/>
      <w:marTop w:val="0"/>
      <w:marBottom w:val="0"/>
      <w:divBdr>
        <w:top w:val="none" w:sz="0" w:space="0" w:color="auto"/>
        <w:left w:val="none" w:sz="0" w:space="0" w:color="auto"/>
        <w:bottom w:val="none" w:sz="0" w:space="0" w:color="auto"/>
        <w:right w:val="none" w:sz="0" w:space="0" w:color="auto"/>
      </w:divBdr>
    </w:div>
    <w:div w:id="408160882">
      <w:bodyDiv w:val="1"/>
      <w:marLeft w:val="0"/>
      <w:marRight w:val="0"/>
      <w:marTop w:val="0"/>
      <w:marBottom w:val="0"/>
      <w:divBdr>
        <w:top w:val="none" w:sz="0" w:space="0" w:color="auto"/>
        <w:left w:val="none" w:sz="0" w:space="0" w:color="auto"/>
        <w:bottom w:val="none" w:sz="0" w:space="0" w:color="auto"/>
        <w:right w:val="none" w:sz="0" w:space="0" w:color="auto"/>
      </w:divBdr>
    </w:div>
    <w:div w:id="408773767">
      <w:bodyDiv w:val="1"/>
      <w:marLeft w:val="0"/>
      <w:marRight w:val="0"/>
      <w:marTop w:val="0"/>
      <w:marBottom w:val="0"/>
      <w:divBdr>
        <w:top w:val="none" w:sz="0" w:space="0" w:color="auto"/>
        <w:left w:val="none" w:sz="0" w:space="0" w:color="auto"/>
        <w:bottom w:val="none" w:sz="0" w:space="0" w:color="auto"/>
        <w:right w:val="none" w:sz="0" w:space="0" w:color="auto"/>
      </w:divBdr>
    </w:div>
    <w:div w:id="411198553">
      <w:bodyDiv w:val="1"/>
      <w:marLeft w:val="0"/>
      <w:marRight w:val="0"/>
      <w:marTop w:val="0"/>
      <w:marBottom w:val="0"/>
      <w:divBdr>
        <w:top w:val="none" w:sz="0" w:space="0" w:color="auto"/>
        <w:left w:val="none" w:sz="0" w:space="0" w:color="auto"/>
        <w:bottom w:val="none" w:sz="0" w:space="0" w:color="auto"/>
        <w:right w:val="none" w:sz="0" w:space="0" w:color="auto"/>
      </w:divBdr>
    </w:div>
    <w:div w:id="411243795">
      <w:bodyDiv w:val="1"/>
      <w:marLeft w:val="0"/>
      <w:marRight w:val="0"/>
      <w:marTop w:val="0"/>
      <w:marBottom w:val="0"/>
      <w:divBdr>
        <w:top w:val="none" w:sz="0" w:space="0" w:color="auto"/>
        <w:left w:val="none" w:sz="0" w:space="0" w:color="auto"/>
        <w:bottom w:val="none" w:sz="0" w:space="0" w:color="auto"/>
        <w:right w:val="none" w:sz="0" w:space="0" w:color="auto"/>
      </w:divBdr>
    </w:div>
    <w:div w:id="412623370">
      <w:bodyDiv w:val="1"/>
      <w:marLeft w:val="0"/>
      <w:marRight w:val="0"/>
      <w:marTop w:val="0"/>
      <w:marBottom w:val="0"/>
      <w:divBdr>
        <w:top w:val="none" w:sz="0" w:space="0" w:color="auto"/>
        <w:left w:val="none" w:sz="0" w:space="0" w:color="auto"/>
        <w:bottom w:val="none" w:sz="0" w:space="0" w:color="auto"/>
        <w:right w:val="none" w:sz="0" w:space="0" w:color="auto"/>
      </w:divBdr>
    </w:div>
    <w:div w:id="412699464">
      <w:bodyDiv w:val="1"/>
      <w:marLeft w:val="0"/>
      <w:marRight w:val="0"/>
      <w:marTop w:val="0"/>
      <w:marBottom w:val="0"/>
      <w:divBdr>
        <w:top w:val="none" w:sz="0" w:space="0" w:color="auto"/>
        <w:left w:val="none" w:sz="0" w:space="0" w:color="auto"/>
        <w:bottom w:val="none" w:sz="0" w:space="0" w:color="auto"/>
        <w:right w:val="none" w:sz="0" w:space="0" w:color="auto"/>
      </w:divBdr>
    </w:div>
    <w:div w:id="412942352">
      <w:bodyDiv w:val="1"/>
      <w:marLeft w:val="0"/>
      <w:marRight w:val="0"/>
      <w:marTop w:val="0"/>
      <w:marBottom w:val="0"/>
      <w:divBdr>
        <w:top w:val="none" w:sz="0" w:space="0" w:color="auto"/>
        <w:left w:val="none" w:sz="0" w:space="0" w:color="auto"/>
        <w:bottom w:val="none" w:sz="0" w:space="0" w:color="auto"/>
        <w:right w:val="none" w:sz="0" w:space="0" w:color="auto"/>
      </w:divBdr>
    </w:div>
    <w:div w:id="412943562">
      <w:bodyDiv w:val="1"/>
      <w:marLeft w:val="0"/>
      <w:marRight w:val="0"/>
      <w:marTop w:val="0"/>
      <w:marBottom w:val="0"/>
      <w:divBdr>
        <w:top w:val="none" w:sz="0" w:space="0" w:color="auto"/>
        <w:left w:val="none" w:sz="0" w:space="0" w:color="auto"/>
        <w:bottom w:val="none" w:sz="0" w:space="0" w:color="auto"/>
        <w:right w:val="none" w:sz="0" w:space="0" w:color="auto"/>
      </w:divBdr>
    </w:div>
    <w:div w:id="413209254">
      <w:bodyDiv w:val="1"/>
      <w:marLeft w:val="0"/>
      <w:marRight w:val="0"/>
      <w:marTop w:val="0"/>
      <w:marBottom w:val="0"/>
      <w:divBdr>
        <w:top w:val="none" w:sz="0" w:space="0" w:color="auto"/>
        <w:left w:val="none" w:sz="0" w:space="0" w:color="auto"/>
        <w:bottom w:val="none" w:sz="0" w:space="0" w:color="auto"/>
        <w:right w:val="none" w:sz="0" w:space="0" w:color="auto"/>
      </w:divBdr>
    </w:div>
    <w:div w:id="414204884">
      <w:bodyDiv w:val="1"/>
      <w:marLeft w:val="0"/>
      <w:marRight w:val="0"/>
      <w:marTop w:val="0"/>
      <w:marBottom w:val="0"/>
      <w:divBdr>
        <w:top w:val="none" w:sz="0" w:space="0" w:color="auto"/>
        <w:left w:val="none" w:sz="0" w:space="0" w:color="auto"/>
        <w:bottom w:val="none" w:sz="0" w:space="0" w:color="auto"/>
        <w:right w:val="none" w:sz="0" w:space="0" w:color="auto"/>
      </w:divBdr>
    </w:div>
    <w:div w:id="414475408">
      <w:bodyDiv w:val="1"/>
      <w:marLeft w:val="0"/>
      <w:marRight w:val="0"/>
      <w:marTop w:val="0"/>
      <w:marBottom w:val="0"/>
      <w:divBdr>
        <w:top w:val="none" w:sz="0" w:space="0" w:color="auto"/>
        <w:left w:val="none" w:sz="0" w:space="0" w:color="auto"/>
        <w:bottom w:val="none" w:sz="0" w:space="0" w:color="auto"/>
        <w:right w:val="none" w:sz="0" w:space="0" w:color="auto"/>
      </w:divBdr>
    </w:div>
    <w:div w:id="414977444">
      <w:bodyDiv w:val="1"/>
      <w:marLeft w:val="0"/>
      <w:marRight w:val="0"/>
      <w:marTop w:val="0"/>
      <w:marBottom w:val="0"/>
      <w:divBdr>
        <w:top w:val="none" w:sz="0" w:space="0" w:color="auto"/>
        <w:left w:val="none" w:sz="0" w:space="0" w:color="auto"/>
        <w:bottom w:val="none" w:sz="0" w:space="0" w:color="auto"/>
        <w:right w:val="none" w:sz="0" w:space="0" w:color="auto"/>
      </w:divBdr>
    </w:div>
    <w:div w:id="416875861">
      <w:bodyDiv w:val="1"/>
      <w:marLeft w:val="0"/>
      <w:marRight w:val="0"/>
      <w:marTop w:val="0"/>
      <w:marBottom w:val="0"/>
      <w:divBdr>
        <w:top w:val="none" w:sz="0" w:space="0" w:color="auto"/>
        <w:left w:val="none" w:sz="0" w:space="0" w:color="auto"/>
        <w:bottom w:val="none" w:sz="0" w:space="0" w:color="auto"/>
        <w:right w:val="none" w:sz="0" w:space="0" w:color="auto"/>
      </w:divBdr>
    </w:div>
    <w:div w:id="417142303">
      <w:bodyDiv w:val="1"/>
      <w:marLeft w:val="0"/>
      <w:marRight w:val="0"/>
      <w:marTop w:val="0"/>
      <w:marBottom w:val="0"/>
      <w:divBdr>
        <w:top w:val="none" w:sz="0" w:space="0" w:color="auto"/>
        <w:left w:val="none" w:sz="0" w:space="0" w:color="auto"/>
        <w:bottom w:val="none" w:sz="0" w:space="0" w:color="auto"/>
        <w:right w:val="none" w:sz="0" w:space="0" w:color="auto"/>
      </w:divBdr>
    </w:div>
    <w:div w:id="417337469">
      <w:bodyDiv w:val="1"/>
      <w:marLeft w:val="0"/>
      <w:marRight w:val="0"/>
      <w:marTop w:val="0"/>
      <w:marBottom w:val="0"/>
      <w:divBdr>
        <w:top w:val="none" w:sz="0" w:space="0" w:color="auto"/>
        <w:left w:val="none" w:sz="0" w:space="0" w:color="auto"/>
        <w:bottom w:val="none" w:sz="0" w:space="0" w:color="auto"/>
        <w:right w:val="none" w:sz="0" w:space="0" w:color="auto"/>
      </w:divBdr>
    </w:div>
    <w:div w:id="417480159">
      <w:bodyDiv w:val="1"/>
      <w:marLeft w:val="0"/>
      <w:marRight w:val="0"/>
      <w:marTop w:val="0"/>
      <w:marBottom w:val="0"/>
      <w:divBdr>
        <w:top w:val="none" w:sz="0" w:space="0" w:color="auto"/>
        <w:left w:val="none" w:sz="0" w:space="0" w:color="auto"/>
        <w:bottom w:val="none" w:sz="0" w:space="0" w:color="auto"/>
        <w:right w:val="none" w:sz="0" w:space="0" w:color="auto"/>
      </w:divBdr>
    </w:div>
    <w:div w:id="418256849">
      <w:bodyDiv w:val="1"/>
      <w:marLeft w:val="0"/>
      <w:marRight w:val="0"/>
      <w:marTop w:val="0"/>
      <w:marBottom w:val="0"/>
      <w:divBdr>
        <w:top w:val="none" w:sz="0" w:space="0" w:color="auto"/>
        <w:left w:val="none" w:sz="0" w:space="0" w:color="auto"/>
        <w:bottom w:val="none" w:sz="0" w:space="0" w:color="auto"/>
        <w:right w:val="none" w:sz="0" w:space="0" w:color="auto"/>
      </w:divBdr>
    </w:div>
    <w:div w:id="418331958">
      <w:bodyDiv w:val="1"/>
      <w:marLeft w:val="0"/>
      <w:marRight w:val="0"/>
      <w:marTop w:val="0"/>
      <w:marBottom w:val="0"/>
      <w:divBdr>
        <w:top w:val="none" w:sz="0" w:space="0" w:color="auto"/>
        <w:left w:val="none" w:sz="0" w:space="0" w:color="auto"/>
        <w:bottom w:val="none" w:sz="0" w:space="0" w:color="auto"/>
        <w:right w:val="none" w:sz="0" w:space="0" w:color="auto"/>
      </w:divBdr>
    </w:div>
    <w:div w:id="418795746">
      <w:bodyDiv w:val="1"/>
      <w:marLeft w:val="0"/>
      <w:marRight w:val="0"/>
      <w:marTop w:val="0"/>
      <w:marBottom w:val="0"/>
      <w:divBdr>
        <w:top w:val="none" w:sz="0" w:space="0" w:color="auto"/>
        <w:left w:val="none" w:sz="0" w:space="0" w:color="auto"/>
        <w:bottom w:val="none" w:sz="0" w:space="0" w:color="auto"/>
        <w:right w:val="none" w:sz="0" w:space="0" w:color="auto"/>
      </w:divBdr>
    </w:div>
    <w:div w:id="421415401">
      <w:bodyDiv w:val="1"/>
      <w:marLeft w:val="0"/>
      <w:marRight w:val="0"/>
      <w:marTop w:val="0"/>
      <w:marBottom w:val="0"/>
      <w:divBdr>
        <w:top w:val="none" w:sz="0" w:space="0" w:color="auto"/>
        <w:left w:val="none" w:sz="0" w:space="0" w:color="auto"/>
        <w:bottom w:val="none" w:sz="0" w:space="0" w:color="auto"/>
        <w:right w:val="none" w:sz="0" w:space="0" w:color="auto"/>
      </w:divBdr>
    </w:div>
    <w:div w:id="422069148">
      <w:bodyDiv w:val="1"/>
      <w:marLeft w:val="0"/>
      <w:marRight w:val="0"/>
      <w:marTop w:val="0"/>
      <w:marBottom w:val="0"/>
      <w:divBdr>
        <w:top w:val="none" w:sz="0" w:space="0" w:color="auto"/>
        <w:left w:val="none" w:sz="0" w:space="0" w:color="auto"/>
        <w:bottom w:val="none" w:sz="0" w:space="0" w:color="auto"/>
        <w:right w:val="none" w:sz="0" w:space="0" w:color="auto"/>
      </w:divBdr>
    </w:div>
    <w:div w:id="424032440">
      <w:bodyDiv w:val="1"/>
      <w:marLeft w:val="0"/>
      <w:marRight w:val="0"/>
      <w:marTop w:val="0"/>
      <w:marBottom w:val="0"/>
      <w:divBdr>
        <w:top w:val="none" w:sz="0" w:space="0" w:color="auto"/>
        <w:left w:val="none" w:sz="0" w:space="0" w:color="auto"/>
        <w:bottom w:val="none" w:sz="0" w:space="0" w:color="auto"/>
        <w:right w:val="none" w:sz="0" w:space="0" w:color="auto"/>
      </w:divBdr>
    </w:div>
    <w:div w:id="424301292">
      <w:bodyDiv w:val="1"/>
      <w:marLeft w:val="0"/>
      <w:marRight w:val="0"/>
      <w:marTop w:val="0"/>
      <w:marBottom w:val="0"/>
      <w:divBdr>
        <w:top w:val="none" w:sz="0" w:space="0" w:color="auto"/>
        <w:left w:val="none" w:sz="0" w:space="0" w:color="auto"/>
        <w:bottom w:val="none" w:sz="0" w:space="0" w:color="auto"/>
        <w:right w:val="none" w:sz="0" w:space="0" w:color="auto"/>
      </w:divBdr>
    </w:div>
    <w:div w:id="425808877">
      <w:bodyDiv w:val="1"/>
      <w:marLeft w:val="0"/>
      <w:marRight w:val="0"/>
      <w:marTop w:val="0"/>
      <w:marBottom w:val="0"/>
      <w:divBdr>
        <w:top w:val="none" w:sz="0" w:space="0" w:color="auto"/>
        <w:left w:val="none" w:sz="0" w:space="0" w:color="auto"/>
        <w:bottom w:val="none" w:sz="0" w:space="0" w:color="auto"/>
        <w:right w:val="none" w:sz="0" w:space="0" w:color="auto"/>
      </w:divBdr>
    </w:div>
    <w:div w:id="426077761">
      <w:bodyDiv w:val="1"/>
      <w:marLeft w:val="0"/>
      <w:marRight w:val="0"/>
      <w:marTop w:val="0"/>
      <w:marBottom w:val="0"/>
      <w:divBdr>
        <w:top w:val="none" w:sz="0" w:space="0" w:color="auto"/>
        <w:left w:val="none" w:sz="0" w:space="0" w:color="auto"/>
        <w:bottom w:val="none" w:sz="0" w:space="0" w:color="auto"/>
        <w:right w:val="none" w:sz="0" w:space="0" w:color="auto"/>
      </w:divBdr>
    </w:div>
    <w:div w:id="427118682">
      <w:bodyDiv w:val="1"/>
      <w:marLeft w:val="0"/>
      <w:marRight w:val="0"/>
      <w:marTop w:val="0"/>
      <w:marBottom w:val="0"/>
      <w:divBdr>
        <w:top w:val="none" w:sz="0" w:space="0" w:color="auto"/>
        <w:left w:val="none" w:sz="0" w:space="0" w:color="auto"/>
        <w:bottom w:val="none" w:sz="0" w:space="0" w:color="auto"/>
        <w:right w:val="none" w:sz="0" w:space="0" w:color="auto"/>
      </w:divBdr>
    </w:div>
    <w:div w:id="427389316">
      <w:bodyDiv w:val="1"/>
      <w:marLeft w:val="0"/>
      <w:marRight w:val="0"/>
      <w:marTop w:val="0"/>
      <w:marBottom w:val="0"/>
      <w:divBdr>
        <w:top w:val="none" w:sz="0" w:space="0" w:color="auto"/>
        <w:left w:val="none" w:sz="0" w:space="0" w:color="auto"/>
        <w:bottom w:val="none" w:sz="0" w:space="0" w:color="auto"/>
        <w:right w:val="none" w:sz="0" w:space="0" w:color="auto"/>
      </w:divBdr>
    </w:div>
    <w:div w:id="427895892">
      <w:bodyDiv w:val="1"/>
      <w:marLeft w:val="0"/>
      <w:marRight w:val="0"/>
      <w:marTop w:val="0"/>
      <w:marBottom w:val="0"/>
      <w:divBdr>
        <w:top w:val="none" w:sz="0" w:space="0" w:color="auto"/>
        <w:left w:val="none" w:sz="0" w:space="0" w:color="auto"/>
        <w:bottom w:val="none" w:sz="0" w:space="0" w:color="auto"/>
        <w:right w:val="none" w:sz="0" w:space="0" w:color="auto"/>
      </w:divBdr>
    </w:div>
    <w:div w:id="428698790">
      <w:bodyDiv w:val="1"/>
      <w:marLeft w:val="0"/>
      <w:marRight w:val="0"/>
      <w:marTop w:val="0"/>
      <w:marBottom w:val="0"/>
      <w:divBdr>
        <w:top w:val="none" w:sz="0" w:space="0" w:color="auto"/>
        <w:left w:val="none" w:sz="0" w:space="0" w:color="auto"/>
        <w:bottom w:val="none" w:sz="0" w:space="0" w:color="auto"/>
        <w:right w:val="none" w:sz="0" w:space="0" w:color="auto"/>
      </w:divBdr>
    </w:div>
    <w:div w:id="428741153">
      <w:bodyDiv w:val="1"/>
      <w:marLeft w:val="0"/>
      <w:marRight w:val="0"/>
      <w:marTop w:val="0"/>
      <w:marBottom w:val="0"/>
      <w:divBdr>
        <w:top w:val="none" w:sz="0" w:space="0" w:color="auto"/>
        <w:left w:val="none" w:sz="0" w:space="0" w:color="auto"/>
        <w:bottom w:val="none" w:sz="0" w:space="0" w:color="auto"/>
        <w:right w:val="none" w:sz="0" w:space="0" w:color="auto"/>
      </w:divBdr>
    </w:div>
    <w:div w:id="428894818">
      <w:bodyDiv w:val="1"/>
      <w:marLeft w:val="0"/>
      <w:marRight w:val="0"/>
      <w:marTop w:val="0"/>
      <w:marBottom w:val="0"/>
      <w:divBdr>
        <w:top w:val="none" w:sz="0" w:space="0" w:color="auto"/>
        <w:left w:val="none" w:sz="0" w:space="0" w:color="auto"/>
        <w:bottom w:val="none" w:sz="0" w:space="0" w:color="auto"/>
        <w:right w:val="none" w:sz="0" w:space="0" w:color="auto"/>
      </w:divBdr>
    </w:div>
    <w:div w:id="429935516">
      <w:bodyDiv w:val="1"/>
      <w:marLeft w:val="0"/>
      <w:marRight w:val="0"/>
      <w:marTop w:val="0"/>
      <w:marBottom w:val="0"/>
      <w:divBdr>
        <w:top w:val="none" w:sz="0" w:space="0" w:color="auto"/>
        <w:left w:val="none" w:sz="0" w:space="0" w:color="auto"/>
        <w:bottom w:val="none" w:sz="0" w:space="0" w:color="auto"/>
        <w:right w:val="none" w:sz="0" w:space="0" w:color="auto"/>
      </w:divBdr>
    </w:div>
    <w:div w:id="430396928">
      <w:bodyDiv w:val="1"/>
      <w:marLeft w:val="0"/>
      <w:marRight w:val="0"/>
      <w:marTop w:val="0"/>
      <w:marBottom w:val="0"/>
      <w:divBdr>
        <w:top w:val="none" w:sz="0" w:space="0" w:color="auto"/>
        <w:left w:val="none" w:sz="0" w:space="0" w:color="auto"/>
        <w:bottom w:val="none" w:sz="0" w:space="0" w:color="auto"/>
        <w:right w:val="none" w:sz="0" w:space="0" w:color="auto"/>
      </w:divBdr>
      <w:divsChild>
        <w:div w:id="1683358221">
          <w:marLeft w:val="0"/>
          <w:marRight w:val="0"/>
          <w:marTop w:val="0"/>
          <w:marBottom w:val="0"/>
          <w:divBdr>
            <w:top w:val="none" w:sz="0" w:space="0" w:color="auto"/>
            <w:left w:val="none" w:sz="0" w:space="0" w:color="auto"/>
            <w:bottom w:val="none" w:sz="0" w:space="0" w:color="auto"/>
            <w:right w:val="none" w:sz="0" w:space="0" w:color="auto"/>
          </w:divBdr>
        </w:div>
        <w:div w:id="1130785951">
          <w:marLeft w:val="0"/>
          <w:marRight w:val="0"/>
          <w:marTop w:val="0"/>
          <w:marBottom w:val="0"/>
          <w:divBdr>
            <w:top w:val="none" w:sz="0" w:space="0" w:color="auto"/>
            <w:left w:val="none" w:sz="0" w:space="0" w:color="auto"/>
            <w:bottom w:val="none" w:sz="0" w:space="0" w:color="auto"/>
            <w:right w:val="none" w:sz="0" w:space="0" w:color="auto"/>
          </w:divBdr>
        </w:div>
        <w:div w:id="1120342978">
          <w:marLeft w:val="0"/>
          <w:marRight w:val="0"/>
          <w:marTop w:val="0"/>
          <w:marBottom w:val="0"/>
          <w:divBdr>
            <w:top w:val="none" w:sz="0" w:space="0" w:color="auto"/>
            <w:left w:val="none" w:sz="0" w:space="0" w:color="auto"/>
            <w:bottom w:val="none" w:sz="0" w:space="0" w:color="auto"/>
            <w:right w:val="none" w:sz="0" w:space="0" w:color="auto"/>
          </w:divBdr>
        </w:div>
      </w:divsChild>
    </w:div>
    <w:div w:id="432014496">
      <w:bodyDiv w:val="1"/>
      <w:marLeft w:val="0"/>
      <w:marRight w:val="0"/>
      <w:marTop w:val="0"/>
      <w:marBottom w:val="0"/>
      <w:divBdr>
        <w:top w:val="none" w:sz="0" w:space="0" w:color="auto"/>
        <w:left w:val="none" w:sz="0" w:space="0" w:color="auto"/>
        <w:bottom w:val="none" w:sz="0" w:space="0" w:color="auto"/>
        <w:right w:val="none" w:sz="0" w:space="0" w:color="auto"/>
      </w:divBdr>
    </w:div>
    <w:div w:id="432096515">
      <w:bodyDiv w:val="1"/>
      <w:marLeft w:val="0"/>
      <w:marRight w:val="0"/>
      <w:marTop w:val="0"/>
      <w:marBottom w:val="0"/>
      <w:divBdr>
        <w:top w:val="none" w:sz="0" w:space="0" w:color="auto"/>
        <w:left w:val="none" w:sz="0" w:space="0" w:color="auto"/>
        <w:bottom w:val="none" w:sz="0" w:space="0" w:color="auto"/>
        <w:right w:val="none" w:sz="0" w:space="0" w:color="auto"/>
      </w:divBdr>
    </w:div>
    <w:div w:id="432630260">
      <w:bodyDiv w:val="1"/>
      <w:marLeft w:val="0"/>
      <w:marRight w:val="0"/>
      <w:marTop w:val="0"/>
      <w:marBottom w:val="0"/>
      <w:divBdr>
        <w:top w:val="none" w:sz="0" w:space="0" w:color="auto"/>
        <w:left w:val="none" w:sz="0" w:space="0" w:color="auto"/>
        <w:bottom w:val="none" w:sz="0" w:space="0" w:color="auto"/>
        <w:right w:val="none" w:sz="0" w:space="0" w:color="auto"/>
      </w:divBdr>
    </w:div>
    <w:div w:id="433786492">
      <w:bodyDiv w:val="1"/>
      <w:marLeft w:val="0"/>
      <w:marRight w:val="0"/>
      <w:marTop w:val="0"/>
      <w:marBottom w:val="0"/>
      <w:divBdr>
        <w:top w:val="none" w:sz="0" w:space="0" w:color="auto"/>
        <w:left w:val="none" w:sz="0" w:space="0" w:color="auto"/>
        <w:bottom w:val="none" w:sz="0" w:space="0" w:color="auto"/>
        <w:right w:val="none" w:sz="0" w:space="0" w:color="auto"/>
      </w:divBdr>
    </w:div>
    <w:div w:id="434132035">
      <w:bodyDiv w:val="1"/>
      <w:marLeft w:val="0"/>
      <w:marRight w:val="0"/>
      <w:marTop w:val="0"/>
      <w:marBottom w:val="0"/>
      <w:divBdr>
        <w:top w:val="none" w:sz="0" w:space="0" w:color="auto"/>
        <w:left w:val="none" w:sz="0" w:space="0" w:color="auto"/>
        <w:bottom w:val="none" w:sz="0" w:space="0" w:color="auto"/>
        <w:right w:val="none" w:sz="0" w:space="0" w:color="auto"/>
      </w:divBdr>
    </w:div>
    <w:div w:id="434323899">
      <w:bodyDiv w:val="1"/>
      <w:marLeft w:val="0"/>
      <w:marRight w:val="0"/>
      <w:marTop w:val="0"/>
      <w:marBottom w:val="0"/>
      <w:divBdr>
        <w:top w:val="none" w:sz="0" w:space="0" w:color="auto"/>
        <w:left w:val="none" w:sz="0" w:space="0" w:color="auto"/>
        <w:bottom w:val="none" w:sz="0" w:space="0" w:color="auto"/>
        <w:right w:val="none" w:sz="0" w:space="0" w:color="auto"/>
      </w:divBdr>
    </w:div>
    <w:div w:id="434441987">
      <w:bodyDiv w:val="1"/>
      <w:marLeft w:val="0"/>
      <w:marRight w:val="0"/>
      <w:marTop w:val="0"/>
      <w:marBottom w:val="0"/>
      <w:divBdr>
        <w:top w:val="none" w:sz="0" w:space="0" w:color="auto"/>
        <w:left w:val="none" w:sz="0" w:space="0" w:color="auto"/>
        <w:bottom w:val="none" w:sz="0" w:space="0" w:color="auto"/>
        <w:right w:val="none" w:sz="0" w:space="0" w:color="auto"/>
      </w:divBdr>
    </w:div>
    <w:div w:id="435294972">
      <w:bodyDiv w:val="1"/>
      <w:marLeft w:val="0"/>
      <w:marRight w:val="0"/>
      <w:marTop w:val="0"/>
      <w:marBottom w:val="0"/>
      <w:divBdr>
        <w:top w:val="none" w:sz="0" w:space="0" w:color="auto"/>
        <w:left w:val="none" w:sz="0" w:space="0" w:color="auto"/>
        <w:bottom w:val="none" w:sz="0" w:space="0" w:color="auto"/>
        <w:right w:val="none" w:sz="0" w:space="0" w:color="auto"/>
      </w:divBdr>
    </w:div>
    <w:div w:id="435442951">
      <w:bodyDiv w:val="1"/>
      <w:marLeft w:val="0"/>
      <w:marRight w:val="0"/>
      <w:marTop w:val="0"/>
      <w:marBottom w:val="0"/>
      <w:divBdr>
        <w:top w:val="none" w:sz="0" w:space="0" w:color="auto"/>
        <w:left w:val="none" w:sz="0" w:space="0" w:color="auto"/>
        <w:bottom w:val="none" w:sz="0" w:space="0" w:color="auto"/>
        <w:right w:val="none" w:sz="0" w:space="0" w:color="auto"/>
      </w:divBdr>
    </w:div>
    <w:div w:id="435487421">
      <w:bodyDiv w:val="1"/>
      <w:marLeft w:val="0"/>
      <w:marRight w:val="0"/>
      <w:marTop w:val="0"/>
      <w:marBottom w:val="0"/>
      <w:divBdr>
        <w:top w:val="none" w:sz="0" w:space="0" w:color="auto"/>
        <w:left w:val="none" w:sz="0" w:space="0" w:color="auto"/>
        <w:bottom w:val="none" w:sz="0" w:space="0" w:color="auto"/>
        <w:right w:val="none" w:sz="0" w:space="0" w:color="auto"/>
      </w:divBdr>
    </w:div>
    <w:div w:id="435492084">
      <w:bodyDiv w:val="1"/>
      <w:marLeft w:val="0"/>
      <w:marRight w:val="0"/>
      <w:marTop w:val="0"/>
      <w:marBottom w:val="0"/>
      <w:divBdr>
        <w:top w:val="none" w:sz="0" w:space="0" w:color="auto"/>
        <w:left w:val="none" w:sz="0" w:space="0" w:color="auto"/>
        <w:bottom w:val="none" w:sz="0" w:space="0" w:color="auto"/>
        <w:right w:val="none" w:sz="0" w:space="0" w:color="auto"/>
      </w:divBdr>
    </w:div>
    <w:div w:id="435752565">
      <w:bodyDiv w:val="1"/>
      <w:marLeft w:val="0"/>
      <w:marRight w:val="0"/>
      <w:marTop w:val="0"/>
      <w:marBottom w:val="0"/>
      <w:divBdr>
        <w:top w:val="none" w:sz="0" w:space="0" w:color="auto"/>
        <w:left w:val="none" w:sz="0" w:space="0" w:color="auto"/>
        <w:bottom w:val="none" w:sz="0" w:space="0" w:color="auto"/>
        <w:right w:val="none" w:sz="0" w:space="0" w:color="auto"/>
      </w:divBdr>
    </w:div>
    <w:div w:id="437720282">
      <w:bodyDiv w:val="1"/>
      <w:marLeft w:val="0"/>
      <w:marRight w:val="0"/>
      <w:marTop w:val="0"/>
      <w:marBottom w:val="0"/>
      <w:divBdr>
        <w:top w:val="none" w:sz="0" w:space="0" w:color="auto"/>
        <w:left w:val="none" w:sz="0" w:space="0" w:color="auto"/>
        <w:bottom w:val="none" w:sz="0" w:space="0" w:color="auto"/>
        <w:right w:val="none" w:sz="0" w:space="0" w:color="auto"/>
      </w:divBdr>
    </w:div>
    <w:div w:id="438375151">
      <w:bodyDiv w:val="1"/>
      <w:marLeft w:val="0"/>
      <w:marRight w:val="0"/>
      <w:marTop w:val="0"/>
      <w:marBottom w:val="0"/>
      <w:divBdr>
        <w:top w:val="none" w:sz="0" w:space="0" w:color="auto"/>
        <w:left w:val="none" w:sz="0" w:space="0" w:color="auto"/>
        <w:bottom w:val="none" w:sz="0" w:space="0" w:color="auto"/>
        <w:right w:val="none" w:sz="0" w:space="0" w:color="auto"/>
      </w:divBdr>
    </w:div>
    <w:div w:id="439497722">
      <w:bodyDiv w:val="1"/>
      <w:marLeft w:val="0"/>
      <w:marRight w:val="0"/>
      <w:marTop w:val="0"/>
      <w:marBottom w:val="0"/>
      <w:divBdr>
        <w:top w:val="none" w:sz="0" w:space="0" w:color="auto"/>
        <w:left w:val="none" w:sz="0" w:space="0" w:color="auto"/>
        <w:bottom w:val="none" w:sz="0" w:space="0" w:color="auto"/>
        <w:right w:val="none" w:sz="0" w:space="0" w:color="auto"/>
      </w:divBdr>
    </w:div>
    <w:div w:id="439569304">
      <w:bodyDiv w:val="1"/>
      <w:marLeft w:val="0"/>
      <w:marRight w:val="0"/>
      <w:marTop w:val="0"/>
      <w:marBottom w:val="0"/>
      <w:divBdr>
        <w:top w:val="none" w:sz="0" w:space="0" w:color="auto"/>
        <w:left w:val="none" w:sz="0" w:space="0" w:color="auto"/>
        <w:bottom w:val="none" w:sz="0" w:space="0" w:color="auto"/>
        <w:right w:val="none" w:sz="0" w:space="0" w:color="auto"/>
      </w:divBdr>
    </w:div>
    <w:div w:id="440759354">
      <w:bodyDiv w:val="1"/>
      <w:marLeft w:val="0"/>
      <w:marRight w:val="0"/>
      <w:marTop w:val="0"/>
      <w:marBottom w:val="0"/>
      <w:divBdr>
        <w:top w:val="none" w:sz="0" w:space="0" w:color="auto"/>
        <w:left w:val="none" w:sz="0" w:space="0" w:color="auto"/>
        <w:bottom w:val="none" w:sz="0" w:space="0" w:color="auto"/>
        <w:right w:val="none" w:sz="0" w:space="0" w:color="auto"/>
      </w:divBdr>
    </w:div>
    <w:div w:id="441456029">
      <w:bodyDiv w:val="1"/>
      <w:marLeft w:val="0"/>
      <w:marRight w:val="0"/>
      <w:marTop w:val="0"/>
      <w:marBottom w:val="0"/>
      <w:divBdr>
        <w:top w:val="none" w:sz="0" w:space="0" w:color="auto"/>
        <w:left w:val="none" w:sz="0" w:space="0" w:color="auto"/>
        <w:bottom w:val="none" w:sz="0" w:space="0" w:color="auto"/>
        <w:right w:val="none" w:sz="0" w:space="0" w:color="auto"/>
      </w:divBdr>
    </w:div>
    <w:div w:id="441657227">
      <w:bodyDiv w:val="1"/>
      <w:marLeft w:val="0"/>
      <w:marRight w:val="0"/>
      <w:marTop w:val="0"/>
      <w:marBottom w:val="0"/>
      <w:divBdr>
        <w:top w:val="none" w:sz="0" w:space="0" w:color="auto"/>
        <w:left w:val="none" w:sz="0" w:space="0" w:color="auto"/>
        <w:bottom w:val="none" w:sz="0" w:space="0" w:color="auto"/>
        <w:right w:val="none" w:sz="0" w:space="0" w:color="auto"/>
      </w:divBdr>
    </w:div>
    <w:div w:id="441808653">
      <w:bodyDiv w:val="1"/>
      <w:marLeft w:val="0"/>
      <w:marRight w:val="0"/>
      <w:marTop w:val="0"/>
      <w:marBottom w:val="0"/>
      <w:divBdr>
        <w:top w:val="none" w:sz="0" w:space="0" w:color="auto"/>
        <w:left w:val="none" w:sz="0" w:space="0" w:color="auto"/>
        <w:bottom w:val="none" w:sz="0" w:space="0" w:color="auto"/>
        <w:right w:val="none" w:sz="0" w:space="0" w:color="auto"/>
      </w:divBdr>
    </w:div>
    <w:div w:id="444467699">
      <w:bodyDiv w:val="1"/>
      <w:marLeft w:val="0"/>
      <w:marRight w:val="0"/>
      <w:marTop w:val="0"/>
      <w:marBottom w:val="0"/>
      <w:divBdr>
        <w:top w:val="none" w:sz="0" w:space="0" w:color="auto"/>
        <w:left w:val="none" w:sz="0" w:space="0" w:color="auto"/>
        <w:bottom w:val="none" w:sz="0" w:space="0" w:color="auto"/>
        <w:right w:val="none" w:sz="0" w:space="0" w:color="auto"/>
      </w:divBdr>
    </w:div>
    <w:div w:id="444891109">
      <w:bodyDiv w:val="1"/>
      <w:marLeft w:val="0"/>
      <w:marRight w:val="0"/>
      <w:marTop w:val="0"/>
      <w:marBottom w:val="0"/>
      <w:divBdr>
        <w:top w:val="none" w:sz="0" w:space="0" w:color="auto"/>
        <w:left w:val="none" w:sz="0" w:space="0" w:color="auto"/>
        <w:bottom w:val="none" w:sz="0" w:space="0" w:color="auto"/>
        <w:right w:val="none" w:sz="0" w:space="0" w:color="auto"/>
      </w:divBdr>
    </w:div>
    <w:div w:id="445390704">
      <w:bodyDiv w:val="1"/>
      <w:marLeft w:val="0"/>
      <w:marRight w:val="0"/>
      <w:marTop w:val="0"/>
      <w:marBottom w:val="0"/>
      <w:divBdr>
        <w:top w:val="none" w:sz="0" w:space="0" w:color="auto"/>
        <w:left w:val="none" w:sz="0" w:space="0" w:color="auto"/>
        <w:bottom w:val="none" w:sz="0" w:space="0" w:color="auto"/>
        <w:right w:val="none" w:sz="0" w:space="0" w:color="auto"/>
      </w:divBdr>
    </w:div>
    <w:div w:id="446047488">
      <w:bodyDiv w:val="1"/>
      <w:marLeft w:val="0"/>
      <w:marRight w:val="0"/>
      <w:marTop w:val="0"/>
      <w:marBottom w:val="0"/>
      <w:divBdr>
        <w:top w:val="none" w:sz="0" w:space="0" w:color="auto"/>
        <w:left w:val="none" w:sz="0" w:space="0" w:color="auto"/>
        <w:bottom w:val="none" w:sz="0" w:space="0" w:color="auto"/>
        <w:right w:val="none" w:sz="0" w:space="0" w:color="auto"/>
      </w:divBdr>
    </w:div>
    <w:div w:id="447042114">
      <w:bodyDiv w:val="1"/>
      <w:marLeft w:val="0"/>
      <w:marRight w:val="0"/>
      <w:marTop w:val="0"/>
      <w:marBottom w:val="0"/>
      <w:divBdr>
        <w:top w:val="none" w:sz="0" w:space="0" w:color="auto"/>
        <w:left w:val="none" w:sz="0" w:space="0" w:color="auto"/>
        <w:bottom w:val="none" w:sz="0" w:space="0" w:color="auto"/>
        <w:right w:val="none" w:sz="0" w:space="0" w:color="auto"/>
      </w:divBdr>
    </w:div>
    <w:div w:id="447118169">
      <w:bodyDiv w:val="1"/>
      <w:marLeft w:val="0"/>
      <w:marRight w:val="0"/>
      <w:marTop w:val="0"/>
      <w:marBottom w:val="0"/>
      <w:divBdr>
        <w:top w:val="none" w:sz="0" w:space="0" w:color="auto"/>
        <w:left w:val="none" w:sz="0" w:space="0" w:color="auto"/>
        <w:bottom w:val="none" w:sz="0" w:space="0" w:color="auto"/>
        <w:right w:val="none" w:sz="0" w:space="0" w:color="auto"/>
      </w:divBdr>
    </w:div>
    <w:div w:id="447357285">
      <w:bodyDiv w:val="1"/>
      <w:marLeft w:val="0"/>
      <w:marRight w:val="0"/>
      <w:marTop w:val="0"/>
      <w:marBottom w:val="0"/>
      <w:divBdr>
        <w:top w:val="none" w:sz="0" w:space="0" w:color="auto"/>
        <w:left w:val="none" w:sz="0" w:space="0" w:color="auto"/>
        <w:bottom w:val="none" w:sz="0" w:space="0" w:color="auto"/>
        <w:right w:val="none" w:sz="0" w:space="0" w:color="auto"/>
      </w:divBdr>
    </w:div>
    <w:div w:id="447503408">
      <w:bodyDiv w:val="1"/>
      <w:marLeft w:val="0"/>
      <w:marRight w:val="0"/>
      <w:marTop w:val="0"/>
      <w:marBottom w:val="0"/>
      <w:divBdr>
        <w:top w:val="none" w:sz="0" w:space="0" w:color="auto"/>
        <w:left w:val="none" w:sz="0" w:space="0" w:color="auto"/>
        <w:bottom w:val="none" w:sz="0" w:space="0" w:color="auto"/>
        <w:right w:val="none" w:sz="0" w:space="0" w:color="auto"/>
      </w:divBdr>
    </w:div>
    <w:div w:id="447699561">
      <w:bodyDiv w:val="1"/>
      <w:marLeft w:val="0"/>
      <w:marRight w:val="0"/>
      <w:marTop w:val="0"/>
      <w:marBottom w:val="0"/>
      <w:divBdr>
        <w:top w:val="none" w:sz="0" w:space="0" w:color="auto"/>
        <w:left w:val="none" w:sz="0" w:space="0" w:color="auto"/>
        <w:bottom w:val="none" w:sz="0" w:space="0" w:color="auto"/>
        <w:right w:val="none" w:sz="0" w:space="0" w:color="auto"/>
      </w:divBdr>
      <w:divsChild>
        <w:div w:id="1303580560">
          <w:marLeft w:val="0"/>
          <w:marRight w:val="0"/>
          <w:marTop w:val="0"/>
          <w:marBottom w:val="0"/>
          <w:divBdr>
            <w:top w:val="none" w:sz="0" w:space="0" w:color="auto"/>
            <w:left w:val="none" w:sz="0" w:space="0" w:color="auto"/>
            <w:bottom w:val="none" w:sz="0" w:space="0" w:color="auto"/>
            <w:right w:val="none" w:sz="0" w:space="0" w:color="auto"/>
          </w:divBdr>
        </w:div>
        <w:div w:id="584725361">
          <w:marLeft w:val="0"/>
          <w:marRight w:val="0"/>
          <w:marTop w:val="0"/>
          <w:marBottom w:val="0"/>
          <w:divBdr>
            <w:top w:val="none" w:sz="0" w:space="0" w:color="auto"/>
            <w:left w:val="none" w:sz="0" w:space="0" w:color="auto"/>
            <w:bottom w:val="none" w:sz="0" w:space="0" w:color="auto"/>
            <w:right w:val="none" w:sz="0" w:space="0" w:color="auto"/>
          </w:divBdr>
        </w:div>
      </w:divsChild>
    </w:div>
    <w:div w:id="448164661">
      <w:bodyDiv w:val="1"/>
      <w:marLeft w:val="0"/>
      <w:marRight w:val="0"/>
      <w:marTop w:val="0"/>
      <w:marBottom w:val="0"/>
      <w:divBdr>
        <w:top w:val="none" w:sz="0" w:space="0" w:color="auto"/>
        <w:left w:val="none" w:sz="0" w:space="0" w:color="auto"/>
        <w:bottom w:val="none" w:sz="0" w:space="0" w:color="auto"/>
        <w:right w:val="none" w:sz="0" w:space="0" w:color="auto"/>
      </w:divBdr>
    </w:div>
    <w:div w:id="449977581">
      <w:bodyDiv w:val="1"/>
      <w:marLeft w:val="0"/>
      <w:marRight w:val="0"/>
      <w:marTop w:val="0"/>
      <w:marBottom w:val="0"/>
      <w:divBdr>
        <w:top w:val="none" w:sz="0" w:space="0" w:color="auto"/>
        <w:left w:val="none" w:sz="0" w:space="0" w:color="auto"/>
        <w:bottom w:val="none" w:sz="0" w:space="0" w:color="auto"/>
        <w:right w:val="none" w:sz="0" w:space="0" w:color="auto"/>
      </w:divBdr>
    </w:div>
    <w:div w:id="450246944">
      <w:bodyDiv w:val="1"/>
      <w:marLeft w:val="0"/>
      <w:marRight w:val="0"/>
      <w:marTop w:val="0"/>
      <w:marBottom w:val="0"/>
      <w:divBdr>
        <w:top w:val="none" w:sz="0" w:space="0" w:color="auto"/>
        <w:left w:val="none" w:sz="0" w:space="0" w:color="auto"/>
        <w:bottom w:val="none" w:sz="0" w:space="0" w:color="auto"/>
        <w:right w:val="none" w:sz="0" w:space="0" w:color="auto"/>
      </w:divBdr>
    </w:div>
    <w:div w:id="451675856">
      <w:bodyDiv w:val="1"/>
      <w:marLeft w:val="0"/>
      <w:marRight w:val="0"/>
      <w:marTop w:val="0"/>
      <w:marBottom w:val="0"/>
      <w:divBdr>
        <w:top w:val="none" w:sz="0" w:space="0" w:color="auto"/>
        <w:left w:val="none" w:sz="0" w:space="0" w:color="auto"/>
        <w:bottom w:val="none" w:sz="0" w:space="0" w:color="auto"/>
        <w:right w:val="none" w:sz="0" w:space="0" w:color="auto"/>
      </w:divBdr>
    </w:div>
    <w:div w:id="452016683">
      <w:bodyDiv w:val="1"/>
      <w:marLeft w:val="0"/>
      <w:marRight w:val="0"/>
      <w:marTop w:val="0"/>
      <w:marBottom w:val="0"/>
      <w:divBdr>
        <w:top w:val="none" w:sz="0" w:space="0" w:color="auto"/>
        <w:left w:val="none" w:sz="0" w:space="0" w:color="auto"/>
        <w:bottom w:val="none" w:sz="0" w:space="0" w:color="auto"/>
        <w:right w:val="none" w:sz="0" w:space="0" w:color="auto"/>
      </w:divBdr>
    </w:div>
    <w:div w:id="452135898">
      <w:bodyDiv w:val="1"/>
      <w:marLeft w:val="0"/>
      <w:marRight w:val="0"/>
      <w:marTop w:val="0"/>
      <w:marBottom w:val="0"/>
      <w:divBdr>
        <w:top w:val="none" w:sz="0" w:space="0" w:color="auto"/>
        <w:left w:val="none" w:sz="0" w:space="0" w:color="auto"/>
        <w:bottom w:val="none" w:sz="0" w:space="0" w:color="auto"/>
        <w:right w:val="none" w:sz="0" w:space="0" w:color="auto"/>
      </w:divBdr>
    </w:div>
    <w:div w:id="452868510">
      <w:bodyDiv w:val="1"/>
      <w:marLeft w:val="0"/>
      <w:marRight w:val="0"/>
      <w:marTop w:val="0"/>
      <w:marBottom w:val="0"/>
      <w:divBdr>
        <w:top w:val="none" w:sz="0" w:space="0" w:color="auto"/>
        <w:left w:val="none" w:sz="0" w:space="0" w:color="auto"/>
        <w:bottom w:val="none" w:sz="0" w:space="0" w:color="auto"/>
        <w:right w:val="none" w:sz="0" w:space="0" w:color="auto"/>
      </w:divBdr>
    </w:div>
    <w:div w:id="454838192">
      <w:bodyDiv w:val="1"/>
      <w:marLeft w:val="0"/>
      <w:marRight w:val="0"/>
      <w:marTop w:val="0"/>
      <w:marBottom w:val="0"/>
      <w:divBdr>
        <w:top w:val="none" w:sz="0" w:space="0" w:color="auto"/>
        <w:left w:val="none" w:sz="0" w:space="0" w:color="auto"/>
        <w:bottom w:val="none" w:sz="0" w:space="0" w:color="auto"/>
        <w:right w:val="none" w:sz="0" w:space="0" w:color="auto"/>
      </w:divBdr>
    </w:div>
    <w:div w:id="454911099">
      <w:bodyDiv w:val="1"/>
      <w:marLeft w:val="0"/>
      <w:marRight w:val="0"/>
      <w:marTop w:val="0"/>
      <w:marBottom w:val="0"/>
      <w:divBdr>
        <w:top w:val="none" w:sz="0" w:space="0" w:color="auto"/>
        <w:left w:val="none" w:sz="0" w:space="0" w:color="auto"/>
        <w:bottom w:val="none" w:sz="0" w:space="0" w:color="auto"/>
        <w:right w:val="none" w:sz="0" w:space="0" w:color="auto"/>
      </w:divBdr>
    </w:div>
    <w:div w:id="456028842">
      <w:bodyDiv w:val="1"/>
      <w:marLeft w:val="0"/>
      <w:marRight w:val="0"/>
      <w:marTop w:val="0"/>
      <w:marBottom w:val="0"/>
      <w:divBdr>
        <w:top w:val="none" w:sz="0" w:space="0" w:color="auto"/>
        <w:left w:val="none" w:sz="0" w:space="0" w:color="auto"/>
        <w:bottom w:val="none" w:sz="0" w:space="0" w:color="auto"/>
        <w:right w:val="none" w:sz="0" w:space="0" w:color="auto"/>
      </w:divBdr>
    </w:div>
    <w:div w:id="456140185">
      <w:bodyDiv w:val="1"/>
      <w:marLeft w:val="0"/>
      <w:marRight w:val="0"/>
      <w:marTop w:val="0"/>
      <w:marBottom w:val="0"/>
      <w:divBdr>
        <w:top w:val="none" w:sz="0" w:space="0" w:color="auto"/>
        <w:left w:val="none" w:sz="0" w:space="0" w:color="auto"/>
        <w:bottom w:val="none" w:sz="0" w:space="0" w:color="auto"/>
        <w:right w:val="none" w:sz="0" w:space="0" w:color="auto"/>
      </w:divBdr>
    </w:div>
    <w:div w:id="456677472">
      <w:bodyDiv w:val="1"/>
      <w:marLeft w:val="0"/>
      <w:marRight w:val="0"/>
      <w:marTop w:val="0"/>
      <w:marBottom w:val="0"/>
      <w:divBdr>
        <w:top w:val="none" w:sz="0" w:space="0" w:color="auto"/>
        <w:left w:val="none" w:sz="0" w:space="0" w:color="auto"/>
        <w:bottom w:val="none" w:sz="0" w:space="0" w:color="auto"/>
        <w:right w:val="none" w:sz="0" w:space="0" w:color="auto"/>
      </w:divBdr>
    </w:div>
    <w:div w:id="457070181">
      <w:bodyDiv w:val="1"/>
      <w:marLeft w:val="0"/>
      <w:marRight w:val="0"/>
      <w:marTop w:val="0"/>
      <w:marBottom w:val="0"/>
      <w:divBdr>
        <w:top w:val="none" w:sz="0" w:space="0" w:color="auto"/>
        <w:left w:val="none" w:sz="0" w:space="0" w:color="auto"/>
        <w:bottom w:val="none" w:sz="0" w:space="0" w:color="auto"/>
        <w:right w:val="none" w:sz="0" w:space="0" w:color="auto"/>
      </w:divBdr>
    </w:div>
    <w:div w:id="457182956">
      <w:bodyDiv w:val="1"/>
      <w:marLeft w:val="0"/>
      <w:marRight w:val="0"/>
      <w:marTop w:val="0"/>
      <w:marBottom w:val="0"/>
      <w:divBdr>
        <w:top w:val="none" w:sz="0" w:space="0" w:color="auto"/>
        <w:left w:val="none" w:sz="0" w:space="0" w:color="auto"/>
        <w:bottom w:val="none" w:sz="0" w:space="0" w:color="auto"/>
        <w:right w:val="none" w:sz="0" w:space="0" w:color="auto"/>
      </w:divBdr>
    </w:div>
    <w:div w:id="458257880">
      <w:bodyDiv w:val="1"/>
      <w:marLeft w:val="0"/>
      <w:marRight w:val="0"/>
      <w:marTop w:val="0"/>
      <w:marBottom w:val="0"/>
      <w:divBdr>
        <w:top w:val="none" w:sz="0" w:space="0" w:color="auto"/>
        <w:left w:val="none" w:sz="0" w:space="0" w:color="auto"/>
        <w:bottom w:val="none" w:sz="0" w:space="0" w:color="auto"/>
        <w:right w:val="none" w:sz="0" w:space="0" w:color="auto"/>
      </w:divBdr>
    </w:div>
    <w:div w:id="459348865">
      <w:bodyDiv w:val="1"/>
      <w:marLeft w:val="0"/>
      <w:marRight w:val="0"/>
      <w:marTop w:val="0"/>
      <w:marBottom w:val="0"/>
      <w:divBdr>
        <w:top w:val="none" w:sz="0" w:space="0" w:color="auto"/>
        <w:left w:val="none" w:sz="0" w:space="0" w:color="auto"/>
        <w:bottom w:val="none" w:sz="0" w:space="0" w:color="auto"/>
        <w:right w:val="none" w:sz="0" w:space="0" w:color="auto"/>
      </w:divBdr>
    </w:div>
    <w:div w:id="459418828">
      <w:bodyDiv w:val="1"/>
      <w:marLeft w:val="0"/>
      <w:marRight w:val="0"/>
      <w:marTop w:val="0"/>
      <w:marBottom w:val="0"/>
      <w:divBdr>
        <w:top w:val="none" w:sz="0" w:space="0" w:color="auto"/>
        <w:left w:val="none" w:sz="0" w:space="0" w:color="auto"/>
        <w:bottom w:val="none" w:sz="0" w:space="0" w:color="auto"/>
        <w:right w:val="none" w:sz="0" w:space="0" w:color="auto"/>
      </w:divBdr>
    </w:div>
    <w:div w:id="459425443">
      <w:bodyDiv w:val="1"/>
      <w:marLeft w:val="0"/>
      <w:marRight w:val="0"/>
      <w:marTop w:val="0"/>
      <w:marBottom w:val="0"/>
      <w:divBdr>
        <w:top w:val="none" w:sz="0" w:space="0" w:color="auto"/>
        <w:left w:val="none" w:sz="0" w:space="0" w:color="auto"/>
        <w:bottom w:val="none" w:sz="0" w:space="0" w:color="auto"/>
        <w:right w:val="none" w:sz="0" w:space="0" w:color="auto"/>
      </w:divBdr>
    </w:div>
    <w:div w:id="460850464">
      <w:bodyDiv w:val="1"/>
      <w:marLeft w:val="0"/>
      <w:marRight w:val="0"/>
      <w:marTop w:val="0"/>
      <w:marBottom w:val="0"/>
      <w:divBdr>
        <w:top w:val="none" w:sz="0" w:space="0" w:color="auto"/>
        <w:left w:val="none" w:sz="0" w:space="0" w:color="auto"/>
        <w:bottom w:val="none" w:sz="0" w:space="0" w:color="auto"/>
        <w:right w:val="none" w:sz="0" w:space="0" w:color="auto"/>
      </w:divBdr>
    </w:div>
    <w:div w:id="461386550">
      <w:bodyDiv w:val="1"/>
      <w:marLeft w:val="0"/>
      <w:marRight w:val="0"/>
      <w:marTop w:val="0"/>
      <w:marBottom w:val="0"/>
      <w:divBdr>
        <w:top w:val="none" w:sz="0" w:space="0" w:color="auto"/>
        <w:left w:val="none" w:sz="0" w:space="0" w:color="auto"/>
        <w:bottom w:val="none" w:sz="0" w:space="0" w:color="auto"/>
        <w:right w:val="none" w:sz="0" w:space="0" w:color="auto"/>
      </w:divBdr>
    </w:div>
    <w:div w:id="461464809">
      <w:bodyDiv w:val="1"/>
      <w:marLeft w:val="0"/>
      <w:marRight w:val="0"/>
      <w:marTop w:val="0"/>
      <w:marBottom w:val="0"/>
      <w:divBdr>
        <w:top w:val="none" w:sz="0" w:space="0" w:color="auto"/>
        <w:left w:val="none" w:sz="0" w:space="0" w:color="auto"/>
        <w:bottom w:val="none" w:sz="0" w:space="0" w:color="auto"/>
        <w:right w:val="none" w:sz="0" w:space="0" w:color="auto"/>
      </w:divBdr>
    </w:div>
    <w:div w:id="461968186">
      <w:bodyDiv w:val="1"/>
      <w:marLeft w:val="0"/>
      <w:marRight w:val="0"/>
      <w:marTop w:val="0"/>
      <w:marBottom w:val="0"/>
      <w:divBdr>
        <w:top w:val="none" w:sz="0" w:space="0" w:color="auto"/>
        <w:left w:val="none" w:sz="0" w:space="0" w:color="auto"/>
        <w:bottom w:val="none" w:sz="0" w:space="0" w:color="auto"/>
        <w:right w:val="none" w:sz="0" w:space="0" w:color="auto"/>
      </w:divBdr>
    </w:div>
    <w:div w:id="463692701">
      <w:bodyDiv w:val="1"/>
      <w:marLeft w:val="0"/>
      <w:marRight w:val="0"/>
      <w:marTop w:val="0"/>
      <w:marBottom w:val="0"/>
      <w:divBdr>
        <w:top w:val="none" w:sz="0" w:space="0" w:color="auto"/>
        <w:left w:val="none" w:sz="0" w:space="0" w:color="auto"/>
        <w:bottom w:val="none" w:sz="0" w:space="0" w:color="auto"/>
        <w:right w:val="none" w:sz="0" w:space="0" w:color="auto"/>
      </w:divBdr>
    </w:div>
    <w:div w:id="464275930">
      <w:bodyDiv w:val="1"/>
      <w:marLeft w:val="0"/>
      <w:marRight w:val="0"/>
      <w:marTop w:val="0"/>
      <w:marBottom w:val="0"/>
      <w:divBdr>
        <w:top w:val="none" w:sz="0" w:space="0" w:color="auto"/>
        <w:left w:val="none" w:sz="0" w:space="0" w:color="auto"/>
        <w:bottom w:val="none" w:sz="0" w:space="0" w:color="auto"/>
        <w:right w:val="none" w:sz="0" w:space="0" w:color="auto"/>
      </w:divBdr>
    </w:div>
    <w:div w:id="464589460">
      <w:bodyDiv w:val="1"/>
      <w:marLeft w:val="0"/>
      <w:marRight w:val="0"/>
      <w:marTop w:val="0"/>
      <w:marBottom w:val="0"/>
      <w:divBdr>
        <w:top w:val="none" w:sz="0" w:space="0" w:color="auto"/>
        <w:left w:val="none" w:sz="0" w:space="0" w:color="auto"/>
        <w:bottom w:val="none" w:sz="0" w:space="0" w:color="auto"/>
        <w:right w:val="none" w:sz="0" w:space="0" w:color="auto"/>
      </w:divBdr>
    </w:div>
    <w:div w:id="464784879">
      <w:bodyDiv w:val="1"/>
      <w:marLeft w:val="0"/>
      <w:marRight w:val="0"/>
      <w:marTop w:val="0"/>
      <w:marBottom w:val="0"/>
      <w:divBdr>
        <w:top w:val="none" w:sz="0" w:space="0" w:color="auto"/>
        <w:left w:val="none" w:sz="0" w:space="0" w:color="auto"/>
        <w:bottom w:val="none" w:sz="0" w:space="0" w:color="auto"/>
        <w:right w:val="none" w:sz="0" w:space="0" w:color="auto"/>
      </w:divBdr>
    </w:div>
    <w:div w:id="465508740">
      <w:bodyDiv w:val="1"/>
      <w:marLeft w:val="0"/>
      <w:marRight w:val="0"/>
      <w:marTop w:val="0"/>
      <w:marBottom w:val="0"/>
      <w:divBdr>
        <w:top w:val="none" w:sz="0" w:space="0" w:color="auto"/>
        <w:left w:val="none" w:sz="0" w:space="0" w:color="auto"/>
        <w:bottom w:val="none" w:sz="0" w:space="0" w:color="auto"/>
        <w:right w:val="none" w:sz="0" w:space="0" w:color="auto"/>
      </w:divBdr>
    </w:div>
    <w:div w:id="465587300">
      <w:bodyDiv w:val="1"/>
      <w:marLeft w:val="0"/>
      <w:marRight w:val="0"/>
      <w:marTop w:val="0"/>
      <w:marBottom w:val="0"/>
      <w:divBdr>
        <w:top w:val="none" w:sz="0" w:space="0" w:color="auto"/>
        <w:left w:val="none" w:sz="0" w:space="0" w:color="auto"/>
        <w:bottom w:val="none" w:sz="0" w:space="0" w:color="auto"/>
        <w:right w:val="none" w:sz="0" w:space="0" w:color="auto"/>
      </w:divBdr>
    </w:div>
    <w:div w:id="466240739">
      <w:bodyDiv w:val="1"/>
      <w:marLeft w:val="0"/>
      <w:marRight w:val="0"/>
      <w:marTop w:val="0"/>
      <w:marBottom w:val="0"/>
      <w:divBdr>
        <w:top w:val="none" w:sz="0" w:space="0" w:color="auto"/>
        <w:left w:val="none" w:sz="0" w:space="0" w:color="auto"/>
        <w:bottom w:val="none" w:sz="0" w:space="0" w:color="auto"/>
        <w:right w:val="none" w:sz="0" w:space="0" w:color="auto"/>
      </w:divBdr>
    </w:div>
    <w:div w:id="466363012">
      <w:bodyDiv w:val="1"/>
      <w:marLeft w:val="0"/>
      <w:marRight w:val="0"/>
      <w:marTop w:val="0"/>
      <w:marBottom w:val="0"/>
      <w:divBdr>
        <w:top w:val="none" w:sz="0" w:space="0" w:color="auto"/>
        <w:left w:val="none" w:sz="0" w:space="0" w:color="auto"/>
        <w:bottom w:val="none" w:sz="0" w:space="0" w:color="auto"/>
        <w:right w:val="none" w:sz="0" w:space="0" w:color="auto"/>
      </w:divBdr>
    </w:div>
    <w:div w:id="466511034">
      <w:bodyDiv w:val="1"/>
      <w:marLeft w:val="0"/>
      <w:marRight w:val="0"/>
      <w:marTop w:val="0"/>
      <w:marBottom w:val="0"/>
      <w:divBdr>
        <w:top w:val="none" w:sz="0" w:space="0" w:color="auto"/>
        <w:left w:val="none" w:sz="0" w:space="0" w:color="auto"/>
        <w:bottom w:val="none" w:sz="0" w:space="0" w:color="auto"/>
        <w:right w:val="none" w:sz="0" w:space="0" w:color="auto"/>
      </w:divBdr>
    </w:div>
    <w:div w:id="466557389">
      <w:bodyDiv w:val="1"/>
      <w:marLeft w:val="0"/>
      <w:marRight w:val="0"/>
      <w:marTop w:val="0"/>
      <w:marBottom w:val="0"/>
      <w:divBdr>
        <w:top w:val="none" w:sz="0" w:space="0" w:color="auto"/>
        <w:left w:val="none" w:sz="0" w:space="0" w:color="auto"/>
        <w:bottom w:val="none" w:sz="0" w:space="0" w:color="auto"/>
        <w:right w:val="none" w:sz="0" w:space="0" w:color="auto"/>
      </w:divBdr>
    </w:div>
    <w:div w:id="466633328">
      <w:bodyDiv w:val="1"/>
      <w:marLeft w:val="0"/>
      <w:marRight w:val="0"/>
      <w:marTop w:val="0"/>
      <w:marBottom w:val="0"/>
      <w:divBdr>
        <w:top w:val="none" w:sz="0" w:space="0" w:color="auto"/>
        <w:left w:val="none" w:sz="0" w:space="0" w:color="auto"/>
        <w:bottom w:val="none" w:sz="0" w:space="0" w:color="auto"/>
        <w:right w:val="none" w:sz="0" w:space="0" w:color="auto"/>
      </w:divBdr>
    </w:div>
    <w:div w:id="467166966">
      <w:bodyDiv w:val="1"/>
      <w:marLeft w:val="0"/>
      <w:marRight w:val="0"/>
      <w:marTop w:val="0"/>
      <w:marBottom w:val="0"/>
      <w:divBdr>
        <w:top w:val="none" w:sz="0" w:space="0" w:color="auto"/>
        <w:left w:val="none" w:sz="0" w:space="0" w:color="auto"/>
        <w:bottom w:val="none" w:sz="0" w:space="0" w:color="auto"/>
        <w:right w:val="none" w:sz="0" w:space="0" w:color="auto"/>
      </w:divBdr>
    </w:div>
    <w:div w:id="467210774">
      <w:bodyDiv w:val="1"/>
      <w:marLeft w:val="0"/>
      <w:marRight w:val="0"/>
      <w:marTop w:val="0"/>
      <w:marBottom w:val="0"/>
      <w:divBdr>
        <w:top w:val="none" w:sz="0" w:space="0" w:color="auto"/>
        <w:left w:val="none" w:sz="0" w:space="0" w:color="auto"/>
        <w:bottom w:val="none" w:sz="0" w:space="0" w:color="auto"/>
        <w:right w:val="none" w:sz="0" w:space="0" w:color="auto"/>
      </w:divBdr>
    </w:div>
    <w:div w:id="467548888">
      <w:bodyDiv w:val="1"/>
      <w:marLeft w:val="0"/>
      <w:marRight w:val="0"/>
      <w:marTop w:val="0"/>
      <w:marBottom w:val="0"/>
      <w:divBdr>
        <w:top w:val="none" w:sz="0" w:space="0" w:color="auto"/>
        <w:left w:val="none" w:sz="0" w:space="0" w:color="auto"/>
        <w:bottom w:val="none" w:sz="0" w:space="0" w:color="auto"/>
        <w:right w:val="none" w:sz="0" w:space="0" w:color="auto"/>
      </w:divBdr>
    </w:div>
    <w:div w:id="470439589">
      <w:bodyDiv w:val="1"/>
      <w:marLeft w:val="0"/>
      <w:marRight w:val="0"/>
      <w:marTop w:val="0"/>
      <w:marBottom w:val="0"/>
      <w:divBdr>
        <w:top w:val="none" w:sz="0" w:space="0" w:color="auto"/>
        <w:left w:val="none" w:sz="0" w:space="0" w:color="auto"/>
        <w:bottom w:val="none" w:sz="0" w:space="0" w:color="auto"/>
        <w:right w:val="none" w:sz="0" w:space="0" w:color="auto"/>
      </w:divBdr>
    </w:div>
    <w:div w:id="471019797">
      <w:bodyDiv w:val="1"/>
      <w:marLeft w:val="0"/>
      <w:marRight w:val="0"/>
      <w:marTop w:val="0"/>
      <w:marBottom w:val="0"/>
      <w:divBdr>
        <w:top w:val="none" w:sz="0" w:space="0" w:color="auto"/>
        <w:left w:val="none" w:sz="0" w:space="0" w:color="auto"/>
        <w:bottom w:val="none" w:sz="0" w:space="0" w:color="auto"/>
        <w:right w:val="none" w:sz="0" w:space="0" w:color="auto"/>
      </w:divBdr>
    </w:div>
    <w:div w:id="471563340">
      <w:bodyDiv w:val="1"/>
      <w:marLeft w:val="0"/>
      <w:marRight w:val="0"/>
      <w:marTop w:val="0"/>
      <w:marBottom w:val="0"/>
      <w:divBdr>
        <w:top w:val="none" w:sz="0" w:space="0" w:color="auto"/>
        <w:left w:val="none" w:sz="0" w:space="0" w:color="auto"/>
        <w:bottom w:val="none" w:sz="0" w:space="0" w:color="auto"/>
        <w:right w:val="none" w:sz="0" w:space="0" w:color="auto"/>
      </w:divBdr>
    </w:div>
    <w:div w:id="471602709">
      <w:bodyDiv w:val="1"/>
      <w:marLeft w:val="0"/>
      <w:marRight w:val="0"/>
      <w:marTop w:val="0"/>
      <w:marBottom w:val="0"/>
      <w:divBdr>
        <w:top w:val="none" w:sz="0" w:space="0" w:color="auto"/>
        <w:left w:val="none" w:sz="0" w:space="0" w:color="auto"/>
        <w:bottom w:val="none" w:sz="0" w:space="0" w:color="auto"/>
        <w:right w:val="none" w:sz="0" w:space="0" w:color="auto"/>
      </w:divBdr>
    </w:div>
    <w:div w:id="471950831">
      <w:bodyDiv w:val="1"/>
      <w:marLeft w:val="0"/>
      <w:marRight w:val="0"/>
      <w:marTop w:val="0"/>
      <w:marBottom w:val="0"/>
      <w:divBdr>
        <w:top w:val="none" w:sz="0" w:space="0" w:color="auto"/>
        <w:left w:val="none" w:sz="0" w:space="0" w:color="auto"/>
        <w:bottom w:val="none" w:sz="0" w:space="0" w:color="auto"/>
        <w:right w:val="none" w:sz="0" w:space="0" w:color="auto"/>
      </w:divBdr>
    </w:div>
    <w:div w:id="474228216">
      <w:bodyDiv w:val="1"/>
      <w:marLeft w:val="0"/>
      <w:marRight w:val="0"/>
      <w:marTop w:val="0"/>
      <w:marBottom w:val="0"/>
      <w:divBdr>
        <w:top w:val="none" w:sz="0" w:space="0" w:color="auto"/>
        <w:left w:val="none" w:sz="0" w:space="0" w:color="auto"/>
        <w:bottom w:val="none" w:sz="0" w:space="0" w:color="auto"/>
        <w:right w:val="none" w:sz="0" w:space="0" w:color="auto"/>
      </w:divBdr>
    </w:div>
    <w:div w:id="474492544">
      <w:bodyDiv w:val="1"/>
      <w:marLeft w:val="0"/>
      <w:marRight w:val="0"/>
      <w:marTop w:val="0"/>
      <w:marBottom w:val="0"/>
      <w:divBdr>
        <w:top w:val="none" w:sz="0" w:space="0" w:color="auto"/>
        <w:left w:val="none" w:sz="0" w:space="0" w:color="auto"/>
        <w:bottom w:val="none" w:sz="0" w:space="0" w:color="auto"/>
        <w:right w:val="none" w:sz="0" w:space="0" w:color="auto"/>
      </w:divBdr>
    </w:div>
    <w:div w:id="474614050">
      <w:bodyDiv w:val="1"/>
      <w:marLeft w:val="0"/>
      <w:marRight w:val="0"/>
      <w:marTop w:val="0"/>
      <w:marBottom w:val="0"/>
      <w:divBdr>
        <w:top w:val="none" w:sz="0" w:space="0" w:color="auto"/>
        <w:left w:val="none" w:sz="0" w:space="0" w:color="auto"/>
        <w:bottom w:val="none" w:sz="0" w:space="0" w:color="auto"/>
        <w:right w:val="none" w:sz="0" w:space="0" w:color="auto"/>
      </w:divBdr>
    </w:div>
    <w:div w:id="474764226">
      <w:bodyDiv w:val="1"/>
      <w:marLeft w:val="0"/>
      <w:marRight w:val="0"/>
      <w:marTop w:val="0"/>
      <w:marBottom w:val="0"/>
      <w:divBdr>
        <w:top w:val="none" w:sz="0" w:space="0" w:color="auto"/>
        <w:left w:val="none" w:sz="0" w:space="0" w:color="auto"/>
        <w:bottom w:val="none" w:sz="0" w:space="0" w:color="auto"/>
        <w:right w:val="none" w:sz="0" w:space="0" w:color="auto"/>
      </w:divBdr>
    </w:div>
    <w:div w:id="475341140">
      <w:bodyDiv w:val="1"/>
      <w:marLeft w:val="0"/>
      <w:marRight w:val="0"/>
      <w:marTop w:val="0"/>
      <w:marBottom w:val="0"/>
      <w:divBdr>
        <w:top w:val="none" w:sz="0" w:space="0" w:color="auto"/>
        <w:left w:val="none" w:sz="0" w:space="0" w:color="auto"/>
        <w:bottom w:val="none" w:sz="0" w:space="0" w:color="auto"/>
        <w:right w:val="none" w:sz="0" w:space="0" w:color="auto"/>
      </w:divBdr>
    </w:div>
    <w:div w:id="475537649">
      <w:bodyDiv w:val="1"/>
      <w:marLeft w:val="0"/>
      <w:marRight w:val="0"/>
      <w:marTop w:val="0"/>
      <w:marBottom w:val="0"/>
      <w:divBdr>
        <w:top w:val="none" w:sz="0" w:space="0" w:color="auto"/>
        <w:left w:val="none" w:sz="0" w:space="0" w:color="auto"/>
        <w:bottom w:val="none" w:sz="0" w:space="0" w:color="auto"/>
        <w:right w:val="none" w:sz="0" w:space="0" w:color="auto"/>
      </w:divBdr>
    </w:div>
    <w:div w:id="476649614">
      <w:bodyDiv w:val="1"/>
      <w:marLeft w:val="0"/>
      <w:marRight w:val="0"/>
      <w:marTop w:val="0"/>
      <w:marBottom w:val="0"/>
      <w:divBdr>
        <w:top w:val="none" w:sz="0" w:space="0" w:color="auto"/>
        <w:left w:val="none" w:sz="0" w:space="0" w:color="auto"/>
        <w:bottom w:val="none" w:sz="0" w:space="0" w:color="auto"/>
        <w:right w:val="none" w:sz="0" w:space="0" w:color="auto"/>
      </w:divBdr>
    </w:div>
    <w:div w:id="477265615">
      <w:bodyDiv w:val="1"/>
      <w:marLeft w:val="0"/>
      <w:marRight w:val="0"/>
      <w:marTop w:val="0"/>
      <w:marBottom w:val="0"/>
      <w:divBdr>
        <w:top w:val="none" w:sz="0" w:space="0" w:color="auto"/>
        <w:left w:val="none" w:sz="0" w:space="0" w:color="auto"/>
        <w:bottom w:val="none" w:sz="0" w:space="0" w:color="auto"/>
        <w:right w:val="none" w:sz="0" w:space="0" w:color="auto"/>
      </w:divBdr>
    </w:div>
    <w:div w:id="477462001">
      <w:bodyDiv w:val="1"/>
      <w:marLeft w:val="0"/>
      <w:marRight w:val="0"/>
      <w:marTop w:val="0"/>
      <w:marBottom w:val="0"/>
      <w:divBdr>
        <w:top w:val="none" w:sz="0" w:space="0" w:color="auto"/>
        <w:left w:val="none" w:sz="0" w:space="0" w:color="auto"/>
        <w:bottom w:val="none" w:sz="0" w:space="0" w:color="auto"/>
        <w:right w:val="none" w:sz="0" w:space="0" w:color="auto"/>
      </w:divBdr>
    </w:div>
    <w:div w:id="478033365">
      <w:bodyDiv w:val="1"/>
      <w:marLeft w:val="0"/>
      <w:marRight w:val="0"/>
      <w:marTop w:val="0"/>
      <w:marBottom w:val="0"/>
      <w:divBdr>
        <w:top w:val="none" w:sz="0" w:space="0" w:color="auto"/>
        <w:left w:val="none" w:sz="0" w:space="0" w:color="auto"/>
        <w:bottom w:val="none" w:sz="0" w:space="0" w:color="auto"/>
        <w:right w:val="none" w:sz="0" w:space="0" w:color="auto"/>
      </w:divBdr>
    </w:div>
    <w:div w:id="478350344">
      <w:bodyDiv w:val="1"/>
      <w:marLeft w:val="0"/>
      <w:marRight w:val="0"/>
      <w:marTop w:val="0"/>
      <w:marBottom w:val="0"/>
      <w:divBdr>
        <w:top w:val="none" w:sz="0" w:space="0" w:color="auto"/>
        <w:left w:val="none" w:sz="0" w:space="0" w:color="auto"/>
        <w:bottom w:val="none" w:sz="0" w:space="0" w:color="auto"/>
        <w:right w:val="none" w:sz="0" w:space="0" w:color="auto"/>
      </w:divBdr>
    </w:div>
    <w:div w:id="478613350">
      <w:bodyDiv w:val="1"/>
      <w:marLeft w:val="0"/>
      <w:marRight w:val="0"/>
      <w:marTop w:val="0"/>
      <w:marBottom w:val="0"/>
      <w:divBdr>
        <w:top w:val="none" w:sz="0" w:space="0" w:color="auto"/>
        <w:left w:val="none" w:sz="0" w:space="0" w:color="auto"/>
        <w:bottom w:val="none" w:sz="0" w:space="0" w:color="auto"/>
        <w:right w:val="none" w:sz="0" w:space="0" w:color="auto"/>
      </w:divBdr>
    </w:div>
    <w:div w:id="480193271">
      <w:bodyDiv w:val="1"/>
      <w:marLeft w:val="0"/>
      <w:marRight w:val="0"/>
      <w:marTop w:val="0"/>
      <w:marBottom w:val="0"/>
      <w:divBdr>
        <w:top w:val="none" w:sz="0" w:space="0" w:color="auto"/>
        <w:left w:val="none" w:sz="0" w:space="0" w:color="auto"/>
        <w:bottom w:val="none" w:sz="0" w:space="0" w:color="auto"/>
        <w:right w:val="none" w:sz="0" w:space="0" w:color="auto"/>
      </w:divBdr>
    </w:div>
    <w:div w:id="480392748">
      <w:bodyDiv w:val="1"/>
      <w:marLeft w:val="0"/>
      <w:marRight w:val="0"/>
      <w:marTop w:val="0"/>
      <w:marBottom w:val="0"/>
      <w:divBdr>
        <w:top w:val="none" w:sz="0" w:space="0" w:color="auto"/>
        <w:left w:val="none" w:sz="0" w:space="0" w:color="auto"/>
        <w:bottom w:val="none" w:sz="0" w:space="0" w:color="auto"/>
        <w:right w:val="none" w:sz="0" w:space="0" w:color="auto"/>
      </w:divBdr>
    </w:div>
    <w:div w:id="480850569">
      <w:bodyDiv w:val="1"/>
      <w:marLeft w:val="0"/>
      <w:marRight w:val="0"/>
      <w:marTop w:val="0"/>
      <w:marBottom w:val="0"/>
      <w:divBdr>
        <w:top w:val="none" w:sz="0" w:space="0" w:color="auto"/>
        <w:left w:val="none" w:sz="0" w:space="0" w:color="auto"/>
        <w:bottom w:val="none" w:sz="0" w:space="0" w:color="auto"/>
        <w:right w:val="none" w:sz="0" w:space="0" w:color="auto"/>
      </w:divBdr>
    </w:div>
    <w:div w:id="481116898">
      <w:bodyDiv w:val="1"/>
      <w:marLeft w:val="0"/>
      <w:marRight w:val="0"/>
      <w:marTop w:val="0"/>
      <w:marBottom w:val="0"/>
      <w:divBdr>
        <w:top w:val="none" w:sz="0" w:space="0" w:color="auto"/>
        <w:left w:val="none" w:sz="0" w:space="0" w:color="auto"/>
        <w:bottom w:val="none" w:sz="0" w:space="0" w:color="auto"/>
        <w:right w:val="none" w:sz="0" w:space="0" w:color="auto"/>
      </w:divBdr>
    </w:div>
    <w:div w:id="481238418">
      <w:bodyDiv w:val="1"/>
      <w:marLeft w:val="0"/>
      <w:marRight w:val="0"/>
      <w:marTop w:val="0"/>
      <w:marBottom w:val="0"/>
      <w:divBdr>
        <w:top w:val="none" w:sz="0" w:space="0" w:color="auto"/>
        <w:left w:val="none" w:sz="0" w:space="0" w:color="auto"/>
        <w:bottom w:val="none" w:sz="0" w:space="0" w:color="auto"/>
        <w:right w:val="none" w:sz="0" w:space="0" w:color="auto"/>
      </w:divBdr>
    </w:div>
    <w:div w:id="481460172">
      <w:bodyDiv w:val="1"/>
      <w:marLeft w:val="0"/>
      <w:marRight w:val="0"/>
      <w:marTop w:val="0"/>
      <w:marBottom w:val="0"/>
      <w:divBdr>
        <w:top w:val="none" w:sz="0" w:space="0" w:color="auto"/>
        <w:left w:val="none" w:sz="0" w:space="0" w:color="auto"/>
        <w:bottom w:val="none" w:sz="0" w:space="0" w:color="auto"/>
        <w:right w:val="none" w:sz="0" w:space="0" w:color="auto"/>
      </w:divBdr>
    </w:div>
    <w:div w:id="481502431">
      <w:bodyDiv w:val="1"/>
      <w:marLeft w:val="0"/>
      <w:marRight w:val="0"/>
      <w:marTop w:val="0"/>
      <w:marBottom w:val="0"/>
      <w:divBdr>
        <w:top w:val="none" w:sz="0" w:space="0" w:color="auto"/>
        <w:left w:val="none" w:sz="0" w:space="0" w:color="auto"/>
        <w:bottom w:val="none" w:sz="0" w:space="0" w:color="auto"/>
        <w:right w:val="none" w:sz="0" w:space="0" w:color="auto"/>
      </w:divBdr>
    </w:div>
    <w:div w:id="482241105">
      <w:bodyDiv w:val="1"/>
      <w:marLeft w:val="0"/>
      <w:marRight w:val="0"/>
      <w:marTop w:val="0"/>
      <w:marBottom w:val="0"/>
      <w:divBdr>
        <w:top w:val="none" w:sz="0" w:space="0" w:color="auto"/>
        <w:left w:val="none" w:sz="0" w:space="0" w:color="auto"/>
        <w:bottom w:val="none" w:sz="0" w:space="0" w:color="auto"/>
        <w:right w:val="none" w:sz="0" w:space="0" w:color="auto"/>
      </w:divBdr>
    </w:div>
    <w:div w:id="482242315">
      <w:bodyDiv w:val="1"/>
      <w:marLeft w:val="0"/>
      <w:marRight w:val="0"/>
      <w:marTop w:val="0"/>
      <w:marBottom w:val="0"/>
      <w:divBdr>
        <w:top w:val="none" w:sz="0" w:space="0" w:color="auto"/>
        <w:left w:val="none" w:sz="0" w:space="0" w:color="auto"/>
        <w:bottom w:val="none" w:sz="0" w:space="0" w:color="auto"/>
        <w:right w:val="none" w:sz="0" w:space="0" w:color="auto"/>
      </w:divBdr>
    </w:div>
    <w:div w:id="483396223">
      <w:bodyDiv w:val="1"/>
      <w:marLeft w:val="0"/>
      <w:marRight w:val="0"/>
      <w:marTop w:val="0"/>
      <w:marBottom w:val="0"/>
      <w:divBdr>
        <w:top w:val="none" w:sz="0" w:space="0" w:color="auto"/>
        <w:left w:val="none" w:sz="0" w:space="0" w:color="auto"/>
        <w:bottom w:val="none" w:sz="0" w:space="0" w:color="auto"/>
        <w:right w:val="none" w:sz="0" w:space="0" w:color="auto"/>
      </w:divBdr>
    </w:div>
    <w:div w:id="483550187">
      <w:bodyDiv w:val="1"/>
      <w:marLeft w:val="0"/>
      <w:marRight w:val="0"/>
      <w:marTop w:val="0"/>
      <w:marBottom w:val="0"/>
      <w:divBdr>
        <w:top w:val="none" w:sz="0" w:space="0" w:color="auto"/>
        <w:left w:val="none" w:sz="0" w:space="0" w:color="auto"/>
        <w:bottom w:val="none" w:sz="0" w:space="0" w:color="auto"/>
        <w:right w:val="none" w:sz="0" w:space="0" w:color="auto"/>
      </w:divBdr>
    </w:div>
    <w:div w:id="483592140">
      <w:bodyDiv w:val="1"/>
      <w:marLeft w:val="0"/>
      <w:marRight w:val="0"/>
      <w:marTop w:val="0"/>
      <w:marBottom w:val="0"/>
      <w:divBdr>
        <w:top w:val="none" w:sz="0" w:space="0" w:color="auto"/>
        <w:left w:val="none" w:sz="0" w:space="0" w:color="auto"/>
        <w:bottom w:val="none" w:sz="0" w:space="0" w:color="auto"/>
        <w:right w:val="none" w:sz="0" w:space="0" w:color="auto"/>
      </w:divBdr>
    </w:div>
    <w:div w:id="483592521">
      <w:bodyDiv w:val="1"/>
      <w:marLeft w:val="0"/>
      <w:marRight w:val="0"/>
      <w:marTop w:val="0"/>
      <w:marBottom w:val="0"/>
      <w:divBdr>
        <w:top w:val="none" w:sz="0" w:space="0" w:color="auto"/>
        <w:left w:val="none" w:sz="0" w:space="0" w:color="auto"/>
        <w:bottom w:val="none" w:sz="0" w:space="0" w:color="auto"/>
        <w:right w:val="none" w:sz="0" w:space="0" w:color="auto"/>
      </w:divBdr>
    </w:div>
    <w:div w:id="483859249">
      <w:bodyDiv w:val="1"/>
      <w:marLeft w:val="0"/>
      <w:marRight w:val="0"/>
      <w:marTop w:val="0"/>
      <w:marBottom w:val="0"/>
      <w:divBdr>
        <w:top w:val="none" w:sz="0" w:space="0" w:color="auto"/>
        <w:left w:val="none" w:sz="0" w:space="0" w:color="auto"/>
        <w:bottom w:val="none" w:sz="0" w:space="0" w:color="auto"/>
        <w:right w:val="none" w:sz="0" w:space="0" w:color="auto"/>
      </w:divBdr>
    </w:div>
    <w:div w:id="484660551">
      <w:bodyDiv w:val="1"/>
      <w:marLeft w:val="0"/>
      <w:marRight w:val="0"/>
      <w:marTop w:val="0"/>
      <w:marBottom w:val="0"/>
      <w:divBdr>
        <w:top w:val="none" w:sz="0" w:space="0" w:color="auto"/>
        <w:left w:val="none" w:sz="0" w:space="0" w:color="auto"/>
        <w:bottom w:val="none" w:sz="0" w:space="0" w:color="auto"/>
        <w:right w:val="none" w:sz="0" w:space="0" w:color="auto"/>
      </w:divBdr>
    </w:div>
    <w:div w:id="485055148">
      <w:bodyDiv w:val="1"/>
      <w:marLeft w:val="0"/>
      <w:marRight w:val="0"/>
      <w:marTop w:val="0"/>
      <w:marBottom w:val="0"/>
      <w:divBdr>
        <w:top w:val="none" w:sz="0" w:space="0" w:color="auto"/>
        <w:left w:val="none" w:sz="0" w:space="0" w:color="auto"/>
        <w:bottom w:val="none" w:sz="0" w:space="0" w:color="auto"/>
        <w:right w:val="none" w:sz="0" w:space="0" w:color="auto"/>
      </w:divBdr>
    </w:div>
    <w:div w:id="485173945">
      <w:bodyDiv w:val="1"/>
      <w:marLeft w:val="0"/>
      <w:marRight w:val="0"/>
      <w:marTop w:val="0"/>
      <w:marBottom w:val="0"/>
      <w:divBdr>
        <w:top w:val="none" w:sz="0" w:space="0" w:color="auto"/>
        <w:left w:val="none" w:sz="0" w:space="0" w:color="auto"/>
        <w:bottom w:val="none" w:sz="0" w:space="0" w:color="auto"/>
        <w:right w:val="none" w:sz="0" w:space="0" w:color="auto"/>
      </w:divBdr>
    </w:div>
    <w:div w:id="485318819">
      <w:bodyDiv w:val="1"/>
      <w:marLeft w:val="0"/>
      <w:marRight w:val="0"/>
      <w:marTop w:val="0"/>
      <w:marBottom w:val="0"/>
      <w:divBdr>
        <w:top w:val="none" w:sz="0" w:space="0" w:color="auto"/>
        <w:left w:val="none" w:sz="0" w:space="0" w:color="auto"/>
        <w:bottom w:val="none" w:sz="0" w:space="0" w:color="auto"/>
        <w:right w:val="none" w:sz="0" w:space="0" w:color="auto"/>
      </w:divBdr>
    </w:div>
    <w:div w:id="485364193">
      <w:bodyDiv w:val="1"/>
      <w:marLeft w:val="0"/>
      <w:marRight w:val="0"/>
      <w:marTop w:val="0"/>
      <w:marBottom w:val="0"/>
      <w:divBdr>
        <w:top w:val="none" w:sz="0" w:space="0" w:color="auto"/>
        <w:left w:val="none" w:sz="0" w:space="0" w:color="auto"/>
        <w:bottom w:val="none" w:sz="0" w:space="0" w:color="auto"/>
        <w:right w:val="none" w:sz="0" w:space="0" w:color="auto"/>
      </w:divBdr>
    </w:div>
    <w:div w:id="486091878">
      <w:bodyDiv w:val="1"/>
      <w:marLeft w:val="0"/>
      <w:marRight w:val="0"/>
      <w:marTop w:val="0"/>
      <w:marBottom w:val="0"/>
      <w:divBdr>
        <w:top w:val="none" w:sz="0" w:space="0" w:color="auto"/>
        <w:left w:val="none" w:sz="0" w:space="0" w:color="auto"/>
        <w:bottom w:val="none" w:sz="0" w:space="0" w:color="auto"/>
        <w:right w:val="none" w:sz="0" w:space="0" w:color="auto"/>
      </w:divBdr>
    </w:div>
    <w:div w:id="486479447">
      <w:bodyDiv w:val="1"/>
      <w:marLeft w:val="0"/>
      <w:marRight w:val="0"/>
      <w:marTop w:val="0"/>
      <w:marBottom w:val="0"/>
      <w:divBdr>
        <w:top w:val="none" w:sz="0" w:space="0" w:color="auto"/>
        <w:left w:val="none" w:sz="0" w:space="0" w:color="auto"/>
        <w:bottom w:val="none" w:sz="0" w:space="0" w:color="auto"/>
        <w:right w:val="none" w:sz="0" w:space="0" w:color="auto"/>
      </w:divBdr>
    </w:div>
    <w:div w:id="487138139">
      <w:bodyDiv w:val="1"/>
      <w:marLeft w:val="0"/>
      <w:marRight w:val="0"/>
      <w:marTop w:val="0"/>
      <w:marBottom w:val="0"/>
      <w:divBdr>
        <w:top w:val="none" w:sz="0" w:space="0" w:color="auto"/>
        <w:left w:val="none" w:sz="0" w:space="0" w:color="auto"/>
        <w:bottom w:val="none" w:sz="0" w:space="0" w:color="auto"/>
        <w:right w:val="none" w:sz="0" w:space="0" w:color="auto"/>
      </w:divBdr>
    </w:div>
    <w:div w:id="488519207">
      <w:bodyDiv w:val="1"/>
      <w:marLeft w:val="0"/>
      <w:marRight w:val="0"/>
      <w:marTop w:val="0"/>
      <w:marBottom w:val="0"/>
      <w:divBdr>
        <w:top w:val="none" w:sz="0" w:space="0" w:color="auto"/>
        <w:left w:val="none" w:sz="0" w:space="0" w:color="auto"/>
        <w:bottom w:val="none" w:sz="0" w:space="0" w:color="auto"/>
        <w:right w:val="none" w:sz="0" w:space="0" w:color="auto"/>
      </w:divBdr>
    </w:div>
    <w:div w:id="489323645">
      <w:bodyDiv w:val="1"/>
      <w:marLeft w:val="0"/>
      <w:marRight w:val="0"/>
      <w:marTop w:val="0"/>
      <w:marBottom w:val="0"/>
      <w:divBdr>
        <w:top w:val="none" w:sz="0" w:space="0" w:color="auto"/>
        <w:left w:val="none" w:sz="0" w:space="0" w:color="auto"/>
        <w:bottom w:val="none" w:sz="0" w:space="0" w:color="auto"/>
        <w:right w:val="none" w:sz="0" w:space="0" w:color="auto"/>
      </w:divBdr>
    </w:div>
    <w:div w:id="489488590">
      <w:bodyDiv w:val="1"/>
      <w:marLeft w:val="0"/>
      <w:marRight w:val="0"/>
      <w:marTop w:val="0"/>
      <w:marBottom w:val="0"/>
      <w:divBdr>
        <w:top w:val="none" w:sz="0" w:space="0" w:color="auto"/>
        <w:left w:val="none" w:sz="0" w:space="0" w:color="auto"/>
        <w:bottom w:val="none" w:sz="0" w:space="0" w:color="auto"/>
        <w:right w:val="none" w:sz="0" w:space="0" w:color="auto"/>
      </w:divBdr>
    </w:div>
    <w:div w:id="490172639">
      <w:bodyDiv w:val="1"/>
      <w:marLeft w:val="0"/>
      <w:marRight w:val="0"/>
      <w:marTop w:val="0"/>
      <w:marBottom w:val="0"/>
      <w:divBdr>
        <w:top w:val="none" w:sz="0" w:space="0" w:color="auto"/>
        <w:left w:val="none" w:sz="0" w:space="0" w:color="auto"/>
        <w:bottom w:val="none" w:sz="0" w:space="0" w:color="auto"/>
        <w:right w:val="none" w:sz="0" w:space="0" w:color="auto"/>
      </w:divBdr>
    </w:div>
    <w:div w:id="490682600">
      <w:bodyDiv w:val="1"/>
      <w:marLeft w:val="0"/>
      <w:marRight w:val="0"/>
      <w:marTop w:val="0"/>
      <w:marBottom w:val="0"/>
      <w:divBdr>
        <w:top w:val="none" w:sz="0" w:space="0" w:color="auto"/>
        <w:left w:val="none" w:sz="0" w:space="0" w:color="auto"/>
        <w:bottom w:val="none" w:sz="0" w:space="0" w:color="auto"/>
        <w:right w:val="none" w:sz="0" w:space="0" w:color="auto"/>
      </w:divBdr>
    </w:div>
    <w:div w:id="491213540">
      <w:bodyDiv w:val="1"/>
      <w:marLeft w:val="0"/>
      <w:marRight w:val="0"/>
      <w:marTop w:val="0"/>
      <w:marBottom w:val="0"/>
      <w:divBdr>
        <w:top w:val="none" w:sz="0" w:space="0" w:color="auto"/>
        <w:left w:val="none" w:sz="0" w:space="0" w:color="auto"/>
        <w:bottom w:val="none" w:sz="0" w:space="0" w:color="auto"/>
        <w:right w:val="none" w:sz="0" w:space="0" w:color="auto"/>
      </w:divBdr>
    </w:div>
    <w:div w:id="491332470">
      <w:bodyDiv w:val="1"/>
      <w:marLeft w:val="0"/>
      <w:marRight w:val="0"/>
      <w:marTop w:val="0"/>
      <w:marBottom w:val="0"/>
      <w:divBdr>
        <w:top w:val="none" w:sz="0" w:space="0" w:color="auto"/>
        <w:left w:val="none" w:sz="0" w:space="0" w:color="auto"/>
        <w:bottom w:val="none" w:sz="0" w:space="0" w:color="auto"/>
        <w:right w:val="none" w:sz="0" w:space="0" w:color="auto"/>
      </w:divBdr>
    </w:div>
    <w:div w:id="491993029">
      <w:bodyDiv w:val="1"/>
      <w:marLeft w:val="0"/>
      <w:marRight w:val="0"/>
      <w:marTop w:val="0"/>
      <w:marBottom w:val="0"/>
      <w:divBdr>
        <w:top w:val="none" w:sz="0" w:space="0" w:color="auto"/>
        <w:left w:val="none" w:sz="0" w:space="0" w:color="auto"/>
        <w:bottom w:val="none" w:sz="0" w:space="0" w:color="auto"/>
        <w:right w:val="none" w:sz="0" w:space="0" w:color="auto"/>
      </w:divBdr>
    </w:div>
    <w:div w:id="492257658">
      <w:bodyDiv w:val="1"/>
      <w:marLeft w:val="0"/>
      <w:marRight w:val="0"/>
      <w:marTop w:val="0"/>
      <w:marBottom w:val="0"/>
      <w:divBdr>
        <w:top w:val="none" w:sz="0" w:space="0" w:color="auto"/>
        <w:left w:val="none" w:sz="0" w:space="0" w:color="auto"/>
        <w:bottom w:val="none" w:sz="0" w:space="0" w:color="auto"/>
        <w:right w:val="none" w:sz="0" w:space="0" w:color="auto"/>
      </w:divBdr>
    </w:div>
    <w:div w:id="492262549">
      <w:bodyDiv w:val="1"/>
      <w:marLeft w:val="0"/>
      <w:marRight w:val="0"/>
      <w:marTop w:val="0"/>
      <w:marBottom w:val="0"/>
      <w:divBdr>
        <w:top w:val="none" w:sz="0" w:space="0" w:color="auto"/>
        <w:left w:val="none" w:sz="0" w:space="0" w:color="auto"/>
        <w:bottom w:val="none" w:sz="0" w:space="0" w:color="auto"/>
        <w:right w:val="none" w:sz="0" w:space="0" w:color="auto"/>
      </w:divBdr>
    </w:div>
    <w:div w:id="492648331">
      <w:bodyDiv w:val="1"/>
      <w:marLeft w:val="0"/>
      <w:marRight w:val="0"/>
      <w:marTop w:val="0"/>
      <w:marBottom w:val="0"/>
      <w:divBdr>
        <w:top w:val="none" w:sz="0" w:space="0" w:color="auto"/>
        <w:left w:val="none" w:sz="0" w:space="0" w:color="auto"/>
        <w:bottom w:val="none" w:sz="0" w:space="0" w:color="auto"/>
        <w:right w:val="none" w:sz="0" w:space="0" w:color="auto"/>
      </w:divBdr>
    </w:div>
    <w:div w:id="492841889">
      <w:bodyDiv w:val="1"/>
      <w:marLeft w:val="0"/>
      <w:marRight w:val="0"/>
      <w:marTop w:val="0"/>
      <w:marBottom w:val="0"/>
      <w:divBdr>
        <w:top w:val="none" w:sz="0" w:space="0" w:color="auto"/>
        <w:left w:val="none" w:sz="0" w:space="0" w:color="auto"/>
        <w:bottom w:val="none" w:sz="0" w:space="0" w:color="auto"/>
        <w:right w:val="none" w:sz="0" w:space="0" w:color="auto"/>
      </w:divBdr>
    </w:div>
    <w:div w:id="493299413">
      <w:bodyDiv w:val="1"/>
      <w:marLeft w:val="0"/>
      <w:marRight w:val="0"/>
      <w:marTop w:val="0"/>
      <w:marBottom w:val="0"/>
      <w:divBdr>
        <w:top w:val="none" w:sz="0" w:space="0" w:color="auto"/>
        <w:left w:val="none" w:sz="0" w:space="0" w:color="auto"/>
        <w:bottom w:val="none" w:sz="0" w:space="0" w:color="auto"/>
        <w:right w:val="none" w:sz="0" w:space="0" w:color="auto"/>
      </w:divBdr>
    </w:div>
    <w:div w:id="494223303">
      <w:bodyDiv w:val="1"/>
      <w:marLeft w:val="0"/>
      <w:marRight w:val="0"/>
      <w:marTop w:val="0"/>
      <w:marBottom w:val="0"/>
      <w:divBdr>
        <w:top w:val="none" w:sz="0" w:space="0" w:color="auto"/>
        <w:left w:val="none" w:sz="0" w:space="0" w:color="auto"/>
        <w:bottom w:val="none" w:sz="0" w:space="0" w:color="auto"/>
        <w:right w:val="none" w:sz="0" w:space="0" w:color="auto"/>
      </w:divBdr>
    </w:div>
    <w:div w:id="494345232">
      <w:bodyDiv w:val="1"/>
      <w:marLeft w:val="0"/>
      <w:marRight w:val="0"/>
      <w:marTop w:val="0"/>
      <w:marBottom w:val="0"/>
      <w:divBdr>
        <w:top w:val="none" w:sz="0" w:space="0" w:color="auto"/>
        <w:left w:val="none" w:sz="0" w:space="0" w:color="auto"/>
        <w:bottom w:val="none" w:sz="0" w:space="0" w:color="auto"/>
        <w:right w:val="none" w:sz="0" w:space="0" w:color="auto"/>
      </w:divBdr>
    </w:div>
    <w:div w:id="495148952">
      <w:bodyDiv w:val="1"/>
      <w:marLeft w:val="0"/>
      <w:marRight w:val="0"/>
      <w:marTop w:val="0"/>
      <w:marBottom w:val="0"/>
      <w:divBdr>
        <w:top w:val="none" w:sz="0" w:space="0" w:color="auto"/>
        <w:left w:val="none" w:sz="0" w:space="0" w:color="auto"/>
        <w:bottom w:val="none" w:sz="0" w:space="0" w:color="auto"/>
        <w:right w:val="none" w:sz="0" w:space="0" w:color="auto"/>
      </w:divBdr>
    </w:div>
    <w:div w:id="495414849">
      <w:bodyDiv w:val="1"/>
      <w:marLeft w:val="0"/>
      <w:marRight w:val="0"/>
      <w:marTop w:val="0"/>
      <w:marBottom w:val="0"/>
      <w:divBdr>
        <w:top w:val="none" w:sz="0" w:space="0" w:color="auto"/>
        <w:left w:val="none" w:sz="0" w:space="0" w:color="auto"/>
        <w:bottom w:val="none" w:sz="0" w:space="0" w:color="auto"/>
        <w:right w:val="none" w:sz="0" w:space="0" w:color="auto"/>
      </w:divBdr>
    </w:div>
    <w:div w:id="496532053">
      <w:bodyDiv w:val="1"/>
      <w:marLeft w:val="0"/>
      <w:marRight w:val="0"/>
      <w:marTop w:val="0"/>
      <w:marBottom w:val="0"/>
      <w:divBdr>
        <w:top w:val="none" w:sz="0" w:space="0" w:color="auto"/>
        <w:left w:val="none" w:sz="0" w:space="0" w:color="auto"/>
        <w:bottom w:val="none" w:sz="0" w:space="0" w:color="auto"/>
        <w:right w:val="none" w:sz="0" w:space="0" w:color="auto"/>
      </w:divBdr>
    </w:div>
    <w:div w:id="498154460">
      <w:bodyDiv w:val="1"/>
      <w:marLeft w:val="0"/>
      <w:marRight w:val="0"/>
      <w:marTop w:val="0"/>
      <w:marBottom w:val="0"/>
      <w:divBdr>
        <w:top w:val="none" w:sz="0" w:space="0" w:color="auto"/>
        <w:left w:val="none" w:sz="0" w:space="0" w:color="auto"/>
        <w:bottom w:val="none" w:sz="0" w:space="0" w:color="auto"/>
        <w:right w:val="none" w:sz="0" w:space="0" w:color="auto"/>
      </w:divBdr>
    </w:div>
    <w:div w:id="498497671">
      <w:bodyDiv w:val="1"/>
      <w:marLeft w:val="0"/>
      <w:marRight w:val="0"/>
      <w:marTop w:val="0"/>
      <w:marBottom w:val="0"/>
      <w:divBdr>
        <w:top w:val="none" w:sz="0" w:space="0" w:color="auto"/>
        <w:left w:val="none" w:sz="0" w:space="0" w:color="auto"/>
        <w:bottom w:val="none" w:sz="0" w:space="0" w:color="auto"/>
        <w:right w:val="none" w:sz="0" w:space="0" w:color="auto"/>
      </w:divBdr>
    </w:div>
    <w:div w:id="499391849">
      <w:bodyDiv w:val="1"/>
      <w:marLeft w:val="0"/>
      <w:marRight w:val="0"/>
      <w:marTop w:val="0"/>
      <w:marBottom w:val="0"/>
      <w:divBdr>
        <w:top w:val="none" w:sz="0" w:space="0" w:color="auto"/>
        <w:left w:val="none" w:sz="0" w:space="0" w:color="auto"/>
        <w:bottom w:val="none" w:sz="0" w:space="0" w:color="auto"/>
        <w:right w:val="none" w:sz="0" w:space="0" w:color="auto"/>
      </w:divBdr>
    </w:div>
    <w:div w:id="499391965">
      <w:bodyDiv w:val="1"/>
      <w:marLeft w:val="0"/>
      <w:marRight w:val="0"/>
      <w:marTop w:val="0"/>
      <w:marBottom w:val="0"/>
      <w:divBdr>
        <w:top w:val="none" w:sz="0" w:space="0" w:color="auto"/>
        <w:left w:val="none" w:sz="0" w:space="0" w:color="auto"/>
        <w:bottom w:val="none" w:sz="0" w:space="0" w:color="auto"/>
        <w:right w:val="none" w:sz="0" w:space="0" w:color="auto"/>
      </w:divBdr>
    </w:div>
    <w:div w:id="499732898">
      <w:bodyDiv w:val="1"/>
      <w:marLeft w:val="0"/>
      <w:marRight w:val="0"/>
      <w:marTop w:val="0"/>
      <w:marBottom w:val="0"/>
      <w:divBdr>
        <w:top w:val="none" w:sz="0" w:space="0" w:color="auto"/>
        <w:left w:val="none" w:sz="0" w:space="0" w:color="auto"/>
        <w:bottom w:val="none" w:sz="0" w:space="0" w:color="auto"/>
        <w:right w:val="none" w:sz="0" w:space="0" w:color="auto"/>
      </w:divBdr>
    </w:div>
    <w:div w:id="500589771">
      <w:bodyDiv w:val="1"/>
      <w:marLeft w:val="0"/>
      <w:marRight w:val="0"/>
      <w:marTop w:val="0"/>
      <w:marBottom w:val="0"/>
      <w:divBdr>
        <w:top w:val="none" w:sz="0" w:space="0" w:color="auto"/>
        <w:left w:val="none" w:sz="0" w:space="0" w:color="auto"/>
        <w:bottom w:val="none" w:sz="0" w:space="0" w:color="auto"/>
        <w:right w:val="none" w:sz="0" w:space="0" w:color="auto"/>
      </w:divBdr>
    </w:div>
    <w:div w:id="501354234">
      <w:bodyDiv w:val="1"/>
      <w:marLeft w:val="0"/>
      <w:marRight w:val="0"/>
      <w:marTop w:val="0"/>
      <w:marBottom w:val="0"/>
      <w:divBdr>
        <w:top w:val="none" w:sz="0" w:space="0" w:color="auto"/>
        <w:left w:val="none" w:sz="0" w:space="0" w:color="auto"/>
        <w:bottom w:val="none" w:sz="0" w:space="0" w:color="auto"/>
        <w:right w:val="none" w:sz="0" w:space="0" w:color="auto"/>
      </w:divBdr>
    </w:div>
    <w:div w:id="501360782">
      <w:bodyDiv w:val="1"/>
      <w:marLeft w:val="0"/>
      <w:marRight w:val="0"/>
      <w:marTop w:val="0"/>
      <w:marBottom w:val="0"/>
      <w:divBdr>
        <w:top w:val="none" w:sz="0" w:space="0" w:color="auto"/>
        <w:left w:val="none" w:sz="0" w:space="0" w:color="auto"/>
        <w:bottom w:val="none" w:sz="0" w:space="0" w:color="auto"/>
        <w:right w:val="none" w:sz="0" w:space="0" w:color="auto"/>
      </w:divBdr>
    </w:div>
    <w:div w:id="501822295">
      <w:bodyDiv w:val="1"/>
      <w:marLeft w:val="0"/>
      <w:marRight w:val="0"/>
      <w:marTop w:val="0"/>
      <w:marBottom w:val="0"/>
      <w:divBdr>
        <w:top w:val="none" w:sz="0" w:space="0" w:color="auto"/>
        <w:left w:val="none" w:sz="0" w:space="0" w:color="auto"/>
        <w:bottom w:val="none" w:sz="0" w:space="0" w:color="auto"/>
        <w:right w:val="none" w:sz="0" w:space="0" w:color="auto"/>
      </w:divBdr>
    </w:div>
    <w:div w:id="502552031">
      <w:bodyDiv w:val="1"/>
      <w:marLeft w:val="0"/>
      <w:marRight w:val="0"/>
      <w:marTop w:val="0"/>
      <w:marBottom w:val="0"/>
      <w:divBdr>
        <w:top w:val="none" w:sz="0" w:space="0" w:color="auto"/>
        <w:left w:val="none" w:sz="0" w:space="0" w:color="auto"/>
        <w:bottom w:val="none" w:sz="0" w:space="0" w:color="auto"/>
        <w:right w:val="none" w:sz="0" w:space="0" w:color="auto"/>
      </w:divBdr>
      <w:divsChild>
        <w:div w:id="1405563454">
          <w:marLeft w:val="0"/>
          <w:marRight w:val="0"/>
          <w:marTop w:val="0"/>
          <w:marBottom w:val="0"/>
          <w:divBdr>
            <w:top w:val="none" w:sz="0" w:space="0" w:color="auto"/>
            <w:left w:val="none" w:sz="0" w:space="0" w:color="auto"/>
            <w:bottom w:val="none" w:sz="0" w:space="0" w:color="auto"/>
            <w:right w:val="none" w:sz="0" w:space="0" w:color="auto"/>
          </w:divBdr>
        </w:div>
        <w:div w:id="2027518645">
          <w:marLeft w:val="0"/>
          <w:marRight w:val="0"/>
          <w:marTop w:val="0"/>
          <w:marBottom w:val="0"/>
          <w:divBdr>
            <w:top w:val="none" w:sz="0" w:space="0" w:color="auto"/>
            <w:left w:val="none" w:sz="0" w:space="0" w:color="auto"/>
            <w:bottom w:val="none" w:sz="0" w:space="0" w:color="auto"/>
            <w:right w:val="none" w:sz="0" w:space="0" w:color="auto"/>
          </w:divBdr>
        </w:div>
      </w:divsChild>
    </w:div>
    <w:div w:id="503015279">
      <w:bodyDiv w:val="1"/>
      <w:marLeft w:val="0"/>
      <w:marRight w:val="0"/>
      <w:marTop w:val="0"/>
      <w:marBottom w:val="0"/>
      <w:divBdr>
        <w:top w:val="none" w:sz="0" w:space="0" w:color="auto"/>
        <w:left w:val="none" w:sz="0" w:space="0" w:color="auto"/>
        <w:bottom w:val="none" w:sz="0" w:space="0" w:color="auto"/>
        <w:right w:val="none" w:sz="0" w:space="0" w:color="auto"/>
      </w:divBdr>
    </w:div>
    <w:div w:id="503476827">
      <w:bodyDiv w:val="1"/>
      <w:marLeft w:val="0"/>
      <w:marRight w:val="0"/>
      <w:marTop w:val="0"/>
      <w:marBottom w:val="0"/>
      <w:divBdr>
        <w:top w:val="none" w:sz="0" w:space="0" w:color="auto"/>
        <w:left w:val="none" w:sz="0" w:space="0" w:color="auto"/>
        <w:bottom w:val="none" w:sz="0" w:space="0" w:color="auto"/>
        <w:right w:val="none" w:sz="0" w:space="0" w:color="auto"/>
      </w:divBdr>
    </w:div>
    <w:div w:id="503595351">
      <w:bodyDiv w:val="1"/>
      <w:marLeft w:val="0"/>
      <w:marRight w:val="0"/>
      <w:marTop w:val="0"/>
      <w:marBottom w:val="0"/>
      <w:divBdr>
        <w:top w:val="none" w:sz="0" w:space="0" w:color="auto"/>
        <w:left w:val="none" w:sz="0" w:space="0" w:color="auto"/>
        <w:bottom w:val="none" w:sz="0" w:space="0" w:color="auto"/>
        <w:right w:val="none" w:sz="0" w:space="0" w:color="auto"/>
      </w:divBdr>
    </w:div>
    <w:div w:id="503712636">
      <w:bodyDiv w:val="1"/>
      <w:marLeft w:val="0"/>
      <w:marRight w:val="0"/>
      <w:marTop w:val="0"/>
      <w:marBottom w:val="0"/>
      <w:divBdr>
        <w:top w:val="none" w:sz="0" w:space="0" w:color="auto"/>
        <w:left w:val="none" w:sz="0" w:space="0" w:color="auto"/>
        <w:bottom w:val="none" w:sz="0" w:space="0" w:color="auto"/>
        <w:right w:val="none" w:sz="0" w:space="0" w:color="auto"/>
      </w:divBdr>
    </w:div>
    <w:div w:id="503976910">
      <w:bodyDiv w:val="1"/>
      <w:marLeft w:val="0"/>
      <w:marRight w:val="0"/>
      <w:marTop w:val="0"/>
      <w:marBottom w:val="0"/>
      <w:divBdr>
        <w:top w:val="none" w:sz="0" w:space="0" w:color="auto"/>
        <w:left w:val="none" w:sz="0" w:space="0" w:color="auto"/>
        <w:bottom w:val="none" w:sz="0" w:space="0" w:color="auto"/>
        <w:right w:val="none" w:sz="0" w:space="0" w:color="auto"/>
      </w:divBdr>
    </w:div>
    <w:div w:id="504784035">
      <w:bodyDiv w:val="1"/>
      <w:marLeft w:val="0"/>
      <w:marRight w:val="0"/>
      <w:marTop w:val="0"/>
      <w:marBottom w:val="0"/>
      <w:divBdr>
        <w:top w:val="none" w:sz="0" w:space="0" w:color="auto"/>
        <w:left w:val="none" w:sz="0" w:space="0" w:color="auto"/>
        <w:bottom w:val="none" w:sz="0" w:space="0" w:color="auto"/>
        <w:right w:val="none" w:sz="0" w:space="0" w:color="auto"/>
      </w:divBdr>
    </w:div>
    <w:div w:id="505173120">
      <w:bodyDiv w:val="1"/>
      <w:marLeft w:val="0"/>
      <w:marRight w:val="0"/>
      <w:marTop w:val="0"/>
      <w:marBottom w:val="0"/>
      <w:divBdr>
        <w:top w:val="none" w:sz="0" w:space="0" w:color="auto"/>
        <w:left w:val="none" w:sz="0" w:space="0" w:color="auto"/>
        <w:bottom w:val="none" w:sz="0" w:space="0" w:color="auto"/>
        <w:right w:val="none" w:sz="0" w:space="0" w:color="auto"/>
      </w:divBdr>
    </w:div>
    <w:div w:id="505362564">
      <w:bodyDiv w:val="1"/>
      <w:marLeft w:val="0"/>
      <w:marRight w:val="0"/>
      <w:marTop w:val="0"/>
      <w:marBottom w:val="0"/>
      <w:divBdr>
        <w:top w:val="none" w:sz="0" w:space="0" w:color="auto"/>
        <w:left w:val="none" w:sz="0" w:space="0" w:color="auto"/>
        <w:bottom w:val="none" w:sz="0" w:space="0" w:color="auto"/>
        <w:right w:val="none" w:sz="0" w:space="0" w:color="auto"/>
      </w:divBdr>
    </w:div>
    <w:div w:id="505749708">
      <w:bodyDiv w:val="1"/>
      <w:marLeft w:val="0"/>
      <w:marRight w:val="0"/>
      <w:marTop w:val="0"/>
      <w:marBottom w:val="0"/>
      <w:divBdr>
        <w:top w:val="none" w:sz="0" w:space="0" w:color="auto"/>
        <w:left w:val="none" w:sz="0" w:space="0" w:color="auto"/>
        <w:bottom w:val="none" w:sz="0" w:space="0" w:color="auto"/>
        <w:right w:val="none" w:sz="0" w:space="0" w:color="auto"/>
      </w:divBdr>
    </w:div>
    <w:div w:id="506216240">
      <w:bodyDiv w:val="1"/>
      <w:marLeft w:val="0"/>
      <w:marRight w:val="0"/>
      <w:marTop w:val="0"/>
      <w:marBottom w:val="0"/>
      <w:divBdr>
        <w:top w:val="none" w:sz="0" w:space="0" w:color="auto"/>
        <w:left w:val="none" w:sz="0" w:space="0" w:color="auto"/>
        <w:bottom w:val="none" w:sz="0" w:space="0" w:color="auto"/>
        <w:right w:val="none" w:sz="0" w:space="0" w:color="auto"/>
      </w:divBdr>
      <w:divsChild>
        <w:div w:id="950212474">
          <w:marLeft w:val="0"/>
          <w:marRight w:val="0"/>
          <w:marTop w:val="0"/>
          <w:marBottom w:val="0"/>
          <w:divBdr>
            <w:top w:val="none" w:sz="0" w:space="0" w:color="auto"/>
            <w:left w:val="none" w:sz="0" w:space="0" w:color="auto"/>
            <w:bottom w:val="none" w:sz="0" w:space="0" w:color="auto"/>
            <w:right w:val="none" w:sz="0" w:space="0" w:color="auto"/>
          </w:divBdr>
        </w:div>
        <w:div w:id="955062602">
          <w:marLeft w:val="0"/>
          <w:marRight w:val="0"/>
          <w:marTop w:val="0"/>
          <w:marBottom w:val="0"/>
          <w:divBdr>
            <w:top w:val="none" w:sz="0" w:space="0" w:color="auto"/>
            <w:left w:val="none" w:sz="0" w:space="0" w:color="auto"/>
            <w:bottom w:val="none" w:sz="0" w:space="0" w:color="auto"/>
            <w:right w:val="none" w:sz="0" w:space="0" w:color="auto"/>
          </w:divBdr>
        </w:div>
        <w:div w:id="1183133264">
          <w:marLeft w:val="0"/>
          <w:marRight w:val="0"/>
          <w:marTop w:val="0"/>
          <w:marBottom w:val="0"/>
          <w:divBdr>
            <w:top w:val="none" w:sz="0" w:space="0" w:color="auto"/>
            <w:left w:val="none" w:sz="0" w:space="0" w:color="auto"/>
            <w:bottom w:val="none" w:sz="0" w:space="0" w:color="auto"/>
            <w:right w:val="none" w:sz="0" w:space="0" w:color="auto"/>
          </w:divBdr>
        </w:div>
        <w:div w:id="1131169639">
          <w:marLeft w:val="0"/>
          <w:marRight w:val="0"/>
          <w:marTop w:val="0"/>
          <w:marBottom w:val="0"/>
          <w:divBdr>
            <w:top w:val="none" w:sz="0" w:space="0" w:color="auto"/>
            <w:left w:val="none" w:sz="0" w:space="0" w:color="auto"/>
            <w:bottom w:val="none" w:sz="0" w:space="0" w:color="auto"/>
            <w:right w:val="none" w:sz="0" w:space="0" w:color="auto"/>
          </w:divBdr>
        </w:div>
        <w:div w:id="1641153026">
          <w:marLeft w:val="0"/>
          <w:marRight w:val="0"/>
          <w:marTop w:val="0"/>
          <w:marBottom w:val="0"/>
          <w:divBdr>
            <w:top w:val="none" w:sz="0" w:space="0" w:color="auto"/>
            <w:left w:val="none" w:sz="0" w:space="0" w:color="auto"/>
            <w:bottom w:val="none" w:sz="0" w:space="0" w:color="auto"/>
            <w:right w:val="none" w:sz="0" w:space="0" w:color="auto"/>
          </w:divBdr>
        </w:div>
      </w:divsChild>
    </w:div>
    <w:div w:id="506527807">
      <w:bodyDiv w:val="1"/>
      <w:marLeft w:val="0"/>
      <w:marRight w:val="0"/>
      <w:marTop w:val="0"/>
      <w:marBottom w:val="0"/>
      <w:divBdr>
        <w:top w:val="none" w:sz="0" w:space="0" w:color="auto"/>
        <w:left w:val="none" w:sz="0" w:space="0" w:color="auto"/>
        <w:bottom w:val="none" w:sz="0" w:space="0" w:color="auto"/>
        <w:right w:val="none" w:sz="0" w:space="0" w:color="auto"/>
      </w:divBdr>
    </w:div>
    <w:div w:id="506558007">
      <w:bodyDiv w:val="1"/>
      <w:marLeft w:val="0"/>
      <w:marRight w:val="0"/>
      <w:marTop w:val="0"/>
      <w:marBottom w:val="0"/>
      <w:divBdr>
        <w:top w:val="none" w:sz="0" w:space="0" w:color="auto"/>
        <w:left w:val="none" w:sz="0" w:space="0" w:color="auto"/>
        <w:bottom w:val="none" w:sz="0" w:space="0" w:color="auto"/>
        <w:right w:val="none" w:sz="0" w:space="0" w:color="auto"/>
      </w:divBdr>
    </w:div>
    <w:div w:id="506864666">
      <w:bodyDiv w:val="1"/>
      <w:marLeft w:val="0"/>
      <w:marRight w:val="0"/>
      <w:marTop w:val="0"/>
      <w:marBottom w:val="0"/>
      <w:divBdr>
        <w:top w:val="none" w:sz="0" w:space="0" w:color="auto"/>
        <w:left w:val="none" w:sz="0" w:space="0" w:color="auto"/>
        <w:bottom w:val="none" w:sz="0" w:space="0" w:color="auto"/>
        <w:right w:val="none" w:sz="0" w:space="0" w:color="auto"/>
      </w:divBdr>
    </w:div>
    <w:div w:id="507209643">
      <w:bodyDiv w:val="1"/>
      <w:marLeft w:val="0"/>
      <w:marRight w:val="0"/>
      <w:marTop w:val="0"/>
      <w:marBottom w:val="0"/>
      <w:divBdr>
        <w:top w:val="none" w:sz="0" w:space="0" w:color="auto"/>
        <w:left w:val="none" w:sz="0" w:space="0" w:color="auto"/>
        <w:bottom w:val="none" w:sz="0" w:space="0" w:color="auto"/>
        <w:right w:val="none" w:sz="0" w:space="0" w:color="auto"/>
      </w:divBdr>
    </w:div>
    <w:div w:id="507452904">
      <w:bodyDiv w:val="1"/>
      <w:marLeft w:val="0"/>
      <w:marRight w:val="0"/>
      <w:marTop w:val="0"/>
      <w:marBottom w:val="0"/>
      <w:divBdr>
        <w:top w:val="none" w:sz="0" w:space="0" w:color="auto"/>
        <w:left w:val="none" w:sz="0" w:space="0" w:color="auto"/>
        <w:bottom w:val="none" w:sz="0" w:space="0" w:color="auto"/>
        <w:right w:val="none" w:sz="0" w:space="0" w:color="auto"/>
      </w:divBdr>
    </w:div>
    <w:div w:id="507477685">
      <w:bodyDiv w:val="1"/>
      <w:marLeft w:val="0"/>
      <w:marRight w:val="0"/>
      <w:marTop w:val="0"/>
      <w:marBottom w:val="0"/>
      <w:divBdr>
        <w:top w:val="none" w:sz="0" w:space="0" w:color="auto"/>
        <w:left w:val="none" w:sz="0" w:space="0" w:color="auto"/>
        <w:bottom w:val="none" w:sz="0" w:space="0" w:color="auto"/>
        <w:right w:val="none" w:sz="0" w:space="0" w:color="auto"/>
      </w:divBdr>
    </w:div>
    <w:div w:id="508756197">
      <w:bodyDiv w:val="1"/>
      <w:marLeft w:val="0"/>
      <w:marRight w:val="0"/>
      <w:marTop w:val="0"/>
      <w:marBottom w:val="0"/>
      <w:divBdr>
        <w:top w:val="none" w:sz="0" w:space="0" w:color="auto"/>
        <w:left w:val="none" w:sz="0" w:space="0" w:color="auto"/>
        <w:bottom w:val="none" w:sz="0" w:space="0" w:color="auto"/>
        <w:right w:val="none" w:sz="0" w:space="0" w:color="auto"/>
      </w:divBdr>
    </w:div>
    <w:div w:id="508835581">
      <w:bodyDiv w:val="1"/>
      <w:marLeft w:val="0"/>
      <w:marRight w:val="0"/>
      <w:marTop w:val="0"/>
      <w:marBottom w:val="0"/>
      <w:divBdr>
        <w:top w:val="none" w:sz="0" w:space="0" w:color="auto"/>
        <w:left w:val="none" w:sz="0" w:space="0" w:color="auto"/>
        <w:bottom w:val="none" w:sz="0" w:space="0" w:color="auto"/>
        <w:right w:val="none" w:sz="0" w:space="0" w:color="auto"/>
      </w:divBdr>
    </w:div>
    <w:div w:id="510265972">
      <w:bodyDiv w:val="1"/>
      <w:marLeft w:val="0"/>
      <w:marRight w:val="0"/>
      <w:marTop w:val="0"/>
      <w:marBottom w:val="0"/>
      <w:divBdr>
        <w:top w:val="none" w:sz="0" w:space="0" w:color="auto"/>
        <w:left w:val="none" w:sz="0" w:space="0" w:color="auto"/>
        <w:bottom w:val="none" w:sz="0" w:space="0" w:color="auto"/>
        <w:right w:val="none" w:sz="0" w:space="0" w:color="auto"/>
      </w:divBdr>
    </w:div>
    <w:div w:id="510805178">
      <w:bodyDiv w:val="1"/>
      <w:marLeft w:val="0"/>
      <w:marRight w:val="0"/>
      <w:marTop w:val="0"/>
      <w:marBottom w:val="0"/>
      <w:divBdr>
        <w:top w:val="none" w:sz="0" w:space="0" w:color="auto"/>
        <w:left w:val="none" w:sz="0" w:space="0" w:color="auto"/>
        <w:bottom w:val="none" w:sz="0" w:space="0" w:color="auto"/>
        <w:right w:val="none" w:sz="0" w:space="0" w:color="auto"/>
      </w:divBdr>
    </w:div>
    <w:div w:id="511604443">
      <w:bodyDiv w:val="1"/>
      <w:marLeft w:val="0"/>
      <w:marRight w:val="0"/>
      <w:marTop w:val="0"/>
      <w:marBottom w:val="0"/>
      <w:divBdr>
        <w:top w:val="none" w:sz="0" w:space="0" w:color="auto"/>
        <w:left w:val="none" w:sz="0" w:space="0" w:color="auto"/>
        <w:bottom w:val="none" w:sz="0" w:space="0" w:color="auto"/>
        <w:right w:val="none" w:sz="0" w:space="0" w:color="auto"/>
      </w:divBdr>
    </w:div>
    <w:div w:id="511801939">
      <w:bodyDiv w:val="1"/>
      <w:marLeft w:val="0"/>
      <w:marRight w:val="0"/>
      <w:marTop w:val="0"/>
      <w:marBottom w:val="0"/>
      <w:divBdr>
        <w:top w:val="none" w:sz="0" w:space="0" w:color="auto"/>
        <w:left w:val="none" w:sz="0" w:space="0" w:color="auto"/>
        <w:bottom w:val="none" w:sz="0" w:space="0" w:color="auto"/>
        <w:right w:val="none" w:sz="0" w:space="0" w:color="auto"/>
      </w:divBdr>
    </w:div>
    <w:div w:id="511917318">
      <w:bodyDiv w:val="1"/>
      <w:marLeft w:val="0"/>
      <w:marRight w:val="0"/>
      <w:marTop w:val="0"/>
      <w:marBottom w:val="0"/>
      <w:divBdr>
        <w:top w:val="none" w:sz="0" w:space="0" w:color="auto"/>
        <w:left w:val="none" w:sz="0" w:space="0" w:color="auto"/>
        <w:bottom w:val="none" w:sz="0" w:space="0" w:color="auto"/>
        <w:right w:val="none" w:sz="0" w:space="0" w:color="auto"/>
      </w:divBdr>
    </w:div>
    <w:div w:id="515271114">
      <w:bodyDiv w:val="1"/>
      <w:marLeft w:val="0"/>
      <w:marRight w:val="0"/>
      <w:marTop w:val="0"/>
      <w:marBottom w:val="0"/>
      <w:divBdr>
        <w:top w:val="none" w:sz="0" w:space="0" w:color="auto"/>
        <w:left w:val="none" w:sz="0" w:space="0" w:color="auto"/>
        <w:bottom w:val="none" w:sz="0" w:space="0" w:color="auto"/>
        <w:right w:val="none" w:sz="0" w:space="0" w:color="auto"/>
      </w:divBdr>
    </w:div>
    <w:div w:id="515310559">
      <w:bodyDiv w:val="1"/>
      <w:marLeft w:val="0"/>
      <w:marRight w:val="0"/>
      <w:marTop w:val="0"/>
      <w:marBottom w:val="0"/>
      <w:divBdr>
        <w:top w:val="none" w:sz="0" w:space="0" w:color="auto"/>
        <w:left w:val="none" w:sz="0" w:space="0" w:color="auto"/>
        <w:bottom w:val="none" w:sz="0" w:space="0" w:color="auto"/>
        <w:right w:val="none" w:sz="0" w:space="0" w:color="auto"/>
      </w:divBdr>
    </w:div>
    <w:div w:id="515655970">
      <w:bodyDiv w:val="1"/>
      <w:marLeft w:val="0"/>
      <w:marRight w:val="0"/>
      <w:marTop w:val="0"/>
      <w:marBottom w:val="0"/>
      <w:divBdr>
        <w:top w:val="none" w:sz="0" w:space="0" w:color="auto"/>
        <w:left w:val="none" w:sz="0" w:space="0" w:color="auto"/>
        <w:bottom w:val="none" w:sz="0" w:space="0" w:color="auto"/>
        <w:right w:val="none" w:sz="0" w:space="0" w:color="auto"/>
      </w:divBdr>
    </w:div>
    <w:div w:id="515851533">
      <w:bodyDiv w:val="1"/>
      <w:marLeft w:val="0"/>
      <w:marRight w:val="0"/>
      <w:marTop w:val="0"/>
      <w:marBottom w:val="0"/>
      <w:divBdr>
        <w:top w:val="none" w:sz="0" w:space="0" w:color="auto"/>
        <w:left w:val="none" w:sz="0" w:space="0" w:color="auto"/>
        <w:bottom w:val="none" w:sz="0" w:space="0" w:color="auto"/>
        <w:right w:val="none" w:sz="0" w:space="0" w:color="auto"/>
      </w:divBdr>
    </w:div>
    <w:div w:id="518617542">
      <w:bodyDiv w:val="1"/>
      <w:marLeft w:val="0"/>
      <w:marRight w:val="0"/>
      <w:marTop w:val="0"/>
      <w:marBottom w:val="0"/>
      <w:divBdr>
        <w:top w:val="none" w:sz="0" w:space="0" w:color="auto"/>
        <w:left w:val="none" w:sz="0" w:space="0" w:color="auto"/>
        <w:bottom w:val="none" w:sz="0" w:space="0" w:color="auto"/>
        <w:right w:val="none" w:sz="0" w:space="0" w:color="auto"/>
      </w:divBdr>
    </w:div>
    <w:div w:id="518741975">
      <w:bodyDiv w:val="1"/>
      <w:marLeft w:val="0"/>
      <w:marRight w:val="0"/>
      <w:marTop w:val="0"/>
      <w:marBottom w:val="0"/>
      <w:divBdr>
        <w:top w:val="none" w:sz="0" w:space="0" w:color="auto"/>
        <w:left w:val="none" w:sz="0" w:space="0" w:color="auto"/>
        <w:bottom w:val="none" w:sz="0" w:space="0" w:color="auto"/>
        <w:right w:val="none" w:sz="0" w:space="0" w:color="auto"/>
      </w:divBdr>
    </w:div>
    <w:div w:id="518853530">
      <w:bodyDiv w:val="1"/>
      <w:marLeft w:val="0"/>
      <w:marRight w:val="0"/>
      <w:marTop w:val="0"/>
      <w:marBottom w:val="0"/>
      <w:divBdr>
        <w:top w:val="none" w:sz="0" w:space="0" w:color="auto"/>
        <w:left w:val="none" w:sz="0" w:space="0" w:color="auto"/>
        <w:bottom w:val="none" w:sz="0" w:space="0" w:color="auto"/>
        <w:right w:val="none" w:sz="0" w:space="0" w:color="auto"/>
      </w:divBdr>
    </w:div>
    <w:div w:id="519396448">
      <w:bodyDiv w:val="1"/>
      <w:marLeft w:val="0"/>
      <w:marRight w:val="0"/>
      <w:marTop w:val="0"/>
      <w:marBottom w:val="0"/>
      <w:divBdr>
        <w:top w:val="none" w:sz="0" w:space="0" w:color="auto"/>
        <w:left w:val="none" w:sz="0" w:space="0" w:color="auto"/>
        <w:bottom w:val="none" w:sz="0" w:space="0" w:color="auto"/>
        <w:right w:val="none" w:sz="0" w:space="0" w:color="auto"/>
      </w:divBdr>
    </w:div>
    <w:div w:id="520315898">
      <w:bodyDiv w:val="1"/>
      <w:marLeft w:val="0"/>
      <w:marRight w:val="0"/>
      <w:marTop w:val="0"/>
      <w:marBottom w:val="0"/>
      <w:divBdr>
        <w:top w:val="none" w:sz="0" w:space="0" w:color="auto"/>
        <w:left w:val="none" w:sz="0" w:space="0" w:color="auto"/>
        <w:bottom w:val="none" w:sz="0" w:space="0" w:color="auto"/>
        <w:right w:val="none" w:sz="0" w:space="0" w:color="auto"/>
      </w:divBdr>
    </w:div>
    <w:div w:id="520704043">
      <w:bodyDiv w:val="1"/>
      <w:marLeft w:val="0"/>
      <w:marRight w:val="0"/>
      <w:marTop w:val="0"/>
      <w:marBottom w:val="0"/>
      <w:divBdr>
        <w:top w:val="none" w:sz="0" w:space="0" w:color="auto"/>
        <w:left w:val="none" w:sz="0" w:space="0" w:color="auto"/>
        <w:bottom w:val="none" w:sz="0" w:space="0" w:color="auto"/>
        <w:right w:val="none" w:sz="0" w:space="0" w:color="auto"/>
      </w:divBdr>
    </w:div>
    <w:div w:id="520751879">
      <w:bodyDiv w:val="1"/>
      <w:marLeft w:val="0"/>
      <w:marRight w:val="0"/>
      <w:marTop w:val="0"/>
      <w:marBottom w:val="0"/>
      <w:divBdr>
        <w:top w:val="none" w:sz="0" w:space="0" w:color="auto"/>
        <w:left w:val="none" w:sz="0" w:space="0" w:color="auto"/>
        <w:bottom w:val="none" w:sz="0" w:space="0" w:color="auto"/>
        <w:right w:val="none" w:sz="0" w:space="0" w:color="auto"/>
      </w:divBdr>
    </w:div>
    <w:div w:id="521364313">
      <w:bodyDiv w:val="1"/>
      <w:marLeft w:val="0"/>
      <w:marRight w:val="0"/>
      <w:marTop w:val="0"/>
      <w:marBottom w:val="0"/>
      <w:divBdr>
        <w:top w:val="none" w:sz="0" w:space="0" w:color="auto"/>
        <w:left w:val="none" w:sz="0" w:space="0" w:color="auto"/>
        <w:bottom w:val="none" w:sz="0" w:space="0" w:color="auto"/>
        <w:right w:val="none" w:sz="0" w:space="0" w:color="auto"/>
      </w:divBdr>
    </w:div>
    <w:div w:id="522523852">
      <w:bodyDiv w:val="1"/>
      <w:marLeft w:val="0"/>
      <w:marRight w:val="0"/>
      <w:marTop w:val="0"/>
      <w:marBottom w:val="0"/>
      <w:divBdr>
        <w:top w:val="none" w:sz="0" w:space="0" w:color="auto"/>
        <w:left w:val="none" w:sz="0" w:space="0" w:color="auto"/>
        <w:bottom w:val="none" w:sz="0" w:space="0" w:color="auto"/>
        <w:right w:val="none" w:sz="0" w:space="0" w:color="auto"/>
      </w:divBdr>
    </w:div>
    <w:div w:id="522942207">
      <w:bodyDiv w:val="1"/>
      <w:marLeft w:val="0"/>
      <w:marRight w:val="0"/>
      <w:marTop w:val="0"/>
      <w:marBottom w:val="0"/>
      <w:divBdr>
        <w:top w:val="none" w:sz="0" w:space="0" w:color="auto"/>
        <w:left w:val="none" w:sz="0" w:space="0" w:color="auto"/>
        <w:bottom w:val="none" w:sz="0" w:space="0" w:color="auto"/>
        <w:right w:val="none" w:sz="0" w:space="0" w:color="auto"/>
      </w:divBdr>
    </w:div>
    <w:div w:id="523634801">
      <w:bodyDiv w:val="1"/>
      <w:marLeft w:val="0"/>
      <w:marRight w:val="0"/>
      <w:marTop w:val="0"/>
      <w:marBottom w:val="0"/>
      <w:divBdr>
        <w:top w:val="none" w:sz="0" w:space="0" w:color="auto"/>
        <w:left w:val="none" w:sz="0" w:space="0" w:color="auto"/>
        <w:bottom w:val="none" w:sz="0" w:space="0" w:color="auto"/>
        <w:right w:val="none" w:sz="0" w:space="0" w:color="auto"/>
      </w:divBdr>
    </w:div>
    <w:div w:id="523708810">
      <w:bodyDiv w:val="1"/>
      <w:marLeft w:val="0"/>
      <w:marRight w:val="0"/>
      <w:marTop w:val="0"/>
      <w:marBottom w:val="0"/>
      <w:divBdr>
        <w:top w:val="none" w:sz="0" w:space="0" w:color="auto"/>
        <w:left w:val="none" w:sz="0" w:space="0" w:color="auto"/>
        <w:bottom w:val="none" w:sz="0" w:space="0" w:color="auto"/>
        <w:right w:val="none" w:sz="0" w:space="0" w:color="auto"/>
      </w:divBdr>
    </w:div>
    <w:div w:id="523710696">
      <w:bodyDiv w:val="1"/>
      <w:marLeft w:val="0"/>
      <w:marRight w:val="0"/>
      <w:marTop w:val="0"/>
      <w:marBottom w:val="0"/>
      <w:divBdr>
        <w:top w:val="none" w:sz="0" w:space="0" w:color="auto"/>
        <w:left w:val="none" w:sz="0" w:space="0" w:color="auto"/>
        <w:bottom w:val="none" w:sz="0" w:space="0" w:color="auto"/>
        <w:right w:val="none" w:sz="0" w:space="0" w:color="auto"/>
      </w:divBdr>
    </w:div>
    <w:div w:id="524098142">
      <w:bodyDiv w:val="1"/>
      <w:marLeft w:val="0"/>
      <w:marRight w:val="0"/>
      <w:marTop w:val="0"/>
      <w:marBottom w:val="0"/>
      <w:divBdr>
        <w:top w:val="none" w:sz="0" w:space="0" w:color="auto"/>
        <w:left w:val="none" w:sz="0" w:space="0" w:color="auto"/>
        <w:bottom w:val="none" w:sz="0" w:space="0" w:color="auto"/>
        <w:right w:val="none" w:sz="0" w:space="0" w:color="auto"/>
      </w:divBdr>
    </w:div>
    <w:div w:id="524247245">
      <w:bodyDiv w:val="1"/>
      <w:marLeft w:val="0"/>
      <w:marRight w:val="0"/>
      <w:marTop w:val="0"/>
      <w:marBottom w:val="0"/>
      <w:divBdr>
        <w:top w:val="none" w:sz="0" w:space="0" w:color="auto"/>
        <w:left w:val="none" w:sz="0" w:space="0" w:color="auto"/>
        <w:bottom w:val="none" w:sz="0" w:space="0" w:color="auto"/>
        <w:right w:val="none" w:sz="0" w:space="0" w:color="auto"/>
      </w:divBdr>
    </w:div>
    <w:div w:id="525098215">
      <w:bodyDiv w:val="1"/>
      <w:marLeft w:val="0"/>
      <w:marRight w:val="0"/>
      <w:marTop w:val="0"/>
      <w:marBottom w:val="0"/>
      <w:divBdr>
        <w:top w:val="none" w:sz="0" w:space="0" w:color="auto"/>
        <w:left w:val="none" w:sz="0" w:space="0" w:color="auto"/>
        <w:bottom w:val="none" w:sz="0" w:space="0" w:color="auto"/>
        <w:right w:val="none" w:sz="0" w:space="0" w:color="auto"/>
      </w:divBdr>
    </w:div>
    <w:div w:id="525948199">
      <w:bodyDiv w:val="1"/>
      <w:marLeft w:val="0"/>
      <w:marRight w:val="0"/>
      <w:marTop w:val="0"/>
      <w:marBottom w:val="0"/>
      <w:divBdr>
        <w:top w:val="none" w:sz="0" w:space="0" w:color="auto"/>
        <w:left w:val="none" w:sz="0" w:space="0" w:color="auto"/>
        <w:bottom w:val="none" w:sz="0" w:space="0" w:color="auto"/>
        <w:right w:val="none" w:sz="0" w:space="0" w:color="auto"/>
      </w:divBdr>
    </w:div>
    <w:div w:id="526020733">
      <w:bodyDiv w:val="1"/>
      <w:marLeft w:val="0"/>
      <w:marRight w:val="0"/>
      <w:marTop w:val="0"/>
      <w:marBottom w:val="0"/>
      <w:divBdr>
        <w:top w:val="none" w:sz="0" w:space="0" w:color="auto"/>
        <w:left w:val="none" w:sz="0" w:space="0" w:color="auto"/>
        <w:bottom w:val="none" w:sz="0" w:space="0" w:color="auto"/>
        <w:right w:val="none" w:sz="0" w:space="0" w:color="auto"/>
      </w:divBdr>
      <w:divsChild>
        <w:div w:id="141433416">
          <w:marLeft w:val="0"/>
          <w:marRight w:val="0"/>
          <w:marTop w:val="0"/>
          <w:marBottom w:val="0"/>
          <w:divBdr>
            <w:top w:val="none" w:sz="0" w:space="0" w:color="auto"/>
            <w:left w:val="none" w:sz="0" w:space="0" w:color="auto"/>
            <w:bottom w:val="none" w:sz="0" w:space="0" w:color="auto"/>
            <w:right w:val="none" w:sz="0" w:space="0" w:color="auto"/>
          </w:divBdr>
        </w:div>
        <w:div w:id="1223716176">
          <w:marLeft w:val="0"/>
          <w:marRight w:val="0"/>
          <w:marTop w:val="0"/>
          <w:marBottom w:val="0"/>
          <w:divBdr>
            <w:top w:val="none" w:sz="0" w:space="0" w:color="auto"/>
            <w:left w:val="none" w:sz="0" w:space="0" w:color="auto"/>
            <w:bottom w:val="none" w:sz="0" w:space="0" w:color="auto"/>
            <w:right w:val="none" w:sz="0" w:space="0" w:color="auto"/>
          </w:divBdr>
        </w:div>
        <w:div w:id="985429938">
          <w:marLeft w:val="0"/>
          <w:marRight w:val="0"/>
          <w:marTop w:val="0"/>
          <w:marBottom w:val="0"/>
          <w:divBdr>
            <w:top w:val="none" w:sz="0" w:space="0" w:color="auto"/>
            <w:left w:val="none" w:sz="0" w:space="0" w:color="auto"/>
            <w:bottom w:val="none" w:sz="0" w:space="0" w:color="auto"/>
            <w:right w:val="none" w:sz="0" w:space="0" w:color="auto"/>
          </w:divBdr>
        </w:div>
      </w:divsChild>
    </w:div>
    <w:div w:id="526722704">
      <w:bodyDiv w:val="1"/>
      <w:marLeft w:val="0"/>
      <w:marRight w:val="0"/>
      <w:marTop w:val="0"/>
      <w:marBottom w:val="0"/>
      <w:divBdr>
        <w:top w:val="none" w:sz="0" w:space="0" w:color="auto"/>
        <w:left w:val="none" w:sz="0" w:space="0" w:color="auto"/>
        <w:bottom w:val="none" w:sz="0" w:space="0" w:color="auto"/>
        <w:right w:val="none" w:sz="0" w:space="0" w:color="auto"/>
      </w:divBdr>
    </w:div>
    <w:div w:id="527911926">
      <w:bodyDiv w:val="1"/>
      <w:marLeft w:val="0"/>
      <w:marRight w:val="0"/>
      <w:marTop w:val="0"/>
      <w:marBottom w:val="0"/>
      <w:divBdr>
        <w:top w:val="none" w:sz="0" w:space="0" w:color="auto"/>
        <w:left w:val="none" w:sz="0" w:space="0" w:color="auto"/>
        <w:bottom w:val="none" w:sz="0" w:space="0" w:color="auto"/>
        <w:right w:val="none" w:sz="0" w:space="0" w:color="auto"/>
      </w:divBdr>
    </w:div>
    <w:div w:id="528639777">
      <w:bodyDiv w:val="1"/>
      <w:marLeft w:val="0"/>
      <w:marRight w:val="0"/>
      <w:marTop w:val="0"/>
      <w:marBottom w:val="0"/>
      <w:divBdr>
        <w:top w:val="none" w:sz="0" w:space="0" w:color="auto"/>
        <w:left w:val="none" w:sz="0" w:space="0" w:color="auto"/>
        <w:bottom w:val="none" w:sz="0" w:space="0" w:color="auto"/>
        <w:right w:val="none" w:sz="0" w:space="0" w:color="auto"/>
      </w:divBdr>
    </w:div>
    <w:div w:id="528950338">
      <w:bodyDiv w:val="1"/>
      <w:marLeft w:val="0"/>
      <w:marRight w:val="0"/>
      <w:marTop w:val="0"/>
      <w:marBottom w:val="0"/>
      <w:divBdr>
        <w:top w:val="none" w:sz="0" w:space="0" w:color="auto"/>
        <w:left w:val="none" w:sz="0" w:space="0" w:color="auto"/>
        <w:bottom w:val="none" w:sz="0" w:space="0" w:color="auto"/>
        <w:right w:val="none" w:sz="0" w:space="0" w:color="auto"/>
      </w:divBdr>
      <w:divsChild>
        <w:div w:id="978807700">
          <w:marLeft w:val="0"/>
          <w:marRight w:val="0"/>
          <w:marTop w:val="0"/>
          <w:marBottom w:val="0"/>
          <w:divBdr>
            <w:top w:val="none" w:sz="0" w:space="0" w:color="auto"/>
            <w:left w:val="none" w:sz="0" w:space="0" w:color="auto"/>
            <w:bottom w:val="none" w:sz="0" w:space="0" w:color="auto"/>
            <w:right w:val="none" w:sz="0" w:space="0" w:color="auto"/>
          </w:divBdr>
        </w:div>
        <w:div w:id="1026708753">
          <w:marLeft w:val="0"/>
          <w:marRight w:val="0"/>
          <w:marTop w:val="0"/>
          <w:marBottom w:val="0"/>
          <w:divBdr>
            <w:top w:val="none" w:sz="0" w:space="0" w:color="auto"/>
            <w:left w:val="none" w:sz="0" w:space="0" w:color="auto"/>
            <w:bottom w:val="none" w:sz="0" w:space="0" w:color="auto"/>
            <w:right w:val="none" w:sz="0" w:space="0" w:color="auto"/>
          </w:divBdr>
        </w:div>
        <w:div w:id="229778860">
          <w:marLeft w:val="0"/>
          <w:marRight w:val="0"/>
          <w:marTop w:val="0"/>
          <w:marBottom w:val="0"/>
          <w:divBdr>
            <w:top w:val="none" w:sz="0" w:space="0" w:color="auto"/>
            <w:left w:val="none" w:sz="0" w:space="0" w:color="auto"/>
            <w:bottom w:val="none" w:sz="0" w:space="0" w:color="auto"/>
            <w:right w:val="none" w:sz="0" w:space="0" w:color="auto"/>
          </w:divBdr>
        </w:div>
        <w:div w:id="1018968029">
          <w:marLeft w:val="0"/>
          <w:marRight w:val="0"/>
          <w:marTop w:val="0"/>
          <w:marBottom w:val="0"/>
          <w:divBdr>
            <w:top w:val="none" w:sz="0" w:space="0" w:color="auto"/>
            <w:left w:val="none" w:sz="0" w:space="0" w:color="auto"/>
            <w:bottom w:val="none" w:sz="0" w:space="0" w:color="auto"/>
            <w:right w:val="none" w:sz="0" w:space="0" w:color="auto"/>
          </w:divBdr>
        </w:div>
        <w:div w:id="1119225298">
          <w:marLeft w:val="0"/>
          <w:marRight w:val="0"/>
          <w:marTop w:val="0"/>
          <w:marBottom w:val="0"/>
          <w:divBdr>
            <w:top w:val="none" w:sz="0" w:space="0" w:color="auto"/>
            <w:left w:val="none" w:sz="0" w:space="0" w:color="auto"/>
            <w:bottom w:val="none" w:sz="0" w:space="0" w:color="auto"/>
            <w:right w:val="none" w:sz="0" w:space="0" w:color="auto"/>
          </w:divBdr>
        </w:div>
        <w:div w:id="1301227562">
          <w:marLeft w:val="0"/>
          <w:marRight w:val="0"/>
          <w:marTop w:val="0"/>
          <w:marBottom w:val="0"/>
          <w:divBdr>
            <w:top w:val="none" w:sz="0" w:space="0" w:color="auto"/>
            <w:left w:val="none" w:sz="0" w:space="0" w:color="auto"/>
            <w:bottom w:val="none" w:sz="0" w:space="0" w:color="auto"/>
            <w:right w:val="none" w:sz="0" w:space="0" w:color="auto"/>
          </w:divBdr>
        </w:div>
        <w:div w:id="1867022072">
          <w:marLeft w:val="0"/>
          <w:marRight w:val="0"/>
          <w:marTop w:val="0"/>
          <w:marBottom w:val="0"/>
          <w:divBdr>
            <w:top w:val="none" w:sz="0" w:space="0" w:color="auto"/>
            <w:left w:val="none" w:sz="0" w:space="0" w:color="auto"/>
            <w:bottom w:val="none" w:sz="0" w:space="0" w:color="auto"/>
            <w:right w:val="none" w:sz="0" w:space="0" w:color="auto"/>
          </w:divBdr>
        </w:div>
      </w:divsChild>
    </w:div>
    <w:div w:id="529220873">
      <w:bodyDiv w:val="1"/>
      <w:marLeft w:val="0"/>
      <w:marRight w:val="0"/>
      <w:marTop w:val="0"/>
      <w:marBottom w:val="0"/>
      <w:divBdr>
        <w:top w:val="none" w:sz="0" w:space="0" w:color="auto"/>
        <w:left w:val="none" w:sz="0" w:space="0" w:color="auto"/>
        <w:bottom w:val="none" w:sz="0" w:space="0" w:color="auto"/>
        <w:right w:val="none" w:sz="0" w:space="0" w:color="auto"/>
      </w:divBdr>
    </w:div>
    <w:div w:id="529493494">
      <w:bodyDiv w:val="1"/>
      <w:marLeft w:val="0"/>
      <w:marRight w:val="0"/>
      <w:marTop w:val="0"/>
      <w:marBottom w:val="0"/>
      <w:divBdr>
        <w:top w:val="none" w:sz="0" w:space="0" w:color="auto"/>
        <w:left w:val="none" w:sz="0" w:space="0" w:color="auto"/>
        <w:bottom w:val="none" w:sz="0" w:space="0" w:color="auto"/>
        <w:right w:val="none" w:sz="0" w:space="0" w:color="auto"/>
      </w:divBdr>
      <w:divsChild>
        <w:div w:id="298339836">
          <w:marLeft w:val="0"/>
          <w:marRight w:val="0"/>
          <w:marTop w:val="0"/>
          <w:marBottom w:val="0"/>
          <w:divBdr>
            <w:top w:val="none" w:sz="0" w:space="0" w:color="auto"/>
            <w:left w:val="none" w:sz="0" w:space="0" w:color="auto"/>
            <w:bottom w:val="none" w:sz="0" w:space="0" w:color="auto"/>
            <w:right w:val="none" w:sz="0" w:space="0" w:color="auto"/>
          </w:divBdr>
        </w:div>
        <w:div w:id="1788347617">
          <w:marLeft w:val="0"/>
          <w:marRight w:val="0"/>
          <w:marTop w:val="0"/>
          <w:marBottom w:val="0"/>
          <w:divBdr>
            <w:top w:val="none" w:sz="0" w:space="0" w:color="auto"/>
            <w:left w:val="none" w:sz="0" w:space="0" w:color="auto"/>
            <w:bottom w:val="none" w:sz="0" w:space="0" w:color="auto"/>
            <w:right w:val="none" w:sz="0" w:space="0" w:color="auto"/>
          </w:divBdr>
        </w:div>
        <w:div w:id="1191147780">
          <w:marLeft w:val="0"/>
          <w:marRight w:val="0"/>
          <w:marTop w:val="0"/>
          <w:marBottom w:val="0"/>
          <w:divBdr>
            <w:top w:val="none" w:sz="0" w:space="0" w:color="auto"/>
            <w:left w:val="none" w:sz="0" w:space="0" w:color="auto"/>
            <w:bottom w:val="none" w:sz="0" w:space="0" w:color="auto"/>
            <w:right w:val="none" w:sz="0" w:space="0" w:color="auto"/>
          </w:divBdr>
        </w:div>
        <w:div w:id="1134445841">
          <w:marLeft w:val="0"/>
          <w:marRight w:val="0"/>
          <w:marTop w:val="0"/>
          <w:marBottom w:val="0"/>
          <w:divBdr>
            <w:top w:val="none" w:sz="0" w:space="0" w:color="auto"/>
            <w:left w:val="none" w:sz="0" w:space="0" w:color="auto"/>
            <w:bottom w:val="none" w:sz="0" w:space="0" w:color="auto"/>
            <w:right w:val="none" w:sz="0" w:space="0" w:color="auto"/>
          </w:divBdr>
        </w:div>
        <w:div w:id="1275793978">
          <w:marLeft w:val="0"/>
          <w:marRight w:val="0"/>
          <w:marTop w:val="0"/>
          <w:marBottom w:val="0"/>
          <w:divBdr>
            <w:top w:val="none" w:sz="0" w:space="0" w:color="auto"/>
            <w:left w:val="none" w:sz="0" w:space="0" w:color="auto"/>
            <w:bottom w:val="none" w:sz="0" w:space="0" w:color="auto"/>
            <w:right w:val="none" w:sz="0" w:space="0" w:color="auto"/>
          </w:divBdr>
        </w:div>
        <w:div w:id="1361854974">
          <w:marLeft w:val="0"/>
          <w:marRight w:val="0"/>
          <w:marTop w:val="0"/>
          <w:marBottom w:val="0"/>
          <w:divBdr>
            <w:top w:val="none" w:sz="0" w:space="0" w:color="auto"/>
            <w:left w:val="none" w:sz="0" w:space="0" w:color="auto"/>
            <w:bottom w:val="none" w:sz="0" w:space="0" w:color="auto"/>
            <w:right w:val="none" w:sz="0" w:space="0" w:color="auto"/>
          </w:divBdr>
        </w:div>
        <w:div w:id="1403916223">
          <w:marLeft w:val="0"/>
          <w:marRight w:val="0"/>
          <w:marTop w:val="0"/>
          <w:marBottom w:val="0"/>
          <w:divBdr>
            <w:top w:val="none" w:sz="0" w:space="0" w:color="auto"/>
            <w:left w:val="none" w:sz="0" w:space="0" w:color="auto"/>
            <w:bottom w:val="none" w:sz="0" w:space="0" w:color="auto"/>
            <w:right w:val="none" w:sz="0" w:space="0" w:color="auto"/>
          </w:divBdr>
        </w:div>
      </w:divsChild>
    </w:div>
    <w:div w:id="531042900">
      <w:bodyDiv w:val="1"/>
      <w:marLeft w:val="0"/>
      <w:marRight w:val="0"/>
      <w:marTop w:val="0"/>
      <w:marBottom w:val="0"/>
      <w:divBdr>
        <w:top w:val="none" w:sz="0" w:space="0" w:color="auto"/>
        <w:left w:val="none" w:sz="0" w:space="0" w:color="auto"/>
        <w:bottom w:val="none" w:sz="0" w:space="0" w:color="auto"/>
        <w:right w:val="none" w:sz="0" w:space="0" w:color="auto"/>
      </w:divBdr>
    </w:div>
    <w:div w:id="531891626">
      <w:bodyDiv w:val="1"/>
      <w:marLeft w:val="0"/>
      <w:marRight w:val="0"/>
      <w:marTop w:val="0"/>
      <w:marBottom w:val="0"/>
      <w:divBdr>
        <w:top w:val="none" w:sz="0" w:space="0" w:color="auto"/>
        <w:left w:val="none" w:sz="0" w:space="0" w:color="auto"/>
        <w:bottom w:val="none" w:sz="0" w:space="0" w:color="auto"/>
        <w:right w:val="none" w:sz="0" w:space="0" w:color="auto"/>
      </w:divBdr>
    </w:div>
    <w:div w:id="532965918">
      <w:bodyDiv w:val="1"/>
      <w:marLeft w:val="0"/>
      <w:marRight w:val="0"/>
      <w:marTop w:val="0"/>
      <w:marBottom w:val="0"/>
      <w:divBdr>
        <w:top w:val="none" w:sz="0" w:space="0" w:color="auto"/>
        <w:left w:val="none" w:sz="0" w:space="0" w:color="auto"/>
        <w:bottom w:val="none" w:sz="0" w:space="0" w:color="auto"/>
        <w:right w:val="none" w:sz="0" w:space="0" w:color="auto"/>
      </w:divBdr>
    </w:div>
    <w:div w:id="533737827">
      <w:bodyDiv w:val="1"/>
      <w:marLeft w:val="0"/>
      <w:marRight w:val="0"/>
      <w:marTop w:val="0"/>
      <w:marBottom w:val="0"/>
      <w:divBdr>
        <w:top w:val="none" w:sz="0" w:space="0" w:color="auto"/>
        <w:left w:val="none" w:sz="0" w:space="0" w:color="auto"/>
        <w:bottom w:val="none" w:sz="0" w:space="0" w:color="auto"/>
        <w:right w:val="none" w:sz="0" w:space="0" w:color="auto"/>
      </w:divBdr>
    </w:div>
    <w:div w:id="534083099">
      <w:bodyDiv w:val="1"/>
      <w:marLeft w:val="0"/>
      <w:marRight w:val="0"/>
      <w:marTop w:val="0"/>
      <w:marBottom w:val="0"/>
      <w:divBdr>
        <w:top w:val="none" w:sz="0" w:space="0" w:color="auto"/>
        <w:left w:val="none" w:sz="0" w:space="0" w:color="auto"/>
        <w:bottom w:val="none" w:sz="0" w:space="0" w:color="auto"/>
        <w:right w:val="none" w:sz="0" w:space="0" w:color="auto"/>
      </w:divBdr>
      <w:divsChild>
        <w:div w:id="300770167">
          <w:marLeft w:val="0"/>
          <w:marRight w:val="0"/>
          <w:marTop w:val="0"/>
          <w:marBottom w:val="0"/>
          <w:divBdr>
            <w:top w:val="none" w:sz="0" w:space="0" w:color="auto"/>
            <w:left w:val="none" w:sz="0" w:space="0" w:color="auto"/>
            <w:bottom w:val="none" w:sz="0" w:space="0" w:color="auto"/>
            <w:right w:val="none" w:sz="0" w:space="0" w:color="auto"/>
          </w:divBdr>
        </w:div>
        <w:div w:id="1794902782">
          <w:marLeft w:val="0"/>
          <w:marRight w:val="0"/>
          <w:marTop w:val="0"/>
          <w:marBottom w:val="0"/>
          <w:divBdr>
            <w:top w:val="none" w:sz="0" w:space="0" w:color="auto"/>
            <w:left w:val="none" w:sz="0" w:space="0" w:color="auto"/>
            <w:bottom w:val="none" w:sz="0" w:space="0" w:color="auto"/>
            <w:right w:val="none" w:sz="0" w:space="0" w:color="auto"/>
          </w:divBdr>
        </w:div>
        <w:div w:id="1111895949">
          <w:marLeft w:val="0"/>
          <w:marRight w:val="0"/>
          <w:marTop w:val="0"/>
          <w:marBottom w:val="0"/>
          <w:divBdr>
            <w:top w:val="none" w:sz="0" w:space="0" w:color="auto"/>
            <w:left w:val="none" w:sz="0" w:space="0" w:color="auto"/>
            <w:bottom w:val="none" w:sz="0" w:space="0" w:color="auto"/>
            <w:right w:val="none" w:sz="0" w:space="0" w:color="auto"/>
          </w:divBdr>
        </w:div>
        <w:div w:id="1423721035">
          <w:marLeft w:val="0"/>
          <w:marRight w:val="0"/>
          <w:marTop w:val="0"/>
          <w:marBottom w:val="0"/>
          <w:divBdr>
            <w:top w:val="none" w:sz="0" w:space="0" w:color="auto"/>
            <w:left w:val="none" w:sz="0" w:space="0" w:color="auto"/>
            <w:bottom w:val="none" w:sz="0" w:space="0" w:color="auto"/>
            <w:right w:val="none" w:sz="0" w:space="0" w:color="auto"/>
          </w:divBdr>
        </w:div>
        <w:div w:id="1535461799">
          <w:marLeft w:val="0"/>
          <w:marRight w:val="0"/>
          <w:marTop w:val="0"/>
          <w:marBottom w:val="0"/>
          <w:divBdr>
            <w:top w:val="none" w:sz="0" w:space="0" w:color="auto"/>
            <w:left w:val="none" w:sz="0" w:space="0" w:color="auto"/>
            <w:bottom w:val="none" w:sz="0" w:space="0" w:color="auto"/>
            <w:right w:val="none" w:sz="0" w:space="0" w:color="auto"/>
          </w:divBdr>
        </w:div>
      </w:divsChild>
    </w:div>
    <w:div w:id="534856195">
      <w:bodyDiv w:val="1"/>
      <w:marLeft w:val="0"/>
      <w:marRight w:val="0"/>
      <w:marTop w:val="0"/>
      <w:marBottom w:val="0"/>
      <w:divBdr>
        <w:top w:val="none" w:sz="0" w:space="0" w:color="auto"/>
        <w:left w:val="none" w:sz="0" w:space="0" w:color="auto"/>
        <w:bottom w:val="none" w:sz="0" w:space="0" w:color="auto"/>
        <w:right w:val="none" w:sz="0" w:space="0" w:color="auto"/>
      </w:divBdr>
    </w:div>
    <w:div w:id="535194172">
      <w:bodyDiv w:val="1"/>
      <w:marLeft w:val="0"/>
      <w:marRight w:val="0"/>
      <w:marTop w:val="0"/>
      <w:marBottom w:val="0"/>
      <w:divBdr>
        <w:top w:val="none" w:sz="0" w:space="0" w:color="auto"/>
        <w:left w:val="none" w:sz="0" w:space="0" w:color="auto"/>
        <w:bottom w:val="none" w:sz="0" w:space="0" w:color="auto"/>
        <w:right w:val="none" w:sz="0" w:space="0" w:color="auto"/>
      </w:divBdr>
    </w:div>
    <w:div w:id="535628003">
      <w:bodyDiv w:val="1"/>
      <w:marLeft w:val="0"/>
      <w:marRight w:val="0"/>
      <w:marTop w:val="0"/>
      <w:marBottom w:val="0"/>
      <w:divBdr>
        <w:top w:val="none" w:sz="0" w:space="0" w:color="auto"/>
        <w:left w:val="none" w:sz="0" w:space="0" w:color="auto"/>
        <w:bottom w:val="none" w:sz="0" w:space="0" w:color="auto"/>
        <w:right w:val="none" w:sz="0" w:space="0" w:color="auto"/>
      </w:divBdr>
    </w:div>
    <w:div w:id="535629153">
      <w:bodyDiv w:val="1"/>
      <w:marLeft w:val="0"/>
      <w:marRight w:val="0"/>
      <w:marTop w:val="0"/>
      <w:marBottom w:val="0"/>
      <w:divBdr>
        <w:top w:val="none" w:sz="0" w:space="0" w:color="auto"/>
        <w:left w:val="none" w:sz="0" w:space="0" w:color="auto"/>
        <w:bottom w:val="none" w:sz="0" w:space="0" w:color="auto"/>
        <w:right w:val="none" w:sz="0" w:space="0" w:color="auto"/>
      </w:divBdr>
    </w:div>
    <w:div w:id="535854739">
      <w:bodyDiv w:val="1"/>
      <w:marLeft w:val="0"/>
      <w:marRight w:val="0"/>
      <w:marTop w:val="0"/>
      <w:marBottom w:val="0"/>
      <w:divBdr>
        <w:top w:val="none" w:sz="0" w:space="0" w:color="auto"/>
        <w:left w:val="none" w:sz="0" w:space="0" w:color="auto"/>
        <w:bottom w:val="none" w:sz="0" w:space="0" w:color="auto"/>
        <w:right w:val="none" w:sz="0" w:space="0" w:color="auto"/>
      </w:divBdr>
    </w:div>
    <w:div w:id="536889511">
      <w:bodyDiv w:val="1"/>
      <w:marLeft w:val="0"/>
      <w:marRight w:val="0"/>
      <w:marTop w:val="0"/>
      <w:marBottom w:val="0"/>
      <w:divBdr>
        <w:top w:val="none" w:sz="0" w:space="0" w:color="auto"/>
        <w:left w:val="none" w:sz="0" w:space="0" w:color="auto"/>
        <w:bottom w:val="none" w:sz="0" w:space="0" w:color="auto"/>
        <w:right w:val="none" w:sz="0" w:space="0" w:color="auto"/>
      </w:divBdr>
    </w:div>
    <w:div w:id="537159623">
      <w:bodyDiv w:val="1"/>
      <w:marLeft w:val="0"/>
      <w:marRight w:val="0"/>
      <w:marTop w:val="0"/>
      <w:marBottom w:val="0"/>
      <w:divBdr>
        <w:top w:val="none" w:sz="0" w:space="0" w:color="auto"/>
        <w:left w:val="none" w:sz="0" w:space="0" w:color="auto"/>
        <w:bottom w:val="none" w:sz="0" w:space="0" w:color="auto"/>
        <w:right w:val="none" w:sz="0" w:space="0" w:color="auto"/>
      </w:divBdr>
    </w:div>
    <w:div w:id="538669046">
      <w:bodyDiv w:val="1"/>
      <w:marLeft w:val="0"/>
      <w:marRight w:val="0"/>
      <w:marTop w:val="0"/>
      <w:marBottom w:val="0"/>
      <w:divBdr>
        <w:top w:val="none" w:sz="0" w:space="0" w:color="auto"/>
        <w:left w:val="none" w:sz="0" w:space="0" w:color="auto"/>
        <w:bottom w:val="none" w:sz="0" w:space="0" w:color="auto"/>
        <w:right w:val="none" w:sz="0" w:space="0" w:color="auto"/>
      </w:divBdr>
    </w:div>
    <w:div w:id="539784384">
      <w:bodyDiv w:val="1"/>
      <w:marLeft w:val="0"/>
      <w:marRight w:val="0"/>
      <w:marTop w:val="0"/>
      <w:marBottom w:val="0"/>
      <w:divBdr>
        <w:top w:val="none" w:sz="0" w:space="0" w:color="auto"/>
        <w:left w:val="none" w:sz="0" w:space="0" w:color="auto"/>
        <w:bottom w:val="none" w:sz="0" w:space="0" w:color="auto"/>
        <w:right w:val="none" w:sz="0" w:space="0" w:color="auto"/>
      </w:divBdr>
    </w:div>
    <w:div w:id="539825641">
      <w:bodyDiv w:val="1"/>
      <w:marLeft w:val="0"/>
      <w:marRight w:val="0"/>
      <w:marTop w:val="0"/>
      <w:marBottom w:val="0"/>
      <w:divBdr>
        <w:top w:val="none" w:sz="0" w:space="0" w:color="auto"/>
        <w:left w:val="none" w:sz="0" w:space="0" w:color="auto"/>
        <w:bottom w:val="none" w:sz="0" w:space="0" w:color="auto"/>
        <w:right w:val="none" w:sz="0" w:space="0" w:color="auto"/>
      </w:divBdr>
    </w:div>
    <w:div w:id="539902372">
      <w:bodyDiv w:val="1"/>
      <w:marLeft w:val="0"/>
      <w:marRight w:val="0"/>
      <w:marTop w:val="0"/>
      <w:marBottom w:val="0"/>
      <w:divBdr>
        <w:top w:val="none" w:sz="0" w:space="0" w:color="auto"/>
        <w:left w:val="none" w:sz="0" w:space="0" w:color="auto"/>
        <w:bottom w:val="none" w:sz="0" w:space="0" w:color="auto"/>
        <w:right w:val="none" w:sz="0" w:space="0" w:color="auto"/>
      </w:divBdr>
    </w:div>
    <w:div w:id="540284128">
      <w:bodyDiv w:val="1"/>
      <w:marLeft w:val="0"/>
      <w:marRight w:val="0"/>
      <w:marTop w:val="0"/>
      <w:marBottom w:val="0"/>
      <w:divBdr>
        <w:top w:val="none" w:sz="0" w:space="0" w:color="auto"/>
        <w:left w:val="none" w:sz="0" w:space="0" w:color="auto"/>
        <w:bottom w:val="none" w:sz="0" w:space="0" w:color="auto"/>
        <w:right w:val="none" w:sz="0" w:space="0" w:color="auto"/>
      </w:divBdr>
    </w:div>
    <w:div w:id="541139259">
      <w:bodyDiv w:val="1"/>
      <w:marLeft w:val="0"/>
      <w:marRight w:val="0"/>
      <w:marTop w:val="0"/>
      <w:marBottom w:val="0"/>
      <w:divBdr>
        <w:top w:val="none" w:sz="0" w:space="0" w:color="auto"/>
        <w:left w:val="none" w:sz="0" w:space="0" w:color="auto"/>
        <w:bottom w:val="none" w:sz="0" w:space="0" w:color="auto"/>
        <w:right w:val="none" w:sz="0" w:space="0" w:color="auto"/>
      </w:divBdr>
    </w:div>
    <w:div w:id="543293991">
      <w:bodyDiv w:val="1"/>
      <w:marLeft w:val="0"/>
      <w:marRight w:val="0"/>
      <w:marTop w:val="0"/>
      <w:marBottom w:val="0"/>
      <w:divBdr>
        <w:top w:val="none" w:sz="0" w:space="0" w:color="auto"/>
        <w:left w:val="none" w:sz="0" w:space="0" w:color="auto"/>
        <w:bottom w:val="none" w:sz="0" w:space="0" w:color="auto"/>
        <w:right w:val="none" w:sz="0" w:space="0" w:color="auto"/>
      </w:divBdr>
    </w:div>
    <w:div w:id="543370717">
      <w:bodyDiv w:val="1"/>
      <w:marLeft w:val="0"/>
      <w:marRight w:val="0"/>
      <w:marTop w:val="0"/>
      <w:marBottom w:val="0"/>
      <w:divBdr>
        <w:top w:val="none" w:sz="0" w:space="0" w:color="auto"/>
        <w:left w:val="none" w:sz="0" w:space="0" w:color="auto"/>
        <w:bottom w:val="none" w:sz="0" w:space="0" w:color="auto"/>
        <w:right w:val="none" w:sz="0" w:space="0" w:color="auto"/>
      </w:divBdr>
    </w:div>
    <w:div w:id="544371055">
      <w:bodyDiv w:val="1"/>
      <w:marLeft w:val="0"/>
      <w:marRight w:val="0"/>
      <w:marTop w:val="0"/>
      <w:marBottom w:val="0"/>
      <w:divBdr>
        <w:top w:val="none" w:sz="0" w:space="0" w:color="auto"/>
        <w:left w:val="none" w:sz="0" w:space="0" w:color="auto"/>
        <w:bottom w:val="none" w:sz="0" w:space="0" w:color="auto"/>
        <w:right w:val="none" w:sz="0" w:space="0" w:color="auto"/>
      </w:divBdr>
    </w:div>
    <w:div w:id="544870495">
      <w:bodyDiv w:val="1"/>
      <w:marLeft w:val="0"/>
      <w:marRight w:val="0"/>
      <w:marTop w:val="0"/>
      <w:marBottom w:val="0"/>
      <w:divBdr>
        <w:top w:val="none" w:sz="0" w:space="0" w:color="auto"/>
        <w:left w:val="none" w:sz="0" w:space="0" w:color="auto"/>
        <w:bottom w:val="none" w:sz="0" w:space="0" w:color="auto"/>
        <w:right w:val="none" w:sz="0" w:space="0" w:color="auto"/>
      </w:divBdr>
    </w:div>
    <w:div w:id="545024095">
      <w:bodyDiv w:val="1"/>
      <w:marLeft w:val="0"/>
      <w:marRight w:val="0"/>
      <w:marTop w:val="0"/>
      <w:marBottom w:val="0"/>
      <w:divBdr>
        <w:top w:val="none" w:sz="0" w:space="0" w:color="auto"/>
        <w:left w:val="none" w:sz="0" w:space="0" w:color="auto"/>
        <w:bottom w:val="none" w:sz="0" w:space="0" w:color="auto"/>
        <w:right w:val="none" w:sz="0" w:space="0" w:color="auto"/>
      </w:divBdr>
    </w:div>
    <w:div w:id="545339449">
      <w:bodyDiv w:val="1"/>
      <w:marLeft w:val="0"/>
      <w:marRight w:val="0"/>
      <w:marTop w:val="0"/>
      <w:marBottom w:val="0"/>
      <w:divBdr>
        <w:top w:val="none" w:sz="0" w:space="0" w:color="auto"/>
        <w:left w:val="none" w:sz="0" w:space="0" w:color="auto"/>
        <w:bottom w:val="none" w:sz="0" w:space="0" w:color="auto"/>
        <w:right w:val="none" w:sz="0" w:space="0" w:color="auto"/>
      </w:divBdr>
    </w:div>
    <w:div w:id="545609219">
      <w:bodyDiv w:val="1"/>
      <w:marLeft w:val="0"/>
      <w:marRight w:val="0"/>
      <w:marTop w:val="0"/>
      <w:marBottom w:val="0"/>
      <w:divBdr>
        <w:top w:val="none" w:sz="0" w:space="0" w:color="auto"/>
        <w:left w:val="none" w:sz="0" w:space="0" w:color="auto"/>
        <w:bottom w:val="none" w:sz="0" w:space="0" w:color="auto"/>
        <w:right w:val="none" w:sz="0" w:space="0" w:color="auto"/>
      </w:divBdr>
    </w:div>
    <w:div w:id="546140165">
      <w:bodyDiv w:val="1"/>
      <w:marLeft w:val="0"/>
      <w:marRight w:val="0"/>
      <w:marTop w:val="0"/>
      <w:marBottom w:val="0"/>
      <w:divBdr>
        <w:top w:val="none" w:sz="0" w:space="0" w:color="auto"/>
        <w:left w:val="none" w:sz="0" w:space="0" w:color="auto"/>
        <w:bottom w:val="none" w:sz="0" w:space="0" w:color="auto"/>
        <w:right w:val="none" w:sz="0" w:space="0" w:color="auto"/>
      </w:divBdr>
    </w:div>
    <w:div w:id="546769166">
      <w:bodyDiv w:val="1"/>
      <w:marLeft w:val="0"/>
      <w:marRight w:val="0"/>
      <w:marTop w:val="0"/>
      <w:marBottom w:val="0"/>
      <w:divBdr>
        <w:top w:val="none" w:sz="0" w:space="0" w:color="auto"/>
        <w:left w:val="none" w:sz="0" w:space="0" w:color="auto"/>
        <w:bottom w:val="none" w:sz="0" w:space="0" w:color="auto"/>
        <w:right w:val="none" w:sz="0" w:space="0" w:color="auto"/>
      </w:divBdr>
    </w:div>
    <w:div w:id="546836847">
      <w:bodyDiv w:val="1"/>
      <w:marLeft w:val="0"/>
      <w:marRight w:val="0"/>
      <w:marTop w:val="0"/>
      <w:marBottom w:val="0"/>
      <w:divBdr>
        <w:top w:val="none" w:sz="0" w:space="0" w:color="auto"/>
        <w:left w:val="none" w:sz="0" w:space="0" w:color="auto"/>
        <w:bottom w:val="none" w:sz="0" w:space="0" w:color="auto"/>
        <w:right w:val="none" w:sz="0" w:space="0" w:color="auto"/>
      </w:divBdr>
    </w:div>
    <w:div w:id="549346292">
      <w:bodyDiv w:val="1"/>
      <w:marLeft w:val="0"/>
      <w:marRight w:val="0"/>
      <w:marTop w:val="0"/>
      <w:marBottom w:val="0"/>
      <w:divBdr>
        <w:top w:val="none" w:sz="0" w:space="0" w:color="auto"/>
        <w:left w:val="none" w:sz="0" w:space="0" w:color="auto"/>
        <w:bottom w:val="none" w:sz="0" w:space="0" w:color="auto"/>
        <w:right w:val="none" w:sz="0" w:space="0" w:color="auto"/>
      </w:divBdr>
    </w:div>
    <w:div w:id="549727834">
      <w:bodyDiv w:val="1"/>
      <w:marLeft w:val="0"/>
      <w:marRight w:val="0"/>
      <w:marTop w:val="0"/>
      <w:marBottom w:val="0"/>
      <w:divBdr>
        <w:top w:val="none" w:sz="0" w:space="0" w:color="auto"/>
        <w:left w:val="none" w:sz="0" w:space="0" w:color="auto"/>
        <w:bottom w:val="none" w:sz="0" w:space="0" w:color="auto"/>
        <w:right w:val="none" w:sz="0" w:space="0" w:color="auto"/>
      </w:divBdr>
    </w:div>
    <w:div w:id="549927921">
      <w:bodyDiv w:val="1"/>
      <w:marLeft w:val="0"/>
      <w:marRight w:val="0"/>
      <w:marTop w:val="0"/>
      <w:marBottom w:val="0"/>
      <w:divBdr>
        <w:top w:val="none" w:sz="0" w:space="0" w:color="auto"/>
        <w:left w:val="none" w:sz="0" w:space="0" w:color="auto"/>
        <w:bottom w:val="none" w:sz="0" w:space="0" w:color="auto"/>
        <w:right w:val="none" w:sz="0" w:space="0" w:color="auto"/>
      </w:divBdr>
    </w:div>
    <w:div w:id="550076287">
      <w:bodyDiv w:val="1"/>
      <w:marLeft w:val="0"/>
      <w:marRight w:val="0"/>
      <w:marTop w:val="0"/>
      <w:marBottom w:val="0"/>
      <w:divBdr>
        <w:top w:val="none" w:sz="0" w:space="0" w:color="auto"/>
        <w:left w:val="none" w:sz="0" w:space="0" w:color="auto"/>
        <w:bottom w:val="none" w:sz="0" w:space="0" w:color="auto"/>
        <w:right w:val="none" w:sz="0" w:space="0" w:color="auto"/>
      </w:divBdr>
    </w:div>
    <w:div w:id="551236145">
      <w:bodyDiv w:val="1"/>
      <w:marLeft w:val="0"/>
      <w:marRight w:val="0"/>
      <w:marTop w:val="0"/>
      <w:marBottom w:val="0"/>
      <w:divBdr>
        <w:top w:val="none" w:sz="0" w:space="0" w:color="auto"/>
        <w:left w:val="none" w:sz="0" w:space="0" w:color="auto"/>
        <w:bottom w:val="none" w:sz="0" w:space="0" w:color="auto"/>
        <w:right w:val="none" w:sz="0" w:space="0" w:color="auto"/>
      </w:divBdr>
    </w:div>
    <w:div w:id="551580846">
      <w:bodyDiv w:val="1"/>
      <w:marLeft w:val="0"/>
      <w:marRight w:val="0"/>
      <w:marTop w:val="0"/>
      <w:marBottom w:val="0"/>
      <w:divBdr>
        <w:top w:val="none" w:sz="0" w:space="0" w:color="auto"/>
        <w:left w:val="none" w:sz="0" w:space="0" w:color="auto"/>
        <w:bottom w:val="none" w:sz="0" w:space="0" w:color="auto"/>
        <w:right w:val="none" w:sz="0" w:space="0" w:color="auto"/>
      </w:divBdr>
    </w:div>
    <w:div w:id="551648986">
      <w:bodyDiv w:val="1"/>
      <w:marLeft w:val="0"/>
      <w:marRight w:val="0"/>
      <w:marTop w:val="0"/>
      <w:marBottom w:val="0"/>
      <w:divBdr>
        <w:top w:val="none" w:sz="0" w:space="0" w:color="auto"/>
        <w:left w:val="none" w:sz="0" w:space="0" w:color="auto"/>
        <w:bottom w:val="none" w:sz="0" w:space="0" w:color="auto"/>
        <w:right w:val="none" w:sz="0" w:space="0" w:color="auto"/>
      </w:divBdr>
    </w:div>
    <w:div w:id="551700056">
      <w:bodyDiv w:val="1"/>
      <w:marLeft w:val="0"/>
      <w:marRight w:val="0"/>
      <w:marTop w:val="0"/>
      <w:marBottom w:val="0"/>
      <w:divBdr>
        <w:top w:val="none" w:sz="0" w:space="0" w:color="auto"/>
        <w:left w:val="none" w:sz="0" w:space="0" w:color="auto"/>
        <w:bottom w:val="none" w:sz="0" w:space="0" w:color="auto"/>
        <w:right w:val="none" w:sz="0" w:space="0" w:color="auto"/>
      </w:divBdr>
    </w:div>
    <w:div w:id="552042212">
      <w:bodyDiv w:val="1"/>
      <w:marLeft w:val="0"/>
      <w:marRight w:val="0"/>
      <w:marTop w:val="0"/>
      <w:marBottom w:val="0"/>
      <w:divBdr>
        <w:top w:val="none" w:sz="0" w:space="0" w:color="auto"/>
        <w:left w:val="none" w:sz="0" w:space="0" w:color="auto"/>
        <w:bottom w:val="none" w:sz="0" w:space="0" w:color="auto"/>
        <w:right w:val="none" w:sz="0" w:space="0" w:color="auto"/>
      </w:divBdr>
    </w:div>
    <w:div w:id="552273036">
      <w:bodyDiv w:val="1"/>
      <w:marLeft w:val="0"/>
      <w:marRight w:val="0"/>
      <w:marTop w:val="0"/>
      <w:marBottom w:val="0"/>
      <w:divBdr>
        <w:top w:val="none" w:sz="0" w:space="0" w:color="auto"/>
        <w:left w:val="none" w:sz="0" w:space="0" w:color="auto"/>
        <w:bottom w:val="none" w:sz="0" w:space="0" w:color="auto"/>
        <w:right w:val="none" w:sz="0" w:space="0" w:color="auto"/>
      </w:divBdr>
    </w:div>
    <w:div w:id="552275097">
      <w:bodyDiv w:val="1"/>
      <w:marLeft w:val="0"/>
      <w:marRight w:val="0"/>
      <w:marTop w:val="0"/>
      <w:marBottom w:val="0"/>
      <w:divBdr>
        <w:top w:val="none" w:sz="0" w:space="0" w:color="auto"/>
        <w:left w:val="none" w:sz="0" w:space="0" w:color="auto"/>
        <w:bottom w:val="none" w:sz="0" w:space="0" w:color="auto"/>
        <w:right w:val="none" w:sz="0" w:space="0" w:color="auto"/>
      </w:divBdr>
    </w:div>
    <w:div w:id="552621028">
      <w:bodyDiv w:val="1"/>
      <w:marLeft w:val="0"/>
      <w:marRight w:val="0"/>
      <w:marTop w:val="0"/>
      <w:marBottom w:val="0"/>
      <w:divBdr>
        <w:top w:val="none" w:sz="0" w:space="0" w:color="auto"/>
        <w:left w:val="none" w:sz="0" w:space="0" w:color="auto"/>
        <w:bottom w:val="none" w:sz="0" w:space="0" w:color="auto"/>
        <w:right w:val="none" w:sz="0" w:space="0" w:color="auto"/>
      </w:divBdr>
    </w:div>
    <w:div w:id="553080742">
      <w:bodyDiv w:val="1"/>
      <w:marLeft w:val="0"/>
      <w:marRight w:val="0"/>
      <w:marTop w:val="0"/>
      <w:marBottom w:val="0"/>
      <w:divBdr>
        <w:top w:val="none" w:sz="0" w:space="0" w:color="auto"/>
        <w:left w:val="none" w:sz="0" w:space="0" w:color="auto"/>
        <w:bottom w:val="none" w:sz="0" w:space="0" w:color="auto"/>
        <w:right w:val="none" w:sz="0" w:space="0" w:color="auto"/>
      </w:divBdr>
    </w:div>
    <w:div w:id="553155195">
      <w:bodyDiv w:val="1"/>
      <w:marLeft w:val="0"/>
      <w:marRight w:val="0"/>
      <w:marTop w:val="0"/>
      <w:marBottom w:val="0"/>
      <w:divBdr>
        <w:top w:val="none" w:sz="0" w:space="0" w:color="auto"/>
        <w:left w:val="none" w:sz="0" w:space="0" w:color="auto"/>
        <w:bottom w:val="none" w:sz="0" w:space="0" w:color="auto"/>
        <w:right w:val="none" w:sz="0" w:space="0" w:color="auto"/>
      </w:divBdr>
    </w:div>
    <w:div w:id="553544165">
      <w:bodyDiv w:val="1"/>
      <w:marLeft w:val="0"/>
      <w:marRight w:val="0"/>
      <w:marTop w:val="0"/>
      <w:marBottom w:val="0"/>
      <w:divBdr>
        <w:top w:val="none" w:sz="0" w:space="0" w:color="auto"/>
        <w:left w:val="none" w:sz="0" w:space="0" w:color="auto"/>
        <w:bottom w:val="none" w:sz="0" w:space="0" w:color="auto"/>
        <w:right w:val="none" w:sz="0" w:space="0" w:color="auto"/>
      </w:divBdr>
    </w:div>
    <w:div w:id="553585105">
      <w:bodyDiv w:val="1"/>
      <w:marLeft w:val="0"/>
      <w:marRight w:val="0"/>
      <w:marTop w:val="0"/>
      <w:marBottom w:val="0"/>
      <w:divBdr>
        <w:top w:val="none" w:sz="0" w:space="0" w:color="auto"/>
        <w:left w:val="none" w:sz="0" w:space="0" w:color="auto"/>
        <w:bottom w:val="none" w:sz="0" w:space="0" w:color="auto"/>
        <w:right w:val="none" w:sz="0" w:space="0" w:color="auto"/>
      </w:divBdr>
    </w:div>
    <w:div w:id="553782959">
      <w:bodyDiv w:val="1"/>
      <w:marLeft w:val="0"/>
      <w:marRight w:val="0"/>
      <w:marTop w:val="0"/>
      <w:marBottom w:val="0"/>
      <w:divBdr>
        <w:top w:val="none" w:sz="0" w:space="0" w:color="auto"/>
        <w:left w:val="none" w:sz="0" w:space="0" w:color="auto"/>
        <w:bottom w:val="none" w:sz="0" w:space="0" w:color="auto"/>
        <w:right w:val="none" w:sz="0" w:space="0" w:color="auto"/>
      </w:divBdr>
    </w:div>
    <w:div w:id="555049612">
      <w:bodyDiv w:val="1"/>
      <w:marLeft w:val="0"/>
      <w:marRight w:val="0"/>
      <w:marTop w:val="0"/>
      <w:marBottom w:val="0"/>
      <w:divBdr>
        <w:top w:val="none" w:sz="0" w:space="0" w:color="auto"/>
        <w:left w:val="none" w:sz="0" w:space="0" w:color="auto"/>
        <w:bottom w:val="none" w:sz="0" w:space="0" w:color="auto"/>
        <w:right w:val="none" w:sz="0" w:space="0" w:color="auto"/>
      </w:divBdr>
    </w:div>
    <w:div w:id="555776748">
      <w:bodyDiv w:val="1"/>
      <w:marLeft w:val="0"/>
      <w:marRight w:val="0"/>
      <w:marTop w:val="0"/>
      <w:marBottom w:val="0"/>
      <w:divBdr>
        <w:top w:val="none" w:sz="0" w:space="0" w:color="auto"/>
        <w:left w:val="none" w:sz="0" w:space="0" w:color="auto"/>
        <w:bottom w:val="none" w:sz="0" w:space="0" w:color="auto"/>
        <w:right w:val="none" w:sz="0" w:space="0" w:color="auto"/>
      </w:divBdr>
    </w:div>
    <w:div w:id="555974289">
      <w:bodyDiv w:val="1"/>
      <w:marLeft w:val="0"/>
      <w:marRight w:val="0"/>
      <w:marTop w:val="0"/>
      <w:marBottom w:val="0"/>
      <w:divBdr>
        <w:top w:val="none" w:sz="0" w:space="0" w:color="auto"/>
        <w:left w:val="none" w:sz="0" w:space="0" w:color="auto"/>
        <w:bottom w:val="none" w:sz="0" w:space="0" w:color="auto"/>
        <w:right w:val="none" w:sz="0" w:space="0" w:color="auto"/>
      </w:divBdr>
    </w:div>
    <w:div w:id="556622994">
      <w:bodyDiv w:val="1"/>
      <w:marLeft w:val="0"/>
      <w:marRight w:val="0"/>
      <w:marTop w:val="0"/>
      <w:marBottom w:val="0"/>
      <w:divBdr>
        <w:top w:val="none" w:sz="0" w:space="0" w:color="auto"/>
        <w:left w:val="none" w:sz="0" w:space="0" w:color="auto"/>
        <w:bottom w:val="none" w:sz="0" w:space="0" w:color="auto"/>
        <w:right w:val="none" w:sz="0" w:space="0" w:color="auto"/>
      </w:divBdr>
    </w:div>
    <w:div w:id="556942802">
      <w:bodyDiv w:val="1"/>
      <w:marLeft w:val="0"/>
      <w:marRight w:val="0"/>
      <w:marTop w:val="0"/>
      <w:marBottom w:val="0"/>
      <w:divBdr>
        <w:top w:val="none" w:sz="0" w:space="0" w:color="auto"/>
        <w:left w:val="none" w:sz="0" w:space="0" w:color="auto"/>
        <w:bottom w:val="none" w:sz="0" w:space="0" w:color="auto"/>
        <w:right w:val="none" w:sz="0" w:space="0" w:color="auto"/>
      </w:divBdr>
    </w:div>
    <w:div w:id="558518447">
      <w:bodyDiv w:val="1"/>
      <w:marLeft w:val="0"/>
      <w:marRight w:val="0"/>
      <w:marTop w:val="0"/>
      <w:marBottom w:val="0"/>
      <w:divBdr>
        <w:top w:val="none" w:sz="0" w:space="0" w:color="auto"/>
        <w:left w:val="none" w:sz="0" w:space="0" w:color="auto"/>
        <w:bottom w:val="none" w:sz="0" w:space="0" w:color="auto"/>
        <w:right w:val="none" w:sz="0" w:space="0" w:color="auto"/>
      </w:divBdr>
    </w:div>
    <w:div w:id="558826112">
      <w:bodyDiv w:val="1"/>
      <w:marLeft w:val="0"/>
      <w:marRight w:val="0"/>
      <w:marTop w:val="0"/>
      <w:marBottom w:val="0"/>
      <w:divBdr>
        <w:top w:val="none" w:sz="0" w:space="0" w:color="auto"/>
        <w:left w:val="none" w:sz="0" w:space="0" w:color="auto"/>
        <w:bottom w:val="none" w:sz="0" w:space="0" w:color="auto"/>
        <w:right w:val="none" w:sz="0" w:space="0" w:color="auto"/>
      </w:divBdr>
    </w:div>
    <w:div w:id="558899398">
      <w:bodyDiv w:val="1"/>
      <w:marLeft w:val="0"/>
      <w:marRight w:val="0"/>
      <w:marTop w:val="0"/>
      <w:marBottom w:val="0"/>
      <w:divBdr>
        <w:top w:val="none" w:sz="0" w:space="0" w:color="auto"/>
        <w:left w:val="none" w:sz="0" w:space="0" w:color="auto"/>
        <w:bottom w:val="none" w:sz="0" w:space="0" w:color="auto"/>
        <w:right w:val="none" w:sz="0" w:space="0" w:color="auto"/>
      </w:divBdr>
    </w:div>
    <w:div w:id="559291380">
      <w:bodyDiv w:val="1"/>
      <w:marLeft w:val="0"/>
      <w:marRight w:val="0"/>
      <w:marTop w:val="0"/>
      <w:marBottom w:val="0"/>
      <w:divBdr>
        <w:top w:val="none" w:sz="0" w:space="0" w:color="auto"/>
        <w:left w:val="none" w:sz="0" w:space="0" w:color="auto"/>
        <w:bottom w:val="none" w:sz="0" w:space="0" w:color="auto"/>
        <w:right w:val="none" w:sz="0" w:space="0" w:color="auto"/>
      </w:divBdr>
    </w:div>
    <w:div w:id="560142070">
      <w:bodyDiv w:val="1"/>
      <w:marLeft w:val="0"/>
      <w:marRight w:val="0"/>
      <w:marTop w:val="0"/>
      <w:marBottom w:val="0"/>
      <w:divBdr>
        <w:top w:val="none" w:sz="0" w:space="0" w:color="auto"/>
        <w:left w:val="none" w:sz="0" w:space="0" w:color="auto"/>
        <w:bottom w:val="none" w:sz="0" w:space="0" w:color="auto"/>
        <w:right w:val="none" w:sz="0" w:space="0" w:color="auto"/>
      </w:divBdr>
    </w:div>
    <w:div w:id="560405655">
      <w:bodyDiv w:val="1"/>
      <w:marLeft w:val="0"/>
      <w:marRight w:val="0"/>
      <w:marTop w:val="0"/>
      <w:marBottom w:val="0"/>
      <w:divBdr>
        <w:top w:val="none" w:sz="0" w:space="0" w:color="auto"/>
        <w:left w:val="none" w:sz="0" w:space="0" w:color="auto"/>
        <w:bottom w:val="none" w:sz="0" w:space="0" w:color="auto"/>
        <w:right w:val="none" w:sz="0" w:space="0" w:color="auto"/>
      </w:divBdr>
    </w:div>
    <w:div w:id="561479606">
      <w:bodyDiv w:val="1"/>
      <w:marLeft w:val="0"/>
      <w:marRight w:val="0"/>
      <w:marTop w:val="0"/>
      <w:marBottom w:val="0"/>
      <w:divBdr>
        <w:top w:val="none" w:sz="0" w:space="0" w:color="auto"/>
        <w:left w:val="none" w:sz="0" w:space="0" w:color="auto"/>
        <w:bottom w:val="none" w:sz="0" w:space="0" w:color="auto"/>
        <w:right w:val="none" w:sz="0" w:space="0" w:color="auto"/>
      </w:divBdr>
    </w:div>
    <w:div w:id="561990473">
      <w:bodyDiv w:val="1"/>
      <w:marLeft w:val="0"/>
      <w:marRight w:val="0"/>
      <w:marTop w:val="0"/>
      <w:marBottom w:val="0"/>
      <w:divBdr>
        <w:top w:val="none" w:sz="0" w:space="0" w:color="auto"/>
        <w:left w:val="none" w:sz="0" w:space="0" w:color="auto"/>
        <w:bottom w:val="none" w:sz="0" w:space="0" w:color="auto"/>
        <w:right w:val="none" w:sz="0" w:space="0" w:color="auto"/>
      </w:divBdr>
    </w:div>
    <w:div w:id="563639613">
      <w:bodyDiv w:val="1"/>
      <w:marLeft w:val="0"/>
      <w:marRight w:val="0"/>
      <w:marTop w:val="0"/>
      <w:marBottom w:val="0"/>
      <w:divBdr>
        <w:top w:val="none" w:sz="0" w:space="0" w:color="auto"/>
        <w:left w:val="none" w:sz="0" w:space="0" w:color="auto"/>
        <w:bottom w:val="none" w:sz="0" w:space="0" w:color="auto"/>
        <w:right w:val="none" w:sz="0" w:space="0" w:color="auto"/>
      </w:divBdr>
    </w:div>
    <w:div w:id="564023758">
      <w:bodyDiv w:val="1"/>
      <w:marLeft w:val="0"/>
      <w:marRight w:val="0"/>
      <w:marTop w:val="0"/>
      <w:marBottom w:val="0"/>
      <w:divBdr>
        <w:top w:val="none" w:sz="0" w:space="0" w:color="auto"/>
        <w:left w:val="none" w:sz="0" w:space="0" w:color="auto"/>
        <w:bottom w:val="none" w:sz="0" w:space="0" w:color="auto"/>
        <w:right w:val="none" w:sz="0" w:space="0" w:color="auto"/>
      </w:divBdr>
    </w:div>
    <w:div w:id="564026013">
      <w:bodyDiv w:val="1"/>
      <w:marLeft w:val="0"/>
      <w:marRight w:val="0"/>
      <w:marTop w:val="0"/>
      <w:marBottom w:val="0"/>
      <w:divBdr>
        <w:top w:val="none" w:sz="0" w:space="0" w:color="auto"/>
        <w:left w:val="none" w:sz="0" w:space="0" w:color="auto"/>
        <w:bottom w:val="none" w:sz="0" w:space="0" w:color="auto"/>
        <w:right w:val="none" w:sz="0" w:space="0" w:color="auto"/>
      </w:divBdr>
    </w:div>
    <w:div w:id="564803908">
      <w:bodyDiv w:val="1"/>
      <w:marLeft w:val="0"/>
      <w:marRight w:val="0"/>
      <w:marTop w:val="0"/>
      <w:marBottom w:val="0"/>
      <w:divBdr>
        <w:top w:val="none" w:sz="0" w:space="0" w:color="auto"/>
        <w:left w:val="none" w:sz="0" w:space="0" w:color="auto"/>
        <w:bottom w:val="none" w:sz="0" w:space="0" w:color="auto"/>
        <w:right w:val="none" w:sz="0" w:space="0" w:color="auto"/>
      </w:divBdr>
    </w:div>
    <w:div w:id="565264990">
      <w:bodyDiv w:val="1"/>
      <w:marLeft w:val="0"/>
      <w:marRight w:val="0"/>
      <w:marTop w:val="0"/>
      <w:marBottom w:val="0"/>
      <w:divBdr>
        <w:top w:val="none" w:sz="0" w:space="0" w:color="auto"/>
        <w:left w:val="none" w:sz="0" w:space="0" w:color="auto"/>
        <w:bottom w:val="none" w:sz="0" w:space="0" w:color="auto"/>
        <w:right w:val="none" w:sz="0" w:space="0" w:color="auto"/>
      </w:divBdr>
    </w:div>
    <w:div w:id="565994841">
      <w:bodyDiv w:val="1"/>
      <w:marLeft w:val="0"/>
      <w:marRight w:val="0"/>
      <w:marTop w:val="0"/>
      <w:marBottom w:val="0"/>
      <w:divBdr>
        <w:top w:val="none" w:sz="0" w:space="0" w:color="auto"/>
        <w:left w:val="none" w:sz="0" w:space="0" w:color="auto"/>
        <w:bottom w:val="none" w:sz="0" w:space="0" w:color="auto"/>
        <w:right w:val="none" w:sz="0" w:space="0" w:color="auto"/>
      </w:divBdr>
    </w:div>
    <w:div w:id="567348149">
      <w:bodyDiv w:val="1"/>
      <w:marLeft w:val="0"/>
      <w:marRight w:val="0"/>
      <w:marTop w:val="0"/>
      <w:marBottom w:val="0"/>
      <w:divBdr>
        <w:top w:val="none" w:sz="0" w:space="0" w:color="auto"/>
        <w:left w:val="none" w:sz="0" w:space="0" w:color="auto"/>
        <w:bottom w:val="none" w:sz="0" w:space="0" w:color="auto"/>
        <w:right w:val="none" w:sz="0" w:space="0" w:color="auto"/>
      </w:divBdr>
    </w:div>
    <w:div w:id="568342314">
      <w:bodyDiv w:val="1"/>
      <w:marLeft w:val="0"/>
      <w:marRight w:val="0"/>
      <w:marTop w:val="0"/>
      <w:marBottom w:val="0"/>
      <w:divBdr>
        <w:top w:val="none" w:sz="0" w:space="0" w:color="auto"/>
        <w:left w:val="none" w:sz="0" w:space="0" w:color="auto"/>
        <w:bottom w:val="none" w:sz="0" w:space="0" w:color="auto"/>
        <w:right w:val="none" w:sz="0" w:space="0" w:color="auto"/>
      </w:divBdr>
    </w:div>
    <w:div w:id="568422024">
      <w:bodyDiv w:val="1"/>
      <w:marLeft w:val="0"/>
      <w:marRight w:val="0"/>
      <w:marTop w:val="0"/>
      <w:marBottom w:val="0"/>
      <w:divBdr>
        <w:top w:val="none" w:sz="0" w:space="0" w:color="auto"/>
        <w:left w:val="none" w:sz="0" w:space="0" w:color="auto"/>
        <w:bottom w:val="none" w:sz="0" w:space="0" w:color="auto"/>
        <w:right w:val="none" w:sz="0" w:space="0" w:color="auto"/>
      </w:divBdr>
    </w:div>
    <w:div w:id="568537130">
      <w:bodyDiv w:val="1"/>
      <w:marLeft w:val="0"/>
      <w:marRight w:val="0"/>
      <w:marTop w:val="0"/>
      <w:marBottom w:val="0"/>
      <w:divBdr>
        <w:top w:val="none" w:sz="0" w:space="0" w:color="auto"/>
        <w:left w:val="none" w:sz="0" w:space="0" w:color="auto"/>
        <w:bottom w:val="none" w:sz="0" w:space="0" w:color="auto"/>
        <w:right w:val="none" w:sz="0" w:space="0" w:color="auto"/>
      </w:divBdr>
    </w:div>
    <w:div w:id="569003587">
      <w:bodyDiv w:val="1"/>
      <w:marLeft w:val="0"/>
      <w:marRight w:val="0"/>
      <w:marTop w:val="0"/>
      <w:marBottom w:val="0"/>
      <w:divBdr>
        <w:top w:val="none" w:sz="0" w:space="0" w:color="auto"/>
        <w:left w:val="none" w:sz="0" w:space="0" w:color="auto"/>
        <w:bottom w:val="none" w:sz="0" w:space="0" w:color="auto"/>
        <w:right w:val="none" w:sz="0" w:space="0" w:color="auto"/>
      </w:divBdr>
    </w:div>
    <w:div w:id="569657196">
      <w:bodyDiv w:val="1"/>
      <w:marLeft w:val="0"/>
      <w:marRight w:val="0"/>
      <w:marTop w:val="0"/>
      <w:marBottom w:val="0"/>
      <w:divBdr>
        <w:top w:val="none" w:sz="0" w:space="0" w:color="auto"/>
        <w:left w:val="none" w:sz="0" w:space="0" w:color="auto"/>
        <w:bottom w:val="none" w:sz="0" w:space="0" w:color="auto"/>
        <w:right w:val="none" w:sz="0" w:space="0" w:color="auto"/>
      </w:divBdr>
    </w:div>
    <w:div w:id="569925082">
      <w:bodyDiv w:val="1"/>
      <w:marLeft w:val="0"/>
      <w:marRight w:val="0"/>
      <w:marTop w:val="0"/>
      <w:marBottom w:val="0"/>
      <w:divBdr>
        <w:top w:val="none" w:sz="0" w:space="0" w:color="auto"/>
        <w:left w:val="none" w:sz="0" w:space="0" w:color="auto"/>
        <w:bottom w:val="none" w:sz="0" w:space="0" w:color="auto"/>
        <w:right w:val="none" w:sz="0" w:space="0" w:color="auto"/>
      </w:divBdr>
    </w:div>
    <w:div w:id="571618704">
      <w:bodyDiv w:val="1"/>
      <w:marLeft w:val="0"/>
      <w:marRight w:val="0"/>
      <w:marTop w:val="0"/>
      <w:marBottom w:val="0"/>
      <w:divBdr>
        <w:top w:val="none" w:sz="0" w:space="0" w:color="auto"/>
        <w:left w:val="none" w:sz="0" w:space="0" w:color="auto"/>
        <w:bottom w:val="none" w:sz="0" w:space="0" w:color="auto"/>
        <w:right w:val="none" w:sz="0" w:space="0" w:color="auto"/>
      </w:divBdr>
      <w:divsChild>
        <w:div w:id="1362587210">
          <w:marLeft w:val="0"/>
          <w:marRight w:val="0"/>
          <w:marTop w:val="0"/>
          <w:marBottom w:val="0"/>
          <w:divBdr>
            <w:top w:val="none" w:sz="0" w:space="0" w:color="auto"/>
            <w:left w:val="none" w:sz="0" w:space="0" w:color="auto"/>
            <w:bottom w:val="none" w:sz="0" w:space="0" w:color="auto"/>
            <w:right w:val="none" w:sz="0" w:space="0" w:color="auto"/>
          </w:divBdr>
        </w:div>
        <w:div w:id="720134394">
          <w:marLeft w:val="0"/>
          <w:marRight w:val="0"/>
          <w:marTop w:val="0"/>
          <w:marBottom w:val="0"/>
          <w:divBdr>
            <w:top w:val="none" w:sz="0" w:space="0" w:color="auto"/>
            <w:left w:val="none" w:sz="0" w:space="0" w:color="auto"/>
            <w:bottom w:val="none" w:sz="0" w:space="0" w:color="auto"/>
            <w:right w:val="none" w:sz="0" w:space="0" w:color="auto"/>
          </w:divBdr>
        </w:div>
        <w:div w:id="2076735207">
          <w:marLeft w:val="0"/>
          <w:marRight w:val="0"/>
          <w:marTop w:val="0"/>
          <w:marBottom w:val="0"/>
          <w:divBdr>
            <w:top w:val="none" w:sz="0" w:space="0" w:color="auto"/>
            <w:left w:val="none" w:sz="0" w:space="0" w:color="auto"/>
            <w:bottom w:val="none" w:sz="0" w:space="0" w:color="auto"/>
            <w:right w:val="none" w:sz="0" w:space="0" w:color="auto"/>
          </w:divBdr>
        </w:div>
      </w:divsChild>
    </w:div>
    <w:div w:id="571625768">
      <w:bodyDiv w:val="1"/>
      <w:marLeft w:val="0"/>
      <w:marRight w:val="0"/>
      <w:marTop w:val="0"/>
      <w:marBottom w:val="0"/>
      <w:divBdr>
        <w:top w:val="none" w:sz="0" w:space="0" w:color="auto"/>
        <w:left w:val="none" w:sz="0" w:space="0" w:color="auto"/>
        <w:bottom w:val="none" w:sz="0" w:space="0" w:color="auto"/>
        <w:right w:val="none" w:sz="0" w:space="0" w:color="auto"/>
      </w:divBdr>
    </w:div>
    <w:div w:id="573243454">
      <w:bodyDiv w:val="1"/>
      <w:marLeft w:val="0"/>
      <w:marRight w:val="0"/>
      <w:marTop w:val="0"/>
      <w:marBottom w:val="0"/>
      <w:divBdr>
        <w:top w:val="none" w:sz="0" w:space="0" w:color="auto"/>
        <w:left w:val="none" w:sz="0" w:space="0" w:color="auto"/>
        <w:bottom w:val="none" w:sz="0" w:space="0" w:color="auto"/>
        <w:right w:val="none" w:sz="0" w:space="0" w:color="auto"/>
      </w:divBdr>
    </w:div>
    <w:div w:id="574514541">
      <w:bodyDiv w:val="1"/>
      <w:marLeft w:val="0"/>
      <w:marRight w:val="0"/>
      <w:marTop w:val="0"/>
      <w:marBottom w:val="0"/>
      <w:divBdr>
        <w:top w:val="none" w:sz="0" w:space="0" w:color="auto"/>
        <w:left w:val="none" w:sz="0" w:space="0" w:color="auto"/>
        <w:bottom w:val="none" w:sz="0" w:space="0" w:color="auto"/>
        <w:right w:val="none" w:sz="0" w:space="0" w:color="auto"/>
      </w:divBdr>
    </w:div>
    <w:div w:id="575089189">
      <w:bodyDiv w:val="1"/>
      <w:marLeft w:val="0"/>
      <w:marRight w:val="0"/>
      <w:marTop w:val="0"/>
      <w:marBottom w:val="0"/>
      <w:divBdr>
        <w:top w:val="none" w:sz="0" w:space="0" w:color="auto"/>
        <w:left w:val="none" w:sz="0" w:space="0" w:color="auto"/>
        <w:bottom w:val="none" w:sz="0" w:space="0" w:color="auto"/>
        <w:right w:val="none" w:sz="0" w:space="0" w:color="auto"/>
      </w:divBdr>
    </w:div>
    <w:div w:id="575673888">
      <w:bodyDiv w:val="1"/>
      <w:marLeft w:val="0"/>
      <w:marRight w:val="0"/>
      <w:marTop w:val="0"/>
      <w:marBottom w:val="0"/>
      <w:divBdr>
        <w:top w:val="none" w:sz="0" w:space="0" w:color="auto"/>
        <w:left w:val="none" w:sz="0" w:space="0" w:color="auto"/>
        <w:bottom w:val="none" w:sz="0" w:space="0" w:color="auto"/>
        <w:right w:val="none" w:sz="0" w:space="0" w:color="auto"/>
      </w:divBdr>
    </w:div>
    <w:div w:id="575894940">
      <w:bodyDiv w:val="1"/>
      <w:marLeft w:val="0"/>
      <w:marRight w:val="0"/>
      <w:marTop w:val="0"/>
      <w:marBottom w:val="0"/>
      <w:divBdr>
        <w:top w:val="none" w:sz="0" w:space="0" w:color="auto"/>
        <w:left w:val="none" w:sz="0" w:space="0" w:color="auto"/>
        <w:bottom w:val="none" w:sz="0" w:space="0" w:color="auto"/>
        <w:right w:val="none" w:sz="0" w:space="0" w:color="auto"/>
      </w:divBdr>
    </w:div>
    <w:div w:id="576550172">
      <w:bodyDiv w:val="1"/>
      <w:marLeft w:val="0"/>
      <w:marRight w:val="0"/>
      <w:marTop w:val="0"/>
      <w:marBottom w:val="0"/>
      <w:divBdr>
        <w:top w:val="none" w:sz="0" w:space="0" w:color="auto"/>
        <w:left w:val="none" w:sz="0" w:space="0" w:color="auto"/>
        <w:bottom w:val="none" w:sz="0" w:space="0" w:color="auto"/>
        <w:right w:val="none" w:sz="0" w:space="0" w:color="auto"/>
      </w:divBdr>
    </w:div>
    <w:div w:id="577324956">
      <w:bodyDiv w:val="1"/>
      <w:marLeft w:val="0"/>
      <w:marRight w:val="0"/>
      <w:marTop w:val="0"/>
      <w:marBottom w:val="0"/>
      <w:divBdr>
        <w:top w:val="none" w:sz="0" w:space="0" w:color="auto"/>
        <w:left w:val="none" w:sz="0" w:space="0" w:color="auto"/>
        <w:bottom w:val="none" w:sz="0" w:space="0" w:color="auto"/>
        <w:right w:val="none" w:sz="0" w:space="0" w:color="auto"/>
      </w:divBdr>
    </w:div>
    <w:div w:id="577714804">
      <w:bodyDiv w:val="1"/>
      <w:marLeft w:val="0"/>
      <w:marRight w:val="0"/>
      <w:marTop w:val="0"/>
      <w:marBottom w:val="0"/>
      <w:divBdr>
        <w:top w:val="none" w:sz="0" w:space="0" w:color="auto"/>
        <w:left w:val="none" w:sz="0" w:space="0" w:color="auto"/>
        <w:bottom w:val="none" w:sz="0" w:space="0" w:color="auto"/>
        <w:right w:val="none" w:sz="0" w:space="0" w:color="auto"/>
      </w:divBdr>
    </w:div>
    <w:div w:id="578098504">
      <w:bodyDiv w:val="1"/>
      <w:marLeft w:val="0"/>
      <w:marRight w:val="0"/>
      <w:marTop w:val="0"/>
      <w:marBottom w:val="0"/>
      <w:divBdr>
        <w:top w:val="none" w:sz="0" w:space="0" w:color="auto"/>
        <w:left w:val="none" w:sz="0" w:space="0" w:color="auto"/>
        <w:bottom w:val="none" w:sz="0" w:space="0" w:color="auto"/>
        <w:right w:val="none" w:sz="0" w:space="0" w:color="auto"/>
      </w:divBdr>
    </w:div>
    <w:div w:id="578683923">
      <w:bodyDiv w:val="1"/>
      <w:marLeft w:val="0"/>
      <w:marRight w:val="0"/>
      <w:marTop w:val="0"/>
      <w:marBottom w:val="0"/>
      <w:divBdr>
        <w:top w:val="none" w:sz="0" w:space="0" w:color="auto"/>
        <w:left w:val="none" w:sz="0" w:space="0" w:color="auto"/>
        <w:bottom w:val="none" w:sz="0" w:space="0" w:color="auto"/>
        <w:right w:val="none" w:sz="0" w:space="0" w:color="auto"/>
      </w:divBdr>
    </w:div>
    <w:div w:id="578907459">
      <w:bodyDiv w:val="1"/>
      <w:marLeft w:val="0"/>
      <w:marRight w:val="0"/>
      <w:marTop w:val="0"/>
      <w:marBottom w:val="0"/>
      <w:divBdr>
        <w:top w:val="none" w:sz="0" w:space="0" w:color="auto"/>
        <w:left w:val="none" w:sz="0" w:space="0" w:color="auto"/>
        <w:bottom w:val="none" w:sz="0" w:space="0" w:color="auto"/>
        <w:right w:val="none" w:sz="0" w:space="0" w:color="auto"/>
      </w:divBdr>
    </w:div>
    <w:div w:id="579565957">
      <w:bodyDiv w:val="1"/>
      <w:marLeft w:val="0"/>
      <w:marRight w:val="0"/>
      <w:marTop w:val="0"/>
      <w:marBottom w:val="0"/>
      <w:divBdr>
        <w:top w:val="none" w:sz="0" w:space="0" w:color="auto"/>
        <w:left w:val="none" w:sz="0" w:space="0" w:color="auto"/>
        <w:bottom w:val="none" w:sz="0" w:space="0" w:color="auto"/>
        <w:right w:val="none" w:sz="0" w:space="0" w:color="auto"/>
      </w:divBdr>
    </w:div>
    <w:div w:id="579681970">
      <w:bodyDiv w:val="1"/>
      <w:marLeft w:val="0"/>
      <w:marRight w:val="0"/>
      <w:marTop w:val="0"/>
      <w:marBottom w:val="0"/>
      <w:divBdr>
        <w:top w:val="none" w:sz="0" w:space="0" w:color="auto"/>
        <w:left w:val="none" w:sz="0" w:space="0" w:color="auto"/>
        <w:bottom w:val="none" w:sz="0" w:space="0" w:color="auto"/>
        <w:right w:val="none" w:sz="0" w:space="0" w:color="auto"/>
      </w:divBdr>
    </w:div>
    <w:div w:id="580338905">
      <w:bodyDiv w:val="1"/>
      <w:marLeft w:val="0"/>
      <w:marRight w:val="0"/>
      <w:marTop w:val="0"/>
      <w:marBottom w:val="0"/>
      <w:divBdr>
        <w:top w:val="none" w:sz="0" w:space="0" w:color="auto"/>
        <w:left w:val="none" w:sz="0" w:space="0" w:color="auto"/>
        <w:bottom w:val="none" w:sz="0" w:space="0" w:color="auto"/>
        <w:right w:val="none" w:sz="0" w:space="0" w:color="auto"/>
      </w:divBdr>
    </w:div>
    <w:div w:id="580529431">
      <w:bodyDiv w:val="1"/>
      <w:marLeft w:val="0"/>
      <w:marRight w:val="0"/>
      <w:marTop w:val="0"/>
      <w:marBottom w:val="0"/>
      <w:divBdr>
        <w:top w:val="none" w:sz="0" w:space="0" w:color="auto"/>
        <w:left w:val="none" w:sz="0" w:space="0" w:color="auto"/>
        <w:bottom w:val="none" w:sz="0" w:space="0" w:color="auto"/>
        <w:right w:val="none" w:sz="0" w:space="0" w:color="auto"/>
      </w:divBdr>
    </w:div>
    <w:div w:id="582108563">
      <w:bodyDiv w:val="1"/>
      <w:marLeft w:val="0"/>
      <w:marRight w:val="0"/>
      <w:marTop w:val="0"/>
      <w:marBottom w:val="0"/>
      <w:divBdr>
        <w:top w:val="none" w:sz="0" w:space="0" w:color="auto"/>
        <w:left w:val="none" w:sz="0" w:space="0" w:color="auto"/>
        <w:bottom w:val="none" w:sz="0" w:space="0" w:color="auto"/>
        <w:right w:val="none" w:sz="0" w:space="0" w:color="auto"/>
      </w:divBdr>
    </w:div>
    <w:div w:id="582419642">
      <w:bodyDiv w:val="1"/>
      <w:marLeft w:val="0"/>
      <w:marRight w:val="0"/>
      <w:marTop w:val="0"/>
      <w:marBottom w:val="0"/>
      <w:divBdr>
        <w:top w:val="none" w:sz="0" w:space="0" w:color="auto"/>
        <w:left w:val="none" w:sz="0" w:space="0" w:color="auto"/>
        <w:bottom w:val="none" w:sz="0" w:space="0" w:color="auto"/>
        <w:right w:val="none" w:sz="0" w:space="0" w:color="auto"/>
      </w:divBdr>
    </w:div>
    <w:div w:id="583297815">
      <w:bodyDiv w:val="1"/>
      <w:marLeft w:val="0"/>
      <w:marRight w:val="0"/>
      <w:marTop w:val="0"/>
      <w:marBottom w:val="0"/>
      <w:divBdr>
        <w:top w:val="none" w:sz="0" w:space="0" w:color="auto"/>
        <w:left w:val="none" w:sz="0" w:space="0" w:color="auto"/>
        <w:bottom w:val="none" w:sz="0" w:space="0" w:color="auto"/>
        <w:right w:val="none" w:sz="0" w:space="0" w:color="auto"/>
      </w:divBdr>
    </w:div>
    <w:div w:id="583729882">
      <w:bodyDiv w:val="1"/>
      <w:marLeft w:val="0"/>
      <w:marRight w:val="0"/>
      <w:marTop w:val="0"/>
      <w:marBottom w:val="0"/>
      <w:divBdr>
        <w:top w:val="none" w:sz="0" w:space="0" w:color="auto"/>
        <w:left w:val="none" w:sz="0" w:space="0" w:color="auto"/>
        <w:bottom w:val="none" w:sz="0" w:space="0" w:color="auto"/>
        <w:right w:val="none" w:sz="0" w:space="0" w:color="auto"/>
      </w:divBdr>
    </w:div>
    <w:div w:id="583955501">
      <w:bodyDiv w:val="1"/>
      <w:marLeft w:val="0"/>
      <w:marRight w:val="0"/>
      <w:marTop w:val="0"/>
      <w:marBottom w:val="0"/>
      <w:divBdr>
        <w:top w:val="none" w:sz="0" w:space="0" w:color="auto"/>
        <w:left w:val="none" w:sz="0" w:space="0" w:color="auto"/>
        <w:bottom w:val="none" w:sz="0" w:space="0" w:color="auto"/>
        <w:right w:val="none" w:sz="0" w:space="0" w:color="auto"/>
      </w:divBdr>
    </w:div>
    <w:div w:id="584343707">
      <w:bodyDiv w:val="1"/>
      <w:marLeft w:val="0"/>
      <w:marRight w:val="0"/>
      <w:marTop w:val="0"/>
      <w:marBottom w:val="0"/>
      <w:divBdr>
        <w:top w:val="none" w:sz="0" w:space="0" w:color="auto"/>
        <w:left w:val="none" w:sz="0" w:space="0" w:color="auto"/>
        <w:bottom w:val="none" w:sz="0" w:space="0" w:color="auto"/>
        <w:right w:val="none" w:sz="0" w:space="0" w:color="auto"/>
      </w:divBdr>
    </w:div>
    <w:div w:id="584656413">
      <w:bodyDiv w:val="1"/>
      <w:marLeft w:val="0"/>
      <w:marRight w:val="0"/>
      <w:marTop w:val="0"/>
      <w:marBottom w:val="0"/>
      <w:divBdr>
        <w:top w:val="none" w:sz="0" w:space="0" w:color="auto"/>
        <w:left w:val="none" w:sz="0" w:space="0" w:color="auto"/>
        <w:bottom w:val="none" w:sz="0" w:space="0" w:color="auto"/>
        <w:right w:val="none" w:sz="0" w:space="0" w:color="auto"/>
      </w:divBdr>
    </w:div>
    <w:div w:id="586042542">
      <w:bodyDiv w:val="1"/>
      <w:marLeft w:val="0"/>
      <w:marRight w:val="0"/>
      <w:marTop w:val="0"/>
      <w:marBottom w:val="0"/>
      <w:divBdr>
        <w:top w:val="none" w:sz="0" w:space="0" w:color="auto"/>
        <w:left w:val="none" w:sz="0" w:space="0" w:color="auto"/>
        <w:bottom w:val="none" w:sz="0" w:space="0" w:color="auto"/>
        <w:right w:val="none" w:sz="0" w:space="0" w:color="auto"/>
      </w:divBdr>
    </w:div>
    <w:div w:id="587160651">
      <w:bodyDiv w:val="1"/>
      <w:marLeft w:val="0"/>
      <w:marRight w:val="0"/>
      <w:marTop w:val="0"/>
      <w:marBottom w:val="0"/>
      <w:divBdr>
        <w:top w:val="none" w:sz="0" w:space="0" w:color="auto"/>
        <w:left w:val="none" w:sz="0" w:space="0" w:color="auto"/>
        <w:bottom w:val="none" w:sz="0" w:space="0" w:color="auto"/>
        <w:right w:val="none" w:sz="0" w:space="0" w:color="auto"/>
      </w:divBdr>
    </w:div>
    <w:div w:id="587350421">
      <w:bodyDiv w:val="1"/>
      <w:marLeft w:val="0"/>
      <w:marRight w:val="0"/>
      <w:marTop w:val="0"/>
      <w:marBottom w:val="0"/>
      <w:divBdr>
        <w:top w:val="none" w:sz="0" w:space="0" w:color="auto"/>
        <w:left w:val="none" w:sz="0" w:space="0" w:color="auto"/>
        <w:bottom w:val="none" w:sz="0" w:space="0" w:color="auto"/>
        <w:right w:val="none" w:sz="0" w:space="0" w:color="auto"/>
      </w:divBdr>
    </w:div>
    <w:div w:id="587732070">
      <w:bodyDiv w:val="1"/>
      <w:marLeft w:val="0"/>
      <w:marRight w:val="0"/>
      <w:marTop w:val="0"/>
      <w:marBottom w:val="0"/>
      <w:divBdr>
        <w:top w:val="none" w:sz="0" w:space="0" w:color="auto"/>
        <w:left w:val="none" w:sz="0" w:space="0" w:color="auto"/>
        <w:bottom w:val="none" w:sz="0" w:space="0" w:color="auto"/>
        <w:right w:val="none" w:sz="0" w:space="0" w:color="auto"/>
      </w:divBdr>
    </w:div>
    <w:div w:id="588657318">
      <w:bodyDiv w:val="1"/>
      <w:marLeft w:val="0"/>
      <w:marRight w:val="0"/>
      <w:marTop w:val="0"/>
      <w:marBottom w:val="0"/>
      <w:divBdr>
        <w:top w:val="none" w:sz="0" w:space="0" w:color="auto"/>
        <w:left w:val="none" w:sz="0" w:space="0" w:color="auto"/>
        <w:bottom w:val="none" w:sz="0" w:space="0" w:color="auto"/>
        <w:right w:val="none" w:sz="0" w:space="0" w:color="auto"/>
      </w:divBdr>
    </w:div>
    <w:div w:id="589656878">
      <w:bodyDiv w:val="1"/>
      <w:marLeft w:val="0"/>
      <w:marRight w:val="0"/>
      <w:marTop w:val="0"/>
      <w:marBottom w:val="0"/>
      <w:divBdr>
        <w:top w:val="none" w:sz="0" w:space="0" w:color="auto"/>
        <w:left w:val="none" w:sz="0" w:space="0" w:color="auto"/>
        <w:bottom w:val="none" w:sz="0" w:space="0" w:color="auto"/>
        <w:right w:val="none" w:sz="0" w:space="0" w:color="auto"/>
      </w:divBdr>
    </w:div>
    <w:div w:id="589892242">
      <w:bodyDiv w:val="1"/>
      <w:marLeft w:val="0"/>
      <w:marRight w:val="0"/>
      <w:marTop w:val="0"/>
      <w:marBottom w:val="0"/>
      <w:divBdr>
        <w:top w:val="none" w:sz="0" w:space="0" w:color="auto"/>
        <w:left w:val="none" w:sz="0" w:space="0" w:color="auto"/>
        <w:bottom w:val="none" w:sz="0" w:space="0" w:color="auto"/>
        <w:right w:val="none" w:sz="0" w:space="0" w:color="auto"/>
      </w:divBdr>
    </w:div>
    <w:div w:id="590118034">
      <w:bodyDiv w:val="1"/>
      <w:marLeft w:val="0"/>
      <w:marRight w:val="0"/>
      <w:marTop w:val="0"/>
      <w:marBottom w:val="0"/>
      <w:divBdr>
        <w:top w:val="none" w:sz="0" w:space="0" w:color="auto"/>
        <w:left w:val="none" w:sz="0" w:space="0" w:color="auto"/>
        <w:bottom w:val="none" w:sz="0" w:space="0" w:color="auto"/>
        <w:right w:val="none" w:sz="0" w:space="0" w:color="auto"/>
      </w:divBdr>
    </w:div>
    <w:div w:id="591743693">
      <w:bodyDiv w:val="1"/>
      <w:marLeft w:val="0"/>
      <w:marRight w:val="0"/>
      <w:marTop w:val="0"/>
      <w:marBottom w:val="0"/>
      <w:divBdr>
        <w:top w:val="none" w:sz="0" w:space="0" w:color="auto"/>
        <w:left w:val="none" w:sz="0" w:space="0" w:color="auto"/>
        <w:bottom w:val="none" w:sz="0" w:space="0" w:color="auto"/>
        <w:right w:val="none" w:sz="0" w:space="0" w:color="auto"/>
      </w:divBdr>
    </w:div>
    <w:div w:id="593785103">
      <w:bodyDiv w:val="1"/>
      <w:marLeft w:val="0"/>
      <w:marRight w:val="0"/>
      <w:marTop w:val="0"/>
      <w:marBottom w:val="0"/>
      <w:divBdr>
        <w:top w:val="none" w:sz="0" w:space="0" w:color="auto"/>
        <w:left w:val="none" w:sz="0" w:space="0" w:color="auto"/>
        <w:bottom w:val="none" w:sz="0" w:space="0" w:color="auto"/>
        <w:right w:val="none" w:sz="0" w:space="0" w:color="auto"/>
      </w:divBdr>
    </w:div>
    <w:div w:id="595485162">
      <w:bodyDiv w:val="1"/>
      <w:marLeft w:val="0"/>
      <w:marRight w:val="0"/>
      <w:marTop w:val="0"/>
      <w:marBottom w:val="0"/>
      <w:divBdr>
        <w:top w:val="none" w:sz="0" w:space="0" w:color="auto"/>
        <w:left w:val="none" w:sz="0" w:space="0" w:color="auto"/>
        <w:bottom w:val="none" w:sz="0" w:space="0" w:color="auto"/>
        <w:right w:val="none" w:sz="0" w:space="0" w:color="auto"/>
      </w:divBdr>
    </w:div>
    <w:div w:id="595600791">
      <w:bodyDiv w:val="1"/>
      <w:marLeft w:val="0"/>
      <w:marRight w:val="0"/>
      <w:marTop w:val="0"/>
      <w:marBottom w:val="0"/>
      <w:divBdr>
        <w:top w:val="none" w:sz="0" w:space="0" w:color="auto"/>
        <w:left w:val="none" w:sz="0" w:space="0" w:color="auto"/>
        <w:bottom w:val="none" w:sz="0" w:space="0" w:color="auto"/>
        <w:right w:val="none" w:sz="0" w:space="0" w:color="auto"/>
      </w:divBdr>
    </w:div>
    <w:div w:id="597175507">
      <w:bodyDiv w:val="1"/>
      <w:marLeft w:val="0"/>
      <w:marRight w:val="0"/>
      <w:marTop w:val="0"/>
      <w:marBottom w:val="0"/>
      <w:divBdr>
        <w:top w:val="none" w:sz="0" w:space="0" w:color="auto"/>
        <w:left w:val="none" w:sz="0" w:space="0" w:color="auto"/>
        <w:bottom w:val="none" w:sz="0" w:space="0" w:color="auto"/>
        <w:right w:val="none" w:sz="0" w:space="0" w:color="auto"/>
      </w:divBdr>
    </w:div>
    <w:div w:id="598292561">
      <w:bodyDiv w:val="1"/>
      <w:marLeft w:val="0"/>
      <w:marRight w:val="0"/>
      <w:marTop w:val="0"/>
      <w:marBottom w:val="0"/>
      <w:divBdr>
        <w:top w:val="none" w:sz="0" w:space="0" w:color="auto"/>
        <w:left w:val="none" w:sz="0" w:space="0" w:color="auto"/>
        <w:bottom w:val="none" w:sz="0" w:space="0" w:color="auto"/>
        <w:right w:val="none" w:sz="0" w:space="0" w:color="auto"/>
      </w:divBdr>
    </w:div>
    <w:div w:id="598298939">
      <w:bodyDiv w:val="1"/>
      <w:marLeft w:val="0"/>
      <w:marRight w:val="0"/>
      <w:marTop w:val="0"/>
      <w:marBottom w:val="0"/>
      <w:divBdr>
        <w:top w:val="none" w:sz="0" w:space="0" w:color="auto"/>
        <w:left w:val="none" w:sz="0" w:space="0" w:color="auto"/>
        <w:bottom w:val="none" w:sz="0" w:space="0" w:color="auto"/>
        <w:right w:val="none" w:sz="0" w:space="0" w:color="auto"/>
      </w:divBdr>
    </w:div>
    <w:div w:id="598410332">
      <w:bodyDiv w:val="1"/>
      <w:marLeft w:val="0"/>
      <w:marRight w:val="0"/>
      <w:marTop w:val="0"/>
      <w:marBottom w:val="0"/>
      <w:divBdr>
        <w:top w:val="none" w:sz="0" w:space="0" w:color="auto"/>
        <w:left w:val="none" w:sz="0" w:space="0" w:color="auto"/>
        <w:bottom w:val="none" w:sz="0" w:space="0" w:color="auto"/>
        <w:right w:val="none" w:sz="0" w:space="0" w:color="auto"/>
      </w:divBdr>
    </w:div>
    <w:div w:id="598491654">
      <w:bodyDiv w:val="1"/>
      <w:marLeft w:val="0"/>
      <w:marRight w:val="0"/>
      <w:marTop w:val="0"/>
      <w:marBottom w:val="0"/>
      <w:divBdr>
        <w:top w:val="none" w:sz="0" w:space="0" w:color="auto"/>
        <w:left w:val="none" w:sz="0" w:space="0" w:color="auto"/>
        <w:bottom w:val="none" w:sz="0" w:space="0" w:color="auto"/>
        <w:right w:val="none" w:sz="0" w:space="0" w:color="auto"/>
      </w:divBdr>
    </w:div>
    <w:div w:id="598684227">
      <w:bodyDiv w:val="1"/>
      <w:marLeft w:val="0"/>
      <w:marRight w:val="0"/>
      <w:marTop w:val="0"/>
      <w:marBottom w:val="0"/>
      <w:divBdr>
        <w:top w:val="none" w:sz="0" w:space="0" w:color="auto"/>
        <w:left w:val="none" w:sz="0" w:space="0" w:color="auto"/>
        <w:bottom w:val="none" w:sz="0" w:space="0" w:color="auto"/>
        <w:right w:val="none" w:sz="0" w:space="0" w:color="auto"/>
      </w:divBdr>
    </w:div>
    <w:div w:id="599459482">
      <w:bodyDiv w:val="1"/>
      <w:marLeft w:val="0"/>
      <w:marRight w:val="0"/>
      <w:marTop w:val="0"/>
      <w:marBottom w:val="0"/>
      <w:divBdr>
        <w:top w:val="none" w:sz="0" w:space="0" w:color="auto"/>
        <w:left w:val="none" w:sz="0" w:space="0" w:color="auto"/>
        <w:bottom w:val="none" w:sz="0" w:space="0" w:color="auto"/>
        <w:right w:val="none" w:sz="0" w:space="0" w:color="auto"/>
      </w:divBdr>
    </w:div>
    <w:div w:id="599681258">
      <w:bodyDiv w:val="1"/>
      <w:marLeft w:val="0"/>
      <w:marRight w:val="0"/>
      <w:marTop w:val="0"/>
      <w:marBottom w:val="0"/>
      <w:divBdr>
        <w:top w:val="none" w:sz="0" w:space="0" w:color="auto"/>
        <w:left w:val="none" w:sz="0" w:space="0" w:color="auto"/>
        <w:bottom w:val="none" w:sz="0" w:space="0" w:color="auto"/>
        <w:right w:val="none" w:sz="0" w:space="0" w:color="auto"/>
      </w:divBdr>
    </w:div>
    <w:div w:id="602760584">
      <w:bodyDiv w:val="1"/>
      <w:marLeft w:val="0"/>
      <w:marRight w:val="0"/>
      <w:marTop w:val="0"/>
      <w:marBottom w:val="0"/>
      <w:divBdr>
        <w:top w:val="none" w:sz="0" w:space="0" w:color="auto"/>
        <w:left w:val="none" w:sz="0" w:space="0" w:color="auto"/>
        <w:bottom w:val="none" w:sz="0" w:space="0" w:color="auto"/>
        <w:right w:val="none" w:sz="0" w:space="0" w:color="auto"/>
      </w:divBdr>
    </w:div>
    <w:div w:id="604583921">
      <w:bodyDiv w:val="1"/>
      <w:marLeft w:val="0"/>
      <w:marRight w:val="0"/>
      <w:marTop w:val="0"/>
      <w:marBottom w:val="0"/>
      <w:divBdr>
        <w:top w:val="none" w:sz="0" w:space="0" w:color="auto"/>
        <w:left w:val="none" w:sz="0" w:space="0" w:color="auto"/>
        <w:bottom w:val="none" w:sz="0" w:space="0" w:color="auto"/>
        <w:right w:val="none" w:sz="0" w:space="0" w:color="auto"/>
      </w:divBdr>
    </w:div>
    <w:div w:id="604965711">
      <w:bodyDiv w:val="1"/>
      <w:marLeft w:val="0"/>
      <w:marRight w:val="0"/>
      <w:marTop w:val="0"/>
      <w:marBottom w:val="0"/>
      <w:divBdr>
        <w:top w:val="none" w:sz="0" w:space="0" w:color="auto"/>
        <w:left w:val="none" w:sz="0" w:space="0" w:color="auto"/>
        <w:bottom w:val="none" w:sz="0" w:space="0" w:color="auto"/>
        <w:right w:val="none" w:sz="0" w:space="0" w:color="auto"/>
      </w:divBdr>
    </w:div>
    <w:div w:id="606082979">
      <w:bodyDiv w:val="1"/>
      <w:marLeft w:val="0"/>
      <w:marRight w:val="0"/>
      <w:marTop w:val="0"/>
      <w:marBottom w:val="0"/>
      <w:divBdr>
        <w:top w:val="none" w:sz="0" w:space="0" w:color="auto"/>
        <w:left w:val="none" w:sz="0" w:space="0" w:color="auto"/>
        <w:bottom w:val="none" w:sz="0" w:space="0" w:color="auto"/>
        <w:right w:val="none" w:sz="0" w:space="0" w:color="auto"/>
      </w:divBdr>
    </w:div>
    <w:div w:id="606233461">
      <w:bodyDiv w:val="1"/>
      <w:marLeft w:val="0"/>
      <w:marRight w:val="0"/>
      <w:marTop w:val="0"/>
      <w:marBottom w:val="0"/>
      <w:divBdr>
        <w:top w:val="none" w:sz="0" w:space="0" w:color="auto"/>
        <w:left w:val="none" w:sz="0" w:space="0" w:color="auto"/>
        <w:bottom w:val="none" w:sz="0" w:space="0" w:color="auto"/>
        <w:right w:val="none" w:sz="0" w:space="0" w:color="auto"/>
      </w:divBdr>
    </w:div>
    <w:div w:id="607546521">
      <w:bodyDiv w:val="1"/>
      <w:marLeft w:val="0"/>
      <w:marRight w:val="0"/>
      <w:marTop w:val="0"/>
      <w:marBottom w:val="0"/>
      <w:divBdr>
        <w:top w:val="none" w:sz="0" w:space="0" w:color="auto"/>
        <w:left w:val="none" w:sz="0" w:space="0" w:color="auto"/>
        <w:bottom w:val="none" w:sz="0" w:space="0" w:color="auto"/>
        <w:right w:val="none" w:sz="0" w:space="0" w:color="auto"/>
      </w:divBdr>
    </w:div>
    <w:div w:id="608244252">
      <w:bodyDiv w:val="1"/>
      <w:marLeft w:val="0"/>
      <w:marRight w:val="0"/>
      <w:marTop w:val="0"/>
      <w:marBottom w:val="0"/>
      <w:divBdr>
        <w:top w:val="none" w:sz="0" w:space="0" w:color="auto"/>
        <w:left w:val="none" w:sz="0" w:space="0" w:color="auto"/>
        <w:bottom w:val="none" w:sz="0" w:space="0" w:color="auto"/>
        <w:right w:val="none" w:sz="0" w:space="0" w:color="auto"/>
      </w:divBdr>
    </w:div>
    <w:div w:id="609163105">
      <w:bodyDiv w:val="1"/>
      <w:marLeft w:val="0"/>
      <w:marRight w:val="0"/>
      <w:marTop w:val="0"/>
      <w:marBottom w:val="0"/>
      <w:divBdr>
        <w:top w:val="none" w:sz="0" w:space="0" w:color="auto"/>
        <w:left w:val="none" w:sz="0" w:space="0" w:color="auto"/>
        <w:bottom w:val="none" w:sz="0" w:space="0" w:color="auto"/>
        <w:right w:val="none" w:sz="0" w:space="0" w:color="auto"/>
      </w:divBdr>
    </w:div>
    <w:div w:id="611208907">
      <w:bodyDiv w:val="1"/>
      <w:marLeft w:val="0"/>
      <w:marRight w:val="0"/>
      <w:marTop w:val="0"/>
      <w:marBottom w:val="0"/>
      <w:divBdr>
        <w:top w:val="none" w:sz="0" w:space="0" w:color="auto"/>
        <w:left w:val="none" w:sz="0" w:space="0" w:color="auto"/>
        <w:bottom w:val="none" w:sz="0" w:space="0" w:color="auto"/>
        <w:right w:val="none" w:sz="0" w:space="0" w:color="auto"/>
      </w:divBdr>
    </w:div>
    <w:div w:id="611321930">
      <w:bodyDiv w:val="1"/>
      <w:marLeft w:val="0"/>
      <w:marRight w:val="0"/>
      <w:marTop w:val="0"/>
      <w:marBottom w:val="0"/>
      <w:divBdr>
        <w:top w:val="none" w:sz="0" w:space="0" w:color="auto"/>
        <w:left w:val="none" w:sz="0" w:space="0" w:color="auto"/>
        <w:bottom w:val="none" w:sz="0" w:space="0" w:color="auto"/>
        <w:right w:val="none" w:sz="0" w:space="0" w:color="auto"/>
      </w:divBdr>
    </w:div>
    <w:div w:id="612714451">
      <w:bodyDiv w:val="1"/>
      <w:marLeft w:val="0"/>
      <w:marRight w:val="0"/>
      <w:marTop w:val="0"/>
      <w:marBottom w:val="0"/>
      <w:divBdr>
        <w:top w:val="none" w:sz="0" w:space="0" w:color="auto"/>
        <w:left w:val="none" w:sz="0" w:space="0" w:color="auto"/>
        <w:bottom w:val="none" w:sz="0" w:space="0" w:color="auto"/>
        <w:right w:val="none" w:sz="0" w:space="0" w:color="auto"/>
      </w:divBdr>
    </w:div>
    <w:div w:id="613023863">
      <w:bodyDiv w:val="1"/>
      <w:marLeft w:val="0"/>
      <w:marRight w:val="0"/>
      <w:marTop w:val="0"/>
      <w:marBottom w:val="0"/>
      <w:divBdr>
        <w:top w:val="none" w:sz="0" w:space="0" w:color="auto"/>
        <w:left w:val="none" w:sz="0" w:space="0" w:color="auto"/>
        <w:bottom w:val="none" w:sz="0" w:space="0" w:color="auto"/>
        <w:right w:val="none" w:sz="0" w:space="0" w:color="auto"/>
      </w:divBdr>
    </w:div>
    <w:div w:id="613363752">
      <w:bodyDiv w:val="1"/>
      <w:marLeft w:val="0"/>
      <w:marRight w:val="0"/>
      <w:marTop w:val="0"/>
      <w:marBottom w:val="0"/>
      <w:divBdr>
        <w:top w:val="none" w:sz="0" w:space="0" w:color="auto"/>
        <w:left w:val="none" w:sz="0" w:space="0" w:color="auto"/>
        <w:bottom w:val="none" w:sz="0" w:space="0" w:color="auto"/>
        <w:right w:val="none" w:sz="0" w:space="0" w:color="auto"/>
      </w:divBdr>
    </w:div>
    <w:div w:id="614361494">
      <w:bodyDiv w:val="1"/>
      <w:marLeft w:val="0"/>
      <w:marRight w:val="0"/>
      <w:marTop w:val="0"/>
      <w:marBottom w:val="0"/>
      <w:divBdr>
        <w:top w:val="none" w:sz="0" w:space="0" w:color="auto"/>
        <w:left w:val="none" w:sz="0" w:space="0" w:color="auto"/>
        <w:bottom w:val="none" w:sz="0" w:space="0" w:color="auto"/>
        <w:right w:val="none" w:sz="0" w:space="0" w:color="auto"/>
      </w:divBdr>
    </w:div>
    <w:div w:id="614531210">
      <w:bodyDiv w:val="1"/>
      <w:marLeft w:val="0"/>
      <w:marRight w:val="0"/>
      <w:marTop w:val="0"/>
      <w:marBottom w:val="0"/>
      <w:divBdr>
        <w:top w:val="none" w:sz="0" w:space="0" w:color="auto"/>
        <w:left w:val="none" w:sz="0" w:space="0" w:color="auto"/>
        <w:bottom w:val="none" w:sz="0" w:space="0" w:color="auto"/>
        <w:right w:val="none" w:sz="0" w:space="0" w:color="auto"/>
      </w:divBdr>
      <w:divsChild>
        <w:div w:id="662317141">
          <w:marLeft w:val="0"/>
          <w:marRight w:val="0"/>
          <w:marTop w:val="0"/>
          <w:marBottom w:val="0"/>
          <w:divBdr>
            <w:top w:val="none" w:sz="0" w:space="0" w:color="auto"/>
            <w:left w:val="none" w:sz="0" w:space="0" w:color="auto"/>
            <w:bottom w:val="none" w:sz="0" w:space="0" w:color="auto"/>
            <w:right w:val="none" w:sz="0" w:space="0" w:color="auto"/>
          </w:divBdr>
        </w:div>
        <w:div w:id="1631134857">
          <w:marLeft w:val="0"/>
          <w:marRight w:val="0"/>
          <w:marTop w:val="0"/>
          <w:marBottom w:val="0"/>
          <w:divBdr>
            <w:top w:val="none" w:sz="0" w:space="0" w:color="auto"/>
            <w:left w:val="none" w:sz="0" w:space="0" w:color="auto"/>
            <w:bottom w:val="none" w:sz="0" w:space="0" w:color="auto"/>
            <w:right w:val="none" w:sz="0" w:space="0" w:color="auto"/>
          </w:divBdr>
        </w:div>
        <w:div w:id="661666471">
          <w:marLeft w:val="0"/>
          <w:marRight w:val="0"/>
          <w:marTop w:val="0"/>
          <w:marBottom w:val="0"/>
          <w:divBdr>
            <w:top w:val="none" w:sz="0" w:space="0" w:color="auto"/>
            <w:left w:val="none" w:sz="0" w:space="0" w:color="auto"/>
            <w:bottom w:val="none" w:sz="0" w:space="0" w:color="auto"/>
            <w:right w:val="none" w:sz="0" w:space="0" w:color="auto"/>
          </w:divBdr>
        </w:div>
      </w:divsChild>
    </w:div>
    <w:div w:id="616332150">
      <w:bodyDiv w:val="1"/>
      <w:marLeft w:val="0"/>
      <w:marRight w:val="0"/>
      <w:marTop w:val="0"/>
      <w:marBottom w:val="0"/>
      <w:divBdr>
        <w:top w:val="none" w:sz="0" w:space="0" w:color="auto"/>
        <w:left w:val="none" w:sz="0" w:space="0" w:color="auto"/>
        <w:bottom w:val="none" w:sz="0" w:space="0" w:color="auto"/>
        <w:right w:val="none" w:sz="0" w:space="0" w:color="auto"/>
      </w:divBdr>
    </w:div>
    <w:div w:id="616563319">
      <w:bodyDiv w:val="1"/>
      <w:marLeft w:val="0"/>
      <w:marRight w:val="0"/>
      <w:marTop w:val="0"/>
      <w:marBottom w:val="0"/>
      <w:divBdr>
        <w:top w:val="none" w:sz="0" w:space="0" w:color="auto"/>
        <w:left w:val="none" w:sz="0" w:space="0" w:color="auto"/>
        <w:bottom w:val="none" w:sz="0" w:space="0" w:color="auto"/>
        <w:right w:val="none" w:sz="0" w:space="0" w:color="auto"/>
      </w:divBdr>
    </w:div>
    <w:div w:id="616759602">
      <w:bodyDiv w:val="1"/>
      <w:marLeft w:val="0"/>
      <w:marRight w:val="0"/>
      <w:marTop w:val="0"/>
      <w:marBottom w:val="0"/>
      <w:divBdr>
        <w:top w:val="none" w:sz="0" w:space="0" w:color="auto"/>
        <w:left w:val="none" w:sz="0" w:space="0" w:color="auto"/>
        <w:bottom w:val="none" w:sz="0" w:space="0" w:color="auto"/>
        <w:right w:val="none" w:sz="0" w:space="0" w:color="auto"/>
      </w:divBdr>
    </w:div>
    <w:div w:id="616913066">
      <w:bodyDiv w:val="1"/>
      <w:marLeft w:val="0"/>
      <w:marRight w:val="0"/>
      <w:marTop w:val="0"/>
      <w:marBottom w:val="0"/>
      <w:divBdr>
        <w:top w:val="none" w:sz="0" w:space="0" w:color="auto"/>
        <w:left w:val="none" w:sz="0" w:space="0" w:color="auto"/>
        <w:bottom w:val="none" w:sz="0" w:space="0" w:color="auto"/>
        <w:right w:val="none" w:sz="0" w:space="0" w:color="auto"/>
      </w:divBdr>
    </w:div>
    <w:div w:id="618028279">
      <w:bodyDiv w:val="1"/>
      <w:marLeft w:val="0"/>
      <w:marRight w:val="0"/>
      <w:marTop w:val="0"/>
      <w:marBottom w:val="0"/>
      <w:divBdr>
        <w:top w:val="none" w:sz="0" w:space="0" w:color="auto"/>
        <w:left w:val="none" w:sz="0" w:space="0" w:color="auto"/>
        <w:bottom w:val="none" w:sz="0" w:space="0" w:color="auto"/>
        <w:right w:val="none" w:sz="0" w:space="0" w:color="auto"/>
      </w:divBdr>
    </w:div>
    <w:div w:id="618923295">
      <w:bodyDiv w:val="1"/>
      <w:marLeft w:val="0"/>
      <w:marRight w:val="0"/>
      <w:marTop w:val="0"/>
      <w:marBottom w:val="0"/>
      <w:divBdr>
        <w:top w:val="none" w:sz="0" w:space="0" w:color="auto"/>
        <w:left w:val="none" w:sz="0" w:space="0" w:color="auto"/>
        <w:bottom w:val="none" w:sz="0" w:space="0" w:color="auto"/>
        <w:right w:val="none" w:sz="0" w:space="0" w:color="auto"/>
      </w:divBdr>
    </w:div>
    <w:div w:id="619848007">
      <w:bodyDiv w:val="1"/>
      <w:marLeft w:val="0"/>
      <w:marRight w:val="0"/>
      <w:marTop w:val="0"/>
      <w:marBottom w:val="0"/>
      <w:divBdr>
        <w:top w:val="none" w:sz="0" w:space="0" w:color="auto"/>
        <w:left w:val="none" w:sz="0" w:space="0" w:color="auto"/>
        <w:bottom w:val="none" w:sz="0" w:space="0" w:color="auto"/>
        <w:right w:val="none" w:sz="0" w:space="0" w:color="auto"/>
      </w:divBdr>
    </w:div>
    <w:div w:id="620301627">
      <w:bodyDiv w:val="1"/>
      <w:marLeft w:val="0"/>
      <w:marRight w:val="0"/>
      <w:marTop w:val="0"/>
      <w:marBottom w:val="0"/>
      <w:divBdr>
        <w:top w:val="none" w:sz="0" w:space="0" w:color="auto"/>
        <w:left w:val="none" w:sz="0" w:space="0" w:color="auto"/>
        <w:bottom w:val="none" w:sz="0" w:space="0" w:color="auto"/>
        <w:right w:val="none" w:sz="0" w:space="0" w:color="auto"/>
      </w:divBdr>
    </w:div>
    <w:div w:id="620579131">
      <w:bodyDiv w:val="1"/>
      <w:marLeft w:val="0"/>
      <w:marRight w:val="0"/>
      <w:marTop w:val="0"/>
      <w:marBottom w:val="0"/>
      <w:divBdr>
        <w:top w:val="none" w:sz="0" w:space="0" w:color="auto"/>
        <w:left w:val="none" w:sz="0" w:space="0" w:color="auto"/>
        <w:bottom w:val="none" w:sz="0" w:space="0" w:color="auto"/>
        <w:right w:val="none" w:sz="0" w:space="0" w:color="auto"/>
      </w:divBdr>
    </w:div>
    <w:div w:id="620913929">
      <w:bodyDiv w:val="1"/>
      <w:marLeft w:val="0"/>
      <w:marRight w:val="0"/>
      <w:marTop w:val="0"/>
      <w:marBottom w:val="0"/>
      <w:divBdr>
        <w:top w:val="none" w:sz="0" w:space="0" w:color="auto"/>
        <w:left w:val="none" w:sz="0" w:space="0" w:color="auto"/>
        <w:bottom w:val="none" w:sz="0" w:space="0" w:color="auto"/>
        <w:right w:val="none" w:sz="0" w:space="0" w:color="auto"/>
      </w:divBdr>
    </w:div>
    <w:div w:id="621114124">
      <w:bodyDiv w:val="1"/>
      <w:marLeft w:val="0"/>
      <w:marRight w:val="0"/>
      <w:marTop w:val="0"/>
      <w:marBottom w:val="0"/>
      <w:divBdr>
        <w:top w:val="none" w:sz="0" w:space="0" w:color="auto"/>
        <w:left w:val="none" w:sz="0" w:space="0" w:color="auto"/>
        <w:bottom w:val="none" w:sz="0" w:space="0" w:color="auto"/>
        <w:right w:val="none" w:sz="0" w:space="0" w:color="auto"/>
      </w:divBdr>
    </w:div>
    <w:div w:id="621571713">
      <w:bodyDiv w:val="1"/>
      <w:marLeft w:val="0"/>
      <w:marRight w:val="0"/>
      <w:marTop w:val="0"/>
      <w:marBottom w:val="0"/>
      <w:divBdr>
        <w:top w:val="none" w:sz="0" w:space="0" w:color="auto"/>
        <w:left w:val="none" w:sz="0" w:space="0" w:color="auto"/>
        <w:bottom w:val="none" w:sz="0" w:space="0" w:color="auto"/>
        <w:right w:val="none" w:sz="0" w:space="0" w:color="auto"/>
      </w:divBdr>
    </w:div>
    <w:div w:id="621616546">
      <w:bodyDiv w:val="1"/>
      <w:marLeft w:val="0"/>
      <w:marRight w:val="0"/>
      <w:marTop w:val="0"/>
      <w:marBottom w:val="0"/>
      <w:divBdr>
        <w:top w:val="none" w:sz="0" w:space="0" w:color="auto"/>
        <w:left w:val="none" w:sz="0" w:space="0" w:color="auto"/>
        <w:bottom w:val="none" w:sz="0" w:space="0" w:color="auto"/>
        <w:right w:val="none" w:sz="0" w:space="0" w:color="auto"/>
      </w:divBdr>
    </w:div>
    <w:div w:id="621695955">
      <w:bodyDiv w:val="1"/>
      <w:marLeft w:val="0"/>
      <w:marRight w:val="0"/>
      <w:marTop w:val="0"/>
      <w:marBottom w:val="0"/>
      <w:divBdr>
        <w:top w:val="none" w:sz="0" w:space="0" w:color="auto"/>
        <w:left w:val="none" w:sz="0" w:space="0" w:color="auto"/>
        <w:bottom w:val="none" w:sz="0" w:space="0" w:color="auto"/>
        <w:right w:val="none" w:sz="0" w:space="0" w:color="auto"/>
      </w:divBdr>
    </w:div>
    <w:div w:id="621886566">
      <w:bodyDiv w:val="1"/>
      <w:marLeft w:val="0"/>
      <w:marRight w:val="0"/>
      <w:marTop w:val="0"/>
      <w:marBottom w:val="0"/>
      <w:divBdr>
        <w:top w:val="none" w:sz="0" w:space="0" w:color="auto"/>
        <w:left w:val="none" w:sz="0" w:space="0" w:color="auto"/>
        <w:bottom w:val="none" w:sz="0" w:space="0" w:color="auto"/>
        <w:right w:val="none" w:sz="0" w:space="0" w:color="auto"/>
      </w:divBdr>
    </w:div>
    <w:div w:id="622275470">
      <w:bodyDiv w:val="1"/>
      <w:marLeft w:val="0"/>
      <w:marRight w:val="0"/>
      <w:marTop w:val="0"/>
      <w:marBottom w:val="0"/>
      <w:divBdr>
        <w:top w:val="none" w:sz="0" w:space="0" w:color="auto"/>
        <w:left w:val="none" w:sz="0" w:space="0" w:color="auto"/>
        <w:bottom w:val="none" w:sz="0" w:space="0" w:color="auto"/>
        <w:right w:val="none" w:sz="0" w:space="0" w:color="auto"/>
      </w:divBdr>
    </w:div>
    <w:div w:id="622347918">
      <w:bodyDiv w:val="1"/>
      <w:marLeft w:val="0"/>
      <w:marRight w:val="0"/>
      <w:marTop w:val="0"/>
      <w:marBottom w:val="0"/>
      <w:divBdr>
        <w:top w:val="none" w:sz="0" w:space="0" w:color="auto"/>
        <w:left w:val="none" w:sz="0" w:space="0" w:color="auto"/>
        <w:bottom w:val="none" w:sz="0" w:space="0" w:color="auto"/>
        <w:right w:val="none" w:sz="0" w:space="0" w:color="auto"/>
      </w:divBdr>
    </w:div>
    <w:div w:id="622348181">
      <w:bodyDiv w:val="1"/>
      <w:marLeft w:val="0"/>
      <w:marRight w:val="0"/>
      <w:marTop w:val="0"/>
      <w:marBottom w:val="0"/>
      <w:divBdr>
        <w:top w:val="none" w:sz="0" w:space="0" w:color="auto"/>
        <w:left w:val="none" w:sz="0" w:space="0" w:color="auto"/>
        <w:bottom w:val="none" w:sz="0" w:space="0" w:color="auto"/>
        <w:right w:val="none" w:sz="0" w:space="0" w:color="auto"/>
      </w:divBdr>
    </w:div>
    <w:div w:id="623001588">
      <w:bodyDiv w:val="1"/>
      <w:marLeft w:val="0"/>
      <w:marRight w:val="0"/>
      <w:marTop w:val="0"/>
      <w:marBottom w:val="0"/>
      <w:divBdr>
        <w:top w:val="none" w:sz="0" w:space="0" w:color="auto"/>
        <w:left w:val="none" w:sz="0" w:space="0" w:color="auto"/>
        <w:bottom w:val="none" w:sz="0" w:space="0" w:color="auto"/>
        <w:right w:val="none" w:sz="0" w:space="0" w:color="auto"/>
      </w:divBdr>
    </w:div>
    <w:div w:id="623116952">
      <w:bodyDiv w:val="1"/>
      <w:marLeft w:val="0"/>
      <w:marRight w:val="0"/>
      <w:marTop w:val="0"/>
      <w:marBottom w:val="0"/>
      <w:divBdr>
        <w:top w:val="none" w:sz="0" w:space="0" w:color="auto"/>
        <w:left w:val="none" w:sz="0" w:space="0" w:color="auto"/>
        <w:bottom w:val="none" w:sz="0" w:space="0" w:color="auto"/>
        <w:right w:val="none" w:sz="0" w:space="0" w:color="auto"/>
      </w:divBdr>
    </w:div>
    <w:div w:id="625887359">
      <w:bodyDiv w:val="1"/>
      <w:marLeft w:val="0"/>
      <w:marRight w:val="0"/>
      <w:marTop w:val="0"/>
      <w:marBottom w:val="0"/>
      <w:divBdr>
        <w:top w:val="none" w:sz="0" w:space="0" w:color="auto"/>
        <w:left w:val="none" w:sz="0" w:space="0" w:color="auto"/>
        <w:bottom w:val="none" w:sz="0" w:space="0" w:color="auto"/>
        <w:right w:val="none" w:sz="0" w:space="0" w:color="auto"/>
      </w:divBdr>
    </w:div>
    <w:div w:id="625890155">
      <w:bodyDiv w:val="1"/>
      <w:marLeft w:val="0"/>
      <w:marRight w:val="0"/>
      <w:marTop w:val="0"/>
      <w:marBottom w:val="0"/>
      <w:divBdr>
        <w:top w:val="none" w:sz="0" w:space="0" w:color="auto"/>
        <w:left w:val="none" w:sz="0" w:space="0" w:color="auto"/>
        <w:bottom w:val="none" w:sz="0" w:space="0" w:color="auto"/>
        <w:right w:val="none" w:sz="0" w:space="0" w:color="auto"/>
      </w:divBdr>
    </w:div>
    <w:div w:id="626786466">
      <w:bodyDiv w:val="1"/>
      <w:marLeft w:val="0"/>
      <w:marRight w:val="0"/>
      <w:marTop w:val="0"/>
      <w:marBottom w:val="0"/>
      <w:divBdr>
        <w:top w:val="none" w:sz="0" w:space="0" w:color="auto"/>
        <w:left w:val="none" w:sz="0" w:space="0" w:color="auto"/>
        <w:bottom w:val="none" w:sz="0" w:space="0" w:color="auto"/>
        <w:right w:val="none" w:sz="0" w:space="0" w:color="auto"/>
      </w:divBdr>
    </w:div>
    <w:div w:id="627130223">
      <w:bodyDiv w:val="1"/>
      <w:marLeft w:val="0"/>
      <w:marRight w:val="0"/>
      <w:marTop w:val="0"/>
      <w:marBottom w:val="0"/>
      <w:divBdr>
        <w:top w:val="none" w:sz="0" w:space="0" w:color="auto"/>
        <w:left w:val="none" w:sz="0" w:space="0" w:color="auto"/>
        <w:bottom w:val="none" w:sz="0" w:space="0" w:color="auto"/>
        <w:right w:val="none" w:sz="0" w:space="0" w:color="auto"/>
      </w:divBdr>
    </w:div>
    <w:div w:id="627705470">
      <w:bodyDiv w:val="1"/>
      <w:marLeft w:val="0"/>
      <w:marRight w:val="0"/>
      <w:marTop w:val="0"/>
      <w:marBottom w:val="0"/>
      <w:divBdr>
        <w:top w:val="none" w:sz="0" w:space="0" w:color="auto"/>
        <w:left w:val="none" w:sz="0" w:space="0" w:color="auto"/>
        <w:bottom w:val="none" w:sz="0" w:space="0" w:color="auto"/>
        <w:right w:val="none" w:sz="0" w:space="0" w:color="auto"/>
      </w:divBdr>
    </w:div>
    <w:div w:id="627901054">
      <w:bodyDiv w:val="1"/>
      <w:marLeft w:val="0"/>
      <w:marRight w:val="0"/>
      <w:marTop w:val="0"/>
      <w:marBottom w:val="0"/>
      <w:divBdr>
        <w:top w:val="none" w:sz="0" w:space="0" w:color="auto"/>
        <w:left w:val="none" w:sz="0" w:space="0" w:color="auto"/>
        <w:bottom w:val="none" w:sz="0" w:space="0" w:color="auto"/>
        <w:right w:val="none" w:sz="0" w:space="0" w:color="auto"/>
      </w:divBdr>
    </w:div>
    <w:div w:id="628167443">
      <w:bodyDiv w:val="1"/>
      <w:marLeft w:val="0"/>
      <w:marRight w:val="0"/>
      <w:marTop w:val="0"/>
      <w:marBottom w:val="0"/>
      <w:divBdr>
        <w:top w:val="none" w:sz="0" w:space="0" w:color="auto"/>
        <w:left w:val="none" w:sz="0" w:space="0" w:color="auto"/>
        <w:bottom w:val="none" w:sz="0" w:space="0" w:color="auto"/>
        <w:right w:val="none" w:sz="0" w:space="0" w:color="auto"/>
      </w:divBdr>
    </w:div>
    <w:div w:id="628509571">
      <w:bodyDiv w:val="1"/>
      <w:marLeft w:val="0"/>
      <w:marRight w:val="0"/>
      <w:marTop w:val="0"/>
      <w:marBottom w:val="0"/>
      <w:divBdr>
        <w:top w:val="none" w:sz="0" w:space="0" w:color="auto"/>
        <w:left w:val="none" w:sz="0" w:space="0" w:color="auto"/>
        <w:bottom w:val="none" w:sz="0" w:space="0" w:color="auto"/>
        <w:right w:val="none" w:sz="0" w:space="0" w:color="auto"/>
      </w:divBdr>
    </w:div>
    <w:div w:id="628753047">
      <w:bodyDiv w:val="1"/>
      <w:marLeft w:val="0"/>
      <w:marRight w:val="0"/>
      <w:marTop w:val="0"/>
      <w:marBottom w:val="0"/>
      <w:divBdr>
        <w:top w:val="none" w:sz="0" w:space="0" w:color="auto"/>
        <w:left w:val="none" w:sz="0" w:space="0" w:color="auto"/>
        <w:bottom w:val="none" w:sz="0" w:space="0" w:color="auto"/>
        <w:right w:val="none" w:sz="0" w:space="0" w:color="auto"/>
      </w:divBdr>
    </w:div>
    <w:div w:id="629165105">
      <w:bodyDiv w:val="1"/>
      <w:marLeft w:val="0"/>
      <w:marRight w:val="0"/>
      <w:marTop w:val="0"/>
      <w:marBottom w:val="0"/>
      <w:divBdr>
        <w:top w:val="none" w:sz="0" w:space="0" w:color="auto"/>
        <w:left w:val="none" w:sz="0" w:space="0" w:color="auto"/>
        <w:bottom w:val="none" w:sz="0" w:space="0" w:color="auto"/>
        <w:right w:val="none" w:sz="0" w:space="0" w:color="auto"/>
      </w:divBdr>
    </w:div>
    <w:div w:id="629628650">
      <w:bodyDiv w:val="1"/>
      <w:marLeft w:val="0"/>
      <w:marRight w:val="0"/>
      <w:marTop w:val="0"/>
      <w:marBottom w:val="0"/>
      <w:divBdr>
        <w:top w:val="none" w:sz="0" w:space="0" w:color="auto"/>
        <w:left w:val="none" w:sz="0" w:space="0" w:color="auto"/>
        <w:bottom w:val="none" w:sz="0" w:space="0" w:color="auto"/>
        <w:right w:val="none" w:sz="0" w:space="0" w:color="auto"/>
      </w:divBdr>
    </w:div>
    <w:div w:id="630332374">
      <w:bodyDiv w:val="1"/>
      <w:marLeft w:val="0"/>
      <w:marRight w:val="0"/>
      <w:marTop w:val="0"/>
      <w:marBottom w:val="0"/>
      <w:divBdr>
        <w:top w:val="none" w:sz="0" w:space="0" w:color="auto"/>
        <w:left w:val="none" w:sz="0" w:space="0" w:color="auto"/>
        <w:bottom w:val="none" w:sz="0" w:space="0" w:color="auto"/>
        <w:right w:val="none" w:sz="0" w:space="0" w:color="auto"/>
      </w:divBdr>
    </w:div>
    <w:div w:id="631902986">
      <w:bodyDiv w:val="1"/>
      <w:marLeft w:val="0"/>
      <w:marRight w:val="0"/>
      <w:marTop w:val="0"/>
      <w:marBottom w:val="0"/>
      <w:divBdr>
        <w:top w:val="none" w:sz="0" w:space="0" w:color="auto"/>
        <w:left w:val="none" w:sz="0" w:space="0" w:color="auto"/>
        <w:bottom w:val="none" w:sz="0" w:space="0" w:color="auto"/>
        <w:right w:val="none" w:sz="0" w:space="0" w:color="auto"/>
      </w:divBdr>
    </w:div>
    <w:div w:id="633296997">
      <w:bodyDiv w:val="1"/>
      <w:marLeft w:val="0"/>
      <w:marRight w:val="0"/>
      <w:marTop w:val="0"/>
      <w:marBottom w:val="0"/>
      <w:divBdr>
        <w:top w:val="none" w:sz="0" w:space="0" w:color="auto"/>
        <w:left w:val="none" w:sz="0" w:space="0" w:color="auto"/>
        <w:bottom w:val="none" w:sz="0" w:space="0" w:color="auto"/>
        <w:right w:val="none" w:sz="0" w:space="0" w:color="auto"/>
      </w:divBdr>
    </w:div>
    <w:div w:id="634412717">
      <w:bodyDiv w:val="1"/>
      <w:marLeft w:val="0"/>
      <w:marRight w:val="0"/>
      <w:marTop w:val="0"/>
      <w:marBottom w:val="0"/>
      <w:divBdr>
        <w:top w:val="none" w:sz="0" w:space="0" w:color="auto"/>
        <w:left w:val="none" w:sz="0" w:space="0" w:color="auto"/>
        <w:bottom w:val="none" w:sz="0" w:space="0" w:color="auto"/>
        <w:right w:val="none" w:sz="0" w:space="0" w:color="auto"/>
      </w:divBdr>
    </w:div>
    <w:div w:id="635257334">
      <w:bodyDiv w:val="1"/>
      <w:marLeft w:val="0"/>
      <w:marRight w:val="0"/>
      <w:marTop w:val="0"/>
      <w:marBottom w:val="0"/>
      <w:divBdr>
        <w:top w:val="none" w:sz="0" w:space="0" w:color="auto"/>
        <w:left w:val="none" w:sz="0" w:space="0" w:color="auto"/>
        <w:bottom w:val="none" w:sz="0" w:space="0" w:color="auto"/>
        <w:right w:val="none" w:sz="0" w:space="0" w:color="auto"/>
      </w:divBdr>
    </w:div>
    <w:div w:id="636836968">
      <w:bodyDiv w:val="1"/>
      <w:marLeft w:val="0"/>
      <w:marRight w:val="0"/>
      <w:marTop w:val="0"/>
      <w:marBottom w:val="0"/>
      <w:divBdr>
        <w:top w:val="none" w:sz="0" w:space="0" w:color="auto"/>
        <w:left w:val="none" w:sz="0" w:space="0" w:color="auto"/>
        <w:bottom w:val="none" w:sz="0" w:space="0" w:color="auto"/>
        <w:right w:val="none" w:sz="0" w:space="0" w:color="auto"/>
      </w:divBdr>
    </w:div>
    <w:div w:id="637955028">
      <w:bodyDiv w:val="1"/>
      <w:marLeft w:val="0"/>
      <w:marRight w:val="0"/>
      <w:marTop w:val="0"/>
      <w:marBottom w:val="0"/>
      <w:divBdr>
        <w:top w:val="none" w:sz="0" w:space="0" w:color="auto"/>
        <w:left w:val="none" w:sz="0" w:space="0" w:color="auto"/>
        <w:bottom w:val="none" w:sz="0" w:space="0" w:color="auto"/>
        <w:right w:val="none" w:sz="0" w:space="0" w:color="auto"/>
      </w:divBdr>
    </w:div>
    <w:div w:id="638075341">
      <w:bodyDiv w:val="1"/>
      <w:marLeft w:val="0"/>
      <w:marRight w:val="0"/>
      <w:marTop w:val="0"/>
      <w:marBottom w:val="0"/>
      <w:divBdr>
        <w:top w:val="none" w:sz="0" w:space="0" w:color="auto"/>
        <w:left w:val="none" w:sz="0" w:space="0" w:color="auto"/>
        <w:bottom w:val="none" w:sz="0" w:space="0" w:color="auto"/>
        <w:right w:val="none" w:sz="0" w:space="0" w:color="auto"/>
      </w:divBdr>
    </w:div>
    <w:div w:id="640155884">
      <w:bodyDiv w:val="1"/>
      <w:marLeft w:val="0"/>
      <w:marRight w:val="0"/>
      <w:marTop w:val="0"/>
      <w:marBottom w:val="0"/>
      <w:divBdr>
        <w:top w:val="none" w:sz="0" w:space="0" w:color="auto"/>
        <w:left w:val="none" w:sz="0" w:space="0" w:color="auto"/>
        <w:bottom w:val="none" w:sz="0" w:space="0" w:color="auto"/>
        <w:right w:val="none" w:sz="0" w:space="0" w:color="auto"/>
      </w:divBdr>
    </w:div>
    <w:div w:id="641348430">
      <w:bodyDiv w:val="1"/>
      <w:marLeft w:val="0"/>
      <w:marRight w:val="0"/>
      <w:marTop w:val="0"/>
      <w:marBottom w:val="0"/>
      <w:divBdr>
        <w:top w:val="none" w:sz="0" w:space="0" w:color="auto"/>
        <w:left w:val="none" w:sz="0" w:space="0" w:color="auto"/>
        <w:bottom w:val="none" w:sz="0" w:space="0" w:color="auto"/>
        <w:right w:val="none" w:sz="0" w:space="0" w:color="auto"/>
      </w:divBdr>
    </w:div>
    <w:div w:id="641422528">
      <w:bodyDiv w:val="1"/>
      <w:marLeft w:val="0"/>
      <w:marRight w:val="0"/>
      <w:marTop w:val="0"/>
      <w:marBottom w:val="0"/>
      <w:divBdr>
        <w:top w:val="none" w:sz="0" w:space="0" w:color="auto"/>
        <w:left w:val="none" w:sz="0" w:space="0" w:color="auto"/>
        <w:bottom w:val="none" w:sz="0" w:space="0" w:color="auto"/>
        <w:right w:val="none" w:sz="0" w:space="0" w:color="auto"/>
      </w:divBdr>
    </w:div>
    <w:div w:id="641547795">
      <w:bodyDiv w:val="1"/>
      <w:marLeft w:val="0"/>
      <w:marRight w:val="0"/>
      <w:marTop w:val="0"/>
      <w:marBottom w:val="0"/>
      <w:divBdr>
        <w:top w:val="none" w:sz="0" w:space="0" w:color="auto"/>
        <w:left w:val="none" w:sz="0" w:space="0" w:color="auto"/>
        <w:bottom w:val="none" w:sz="0" w:space="0" w:color="auto"/>
        <w:right w:val="none" w:sz="0" w:space="0" w:color="auto"/>
      </w:divBdr>
    </w:div>
    <w:div w:id="641664441">
      <w:bodyDiv w:val="1"/>
      <w:marLeft w:val="0"/>
      <w:marRight w:val="0"/>
      <w:marTop w:val="0"/>
      <w:marBottom w:val="0"/>
      <w:divBdr>
        <w:top w:val="none" w:sz="0" w:space="0" w:color="auto"/>
        <w:left w:val="none" w:sz="0" w:space="0" w:color="auto"/>
        <w:bottom w:val="none" w:sz="0" w:space="0" w:color="auto"/>
        <w:right w:val="none" w:sz="0" w:space="0" w:color="auto"/>
      </w:divBdr>
    </w:div>
    <w:div w:id="643239760">
      <w:bodyDiv w:val="1"/>
      <w:marLeft w:val="0"/>
      <w:marRight w:val="0"/>
      <w:marTop w:val="0"/>
      <w:marBottom w:val="0"/>
      <w:divBdr>
        <w:top w:val="none" w:sz="0" w:space="0" w:color="auto"/>
        <w:left w:val="none" w:sz="0" w:space="0" w:color="auto"/>
        <w:bottom w:val="none" w:sz="0" w:space="0" w:color="auto"/>
        <w:right w:val="none" w:sz="0" w:space="0" w:color="auto"/>
      </w:divBdr>
    </w:div>
    <w:div w:id="643510129">
      <w:bodyDiv w:val="1"/>
      <w:marLeft w:val="0"/>
      <w:marRight w:val="0"/>
      <w:marTop w:val="0"/>
      <w:marBottom w:val="0"/>
      <w:divBdr>
        <w:top w:val="none" w:sz="0" w:space="0" w:color="auto"/>
        <w:left w:val="none" w:sz="0" w:space="0" w:color="auto"/>
        <w:bottom w:val="none" w:sz="0" w:space="0" w:color="auto"/>
        <w:right w:val="none" w:sz="0" w:space="0" w:color="auto"/>
      </w:divBdr>
    </w:div>
    <w:div w:id="643581716">
      <w:bodyDiv w:val="1"/>
      <w:marLeft w:val="0"/>
      <w:marRight w:val="0"/>
      <w:marTop w:val="0"/>
      <w:marBottom w:val="0"/>
      <w:divBdr>
        <w:top w:val="none" w:sz="0" w:space="0" w:color="auto"/>
        <w:left w:val="none" w:sz="0" w:space="0" w:color="auto"/>
        <w:bottom w:val="none" w:sz="0" w:space="0" w:color="auto"/>
        <w:right w:val="none" w:sz="0" w:space="0" w:color="auto"/>
      </w:divBdr>
    </w:div>
    <w:div w:id="643894278">
      <w:bodyDiv w:val="1"/>
      <w:marLeft w:val="0"/>
      <w:marRight w:val="0"/>
      <w:marTop w:val="0"/>
      <w:marBottom w:val="0"/>
      <w:divBdr>
        <w:top w:val="none" w:sz="0" w:space="0" w:color="auto"/>
        <w:left w:val="none" w:sz="0" w:space="0" w:color="auto"/>
        <w:bottom w:val="none" w:sz="0" w:space="0" w:color="auto"/>
        <w:right w:val="none" w:sz="0" w:space="0" w:color="auto"/>
      </w:divBdr>
    </w:div>
    <w:div w:id="644315755">
      <w:bodyDiv w:val="1"/>
      <w:marLeft w:val="0"/>
      <w:marRight w:val="0"/>
      <w:marTop w:val="0"/>
      <w:marBottom w:val="0"/>
      <w:divBdr>
        <w:top w:val="none" w:sz="0" w:space="0" w:color="auto"/>
        <w:left w:val="none" w:sz="0" w:space="0" w:color="auto"/>
        <w:bottom w:val="none" w:sz="0" w:space="0" w:color="auto"/>
        <w:right w:val="none" w:sz="0" w:space="0" w:color="auto"/>
      </w:divBdr>
    </w:div>
    <w:div w:id="645428461">
      <w:bodyDiv w:val="1"/>
      <w:marLeft w:val="0"/>
      <w:marRight w:val="0"/>
      <w:marTop w:val="0"/>
      <w:marBottom w:val="0"/>
      <w:divBdr>
        <w:top w:val="none" w:sz="0" w:space="0" w:color="auto"/>
        <w:left w:val="none" w:sz="0" w:space="0" w:color="auto"/>
        <w:bottom w:val="none" w:sz="0" w:space="0" w:color="auto"/>
        <w:right w:val="none" w:sz="0" w:space="0" w:color="auto"/>
      </w:divBdr>
      <w:divsChild>
        <w:div w:id="1864241349">
          <w:marLeft w:val="0"/>
          <w:marRight w:val="0"/>
          <w:marTop w:val="0"/>
          <w:marBottom w:val="0"/>
          <w:divBdr>
            <w:top w:val="none" w:sz="0" w:space="0" w:color="auto"/>
            <w:left w:val="none" w:sz="0" w:space="0" w:color="auto"/>
            <w:bottom w:val="none" w:sz="0" w:space="0" w:color="auto"/>
            <w:right w:val="none" w:sz="0" w:space="0" w:color="auto"/>
          </w:divBdr>
        </w:div>
        <w:div w:id="1674840416">
          <w:marLeft w:val="0"/>
          <w:marRight w:val="0"/>
          <w:marTop w:val="0"/>
          <w:marBottom w:val="0"/>
          <w:divBdr>
            <w:top w:val="none" w:sz="0" w:space="0" w:color="auto"/>
            <w:left w:val="none" w:sz="0" w:space="0" w:color="auto"/>
            <w:bottom w:val="none" w:sz="0" w:space="0" w:color="auto"/>
            <w:right w:val="none" w:sz="0" w:space="0" w:color="auto"/>
          </w:divBdr>
        </w:div>
      </w:divsChild>
    </w:div>
    <w:div w:id="647248484">
      <w:bodyDiv w:val="1"/>
      <w:marLeft w:val="0"/>
      <w:marRight w:val="0"/>
      <w:marTop w:val="0"/>
      <w:marBottom w:val="0"/>
      <w:divBdr>
        <w:top w:val="none" w:sz="0" w:space="0" w:color="auto"/>
        <w:left w:val="none" w:sz="0" w:space="0" w:color="auto"/>
        <w:bottom w:val="none" w:sz="0" w:space="0" w:color="auto"/>
        <w:right w:val="none" w:sz="0" w:space="0" w:color="auto"/>
      </w:divBdr>
    </w:div>
    <w:div w:id="647251405">
      <w:bodyDiv w:val="1"/>
      <w:marLeft w:val="0"/>
      <w:marRight w:val="0"/>
      <w:marTop w:val="0"/>
      <w:marBottom w:val="0"/>
      <w:divBdr>
        <w:top w:val="none" w:sz="0" w:space="0" w:color="auto"/>
        <w:left w:val="none" w:sz="0" w:space="0" w:color="auto"/>
        <w:bottom w:val="none" w:sz="0" w:space="0" w:color="auto"/>
        <w:right w:val="none" w:sz="0" w:space="0" w:color="auto"/>
      </w:divBdr>
    </w:div>
    <w:div w:id="647630877">
      <w:bodyDiv w:val="1"/>
      <w:marLeft w:val="0"/>
      <w:marRight w:val="0"/>
      <w:marTop w:val="0"/>
      <w:marBottom w:val="0"/>
      <w:divBdr>
        <w:top w:val="none" w:sz="0" w:space="0" w:color="auto"/>
        <w:left w:val="none" w:sz="0" w:space="0" w:color="auto"/>
        <w:bottom w:val="none" w:sz="0" w:space="0" w:color="auto"/>
        <w:right w:val="none" w:sz="0" w:space="0" w:color="auto"/>
      </w:divBdr>
    </w:div>
    <w:div w:id="648020839">
      <w:bodyDiv w:val="1"/>
      <w:marLeft w:val="0"/>
      <w:marRight w:val="0"/>
      <w:marTop w:val="0"/>
      <w:marBottom w:val="0"/>
      <w:divBdr>
        <w:top w:val="none" w:sz="0" w:space="0" w:color="auto"/>
        <w:left w:val="none" w:sz="0" w:space="0" w:color="auto"/>
        <w:bottom w:val="none" w:sz="0" w:space="0" w:color="auto"/>
        <w:right w:val="none" w:sz="0" w:space="0" w:color="auto"/>
      </w:divBdr>
    </w:div>
    <w:div w:id="648365152">
      <w:bodyDiv w:val="1"/>
      <w:marLeft w:val="0"/>
      <w:marRight w:val="0"/>
      <w:marTop w:val="0"/>
      <w:marBottom w:val="0"/>
      <w:divBdr>
        <w:top w:val="none" w:sz="0" w:space="0" w:color="auto"/>
        <w:left w:val="none" w:sz="0" w:space="0" w:color="auto"/>
        <w:bottom w:val="none" w:sz="0" w:space="0" w:color="auto"/>
        <w:right w:val="none" w:sz="0" w:space="0" w:color="auto"/>
      </w:divBdr>
    </w:div>
    <w:div w:id="649865018">
      <w:bodyDiv w:val="1"/>
      <w:marLeft w:val="0"/>
      <w:marRight w:val="0"/>
      <w:marTop w:val="0"/>
      <w:marBottom w:val="0"/>
      <w:divBdr>
        <w:top w:val="none" w:sz="0" w:space="0" w:color="auto"/>
        <w:left w:val="none" w:sz="0" w:space="0" w:color="auto"/>
        <w:bottom w:val="none" w:sz="0" w:space="0" w:color="auto"/>
        <w:right w:val="none" w:sz="0" w:space="0" w:color="auto"/>
      </w:divBdr>
    </w:div>
    <w:div w:id="650015184">
      <w:bodyDiv w:val="1"/>
      <w:marLeft w:val="0"/>
      <w:marRight w:val="0"/>
      <w:marTop w:val="0"/>
      <w:marBottom w:val="0"/>
      <w:divBdr>
        <w:top w:val="none" w:sz="0" w:space="0" w:color="auto"/>
        <w:left w:val="none" w:sz="0" w:space="0" w:color="auto"/>
        <w:bottom w:val="none" w:sz="0" w:space="0" w:color="auto"/>
        <w:right w:val="none" w:sz="0" w:space="0" w:color="auto"/>
      </w:divBdr>
    </w:div>
    <w:div w:id="650210854">
      <w:bodyDiv w:val="1"/>
      <w:marLeft w:val="0"/>
      <w:marRight w:val="0"/>
      <w:marTop w:val="0"/>
      <w:marBottom w:val="0"/>
      <w:divBdr>
        <w:top w:val="none" w:sz="0" w:space="0" w:color="auto"/>
        <w:left w:val="none" w:sz="0" w:space="0" w:color="auto"/>
        <w:bottom w:val="none" w:sz="0" w:space="0" w:color="auto"/>
        <w:right w:val="none" w:sz="0" w:space="0" w:color="auto"/>
      </w:divBdr>
    </w:div>
    <w:div w:id="650404655">
      <w:bodyDiv w:val="1"/>
      <w:marLeft w:val="0"/>
      <w:marRight w:val="0"/>
      <w:marTop w:val="0"/>
      <w:marBottom w:val="0"/>
      <w:divBdr>
        <w:top w:val="none" w:sz="0" w:space="0" w:color="auto"/>
        <w:left w:val="none" w:sz="0" w:space="0" w:color="auto"/>
        <w:bottom w:val="none" w:sz="0" w:space="0" w:color="auto"/>
        <w:right w:val="none" w:sz="0" w:space="0" w:color="auto"/>
      </w:divBdr>
    </w:div>
    <w:div w:id="651174333">
      <w:bodyDiv w:val="1"/>
      <w:marLeft w:val="0"/>
      <w:marRight w:val="0"/>
      <w:marTop w:val="0"/>
      <w:marBottom w:val="0"/>
      <w:divBdr>
        <w:top w:val="none" w:sz="0" w:space="0" w:color="auto"/>
        <w:left w:val="none" w:sz="0" w:space="0" w:color="auto"/>
        <w:bottom w:val="none" w:sz="0" w:space="0" w:color="auto"/>
        <w:right w:val="none" w:sz="0" w:space="0" w:color="auto"/>
      </w:divBdr>
    </w:div>
    <w:div w:id="651757918">
      <w:bodyDiv w:val="1"/>
      <w:marLeft w:val="0"/>
      <w:marRight w:val="0"/>
      <w:marTop w:val="0"/>
      <w:marBottom w:val="0"/>
      <w:divBdr>
        <w:top w:val="none" w:sz="0" w:space="0" w:color="auto"/>
        <w:left w:val="none" w:sz="0" w:space="0" w:color="auto"/>
        <w:bottom w:val="none" w:sz="0" w:space="0" w:color="auto"/>
        <w:right w:val="none" w:sz="0" w:space="0" w:color="auto"/>
      </w:divBdr>
    </w:div>
    <w:div w:id="652565937">
      <w:bodyDiv w:val="1"/>
      <w:marLeft w:val="0"/>
      <w:marRight w:val="0"/>
      <w:marTop w:val="0"/>
      <w:marBottom w:val="0"/>
      <w:divBdr>
        <w:top w:val="none" w:sz="0" w:space="0" w:color="auto"/>
        <w:left w:val="none" w:sz="0" w:space="0" w:color="auto"/>
        <w:bottom w:val="none" w:sz="0" w:space="0" w:color="auto"/>
        <w:right w:val="none" w:sz="0" w:space="0" w:color="auto"/>
      </w:divBdr>
    </w:div>
    <w:div w:id="652872745">
      <w:bodyDiv w:val="1"/>
      <w:marLeft w:val="0"/>
      <w:marRight w:val="0"/>
      <w:marTop w:val="0"/>
      <w:marBottom w:val="0"/>
      <w:divBdr>
        <w:top w:val="none" w:sz="0" w:space="0" w:color="auto"/>
        <w:left w:val="none" w:sz="0" w:space="0" w:color="auto"/>
        <w:bottom w:val="none" w:sz="0" w:space="0" w:color="auto"/>
        <w:right w:val="none" w:sz="0" w:space="0" w:color="auto"/>
      </w:divBdr>
    </w:div>
    <w:div w:id="654191278">
      <w:bodyDiv w:val="1"/>
      <w:marLeft w:val="0"/>
      <w:marRight w:val="0"/>
      <w:marTop w:val="0"/>
      <w:marBottom w:val="0"/>
      <w:divBdr>
        <w:top w:val="none" w:sz="0" w:space="0" w:color="auto"/>
        <w:left w:val="none" w:sz="0" w:space="0" w:color="auto"/>
        <w:bottom w:val="none" w:sz="0" w:space="0" w:color="auto"/>
        <w:right w:val="none" w:sz="0" w:space="0" w:color="auto"/>
      </w:divBdr>
    </w:div>
    <w:div w:id="655452948">
      <w:bodyDiv w:val="1"/>
      <w:marLeft w:val="0"/>
      <w:marRight w:val="0"/>
      <w:marTop w:val="0"/>
      <w:marBottom w:val="0"/>
      <w:divBdr>
        <w:top w:val="none" w:sz="0" w:space="0" w:color="auto"/>
        <w:left w:val="none" w:sz="0" w:space="0" w:color="auto"/>
        <w:bottom w:val="none" w:sz="0" w:space="0" w:color="auto"/>
        <w:right w:val="none" w:sz="0" w:space="0" w:color="auto"/>
      </w:divBdr>
    </w:div>
    <w:div w:id="655954477">
      <w:bodyDiv w:val="1"/>
      <w:marLeft w:val="0"/>
      <w:marRight w:val="0"/>
      <w:marTop w:val="0"/>
      <w:marBottom w:val="0"/>
      <w:divBdr>
        <w:top w:val="none" w:sz="0" w:space="0" w:color="auto"/>
        <w:left w:val="none" w:sz="0" w:space="0" w:color="auto"/>
        <w:bottom w:val="none" w:sz="0" w:space="0" w:color="auto"/>
        <w:right w:val="none" w:sz="0" w:space="0" w:color="auto"/>
      </w:divBdr>
    </w:div>
    <w:div w:id="655961345">
      <w:bodyDiv w:val="1"/>
      <w:marLeft w:val="0"/>
      <w:marRight w:val="0"/>
      <w:marTop w:val="0"/>
      <w:marBottom w:val="0"/>
      <w:divBdr>
        <w:top w:val="none" w:sz="0" w:space="0" w:color="auto"/>
        <w:left w:val="none" w:sz="0" w:space="0" w:color="auto"/>
        <w:bottom w:val="none" w:sz="0" w:space="0" w:color="auto"/>
        <w:right w:val="none" w:sz="0" w:space="0" w:color="auto"/>
      </w:divBdr>
    </w:div>
    <w:div w:id="656227364">
      <w:bodyDiv w:val="1"/>
      <w:marLeft w:val="0"/>
      <w:marRight w:val="0"/>
      <w:marTop w:val="0"/>
      <w:marBottom w:val="0"/>
      <w:divBdr>
        <w:top w:val="none" w:sz="0" w:space="0" w:color="auto"/>
        <w:left w:val="none" w:sz="0" w:space="0" w:color="auto"/>
        <w:bottom w:val="none" w:sz="0" w:space="0" w:color="auto"/>
        <w:right w:val="none" w:sz="0" w:space="0" w:color="auto"/>
      </w:divBdr>
    </w:div>
    <w:div w:id="656227502">
      <w:bodyDiv w:val="1"/>
      <w:marLeft w:val="0"/>
      <w:marRight w:val="0"/>
      <w:marTop w:val="0"/>
      <w:marBottom w:val="0"/>
      <w:divBdr>
        <w:top w:val="none" w:sz="0" w:space="0" w:color="auto"/>
        <w:left w:val="none" w:sz="0" w:space="0" w:color="auto"/>
        <w:bottom w:val="none" w:sz="0" w:space="0" w:color="auto"/>
        <w:right w:val="none" w:sz="0" w:space="0" w:color="auto"/>
      </w:divBdr>
    </w:div>
    <w:div w:id="657805883">
      <w:bodyDiv w:val="1"/>
      <w:marLeft w:val="0"/>
      <w:marRight w:val="0"/>
      <w:marTop w:val="0"/>
      <w:marBottom w:val="0"/>
      <w:divBdr>
        <w:top w:val="none" w:sz="0" w:space="0" w:color="auto"/>
        <w:left w:val="none" w:sz="0" w:space="0" w:color="auto"/>
        <w:bottom w:val="none" w:sz="0" w:space="0" w:color="auto"/>
        <w:right w:val="none" w:sz="0" w:space="0" w:color="auto"/>
      </w:divBdr>
    </w:div>
    <w:div w:id="659307111">
      <w:bodyDiv w:val="1"/>
      <w:marLeft w:val="0"/>
      <w:marRight w:val="0"/>
      <w:marTop w:val="0"/>
      <w:marBottom w:val="0"/>
      <w:divBdr>
        <w:top w:val="none" w:sz="0" w:space="0" w:color="auto"/>
        <w:left w:val="none" w:sz="0" w:space="0" w:color="auto"/>
        <w:bottom w:val="none" w:sz="0" w:space="0" w:color="auto"/>
        <w:right w:val="none" w:sz="0" w:space="0" w:color="auto"/>
      </w:divBdr>
    </w:div>
    <w:div w:id="659576829">
      <w:bodyDiv w:val="1"/>
      <w:marLeft w:val="0"/>
      <w:marRight w:val="0"/>
      <w:marTop w:val="0"/>
      <w:marBottom w:val="0"/>
      <w:divBdr>
        <w:top w:val="none" w:sz="0" w:space="0" w:color="auto"/>
        <w:left w:val="none" w:sz="0" w:space="0" w:color="auto"/>
        <w:bottom w:val="none" w:sz="0" w:space="0" w:color="auto"/>
        <w:right w:val="none" w:sz="0" w:space="0" w:color="auto"/>
      </w:divBdr>
    </w:div>
    <w:div w:id="660819379">
      <w:bodyDiv w:val="1"/>
      <w:marLeft w:val="0"/>
      <w:marRight w:val="0"/>
      <w:marTop w:val="0"/>
      <w:marBottom w:val="0"/>
      <w:divBdr>
        <w:top w:val="none" w:sz="0" w:space="0" w:color="auto"/>
        <w:left w:val="none" w:sz="0" w:space="0" w:color="auto"/>
        <w:bottom w:val="none" w:sz="0" w:space="0" w:color="auto"/>
        <w:right w:val="none" w:sz="0" w:space="0" w:color="auto"/>
      </w:divBdr>
    </w:div>
    <w:div w:id="661010316">
      <w:bodyDiv w:val="1"/>
      <w:marLeft w:val="0"/>
      <w:marRight w:val="0"/>
      <w:marTop w:val="0"/>
      <w:marBottom w:val="0"/>
      <w:divBdr>
        <w:top w:val="none" w:sz="0" w:space="0" w:color="auto"/>
        <w:left w:val="none" w:sz="0" w:space="0" w:color="auto"/>
        <w:bottom w:val="none" w:sz="0" w:space="0" w:color="auto"/>
        <w:right w:val="none" w:sz="0" w:space="0" w:color="auto"/>
      </w:divBdr>
    </w:div>
    <w:div w:id="661011551">
      <w:bodyDiv w:val="1"/>
      <w:marLeft w:val="0"/>
      <w:marRight w:val="0"/>
      <w:marTop w:val="0"/>
      <w:marBottom w:val="0"/>
      <w:divBdr>
        <w:top w:val="none" w:sz="0" w:space="0" w:color="auto"/>
        <w:left w:val="none" w:sz="0" w:space="0" w:color="auto"/>
        <w:bottom w:val="none" w:sz="0" w:space="0" w:color="auto"/>
        <w:right w:val="none" w:sz="0" w:space="0" w:color="auto"/>
      </w:divBdr>
    </w:div>
    <w:div w:id="661739879">
      <w:bodyDiv w:val="1"/>
      <w:marLeft w:val="0"/>
      <w:marRight w:val="0"/>
      <w:marTop w:val="0"/>
      <w:marBottom w:val="0"/>
      <w:divBdr>
        <w:top w:val="none" w:sz="0" w:space="0" w:color="auto"/>
        <w:left w:val="none" w:sz="0" w:space="0" w:color="auto"/>
        <w:bottom w:val="none" w:sz="0" w:space="0" w:color="auto"/>
        <w:right w:val="none" w:sz="0" w:space="0" w:color="auto"/>
      </w:divBdr>
    </w:div>
    <w:div w:id="662779337">
      <w:bodyDiv w:val="1"/>
      <w:marLeft w:val="0"/>
      <w:marRight w:val="0"/>
      <w:marTop w:val="0"/>
      <w:marBottom w:val="0"/>
      <w:divBdr>
        <w:top w:val="none" w:sz="0" w:space="0" w:color="auto"/>
        <w:left w:val="none" w:sz="0" w:space="0" w:color="auto"/>
        <w:bottom w:val="none" w:sz="0" w:space="0" w:color="auto"/>
        <w:right w:val="none" w:sz="0" w:space="0" w:color="auto"/>
      </w:divBdr>
    </w:div>
    <w:div w:id="663896015">
      <w:bodyDiv w:val="1"/>
      <w:marLeft w:val="0"/>
      <w:marRight w:val="0"/>
      <w:marTop w:val="0"/>
      <w:marBottom w:val="0"/>
      <w:divBdr>
        <w:top w:val="none" w:sz="0" w:space="0" w:color="auto"/>
        <w:left w:val="none" w:sz="0" w:space="0" w:color="auto"/>
        <w:bottom w:val="none" w:sz="0" w:space="0" w:color="auto"/>
        <w:right w:val="none" w:sz="0" w:space="0" w:color="auto"/>
      </w:divBdr>
    </w:div>
    <w:div w:id="664473544">
      <w:bodyDiv w:val="1"/>
      <w:marLeft w:val="0"/>
      <w:marRight w:val="0"/>
      <w:marTop w:val="0"/>
      <w:marBottom w:val="0"/>
      <w:divBdr>
        <w:top w:val="none" w:sz="0" w:space="0" w:color="auto"/>
        <w:left w:val="none" w:sz="0" w:space="0" w:color="auto"/>
        <w:bottom w:val="none" w:sz="0" w:space="0" w:color="auto"/>
        <w:right w:val="none" w:sz="0" w:space="0" w:color="auto"/>
      </w:divBdr>
    </w:div>
    <w:div w:id="665403445">
      <w:bodyDiv w:val="1"/>
      <w:marLeft w:val="0"/>
      <w:marRight w:val="0"/>
      <w:marTop w:val="0"/>
      <w:marBottom w:val="0"/>
      <w:divBdr>
        <w:top w:val="none" w:sz="0" w:space="0" w:color="auto"/>
        <w:left w:val="none" w:sz="0" w:space="0" w:color="auto"/>
        <w:bottom w:val="none" w:sz="0" w:space="0" w:color="auto"/>
        <w:right w:val="none" w:sz="0" w:space="0" w:color="auto"/>
      </w:divBdr>
    </w:div>
    <w:div w:id="666322743">
      <w:bodyDiv w:val="1"/>
      <w:marLeft w:val="0"/>
      <w:marRight w:val="0"/>
      <w:marTop w:val="0"/>
      <w:marBottom w:val="0"/>
      <w:divBdr>
        <w:top w:val="none" w:sz="0" w:space="0" w:color="auto"/>
        <w:left w:val="none" w:sz="0" w:space="0" w:color="auto"/>
        <w:bottom w:val="none" w:sz="0" w:space="0" w:color="auto"/>
        <w:right w:val="none" w:sz="0" w:space="0" w:color="auto"/>
      </w:divBdr>
    </w:div>
    <w:div w:id="666445110">
      <w:bodyDiv w:val="1"/>
      <w:marLeft w:val="0"/>
      <w:marRight w:val="0"/>
      <w:marTop w:val="0"/>
      <w:marBottom w:val="0"/>
      <w:divBdr>
        <w:top w:val="none" w:sz="0" w:space="0" w:color="auto"/>
        <w:left w:val="none" w:sz="0" w:space="0" w:color="auto"/>
        <w:bottom w:val="none" w:sz="0" w:space="0" w:color="auto"/>
        <w:right w:val="none" w:sz="0" w:space="0" w:color="auto"/>
      </w:divBdr>
    </w:div>
    <w:div w:id="668362410">
      <w:bodyDiv w:val="1"/>
      <w:marLeft w:val="0"/>
      <w:marRight w:val="0"/>
      <w:marTop w:val="0"/>
      <w:marBottom w:val="0"/>
      <w:divBdr>
        <w:top w:val="none" w:sz="0" w:space="0" w:color="auto"/>
        <w:left w:val="none" w:sz="0" w:space="0" w:color="auto"/>
        <w:bottom w:val="none" w:sz="0" w:space="0" w:color="auto"/>
        <w:right w:val="none" w:sz="0" w:space="0" w:color="auto"/>
      </w:divBdr>
    </w:div>
    <w:div w:id="668404324">
      <w:bodyDiv w:val="1"/>
      <w:marLeft w:val="0"/>
      <w:marRight w:val="0"/>
      <w:marTop w:val="0"/>
      <w:marBottom w:val="0"/>
      <w:divBdr>
        <w:top w:val="none" w:sz="0" w:space="0" w:color="auto"/>
        <w:left w:val="none" w:sz="0" w:space="0" w:color="auto"/>
        <w:bottom w:val="none" w:sz="0" w:space="0" w:color="auto"/>
        <w:right w:val="none" w:sz="0" w:space="0" w:color="auto"/>
      </w:divBdr>
      <w:divsChild>
        <w:div w:id="471867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14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09650">
      <w:bodyDiv w:val="1"/>
      <w:marLeft w:val="0"/>
      <w:marRight w:val="0"/>
      <w:marTop w:val="0"/>
      <w:marBottom w:val="0"/>
      <w:divBdr>
        <w:top w:val="none" w:sz="0" w:space="0" w:color="auto"/>
        <w:left w:val="none" w:sz="0" w:space="0" w:color="auto"/>
        <w:bottom w:val="none" w:sz="0" w:space="0" w:color="auto"/>
        <w:right w:val="none" w:sz="0" w:space="0" w:color="auto"/>
      </w:divBdr>
    </w:div>
    <w:div w:id="669796218">
      <w:bodyDiv w:val="1"/>
      <w:marLeft w:val="0"/>
      <w:marRight w:val="0"/>
      <w:marTop w:val="0"/>
      <w:marBottom w:val="0"/>
      <w:divBdr>
        <w:top w:val="none" w:sz="0" w:space="0" w:color="auto"/>
        <w:left w:val="none" w:sz="0" w:space="0" w:color="auto"/>
        <w:bottom w:val="none" w:sz="0" w:space="0" w:color="auto"/>
        <w:right w:val="none" w:sz="0" w:space="0" w:color="auto"/>
      </w:divBdr>
    </w:div>
    <w:div w:id="669866545">
      <w:bodyDiv w:val="1"/>
      <w:marLeft w:val="0"/>
      <w:marRight w:val="0"/>
      <w:marTop w:val="0"/>
      <w:marBottom w:val="0"/>
      <w:divBdr>
        <w:top w:val="none" w:sz="0" w:space="0" w:color="auto"/>
        <w:left w:val="none" w:sz="0" w:space="0" w:color="auto"/>
        <w:bottom w:val="none" w:sz="0" w:space="0" w:color="auto"/>
        <w:right w:val="none" w:sz="0" w:space="0" w:color="auto"/>
      </w:divBdr>
    </w:div>
    <w:div w:id="670110164">
      <w:bodyDiv w:val="1"/>
      <w:marLeft w:val="0"/>
      <w:marRight w:val="0"/>
      <w:marTop w:val="0"/>
      <w:marBottom w:val="0"/>
      <w:divBdr>
        <w:top w:val="none" w:sz="0" w:space="0" w:color="auto"/>
        <w:left w:val="none" w:sz="0" w:space="0" w:color="auto"/>
        <w:bottom w:val="none" w:sz="0" w:space="0" w:color="auto"/>
        <w:right w:val="none" w:sz="0" w:space="0" w:color="auto"/>
      </w:divBdr>
    </w:div>
    <w:div w:id="670450435">
      <w:bodyDiv w:val="1"/>
      <w:marLeft w:val="0"/>
      <w:marRight w:val="0"/>
      <w:marTop w:val="0"/>
      <w:marBottom w:val="0"/>
      <w:divBdr>
        <w:top w:val="none" w:sz="0" w:space="0" w:color="auto"/>
        <w:left w:val="none" w:sz="0" w:space="0" w:color="auto"/>
        <w:bottom w:val="none" w:sz="0" w:space="0" w:color="auto"/>
        <w:right w:val="none" w:sz="0" w:space="0" w:color="auto"/>
      </w:divBdr>
    </w:div>
    <w:div w:id="671377720">
      <w:bodyDiv w:val="1"/>
      <w:marLeft w:val="0"/>
      <w:marRight w:val="0"/>
      <w:marTop w:val="0"/>
      <w:marBottom w:val="0"/>
      <w:divBdr>
        <w:top w:val="none" w:sz="0" w:space="0" w:color="auto"/>
        <w:left w:val="none" w:sz="0" w:space="0" w:color="auto"/>
        <w:bottom w:val="none" w:sz="0" w:space="0" w:color="auto"/>
        <w:right w:val="none" w:sz="0" w:space="0" w:color="auto"/>
      </w:divBdr>
    </w:div>
    <w:div w:id="671760385">
      <w:bodyDiv w:val="1"/>
      <w:marLeft w:val="0"/>
      <w:marRight w:val="0"/>
      <w:marTop w:val="0"/>
      <w:marBottom w:val="0"/>
      <w:divBdr>
        <w:top w:val="none" w:sz="0" w:space="0" w:color="auto"/>
        <w:left w:val="none" w:sz="0" w:space="0" w:color="auto"/>
        <w:bottom w:val="none" w:sz="0" w:space="0" w:color="auto"/>
        <w:right w:val="none" w:sz="0" w:space="0" w:color="auto"/>
      </w:divBdr>
    </w:div>
    <w:div w:id="671955271">
      <w:bodyDiv w:val="1"/>
      <w:marLeft w:val="0"/>
      <w:marRight w:val="0"/>
      <w:marTop w:val="0"/>
      <w:marBottom w:val="0"/>
      <w:divBdr>
        <w:top w:val="none" w:sz="0" w:space="0" w:color="auto"/>
        <w:left w:val="none" w:sz="0" w:space="0" w:color="auto"/>
        <w:bottom w:val="none" w:sz="0" w:space="0" w:color="auto"/>
        <w:right w:val="none" w:sz="0" w:space="0" w:color="auto"/>
      </w:divBdr>
    </w:div>
    <w:div w:id="673604150">
      <w:bodyDiv w:val="1"/>
      <w:marLeft w:val="0"/>
      <w:marRight w:val="0"/>
      <w:marTop w:val="0"/>
      <w:marBottom w:val="0"/>
      <w:divBdr>
        <w:top w:val="none" w:sz="0" w:space="0" w:color="auto"/>
        <w:left w:val="none" w:sz="0" w:space="0" w:color="auto"/>
        <w:bottom w:val="none" w:sz="0" w:space="0" w:color="auto"/>
        <w:right w:val="none" w:sz="0" w:space="0" w:color="auto"/>
      </w:divBdr>
    </w:div>
    <w:div w:id="673848071">
      <w:bodyDiv w:val="1"/>
      <w:marLeft w:val="0"/>
      <w:marRight w:val="0"/>
      <w:marTop w:val="0"/>
      <w:marBottom w:val="0"/>
      <w:divBdr>
        <w:top w:val="none" w:sz="0" w:space="0" w:color="auto"/>
        <w:left w:val="none" w:sz="0" w:space="0" w:color="auto"/>
        <w:bottom w:val="none" w:sz="0" w:space="0" w:color="auto"/>
        <w:right w:val="none" w:sz="0" w:space="0" w:color="auto"/>
      </w:divBdr>
    </w:div>
    <w:div w:id="673919076">
      <w:bodyDiv w:val="1"/>
      <w:marLeft w:val="0"/>
      <w:marRight w:val="0"/>
      <w:marTop w:val="0"/>
      <w:marBottom w:val="0"/>
      <w:divBdr>
        <w:top w:val="none" w:sz="0" w:space="0" w:color="auto"/>
        <w:left w:val="none" w:sz="0" w:space="0" w:color="auto"/>
        <w:bottom w:val="none" w:sz="0" w:space="0" w:color="auto"/>
        <w:right w:val="none" w:sz="0" w:space="0" w:color="auto"/>
      </w:divBdr>
    </w:div>
    <w:div w:id="674264862">
      <w:bodyDiv w:val="1"/>
      <w:marLeft w:val="0"/>
      <w:marRight w:val="0"/>
      <w:marTop w:val="0"/>
      <w:marBottom w:val="0"/>
      <w:divBdr>
        <w:top w:val="none" w:sz="0" w:space="0" w:color="auto"/>
        <w:left w:val="none" w:sz="0" w:space="0" w:color="auto"/>
        <w:bottom w:val="none" w:sz="0" w:space="0" w:color="auto"/>
        <w:right w:val="none" w:sz="0" w:space="0" w:color="auto"/>
      </w:divBdr>
    </w:div>
    <w:div w:id="675113588">
      <w:bodyDiv w:val="1"/>
      <w:marLeft w:val="0"/>
      <w:marRight w:val="0"/>
      <w:marTop w:val="0"/>
      <w:marBottom w:val="0"/>
      <w:divBdr>
        <w:top w:val="none" w:sz="0" w:space="0" w:color="auto"/>
        <w:left w:val="none" w:sz="0" w:space="0" w:color="auto"/>
        <w:bottom w:val="none" w:sz="0" w:space="0" w:color="auto"/>
        <w:right w:val="none" w:sz="0" w:space="0" w:color="auto"/>
      </w:divBdr>
    </w:div>
    <w:div w:id="675302518">
      <w:bodyDiv w:val="1"/>
      <w:marLeft w:val="0"/>
      <w:marRight w:val="0"/>
      <w:marTop w:val="0"/>
      <w:marBottom w:val="0"/>
      <w:divBdr>
        <w:top w:val="none" w:sz="0" w:space="0" w:color="auto"/>
        <w:left w:val="none" w:sz="0" w:space="0" w:color="auto"/>
        <w:bottom w:val="none" w:sz="0" w:space="0" w:color="auto"/>
        <w:right w:val="none" w:sz="0" w:space="0" w:color="auto"/>
      </w:divBdr>
    </w:div>
    <w:div w:id="675426475">
      <w:bodyDiv w:val="1"/>
      <w:marLeft w:val="0"/>
      <w:marRight w:val="0"/>
      <w:marTop w:val="0"/>
      <w:marBottom w:val="0"/>
      <w:divBdr>
        <w:top w:val="none" w:sz="0" w:space="0" w:color="auto"/>
        <w:left w:val="none" w:sz="0" w:space="0" w:color="auto"/>
        <w:bottom w:val="none" w:sz="0" w:space="0" w:color="auto"/>
        <w:right w:val="none" w:sz="0" w:space="0" w:color="auto"/>
      </w:divBdr>
    </w:div>
    <w:div w:id="675693853">
      <w:bodyDiv w:val="1"/>
      <w:marLeft w:val="0"/>
      <w:marRight w:val="0"/>
      <w:marTop w:val="0"/>
      <w:marBottom w:val="0"/>
      <w:divBdr>
        <w:top w:val="none" w:sz="0" w:space="0" w:color="auto"/>
        <w:left w:val="none" w:sz="0" w:space="0" w:color="auto"/>
        <w:bottom w:val="none" w:sz="0" w:space="0" w:color="auto"/>
        <w:right w:val="none" w:sz="0" w:space="0" w:color="auto"/>
      </w:divBdr>
    </w:div>
    <w:div w:id="675957860">
      <w:bodyDiv w:val="1"/>
      <w:marLeft w:val="0"/>
      <w:marRight w:val="0"/>
      <w:marTop w:val="0"/>
      <w:marBottom w:val="0"/>
      <w:divBdr>
        <w:top w:val="none" w:sz="0" w:space="0" w:color="auto"/>
        <w:left w:val="none" w:sz="0" w:space="0" w:color="auto"/>
        <w:bottom w:val="none" w:sz="0" w:space="0" w:color="auto"/>
        <w:right w:val="none" w:sz="0" w:space="0" w:color="auto"/>
      </w:divBdr>
    </w:div>
    <w:div w:id="676078889">
      <w:bodyDiv w:val="1"/>
      <w:marLeft w:val="0"/>
      <w:marRight w:val="0"/>
      <w:marTop w:val="0"/>
      <w:marBottom w:val="0"/>
      <w:divBdr>
        <w:top w:val="none" w:sz="0" w:space="0" w:color="auto"/>
        <w:left w:val="none" w:sz="0" w:space="0" w:color="auto"/>
        <w:bottom w:val="none" w:sz="0" w:space="0" w:color="auto"/>
        <w:right w:val="none" w:sz="0" w:space="0" w:color="auto"/>
      </w:divBdr>
    </w:div>
    <w:div w:id="676469086">
      <w:bodyDiv w:val="1"/>
      <w:marLeft w:val="0"/>
      <w:marRight w:val="0"/>
      <w:marTop w:val="0"/>
      <w:marBottom w:val="0"/>
      <w:divBdr>
        <w:top w:val="none" w:sz="0" w:space="0" w:color="auto"/>
        <w:left w:val="none" w:sz="0" w:space="0" w:color="auto"/>
        <w:bottom w:val="none" w:sz="0" w:space="0" w:color="auto"/>
        <w:right w:val="none" w:sz="0" w:space="0" w:color="auto"/>
      </w:divBdr>
    </w:div>
    <w:div w:id="676735374">
      <w:bodyDiv w:val="1"/>
      <w:marLeft w:val="0"/>
      <w:marRight w:val="0"/>
      <w:marTop w:val="0"/>
      <w:marBottom w:val="0"/>
      <w:divBdr>
        <w:top w:val="none" w:sz="0" w:space="0" w:color="auto"/>
        <w:left w:val="none" w:sz="0" w:space="0" w:color="auto"/>
        <w:bottom w:val="none" w:sz="0" w:space="0" w:color="auto"/>
        <w:right w:val="none" w:sz="0" w:space="0" w:color="auto"/>
      </w:divBdr>
    </w:div>
    <w:div w:id="676811669">
      <w:bodyDiv w:val="1"/>
      <w:marLeft w:val="0"/>
      <w:marRight w:val="0"/>
      <w:marTop w:val="0"/>
      <w:marBottom w:val="0"/>
      <w:divBdr>
        <w:top w:val="none" w:sz="0" w:space="0" w:color="auto"/>
        <w:left w:val="none" w:sz="0" w:space="0" w:color="auto"/>
        <w:bottom w:val="none" w:sz="0" w:space="0" w:color="auto"/>
        <w:right w:val="none" w:sz="0" w:space="0" w:color="auto"/>
      </w:divBdr>
    </w:div>
    <w:div w:id="680007427">
      <w:bodyDiv w:val="1"/>
      <w:marLeft w:val="0"/>
      <w:marRight w:val="0"/>
      <w:marTop w:val="0"/>
      <w:marBottom w:val="0"/>
      <w:divBdr>
        <w:top w:val="none" w:sz="0" w:space="0" w:color="auto"/>
        <w:left w:val="none" w:sz="0" w:space="0" w:color="auto"/>
        <w:bottom w:val="none" w:sz="0" w:space="0" w:color="auto"/>
        <w:right w:val="none" w:sz="0" w:space="0" w:color="auto"/>
      </w:divBdr>
    </w:div>
    <w:div w:id="680199223">
      <w:bodyDiv w:val="1"/>
      <w:marLeft w:val="0"/>
      <w:marRight w:val="0"/>
      <w:marTop w:val="0"/>
      <w:marBottom w:val="0"/>
      <w:divBdr>
        <w:top w:val="none" w:sz="0" w:space="0" w:color="auto"/>
        <w:left w:val="none" w:sz="0" w:space="0" w:color="auto"/>
        <w:bottom w:val="none" w:sz="0" w:space="0" w:color="auto"/>
        <w:right w:val="none" w:sz="0" w:space="0" w:color="auto"/>
      </w:divBdr>
    </w:div>
    <w:div w:id="680854892">
      <w:bodyDiv w:val="1"/>
      <w:marLeft w:val="0"/>
      <w:marRight w:val="0"/>
      <w:marTop w:val="0"/>
      <w:marBottom w:val="0"/>
      <w:divBdr>
        <w:top w:val="none" w:sz="0" w:space="0" w:color="auto"/>
        <w:left w:val="none" w:sz="0" w:space="0" w:color="auto"/>
        <w:bottom w:val="none" w:sz="0" w:space="0" w:color="auto"/>
        <w:right w:val="none" w:sz="0" w:space="0" w:color="auto"/>
      </w:divBdr>
    </w:div>
    <w:div w:id="682703988">
      <w:bodyDiv w:val="1"/>
      <w:marLeft w:val="0"/>
      <w:marRight w:val="0"/>
      <w:marTop w:val="0"/>
      <w:marBottom w:val="0"/>
      <w:divBdr>
        <w:top w:val="none" w:sz="0" w:space="0" w:color="auto"/>
        <w:left w:val="none" w:sz="0" w:space="0" w:color="auto"/>
        <w:bottom w:val="none" w:sz="0" w:space="0" w:color="auto"/>
        <w:right w:val="none" w:sz="0" w:space="0" w:color="auto"/>
      </w:divBdr>
      <w:divsChild>
        <w:div w:id="264267438">
          <w:marLeft w:val="0"/>
          <w:marRight w:val="0"/>
          <w:marTop w:val="0"/>
          <w:marBottom w:val="0"/>
          <w:divBdr>
            <w:top w:val="none" w:sz="0" w:space="0" w:color="auto"/>
            <w:left w:val="none" w:sz="0" w:space="0" w:color="auto"/>
            <w:bottom w:val="none" w:sz="0" w:space="0" w:color="auto"/>
            <w:right w:val="none" w:sz="0" w:space="0" w:color="auto"/>
          </w:divBdr>
        </w:div>
        <w:div w:id="1150245358">
          <w:marLeft w:val="0"/>
          <w:marRight w:val="0"/>
          <w:marTop w:val="0"/>
          <w:marBottom w:val="0"/>
          <w:divBdr>
            <w:top w:val="none" w:sz="0" w:space="0" w:color="auto"/>
            <w:left w:val="none" w:sz="0" w:space="0" w:color="auto"/>
            <w:bottom w:val="none" w:sz="0" w:space="0" w:color="auto"/>
            <w:right w:val="none" w:sz="0" w:space="0" w:color="auto"/>
          </w:divBdr>
        </w:div>
        <w:div w:id="555625920">
          <w:marLeft w:val="0"/>
          <w:marRight w:val="0"/>
          <w:marTop w:val="0"/>
          <w:marBottom w:val="0"/>
          <w:divBdr>
            <w:top w:val="none" w:sz="0" w:space="0" w:color="auto"/>
            <w:left w:val="none" w:sz="0" w:space="0" w:color="auto"/>
            <w:bottom w:val="none" w:sz="0" w:space="0" w:color="auto"/>
            <w:right w:val="none" w:sz="0" w:space="0" w:color="auto"/>
          </w:divBdr>
        </w:div>
      </w:divsChild>
    </w:div>
    <w:div w:id="683358640">
      <w:bodyDiv w:val="1"/>
      <w:marLeft w:val="0"/>
      <w:marRight w:val="0"/>
      <w:marTop w:val="0"/>
      <w:marBottom w:val="0"/>
      <w:divBdr>
        <w:top w:val="none" w:sz="0" w:space="0" w:color="auto"/>
        <w:left w:val="none" w:sz="0" w:space="0" w:color="auto"/>
        <w:bottom w:val="none" w:sz="0" w:space="0" w:color="auto"/>
        <w:right w:val="none" w:sz="0" w:space="0" w:color="auto"/>
      </w:divBdr>
    </w:div>
    <w:div w:id="683633608">
      <w:bodyDiv w:val="1"/>
      <w:marLeft w:val="0"/>
      <w:marRight w:val="0"/>
      <w:marTop w:val="0"/>
      <w:marBottom w:val="0"/>
      <w:divBdr>
        <w:top w:val="none" w:sz="0" w:space="0" w:color="auto"/>
        <w:left w:val="none" w:sz="0" w:space="0" w:color="auto"/>
        <w:bottom w:val="none" w:sz="0" w:space="0" w:color="auto"/>
        <w:right w:val="none" w:sz="0" w:space="0" w:color="auto"/>
      </w:divBdr>
    </w:div>
    <w:div w:id="684551487">
      <w:bodyDiv w:val="1"/>
      <w:marLeft w:val="0"/>
      <w:marRight w:val="0"/>
      <w:marTop w:val="0"/>
      <w:marBottom w:val="0"/>
      <w:divBdr>
        <w:top w:val="none" w:sz="0" w:space="0" w:color="auto"/>
        <w:left w:val="none" w:sz="0" w:space="0" w:color="auto"/>
        <w:bottom w:val="none" w:sz="0" w:space="0" w:color="auto"/>
        <w:right w:val="none" w:sz="0" w:space="0" w:color="auto"/>
      </w:divBdr>
    </w:div>
    <w:div w:id="684744899">
      <w:bodyDiv w:val="1"/>
      <w:marLeft w:val="0"/>
      <w:marRight w:val="0"/>
      <w:marTop w:val="0"/>
      <w:marBottom w:val="0"/>
      <w:divBdr>
        <w:top w:val="none" w:sz="0" w:space="0" w:color="auto"/>
        <w:left w:val="none" w:sz="0" w:space="0" w:color="auto"/>
        <w:bottom w:val="none" w:sz="0" w:space="0" w:color="auto"/>
        <w:right w:val="none" w:sz="0" w:space="0" w:color="auto"/>
      </w:divBdr>
    </w:div>
    <w:div w:id="687097457">
      <w:bodyDiv w:val="1"/>
      <w:marLeft w:val="0"/>
      <w:marRight w:val="0"/>
      <w:marTop w:val="0"/>
      <w:marBottom w:val="0"/>
      <w:divBdr>
        <w:top w:val="none" w:sz="0" w:space="0" w:color="auto"/>
        <w:left w:val="none" w:sz="0" w:space="0" w:color="auto"/>
        <w:bottom w:val="none" w:sz="0" w:space="0" w:color="auto"/>
        <w:right w:val="none" w:sz="0" w:space="0" w:color="auto"/>
      </w:divBdr>
    </w:div>
    <w:div w:id="688028326">
      <w:bodyDiv w:val="1"/>
      <w:marLeft w:val="0"/>
      <w:marRight w:val="0"/>
      <w:marTop w:val="0"/>
      <w:marBottom w:val="0"/>
      <w:divBdr>
        <w:top w:val="none" w:sz="0" w:space="0" w:color="auto"/>
        <w:left w:val="none" w:sz="0" w:space="0" w:color="auto"/>
        <w:bottom w:val="none" w:sz="0" w:space="0" w:color="auto"/>
        <w:right w:val="none" w:sz="0" w:space="0" w:color="auto"/>
      </w:divBdr>
    </w:div>
    <w:div w:id="689453845">
      <w:bodyDiv w:val="1"/>
      <w:marLeft w:val="0"/>
      <w:marRight w:val="0"/>
      <w:marTop w:val="0"/>
      <w:marBottom w:val="0"/>
      <w:divBdr>
        <w:top w:val="none" w:sz="0" w:space="0" w:color="auto"/>
        <w:left w:val="none" w:sz="0" w:space="0" w:color="auto"/>
        <w:bottom w:val="none" w:sz="0" w:space="0" w:color="auto"/>
        <w:right w:val="none" w:sz="0" w:space="0" w:color="auto"/>
      </w:divBdr>
    </w:div>
    <w:div w:id="689526785">
      <w:bodyDiv w:val="1"/>
      <w:marLeft w:val="0"/>
      <w:marRight w:val="0"/>
      <w:marTop w:val="0"/>
      <w:marBottom w:val="0"/>
      <w:divBdr>
        <w:top w:val="none" w:sz="0" w:space="0" w:color="auto"/>
        <w:left w:val="none" w:sz="0" w:space="0" w:color="auto"/>
        <w:bottom w:val="none" w:sz="0" w:space="0" w:color="auto"/>
        <w:right w:val="none" w:sz="0" w:space="0" w:color="auto"/>
      </w:divBdr>
    </w:div>
    <w:div w:id="690227448">
      <w:bodyDiv w:val="1"/>
      <w:marLeft w:val="0"/>
      <w:marRight w:val="0"/>
      <w:marTop w:val="0"/>
      <w:marBottom w:val="0"/>
      <w:divBdr>
        <w:top w:val="none" w:sz="0" w:space="0" w:color="auto"/>
        <w:left w:val="none" w:sz="0" w:space="0" w:color="auto"/>
        <w:bottom w:val="none" w:sz="0" w:space="0" w:color="auto"/>
        <w:right w:val="none" w:sz="0" w:space="0" w:color="auto"/>
      </w:divBdr>
    </w:div>
    <w:div w:id="690495652">
      <w:bodyDiv w:val="1"/>
      <w:marLeft w:val="0"/>
      <w:marRight w:val="0"/>
      <w:marTop w:val="0"/>
      <w:marBottom w:val="0"/>
      <w:divBdr>
        <w:top w:val="none" w:sz="0" w:space="0" w:color="auto"/>
        <w:left w:val="none" w:sz="0" w:space="0" w:color="auto"/>
        <w:bottom w:val="none" w:sz="0" w:space="0" w:color="auto"/>
        <w:right w:val="none" w:sz="0" w:space="0" w:color="auto"/>
      </w:divBdr>
    </w:div>
    <w:div w:id="690573046">
      <w:bodyDiv w:val="1"/>
      <w:marLeft w:val="0"/>
      <w:marRight w:val="0"/>
      <w:marTop w:val="0"/>
      <w:marBottom w:val="0"/>
      <w:divBdr>
        <w:top w:val="none" w:sz="0" w:space="0" w:color="auto"/>
        <w:left w:val="none" w:sz="0" w:space="0" w:color="auto"/>
        <w:bottom w:val="none" w:sz="0" w:space="0" w:color="auto"/>
        <w:right w:val="none" w:sz="0" w:space="0" w:color="auto"/>
      </w:divBdr>
    </w:div>
    <w:div w:id="692003337">
      <w:bodyDiv w:val="1"/>
      <w:marLeft w:val="0"/>
      <w:marRight w:val="0"/>
      <w:marTop w:val="0"/>
      <w:marBottom w:val="0"/>
      <w:divBdr>
        <w:top w:val="none" w:sz="0" w:space="0" w:color="auto"/>
        <w:left w:val="none" w:sz="0" w:space="0" w:color="auto"/>
        <w:bottom w:val="none" w:sz="0" w:space="0" w:color="auto"/>
        <w:right w:val="none" w:sz="0" w:space="0" w:color="auto"/>
      </w:divBdr>
    </w:div>
    <w:div w:id="692850393">
      <w:bodyDiv w:val="1"/>
      <w:marLeft w:val="0"/>
      <w:marRight w:val="0"/>
      <w:marTop w:val="0"/>
      <w:marBottom w:val="0"/>
      <w:divBdr>
        <w:top w:val="none" w:sz="0" w:space="0" w:color="auto"/>
        <w:left w:val="none" w:sz="0" w:space="0" w:color="auto"/>
        <w:bottom w:val="none" w:sz="0" w:space="0" w:color="auto"/>
        <w:right w:val="none" w:sz="0" w:space="0" w:color="auto"/>
      </w:divBdr>
    </w:div>
    <w:div w:id="693307766">
      <w:bodyDiv w:val="1"/>
      <w:marLeft w:val="0"/>
      <w:marRight w:val="0"/>
      <w:marTop w:val="0"/>
      <w:marBottom w:val="0"/>
      <w:divBdr>
        <w:top w:val="none" w:sz="0" w:space="0" w:color="auto"/>
        <w:left w:val="none" w:sz="0" w:space="0" w:color="auto"/>
        <w:bottom w:val="none" w:sz="0" w:space="0" w:color="auto"/>
        <w:right w:val="none" w:sz="0" w:space="0" w:color="auto"/>
      </w:divBdr>
    </w:div>
    <w:div w:id="694036421">
      <w:bodyDiv w:val="1"/>
      <w:marLeft w:val="0"/>
      <w:marRight w:val="0"/>
      <w:marTop w:val="0"/>
      <w:marBottom w:val="0"/>
      <w:divBdr>
        <w:top w:val="none" w:sz="0" w:space="0" w:color="auto"/>
        <w:left w:val="none" w:sz="0" w:space="0" w:color="auto"/>
        <w:bottom w:val="none" w:sz="0" w:space="0" w:color="auto"/>
        <w:right w:val="none" w:sz="0" w:space="0" w:color="auto"/>
      </w:divBdr>
    </w:div>
    <w:div w:id="694812868">
      <w:bodyDiv w:val="1"/>
      <w:marLeft w:val="0"/>
      <w:marRight w:val="0"/>
      <w:marTop w:val="0"/>
      <w:marBottom w:val="0"/>
      <w:divBdr>
        <w:top w:val="none" w:sz="0" w:space="0" w:color="auto"/>
        <w:left w:val="none" w:sz="0" w:space="0" w:color="auto"/>
        <w:bottom w:val="none" w:sz="0" w:space="0" w:color="auto"/>
        <w:right w:val="none" w:sz="0" w:space="0" w:color="auto"/>
      </w:divBdr>
    </w:div>
    <w:div w:id="695011256">
      <w:bodyDiv w:val="1"/>
      <w:marLeft w:val="0"/>
      <w:marRight w:val="0"/>
      <w:marTop w:val="0"/>
      <w:marBottom w:val="0"/>
      <w:divBdr>
        <w:top w:val="none" w:sz="0" w:space="0" w:color="auto"/>
        <w:left w:val="none" w:sz="0" w:space="0" w:color="auto"/>
        <w:bottom w:val="none" w:sz="0" w:space="0" w:color="auto"/>
        <w:right w:val="none" w:sz="0" w:space="0" w:color="auto"/>
      </w:divBdr>
    </w:div>
    <w:div w:id="695272576">
      <w:bodyDiv w:val="1"/>
      <w:marLeft w:val="0"/>
      <w:marRight w:val="0"/>
      <w:marTop w:val="0"/>
      <w:marBottom w:val="0"/>
      <w:divBdr>
        <w:top w:val="none" w:sz="0" w:space="0" w:color="auto"/>
        <w:left w:val="none" w:sz="0" w:space="0" w:color="auto"/>
        <w:bottom w:val="none" w:sz="0" w:space="0" w:color="auto"/>
        <w:right w:val="none" w:sz="0" w:space="0" w:color="auto"/>
      </w:divBdr>
    </w:div>
    <w:div w:id="696466321">
      <w:bodyDiv w:val="1"/>
      <w:marLeft w:val="0"/>
      <w:marRight w:val="0"/>
      <w:marTop w:val="0"/>
      <w:marBottom w:val="0"/>
      <w:divBdr>
        <w:top w:val="none" w:sz="0" w:space="0" w:color="auto"/>
        <w:left w:val="none" w:sz="0" w:space="0" w:color="auto"/>
        <w:bottom w:val="none" w:sz="0" w:space="0" w:color="auto"/>
        <w:right w:val="none" w:sz="0" w:space="0" w:color="auto"/>
      </w:divBdr>
    </w:div>
    <w:div w:id="696658960">
      <w:bodyDiv w:val="1"/>
      <w:marLeft w:val="0"/>
      <w:marRight w:val="0"/>
      <w:marTop w:val="0"/>
      <w:marBottom w:val="0"/>
      <w:divBdr>
        <w:top w:val="none" w:sz="0" w:space="0" w:color="auto"/>
        <w:left w:val="none" w:sz="0" w:space="0" w:color="auto"/>
        <w:bottom w:val="none" w:sz="0" w:space="0" w:color="auto"/>
        <w:right w:val="none" w:sz="0" w:space="0" w:color="auto"/>
      </w:divBdr>
    </w:div>
    <w:div w:id="697241558">
      <w:bodyDiv w:val="1"/>
      <w:marLeft w:val="0"/>
      <w:marRight w:val="0"/>
      <w:marTop w:val="0"/>
      <w:marBottom w:val="0"/>
      <w:divBdr>
        <w:top w:val="none" w:sz="0" w:space="0" w:color="auto"/>
        <w:left w:val="none" w:sz="0" w:space="0" w:color="auto"/>
        <w:bottom w:val="none" w:sz="0" w:space="0" w:color="auto"/>
        <w:right w:val="none" w:sz="0" w:space="0" w:color="auto"/>
      </w:divBdr>
    </w:div>
    <w:div w:id="697582893">
      <w:bodyDiv w:val="1"/>
      <w:marLeft w:val="0"/>
      <w:marRight w:val="0"/>
      <w:marTop w:val="0"/>
      <w:marBottom w:val="0"/>
      <w:divBdr>
        <w:top w:val="none" w:sz="0" w:space="0" w:color="auto"/>
        <w:left w:val="none" w:sz="0" w:space="0" w:color="auto"/>
        <w:bottom w:val="none" w:sz="0" w:space="0" w:color="auto"/>
        <w:right w:val="none" w:sz="0" w:space="0" w:color="auto"/>
      </w:divBdr>
    </w:div>
    <w:div w:id="697662180">
      <w:bodyDiv w:val="1"/>
      <w:marLeft w:val="0"/>
      <w:marRight w:val="0"/>
      <w:marTop w:val="0"/>
      <w:marBottom w:val="0"/>
      <w:divBdr>
        <w:top w:val="none" w:sz="0" w:space="0" w:color="auto"/>
        <w:left w:val="none" w:sz="0" w:space="0" w:color="auto"/>
        <w:bottom w:val="none" w:sz="0" w:space="0" w:color="auto"/>
        <w:right w:val="none" w:sz="0" w:space="0" w:color="auto"/>
      </w:divBdr>
    </w:div>
    <w:div w:id="698244334">
      <w:bodyDiv w:val="1"/>
      <w:marLeft w:val="0"/>
      <w:marRight w:val="0"/>
      <w:marTop w:val="0"/>
      <w:marBottom w:val="0"/>
      <w:divBdr>
        <w:top w:val="none" w:sz="0" w:space="0" w:color="auto"/>
        <w:left w:val="none" w:sz="0" w:space="0" w:color="auto"/>
        <w:bottom w:val="none" w:sz="0" w:space="0" w:color="auto"/>
        <w:right w:val="none" w:sz="0" w:space="0" w:color="auto"/>
      </w:divBdr>
    </w:div>
    <w:div w:id="698706209">
      <w:bodyDiv w:val="1"/>
      <w:marLeft w:val="0"/>
      <w:marRight w:val="0"/>
      <w:marTop w:val="0"/>
      <w:marBottom w:val="0"/>
      <w:divBdr>
        <w:top w:val="none" w:sz="0" w:space="0" w:color="auto"/>
        <w:left w:val="none" w:sz="0" w:space="0" w:color="auto"/>
        <w:bottom w:val="none" w:sz="0" w:space="0" w:color="auto"/>
        <w:right w:val="none" w:sz="0" w:space="0" w:color="auto"/>
      </w:divBdr>
    </w:div>
    <w:div w:id="700398504">
      <w:bodyDiv w:val="1"/>
      <w:marLeft w:val="0"/>
      <w:marRight w:val="0"/>
      <w:marTop w:val="0"/>
      <w:marBottom w:val="0"/>
      <w:divBdr>
        <w:top w:val="none" w:sz="0" w:space="0" w:color="auto"/>
        <w:left w:val="none" w:sz="0" w:space="0" w:color="auto"/>
        <w:bottom w:val="none" w:sz="0" w:space="0" w:color="auto"/>
        <w:right w:val="none" w:sz="0" w:space="0" w:color="auto"/>
      </w:divBdr>
    </w:div>
    <w:div w:id="701132440">
      <w:bodyDiv w:val="1"/>
      <w:marLeft w:val="0"/>
      <w:marRight w:val="0"/>
      <w:marTop w:val="0"/>
      <w:marBottom w:val="0"/>
      <w:divBdr>
        <w:top w:val="none" w:sz="0" w:space="0" w:color="auto"/>
        <w:left w:val="none" w:sz="0" w:space="0" w:color="auto"/>
        <w:bottom w:val="none" w:sz="0" w:space="0" w:color="auto"/>
        <w:right w:val="none" w:sz="0" w:space="0" w:color="auto"/>
      </w:divBdr>
    </w:div>
    <w:div w:id="703553078">
      <w:bodyDiv w:val="1"/>
      <w:marLeft w:val="0"/>
      <w:marRight w:val="0"/>
      <w:marTop w:val="0"/>
      <w:marBottom w:val="0"/>
      <w:divBdr>
        <w:top w:val="none" w:sz="0" w:space="0" w:color="auto"/>
        <w:left w:val="none" w:sz="0" w:space="0" w:color="auto"/>
        <w:bottom w:val="none" w:sz="0" w:space="0" w:color="auto"/>
        <w:right w:val="none" w:sz="0" w:space="0" w:color="auto"/>
      </w:divBdr>
    </w:div>
    <w:div w:id="704717580">
      <w:bodyDiv w:val="1"/>
      <w:marLeft w:val="0"/>
      <w:marRight w:val="0"/>
      <w:marTop w:val="0"/>
      <w:marBottom w:val="0"/>
      <w:divBdr>
        <w:top w:val="none" w:sz="0" w:space="0" w:color="auto"/>
        <w:left w:val="none" w:sz="0" w:space="0" w:color="auto"/>
        <w:bottom w:val="none" w:sz="0" w:space="0" w:color="auto"/>
        <w:right w:val="none" w:sz="0" w:space="0" w:color="auto"/>
      </w:divBdr>
    </w:div>
    <w:div w:id="705058600">
      <w:bodyDiv w:val="1"/>
      <w:marLeft w:val="0"/>
      <w:marRight w:val="0"/>
      <w:marTop w:val="0"/>
      <w:marBottom w:val="0"/>
      <w:divBdr>
        <w:top w:val="none" w:sz="0" w:space="0" w:color="auto"/>
        <w:left w:val="none" w:sz="0" w:space="0" w:color="auto"/>
        <w:bottom w:val="none" w:sz="0" w:space="0" w:color="auto"/>
        <w:right w:val="none" w:sz="0" w:space="0" w:color="auto"/>
      </w:divBdr>
    </w:div>
    <w:div w:id="705447913">
      <w:bodyDiv w:val="1"/>
      <w:marLeft w:val="0"/>
      <w:marRight w:val="0"/>
      <w:marTop w:val="0"/>
      <w:marBottom w:val="0"/>
      <w:divBdr>
        <w:top w:val="none" w:sz="0" w:space="0" w:color="auto"/>
        <w:left w:val="none" w:sz="0" w:space="0" w:color="auto"/>
        <w:bottom w:val="none" w:sz="0" w:space="0" w:color="auto"/>
        <w:right w:val="none" w:sz="0" w:space="0" w:color="auto"/>
      </w:divBdr>
    </w:div>
    <w:div w:id="705716546">
      <w:bodyDiv w:val="1"/>
      <w:marLeft w:val="0"/>
      <w:marRight w:val="0"/>
      <w:marTop w:val="0"/>
      <w:marBottom w:val="0"/>
      <w:divBdr>
        <w:top w:val="none" w:sz="0" w:space="0" w:color="auto"/>
        <w:left w:val="none" w:sz="0" w:space="0" w:color="auto"/>
        <w:bottom w:val="none" w:sz="0" w:space="0" w:color="auto"/>
        <w:right w:val="none" w:sz="0" w:space="0" w:color="auto"/>
      </w:divBdr>
    </w:div>
    <w:div w:id="707032330">
      <w:bodyDiv w:val="1"/>
      <w:marLeft w:val="0"/>
      <w:marRight w:val="0"/>
      <w:marTop w:val="0"/>
      <w:marBottom w:val="0"/>
      <w:divBdr>
        <w:top w:val="none" w:sz="0" w:space="0" w:color="auto"/>
        <w:left w:val="none" w:sz="0" w:space="0" w:color="auto"/>
        <w:bottom w:val="none" w:sz="0" w:space="0" w:color="auto"/>
        <w:right w:val="none" w:sz="0" w:space="0" w:color="auto"/>
      </w:divBdr>
    </w:div>
    <w:div w:id="707140786">
      <w:bodyDiv w:val="1"/>
      <w:marLeft w:val="0"/>
      <w:marRight w:val="0"/>
      <w:marTop w:val="0"/>
      <w:marBottom w:val="0"/>
      <w:divBdr>
        <w:top w:val="none" w:sz="0" w:space="0" w:color="auto"/>
        <w:left w:val="none" w:sz="0" w:space="0" w:color="auto"/>
        <w:bottom w:val="none" w:sz="0" w:space="0" w:color="auto"/>
        <w:right w:val="none" w:sz="0" w:space="0" w:color="auto"/>
      </w:divBdr>
    </w:div>
    <w:div w:id="707946708">
      <w:bodyDiv w:val="1"/>
      <w:marLeft w:val="0"/>
      <w:marRight w:val="0"/>
      <w:marTop w:val="0"/>
      <w:marBottom w:val="0"/>
      <w:divBdr>
        <w:top w:val="none" w:sz="0" w:space="0" w:color="auto"/>
        <w:left w:val="none" w:sz="0" w:space="0" w:color="auto"/>
        <w:bottom w:val="none" w:sz="0" w:space="0" w:color="auto"/>
        <w:right w:val="none" w:sz="0" w:space="0" w:color="auto"/>
      </w:divBdr>
    </w:div>
    <w:div w:id="707947622">
      <w:bodyDiv w:val="1"/>
      <w:marLeft w:val="0"/>
      <w:marRight w:val="0"/>
      <w:marTop w:val="0"/>
      <w:marBottom w:val="0"/>
      <w:divBdr>
        <w:top w:val="none" w:sz="0" w:space="0" w:color="auto"/>
        <w:left w:val="none" w:sz="0" w:space="0" w:color="auto"/>
        <w:bottom w:val="none" w:sz="0" w:space="0" w:color="auto"/>
        <w:right w:val="none" w:sz="0" w:space="0" w:color="auto"/>
      </w:divBdr>
    </w:div>
    <w:div w:id="708380919">
      <w:bodyDiv w:val="1"/>
      <w:marLeft w:val="0"/>
      <w:marRight w:val="0"/>
      <w:marTop w:val="0"/>
      <w:marBottom w:val="0"/>
      <w:divBdr>
        <w:top w:val="none" w:sz="0" w:space="0" w:color="auto"/>
        <w:left w:val="none" w:sz="0" w:space="0" w:color="auto"/>
        <w:bottom w:val="none" w:sz="0" w:space="0" w:color="auto"/>
        <w:right w:val="none" w:sz="0" w:space="0" w:color="auto"/>
      </w:divBdr>
    </w:div>
    <w:div w:id="708653233">
      <w:bodyDiv w:val="1"/>
      <w:marLeft w:val="0"/>
      <w:marRight w:val="0"/>
      <w:marTop w:val="0"/>
      <w:marBottom w:val="0"/>
      <w:divBdr>
        <w:top w:val="none" w:sz="0" w:space="0" w:color="auto"/>
        <w:left w:val="none" w:sz="0" w:space="0" w:color="auto"/>
        <w:bottom w:val="none" w:sz="0" w:space="0" w:color="auto"/>
        <w:right w:val="none" w:sz="0" w:space="0" w:color="auto"/>
      </w:divBdr>
    </w:div>
    <w:div w:id="710426079">
      <w:bodyDiv w:val="1"/>
      <w:marLeft w:val="0"/>
      <w:marRight w:val="0"/>
      <w:marTop w:val="0"/>
      <w:marBottom w:val="0"/>
      <w:divBdr>
        <w:top w:val="none" w:sz="0" w:space="0" w:color="auto"/>
        <w:left w:val="none" w:sz="0" w:space="0" w:color="auto"/>
        <w:bottom w:val="none" w:sz="0" w:space="0" w:color="auto"/>
        <w:right w:val="none" w:sz="0" w:space="0" w:color="auto"/>
      </w:divBdr>
    </w:div>
    <w:div w:id="711538890">
      <w:bodyDiv w:val="1"/>
      <w:marLeft w:val="0"/>
      <w:marRight w:val="0"/>
      <w:marTop w:val="0"/>
      <w:marBottom w:val="0"/>
      <w:divBdr>
        <w:top w:val="none" w:sz="0" w:space="0" w:color="auto"/>
        <w:left w:val="none" w:sz="0" w:space="0" w:color="auto"/>
        <w:bottom w:val="none" w:sz="0" w:space="0" w:color="auto"/>
        <w:right w:val="none" w:sz="0" w:space="0" w:color="auto"/>
      </w:divBdr>
    </w:div>
    <w:div w:id="712193842">
      <w:bodyDiv w:val="1"/>
      <w:marLeft w:val="0"/>
      <w:marRight w:val="0"/>
      <w:marTop w:val="0"/>
      <w:marBottom w:val="0"/>
      <w:divBdr>
        <w:top w:val="none" w:sz="0" w:space="0" w:color="auto"/>
        <w:left w:val="none" w:sz="0" w:space="0" w:color="auto"/>
        <w:bottom w:val="none" w:sz="0" w:space="0" w:color="auto"/>
        <w:right w:val="none" w:sz="0" w:space="0" w:color="auto"/>
      </w:divBdr>
    </w:div>
    <w:div w:id="713122739">
      <w:bodyDiv w:val="1"/>
      <w:marLeft w:val="0"/>
      <w:marRight w:val="0"/>
      <w:marTop w:val="0"/>
      <w:marBottom w:val="0"/>
      <w:divBdr>
        <w:top w:val="none" w:sz="0" w:space="0" w:color="auto"/>
        <w:left w:val="none" w:sz="0" w:space="0" w:color="auto"/>
        <w:bottom w:val="none" w:sz="0" w:space="0" w:color="auto"/>
        <w:right w:val="none" w:sz="0" w:space="0" w:color="auto"/>
      </w:divBdr>
    </w:div>
    <w:div w:id="713309532">
      <w:bodyDiv w:val="1"/>
      <w:marLeft w:val="0"/>
      <w:marRight w:val="0"/>
      <w:marTop w:val="0"/>
      <w:marBottom w:val="0"/>
      <w:divBdr>
        <w:top w:val="none" w:sz="0" w:space="0" w:color="auto"/>
        <w:left w:val="none" w:sz="0" w:space="0" w:color="auto"/>
        <w:bottom w:val="none" w:sz="0" w:space="0" w:color="auto"/>
        <w:right w:val="none" w:sz="0" w:space="0" w:color="auto"/>
      </w:divBdr>
    </w:div>
    <w:div w:id="714157831">
      <w:bodyDiv w:val="1"/>
      <w:marLeft w:val="0"/>
      <w:marRight w:val="0"/>
      <w:marTop w:val="0"/>
      <w:marBottom w:val="0"/>
      <w:divBdr>
        <w:top w:val="none" w:sz="0" w:space="0" w:color="auto"/>
        <w:left w:val="none" w:sz="0" w:space="0" w:color="auto"/>
        <w:bottom w:val="none" w:sz="0" w:space="0" w:color="auto"/>
        <w:right w:val="none" w:sz="0" w:space="0" w:color="auto"/>
      </w:divBdr>
      <w:divsChild>
        <w:div w:id="830488662">
          <w:marLeft w:val="0"/>
          <w:marRight w:val="0"/>
          <w:marTop w:val="0"/>
          <w:marBottom w:val="0"/>
          <w:divBdr>
            <w:top w:val="none" w:sz="0" w:space="0" w:color="auto"/>
            <w:left w:val="none" w:sz="0" w:space="0" w:color="auto"/>
            <w:bottom w:val="none" w:sz="0" w:space="0" w:color="auto"/>
            <w:right w:val="none" w:sz="0" w:space="0" w:color="auto"/>
          </w:divBdr>
        </w:div>
        <w:div w:id="897129530">
          <w:marLeft w:val="0"/>
          <w:marRight w:val="0"/>
          <w:marTop w:val="0"/>
          <w:marBottom w:val="0"/>
          <w:divBdr>
            <w:top w:val="none" w:sz="0" w:space="0" w:color="auto"/>
            <w:left w:val="none" w:sz="0" w:space="0" w:color="auto"/>
            <w:bottom w:val="none" w:sz="0" w:space="0" w:color="auto"/>
            <w:right w:val="none" w:sz="0" w:space="0" w:color="auto"/>
          </w:divBdr>
        </w:div>
        <w:div w:id="1967462202">
          <w:marLeft w:val="0"/>
          <w:marRight w:val="0"/>
          <w:marTop w:val="0"/>
          <w:marBottom w:val="0"/>
          <w:divBdr>
            <w:top w:val="none" w:sz="0" w:space="0" w:color="auto"/>
            <w:left w:val="none" w:sz="0" w:space="0" w:color="auto"/>
            <w:bottom w:val="none" w:sz="0" w:space="0" w:color="auto"/>
            <w:right w:val="none" w:sz="0" w:space="0" w:color="auto"/>
          </w:divBdr>
        </w:div>
      </w:divsChild>
    </w:div>
    <w:div w:id="714933767">
      <w:bodyDiv w:val="1"/>
      <w:marLeft w:val="0"/>
      <w:marRight w:val="0"/>
      <w:marTop w:val="0"/>
      <w:marBottom w:val="0"/>
      <w:divBdr>
        <w:top w:val="none" w:sz="0" w:space="0" w:color="auto"/>
        <w:left w:val="none" w:sz="0" w:space="0" w:color="auto"/>
        <w:bottom w:val="none" w:sz="0" w:space="0" w:color="auto"/>
        <w:right w:val="none" w:sz="0" w:space="0" w:color="auto"/>
      </w:divBdr>
    </w:div>
    <w:div w:id="716509808">
      <w:bodyDiv w:val="1"/>
      <w:marLeft w:val="0"/>
      <w:marRight w:val="0"/>
      <w:marTop w:val="0"/>
      <w:marBottom w:val="0"/>
      <w:divBdr>
        <w:top w:val="none" w:sz="0" w:space="0" w:color="auto"/>
        <w:left w:val="none" w:sz="0" w:space="0" w:color="auto"/>
        <w:bottom w:val="none" w:sz="0" w:space="0" w:color="auto"/>
        <w:right w:val="none" w:sz="0" w:space="0" w:color="auto"/>
      </w:divBdr>
    </w:div>
    <w:div w:id="717316652">
      <w:bodyDiv w:val="1"/>
      <w:marLeft w:val="0"/>
      <w:marRight w:val="0"/>
      <w:marTop w:val="0"/>
      <w:marBottom w:val="0"/>
      <w:divBdr>
        <w:top w:val="none" w:sz="0" w:space="0" w:color="auto"/>
        <w:left w:val="none" w:sz="0" w:space="0" w:color="auto"/>
        <w:bottom w:val="none" w:sz="0" w:space="0" w:color="auto"/>
        <w:right w:val="none" w:sz="0" w:space="0" w:color="auto"/>
      </w:divBdr>
    </w:div>
    <w:div w:id="718554715">
      <w:bodyDiv w:val="1"/>
      <w:marLeft w:val="0"/>
      <w:marRight w:val="0"/>
      <w:marTop w:val="0"/>
      <w:marBottom w:val="0"/>
      <w:divBdr>
        <w:top w:val="none" w:sz="0" w:space="0" w:color="auto"/>
        <w:left w:val="none" w:sz="0" w:space="0" w:color="auto"/>
        <w:bottom w:val="none" w:sz="0" w:space="0" w:color="auto"/>
        <w:right w:val="none" w:sz="0" w:space="0" w:color="auto"/>
      </w:divBdr>
    </w:div>
    <w:div w:id="720372314">
      <w:bodyDiv w:val="1"/>
      <w:marLeft w:val="0"/>
      <w:marRight w:val="0"/>
      <w:marTop w:val="0"/>
      <w:marBottom w:val="0"/>
      <w:divBdr>
        <w:top w:val="none" w:sz="0" w:space="0" w:color="auto"/>
        <w:left w:val="none" w:sz="0" w:space="0" w:color="auto"/>
        <w:bottom w:val="none" w:sz="0" w:space="0" w:color="auto"/>
        <w:right w:val="none" w:sz="0" w:space="0" w:color="auto"/>
      </w:divBdr>
      <w:divsChild>
        <w:div w:id="1120030700">
          <w:marLeft w:val="0"/>
          <w:marRight w:val="0"/>
          <w:marTop w:val="0"/>
          <w:marBottom w:val="0"/>
          <w:divBdr>
            <w:top w:val="none" w:sz="0" w:space="0" w:color="auto"/>
            <w:left w:val="none" w:sz="0" w:space="0" w:color="auto"/>
            <w:bottom w:val="none" w:sz="0" w:space="0" w:color="auto"/>
            <w:right w:val="none" w:sz="0" w:space="0" w:color="auto"/>
          </w:divBdr>
        </w:div>
        <w:div w:id="938484296">
          <w:marLeft w:val="0"/>
          <w:marRight w:val="0"/>
          <w:marTop w:val="0"/>
          <w:marBottom w:val="0"/>
          <w:divBdr>
            <w:top w:val="none" w:sz="0" w:space="0" w:color="auto"/>
            <w:left w:val="none" w:sz="0" w:space="0" w:color="auto"/>
            <w:bottom w:val="none" w:sz="0" w:space="0" w:color="auto"/>
            <w:right w:val="none" w:sz="0" w:space="0" w:color="auto"/>
          </w:divBdr>
        </w:div>
        <w:div w:id="880018457">
          <w:marLeft w:val="0"/>
          <w:marRight w:val="0"/>
          <w:marTop w:val="0"/>
          <w:marBottom w:val="0"/>
          <w:divBdr>
            <w:top w:val="none" w:sz="0" w:space="0" w:color="auto"/>
            <w:left w:val="none" w:sz="0" w:space="0" w:color="auto"/>
            <w:bottom w:val="none" w:sz="0" w:space="0" w:color="auto"/>
            <w:right w:val="none" w:sz="0" w:space="0" w:color="auto"/>
          </w:divBdr>
        </w:div>
      </w:divsChild>
    </w:div>
    <w:div w:id="720522731">
      <w:bodyDiv w:val="1"/>
      <w:marLeft w:val="0"/>
      <w:marRight w:val="0"/>
      <w:marTop w:val="0"/>
      <w:marBottom w:val="0"/>
      <w:divBdr>
        <w:top w:val="none" w:sz="0" w:space="0" w:color="auto"/>
        <w:left w:val="none" w:sz="0" w:space="0" w:color="auto"/>
        <w:bottom w:val="none" w:sz="0" w:space="0" w:color="auto"/>
        <w:right w:val="none" w:sz="0" w:space="0" w:color="auto"/>
      </w:divBdr>
    </w:div>
    <w:div w:id="720717548">
      <w:bodyDiv w:val="1"/>
      <w:marLeft w:val="0"/>
      <w:marRight w:val="0"/>
      <w:marTop w:val="0"/>
      <w:marBottom w:val="0"/>
      <w:divBdr>
        <w:top w:val="none" w:sz="0" w:space="0" w:color="auto"/>
        <w:left w:val="none" w:sz="0" w:space="0" w:color="auto"/>
        <w:bottom w:val="none" w:sz="0" w:space="0" w:color="auto"/>
        <w:right w:val="none" w:sz="0" w:space="0" w:color="auto"/>
      </w:divBdr>
    </w:div>
    <w:div w:id="720787786">
      <w:bodyDiv w:val="1"/>
      <w:marLeft w:val="0"/>
      <w:marRight w:val="0"/>
      <w:marTop w:val="0"/>
      <w:marBottom w:val="0"/>
      <w:divBdr>
        <w:top w:val="none" w:sz="0" w:space="0" w:color="auto"/>
        <w:left w:val="none" w:sz="0" w:space="0" w:color="auto"/>
        <w:bottom w:val="none" w:sz="0" w:space="0" w:color="auto"/>
        <w:right w:val="none" w:sz="0" w:space="0" w:color="auto"/>
      </w:divBdr>
    </w:div>
    <w:div w:id="722600004">
      <w:bodyDiv w:val="1"/>
      <w:marLeft w:val="0"/>
      <w:marRight w:val="0"/>
      <w:marTop w:val="0"/>
      <w:marBottom w:val="0"/>
      <w:divBdr>
        <w:top w:val="none" w:sz="0" w:space="0" w:color="auto"/>
        <w:left w:val="none" w:sz="0" w:space="0" w:color="auto"/>
        <w:bottom w:val="none" w:sz="0" w:space="0" w:color="auto"/>
        <w:right w:val="none" w:sz="0" w:space="0" w:color="auto"/>
      </w:divBdr>
    </w:div>
    <w:div w:id="723021939">
      <w:bodyDiv w:val="1"/>
      <w:marLeft w:val="0"/>
      <w:marRight w:val="0"/>
      <w:marTop w:val="0"/>
      <w:marBottom w:val="0"/>
      <w:divBdr>
        <w:top w:val="none" w:sz="0" w:space="0" w:color="auto"/>
        <w:left w:val="none" w:sz="0" w:space="0" w:color="auto"/>
        <w:bottom w:val="none" w:sz="0" w:space="0" w:color="auto"/>
        <w:right w:val="none" w:sz="0" w:space="0" w:color="auto"/>
      </w:divBdr>
    </w:div>
    <w:div w:id="723262075">
      <w:bodyDiv w:val="1"/>
      <w:marLeft w:val="0"/>
      <w:marRight w:val="0"/>
      <w:marTop w:val="0"/>
      <w:marBottom w:val="0"/>
      <w:divBdr>
        <w:top w:val="none" w:sz="0" w:space="0" w:color="auto"/>
        <w:left w:val="none" w:sz="0" w:space="0" w:color="auto"/>
        <w:bottom w:val="none" w:sz="0" w:space="0" w:color="auto"/>
        <w:right w:val="none" w:sz="0" w:space="0" w:color="auto"/>
      </w:divBdr>
    </w:div>
    <w:div w:id="724375731">
      <w:bodyDiv w:val="1"/>
      <w:marLeft w:val="0"/>
      <w:marRight w:val="0"/>
      <w:marTop w:val="0"/>
      <w:marBottom w:val="0"/>
      <w:divBdr>
        <w:top w:val="none" w:sz="0" w:space="0" w:color="auto"/>
        <w:left w:val="none" w:sz="0" w:space="0" w:color="auto"/>
        <w:bottom w:val="none" w:sz="0" w:space="0" w:color="auto"/>
        <w:right w:val="none" w:sz="0" w:space="0" w:color="auto"/>
      </w:divBdr>
    </w:div>
    <w:div w:id="724524810">
      <w:bodyDiv w:val="1"/>
      <w:marLeft w:val="0"/>
      <w:marRight w:val="0"/>
      <w:marTop w:val="0"/>
      <w:marBottom w:val="0"/>
      <w:divBdr>
        <w:top w:val="none" w:sz="0" w:space="0" w:color="auto"/>
        <w:left w:val="none" w:sz="0" w:space="0" w:color="auto"/>
        <w:bottom w:val="none" w:sz="0" w:space="0" w:color="auto"/>
        <w:right w:val="none" w:sz="0" w:space="0" w:color="auto"/>
      </w:divBdr>
    </w:div>
    <w:div w:id="724834652">
      <w:bodyDiv w:val="1"/>
      <w:marLeft w:val="0"/>
      <w:marRight w:val="0"/>
      <w:marTop w:val="0"/>
      <w:marBottom w:val="0"/>
      <w:divBdr>
        <w:top w:val="none" w:sz="0" w:space="0" w:color="auto"/>
        <w:left w:val="none" w:sz="0" w:space="0" w:color="auto"/>
        <w:bottom w:val="none" w:sz="0" w:space="0" w:color="auto"/>
        <w:right w:val="none" w:sz="0" w:space="0" w:color="auto"/>
      </w:divBdr>
    </w:div>
    <w:div w:id="726102479">
      <w:bodyDiv w:val="1"/>
      <w:marLeft w:val="0"/>
      <w:marRight w:val="0"/>
      <w:marTop w:val="0"/>
      <w:marBottom w:val="0"/>
      <w:divBdr>
        <w:top w:val="none" w:sz="0" w:space="0" w:color="auto"/>
        <w:left w:val="none" w:sz="0" w:space="0" w:color="auto"/>
        <w:bottom w:val="none" w:sz="0" w:space="0" w:color="auto"/>
        <w:right w:val="none" w:sz="0" w:space="0" w:color="auto"/>
      </w:divBdr>
    </w:div>
    <w:div w:id="726684968">
      <w:bodyDiv w:val="1"/>
      <w:marLeft w:val="0"/>
      <w:marRight w:val="0"/>
      <w:marTop w:val="0"/>
      <w:marBottom w:val="0"/>
      <w:divBdr>
        <w:top w:val="none" w:sz="0" w:space="0" w:color="auto"/>
        <w:left w:val="none" w:sz="0" w:space="0" w:color="auto"/>
        <w:bottom w:val="none" w:sz="0" w:space="0" w:color="auto"/>
        <w:right w:val="none" w:sz="0" w:space="0" w:color="auto"/>
      </w:divBdr>
    </w:div>
    <w:div w:id="726881158">
      <w:bodyDiv w:val="1"/>
      <w:marLeft w:val="0"/>
      <w:marRight w:val="0"/>
      <w:marTop w:val="0"/>
      <w:marBottom w:val="0"/>
      <w:divBdr>
        <w:top w:val="none" w:sz="0" w:space="0" w:color="auto"/>
        <w:left w:val="none" w:sz="0" w:space="0" w:color="auto"/>
        <w:bottom w:val="none" w:sz="0" w:space="0" w:color="auto"/>
        <w:right w:val="none" w:sz="0" w:space="0" w:color="auto"/>
      </w:divBdr>
    </w:div>
    <w:div w:id="727075258">
      <w:bodyDiv w:val="1"/>
      <w:marLeft w:val="0"/>
      <w:marRight w:val="0"/>
      <w:marTop w:val="0"/>
      <w:marBottom w:val="0"/>
      <w:divBdr>
        <w:top w:val="none" w:sz="0" w:space="0" w:color="auto"/>
        <w:left w:val="none" w:sz="0" w:space="0" w:color="auto"/>
        <w:bottom w:val="none" w:sz="0" w:space="0" w:color="auto"/>
        <w:right w:val="none" w:sz="0" w:space="0" w:color="auto"/>
      </w:divBdr>
    </w:div>
    <w:div w:id="727797862">
      <w:bodyDiv w:val="1"/>
      <w:marLeft w:val="0"/>
      <w:marRight w:val="0"/>
      <w:marTop w:val="0"/>
      <w:marBottom w:val="0"/>
      <w:divBdr>
        <w:top w:val="none" w:sz="0" w:space="0" w:color="auto"/>
        <w:left w:val="none" w:sz="0" w:space="0" w:color="auto"/>
        <w:bottom w:val="none" w:sz="0" w:space="0" w:color="auto"/>
        <w:right w:val="none" w:sz="0" w:space="0" w:color="auto"/>
      </w:divBdr>
    </w:div>
    <w:div w:id="727920266">
      <w:bodyDiv w:val="1"/>
      <w:marLeft w:val="0"/>
      <w:marRight w:val="0"/>
      <w:marTop w:val="0"/>
      <w:marBottom w:val="0"/>
      <w:divBdr>
        <w:top w:val="none" w:sz="0" w:space="0" w:color="auto"/>
        <w:left w:val="none" w:sz="0" w:space="0" w:color="auto"/>
        <w:bottom w:val="none" w:sz="0" w:space="0" w:color="auto"/>
        <w:right w:val="none" w:sz="0" w:space="0" w:color="auto"/>
      </w:divBdr>
    </w:div>
    <w:div w:id="728774008">
      <w:bodyDiv w:val="1"/>
      <w:marLeft w:val="0"/>
      <w:marRight w:val="0"/>
      <w:marTop w:val="0"/>
      <w:marBottom w:val="0"/>
      <w:divBdr>
        <w:top w:val="none" w:sz="0" w:space="0" w:color="auto"/>
        <w:left w:val="none" w:sz="0" w:space="0" w:color="auto"/>
        <w:bottom w:val="none" w:sz="0" w:space="0" w:color="auto"/>
        <w:right w:val="none" w:sz="0" w:space="0" w:color="auto"/>
      </w:divBdr>
    </w:div>
    <w:div w:id="729154449">
      <w:bodyDiv w:val="1"/>
      <w:marLeft w:val="0"/>
      <w:marRight w:val="0"/>
      <w:marTop w:val="0"/>
      <w:marBottom w:val="0"/>
      <w:divBdr>
        <w:top w:val="none" w:sz="0" w:space="0" w:color="auto"/>
        <w:left w:val="none" w:sz="0" w:space="0" w:color="auto"/>
        <w:bottom w:val="none" w:sz="0" w:space="0" w:color="auto"/>
        <w:right w:val="none" w:sz="0" w:space="0" w:color="auto"/>
      </w:divBdr>
    </w:div>
    <w:div w:id="729690303">
      <w:bodyDiv w:val="1"/>
      <w:marLeft w:val="0"/>
      <w:marRight w:val="0"/>
      <w:marTop w:val="0"/>
      <w:marBottom w:val="0"/>
      <w:divBdr>
        <w:top w:val="none" w:sz="0" w:space="0" w:color="auto"/>
        <w:left w:val="none" w:sz="0" w:space="0" w:color="auto"/>
        <w:bottom w:val="none" w:sz="0" w:space="0" w:color="auto"/>
        <w:right w:val="none" w:sz="0" w:space="0" w:color="auto"/>
      </w:divBdr>
    </w:div>
    <w:div w:id="729812731">
      <w:bodyDiv w:val="1"/>
      <w:marLeft w:val="0"/>
      <w:marRight w:val="0"/>
      <w:marTop w:val="0"/>
      <w:marBottom w:val="0"/>
      <w:divBdr>
        <w:top w:val="none" w:sz="0" w:space="0" w:color="auto"/>
        <w:left w:val="none" w:sz="0" w:space="0" w:color="auto"/>
        <w:bottom w:val="none" w:sz="0" w:space="0" w:color="auto"/>
        <w:right w:val="none" w:sz="0" w:space="0" w:color="auto"/>
      </w:divBdr>
    </w:div>
    <w:div w:id="730809614">
      <w:bodyDiv w:val="1"/>
      <w:marLeft w:val="0"/>
      <w:marRight w:val="0"/>
      <w:marTop w:val="0"/>
      <w:marBottom w:val="0"/>
      <w:divBdr>
        <w:top w:val="none" w:sz="0" w:space="0" w:color="auto"/>
        <w:left w:val="none" w:sz="0" w:space="0" w:color="auto"/>
        <w:bottom w:val="none" w:sz="0" w:space="0" w:color="auto"/>
        <w:right w:val="none" w:sz="0" w:space="0" w:color="auto"/>
      </w:divBdr>
    </w:div>
    <w:div w:id="730809827">
      <w:bodyDiv w:val="1"/>
      <w:marLeft w:val="0"/>
      <w:marRight w:val="0"/>
      <w:marTop w:val="0"/>
      <w:marBottom w:val="0"/>
      <w:divBdr>
        <w:top w:val="none" w:sz="0" w:space="0" w:color="auto"/>
        <w:left w:val="none" w:sz="0" w:space="0" w:color="auto"/>
        <w:bottom w:val="none" w:sz="0" w:space="0" w:color="auto"/>
        <w:right w:val="none" w:sz="0" w:space="0" w:color="auto"/>
      </w:divBdr>
    </w:div>
    <w:div w:id="731003004">
      <w:bodyDiv w:val="1"/>
      <w:marLeft w:val="0"/>
      <w:marRight w:val="0"/>
      <w:marTop w:val="0"/>
      <w:marBottom w:val="0"/>
      <w:divBdr>
        <w:top w:val="none" w:sz="0" w:space="0" w:color="auto"/>
        <w:left w:val="none" w:sz="0" w:space="0" w:color="auto"/>
        <w:bottom w:val="none" w:sz="0" w:space="0" w:color="auto"/>
        <w:right w:val="none" w:sz="0" w:space="0" w:color="auto"/>
      </w:divBdr>
    </w:div>
    <w:div w:id="731539330">
      <w:bodyDiv w:val="1"/>
      <w:marLeft w:val="0"/>
      <w:marRight w:val="0"/>
      <w:marTop w:val="0"/>
      <w:marBottom w:val="0"/>
      <w:divBdr>
        <w:top w:val="none" w:sz="0" w:space="0" w:color="auto"/>
        <w:left w:val="none" w:sz="0" w:space="0" w:color="auto"/>
        <w:bottom w:val="none" w:sz="0" w:space="0" w:color="auto"/>
        <w:right w:val="none" w:sz="0" w:space="0" w:color="auto"/>
      </w:divBdr>
    </w:div>
    <w:div w:id="731849439">
      <w:bodyDiv w:val="1"/>
      <w:marLeft w:val="0"/>
      <w:marRight w:val="0"/>
      <w:marTop w:val="0"/>
      <w:marBottom w:val="0"/>
      <w:divBdr>
        <w:top w:val="none" w:sz="0" w:space="0" w:color="auto"/>
        <w:left w:val="none" w:sz="0" w:space="0" w:color="auto"/>
        <w:bottom w:val="none" w:sz="0" w:space="0" w:color="auto"/>
        <w:right w:val="none" w:sz="0" w:space="0" w:color="auto"/>
      </w:divBdr>
    </w:div>
    <w:div w:id="732047657">
      <w:bodyDiv w:val="1"/>
      <w:marLeft w:val="0"/>
      <w:marRight w:val="0"/>
      <w:marTop w:val="0"/>
      <w:marBottom w:val="0"/>
      <w:divBdr>
        <w:top w:val="none" w:sz="0" w:space="0" w:color="auto"/>
        <w:left w:val="none" w:sz="0" w:space="0" w:color="auto"/>
        <w:bottom w:val="none" w:sz="0" w:space="0" w:color="auto"/>
        <w:right w:val="none" w:sz="0" w:space="0" w:color="auto"/>
      </w:divBdr>
    </w:div>
    <w:div w:id="732581850">
      <w:bodyDiv w:val="1"/>
      <w:marLeft w:val="0"/>
      <w:marRight w:val="0"/>
      <w:marTop w:val="0"/>
      <w:marBottom w:val="0"/>
      <w:divBdr>
        <w:top w:val="none" w:sz="0" w:space="0" w:color="auto"/>
        <w:left w:val="none" w:sz="0" w:space="0" w:color="auto"/>
        <w:bottom w:val="none" w:sz="0" w:space="0" w:color="auto"/>
        <w:right w:val="none" w:sz="0" w:space="0" w:color="auto"/>
      </w:divBdr>
    </w:div>
    <w:div w:id="732771448">
      <w:bodyDiv w:val="1"/>
      <w:marLeft w:val="0"/>
      <w:marRight w:val="0"/>
      <w:marTop w:val="0"/>
      <w:marBottom w:val="0"/>
      <w:divBdr>
        <w:top w:val="none" w:sz="0" w:space="0" w:color="auto"/>
        <w:left w:val="none" w:sz="0" w:space="0" w:color="auto"/>
        <w:bottom w:val="none" w:sz="0" w:space="0" w:color="auto"/>
        <w:right w:val="none" w:sz="0" w:space="0" w:color="auto"/>
      </w:divBdr>
    </w:div>
    <w:div w:id="733239960">
      <w:bodyDiv w:val="1"/>
      <w:marLeft w:val="0"/>
      <w:marRight w:val="0"/>
      <w:marTop w:val="0"/>
      <w:marBottom w:val="0"/>
      <w:divBdr>
        <w:top w:val="none" w:sz="0" w:space="0" w:color="auto"/>
        <w:left w:val="none" w:sz="0" w:space="0" w:color="auto"/>
        <w:bottom w:val="none" w:sz="0" w:space="0" w:color="auto"/>
        <w:right w:val="none" w:sz="0" w:space="0" w:color="auto"/>
      </w:divBdr>
    </w:div>
    <w:div w:id="734208805">
      <w:bodyDiv w:val="1"/>
      <w:marLeft w:val="0"/>
      <w:marRight w:val="0"/>
      <w:marTop w:val="0"/>
      <w:marBottom w:val="0"/>
      <w:divBdr>
        <w:top w:val="none" w:sz="0" w:space="0" w:color="auto"/>
        <w:left w:val="none" w:sz="0" w:space="0" w:color="auto"/>
        <w:bottom w:val="none" w:sz="0" w:space="0" w:color="auto"/>
        <w:right w:val="none" w:sz="0" w:space="0" w:color="auto"/>
      </w:divBdr>
    </w:div>
    <w:div w:id="735395922">
      <w:bodyDiv w:val="1"/>
      <w:marLeft w:val="0"/>
      <w:marRight w:val="0"/>
      <w:marTop w:val="0"/>
      <w:marBottom w:val="0"/>
      <w:divBdr>
        <w:top w:val="none" w:sz="0" w:space="0" w:color="auto"/>
        <w:left w:val="none" w:sz="0" w:space="0" w:color="auto"/>
        <w:bottom w:val="none" w:sz="0" w:space="0" w:color="auto"/>
        <w:right w:val="none" w:sz="0" w:space="0" w:color="auto"/>
      </w:divBdr>
    </w:div>
    <w:div w:id="736559809">
      <w:bodyDiv w:val="1"/>
      <w:marLeft w:val="0"/>
      <w:marRight w:val="0"/>
      <w:marTop w:val="0"/>
      <w:marBottom w:val="0"/>
      <w:divBdr>
        <w:top w:val="none" w:sz="0" w:space="0" w:color="auto"/>
        <w:left w:val="none" w:sz="0" w:space="0" w:color="auto"/>
        <w:bottom w:val="none" w:sz="0" w:space="0" w:color="auto"/>
        <w:right w:val="none" w:sz="0" w:space="0" w:color="auto"/>
      </w:divBdr>
    </w:div>
    <w:div w:id="737168244">
      <w:bodyDiv w:val="1"/>
      <w:marLeft w:val="0"/>
      <w:marRight w:val="0"/>
      <w:marTop w:val="0"/>
      <w:marBottom w:val="0"/>
      <w:divBdr>
        <w:top w:val="none" w:sz="0" w:space="0" w:color="auto"/>
        <w:left w:val="none" w:sz="0" w:space="0" w:color="auto"/>
        <w:bottom w:val="none" w:sz="0" w:space="0" w:color="auto"/>
        <w:right w:val="none" w:sz="0" w:space="0" w:color="auto"/>
      </w:divBdr>
    </w:div>
    <w:div w:id="739639904">
      <w:bodyDiv w:val="1"/>
      <w:marLeft w:val="0"/>
      <w:marRight w:val="0"/>
      <w:marTop w:val="0"/>
      <w:marBottom w:val="0"/>
      <w:divBdr>
        <w:top w:val="none" w:sz="0" w:space="0" w:color="auto"/>
        <w:left w:val="none" w:sz="0" w:space="0" w:color="auto"/>
        <w:bottom w:val="none" w:sz="0" w:space="0" w:color="auto"/>
        <w:right w:val="none" w:sz="0" w:space="0" w:color="auto"/>
      </w:divBdr>
    </w:div>
    <w:div w:id="739983502">
      <w:bodyDiv w:val="1"/>
      <w:marLeft w:val="0"/>
      <w:marRight w:val="0"/>
      <w:marTop w:val="0"/>
      <w:marBottom w:val="0"/>
      <w:divBdr>
        <w:top w:val="none" w:sz="0" w:space="0" w:color="auto"/>
        <w:left w:val="none" w:sz="0" w:space="0" w:color="auto"/>
        <w:bottom w:val="none" w:sz="0" w:space="0" w:color="auto"/>
        <w:right w:val="none" w:sz="0" w:space="0" w:color="auto"/>
      </w:divBdr>
    </w:div>
    <w:div w:id="741759810">
      <w:bodyDiv w:val="1"/>
      <w:marLeft w:val="0"/>
      <w:marRight w:val="0"/>
      <w:marTop w:val="0"/>
      <w:marBottom w:val="0"/>
      <w:divBdr>
        <w:top w:val="none" w:sz="0" w:space="0" w:color="auto"/>
        <w:left w:val="none" w:sz="0" w:space="0" w:color="auto"/>
        <w:bottom w:val="none" w:sz="0" w:space="0" w:color="auto"/>
        <w:right w:val="none" w:sz="0" w:space="0" w:color="auto"/>
      </w:divBdr>
    </w:div>
    <w:div w:id="742145271">
      <w:bodyDiv w:val="1"/>
      <w:marLeft w:val="0"/>
      <w:marRight w:val="0"/>
      <w:marTop w:val="0"/>
      <w:marBottom w:val="0"/>
      <w:divBdr>
        <w:top w:val="none" w:sz="0" w:space="0" w:color="auto"/>
        <w:left w:val="none" w:sz="0" w:space="0" w:color="auto"/>
        <w:bottom w:val="none" w:sz="0" w:space="0" w:color="auto"/>
        <w:right w:val="none" w:sz="0" w:space="0" w:color="auto"/>
      </w:divBdr>
    </w:div>
    <w:div w:id="742337702">
      <w:bodyDiv w:val="1"/>
      <w:marLeft w:val="0"/>
      <w:marRight w:val="0"/>
      <w:marTop w:val="0"/>
      <w:marBottom w:val="0"/>
      <w:divBdr>
        <w:top w:val="none" w:sz="0" w:space="0" w:color="auto"/>
        <w:left w:val="none" w:sz="0" w:space="0" w:color="auto"/>
        <w:bottom w:val="none" w:sz="0" w:space="0" w:color="auto"/>
        <w:right w:val="none" w:sz="0" w:space="0" w:color="auto"/>
      </w:divBdr>
    </w:div>
    <w:div w:id="742532557">
      <w:bodyDiv w:val="1"/>
      <w:marLeft w:val="0"/>
      <w:marRight w:val="0"/>
      <w:marTop w:val="0"/>
      <w:marBottom w:val="0"/>
      <w:divBdr>
        <w:top w:val="none" w:sz="0" w:space="0" w:color="auto"/>
        <w:left w:val="none" w:sz="0" w:space="0" w:color="auto"/>
        <w:bottom w:val="none" w:sz="0" w:space="0" w:color="auto"/>
        <w:right w:val="none" w:sz="0" w:space="0" w:color="auto"/>
      </w:divBdr>
    </w:div>
    <w:div w:id="742799643">
      <w:bodyDiv w:val="1"/>
      <w:marLeft w:val="0"/>
      <w:marRight w:val="0"/>
      <w:marTop w:val="0"/>
      <w:marBottom w:val="0"/>
      <w:divBdr>
        <w:top w:val="none" w:sz="0" w:space="0" w:color="auto"/>
        <w:left w:val="none" w:sz="0" w:space="0" w:color="auto"/>
        <w:bottom w:val="none" w:sz="0" w:space="0" w:color="auto"/>
        <w:right w:val="none" w:sz="0" w:space="0" w:color="auto"/>
      </w:divBdr>
    </w:div>
    <w:div w:id="742802032">
      <w:bodyDiv w:val="1"/>
      <w:marLeft w:val="0"/>
      <w:marRight w:val="0"/>
      <w:marTop w:val="0"/>
      <w:marBottom w:val="0"/>
      <w:divBdr>
        <w:top w:val="none" w:sz="0" w:space="0" w:color="auto"/>
        <w:left w:val="none" w:sz="0" w:space="0" w:color="auto"/>
        <w:bottom w:val="none" w:sz="0" w:space="0" w:color="auto"/>
        <w:right w:val="none" w:sz="0" w:space="0" w:color="auto"/>
      </w:divBdr>
    </w:div>
    <w:div w:id="742873335">
      <w:bodyDiv w:val="1"/>
      <w:marLeft w:val="0"/>
      <w:marRight w:val="0"/>
      <w:marTop w:val="0"/>
      <w:marBottom w:val="0"/>
      <w:divBdr>
        <w:top w:val="none" w:sz="0" w:space="0" w:color="auto"/>
        <w:left w:val="none" w:sz="0" w:space="0" w:color="auto"/>
        <w:bottom w:val="none" w:sz="0" w:space="0" w:color="auto"/>
        <w:right w:val="none" w:sz="0" w:space="0" w:color="auto"/>
      </w:divBdr>
    </w:div>
    <w:div w:id="743793429">
      <w:bodyDiv w:val="1"/>
      <w:marLeft w:val="0"/>
      <w:marRight w:val="0"/>
      <w:marTop w:val="0"/>
      <w:marBottom w:val="0"/>
      <w:divBdr>
        <w:top w:val="none" w:sz="0" w:space="0" w:color="auto"/>
        <w:left w:val="none" w:sz="0" w:space="0" w:color="auto"/>
        <w:bottom w:val="none" w:sz="0" w:space="0" w:color="auto"/>
        <w:right w:val="none" w:sz="0" w:space="0" w:color="auto"/>
      </w:divBdr>
    </w:div>
    <w:div w:id="744255362">
      <w:bodyDiv w:val="1"/>
      <w:marLeft w:val="0"/>
      <w:marRight w:val="0"/>
      <w:marTop w:val="0"/>
      <w:marBottom w:val="0"/>
      <w:divBdr>
        <w:top w:val="none" w:sz="0" w:space="0" w:color="auto"/>
        <w:left w:val="none" w:sz="0" w:space="0" w:color="auto"/>
        <w:bottom w:val="none" w:sz="0" w:space="0" w:color="auto"/>
        <w:right w:val="none" w:sz="0" w:space="0" w:color="auto"/>
      </w:divBdr>
    </w:div>
    <w:div w:id="744299443">
      <w:bodyDiv w:val="1"/>
      <w:marLeft w:val="0"/>
      <w:marRight w:val="0"/>
      <w:marTop w:val="0"/>
      <w:marBottom w:val="0"/>
      <w:divBdr>
        <w:top w:val="none" w:sz="0" w:space="0" w:color="auto"/>
        <w:left w:val="none" w:sz="0" w:space="0" w:color="auto"/>
        <w:bottom w:val="none" w:sz="0" w:space="0" w:color="auto"/>
        <w:right w:val="none" w:sz="0" w:space="0" w:color="auto"/>
      </w:divBdr>
    </w:div>
    <w:div w:id="745956999">
      <w:bodyDiv w:val="1"/>
      <w:marLeft w:val="0"/>
      <w:marRight w:val="0"/>
      <w:marTop w:val="0"/>
      <w:marBottom w:val="0"/>
      <w:divBdr>
        <w:top w:val="none" w:sz="0" w:space="0" w:color="auto"/>
        <w:left w:val="none" w:sz="0" w:space="0" w:color="auto"/>
        <w:bottom w:val="none" w:sz="0" w:space="0" w:color="auto"/>
        <w:right w:val="none" w:sz="0" w:space="0" w:color="auto"/>
      </w:divBdr>
    </w:div>
    <w:div w:id="746421242">
      <w:bodyDiv w:val="1"/>
      <w:marLeft w:val="0"/>
      <w:marRight w:val="0"/>
      <w:marTop w:val="0"/>
      <w:marBottom w:val="0"/>
      <w:divBdr>
        <w:top w:val="none" w:sz="0" w:space="0" w:color="auto"/>
        <w:left w:val="none" w:sz="0" w:space="0" w:color="auto"/>
        <w:bottom w:val="none" w:sz="0" w:space="0" w:color="auto"/>
        <w:right w:val="none" w:sz="0" w:space="0" w:color="auto"/>
      </w:divBdr>
    </w:div>
    <w:div w:id="746728339">
      <w:bodyDiv w:val="1"/>
      <w:marLeft w:val="0"/>
      <w:marRight w:val="0"/>
      <w:marTop w:val="0"/>
      <w:marBottom w:val="0"/>
      <w:divBdr>
        <w:top w:val="none" w:sz="0" w:space="0" w:color="auto"/>
        <w:left w:val="none" w:sz="0" w:space="0" w:color="auto"/>
        <w:bottom w:val="none" w:sz="0" w:space="0" w:color="auto"/>
        <w:right w:val="none" w:sz="0" w:space="0" w:color="auto"/>
      </w:divBdr>
    </w:div>
    <w:div w:id="746729590">
      <w:bodyDiv w:val="1"/>
      <w:marLeft w:val="0"/>
      <w:marRight w:val="0"/>
      <w:marTop w:val="0"/>
      <w:marBottom w:val="0"/>
      <w:divBdr>
        <w:top w:val="none" w:sz="0" w:space="0" w:color="auto"/>
        <w:left w:val="none" w:sz="0" w:space="0" w:color="auto"/>
        <w:bottom w:val="none" w:sz="0" w:space="0" w:color="auto"/>
        <w:right w:val="none" w:sz="0" w:space="0" w:color="auto"/>
      </w:divBdr>
    </w:div>
    <w:div w:id="746801261">
      <w:bodyDiv w:val="1"/>
      <w:marLeft w:val="0"/>
      <w:marRight w:val="0"/>
      <w:marTop w:val="0"/>
      <w:marBottom w:val="0"/>
      <w:divBdr>
        <w:top w:val="none" w:sz="0" w:space="0" w:color="auto"/>
        <w:left w:val="none" w:sz="0" w:space="0" w:color="auto"/>
        <w:bottom w:val="none" w:sz="0" w:space="0" w:color="auto"/>
        <w:right w:val="none" w:sz="0" w:space="0" w:color="auto"/>
      </w:divBdr>
    </w:div>
    <w:div w:id="747271762">
      <w:bodyDiv w:val="1"/>
      <w:marLeft w:val="0"/>
      <w:marRight w:val="0"/>
      <w:marTop w:val="0"/>
      <w:marBottom w:val="0"/>
      <w:divBdr>
        <w:top w:val="none" w:sz="0" w:space="0" w:color="auto"/>
        <w:left w:val="none" w:sz="0" w:space="0" w:color="auto"/>
        <w:bottom w:val="none" w:sz="0" w:space="0" w:color="auto"/>
        <w:right w:val="none" w:sz="0" w:space="0" w:color="auto"/>
      </w:divBdr>
    </w:div>
    <w:div w:id="747462729">
      <w:bodyDiv w:val="1"/>
      <w:marLeft w:val="0"/>
      <w:marRight w:val="0"/>
      <w:marTop w:val="0"/>
      <w:marBottom w:val="0"/>
      <w:divBdr>
        <w:top w:val="none" w:sz="0" w:space="0" w:color="auto"/>
        <w:left w:val="none" w:sz="0" w:space="0" w:color="auto"/>
        <w:bottom w:val="none" w:sz="0" w:space="0" w:color="auto"/>
        <w:right w:val="none" w:sz="0" w:space="0" w:color="auto"/>
      </w:divBdr>
    </w:div>
    <w:div w:id="747658571">
      <w:bodyDiv w:val="1"/>
      <w:marLeft w:val="0"/>
      <w:marRight w:val="0"/>
      <w:marTop w:val="0"/>
      <w:marBottom w:val="0"/>
      <w:divBdr>
        <w:top w:val="none" w:sz="0" w:space="0" w:color="auto"/>
        <w:left w:val="none" w:sz="0" w:space="0" w:color="auto"/>
        <w:bottom w:val="none" w:sz="0" w:space="0" w:color="auto"/>
        <w:right w:val="none" w:sz="0" w:space="0" w:color="auto"/>
      </w:divBdr>
    </w:div>
    <w:div w:id="747774620">
      <w:bodyDiv w:val="1"/>
      <w:marLeft w:val="0"/>
      <w:marRight w:val="0"/>
      <w:marTop w:val="0"/>
      <w:marBottom w:val="0"/>
      <w:divBdr>
        <w:top w:val="none" w:sz="0" w:space="0" w:color="auto"/>
        <w:left w:val="none" w:sz="0" w:space="0" w:color="auto"/>
        <w:bottom w:val="none" w:sz="0" w:space="0" w:color="auto"/>
        <w:right w:val="none" w:sz="0" w:space="0" w:color="auto"/>
      </w:divBdr>
    </w:div>
    <w:div w:id="749422632">
      <w:bodyDiv w:val="1"/>
      <w:marLeft w:val="0"/>
      <w:marRight w:val="0"/>
      <w:marTop w:val="0"/>
      <w:marBottom w:val="0"/>
      <w:divBdr>
        <w:top w:val="none" w:sz="0" w:space="0" w:color="auto"/>
        <w:left w:val="none" w:sz="0" w:space="0" w:color="auto"/>
        <w:bottom w:val="none" w:sz="0" w:space="0" w:color="auto"/>
        <w:right w:val="none" w:sz="0" w:space="0" w:color="auto"/>
      </w:divBdr>
    </w:div>
    <w:div w:id="749497100">
      <w:bodyDiv w:val="1"/>
      <w:marLeft w:val="0"/>
      <w:marRight w:val="0"/>
      <w:marTop w:val="0"/>
      <w:marBottom w:val="0"/>
      <w:divBdr>
        <w:top w:val="none" w:sz="0" w:space="0" w:color="auto"/>
        <w:left w:val="none" w:sz="0" w:space="0" w:color="auto"/>
        <w:bottom w:val="none" w:sz="0" w:space="0" w:color="auto"/>
        <w:right w:val="none" w:sz="0" w:space="0" w:color="auto"/>
      </w:divBdr>
    </w:div>
    <w:div w:id="749814043">
      <w:bodyDiv w:val="1"/>
      <w:marLeft w:val="0"/>
      <w:marRight w:val="0"/>
      <w:marTop w:val="0"/>
      <w:marBottom w:val="0"/>
      <w:divBdr>
        <w:top w:val="none" w:sz="0" w:space="0" w:color="auto"/>
        <w:left w:val="none" w:sz="0" w:space="0" w:color="auto"/>
        <w:bottom w:val="none" w:sz="0" w:space="0" w:color="auto"/>
        <w:right w:val="none" w:sz="0" w:space="0" w:color="auto"/>
      </w:divBdr>
    </w:div>
    <w:div w:id="749887067">
      <w:bodyDiv w:val="1"/>
      <w:marLeft w:val="0"/>
      <w:marRight w:val="0"/>
      <w:marTop w:val="0"/>
      <w:marBottom w:val="0"/>
      <w:divBdr>
        <w:top w:val="none" w:sz="0" w:space="0" w:color="auto"/>
        <w:left w:val="none" w:sz="0" w:space="0" w:color="auto"/>
        <w:bottom w:val="none" w:sz="0" w:space="0" w:color="auto"/>
        <w:right w:val="none" w:sz="0" w:space="0" w:color="auto"/>
      </w:divBdr>
    </w:div>
    <w:div w:id="750546211">
      <w:bodyDiv w:val="1"/>
      <w:marLeft w:val="0"/>
      <w:marRight w:val="0"/>
      <w:marTop w:val="0"/>
      <w:marBottom w:val="0"/>
      <w:divBdr>
        <w:top w:val="none" w:sz="0" w:space="0" w:color="auto"/>
        <w:left w:val="none" w:sz="0" w:space="0" w:color="auto"/>
        <w:bottom w:val="none" w:sz="0" w:space="0" w:color="auto"/>
        <w:right w:val="none" w:sz="0" w:space="0" w:color="auto"/>
      </w:divBdr>
      <w:divsChild>
        <w:div w:id="1471243409">
          <w:marLeft w:val="0"/>
          <w:marRight w:val="0"/>
          <w:marTop w:val="0"/>
          <w:marBottom w:val="0"/>
          <w:divBdr>
            <w:top w:val="none" w:sz="0" w:space="0" w:color="auto"/>
            <w:left w:val="none" w:sz="0" w:space="0" w:color="auto"/>
            <w:bottom w:val="none" w:sz="0" w:space="0" w:color="auto"/>
            <w:right w:val="none" w:sz="0" w:space="0" w:color="auto"/>
          </w:divBdr>
        </w:div>
        <w:div w:id="716591379">
          <w:marLeft w:val="0"/>
          <w:marRight w:val="0"/>
          <w:marTop w:val="0"/>
          <w:marBottom w:val="0"/>
          <w:divBdr>
            <w:top w:val="none" w:sz="0" w:space="0" w:color="auto"/>
            <w:left w:val="none" w:sz="0" w:space="0" w:color="auto"/>
            <w:bottom w:val="none" w:sz="0" w:space="0" w:color="auto"/>
            <w:right w:val="none" w:sz="0" w:space="0" w:color="auto"/>
          </w:divBdr>
        </w:div>
        <w:div w:id="1608346843">
          <w:marLeft w:val="0"/>
          <w:marRight w:val="0"/>
          <w:marTop w:val="0"/>
          <w:marBottom w:val="0"/>
          <w:divBdr>
            <w:top w:val="none" w:sz="0" w:space="0" w:color="auto"/>
            <w:left w:val="none" w:sz="0" w:space="0" w:color="auto"/>
            <w:bottom w:val="none" w:sz="0" w:space="0" w:color="auto"/>
            <w:right w:val="none" w:sz="0" w:space="0" w:color="auto"/>
          </w:divBdr>
        </w:div>
      </w:divsChild>
    </w:div>
    <w:div w:id="751897311">
      <w:bodyDiv w:val="1"/>
      <w:marLeft w:val="0"/>
      <w:marRight w:val="0"/>
      <w:marTop w:val="0"/>
      <w:marBottom w:val="0"/>
      <w:divBdr>
        <w:top w:val="none" w:sz="0" w:space="0" w:color="auto"/>
        <w:left w:val="none" w:sz="0" w:space="0" w:color="auto"/>
        <w:bottom w:val="none" w:sz="0" w:space="0" w:color="auto"/>
        <w:right w:val="none" w:sz="0" w:space="0" w:color="auto"/>
      </w:divBdr>
    </w:div>
    <w:div w:id="752438336">
      <w:bodyDiv w:val="1"/>
      <w:marLeft w:val="0"/>
      <w:marRight w:val="0"/>
      <w:marTop w:val="0"/>
      <w:marBottom w:val="0"/>
      <w:divBdr>
        <w:top w:val="none" w:sz="0" w:space="0" w:color="auto"/>
        <w:left w:val="none" w:sz="0" w:space="0" w:color="auto"/>
        <w:bottom w:val="none" w:sz="0" w:space="0" w:color="auto"/>
        <w:right w:val="none" w:sz="0" w:space="0" w:color="auto"/>
      </w:divBdr>
    </w:div>
    <w:div w:id="754202794">
      <w:bodyDiv w:val="1"/>
      <w:marLeft w:val="0"/>
      <w:marRight w:val="0"/>
      <w:marTop w:val="0"/>
      <w:marBottom w:val="0"/>
      <w:divBdr>
        <w:top w:val="none" w:sz="0" w:space="0" w:color="auto"/>
        <w:left w:val="none" w:sz="0" w:space="0" w:color="auto"/>
        <w:bottom w:val="none" w:sz="0" w:space="0" w:color="auto"/>
        <w:right w:val="none" w:sz="0" w:space="0" w:color="auto"/>
      </w:divBdr>
    </w:div>
    <w:div w:id="754206975">
      <w:bodyDiv w:val="1"/>
      <w:marLeft w:val="0"/>
      <w:marRight w:val="0"/>
      <w:marTop w:val="0"/>
      <w:marBottom w:val="0"/>
      <w:divBdr>
        <w:top w:val="none" w:sz="0" w:space="0" w:color="auto"/>
        <w:left w:val="none" w:sz="0" w:space="0" w:color="auto"/>
        <w:bottom w:val="none" w:sz="0" w:space="0" w:color="auto"/>
        <w:right w:val="none" w:sz="0" w:space="0" w:color="auto"/>
      </w:divBdr>
    </w:div>
    <w:div w:id="755858476">
      <w:bodyDiv w:val="1"/>
      <w:marLeft w:val="0"/>
      <w:marRight w:val="0"/>
      <w:marTop w:val="0"/>
      <w:marBottom w:val="0"/>
      <w:divBdr>
        <w:top w:val="none" w:sz="0" w:space="0" w:color="auto"/>
        <w:left w:val="none" w:sz="0" w:space="0" w:color="auto"/>
        <w:bottom w:val="none" w:sz="0" w:space="0" w:color="auto"/>
        <w:right w:val="none" w:sz="0" w:space="0" w:color="auto"/>
      </w:divBdr>
    </w:div>
    <w:div w:id="756562990">
      <w:bodyDiv w:val="1"/>
      <w:marLeft w:val="0"/>
      <w:marRight w:val="0"/>
      <w:marTop w:val="0"/>
      <w:marBottom w:val="0"/>
      <w:divBdr>
        <w:top w:val="none" w:sz="0" w:space="0" w:color="auto"/>
        <w:left w:val="none" w:sz="0" w:space="0" w:color="auto"/>
        <w:bottom w:val="none" w:sz="0" w:space="0" w:color="auto"/>
        <w:right w:val="none" w:sz="0" w:space="0" w:color="auto"/>
      </w:divBdr>
    </w:div>
    <w:div w:id="756753160">
      <w:bodyDiv w:val="1"/>
      <w:marLeft w:val="0"/>
      <w:marRight w:val="0"/>
      <w:marTop w:val="0"/>
      <w:marBottom w:val="0"/>
      <w:divBdr>
        <w:top w:val="none" w:sz="0" w:space="0" w:color="auto"/>
        <w:left w:val="none" w:sz="0" w:space="0" w:color="auto"/>
        <w:bottom w:val="none" w:sz="0" w:space="0" w:color="auto"/>
        <w:right w:val="none" w:sz="0" w:space="0" w:color="auto"/>
      </w:divBdr>
    </w:div>
    <w:div w:id="758017670">
      <w:bodyDiv w:val="1"/>
      <w:marLeft w:val="0"/>
      <w:marRight w:val="0"/>
      <w:marTop w:val="0"/>
      <w:marBottom w:val="0"/>
      <w:divBdr>
        <w:top w:val="none" w:sz="0" w:space="0" w:color="auto"/>
        <w:left w:val="none" w:sz="0" w:space="0" w:color="auto"/>
        <w:bottom w:val="none" w:sz="0" w:space="0" w:color="auto"/>
        <w:right w:val="none" w:sz="0" w:space="0" w:color="auto"/>
      </w:divBdr>
    </w:div>
    <w:div w:id="758453923">
      <w:bodyDiv w:val="1"/>
      <w:marLeft w:val="0"/>
      <w:marRight w:val="0"/>
      <w:marTop w:val="0"/>
      <w:marBottom w:val="0"/>
      <w:divBdr>
        <w:top w:val="none" w:sz="0" w:space="0" w:color="auto"/>
        <w:left w:val="none" w:sz="0" w:space="0" w:color="auto"/>
        <w:bottom w:val="none" w:sz="0" w:space="0" w:color="auto"/>
        <w:right w:val="none" w:sz="0" w:space="0" w:color="auto"/>
      </w:divBdr>
    </w:div>
    <w:div w:id="758908814">
      <w:bodyDiv w:val="1"/>
      <w:marLeft w:val="0"/>
      <w:marRight w:val="0"/>
      <w:marTop w:val="0"/>
      <w:marBottom w:val="0"/>
      <w:divBdr>
        <w:top w:val="none" w:sz="0" w:space="0" w:color="auto"/>
        <w:left w:val="none" w:sz="0" w:space="0" w:color="auto"/>
        <w:bottom w:val="none" w:sz="0" w:space="0" w:color="auto"/>
        <w:right w:val="none" w:sz="0" w:space="0" w:color="auto"/>
      </w:divBdr>
    </w:div>
    <w:div w:id="758985533">
      <w:bodyDiv w:val="1"/>
      <w:marLeft w:val="0"/>
      <w:marRight w:val="0"/>
      <w:marTop w:val="0"/>
      <w:marBottom w:val="0"/>
      <w:divBdr>
        <w:top w:val="none" w:sz="0" w:space="0" w:color="auto"/>
        <w:left w:val="none" w:sz="0" w:space="0" w:color="auto"/>
        <w:bottom w:val="none" w:sz="0" w:space="0" w:color="auto"/>
        <w:right w:val="none" w:sz="0" w:space="0" w:color="auto"/>
      </w:divBdr>
    </w:div>
    <w:div w:id="759303075">
      <w:bodyDiv w:val="1"/>
      <w:marLeft w:val="0"/>
      <w:marRight w:val="0"/>
      <w:marTop w:val="0"/>
      <w:marBottom w:val="0"/>
      <w:divBdr>
        <w:top w:val="none" w:sz="0" w:space="0" w:color="auto"/>
        <w:left w:val="none" w:sz="0" w:space="0" w:color="auto"/>
        <w:bottom w:val="none" w:sz="0" w:space="0" w:color="auto"/>
        <w:right w:val="none" w:sz="0" w:space="0" w:color="auto"/>
      </w:divBdr>
    </w:div>
    <w:div w:id="759713815">
      <w:bodyDiv w:val="1"/>
      <w:marLeft w:val="0"/>
      <w:marRight w:val="0"/>
      <w:marTop w:val="0"/>
      <w:marBottom w:val="0"/>
      <w:divBdr>
        <w:top w:val="none" w:sz="0" w:space="0" w:color="auto"/>
        <w:left w:val="none" w:sz="0" w:space="0" w:color="auto"/>
        <w:bottom w:val="none" w:sz="0" w:space="0" w:color="auto"/>
        <w:right w:val="none" w:sz="0" w:space="0" w:color="auto"/>
      </w:divBdr>
    </w:div>
    <w:div w:id="760754919">
      <w:bodyDiv w:val="1"/>
      <w:marLeft w:val="0"/>
      <w:marRight w:val="0"/>
      <w:marTop w:val="0"/>
      <w:marBottom w:val="0"/>
      <w:divBdr>
        <w:top w:val="none" w:sz="0" w:space="0" w:color="auto"/>
        <w:left w:val="none" w:sz="0" w:space="0" w:color="auto"/>
        <w:bottom w:val="none" w:sz="0" w:space="0" w:color="auto"/>
        <w:right w:val="none" w:sz="0" w:space="0" w:color="auto"/>
      </w:divBdr>
    </w:div>
    <w:div w:id="760954118">
      <w:bodyDiv w:val="1"/>
      <w:marLeft w:val="0"/>
      <w:marRight w:val="0"/>
      <w:marTop w:val="0"/>
      <w:marBottom w:val="0"/>
      <w:divBdr>
        <w:top w:val="none" w:sz="0" w:space="0" w:color="auto"/>
        <w:left w:val="none" w:sz="0" w:space="0" w:color="auto"/>
        <w:bottom w:val="none" w:sz="0" w:space="0" w:color="auto"/>
        <w:right w:val="none" w:sz="0" w:space="0" w:color="auto"/>
      </w:divBdr>
    </w:div>
    <w:div w:id="762261015">
      <w:bodyDiv w:val="1"/>
      <w:marLeft w:val="0"/>
      <w:marRight w:val="0"/>
      <w:marTop w:val="0"/>
      <w:marBottom w:val="0"/>
      <w:divBdr>
        <w:top w:val="none" w:sz="0" w:space="0" w:color="auto"/>
        <w:left w:val="none" w:sz="0" w:space="0" w:color="auto"/>
        <w:bottom w:val="none" w:sz="0" w:space="0" w:color="auto"/>
        <w:right w:val="none" w:sz="0" w:space="0" w:color="auto"/>
      </w:divBdr>
    </w:div>
    <w:div w:id="762341790">
      <w:bodyDiv w:val="1"/>
      <w:marLeft w:val="0"/>
      <w:marRight w:val="0"/>
      <w:marTop w:val="0"/>
      <w:marBottom w:val="0"/>
      <w:divBdr>
        <w:top w:val="none" w:sz="0" w:space="0" w:color="auto"/>
        <w:left w:val="none" w:sz="0" w:space="0" w:color="auto"/>
        <w:bottom w:val="none" w:sz="0" w:space="0" w:color="auto"/>
        <w:right w:val="none" w:sz="0" w:space="0" w:color="auto"/>
      </w:divBdr>
    </w:div>
    <w:div w:id="762841931">
      <w:bodyDiv w:val="1"/>
      <w:marLeft w:val="0"/>
      <w:marRight w:val="0"/>
      <w:marTop w:val="0"/>
      <w:marBottom w:val="0"/>
      <w:divBdr>
        <w:top w:val="none" w:sz="0" w:space="0" w:color="auto"/>
        <w:left w:val="none" w:sz="0" w:space="0" w:color="auto"/>
        <w:bottom w:val="none" w:sz="0" w:space="0" w:color="auto"/>
        <w:right w:val="none" w:sz="0" w:space="0" w:color="auto"/>
      </w:divBdr>
    </w:div>
    <w:div w:id="763116658">
      <w:bodyDiv w:val="1"/>
      <w:marLeft w:val="0"/>
      <w:marRight w:val="0"/>
      <w:marTop w:val="0"/>
      <w:marBottom w:val="0"/>
      <w:divBdr>
        <w:top w:val="none" w:sz="0" w:space="0" w:color="auto"/>
        <w:left w:val="none" w:sz="0" w:space="0" w:color="auto"/>
        <w:bottom w:val="none" w:sz="0" w:space="0" w:color="auto"/>
        <w:right w:val="none" w:sz="0" w:space="0" w:color="auto"/>
      </w:divBdr>
    </w:div>
    <w:div w:id="764035365">
      <w:bodyDiv w:val="1"/>
      <w:marLeft w:val="0"/>
      <w:marRight w:val="0"/>
      <w:marTop w:val="0"/>
      <w:marBottom w:val="0"/>
      <w:divBdr>
        <w:top w:val="none" w:sz="0" w:space="0" w:color="auto"/>
        <w:left w:val="none" w:sz="0" w:space="0" w:color="auto"/>
        <w:bottom w:val="none" w:sz="0" w:space="0" w:color="auto"/>
        <w:right w:val="none" w:sz="0" w:space="0" w:color="auto"/>
      </w:divBdr>
    </w:div>
    <w:div w:id="764039385">
      <w:bodyDiv w:val="1"/>
      <w:marLeft w:val="0"/>
      <w:marRight w:val="0"/>
      <w:marTop w:val="0"/>
      <w:marBottom w:val="0"/>
      <w:divBdr>
        <w:top w:val="none" w:sz="0" w:space="0" w:color="auto"/>
        <w:left w:val="none" w:sz="0" w:space="0" w:color="auto"/>
        <w:bottom w:val="none" w:sz="0" w:space="0" w:color="auto"/>
        <w:right w:val="none" w:sz="0" w:space="0" w:color="auto"/>
      </w:divBdr>
    </w:div>
    <w:div w:id="764039948">
      <w:bodyDiv w:val="1"/>
      <w:marLeft w:val="0"/>
      <w:marRight w:val="0"/>
      <w:marTop w:val="0"/>
      <w:marBottom w:val="0"/>
      <w:divBdr>
        <w:top w:val="none" w:sz="0" w:space="0" w:color="auto"/>
        <w:left w:val="none" w:sz="0" w:space="0" w:color="auto"/>
        <w:bottom w:val="none" w:sz="0" w:space="0" w:color="auto"/>
        <w:right w:val="none" w:sz="0" w:space="0" w:color="auto"/>
      </w:divBdr>
    </w:div>
    <w:div w:id="764301708">
      <w:bodyDiv w:val="1"/>
      <w:marLeft w:val="0"/>
      <w:marRight w:val="0"/>
      <w:marTop w:val="0"/>
      <w:marBottom w:val="0"/>
      <w:divBdr>
        <w:top w:val="none" w:sz="0" w:space="0" w:color="auto"/>
        <w:left w:val="none" w:sz="0" w:space="0" w:color="auto"/>
        <w:bottom w:val="none" w:sz="0" w:space="0" w:color="auto"/>
        <w:right w:val="none" w:sz="0" w:space="0" w:color="auto"/>
      </w:divBdr>
    </w:div>
    <w:div w:id="765461777">
      <w:bodyDiv w:val="1"/>
      <w:marLeft w:val="0"/>
      <w:marRight w:val="0"/>
      <w:marTop w:val="0"/>
      <w:marBottom w:val="0"/>
      <w:divBdr>
        <w:top w:val="none" w:sz="0" w:space="0" w:color="auto"/>
        <w:left w:val="none" w:sz="0" w:space="0" w:color="auto"/>
        <w:bottom w:val="none" w:sz="0" w:space="0" w:color="auto"/>
        <w:right w:val="none" w:sz="0" w:space="0" w:color="auto"/>
      </w:divBdr>
    </w:div>
    <w:div w:id="765617794">
      <w:bodyDiv w:val="1"/>
      <w:marLeft w:val="0"/>
      <w:marRight w:val="0"/>
      <w:marTop w:val="0"/>
      <w:marBottom w:val="0"/>
      <w:divBdr>
        <w:top w:val="none" w:sz="0" w:space="0" w:color="auto"/>
        <w:left w:val="none" w:sz="0" w:space="0" w:color="auto"/>
        <w:bottom w:val="none" w:sz="0" w:space="0" w:color="auto"/>
        <w:right w:val="none" w:sz="0" w:space="0" w:color="auto"/>
      </w:divBdr>
    </w:div>
    <w:div w:id="766585157">
      <w:bodyDiv w:val="1"/>
      <w:marLeft w:val="0"/>
      <w:marRight w:val="0"/>
      <w:marTop w:val="0"/>
      <w:marBottom w:val="0"/>
      <w:divBdr>
        <w:top w:val="none" w:sz="0" w:space="0" w:color="auto"/>
        <w:left w:val="none" w:sz="0" w:space="0" w:color="auto"/>
        <w:bottom w:val="none" w:sz="0" w:space="0" w:color="auto"/>
        <w:right w:val="none" w:sz="0" w:space="0" w:color="auto"/>
      </w:divBdr>
    </w:div>
    <w:div w:id="767963166">
      <w:bodyDiv w:val="1"/>
      <w:marLeft w:val="0"/>
      <w:marRight w:val="0"/>
      <w:marTop w:val="0"/>
      <w:marBottom w:val="0"/>
      <w:divBdr>
        <w:top w:val="none" w:sz="0" w:space="0" w:color="auto"/>
        <w:left w:val="none" w:sz="0" w:space="0" w:color="auto"/>
        <w:bottom w:val="none" w:sz="0" w:space="0" w:color="auto"/>
        <w:right w:val="none" w:sz="0" w:space="0" w:color="auto"/>
      </w:divBdr>
    </w:div>
    <w:div w:id="768082252">
      <w:bodyDiv w:val="1"/>
      <w:marLeft w:val="0"/>
      <w:marRight w:val="0"/>
      <w:marTop w:val="0"/>
      <w:marBottom w:val="0"/>
      <w:divBdr>
        <w:top w:val="none" w:sz="0" w:space="0" w:color="auto"/>
        <w:left w:val="none" w:sz="0" w:space="0" w:color="auto"/>
        <w:bottom w:val="none" w:sz="0" w:space="0" w:color="auto"/>
        <w:right w:val="none" w:sz="0" w:space="0" w:color="auto"/>
      </w:divBdr>
    </w:div>
    <w:div w:id="768165110">
      <w:bodyDiv w:val="1"/>
      <w:marLeft w:val="0"/>
      <w:marRight w:val="0"/>
      <w:marTop w:val="0"/>
      <w:marBottom w:val="0"/>
      <w:divBdr>
        <w:top w:val="none" w:sz="0" w:space="0" w:color="auto"/>
        <w:left w:val="none" w:sz="0" w:space="0" w:color="auto"/>
        <w:bottom w:val="none" w:sz="0" w:space="0" w:color="auto"/>
        <w:right w:val="none" w:sz="0" w:space="0" w:color="auto"/>
      </w:divBdr>
      <w:divsChild>
        <w:div w:id="482352367">
          <w:marLeft w:val="0"/>
          <w:marRight w:val="0"/>
          <w:marTop w:val="0"/>
          <w:marBottom w:val="0"/>
          <w:divBdr>
            <w:top w:val="none" w:sz="0" w:space="0" w:color="auto"/>
            <w:left w:val="none" w:sz="0" w:space="0" w:color="auto"/>
            <w:bottom w:val="none" w:sz="0" w:space="0" w:color="auto"/>
            <w:right w:val="none" w:sz="0" w:space="0" w:color="auto"/>
          </w:divBdr>
        </w:div>
        <w:div w:id="2080471245">
          <w:marLeft w:val="0"/>
          <w:marRight w:val="0"/>
          <w:marTop w:val="0"/>
          <w:marBottom w:val="0"/>
          <w:divBdr>
            <w:top w:val="none" w:sz="0" w:space="0" w:color="auto"/>
            <w:left w:val="none" w:sz="0" w:space="0" w:color="auto"/>
            <w:bottom w:val="none" w:sz="0" w:space="0" w:color="auto"/>
            <w:right w:val="none" w:sz="0" w:space="0" w:color="auto"/>
          </w:divBdr>
        </w:div>
        <w:div w:id="2053191448">
          <w:marLeft w:val="0"/>
          <w:marRight w:val="0"/>
          <w:marTop w:val="0"/>
          <w:marBottom w:val="0"/>
          <w:divBdr>
            <w:top w:val="none" w:sz="0" w:space="0" w:color="auto"/>
            <w:left w:val="none" w:sz="0" w:space="0" w:color="auto"/>
            <w:bottom w:val="none" w:sz="0" w:space="0" w:color="auto"/>
            <w:right w:val="none" w:sz="0" w:space="0" w:color="auto"/>
          </w:divBdr>
        </w:div>
        <w:div w:id="937370924">
          <w:marLeft w:val="0"/>
          <w:marRight w:val="0"/>
          <w:marTop w:val="0"/>
          <w:marBottom w:val="0"/>
          <w:divBdr>
            <w:top w:val="none" w:sz="0" w:space="0" w:color="auto"/>
            <w:left w:val="none" w:sz="0" w:space="0" w:color="auto"/>
            <w:bottom w:val="none" w:sz="0" w:space="0" w:color="auto"/>
            <w:right w:val="none" w:sz="0" w:space="0" w:color="auto"/>
          </w:divBdr>
        </w:div>
        <w:div w:id="552544683">
          <w:marLeft w:val="0"/>
          <w:marRight w:val="0"/>
          <w:marTop w:val="0"/>
          <w:marBottom w:val="0"/>
          <w:divBdr>
            <w:top w:val="none" w:sz="0" w:space="0" w:color="auto"/>
            <w:left w:val="none" w:sz="0" w:space="0" w:color="auto"/>
            <w:bottom w:val="none" w:sz="0" w:space="0" w:color="auto"/>
            <w:right w:val="none" w:sz="0" w:space="0" w:color="auto"/>
          </w:divBdr>
        </w:div>
        <w:div w:id="515770593">
          <w:marLeft w:val="0"/>
          <w:marRight w:val="0"/>
          <w:marTop w:val="0"/>
          <w:marBottom w:val="0"/>
          <w:divBdr>
            <w:top w:val="none" w:sz="0" w:space="0" w:color="auto"/>
            <w:left w:val="none" w:sz="0" w:space="0" w:color="auto"/>
            <w:bottom w:val="none" w:sz="0" w:space="0" w:color="auto"/>
            <w:right w:val="none" w:sz="0" w:space="0" w:color="auto"/>
          </w:divBdr>
        </w:div>
      </w:divsChild>
    </w:div>
    <w:div w:id="768232764">
      <w:bodyDiv w:val="1"/>
      <w:marLeft w:val="0"/>
      <w:marRight w:val="0"/>
      <w:marTop w:val="0"/>
      <w:marBottom w:val="0"/>
      <w:divBdr>
        <w:top w:val="none" w:sz="0" w:space="0" w:color="auto"/>
        <w:left w:val="none" w:sz="0" w:space="0" w:color="auto"/>
        <w:bottom w:val="none" w:sz="0" w:space="0" w:color="auto"/>
        <w:right w:val="none" w:sz="0" w:space="0" w:color="auto"/>
      </w:divBdr>
    </w:div>
    <w:div w:id="768311294">
      <w:bodyDiv w:val="1"/>
      <w:marLeft w:val="0"/>
      <w:marRight w:val="0"/>
      <w:marTop w:val="0"/>
      <w:marBottom w:val="0"/>
      <w:divBdr>
        <w:top w:val="none" w:sz="0" w:space="0" w:color="auto"/>
        <w:left w:val="none" w:sz="0" w:space="0" w:color="auto"/>
        <w:bottom w:val="none" w:sz="0" w:space="0" w:color="auto"/>
        <w:right w:val="none" w:sz="0" w:space="0" w:color="auto"/>
      </w:divBdr>
    </w:div>
    <w:div w:id="768740825">
      <w:bodyDiv w:val="1"/>
      <w:marLeft w:val="0"/>
      <w:marRight w:val="0"/>
      <w:marTop w:val="0"/>
      <w:marBottom w:val="0"/>
      <w:divBdr>
        <w:top w:val="none" w:sz="0" w:space="0" w:color="auto"/>
        <w:left w:val="none" w:sz="0" w:space="0" w:color="auto"/>
        <w:bottom w:val="none" w:sz="0" w:space="0" w:color="auto"/>
        <w:right w:val="none" w:sz="0" w:space="0" w:color="auto"/>
      </w:divBdr>
    </w:div>
    <w:div w:id="770466332">
      <w:bodyDiv w:val="1"/>
      <w:marLeft w:val="0"/>
      <w:marRight w:val="0"/>
      <w:marTop w:val="0"/>
      <w:marBottom w:val="0"/>
      <w:divBdr>
        <w:top w:val="none" w:sz="0" w:space="0" w:color="auto"/>
        <w:left w:val="none" w:sz="0" w:space="0" w:color="auto"/>
        <w:bottom w:val="none" w:sz="0" w:space="0" w:color="auto"/>
        <w:right w:val="none" w:sz="0" w:space="0" w:color="auto"/>
      </w:divBdr>
    </w:div>
    <w:div w:id="771319577">
      <w:bodyDiv w:val="1"/>
      <w:marLeft w:val="0"/>
      <w:marRight w:val="0"/>
      <w:marTop w:val="0"/>
      <w:marBottom w:val="0"/>
      <w:divBdr>
        <w:top w:val="none" w:sz="0" w:space="0" w:color="auto"/>
        <w:left w:val="none" w:sz="0" w:space="0" w:color="auto"/>
        <w:bottom w:val="none" w:sz="0" w:space="0" w:color="auto"/>
        <w:right w:val="none" w:sz="0" w:space="0" w:color="auto"/>
      </w:divBdr>
    </w:div>
    <w:div w:id="771361610">
      <w:bodyDiv w:val="1"/>
      <w:marLeft w:val="0"/>
      <w:marRight w:val="0"/>
      <w:marTop w:val="0"/>
      <w:marBottom w:val="0"/>
      <w:divBdr>
        <w:top w:val="none" w:sz="0" w:space="0" w:color="auto"/>
        <w:left w:val="none" w:sz="0" w:space="0" w:color="auto"/>
        <w:bottom w:val="none" w:sz="0" w:space="0" w:color="auto"/>
        <w:right w:val="none" w:sz="0" w:space="0" w:color="auto"/>
      </w:divBdr>
    </w:div>
    <w:div w:id="773092114">
      <w:bodyDiv w:val="1"/>
      <w:marLeft w:val="0"/>
      <w:marRight w:val="0"/>
      <w:marTop w:val="0"/>
      <w:marBottom w:val="0"/>
      <w:divBdr>
        <w:top w:val="none" w:sz="0" w:space="0" w:color="auto"/>
        <w:left w:val="none" w:sz="0" w:space="0" w:color="auto"/>
        <w:bottom w:val="none" w:sz="0" w:space="0" w:color="auto"/>
        <w:right w:val="none" w:sz="0" w:space="0" w:color="auto"/>
      </w:divBdr>
    </w:div>
    <w:div w:id="773524818">
      <w:bodyDiv w:val="1"/>
      <w:marLeft w:val="0"/>
      <w:marRight w:val="0"/>
      <w:marTop w:val="0"/>
      <w:marBottom w:val="0"/>
      <w:divBdr>
        <w:top w:val="none" w:sz="0" w:space="0" w:color="auto"/>
        <w:left w:val="none" w:sz="0" w:space="0" w:color="auto"/>
        <w:bottom w:val="none" w:sz="0" w:space="0" w:color="auto"/>
        <w:right w:val="none" w:sz="0" w:space="0" w:color="auto"/>
      </w:divBdr>
    </w:div>
    <w:div w:id="774328009">
      <w:bodyDiv w:val="1"/>
      <w:marLeft w:val="0"/>
      <w:marRight w:val="0"/>
      <w:marTop w:val="0"/>
      <w:marBottom w:val="0"/>
      <w:divBdr>
        <w:top w:val="none" w:sz="0" w:space="0" w:color="auto"/>
        <w:left w:val="none" w:sz="0" w:space="0" w:color="auto"/>
        <w:bottom w:val="none" w:sz="0" w:space="0" w:color="auto"/>
        <w:right w:val="none" w:sz="0" w:space="0" w:color="auto"/>
      </w:divBdr>
    </w:div>
    <w:div w:id="775177945">
      <w:bodyDiv w:val="1"/>
      <w:marLeft w:val="0"/>
      <w:marRight w:val="0"/>
      <w:marTop w:val="0"/>
      <w:marBottom w:val="0"/>
      <w:divBdr>
        <w:top w:val="none" w:sz="0" w:space="0" w:color="auto"/>
        <w:left w:val="none" w:sz="0" w:space="0" w:color="auto"/>
        <w:bottom w:val="none" w:sz="0" w:space="0" w:color="auto"/>
        <w:right w:val="none" w:sz="0" w:space="0" w:color="auto"/>
      </w:divBdr>
    </w:div>
    <w:div w:id="775641756">
      <w:bodyDiv w:val="1"/>
      <w:marLeft w:val="0"/>
      <w:marRight w:val="0"/>
      <w:marTop w:val="0"/>
      <w:marBottom w:val="0"/>
      <w:divBdr>
        <w:top w:val="none" w:sz="0" w:space="0" w:color="auto"/>
        <w:left w:val="none" w:sz="0" w:space="0" w:color="auto"/>
        <w:bottom w:val="none" w:sz="0" w:space="0" w:color="auto"/>
        <w:right w:val="none" w:sz="0" w:space="0" w:color="auto"/>
      </w:divBdr>
    </w:div>
    <w:div w:id="777140457">
      <w:bodyDiv w:val="1"/>
      <w:marLeft w:val="0"/>
      <w:marRight w:val="0"/>
      <w:marTop w:val="0"/>
      <w:marBottom w:val="0"/>
      <w:divBdr>
        <w:top w:val="none" w:sz="0" w:space="0" w:color="auto"/>
        <w:left w:val="none" w:sz="0" w:space="0" w:color="auto"/>
        <w:bottom w:val="none" w:sz="0" w:space="0" w:color="auto"/>
        <w:right w:val="none" w:sz="0" w:space="0" w:color="auto"/>
      </w:divBdr>
    </w:div>
    <w:div w:id="777143570">
      <w:bodyDiv w:val="1"/>
      <w:marLeft w:val="0"/>
      <w:marRight w:val="0"/>
      <w:marTop w:val="0"/>
      <w:marBottom w:val="0"/>
      <w:divBdr>
        <w:top w:val="none" w:sz="0" w:space="0" w:color="auto"/>
        <w:left w:val="none" w:sz="0" w:space="0" w:color="auto"/>
        <w:bottom w:val="none" w:sz="0" w:space="0" w:color="auto"/>
        <w:right w:val="none" w:sz="0" w:space="0" w:color="auto"/>
      </w:divBdr>
    </w:div>
    <w:div w:id="777144443">
      <w:bodyDiv w:val="1"/>
      <w:marLeft w:val="0"/>
      <w:marRight w:val="0"/>
      <w:marTop w:val="0"/>
      <w:marBottom w:val="0"/>
      <w:divBdr>
        <w:top w:val="none" w:sz="0" w:space="0" w:color="auto"/>
        <w:left w:val="none" w:sz="0" w:space="0" w:color="auto"/>
        <w:bottom w:val="none" w:sz="0" w:space="0" w:color="auto"/>
        <w:right w:val="none" w:sz="0" w:space="0" w:color="auto"/>
      </w:divBdr>
    </w:div>
    <w:div w:id="779884236">
      <w:bodyDiv w:val="1"/>
      <w:marLeft w:val="0"/>
      <w:marRight w:val="0"/>
      <w:marTop w:val="0"/>
      <w:marBottom w:val="0"/>
      <w:divBdr>
        <w:top w:val="none" w:sz="0" w:space="0" w:color="auto"/>
        <w:left w:val="none" w:sz="0" w:space="0" w:color="auto"/>
        <w:bottom w:val="none" w:sz="0" w:space="0" w:color="auto"/>
        <w:right w:val="none" w:sz="0" w:space="0" w:color="auto"/>
      </w:divBdr>
    </w:div>
    <w:div w:id="780219859">
      <w:bodyDiv w:val="1"/>
      <w:marLeft w:val="0"/>
      <w:marRight w:val="0"/>
      <w:marTop w:val="0"/>
      <w:marBottom w:val="0"/>
      <w:divBdr>
        <w:top w:val="none" w:sz="0" w:space="0" w:color="auto"/>
        <w:left w:val="none" w:sz="0" w:space="0" w:color="auto"/>
        <w:bottom w:val="none" w:sz="0" w:space="0" w:color="auto"/>
        <w:right w:val="none" w:sz="0" w:space="0" w:color="auto"/>
      </w:divBdr>
    </w:div>
    <w:div w:id="780413780">
      <w:bodyDiv w:val="1"/>
      <w:marLeft w:val="0"/>
      <w:marRight w:val="0"/>
      <w:marTop w:val="0"/>
      <w:marBottom w:val="0"/>
      <w:divBdr>
        <w:top w:val="none" w:sz="0" w:space="0" w:color="auto"/>
        <w:left w:val="none" w:sz="0" w:space="0" w:color="auto"/>
        <w:bottom w:val="none" w:sz="0" w:space="0" w:color="auto"/>
        <w:right w:val="none" w:sz="0" w:space="0" w:color="auto"/>
      </w:divBdr>
    </w:div>
    <w:div w:id="780419916">
      <w:bodyDiv w:val="1"/>
      <w:marLeft w:val="0"/>
      <w:marRight w:val="0"/>
      <w:marTop w:val="0"/>
      <w:marBottom w:val="0"/>
      <w:divBdr>
        <w:top w:val="none" w:sz="0" w:space="0" w:color="auto"/>
        <w:left w:val="none" w:sz="0" w:space="0" w:color="auto"/>
        <w:bottom w:val="none" w:sz="0" w:space="0" w:color="auto"/>
        <w:right w:val="none" w:sz="0" w:space="0" w:color="auto"/>
      </w:divBdr>
    </w:div>
    <w:div w:id="782265173">
      <w:bodyDiv w:val="1"/>
      <w:marLeft w:val="0"/>
      <w:marRight w:val="0"/>
      <w:marTop w:val="0"/>
      <w:marBottom w:val="0"/>
      <w:divBdr>
        <w:top w:val="none" w:sz="0" w:space="0" w:color="auto"/>
        <w:left w:val="none" w:sz="0" w:space="0" w:color="auto"/>
        <w:bottom w:val="none" w:sz="0" w:space="0" w:color="auto"/>
        <w:right w:val="none" w:sz="0" w:space="0" w:color="auto"/>
      </w:divBdr>
    </w:div>
    <w:div w:id="782502328">
      <w:bodyDiv w:val="1"/>
      <w:marLeft w:val="0"/>
      <w:marRight w:val="0"/>
      <w:marTop w:val="0"/>
      <w:marBottom w:val="0"/>
      <w:divBdr>
        <w:top w:val="none" w:sz="0" w:space="0" w:color="auto"/>
        <w:left w:val="none" w:sz="0" w:space="0" w:color="auto"/>
        <w:bottom w:val="none" w:sz="0" w:space="0" w:color="auto"/>
        <w:right w:val="none" w:sz="0" w:space="0" w:color="auto"/>
      </w:divBdr>
    </w:div>
    <w:div w:id="782531246">
      <w:bodyDiv w:val="1"/>
      <w:marLeft w:val="0"/>
      <w:marRight w:val="0"/>
      <w:marTop w:val="0"/>
      <w:marBottom w:val="0"/>
      <w:divBdr>
        <w:top w:val="none" w:sz="0" w:space="0" w:color="auto"/>
        <w:left w:val="none" w:sz="0" w:space="0" w:color="auto"/>
        <w:bottom w:val="none" w:sz="0" w:space="0" w:color="auto"/>
        <w:right w:val="none" w:sz="0" w:space="0" w:color="auto"/>
      </w:divBdr>
    </w:div>
    <w:div w:id="782765657">
      <w:bodyDiv w:val="1"/>
      <w:marLeft w:val="0"/>
      <w:marRight w:val="0"/>
      <w:marTop w:val="0"/>
      <w:marBottom w:val="0"/>
      <w:divBdr>
        <w:top w:val="none" w:sz="0" w:space="0" w:color="auto"/>
        <w:left w:val="none" w:sz="0" w:space="0" w:color="auto"/>
        <w:bottom w:val="none" w:sz="0" w:space="0" w:color="auto"/>
        <w:right w:val="none" w:sz="0" w:space="0" w:color="auto"/>
      </w:divBdr>
    </w:div>
    <w:div w:id="782959941">
      <w:bodyDiv w:val="1"/>
      <w:marLeft w:val="0"/>
      <w:marRight w:val="0"/>
      <w:marTop w:val="0"/>
      <w:marBottom w:val="0"/>
      <w:divBdr>
        <w:top w:val="none" w:sz="0" w:space="0" w:color="auto"/>
        <w:left w:val="none" w:sz="0" w:space="0" w:color="auto"/>
        <w:bottom w:val="none" w:sz="0" w:space="0" w:color="auto"/>
        <w:right w:val="none" w:sz="0" w:space="0" w:color="auto"/>
      </w:divBdr>
    </w:div>
    <w:div w:id="782963750">
      <w:bodyDiv w:val="1"/>
      <w:marLeft w:val="0"/>
      <w:marRight w:val="0"/>
      <w:marTop w:val="0"/>
      <w:marBottom w:val="0"/>
      <w:divBdr>
        <w:top w:val="none" w:sz="0" w:space="0" w:color="auto"/>
        <w:left w:val="none" w:sz="0" w:space="0" w:color="auto"/>
        <w:bottom w:val="none" w:sz="0" w:space="0" w:color="auto"/>
        <w:right w:val="none" w:sz="0" w:space="0" w:color="auto"/>
      </w:divBdr>
    </w:div>
    <w:div w:id="783109893">
      <w:bodyDiv w:val="1"/>
      <w:marLeft w:val="0"/>
      <w:marRight w:val="0"/>
      <w:marTop w:val="0"/>
      <w:marBottom w:val="0"/>
      <w:divBdr>
        <w:top w:val="none" w:sz="0" w:space="0" w:color="auto"/>
        <w:left w:val="none" w:sz="0" w:space="0" w:color="auto"/>
        <w:bottom w:val="none" w:sz="0" w:space="0" w:color="auto"/>
        <w:right w:val="none" w:sz="0" w:space="0" w:color="auto"/>
      </w:divBdr>
    </w:div>
    <w:div w:id="784467411">
      <w:bodyDiv w:val="1"/>
      <w:marLeft w:val="0"/>
      <w:marRight w:val="0"/>
      <w:marTop w:val="0"/>
      <w:marBottom w:val="0"/>
      <w:divBdr>
        <w:top w:val="none" w:sz="0" w:space="0" w:color="auto"/>
        <w:left w:val="none" w:sz="0" w:space="0" w:color="auto"/>
        <w:bottom w:val="none" w:sz="0" w:space="0" w:color="auto"/>
        <w:right w:val="none" w:sz="0" w:space="0" w:color="auto"/>
      </w:divBdr>
    </w:div>
    <w:div w:id="785008227">
      <w:bodyDiv w:val="1"/>
      <w:marLeft w:val="0"/>
      <w:marRight w:val="0"/>
      <w:marTop w:val="0"/>
      <w:marBottom w:val="0"/>
      <w:divBdr>
        <w:top w:val="none" w:sz="0" w:space="0" w:color="auto"/>
        <w:left w:val="none" w:sz="0" w:space="0" w:color="auto"/>
        <w:bottom w:val="none" w:sz="0" w:space="0" w:color="auto"/>
        <w:right w:val="none" w:sz="0" w:space="0" w:color="auto"/>
      </w:divBdr>
    </w:div>
    <w:div w:id="786655208">
      <w:bodyDiv w:val="1"/>
      <w:marLeft w:val="0"/>
      <w:marRight w:val="0"/>
      <w:marTop w:val="0"/>
      <w:marBottom w:val="0"/>
      <w:divBdr>
        <w:top w:val="none" w:sz="0" w:space="0" w:color="auto"/>
        <w:left w:val="none" w:sz="0" w:space="0" w:color="auto"/>
        <w:bottom w:val="none" w:sz="0" w:space="0" w:color="auto"/>
        <w:right w:val="none" w:sz="0" w:space="0" w:color="auto"/>
      </w:divBdr>
    </w:div>
    <w:div w:id="788280636">
      <w:bodyDiv w:val="1"/>
      <w:marLeft w:val="0"/>
      <w:marRight w:val="0"/>
      <w:marTop w:val="0"/>
      <w:marBottom w:val="0"/>
      <w:divBdr>
        <w:top w:val="none" w:sz="0" w:space="0" w:color="auto"/>
        <w:left w:val="none" w:sz="0" w:space="0" w:color="auto"/>
        <w:bottom w:val="none" w:sz="0" w:space="0" w:color="auto"/>
        <w:right w:val="none" w:sz="0" w:space="0" w:color="auto"/>
      </w:divBdr>
    </w:div>
    <w:div w:id="788662943">
      <w:bodyDiv w:val="1"/>
      <w:marLeft w:val="0"/>
      <w:marRight w:val="0"/>
      <w:marTop w:val="0"/>
      <w:marBottom w:val="0"/>
      <w:divBdr>
        <w:top w:val="none" w:sz="0" w:space="0" w:color="auto"/>
        <w:left w:val="none" w:sz="0" w:space="0" w:color="auto"/>
        <w:bottom w:val="none" w:sz="0" w:space="0" w:color="auto"/>
        <w:right w:val="none" w:sz="0" w:space="0" w:color="auto"/>
      </w:divBdr>
    </w:div>
    <w:div w:id="788744586">
      <w:bodyDiv w:val="1"/>
      <w:marLeft w:val="0"/>
      <w:marRight w:val="0"/>
      <w:marTop w:val="0"/>
      <w:marBottom w:val="0"/>
      <w:divBdr>
        <w:top w:val="none" w:sz="0" w:space="0" w:color="auto"/>
        <w:left w:val="none" w:sz="0" w:space="0" w:color="auto"/>
        <w:bottom w:val="none" w:sz="0" w:space="0" w:color="auto"/>
        <w:right w:val="none" w:sz="0" w:space="0" w:color="auto"/>
      </w:divBdr>
    </w:div>
    <w:div w:id="789057285">
      <w:bodyDiv w:val="1"/>
      <w:marLeft w:val="0"/>
      <w:marRight w:val="0"/>
      <w:marTop w:val="0"/>
      <w:marBottom w:val="0"/>
      <w:divBdr>
        <w:top w:val="none" w:sz="0" w:space="0" w:color="auto"/>
        <w:left w:val="none" w:sz="0" w:space="0" w:color="auto"/>
        <w:bottom w:val="none" w:sz="0" w:space="0" w:color="auto"/>
        <w:right w:val="none" w:sz="0" w:space="0" w:color="auto"/>
      </w:divBdr>
    </w:div>
    <w:div w:id="789319603">
      <w:bodyDiv w:val="1"/>
      <w:marLeft w:val="0"/>
      <w:marRight w:val="0"/>
      <w:marTop w:val="0"/>
      <w:marBottom w:val="0"/>
      <w:divBdr>
        <w:top w:val="none" w:sz="0" w:space="0" w:color="auto"/>
        <w:left w:val="none" w:sz="0" w:space="0" w:color="auto"/>
        <w:bottom w:val="none" w:sz="0" w:space="0" w:color="auto"/>
        <w:right w:val="none" w:sz="0" w:space="0" w:color="auto"/>
      </w:divBdr>
    </w:div>
    <w:div w:id="789858991">
      <w:bodyDiv w:val="1"/>
      <w:marLeft w:val="0"/>
      <w:marRight w:val="0"/>
      <w:marTop w:val="0"/>
      <w:marBottom w:val="0"/>
      <w:divBdr>
        <w:top w:val="none" w:sz="0" w:space="0" w:color="auto"/>
        <w:left w:val="none" w:sz="0" w:space="0" w:color="auto"/>
        <w:bottom w:val="none" w:sz="0" w:space="0" w:color="auto"/>
        <w:right w:val="none" w:sz="0" w:space="0" w:color="auto"/>
      </w:divBdr>
    </w:div>
    <w:div w:id="790975932">
      <w:bodyDiv w:val="1"/>
      <w:marLeft w:val="0"/>
      <w:marRight w:val="0"/>
      <w:marTop w:val="0"/>
      <w:marBottom w:val="0"/>
      <w:divBdr>
        <w:top w:val="none" w:sz="0" w:space="0" w:color="auto"/>
        <w:left w:val="none" w:sz="0" w:space="0" w:color="auto"/>
        <w:bottom w:val="none" w:sz="0" w:space="0" w:color="auto"/>
        <w:right w:val="none" w:sz="0" w:space="0" w:color="auto"/>
      </w:divBdr>
    </w:div>
    <w:div w:id="791093748">
      <w:bodyDiv w:val="1"/>
      <w:marLeft w:val="0"/>
      <w:marRight w:val="0"/>
      <w:marTop w:val="0"/>
      <w:marBottom w:val="0"/>
      <w:divBdr>
        <w:top w:val="none" w:sz="0" w:space="0" w:color="auto"/>
        <w:left w:val="none" w:sz="0" w:space="0" w:color="auto"/>
        <w:bottom w:val="none" w:sz="0" w:space="0" w:color="auto"/>
        <w:right w:val="none" w:sz="0" w:space="0" w:color="auto"/>
      </w:divBdr>
    </w:div>
    <w:div w:id="791704365">
      <w:bodyDiv w:val="1"/>
      <w:marLeft w:val="0"/>
      <w:marRight w:val="0"/>
      <w:marTop w:val="0"/>
      <w:marBottom w:val="0"/>
      <w:divBdr>
        <w:top w:val="none" w:sz="0" w:space="0" w:color="auto"/>
        <w:left w:val="none" w:sz="0" w:space="0" w:color="auto"/>
        <w:bottom w:val="none" w:sz="0" w:space="0" w:color="auto"/>
        <w:right w:val="none" w:sz="0" w:space="0" w:color="auto"/>
      </w:divBdr>
    </w:div>
    <w:div w:id="791940699">
      <w:bodyDiv w:val="1"/>
      <w:marLeft w:val="0"/>
      <w:marRight w:val="0"/>
      <w:marTop w:val="0"/>
      <w:marBottom w:val="0"/>
      <w:divBdr>
        <w:top w:val="none" w:sz="0" w:space="0" w:color="auto"/>
        <w:left w:val="none" w:sz="0" w:space="0" w:color="auto"/>
        <w:bottom w:val="none" w:sz="0" w:space="0" w:color="auto"/>
        <w:right w:val="none" w:sz="0" w:space="0" w:color="auto"/>
      </w:divBdr>
      <w:divsChild>
        <w:div w:id="907811417">
          <w:marLeft w:val="0"/>
          <w:marRight w:val="0"/>
          <w:marTop w:val="0"/>
          <w:marBottom w:val="0"/>
          <w:divBdr>
            <w:top w:val="none" w:sz="0" w:space="0" w:color="auto"/>
            <w:left w:val="none" w:sz="0" w:space="0" w:color="auto"/>
            <w:bottom w:val="none" w:sz="0" w:space="0" w:color="auto"/>
            <w:right w:val="none" w:sz="0" w:space="0" w:color="auto"/>
          </w:divBdr>
        </w:div>
        <w:div w:id="1484007400">
          <w:marLeft w:val="0"/>
          <w:marRight w:val="0"/>
          <w:marTop w:val="0"/>
          <w:marBottom w:val="0"/>
          <w:divBdr>
            <w:top w:val="none" w:sz="0" w:space="0" w:color="auto"/>
            <w:left w:val="none" w:sz="0" w:space="0" w:color="auto"/>
            <w:bottom w:val="none" w:sz="0" w:space="0" w:color="auto"/>
            <w:right w:val="none" w:sz="0" w:space="0" w:color="auto"/>
          </w:divBdr>
        </w:div>
        <w:div w:id="1944994344">
          <w:marLeft w:val="0"/>
          <w:marRight w:val="0"/>
          <w:marTop w:val="0"/>
          <w:marBottom w:val="0"/>
          <w:divBdr>
            <w:top w:val="none" w:sz="0" w:space="0" w:color="auto"/>
            <w:left w:val="none" w:sz="0" w:space="0" w:color="auto"/>
            <w:bottom w:val="none" w:sz="0" w:space="0" w:color="auto"/>
            <w:right w:val="none" w:sz="0" w:space="0" w:color="auto"/>
          </w:divBdr>
        </w:div>
        <w:div w:id="510267381">
          <w:marLeft w:val="0"/>
          <w:marRight w:val="0"/>
          <w:marTop w:val="0"/>
          <w:marBottom w:val="0"/>
          <w:divBdr>
            <w:top w:val="none" w:sz="0" w:space="0" w:color="auto"/>
            <w:left w:val="none" w:sz="0" w:space="0" w:color="auto"/>
            <w:bottom w:val="none" w:sz="0" w:space="0" w:color="auto"/>
            <w:right w:val="none" w:sz="0" w:space="0" w:color="auto"/>
          </w:divBdr>
        </w:div>
      </w:divsChild>
    </w:div>
    <w:div w:id="791943246">
      <w:bodyDiv w:val="1"/>
      <w:marLeft w:val="0"/>
      <w:marRight w:val="0"/>
      <w:marTop w:val="0"/>
      <w:marBottom w:val="0"/>
      <w:divBdr>
        <w:top w:val="none" w:sz="0" w:space="0" w:color="auto"/>
        <w:left w:val="none" w:sz="0" w:space="0" w:color="auto"/>
        <w:bottom w:val="none" w:sz="0" w:space="0" w:color="auto"/>
        <w:right w:val="none" w:sz="0" w:space="0" w:color="auto"/>
      </w:divBdr>
    </w:div>
    <w:div w:id="792015548">
      <w:bodyDiv w:val="1"/>
      <w:marLeft w:val="0"/>
      <w:marRight w:val="0"/>
      <w:marTop w:val="0"/>
      <w:marBottom w:val="0"/>
      <w:divBdr>
        <w:top w:val="none" w:sz="0" w:space="0" w:color="auto"/>
        <w:left w:val="none" w:sz="0" w:space="0" w:color="auto"/>
        <w:bottom w:val="none" w:sz="0" w:space="0" w:color="auto"/>
        <w:right w:val="none" w:sz="0" w:space="0" w:color="auto"/>
      </w:divBdr>
    </w:div>
    <w:div w:id="792216274">
      <w:bodyDiv w:val="1"/>
      <w:marLeft w:val="0"/>
      <w:marRight w:val="0"/>
      <w:marTop w:val="0"/>
      <w:marBottom w:val="0"/>
      <w:divBdr>
        <w:top w:val="none" w:sz="0" w:space="0" w:color="auto"/>
        <w:left w:val="none" w:sz="0" w:space="0" w:color="auto"/>
        <w:bottom w:val="none" w:sz="0" w:space="0" w:color="auto"/>
        <w:right w:val="none" w:sz="0" w:space="0" w:color="auto"/>
      </w:divBdr>
    </w:div>
    <w:div w:id="792408256">
      <w:bodyDiv w:val="1"/>
      <w:marLeft w:val="0"/>
      <w:marRight w:val="0"/>
      <w:marTop w:val="0"/>
      <w:marBottom w:val="0"/>
      <w:divBdr>
        <w:top w:val="none" w:sz="0" w:space="0" w:color="auto"/>
        <w:left w:val="none" w:sz="0" w:space="0" w:color="auto"/>
        <w:bottom w:val="none" w:sz="0" w:space="0" w:color="auto"/>
        <w:right w:val="none" w:sz="0" w:space="0" w:color="auto"/>
      </w:divBdr>
      <w:divsChild>
        <w:div w:id="498349982">
          <w:marLeft w:val="0"/>
          <w:marRight w:val="0"/>
          <w:marTop w:val="0"/>
          <w:marBottom w:val="0"/>
          <w:divBdr>
            <w:top w:val="none" w:sz="0" w:space="0" w:color="auto"/>
            <w:left w:val="none" w:sz="0" w:space="0" w:color="auto"/>
            <w:bottom w:val="none" w:sz="0" w:space="0" w:color="auto"/>
            <w:right w:val="none" w:sz="0" w:space="0" w:color="auto"/>
          </w:divBdr>
          <w:divsChild>
            <w:div w:id="1532109981">
              <w:marLeft w:val="0"/>
              <w:marRight w:val="0"/>
              <w:marTop w:val="0"/>
              <w:marBottom w:val="0"/>
              <w:divBdr>
                <w:top w:val="none" w:sz="0" w:space="0" w:color="auto"/>
                <w:left w:val="none" w:sz="0" w:space="0" w:color="auto"/>
                <w:bottom w:val="none" w:sz="0" w:space="0" w:color="auto"/>
                <w:right w:val="none" w:sz="0" w:space="0" w:color="auto"/>
              </w:divBdr>
              <w:divsChild>
                <w:div w:id="1544292759">
                  <w:marLeft w:val="0"/>
                  <w:marRight w:val="0"/>
                  <w:marTop w:val="0"/>
                  <w:marBottom w:val="0"/>
                  <w:divBdr>
                    <w:top w:val="none" w:sz="0" w:space="0" w:color="auto"/>
                    <w:left w:val="none" w:sz="0" w:space="0" w:color="auto"/>
                    <w:bottom w:val="none" w:sz="0" w:space="0" w:color="auto"/>
                    <w:right w:val="none" w:sz="0" w:space="0" w:color="auto"/>
                  </w:divBdr>
                </w:div>
                <w:div w:id="1609312395">
                  <w:marLeft w:val="0"/>
                  <w:marRight w:val="0"/>
                  <w:marTop w:val="0"/>
                  <w:marBottom w:val="0"/>
                  <w:divBdr>
                    <w:top w:val="none" w:sz="0" w:space="0" w:color="auto"/>
                    <w:left w:val="none" w:sz="0" w:space="0" w:color="auto"/>
                    <w:bottom w:val="none" w:sz="0" w:space="0" w:color="auto"/>
                    <w:right w:val="none" w:sz="0" w:space="0" w:color="auto"/>
                  </w:divBdr>
                </w:div>
                <w:div w:id="1782721645">
                  <w:marLeft w:val="0"/>
                  <w:marRight w:val="0"/>
                  <w:marTop w:val="0"/>
                  <w:marBottom w:val="0"/>
                  <w:divBdr>
                    <w:top w:val="none" w:sz="0" w:space="0" w:color="auto"/>
                    <w:left w:val="none" w:sz="0" w:space="0" w:color="auto"/>
                    <w:bottom w:val="none" w:sz="0" w:space="0" w:color="auto"/>
                    <w:right w:val="none" w:sz="0" w:space="0" w:color="auto"/>
                  </w:divBdr>
                </w:div>
                <w:div w:id="1820489264">
                  <w:marLeft w:val="0"/>
                  <w:marRight w:val="0"/>
                  <w:marTop w:val="0"/>
                  <w:marBottom w:val="0"/>
                  <w:divBdr>
                    <w:top w:val="none" w:sz="0" w:space="0" w:color="auto"/>
                    <w:left w:val="none" w:sz="0" w:space="0" w:color="auto"/>
                    <w:bottom w:val="none" w:sz="0" w:space="0" w:color="auto"/>
                    <w:right w:val="none" w:sz="0" w:space="0" w:color="auto"/>
                  </w:divBdr>
                </w:div>
                <w:div w:id="959336859">
                  <w:marLeft w:val="0"/>
                  <w:marRight w:val="0"/>
                  <w:marTop w:val="0"/>
                  <w:marBottom w:val="0"/>
                  <w:divBdr>
                    <w:top w:val="none" w:sz="0" w:space="0" w:color="auto"/>
                    <w:left w:val="none" w:sz="0" w:space="0" w:color="auto"/>
                    <w:bottom w:val="none" w:sz="0" w:space="0" w:color="auto"/>
                    <w:right w:val="none" w:sz="0" w:space="0" w:color="auto"/>
                  </w:divBdr>
                </w:div>
                <w:div w:id="1014915300">
                  <w:marLeft w:val="0"/>
                  <w:marRight w:val="0"/>
                  <w:marTop w:val="0"/>
                  <w:marBottom w:val="0"/>
                  <w:divBdr>
                    <w:top w:val="none" w:sz="0" w:space="0" w:color="auto"/>
                    <w:left w:val="none" w:sz="0" w:space="0" w:color="auto"/>
                    <w:bottom w:val="none" w:sz="0" w:space="0" w:color="auto"/>
                    <w:right w:val="none" w:sz="0" w:space="0" w:color="auto"/>
                  </w:divBdr>
                </w:div>
                <w:div w:id="699862142">
                  <w:marLeft w:val="0"/>
                  <w:marRight w:val="0"/>
                  <w:marTop w:val="0"/>
                  <w:marBottom w:val="0"/>
                  <w:divBdr>
                    <w:top w:val="none" w:sz="0" w:space="0" w:color="auto"/>
                    <w:left w:val="none" w:sz="0" w:space="0" w:color="auto"/>
                    <w:bottom w:val="none" w:sz="0" w:space="0" w:color="auto"/>
                    <w:right w:val="none" w:sz="0" w:space="0" w:color="auto"/>
                  </w:divBdr>
                </w:div>
                <w:div w:id="925501685">
                  <w:marLeft w:val="0"/>
                  <w:marRight w:val="0"/>
                  <w:marTop w:val="0"/>
                  <w:marBottom w:val="0"/>
                  <w:divBdr>
                    <w:top w:val="none" w:sz="0" w:space="0" w:color="auto"/>
                    <w:left w:val="none" w:sz="0" w:space="0" w:color="auto"/>
                    <w:bottom w:val="none" w:sz="0" w:space="0" w:color="auto"/>
                    <w:right w:val="none" w:sz="0" w:space="0" w:color="auto"/>
                  </w:divBdr>
                </w:div>
                <w:div w:id="559364487">
                  <w:marLeft w:val="0"/>
                  <w:marRight w:val="0"/>
                  <w:marTop w:val="0"/>
                  <w:marBottom w:val="0"/>
                  <w:divBdr>
                    <w:top w:val="none" w:sz="0" w:space="0" w:color="auto"/>
                    <w:left w:val="none" w:sz="0" w:space="0" w:color="auto"/>
                    <w:bottom w:val="none" w:sz="0" w:space="0" w:color="auto"/>
                    <w:right w:val="none" w:sz="0" w:space="0" w:color="auto"/>
                  </w:divBdr>
                </w:div>
                <w:div w:id="370308175">
                  <w:marLeft w:val="0"/>
                  <w:marRight w:val="0"/>
                  <w:marTop w:val="0"/>
                  <w:marBottom w:val="0"/>
                  <w:divBdr>
                    <w:top w:val="none" w:sz="0" w:space="0" w:color="auto"/>
                    <w:left w:val="none" w:sz="0" w:space="0" w:color="auto"/>
                    <w:bottom w:val="none" w:sz="0" w:space="0" w:color="auto"/>
                    <w:right w:val="none" w:sz="0" w:space="0" w:color="auto"/>
                  </w:divBdr>
                </w:div>
                <w:div w:id="917709644">
                  <w:marLeft w:val="0"/>
                  <w:marRight w:val="0"/>
                  <w:marTop w:val="0"/>
                  <w:marBottom w:val="0"/>
                  <w:divBdr>
                    <w:top w:val="none" w:sz="0" w:space="0" w:color="auto"/>
                    <w:left w:val="none" w:sz="0" w:space="0" w:color="auto"/>
                    <w:bottom w:val="none" w:sz="0" w:space="0" w:color="auto"/>
                    <w:right w:val="none" w:sz="0" w:space="0" w:color="auto"/>
                  </w:divBdr>
                </w:div>
                <w:div w:id="689646824">
                  <w:marLeft w:val="0"/>
                  <w:marRight w:val="0"/>
                  <w:marTop w:val="0"/>
                  <w:marBottom w:val="0"/>
                  <w:divBdr>
                    <w:top w:val="none" w:sz="0" w:space="0" w:color="auto"/>
                    <w:left w:val="none" w:sz="0" w:space="0" w:color="auto"/>
                    <w:bottom w:val="none" w:sz="0" w:space="0" w:color="auto"/>
                    <w:right w:val="none" w:sz="0" w:space="0" w:color="auto"/>
                  </w:divBdr>
                </w:div>
                <w:div w:id="1596594695">
                  <w:marLeft w:val="0"/>
                  <w:marRight w:val="0"/>
                  <w:marTop w:val="0"/>
                  <w:marBottom w:val="0"/>
                  <w:divBdr>
                    <w:top w:val="none" w:sz="0" w:space="0" w:color="auto"/>
                    <w:left w:val="none" w:sz="0" w:space="0" w:color="auto"/>
                    <w:bottom w:val="none" w:sz="0" w:space="0" w:color="auto"/>
                    <w:right w:val="none" w:sz="0" w:space="0" w:color="auto"/>
                  </w:divBdr>
                </w:div>
                <w:div w:id="168520365">
                  <w:marLeft w:val="0"/>
                  <w:marRight w:val="0"/>
                  <w:marTop w:val="0"/>
                  <w:marBottom w:val="0"/>
                  <w:divBdr>
                    <w:top w:val="none" w:sz="0" w:space="0" w:color="auto"/>
                    <w:left w:val="none" w:sz="0" w:space="0" w:color="auto"/>
                    <w:bottom w:val="none" w:sz="0" w:space="0" w:color="auto"/>
                    <w:right w:val="none" w:sz="0" w:space="0" w:color="auto"/>
                  </w:divBdr>
                </w:div>
                <w:div w:id="540558684">
                  <w:marLeft w:val="0"/>
                  <w:marRight w:val="0"/>
                  <w:marTop w:val="0"/>
                  <w:marBottom w:val="0"/>
                  <w:divBdr>
                    <w:top w:val="none" w:sz="0" w:space="0" w:color="auto"/>
                    <w:left w:val="none" w:sz="0" w:space="0" w:color="auto"/>
                    <w:bottom w:val="none" w:sz="0" w:space="0" w:color="auto"/>
                    <w:right w:val="none" w:sz="0" w:space="0" w:color="auto"/>
                  </w:divBdr>
                </w:div>
                <w:div w:id="108134661">
                  <w:marLeft w:val="0"/>
                  <w:marRight w:val="0"/>
                  <w:marTop w:val="0"/>
                  <w:marBottom w:val="0"/>
                  <w:divBdr>
                    <w:top w:val="none" w:sz="0" w:space="0" w:color="auto"/>
                    <w:left w:val="none" w:sz="0" w:space="0" w:color="auto"/>
                    <w:bottom w:val="none" w:sz="0" w:space="0" w:color="auto"/>
                    <w:right w:val="none" w:sz="0" w:space="0" w:color="auto"/>
                  </w:divBdr>
                </w:div>
                <w:div w:id="444079363">
                  <w:marLeft w:val="0"/>
                  <w:marRight w:val="0"/>
                  <w:marTop w:val="0"/>
                  <w:marBottom w:val="0"/>
                  <w:divBdr>
                    <w:top w:val="none" w:sz="0" w:space="0" w:color="auto"/>
                    <w:left w:val="none" w:sz="0" w:space="0" w:color="auto"/>
                    <w:bottom w:val="none" w:sz="0" w:space="0" w:color="auto"/>
                    <w:right w:val="none" w:sz="0" w:space="0" w:color="auto"/>
                  </w:divBdr>
                </w:div>
                <w:div w:id="331764525">
                  <w:marLeft w:val="0"/>
                  <w:marRight w:val="0"/>
                  <w:marTop w:val="0"/>
                  <w:marBottom w:val="0"/>
                  <w:divBdr>
                    <w:top w:val="none" w:sz="0" w:space="0" w:color="auto"/>
                    <w:left w:val="none" w:sz="0" w:space="0" w:color="auto"/>
                    <w:bottom w:val="none" w:sz="0" w:space="0" w:color="auto"/>
                    <w:right w:val="none" w:sz="0" w:space="0" w:color="auto"/>
                  </w:divBdr>
                </w:div>
                <w:div w:id="125664129">
                  <w:marLeft w:val="0"/>
                  <w:marRight w:val="0"/>
                  <w:marTop w:val="0"/>
                  <w:marBottom w:val="0"/>
                  <w:divBdr>
                    <w:top w:val="none" w:sz="0" w:space="0" w:color="auto"/>
                    <w:left w:val="none" w:sz="0" w:space="0" w:color="auto"/>
                    <w:bottom w:val="none" w:sz="0" w:space="0" w:color="auto"/>
                    <w:right w:val="none" w:sz="0" w:space="0" w:color="auto"/>
                  </w:divBdr>
                </w:div>
                <w:div w:id="806315901">
                  <w:marLeft w:val="0"/>
                  <w:marRight w:val="0"/>
                  <w:marTop w:val="0"/>
                  <w:marBottom w:val="0"/>
                  <w:divBdr>
                    <w:top w:val="none" w:sz="0" w:space="0" w:color="auto"/>
                    <w:left w:val="none" w:sz="0" w:space="0" w:color="auto"/>
                    <w:bottom w:val="none" w:sz="0" w:space="0" w:color="auto"/>
                    <w:right w:val="none" w:sz="0" w:space="0" w:color="auto"/>
                  </w:divBdr>
                </w:div>
                <w:div w:id="1204714784">
                  <w:marLeft w:val="0"/>
                  <w:marRight w:val="0"/>
                  <w:marTop w:val="0"/>
                  <w:marBottom w:val="0"/>
                  <w:divBdr>
                    <w:top w:val="none" w:sz="0" w:space="0" w:color="auto"/>
                    <w:left w:val="none" w:sz="0" w:space="0" w:color="auto"/>
                    <w:bottom w:val="none" w:sz="0" w:space="0" w:color="auto"/>
                    <w:right w:val="none" w:sz="0" w:space="0" w:color="auto"/>
                  </w:divBdr>
                </w:div>
                <w:div w:id="1620645516">
                  <w:marLeft w:val="0"/>
                  <w:marRight w:val="0"/>
                  <w:marTop w:val="0"/>
                  <w:marBottom w:val="0"/>
                  <w:divBdr>
                    <w:top w:val="none" w:sz="0" w:space="0" w:color="auto"/>
                    <w:left w:val="none" w:sz="0" w:space="0" w:color="auto"/>
                    <w:bottom w:val="none" w:sz="0" w:space="0" w:color="auto"/>
                    <w:right w:val="none" w:sz="0" w:space="0" w:color="auto"/>
                  </w:divBdr>
                </w:div>
                <w:div w:id="115879398">
                  <w:marLeft w:val="0"/>
                  <w:marRight w:val="0"/>
                  <w:marTop w:val="0"/>
                  <w:marBottom w:val="0"/>
                  <w:divBdr>
                    <w:top w:val="none" w:sz="0" w:space="0" w:color="auto"/>
                    <w:left w:val="none" w:sz="0" w:space="0" w:color="auto"/>
                    <w:bottom w:val="none" w:sz="0" w:space="0" w:color="auto"/>
                    <w:right w:val="none" w:sz="0" w:space="0" w:color="auto"/>
                  </w:divBdr>
                </w:div>
                <w:div w:id="1555003073">
                  <w:marLeft w:val="0"/>
                  <w:marRight w:val="0"/>
                  <w:marTop w:val="0"/>
                  <w:marBottom w:val="0"/>
                  <w:divBdr>
                    <w:top w:val="none" w:sz="0" w:space="0" w:color="auto"/>
                    <w:left w:val="none" w:sz="0" w:space="0" w:color="auto"/>
                    <w:bottom w:val="none" w:sz="0" w:space="0" w:color="auto"/>
                    <w:right w:val="none" w:sz="0" w:space="0" w:color="auto"/>
                  </w:divBdr>
                </w:div>
                <w:div w:id="99763186">
                  <w:marLeft w:val="0"/>
                  <w:marRight w:val="0"/>
                  <w:marTop w:val="0"/>
                  <w:marBottom w:val="0"/>
                  <w:divBdr>
                    <w:top w:val="none" w:sz="0" w:space="0" w:color="auto"/>
                    <w:left w:val="none" w:sz="0" w:space="0" w:color="auto"/>
                    <w:bottom w:val="none" w:sz="0" w:space="0" w:color="auto"/>
                    <w:right w:val="none" w:sz="0" w:space="0" w:color="auto"/>
                  </w:divBdr>
                </w:div>
                <w:div w:id="1089959881">
                  <w:marLeft w:val="0"/>
                  <w:marRight w:val="0"/>
                  <w:marTop w:val="0"/>
                  <w:marBottom w:val="0"/>
                  <w:divBdr>
                    <w:top w:val="none" w:sz="0" w:space="0" w:color="auto"/>
                    <w:left w:val="none" w:sz="0" w:space="0" w:color="auto"/>
                    <w:bottom w:val="none" w:sz="0" w:space="0" w:color="auto"/>
                    <w:right w:val="none" w:sz="0" w:space="0" w:color="auto"/>
                  </w:divBdr>
                </w:div>
                <w:div w:id="273564503">
                  <w:marLeft w:val="0"/>
                  <w:marRight w:val="0"/>
                  <w:marTop w:val="0"/>
                  <w:marBottom w:val="0"/>
                  <w:divBdr>
                    <w:top w:val="none" w:sz="0" w:space="0" w:color="auto"/>
                    <w:left w:val="none" w:sz="0" w:space="0" w:color="auto"/>
                    <w:bottom w:val="none" w:sz="0" w:space="0" w:color="auto"/>
                    <w:right w:val="none" w:sz="0" w:space="0" w:color="auto"/>
                  </w:divBdr>
                </w:div>
                <w:div w:id="1785614083">
                  <w:marLeft w:val="0"/>
                  <w:marRight w:val="0"/>
                  <w:marTop w:val="0"/>
                  <w:marBottom w:val="0"/>
                  <w:divBdr>
                    <w:top w:val="none" w:sz="0" w:space="0" w:color="auto"/>
                    <w:left w:val="none" w:sz="0" w:space="0" w:color="auto"/>
                    <w:bottom w:val="none" w:sz="0" w:space="0" w:color="auto"/>
                    <w:right w:val="none" w:sz="0" w:space="0" w:color="auto"/>
                  </w:divBdr>
                </w:div>
                <w:div w:id="10592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328058">
      <w:bodyDiv w:val="1"/>
      <w:marLeft w:val="0"/>
      <w:marRight w:val="0"/>
      <w:marTop w:val="0"/>
      <w:marBottom w:val="0"/>
      <w:divBdr>
        <w:top w:val="none" w:sz="0" w:space="0" w:color="auto"/>
        <w:left w:val="none" w:sz="0" w:space="0" w:color="auto"/>
        <w:bottom w:val="none" w:sz="0" w:space="0" w:color="auto"/>
        <w:right w:val="none" w:sz="0" w:space="0" w:color="auto"/>
      </w:divBdr>
    </w:div>
    <w:div w:id="794524480">
      <w:bodyDiv w:val="1"/>
      <w:marLeft w:val="0"/>
      <w:marRight w:val="0"/>
      <w:marTop w:val="0"/>
      <w:marBottom w:val="0"/>
      <w:divBdr>
        <w:top w:val="none" w:sz="0" w:space="0" w:color="auto"/>
        <w:left w:val="none" w:sz="0" w:space="0" w:color="auto"/>
        <w:bottom w:val="none" w:sz="0" w:space="0" w:color="auto"/>
        <w:right w:val="none" w:sz="0" w:space="0" w:color="auto"/>
      </w:divBdr>
    </w:div>
    <w:div w:id="795567719">
      <w:bodyDiv w:val="1"/>
      <w:marLeft w:val="0"/>
      <w:marRight w:val="0"/>
      <w:marTop w:val="0"/>
      <w:marBottom w:val="0"/>
      <w:divBdr>
        <w:top w:val="none" w:sz="0" w:space="0" w:color="auto"/>
        <w:left w:val="none" w:sz="0" w:space="0" w:color="auto"/>
        <w:bottom w:val="none" w:sz="0" w:space="0" w:color="auto"/>
        <w:right w:val="none" w:sz="0" w:space="0" w:color="auto"/>
      </w:divBdr>
    </w:div>
    <w:div w:id="795636028">
      <w:bodyDiv w:val="1"/>
      <w:marLeft w:val="0"/>
      <w:marRight w:val="0"/>
      <w:marTop w:val="0"/>
      <w:marBottom w:val="0"/>
      <w:divBdr>
        <w:top w:val="none" w:sz="0" w:space="0" w:color="auto"/>
        <w:left w:val="none" w:sz="0" w:space="0" w:color="auto"/>
        <w:bottom w:val="none" w:sz="0" w:space="0" w:color="auto"/>
        <w:right w:val="none" w:sz="0" w:space="0" w:color="auto"/>
      </w:divBdr>
    </w:div>
    <w:div w:id="796022028">
      <w:bodyDiv w:val="1"/>
      <w:marLeft w:val="0"/>
      <w:marRight w:val="0"/>
      <w:marTop w:val="0"/>
      <w:marBottom w:val="0"/>
      <w:divBdr>
        <w:top w:val="none" w:sz="0" w:space="0" w:color="auto"/>
        <w:left w:val="none" w:sz="0" w:space="0" w:color="auto"/>
        <w:bottom w:val="none" w:sz="0" w:space="0" w:color="auto"/>
        <w:right w:val="none" w:sz="0" w:space="0" w:color="auto"/>
      </w:divBdr>
    </w:div>
    <w:div w:id="796338395">
      <w:bodyDiv w:val="1"/>
      <w:marLeft w:val="0"/>
      <w:marRight w:val="0"/>
      <w:marTop w:val="0"/>
      <w:marBottom w:val="0"/>
      <w:divBdr>
        <w:top w:val="none" w:sz="0" w:space="0" w:color="auto"/>
        <w:left w:val="none" w:sz="0" w:space="0" w:color="auto"/>
        <w:bottom w:val="none" w:sz="0" w:space="0" w:color="auto"/>
        <w:right w:val="none" w:sz="0" w:space="0" w:color="auto"/>
      </w:divBdr>
    </w:div>
    <w:div w:id="796945599">
      <w:bodyDiv w:val="1"/>
      <w:marLeft w:val="0"/>
      <w:marRight w:val="0"/>
      <w:marTop w:val="0"/>
      <w:marBottom w:val="0"/>
      <w:divBdr>
        <w:top w:val="none" w:sz="0" w:space="0" w:color="auto"/>
        <w:left w:val="none" w:sz="0" w:space="0" w:color="auto"/>
        <w:bottom w:val="none" w:sz="0" w:space="0" w:color="auto"/>
        <w:right w:val="none" w:sz="0" w:space="0" w:color="auto"/>
      </w:divBdr>
    </w:div>
    <w:div w:id="797990569">
      <w:bodyDiv w:val="1"/>
      <w:marLeft w:val="0"/>
      <w:marRight w:val="0"/>
      <w:marTop w:val="0"/>
      <w:marBottom w:val="0"/>
      <w:divBdr>
        <w:top w:val="none" w:sz="0" w:space="0" w:color="auto"/>
        <w:left w:val="none" w:sz="0" w:space="0" w:color="auto"/>
        <w:bottom w:val="none" w:sz="0" w:space="0" w:color="auto"/>
        <w:right w:val="none" w:sz="0" w:space="0" w:color="auto"/>
      </w:divBdr>
    </w:div>
    <w:div w:id="799686782">
      <w:bodyDiv w:val="1"/>
      <w:marLeft w:val="0"/>
      <w:marRight w:val="0"/>
      <w:marTop w:val="0"/>
      <w:marBottom w:val="0"/>
      <w:divBdr>
        <w:top w:val="none" w:sz="0" w:space="0" w:color="auto"/>
        <w:left w:val="none" w:sz="0" w:space="0" w:color="auto"/>
        <w:bottom w:val="none" w:sz="0" w:space="0" w:color="auto"/>
        <w:right w:val="none" w:sz="0" w:space="0" w:color="auto"/>
      </w:divBdr>
    </w:div>
    <w:div w:id="801076090">
      <w:bodyDiv w:val="1"/>
      <w:marLeft w:val="0"/>
      <w:marRight w:val="0"/>
      <w:marTop w:val="0"/>
      <w:marBottom w:val="0"/>
      <w:divBdr>
        <w:top w:val="none" w:sz="0" w:space="0" w:color="auto"/>
        <w:left w:val="none" w:sz="0" w:space="0" w:color="auto"/>
        <w:bottom w:val="none" w:sz="0" w:space="0" w:color="auto"/>
        <w:right w:val="none" w:sz="0" w:space="0" w:color="auto"/>
      </w:divBdr>
    </w:div>
    <w:div w:id="801272552">
      <w:bodyDiv w:val="1"/>
      <w:marLeft w:val="0"/>
      <w:marRight w:val="0"/>
      <w:marTop w:val="0"/>
      <w:marBottom w:val="0"/>
      <w:divBdr>
        <w:top w:val="none" w:sz="0" w:space="0" w:color="auto"/>
        <w:left w:val="none" w:sz="0" w:space="0" w:color="auto"/>
        <w:bottom w:val="none" w:sz="0" w:space="0" w:color="auto"/>
        <w:right w:val="none" w:sz="0" w:space="0" w:color="auto"/>
      </w:divBdr>
    </w:div>
    <w:div w:id="801466329">
      <w:bodyDiv w:val="1"/>
      <w:marLeft w:val="0"/>
      <w:marRight w:val="0"/>
      <w:marTop w:val="0"/>
      <w:marBottom w:val="0"/>
      <w:divBdr>
        <w:top w:val="none" w:sz="0" w:space="0" w:color="auto"/>
        <w:left w:val="none" w:sz="0" w:space="0" w:color="auto"/>
        <w:bottom w:val="none" w:sz="0" w:space="0" w:color="auto"/>
        <w:right w:val="none" w:sz="0" w:space="0" w:color="auto"/>
      </w:divBdr>
    </w:div>
    <w:div w:id="801925682">
      <w:bodyDiv w:val="1"/>
      <w:marLeft w:val="0"/>
      <w:marRight w:val="0"/>
      <w:marTop w:val="0"/>
      <w:marBottom w:val="0"/>
      <w:divBdr>
        <w:top w:val="none" w:sz="0" w:space="0" w:color="auto"/>
        <w:left w:val="none" w:sz="0" w:space="0" w:color="auto"/>
        <w:bottom w:val="none" w:sz="0" w:space="0" w:color="auto"/>
        <w:right w:val="none" w:sz="0" w:space="0" w:color="auto"/>
      </w:divBdr>
    </w:div>
    <w:div w:id="805242491">
      <w:bodyDiv w:val="1"/>
      <w:marLeft w:val="0"/>
      <w:marRight w:val="0"/>
      <w:marTop w:val="0"/>
      <w:marBottom w:val="0"/>
      <w:divBdr>
        <w:top w:val="none" w:sz="0" w:space="0" w:color="auto"/>
        <w:left w:val="none" w:sz="0" w:space="0" w:color="auto"/>
        <w:bottom w:val="none" w:sz="0" w:space="0" w:color="auto"/>
        <w:right w:val="none" w:sz="0" w:space="0" w:color="auto"/>
      </w:divBdr>
    </w:div>
    <w:div w:id="805397024">
      <w:bodyDiv w:val="1"/>
      <w:marLeft w:val="0"/>
      <w:marRight w:val="0"/>
      <w:marTop w:val="0"/>
      <w:marBottom w:val="0"/>
      <w:divBdr>
        <w:top w:val="none" w:sz="0" w:space="0" w:color="auto"/>
        <w:left w:val="none" w:sz="0" w:space="0" w:color="auto"/>
        <w:bottom w:val="none" w:sz="0" w:space="0" w:color="auto"/>
        <w:right w:val="none" w:sz="0" w:space="0" w:color="auto"/>
      </w:divBdr>
    </w:div>
    <w:div w:id="805855958">
      <w:bodyDiv w:val="1"/>
      <w:marLeft w:val="0"/>
      <w:marRight w:val="0"/>
      <w:marTop w:val="0"/>
      <w:marBottom w:val="0"/>
      <w:divBdr>
        <w:top w:val="none" w:sz="0" w:space="0" w:color="auto"/>
        <w:left w:val="none" w:sz="0" w:space="0" w:color="auto"/>
        <w:bottom w:val="none" w:sz="0" w:space="0" w:color="auto"/>
        <w:right w:val="none" w:sz="0" w:space="0" w:color="auto"/>
      </w:divBdr>
    </w:div>
    <w:div w:id="805971778">
      <w:bodyDiv w:val="1"/>
      <w:marLeft w:val="0"/>
      <w:marRight w:val="0"/>
      <w:marTop w:val="0"/>
      <w:marBottom w:val="0"/>
      <w:divBdr>
        <w:top w:val="none" w:sz="0" w:space="0" w:color="auto"/>
        <w:left w:val="none" w:sz="0" w:space="0" w:color="auto"/>
        <w:bottom w:val="none" w:sz="0" w:space="0" w:color="auto"/>
        <w:right w:val="none" w:sz="0" w:space="0" w:color="auto"/>
      </w:divBdr>
    </w:div>
    <w:div w:id="806434376">
      <w:bodyDiv w:val="1"/>
      <w:marLeft w:val="0"/>
      <w:marRight w:val="0"/>
      <w:marTop w:val="0"/>
      <w:marBottom w:val="0"/>
      <w:divBdr>
        <w:top w:val="none" w:sz="0" w:space="0" w:color="auto"/>
        <w:left w:val="none" w:sz="0" w:space="0" w:color="auto"/>
        <w:bottom w:val="none" w:sz="0" w:space="0" w:color="auto"/>
        <w:right w:val="none" w:sz="0" w:space="0" w:color="auto"/>
      </w:divBdr>
    </w:div>
    <w:div w:id="806509737">
      <w:bodyDiv w:val="1"/>
      <w:marLeft w:val="0"/>
      <w:marRight w:val="0"/>
      <w:marTop w:val="0"/>
      <w:marBottom w:val="0"/>
      <w:divBdr>
        <w:top w:val="none" w:sz="0" w:space="0" w:color="auto"/>
        <w:left w:val="none" w:sz="0" w:space="0" w:color="auto"/>
        <w:bottom w:val="none" w:sz="0" w:space="0" w:color="auto"/>
        <w:right w:val="none" w:sz="0" w:space="0" w:color="auto"/>
      </w:divBdr>
    </w:div>
    <w:div w:id="806581373">
      <w:bodyDiv w:val="1"/>
      <w:marLeft w:val="0"/>
      <w:marRight w:val="0"/>
      <w:marTop w:val="0"/>
      <w:marBottom w:val="0"/>
      <w:divBdr>
        <w:top w:val="none" w:sz="0" w:space="0" w:color="auto"/>
        <w:left w:val="none" w:sz="0" w:space="0" w:color="auto"/>
        <w:bottom w:val="none" w:sz="0" w:space="0" w:color="auto"/>
        <w:right w:val="none" w:sz="0" w:space="0" w:color="auto"/>
      </w:divBdr>
    </w:div>
    <w:div w:id="806749707">
      <w:bodyDiv w:val="1"/>
      <w:marLeft w:val="0"/>
      <w:marRight w:val="0"/>
      <w:marTop w:val="0"/>
      <w:marBottom w:val="0"/>
      <w:divBdr>
        <w:top w:val="none" w:sz="0" w:space="0" w:color="auto"/>
        <w:left w:val="none" w:sz="0" w:space="0" w:color="auto"/>
        <w:bottom w:val="none" w:sz="0" w:space="0" w:color="auto"/>
        <w:right w:val="none" w:sz="0" w:space="0" w:color="auto"/>
      </w:divBdr>
    </w:div>
    <w:div w:id="807357867">
      <w:bodyDiv w:val="1"/>
      <w:marLeft w:val="0"/>
      <w:marRight w:val="0"/>
      <w:marTop w:val="0"/>
      <w:marBottom w:val="0"/>
      <w:divBdr>
        <w:top w:val="none" w:sz="0" w:space="0" w:color="auto"/>
        <w:left w:val="none" w:sz="0" w:space="0" w:color="auto"/>
        <w:bottom w:val="none" w:sz="0" w:space="0" w:color="auto"/>
        <w:right w:val="none" w:sz="0" w:space="0" w:color="auto"/>
      </w:divBdr>
    </w:div>
    <w:div w:id="808327985">
      <w:bodyDiv w:val="1"/>
      <w:marLeft w:val="0"/>
      <w:marRight w:val="0"/>
      <w:marTop w:val="0"/>
      <w:marBottom w:val="0"/>
      <w:divBdr>
        <w:top w:val="none" w:sz="0" w:space="0" w:color="auto"/>
        <w:left w:val="none" w:sz="0" w:space="0" w:color="auto"/>
        <w:bottom w:val="none" w:sz="0" w:space="0" w:color="auto"/>
        <w:right w:val="none" w:sz="0" w:space="0" w:color="auto"/>
      </w:divBdr>
    </w:div>
    <w:div w:id="808522425">
      <w:bodyDiv w:val="1"/>
      <w:marLeft w:val="0"/>
      <w:marRight w:val="0"/>
      <w:marTop w:val="0"/>
      <w:marBottom w:val="0"/>
      <w:divBdr>
        <w:top w:val="none" w:sz="0" w:space="0" w:color="auto"/>
        <w:left w:val="none" w:sz="0" w:space="0" w:color="auto"/>
        <w:bottom w:val="none" w:sz="0" w:space="0" w:color="auto"/>
        <w:right w:val="none" w:sz="0" w:space="0" w:color="auto"/>
      </w:divBdr>
    </w:div>
    <w:div w:id="809132029">
      <w:bodyDiv w:val="1"/>
      <w:marLeft w:val="0"/>
      <w:marRight w:val="0"/>
      <w:marTop w:val="0"/>
      <w:marBottom w:val="0"/>
      <w:divBdr>
        <w:top w:val="none" w:sz="0" w:space="0" w:color="auto"/>
        <w:left w:val="none" w:sz="0" w:space="0" w:color="auto"/>
        <w:bottom w:val="none" w:sz="0" w:space="0" w:color="auto"/>
        <w:right w:val="none" w:sz="0" w:space="0" w:color="auto"/>
      </w:divBdr>
    </w:div>
    <w:div w:id="809640285">
      <w:bodyDiv w:val="1"/>
      <w:marLeft w:val="0"/>
      <w:marRight w:val="0"/>
      <w:marTop w:val="0"/>
      <w:marBottom w:val="0"/>
      <w:divBdr>
        <w:top w:val="none" w:sz="0" w:space="0" w:color="auto"/>
        <w:left w:val="none" w:sz="0" w:space="0" w:color="auto"/>
        <w:bottom w:val="none" w:sz="0" w:space="0" w:color="auto"/>
        <w:right w:val="none" w:sz="0" w:space="0" w:color="auto"/>
      </w:divBdr>
    </w:div>
    <w:div w:id="809981241">
      <w:bodyDiv w:val="1"/>
      <w:marLeft w:val="0"/>
      <w:marRight w:val="0"/>
      <w:marTop w:val="0"/>
      <w:marBottom w:val="0"/>
      <w:divBdr>
        <w:top w:val="none" w:sz="0" w:space="0" w:color="auto"/>
        <w:left w:val="none" w:sz="0" w:space="0" w:color="auto"/>
        <w:bottom w:val="none" w:sz="0" w:space="0" w:color="auto"/>
        <w:right w:val="none" w:sz="0" w:space="0" w:color="auto"/>
      </w:divBdr>
    </w:div>
    <w:div w:id="810707087">
      <w:bodyDiv w:val="1"/>
      <w:marLeft w:val="0"/>
      <w:marRight w:val="0"/>
      <w:marTop w:val="0"/>
      <w:marBottom w:val="0"/>
      <w:divBdr>
        <w:top w:val="none" w:sz="0" w:space="0" w:color="auto"/>
        <w:left w:val="none" w:sz="0" w:space="0" w:color="auto"/>
        <w:bottom w:val="none" w:sz="0" w:space="0" w:color="auto"/>
        <w:right w:val="none" w:sz="0" w:space="0" w:color="auto"/>
      </w:divBdr>
    </w:div>
    <w:div w:id="811291780">
      <w:bodyDiv w:val="1"/>
      <w:marLeft w:val="0"/>
      <w:marRight w:val="0"/>
      <w:marTop w:val="0"/>
      <w:marBottom w:val="0"/>
      <w:divBdr>
        <w:top w:val="none" w:sz="0" w:space="0" w:color="auto"/>
        <w:left w:val="none" w:sz="0" w:space="0" w:color="auto"/>
        <w:bottom w:val="none" w:sz="0" w:space="0" w:color="auto"/>
        <w:right w:val="none" w:sz="0" w:space="0" w:color="auto"/>
      </w:divBdr>
    </w:div>
    <w:div w:id="812597117">
      <w:bodyDiv w:val="1"/>
      <w:marLeft w:val="0"/>
      <w:marRight w:val="0"/>
      <w:marTop w:val="0"/>
      <w:marBottom w:val="0"/>
      <w:divBdr>
        <w:top w:val="none" w:sz="0" w:space="0" w:color="auto"/>
        <w:left w:val="none" w:sz="0" w:space="0" w:color="auto"/>
        <w:bottom w:val="none" w:sz="0" w:space="0" w:color="auto"/>
        <w:right w:val="none" w:sz="0" w:space="0" w:color="auto"/>
      </w:divBdr>
    </w:div>
    <w:div w:id="813066609">
      <w:bodyDiv w:val="1"/>
      <w:marLeft w:val="0"/>
      <w:marRight w:val="0"/>
      <w:marTop w:val="0"/>
      <w:marBottom w:val="0"/>
      <w:divBdr>
        <w:top w:val="none" w:sz="0" w:space="0" w:color="auto"/>
        <w:left w:val="none" w:sz="0" w:space="0" w:color="auto"/>
        <w:bottom w:val="none" w:sz="0" w:space="0" w:color="auto"/>
        <w:right w:val="none" w:sz="0" w:space="0" w:color="auto"/>
      </w:divBdr>
    </w:div>
    <w:div w:id="813718154">
      <w:bodyDiv w:val="1"/>
      <w:marLeft w:val="0"/>
      <w:marRight w:val="0"/>
      <w:marTop w:val="0"/>
      <w:marBottom w:val="0"/>
      <w:divBdr>
        <w:top w:val="none" w:sz="0" w:space="0" w:color="auto"/>
        <w:left w:val="none" w:sz="0" w:space="0" w:color="auto"/>
        <w:bottom w:val="none" w:sz="0" w:space="0" w:color="auto"/>
        <w:right w:val="none" w:sz="0" w:space="0" w:color="auto"/>
      </w:divBdr>
    </w:div>
    <w:div w:id="813907587">
      <w:bodyDiv w:val="1"/>
      <w:marLeft w:val="0"/>
      <w:marRight w:val="0"/>
      <w:marTop w:val="0"/>
      <w:marBottom w:val="0"/>
      <w:divBdr>
        <w:top w:val="none" w:sz="0" w:space="0" w:color="auto"/>
        <w:left w:val="none" w:sz="0" w:space="0" w:color="auto"/>
        <w:bottom w:val="none" w:sz="0" w:space="0" w:color="auto"/>
        <w:right w:val="none" w:sz="0" w:space="0" w:color="auto"/>
      </w:divBdr>
    </w:div>
    <w:div w:id="814024694">
      <w:bodyDiv w:val="1"/>
      <w:marLeft w:val="0"/>
      <w:marRight w:val="0"/>
      <w:marTop w:val="0"/>
      <w:marBottom w:val="0"/>
      <w:divBdr>
        <w:top w:val="none" w:sz="0" w:space="0" w:color="auto"/>
        <w:left w:val="none" w:sz="0" w:space="0" w:color="auto"/>
        <w:bottom w:val="none" w:sz="0" w:space="0" w:color="auto"/>
        <w:right w:val="none" w:sz="0" w:space="0" w:color="auto"/>
      </w:divBdr>
    </w:div>
    <w:div w:id="814220424">
      <w:bodyDiv w:val="1"/>
      <w:marLeft w:val="0"/>
      <w:marRight w:val="0"/>
      <w:marTop w:val="0"/>
      <w:marBottom w:val="0"/>
      <w:divBdr>
        <w:top w:val="none" w:sz="0" w:space="0" w:color="auto"/>
        <w:left w:val="none" w:sz="0" w:space="0" w:color="auto"/>
        <w:bottom w:val="none" w:sz="0" w:space="0" w:color="auto"/>
        <w:right w:val="none" w:sz="0" w:space="0" w:color="auto"/>
      </w:divBdr>
    </w:div>
    <w:div w:id="814296539">
      <w:bodyDiv w:val="1"/>
      <w:marLeft w:val="0"/>
      <w:marRight w:val="0"/>
      <w:marTop w:val="0"/>
      <w:marBottom w:val="0"/>
      <w:divBdr>
        <w:top w:val="none" w:sz="0" w:space="0" w:color="auto"/>
        <w:left w:val="none" w:sz="0" w:space="0" w:color="auto"/>
        <w:bottom w:val="none" w:sz="0" w:space="0" w:color="auto"/>
        <w:right w:val="none" w:sz="0" w:space="0" w:color="auto"/>
      </w:divBdr>
    </w:div>
    <w:div w:id="814834120">
      <w:bodyDiv w:val="1"/>
      <w:marLeft w:val="0"/>
      <w:marRight w:val="0"/>
      <w:marTop w:val="0"/>
      <w:marBottom w:val="0"/>
      <w:divBdr>
        <w:top w:val="none" w:sz="0" w:space="0" w:color="auto"/>
        <w:left w:val="none" w:sz="0" w:space="0" w:color="auto"/>
        <w:bottom w:val="none" w:sz="0" w:space="0" w:color="auto"/>
        <w:right w:val="none" w:sz="0" w:space="0" w:color="auto"/>
      </w:divBdr>
    </w:div>
    <w:div w:id="815729378">
      <w:bodyDiv w:val="1"/>
      <w:marLeft w:val="0"/>
      <w:marRight w:val="0"/>
      <w:marTop w:val="0"/>
      <w:marBottom w:val="0"/>
      <w:divBdr>
        <w:top w:val="none" w:sz="0" w:space="0" w:color="auto"/>
        <w:left w:val="none" w:sz="0" w:space="0" w:color="auto"/>
        <w:bottom w:val="none" w:sz="0" w:space="0" w:color="auto"/>
        <w:right w:val="none" w:sz="0" w:space="0" w:color="auto"/>
      </w:divBdr>
    </w:div>
    <w:div w:id="816609903">
      <w:bodyDiv w:val="1"/>
      <w:marLeft w:val="0"/>
      <w:marRight w:val="0"/>
      <w:marTop w:val="0"/>
      <w:marBottom w:val="0"/>
      <w:divBdr>
        <w:top w:val="none" w:sz="0" w:space="0" w:color="auto"/>
        <w:left w:val="none" w:sz="0" w:space="0" w:color="auto"/>
        <w:bottom w:val="none" w:sz="0" w:space="0" w:color="auto"/>
        <w:right w:val="none" w:sz="0" w:space="0" w:color="auto"/>
      </w:divBdr>
    </w:div>
    <w:div w:id="817648912">
      <w:bodyDiv w:val="1"/>
      <w:marLeft w:val="0"/>
      <w:marRight w:val="0"/>
      <w:marTop w:val="0"/>
      <w:marBottom w:val="0"/>
      <w:divBdr>
        <w:top w:val="none" w:sz="0" w:space="0" w:color="auto"/>
        <w:left w:val="none" w:sz="0" w:space="0" w:color="auto"/>
        <w:bottom w:val="none" w:sz="0" w:space="0" w:color="auto"/>
        <w:right w:val="none" w:sz="0" w:space="0" w:color="auto"/>
      </w:divBdr>
    </w:div>
    <w:div w:id="817723234">
      <w:bodyDiv w:val="1"/>
      <w:marLeft w:val="0"/>
      <w:marRight w:val="0"/>
      <w:marTop w:val="0"/>
      <w:marBottom w:val="0"/>
      <w:divBdr>
        <w:top w:val="none" w:sz="0" w:space="0" w:color="auto"/>
        <w:left w:val="none" w:sz="0" w:space="0" w:color="auto"/>
        <w:bottom w:val="none" w:sz="0" w:space="0" w:color="auto"/>
        <w:right w:val="none" w:sz="0" w:space="0" w:color="auto"/>
      </w:divBdr>
    </w:div>
    <w:div w:id="818379920">
      <w:bodyDiv w:val="1"/>
      <w:marLeft w:val="0"/>
      <w:marRight w:val="0"/>
      <w:marTop w:val="0"/>
      <w:marBottom w:val="0"/>
      <w:divBdr>
        <w:top w:val="none" w:sz="0" w:space="0" w:color="auto"/>
        <w:left w:val="none" w:sz="0" w:space="0" w:color="auto"/>
        <w:bottom w:val="none" w:sz="0" w:space="0" w:color="auto"/>
        <w:right w:val="none" w:sz="0" w:space="0" w:color="auto"/>
      </w:divBdr>
    </w:div>
    <w:div w:id="818613337">
      <w:bodyDiv w:val="1"/>
      <w:marLeft w:val="0"/>
      <w:marRight w:val="0"/>
      <w:marTop w:val="0"/>
      <w:marBottom w:val="0"/>
      <w:divBdr>
        <w:top w:val="none" w:sz="0" w:space="0" w:color="auto"/>
        <w:left w:val="none" w:sz="0" w:space="0" w:color="auto"/>
        <w:bottom w:val="none" w:sz="0" w:space="0" w:color="auto"/>
        <w:right w:val="none" w:sz="0" w:space="0" w:color="auto"/>
      </w:divBdr>
    </w:div>
    <w:div w:id="818962844">
      <w:bodyDiv w:val="1"/>
      <w:marLeft w:val="0"/>
      <w:marRight w:val="0"/>
      <w:marTop w:val="0"/>
      <w:marBottom w:val="0"/>
      <w:divBdr>
        <w:top w:val="none" w:sz="0" w:space="0" w:color="auto"/>
        <w:left w:val="none" w:sz="0" w:space="0" w:color="auto"/>
        <w:bottom w:val="none" w:sz="0" w:space="0" w:color="auto"/>
        <w:right w:val="none" w:sz="0" w:space="0" w:color="auto"/>
      </w:divBdr>
    </w:div>
    <w:div w:id="819737652">
      <w:bodyDiv w:val="1"/>
      <w:marLeft w:val="0"/>
      <w:marRight w:val="0"/>
      <w:marTop w:val="0"/>
      <w:marBottom w:val="0"/>
      <w:divBdr>
        <w:top w:val="none" w:sz="0" w:space="0" w:color="auto"/>
        <w:left w:val="none" w:sz="0" w:space="0" w:color="auto"/>
        <w:bottom w:val="none" w:sz="0" w:space="0" w:color="auto"/>
        <w:right w:val="none" w:sz="0" w:space="0" w:color="auto"/>
      </w:divBdr>
    </w:div>
    <w:div w:id="820585078">
      <w:bodyDiv w:val="1"/>
      <w:marLeft w:val="0"/>
      <w:marRight w:val="0"/>
      <w:marTop w:val="0"/>
      <w:marBottom w:val="0"/>
      <w:divBdr>
        <w:top w:val="none" w:sz="0" w:space="0" w:color="auto"/>
        <w:left w:val="none" w:sz="0" w:space="0" w:color="auto"/>
        <w:bottom w:val="none" w:sz="0" w:space="0" w:color="auto"/>
        <w:right w:val="none" w:sz="0" w:space="0" w:color="auto"/>
      </w:divBdr>
    </w:div>
    <w:div w:id="820973273">
      <w:bodyDiv w:val="1"/>
      <w:marLeft w:val="0"/>
      <w:marRight w:val="0"/>
      <w:marTop w:val="0"/>
      <w:marBottom w:val="0"/>
      <w:divBdr>
        <w:top w:val="none" w:sz="0" w:space="0" w:color="auto"/>
        <w:left w:val="none" w:sz="0" w:space="0" w:color="auto"/>
        <w:bottom w:val="none" w:sz="0" w:space="0" w:color="auto"/>
        <w:right w:val="none" w:sz="0" w:space="0" w:color="auto"/>
      </w:divBdr>
    </w:div>
    <w:div w:id="823156775">
      <w:bodyDiv w:val="1"/>
      <w:marLeft w:val="0"/>
      <w:marRight w:val="0"/>
      <w:marTop w:val="0"/>
      <w:marBottom w:val="0"/>
      <w:divBdr>
        <w:top w:val="none" w:sz="0" w:space="0" w:color="auto"/>
        <w:left w:val="none" w:sz="0" w:space="0" w:color="auto"/>
        <w:bottom w:val="none" w:sz="0" w:space="0" w:color="auto"/>
        <w:right w:val="none" w:sz="0" w:space="0" w:color="auto"/>
      </w:divBdr>
    </w:div>
    <w:div w:id="823471990">
      <w:bodyDiv w:val="1"/>
      <w:marLeft w:val="0"/>
      <w:marRight w:val="0"/>
      <w:marTop w:val="0"/>
      <w:marBottom w:val="0"/>
      <w:divBdr>
        <w:top w:val="none" w:sz="0" w:space="0" w:color="auto"/>
        <w:left w:val="none" w:sz="0" w:space="0" w:color="auto"/>
        <w:bottom w:val="none" w:sz="0" w:space="0" w:color="auto"/>
        <w:right w:val="none" w:sz="0" w:space="0" w:color="auto"/>
      </w:divBdr>
    </w:div>
    <w:div w:id="823619632">
      <w:bodyDiv w:val="1"/>
      <w:marLeft w:val="0"/>
      <w:marRight w:val="0"/>
      <w:marTop w:val="0"/>
      <w:marBottom w:val="0"/>
      <w:divBdr>
        <w:top w:val="none" w:sz="0" w:space="0" w:color="auto"/>
        <w:left w:val="none" w:sz="0" w:space="0" w:color="auto"/>
        <w:bottom w:val="none" w:sz="0" w:space="0" w:color="auto"/>
        <w:right w:val="none" w:sz="0" w:space="0" w:color="auto"/>
      </w:divBdr>
    </w:div>
    <w:div w:id="824248558">
      <w:bodyDiv w:val="1"/>
      <w:marLeft w:val="0"/>
      <w:marRight w:val="0"/>
      <w:marTop w:val="0"/>
      <w:marBottom w:val="0"/>
      <w:divBdr>
        <w:top w:val="none" w:sz="0" w:space="0" w:color="auto"/>
        <w:left w:val="none" w:sz="0" w:space="0" w:color="auto"/>
        <w:bottom w:val="none" w:sz="0" w:space="0" w:color="auto"/>
        <w:right w:val="none" w:sz="0" w:space="0" w:color="auto"/>
      </w:divBdr>
    </w:div>
    <w:div w:id="824710505">
      <w:bodyDiv w:val="1"/>
      <w:marLeft w:val="0"/>
      <w:marRight w:val="0"/>
      <w:marTop w:val="0"/>
      <w:marBottom w:val="0"/>
      <w:divBdr>
        <w:top w:val="none" w:sz="0" w:space="0" w:color="auto"/>
        <w:left w:val="none" w:sz="0" w:space="0" w:color="auto"/>
        <w:bottom w:val="none" w:sz="0" w:space="0" w:color="auto"/>
        <w:right w:val="none" w:sz="0" w:space="0" w:color="auto"/>
      </w:divBdr>
    </w:div>
    <w:div w:id="825975246">
      <w:bodyDiv w:val="1"/>
      <w:marLeft w:val="0"/>
      <w:marRight w:val="0"/>
      <w:marTop w:val="0"/>
      <w:marBottom w:val="0"/>
      <w:divBdr>
        <w:top w:val="none" w:sz="0" w:space="0" w:color="auto"/>
        <w:left w:val="none" w:sz="0" w:space="0" w:color="auto"/>
        <w:bottom w:val="none" w:sz="0" w:space="0" w:color="auto"/>
        <w:right w:val="none" w:sz="0" w:space="0" w:color="auto"/>
      </w:divBdr>
    </w:div>
    <w:div w:id="826019101">
      <w:bodyDiv w:val="1"/>
      <w:marLeft w:val="0"/>
      <w:marRight w:val="0"/>
      <w:marTop w:val="0"/>
      <w:marBottom w:val="0"/>
      <w:divBdr>
        <w:top w:val="none" w:sz="0" w:space="0" w:color="auto"/>
        <w:left w:val="none" w:sz="0" w:space="0" w:color="auto"/>
        <w:bottom w:val="none" w:sz="0" w:space="0" w:color="auto"/>
        <w:right w:val="none" w:sz="0" w:space="0" w:color="auto"/>
      </w:divBdr>
    </w:div>
    <w:div w:id="826703210">
      <w:bodyDiv w:val="1"/>
      <w:marLeft w:val="0"/>
      <w:marRight w:val="0"/>
      <w:marTop w:val="0"/>
      <w:marBottom w:val="0"/>
      <w:divBdr>
        <w:top w:val="none" w:sz="0" w:space="0" w:color="auto"/>
        <w:left w:val="none" w:sz="0" w:space="0" w:color="auto"/>
        <w:bottom w:val="none" w:sz="0" w:space="0" w:color="auto"/>
        <w:right w:val="none" w:sz="0" w:space="0" w:color="auto"/>
      </w:divBdr>
    </w:div>
    <w:div w:id="827014587">
      <w:bodyDiv w:val="1"/>
      <w:marLeft w:val="0"/>
      <w:marRight w:val="0"/>
      <w:marTop w:val="0"/>
      <w:marBottom w:val="0"/>
      <w:divBdr>
        <w:top w:val="none" w:sz="0" w:space="0" w:color="auto"/>
        <w:left w:val="none" w:sz="0" w:space="0" w:color="auto"/>
        <w:bottom w:val="none" w:sz="0" w:space="0" w:color="auto"/>
        <w:right w:val="none" w:sz="0" w:space="0" w:color="auto"/>
      </w:divBdr>
    </w:div>
    <w:div w:id="827139188">
      <w:bodyDiv w:val="1"/>
      <w:marLeft w:val="0"/>
      <w:marRight w:val="0"/>
      <w:marTop w:val="0"/>
      <w:marBottom w:val="0"/>
      <w:divBdr>
        <w:top w:val="none" w:sz="0" w:space="0" w:color="auto"/>
        <w:left w:val="none" w:sz="0" w:space="0" w:color="auto"/>
        <w:bottom w:val="none" w:sz="0" w:space="0" w:color="auto"/>
        <w:right w:val="none" w:sz="0" w:space="0" w:color="auto"/>
      </w:divBdr>
    </w:div>
    <w:div w:id="827551838">
      <w:bodyDiv w:val="1"/>
      <w:marLeft w:val="0"/>
      <w:marRight w:val="0"/>
      <w:marTop w:val="0"/>
      <w:marBottom w:val="0"/>
      <w:divBdr>
        <w:top w:val="none" w:sz="0" w:space="0" w:color="auto"/>
        <w:left w:val="none" w:sz="0" w:space="0" w:color="auto"/>
        <w:bottom w:val="none" w:sz="0" w:space="0" w:color="auto"/>
        <w:right w:val="none" w:sz="0" w:space="0" w:color="auto"/>
      </w:divBdr>
    </w:div>
    <w:div w:id="827555191">
      <w:bodyDiv w:val="1"/>
      <w:marLeft w:val="0"/>
      <w:marRight w:val="0"/>
      <w:marTop w:val="0"/>
      <w:marBottom w:val="0"/>
      <w:divBdr>
        <w:top w:val="none" w:sz="0" w:space="0" w:color="auto"/>
        <w:left w:val="none" w:sz="0" w:space="0" w:color="auto"/>
        <w:bottom w:val="none" w:sz="0" w:space="0" w:color="auto"/>
        <w:right w:val="none" w:sz="0" w:space="0" w:color="auto"/>
      </w:divBdr>
    </w:div>
    <w:div w:id="828860239">
      <w:bodyDiv w:val="1"/>
      <w:marLeft w:val="0"/>
      <w:marRight w:val="0"/>
      <w:marTop w:val="0"/>
      <w:marBottom w:val="0"/>
      <w:divBdr>
        <w:top w:val="none" w:sz="0" w:space="0" w:color="auto"/>
        <w:left w:val="none" w:sz="0" w:space="0" w:color="auto"/>
        <w:bottom w:val="none" w:sz="0" w:space="0" w:color="auto"/>
        <w:right w:val="none" w:sz="0" w:space="0" w:color="auto"/>
      </w:divBdr>
    </w:div>
    <w:div w:id="829055533">
      <w:bodyDiv w:val="1"/>
      <w:marLeft w:val="0"/>
      <w:marRight w:val="0"/>
      <w:marTop w:val="0"/>
      <w:marBottom w:val="0"/>
      <w:divBdr>
        <w:top w:val="none" w:sz="0" w:space="0" w:color="auto"/>
        <w:left w:val="none" w:sz="0" w:space="0" w:color="auto"/>
        <w:bottom w:val="none" w:sz="0" w:space="0" w:color="auto"/>
        <w:right w:val="none" w:sz="0" w:space="0" w:color="auto"/>
      </w:divBdr>
    </w:div>
    <w:div w:id="829712686">
      <w:bodyDiv w:val="1"/>
      <w:marLeft w:val="0"/>
      <w:marRight w:val="0"/>
      <w:marTop w:val="0"/>
      <w:marBottom w:val="0"/>
      <w:divBdr>
        <w:top w:val="none" w:sz="0" w:space="0" w:color="auto"/>
        <w:left w:val="none" w:sz="0" w:space="0" w:color="auto"/>
        <w:bottom w:val="none" w:sz="0" w:space="0" w:color="auto"/>
        <w:right w:val="none" w:sz="0" w:space="0" w:color="auto"/>
      </w:divBdr>
    </w:div>
    <w:div w:id="830102722">
      <w:bodyDiv w:val="1"/>
      <w:marLeft w:val="0"/>
      <w:marRight w:val="0"/>
      <w:marTop w:val="0"/>
      <w:marBottom w:val="0"/>
      <w:divBdr>
        <w:top w:val="none" w:sz="0" w:space="0" w:color="auto"/>
        <w:left w:val="none" w:sz="0" w:space="0" w:color="auto"/>
        <w:bottom w:val="none" w:sz="0" w:space="0" w:color="auto"/>
        <w:right w:val="none" w:sz="0" w:space="0" w:color="auto"/>
      </w:divBdr>
    </w:div>
    <w:div w:id="830829776">
      <w:bodyDiv w:val="1"/>
      <w:marLeft w:val="0"/>
      <w:marRight w:val="0"/>
      <w:marTop w:val="0"/>
      <w:marBottom w:val="0"/>
      <w:divBdr>
        <w:top w:val="none" w:sz="0" w:space="0" w:color="auto"/>
        <w:left w:val="none" w:sz="0" w:space="0" w:color="auto"/>
        <w:bottom w:val="none" w:sz="0" w:space="0" w:color="auto"/>
        <w:right w:val="none" w:sz="0" w:space="0" w:color="auto"/>
      </w:divBdr>
    </w:div>
    <w:div w:id="831531405">
      <w:bodyDiv w:val="1"/>
      <w:marLeft w:val="0"/>
      <w:marRight w:val="0"/>
      <w:marTop w:val="0"/>
      <w:marBottom w:val="0"/>
      <w:divBdr>
        <w:top w:val="none" w:sz="0" w:space="0" w:color="auto"/>
        <w:left w:val="none" w:sz="0" w:space="0" w:color="auto"/>
        <w:bottom w:val="none" w:sz="0" w:space="0" w:color="auto"/>
        <w:right w:val="none" w:sz="0" w:space="0" w:color="auto"/>
      </w:divBdr>
    </w:div>
    <w:div w:id="831987141">
      <w:bodyDiv w:val="1"/>
      <w:marLeft w:val="0"/>
      <w:marRight w:val="0"/>
      <w:marTop w:val="0"/>
      <w:marBottom w:val="0"/>
      <w:divBdr>
        <w:top w:val="none" w:sz="0" w:space="0" w:color="auto"/>
        <w:left w:val="none" w:sz="0" w:space="0" w:color="auto"/>
        <w:bottom w:val="none" w:sz="0" w:space="0" w:color="auto"/>
        <w:right w:val="none" w:sz="0" w:space="0" w:color="auto"/>
      </w:divBdr>
    </w:div>
    <w:div w:id="834034556">
      <w:bodyDiv w:val="1"/>
      <w:marLeft w:val="0"/>
      <w:marRight w:val="0"/>
      <w:marTop w:val="0"/>
      <w:marBottom w:val="0"/>
      <w:divBdr>
        <w:top w:val="none" w:sz="0" w:space="0" w:color="auto"/>
        <w:left w:val="none" w:sz="0" w:space="0" w:color="auto"/>
        <w:bottom w:val="none" w:sz="0" w:space="0" w:color="auto"/>
        <w:right w:val="none" w:sz="0" w:space="0" w:color="auto"/>
      </w:divBdr>
    </w:div>
    <w:div w:id="834222940">
      <w:bodyDiv w:val="1"/>
      <w:marLeft w:val="0"/>
      <w:marRight w:val="0"/>
      <w:marTop w:val="0"/>
      <w:marBottom w:val="0"/>
      <w:divBdr>
        <w:top w:val="none" w:sz="0" w:space="0" w:color="auto"/>
        <w:left w:val="none" w:sz="0" w:space="0" w:color="auto"/>
        <w:bottom w:val="none" w:sz="0" w:space="0" w:color="auto"/>
        <w:right w:val="none" w:sz="0" w:space="0" w:color="auto"/>
      </w:divBdr>
    </w:div>
    <w:div w:id="835924175">
      <w:bodyDiv w:val="1"/>
      <w:marLeft w:val="0"/>
      <w:marRight w:val="0"/>
      <w:marTop w:val="0"/>
      <w:marBottom w:val="0"/>
      <w:divBdr>
        <w:top w:val="none" w:sz="0" w:space="0" w:color="auto"/>
        <w:left w:val="none" w:sz="0" w:space="0" w:color="auto"/>
        <w:bottom w:val="none" w:sz="0" w:space="0" w:color="auto"/>
        <w:right w:val="none" w:sz="0" w:space="0" w:color="auto"/>
      </w:divBdr>
    </w:div>
    <w:div w:id="836458238">
      <w:bodyDiv w:val="1"/>
      <w:marLeft w:val="0"/>
      <w:marRight w:val="0"/>
      <w:marTop w:val="0"/>
      <w:marBottom w:val="0"/>
      <w:divBdr>
        <w:top w:val="none" w:sz="0" w:space="0" w:color="auto"/>
        <w:left w:val="none" w:sz="0" w:space="0" w:color="auto"/>
        <w:bottom w:val="none" w:sz="0" w:space="0" w:color="auto"/>
        <w:right w:val="none" w:sz="0" w:space="0" w:color="auto"/>
      </w:divBdr>
    </w:div>
    <w:div w:id="839199008">
      <w:bodyDiv w:val="1"/>
      <w:marLeft w:val="0"/>
      <w:marRight w:val="0"/>
      <w:marTop w:val="0"/>
      <w:marBottom w:val="0"/>
      <w:divBdr>
        <w:top w:val="none" w:sz="0" w:space="0" w:color="auto"/>
        <w:left w:val="none" w:sz="0" w:space="0" w:color="auto"/>
        <w:bottom w:val="none" w:sz="0" w:space="0" w:color="auto"/>
        <w:right w:val="none" w:sz="0" w:space="0" w:color="auto"/>
      </w:divBdr>
    </w:div>
    <w:div w:id="841089431">
      <w:bodyDiv w:val="1"/>
      <w:marLeft w:val="0"/>
      <w:marRight w:val="0"/>
      <w:marTop w:val="0"/>
      <w:marBottom w:val="0"/>
      <w:divBdr>
        <w:top w:val="none" w:sz="0" w:space="0" w:color="auto"/>
        <w:left w:val="none" w:sz="0" w:space="0" w:color="auto"/>
        <w:bottom w:val="none" w:sz="0" w:space="0" w:color="auto"/>
        <w:right w:val="none" w:sz="0" w:space="0" w:color="auto"/>
      </w:divBdr>
    </w:div>
    <w:div w:id="841161956">
      <w:bodyDiv w:val="1"/>
      <w:marLeft w:val="0"/>
      <w:marRight w:val="0"/>
      <w:marTop w:val="0"/>
      <w:marBottom w:val="0"/>
      <w:divBdr>
        <w:top w:val="none" w:sz="0" w:space="0" w:color="auto"/>
        <w:left w:val="none" w:sz="0" w:space="0" w:color="auto"/>
        <w:bottom w:val="none" w:sz="0" w:space="0" w:color="auto"/>
        <w:right w:val="none" w:sz="0" w:space="0" w:color="auto"/>
      </w:divBdr>
    </w:div>
    <w:div w:id="841235677">
      <w:bodyDiv w:val="1"/>
      <w:marLeft w:val="0"/>
      <w:marRight w:val="0"/>
      <w:marTop w:val="0"/>
      <w:marBottom w:val="0"/>
      <w:divBdr>
        <w:top w:val="none" w:sz="0" w:space="0" w:color="auto"/>
        <w:left w:val="none" w:sz="0" w:space="0" w:color="auto"/>
        <w:bottom w:val="none" w:sz="0" w:space="0" w:color="auto"/>
        <w:right w:val="none" w:sz="0" w:space="0" w:color="auto"/>
      </w:divBdr>
    </w:div>
    <w:div w:id="841971460">
      <w:bodyDiv w:val="1"/>
      <w:marLeft w:val="0"/>
      <w:marRight w:val="0"/>
      <w:marTop w:val="0"/>
      <w:marBottom w:val="0"/>
      <w:divBdr>
        <w:top w:val="none" w:sz="0" w:space="0" w:color="auto"/>
        <w:left w:val="none" w:sz="0" w:space="0" w:color="auto"/>
        <w:bottom w:val="none" w:sz="0" w:space="0" w:color="auto"/>
        <w:right w:val="none" w:sz="0" w:space="0" w:color="auto"/>
      </w:divBdr>
    </w:div>
    <w:div w:id="842430197">
      <w:bodyDiv w:val="1"/>
      <w:marLeft w:val="0"/>
      <w:marRight w:val="0"/>
      <w:marTop w:val="0"/>
      <w:marBottom w:val="0"/>
      <w:divBdr>
        <w:top w:val="none" w:sz="0" w:space="0" w:color="auto"/>
        <w:left w:val="none" w:sz="0" w:space="0" w:color="auto"/>
        <w:bottom w:val="none" w:sz="0" w:space="0" w:color="auto"/>
        <w:right w:val="none" w:sz="0" w:space="0" w:color="auto"/>
      </w:divBdr>
    </w:div>
    <w:div w:id="843319816">
      <w:bodyDiv w:val="1"/>
      <w:marLeft w:val="0"/>
      <w:marRight w:val="0"/>
      <w:marTop w:val="0"/>
      <w:marBottom w:val="0"/>
      <w:divBdr>
        <w:top w:val="none" w:sz="0" w:space="0" w:color="auto"/>
        <w:left w:val="none" w:sz="0" w:space="0" w:color="auto"/>
        <w:bottom w:val="none" w:sz="0" w:space="0" w:color="auto"/>
        <w:right w:val="none" w:sz="0" w:space="0" w:color="auto"/>
      </w:divBdr>
    </w:div>
    <w:div w:id="843663506">
      <w:bodyDiv w:val="1"/>
      <w:marLeft w:val="0"/>
      <w:marRight w:val="0"/>
      <w:marTop w:val="0"/>
      <w:marBottom w:val="0"/>
      <w:divBdr>
        <w:top w:val="none" w:sz="0" w:space="0" w:color="auto"/>
        <w:left w:val="none" w:sz="0" w:space="0" w:color="auto"/>
        <w:bottom w:val="none" w:sz="0" w:space="0" w:color="auto"/>
        <w:right w:val="none" w:sz="0" w:space="0" w:color="auto"/>
      </w:divBdr>
    </w:div>
    <w:div w:id="844520865">
      <w:bodyDiv w:val="1"/>
      <w:marLeft w:val="0"/>
      <w:marRight w:val="0"/>
      <w:marTop w:val="0"/>
      <w:marBottom w:val="0"/>
      <w:divBdr>
        <w:top w:val="none" w:sz="0" w:space="0" w:color="auto"/>
        <w:left w:val="none" w:sz="0" w:space="0" w:color="auto"/>
        <w:bottom w:val="none" w:sz="0" w:space="0" w:color="auto"/>
        <w:right w:val="none" w:sz="0" w:space="0" w:color="auto"/>
      </w:divBdr>
    </w:div>
    <w:div w:id="847672525">
      <w:bodyDiv w:val="1"/>
      <w:marLeft w:val="0"/>
      <w:marRight w:val="0"/>
      <w:marTop w:val="0"/>
      <w:marBottom w:val="0"/>
      <w:divBdr>
        <w:top w:val="none" w:sz="0" w:space="0" w:color="auto"/>
        <w:left w:val="none" w:sz="0" w:space="0" w:color="auto"/>
        <w:bottom w:val="none" w:sz="0" w:space="0" w:color="auto"/>
        <w:right w:val="none" w:sz="0" w:space="0" w:color="auto"/>
      </w:divBdr>
    </w:div>
    <w:div w:id="848060725">
      <w:bodyDiv w:val="1"/>
      <w:marLeft w:val="0"/>
      <w:marRight w:val="0"/>
      <w:marTop w:val="0"/>
      <w:marBottom w:val="0"/>
      <w:divBdr>
        <w:top w:val="none" w:sz="0" w:space="0" w:color="auto"/>
        <w:left w:val="none" w:sz="0" w:space="0" w:color="auto"/>
        <w:bottom w:val="none" w:sz="0" w:space="0" w:color="auto"/>
        <w:right w:val="none" w:sz="0" w:space="0" w:color="auto"/>
      </w:divBdr>
    </w:div>
    <w:div w:id="848326429">
      <w:bodyDiv w:val="1"/>
      <w:marLeft w:val="0"/>
      <w:marRight w:val="0"/>
      <w:marTop w:val="0"/>
      <w:marBottom w:val="0"/>
      <w:divBdr>
        <w:top w:val="none" w:sz="0" w:space="0" w:color="auto"/>
        <w:left w:val="none" w:sz="0" w:space="0" w:color="auto"/>
        <w:bottom w:val="none" w:sz="0" w:space="0" w:color="auto"/>
        <w:right w:val="none" w:sz="0" w:space="0" w:color="auto"/>
      </w:divBdr>
    </w:div>
    <w:div w:id="848641057">
      <w:bodyDiv w:val="1"/>
      <w:marLeft w:val="0"/>
      <w:marRight w:val="0"/>
      <w:marTop w:val="0"/>
      <w:marBottom w:val="0"/>
      <w:divBdr>
        <w:top w:val="none" w:sz="0" w:space="0" w:color="auto"/>
        <w:left w:val="none" w:sz="0" w:space="0" w:color="auto"/>
        <w:bottom w:val="none" w:sz="0" w:space="0" w:color="auto"/>
        <w:right w:val="none" w:sz="0" w:space="0" w:color="auto"/>
      </w:divBdr>
    </w:div>
    <w:div w:id="848837131">
      <w:bodyDiv w:val="1"/>
      <w:marLeft w:val="0"/>
      <w:marRight w:val="0"/>
      <w:marTop w:val="0"/>
      <w:marBottom w:val="0"/>
      <w:divBdr>
        <w:top w:val="none" w:sz="0" w:space="0" w:color="auto"/>
        <w:left w:val="none" w:sz="0" w:space="0" w:color="auto"/>
        <w:bottom w:val="none" w:sz="0" w:space="0" w:color="auto"/>
        <w:right w:val="none" w:sz="0" w:space="0" w:color="auto"/>
      </w:divBdr>
    </w:div>
    <w:div w:id="849224138">
      <w:bodyDiv w:val="1"/>
      <w:marLeft w:val="0"/>
      <w:marRight w:val="0"/>
      <w:marTop w:val="0"/>
      <w:marBottom w:val="0"/>
      <w:divBdr>
        <w:top w:val="none" w:sz="0" w:space="0" w:color="auto"/>
        <w:left w:val="none" w:sz="0" w:space="0" w:color="auto"/>
        <w:bottom w:val="none" w:sz="0" w:space="0" w:color="auto"/>
        <w:right w:val="none" w:sz="0" w:space="0" w:color="auto"/>
      </w:divBdr>
    </w:div>
    <w:div w:id="849756522">
      <w:bodyDiv w:val="1"/>
      <w:marLeft w:val="0"/>
      <w:marRight w:val="0"/>
      <w:marTop w:val="0"/>
      <w:marBottom w:val="0"/>
      <w:divBdr>
        <w:top w:val="none" w:sz="0" w:space="0" w:color="auto"/>
        <w:left w:val="none" w:sz="0" w:space="0" w:color="auto"/>
        <w:bottom w:val="none" w:sz="0" w:space="0" w:color="auto"/>
        <w:right w:val="none" w:sz="0" w:space="0" w:color="auto"/>
      </w:divBdr>
    </w:div>
    <w:div w:id="851266181">
      <w:bodyDiv w:val="1"/>
      <w:marLeft w:val="0"/>
      <w:marRight w:val="0"/>
      <w:marTop w:val="0"/>
      <w:marBottom w:val="0"/>
      <w:divBdr>
        <w:top w:val="none" w:sz="0" w:space="0" w:color="auto"/>
        <w:left w:val="none" w:sz="0" w:space="0" w:color="auto"/>
        <w:bottom w:val="none" w:sz="0" w:space="0" w:color="auto"/>
        <w:right w:val="none" w:sz="0" w:space="0" w:color="auto"/>
      </w:divBdr>
    </w:div>
    <w:div w:id="851726446">
      <w:bodyDiv w:val="1"/>
      <w:marLeft w:val="0"/>
      <w:marRight w:val="0"/>
      <w:marTop w:val="0"/>
      <w:marBottom w:val="0"/>
      <w:divBdr>
        <w:top w:val="none" w:sz="0" w:space="0" w:color="auto"/>
        <w:left w:val="none" w:sz="0" w:space="0" w:color="auto"/>
        <w:bottom w:val="none" w:sz="0" w:space="0" w:color="auto"/>
        <w:right w:val="none" w:sz="0" w:space="0" w:color="auto"/>
      </w:divBdr>
    </w:div>
    <w:div w:id="853811683">
      <w:bodyDiv w:val="1"/>
      <w:marLeft w:val="0"/>
      <w:marRight w:val="0"/>
      <w:marTop w:val="0"/>
      <w:marBottom w:val="0"/>
      <w:divBdr>
        <w:top w:val="none" w:sz="0" w:space="0" w:color="auto"/>
        <w:left w:val="none" w:sz="0" w:space="0" w:color="auto"/>
        <w:bottom w:val="none" w:sz="0" w:space="0" w:color="auto"/>
        <w:right w:val="none" w:sz="0" w:space="0" w:color="auto"/>
      </w:divBdr>
    </w:div>
    <w:div w:id="853812579">
      <w:bodyDiv w:val="1"/>
      <w:marLeft w:val="0"/>
      <w:marRight w:val="0"/>
      <w:marTop w:val="0"/>
      <w:marBottom w:val="0"/>
      <w:divBdr>
        <w:top w:val="none" w:sz="0" w:space="0" w:color="auto"/>
        <w:left w:val="none" w:sz="0" w:space="0" w:color="auto"/>
        <w:bottom w:val="none" w:sz="0" w:space="0" w:color="auto"/>
        <w:right w:val="none" w:sz="0" w:space="0" w:color="auto"/>
      </w:divBdr>
    </w:div>
    <w:div w:id="854880302">
      <w:bodyDiv w:val="1"/>
      <w:marLeft w:val="0"/>
      <w:marRight w:val="0"/>
      <w:marTop w:val="0"/>
      <w:marBottom w:val="0"/>
      <w:divBdr>
        <w:top w:val="none" w:sz="0" w:space="0" w:color="auto"/>
        <w:left w:val="none" w:sz="0" w:space="0" w:color="auto"/>
        <w:bottom w:val="none" w:sz="0" w:space="0" w:color="auto"/>
        <w:right w:val="none" w:sz="0" w:space="0" w:color="auto"/>
      </w:divBdr>
    </w:div>
    <w:div w:id="855729234">
      <w:bodyDiv w:val="1"/>
      <w:marLeft w:val="0"/>
      <w:marRight w:val="0"/>
      <w:marTop w:val="0"/>
      <w:marBottom w:val="0"/>
      <w:divBdr>
        <w:top w:val="none" w:sz="0" w:space="0" w:color="auto"/>
        <w:left w:val="none" w:sz="0" w:space="0" w:color="auto"/>
        <w:bottom w:val="none" w:sz="0" w:space="0" w:color="auto"/>
        <w:right w:val="none" w:sz="0" w:space="0" w:color="auto"/>
      </w:divBdr>
    </w:div>
    <w:div w:id="856697532">
      <w:bodyDiv w:val="1"/>
      <w:marLeft w:val="0"/>
      <w:marRight w:val="0"/>
      <w:marTop w:val="0"/>
      <w:marBottom w:val="0"/>
      <w:divBdr>
        <w:top w:val="none" w:sz="0" w:space="0" w:color="auto"/>
        <w:left w:val="none" w:sz="0" w:space="0" w:color="auto"/>
        <w:bottom w:val="none" w:sz="0" w:space="0" w:color="auto"/>
        <w:right w:val="none" w:sz="0" w:space="0" w:color="auto"/>
      </w:divBdr>
    </w:div>
    <w:div w:id="856845568">
      <w:bodyDiv w:val="1"/>
      <w:marLeft w:val="0"/>
      <w:marRight w:val="0"/>
      <w:marTop w:val="0"/>
      <w:marBottom w:val="0"/>
      <w:divBdr>
        <w:top w:val="none" w:sz="0" w:space="0" w:color="auto"/>
        <w:left w:val="none" w:sz="0" w:space="0" w:color="auto"/>
        <w:bottom w:val="none" w:sz="0" w:space="0" w:color="auto"/>
        <w:right w:val="none" w:sz="0" w:space="0" w:color="auto"/>
      </w:divBdr>
    </w:div>
    <w:div w:id="856887656">
      <w:bodyDiv w:val="1"/>
      <w:marLeft w:val="0"/>
      <w:marRight w:val="0"/>
      <w:marTop w:val="0"/>
      <w:marBottom w:val="0"/>
      <w:divBdr>
        <w:top w:val="none" w:sz="0" w:space="0" w:color="auto"/>
        <w:left w:val="none" w:sz="0" w:space="0" w:color="auto"/>
        <w:bottom w:val="none" w:sz="0" w:space="0" w:color="auto"/>
        <w:right w:val="none" w:sz="0" w:space="0" w:color="auto"/>
      </w:divBdr>
    </w:div>
    <w:div w:id="857936286">
      <w:bodyDiv w:val="1"/>
      <w:marLeft w:val="0"/>
      <w:marRight w:val="0"/>
      <w:marTop w:val="0"/>
      <w:marBottom w:val="0"/>
      <w:divBdr>
        <w:top w:val="none" w:sz="0" w:space="0" w:color="auto"/>
        <w:left w:val="none" w:sz="0" w:space="0" w:color="auto"/>
        <w:bottom w:val="none" w:sz="0" w:space="0" w:color="auto"/>
        <w:right w:val="none" w:sz="0" w:space="0" w:color="auto"/>
      </w:divBdr>
    </w:div>
    <w:div w:id="858854358">
      <w:bodyDiv w:val="1"/>
      <w:marLeft w:val="0"/>
      <w:marRight w:val="0"/>
      <w:marTop w:val="0"/>
      <w:marBottom w:val="0"/>
      <w:divBdr>
        <w:top w:val="none" w:sz="0" w:space="0" w:color="auto"/>
        <w:left w:val="none" w:sz="0" w:space="0" w:color="auto"/>
        <w:bottom w:val="none" w:sz="0" w:space="0" w:color="auto"/>
        <w:right w:val="none" w:sz="0" w:space="0" w:color="auto"/>
      </w:divBdr>
    </w:div>
    <w:div w:id="859202583">
      <w:bodyDiv w:val="1"/>
      <w:marLeft w:val="0"/>
      <w:marRight w:val="0"/>
      <w:marTop w:val="0"/>
      <w:marBottom w:val="0"/>
      <w:divBdr>
        <w:top w:val="none" w:sz="0" w:space="0" w:color="auto"/>
        <w:left w:val="none" w:sz="0" w:space="0" w:color="auto"/>
        <w:bottom w:val="none" w:sz="0" w:space="0" w:color="auto"/>
        <w:right w:val="none" w:sz="0" w:space="0" w:color="auto"/>
      </w:divBdr>
    </w:div>
    <w:div w:id="859243500">
      <w:bodyDiv w:val="1"/>
      <w:marLeft w:val="0"/>
      <w:marRight w:val="0"/>
      <w:marTop w:val="0"/>
      <w:marBottom w:val="0"/>
      <w:divBdr>
        <w:top w:val="none" w:sz="0" w:space="0" w:color="auto"/>
        <w:left w:val="none" w:sz="0" w:space="0" w:color="auto"/>
        <w:bottom w:val="none" w:sz="0" w:space="0" w:color="auto"/>
        <w:right w:val="none" w:sz="0" w:space="0" w:color="auto"/>
      </w:divBdr>
    </w:div>
    <w:div w:id="859246889">
      <w:bodyDiv w:val="1"/>
      <w:marLeft w:val="0"/>
      <w:marRight w:val="0"/>
      <w:marTop w:val="0"/>
      <w:marBottom w:val="0"/>
      <w:divBdr>
        <w:top w:val="none" w:sz="0" w:space="0" w:color="auto"/>
        <w:left w:val="none" w:sz="0" w:space="0" w:color="auto"/>
        <w:bottom w:val="none" w:sz="0" w:space="0" w:color="auto"/>
        <w:right w:val="none" w:sz="0" w:space="0" w:color="auto"/>
      </w:divBdr>
    </w:div>
    <w:div w:id="859510606">
      <w:bodyDiv w:val="1"/>
      <w:marLeft w:val="0"/>
      <w:marRight w:val="0"/>
      <w:marTop w:val="0"/>
      <w:marBottom w:val="0"/>
      <w:divBdr>
        <w:top w:val="none" w:sz="0" w:space="0" w:color="auto"/>
        <w:left w:val="none" w:sz="0" w:space="0" w:color="auto"/>
        <w:bottom w:val="none" w:sz="0" w:space="0" w:color="auto"/>
        <w:right w:val="none" w:sz="0" w:space="0" w:color="auto"/>
      </w:divBdr>
    </w:div>
    <w:div w:id="860164144">
      <w:bodyDiv w:val="1"/>
      <w:marLeft w:val="0"/>
      <w:marRight w:val="0"/>
      <w:marTop w:val="0"/>
      <w:marBottom w:val="0"/>
      <w:divBdr>
        <w:top w:val="none" w:sz="0" w:space="0" w:color="auto"/>
        <w:left w:val="none" w:sz="0" w:space="0" w:color="auto"/>
        <w:bottom w:val="none" w:sz="0" w:space="0" w:color="auto"/>
        <w:right w:val="none" w:sz="0" w:space="0" w:color="auto"/>
      </w:divBdr>
    </w:div>
    <w:div w:id="860704343">
      <w:bodyDiv w:val="1"/>
      <w:marLeft w:val="0"/>
      <w:marRight w:val="0"/>
      <w:marTop w:val="0"/>
      <w:marBottom w:val="0"/>
      <w:divBdr>
        <w:top w:val="none" w:sz="0" w:space="0" w:color="auto"/>
        <w:left w:val="none" w:sz="0" w:space="0" w:color="auto"/>
        <w:bottom w:val="none" w:sz="0" w:space="0" w:color="auto"/>
        <w:right w:val="none" w:sz="0" w:space="0" w:color="auto"/>
      </w:divBdr>
    </w:div>
    <w:div w:id="865026991">
      <w:bodyDiv w:val="1"/>
      <w:marLeft w:val="0"/>
      <w:marRight w:val="0"/>
      <w:marTop w:val="0"/>
      <w:marBottom w:val="0"/>
      <w:divBdr>
        <w:top w:val="none" w:sz="0" w:space="0" w:color="auto"/>
        <w:left w:val="none" w:sz="0" w:space="0" w:color="auto"/>
        <w:bottom w:val="none" w:sz="0" w:space="0" w:color="auto"/>
        <w:right w:val="none" w:sz="0" w:space="0" w:color="auto"/>
      </w:divBdr>
    </w:div>
    <w:div w:id="865141472">
      <w:bodyDiv w:val="1"/>
      <w:marLeft w:val="0"/>
      <w:marRight w:val="0"/>
      <w:marTop w:val="0"/>
      <w:marBottom w:val="0"/>
      <w:divBdr>
        <w:top w:val="none" w:sz="0" w:space="0" w:color="auto"/>
        <w:left w:val="none" w:sz="0" w:space="0" w:color="auto"/>
        <w:bottom w:val="none" w:sz="0" w:space="0" w:color="auto"/>
        <w:right w:val="none" w:sz="0" w:space="0" w:color="auto"/>
      </w:divBdr>
    </w:div>
    <w:div w:id="865755472">
      <w:bodyDiv w:val="1"/>
      <w:marLeft w:val="0"/>
      <w:marRight w:val="0"/>
      <w:marTop w:val="0"/>
      <w:marBottom w:val="0"/>
      <w:divBdr>
        <w:top w:val="none" w:sz="0" w:space="0" w:color="auto"/>
        <w:left w:val="none" w:sz="0" w:space="0" w:color="auto"/>
        <w:bottom w:val="none" w:sz="0" w:space="0" w:color="auto"/>
        <w:right w:val="none" w:sz="0" w:space="0" w:color="auto"/>
      </w:divBdr>
    </w:div>
    <w:div w:id="865799006">
      <w:bodyDiv w:val="1"/>
      <w:marLeft w:val="0"/>
      <w:marRight w:val="0"/>
      <w:marTop w:val="0"/>
      <w:marBottom w:val="0"/>
      <w:divBdr>
        <w:top w:val="none" w:sz="0" w:space="0" w:color="auto"/>
        <w:left w:val="none" w:sz="0" w:space="0" w:color="auto"/>
        <w:bottom w:val="none" w:sz="0" w:space="0" w:color="auto"/>
        <w:right w:val="none" w:sz="0" w:space="0" w:color="auto"/>
      </w:divBdr>
    </w:div>
    <w:div w:id="865873048">
      <w:bodyDiv w:val="1"/>
      <w:marLeft w:val="0"/>
      <w:marRight w:val="0"/>
      <w:marTop w:val="0"/>
      <w:marBottom w:val="0"/>
      <w:divBdr>
        <w:top w:val="none" w:sz="0" w:space="0" w:color="auto"/>
        <w:left w:val="none" w:sz="0" w:space="0" w:color="auto"/>
        <w:bottom w:val="none" w:sz="0" w:space="0" w:color="auto"/>
        <w:right w:val="none" w:sz="0" w:space="0" w:color="auto"/>
      </w:divBdr>
    </w:div>
    <w:div w:id="866454979">
      <w:bodyDiv w:val="1"/>
      <w:marLeft w:val="0"/>
      <w:marRight w:val="0"/>
      <w:marTop w:val="0"/>
      <w:marBottom w:val="0"/>
      <w:divBdr>
        <w:top w:val="none" w:sz="0" w:space="0" w:color="auto"/>
        <w:left w:val="none" w:sz="0" w:space="0" w:color="auto"/>
        <w:bottom w:val="none" w:sz="0" w:space="0" w:color="auto"/>
        <w:right w:val="none" w:sz="0" w:space="0" w:color="auto"/>
      </w:divBdr>
    </w:div>
    <w:div w:id="866525655">
      <w:bodyDiv w:val="1"/>
      <w:marLeft w:val="0"/>
      <w:marRight w:val="0"/>
      <w:marTop w:val="0"/>
      <w:marBottom w:val="0"/>
      <w:divBdr>
        <w:top w:val="none" w:sz="0" w:space="0" w:color="auto"/>
        <w:left w:val="none" w:sz="0" w:space="0" w:color="auto"/>
        <w:bottom w:val="none" w:sz="0" w:space="0" w:color="auto"/>
        <w:right w:val="none" w:sz="0" w:space="0" w:color="auto"/>
      </w:divBdr>
    </w:div>
    <w:div w:id="867991367">
      <w:bodyDiv w:val="1"/>
      <w:marLeft w:val="0"/>
      <w:marRight w:val="0"/>
      <w:marTop w:val="0"/>
      <w:marBottom w:val="0"/>
      <w:divBdr>
        <w:top w:val="none" w:sz="0" w:space="0" w:color="auto"/>
        <w:left w:val="none" w:sz="0" w:space="0" w:color="auto"/>
        <w:bottom w:val="none" w:sz="0" w:space="0" w:color="auto"/>
        <w:right w:val="none" w:sz="0" w:space="0" w:color="auto"/>
      </w:divBdr>
    </w:div>
    <w:div w:id="868448536">
      <w:bodyDiv w:val="1"/>
      <w:marLeft w:val="0"/>
      <w:marRight w:val="0"/>
      <w:marTop w:val="0"/>
      <w:marBottom w:val="0"/>
      <w:divBdr>
        <w:top w:val="none" w:sz="0" w:space="0" w:color="auto"/>
        <w:left w:val="none" w:sz="0" w:space="0" w:color="auto"/>
        <w:bottom w:val="none" w:sz="0" w:space="0" w:color="auto"/>
        <w:right w:val="none" w:sz="0" w:space="0" w:color="auto"/>
      </w:divBdr>
    </w:div>
    <w:div w:id="869151767">
      <w:bodyDiv w:val="1"/>
      <w:marLeft w:val="0"/>
      <w:marRight w:val="0"/>
      <w:marTop w:val="0"/>
      <w:marBottom w:val="0"/>
      <w:divBdr>
        <w:top w:val="none" w:sz="0" w:space="0" w:color="auto"/>
        <w:left w:val="none" w:sz="0" w:space="0" w:color="auto"/>
        <w:bottom w:val="none" w:sz="0" w:space="0" w:color="auto"/>
        <w:right w:val="none" w:sz="0" w:space="0" w:color="auto"/>
      </w:divBdr>
    </w:div>
    <w:div w:id="870849283">
      <w:bodyDiv w:val="1"/>
      <w:marLeft w:val="0"/>
      <w:marRight w:val="0"/>
      <w:marTop w:val="0"/>
      <w:marBottom w:val="0"/>
      <w:divBdr>
        <w:top w:val="none" w:sz="0" w:space="0" w:color="auto"/>
        <w:left w:val="none" w:sz="0" w:space="0" w:color="auto"/>
        <w:bottom w:val="none" w:sz="0" w:space="0" w:color="auto"/>
        <w:right w:val="none" w:sz="0" w:space="0" w:color="auto"/>
      </w:divBdr>
    </w:div>
    <w:div w:id="872228717">
      <w:bodyDiv w:val="1"/>
      <w:marLeft w:val="0"/>
      <w:marRight w:val="0"/>
      <w:marTop w:val="0"/>
      <w:marBottom w:val="0"/>
      <w:divBdr>
        <w:top w:val="none" w:sz="0" w:space="0" w:color="auto"/>
        <w:left w:val="none" w:sz="0" w:space="0" w:color="auto"/>
        <w:bottom w:val="none" w:sz="0" w:space="0" w:color="auto"/>
        <w:right w:val="none" w:sz="0" w:space="0" w:color="auto"/>
      </w:divBdr>
    </w:div>
    <w:div w:id="872965980">
      <w:bodyDiv w:val="1"/>
      <w:marLeft w:val="0"/>
      <w:marRight w:val="0"/>
      <w:marTop w:val="0"/>
      <w:marBottom w:val="0"/>
      <w:divBdr>
        <w:top w:val="none" w:sz="0" w:space="0" w:color="auto"/>
        <w:left w:val="none" w:sz="0" w:space="0" w:color="auto"/>
        <w:bottom w:val="none" w:sz="0" w:space="0" w:color="auto"/>
        <w:right w:val="none" w:sz="0" w:space="0" w:color="auto"/>
      </w:divBdr>
    </w:div>
    <w:div w:id="875047377">
      <w:bodyDiv w:val="1"/>
      <w:marLeft w:val="0"/>
      <w:marRight w:val="0"/>
      <w:marTop w:val="0"/>
      <w:marBottom w:val="0"/>
      <w:divBdr>
        <w:top w:val="none" w:sz="0" w:space="0" w:color="auto"/>
        <w:left w:val="none" w:sz="0" w:space="0" w:color="auto"/>
        <w:bottom w:val="none" w:sz="0" w:space="0" w:color="auto"/>
        <w:right w:val="none" w:sz="0" w:space="0" w:color="auto"/>
      </w:divBdr>
    </w:div>
    <w:div w:id="875775959">
      <w:bodyDiv w:val="1"/>
      <w:marLeft w:val="0"/>
      <w:marRight w:val="0"/>
      <w:marTop w:val="0"/>
      <w:marBottom w:val="0"/>
      <w:divBdr>
        <w:top w:val="none" w:sz="0" w:space="0" w:color="auto"/>
        <w:left w:val="none" w:sz="0" w:space="0" w:color="auto"/>
        <w:bottom w:val="none" w:sz="0" w:space="0" w:color="auto"/>
        <w:right w:val="none" w:sz="0" w:space="0" w:color="auto"/>
      </w:divBdr>
    </w:div>
    <w:div w:id="877087191">
      <w:bodyDiv w:val="1"/>
      <w:marLeft w:val="0"/>
      <w:marRight w:val="0"/>
      <w:marTop w:val="0"/>
      <w:marBottom w:val="0"/>
      <w:divBdr>
        <w:top w:val="none" w:sz="0" w:space="0" w:color="auto"/>
        <w:left w:val="none" w:sz="0" w:space="0" w:color="auto"/>
        <w:bottom w:val="none" w:sz="0" w:space="0" w:color="auto"/>
        <w:right w:val="none" w:sz="0" w:space="0" w:color="auto"/>
      </w:divBdr>
    </w:div>
    <w:div w:id="878974919">
      <w:bodyDiv w:val="1"/>
      <w:marLeft w:val="0"/>
      <w:marRight w:val="0"/>
      <w:marTop w:val="0"/>
      <w:marBottom w:val="0"/>
      <w:divBdr>
        <w:top w:val="none" w:sz="0" w:space="0" w:color="auto"/>
        <w:left w:val="none" w:sz="0" w:space="0" w:color="auto"/>
        <w:bottom w:val="none" w:sz="0" w:space="0" w:color="auto"/>
        <w:right w:val="none" w:sz="0" w:space="0" w:color="auto"/>
      </w:divBdr>
    </w:div>
    <w:div w:id="879315730">
      <w:bodyDiv w:val="1"/>
      <w:marLeft w:val="0"/>
      <w:marRight w:val="0"/>
      <w:marTop w:val="0"/>
      <w:marBottom w:val="0"/>
      <w:divBdr>
        <w:top w:val="none" w:sz="0" w:space="0" w:color="auto"/>
        <w:left w:val="none" w:sz="0" w:space="0" w:color="auto"/>
        <w:bottom w:val="none" w:sz="0" w:space="0" w:color="auto"/>
        <w:right w:val="none" w:sz="0" w:space="0" w:color="auto"/>
      </w:divBdr>
    </w:div>
    <w:div w:id="879979992">
      <w:bodyDiv w:val="1"/>
      <w:marLeft w:val="0"/>
      <w:marRight w:val="0"/>
      <w:marTop w:val="0"/>
      <w:marBottom w:val="0"/>
      <w:divBdr>
        <w:top w:val="none" w:sz="0" w:space="0" w:color="auto"/>
        <w:left w:val="none" w:sz="0" w:space="0" w:color="auto"/>
        <w:bottom w:val="none" w:sz="0" w:space="0" w:color="auto"/>
        <w:right w:val="none" w:sz="0" w:space="0" w:color="auto"/>
      </w:divBdr>
    </w:div>
    <w:div w:id="882056214">
      <w:bodyDiv w:val="1"/>
      <w:marLeft w:val="0"/>
      <w:marRight w:val="0"/>
      <w:marTop w:val="0"/>
      <w:marBottom w:val="0"/>
      <w:divBdr>
        <w:top w:val="none" w:sz="0" w:space="0" w:color="auto"/>
        <w:left w:val="none" w:sz="0" w:space="0" w:color="auto"/>
        <w:bottom w:val="none" w:sz="0" w:space="0" w:color="auto"/>
        <w:right w:val="none" w:sz="0" w:space="0" w:color="auto"/>
      </w:divBdr>
    </w:div>
    <w:div w:id="882131536">
      <w:bodyDiv w:val="1"/>
      <w:marLeft w:val="0"/>
      <w:marRight w:val="0"/>
      <w:marTop w:val="0"/>
      <w:marBottom w:val="0"/>
      <w:divBdr>
        <w:top w:val="none" w:sz="0" w:space="0" w:color="auto"/>
        <w:left w:val="none" w:sz="0" w:space="0" w:color="auto"/>
        <w:bottom w:val="none" w:sz="0" w:space="0" w:color="auto"/>
        <w:right w:val="none" w:sz="0" w:space="0" w:color="auto"/>
      </w:divBdr>
    </w:div>
    <w:div w:id="883710711">
      <w:bodyDiv w:val="1"/>
      <w:marLeft w:val="0"/>
      <w:marRight w:val="0"/>
      <w:marTop w:val="0"/>
      <w:marBottom w:val="0"/>
      <w:divBdr>
        <w:top w:val="none" w:sz="0" w:space="0" w:color="auto"/>
        <w:left w:val="none" w:sz="0" w:space="0" w:color="auto"/>
        <w:bottom w:val="none" w:sz="0" w:space="0" w:color="auto"/>
        <w:right w:val="none" w:sz="0" w:space="0" w:color="auto"/>
      </w:divBdr>
    </w:div>
    <w:div w:id="885986631">
      <w:bodyDiv w:val="1"/>
      <w:marLeft w:val="0"/>
      <w:marRight w:val="0"/>
      <w:marTop w:val="0"/>
      <w:marBottom w:val="0"/>
      <w:divBdr>
        <w:top w:val="none" w:sz="0" w:space="0" w:color="auto"/>
        <w:left w:val="none" w:sz="0" w:space="0" w:color="auto"/>
        <w:bottom w:val="none" w:sz="0" w:space="0" w:color="auto"/>
        <w:right w:val="none" w:sz="0" w:space="0" w:color="auto"/>
      </w:divBdr>
    </w:div>
    <w:div w:id="886256118">
      <w:bodyDiv w:val="1"/>
      <w:marLeft w:val="0"/>
      <w:marRight w:val="0"/>
      <w:marTop w:val="0"/>
      <w:marBottom w:val="0"/>
      <w:divBdr>
        <w:top w:val="none" w:sz="0" w:space="0" w:color="auto"/>
        <w:left w:val="none" w:sz="0" w:space="0" w:color="auto"/>
        <w:bottom w:val="none" w:sz="0" w:space="0" w:color="auto"/>
        <w:right w:val="none" w:sz="0" w:space="0" w:color="auto"/>
      </w:divBdr>
    </w:div>
    <w:div w:id="887493629">
      <w:bodyDiv w:val="1"/>
      <w:marLeft w:val="0"/>
      <w:marRight w:val="0"/>
      <w:marTop w:val="0"/>
      <w:marBottom w:val="0"/>
      <w:divBdr>
        <w:top w:val="none" w:sz="0" w:space="0" w:color="auto"/>
        <w:left w:val="none" w:sz="0" w:space="0" w:color="auto"/>
        <w:bottom w:val="none" w:sz="0" w:space="0" w:color="auto"/>
        <w:right w:val="none" w:sz="0" w:space="0" w:color="auto"/>
      </w:divBdr>
    </w:div>
    <w:div w:id="887961900">
      <w:bodyDiv w:val="1"/>
      <w:marLeft w:val="0"/>
      <w:marRight w:val="0"/>
      <w:marTop w:val="0"/>
      <w:marBottom w:val="0"/>
      <w:divBdr>
        <w:top w:val="none" w:sz="0" w:space="0" w:color="auto"/>
        <w:left w:val="none" w:sz="0" w:space="0" w:color="auto"/>
        <w:bottom w:val="none" w:sz="0" w:space="0" w:color="auto"/>
        <w:right w:val="none" w:sz="0" w:space="0" w:color="auto"/>
      </w:divBdr>
    </w:div>
    <w:div w:id="888300540">
      <w:bodyDiv w:val="1"/>
      <w:marLeft w:val="0"/>
      <w:marRight w:val="0"/>
      <w:marTop w:val="0"/>
      <w:marBottom w:val="0"/>
      <w:divBdr>
        <w:top w:val="none" w:sz="0" w:space="0" w:color="auto"/>
        <w:left w:val="none" w:sz="0" w:space="0" w:color="auto"/>
        <w:bottom w:val="none" w:sz="0" w:space="0" w:color="auto"/>
        <w:right w:val="none" w:sz="0" w:space="0" w:color="auto"/>
      </w:divBdr>
    </w:div>
    <w:div w:id="888883042">
      <w:bodyDiv w:val="1"/>
      <w:marLeft w:val="0"/>
      <w:marRight w:val="0"/>
      <w:marTop w:val="0"/>
      <w:marBottom w:val="0"/>
      <w:divBdr>
        <w:top w:val="none" w:sz="0" w:space="0" w:color="auto"/>
        <w:left w:val="none" w:sz="0" w:space="0" w:color="auto"/>
        <w:bottom w:val="none" w:sz="0" w:space="0" w:color="auto"/>
        <w:right w:val="none" w:sz="0" w:space="0" w:color="auto"/>
      </w:divBdr>
    </w:div>
    <w:div w:id="890968837">
      <w:bodyDiv w:val="1"/>
      <w:marLeft w:val="0"/>
      <w:marRight w:val="0"/>
      <w:marTop w:val="0"/>
      <w:marBottom w:val="0"/>
      <w:divBdr>
        <w:top w:val="none" w:sz="0" w:space="0" w:color="auto"/>
        <w:left w:val="none" w:sz="0" w:space="0" w:color="auto"/>
        <w:bottom w:val="none" w:sz="0" w:space="0" w:color="auto"/>
        <w:right w:val="none" w:sz="0" w:space="0" w:color="auto"/>
      </w:divBdr>
    </w:div>
    <w:div w:id="891422478">
      <w:bodyDiv w:val="1"/>
      <w:marLeft w:val="0"/>
      <w:marRight w:val="0"/>
      <w:marTop w:val="0"/>
      <w:marBottom w:val="0"/>
      <w:divBdr>
        <w:top w:val="none" w:sz="0" w:space="0" w:color="auto"/>
        <w:left w:val="none" w:sz="0" w:space="0" w:color="auto"/>
        <w:bottom w:val="none" w:sz="0" w:space="0" w:color="auto"/>
        <w:right w:val="none" w:sz="0" w:space="0" w:color="auto"/>
      </w:divBdr>
    </w:div>
    <w:div w:id="891506274">
      <w:bodyDiv w:val="1"/>
      <w:marLeft w:val="0"/>
      <w:marRight w:val="0"/>
      <w:marTop w:val="0"/>
      <w:marBottom w:val="0"/>
      <w:divBdr>
        <w:top w:val="none" w:sz="0" w:space="0" w:color="auto"/>
        <w:left w:val="none" w:sz="0" w:space="0" w:color="auto"/>
        <w:bottom w:val="none" w:sz="0" w:space="0" w:color="auto"/>
        <w:right w:val="none" w:sz="0" w:space="0" w:color="auto"/>
      </w:divBdr>
    </w:div>
    <w:div w:id="892037056">
      <w:bodyDiv w:val="1"/>
      <w:marLeft w:val="0"/>
      <w:marRight w:val="0"/>
      <w:marTop w:val="0"/>
      <w:marBottom w:val="0"/>
      <w:divBdr>
        <w:top w:val="none" w:sz="0" w:space="0" w:color="auto"/>
        <w:left w:val="none" w:sz="0" w:space="0" w:color="auto"/>
        <w:bottom w:val="none" w:sz="0" w:space="0" w:color="auto"/>
        <w:right w:val="none" w:sz="0" w:space="0" w:color="auto"/>
      </w:divBdr>
    </w:div>
    <w:div w:id="893081621">
      <w:bodyDiv w:val="1"/>
      <w:marLeft w:val="0"/>
      <w:marRight w:val="0"/>
      <w:marTop w:val="0"/>
      <w:marBottom w:val="0"/>
      <w:divBdr>
        <w:top w:val="none" w:sz="0" w:space="0" w:color="auto"/>
        <w:left w:val="none" w:sz="0" w:space="0" w:color="auto"/>
        <w:bottom w:val="none" w:sz="0" w:space="0" w:color="auto"/>
        <w:right w:val="none" w:sz="0" w:space="0" w:color="auto"/>
      </w:divBdr>
    </w:div>
    <w:div w:id="893734408">
      <w:bodyDiv w:val="1"/>
      <w:marLeft w:val="0"/>
      <w:marRight w:val="0"/>
      <w:marTop w:val="0"/>
      <w:marBottom w:val="0"/>
      <w:divBdr>
        <w:top w:val="none" w:sz="0" w:space="0" w:color="auto"/>
        <w:left w:val="none" w:sz="0" w:space="0" w:color="auto"/>
        <w:bottom w:val="none" w:sz="0" w:space="0" w:color="auto"/>
        <w:right w:val="none" w:sz="0" w:space="0" w:color="auto"/>
      </w:divBdr>
    </w:div>
    <w:div w:id="894319649">
      <w:bodyDiv w:val="1"/>
      <w:marLeft w:val="0"/>
      <w:marRight w:val="0"/>
      <w:marTop w:val="0"/>
      <w:marBottom w:val="0"/>
      <w:divBdr>
        <w:top w:val="none" w:sz="0" w:space="0" w:color="auto"/>
        <w:left w:val="none" w:sz="0" w:space="0" w:color="auto"/>
        <w:bottom w:val="none" w:sz="0" w:space="0" w:color="auto"/>
        <w:right w:val="none" w:sz="0" w:space="0" w:color="auto"/>
      </w:divBdr>
    </w:div>
    <w:div w:id="894853970">
      <w:bodyDiv w:val="1"/>
      <w:marLeft w:val="0"/>
      <w:marRight w:val="0"/>
      <w:marTop w:val="0"/>
      <w:marBottom w:val="0"/>
      <w:divBdr>
        <w:top w:val="none" w:sz="0" w:space="0" w:color="auto"/>
        <w:left w:val="none" w:sz="0" w:space="0" w:color="auto"/>
        <w:bottom w:val="none" w:sz="0" w:space="0" w:color="auto"/>
        <w:right w:val="none" w:sz="0" w:space="0" w:color="auto"/>
      </w:divBdr>
    </w:div>
    <w:div w:id="895094466">
      <w:bodyDiv w:val="1"/>
      <w:marLeft w:val="0"/>
      <w:marRight w:val="0"/>
      <w:marTop w:val="0"/>
      <w:marBottom w:val="0"/>
      <w:divBdr>
        <w:top w:val="none" w:sz="0" w:space="0" w:color="auto"/>
        <w:left w:val="none" w:sz="0" w:space="0" w:color="auto"/>
        <w:bottom w:val="none" w:sz="0" w:space="0" w:color="auto"/>
        <w:right w:val="none" w:sz="0" w:space="0" w:color="auto"/>
      </w:divBdr>
    </w:div>
    <w:div w:id="895120601">
      <w:bodyDiv w:val="1"/>
      <w:marLeft w:val="0"/>
      <w:marRight w:val="0"/>
      <w:marTop w:val="0"/>
      <w:marBottom w:val="0"/>
      <w:divBdr>
        <w:top w:val="none" w:sz="0" w:space="0" w:color="auto"/>
        <w:left w:val="none" w:sz="0" w:space="0" w:color="auto"/>
        <w:bottom w:val="none" w:sz="0" w:space="0" w:color="auto"/>
        <w:right w:val="none" w:sz="0" w:space="0" w:color="auto"/>
      </w:divBdr>
    </w:div>
    <w:div w:id="896479607">
      <w:bodyDiv w:val="1"/>
      <w:marLeft w:val="0"/>
      <w:marRight w:val="0"/>
      <w:marTop w:val="0"/>
      <w:marBottom w:val="0"/>
      <w:divBdr>
        <w:top w:val="none" w:sz="0" w:space="0" w:color="auto"/>
        <w:left w:val="none" w:sz="0" w:space="0" w:color="auto"/>
        <w:bottom w:val="none" w:sz="0" w:space="0" w:color="auto"/>
        <w:right w:val="none" w:sz="0" w:space="0" w:color="auto"/>
      </w:divBdr>
    </w:div>
    <w:div w:id="897057658">
      <w:bodyDiv w:val="1"/>
      <w:marLeft w:val="0"/>
      <w:marRight w:val="0"/>
      <w:marTop w:val="0"/>
      <w:marBottom w:val="0"/>
      <w:divBdr>
        <w:top w:val="none" w:sz="0" w:space="0" w:color="auto"/>
        <w:left w:val="none" w:sz="0" w:space="0" w:color="auto"/>
        <w:bottom w:val="none" w:sz="0" w:space="0" w:color="auto"/>
        <w:right w:val="none" w:sz="0" w:space="0" w:color="auto"/>
      </w:divBdr>
    </w:div>
    <w:div w:id="897326181">
      <w:bodyDiv w:val="1"/>
      <w:marLeft w:val="0"/>
      <w:marRight w:val="0"/>
      <w:marTop w:val="0"/>
      <w:marBottom w:val="0"/>
      <w:divBdr>
        <w:top w:val="none" w:sz="0" w:space="0" w:color="auto"/>
        <w:left w:val="none" w:sz="0" w:space="0" w:color="auto"/>
        <w:bottom w:val="none" w:sz="0" w:space="0" w:color="auto"/>
        <w:right w:val="none" w:sz="0" w:space="0" w:color="auto"/>
      </w:divBdr>
    </w:div>
    <w:div w:id="897546036">
      <w:bodyDiv w:val="1"/>
      <w:marLeft w:val="0"/>
      <w:marRight w:val="0"/>
      <w:marTop w:val="0"/>
      <w:marBottom w:val="0"/>
      <w:divBdr>
        <w:top w:val="none" w:sz="0" w:space="0" w:color="auto"/>
        <w:left w:val="none" w:sz="0" w:space="0" w:color="auto"/>
        <w:bottom w:val="none" w:sz="0" w:space="0" w:color="auto"/>
        <w:right w:val="none" w:sz="0" w:space="0" w:color="auto"/>
      </w:divBdr>
    </w:div>
    <w:div w:id="897790666">
      <w:bodyDiv w:val="1"/>
      <w:marLeft w:val="0"/>
      <w:marRight w:val="0"/>
      <w:marTop w:val="0"/>
      <w:marBottom w:val="0"/>
      <w:divBdr>
        <w:top w:val="none" w:sz="0" w:space="0" w:color="auto"/>
        <w:left w:val="none" w:sz="0" w:space="0" w:color="auto"/>
        <w:bottom w:val="none" w:sz="0" w:space="0" w:color="auto"/>
        <w:right w:val="none" w:sz="0" w:space="0" w:color="auto"/>
      </w:divBdr>
    </w:div>
    <w:div w:id="898437577">
      <w:bodyDiv w:val="1"/>
      <w:marLeft w:val="0"/>
      <w:marRight w:val="0"/>
      <w:marTop w:val="0"/>
      <w:marBottom w:val="0"/>
      <w:divBdr>
        <w:top w:val="none" w:sz="0" w:space="0" w:color="auto"/>
        <w:left w:val="none" w:sz="0" w:space="0" w:color="auto"/>
        <w:bottom w:val="none" w:sz="0" w:space="0" w:color="auto"/>
        <w:right w:val="none" w:sz="0" w:space="0" w:color="auto"/>
      </w:divBdr>
    </w:div>
    <w:div w:id="898785365">
      <w:bodyDiv w:val="1"/>
      <w:marLeft w:val="0"/>
      <w:marRight w:val="0"/>
      <w:marTop w:val="0"/>
      <w:marBottom w:val="0"/>
      <w:divBdr>
        <w:top w:val="none" w:sz="0" w:space="0" w:color="auto"/>
        <w:left w:val="none" w:sz="0" w:space="0" w:color="auto"/>
        <w:bottom w:val="none" w:sz="0" w:space="0" w:color="auto"/>
        <w:right w:val="none" w:sz="0" w:space="0" w:color="auto"/>
      </w:divBdr>
    </w:div>
    <w:div w:id="898827664">
      <w:bodyDiv w:val="1"/>
      <w:marLeft w:val="0"/>
      <w:marRight w:val="0"/>
      <w:marTop w:val="0"/>
      <w:marBottom w:val="0"/>
      <w:divBdr>
        <w:top w:val="none" w:sz="0" w:space="0" w:color="auto"/>
        <w:left w:val="none" w:sz="0" w:space="0" w:color="auto"/>
        <w:bottom w:val="none" w:sz="0" w:space="0" w:color="auto"/>
        <w:right w:val="none" w:sz="0" w:space="0" w:color="auto"/>
      </w:divBdr>
    </w:div>
    <w:div w:id="898855899">
      <w:bodyDiv w:val="1"/>
      <w:marLeft w:val="0"/>
      <w:marRight w:val="0"/>
      <w:marTop w:val="0"/>
      <w:marBottom w:val="0"/>
      <w:divBdr>
        <w:top w:val="none" w:sz="0" w:space="0" w:color="auto"/>
        <w:left w:val="none" w:sz="0" w:space="0" w:color="auto"/>
        <w:bottom w:val="none" w:sz="0" w:space="0" w:color="auto"/>
        <w:right w:val="none" w:sz="0" w:space="0" w:color="auto"/>
      </w:divBdr>
    </w:div>
    <w:div w:id="899902170">
      <w:bodyDiv w:val="1"/>
      <w:marLeft w:val="0"/>
      <w:marRight w:val="0"/>
      <w:marTop w:val="0"/>
      <w:marBottom w:val="0"/>
      <w:divBdr>
        <w:top w:val="none" w:sz="0" w:space="0" w:color="auto"/>
        <w:left w:val="none" w:sz="0" w:space="0" w:color="auto"/>
        <w:bottom w:val="none" w:sz="0" w:space="0" w:color="auto"/>
        <w:right w:val="none" w:sz="0" w:space="0" w:color="auto"/>
      </w:divBdr>
    </w:div>
    <w:div w:id="901525105">
      <w:bodyDiv w:val="1"/>
      <w:marLeft w:val="0"/>
      <w:marRight w:val="0"/>
      <w:marTop w:val="0"/>
      <w:marBottom w:val="0"/>
      <w:divBdr>
        <w:top w:val="none" w:sz="0" w:space="0" w:color="auto"/>
        <w:left w:val="none" w:sz="0" w:space="0" w:color="auto"/>
        <w:bottom w:val="none" w:sz="0" w:space="0" w:color="auto"/>
        <w:right w:val="none" w:sz="0" w:space="0" w:color="auto"/>
      </w:divBdr>
    </w:div>
    <w:div w:id="903369992">
      <w:bodyDiv w:val="1"/>
      <w:marLeft w:val="0"/>
      <w:marRight w:val="0"/>
      <w:marTop w:val="0"/>
      <w:marBottom w:val="0"/>
      <w:divBdr>
        <w:top w:val="none" w:sz="0" w:space="0" w:color="auto"/>
        <w:left w:val="none" w:sz="0" w:space="0" w:color="auto"/>
        <w:bottom w:val="none" w:sz="0" w:space="0" w:color="auto"/>
        <w:right w:val="none" w:sz="0" w:space="0" w:color="auto"/>
      </w:divBdr>
    </w:div>
    <w:div w:id="903370537">
      <w:bodyDiv w:val="1"/>
      <w:marLeft w:val="0"/>
      <w:marRight w:val="0"/>
      <w:marTop w:val="0"/>
      <w:marBottom w:val="0"/>
      <w:divBdr>
        <w:top w:val="none" w:sz="0" w:space="0" w:color="auto"/>
        <w:left w:val="none" w:sz="0" w:space="0" w:color="auto"/>
        <w:bottom w:val="none" w:sz="0" w:space="0" w:color="auto"/>
        <w:right w:val="none" w:sz="0" w:space="0" w:color="auto"/>
      </w:divBdr>
    </w:div>
    <w:div w:id="903375739">
      <w:bodyDiv w:val="1"/>
      <w:marLeft w:val="0"/>
      <w:marRight w:val="0"/>
      <w:marTop w:val="0"/>
      <w:marBottom w:val="0"/>
      <w:divBdr>
        <w:top w:val="none" w:sz="0" w:space="0" w:color="auto"/>
        <w:left w:val="none" w:sz="0" w:space="0" w:color="auto"/>
        <w:bottom w:val="none" w:sz="0" w:space="0" w:color="auto"/>
        <w:right w:val="none" w:sz="0" w:space="0" w:color="auto"/>
      </w:divBdr>
    </w:div>
    <w:div w:id="904145794">
      <w:bodyDiv w:val="1"/>
      <w:marLeft w:val="0"/>
      <w:marRight w:val="0"/>
      <w:marTop w:val="0"/>
      <w:marBottom w:val="0"/>
      <w:divBdr>
        <w:top w:val="none" w:sz="0" w:space="0" w:color="auto"/>
        <w:left w:val="none" w:sz="0" w:space="0" w:color="auto"/>
        <w:bottom w:val="none" w:sz="0" w:space="0" w:color="auto"/>
        <w:right w:val="none" w:sz="0" w:space="0" w:color="auto"/>
      </w:divBdr>
    </w:div>
    <w:div w:id="904221197">
      <w:bodyDiv w:val="1"/>
      <w:marLeft w:val="0"/>
      <w:marRight w:val="0"/>
      <w:marTop w:val="0"/>
      <w:marBottom w:val="0"/>
      <w:divBdr>
        <w:top w:val="none" w:sz="0" w:space="0" w:color="auto"/>
        <w:left w:val="none" w:sz="0" w:space="0" w:color="auto"/>
        <w:bottom w:val="none" w:sz="0" w:space="0" w:color="auto"/>
        <w:right w:val="none" w:sz="0" w:space="0" w:color="auto"/>
      </w:divBdr>
    </w:div>
    <w:div w:id="904490479">
      <w:bodyDiv w:val="1"/>
      <w:marLeft w:val="0"/>
      <w:marRight w:val="0"/>
      <w:marTop w:val="0"/>
      <w:marBottom w:val="0"/>
      <w:divBdr>
        <w:top w:val="none" w:sz="0" w:space="0" w:color="auto"/>
        <w:left w:val="none" w:sz="0" w:space="0" w:color="auto"/>
        <w:bottom w:val="none" w:sz="0" w:space="0" w:color="auto"/>
        <w:right w:val="none" w:sz="0" w:space="0" w:color="auto"/>
      </w:divBdr>
    </w:div>
    <w:div w:id="904612192">
      <w:bodyDiv w:val="1"/>
      <w:marLeft w:val="0"/>
      <w:marRight w:val="0"/>
      <w:marTop w:val="0"/>
      <w:marBottom w:val="0"/>
      <w:divBdr>
        <w:top w:val="none" w:sz="0" w:space="0" w:color="auto"/>
        <w:left w:val="none" w:sz="0" w:space="0" w:color="auto"/>
        <w:bottom w:val="none" w:sz="0" w:space="0" w:color="auto"/>
        <w:right w:val="none" w:sz="0" w:space="0" w:color="auto"/>
      </w:divBdr>
    </w:div>
    <w:div w:id="904756882">
      <w:bodyDiv w:val="1"/>
      <w:marLeft w:val="0"/>
      <w:marRight w:val="0"/>
      <w:marTop w:val="0"/>
      <w:marBottom w:val="0"/>
      <w:divBdr>
        <w:top w:val="none" w:sz="0" w:space="0" w:color="auto"/>
        <w:left w:val="none" w:sz="0" w:space="0" w:color="auto"/>
        <w:bottom w:val="none" w:sz="0" w:space="0" w:color="auto"/>
        <w:right w:val="none" w:sz="0" w:space="0" w:color="auto"/>
      </w:divBdr>
    </w:div>
    <w:div w:id="904796541">
      <w:bodyDiv w:val="1"/>
      <w:marLeft w:val="0"/>
      <w:marRight w:val="0"/>
      <w:marTop w:val="0"/>
      <w:marBottom w:val="0"/>
      <w:divBdr>
        <w:top w:val="none" w:sz="0" w:space="0" w:color="auto"/>
        <w:left w:val="none" w:sz="0" w:space="0" w:color="auto"/>
        <w:bottom w:val="none" w:sz="0" w:space="0" w:color="auto"/>
        <w:right w:val="none" w:sz="0" w:space="0" w:color="auto"/>
      </w:divBdr>
    </w:div>
    <w:div w:id="905601870">
      <w:bodyDiv w:val="1"/>
      <w:marLeft w:val="0"/>
      <w:marRight w:val="0"/>
      <w:marTop w:val="0"/>
      <w:marBottom w:val="0"/>
      <w:divBdr>
        <w:top w:val="none" w:sz="0" w:space="0" w:color="auto"/>
        <w:left w:val="none" w:sz="0" w:space="0" w:color="auto"/>
        <w:bottom w:val="none" w:sz="0" w:space="0" w:color="auto"/>
        <w:right w:val="none" w:sz="0" w:space="0" w:color="auto"/>
      </w:divBdr>
    </w:div>
    <w:div w:id="905844023">
      <w:bodyDiv w:val="1"/>
      <w:marLeft w:val="0"/>
      <w:marRight w:val="0"/>
      <w:marTop w:val="0"/>
      <w:marBottom w:val="0"/>
      <w:divBdr>
        <w:top w:val="none" w:sz="0" w:space="0" w:color="auto"/>
        <w:left w:val="none" w:sz="0" w:space="0" w:color="auto"/>
        <w:bottom w:val="none" w:sz="0" w:space="0" w:color="auto"/>
        <w:right w:val="none" w:sz="0" w:space="0" w:color="auto"/>
      </w:divBdr>
    </w:div>
    <w:div w:id="906916892">
      <w:bodyDiv w:val="1"/>
      <w:marLeft w:val="0"/>
      <w:marRight w:val="0"/>
      <w:marTop w:val="0"/>
      <w:marBottom w:val="0"/>
      <w:divBdr>
        <w:top w:val="none" w:sz="0" w:space="0" w:color="auto"/>
        <w:left w:val="none" w:sz="0" w:space="0" w:color="auto"/>
        <w:bottom w:val="none" w:sz="0" w:space="0" w:color="auto"/>
        <w:right w:val="none" w:sz="0" w:space="0" w:color="auto"/>
      </w:divBdr>
    </w:div>
    <w:div w:id="908422407">
      <w:bodyDiv w:val="1"/>
      <w:marLeft w:val="0"/>
      <w:marRight w:val="0"/>
      <w:marTop w:val="0"/>
      <w:marBottom w:val="0"/>
      <w:divBdr>
        <w:top w:val="none" w:sz="0" w:space="0" w:color="auto"/>
        <w:left w:val="none" w:sz="0" w:space="0" w:color="auto"/>
        <w:bottom w:val="none" w:sz="0" w:space="0" w:color="auto"/>
        <w:right w:val="none" w:sz="0" w:space="0" w:color="auto"/>
      </w:divBdr>
    </w:div>
    <w:div w:id="909123498">
      <w:bodyDiv w:val="1"/>
      <w:marLeft w:val="0"/>
      <w:marRight w:val="0"/>
      <w:marTop w:val="0"/>
      <w:marBottom w:val="0"/>
      <w:divBdr>
        <w:top w:val="none" w:sz="0" w:space="0" w:color="auto"/>
        <w:left w:val="none" w:sz="0" w:space="0" w:color="auto"/>
        <w:bottom w:val="none" w:sz="0" w:space="0" w:color="auto"/>
        <w:right w:val="none" w:sz="0" w:space="0" w:color="auto"/>
      </w:divBdr>
    </w:div>
    <w:div w:id="909462729">
      <w:bodyDiv w:val="1"/>
      <w:marLeft w:val="0"/>
      <w:marRight w:val="0"/>
      <w:marTop w:val="0"/>
      <w:marBottom w:val="0"/>
      <w:divBdr>
        <w:top w:val="none" w:sz="0" w:space="0" w:color="auto"/>
        <w:left w:val="none" w:sz="0" w:space="0" w:color="auto"/>
        <w:bottom w:val="none" w:sz="0" w:space="0" w:color="auto"/>
        <w:right w:val="none" w:sz="0" w:space="0" w:color="auto"/>
      </w:divBdr>
    </w:div>
    <w:div w:id="910309709">
      <w:bodyDiv w:val="1"/>
      <w:marLeft w:val="0"/>
      <w:marRight w:val="0"/>
      <w:marTop w:val="0"/>
      <w:marBottom w:val="0"/>
      <w:divBdr>
        <w:top w:val="none" w:sz="0" w:space="0" w:color="auto"/>
        <w:left w:val="none" w:sz="0" w:space="0" w:color="auto"/>
        <w:bottom w:val="none" w:sz="0" w:space="0" w:color="auto"/>
        <w:right w:val="none" w:sz="0" w:space="0" w:color="auto"/>
      </w:divBdr>
    </w:div>
    <w:div w:id="910892130">
      <w:bodyDiv w:val="1"/>
      <w:marLeft w:val="0"/>
      <w:marRight w:val="0"/>
      <w:marTop w:val="0"/>
      <w:marBottom w:val="0"/>
      <w:divBdr>
        <w:top w:val="none" w:sz="0" w:space="0" w:color="auto"/>
        <w:left w:val="none" w:sz="0" w:space="0" w:color="auto"/>
        <w:bottom w:val="none" w:sz="0" w:space="0" w:color="auto"/>
        <w:right w:val="none" w:sz="0" w:space="0" w:color="auto"/>
      </w:divBdr>
    </w:div>
    <w:div w:id="912349992">
      <w:bodyDiv w:val="1"/>
      <w:marLeft w:val="0"/>
      <w:marRight w:val="0"/>
      <w:marTop w:val="0"/>
      <w:marBottom w:val="0"/>
      <w:divBdr>
        <w:top w:val="none" w:sz="0" w:space="0" w:color="auto"/>
        <w:left w:val="none" w:sz="0" w:space="0" w:color="auto"/>
        <w:bottom w:val="none" w:sz="0" w:space="0" w:color="auto"/>
        <w:right w:val="none" w:sz="0" w:space="0" w:color="auto"/>
      </w:divBdr>
    </w:div>
    <w:div w:id="912392216">
      <w:bodyDiv w:val="1"/>
      <w:marLeft w:val="0"/>
      <w:marRight w:val="0"/>
      <w:marTop w:val="0"/>
      <w:marBottom w:val="0"/>
      <w:divBdr>
        <w:top w:val="none" w:sz="0" w:space="0" w:color="auto"/>
        <w:left w:val="none" w:sz="0" w:space="0" w:color="auto"/>
        <w:bottom w:val="none" w:sz="0" w:space="0" w:color="auto"/>
        <w:right w:val="none" w:sz="0" w:space="0" w:color="auto"/>
      </w:divBdr>
    </w:div>
    <w:div w:id="912809777">
      <w:bodyDiv w:val="1"/>
      <w:marLeft w:val="0"/>
      <w:marRight w:val="0"/>
      <w:marTop w:val="0"/>
      <w:marBottom w:val="0"/>
      <w:divBdr>
        <w:top w:val="none" w:sz="0" w:space="0" w:color="auto"/>
        <w:left w:val="none" w:sz="0" w:space="0" w:color="auto"/>
        <w:bottom w:val="none" w:sz="0" w:space="0" w:color="auto"/>
        <w:right w:val="none" w:sz="0" w:space="0" w:color="auto"/>
      </w:divBdr>
    </w:div>
    <w:div w:id="912813943">
      <w:bodyDiv w:val="1"/>
      <w:marLeft w:val="0"/>
      <w:marRight w:val="0"/>
      <w:marTop w:val="0"/>
      <w:marBottom w:val="0"/>
      <w:divBdr>
        <w:top w:val="none" w:sz="0" w:space="0" w:color="auto"/>
        <w:left w:val="none" w:sz="0" w:space="0" w:color="auto"/>
        <w:bottom w:val="none" w:sz="0" w:space="0" w:color="auto"/>
        <w:right w:val="none" w:sz="0" w:space="0" w:color="auto"/>
      </w:divBdr>
    </w:div>
    <w:div w:id="913592522">
      <w:bodyDiv w:val="1"/>
      <w:marLeft w:val="0"/>
      <w:marRight w:val="0"/>
      <w:marTop w:val="0"/>
      <w:marBottom w:val="0"/>
      <w:divBdr>
        <w:top w:val="none" w:sz="0" w:space="0" w:color="auto"/>
        <w:left w:val="none" w:sz="0" w:space="0" w:color="auto"/>
        <w:bottom w:val="none" w:sz="0" w:space="0" w:color="auto"/>
        <w:right w:val="none" w:sz="0" w:space="0" w:color="auto"/>
      </w:divBdr>
    </w:div>
    <w:div w:id="913903305">
      <w:bodyDiv w:val="1"/>
      <w:marLeft w:val="0"/>
      <w:marRight w:val="0"/>
      <w:marTop w:val="0"/>
      <w:marBottom w:val="0"/>
      <w:divBdr>
        <w:top w:val="none" w:sz="0" w:space="0" w:color="auto"/>
        <w:left w:val="none" w:sz="0" w:space="0" w:color="auto"/>
        <w:bottom w:val="none" w:sz="0" w:space="0" w:color="auto"/>
        <w:right w:val="none" w:sz="0" w:space="0" w:color="auto"/>
      </w:divBdr>
    </w:div>
    <w:div w:id="914169129">
      <w:bodyDiv w:val="1"/>
      <w:marLeft w:val="0"/>
      <w:marRight w:val="0"/>
      <w:marTop w:val="0"/>
      <w:marBottom w:val="0"/>
      <w:divBdr>
        <w:top w:val="none" w:sz="0" w:space="0" w:color="auto"/>
        <w:left w:val="none" w:sz="0" w:space="0" w:color="auto"/>
        <w:bottom w:val="none" w:sz="0" w:space="0" w:color="auto"/>
        <w:right w:val="none" w:sz="0" w:space="0" w:color="auto"/>
      </w:divBdr>
    </w:div>
    <w:div w:id="915749815">
      <w:bodyDiv w:val="1"/>
      <w:marLeft w:val="0"/>
      <w:marRight w:val="0"/>
      <w:marTop w:val="0"/>
      <w:marBottom w:val="0"/>
      <w:divBdr>
        <w:top w:val="none" w:sz="0" w:space="0" w:color="auto"/>
        <w:left w:val="none" w:sz="0" w:space="0" w:color="auto"/>
        <w:bottom w:val="none" w:sz="0" w:space="0" w:color="auto"/>
        <w:right w:val="none" w:sz="0" w:space="0" w:color="auto"/>
      </w:divBdr>
    </w:div>
    <w:div w:id="916094923">
      <w:bodyDiv w:val="1"/>
      <w:marLeft w:val="0"/>
      <w:marRight w:val="0"/>
      <w:marTop w:val="0"/>
      <w:marBottom w:val="0"/>
      <w:divBdr>
        <w:top w:val="none" w:sz="0" w:space="0" w:color="auto"/>
        <w:left w:val="none" w:sz="0" w:space="0" w:color="auto"/>
        <w:bottom w:val="none" w:sz="0" w:space="0" w:color="auto"/>
        <w:right w:val="none" w:sz="0" w:space="0" w:color="auto"/>
      </w:divBdr>
    </w:div>
    <w:div w:id="916134885">
      <w:bodyDiv w:val="1"/>
      <w:marLeft w:val="0"/>
      <w:marRight w:val="0"/>
      <w:marTop w:val="0"/>
      <w:marBottom w:val="0"/>
      <w:divBdr>
        <w:top w:val="none" w:sz="0" w:space="0" w:color="auto"/>
        <w:left w:val="none" w:sz="0" w:space="0" w:color="auto"/>
        <w:bottom w:val="none" w:sz="0" w:space="0" w:color="auto"/>
        <w:right w:val="none" w:sz="0" w:space="0" w:color="auto"/>
      </w:divBdr>
    </w:div>
    <w:div w:id="916671987">
      <w:bodyDiv w:val="1"/>
      <w:marLeft w:val="0"/>
      <w:marRight w:val="0"/>
      <w:marTop w:val="0"/>
      <w:marBottom w:val="0"/>
      <w:divBdr>
        <w:top w:val="none" w:sz="0" w:space="0" w:color="auto"/>
        <w:left w:val="none" w:sz="0" w:space="0" w:color="auto"/>
        <w:bottom w:val="none" w:sz="0" w:space="0" w:color="auto"/>
        <w:right w:val="none" w:sz="0" w:space="0" w:color="auto"/>
      </w:divBdr>
    </w:div>
    <w:div w:id="916793346">
      <w:bodyDiv w:val="1"/>
      <w:marLeft w:val="0"/>
      <w:marRight w:val="0"/>
      <w:marTop w:val="0"/>
      <w:marBottom w:val="0"/>
      <w:divBdr>
        <w:top w:val="none" w:sz="0" w:space="0" w:color="auto"/>
        <w:left w:val="none" w:sz="0" w:space="0" w:color="auto"/>
        <w:bottom w:val="none" w:sz="0" w:space="0" w:color="auto"/>
        <w:right w:val="none" w:sz="0" w:space="0" w:color="auto"/>
      </w:divBdr>
    </w:div>
    <w:div w:id="917519824">
      <w:bodyDiv w:val="1"/>
      <w:marLeft w:val="0"/>
      <w:marRight w:val="0"/>
      <w:marTop w:val="0"/>
      <w:marBottom w:val="0"/>
      <w:divBdr>
        <w:top w:val="none" w:sz="0" w:space="0" w:color="auto"/>
        <w:left w:val="none" w:sz="0" w:space="0" w:color="auto"/>
        <w:bottom w:val="none" w:sz="0" w:space="0" w:color="auto"/>
        <w:right w:val="none" w:sz="0" w:space="0" w:color="auto"/>
      </w:divBdr>
    </w:div>
    <w:div w:id="919018948">
      <w:bodyDiv w:val="1"/>
      <w:marLeft w:val="0"/>
      <w:marRight w:val="0"/>
      <w:marTop w:val="0"/>
      <w:marBottom w:val="0"/>
      <w:divBdr>
        <w:top w:val="none" w:sz="0" w:space="0" w:color="auto"/>
        <w:left w:val="none" w:sz="0" w:space="0" w:color="auto"/>
        <w:bottom w:val="none" w:sz="0" w:space="0" w:color="auto"/>
        <w:right w:val="none" w:sz="0" w:space="0" w:color="auto"/>
      </w:divBdr>
    </w:div>
    <w:div w:id="919946491">
      <w:bodyDiv w:val="1"/>
      <w:marLeft w:val="0"/>
      <w:marRight w:val="0"/>
      <w:marTop w:val="0"/>
      <w:marBottom w:val="0"/>
      <w:divBdr>
        <w:top w:val="none" w:sz="0" w:space="0" w:color="auto"/>
        <w:left w:val="none" w:sz="0" w:space="0" w:color="auto"/>
        <w:bottom w:val="none" w:sz="0" w:space="0" w:color="auto"/>
        <w:right w:val="none" w:sz="0" w:space="0" w:color="auto"/>
      </w:divBdr>
    </w:div>
    <w:div w:id="920069834">
      <w:bodyDiv w:val="1"/>
      <w:marLeft w:val="0"/>
      <w:marRight w:val="0"/>
      <w:marTop w:val="0"/>
      <w:marBottom w:val="0"/>
      <w:divBdr>
        <w:top w:val="none" w:sz="0" w:space="0" w:color="auto"/>
        <w:left w:val="none" w:sz="0" w:space="0" w:color="auto"/>
        <w:bottom w:val="none" w:sz="0" w:space="0" w:color="auto"/>
        <w:right w:val="none" w:sz="0" w:space="0" w:color="auto"/>
      </w:divBdr>
    </w:div>
    <w:div w:id="920331529">
      <w:bodyDiv w:val="1"/>
      <w:marLeft w:val="0"/>
      <w:marRight w:val="0"/>
      <w:marTop w:val="0"/>
      <w:marBottom w:val="0"/>
      <w:divBdr>
        <w:top w:val="none" w:sz="0" w:space="0" w:color="auto"/>
        <w:left w:val="none" w:sz="0" w:space="0" w:color="auto"/>
        <w:bottom w:val="none" w:sz="0" w:space="0" w:color="auto"/>
        <w:right w:val="none" w:sz="0" w:space="0" w:color="auto"/>
      </w:divBdr>
    </w:div>
    <w:div w:id="920453278">
      <w:bodyDiv w:val="1"/>
      <w:marLeft w:val="0"/>
      <w:marRight w:val="0"/>
      <w:marTop w:val="0"/>
      <w:marBottom w:val="0"/>
      <w:divBdr>
        <w:top w:val="none" w:sz="0" w:space="0" w:color="auto"/>
        <w:left w:val="none" w:sz="0" w:space="0" w:color="auto"/>
        <w:bottom w:val="none" w:sz="0" w:space="0" w:color="auto"/>
        <w:right w:val="none" w:sz="0" w:space="0" w:color="auto"/>
      </w:divBdr>
    </w:div>
    <w:div w:id="921717676">
      <w:bodyDiv w:val="1"/>
      <w:marLeft w:val="0"/>
      <w:marRight w:val="0"/>
      <w:marTop w:val="0"/>
      <w:marBottom w:val="0"/>
      <w:divBdr>
        <w:top w:val="none" w:sz="0" w:space="0" w:color="auto"/>
        <w:left w:val="none" w:sz="0" w:space="0" w:color="auto"/>
        <w:bottom w:val="none" w:sz="0" w:space="0" w:color="auto"/>
        <w:right w:val="none" w:sz="0" w:space="0" w:color="auto"/>
      </w:divBdr>
    </w:div>
    <w:div w:id="922683389">
      <w:bodyDiv w:val="1"/>
      <w:marLeft w:val="0"/>
      <w:marRight w:val="0"/>
      <w:marTop w:val="0"/>
      <w:marBottom w:val="0"/>
      <w:divBdr>
        <w:top w:val="none" w:sz="0" w:space="0" w:color="auto"/>
        <w:left w:val="none" w:sz="0" w:space="0" w:color="auto"/>
        <w:bottom w:val="none" w:sz="0" w:space="0" w:color="auto"/>
        <w:right w:val="none" w:sz="0" w:space="0" w:color="auto"/>
      </w:divBdr>
    </w:div>
    <w:div w:id="924191817">
      <w:bodyDiv w:val="1"/>
      <w:marLeft w:val="0"/>
      <w:marRight w:val="0"/>
      <w:marTop w:val="0"/>
      <w:marBottom w:val="0"/>
      <w:divBdr>
        <w:top w:val="none" w:sz="0" w:space="0" w:color="auto"/>
        <w:left w:val="none" w:sz="0" w:space="0" w:color="auto"/>
        <w:bottom w:val="none" w:sz="0" w:space="0" w:color="auto"/>
        <w:right w:val="none" w:sz="0" w:space="0" w:color="auto"/>
      </w:divBdr>
    </w:div>
    <w:div w:id="924262646">
      <w:bodyDiv w:val="1"/>
      <w:marLeft w:val="0"/>
      <w:marRight w:val="0"/>
      <w:marTop w:val="0"/>
      <w:marBottom w:val="0"/>
      <w:divBdr>
        <w:top w:val="none" w:sz="0" w:space="0" w:color="auto"/>
        <w:left w:val="none" w:sz="0" w:space="0" w:color="auto"/>
        <w:bottom w:val="none" w:sz="0" w:space="0" w:color="auto"/>
        <w:right w:val="none" w:sz="0" w:space="0" w:color="auto"/>
      </w:divBdr>
    </w:div>
    <w:div w:id="924918067">
      <w:bodyDiv w:val="1"/>
      <w:marLeft w:val="0"/>
      <w:marRight w:val="0"/>
      <w:marTop w:val="0"/>
      <w:marBottom w:val="0"/>
      <w:divBdr>
        <w:top w:val="none" w:sz="0" w:space="0" w:color="auto"/>
        <w:left w:val="none" w:sz="0" w:space="0" w:color="auto"/>
        <w:bottom w:val="none" w:sz="0" w:space="0" w:color="auto"/>
        <w:right w:val="none" w:sz="0" w:space="0" w:color="auto"/>
      </w:divBdr>
    </w:div>
    <w:div w:id="924920005">
      <w:bodyDiv w:val="1"/>
      <w:marLeft w:val="0"/>
      <w:marRight w:val="0"/>
      <w:marTop w:val="0"/>
      <w:marBottom w:val="0"/>
      <w:divBdr>
        <w:top w:val="none" w:sz="0" w:space="0" w:color="auto"/>
        <w:left w:val="none" w:sz="0" w:space="0" w:color="auto"/>
        <w:bottom w:val="none" w:sz="0" w:space="0" w:color="auto"/>
        <w:right w:val="none" w:sz="0" w:space="0" w:color="auto"/>
      </w:divBdr>
    </w:div>
    <w:div w:id="925068704">
      <w:bodyDiv w:val="1"/>
      <w:marLeft w:val="0"/>
      <w:marRight w:val="0"/>
      <w:marTop w:val="0"/>
      <w:marBottom w:val="0"/>
      <w:divBdr>
        <w:top w:val="none" w:sz="0" w:space="0" w:color="auto"/>
        <w:left w:val="none" w:sz="0" w:space="0" w:color="auto"/>
        <w:bottom w:val="none" w:sz="0" w:space="0" w:color="auto"/>
        <w:right w:val="none" w:sz="0" w:space="0" w:color="auto"/>
      </w:divBdr>
    </w:div>
    <w:div w:id="925725634">
      <w:bodyDiv w:val="1"/>
      <w:marLeft w:val="0"/>
      <w:marRight w:val="0"/>
      <w:marTop w:val="0"/>
      <w:marBottom w:val="0"/>
      <w:divBdr>
        <w:top w:val="none" w:sz="0" w:space="0" w:color="auto"/>
        <w:left w:val="none" w:sz="0" w:space="0" w:color="auto"/>
        <w:bottom w:val="none" w:sz="0" w:space="0" w:color="auto"/>
        <w:right w:val="none" w:sz="0" w:space="0" w:color="auto"/>
      </w:divBdr>
    </w:div>
    <w:div w:id="926886071">
      <w:bodyDiv w:val="1"/>
      <w:marLeft w:val="0"/>
      <w:marRight w:val="0"/>
      <w:marTop w:val="0"/>
      <w:marBottom w:val="0"/>
      <w:divBdr>
        <w:top w:val="none" w:sz="0" w:space="0" w:color="auto"/>
        <w:left w:val="none" w:sz="0" w:space="0" w:color="auto"/>
        <w:bottom w:val="none" w:sz="0" w:space="0" w:color="auto"/>
        <w:right w:val="none" w:sz="0" w:space="0" w:color="auto"/>
      </w:divBdr>
    </w:div>
    <w:div w:id="926966576">
      <w:bodyDiv w:val="1"/>
      <w:marLeft w:val="0"/>
      <w:marRight w:val="0"/>
      <w:marTop w:val="0"/>
      <w:marBottom w:val="0"/>
      <w:divBdr>
        <w:top w:val="none" w:sz="0" w:space="0" w:color="auto"/>
        <w:left w:val="none" w:sz="0" w:space="0" w:color="auto"/>
        <w:bottom w:val="none" w:sz="0" w:space="0" w:color="auto"/>
        <w:right w:val="none" w:sz="0" w:space="0" w:color="auto"/>
      </w:divBdr>
    </w:div>
    <w:div w:id="927083461">
      <w:bodyDiv w:val="1"/>
      <w:marLeft w:val="0"/>
      <w:marRight w:val="0"/>
      <w:marTop w:val="0"/>
      <w:marBottom w:val="0"/>
      <w:divBdr>
        <w:top w:val="none" w:sz="0" w:space="0" w:color="auto"/>
        <w:left w:val="none" w:sz="0" w:space="0" w:color="auto"/>
        <w:bottom w:val="none" w:sz="0" w:space="0" w:color="auto"/>
        <w:right w:val="none" w:sz="0" w:space="0" w:color="auto"/>
      </w:divBdr>
    </w:div>
    <w:div w:id="928856155">
      <w:bodyDiv w:val="1"/>
      <w:marLeft w:val="0"/>
      <w:marRight w:val="0"/>
      <w:marTop w:val="0"/>
      <w:marBottom w:val="0"/>
      <w:divBdr>
        <w:top w:val="none" w:sz="0" w:space="0" w:color="auto"/>
        <w:left w:val="none" w:sz="0" w:space="0" w:color="auto"/>
        <w:bottom w:val="none" w:sz="0" w:space="0" w:color="auto"/>
        <w:right w:val="none" w:sz="0" w:space="0" w:color="auto"/>
      </w:divBdr>
    </w:div>
    <w:div w:id="929001447">
      <w:bodyDiv w:val="1"/>
      <w:marLeft w:val="0"/>
      <w:marRight w:val="0"/>
      <w:marTop w:val="0"/>
      <w:marBottom w:val="0"/>
      <w:divBdr>
        <w:top w:val="none" w:sz="0" w:space="0" w:color="auto"/>
        <w:left w:val="none" w:sz="0" w:space="0" w:color="auto"/>
        <w:bottom w:val="none" w:sz="0" w:space="0" w:color="auto"/>
        <w:right w:val="none" w:sz="0" w:space="0" w:color="auto"/>
      </w:divBdr>
    </w:div>
    <w:div w:id="931624828">
      <w:bodyDiv w:val="1"/>
      <w:marLeft w:val="0"/>
      <w:marRight w:val="0"/>
      <w:marTop w:val="0"/>
      <w:marBottom w:val="0"/>
      <w:divBdr>
        <w:top w:val="none" w:sz="0" w:space="0" w:color="auto"/>
        <w:left w:val="none" w:sz="0" w:space="0" w:color="auto"/>
        <w:bottom w:val="none" w:sz="0" w:space="0" w:color="auto"/>
        <w:right w:val="none" w:sz="0" w:space="0" w:color="auto"/>
      </w:divBdr>
    </w:div>
    <w:div w:id="931744323">
      <w:bodyDiv w:val="1"/>
      <w:marLeft w:val="0"/>
      <w:marRight w:val="0"/>
      <w:marTop w:val="0"/>
      <w:marBottom w:val="0"/>
      <w:divBdr>
        <w:top w:val="none" w:sz="0" w:space="0" w:color="auto"/>
        <w:left w:val="none" w:sz="0" w:space="0" w:color="auto"/>
        <w:bottom w:val="none" w:sz="0" w:space="0" w:color="auto"/>
        <w:right w:val="none" w:sz="0" w:space="0" w:color="auto"/>
      </w:divBdr>
    </w:div>
    <w:div w:id="932592706">
      <w:bodyDiv w:val="1"/>
      <w:marLeft w:val="0"/>
      <w:marRight w:val="0"/>
      <w:marTop w:val="0"/>
      <w:marBottom w:val="0"/>
      <w:divBdr>
        <w:top w:val="none" w:sz="0" w:space="0" w:color="auto"/>
        <w:left w:val="none" w:sz="0" w:space="0" w:color="auto"/>
        <w:bottom w:val="none" w:sz="0" w:space="0" w:color="auto"/>
        <w:right w:val="none" w:sz="0" w:space="0" w:color="auto"/>
      </w:divBdr>
    </w:div>
    <w:div w:id="933168687">
      <w:bodyDiv w:val="1"/>
      <w:marLeft w:val="0"/>
      <w:marRight w:val="0"/>
      <w:marTop w:val="0"/>
      <w:marBottom w:val="0"/>
      <w:divBdr>
        <w:top w:val="none" w:sz="0" w:space="0" w:color="auto"/>
        <w:left w:val="none" w:sz="0" w:space="0" w:color="auto"/>
        <w:bottom w:val="none" w:sz="0" w:space="0" w:color="auto"/>
        <w:right w:val="none" w:sz="0" w:space="0" w:color="auto"/>
      </w:divBdr>
    </w:div>
    <w:div w:id="933592938">
      <w:bodyDiv w:val="1"/>
      <w:marLeft w:val="0"/>
      <w:marRight w:val="0"/>
      <w:marTop w:val="0"/>
      <w:marBottom w:val="0"/>
      <w:divBdr>
        <w:top w:val="none" w:sz="0" w:space="0" w:color="auto"/>
        <w:left w:val="none" w:sz="0" w:space="0" w:color="auto"/>
        <w:bottom w:val="none" w:sz="0" w:space="0" w:color="auto"/>
        <w:right w:val="none" w:sz="0" w:space="0" w:color="auto"/>
      </w:divBdr>
    </w:div>
    <w:div w:id="933778483">
      <w:bodyDiv w:val="1"/>
      <w:marLeft w:val="0"/>
      <w:marRight w:val="0"/>
      <w:marTop w:val="0"/>
      <w:marBottom w:val="0"/>
      <w:divBdr>
        <w:top w:val="none" w:sz="0" w:space="0" w:color="auto"/>
        <w:left w:val="none" w:sz="0" w:space="0" w:color="auto"/>
        <w:bottom w:val="none" w:sz="0" w:space="0" w:color="auto"/>
        <w:right w:val="none" w:sz="0" w:space="0" w:color="auto"/>
      </w:divBdr>
    </w:div>
    <w:div w:id="933787050">
      <w:bodyDiv w:val="1"/>
      <w:marLeft w:val="0"/>
      <w:marRight w:val="0"/>
      <w:marTop w:val="0"/>
      <w:marBottom w:val="0"/>
      <w:divBdr>
        <w:top w:val="none" w:sz="0" w:space="0" w:color="auto"/>
        <w:left w:val="none" w:sz="0" w:space="0" w:color="auto"/>
        <w:bottom w:val="none" w:sz="0" w:space="0" w:color="auto"/>
        <w:right w:val="none" w:sz="0" w:space="0" w:color="auto"/>
      </w:divBdr>
    </w:div>
    <w:div w:id="934091263">
      <w:bodyDiv w:val="1"/>
      <w:marLeft w:val="0"/>
      <w:marRight w:val="0"/>
      <w:marTop w:val="0"/>
      <w:marBottom w:val="0"/>
      <w:divBdr>
        <w:top w:val="none" w:sz="0" w:space="0" w:color="auto"/>
        <w:left w:val="none" w:sz="0" w:space="0" w:color="auto"/>
        <w:bottom w:val="none" w:sz="0" w:space="0" w:color="auto"/>
        <w:right w:val="none" w:sz="0" w:space="0" w:color="auto"/>
      </w:divBdr>
    </w:div>
    <w:div w:id="934284472">
      <w:bodyDiv w:val="1"/>
      <w:marLeft w:val="0"/>
      <w:marRight w:val="0"/>
      <w:marTop w:val="0"/>
      <w:marBottom w:val="0"/>
      <w:divBdr>
        <w:top w:val="none" w:sz="0" w:space="0" w:color="auto"/>
        <w:left w:val="none" w:sz="0" w:space="0" w:color="auto"/>
        <w:bottom w:val="none" w:sz="0" w:space="0" w:color="auto"/>
        <w:right w:val="none" w:sz="0" w:space="0" w:color="auto"/>
      </w:divBdr>
    </w:div>
    <w:div w:id="936325170">
      <w:bodyDiv w:val="1"/>
      <w:marLeft w:val="0"/>
      <w:marRight w:val="0"/>
      <w:marTop w:val="0"/>
      <w:marBottom w:val="0"/>
      <w:divBdr>
        <w:top w:val="none" w:sz="0" w:space="0" w:color="auto"/>
        <w:left w:val="none" w:sz="0" w:space="0" w:color="auto"/>
        <w:bottom w:val="none" w:sz="0" w:space="0" w:color="auto"/>
        <w:right w:val="none" w:sz="0" w:space="0" w:color="auto"/>
      </w:divBdr>
    </w:div>
    <w:div w:id="936642433">
      <w:bodyDiv w:val="1"/>
      <w:marLeft w:val="0"/>
      <w:marRight w:val="0"/>
      <w:marTop w:val="0"/>
      <w:marBottom w:val="0"/>
      <w:divBdr>
        <w:top w:val="none" w:sz="0" w:space="0" w:color="auto"/>
        <w:left w:val="none" w:sz="0" w:space="0" w:color="auto"/>
        <w:bottom w:val="none" w:sz="0" w:space="0" w:color="auto"/>
        <w:right w:val="none" w:sz="0" w:space="0" w:color="auto"/>
      </w:divBdr>
    </w:div>
    <w:div w:id="936643071">
      <w:bodyDiv w:val="1"/>
      <w:marLeft w:val="0"/>
      <w:marRight w:val="0"/>
      <w:marTop w:val="0"/>
      <w:marBottom w:val="0"/>
      <w:divBdr>
        <w:top w:val="none" w:sz="0" w:space="0" w:color="auto"/>
        <w:left w:val="none" w:sz="0" w:space="0" w:color="auto"/>
        <w:bottom w:val="none" w:sz="0" w:space="0" w:color="auto"/>
        <w:right w:val="none" w:sz="0" w:space="0" w:color="auto"/>
      </w:divBdr>
    </w:div>
    <w:div w:id="937566006">
      <w:bodyDiv w:val="1"/>
      <w:marLeft w:val="0"/>
      <w:marRight w:val="0"/>
      <w:marTop w:val="0"/>
      <w:marBottom w:val="0"/>
      <w:divBdr>
        <w:top w:val="none" w:sz="0" w:space="0" w:color="auto"/>
        <w:left w:val="none" w:sz="0" w:space="0" w:color="auto"/>
        <w:bottom w:val="none" w:sz="0" w:space="0" w:color="auto"/>
        <w:right w:val="none" w:sz="0" w:space="0" w:color="auto"/>
      </w:divBdr>
    </w:div>
    <w:div w:id="938411491">
      <w:bodyDiv w:val="1"/>
      <w:marLeft w:val="0"/>
      <w:marRight w:val="0"/>
      <w:marTop w:val="0"/>
      <w:marBottom w:val="0"/>
      <w:divBdr>
        <w:top w:val="none" w:sz="0" w:space="0" w:color="auto"/>
        <w:left w:val="none" w:sz="0" w:space="0" w:color="auto"/>
        <w:bottom w:val="none" w:sz="0" w:space="0" w:color="auto"/>
        <w:right w:val="none" w:sz="0" w:space="0" w:color="auto"/>
      </w:divBdr>
    </w:div>
    <w:div w:id="938682177">
      <w:bodyDiv w:val="1"/>
      <w:marLeft w:val="0"/>
      <w:marRight w:val="0"/>
      <w:marTop w:val="0"/>
      <w:marBottom w:val="0"/>
      <w:divBdr>
        <w:top w:val="none" w:sz="0" w:space="0" w:color="auto"/>
        <w:left w:val="none" w:sz="0" w:space="0" w:color="auto"/>
        <w:bottom w:val="none" w:sz="0" w:space="0" w:color="auto"/>
        <w:right w:val="none" w:sz="0" w:space="0" w:color="auto"/>
      </w:divBdr>
    </w:div>
    <w:div w:id="939147436">
      <w:bodyDiv w:val="1"/>
      <w:marLeft w:val="0"/>
      <w:marRight w:val="0"/>
      <w:marTop w:val="0"/>
      <w:marBottom w:val="0"/>
      <w:divBdr>
        <w:top w:val="none" w:sz="0" w:space="0" w:color="auto"/>
        <w:left w:val="none" w:sz="0" w:space="0" w:color="auto"/>
        <w:bottom w:val="none" w:sz="0" w:space="0" w:color="auto"/>
        <w:right w:val="none" w:sz="0" w:space="0" w:color="auto"/>
      </w:divBdr>
    </w:div>
    <w:div w:id="939335243">
      <w:bodyDiv w:val="1"/>
      <w:marLeft w:val="0"/>
      <w:marRight w:val="0"/>
      <w:marTop w:val="0"/>
      <w:marBottom w:val="0"/>
      <w:divBdr>
        <w:top w:val="none" w:sz="0" w:space="0" w:color="auto"/>
        <w:left w:val="none" w:sz="0" w:space="0" w:color="auto"/>
        <w:bottom w:val="none" w:sz="0" w:space="0" w:color="auto"/>
        <w:right w:val="none" w:sz="0" w:space="0" w:color="auto"/>
      </w:divBdr>
    </w:div>
    <w:div w:id="939991069">
      <w:bodyDiv w:val="1"/>
      <w:marLeft w:val="0"/>
      <w:marRight w:val="0"/>
      <w:marTop w:val="0"/>
      <w:marBottom w:val="0"/>
      <w:divBdr>
        <w:top w:val="none" w:sz="0" w:space="0" w:color="auto"/>
        <w:left w:val="none" w:sz="0" w:space="0" w:color="auto"/>
        <w:bottom w:val="none" w:sz="0" w:space="0" w:color="auto"/>
        <w:right w:val="none" w:sz="0" w:space="0" w:color="auto"/>
      </w:divBdr>
    </w:div>
    <w:div w:id="940449867">
      <w:bodyDiv w:val="1"/>
      <w:marLeft w:val="0"/>
      <w:marRight w:val="0"/>
      <w:marTop w:val="0"/>
      <w:marBottom w:val="0"/>
      <w:divBdr>
        <w:top w:val="none" w:sz="0" w:space="0" w:color="auto"/>
        <w:left w:val="none" w:sz="0" w:space="0" w:color="auto"/>
        <w:bottom w:val="none" w:sz="0" w:space="0" w:color="auto"/>
        <w:right w:val="none" w:sz="0" w:space="0" w:color="auto"/>
      </w:divBdr>
    </w:div>
    <w:div w:id="940456691">
      <w:bodyDiv w:val="1"/>
      <w:marLeft w:val="0"/>
      <w:marRight w:val="0"/>
      <w:marTop w:val="0"/>
      <w:marBottom w:val="0"/>
      <w:divBdr>
        <w:top w:val="none" w:sz="0" w:space="0" w:color="auto"/>
        <w:left w:val="none" w:sz="0" w:space="0" w:color="auto"/>
        <w:bottom w:val="none" w:sz="0" w:space="0" w:color="auto"/>
        <w:right w:val="none" w:sz="0" w:space="0" w:color="auto"/>
      </w:divBdr>
    </w:div>
    <w:div w:id="940646073">
      <w:bodyDiv w:val="1"/>
      <w:marLeft w:val="0"/>
      <w:marRight w:val="0"/>
      <w:marTop w:val="0"/>
      <w:marBottom w:val="0"/>
      <w:divBdr>
        <w:top w:val="none" w:sz="0" w:space="0" w:color="auto"/>
        <w:left w:val="none" w:sz="0" w:space="0" w:color="auto"/>
        <w:bottom w:val="none" w:sz="0" w:space="0" w:color="auto"/>
        <w:right w:val="none" w:sz="0" w:space="0" w:color="auto"/>
      </w:divBdr>
    </w:div>
    <w:div w:id="941108296">
      <w:bodyDiv w:val="1"/>
      <w:marLeft w:val="0"/>
      <w:marRight w:val="0"/>
      <w:marTop w:val="0"/>
      <w:marBottom w:val="0"/>
      <w:divBdr>
        <w:top w:val="none" w:sz="0" w:space="0" w:color="auto"/>
        <w:left w:val="none" w:sz="0" w:space="0" w:color="auto"/>
        <w:bottom w:val="none" w:sz="0" w:space="0" w:color="auto"/>
        <w:right w:val="none" w:sz="0" w:space="0" w:color="auto"/>
      </w:divBdr>
    </w:div>
    <w:div w:id="941760610">
      <w:bodyDiv w:val="1"/>
      <w:marLeft w:val="0"/>
      <w:marRight w:val="0"/>
      <w:marTop w:val="0"/>
      <w:marBottom w:val="0"/>
      <w:divBdr>
        <w:top w:val="none" w:sz="0" w:space="0" w:color="auto"/>
        <w:left w:val="none" w:sz="0" w:space="0" w:color="auto"/>
        <w:bottom w:val="none" w:sz="0" w:space="0" w:color="auto"/>
        <w:right w:val="none" w:sz="0" w:space="0" w:color="auto"/>
      </w:divBdr>
    </w:div>
    <w:div w:id="942146383">
      <w:bodyDiv w:val="1"/>
      <w:marLeft w:val="0"/>
      <w:marRight w:val="0"/>
      <w:marTop w:val="0"/>
      <w:marBottom w:val="0"/>
      <w:divBdr>
        <w:top w:val="none" w:sz="0" w:space="0" w:color="auto"/>
        <w:left w:val="none" w:sz="0" w:space="0" w:color="auto"/>
        <w:bottom w:val="none" w:sz="0" w:space="0" w:color="auto"/>
        <w:right w:val="none" w:sz="0" w:space="0" w:color="auto"/>
      </w:divBdr>
    </w:div>
    <w:div w:id="942151994">
      <w:bodyDiv w:val="1"/>
      <w:marLeft w:val="0"/>
      <w:marRight w:val="0"/>
      <w:marTop w:val="0"/>
      <w:marBottom w:val="0"/>
      <w:divBdr>
        <w:top w:val="none" w:sz="0" w:space="0" w:color="auto"/>
        <w:left w:val="none" w:sz="0" w:space="0" w:color="auto"/>
        <w:bottom w:val="none" w:sz="0" w:space="0" w:color="auto"/>
        <w:right w:val="none" w:sz="0" w:space="0" w:color="auto"/>
      </w:divBdr>
      <w:divsChild>
        <w:div w:id="2069497841">
          <w:marLeft w:val="0"/>
          <w:marRight w:val="0"/>
          <w:marTop w:val="0"/>
          <w:marBottom w:val="0"/>
          <w:divBdr>
            <w:top w:val="none" w:sz="0" w:space="0" w:color="auto"/>
            <w:left w:val="none" w:sz="0" w:space="0" w:color="auto"/>
            <w:bottom w:val="none" w:sz="0" w:space="0" w:color="auto"/>
            <w:right w:val="none" w:sz="0" w:space="0" w:color="auto"/>
          </w:divBdr>
        </w:div>
        <w:div w:id="1039546777">
          <w:marLeft w:val="0"/>
          <w:marRight w:val="0"/>
          <w:marTop w:val="0"/>
          <w:marBottom w:val="0"/>
          <w:divBdr>
            <w:top w:val="none" w:sz="0" w:space="0" w:color="auto"/>
            <w:left w:val="none" w:sz="0" w:space="0" w:color="auto"/>
            <w:bottom w:val="none" w:sz="0" w:space="0" w:color="auto"/>
            <w:right w:val="none" w:sz="0" w:space="0" w:color="auto"/>
          </w:divBdr>
        </w:div>
        <w:div w:id="1267080405">
          <w:marLeft w:val="0"/>
          <w:marRight w:val="0"/>
          <w:marTop w:val="0"/>
          <w:marBottom w:val="0"/>
          <w:divBdr>
            <w:top w:val="none" w:sz="0" w:space="0" w:color="auto"/>
            <w:left w:val="none" w:sz="0" w:space="0" w:color="auto"/>
            <w:bottom w:val="none" w:sz="0" w:space="0" w:color="auto"/>
            <w:right w:val="none" w:sz="0" w:space="0" w:color="auto"/>
          </w:divBdr>
        </w:div>
      </w:divsChild>
    </w:div>
    <w:div w:id="942491963">
      <w:bodyDiv w:val="1"/>
      <w:marLeft w:val="0"/>
      <w:marRight w:val="0"/>
      <w:marTop w:val="0"/>
      <w:marBottom w:val="0"/>
      <w:divBdr>
        <w:top w:val="none" w:sz="0" w:space="0" w:color="auto"/>
        <w:left w:val="none" w:sz="0" w:space="0" w:color="auto"/>
        <w:bottom w:val="none" w:sz="0" w:space="0" w:color="auto"/>
        <w:right w:val="none" w:sz="0" w:space="0" w:color="auto"/>
      </w:divBdr>
    </w:div>
    <w:div w:id="942571237">
      <w:bodyDiv w:val="1"/>
      <w:marLeft w:val="0"/>
      <w:marRight w:val="0"/>
      <w:marTop w:val="0"/>
      <w:marBottom w:val="0"/>
      <w:divBdr>
        <w:top w:val="none" w:sz="0" w:space="0" w:color="auto"/>
        <w:left w:val="none" w:sz="0" w:space="0" w:color="auto"/>
        <w:bottom w:val="none" w:sz="0" w:space="0" w:color="auto"/>
        <w:right w:val="none" w:sz="0" w:space="0" w:color="auto"/>
      </w:divBdr>
    </w:div>
    <w:div w:id="943610158">
      <w:bodyDiv w:val="1"/>
      <w:marLeft w:val="0"/>
      <w:marRight w:val="0"/>
      <w:marTop w:val="0"/>
      <w:marBottom w:val="0"/>
      <w:divBdr>
        <w:top w:val="none" w:sz="0" w:space="0" w:color="auto"/>
        <w:left w:val="none" w:sz="0" w:space="0" w:color="auto"/>
        <w:bottom w:val="none" w:sz="0" w:space="0" w:color="auto"/>
        <w:right w:val="none" w:sz="0" w:space="0" w:color="auto"/>
      </w:divBdr>
    </w:div>
    <w:div w:id="943998818">
      <w:bodyDiv w:val="1"/>
      <w:marLeft w:val="0"/>
      <w:marRight w:val="0"/>
      <w:marTop w:val="0"/>
      <w:marBottom w:val="0"/>
      <w:divBdr>
        <w:top w:val="none" w:sz="0" w:space="0" w:color="auto"/>
        <w:left w:val="none" w:sz="0" w:space="0" w:color="auto"/>
        <w:bottom w:val="none" w:sz="0" w:space="0" w:color="auto"/>
        <w:right w:val="none" w:sz="0" w:space="0" w:color="auto"/>
      </w:divBdr>
    </w:div>
    <w:div w:id="944460543">
      <w:bodyDiv w:val="1"/>
      <w:marLeft w:val="0"/>
      <w:marRight w:val="0"/>
      <w:marTop w:val="0"/>
      <w:marBottom w:val="0"/>
      <w:divBdr>
        <w:top w:val="none" w:sz="0" w:space="0" w:color="auto"/>
        <w:left w:val="none" w:sz="0" w:space="0" w:color="auto"/>
        <w:bottom w:val="none" w:sz="0" w:space="0" w:color="auto"/>
        <w:right w:val="none" w:sz="0" w:space="0" w:color="auto"/>
      </w:divBdr>
    </w:div>
    <w:div w:id="944574056">
      <w:bodyDiv w:val="1"/>
      <w:marLeft w:val="0"/>
      <w:marRight w:val="0"/>
      <w:marTop w:val="0"/>
      <w:marBottom w:val="0"/>
      <w:divBdr>
        <w:top w:val="none" w:sz="0" w:space="0" w:color="auto"/>
        <w:left w:val="none" w:sz="0" w:space="0" w:color="auto"/>
        <w:bottom w:val="none" w:sz="0" w:space="0" w:color="auto"/>
        <w:right w:val="none" w:sz="0" w:space="0" w:color="auto"/>
      </w:divBdr>
    </w:div>
    <w:div w:id="945575800">
      <w:bodyDiv w:val="1"/>
      <w:marLeft w:val="0"/>
      <w:marRight w:val="0"/>
      <w:marTop w:val="0"/>
      <w:marBottom w:val="0"/>
      <w:divBdr>
        <w:top w:val="none" w:sz="0" w:space="0" w:color="auto"/>
        <w:left w:val="none" w:sz="0" w:space="0" w:color="auto"/>
        <w:bottom w:val="none" w:sz="0" w:space="0" w:color="auto"/>
        <w:right w:val="none" w:sz="0" w:space="0" w:color="auto"/>
      </w:divBdr>
    </w:div>
    <w:div w:id="946503046">
      <w:bodyDiv w:val="1"/>
      <w:marLeft w:val="0"/>
      <w:marRight w:val="0"/>
      <w:marTop w:val="0"/>
      <w:marBottom w:val="0"/>
      <w:divBdr>
        <w:top w:val="none" w:sz="0" w:space="0" w:color="auto"/>
        <w:left w:val="none" w:sz="0" w:space="0" w:color="auto"/>
        <w:bottom w:val="none" w:sz="0" w:space="0" w:color="auto"/>
        <w:right w:val="none" w:sz="0" w:space="0" w:color="auto"/>
      </w:divBdr>
    </w:div>
    <w:div w:id="946738755">
      <w:bodyDiv w:val="1"/>
      <w:marLeft w:val="0"/>
      <w:marRight w:val="0"/>
      <w:marTop w:val="0"/>
      <w:marBottom w:val="0"/>
      <w:divBdr>
        <w:top w:val="none" w:sz="0" w:space="0" w:color="auto"/>
        <w:left w:val="none" w:sz="0" w:space="0" w:color="auto"/>
        <w:bottom w:val="none" w:sz="0" w:space="0" w:color="auto"/>
        <w:right w:val="none" w:sz="0" w:space="0" w:color="auto"/>
      </w:divBdr>
    </w:div>
    <w:div w:id="946815150">
      <w:bodyDiv w:val="1"/>
      <w:marLeft w:val="0"/>
      <w:marRight w:val="0"/>
      <w:marTop w:val="0"/>
      <w:marBottom w:val="0"/>
      <w:divBdr>
        <w:top w:val="none" w:sz="0" w:space="0" w:color="auto"/>
        <w:left w:val="none" w:sz="0" w:space="0" w:color="auto"/>
        <w:bottom w:val="none" w:sz="0" w:space="0" w:color="auto"/>
        <w:right w:val="none" w:sz="0" w:space="0" w:color="auto"/>
      </w:divBdr>
    </w:div>
    <w:div w:id="947395502">
      <w:bodyDiv w:val="1"/>
      <w:marLeft w:val="0"/>
      <w:marRight w:val="0"/>
      <w:marTop w:val="0"/>
      <w:marBottom w:val="0"/>
      <w:divBdr>
        <w:top w:val="none" w:sz="0" w:space="0" w:color="auto"/>
        <w:left w:val="none" w:sz="0" w:space="0" w:color="auto"/>
        <w:bottom w:val="none" w:sz="0" w:space="0" w:color="auto"/>
        <w:right w:val="none" w:sz="0" w:space="0" w:color="auto"/>
      </w:divBdr>
    </w:div>
    <w:div w:id="947466775">
      <w:bodyDiv w:val="1"/>
      <w:marLeft w:val="0"/>
      <w:marRight w:val="0"/>
      <w:marTop w:val="0"/>
      <w:marBottom w:val="0"/>
      <w:divBdr>
        <w:top w:val="none" w:sz="0" w:space="0" w:color="auto"/>
        <w:left w:val="none" w:sz="0" w:space="0" w:color="auto"/>
        <w:bottom w:val="none" w:sz="0" w:space="0" w:color="auto"/>
        <w:right w:val="none" w:sz="0" w:space="0" w:color="auto"/>
      </w:divBdr>
    </w:div>
    <w:div w:id="947929958">
      <w:bodyDiv w:val="1"/>
      <w:marLeft w:val="0"/>
      <w:marRight w:val="0"/>
      <w:marTop w:val="0"/>
      <w:marBottom w:val="0"/>
      <w:divBdr>
        <w:top w:val="none" w:sz="0" w:space="0" w:color="auto"/>
        <w:left w:val="none" w:sz="0" w:space="0" w:color="auto"/>
        <w:bottom w:val="none" w:sz="0" w:space="0" w:color="auto"/>
        <w:right w:val="none" w:sz="0" w:space="0" w:color="auto"/>
      </w:divBdr>
    </w:div>
    <w:div w:id="948468878">
      <w:bodyDiv w:val="1"/>
      <w:marLeft w:val="0"/>
      <w:marRight w:val="0"/>
      <w:marTop w:val="0"/>
      <w:marBottom w:val="0"/>
      <w:divBdr>
        <w:top w:val="none" w:sz="0" w:space="0" w:color="auto"/>
        <w:left w:val="none" w:sz="0" w:space="0" w:color="auto"/>
        <w:bottom w:val="none" w:sz="0" w:space="0" w:color="auto"/>
        <w:right w:val="none" w:sz="0" w:space="0" w:color="auto"/>
      </w:divBdr>
    </w:div>
    <w:div w:id="949358217">
      <w:bodyDiv w:val="1"/>
      <w:marLeft w:val="0"/>
      <w:marRight w:val="0"/>
      <w:marTop w:val="0"/>
      <w:marBottom w:val="0"/>
      <w:divBdr>
        <w:top w:val="none" w:sz="0" w:space="0" w:color="auto"/>
        <w:left w:val="none" w:sz="0" w:space="0" w:color="auto"/>
        <w:bottom w:val="none" w:sz="0" w:space="0" w:color="auto"/>
        <w:right w:val="none" w:sz="0" w:space="0" w:color="auto"/>
      </w:divBdr>
    </w:div>
    <w:div w:id="950473304">
      <w:bodyDiv w:val="1"/>
      <w:marLeft w:val="0"/>
      <w:marRight w:val="0"/>
      <w:marTop w:val="0"/>
      <w:marBottom w:val="0"/>
      <w:divBdr>
        <w:top w:val="none" w:sz="0" w:space="0" w:color="auto"/>
        <w:left w:val="none" w:sz="0" w:space="0" w:color="auto"/>
        <w:bottom w:val="none" w:sz="0" w:space="0" w:color="auto"/>
        <w:right w:val="none" w:sz="0" w:space="0" w:color="auto"/>
      </w:divBdr>
    </w:div>
    <w:div w:id="950631026">
      <w:bodyDiv w:val="1"/>
      <w:marLeft w:val="0"/>
      <w:marRight w:val="0"/>
      <w:marTop w:val="0"/>
      <w:marBottom w:val="0"/>
      <w:divBdr>
        <w:top w:val="none" w:sz="0" w:space="0" w:color="auto"/>
        <w:left w:val="none" w:sz="0" w:space="0" w:color="auto"/>
        <w:bottom w:val="none" w:sz="0" w:space="0" w:color="auto"/>
        <w:right w:val="none" w:sz="0" w:space="0" w:color="auto"/>
      </w:divBdr>
    </w:div>
    <w:div w:id="951280877">
      <w:bodyDiv w:val="1"/>
      <w:marLeft w:val="0"/>
      <w:marRight w:val="0"/>
      <w:marTop w:val="0"/>
      <w:marBottom w:val="0"/>
      <w:divBdr>
        <w:top w:val="none" w:sz="0" w:space="0" w:color="auto"/>
        <w:left w:val="none" w:sz="0" w:space="0" w:color="auto"/>
        <w:bottom w:val="none" w:sz="0" w:space="0" w:color="auto"/>
        <w:right w:val="none" w:sz="0" w:space="0" w:color="auto"/>
      </w:divBdr>
    </w:div>
    <w:div w:id="952371523">
      <w:bodyDiv w:val="1"/>
      <w:marLeft w:val="0"/>
      <w:marRight w:val="0"/>
      <w:marTop w:val="0"/>
      <w:marBottom w:val="0"/>
      <w:divBdr>
        <w:top w:val="none" w:sz="0" w:space="0" w:color="auto"/>
        <w:left w:val="none" w:sz="0" w:space="0" w:color="auto"/>
        <w:bottom w:val="none" w:sz="0" w:space="0" w:color="auto"/>
        <w:right w:val="none" w:sz="0" w:space="0" w:color="auto"/>
      </w:divBdr>
    </w:div>
    <w:div w:id="953514081">
      <w:bodyDiv w:val="1"/>
      <w:marLeft w:val="0"/>
      <w:marRight w:val="0"/>
      <w:marTop w:val="0"/>
      <w:marBottom w:val="0"/>
      <w:divBdr>
        <w:top w:val="none" w:sz="0" w:space="0" w:color="auto"/>
        <w:left w:val="none" w:sz="0" w:space="0" w:color="auto"/>
        <w:bottom w:val="none" w:sz="0" w:space="0" w:color="auto"/>
        <w:right w:val="none" w:sz="0" w:space="0" w:color="auto"/>
      </w:divBdr>
    </w:div>
    <w:div w:id="954865319">
      <w:bodyDiv w:val="1"/>
      <w:marLeft w:val="0"/>
      <w:marRight w:val="0"/>
      <w:marTop w:val="0"/>
      <w:marBottom w:val="0"/>
      <w:divBdr>
        <w:top w:val="none" w:sz="0" w:space="0" w:color="auto"/>
        <w:left w:val="none" w:sz="0" w:space="0" w:color="auto"/>
        <w:bottom w:val="none" w:sz="0" w:space="0" w:color="auto"/>
        <w:right w:val="none" w:sz="0" w:space="0" w:color="auto"/>
      </w:divBdr>
    </w:div>
    <w:div w:id="954949536">
      <w:bodyDiv w:val="1"/>
      <w:marLeft w:val="0"/>
      <w:marRight w:val="0"/>
      <w:marTop w:val="0"/>
      <w:marBottom w:val="0"/>
      <w:divBdr>
        <w:top w:val="none" w:sz="0" w:space="0" w:color="auto"/>
        <w:left w:val="none" w:sz="0" w:space="0" w:color="auto"/>
        <w:bottom w:val="none" w:sz="0" w:space="0" w:color="auto"/>
        <w:right w:val="none" w:sz="0" w:space="0" w:color="auto"/>
      </w:divBdr>
    </w:div>
    <w:div w:id="956105431">
      <w:bodyDiv w:val="1"/>
      <w:marLeft w:val="0"/>
      <w:marRight w:val="0"/>
      <w:marTop w:val="0"/>
      <w:marBottom w:val="0"/>
      <w:divBdr>
        <w:top w:val="none" w:sz="0" w:space="0" w:color="auto"/>
        <w:left w:val="none" w:sz="0" w:space="0" w:color="auto"/>
        <w:bottom w:val="none" w:sz="0" w:space="0" w:color="auto"/>
        <w:right w:val="none" w:sz="0" w:space="0" w:color="auto"/>
      </w:divBdr>
    </w:div>
    <w:div w:id="956182379">
      <w:bodyDiv w:val="1"/>
      <w:marLeft w:val="0"/>
      <w:marRight w:val="0"/>
      <w:marTop w:val="0"/>
      <w:marBottom w:val="0"/>
      <w:divBdr>
        <w:top w:val="none" w:sz="0" w:space="0" w:color="auto"/>
        <w:left w:val="none" w:sz="0" w:space="0" w:color="auto"/>
        <w:bottom w:val="none" w:sz="0" w:space="0" w:color="auto"/>
        <w:right w:val="none" w:sz="0" w:space="0" w:color="auto"/>
      </w:divBdr>
    </w:div>
    <w:div w:id="956642451">
      <w:bodyDiv w:val="1"/>
      <w:marLeft w:val="0"/>
      <w:marRight w:val="0"/>
      <w:marTop w:val="0"/>
      <w:marBottom w:val="0"/>
      <w:divBdr>
        <w:top w:val="none" w:sz="0" w:space="0" w:color="auto"/>
        <w:left w:val="none" w:sz="0" w:space="0" w:color="auto"/>
        <w:bottom w:val="none" w:sz="0" w:space="0" w:color="auto"/>
        <w:right w:val="none" w:sz="0" w:space="0" w:color="auto"/>
      </w:divBdr>
    </w:div>
    <w:div w:id="958150619">
      <w:bodyDiv w:val="1"/>
      <w:marLeft w:val="0"/>
      <w:marRight w:val="0"/>
      <w:marTop w:val="0"/>
      <w:marBottom w:val="0"/>
      <w:divBdr>
        <w:top w:val="none" w:sz="0" w:space="0" w:color="auto"/>
        <w:left w:val="none" w:sz="0" w:space="0" w:color="auto"/>
        <w:bottom w:val="none" w:sz="0" w:space="0" w:color="auto"/>
        <w:right w:val="none" w:sz="0" w:space="0" w:color="auto"/>
      </w:divBdr>
    </w:div>
    <w:div w:id="958418641">
      <w:bodyDiv w:val="1"/>
      <w:marLeft w:val="0"/>
      <w:marRight w:val="0"/>
      <w:marTop w:val="0"/>
      <w:marBottom w:val="0"/>
      <w:divBdr>
        <w:top w:val="none" w:sz="0" w:space="0" w:color="auto"/>
        <w:left w:val="none" w:sz="0" w:space="0" w:color="auto"/>
        <w:bottom w:val="none" w:sz="0" w:space="0" w:color="auto"/>
        <w:right w:val="none" w:sz="0" w:space="0" w:color="auto"/>
      </w:divBdr>
    </w:div>
    <w:div w:id="958485332">
      <w:bodyDiv w:val="1"/>
      <w:marLeft w:val="0"/>
      <w:marRight w:val="0"/>
      <w:marTop w:val="0"/>
      <w:marBottom w:val="0"/>
      <w:divBdr>
        <w:top w:val="none" w:sz="0" w:space="0" w:color="auto"/>
        <w:left w:val="none" w:sz="0" w:space="0" w:color="auto"/>
        <w:bottom w:val="none" w:sz="0" w:space="0" w:color="auto"/>
        <w:right w:val="none" w:sz="0" w:space="0" w:color="auto"/>
      </w:divBdr>
    </w:div>
    <w:div w:id="958877637">
      <w:bodyDiv w:val="1"/>
      <w:marLeft w:val="0"/>
      <w:marRight w:val="0"/>
      <w:marTop w:val="0"/>
      <w:marBottom w:val="0"/>
      <w:divBdr>
        <w:top w:val="none" w:sz="0" w:space="0" w:color="auto"/>
        <w:left w:val="none" w:sz="0" w:space="0" w:color="auto"/>
        <w:bottom w:val="none" w:sz="0" w:space="0" w:color="auto"/>
        <w:right w:val="none" w:sz="0" w:space="0" w:color="auto"/>
      </w:divBdr>
    </w:div>
    <w:div w:id="959146119">
      <w:bodyDiv w:val="1"/>
      <w:marLeft w:val="0"/>
      <w:marRight w:val="0"/>
      <w:marTop w:val="0"/>
      <w:marBottom w:val="0"/>
      <w:divBdr>
        <w:top w:val="none" w:sz="0" w:space="0" w:color="auto"/>
        <w:left w:val="none" w:sz="0" w:space="0" w:color="auto"/>
        <w:bottom w:val="none" w:sz="0" w:space="0" w:color="auto"/>
        <w:right w:val="none" w:sz="0" w:space="0" w:color="auto"/>
      </w:divBdr>
    </w:div>
    <w:div w:id="959916988">
      <w:bodyDiv w:val="1"/>
      <w:marLeft w:val="0"/>
      <w:marRight w:val="0"/>
      <w:marTop w:val="0"/>
      <w:marBottom w:val="0"/>
      <w:divBdr>
        <w:top w:val="none" w:sz="0" w:space="0" w:color="auto"/>
        <w:left w:val="none" w:sz="0" w:space="0" w:color="auto"/>
        <w:bottom w:val="none" w:sz="0" w:space="0" w:color="auto"/>
        <w:right w:val="none" w:sz="0" w:space="0" w:color="auto"/>
      </w:divBdr>
    </w:div>
    <w:div w:id="960846705">
      <w:bodyDiv w:val="1"/>
      <w:marLeft w:val="0"/>
      <w:marRight w:val="0"/>
      <w:marTop w:val="0"/>
      <w:marBottom w:val="0"/>
      <w:divBdr>
        <w:top w:val="none" w:sz="0" w:space="0" w:color="auto"/>
        <w:left w:val="none" w:sz="0" w:space="0" w:color="auto"/>
        <w:bottom w:val="none" w:sz="0" w:space="0" w:color="auto"/>
        <w:right w:val="none" w:sz="0" w:space="0" w:color="auto"/>
      </w:divBdr>
    </w:div>
    <w:div w:id="961307509">
      <w:bodyDiv w:val="1"/>
      <w:marLeft w:val="0"/>
      <w:marRight w:val="0"/>
      <w:marTop w:val="0"/>
      <w:marBottom w:val="0"/>
      <w:divBdr>
        <w:top w:val="none" w:sz="0" w:space="0" w:color="auto"/>
        <w:left w:val="none" w:sz="0" w:space="0" w:color="auto"/>
        <w:bottom w:val="none" w:sz="0" w:space="0" w:color="auto"/>
        <w:right w:val="none" w:sz="0" w:space="0" w:color="auto"/>
      </w:divBdr>
    </w:div>
    <w:div w:id="961499433">
      <w:bodyDiv w:val="1"/>
      <w:marLeft w:val="0"/>
      <w:marRight w:val="0"/>
      <w:marTop w:val="0"/>
      <w:marBottom w:val="0"/>
      <w:divBdr>
        <w:top w:val="none" w:sz="0" w:space="0" w:color="auto"/>
        <w:left w:val="none" w:sz="0" w:space="0" w:color="auto"/>
        <w:bottom w:val="none" w:sz="0" w:space="0" w:color="auto"/>
        <w:right w:val="none" w:sz="0" w:space="0" w:color="auto"/>
      </w:divBdr>
    </w:div>
    <w:div w:id="961572172">
      <w:bodyDiv w:val="1"/>
      <w:marLeft w:val="0"/>
      <w:marRight w:val="0"/>
      <w:marTop w:val="0"/>
      <w:marBottom w:val="0"/>
      <w:divBdr>
        <w:top w:val="none" w:sz="0" w:space="0" w:color="auto"/>
        <w:left w:val="none" w:sz="0" w:space="0" w:color="auto"/>
        <w:bottom w:val="none" w:sz="0" w:space="0" w:color="auto"/>
        <w:right w:val="none" w:sz="0" w:space="0" w:color="auto"/>
      </w:divBdr>
    </w:div>
    <w:div w:id="961617074">
      <w:bodyDiv w:val="1"/>
      <w:marLeft w:val="0"/>
      <w:marRight w:val="0"/>
      <w:marTop w:val="0"/>
      <w:marBottom w:val="0"/>
      <w:divBdr>
        <w:top w:val="none" w:sz="0" w:space="0" w:color="auto"/>
        <w:left w:val="none" w:sz="0" w:space="0" w:color="auto"/>
        <w:bottom w:val="none" w:sz="0" w:space="0" w:color="auto"/>
        <w:right w:val="none" w:sz="0" w:space="0" w:color="auto"/>
      </w:divBdr>
    </w:div>
    <w:div w:id="961768076">
      <w:bodyDiv w:val="1"/>
      <w:marLeft w:val="0"/>
      <w:marRight w:val="0"/>
      <w:marTop w:val="0"/>
      <w:marBottom w:val="0"/>
      <w:divBdr>
        <w:top w:val="none" w:sz="0" w:space="0" w:color="auto"/>
        <w:left w:val="none" w:sz="0" w:space="0" w:color="auto"/>
        <w:bottom w:val="none" w:sz="0" w:space="0" w:color="auto"/>
        <w:right w:val="none" w:sz="0" w:space="0" w:color="auto"/>
      </w:divBdr>
    </w:div>
    <w:div w:id="961770356">
      <w:bodyDiv w:val="1"/>
      <w:marLeft w:val="0"/>
      <w:marRight w:val="0"/>
      <w:marTop w:val="0"/>
      <w:marBottom w:val="0"/>
      <w:divBdr>
        <w:top w:val="none" w:sz="0" w:space="0" w:color="auto"/>
        <w:left w:val="none" w:sz="0" w:space="0" w:color="auto"/>
        <w:bottom w:val="none" w:sz="0" w:space="0" w:color="auto"/>
        <w:right w:val="none" w:sz="0" w:space="0" w:color="auto"/>
      </w:divBdr>
    </w:div>
    <w:div w:id="962420283">
      <w:bodyDiv w:val="1"/>
      <w:marLeft w:val="0"/>
      <w:marRight w:val="0"/>
      <w:marTop w:val="0"/>
      <w:marBottom w:val="0"/>
      <w:divBdr>
        <w:top w:val="none" w:sz="0" w:space="0" w:color="auto"/>
        <w:left w:val="none" w:sz="0" w:space="0" w:color="auto"/>
        <w:bottom w:val="none" w:sz="0" w:space="0" w:color="auto"/>
        <w:right w:val="none" w:sz="0" w:space="0" w:color="auto"/>
      </w:divBdr>
    </w:div>
    <w:div w:id="962422252">
      <w:bodyDiv w:val="1"/>
      <w:marLeft w:val="0"/>
      <w:marRight w:val="0"/>
      <w:marTop w:val="0"/>
      <w:marBottom w:val="0"/>
      <w:divBdr>
        <w:top w:val="none" w:sz="0" w:space="0" w:color="auto"/>
        <w:left w:val="none" w:sz="0" w:space="0" w:color="auto"/>
        <w:bottom w:val="none" w:sz="0" w:space="0" w:color="auto"/>
        <w:right w:val="none" w:sz="0" w:space="0" w:color="auto"/>
      </w:divBdr>
    </w:div>
    <w:div w:id="962921925">
      <w:bodyDiv w:val="1"/>
      <w:marLeft w:val="0"/>
      <w:marRight w:val="0"/>
      <w:marTop w:val="0"/>
      <w:marBottom w:val="0"/>
      <w:divBdr>
        <w:top w:val="none" w:sz="0" w:space="0" w:color="auto"/>
        <w:left w:val="none" w:sz="0" w:space="0" w:color="auto"/>
        <w:bottom w:val="none" w:sz="0" w:space="0" w:color="auto"/>
        <w:right w:val="none" w:sz="0" w:space="0" w:color="auto"/>
      </w:divBdr>
    </w:div>
    <w:div w:id="963080647">
      <w:bodyDiv w:val="1"/>
      <w:marLeft w:val="0"/>
      <w:marRight w:val="0"/>
      <w:marTop w:val="0"/>
      <w:marBottom w:val="0"/>
      <w:divBdr>
        <w:top w:val="none" w:sz="0" w:space="0" w:color="auto"/>
        <w:left w:val="none" w:sz="0" w:space="0" w:color="auto"/>
        <w:bottom w:val="none" w:sz="0" w:space="0" w:color="auto"/>
        <w:right w:val="none" w:sz="0" w:space="0" w:color="auto"/>
      </w:divBdr>
    </w:div>
    <w:div w:id="964240273">
      <w:bodyDiv w:val="1"/>
      <w:marLeft w:val="0"/>
      <w:marRight w:val="0"/>
      <w:marTop w:val="0"/>
      <w:marBottom w:val="0"/>
      <w:divBdr>
        <w:top w:val="none" w:sz="0" w:space="0" w:color="auto"/>
        <w:left w:val="none" w:sz="0" w:space="0" w:color="auto"/>
        <w:bottom w:val="none" w:sz="0" w:space="0" w:color="auto"/>
        <w:right w:val="none" w:sz="0" w:space="0" w:color="auto"/>
      </w:divBdr>
    </w:div>
    <w:div w:id="964386718">
      <w:bodyDiv w:val="1"/>
      <w:marLeft w:val="0"/>
      <w:marRight w:val="0"/>
      <w:marTop w:val="0"/>
      <w:marBottom w:val="0"/>
      <w:divBdr>
        <w:top w:val="none" w:sz="0" w:space="0" w:color="auto"/>
        <w:left w:val="none" w:sz="0" w:space="0" w:color="auto"/>
        <w:bottom w:val="none" w:sz="0" w:space="0" w:color="auto"/>
        <w:right w:val="none" w:sz="0" w:space="0" w:color="auto"/>
      </w:divBdr>
    </w:div>
    <w:div w:id="964509509">
      <w:bodyDiv w:val="1"/>
      <w:marLeft w:val="0"/>
      <w:marRight w:val="0"/>
      <w:marTop w:val="0"/>
      <w:marBottom w:val="0"/>
      <w:divBdr>
        <w:top w:val="none" w:sz="0" w:space="0" w:color="auto"/>
        <w:left w:val="none" w:sz="0" w:space="0" w:color="auto"/>
        <w:bottom w:val="none" w:sz="0" w:space="0" w:color="auto"/>
        <w:right w:val="none" w:sz="0" w:space="0" w:color="auto"/>
      </w:divBdr>
    </w:div>
    <w:div w:id="964967439">
      <w:bodyDiv w:val="1"/>
      <w:marLeft w:val="0"/>
      <w:marRight w:val="0"/>
      <w:marTop w:val="0"/>
      <w:marBottom w:val="0"/>
      <w:divBdr>
        <w:top w:val="none" w:sz="0" w:space="0" w:color="auto"/>
        <w:left w:val="none" w:sz="0" w:space="0" w:color="auto"/>
        <w:bottom w:val="none" w:sz="0" w:space="0" w:color="auto"/>
        <w:right w:val="none" w:sz="0" w:space="0" w:color="auto"/>
      </w:divBdr>
    </w:div>
    <w:div w:id="965307935">
      <w:bodyDiv w:val="1"/>
      <w:marLeft w:val="0"/>
      <w:marRight w:val="0"/>
      <w:marTop w:val="0"/>
      <w:marBottom w:val="0"/>
      <w:divBdr>
        <w:top w:val="none" w:sz="0" w:space="0" w:color="auto"/>
        <w:left w:val="none" w:sz="0" w:space="0" w:color="auto"/>
        <w:bottom w:val="none" w:sz="0" w:space="0" w:color="auto"/>
        <w:right w:val="none" w:sz="0" w:space="0" w:color="auto"/>
      </w:divBdr>
    </w:div>
    <w:div w:id="965357450">
      <w:bodyDiv w:val="1"/>
      <w:marLeft w:val="0"/>
      <w:marRight w:val="0"/>
      <w:marTop w:val="0"/>
      <w:marBottom w:val="0"/>
      <w:divBdr>
        <w:top w:val="none" w:sz="0" w:space="0" w:color="auto"/>
        <w:left w:val="none" w:sz="0" w:space="0" w:color="auto"/>
        <w:bottom w:val="none" w:sz="0" w:space="0" w:color="auto"/>
        <w:right w:val="none" w:sz="0" w:space="0" w:color="auto"/>
      </w:divBdr>
    </w:div>
    <w:div w:id="966012114">
      <w:bodyDiv w:val="1"/>
      <w:marLeft w:val="0"/>
      <w:marRight w:val="0"/>
      <w:marTop w:val="0"/>
      <w:marBottom w:val="0"/>
      <w:divBdr>
        <w:top w:val="none" w:sz="0" w:space="0" w:color="auto"/>
        <w:left w:val="none" w:sz="0" w:space="0" w:color="auto"/>
        <w:bottom w:val="none" w:sz="0" w:space="0" w:color="auto"/>
        <w:right w:val="none" w:sz="0" w:space="0" w:color="auto"/>
      </w:divBdr>
    </w:div>
    <w:div w:id="967322660">
      <w:bodyDiv w:val="1"/>
      <w:marLeft w:val="0"/>
      <w:marRight w:val="0"/>
      <w:marTop w:val="0"/>
      <w:marBottom w:val="0"/>
      <w:divBdr>
        <w:top w:val="none" w:sz="0" w:space="0" w:color="auto"/>
        <w:left w:val="none" w:sz="0" w:space="0" w:color="auto"/>
        <w:bottom w:val="none" w:sz="0" w:space="0" w:color="auto"/>
        <w:right w:val="none" w:sz="0" w:space="0" w:color="auto"/>
      </w:divBdr>
    </w:div>
    <w:div w:id="967592305">
      <w:bodyDiv w:val="1"/>
      <w:marLeft w:val="0"/>
      <w:marRight w:val="0"/>
      <w:marTop w:val="0"/>
      <w:marBottom w:val="0"/>
      <w:divBdr>
        <w:top w:val="none" w:sz="0" w:space="0" w:color="auto"/>
        <w:left w:val="none" w:sz="0" w:space="0" w:color="auto"/>
        <w:bottom w:val="none" w:sz="0" w:space="0" w:color="auto"/>
        <w:right w:val="none" w:sz="0" w:space="0" w:color="auto"/>
      </w:divBdr>
    </w:div>
    <w:div w:id="967592591">
      <w:bodyDiv w:val="1"/>
      <w:marLeft w:val="0"/>
      <w:marRight w:val="0"/>
      <w:marTop w:val="0"/>
      <w:marBottom w:val="0"/>
      <w:divBdr>
        <w:top w:val="none" w:sz="0" w:space="0" w:color="auto"/>
        <w:left w:val="none" w:sz="0" w:space="0" w:color="auto"/>
        <w:bottom w:val="none" w:sz="0" w:space="0" w:color="auto"/>
        <w:right w:val="none" w:sz="0" w:space="0" w:color="auto"/>
      </w:divBdr>
    </w:div>
    <w:div w:id="967663288">
      <w:bodyDiv w:val="1"/>
      <w:marLeft w:val="0"/>
      <w:marRight w:val="0"/>
      <w:marTop w:val="0"/>
      <w:marBottom w:val="0"/>
      <w:divBdr>
        <w:top w:val="none" w:sz="0" w:space="0" w:color="auto"/>
        <w:left w:val="none" w:sz="0" w:space="0" w:color="auto"/>
        <w:bottom w:val="none" w:sz="0" w:space="0" w:color="auto"/>
        <w:right w:val="none" w:sz="0" w:space="0" w:color="auto"/>
      </w:divBdr>
    </w:div>
    <w:div w:id="968783218">
      <w:bodyDiv w:val="1"/>
      <w:marLeft w:val="0"/>
      <w:marRight w:val="0"/>
      <w:marTop w:val="0"/>
      <w:marBottom w:val="0"/>
      <w:divBdr>
        <w:top w:val="none" w:sz="0" w:space="0" w:color="auto"/>
        <w:left w:val="none" w:sz="0" w:space="0" w:color="auto"/>
        <w:bottom w:val="none" w:sz="0" w:space="0" w:color="auto"/>
        <w:right w:val="none" w:sz="0" w:space="0" w:color="auto"/>
      </w:divBdr>
    </w:div>
    <w:div w:id="970862827">
      <w:bodyDiv w:val="1"/>
      <w:marLeft w:val="0"/>
      <w:marRight w:val="0"/>
      <w:marTop w:val="0"/>
      <w:marBottom w:val="0"/>
      <w:divBdr>
        <w:top w:val="none" w:sz="0" w:space="0" w:color="auto"/>
        <w:left w:val="none" w:sz="0" w:space="0" w:color="auto"/>
        <w:bottom w:val="none" w:sz="0" w:space="0" w:color="auto"/>
        <w:right w:val="none" w:sz="0" w:space="0" w:color="auto"/>
      </w:divBdr>
    </w:div>
    <w:div w:id="971056771">
      <w:bodyDiv w:val="1"/>
      <w:marLeft w:val="0"/>
      <w:marRight w:val="0"/>
      <w:marTop w:val="0"/>
      <w:marBottom w:val="0"/>
      <w:divBdr>
        <w:top w:val="none" w:sz="0" w:space="0" w:color="auto"/>
        <w:left w:val="none" w:sz="0" w:space="0" w:color="auto"/>
        <w:bottom w:val="none" w:sz="0" w:space="0" w:color="auto"/>
        <w:right w:val="none" w:sz="0" w:space="0" w:color="auto"/>
      </w:divBdr>
    </w:div>
    <w:div w:id="971593831">
      <w:bodyDiv w:val="1"/>
      <w:marLeft w:val="0"/>
      <w:marRight w:val="0"/>
      <w:marTop w:val="0"/>
      <w:marBottom w:val="0"/>
      <w:divBdr>
        <w:top w:val="none" w:sz="0" w:space="0" w:color="auto"/>
        <w:left w:val="none" w:sz="0" w:space="0" w:color="auto"/>
        <w:bottom w:val="none" w:sz="0" w:space="0" w:color="auto"/>
        <w:right w:val="none" w:sz="0" w:space="0" w:color="auto"/>
      </w:divBdr>
    </w:div>
    <w:div w:id="972053524">
      <w:bodyDiv w:val="1"/>
      <w:marLeft w:val="0"/>
      <w:marRight w:val="0"/>
      <w:marTop w:val="0"/>
      <w:marBottom w:val="0"/>
      <w:divBdr>
        <w:top w:val="none" w:sz="0" w:space="0" w:color="auto"/>
        <w:left w:val="none" w:sz="0" w:space="0" w:color="auto"/>
        <w:bottom w:val="none" w:sz="0" w:space="0" w:color="auto"/>
        <w:right w:val="none" w:sz="0" w:space="0" w:color="auto"/>
      </w:divBdr>
    </w:div>
    <w:div w:id="972055816">
      <w:bodyDiv w:val="1"/>
      <w:marLeft w:val="0"/>
      <w:marRight w:val="0"/>
      <w:marTop w:val="0"/>
      <w:marBottom w:val="0"/>
      <w:divBdr>
        <w:top w:val="none" w:sz="0" w:space="0" w:color="auto"/>
        <w:left w:val="none" w:sz="0" w:space="0" w:color="auto"/>
        <w:bottom w:val="none" w:sz="0" w:space="0" w:color="auto"/>
        <w:right w:val="none" w:sz="0" w:space="0" w:color="auto"/>
      </w:divBdr>
    </w:div>
    <w:div w:id="972059281">
      <w:bodyDiv w:val="1"/>
      <w:marLeft w:val="0"/>
      <w:marRight w:val="0"/>
      <w:marTop w:val="0"/>
      <w:marBottom w:val="0"/>
      <w:divBdr>
        <w:top w:val="none" w:sz="0" w:space="0" w:color="auto"/>
        <w:left w:val="none" w:sz="0" w:space="0" w:color="auto"/>
        <w:bottom w:val="none" w:sz="0" w:space="0" w:color="auto"/>
        <w:right w:val="none" w:sz="0" w:space="0" w:color="auto"/>
      </w:divBdr>
    </w:div>
    <w:div w:id="973484112">
      <w:bodyDiv w:val="1"/>
      <w:marLeft w:val="0"/>
      <w:marRight w:val="0"/>
      <w:marTop w:val="0"/>
      <w:marBottom w:val="0"/>
      <w:divBdr>
        <w:top w:val="none" w:sz="0" w:space="0" w:color="auto"/>
        <w:left w:val="none" w:sz="0" w:space="0" w:color="auto"/>
        <w:bottom w:val="none" w:sz="0" w:space="0" w:color="auto"/>
        <w:right w:val="none" w:sz="0" w:space="0" w:color="auto"/>
      </w:divBdr>
    </w:div>
    <w:div w:id="973758952">
      <w:bodyDiv w:val="1"/>
      <w:marLeft w:val="0"/>
      <w:marRight w:val="0"/>
      <w:marTop w:val="0"/>
      <w:marBottom w:val="0"/>
      <w:divBdr>
        <w:top w:val="none" w:sz="0" w:space="0" w:color="auto"/>
        <w:left w:val="none" w:sz="0" w:space="0" w:color="auto"/>
        <w:bottom w:val="none" w:sz="0" w:space="0" w:color="auto"/>
        <w:right w:val="none" w:sz="0" w:space="0" w:color="auto"/>
      </w:divBdr>
    </w:div>
    <w:div w:id="973829181">
      <w:bodyDiv w:val="1"/>
      <w:marLeft w:val="0"/>
      <w:marRight w:val="0"/>
      <w:marTop w:val="0"/>
      <w:marBottom w:val="0"/>
      <w:divBdr>
        <w:top w:val="none" w:sz="0" w:space="0" w:color="auto"/>
        <w:left w:val="none" w:sz="0" w:space="0" w:color="auto"/>
        <w:bottom w:val="none" w:sz="0" w:space="0" w:color="auto"/>
        <w:right w:val="none" w:sz="0" w:space="0" w:color="auto"/>
      </w:divBdr>
    </w:div>
    <w:div w:id="975181911">
      <w:bodyDiv w:val="1"/>
      <w:marLeft w:val="0"/>
      <w:marRight w:val="0"/>
      <w:marTop w:val="0"/>
      <w:marBottom w:val="0"/>
      <w:divBdr>
        <w:top w:val="none" w:sz="0" w:space="0" w:color="auto"/>
        <w:left w:val="none" w:sz="0" w:space="0" w:color="auto"/>
        <w:bottom w:val="none" w:sz="0" w:space="0" w:color="auto"/>
        <w:right w:val="none" w:sz="0" w:space="0" w:color="auto"/>
      </w:divBdr>
    </w:div>
    <w:div w:id="975599402">
      <w:bodyDiv w:val="1"/>
      <w:marLeft w:val="0"/>
      <w:marRight w:val="0"/>
      <w:marTop w:val="0"/>
      <w:marBottom w:val="0"/>
      <w:divBdr>
        <w:top w:val="none" w:sz="0" w:space="0" w:color="auto"/>
        <w:left w:val="none" w:sz="0" w:space="0" w:color="auto"/>
        <w:bottom w:val="none" w:sz="0" w:space="0" w:color="auto"/>
        <w:right w:val="none" w:sz="0" w:space="0" w:color="auto"/>
      </w:divBdr>
    </w:div>
    <w:div w:id="975718208">
      <w:bodyDiv w:val="1"/>
      <w:marLeft w:val="0"/>
      <w:marRight w:val="0"/>
      <w:marTop w:val="0"/>
      <w:marBottom w:val="0"/>
      <w:divBdr>
        <w:top w:val="none" w:sz="0" w:space="0" w:color="auto"/>
        <w:left w:val="none" w:sz="0" w:space="0" w:color="auto"/>
        <w:bottom w:val="none" w:sz="0" w:space="0" w:color="auto"/>
        <w:right w:val="none" w:sz="0" w:space="0" w:color="auto"/>
      </w:divBdr>
    </w:div>
    <w:div w:id="975834112">
      <w:bodyDiv w:val="1"/>
      <w:marLeft w:val="0"/>
      <w:marRight w:val="0"/>
      <w:marTop w:val="0"/>
      <w:marBottom w:val="0"/>
      <w:divBdr>
        <w:top w:val="none" w:sz="0" w:space="0" w:color="auto"/>
        <w:left w:val="none" w:sz="0" w:space="0" w:color="auto"/>
        <w:bottom w:val="none" w:sz="0" w:space="0" w:color="auto"/>
        <w:right w:val="none" w:sz="0" w:space="0" w:color="auto"/>
      </w:divBdr>
    </w:div>
    <w:div w:id="975911607">
      <w:bodyDiv w:val="1"/>
      <w:marLeft w:val="0"/>
      <w:marRight w:val="0"/>
      <w:marTop w:val="0"/>
      <w:marBottom w:val="0"/>
      <w:divBdr>
        <w:top w:val="none" w:sz="0" w:space="0" w:color="auto"/>
        <w:left w:val="none" w:sz="0" w:space="0" w:color="auto"/>
        <w:bottom w:val="none" w:sz="0" w:space="0" w:color="auto"/>
        <w:right w:val="none" w:sz="0" w:space="0" w:color="auto"/>
      </w:divBdr>
    </w:div>
    <w:div w:id="976644550">
      <w:bodyDiv w:val="1"/>
      <w:marLeft w:val="0"/>
      <w:marRight w:val="0"/>
      <w:marTop w:val="0"/>
      <w:marBottom w:val="0"/>
      <w:divBdr>
        <w:top w:val="none" w:sz="0" w:space="0" w:color="auto"/>
        <w:left w:val="none" w:sz="0" w:space="0" w:color="auto"/>
        <w:bottom w:val="none" w:sz="0" w:space="0" w:color="auto"/>
        <w:right w:val="none" w:sz="0" w:space="0" w:color="auto"/>
      </w:divBdr>
    </w:div>
    <w:div w:id="976715528">
      <w:bodyDiv w:val="1"/>
      <w:marLeft w:val="0"/>
      <w:marRight w:val="0"/>
      <w:marTop w:val="0"/>
      <w:marBottom w:val="0"/>
      <w:divBdr>
        <w:top w:val="none" w:sz="0" w:space="0" w:color="auto"/>
        <w:left w:val="none" w:sz="0" w:space="0" w:color="auto"/>
        <w:bottom w:val="none" w:sz="0" w:space="0" w:color="auto"/>
        <w:right w:val="none" w:sz="0" w:space="0" w:color="auto"/>
      </w:divBdr>
    </w:div>
    <w:div w:id="976884828">
      <w:bodyDiv w:val="1"/>
      <w:marLeft w:val="0"/>
      <w:marRight w:val="0"/>
      <w:marTop w:val="0"/>
      <w:marBottom w:val="0"/>
      <w:divBdr>
        <w:top w:val="none" w:sz="0" w:space="0" w:color="auto"/>
        <w:left w:val="none" w:sz="0" w:space="0" w:color="auto"/>
        <w:bottom w:val="none" w:sz="0" w:space="0" w:color="auto"/>
        <w:right w:val="none" w:sz="0" w:space="0" w:color="auto"/>
      </w:divBdr>
    </w:div>
    <w:div w:id="976957138">
      <w:bodyDiv w:val="1"/>
      <w:marLeft w:val="0"/>
      <w:marRight w:val="0"/>
      <w:marTop w:val="0"/>
      <w:marBottom w:val="0"/>
      <w:divBdr>
        <w:top w:val="none" w:sz="0" w:space="0" w:color="auto"/>
        <w:left w:val="none" w:sz="0" w:space="0" w:color="auto"/>
        <w:bottom w:val="none" w:sz="0" w:space="0" w:color="auto"/>
        <w:right w:val="none" w:sz="0" w:space="0" w:color="auto"/>
      </w:divBdr>
    </w:div>
    <w:div w:id="977799396">
      <w:bodyDiv w:val="1"/>
      <w:marLeft w:val="0"/>
      <w:marRight w:val="0"/>
      <w:marTop w:val="0"/>
      <w:marBottom w:val="0"/>
      <w:divBdr>
        <w:top w:val="none" w:sz="0" w:space="0" w:color="auto"/>
        <w:left w:val="none" w:sz="0" w:space="0" w:color="auto"/>
        <w:bottom w:val="none" w:sz="0" w:space="0" w:color="auto"/>
        <w:right w:val="none" w:sz="0" w:space="0" w:color="auto"/>
      </w:divBdr>
    </w:div>
    <w:div w:id="977950770">
      <w:bodyDiv w:val="1"/>
      <w:marLeft w:val="0"/>
      <w:marRight w:val="0"/>
      <w:marTop w:val="0"/>
      <w:marBottom w:val="0"/>
      <w:divBdr>
        <w:top w:val="none" w:sz="0" w:space="0" w:color="auto"/>
        <w:left w:val="none" w:sz="0" w:space="0" w:color="auto"/>
        <w:bottom w:val="none" w:sz="0" w:space="0" w:color="auto"/>
        <w:right w:val="none" w:sz="0" w:space="0" w:color="auto"/>
      </w:divBdr>
    </w:div>
    <w:div w:id="978538825">
      <w:bodyDiv w:val="1"/>
      <w:marLeft w:val="0"/>
      <w:marRight w:val="0"/>
      <w:marTop w:val="0"/>
      <w:marBottom w:val="0"/>
      <w:divBdr>
        <w:top w:val="none" w:sz="0" w:space="0" w:color="auto"/>
        <w:left w:val="none" w:sz="0" w:space="0" w:color="auto"/>
        <w:bottom w:val="none" w:sz="0" w:space="0" w:color="auto"/>
        <w:right w:val="none" w:sz="0" w:space="0" w:color="auto"/>
      </w:divBdr>
    </w:div>
    <w:div w:id="978726948">
      <w:bodyDiv w:val="1"/>
      <w:marLeft w:val="0"/>
      <w:marRight w:val="0"/>
      <w:marTop w:val="0"/>
      <w:marBottom w:val="0"/>
      <w:divBdr>
        <w:top w:val="none" w:sz="0" w:space="0" w:color="auto"/>
        <w:left w:val="none" w:sz="0" w:space="0" w:color="auto"/>
        <w:bottom w:val="none" w:sz="0" w:space="0" w:color="auto"/>
        <w:right w:val="none" w:sz="0" w:space="0" w:color="auto"/>
      </w:divBdr>
    </w:div>
    <w:div w:id="978924580">
      <w:bodyDiv w:val="1"/>
      <w:marLeft w:val="0"/>
      <w:marRight w:val="0"/>
      <w:marTop w:val="0"/>
      <w:marBottom w:val="0"/>
      <w:divBdr>
        <w:top w:val="none" w:sz="0" w:space="0" w:color="auto"/>
        <w:left w:val="none" w:sz="0" w:space="0" w:color="auto"/>
        <w:bottom w:val="none" w:sz="0" w:space="0" w:color="auto"/>
        <w:right w:val="none" w:sz="0" w:space="0" w:color="auto"/>
      </w:divBdr>
    </w:div>
    <w:div w:id="979305697">
      <w:bodyDiv w:val="1"/>
      <w:marLeft w:val="0"/>
      <w:marRight w:val="0"/>
      <w:marTop w:val="0"/>
      <w:marBottom w:val="0"/>
      <w:divBdr>
        <w:top w:val="none" w:sz="0" w:space="0" w:color="auto"/>
        <w:left w:val="none" w:sz="0" w:space="0" w:color="auto"/>
        <w:bottom w:val="none" w:sz="0" w:space="0" w:color="auto"/>
        <w:right w:val="none" w:sz="0" w:space="0" w:color="auto"/>
      </w:divBdr>
    </w:div>
    <w:div w:id="981034994">
      <w:bodyDiv w:val="1"/>
      <w:marLeft w:val="0"/>
      <w:marRight w:val="0"/>
      <w:marTop w:val="0"/>
      <w:marBottom w:val="0"/>
      <w:divBdr>
        <w:top w:val="none" w:sz="0" w:space="0" w:color="auto"/>
        <w:left w:val="none" w:sz="0" w:space="0" w:color="auto"/>
        <w:bottom w:val="none" w:sz="0" w:space="0" w:color="auto"/>
        <w:right w:val="none" w:sz="0" w:space="0" w:color="auto"/>
      </w:divBdr>
    </w:div>
    <w:div w:id="981888805">
      <w:bodyDiv w:val="1"/>
      <w:marLeft w:val="0"/>
      <w:marRight w:val="0"/>
      <w:marTop w:val="0"/>
      <w:marBottom w:val="0"/>
      <w:divBdr>
        <w:top w:val="none" w:sz="0" w:space="0" w:color="auto"/>
        <w:left w:val="none" w:sz="0" w:space="0" w:color="auto"/>
        <w:bottom w:val="none" w:sz="0" w:space="0" w:color="auto"/>
        <w:right w:val="none" w:sz="0" w:space="0" w:color="auto"/>
      </w:divBdr>
    </w:div>
    <w:div w:id="982151052">
      <w:bodyDiv w:val="1"/>
      <w:marLeft w:val="0"/>
      <w:marRight w:val="0"/>
      <w:marTop w:val="0"/>
      <w:marBottom w:val="0"/>
      <w:divBdr>
        <w:top w:val="none" w:sz="0" w:space="0" w:color="auto"/>
        <w:left w:val="none" w:sz="0" w:space="0" w:color="auto"/>
        <w:bottom w:val="none" w:sz="0" w:space="0" w:color="auto"/>
        <w:right w:val="none" w:sz="0" w:space="0" w:color="auto"/>
      </w:divBdr>
      <w:divsChild>
        <w:div w:id="379206054">
          <w:marLeft w:val="0"/>
          <w:marRight w:val="0"/>
          <w:marTop w:val="0"/>
          <w:marBottom w:val="0"/>
          <w:divBdr>
            <w:top w:val="none" w:sz="0" w:space="0" w:color="auto"/>
            <w:left w:val="none" w:sz="0" w:space="0" w:color="auto"/>
            <w:bottom w:val="none" w:sz="0" w:space="0" w:color="auto"/>
            <w:right w:val="none" w:sz="0" w:space="0" w:color="auto"/>
          </w:divBdr>
        </w:div>
      </w:divsChild>
    </w:div>
    <w:div w:id="982392734">
      <w:bodyDiv w:val="1"/>
      <w:marLeft w:val="0"/>
      <w:marRight w:val="0"/>
      <w:marTop w:val="0"/>
      <w:marBottom w:val="0"/>
      <w:divBdr>
        <w:top w:val="none" w:sz="0" w:space="0" w:color="auto"/>
        <w:left w:val="none" w:sz="0" w:space="0" w:color="auto"/>
        <w:bottom w:val="none" w:sz="0" w:space="0" w:color="auto"/>
        <w:right w:val="none" w:sz="0" w:space="0" w:color="auto"/>
      </w:divBdr>
    </w:div>
    <w:div w:id="982734213">
      <w:bodyDiv w:val="1"/>
      <w:marLeft w:val="0"/>
      <w:marRight w:val="0"/>
      <w:marTop w:val="0"/>
      <w:marBottom w:val="0"/>
      <w:divBdr>
        <w:top w:val="none" w:sz="0" w:space="0" w:color="auto"/>
        <w:left w:val="none" w:sz="0" w:space="0" w:color="auto"/>
        <w:bottom w:val="none" w:sz="0" w:space="0" w:color="auto"/>
        <w:right w:val="none" w:sz="0" w:space="0" w:color="auto"/>
      </w:divBdr>
    </w:div>
    <w:div w:id="983197150">
      <w:bodyDiv w:val="1"/>
      <w:marLeft w:val="0"/>
      <w:marRight w:val="0"/>
      <w:marTop w:val="0"/>
      <w:marBottom w:val="0"/>
      <w:divBdr>
        <w:top w:val="none" w:sz="0" w:space="0" w:color="auto"/>
        <w:left w:val="none" w:sz="0" w:space="0" w:color="auto"/>
        <w:bottom w:val="none" w:sz="0" w:space="0" w:color="auto"/>
        <w:right w:val="none" w:sz="0" w:space="0" w:color="auto"/>
      </w:divBdr>
    </w:div>
    <w:div w:id="983237867">
      <w:bodyDiv w:val="1"/>
      <w:marLeft w:val="0"/>
      <w:marRight w:val="0"/>
      <w:marTop w:val="0"/>
      <w:marBottom w:val="0"/>
      <w:divBdr>
        <w:top w:val="none" w:sz="0" w:space="0" w:color="auto"/>
        <w:left w:val="none" w:sz="0" w:space="0" w:color="auto"/>
        <w:bottom w:val="none" w:sz="0" w:space="0" w:color="auto"/>
        <w:right w:val="none" w:sz="0" w:space="0" w:color="auto"/>
      </w:divBdr>
    </w:div>
    <w:div w:id="983269048">
      <w:bodyDiv w:val="1"/>
      <w:marLeft w:val="0"/>
      <w:marRight w:val="0"/>
      <w:marTop w:val="0"/>
      <w:marBottom w:val="0"/>
      <w:divBdr>
        <w:top w:val="none" w:sz="0" w:space="0" w:color="auto"/>
        <w:left w:val="none" w:sz="0" w:space="0" w:color="auto"/>
        <w:bottom w:val="none" w:sz="0" w:space="0" w:color="auto"/>
        <w:right w:val="none" w:sz="0" w:space="0" w:color="auto"/>
      </w:divBdr>
    </w:div>
    <w:div w:id="983848986">
      <w:bodyDiv w:val="1"/>
      <w:marLeft w:val="0"/>
      <w:marRight w:val="0"/>
      <w:marTop w:val="0"/>
      <w:marBottom w:val="0"/>
      <w:divBdr>
        <w:top w:val="none" w:sz="0" w:space="0" w:color="auto"/>
        <w:left w:val="none" w:sz="0" w:space="0" w:color="auto"/>
        <w:bottom w:val="none" w:sz="0" w:space="0" w:color="auto"/>
        <w:right w:val="none" w:sz="0" w:space="0" w:color="auto"/>
      </w:divBdr>
    </w:div>
    <w:div w:id="983973396">
      <w:bodyDiv w:val="1"/>
      <w:marLeft w:val="0"/>
      <w:marRight w:val="0"/>
      <w:marTop w:val="0"/>
      <w:marBottom w:val="0"/>
      <w:divBdr>
        <w:top w:val="none" w:sz="0" w:space="0" w:color="auto"/>
        <w:left w:val="none" w:sz="0" w:space="0" w:color="auto"/>
        <w:bottom w:val="none" w:sz="0" w:space="0" w:color="auto"/>
        <w:right w:val="none" w:sz="0" w:space="0" w:color="auto"/>
      </w:divBdr>
    </w:div>
    <w:div w:id="984163643">
      <w:bodyDiv w:val="1"/>
      <w:marLeft w:val="0"/>
      <w:marRight w:val="0"/>
      <w:marTop w:val="0"/>
      <w:marBottom w:val="0"/>
      <w:divBdr>
        <w:top w:val="none" w:sz="0" w:space="0" w:color="auto"/>
        <w:left w:val="none" w:sz="0" w:space="0" w:color="auto"/>
        <w:bottom w:val="none" w:sz="0" w:space="0" w:color="auto"/>
        <w:right w:val="none" w:sz="0" w:space="0" w:color="auto"/>
      </w:divBdr>
    </w:div>
    <w:div w:id="985360598">
      <w:bodyDiv w:val="1"/>
      <w:marLeft w:val="0"/>
      <w:marRight w:val="0"/>
      <w:marTop w:val="0"/>
      <w:marBottom w:val="0"/>
      <w:divBdr>
        <w:top w:val="none" w:sz="0" w:space="0" w:color="auto"/>
        <w:left w:val="none" w:sz="0" w:space="0" w:color="auto"/>
        <w:bottom w:val="none" w:sz="0" w:space="0" w:color="auto"/>
        <w:right w:val="none" w:sz="0" w:space="0" w:color="auto"/>
      </w:divBdr>
    </w:div>
    <w:div w:id="985816475">
      <w:bodyDiv w:val="1"/>
      <w:marLeft w:val="0"/>
      <w:marRight w:val="0"/>
      <w:marTop w:val="0"/>
      <w:marBottom w:val="0"/>
      <w:divBdr>
        <w:top w:val="none" w:sz="0" w:space="0" w:color="auto"/>
        <w:left w:val="none" w:sz="0" w:space="0" w:color="auto"/>
        <w:bottom w:val="none" w:sz="0" w:space="0" w:color="auto"/>
        <w:right w:val="none" w:sz="0" w:space="0" w:color="auto"/>
      </w:divBdr>
    </w:div>
    <w:div w:id="987172966">
      <w:bodyDiv w:val="1"/>
      <w:marLeft w:val="0"/>
      <w:marRight w:val="0"/>
      <w:marTop w:val="0"/>
      <w:marBottom w:val="0"/>
      <w:divBdr>
        <w:top w:val="none" w:sz="0" w:space="0" w:color="auto"/>
        <w:left w:val="none" w:sz="0" w:space="0" w:color="auto"/>
        <w:bottom w:val="none" w:sz="0" w:space="0" w:color="auto"/>
        <w:right w:val="none" w:sz="0" w:space="0" w:color="auto"/>
      </w:divBdr>
    </w:div>
    <w:div w:id="988022014">
      <w:bodyDiv w:val="1"/>
      <w:marLeft w:val="0"/>
      <w:marRight w:val="0"/>
      <w:marTop w:val="0"/>
      <w:marBottom w:val="0"/>
      <w:divBdr>
        <w:top w:val="none" w:sz="0" w:space="0" w:color="auto"/>
        <w:left w:val="none" w:sz="0" w:space="0" w:color="auto"/>
        <w:bottom w:val="none" w:sz="0" w:space="0" w:color="auto"/>
        <w:right w:val="none" w:sz="0" w:space="0" w:color="auto"/>
      </w:divBdr>
    </w:div>
    <w:div w:id="988049386">
      <w:bodyDiv w:val="1"/>
      <w:marLeft w:val="0"/>
      <w:marRight w:val="0"/>
      <w:marTop w:val="0"/>
      <w:marBottom w:val="0"/>
      <w:divBdr>
        <w:top w:val="none" w:sz="0" w:space="0" w:color="auto"/>
        <w:left w:val="none" w:sz="0" w:space="0" w:color="auto"/>
        <w:bottom w:val="none" w:sz="0" w:space="0" w:color="auto"/>
        <w:right w:val="none" w:sz="0" w:space="0" w:color="auto"/>
      </w:divBdr>
    </w:div>
    <w:div w:id="988438516">
      <w:bodyDiv w:val="1"/>
      <w:marLeft w:val="0"/>
      <w:marRight w:val="0"/>
      <w:marTop w:val="0"/>
      <w:marBottom w:val="0"/>
      <w:divBdr>
        <w:top w:val="none" w:sz="0" w:space="0" w:color="auto"/>
        <w:left w:val="none" w:sz="0" w:space="0" w:color="auto"/>
        <w:bottom w:val="none" w:sz="0" w:space="0" w:color="auto"/>
        <w:right w:val="none" w:sz="0" w:space="0" w:color="auto"/>
      </w:divBdr>
    </w:div>
    <w:div w:id="988707453">
      <w:bodyDiv w:val="1"/>
      <w:marLeft w:val="0"/>
      <w:marRight w:val="0"/>
      <w:marTop w:val="0"/>
      <w:marBottom w:val="0"/>
      <w:divBdr>
        <w:top w:val="none" w:sz="0" w:space="0" w:color="auto"/>
        <w:left w:val="none" w:sz="0" w:space="0" w:color="auto"/>
        <w:bottom w:val="none" w:sz="0" w:space="0" w:color="auto"/>
        <w:right w:val="none" w:sz="0" w:space="0" w:color="auto"/>
      </w:divBdr>
    </w:div>
    <w:div w:id="988827986">
      <w:bodyDiv w:val="1"/>
      <w:marLeft w:val="0"/>
      <w:marRight w:val="0"/>
      <w:marTop w:val="0"/>
      <w:marBottom w:val="0"/>
      <w:divBdr>
        <w:top w:val="none" w:sz="0" w:space="0" w:color="auto"/>
        <w:left w:val="none" w:sz="0" w:space="0" w:color="auto"/>
        <w:bottom w:val="none" w:sz="0" w:space="0" w:color="auto"/>
        <w:right w:val="none" w:sz="0" w:space="0" w:color="auto"/>
      </w:divBdr>
    </w:div>
    <w:div w:id="989213423">
      <w:bodyDiv w:val="1"/>
      <w:marLeft w:val="0"/>
      <w:marRight w:val="0"/>
      <w:marTop w:val="0"/>
      <w:marBottom w:val="0"/>
      <w:divBdr>
        <w:top w:val="none" w:sz="0" w:space="0" w:color="auto"/>
        <w:left w:val="none" w:sz="0" w:space="0" w:color="auto"/>
        <w:bottom w:val="none" w:sz="0" w:space="0" w:color="auto"/>
        <w:right w:val="none" w:sz="0" w:space="0" w:color="auto"/>
      </w:divBdr>
    </w:div>
    <w:div w:id="991059496">
      <w:bodyDiv w:val="1"/>
      <w:marLeft w:val="0"/>
      <w:marRight w:val="0"/>
      <w:marTop w:val="0"/>
      <w:marBottom w:val="0"/>
      <w:divBdr>
        <w:top w:val="none" w:sz="0" w:space="0" w:color="auto"/>
        <w:left w:val="none" w:sz="0" w:space="0" w:color="auto"/>
        <w:bottom w:val="none" w:sz="0" w:space="0" w:color="auto"/>
        <w:right w:val="none" w:sz="0" w:space="0" w:color="auto"/>
      </w:divBdr>
    </w:div>
    <w:div w:id="991103372">
      <w:bodyDiv w:val="1"/>
      <w:marLeft w:val="0"/>
      <w:marRight w:val="0"/>
      <w:marTop w:val="0"/>
      <w:marBottom w:val="0"/>
      <w:divBdr>
        <w:top w:val="none" w:sz="0" w:space="0" w:color="auto"/>
        <w:left w:val="none" w:sz="0" w:space="0" w:color="auto"/>
        <w:bottom w:val="none" w:sz="0" w:space="0" w:color="auto"/>
        <w:right w:val="none" w:sz="0" w:space="0" w:color="auto"/>
      </w:divBdr>
    </w:div>
    <w:div w:id="992291225">
      <w:bodyDiv w:val="1"/>
      <w:marLeft w:val="0"/>
      <w:marRight w:val="0"/>
      <w:marTop w:val="0"/>
      <w:marBottom w:val="0"/>
      <w:divBdr>
        <w:top w:val="none" w:sz="0" w:space="0" w:color="auto"/>
        <w:left w:val="none" w:sz="0" w:space="0" w:color="auto"/>
        <w:bottom w:val="none" w:sz="0" w:space="0" w:color="auto"/>
        <w:right w:val="none" w:sz="0" w:space="0" w:color="auto"/>
      </w:divBdr>
    </w:div>
    <w:div w:id="993873355">
      <w:bodyDiv w:val="1"/>
      <w:marLeft w:val="0"/>
      <w:marRight w:val="0"/>
      <w:marTop w:val="0"/>
      <w:marBottom w:val="0"/>
      <w:divBdr>
        <w:top w:val="none" w:sz="0" w:space="0" w:color="auto"/>
        <w:left w:val="none" w:sz="0" w:space="0" w:color="auto"/>
        <w:bottom w:val="none" w:sz="0" w:space="0" w:color="auto"/>
        <w:right w:val="none" w:sz="0" w:space="0" w:color="auto"/>
      </w:divBdr>
    </w:div>
    <w:div w:id="994185614">
      <w:bodyDiv w:val="1"/>
      <w:marLeft w:val="0"/>
      <w:marRight w:val="0"/>
      <w:marTop w:val="0"/>
      <w:marBottom w:val="0"/>
      <w:divBdr>
        <w:top w:val="none" w:sz="0" w:space="0" w:color="auto"/>
        <w:left w:val="none" w:sz="0" w:space="0" w:color="auto"/>
        <w:bottom w:val="none" w:sz="0" w:space="0" w:color="auto"/>
        <w:right w:val="none" w:sz="0" w:space="0" w:color="auto"/>
      </w:divBdr>
    </w:div>
    <w:div w:id="994646286">
      <w:bodyDiv w:val="1"/>
      <w:marLeft w:val="0"/>
      <w:marRight w:val="0"/>
      <w:marTop w:val="0"/>
      <w:marBottom w:val="0"/>
      <w:divBdr>
        <w:top w:val="none" w:sz="0" w:space="0" w:color="auto"/>
        <w:left w:val="none" w:sz="0" w:space="0" w:color="auto"/>
        <w:bottom w:val="none" w:sz="0" w:space="0" w:color="auto"/>
        <w:right w:val="none" w:sz="0" w:space="0" w:color="auto"/>
      </w:divBdr>
    </w:div>
    <w:div w:id="995720621">
      <w:bodyDiv w:val="1"/>
      <w:marLeft w:val="0"/>
      <w:marRight w:val="0"/>
      <w:marTop w:val="0"/>
      <w:marBottom w:val="0"/>
      <w:divBdr>
        <w:top w:val="none" w:sz="0" w:space="0" w:color="auto"/>
        <w:left w:val="none" w:sz="0" w:space="0" w:color="auto"/>
        <w:bottom w:val="none" w:sz="0" w:space="0" w:color="auto"/>
        <w:right w:val="none" w:sz="0" w:space="0" w:color="auto"/>
      </w:divBdr>
    </w:div>
    <w:div w:id="996036179">
      <w:bodyDiv w:val="1"/>
      <w:marLeft w:val="0"/>
      <w:marRight w:val="0"/>
      <w:marTop w:val="0"/>
      <w:marBottom w:val="0"/>
      <w:divBdr>
        <w:top w:val="none" w:sz="0" w:space="0" w:color="auto"/>
        <w:left w:val="none" w:sz="0" w:space="0" w:color="auto"/>
        <w:bottom w:val="none" w:sz="0" w:space="0" w:color="auto"/>
        <w:right w:val="none" w:sz="0" w:space="0" w:color="auto"/>
      </w:divBdr>
    </w:div>
    <w:div w:id="997536967">
      <w:bodyDiv w:val="1"/>
      <w:marLeft w:val="0"/>
      <w:marRight w:val="0"/>
      <w:marTop w:val="0"/>
      <w:marBottom w:val="0"/>
      <w:divBdr>
        <w:top w:val="none" w:sz="0" w:space="0" w:color="auto"/>
        <w:left w:val="none" w:sz="0" w:space="0" w:color="auto"/>
        <w:bottom w:val="none" w:sz="0" w:space="0" w:color="auto"/>
        <w:right w:val="none" w:sz="0" w:space="0" w:color="auto"/>
      </w:divBdr>
    </w:div>
    <w:div w:id="997996823">
      <w:bodyDiv w:val="1"/>
      <w:marLeft w:val="0"/>
      <w:marRight w:val="0"/>
      <w:marTop w:val="0"/>
      <w:marBottom w:val="0"/>
      <w:divBdr>
        <w:top w:val="none" w:sz="0" w:space="0" w:color="auto"/>
        <w:left w:val="none" w:sz="0" w:space="0" w:color="auto"/>
        <w:bottom w:val="none" w:sz="0" w:space="0" w:color="auto"/>
        <w:right w:val="none" w:sz="0" w:space="0" w:color="auto"/>
      </w:divBdr>
    </w:div>
    <w:div w:id="999192090">
      <w:bodyDiv w:val="1"/>
      <w:marLeft w:val="0"/>
      <w:marRight w:val="0"/>
      <w:marTop w:val="0"/>
      <w:marBottom w:val="0"/>
      <w:divBdr>
        <w:top w:val="none" w:sz="0" w:space="0" w:color="auto"/>
        <w:left w:val="none" w:sz="0" w:space="0" w:color="auto"/>
        <w:bottom w:val="none" w:sz="0" w:space="0" w:color="auto"/>
        <w:right w:val="none" w:sz="0" w:space="0" w:color="auto"/>
      </w:divBdr>
    </w:div>
    <w:div w:id="1000504138">
      <w:bodyDiv w:val="1"/>
      <w:marLeft w:val="0"/>
      <w:marRight w:val="0"/>
      <w:marTop w:val="0"/>
      <w:marBottom w:val="0"/>
      <w:divBdr>
        <w:top w:val="none" w:sz="0" w:space="0" w:color="auto"/>
        <w:left w:val="none" w:sz="0" w:space="0" w:color="auto"/>
        <w:bottom w:val="none" w:sz="0" w:space="0" w:color="auto"/>
        <w:right w:val="none" w:sz="0" w:space="0" w:color="auto"/>
      </w:divBdr>
    </w:div>
    <w:div w:id="1001083694">
      <w:bodyDiv w:val="1"/>
      <w:marLeft w:val="0"/>
      <w:marRight w:val="0"/>
      <w:marTop w:val="0"/>
      <w:marBottom w:val="0"/>
      <w:divBdr>
        <w:top w:val="none" w:sz="0" w:space="0" w:color="auto"/>
        <w:left w:val="none" w:sz="0" w:space="0" w:color="auto"/>
        <w:bottom w:val="none" w:sz="0" w:space="0" w:color="auto"/>
        <w:right w:val="none" w:sz="0" w:space="0" w:color="auto"/>
      </w:divBdr>
    </w:div>
    <w:div w:id="1001155375">
      <w:bodyDiv w:val="1"/>
      <w:marLeft w:val="0"/>
      <w:marRight w:val="0"/>
      <w:marTop w:val="0"/>
      <w:marBottom w:val="0"/>
      <w:divBdr>
        <w:top w:val="none" w:sz="0" w:space="0" w:color="auto"/>
        <w:left w:val="none" w:sz="0" w:space="0" w:color="auto"/>
        <w:bottom w:val="none" w:sz="0" w:space="0" w:color="auto"/>
        <w:right w:val="none" w:sz="0" w:space="0" w:color="auto"/>
      </w:divBdr>
    </w:div>
    <w:div w:id="1001467112">
      <w:bodyDiv w:val="1"/>
      <w:marLeft w:val="0"/>
      <w:marRight w:val="0"/>
      <w:marTop w:val="0"/>
      <w:marBottom w:val="0"/>
      <w:divBdr>
        <w:top w:val="none" w:sz="0" w:space="0" w:color="auto"/>
        <w:left w:val="none" w:sz="0" w:space="0" w:color="auto"/>
        <w:bottom w:val="none" w:sz="0" w:space="0" w:color="auto"/>
        <w:right w:val="none" w:sz="0" w:space="0" w:color="auto"/>
      </w:divBdr>
    </w:div>
    <w:div w:id="1001543631">
      <w:bodyDiv w:val="1"/>
      <w:marLeft w:val="0"/>
      <w:marRight w:val="0"/>
      <w:marTop w:val="0"/>
      <w:marBottom w:val="0"/>
      <w:divBdr>
        <w:top w:val="none" w:sz="0" w:space="0" w:color="auto"/>
        <w:left w:val="none" w:sz="0" w:space="0" w:color="auto"/>
        <w:bottom w:val="none" w:sz="0" w:space="0" w:color="auto"/>
        <w:right w:val="none" w:sz="0" w:space="0" w:color="auto"/>
      </w:divBdr>
    </w:div>
    <w:div w:id="1002665580">
      <w:bodyDiv w:val="1"/>
      <w:marLeft w:val="0"/>
      <w:marRight w:val="0"/>
      <w:marTop w:val="0"/>
      <w:marBottom w:val="0"/>
      <w:divBdr>
        <w:top w:val="none" w:sz="0" w:space="0" w:color="auto"/>
        <w:left w:val="none" w:sz="0" w:space="0" w:color="auto"/>
        <w:bottom w:val="none" w:sz="0" w:space="0" w:color="auto"/>
        <w:right w:val="none" w:sz="0" w:space="0" w:color="auto"/>
      </w:divBdr>
    </w:div>
    <w:div w:id="1003095179">
      <w:bodyDiv w:val="1"/>
      <w:marLeft w:val="0"/>
      <w:marRight w:val="0"/>
      <w:marTop w:val="0"/>
      <w:marBottom w:val="0"/>
      <w:divBdr>
        <w:top w:val="none" w:sz="0" w:space="0" w:color="auto"/>
        <w:left w:val="none" w:sz="0" w:space="0" w:color="auto"/>
        <w:bottom w:val="none" w:sz="0" w:space="0" w:color="auto"/>
        <w:right w:val="none" w:sz="0" w:space="0" w:color="auto"/>
      </w:divBdr>
    </w:div>
    <w:div w:id="1003899048">
      <w:bodyDiv w:val="1"/>
      <w:marLeft w:val="0"/>
      <w:marRight w:val="0"/>
      <w:marTop w:val="0"/>
      <w:marBottom w:val="0"/>
      <w:divBdr>
        <w:top w:val="none" w:sz="0" w:space="0" w:color="auto"/>
        <w:left w:val="none" w:sz="0" w:space="0" w:color="auto"/>
        <w:bottom w:val="none" w:sz="0" w:space="0" w:color="auto"/>
        <w:right w:val="none" w:sz="0" w:space="0" w:color="auto"/>
      </w:divBdr>
    </w:div>
    <w:div w:id="1005354859">
      <w:bodyDiv w:val="1"/>
      <w:marLeft w:val="0"/>
      <w:marRight w:val="0"/>
      <w:marTop w:val="0"/>
      <w:marBottom w:val="0"/>
      <w:divBdr>
        <w:top w:val="none" w:sz="0" w:space="0" w:color="auto"/>
        <w:left w:val="none" w:sz="0" w:space="0" w:color="auto"/>
        <w:bottom w:val="none" w:sz="0" w:space="0" w:color="auto"/>
        <w:right w:val="none" w:sz="0" w:space="0" w:color="auto"/>
      </w:divBdr>
    </w:div>
    <w:div w:id="1007706246">
      <w:bodyDiv w:val="1"/>
      <w:marLeft w:val="0"/>
      <w:marRight w:val="0"/>
      <w:marTop w:val="0"/>
      <w:marBottom w:val="0"/>
      <w:divBdr>
        <w:top w:val="none" w:sz="0" w:space="0" w:color="auto"/>
        <w:left w:val="none" w:sz="0" w:space="0" w:color="auto"/>
        <w:bottom w:val="none" w:sz="0" w:space="0" w:color="auto"/>
        <w:right w:val="none" w:sz="0" w:space="0" w:color="auto"/>
      </w:divBdr>
    </w:div>
    <w:div w:id="1008408203">
      <w:bodyDiv w:val="1"/>
      <w:marLeft w:val="0"/>
      <w:marRight w:val="0"/>
      <w:marTop w:val="0"/>
      <w:marBottom w:val="0"/>
      <w:divBdr>
        <w:top w:val="none" w:sz="0" w:space="0" w:color="auto"/>
        <w:left w:val="none" w:sz="0" w:space="0" w:color="auto"/>
        <w:bottom w:val="none" w:sz="0" w:space="0" w:color="auto"/>
        <w:right w:val="none" w:sz="0" w:space="0" w:color="auto"/>
      </w:divBdr>
      <w:divsChild>
        <w:div w:id="619535362">
          <w:marLeft w:val="0"/>
          <w:marRight w:val="0"/>
          <w:marTop w:val="0"/>
          <w:marBottom w:val="0"/>
          <w:divBdr>
            <w:top w:val="none" w:sz="0" w:space="0" w:color="auto"/>
            <w:left w:val="none" w:sz="0" w:space="0" w:color="auto"/>
            <w:bottom w:val="none" w:sz="0" w:space="0" w:color="auto"/>
            <w:right w:val="none" w:sz="0" w:space="0" w:color="auto"/>
          </w:divBdr>
        </w:div>
        <w:div w:id="1558278236">
          <w:marLeft w:val="0"/>
          <w:marRight w:val="0"/>
          <w:marTop w:val="0"/>
          <w:marBottom w:val="0"/>
          <w:divBdr>
            <w:top w:val="none" w:sz="0" w:space="0" w:color="auto"/>
            <w:left w:val="none" w:sz="0" w:space="0" w:color="auto"/>
            <w:bottom w:val="none" w:sz="0" w:space="0" w:color="auto"/>
            <w:right w:val="none" w:sz="0" w:space="0" w:color="auto"/>
          </w:divBdr>
        </w:div>
        <w:div w:id="625698080">
          <w:marLeft w:val="0"/>
          <w:marRight w:val="0"/>
          <w:marTop w:val="0"/>
          <w:marBottom w:val="0"/>
          <w:divBdr>
            <w:top w:val="none" w:sz="0" w:space="0" w:color="auto"/>
            <w:left w:val="none" w:sz="0" w:space="0" w:color="auto"/>
            <w:bottom w:val="none" w:sz="0" w:space="0" w:color="auto"/>
            <w:right w:val="none" w:sz="0" w:space="0" w:color="auto"/>
          </w:divBdr>
        </w:div>
        <w:div w:id="783309486">
          <w:marLeft w:val="0"/>
          <w:marRight w:val="0"/>
          <w:marTop w:val="0"/>
          <w:marBottom w:val="0"/>
          <w:divBdr>
            <w:top w:val="none" w:sz="0" w:space="0" w:color="auto"/>
            <w:left w:val="none" w:sz="0" w:space="0" w:color="auto"/>
            <w:bottom w:val="none" w:sz="0" w:space="0" w:color="auto"/>
            <w:right w:val="none" w:sz="0" w:space="0" w:color="auto"/>
          </w:divBdr>
        </w:div>
        <w:div w:id="1630239370">
          <w:marLeft w:val="0"/>
          <w:marRight w:val="0"/>
          <w:marTop w:val="0"/>
          <w:marBottom w:val="0"/>
          <w:divBdr>
            <w:top w:val="none" w:sz="0" w:space="0" w:color="auto"/>
            <w:left w:val="none" w:sz="0" w:space="0" w:color="auto"/>
            <w:bottom w:val="none" w:sz="0" w:space="0" w:color="auto"/>
            <w:right w:val="none" w:sz="0" w:space="0" w:color="auto"/>
          </w:divBdr>
        </w:div>
      </w:divsChild>
    </w:div>
    <w:div w:id="1008482244">
      <w:bodyDiv w:val="1"/>
      <w:marLeft w:val="0"/>
      <w:marRight w:val="0"/>
      <w:marTop w:val="0"/>
      <w:marBottom w:val="0"/>
      <w:divBdr>
        <w:top w:val="none" w:sz="0" w:space="0" w:color="auto"/>
        <w:left w:val="none" w:sz="0" w:space="0" w:color="auto"/>
        <w:bottom w:val="none" w:sz="0" w:space="0" w:color="auto"/>
        <w:right w:val="none" w:sz="0" w:space="0" w:color="auto"/>
      </w:divBdr>
    </w:div>
    <w:div w:id="1008599447">
      <w:bodyDiv w:val="1"/>
      <w:marLeft w:val="0"/>
      <w:marRight w:val="0"/>
      <w:marTop w:val="0"/>
      <w:marBottom w:val="0"/>
      <w:divBdr>
        <w:top w:val="none" w:sz="0" w:space="0" w:color="auto"/>
        <w:left w:val="none" w:sz="0" w:space="0" w:color="auto"/>
        <w:bottom w:val="none" w:sz="0" w:space="0" w:color="auto"/>
        <w:right w:val="none" w:sz="0" w:space="0" w:color="auto"/>
      </w:divBdr>
    </w:div>
    <w:div w:id="1009211838">
      <w:bodyDiv w:val="1"/>
      <w:marLeft w:val="0"/>
      <w:marRight w:val="0"/>
      <w:marTop w:val="0"/>
      <w:marBottom w:val="0"/>
      <w:divBdr>
        <w:top w:val="none" w:sz="0" w:space="0" w:color="auto"/>
        <w:left w:val="none" w:sz="0" w:space="0" w:color="auto"/>
        <w:bottom w:val="none" w:sz="0" w:space="0" w:color="auto"/>
        <w:right w:val="none" w:sz="0" w:space="0" w:color="auto"/>
      </w:divBdr>
    </w:div>
    <w:div w:id="1009259541">
      <w:bodyDiv w:val="1"/>
      <w:marLeft w:val="0"/>
      <w:marRight w:val="0"/>
      <w:marTop w:val="0"/>
      <w:marBottom w:val="0"/>
      <w:divBdr>
        <w:top w:val="none" w:sz="0" w:space="0" w:color="auto"/>
        <w:left w:val="none" w:sz="0" w:space="0" w:color="auto"/>
        <w:bottom w:val="none" w:sz="0" w:space="0" w:color="auto"/>
        <w:right w:val="none" w:sz="0" w:space="0" w:color="auto"/>
      </w:divBdr>
    </w:div>
    <w:div w:id="1011565972">
      <w:bodyDiv w:val="1"/>
      <w:marLeft w:val="0"/>
      <w:marRight w:val="0"/>
      <w:marTop w:val="0"/>
      <w:marBottom w:val="0"/>
      <w:divBdr>
        <w:top w:val="none" w:sz="0" w:space="0" w:color="auto"/>
        <w:left w:val="none" w:sz="0" w:space="0" w:color="auto"/>
        <w:bottom w:val="none" w:sz="0" w:space="0" w:color="auto"/>
        <w:right w:val="none" w:sz="0" w:space="0" w:color="auto"/>
      </w:divBdr>
    </w:div>
    <w:div w:id="1011568414">
      <w:bodyDiv w:val="1"/>
      <w:marLeft w:val="0"/>
      <w:marRight w:val="0"/>
      <w:marTop w:val="0"/>
      <w:marBottom w:val="0"/>
      <w:divBdr>
        <w:top w:val="none" w:sz="0" w:space="0" w:color="auto"/>
        <w:left w:val="none" w:sz="0" w:space="0" w:color="auto"/>
        <w:bottom w:val="none" w:sz="0" w:space="0" w:color="auto"/>
        <w:right w:val="none" w:sz="0" w:space="0" w:color="auto"/>
      </w:divBdr>
    </w:div>
    <w:div w:id="1011882286">
      <w:bodyDiv w:val="1"/>
      <w:marLeft w:val="0"/>
      <w:marRight w:val="0"/>
      <w:marTop w:val="0"/>
      <w:marBottom w:val="0"/>
      <w:divBdr>
        <w:top w:val="none" w:sz="0" w:space="0" w:color="auto"/>
        <w:left w:val="none" w:sz="0" w:space="0" w:color="auto"/>
        <w:bottom w:val="none" w:sz="0" w:space="0" w:color="auto"/>
        <w:right w:val="none" w:sz="0" w:space="0" w:color="auto"/>
      </w:divBdr>
    </w:div>
    <w:div w:id="1012072608">
      <w:bodyDiv w:val="1"/>
      <w:marLeft w:val="0"/>
      <w:marRight w:val="0"/>
      <w:marTop w:val="0"/>
      <w:marBottom w:val="0"/>
      <w:divBdr>
        <w:top w:val="none" w:sz="0" w:space="0" w:color="auto"/>
        <w:left w:val="none" w:sz="0" w:space="0" w:color="auto"/>
        <w:bottom w:val="none" w:sz="0" w:space="0" w:color="auto"/>
        <w:right w:val="none" w:sz="0" w:space="0" w:color="auto"/>
      </w:divBdr>
    </w:div>
    <w:div w:id="1012881397">
      <w:bodyDiv w:val="1"/>
      <w:marLeft w:val="0"/>
      <w:marRight w:val="0"/>
      <w:marTop w:val="0"/>
      <w:marBottom w:val="0"/>
      <w:divBdr>
        <w:top w:val="none" w:sz="0" w:space="0" w:color="auto"/>
        <w:left w:val="none" w:sz="0" w:space="0" w:color="auto"/>
        <w:bottom w:val="none" w:sz="0" w:space="0" w:color="auto"/>
        <w:right w:val="none" w:sz="0" w:space="0" w:color="auto"/>
      </w:divBdr>
    </w:div>
    <w:div w:id="1013609903">
      <w:bodyDiv w:val="1"/>
      <w:marLeft w:val="0"/>
      <w:marRight w:val="0"/>
      <w:marTop w:val="0"/>
      <w:marBottom w:val="0"/>
      <w:divBdr>
        <w:top w:val="none" w:sz="0" w:space="0" w:color="auto"/>
        <w:left w:val="none" w:sz="0" w:space="0" w:color="auto"/>
        <w:bottom w:val="none" w:sz="0" w:space="0" w:color="auto"/>
        <w:right w:val="none" w:sz="0" w:space="0" w:color="auto"/>
      </w:divBdr>
    </w:div>
    <w:div w:id="1013724947">
      <w:bodyDiv w:val="1"/>
      <w:marLeft w:val="0"/>
      <w:marRight w:val="0"/>
      <w:marTop w:val="0"/>
      <w:marBottom w:val="0"/>
      <w:divBdr>
        <w:top w:val="none" w:sz="0" w:space="0" w:color="auto"/>
        <w:left w:val="none" w:sz="0" w:space="0" w:color="auto"/>
        <w:bottom w:val="none" w:sz="0" w:space="0" w:color="auto"/>
        <w:right w:val="none" w:sz="0" w:space="0" w:color="auto"/>
      </w:divBdr>
    </w:div>
    <w:div w:id="1013997064">
      <w:bodyDiv w:val="1"/>
      <w:marLeft w:val="0"/>
      <w:marRight w:val="0"/>
      <w:marTop w:val="0"/>
      <w:marBottom w:val="0"/>
      <w:divBdr>
        <w:top w:val="none" w:sz="0" w:space="0" w:color="auto"/>
        <w:left w:val="none" w:sz="0" w:space="0" w:color="auto"/>
        <w:bottom w:val="none" w:sz="0" w:space="0" w:color="auto"/>
        <w:right w:val="none" w:sz="0" w:space="0" w:color="auto"/>
      </w:divBdr>
    </w:div>
    <w:div w:id="1014964298">
      <w:bodyDiv w:val="1"/>
      <w:marLeft w:val="0"/>
      <w:marRight w:val="0"/>
      <w:marTop w:val="0"/>
      <w:marBottom w:val="0"/>
      <w:divBdr>
        <w:top w:val="none" w:sz="0" w:space="0" w:color="auto"/>
        <w:left w:val="none" w:sz="0" w:space="0" w:color="auto"/>
        <w:bottom w:val="none" w:sz="0" w:space="0" w:color="auto"/>
        <w:right w:val="none" w:sz="0" w:space="0" w:color="auto"/>
      </w:divBdr>
    </w:div>
    <w:div w:id="1015153412">
      <w:bodyDiv w:val="1"/>
      <w:marLeft w:val="0"/>
      <w:marRight w:val="0"/>
      <w:marTop w:val="0"/>
      <w:marBottom w:val="0"/>
      <w:divBdr>
        <w:top w:val="none" w:sz="0" w:space="0" w:color="auto"/>
        <w:left w:val="none" w:sz="0" w:space="0" w:color="auto"/>
        <w:bottom w:val="none" w:sz="0" w:space="0" w:color="auto"/>
        <w:right w:val="none" w:sz="0" w:space="0" w:color="auto"/>
      </w:divBdr>
    </w:div>
    <w:div w:id="1015571852">
      <w:bodyDiv w:val="1"/>
      <w:marLeft w:val="0"/>
      <w:marRight w:val="0"/>
      <w:marTop w:val="0"/>
      <w:marBottom w:val="0"/>
      <w:divBdr>
        <w:top w:val="none" w:sz="0" w:space="0" w:color="auto"/>
        <w:left w:val="none" w:sz="0" w:space="0" w:color="auto"/>
        <w:bottom w:val="none" w:sz="0" w:space="0" w:color="auto"/>
        <w:right w:val="none" w:sz="0" w:space="0" w:color="auto"/>
      </w:divBdr>
    </w:div>
    <w:div w:id="1016540138">
      <w:bodyDiv w:val="1"/>
      <w:marLeft w:val="0"/>
      <w:marRight w:val="0"/>
      <w:marTop w:val="0"/>
      <w:marBottom w:val="0"/>
      <w:divBdr>
        <w:top w:val="none" w:sz="0" w:space="0" w:color="auto"/>
        <w:left w:val="none" w:sz="0" w:space="0" w:color="auto"/>
        <w:bottom w:val="none" w:sz="0" w:space="0" w:color="auto"/>
        <w:right w:val="none" w:sz="0" w:space="0" w:color="auto"/>
      </w:divBdr>
    </w:div>
    <w:div w:id="1017317543">
      <w:bodyDiv w:val="1"/>
      <w:marLeft w:val="0"/>
      <w:marRight w:val="0"/>
      <w:marTop w:val="0"/>
      <w:marBottom w:val="0"/>
      <w:divBdr>
        <w:top w:val="none" w:sz="0" w:space="0" w:color="auto"/>
        <w:left w:val="none" w:sz="0" w:space="0" w:color="auto"/>
        <w:bottom w:val="none" w:sz="0" w:space="0" w:color="auto"/>
        <w:right w:val="none" w:sz="0" w:space="0" w:color="auto"/>
      </w:divBdr>
    </w:div>
    <w:div w:id="1017731060">
      <w:bodyDiv w:val="1"/>
      <w:marLeft w:val="0"/>
      <w:marRight w:val="0"/>
      <w:marTop w:val="0"/>
      <w:marBottom w:val="0"/>
      <w:divBdr>
        <w:top w:val="none" w:sz="0" w:space="0" w:color="auto"/>
        <w:left w:val="none" w:sz="0" w:space="0" w:color="auto"/>
        <w:bottom w:val="none" w:sz="0" w:space="0" w:color="auto"/>
        <w:right w:val="none" w:sz="0" w:space="0" w:color="auto"/>
      </w:divBdr>
    </w:div>
    <w:div w:id="1018241042">
      <w:bodyDiv w:val="1"/>
      <w:marLeft w:val="0"/>
      <w:marRight w:val="0"/>
      <w:marTop w:val="0"/>
      <w:marBottom w:val="0"/>
      <w:divBdr>
        <w:top w:val="none" w:sz="0" w:space="0" w:color="auto"/>
        <w:left w:val="none" w:sz="0" w:space="0" w:color="auto"/>
        <w:bottom w:val="none" w:sz="0" w:space="0" w:color="auto"/>
        <w:right w:val="none" w:sz="0" w:space="0" w:color="auto"/>
      </w:divBdr>
    </w:div>
    <w:div w:id="1018773217">
      <w:bodyDiv w:val="1"/>
      <w:marLeft w:val="0"/>
      <w:marRight w:val="0"/>
      <w:marTop w:val="0"/>
      <w:marBottom w:val="0"/>
      <w:divBdr>
        <w:top w:val="none" w:sz="0" w:space="0" w:color="auto"/>
        <w:left w:val="none" w:sz="0" w:space="0" w:color="auto"/>
        <w:bottom w:val="none" w:sz="0" w:space="0" w:color="auto"/>
        <w:right w:val="none" w:sz="0" w:space="0" w:color="auto"/>
      </w:divBdr>
    </w:div>
    <w:div w:id="1018965338">
      <w:bodyDiv w:val="1"/>
      <w:marLeft w:val="0"/>
      <w:marRight w:val="0"/>
      <w:marTop w:val="0"/>
      <w:marBottom w:val="0"/>
      <w:divBdr>
        <w:top w:val="none" w:sz="0" w:space="0" w:color="auto"/>
        <w:left w:val="none" w:sz="0" w:space="0" w:color="auto"/>
        <w:bottom w:val="none" w:sz="0" w:space="0" w:color="auto"/>
        <w:right w:val="none" w:sz="0" w:space="0" w:color="auto"/>
      </w:divBdr>
    </w:div>
    <w:div w:id="1019234920">
      <w:bodyDiv w:val="1"/>
      <w:marLeft w:val="0"/>
      <w:marRight w:val="0"/>
      <w:marTop w:val="0"/>
      <w:marBottom w:val="0"/>
      <w:divBdr>
        <w:top w:val="none" w:sz="0" w:space="0" w:color="auto"/>
        <w:left w:val="none" w:sz="0" w:space="0" w:color="auto"/>
        <w:bottom w:val="none" w:sz="0" w:space="0" w:color="auto"/>
        <w:right w:val="none" w:sz="0" w:space="0" w:color="auto"/>
      </w:divBdr>
    </w:div>
    <w:div w:id="1019282682">
      <w:bodyDiv w:val="1"/>
      <w:marLeft w:val="0"/>
      <w:marRight w:val="0"/>
      <w:marTop w:val="0"/>
      <w:marBottom w:val="0"/>
      <w:divBdr>
        <w:top w:val="none" w:sz="0" w:space="0" w:color="auto"/>
        <w:left w:val="none" w:sz="0" w:space="0" w:color="auto"/>
        <w:bottom w:val="none" w:sz="0" w:space="0" w:color="auto"/>
        <w:right w:val="none" w:sz="0" w:space="0" w:color="auto"/>
      </w:divBdr>
    </w:div>
    <w:div w:id="1021249295">
      <w:bodyDiv w:val="1"/>
      <w:marLeft w:val="0"/>
      <w:marRight w:val="0"/>
      <w:marTop w:val="0"/>
      <w:marBottom w:val="0"/>
      <w:divBdr>
        <w:top w:val="none" w:sz="0" w:space="0" w:color="auto"/>
        <w:left w:val="none" w:sz="0" w:space="0" w:color="auto"/>
        <w:bottom w:val="none" w:sz="0" w:space="0" w:color="auto"/>
        <w:right w:val="none" w:sz="0" w:space="0" w:color="auto"/>
      </w:divBdr>
    </w:div>
    <w:div w:id="1022054897">
      <w:bodyDiv w:val="1"/>
      <w:marLeft w:val="0"/>
      <w:marRight w:val="0"/>
      <w:marTop w:val="0"/>
      <w:marBottom w:val="0"/>
      <w:divBdr>
        <w:top w:val="none" w:sz="0" w:space="0" w:color="auto"/>
        <w:left w:val="none" w:sz="0" w:space="0" w:color="auto"/>
        <w:bottom w:val="none" w:sz="0" w:space="0" w:color="auto"/>
        <w:right w:val="none" w:sz="0" w:space="0" w:color="auto"/>
      </w:divBdr>
    </w:div>
    <w:div w:id="1023166078">
      <w:bodyDiv w:val="1"/>
      <w:marLeft w:val="0"/>
      <w:marRight w:val="0"/>
      <w:marTop w:val="0"/>
      <w:marBottom w:val="0"/>
      <w:divBdr>
        <w:top w:val="none" w:sz="0" w:space="0" w:color="auto"/>
        <w:left w:val="none" w:sz="0" w:space="0" w:color="auto"/>
        <w:bottom w:val="none" w:sz="0" w:space="0" w:color="auto"/>
        <w:right w:val="none" w:sz="0" w:space="0" w:color="auto"/>
      </w:divBdr>
    </w:div>
    <w:div w:id="1023634858">
      <w:bodyDiv w:val="1"/>
      <w:marLeft w:val="0"/>
      <w:marRight w:val="0"/>
      <w:marTop w:val="0"/>
      <w:marBottom w:val="0"/>
      <w:divBdr>
        <w:top w:val="none" w:sz="0" w:space="0" w:color="auto"/>
        <w:left w:val="none" w:sz="0" w:space="0" w:color="auto"/>
        <w:bottom w:val="none" w:sz="0" w:space="0" w:color="auto"/>
        <w:right w:val="none" w:sz="0" w:space="0" w:color="auto"/>
      </w:divBdr>
    </w:div>
    <w:div w:id="1024476293">
      <w:bodyDiv w:val="1"/>
      <w:marLeft w:val="0"/>
      <w:marRight w:val="0"/>
      <w:marTop w:val="0"/>
      <w:marBottom w:val="0"/>
      <w:divBdr>
        <w:top w:val="none" w:sz="0" w:space="0" w:color="auto"/>
        <w:left w:val="none" w:sz="0" w:space="0" w:color="auto"/>
        <w:bottom w:val="none" w:sz="0" w:space="0" w:color="auto"/>
        <w:right w:val="none" w:sz="0" w:space="0" w:color="auto"/>
      </w:divBdr>
    </w:div>
    <w:div w:id="1025133399">
      <w:bodyDiv w:val="1"/>
      <w:marLeft w:val="0"/>
      <w:marRight w:val="0"/>
      <w:marTop w:val="0"/>
      <w:marBottom w:val="0"/>
      <w:divBdr>
        <w:top w:val="none" w:sz="0" w:space="0" w:color="auto"/>
        <w:left w:val="none" w:sz="0" w:space="0" w:color="auto"/>
        <w:bottom w:val="none" w:sz="0" w:space="0" w:color="auto"/>
        <w:right w:val="none" w:sz="0" w:space="0" w:color="auto"/>
      </w:divBdr>
    </w:div>
    <w:div w:id="1025985975">
      <w:bodyDiv w:val="1"/>
      <w:marLeft w:val="0"/>
      <w:marRight w:val="0"/>
      <w:marTop w:val="0"/>
      <w:marBottom w:val="0"/>
      <w:divBdr>
        <w:top w:val="none" w:sz="0" w:space="0" w:color="auto"/>
        <w:left w:val="none" w:sz="0" w:space="0" w:color="auto"/>
        <w:bottom w:val="none" w:sz="0" w:space="0" w:color="auto"/>
        <w:right w:val="none" w:sz="0" w:space="0" w:color="auto"/>
      </w:divBdr>
    </w:div>
    <w:div w:id="1026709437">
      <w:bodyDiv w:val="1"/>
      <w:marLeft w:val="0"/>
      <w:marRight w:val="0"/>
      <w:marTop w:val="0"/>
      <w:marBottom w:val="0"/>
      <w:divBdr>
        <w:top w:val="none" w:sz="0" w:space="0" w:color="auto"/>
        <w:left w:val="none" w:sz="0" w:space="0" w:color="auto"/>
        <w:bottom w:val="none" w:sz="0" w:space="0" w:color="auto"/>
        <w:right w:val="none" w:sz="0" w:space="0" w:color="auto"/>
      </w:divBdr>
    </w:div>
    <w:div w:id="1029374247">
      <w:bodyDiv w:val="1"/>
      <w:marLeft w:val="0"/>
      <w:marRight w:val="0"/>
      <w:marTop w:val="0"/>
      <w:marBottom w:val="0"/>
      <w:divBdr>
        <w:top w:val="none" w:sz="0" w:space="0" w:color="auto"/>
        <w:left w:val="none" w:sz="0" w:space="0" w:color="auto"/>
        <w:bottom w:val="none" w:sz="0" w:space="0" w:color="auto"/>
        <w:right w:val="none" w:sz="0" w:space="0" w:color="auto"/>
      </w:divBdr>
    </w:div>
    <w:div w:id="1029378637">
      <w:bodyDiv w:val="1"/>
      <w:marLeft w:val="0"/>
      <w:marRight w:val="0"/>
      <w:marTop w:val="0"/>
      <w:marBottom w:val="0"/>
      <w:divBdr>
        <w:top w:val="none" w:sz="0" w:space="0" w:color="auto"/>
        <w:left w:val="none" w:sz="0" w:space="0" w:color="auto"/>
        <w:bottom w:val="none" w:sz="0" w:space="0" w:color="auto"/>
        <w:right w:val="none" w:sz="0" w:space="0" w:color="auto"/>
      </w:divBdr>
    </w:div>
    <w:div w:id="1029642962">
      <w:bodyDiv w:val="1"/>
      <w:marLeft w:val="0"/>
      <w:marRight w:val="0"/>
      <w:marTop w:val="0"/>
      <w:marBottom w:val="0"/>
      <w:divBdr>
        <w:top w:val="none" w:sz="0" w:space="0" w:color="auto"/>
        <w:left w:val="none" w:sz="0" w:space="0" w:color="auto"/>
        <w:bottom w:val="none" w:sz="0" w:space="0" w:color="auto"/>
        <w:right w:val="none" w:sz="0" w:space="0" w:color="auto"/>
      </w:divBdr>
    </w:div>
    <w:div w:id="1029797499">
      <w:bodyDiv w:val="1"/>
      <w:marLeft w:val="0"/>
      <w:marRight w:val="0"/>
      <w:marTop w:val="0"/>
      <w:marBottom w:val="0"/>
      <w:divBdr>
        <w:top w:val="none" w:sz="0" w:space="0" w:color="auto"/>
        <w:left w:val="none" w:sz="0" w:space="0" w:color="auto"/>
        <w:bottom w:val="none" w:sz="0" w:space="0" w:color="auto"/>
        <w:right w:val="none" w:sz="0" w:space="0" w:color="auto"/>
      </w:divBdr>
    </w:div>
    <w:div w:id="1030758878">
      <w:bodyDiv w:val="1"/>
      <w:marLeft w:val="0"/>
      <w:marRight w:val="0"/>
      <w:marTop w:val="0"/>
      <w:marBottom w:val="0"/>
      <w:divBdr>
        <w:top w:val="none" w:sz="0" w:space="0" w:color="auto"/>
        <w:left w:val="none" w:sz="0" w:space="0" w:color="auto"/>
        <w:bottom w:val="none" w:sz="0" w:space="0" w:color="auto"/>
        <w:right w:val="none" w:sz="0" w:space="0" w:color="auto"/>
      </w:divBdr>
    </w:div>
    <w:div w:id="1031691629">
      <w:bodyDiv w:val="1"/>
      <w:marLeft w:val="0"/>
      <w:marRight w:val="0"/>
      <w:marTop w:val="0"/>
      <w:marBottom w:val="0"/>
      <w:divBdr>
        <w:top w:val="none" w:sz="0" w:space="0" w:color="auto"/>
        <w:left w:val="none" w:sz="0" w:space="0" w:color="auto"/>
        <w:bottom w:val="none" w:sz="0" w:space="0" w:color="auto"/>
        <w:right w:val="none" w:sz="0" w:space="0" w:color="auto"/>
      </w:divBdr>
    </w:div>
    <w:div w:id="1031758149">
      <w:bodyDiv w:val="1"/>
      <w:marLeft w:val="0"/>
      <w:marRight w:val="0"/>
      <w:marTop w:val="0"/>
      <w:marBottom w:val="0"/>
      <w:divBdr>
        <w:top w:val="none" w:sz="0" w:space="0" w:color="auto"/>
        <w:left w:val="none" w:sz="0" w:space="0" w:color="auto"/>
        <w:bottom w:val="none" w:sz="0" w:space="0" w:color="auto"/>
        <w:right w:val="none" w:sz="0" w:space="0" w:color="auto"/>
      </w:divBdr>
    </w:div>
    <w:div w:id="1032076196">
      <w:bodyDiv w:val="1"/>
      <w:marLeft w:val="0"/>
      <w:marRight w:val="0"/>
      <w:marTop w:val="0"/>
      <w:marBottom w:val="0"/>
      <w:divBdr>
        <w:top w:val="none" w:sz="0" w:space="0" w:color="auto"/>
        <w:left w:val="none" w:sz="0" w:space="0" w:color="auto"/>
        <w:bottom w:val="none" w:sz="0" w:space="0" w:color="auto"/>
        <w:right w:val="none" w:sz="0" w:space="0" w:color="auto"/>
      </w:divBdr>
    </w:div>
    <w:div w:id="1032147722">
      <w:bodyDiv w:val="1"/>
      <w:marLeft w:val="0"/>
      <w:marRight w:val="0"/>
      <w:marTop w:val="0"/>
      <w:marBottom w:val="0"/>
      <w:divBdr>
        <w:top w:val="none" w:sz="0" w:space="0" w:color="auto"/>
        <w:left w:val="none" w:sz="0" w:space="0" w:color="auto"/>
        <w:bottom w:val="none" w:sz="0" w:space="0" w:color="auto"/>
        <w:right w:val="none" w:sz="0" w:space="0" w:color="auto"/>
      </w:divBdr>
    </w:div>
    <w:div w:id="1032875556">
      <w:bodyDiv w:val="1"/>
      <w:marLeft w:val="0"/>
      <w:marRight w:val="0"/>
      <w:marTop w:val="0"/>
      <w:marBottom w:val="0"/>
      <w:divBdr>
        <w:top w:val="none" w:sz="0" w:space="0" w:color="auto"/>
        <w:left w:val="none" w:sz="0" w:space="0" w:color="auto"/>
        <w:bottom w:val="none" w:sz="0" w:space="0" w:color="auto"/>
        <w:right w:val="none" w:sz="0" w:space="0" w:color="auto"/>
      </w:divBdr>
    </w:div>
    <w:div w:id="1032999261">
      <w:bodyDiv w:val="1"/>
      <w:marLeft w:val="0"/>
      <w:marRight w:val="0"/>
      <w:marTop w:val="0"/>
      <w:marBottom w:val="0"/>
      <w:divBdr>
        <w:top w:val="none" w:sz="0" w:space="0" w:color="auto"/>
        <w:left w:val="none" w:sz="0" w:space="0" w:color="auto"/>
        <w:bottom w:val="none" w:sz="0" w:space="0" w:color="auto"/>
        <w:right w:val="none" w:sz="0" w:space="0" w:color="auto"/>
      </w:divBdr>
    </w:div>
    <w:div w:id="1034189978">
      <w:bodyDiv w:val="1"/>
      <w:marLeft w:val="0"/>
      <w:marRight w:val="0"/>
      <w:marTop w:val="0"/>
      <w:marBottom w:val="0"/>
      <w:divBdr>
        <w:top w:val="none" w:sz="0" w:space="0" w:color="auto"/>
        <w:left w:val="none" w:sz="0" w:space="0" w:color="auto"/>
        <w:bottom w:val="none" w:sz="0" w:space="0" w:color="auto"/>
        <w:right w:val="none" w:sz="0" w:space="0" w:color="auto"/>
      </w:divBdr>
    </w:div>
    <w:div w:id="1034505682">
      <w:bodyDiv w:val="1"/>
      <w:marLeft w:val="0"/>
      <w:marRight w:val="0"/>
      <w:marTop w:val="0"/>
      <w:marBottom w:val="0"/>
      <w:divBdr>
        <w:top w:val="none" w:sz="0" w:space="0" w:color="auto"/>
        <w:left w:val="none" w:sz="0" w:space="0" w:color="auto"/>
        <w:bottom w:val="none" w:sz="0" w:space="0" w:color="auto"/>
        <w:right w:val="none" w:sz="0" w:space="0" w:color="auto"/>
      </w:divBdr>
    </w:div>
    <w:div w:id="1035275028">
      <w:bodyDiv w:val="1"/>
      <w:marLeft w:val="0"/>
      <w:marRight w:val="0"/>
      <w:marTop w:val="0"/>
      <w:marBottom w:val="0"/>
      <w:divBdr>
        <w:top w:val="none" w:sz="0" w:space="0" w:color="auto"/>
        <w:left w:val="none" w:sz="0" w:space="0" w:color="auto"/>
        <w:bottom w:val="none" w:sz="0" w:space="0" w:color="auto"/>
        <w:right w:val="none" w:sz="0" w:space="0" w:color="auto"/>
      </w:divBdr>
    </w:div>
    <w:div w:id="1035498742">
      <w:bodyDiv w:val="1"/>
      <w:marLeft w:val="0"/>
      <w:marRight w:val="0"/>
      <w:marTop w:val="0"/>
      <w:marBottom w:val="0"/>
      <w:divBdr>
        <w:top w:val="none" w:sz="0" w:space="0" w:color="auto"/>
        <w:left w:val="none" w:sz="0" w:space="0" w:color="auto"/>
        <w:bottom w:val="none" w:sz="0" w:space="0" w:color="auto"/>
        <w:right w:val="none" w:sz="0" w:space="0" w:color="auto"/>
      </w:divBdr>
    </w:div>
    <w:div w:id="1035810005">
      <w:bodyDiv w:val="1"/>
      <w:marLeft w:val="0"/>
      <w:marRight w:val="0"/>
      <w:marTop w:val="0"/>
      <w:marBottom w:val="0"/>
      <w:divBdr>
        <w:top w:val="none" w:sz="0" w:space="0" w:color="auto"/>
        <w:left w:val="none" w:sz="0" w:space="0" w:color="auto"/>
        <w:bottom w:val="none" w:sz="0" w:space="0" w:color="auto"/>
        <w:right w:val="none" w:sz="0" w:space="0" w:color="auto"/>
      </w:divBdr>
    </w:div>
    <w:div w:id="1036080884">
      <w:bodyDiv w:val="1"/>
      <w:marLeft w:val="0"/>
      <w:marRight w:val="0"/>
      <w:marTop w:val="0"/>
      <w:marBottom w:val="0"/>
      <w:divBdr>
        <w:top w:val="none" w:sz="0" w:space="0" w:color="auto"/>
        <w:left w:val="none" w:sz="0" w:space="0" w:color="auto"/>
        <w:bottom w:val="none" w:sz="0" w:space="0" w:color="auto"/>
        <w:right w:val="none" w:sz="0" w:space="0" w:color="auto"/>
      </w:divBdr>
      <w:divsChild>
        <w:div w:id="1697778686">
          <w:marLeft w:val="0"/>
          <w:marRight w:val="0"/>
          <w:marTop w:val="0"/>
          <w:marBottom w:val="0"/>
          <w:divBdr>
            <w:top w:val="none" w:sz="0" w:space="0" w:color="auto"/>
            <w:left w:val="none" w:sz="0" w:space="0" w:color="auto"/>
            <w:bottom w:val="none" w:sz="0" w:space="0" w:color="auto"/>
            <w:right w:val="none" w:sz="0" w:space="0" w:color="auto"/>
          </w:divBdr>
        </w:div>
        <w:div w:id="388766233">
          <w:marLeft w:val="0"/>
          <w:marRight w:val="0"/>
          <w:marTop w:val="0"/>
          <w:marBottom w:val="0"/>
          <w:divBdr>
            <w:top w:val="none" w:sz="0" w:space="0" w:color="auto"/>
            <w:left w:val="none" w:sz="0" w:space="0" w:color="auto"/>
            <w:bottom w:val="none" w:sz="0" w:space="0" w:color="auto"/>
            <w:right w:val="none" w:sz="0" w:space="0" w:color="auto"/>
          </w:divBdr>
        </w:div>
      </w:divsChild>
    </w:div>
    <w:div w:id="1036584625">
      <w:bodyDiv w:val="1"/>
      <w:marLeft w:val="0"/>
      <w:marRight w:val="0"/>
      <w:marTop w:val="0"/>
      <w:marBottom w:val="0"/>
      <w:divBdr>
        <w:top w:val="none" w:sz="0" w:space="0" w:color="auto"/>
        <w:left w:val="none" w:sz="0" w:space="0" w:color="auto"/>
        <w:bottom w:val="none" w:sz="0" w:space="0" w:color="auto"/>
        <w:right w:val="none" w:sz="0" w:space="0" w:color="auto"/>
      </w:divBdr>
    </w:div>
    <w:div w:id="1037320027">
      <w:bodyDiv w:val="1"/>
      <w:marLeft w:val="0"/>
      <w:marRight w:val="0"/>
      <w:marTop w:val="0"/>
      <w:marBottom w:val="0"/>
      <w:divBdr>
        <w:top w:val="none" w:sz="0" w:space="0" w:color="auto"/>
        <w:left w:val="none" w:sz="0" w:space="0" w:color="auto"/>
        <w:bottom w:val="none" w:sz="0" w:space="0" w:color="auto"/>
        <w:right w:val="none" w:sz="0" w:space="0" w:color="auto"/>
      </w:divBdr>
    </w:div>
    <w:div w:id="1038045287">
      <w:bodyDiv w:val="1"/>
      <w:marLeft w:val="0"/>
      <w:marRight w:val="0"/>
      <w:marTop w:val="0"/>
      <w:marBottom w:val="0"/>
      <w:divBdr>
        <w:top w:val="none" w:sz="0" w:space="0" w:color="auto"/>
        <w:left w:val="none" w:sz="0" w:space="0" w:color="auto"/>
        <w:bottom w:val="none" w:sz="0" w:space="0" w:color="auto"/>
        <w:right w:val="none" w:sz="0" w:space="0" w:color="auto"/>
      </w:divBdr>
    </w:div>
    <w:div w:id="1038163308">
      <w:bodyDiv w:val="1"/>
      <w:marLeft w:val="0"/>
      <w:marRight w:val="0"/>
      <w:marTop w:val="0"/>
      <w:marBottom w:val="0"/>
      <w:divBdr>
        <w:top w:val="none" w:sz="0" w:space="0" w:color="auto"/>
        <w:left w:val="none" w:sz="0" w:space="0" w:color="auto"/>
        <w:bottom w:val="none" w:sz="0" w:space="0" w:color="auto"/>
        <w:right w:val="none" w:sz="0" w:space="0" w:color="auto"/>
      </w:divBdr>
    </w:div>
    <w:div w:id="1038700328">
      <w:bodyDiv w:val="1"/>
      <w:marLeft w:val="0"/>
      <w:marRight w:val="0"/>
      <w:marTop w:val="0"/>
      <w:marBottom w:val="0"/>
      <w:divBdr>
        <w:top w:val="none" w:sz="0" w:space="0" w:color="auto"/>
        <w:left w:val="none" w:sz="0" w:space="0" w:color="auto"/>
        <w:bottom w:val="none" w:sz="0" w:space="0" w:color="auto"/>
        <w:right w:val="none" w:sz="0" w:space="0" w:color="auto"/>
      </w:divBdr>
    </w:div>
    <w:div w:id="1039085764">
      <w:bodyDiv w:val="1"/>
      <w:marLeft w:val="0"/>
      <w:marRight w:val="0"/>
      <w:marTop w:val="0"/>
      <w:marBottom w:val="0"/>
      <w:divBdr>
        <w:top w:val="none" w:sz="0" w:space="0" w:color="auto"/>
        <w:left w:val="none" w:sz="0" w:space="0" w:color="auto"/>
        <w:bottom w:val="none" w:sz="0" w:space="0" w:color="auto"/>
        <w:right w:val="none" w:sz="0" w:space="0" w:color="auto"/>
      </w:divBdr>
    </w:div>
    <w:div w:id="1041592006">
      <w:bodyDiv w:val="1"/>
      <w:marLeft w:val="0"/>
      <w:marRight w:val="0"/>
      <w:marTop w:val="0"/>
      <w:marBottom w:val="0"/>
      <w:divBdr>
        <w:top w:val="none" w:sz="0" w:space="0" w:color="auto"/>
        <w:left w:val="none" w:sz="0" w:space="0" w:color="auto"/>
        <w:bottom w:val="none" w:sz="0" w:space="0" w:color="auto"/>
        <w:right w:val="none" w:sz="0" w:space="0" w:color="auto"/>
      </w:divBdr>
    </w:div>
    <w:div w:id="1042285323">
      <w:bodyDiv w:val="1"/>
      <w:marLeft w:val="0"/>
      <w:marRight w:val="0"/>
      <w:marTop w:val="0"/>
      <w:marBottom w:val="0"/>
      <w:divBdr>
        <w:top w:val="none" w:sz="0" w:space="0" w:color="auto"/>
        <w:left w:val="none" w:sz="0" w:space="0" w:color="auto"/>
        <w:bottom w:val="none" w:sz="0" w:space="0" w:color="auto"/>
        <w:right w:val="none" w:sz="0" w:space="0" w:color="auto"/>
      </w:divBdr>
    </w:div>
    <w:div w:id="1042368349">
      <w:bodyDiv w:val="1"/>
      <w:marLeft w:val="0"/>
      <w:marRight w:val="0"/>
      <w:marTop w:val="0"/>
      <w:marBottom w:val="0"/>
      <w:divBdr>
        <w:top w:val="none" w:sz="0" w:space="0" w:color="auto"/>
        <w:left w:val="none" w:sz="0" w:space="0" w:color="auto"/>
        <w:bottom w:val="none" w:sz="0" w:space="0" w:color="auto"/>
        <w:right w:val="none" w:sz="0" w:space="0" w:color="auto"/>
      </w:divBdr>
    </w:div>
    <w:div w:id="1043094673">
      <w:bodyDiv w:val="1"/>
      <w:marLeft w:val="0"/>
      <w:marRight w:val="0"/>
      <w:marTop w:val="0"/>
      <w:marBottom w:val="0"/>
      <w:divBdr>
        <w:top w:val="none" w:sz="0" w:space="0" w:color="auto"/>
        <w:left w:val="none" w:sz="0" w:space="0" w:color="auto"/>
        <w:bottom w:val="none" w:sz="0" w:space="0" w:color="auto"/>
        <w:right w:val="none" w:sz="0" w:space="0" w:color="auto"/>
      </w:divBdr>
    </w:div>
    <w:div w:id="1043559486">
      <w:bodyDiv w:val="1"/>
      <w:marLeft w:val="0"/>
      <w:marRight w:val="0"/>
      <w:marTop w:val="0"/>
      <w:marBottom w:val="0"/>
      <w:divBdr>
        <w:top w:val="none" w:sz="0" w:space="0" w:color="auto"/>
        <w:left w:val="none" w:sz="0" w:space="0" w:color="auto"/>
        <w:bottom w:val="none" w:sz="0" w:space="0" w:color="auto"/>
        <w:right w:val="none" w:sz="0" w:space="0" w:color="auto"/>
      </w:divBdr>
    </w:div>
    <w:div w:id="1044212371">
      <w:bodyDiv w:val="1"/>
      <w:marLeft w:val="0"/>
      <w:marRight w:val="0"/>
      <w:marTop w:val="0"/>
      <w:marBottom w:val="0"/>
      <w:divBdr>
        <w:top w:val="none" w:sz="0" w:space="0" w:color="auto"/>
        <w:left w:val="none" w:sz="0" w:space="0" w:color="auto"/>
        <w:bottom w:val="none" w:sz="0" w:space="0" w:color="auto"/>
        <w:right w:val="none" w:sz="0" w:space="0" w:color="auto"/>
      </w:divBdr>
    </w:div>
    <w:div w:id="1044402077">
      <w:bodyDiv w:val="1"/>
      <w:marLeft w:val="0"/>
      <w:marRight w:val="0"/>
      <w:marTop w:val="0"/>
      <w:marBottom w:val="0"/>
      <w:divBdr>
        <w:top w:val="none" w:sz="0" w:space="0" w:color="auto"/>
        <w:left w:val="none" w:sz="0" w:space="0" w:color="auto"/>
        <w:bottom w:val="none" w:sz="0" w:space="0" w:color="auto"/>
        <w:right w:val="none" w:sz="0" w:space="0" w:color="auto"/>
      </w:divBdr>
    </w:div>
    <w:div w:id="1045256627">
      <w:bodyDiv w:val="1"/>
      <w:marLeft w:val="0"/>
      <w:marRight w:val="0"/>
      <w:marTop w:val="0"/>
      <w:marBottom w:val="0"/>
      <w:divBdr>
        <w:top w:val="none" w:sz="0" w:space="0" w:color="auto"/>
        <w:left w:val="none" w:sz="0" w:space="0" w:color="auto"/>
        <w:bottom w:val="none" w:sz="0" w:space="0" w:color="auto"/>
        <w:right w:val="none" w:sz="0" w:space="0" w:color="auto"/>
      </w:divBdr>
    </w:div>
    <w:div w:id="1045955684">
      <w:bodyDiv w:val="1"/>
      <w:marLeft w:val="0"/>
      <w:marRight w:val="0"/>
      <w:marTop w:val="0"/>
      <w:marBottom w:val="0"/>
      <w:divBdr>
        <w:top w:val="none" w:sz="0" w:space="0" w:color="auto"/>
        <w:left w:val="none" w:sz="0" w:space="0" w:color="auto"/>
        <w:bottom w:val="none" w:sz="0" w:space="0" w:color="auto"/>
        <w:right w:val="none" w:sz="0" w:space="0" w:color="auto"/>
      </w:divBdr>
    </w:div>
    <w:div w:id="1046105370">
      <w:bodyDiv w:val="1"/>
      <w:marLeft w:val="0"/>
      <w:marRight w:val="0"/>
      <w:marTop w:val="0"/>
      <w:marBottom w:val="0"/>
      <w:divBdr>
        <w:top w:val="none" w:sz="0" w:space="0" w:color="auto"/>
        <w:left w:val="none" w:sz="0" w:space="0" w:color="auto"/>
        <w:bottom w:val="none" w:sz="0" w:space="0" w:color="auto"/>
        <w:right w:val="none" w:sz="0" w:space="0" w:color="auto"/>
      </w:divBdr>
    </w:div>
    <w:div w:id="1046370427">
      <w:bodyDiv w:val="1"/>
      <w:marLeft w:val="0"/>
      <w:marRight w:val="0"/>
      <w:marTop w:val="0"/>
      <w:marBottom w:val="0"/>
      <w:divBdr>
        <w:top w:val="none" w:sz="0" w:space="0" w:color="auto"/>
        <w:left w:val="none" w:sz="0" w:space="0" w:color="auto"/>
        <w:bottom w:val="none" w:sz="0" w:space="0" w:color="auto"/>
        <w:right w:val="none" w:sz="0" w:space="0" w:color="auto"/>
      </w:divBdr>
    </w:div>
    <w:div w:id="1046836686">
      <w:bodyDiv w:val="1"/>
      <w:marLeft w:val="0"/>
      <w:marRight w:val="0"/>
      <w:marTop w:val="0"/>
      <w:marBottom w:val="0"/>
      <w:divBdr>
        <w:top w:val="none" w:sz="0" w:space="0" w:color="auto"/>
        <w:left w:val="none" w:sz="0" w:space="0" w:color="auto"/>
        <w:bottom w:val="none" w:sz="0" w:space="0" w:color="auto"/>
        <w:right w:val="none" w:sz="0" w:space="0" w:color="auto"/>
      </w:divBdr>
    </w:div>
    <w:div w:id="1047336875">
      <w:bodyDiv w:val="1"/>
      <w:marLeft w:val="0"/>
      <w:marRight w:val="0"/>
      <w:marTop w:val="0"/>
      <w:marBottom w:val="0"/>
      <w:divBdr>
        <w:top w:val="none" w:sz="0" w:space="0" w:color="auto"/>
        <w:left w:val="none" w:sz="0" w:space="0" w:color="auto"/>
        <w:bottom w:val="none" w:sz="0" w:space="0" w:color="auto"/>
        <w:right w:val="none" w:sz="0" w:space="0" w:color="auto"/>
      </w:divBdr>
    </w:div>
    <w:div w:id="1049838570">
      <w:bodyDiv w:val="1"/>
      <w:marLeft w:val="0"/>
      <w:marRight w:val="0"/>
      <w:marTop w:val="0"/>
      <w:marBottom w:val="0"/>
      <w:divBdr>
        <w:top w:val="none" w:sz="0" w:space="0" w:color="auto"/>
        <w:left w:val="none" w:sz="0" w:space="0" w:color="auto"/>
        <w:bottom w:val="none" w:sz="0" w:space="0" w:color="auto"/>
        <w:right w:val="none" w:sz="0" w:space="0" w:color="auto"/>
      </w:divBdr>
    </w:div>
    <w:div w:id="1050034165">
      <w:bodyDiv w:val="1"/>
      <w:marLeft w:val="0"/>
      <w:marRight w:val="0"/>
      <w:marTop w:val="0"/>
      <w:marBottom w:val="0"/>
      <w:divBdr>
        <w:top w:val="none" w:sz="0" w:space="0" w:color="auto"/>
        <w:left w:val="none" w:sz="0" w:space="0" w:color="auto"/>
        <w:bottom w:val="none" w:sz="0" w:space="0" w:color="auto"/>
        <w:right w:val="none" w:sz="0" w:space="0" w:color="auto"/>
      </w:divBdr>
    </w:div>
    <w:div w:id="1051462962">
      <w:bodyDiv w:val="1"/>
      <w:marLeft w:val="0"/>
      <w:marRight w:val="0"/>
      <w:marTop w:val="0"/>
      <w:marBottom w:val="0"/>
      <w:divBdr>
        <w:top w:val="none" w:sz="0" w:space="0" w:color="auto"/>
        <w:left w:val="none" w:sz="0" w:space="0" w:color="auto"/>
        <w:bottom w:val="none" w:sz="0" w:space="0" w:color="auto"/>
        <w:right w:val="none" w:sz="0" w:space="0" w:color="auto"/>
      </w:divBdr>
    </w:div>
    <w:div w:id="1051928575">
      <w:bodyDiv w:val="1"/>
      <w:marLeft w:val="0"/>
      <w:marRight w:val="0"/>
      <w:marTop w:val="0"/>
      <w:marBottom w:val="0"/>
      <w:divBdr>
        <w:top w:val="none" w:sz="0" w:space="0" w:color="auto"/>
        <w:left w:val="none" w:sz="0" w:space="0" w:color="auto"/>
        <w:bottom w:val="none" w:sz="0" w:space="0" w:color="auto"/>
        <w:right w:val="none" w:sz="0" w:space="0" w:color="auto"/>
      </w:divBdr>
    </w:div>
    <w:div w:id="1052147618">
      <w:bodyDiv w:val="1"/>
      <w:marLeft w:val="0"/>
      <w:marRight w:val="0"/>
      <w:marTop w:val="0"/>
      <w:marBottom w:val="0"/>
      <w:divBdr>
        <w:top w:val="none" w:sz="0" w:space="0" w:color="auto"/>
        <w:left w:val="none" w:sz="0" w:space="0" w:color="auto"/>
        <w:bottom w:val="none" w:sz="0" w:space="0" w:color="auto"/>
        <w:right w:val="none" w:sz="0" w:space="0" w:color="auto"/>
      </w:divBdr>
    </w:div>
    <w:div w:id="1052191826">
      <w:bodyDiv w:val="1"/>
      <w:marLeft w:val="0"/>
      <w:marRight w:val="0"/>
      <w:marTop w:val="0"/>
      <w:marBottom w:val="0"/>
      <w:divBdr>
        <w:top w:val="none" w:sz="0" w:space="0" w:color="auto"/>
        <w:left w:val="none" w:sz="0" w:space="0" w:color="auto"/>
        <w:bottom w:val="none" w:sz="0" w:space="0" w:color="auto"/>
        <w:right w:val="none" w:sz="0" w:space="0" w:color="auto"/>
      </w:divBdr>
    </w:div>
    <w:div w:id="1052390485">
      <w:bodyDiv w:val="1"/>
      <w:marLeft w:val="0"/>
      <w:marRight w:val="0"/>
      <w:marTop w:val="0"/>
      <w:marBottom w:val="0"/>
      <w:divBdr>
        <w:top w:val="none" w:sz="0" w:space="0" w:color="auto"/>
        <w:left w:val="none" w:sz="0" w:space="0" w:color="auto"/>
        <w:bottom w:val="none" w:sz="0" w:space="0" w:color="auto"/>
        <w:right w:val="none" w:sz="0" w:space="0" w:color="auto"/>
      </w:divBdr>
    </w:div>
    <w:div w:id="1053427451">
      <w:bodyDiv w:val="1"/>
      <w:marLeft w:val="0"/>
      <w:marRight w:val="0"/>
      <w:marTop w:val="0"/>
      <w:marBottom w:val="0"/>
      <w:divBdr>
        <w:top w:val="none" w:sz="0" w:space="0" w:color="auto"/>
        <w:left w:val="none" w:sz="0" w:space="0" w:color="auto"/>
        <w:bottom w:val="none" w:sz="0" w:space="0" w:color="auto"/>
        <w:right w:val="none" w:sz="0" w:space="0" w:color="auto"/>
      </w:divBdr>
    </w:div>
    <w:div w:id="1054429286">
      <w:bodyDiv w:val="1"/>
      <w:marLeft w:val="0"/>
      <w:marRight w:val="0"/>
      <w:marTop w:val="0"/>
      <w:marBottom w:val="0"/>
      <w:divBdr>
        <w:top w:val="none" w:sz="0" w:space="0" w:color="auto"/>
        <w:left w:val="none" w:sz="0" w:space="0" w:color="auto"/>
        <w:bottom w:val="none" w:sz="0" w:space="0" w:color="auto"/>
        <w:right w:val="none" w:sz="0" w:space="0" w:color="auto"/>
      </w:divBdr>
    </w:div>
    <w:div w:id="1056122245">
      <w:bodyDiv w:val="1"/>
      <w:marLeft w:val="0"/>
      <w:marRight w:val="0"/>
      <w:marTop w:val="0"/>
      <w:marBottom w:val="0"/>
      <w:divBdr>
        <w:top w:val="none" w:sz="0" w:space="0" w:color="auto"/>
        <w:left w:val="none" w:sz="0" w:space="0" w:color="auto"/>
        <w:bottom w:val="none" w:sz="0" w:space="0" w:color="auto"/>
        <w:right w:val="none" w:sz="0" w:space="0" w:color="auto"/>
      </w:divBdr>
    </w:div>
    <w:div w:id="1056129142">
      <w:bodyDiv w:val="1"/>
      <w:marLeft w:val="0"/>
      <w:marRight w:val="0"/>
      <w:marTop w:val="0"/>
      <w:marBottom w:val="0"/>
      <w:divBdr>
        <w:top w:val="none" w:sz="0" w:space="0" w:color="auto"/>
        <w:left w:val="none" w:sz="0" w:space="0" w:color="auto"/>
        <w:bottom w:val="none" w:sz="0" w:space="0" w:color="auto"/>
        <w:right w:val="none" w:sz="0" w:space="0" w:color="auto"/>
      </w:divBdr>
    </w:div>
    <w:div w:id="1057125969">
      <w:bodyDiv w:val="1"/>
      <w:marLeft w:val="0"/>
      <w:marRight w:val="0"/>
      <w:marTop w:val="0"/>
      <w:marBottom w:val="0"/>
      <w:divBdr>
        <w:top w:val="none" w:sz="0" w:space="0" w:color="auto"/>
        <w:left w:val="none" w:sz="0" w:space="0" w:color="auto"/>
        <w:bottom w:val="none" w:sz="0" w:space="0" w:color="auto"/>
        <w:right w:val="none" w:sz="0" w:space="0" w:color="auto"/>
      </w:divBdr>
    </w:div>
    <w:div w:id="1057314030">
      <w:bodyDiv w:val="1"/>
      <w:marLeft w:val="0"/>
      <w:marRight w:val="0"/>
      <w:marTop w:val="0"/>
      <w:marBottom w:val="0"/>
      <w:divBdr>
        <w:top w:val="none" w:sz="0" w:space="0" w:color="auto"/>
        <w:left w:val="none" w:sz="0" w:space="0" w:color="auto"/>
        <w:bottom w:val="none" w:sz="0" w:space="0" w:color="auto"/>
        <w:right w:val="none" w:sz="0" w:space="0" w:color="auto"/>
      </w:divBdr>
    </w:div>
    <w:div w:id="1057974131">
      <w:bodyDiv w:val="1"/>
      <w:marLeft w:val="0"/>
      <w:marRight w:val="0"/>
      <w:marTop w:val="0"/>
      <w:marBottom w:val="0"/>
      <w:divBdr>
        <w:top w:val="none" w:sz="0" w:space="0" w:color="auto"/>
        <w:left w:val="none" w:sz="0" w:space="0" w:color="auto"/>
        <w:bottom w:val="none" w:sz="0" w:space="0" w:color="auto"/>
        <w:right w:val="none" w:sz="0" w:space="0" w:color="auto"/>
      </w:divBdr>
    </w:div>
    <w:div w:id="1058166599">
      <w:bodyDiv w:val="1"/>
      <w:marLeft w:val="0"/>
      <w:marRight w:val="0"/>
      <w:marTop w:val="0"/>
      <w:marBottom w:val="0"/>
      <w:divBdr>
        <w:top w:val="none" w:sz="0" w:space="0" w:color="auto"/>
        <w:left w:val="none" w:sz="0" w:space="0" w:color="auto"/>
        <w:bottom w:val="none" w:sz="0" w:space="0" w:color="auto"/>
        <w:right w:val="none" w:sz="0" w:space="0" w:color="auto"/>
      </w:divBdr>
    </w:div>
    <w:div w:id="1058548668">
      <w:bodyDiv w:val="1"/>
      <w:marLeft w:val="0"/>
      <w:marRight w:val="0"/>
      <w:marTop w:val="0"/>
      <w:marBottom w:val="0"/>
      <w:divBdr>
        <w:top w:val="none" w:sz="0" w:space="0" w:color="auto"/>
        <w:left w:val="none" w:sz="0" w:space="0" w:color="auto"/>
        <w:bottom w:val="none" w:sz="0" w:space="0" w:color="auto"/>
        <w:right w:val="none" w:sz="0" w:space="0" w:color="auto"/>
      </w:divBdr>
    </w:div>
    <w:div w:id="1058699335">
      <w:bodyDiv w:val="1"/>
      <w:marLeft w:val="0"/>
      <w:marRight w:val="0"/>
      <w:marTop w:val="0"/>
      <w:marBottom w:val="0"/>
      <w:divBdr>
        <w:top w:val="none" w:sz="0" w:space="0" w:color="auto"/>
        <w:left w:val="none" w:sz="0" w:space="0" w:color="auto"/>
        <w:bottom w:val="none" w:sz="0" w:space="0" w:color="auto"/>
        <w:right w:val="none" w:sz="0" w:space="0" w:color="auto"/>
      </w:divBdr>
    </w:div>
    <w:div w:id="1059327324">
      <w:bodyDiv w:val="1"/>
      <w:marLeft w:val="0"/>
      <w:marRight w:val="0"/>
      <w:marTop w:val="0"/>
      <w:marBottom w:val="0"/>
      <w:divBdr>
        <w:top w:val="none" w:sz="0" w:space="0" w:color="auto"/>
        <w:left w:val="none" w:sz="0" w:space="0" w:color="auto"/>
        <w:bottom w:val="none" w:sz="0" w:space="0" w:color="auto"/>
        <w:right w:val="none" w:sz="0" w:space="0" w:color="auto"/>
      </w:divBdr>
    </w:div>
    <w:div w:id="1059788072">
      <w:bodyDiv w:val="1"/>
      <w:marLeft w:val="0"/>
      <w:marRight w:val="0"/>
      <w:marTop w:val="0"/>
      <w:marBottom w:val="0"/>
      <w:divBdr>
        <w:top w:val="none" w:sz="0" w:space="0" w:color="auto"/>
        <w:left w:val="none" w:sz="0" w:space="0" w:color="auto"/>
        <w:bottom w:val="none" w:sz="0" w:space="0" w:color="auto"/>
        <w:right w:val="none" w:sz="0" w:space="0" w:color="auto"/>
      </w:divBdr>
    </w:div>
    <w:div w:id="1059938729">
      <w:bodyDiv w:val="1"/>
      <w:marLeft w:val="0"/>
      <w:marRight w:val="0"/>
      <w:marTop w:val="0"/>
      <w:marBottom w:val="0"/>
      <w:divBdr>
        <w:top w:val="none" w:sz="0" w:space="0" w:color="auto"/>
        <w:left w:val="none" w:sz="0" w:space="0" w:color="auto"/>
        <w:bottom w:val="none" w:sz="0" w:space="0" w:color="auto"/>
        <w:right w:val="none" w:sz="0" w:space="0" w:color="auto"/>
      </w:divBdr>
    </w:div>
    <w:div w:id="1059980229">
      <w:bodyDiv w:val="1"/>
      <w:marLeft w:val="0"/>
      <w:marRight w:val="0"/>
      <w:marTop w:val="0"/>
      <w:marBottom w:val="0"/>
      <w:divBdr>
        <w:top w:val="none" w:sz="0" w:space="0" w:color="auto"/>
        <w:left w:val="none" w:sz="0" w:space="0" w:color="auto"/>
        <w:bottom w:val="none" w:sz="0" w:space="0" w:color="auto"/>
        <w:right w:val="none" w:sz="0" w:space="0" w:color="auto"/>
      </w:divBdr>
    </w:div>
    <w:div w:id="1060982637">
      <w:bodyDiv w:val="1"/>
      <w:marLeft w:val="0"/>
      <w:marRight w:val="0"/>
      <w:marTop w:val="0"/>
      <w:marBottom w:val="0"/>
      <w:divBdr>
        <w:top w:val="none" w:sz="0" w:space="0" w:color="auto"/>
        <w:left w:val="none" w:sz="0" w:space="0" w:color="auto"/>
        <w:bottom w:val="none" w:sz="0" w:space="0" w:color="auto"/>
        <w:right w:val="none" w:sz="0" w:space="0" w:color="auto"/>
      </w:divBdr>
    </w:div>
    <w:div w:id="1061321173">
      <w:bodyDiv w:val="1"/>
      <w:marLeft w:val="0"/>
      <w:marRight w:val="0"/>
      <w:marTop w:val="0"/>
      <w:marBottom w:val="0"/>
      <w:divBdr>
        <w:top w:val="none" w:sz="0" w:space="0" w:color="auto"/>
        <w:left w:val="none" w:sz="0" w:space="0" w:color="auto"/>
        <w:bottom w:val="none" w:sz="0" w:space="0" w:color="auto"/>
        <w:right w:val="none" w:sz="0" w:space="0" w:color="auto"/>
      </w:divBdr>
    </w:div>
    <w:div w:id="1061757146">
      <w:bodyDiv w:val="1"/>
      <w:marLeft w:val="0"/>
      <w:marRight w:val="0"/>
      <w:marTop w:val="0"/>
      <w:marBottom w:val="0"/>
      <w:divBdr>
        <w:top w:val="none" w:sz="0" w:space="0" w:color="auto"/>
        <w:left w:val="none" w:sz="0" w:space="0" w:color="auto"/>
        <w:bottom w:val="none" w:sz="0" w:space="0" w:color="auto"/>
        <w:right w:val="none" w:sz="0" w:space="0" w:color="auto"/>
      </w:divBdr>
    </w:div>
    <w:div w:id="1062213403">
      <w:bodyDiv w:val="1"/>
      <w:marLeft w:val="0"/>
      <w:marRight w:val="0"/>
      <w:marTop w:val="0"/>
      <w:marBottom w:val="0"/>
      <w:divBdr>
        <w:top w:val="none" w:sz="0" w:space="0" w:color="auto"/>
        <w:left w:val="none" w:sz="0" w:space="0" w:color="auto"/>
        <w:bottom w:val="none" w:sz="0" w:space="0" w:color="auto"/>
        <w:right w:val="none" w:sz="0" w:space="0" w:color="auto"/>
      </w:divBdr>
    </w:div>
    <w:div w:id="1062633021">
      <w:bodyDiv w:val="1"/>
      <w:marLeft w:val="0"/>
      <w:marRight w:val="0"/>
      <w:marTop w:val="0"/>
      <w:marBottom w:val="0"/>
      <w:divBdr>
        <w:top w:val="none" w:sz="0" w:space="0" w:color="auto"/>
        <w:left w:val="none" w:sz="0" w:space="0" w:color="auto"/>
        <w:bottom w:val="none" w:sz="0" w:space="0" w:color="auto"/>
        <w:right w:val="none" w:sz="0" w:space="0" w:color="auto"/>
      </w:divBdr>
    </w:div>
    <w:div w:id="1062679505">
      <w:bodyDiv w:val="1"/>
      <w:marLeft w:val="0"/>
      <w:marRight w:val="0"/>
      <w:marTop w:val="0"/>
      <w:marBottom w:val="0"/>
      <w:divBdr>
        <w:top w:val="none" w:sz="0" w:space="0" w:color="auto"/>
        <w:left w:val="none" w:sz="0" w:space="0" w:color="auto"/>
        <w:bottom w:val="none" w:sz="0" w:space="0" w:color="auto"/>
        <w:right w:val="none" w:sz="0" w:space="0" w:color="auto"/>
      </w:divBdr>
    </w:div>
    <w:div w:id="1062756198">
      <w:bodyDiv w:val="1"/>
      <w:marLeft w:val="0"/>
      <w:marRight w:val="0"/>
      <w:marTop w:val="0"/>
      <w:marBottom w:val="0"/>
      <w:divBdr>
        <w:top w:val="none" w:sz="0" w:space="0" w:color="auto"/>
        <w:left w:val="none" w:sz="0" w:space="0" w:color="auto"/>
        <w:bottom w:val="none" w:sz="0" w:space="0" w:color="auto"/>
        <w:right w:val="none" w:sz="0" w:space="0" w:color="auto"/>
      </w:divBdr>
    </w:div>
    <w:div w:id="1062797376">
      <w:bodyDiv w:val="1"/>
      <w:marLeft w:val="0"/>
      <w:marRight w:val="0"/>
      <w:marTop w:val="0"/>
      <w:marBottom w:val="0"/>
      <w:divBdr>
        <w:top w:val="none" w:sz="0" w:space="0" w:color="auto"/>
        <w:left w:val="none" w:sz="0" w:space="0" w:color="auto"/>
        <w:bottom w:val="none" w:sz="0" w:space="0" w:color="auto"/>
        <w:right w:val="none" w:sz="0" w:space="0" w:color="auto"/>
      </w:divBdr>
    </w:div>
    <w:div w:id="1063215017">
      <w:bodyDiv w:val="1"/>
      <w:marLeft w:val="0"/>
      <w:marRight w:val="0"/>
      <w:marTop w:val="0"/>
      <w:marBottom w:val="0"/>
      <w:divBdr>
        <w:top w:val="none" w:sz="0" w:space="0" w:color="auto"/>
        <w:left w:val="none" w:sz="0" w:space="0" w:color="auto"/>
        <w:bottom w:val="none" w:sz="0" w:space="0" w:color="auto"/>
        <w:right w:val="none" w:sz="0" w:space="0" w:color="auto"/>
      </w:divBdr>
    </w:div>
    <w:div w:id="1066805021">
      <w:bodyDiv w:val="1"/>
      <w:marLeft w:val="0"/>
      <w:marRight w:val="0"/>
      <w:marTop w:val="0"/>
      <w:marBottom w:val="0"/>
      <w:divBdr>
        <w:top w:val="none" w:sz="0" w:space="0" w:color="auto"/>
        <w:left w:val="none" w:sz="0" w:space="0" w:color="auto"/>
        <w:bottom w:val="none" w:sz="0" w:space="0" w:color="auto"/>
        <w:right w:val="none" w:sz="0" w:space="0" w:color="auto"/>
      </w:divBdr>
      <w:divsChild>
        <w:div w:id="560099052">
          <w:marLeft w:val="0"/>
          <w:marRight w:val="0"/>
          <w:marTop w:val="0"/>
          <w:marBottom w:val="0"/>
          <w:divBdr>
            <w:top w:val="none" w:sz="0" w:space="0" w:color="auto"/>
            <w:left w:val="none" w:sz="0" w:space="0" w:color="auto"/>
            <w:bottom w:val="none" w:sz="0" w:space="0" w:color="auto"/>
            <w:right w:val="none" w:sz="0" w:space="0" w:color="auto"/>
          </w:divBdr>
        </w:div>
        <w:div w:id="2141608382">
          <w:marLeft w:val="0"/>
          <w:marRight w:val="0"/>
          <w:marTop w:val="0"/>
          <w:marBottom w:val="0"/>
          <w:divBdr>
            <w:top w:val="none" w:sz="0" w:space="0" w:color="auto"/>
            <w:left w:val="none" w:sz="0" w:space="0" w:color="auto"/>
            <w:bottom w:val="none" w:sz="0" w:space="0" w:color="auto"/>
            <w:right w:val="none" w:sz="0" w:space="0" w:color="auto"/>
          </w:divBdr>
        </w:div>
        <w:div w:id="1807577250">
          <w:marLeft w:val="0"/>
          <w:marRight w:val="0"/>
          <w:marTop w:val="0"/>
          <w:marBottom w:val="0"/>
          <w:divBdr>
            <w:top w:val="none" w:sz="0" w:space="0" w:color="auto"/>
            <w:left w:val="none" w:sz="0" w:space="0" w:color="auto"/>
            <w:bottom w:val="none" w:sz="0" w:space="0" w:color="auto"/>
            <w:right w:val="none" w:sz="0" w:space="0" w:color="auto"/>
          </w:divBdr>
        </w:div>
        <w:div w:id="376205274">
          <w:marLeft w:val="0"/>
          <w:marRight w:val="0"/>
          <w:marTop w:val="0"/>
          <w:marBottom w:val="0"/>
          <w:divBdr>
            <w:top w:val="none" w:sz="0" w:space="0" w:color="auto"/>
            <w:left w:val="none" w:sz="0" w:space="0" w:color="auto"/>
            <w:bottom w:val="none" w:sz="0" w:space="0" w:color="auto"/>
            <w:right w:val="none" w:sz="0" w:space="0" w:color="auto"/>
          </w:divBdr>
        </w:div>
        <w:div w:id="974679352">
          <w:marLeft w:val="0"/>
          <w:marRight w:val="0"/>
          <w:marTop w:val="0"/>
          <w:marBottom w:val="0"/>
          <w:divBdr>
            <w:top w:val="none" w:sz="0" w:space="0" w:color="auto"/>
            <w:left w:val="none" w:sz="0" w:space="0" w:color="auto"/>
            <w:bottom w:val="none" w:sz="0" w:space="0" w:color="auto"/>
            <w:right w:val="none" w:sz="0" w:space="0" w:color="auto"/>
          </w:divBdr>
        </w:div>
        <w:div w:id="453641031">
          <w:marLeft w:val="0"/>
          <w:marRight w:val="0"/>
          <w:marTop w:val="0"/>
          <w:marBottom w:val="0"/>
          <w:divBdr>
            <w:top w:val="none" w:sz="0" w:space="0" w:color="auto"/>
            <w:left w:val="none" w:sz="0" w:space="0" w:color="auto"/>
            <w:bottom w:val="none" w:sz="0" w:space="0" w:color="auto"/>
            <w:right w:val="none" w:sz="0" w:space="0" w:color="auto"/>
          </w:divBdr>
        </w:div>
        <w:div w:id="1175148885">
          <w:marLeft w:val="0"/>
          <w:marRight w:val="0"/>
          <w:marTop w:val="0"/>
          <w:marBottom w:val="0"/>
          <w:divBdr>
            <w:top w:val="none" w:sz="0" w:space="0" w:color="auto"/>
            <w:left w:val="none" w:sz="0" w:space="0" w:color="auto"/>
            <w:bottom w:val="none" w:sz="0" w:space="0" w:color="auto"/>
            <w:right w:val="none" w:sz="0" w:space="0" w:color="auto"/>
          </w:divBdr>
        </w:div>
      </w:divsChild>
    </w:div>
    <w:div w:id="1068579085">
      <w:bodyDiv w:val="1"/>
      <w:marLeft w:val="0"/>
      <w:marRight w:val="0"/>
      <w:marTop w:val="0"/>
      <w:marBottom w:val="0"/>
      <w:divBdr>
        <w:top w:val="none" w:sz="0" w:space="0" w:color="auto"/>
        <w:left w:val="none" w:sz="0" w:space="0" w:color="auto"/>
        <w:bottom w:val="none" w:sz="0" w:space="0" w:color="auto"/>
        <w:right w:val="none" w:sz="0" w:space="0" w:color="auto"/>
      </w:divBdr>
    </w:div>
    <w:div w:id="1068923309">
      <w:bodyDiv w:val="1"/>
      <w:marLeft w:val="0"/>
      <w:marRight w:val="0"/>
      <w:marTop w:val="0"/>
      <w:marBottom w:val="0"/>
      <w:divBdr>
        <w:top w:val="none" w:sz="0" w:space="0" w:color="auto"/>
        <w:left w:val="none" w:sz="0" w:space="0" w:color="auto"/>
        <w:bottom w:val="none" w:sz="0" w:space="0" w:color="auto"/>
        <w:right w:val="none" w:sz="0" w:space="0" w:color="auto"/>
      </w:divBdr>
    </w:div>
    <w:div w:id="1068959200">
      <w:bodyDiv w:val="1"/>
      <w:marLeft w:val="0"/>
      <w:marRight w:val="0"/>
      <w:marTop w:val="0"/>
      <w:marBottom w:val="0"/>
      <w:divBdr>
        <w:top w:val="none" w:sz="0" w:space="0" w:color="auto"/>
        <w:left w:val="none" w:sz="0" w:space="0" w:color="auto"/>
        <w:bottom w:val="none" w:sz="0" w:space="0" w:color="auto"/>
        <w:right w:val="none" w:sz="0" w:space="0" w:color="auto"/>
      </w:divBdr>
    </w:div>
    <w:div w:id="1069352683">
      <w:bodyDiv w:val="1"/>
      <w:marLeft w:val="0"/>
      <w:marRight w:val="0"/>
      <w:marTop w:val="0"/>
      <w:marBottom w:val="0"/>
      <w:divBdr>
        <w:top w:val="none" w:sz="0" w:space="0" w:color="auto"/>
        <w:left w:val="none" w:sz="0" w:space="0" w:color="auto"/>
        <w:bottom w:val="none" w:sz="0" w:space="0" w:color="auto"/>
        <w:right w:val="none" w:sz="0" w:space="0" w:color="auto"/>
      </w:divBdr>
    </w:div>
    <w:div w:id="1069889095">
      <w:bodyDiv w:val="1"/>
      <w:marLeft w:val="0"/>
      <w:marRight w:val="0"/>
      <w:marTop w:val="0"/>
      <w:marBottom w:val="0"/>
      <w:divBdr>
        <w:top w:val="none" w:sz="0" w:space="0" w:color="auto"/>
        <w:left w:val="none" w:sz="0" w:space="0" w:color="auto"/>
        <w:bottom w:val="none" w:sz="0" w:space="0" w:color="auto"/>
        <w:right w:val="none" w:sz="0" w:space="0" w:color="auto"/>
      </w:divBdr>
    </w:div>
    <w:div w:id="1069960862">
      <w:bodyDiv w:val="1"/>
      <w:marLeft w:val="0"/>
      <w:marRight w:val="0"/>
      <w:marTop w:val="0"/>
      <w:marBottom w:val="0"/>
      <w:divBdr>
        <w:top w:val="none" w:sz="0" w:space="0" w:color="auto"/>
        <w:left w:val="none" w:sz="0" w:space="0" w:color="auto"/>
        <w:bottom w:val="none" w:sz="0" w:space="0" w:color="auto"/>
        <w:right w:val="none" w:sz="0" w:space="0" w:color="auto"/>
      </w:divBdr>
      <w:divsChild>
        <w:div w:id="1156457099">
          <w:marLeft w:val="0"/>
          <w:marRight w:val="0"/>
          <w:marTop w:val="0"/>
          <w:marBottom w:val="0"/>
          <w:divBdr>
            <w:top w:val="none" w:sz="0" w:space="0" w:color="auto"/>
            <w:left w:val="none" w:sz="0" w:space="0" w:color="auto"/>
            <w:bottom w:val="none" w:sz="0" w:space="0" w:color="auto"/>
            <w:right w:val="none" w:sz="0" w:space="0" w:color="auto"/>
          </w:divBdr>
        </w:div>
        <w:div w:id="1106652265">
          <w:marLeft w:val="0"/>
          <w:marRight w:val="0"/>
          <w:marTop w:val="0"/>
          <w:marBottom w:val="0"/>
          <w:divBdr>
            <w:top w:val="none" w:sz="0" w:space="0" w:color="auto"/>
            <w:left w:val="none" w:sz="0" w:space="0" w:color="auto"/>
            <w:bottom w:val="none" w:sz="0" w:space="0" w:color="auto"/>
            <w:right w:val="none" w:sz="0" w:space="0" w:color="auto"/>
          </w:divBdr>
        </w:div>
        <w:div w:id="1129518770">
          <w:marLeft w:val="0"/>
          <w:marRight w:val="0"/>
          <w:marTop w:val="0"/>
          <w:marBottom w:val="0"/>
          <w:divBdr>
            <w:top w:val="none" w:sz="0" w:space="0" w:color="auto"/>
            <w:left w:val="none" w:sz="0" w:space="0" w:color="auto"/>
            <w:bottom w:val="none" w:sz="0" w:space="0" w:color="auto"/>
            <w:right w:val="none" w:sz="0" w:space="0" w:color="auto"/>
          </w:divBdr>
        </w:div>
      </w:divsChild>
    </w:div>
    <w:div w:id="1070351607">
      <w:bodyDiv w:val="1"/>
      <w:marLeft w:val="0"/>
      <w:marRight w:val="0"/>
      <w:marTop w:val="0"/>
      <w:marBottom w:val="0"/>
      <w:divBdr>
        <w:top w:val="none" w:sz="0" w:space="0" w:color="auto"/>
        <w:left w:val="none" w:sz="0" w:space="0" w:color="auto"/>
        <w:bottom w:val="none" w:sz="0" w:space="0" w:color="auto"/>
        <w:right w:val="none" w:sz="0" w:space="0" w:color="auto"/>
      </w:divBdr>
    </w:div>
    <w:div w:id="1070426003">
      <w:bodyDiv w:val="1"/>
      <w:marLeft w:val="0"/>
      <w:marRight w:val="0"/>
      <w:marTop w:val="0"/>
      <w:marBottom w:val="0"/>
      <w:divBdr>
        <w:top w:val="none" w:sz="0" w:space="0" w:color="auto"/>
        <w:left w:val="none" w:sz="0" w:space="0" w:color="auto"/>
        <w:bottom w:val="none" w:sz="0" w:space="0" w:color="auto"/>
        <w:right w:val="none" w:sz="0" w:space="0" w:color="auto"/>
      </w:divBdr>
    </w:div>
    <w:div w:id="1070611899">
      <w:bodyDiv w:val="1"/>
      <w:marLeft w:val="0"/>
      <w:marRight w:val="0"/>
      <w:marTop w:val="0"/>
      <w:marBottom w:val="0"/>
      <w:divBdr>
        <w:top w:val="none" w:sz="0" w:space="0" w:color="auto"/>
        <w:left w:val="none" w:sz="0" w:space="0" w:color="auto"/>
        <w:bottom w:val="none" w:sz="0" w:space="0" w:color="auto"/>
        <w:right w:val="none" w:sz="0" w:space="0" w:color="auto"/>
      </w:divBdr>
    </w:div>
    <w:div w:id="1070735992">
      <w:bodyDiv w:val="1"/>
      <w:marLeft w:val="0"/>
      <w:marRight w:val="0"/>
      <w:marTop w:val="0"/>
      <w:marBottom w:val="0"/>
      <w:divBdr>
        <w:top w:val="none" w:sz="0" w:space="0" w:color="auto"/>
        <w:left w:val="none" w:sz="0" w:space="0" w:color="auto"/>
        <w:bottom w:val="none" w:sz="0" w:space="0" w:color="auto"/>
        <w:right w:val="none" w:sz="0" w:space="0" w:color="auto"/>
      </w:divBdr>
    </w:div>
    <w:div w:id="1071778840">
      <w:bodyDiv w:val="1"/>
      <w:marLeft w:val="0"/>
      <w:marRight w:val="0"/>
      <w:marTop w:val="0"/>
      <w:marBottom w:val="0"/>
      <w:divBdr>
        <w:top w:val="none" w:sz="0" w:space="0" w:color="auto"/>
        <w:left w:val="none" w:sz="0" w:space="0" w:color="auto"/>
        <w:bottom w:val="none" w:sz="0" w:space="0" w:color="auto"/>
        <w:right w:val="none" w:sz="0" w:space="0" w:color="auto"/>
      </w:divBdr>
    </w:div>
    <w:div w:id="1072318082">
      <w:bodyDiv w:val="1"/>
      <w:marLeft w:val="0"/>
      <w:marRight w:val="0"/>
      <w:marTop w:val="0"/>
      <w:marBottom w:val="0"/>
      <w:divBdr>
        <w:top w:val="none" w:sz="0" w:space="0" w:color="auto"/>
        <w:left w:val="none" w:sz="0" w:space="0" w:color="auto"/>
        <w:bottom w:val="none" w:sz="0" w:space="0" w:color="auto"/>
        <w:right w:val="none" w:sz="0" w:space="0" w:color="auto"/>
      </w:divBdr>
    </w:div>
    <w:div w:id="1072511803">
      <w:bodyDiv w:val="1"/>
      <w:marLeft w:val="0"/>
      <w:marRight w:val="0"/>
      <w:marTop w:val="0"/>
      <w:marBottom w:val="0"/>
      <w:divBdr>
        <w:top w:val="none" w:sz="0" w:space="0" w:color="auto"/>
        <w:left w:val="none" w:sz="0" w:space="0" w:color="auto"/>
        <w:bottom w:val="none" w:sz="0" w:space="0" w:color="auto"/>
        <w:right w:val="none" w:sz="0" w:space="0" w:color="auto"/>
      </w:divBdr>
    </w:div>
    <w:div w:id="1073351511">
      <w:bodyDiv w:val="1"/>
      <w:marLeft w:val="0"/>
      <w:marRight w:val="0"/>
      <w:marTop w:val="0"/>
      <w:marBottom w:val="0"/>
      <w:divBdr>
        <w:top w:val="none" w:sz="0" w:space="0" w:color="auto"/>
        <w:left w:val="none" w:sz="0" w:space="0" w:color="auto"/>
        <w:bottom w:val="none" w:sz="0" w:space="0" w:color="auto"/>
        <w:right w:val="none" w:sz="0" w:space="0" w:color="auto"/>
      </w:divBdr>
    </w:div>
    <w:div w:id="1073353343">
      <w:bodyDiv w:val="1"/>
      <w:marLeft w:val="0"/>
      <w:marRight w:val="0"/>
      <w:marTop w:val="0"/>
      <w:marBottom w:val="0"/>
      <w:divBdr>
        <w:top w:val="none" w:sz="0" w:space="0" w:color="auto"/>
        <w:left w:val="none" w:sz="0" w:space="0" w:color="auto"/>
        <w:bottom w:val="none" w:sz="0" w:space="0" w:color="auto"/>
        <w:right w:val="none" w:sz="0" w:space="0" w:color="auto"/>
      </w:divBdr>
    </w:div>
    <w:div w:id="1073696574">
      <w:bodyDiv w:val="1"/>
      <w:marLeft w:val="0"/>
      <w:marRight w:val="0"/>
      <w:marTop w:val="0"/>
      <w:marBottom w:val="0"/>
      <w:divBdr>
        <w:top w:val="none" w:sz="0" w:space="0" w:color="auto"/>
        <w:left w:val="none" w:sz="0" w:space="0" w:color="auto"/>
        <w:bottom w:val="none" w:sz="0" w:space="0" w:color="auto"/>
        <w:right w:val="none" w:sz="0" w:space="0" w:color="auto"/>
      </w:divBdr>
    </w:div>
    <w:div w:id="1074009755">
      <w:bodyDiv w:val="1"/>
      <w:marLeft w:val="0"/>
      <w:marRight w:val="0"/>
      <w:marTop w:val="0"/>
      <w:marBottom w:val="0"/>
      <w:divBdr>
        <w:top w:val="none" w:sz="0" w:space="0" w:color="auto"/>
        <w:left w:val="none" w:sz="0" w:space="0" w:color="auto"/>
        <w:bottom w:val="none" w:sz="0" w:space="0" w:color="auto"/>
        <w:right w:val="none" w:sz="0" w:space="0" w:color="auto"/>
      </w:divBdr>
    </w:div>
    <w:div w:id="1074545303">
      <w:bodyDiv w:val="1"/>
      <w:marLeft w:val="0"/>
      <w:marRight w:val="0"/>
      <w:marTop w:val="0"/>
      <w:marBottom w:val="0"/>
      <w:divBdr>
        <w:top w:val="none" w:sz="0" w:space="0" w:color="auto"/>
        <w:left w:val="none" w:sz="0" w:space="0" w:color="auto"/>
        <w:bottom w:val="none" w:sz="0" w:space="0" w:color="auto"/>
        <w:right w:val="none" w:sz="0" w:space="0" w:color="auto"/>
      </w:divBdr>
    </w:div>
    <w:div w:id="1074936079">
      <w:bodyDiv w:val="1"/>
      <w:marLeft w:val="0"/>
      <w:marRight w:val="0"/>
      <w:marTop w:val="0"/>
      <w:marBottom w:val="0"/>
      <w:divBdr>
        <w:top w:val="none" w:sz="0" w:space="0" w:color="auto"/>
        <w:left w:val="none" w:sz="0" w:space="0" w:color="auto"/>
        <w:bottom w:val="none" w:sz="0" w:space="0" w:color="auto"/>
        <w:right w:val="none" w:sz="0" w:space="0" w:color="auto"/>
      </w:divBdr>
    </w:div>
    <w:div w:id="1075397055">
      <w:bodyDiv w:val="1"/>
      <w:marLeft w:val="0"/>
      <w:marRight w:val="0"/>
      <w:marTop w:val="0"/>
      <w:marBottom w:val="0"/>
      <w:divBdr>
        <w:top w:val="none" w:sz="0" w:space="0" w:color="auto"/>
        <w:left w:val="none" w:sz="0" w:space="0" w:color="auto"/>
        <w:bottom w:val="none" w:sz="0" w:space="0" w:color="auto"/>
        <w:right w:val="none" w:sz="0" w:space="0" w:color="auto"/>
      </w:divBdr>
    </w:div>
    <w:div w:id="1076167325">
      <w:bodyDiv w:val="1"/>
      <w:marLeft w:val="0"/>
      <w:marRight w:val="0"/>
      <w:marTop w:val="0"/>
      <w:marBottom w:val="0"/>
      <w:divBdr>
        <w:top w:val="none" w:sz="0" w:space="0" w:color="auto"/>
        <w:left w:val="none" w:sz="0" w:space="0" w:color="auto"/>
        <w:bottom w:val="none" w:sz="0" w:space="0" w:color="auto"/>
        <w:right w:val="none" w:sz="0" w:space="0" w:color="auto"/>
      </w:divBdr>
    </w:div>
    <w:div w:id="1076586350">
      <w:bodyDiv w:val="1"/>
      <w:marLeft w:val="0"/>
      <w:marRight w:val="0"/>
      <w:marTop w:val="0"/>
      <w:marBottom w:val="0"/>
      <w:divBdr>
        <w:top w:val="none" w:sz="0" w:space="0" w:color="auto"/>
        <w:left w:val="none" w:sz="0" w:space="0" w:color="auto"/>
        <w:bottom w:val="none" w:sz="0" w:space="0" w:color="auto"/>
        <w:right w:val="none" w:sz="0" w:space="0" w:color="auto"/>
      </w:divBdr>
    </w:div>
    <w:div w:id="1077246146">
      <w:bodyDiv w:val="1"/>
      <w:marLeft w:val="0"/>
      <w:marRight w:val="0"/>
      <w:marTop w:val="0"/>
      <w:marBottom w:val="0"/>
      <w:divBdr>
        <w:top w:val="none" w:sz="0" w:space="0" w:color="auto"/>
        <w:left w:val="none" w:sz="0" w:space="0" w:color="auto"/>
        <w:bottom w:val="none" w:sz="0" w:space="0" w:color="auto"/>
        <w:right w:val="none" w:sz="0" w:space="0" w:color="auto"/>
      </w:divBdr>
    </w:div>
    <w:div w:id="1077363499">
      <w:bodyDiv w:val="1"/>
      <w:marLeft w:val="0"/>
      <w:marRight w:val="0"/>
      <w:marTop w:val="0"/>
      <w:marBottom w:val="0"/>
      <w:divBdr>
        <w:top w:val="none" w:sz="0" w:space="0" w:color="auto"/>
        <w:left w:val="none" w:sz="0" w:space="0" w:color="auto"/>
        <w:bottom w:val="none" w:sz="0" w:space="0" w:color="auto"/>
        <w:right w:val="none" w:sz="0" w:space="0" w:color="auto"/>
      </w:divBdr>
    </w:div>
    <w:div w:id="1077628320">
      <w:bodyDiv w:val="1"/>
      <w:marLeft w:val="0"/>
      <w:marRight w:val="0"/>
      <w:marTop w:val="0"/>
      <w:marBottom w:val="0"/>
      <w:divBdr>
        <w:top w:val="none" w:sz="0" w:space="0" w:color="auto"/>
        <w:left w:val="none" w:sz="0" w:space="0" w:color="auto"/>
        <w:bottom w:val="none" w:sz="0" w:space="0" w:color="auto"/>
        <w:right w:val="none" w:sz="0" w:space="0" w:color="auto"/>
      </w:divBdr>
    </w:div>
    <w:div w:id="1079324305">
      <w:bodyDiv w:val="1"/>
      <w:marLeft w:val="0"/>
      <w:marRight w:val="0"/>
      <w:marTop w:val="0"/>
      <w:marBottom w:val="0"/>
      <w:divBdr>
        <w:top w:val="none" w:sz="0" w:space="0" w:color="auto"/>
        <w:left w:val="none" w:sz="0" w:space="0" w:color="auto"/>
        <w:bottom w:val="none" w:sz="0" w:space="0" w:color="auto"/>
        <w:right w:val="none" w:sz="0" w:space="0" w:color="auto"/>
      </w:divBdr>
    </w:div>
    <w:div w:id="1079597042">
      <w:bodyDiv w:val="1"/>
      <w:marLeft w:val="0"/>
      <w:marRight w:val="0"/>
      <w:marTop w:val="0"/>
      <w:marBottom w:val="0"/>
      <w:divBdr>
        <w:top w:val="none" w:sz="0" w:space="0" w:color="auto"/>
        <w:left w:val="none" w:sz="0" w:space="0" w:color="auto"/>
        <w:bottom w:val="none" w:sz="0" w:space="0" w:color="auto"/>
        <w:right w:val="none" w:sz="0" w:space="0" w:color="auto"/>
      </w:divBdr>
    </w:div>
    <w:div w:id="1079866135">
      <w:bodyDiv w:val="1"/>
      <w:marLeft w:val="0"/>
      <w:marRight w:val="0"/>
      <w:marTop w:val="0"/>
      <w:marBottom w:val="0"/>
      <w:divBdr>
        <w:top w:val="none" w:sz="0" w:space="0" w:color="auto"/>
        <w:left w:val="none" w:sz="0" w:space="0" w:color="auto"/>
        <w:bottom w:val="none" w:sz="0" w:space="0" w:color="auto"/>
        <w:right w:val="none" w:sz="0" w:space="0" w:color="auto"/>
      </w:divBdr>
    </w:div>
    <w:div w:id="1080254530">
      <w:bodyDiv w:val="1"/>
      <w:marLeft w:val="0"/>
      <w:marRight w:val="0"/>
      <w:marTop w:val="0"/>
      <w:marBottom w:val="0"/>
      <w:divBdr>
        <w:top w:val="none" w:sz="0" w:space="0" w:color="auto"/>
        <w:left w:val="none" w:sz="0" w:space="0" w:color="auto"/>
        <w:bottom w:val="none" w:sz="0" w:space="0" w:color="auto"/>
        <w:right w:val="none" w:sz="0" w:space="0" w:color="auto"/>
      </w:divBdr>
    </w:div>
    <w:div w:id="1080566241">
      <w:bodyDiv w:val="1"/>
      <w:marLeft w:val="0"/>
      <w:marRight w:val="0"/>
      <w:marTop w:val="0"/>
      <w:marBottom w:val="0"/>
      <w:divBdr>
        <w:top w:val="none" w:sz="0" w:space="0" w:color="auto"/>
        <w:left w:val="none" w:sz="0" w:space="0" w:color="auto"/>
        <w:bottom w:val="none" w:sz="0" w:space="0" w:color="auto"/>
        <w:right w:val="none" w:sz="0" w:space="0" w:color="auto"/>
      </w:divBdr>
      <w:divsChild>
        <w:div w:id="1732658179">
          <w:marLeft w:val="0"/>
          <w:marRight w:val="0"/>
          <w:marTop w:val="0"/>
          <w:marBottom w:val="0"/>
          <w:divBdr>
            <w:top w:val="none" w:sz="0" w:space="0" w:color="auto"/>
            <w:left w:val="none" w:sz="0" w:space="0" w:color="auto"/>
            <w:bottom w:val="none" w:sz="0" w:space="0" w:color="auto"/>
            <w:right w:val="none" w:sz="0" w:space="0" w:color="auto"/>
          </w:divBdr>
        </w:div>
        <w:div w:id="1121457563">
          <w:marLeft w:val="0"/>
          <w:marRight w:val="0"/>
          <w:marTop w:val="0"/>
          <w:marBottom w:val="0"/>
          <w:divBdr>
            <w:top w:val="none" w:sz="0" w:space="0" w:color="auto"/>
            <w:left w:val="none" w:sz="0" w:space="0" w:color="auto"/>
            <w:bottom w:val="none" w:sz="0" w:space="0" w:color="auto"/>
            <w:right w:val="none" w:sz="0" w:space="0" w:color="auto"/>
          </w:divBdr>
        </w:div>
        <w:div w:id="1841001015">
          <w:marLeft w:val="0"/>
          <w:marRight w:val="0"/>
          <w:marTop w:val="0"/>
          <w:marBottom w:val="0"/>
          <w:divBdr>
            <w:top w:val="none" w:sz="0" w:space="0" w:color="auto"/>
            <w:left w:val="none" w:sz="0" w:space="0" w:color="auto"/>
            <w:bottom w:val="none" w:sz="0" w:space="0" w:color="auto"/>
            <w:right w:val="none" w:sz="0" w:space="0" w:color="auto"/>
          </w:divBdr>
        </w:div>
      </w:divsChild>
    </w:div>
    <w:div w:id="1081877106">
      <w:bodyDiv w:val="1"/>
      <w:marLeft w:val="0"/>
      <w:marRight w:val="0"/>
      <w:marTop w:val="0"/>
      <w:marBottom w:val="0"/>
      <w:divBdr>
        <w:top w:val="none" w:sz="0" w:space="0" w:color="auto"/>
        <w:left w:val="none" w:sz="0" w:space="0" w:color="auto"/>
        <w:bottom w:val="none" w:sz="0" w:space="0" w:color="auto"/>
        <w:right w:val="none" w:sz="0" w:space="0" w:color="auto"/>
      </w:divBdr>
    </w:div>
    <w:div w:id="1082600695">
      <w:bodyDiv w:val="1"/>
      <w:marLeft w:val="0"/>
      <w:marRight w:val="0"/>
      <w:marTop w:val="0"/>
      <w:marBottom w:val="0"/>
      <w:divBdr>
        <w:top w:val="none" w:sz="0" w:space="0" w:color="auto"/>
        <w:left w:val="none" w:sz="0" w:space="0" w:color="auto"/>
        <w:bottom w:val="none" w:sz="0" w:space="0" w:color="auto"/>
        <w:right w:val="none" w:sz="0" w:space="0" w:color="auto"/>
      </w:divBdr>
    </w:div>
    <w:div w:id="1083263050">
      <w:bodyDiv w:val="1"/>
      <w:marLeft w:val="0"/>
      <w:marRight w:val="0"/>
      <w:marTop w:val="0"/>
      <w:marBottom w:val="0"/>
      <w:divBdr>
        <w:top w:val="none" w:sz="0" w:space="0" w:color="auto"/>
        <w:left w:val="none" w:sz="0" w:space="0" w:color="auto"/>
        <w:bottom w:val="none" w:sz="0" w:space="0" w:color="auto"/>
        <w:right w:val="none" w:sz="0" w:space="0" w:color="auto"/>
      </w:divBdr>
    </w:div>
    <w:div w:id="1083376490">
      <w:bodyDiv w:val="1"/>
      <w:marLeft w:val="0"/>
      <w:marRight w:val="0"/>
      <w:marTop w:val="0"/>
      <w:marBottom w:val="0"/>
      <w:divBdr>
        <w:top w:val="none" w:sz="0" w:space="0" w:color="auto"/>
        <w:left w:val="none" w:sz="0" w:space="0" w:color="auto"/>
        <w:bottom w:val="none" w:sz="0" w:space="0" w:color="auto"/>
        <w:right w:val="none" w:sz="0" w:space="0" w:color="auto"/>
      </w:divBdr>
    </w:div>
    <w:div w:id="1083456401">
      <w:bodyDiv w:val="1"/>
      <w:marLeft w:val="0"/>
      <w:marRight w:val="0"/>
      <w:marTop w:val="0"/>
      <w:marBottom w:val="0"/>
      <w:divBdr>
        <w:top w:val="none" w:sz="0" w:space="0" w:color="auto"/>
        <w:left w:val="none" w:sz="0" w:space="0" w:color="auto"/>
        <w:bottom w:val="none" w:sz="0" w:space="0" w:color="auto"/>
        <w:right w:val="none" w:sz="0" w:space="0" w:color="auto"/>
      </w:divBdr>
    </w:div>
    <w:div w:id="1083531394">
      <w:bodyDiv w:val="1"/>
      <w:marLeft w:val="0"/>
      <w:marRight w:val="0"/>
      <w:marTop w:val="0"/>
      <w:marBottom w:val="0"/>
      <w:divBdr>
        <w:top w:val="none" w:sz="0" w:space="0" w:color="auto"/>
        <w:left w:val="none" w:sz="0" w:space="0" w:color="auto"/>
        <w:bottom w:val="none" w:sz="0" w:space="0" w:color="auto"/>
        <w:right w:val="none" w:sz="0" w:space="0" w:color="auto"/>
      </w:divBdr>
    </w:div>
    <w:div w:id="1083798302">
      <w:bodyDiv w:val="1"/>
      <w:marLeft w:val="0"/>
      <w:marRight w:val="0"/>
      <w:marTop w:val="0"/>
      <w:marBottom w:val="0"/>
      <w:divBdr>
        <w:top w:val="none" w:sz="0" w:space="0" w:color="auto"/>
        <w:left w:val="none" w:sz="0" w:space="0" w:color="auto"/>
        <w:bottom w:val="none" w:sz="0" w:space="0" w:color="auto"/>
        <w:right w:val="none" w:sz="0" w:space="0" w:color="auto"/>
      </w:divBdr>
    </w:div>
    <w:div w:id="1084381804">
      <w:bodyDiv w:val="1"/>
      <w:marLeft w:val="0"/>
      <w:marRight w:val="0"/>
      <w:marTop w:val="0"/>
      <w:marBottom w:val="0"/>
      <w:divBdr>
        <w:top w:val="none" w:sz="0" w:space="0" w:color="auto"/>
        <w:left w:val="none" w:sz="0" w:space="0" w:color="auto"/>
        <w:bottom w:val="none" w:sz="0" w:space="0" w:color="auto"/>
        <w:right w:val="none" w:sz="0" w:space="0" w:color="auto"/>
      </w:divBdr>
    </w:div>
    <w:div w:id="1084914680">
      <w:bodyDiv w:val="1"/>
      <w:marLeft w:val="0"/>
      <w:marRight w:val="0"/>
      <w:marTop w:val="0"/>
      <w:marBottom w:val="0"/>
      <w:divBdr>
        <w:top w:val="none" w:sz="0" w:space="0" w:color="auto"/>
        <w:left w:val="none" w:sz="0" w:space="0" w:color="auto"/>
        <w:bottom w:val="none" w:sz="0" w:space="0" w:color="auto"/>
        <w:right w:val="none" w:sz="0" w:space="0" w:color="auto"/>
      </w:divBdr>
    </w:div>
    <w:div w:id="1085147938">
      <w:bodyDiv w:val="1"/>
      <w:marLeft w:val="0"/>
      <w:marRight w:val="0"/>
      <w:marTop w:val="0"/>
      <w:marBottom w:val="0"/>
      <w:divBdr>
        <w:top w:val="none" w:sz="0" w:space="0" w:color="auto"/>
        <w:left w:val="none" w:sz="0" w:space="0" w:color="auto"/>
        <w:bottom w:val="none" w:sz="0" w:space="0" w:color="auto"/>
        <w:right w:val="none" w:sz="0" w:space="0" w:color="auto"/>
      </w:divBdr>
    </w:div>
    <w:div w:id="1085421810">
      <w:bodyDiv w:val="1"/>
      <w:marLeft w:val="0"/>
      <w:marRight w:val="0"/>
      <w:marTop w:val="0"/>
      <w:marBottom w:val="0"/>
      <w:divBdr>
        <w:top w:val="none" w:sz="0" w:space="0" w:color="auto"/>
        <w:left w:val="none" w:sz="0" w:space="0" w:color="auto"/>
        <w:bottom w:val="none" w:sz="0" w:space="0" w:color="auto"/>
        <w:right w:val="none" w:sz="0" w:space="0" w:color="auto"/>
      </w:divBdr>
    </w:div>
    <w:div w:id="1086071412">
      <w:bodyDiv w:val="1"/>
      <w:marLeft w:val="0"/>
      <w:marRight w:val="0"/>
      <w:marTop w:val="0"/>
      <w:marBottom w:val="0"/>
      <w:divBdr>
        <w:top w:val="none" w:sz="0" w:space="0" w:color="auto"/>
        <w:left w:val="none" w:sz="0" w:space="0" w:color="auto"/>
        <w:bottom w:val="none" w:sz="0" w:space="0" w:color="auto"/>
        <w:right w:val="none" w:sz="0" w:space="0" w:color="auto"/>
      </w:divBdr>
    </w:div>
    <w:div w:id="1086538865">
      <w:bodyDiv w:val="1"/>
      <w:marLeft w:val="0"/>
      <w:marRight w:val="0"/>
      <w:marTop w:val="0"/>
      <w:marBottom w:val="0"/>
      <w:divBdr>
        <w:top w:val="none" w:sz="0" w:space="0" w:color="auto"/>
        <w:left w:val="none" w:sz="0" w:space="0" w:color="auto"/>
        <w:bottom w:val="none" w:sz="0" w:space="0" w:color="auto"/>
        <w:right w:val="none" w:sz="0" w:space="0" w:color="auto"/>
      </w:divBdr>
    </w:div>
    <w:div w:id="1086806159">
      <w:bodyDiv w:val="1"/>
      <w:marLeft w:val="0"/>
      <w:marRight w:val="0"/>
      <w:marTop w:val="0"/>
      <w:marBottom w:val="0"/>
      <w:divBdr>
        <w:top w:val="none" w:sz="0" w:space="0" w:color="auto"/>
        <w:left w:val="none" w:sz="0" w:space="0" w:color="auto"/>
        <w:bottom w:val="none" w:sz="0" w:space="0" w:color="auto"/>
        <w:right w:val="none" w:sz="0" w:space="0" w:color="auto"/>
      </w:divBdr>
    </w:div>
    <w:div w:id="1087725522">
      <w:bodyDiv w:val="1"/>
      <w:marLeft w:val="0"/>
      <w:marRight w:val="0"/>
      <w:marTop w:val="0"/>
      <w:marBottom w:val="0"/>
      <w:divBdr>
        <w:top w:val="none" w:sz="0" w:space="0" w:color="auto"/>
        <w:left w:val="none" w:sz="0" w:space="0" w:color="auto"/>
        <w:bottom w:val="none" w:sz="0" w:space="0" w:color="auto"/>
        <w:right w:val="none" w:sz="0" w:space="0" w:color="auto"/>
      </w:divBdr>
    </w:div>
    <w:div w:id="1088110996">
      <w:bodyDiv w:val="1"/>
      <w:marLeft w:val="0"/>
      <w:marRight w:val="0"/>
      <w:marTop w:val="0"/>
      <w:marBottom w:val="0"/>
      <w:divBdr>
        <w:top w:val="none" w:sz="0" w:space="0" w:color="auto"/>
        <w:left w:val="none" w:sz="0" w:space="0" w:color="auto"/>
        <w:bottom w:val="none" w:sz="0" w:space="0" w:color="auto"/>
        <w:right w:val="none" w:sz="0" w:space="0" w:color="auto"/>
      </w:divBdr>
    </w:div>
    <w:div w:id="1088115947">
      <w:bodyDiv w:val="1"/>
      <w:marLeft w:val="0"/>
      <w:marRight w:val="0"/>
      <w:marTop w:val="0"/>
      <w:marBottom w:val="0"/>
      <w:divBdr>
        <w:top w:val="none" w:sz="0" w:space="0" w:color="auto"/>
        <w:left w:val="none" w:sz="0" w:space="0" w:color="auto"/>
        <w:bottom w:val="none" w:sz="0" w:space="0" w:color="auto"/>
        <w:right w:val="none" w:sz="0" w:space="0" w:color="auto"/>
      </w:divBdr>
    </w:div>
    <w:div w:id="1089498420">
      <w:bodyDiv w:val="1"/>
      <w:marLeft w:val="0"/>
      <w:marRight w:val="0"/>
      <w:marTop w:val="0"/>
      <w:marBottom w:val="0"/>
      <w:divBdr>
        <w:top w:val="none" w:sz="0" w:space="0" w:color="auto"/>
        <w:left w:val="none" w:sz="0" w:space="0" w:color="auto"/>
        <w:bottom w:val="none" w:sz="0" w:space="0" w:color="auto"/>
        <w:right w:val="none" w:sz="0" w:space="0" w:color="auto"/>
      </w:divBdr>
    </w:div>
    <w:div w:id="1089614874">
      <w:bodyDiv w:val="1"/>
      <w:marLeft w:val="0"/>
      <w:marRight w:val="0"/>
      <w:marTop w:val="0"/>
      <w:marBottom w:val="0"/>
      <w:divBdr>
        <w:top w:val="none" w:sz="0" w:space="0" w:color="auto"/>
        <w:left w:val="none" w:sz="0" w:space="0" w:color="auto"/>
        <w:bottom w:val="none" w:sz="0" w:space="0" w:color="auto"/>
        <w:right w:val="none" w:sz="0" w:space="0" w:color="auto"/>
      </w:divBdr>
      <w:divsChild>
        <w:div w:id="475417179">
          <w:marLeft w:val="0"/>
          <w:marRight w:val="0"/>
          <w:marTop w:val="0"/>
          <w:marBottom w:val="210"/>
          <w:divBdr>
            <w:top w:val="none" w:sz="0" w:space="0" w:color="auto"/>
            <w:left w:val="none" w:sz="0" w:space="0" w:color="auto"/>
            <w:bottom w:val="none" w:sz="0" w:space="0" w:color="auto"/>
            <w:right w:val="none" w:sz="0" w:space="0" w:color="auto"/>
          </w:divBdr>
        </w:div>
        <w:div w:id="451284558">
          <w:marLeft w:val="0"/>
          <w:marRight w:val="0"/>
          <w:marTop w:val="0"/>
          <w:marBottom w:val="210"/>
          <w:divBdr>
            <w:top w:val="none" w:sz="0" w:space="0" w:color="auto"/>
            <w:left w:val="none" w:sz="0" w:space="0" w:color="auto"/>
            <w:bottom w:val="none" w:sz="0" w:space="0" w:color="auto"/>
            <w:right w:val="none" w:sz="0" w:space="0" w:color="auto"/>
          </w:divBdr>
        </w:div>
      </w:divsChild>
    </w:div>
    <w:div w:id="1089961373">
      <w:bodyDiv w:val="1"/>
      <w:marLeft w:val="0"/>
      <w:marRight w:val="0"/>
      <w:marTop w:val="0"/>
      <w:marBottom w:val="0"/>
      <w:divBdr>
        <w:top w:val="none" w:sz="0" w:space="0" w:color="auto"/>
        <w:left w:val="none" w:sz="0" w:space="0" w:color="auto"/>
        <w:bottom w:val="none" w:sz="0" w:space="0" w:color="auto"/>
        <w:right w:val="none" w:sz="0" w:space="0" w:color="auto"/>
      </w:divBdr>
    </w:div>
    <w:div w:id="1090008130">
      <w:bodyDiv w:val="1"/>
      <w:marLeft w:val="0"/>
      <w:marRight w:val="0"/>
      <w:marTop w:val="0"/>
      <w:marBottom w:val="0"/>
      <w:divBdr>
        <w:top w:val="none" w:sz="0" w:space="0" w:color="auto"/>
        <w:left w:val="none" w:sz="0" w:space="0" w:color="auto"/>
        <w:bottom w:val="none" w:sz="0" w:space="0" w:color="auto"/>
        <w:right w:val="none" w:sz="0" w:space="0" w:color="auto"/>
      </w:divBdr>
    </w:div>
    <w:div w:id="1090196789">
      <w:bodyDiv w:val="1"/>
      <w:marLeft w:val="0"/>
      <w:marRight w:val="0"/>
      <w:marTop w:val="0"/>
      <w:marBottom w:val="0"/>
      <w:divBdr>
        <w:top w:val="none" w:sz="0" w:space="0" w:color="auto"/>
        <w:left w:val="none" w:sz="0" w:space="0" w:color="auto"/>
        <w:bottom w:val="none" w:sz="0" w:space="0" w:color="auto"/>
        <w:right w:val="none" w:sz="0" w:space="0" w:color="auto"/>
      </w:divBdr>
    </w:div>
    <w:div w:id="1090464753">
      <w:bodyDiv w:val="1"/>
      <w:marLeft w:val="0"/>
      <w:marRight w:val="0"/>
      <w:marTop w:val="0"/>
      <w:marBottom w:val="0"/>
      <w:divBdr>
        <w:top w:val="none" w:sz="0" w:space="0" w:color="auto"/>
        <w:left w:val="none" w:sz="0" w:space="0" w:color="auto"/>
        <w:bottom w:val="none" w:sz="0" w:space="0" w:color="auto"/>
        <w:right w:val="none" w:sz="0" w:space="0" w:color="auto"/>
      </w:divBdr>
    </w:div>
    <w:div w:id="1091001655">
      <w:bodyDiv w:val="1"/>
      <w:marLeft w:val="0"/>
      <w:marRight w:val="0"/>
      <w:marTop w:val="0"/>
      <w:marBottom w:val="0"/>
      <w:divBdr>
        <w:top w:val="none" w:sz="0" w:space="0" w:color="auto"/>
        <w:left w:val="none" w:sz="0" w:space="0" w:color="auto"/>
        <w:bottom w:val="none" w:sz="0" w:space="0" w:color="auto"/>
        <w:right w:val="none" w:sz="0" w:space="0" w:color="auto"/>
      </w:divBdr>
    </w:div>
    <w:div w:id="1091007962">
      <w:bodyDiv w:val="1"/>
      <w:marLeft w:val="0"/>
      <w:marRight w:val="0"/>
      <w:marTop w:val="0"/>
      <w:marBottom w:val="0"/>
      <w:divBdr>
        <w:top w:val="none" w:sz="0" w:space="0" w:color="auto"/>
        <w:left w:val="none" w:sz="0" w:space="0" w:color="auto"/>
        <w:bottom w:val="none" w:sz="0" w:space="0" w:color="auto"/>
        <w:right w:val="none" w:sz="0" w:space="0" w:color="auto"/>
      </w:divBdr>
    </w:div>
    <w:div w:id="1092438613">
      <w:bodyDiv w:val="1"/>
      <w:marLeft w:val="0"/>
      <w:marRight w:val="0"/>
      <w:marTop w:val="0"/>
      <w:marBottom w:val="0"/>
      <w:divBdr>
        <w:top w:val="none" w:sz="0" w:space="0" w:color="auto"/>
        <w:left w:val="none" w:sz="0" w:space="0" w:color="auto"/>
        <w:bottom w:val="none" w:sz="0" w:space="0" w:color="auto"/>
        <w:right w:val="none" w:sz="0" w:space="0" w:color="auto"/>
      </w:divBdr>
    </w:div>
    <w:div w:id="1092774326">
      <w:bodyDiv w:val="1"/>
      <w:marLeft w:val="0"/>
      <w:marRight w:val="0"/>
      <w:marTop w:val="0"/>
      <w:marBottom w:val="0"/>
      <w:divBdr>
        <w:top w:val="none" w:sz="0" w:space="0" w:color="auto"/>
        <w:left w:val="none" w:sz="0" w:space="0" w:color="auto"/>
        <w:bottom w:val="none" w:sz="0" w:space="0" w:color="auto"/>
        <w:right w:val="none" w:sz="0" w:space="0" w:color="auto"/>
      </w:divBdr>
    </w:div>
    <w:div w:id="1092968015">
      <w:bodyDiv w:val="1"/>
      <w:marLeft w:val="0"/>
      <w:marRight w:val="0"/>
      <w:marTop w:val="0"/>
      <w:marBottom w:val="0"/>
      <w:divBdr>
        <w:top w:val="none" w:sz="0" w:space="0" w:color="auto"/>
        <w:left w:val="none" w:sz="0" w:space="0" w:color="auto"/>
        <w:bottom w:val="none" w:sz="0" w:space="0" w:color="auto"/>
        <w:right w:val="none" w:sz="0" w:space="0" w:color="auto"/>
      </w:divBdr>
    </w:div>
    <w:div w:id="1093629880">
      <w:bodyDiv w:val="1"/>
      <w:marLeft w:val="0"/>
      <w:marRight w:val="0"/>
      <w:marTop w:val="0"/>
      <w:marBottom w:val="0"/>
      <w:divBdr>
        <w:top w:val="none" w:sz="0" w:space="0" w:color="auto"/>
        <w:left w:val="none" w:sz="0" w:space="0" w:color="auto"/>
        <w:bottom w:val="none" w:sz="0" w:space="0" w:color="auto"/>
        <w:right w:val="none" w:sz="0" w:space="0" w:color="auto"/>
      </w:divBdr>
    </w:div>
    <w:div w:id="1095437088">
      <w:bodyDiv w:val="1"/>
      <w:marLeft w:val="0"/>
      <w:marRight w:val="0"/>
      <w:marTop w:val="0"/>
      <w:marBottom w:val="0"/>
      <w:divBdr>
        <w:top w:val="none" w:sz="0" w:space="0" w:color="auto"/>
        <w:left w:val="none" w:sz="0" w:space="0" w:color="auto"/>
        <w:bottom w:val="none" w:sz="0" w:space="0" w:color="auto"/>
        <w:right w:val="none" w:sz="0" w:space="0" w:color="auto"/>
      </w:divBdr>
    </w:div>
    <w:div w:id="1095636186">
      <w:bodyDiv w:val="1"/>
      <w:marLeft w:val="0"/>
      <w:marRight w:val="0"/>
      <w:marTop w:val="0"/>
      <w:marBottom w:val="0"/>
      <w:divBdr>
        <w:top w:val="none" w:sz="0" w:space="0" w:color="auto"/>
        <w:left w:val="none" w:sz="0" w:space="0" w:color="auto"/>
        <w:bottom w:val="none" w:sz="0" w:space="0" w:color="auto"/>
        <w:right w:val="none" w:sz="0" w:space="0" w:color="auto"/>
      </w:divBdr>
    </w:div>
    <w:div w:id="1096707278">
      <w:bodyDiv w:val="1"/>
      <w:marLeft w:val="0"/>
      <w:marRight w:val="0"/>
      <w:marTop w:val="0"/>
      <w:marBottom w:val="0"/>
      <w:divBdr>
        <w:top w:val="none" w:sz="0" w:space="0" w:color="auto"/>
        <w:left w:val="none" w:sz="0" w:space="0" w:color="auto"/>
        <w:bottom w:val="none" w:sz="0" w:space="0" w:color="auto"/>
        <w:right w:val="none" w:sz="0" w:space="0" w:color="auto"/>
      </w:divBdr>
    </w:div>
    <w:div w:id="1096949372">
      <w:bodyDiv w:val="1"/>
      <w:marLeft w:val="0"/>
      <w:marRight w:val="0"/>
      <w:marTop w:val="0"/>
      <w:marBottom w:val="0"/>
      <w:divBdr>
        <w:top w:val="none" w:sz="0" w:space="0" w:color="auto"/>
        <w:left w:val="none" w:sz="0" w:space="0" w:color="auto"/>
        <w:bottom w:val="none" w:sz="0" w:space="0" w:color="auto"/>
        <w:right w:val="none" w:sz="0" w:space="0" w:color="auto"/>
      </w:divBdr>
    </w:div>
    <w:div w:id="1097406952">
      <w:bodyDiv w:val="1"/>
      <w:marLeft w:val="0"/>
      <w:marRight w:val="0"/>
      <w:marTop w:val="0"/>
      <w:marBottom w:val="0"/>
      <w:divBdr>
        <w:top w:val="none" w:sz="0" w:space="0" w:color="auto"/>
        <w:left w:val="none" w:sz="0" w:space="0" w:color="auto"/>
        <w:bottom w:val="none" w:sz="0" w:space="0" w:color="auto"/>
        <w:right w:val="none" w:sz="0" w:space="0" w:color="auto"/>
      </w:divBdr>
    </w:div>
    <w:div w:id="1098409460">
      <w:bodyDiv w:val="1"/>
      <w:marLeft w:val="0"/>
      <w:marRight w:val="0"/>
      <w:marTop w:val="0"/>
      <w:marBottom w:val="0"/>
      <w:divBdr>
        <w:top w:val="none" w:sz="0" w:space="0" w:color="auto"/>
        <w:left w:val="none" w:sz="0" w:space="0" w:color="auto"/>
        <w:bottom w:val="none" w:sz="0" w:space="0" w:color="auto"/>
        <w:right w:val="none" w:sz="0" w:space="0" w:color="auto"/>
      </w:divBdr>
    </w:div>
    <w:div w:id="1098990748">
      <w:bodyDiv w:val="1"/>
      <w:marLeft w:val="0"/>
      <w:marRight w:val="0"/>
      <w:marTop w:val="0"/>
      <w:marBottom w:val="0"/>
      <w:divBdr>
        <w:top w:val="none" w:sz="0" w:space="0" w:color="auto"/>
        <w:left w:val="none" w:sz="0" w:space="0" w:color="auto"/>
        <w:bottom w:val="none" w:sz="0" w:space="0" w:color="auto"/>
        <w:right w:val="none" w:sz="0" w:space="0" w:color="auto"/>
      </w:divBdr>
    </w:div>
    <w:div w:id="1099376958">
      <w:bodyDiv w:val="1"/>
      <w:marLeft w:val="0"/>
      <w:marRight w:val="0"/>
      <w:marTop w:val="0"/>
      <w:marBottom w:val="0"/>
      <w:divBdr>
        <w:top w:val="none" w:sz="0" w:space="0" w:color="auto"/>
        <w:left w:val="none" w:sz="0" w:space="0" w:color="auto"/>
        <w:bottom w:val="none" w:sz="0" w:space="0" w:color="auto"/>
        <w:right w:val="none" w:sz="0" w:space="0" w:color="auto"/>
      </w:divBdr>
    </w:div>
    <w:div w:id="1100682476">
      <w:bodyDiv w:val="1"/>
      <w:marLeft w:val="0"/>
      <w:marRight w:val="0"/>
      <w:marTop w:val="0"/>
      <w:marBottom w:val="0"/>
      <w:divBdr>
        <w:top w:val="none" w:sz="0" w:space="0" w:color="auto"/>
        <w:left w:val="none" w:sz="0" w:space="0" w:color="auto"/>
        <w:bottom w:val="none" w:sz="0" w:space="0" w:color="auto"/>
        <w:right w:val="none" w:sz="0" w:space="0" w:color="auto"/>
      </w:divBdr>
    </w:div>
    <w:div w:id="1103299927">
      <w:bodyDiv w:val="1"/>
      <w:marLeft w:val="0"/>
      <w:marRight w:val="0"/>
      <w:marTop w:val="0"/>
      <w:marBottom w:val="0"/>
      <w:divBdr>
        <w:top w:val="none" w:sz="0" w:space="0" w:color="auto"/>
        <w:left w:val="none" w:sz="0" w:space="0" w:color="auto"/>
        <w:bottom w:val="none" w:sz="0" w:space="0" w:color="auto"/>
        <w:right w:val="none" w:sz="0" w:space="0" w:color="auto"/>
      </w:divBdr>
    </w:div>
    <w:div w:id="1103307200">
      <w:bodyDiv w:val="1"/>
      <w:marLeft w:val="0"/>
      <w:marRight w:val="0"/>
      <w:marTop w:val="0"/>
      <w:marBottom w:val="0"/>
      <w:divBdr>
        <w:top w:val="none" w:sz="0" w:space="0" w:color="auto"/>
        <w:left w:val="none" w:sz="0" w:space="0" w:color="auto"/>
        <w:bottom w:val="none" w:sz="0" w:space="0" w:color="auto"/>
        <w:right w:val="none" w:sz="0" w:space="0" w:color="auto"/>
      </w:divBdr>
    </w:div>
    <w:div w:id="1103454368">
      <w:bodyDiv w:val="1"/>
      <w:marLeft w:val="0"/>
      <w:marRight w:val="0"/>
      <w:marTop w:val="0"/>
      <w:marBottom w:val="0"/>
      <w:divBdr>
        <w:top w:val="none" w:sz="0" w:space="0" w:color="auto"/>
        <w:left w:val="none" w:sz="0" w:space="0" w:color="auto"/>
        <w:bottom w:val="none" w:sz="0" w:space="0" w:color="auto"/>
        <w:right w:val="none" w:sz="0" w:space="0" w:color="auto"/>
      </w:divBdr>
    </w:div>
    <w:div w:id="1103573891">
      <w:bodyDiv w:val="1"/>
      <w:marLeft w:val="0"/>
      <w:marRight w:val="0"/>
      <w:marTop w:val="0"/>
      <w:marBottom w:val="0"/>
      <w:divBdr>
        <w:top w:val="none" w:sz="0" w:space="0" w:color="auto"/>
        <w:left w:val="none" w:sz="0" w:space="0" w:color="auto"/>
        <w:bottom w:val="none" w:sz="0" w:space="0" w:color="auto"/>
        <w:right w:val="none" w:sz="0" w:space="0" w:color="auto"/>
      </w:divBdr>
    </w:div>
    <w:div w:id="1103963416">
      <w:bodyDiv w:val="1"/>
      <w:marLeft w:val="0"/>
      <w:marRight w:val="0"/>
      <w:marTop w:val="0"/>
      <w:marBottom w:val="0"/>
      <w:divBdr>
        <w:top w:val="none" w:sz="0" w:space="0" w:color="auto"/>
        <w:left w:val="none" w:sz="0" w:space="0" w:color="auto"/>
        <w:bottom w:val="none" w:sz="0" w:space="0" w:color="auto"/>
        <w:right w:val="none" w:sz="0" w:space="0" w:color="auto"/>
      </w:divBdr>
    </w:div>
    <w:div w:id="1104153170">
      <w:bodyDiv w:val="1"/>
      <w:marLeft w:val="0"/>
      <w:marRight w:val="0"/>
      <w:marTop w:val="0"/>
      <w:marBottom w:val="0"/>
      <w:divBdr>
        <w:top w:val="none" w:sz="0" w:space="0" w:color="auto"/>
        <w:left w:val="none" w:sz="0" w:space="0" w:color="auto"/>
        <w:bottom w:val="none" w:sz="0" w:space="0" w:color="auto"/>
        <w:right w:val="none" w:sz="0" w:space="0" w:color="auto"/>
      </w:divBdr>
    </w:div>
    <w:div w:id="1105224325">
      <w:bodyDiv w:val="1"/>
      <w:marLeft w:val="0"/>
      <w:marRight w:val="0"/>
      <w:marTop w:val="0"/>
      <w:marBottom w:val="0"/>
      <w:divBdr>
        <w:top w:val="none" w:sz="0" w:space="0" w:color="auto"/>
        <w:left w:val="none" w:sz="0" w:space="0" w:color="auto"/>
        <w:bottom w:val="none" w:sz="0" w:space="0" w:color="auto"/>
        <w:right w:val="none" w:sz="0" w:space="0" w:color="auto"/>
      </w:divBdr>
    </w:div>
    <w:div w:id="1107000664">
      <w:bodyDiv w:val="1"/>
      <w:marLeft w:val="0"/>
      <w:marRight w:val="0"/>
      <w:marTop w:val="0"/>
      <w:marBottom w:val="0"/>
      <w:divBdr>
        <w:top w:val="none" w:sz="0" w:space="0" w:color="auto"/>
        <w:left w:val="none" w:sz="0" w:space="0" w:color="auto"/>
        <w:bottom w:val="none" w:sz="0" w:space="0" w:color="auto"/>
        <w:right w:val="none" w:sz="0" w:space="0" w:color="auto"/>
      </w:divBdr>
    </w:div>
    <w:div w:id="1107044716">
      <w:bodyDiv w:val="1"/>
      <w:marLeft w:val="0"/>
      <w:marRight w:val="0"/>
      <w:marTop w:val="0"/>
      <w:marBottom w:val="0"/>
      <w:divBdr>
        <w:top w:val="none" w:sz="0" w:space="0" w:color="auto"/>
        <w:left w:val="none" w:sz="0" w:space="0" w:color="auto"/>
        <w:bottom w:val="none" w:sz="0" w:space="0" w:color="auto"/>
        <w:right w:val="none" w:sz="0" w:space="0" w:color="auto"/>
      </w:divBdr>
    </w:div>
    <w:div w:id="1108355489">
      <w:bodyDiv w:val="1"/>
      <w:marLeft w:val="0"/>
      <w:marRight w:val="0"/>
      <w:marTop w:val="0"/>
      <w:marBottom w:val="0"/>
      <w:divBdr>
        <w:top w:val="none" w:sz="0" w:space="0" w:color="auto"/>
        <w:left w:val="none" w:sz="0" w:space="0" w:color="auto"/>
        <w:bottom w:val="none" w:sz="0" w:space="0" w:color="auto"/>
        <w:right w:val="none" w:sz="0" w:space="0" w:color="auto"/>
      </w:divBdr>
    </w:div>
    <w:div w:id="1109811851">
      <w:bodyDiv w:val="1"/>
      <w:marLeft w:val="0"/>
      <w:marRight w:val="0"/>
      <w:marTop w:val="0"/>
      <w:marBottom w:val="0"/>
      <w:divBdr>
        <w:top w:val="none" w:sz="0" w:space="0" w:color="auto"/>
        <w:left w:val="none" w:sz="0" w:space="0" w:color="auto"/>
        <w:bottom w:val="none" w:sz="0" w:space="0" w:color="auto"/>
        <w:right w:val="none" w:sz="0" w:space="0" w:color="auto"/>
      </w:divBdr>
      <w:divsChild>
        <w:div w:id="1703943560">
          <w:marLeft w:val="0"/>
          <w:marRight w:val="0"/>
          <w:marTop w:val="0"/>
          <w:marBottom w:val="0"/>
          <w:divBdr>
            <w:top w:val="none" w:sz="0" w:space="0" w:color="auto"/>
            <w:left w:val="none" w:sz="0" w:space="0" w:color="auto"/>
            <w:bottom w:val="none" w:sz="0" w:space="0" w:color="auto"/>
            <w:right w:val="none" w:sz="0" w:space="0" w:color="auto"/>
          </w:divBdr>
        </w:div>
        <w:div w:id="1981033194">
          <w:marLeft w:val="0"/>
          <w:marRight w:val="0"/>
          <w:marTop w:val="0"/>
          <w:marBottom w:val="0"/>
          <w:divBdr>
            <w:top w:val="none" w:sz="0" w:space="0" w:color="auto"/>
            <w:left w:val="none" w:sz="0" w:space="0" w:color="auto"/>
            <w:bottom w:val="none" w:sz="0" w:space="0" w:color="auto"/>
            <w:right w:val="none" w:sz="0" w:space="0" w:color="auto"/>
          </w:divBdr>
        </w:div>
        <w:div w:id="1897861560">
          <w:marLeft w:val="0"/>
          <w:marRight w:val="0"/>
          <w:marTop w:val="0"/>
          <w:marBottom w:val="0"/>
          <w:divBdr>
            <w:top w:val="none" w:sz="0" w:space="0" w:color="auto"/>
            <w:left w:val="none" w:sz="0" w:space="0" w:color="auto"/>
            <w:bottom w:val="none" w:sz="0" w:space="0" w:color="auto"/>
            <w:right w:val="none" w:sz="0" w:space="0" w:color="auto"/>
          </w:divBdr>
        </w:div>
      </w:divsChild>
    </w:div>
    <w:div w:id="1109815062">
      <w:bodyDiv w:val="1"/>
      <w:marLeft w:val="0"/>
      <w:marRight w:val="0"/>
      <w:marTop w:val="0"/>
      <w:marBottom w:val="0"/>
      <w:divBdr>
        <w:top w:val="none" w:sz="0" w:space="0" w:color="auto"/>
        <w:left w:val="none" w:sz="0" w:space="0" w:color="auto"/>
        <w:bottom w:val="none" w:sz="0" w:space="0" w:color="auto"/>
        <w:right w:val="none" w:sz="0" w:space="0" w:color="auto"/>
      </w:divBdr>
    </w:div>
    <w:div w:id="1109858774">
      <w:bodyDiv w:val="1"/>
      <w:marLeft w:val="0"/>
      <w:marRight w:val="0"/>
      <w:marTop w:val="0"/>
      <w:marBottom w:val="0"/>
      <w:divBdr>
        <w:top w:val="none" w:sz="0" w:space="0" w:color="auto"/>
        <w:left w:val="none" w:sz="0" w:space="0" w:color="auto"/>
        <w:bottom w:val="none" w:sz="0" w:space="0" w:color="auto"/>
        <w:right w:val="none" w:sz="0" w:space="0" w:color="auto"/>
      </w:divBdr>
    </w:div>
    <w:div w:id="1110396371">
      <w:bodyDiv w:val="1"/>
      <w:marLeft w:val="0"/>
      <w:marRight w:val="0"/>
      <w:marTop w:val="0"/>
      <w:marBottom w:val="0"/>
      <w:divBdr>
        <w:top w:val="none" w:sz="0" w:space="0" w:color="auto"/>
        <w:left w:val="none" w:sz="0" w:space="0" w:color="auto"/>
        <w:bottom w:val="none" w:sz="0" w:space="0" w:color="auto"/>
        <w:right w:val="none" w:sz="0" w:space="0" w:color="auto"/>
      </w:divBdr>
    </w:div>
    <w:div w:id="1110584472">
      <w:bodyDiv w:val="1"/>
      <w:marLeft w:val="0"/>
      <w:marRight w:val="0"/>
      <w:marTop w:val="0"/>
      <w:marBottom w:val="0"/>
      <w:divBdr>
        <w:top w:val="none" w:sz="0" w:space="0" w:color="auto"/>
        <w:left w:val="none" w:sz="0" w:space="0" w:color="auto"/>
        <w:bottom w:val="none" w:sz="0" w:space="0" w:color="auto"/>
        <w:right w:val="none" w:sz="0" w:space="0" w:color="auto"/>
      </w:divBdr>
    </w:div>
    <w:div w:id="1111245848">
      <w:bodyDiv w:val="1"/>
      <w:marLeft w:val="0"/>
      <w:marRight w:val="0"/>
      <w:marTop w:val="0"/>
      <w:marBottom w:val="0"/>
      <w:divBdr>
        <w:top w:val="none" w:sz="0" w:space="0" w:color="auto"/>
        <w:left w:val="none" w:sz="0" w:space="0" w:color="auto"/>
        <w:bottom w:val="none" w:sz="0" w:space="0" w:color="auto"/>
        <w:right w:val="none" w:sz="0" w:space="0" w:color="auto"/>
      </w:divBdr>
    </w:div>
    <w:div w:id="1111321859">
      <w:bodyDiv w:val="1"/>
      <w:marLeft w:val="0"/>
      <w:marRight w:val="0"/>
      <w:marTop w:val="0"/>
      <w:marBottom w:val="0"/>
      <w:divBdr>
        <w:top w:val="none" w:sz="0" w:space="0" w:color="auto"/>
        <w:left w:val="none" w:sz="0" w:space="0" w:color="auto"/>
        <w:bottom w:val="none" w:sz="0" w:space="0" w:color="auto"/>
        <w:right w:val="none" w:sz="0" w:space="0" w:color="auto"/>
      </w:divBdr>
    </w:div>
    <w:div w:id="1111514798">
      <w:bodyDiv w:val="1"/>
      <w:marLeft w:val="0"/>
      <w:marRight w:val="0"/>
      <w:marTop w:val="0"/>
      <w:marBottom w:val="0"/>
      <w:divBdr>
        <w:top w:val="none" w:sz="0" w:space="0" w:color="auto"/>
        <w:left w:val="none" w:sz="0" w:space="0" w:color="auto"/>
        <w:bottom w:val="none" w:sz="0" w:space="0" w:color="auto"/>
        <w:right w:val="none" w:sz="0" w:space="0" w:color="auto"/>
      </w:divBdr>
    </w:div>
    <w:div w:id="1111709963">
      <w:bodyDiv w:val="1"/>
      <w:marLeft w:val="0"/>
      <w:marRight w:val="0"/>
      <w:marTop w:val="0"/>
      <w:marBottom w:val="0"/>
      <w:divBdr>
        <w:top w:val="none" w:sz="0" w:space="0" w:color="auto"/>
        <w:left w:val="none" w:sz="0" w:space="0" w:color="auto"/>
        <w:bottom w:val="none" w:sz="0" w:space="0" w:color="auto"/>
        <w:right w:val="none" w:sz="0" w:space="0" w:color="auto"/>
      </w:divBdr>
    </w:div>
    <w:div w:id="1112170955">
      <w:bodyDiv w:val="1"/>
      <w:marLeft w:val="0"/>
      <w:marRight w:val="0"/>
      <w:marTop w:val="0"/>
      <w:marBottom w:val="0"/>
      <w:divBdr>
        <w:top w:val="none" w:sz="0" w:space="0" w:color="auto"/>
        <w:left w:val="none" w:sz="0" w:space="0" w:color="auto"/>
        <w:bottom w:val="none" w:sz="0" w:space="0" w:color="auto"/>
        <w:right w:val="none" w:sz="0" w:space="0" w:color="auto"/>
      </w:divBdr>
    </w:div>
    <w:div w:id="1112284564">
      <w:bodyDiv w:val="1"/>
      <w:marLeft w:val="0"/>
      <w:marRight w:val="0"/>
      <w:marTop w:val="0"/>
      <w:marBottom w:val="0"/>
      <w:divBdr>
        <w:top w:val="none" w:sz="0" w:space="0" w:color="auto"/>
        <w:left w:val="none" w:sz="0" w:space="0" w:color="auto"/>
        <w:bottom w:val="none" w:sz="0" w:space="0" w:color="auto"/>
        <w:right w:val="none" w:sz="0" w:space="0" w:color="auto"/>
      </w:divBdr>
    </w:div>
    <w:div w:id="1114061034">
      <w:bodyDiv w:val="1"/>
      <w:marLeft w:val="0"/>
      <w:marRight w:val="0"/>
      <w:marTop w:val="0"/>
      <w:marBottom w:val="0"/>
      <w:divBdr>
        <w:top w:val="none" w:sz="0" w:space="0" w:color="auto"/>
        <w:left w:val="none" w:sz="0" w:space="0" w:color="auto"/>
        <w:bottom w:val="none" w:sz="0" w:space="0" w:color="auto"/>
        <w:right w:val="none" w:sz="0" w:space="0" w:color="auto"/>
      </w:divBdr>
    </w:div>
    <w:div w:id="1116489804">
      <w:bodyDiv w:val="1"/>
      <w:marLeft w:val="0"/>
      <w:marRight w:val="0"/>
      <w:marTop w:val="0"/>
      <w:marBottom w:val="0"/>
      <w:divBdr>
        <w:top w:val="none" w:sz="0" w:space="0" w:color="auto"/>
        <w:left w:val="none" w:sz="0" w:space="0" w:color="auto"/>
        <w:bottom w:val="none" w:sz="0" w:space="0" w:color="auto"/>
        <w:right w:val="none" w:sz="0" w:space="0" w:color="auto"/>
      </w:divBdr>
    </w:div>
    <w:div w:id="1116558547">
      <w:bodyDiv w:val="1"/>
      <w:marLeft w:val="0"/>
      <w:marRight w:val="0"/>
      <w:marTop w:val="0"/>
      <w:marBottom w:val="0"/>
      <w:divBdr>
        <w:top w:val="none" w:sz="0" w:space="0" w:color="auto"/>
        <w:left w:val="none" w:sz="0" w:space="0" w:color="auto"/>
        <w:bottom w:val="none" w:sz="0" w:space="0" w:color="auto"/>
        <w:right w:val="none" w:sz="0" w:space="0" w:color="auto"/>
      </w:divBdr>
    </w:div>
    <w:div w:id="1116825667">
      <w:bodyDiv w:val="1"/>
      <w:marLeft w:val="0"/>
      <w:marRight w:val="0"/>
      <w:marTop w:val="0"/>
      <w:marBottom w:val="0"/>
      <w:divBdr>
        <w:top w:val="none" w:sz="0" w:space="0" w:color="auto"/>
        <w:left w:val="none" w:sz="0" w:space="0" w:color="auto"/>
        <w:bottom w:val="none" w:sz="0" w:space="0" w:color="auto"/>
        <w:right w:val="none" w:sz="0" w:space="0" w:color="auto"/>
      </w:divBdr>
    </w:div>
    <w:div w:id="1117407257">
      <w:bodyDiv w:val="1"/>
      <w:marLeft w:val="0"/>
      <w:marRight w:val="0"/>
      <w:marTop w:val="0"/>
      <w:marBottom w:val="0"/>
      <w:divBdr>
        <w:top w:val="none" w:sz="0" w:space="0" w:color="auto"/>
        <w:left w:val="none" w:sz="0" w:space="0" w:color="auto"/>
        <w:bottom w:val="none" w:sz="0" w:space="0" w:color="auto"/>
        <w:right w:val="none" w:sz="0" w:space="0" w:color="auto"/>
      </w:divBdr>
    </w:div>
    <w:div w:id="1117602788">
      <w:bodyDiv w:val="1"/>
      <w:marLeft w:val="0"/>
      <w:marRight w:val="0"/>
      <w:marTop w:val="0"/>
      <w:marBottom w:val="0"/>
      <w:divBdr>
        <w:top w:val="none" w:sz="0" w:space="0" w:color="auto"/>
        <w:left w:val="none" w:sz="0" w:space="0" w:color="auto"/>
        <w:bottom w:val="none" w:sz="0" w:space="0" w:color="auto"/>
        <w:right w:val="none" w:sz="0" w:space="0" w:color="auto"/>
      </w:divBdr>
    </w:div>
    <w:div w:id="1117986995">
      <w:bodyDiv w:val="1"/>
      <w:marLeft w:val="0"/>
      <w:marRight w:val="0"/>
      <w:marTop w:val="0"/>
      <w:marBottom w:val="0"/>
      <w:divBdr>
        <w:top w:val="none" w:sz="0" w:space="0" w:color="auto"/>
        <w:left w:val="none" w:sz="0" w:space="0" w:color="auto"/>
        <w:bottom w:val="none" w:sz="0" w:space="0" w:color="auto"/>
        <w:right w:val="none" w:sz="0" w:space="0" w:color="auto"/>
      </w:divBdr>
    </w:div>
    <w:div w:id="1118715125">
      <w:bodyDiv w:val="1"/>
      <w:marLeft w:val="0"/>
      <w:marRight w:val="0"/>
      <w:marTop w:val="0"/>
      <w:marBottom w:val="0"/>
      <w:divBdr>
        <w:top w:val="none" w:sz="0" w:space="0" w:color="auto"/>
        <w:left w:val="none" w:sz="0" w:space="0" w:color="auto"/>
        <w:bottom w:val="none" w:sz="0" w:space="0" w:color="auto"/>
        <w:right w:val="none" w:sz="0" w:space="0" w:color="auto"/>
      </w:divBdr>
    </w:div>
    <w:div w:id="1119370577">
      <w:bodyDiv w:val="1"/>
      <w:marLeft w:val="0"/>
      <w:marRight w:val="0"/>
      <w:marTop w:val="0"/>
      <w:marBottom w:val="0"/>
      <w:divBdr>
        <w:top w:val="none" w:sz="0" w:space="0" w:color="auto"/>
        <w:left w:val="none" w:sz="0" w:space="0" w:color="auto"/>
        <w:bottom w:val="none" w:sz="0" w:space="0" w:color="auto"/>
        <w:right w:val="none" w:sz="0" w:space="0" w:color="auto"/>
      </w:divBdr>
    </w:div>
    <w:div w:id="1119566200">
      <w:bodyDiv w:val="1"/>
      <w:marLeft w:val="0"/>
      <w:marRight w:val="0"/>
      <w:marTop w:val="0"/>
      <w:marBottom w:val="0"/>
      <w:divBdr>
        <w:top w:val="none" w:sz="0" w:space="0" w:color="auto"/>
        <w:left w:val="none" w:sz="0" w:space="0" w:color="auto"/>
        <w:bottom w:val="none" w:sz="0" w:space="0" w:color="auto"/>
        <w:right w:val="none" w:sz="0" w:space="0" w:color="auto"/>
      </w:divBdr>
    </w:div>
    <w:div w:id="1119642688">
      <w:bodyDiv w:val="1"/>
      <w:marLeft w:val="0"/>
      <w:marRight w:val="0"/>
      <w:marTop w:val="0"/>
      <w:marBottom w:val="0"/>
      <w:divBdr>
        <w:top w:val="none" w:sz="0" w:space="0" w:color="auto"/>
        <w:left w:val="none" w:sz="0" w:space="0" w:color="auto"/>
        <w:bottom w:val="none" w:sz="0" w:space="0" w:color="auto"/>
        <w:right w:val="none" w:sz="0" w:space="0" w:color="auto"/>
      </w:divBdr>
    </w:div>
    <w:div w:id="1120105911">
      <w:bodyDiv w:val="1"/>
      <w:marLeft w:val="0"/>
      <w:marRight w:val="0"/>
      <w:marTop w:val="0"/>
      <w:marBottom w:val="0"/>
      <w:divBdr>
        <w:top w:val="none" w:sz="0" w:space="0" w:color="auto"/>
        <w:left w:val="none" w:sz="0" w:space="0" w:color="auto"/>
        <w:bottom w:val="none" w:sz="0" w:space="0" w:color="auto"/>
        <w:right w:val="none" w:sz="0" w:space="0" w:color="auto"/>
      </w:divBdr>
    </w:div>
    <w:div w:id="1120226790">
      <w:bodyDiv w:val="1"/>
      <w:marLeft w:val="0"/>
      <w:marRight w:val="0"/>
      <w:marTop w:val="0"/>
      <w:marBottom w:val="0"/>
      <w:divBdr>
        <w:top w:val="none" w:sz="0" w:space="0" w:color="auto"/>
        <w:left w:val="none" w:sz="0" w:space="0" w:color="auto"/>
        <w:bottom w:val="none" w:sz="0" w:space="0" w:color="auto"/>
        <w:right w:val="none" w:sz="0" w:space="0" w:color="auto"/>
      </w:divBdr>
    </w:div>
    <w:div w:id="1121607517">
      <w:bodyDiv w:val="1"/>
      <w:marLeft w:val="0"/>
      <w:marRight w:val="0"/>
      <w:marTop w:val="0"/>
      <w:marBottom w:val="0"/>
      <w:divBdr>
        <w:top w:val="none" w:sz="0" w:space="0" w:color="auto"/>
        <w:left w:val="none" w:sz="0" w:space="0" w:color="auto"/>
        <w:bottom w:val="none" w:sz="0" w:space="0" w:color="auto"/>
        <w:right w:val="none" w:sz="0" w:space="0" w:color="auto"/>
      </w:divBdr>
    </w:div>
    <w:div w:id="1121609028">
      <w:bodyDiv w:val="1"/>
      <w:marLeft w:val="0"/>
      <w:marRight w:val="0"/>
      <w:marTop w:val="0"/>
      <w:marBottom w:val="0"/>
      <w:divBdr>
        <w:top w:val="none" w:sz="0" w:space="0" w:color="auto"/>
        <w:left w:val="none" w:sz="0" w:space="0" w:color="auto"/>
        <w:bottom w:val="none" w:sz="0" w:space="0" w:color="auto"/>
        <w:right w:val="none" w:sz="0" w:space="0" w:color="auto"/>
      </w:divBdr>
    </w:div>
    <w:div w:id="1123841800">
      <w:bodyDiv w:val="1"/>
      <w:marLeft w:val="0"/>
      <w:marRight w:val="0"/>
      <w:marTop w:val="0"/>
      <w:marBottom w:val="0"/>
      <w:divBdr>
        <w:top w:val="none" w:sz="0" w:space="0" w:color="auto"/>
        <w:left w:val="none" w:sz="0" w:space="0" w:color="auto"/>
        <w:bottom w:val="none" w:sz="0" w:space="0" w:color="auto"/>
        <w:right w:val="none" w:sz="0" w:space="0" w:color="auto"/>
      </w:divBdr>
    </w:div>
    <w:div w:id="1124888034">
      <w:bodyDiv w:val="1"/>
      <w:marLeft w:val="0"/>
      <w:marRight w:val="0"/>
      <w:marTop w:val="0"/>
      <w:marBottom w:val="0"/>
      <w:divBdr>
        <w:top w:val="none" w:sz="0" w:space="0" w:color="auto"/>
        <w:left w:val="none" w:sz="0" w:space="0" w:color="auto"/>
        <w:bottom w:val="none" w:sz="0" w:space="0" w:color="auto"/>
        <w:right w:val="none" w:sz="0" w:space="0" w:color="auto"/>
      </w:divBdr>
    </w:div>
    <w:div w:id="1126657792">
      <w:bodyDiv w:val="1"/>
      <w:marLeft w:val="0"/>
      <w:marRight w:val="0"/>
      <w:marTop w:val="0"/>
      <w:marBottom w:val="0"/>
      <w:divBdr>
        <w:top w:val="none" w:sz="0" w:space="0" w:color="auto"/>
        <w:left w:val="none" w:sz="0" w:space="0" w:color="auto"/>
        <w:bottom w:val="none" w:sz="0" w:space="0" w:color="auto"/>
        <w:right w:val="none" w:sz="0" w:space="0" w:color="auto"/>
      </w:divBdr>
    </w:div>
    <w:div w:id="1126658929">
      <w:bodyDiv w:val="1"/>
      <w:marLeft w:val="0"/>
      <w:marRight w:val="0"/>
      <w:marTop w:val="0"/>
      <w:marBottom w:val="0"/>
      <w:divBdr>
        <w:top w:val="none" w:sz="0" w:space="0" w:color="auto"/>
        <w:left w:val="none" w:sz="0" w:space="0" w:color="auto"/>
        <w:bottom w:val="none" w:sz="0" w:space="0" w:color="auto"/>
        <w:right w:val="none" w:sz="0" w:space="0" w:color="auto"/>
      </w:divBdr>
    </w:div>
    <w:div w:id="1127092526">
      <w:bodyDiv w:val="1"/>
      <w:marLeft w:val="0"/>
      <w:marRight w:val="0"/>
      <w:marTop w:val="0"/>
      <w:marBottom w:val="0"/>
      <w:divBdr>
        <w:top w:val="none" w:sz="0" w:space="0" w:color="auto"/>
        <w:left w:val="none" w:sz="0" w:space="0" w:color="auto"/>
        <w:bottom w:val="none" w:sz="0" w:space="0" w:color="auto"/>
        <w:right w:val="none" w:sz="0" w:space="0" w:color="auto"/>
      </w:divBdr>
    </w:div>
    <w:div w:id="1127549736">
      <w:bodyDiv w:val="1"/>
      <w:marLeft w:val="0"/>
      <w:marRight w:val="0"/>
      <w:marTop w:val="0"/>
      <w:marBottom w:val="0"/>
      <w:divBdr>
        <w:top w:val="none" w:sz="0" w:space="0" w:color="auto"/>
        <w:left w:val="none" w:sz="0" w:space="0" w:color="auto"/>
        <w:bottom w:val="none" w:sz="0" w:space="0" w:color="auto"/>
        <w:right w:val="none" w:sz="0" w:space="0" w:color="auto"/>
      </w:divBdr>
    </w:div>
    <w:div w:id="1127626925">
      <w:bodyDiv w:val="1"/>
      <w:marLeft w:val="0"/>
      <w:marRight w:val="0"/>
      <w:marTop w:val="0"/>
      <w:marBottom w:val="0"/>
      <w:divBdr>
        <w:top w:val="none" w:sz="0" w:space="0" w:color="auto"/>
        <w:left w:val="none" w:sz="0" w:space="0" w:color="auto"/>
        <w:bottom w:val="none" w:sz="0" w:space="0" w:color="auto"/>
        <w:right w:val="none" w:sz="0" w:space="0" w:color="auto"/>
      </w:divBdr>
    </w:div>
    <w:div w:id="1127969171">
      <w:bodyDiv w:val="1"/>
      <w:marLeft w:val="0"/>
      <w:marRight w:val="0"/>
      <w:marTop w:val="0"/>
      <w:marBottom w:val="0"/>
      <w:divBdr>
        <w:top w:val="none" w:sz="0" w:space="0" w:color="auto"/>
        <w:left w:val="none" w:sz="0" w:space="0" w:color="auto"/>
        <w:bottom w:val="none" w:sz="0" w:space="0" w:color="auto"/>
        <w:right w:val="none" w:sz="0" w:space="0" w:color="auto"/>
      </w:divBdr>
    </w:div>
    <w:div w:id="1128158521">
      <w:bodyDiv w:val="1"/>
      <w:marLeft w:val="0"/>
      <w:marRight w:val="0"/>
      <w:marTop w:val="0"/>
      <w:marBottom w:val="0"/>
      <w:divBdr>
        <w:top w:val="none" w:sz="0" w:space="0" w:color="auto"/>
        <w:left w:val="none" w:sz="0" w:space="0" w:color="auto"/>
        <w:bottom w:val="none" w:sz="0" w:space="0" w:color="auto"/>
        <w:right w:val="none" w:sz="0" w:space="0" w:color="auto"/>
      </w:divBdr>
    </w:div>
    <w:div w:id="1129056456">
      <w:bodyDiv w:val="1"/>
      <w:marLeft w:val="0"/>
      <w:marRight w:val="0"/>
      <w:marTop w:val="0"/>
      <w:marBottom w:val="0"/>
      <w:divBdr>
        <w:top w:val="none" w:sz="0" w:space="0" w:color="auto"/>
        <w:left w:val="none" w:sz="0" w:space="0" w:color="auto"/>
        <w:bottom w:val="none" w:sz="0" w:space="0" w:color="auto"/>
        <w:right w:val="none" w:sz="0" w:space="0" w:color="auto"/>
      </w:divBdr>
    </w:div>
    <w:div w:id="1129131460">
      <w:bodyDiv w:val="1"/>
      <w:marLeft w:val="0"/>
      <w:marRight w:val="0"/>
      <w:marTop w:val="0"/>
      <w:marBottom w:val="0"/>
      <w:divBdr>
        <w:top w:val="none" w:sz="0" w:space="0" w:color="auto"/>
        <w:left w:val="none" w:sz="0" w:space="0" w:color="auto"/>
        <w:bottom w:val="none" w:sz="0" w:space="0" w:color="auto"/>
        <w:right w:val="none" w:sz="0" w:space="0" w:color="auto"/>
      </w:divBdr>
      <w:divsChild>
        <w:div w:id="1161039729">
          <w:marLeft w:val="0"/>
          <w:marRight w:val="0"/>
          <w:marTop w:val="0"/>
          <w:marBottom w:val="0"/>
          <w:divBdr>
            <w:top w:val="none" w:sz="0" w:space="0" w:color="auto"/>
            <w:left w:val="none" w:sz="0" w:space="0" w:color="auto"/>
            <w:bottom w:val="none" w:sz="0" w:space="0" w:color="auto"/>
            <w:right w:val="none" w:sz="0" w:space="0" w:color="auto"/>
          </w:divBdr>
        </w:div>
      </w:divsChild>
    </w:div>
    <w:div w:id="1129394003">
      <w:bodyDiv w:val="1"/>
      <w:marLeft w:val="0"/>
      <w:marRight w:val="0"/>
      <w:marTop w:val="0"/>
      <w:marBottom w:val="0"/>
      <w:divBdr>
        <w:top w:val="none" w:sz="0" w:space="0" w:color="auto"/>
        <w:left w:val="none" w:sz="0" w:space="0" w:color="auto"/>
        <w:bottom w:val="none" w:sz="0" w:space="0" w:color="auto"/>
        <w:right w:val="none" w:sz="0" w:space="0" w:color="auto"/>
      </w:divBdr>
    </w:div>
    <w:div w:id="1129477164">
      <w:bodyDiv w:val="1"/>
      <w:marLeft w:val="0"/>
      <w:marRight w:val="0"/>
      <w:marTop w:val="0"/>
      <w:marBottom w:val="0"/>
      <w:divBdr>
        <w:top w:val="none" w:sz="0" w:space="0" w:color="auto"/>
        <w:left w:val="none" w:sz="0" w:space="0" w:color="auto"/>
        <w:bottom w:val="none" w:sz="0" w:space="0" w:color="auto"/>
        <w:right w:val="none" w:sz="0" w:space="0" w:color="auto"/>
      </w:divBdr>
    </w:div>
    <w:div w:id="1129670118">
      <w:bodyDiv w:val="1"/>
      <w:marLeft w:val="0"/>
      <w:marRight w:val="0"/>
      <w:marTop w:val="0"/>
      <w:marBottom w:val="0"/>
      <w:divBdr>
        <w:top w:val="none" w:sz="0" w:space="0" w:color="auto"/>
        <w:left w:val="none" w:sz="0" w:space="0" w:color="auto"/>
        <w:bottom w:val="none" w:sz="0" w:space="0" w:color="auto"/>
        <w:right w:val="none" w:sz="0" w:space="0" w:color="auto"/>
      </w:divBdr>
    </w:div>
    <w:div w:id="1130783979">
      <w:bodyDiv w:val="1"/>
      <w:marLeft w:val="0"/>
      <w:marRight w:val="0"/>
      <w:marTop w:val="0"/>
      <w:marBottom w:val="0"/>
      <w:divBdr>
        <w:top w:val="none" w:sz="0" w:space="0" w:color="auto"/>
        <w:left w:val="none" w:sz="0" w:space="0" w:color="auto"/>
        <w:bottom w:val="none" w:sz="0" w:space="0" w:color="auto"/>
        <w:right w:val="none" w:sz="0" w:space="0" w:color="auto"/>
      </w:divBdr>
    </w:div>
    <w:div w:id="1131245962">
      <w:bodyDiv w:val="1"/>
      <w:marLeft w:val="0"/>
      <w:marRight w:val="0"/>
      <w:marTop w:val="0"/>
      <w:marBottom w:val="0"/>
      <w:divBdr>
        <w:top w:val="none" w:sz="0" w:space="0" w:color="auto"/>
        <w:left w:val="none" w:sz="0" w:space="0" w:color="auto"/>
        <w:bottom w:val="none" w:sz="0" w:space="0" w:color="auto"/>
        <w:right w:val="none" w:sz="0" w:space="0" w:color="auto"/>
      </w:divBdr>
    </w:div>
    <w:div w:id="1131938609">
      <w:bodyDiv w:val="1"/>
      <w:marLeft w:val="0"/>
      <w:marRight w:val="0"/>
      <w:marTop w:val="0"/>
      <w:marBottom w:val="0"/>
      <w:divBdr>
        <w:top w:val="none" w:sz="0" w:space="0" w:color="auto"/>
        <w:left w:val="none" w:sz="0" w:space="0" w:color="auto"/>
        <w:bottom w:val="none" w:sz="0" w:space="0" w:color="auto"/>
        <w:right w:val="none" w:sz="0" w:space="0" w:color="auto"/>
      </w:divBdr>
    </w:div>
    <w:div w:id="1131943049">
      <w:bodyDiv w:val="1"/>
      <w:marLeft w:val="0"/>
      <w:marRight w:val="0"/>
      <w:marTop w:val="0"/>
      <w:marBottom w:val="0"/>
      <w:divBdr>
        <w:top w:val="none" w:sz="0" w:space="0" w:color="auto"/>
        <w:left w:val="none" w:sz="0" w:space="0" w:color="auto"/>
        <w:bottom w:val="none" w:sz="0" w:space="0" w:color="auto"/>
        <w:right w:val="none" w:sz="0" w:space="0" w:color="auto"/>
      </w:divBdr>
    </w:div>
    <w:div w:id="1132291541">
      <w:bodyDiv w:val="1"/>
      <w:marLeft w:val="0"/>
      <w:marRight w:val="0"/>
      <w:marTop w:val="0"/>
      <w:marBottom w:val="0"/>
      <w:divBdr>
        <w:top w:val="none" w:sz="0" w:space="0" w:color="auto"/>
        <w:left w:val="none" w:sz="0" w:space="0" w:color="auto"/>
        <w:bottom w:val="none" w:sz="0" w:space="0" w:color="auto"/>
        <w:right w:val="none" w:sz="0" w:space="0" w:color="auto"/>
      </w:divBdr>
    </w:div>
    <w:div w:id="1132752840">
      <w:bodyDiv w:val="1"/>
      <w:marLeft w:val="0"/>
      <w:marRight w:val="0"/>
      <w:marTop w:val="0"/>
      <w:marBottom w:val="0"/>
      <w:divBdr>
        <w:top w:val="none" w:sz="0" w:space="0" w:color="auto"/>
        <w:left w:val="none" w:sz="0" w:space="0" w:color="auto"/>
        <w:bottom w:val="none" w:sz="0" w:space="0" w:color="auto"/>
        <w:right w:val="none" w:sz="0" w:space="0" w:color="auto"/>
      </w:divBdr>
    </w:div>
    <w:div w:id="1133401439">
      <w:bodyDiv w:val="1"/>
      <w:marLeft w:val="0"/>
      <w:marRight w:val="0"/>
      <w:marTop w:val="0"/>
      <w:marBottom w:val="0"/>
      <w:divBdr>
        <w:top w:val="none" w:sz="0" w:space="0" w:color="auto"/>
        <w:left w:val="none" w:sz="0" w:space="0" w:color="auto"/>
        <w:bottom w:val="none" w:sz="0" w:space="0" w:color="auto"/>
        <w:right w:val="none" w:sz="0" w:space="0" w:color="auto"/>
      </w:divBdr>
    </w:div>
    <w:div w:id="1134325944">
      <w:bodyDiv w:val="1"/>
      <w:marLeft w:val="0"/>
      <w:marRight w:val="0"/>
      <w:marTop w:val="0"/>
      <w:marBottom w:val="0"/>
      <w:divBdr>
        <w:top w:val="none" w:sz="0" w:space="0" w:color="auto"/>
        <w:left w:val="none" w:sz="0" w:space="0" w:color="auto"/>
        <w:bottom w:val="none" w:sz="0" w:space="0" w:color="auto"/>
        <w:right w:val="none" w:sz="0" w:space="0" w:color="auto"/>
      </w:divBdr>
    </w:div>
    <w:div w:id="1134372473">
      <w:bodyDiv w:val="1"/>
      <w:marLeft w:val="0"/>
      <w:marRight w:val="0"/>
      <w:marTop w:val="0"/>
      <w:marBottom w:val="0"/>
      <w:divBdr>
        <w:top w:val="none" w:sz="0" w:space="0" w:color="auto"/>
        <w:left w:val="none" w:sz="0" w:space="0" w:color="auto"/>
        <w:bottom w:val="none" w:sz="0" w:space="0" w:color="auto"/>
        <w:right w:val="none" w:sz="0" w:space="0" w:color="auto"/>
      </w:divBdr>
    </w:div>
    <w:div w:id="1134834079">
      <w:bodyDiv w:val="1"/>
      <w:marLeft w:val="0"/>
      <w:marRight w:val="0"/>
      <w:marTop w:val="0"/>
      <w:marBottom w:val="0"/>
      <w:divBdr>
        <w:top w:val="none" w:sz="0" w:space="0" w:color="auto"/>
        <w:left w:val="none" w:sz="0" w:space="0" w:color="auto"/>
        <w:bottom w:val="none" w:sz="0" w:space="0" w:color="auto"/>
        <w:right w:val="none" w:sz="0" w:space="0" w:color="auto"/>
      </w:divBdr>
    </w:div>
    <w:div w:id="1134954227">
      <w:bodyDiv w:val="1"/>
      <w:marLeft w:val="0"/>
      <w:marRight w:val="0"/>
      <w:marTop w:val="0"/>
      <w:marBottom w:val="0"/>
      <w:divBdr>
        <w:top w:val="none" w:sz="0" w:space="0" w:color="auto"/>
        <w:left w:val="none" w:sz="0" w:space="0" w:color="auto"/>
        <w:bottom w:val="none" w:sz="0" w:space="0" w:color="auto"/>
        <w:right w:val="none" w:sz="0" w:space="0" w:color="auto"/>
      </w:divBdr>
    </w:div>
    <w:div w:id="1136264298">
      <w:bodyDiv w:val="1"/>
      <w:marLeft w:val="0"/>
      <w:marRight w:val="0"/>
      <w:marTop w:val="0"/>
      <w:marBottom w:val="0"/>
      <w:divBdr>
        <w:top w:val="none" w:sz="0" w:space="0" w:color="auto"/>
        <w:left w:val="none" w:sz="0" w:space="0" w:color="auto"/>
        <w:bottom w:val="none" w:sz="0" w:space="0" w:color="auto"/>
        <w:right w:val="none" w:sz="0" w:space="0" w:color="auto"/>
      </w:divBdr>
    </w:div>
    <w:div w:id="1136333464">
      <w:bodyDiv w:val="1"/>
      <w:marLeft w:val="0"/>
      <w:marRight w:val="0"/>
      <w:marTop w:val="0"/>
      <w:marBottom w:val="0"/>
      <w:divBdr>
        <w:top w:val="none" w:sz="0" w:space="0" w:color="auto"/>
        <w:left w:val="none" w:sz="0" w:space="0" w:color="auto"/>
        <w:bottom w:val="none" w:sz="0" w:space="0" w:color="auto"/>
        <w:right w:val="none" w:sz="0" w:space="0" w:color="auto"/>
      </w:divBdr>
    </w:div>
    <w:div w:id="1136333943">
      <w:bodyDiv w:val="1"/>
      <w:marLeft w:val="0"/>
      <w:marRight w:val="0"/>
      <w:marTop w:val="0"/>
      <w:marBottom w:val="0"/>
      <w:divBdr>
        <w:top w:val="none" w:sz="0" w:space="0" w:color="auto"/>
        <w:left w:val="none" w:sz="0" w:space="0" w:color="auto"/>
        <w:bottom w:val="none" w:sz="0" w:space="0" w:color="auto"/>
        <w:right w:val="none" w:sz="0" w:space="0" w:color="auto"/>
      </w:divBdr>
    </w:div>
    <w:div w:id="1136722974">
      <w:bodyDiv w:val="1"/>
      <w:marLeft w:val="0"/>
      <w:marRight w:val="0"/>
      <w:marTop w:val="0"/>
      <w:marBottom w:val="0"/>
      <w:divBdr>
        <w:top w:val="none" w:sz="0" w:space="0" w:color="auto"/>
        <w:left w:val="none" w:sz="0" w:space="0" w:color="auto"/>
        <w:bottom w:val="none" w:sz="0" w:space="0" w:color="auto"/>
        <w:right w:val="none" w:sz="0" w:space="0" w:color="auto"/>
      </w:divBdr>
      <w:divsChild>
        <w:div w:id="1888954451">
          <w:marLeft w:val="0"/>
          <w:marRight w:val="0"/>
          <w:marTop w:val="0"/>
          <w:marBottom w:val="210"/>
          <w:divBdr>
            <w:top w:val="none" w:sz="0" w:space="0" w:color="auto"/>
            <w:left w:val="none" w:sz="0" w:space="0" w:color="auto"/>
            <w:bottom w:val="none" w:sz="0" w:space="0" w:color="auto"/>
            <w:right w:val="none" w:sz="0" w:space="0" w:color="auto"/>
          </w:divBdr>
        </w:div>
        <w:div w:id="84040599">
          <w:marLeft w:val="0"/>
          <w:marRight w:val="0"/>
          <w:marTop w:val="0"/>
          <w:marBottom w:val="210"/>
          <w:divBdr>
            <w:top w:val="none" w:sz="0" w:space="0" w:color="auto"/>
            <w:left w:val="none" w:sz="0" w:space="0" w:color="auto"/>
            <w:bottom w:val="none" w:sz="0" w:space="0" w:color="auto"/>
            <w:right w:val="none" w:sz="0" w:space="0" w:color="auto"/>
          </w:divBdr>
        </w:div>
      </w:divsChild>
    </w:div>
    <w:div w:id="1137340946">
      <w:bodyDiv w:val="1"/>
      <w:marLeft w:val="0"/>
      <w:marRight w:val="0"/>
      <w:marTop w:val="0"/>
      <w:marBottom w:val="0"/>
      <w:divBdr>
        <w:top w:val="none" w:sz="0" w:space="0" w:color="auto"/>
        <w:left w:val="none" w:sz="0" w:space="0" w:color="auto"/>
        <w:bottom w:val="none" w:sz="0" w:space="0" w:color="auto"/>
        <w:right w:val="none" w:sz="0" w:space="0" w:color="auto"/>
      </w:divBdr>
    </w:div>
    <w:div w:id="1138885769">
      <w:bodyDiv w:val="1"/>
      <w:marLeft w:val="0"/>
      <w:marRight w:val="0"/>
      <w:marTop w:val="0"/>
      <w:marBottom w:val="0"/>
      <w:divBdr>
        <w:top w:val="none" w:sz="0" w:space="0" w:color="auto"/>
        <w:left w:val="none" w:sz="0" w:space="0" w:color="auto"/>
        <w:bottom w:val="none" w:sz="0" w:space="0" w:color="auto"/>
        <w:right w:val="none" w:sz="0" w:space="0" w:color="auto"/>
      </w:divBdr>
    </w:div>
    <w:div w:id="1139608842">
      <w:bodyDiv w:val="1"/>
      <w:marLeft w:val="0"/>
      <w:marRight w:val="0"/>
      <w:marTop w:val="0"/>
      <w:marBottom w:val="0"/>
      <w:divBdr>
        <w:top w:val="none" w:sz="0" w:space="0" w:color="auto"/>
        <w:left w:val="none" w:sz="0" w:space="0" w:color="auto"/>
        <w:bottom w:val="none" w:sz="0" w:space="0" w:color="auto"/>
        <w:right w:val="none" w:sz="0" w:space="0" w:color="auto"/>
      </w:divBdr>
    </w:div>
    <w:div w:id="1140078869">
      <w:bodyDiv w:val="1"/>
      <w:marLeft w:val="0"/>
      <w:marRight w:val="0"/>
      <w:marTop w:val="0"/>
      <w:marBottom w:val="0"/>
      <w:divBdr>
        <w:top w:val="none" w:sz="0" w:space="0" w:color="auto"/>
        <w:left w:val="none" w:sz="0" w:space="0" w:color="auto"/>
        <w:bottom w:val="none" w:sz="0" w:space="0" w:color="auto"/>
        <w:right w:val="none" w:sz="0" w:space="0" w:color="auto"/>
      </w:divBdr>
    </w:div>
    <w:div w:id="1140225142">
      <w:bodyDiv w:val="1"/>
      <w:marLeft w:val="0"/>
      <w:marRight w:val="0"/>
      <w:marTop w:val="0"/>
      <w:marBottom w:val="0"/>
      <w:divBdr>
        <w:top w:val="none" w:sz="0" w:space="0" w:color="auto"/>
        <w:left w:val="none" w:sz="0" w:space="0" w:color="auto"/>
        <w:bottom w:val="none" w:sz="0" w:space="0" w:color="auto"/>
        <w:right w:val="none" w:sz="0" w:space="0" w:color="auto"/>
      </w:divBdr>
    </w:div>
    <w:div w:id="1140460313">
      <w:bodyDiv w:val="1"/>
      <w:marLeft w:val="0"/>
      <w:marRight w:val="0"/>
      <w:marTop w:val="0"/>
      <w:marBottom w:val="0"/>
      <w:divBdr>
        <w:top w:val="none" w:sz="0" w:space="0" w:color="auto"/>
        <w:left w:val="none" w:sz="0" w:space="0" w:color="auto"/>
        <w:bottom w:val="none" w:sz="0" w:space="0" w:color="auto"/>
        <w:right w:val="none" w:sz="0" w:space="0" w:color="auto"/>
      </w:divBdr>
    </w:div>
    <w:div w:id="1142426924">
      <w:bodyDiv w:val="1"/>
      <w:marLeft w:val="0"/>
      <w:marRight w:val="0"/>
      <w:marTop w:val="0"/>
      <w:marBottom w:val="0"/>
      <w:divBdr>
        <w:top w:val="none" w:sz="0" w:space="0" w:color="auto"/>
        <w:left w:val="none" w:sz="0" w:space="0" w:color="auto"/>
        <w:bottom w:val="none" w:sz="0" w:space="0" w:color="auto"/>
        <w:right w:val="none" w:sz="0" w:space="0" w:color="auto"/>
      </w:divBdr>
    </w:div>
    <w:div w:id="1142848070">
      <w:bodyDiv w:val="1"/>
      <w:marLeft w:val="0"/>
      <w:marRight w:val="0"/>
      <w:marTop w:val="0"/>
      <w:marBottom w:val="0"/>
      <w:divBdr>
        <w:top w:val="none" w:sz="0" w:space="0" w:color="auto"/>
        <w:left w:val="none" w:sz="0" w:space="0" w:color="auto"/>
        <w:bottom w:val="none" w:sz="0" w:space="0" w:color="auto"/>
        <w:right w:val="none" w:sz="0" w:space="0" w:color="auto"/>
      </w:divBdr>
    </w:div>
    <w:div w:id="1143228797">
      <w:bodyDiv w:val="1"/>
      <w:marLeft w:val="0"/>
      <w:marRight w:val="0"/>
      <w:marTop w:val="0"/>
      <w:marBottom w:val="0"/>
      <w:divBdr>
        <w:top w:val="none" w:sz="0" w:space="0" w:color="auto"/>
        <w:left w:val="none" w:sz="0" w:space="0" w:color="auto"/>
        <w:bottom w:val="none" w:sz="0" w:space="0" w:color="auto"/>
        <w:right w:val="none" w:sz="0" w:space="0" w:color="auto"/>
      </w:divBdr>
    </w:div>
    <w:div w:id="1144855927">
      <w:bodyDiv w:val="1"/>
      <w:marLeft w:val="0"/>
      <w:marRight w:val="0"/>
      <w:marTop w:val="0"/>
      <w:marBottom w:val="0"/>
      <w:divBdr>
        <w:top w:val="none" w:sz="0" w:space="0" w:color="auto"/>
        <w:left w:val="none" w:sz="0" w:space="0" w:color="auto"/>
        <w:bottom w:val="none" w:sz="0" w:space="0" w:color="auto"/>
        <w:right w:val="none" w:sz="0" w:space="0" w:color="auto"/>
      </w:divBdr>
    </w:div>
    <w:div w:id="1145972333">
      <w:bodyDiv w:val="1"/>
      <w:marLeft w:val="0"/>
      <w:marRight w:val="0"/>
      <w:marTop w:val="0"/>
      <w:marBottom w:val="0"/>
      <w:divBdr>
        <w:top w:val="none" w:sz="0" w:space="0" w:color="auto"/>
        <w:left w:val="none" w:sz="0" w:space="0" w:color="auto"/>
        <w:bottom w:val="none" w:sz="0" w:space="0" w:color="auto"/>
        <w:right w:val="none" w:sz="0" w:space="0" w:color="auto"/>
      </w:divBdr>
    </w:div>
    <w:div w:id="1146316794">
      <w:bodyDiv w:val="1"/>
      <w:marLeft w:val="0"/>
      <w:marRight w:val="0"/>
      <w:marTop w:val="0"/>
      <w:marBottom w:val="0"/>
      <w:divBdr>
        <w:top w:val="none" w:sz="0" w:space="0" w:color="auto"/>
        <w:left w:val="none" w:sz="0" w:space="0" w:color="auto"/>
        <w:bottom w:val="none" w:sz="0" w:space="0" w:color="auto"/>
        <w:right w:val="none" w:sz="0" w:space="0" w:color="auto"/>
      </w:divBdr>
    </w:div>
    <w:div w:id="1147355405">
      <w:bodyDiv w:val="1"/>
      <w:marLeft w:val="0"/>
      <w:marRight w:val="0"/>
      <w:marTop w:val="0"/>
      <w:marBottom w:val="0"/>
      <w:divBdr>
        <w:top w:val="none" w:sz="0" w:space="0" w:color="auto"/>
        <w:left w:val="none" w:sz="0" w:space="0" w:color="auto"/>
        <w:bottom w:val="none" w:sz="0" w:space="0" w:color="auto"/>
        <w:right w:val="none" w:sz="0" w:space="0" w:color="auto"/>
      </w:divBdr>
    </w:div>
    <w:div w:id="1148983575">
      <w:bodyDiv w:val="1"/>
      <w:marLeft w:val="0"/>
      <w:marRight w:val="0"/>
      <w:marTop w:val="0"/>
      <w:marBottom w:val="0"/>
      <w:divBdr>
        <w:top w:val="none" w:sz="0" w:space="0" w:color="auto"/>
        <w:left w:val="none" w:sz="0" w:space="0" w:color="auto"/>
        <w:bottom w:val="none" w:sz="0" w:space="0" w:color="auto"/>
        <w:right w:val="none" w:sz="0" w:space="0" w:color="auto"/>
      </w:divBdr>
    </w:div>
    <w:div w:id="1149058904">
      <w:bodyDiv w:val="1"/>
      <w:marLeft w:val="0"/>
      <w:marRight w:val="0"/>
      <w:marTop w:val="0"/>
      <w:marBottom w:val="0"/>
      <w:divBdr>
        <w:top w:val="none" w:sz="0" w:space="0" w:color="auto"/>
        <w:left w:val="none" w:sz="0" w:space="0" w:color="auto"/>
        <w:bottom w:val="none" w:sz="0" w:space="0" w:color="auto"/>
        <w:right w:val="none" w:sz="0" w:space="0" w:color="auto"/>
      </w:divBdr>
    </w:div>
    <w:div w:id="1149203242">
      <w:bodyDiv w:val="1"/>
      <w:marLeft w:val="0"/>
      <w:marRight w:val="0"/>
      <w:marTop w:val="0"/>
      <w:marBottom w:val="0"/>
      <w:divBdr>
        <w:top w:val="none" w:sz="0" w:space="0" w:color="auto"/>
        <w:left w:val="none" w:sz="0" w:space="0" w:color="auto"/>
        <w:bottom w:val="none" w:sz="0" w:space="0" w:color="auto"/>
        <w:right w:val="none" w:sz="0" w:space="0" w:color="auto"/>
      </w:divBdr>
    </w:div>
    <w:div w:id="1149903531">
      <w:bodyDiv w:val="1"/>
      <w:marLeft w:val="0"/>
      <w:marRight w:val="0"/>
      <w:marTop w:val="0"/>
      <w:marBottom w:val="0"/>
      <w:divBdr>
        <w:top w:val="none" w:sz="0" w:space="0" w:color="auto"/>
        <w:left w:val="none" w:sz="0" w:space="0" w:color="auto"/>
        <w:bottom w:val="none" w:sz="0" w:space="0" w:color="auto"/>
        <w:right w:val="none" w:sz="0" w:space="0" w:color="auto"/>
      </w:divBdr>
    </w:div>
    <w:div w:id="1150289514">
      <w:bodyDiv w:val="1"/>
      <w:marLeft w:val="0"/>
      <w:marRight w:val="0"/>
      <w:marTop w:val="0"/>
      <w:marBottom w:val="0"/>
      <w:divBdr>
        <w:top w:val="none" w:sz="0" w:space="0" w:color="auto"/>
        <w:left w:val="none" w:sz="0" w:space="0" w:color="auto"/>
        <w:bottom w:val="none" w:sz="0" w:space="0" w:color="auto"/>
        <w:right w:val="none" w:sz="0" w:space="0" w:color="auto"/>
      </w:divBdr>
    </w:div>
    <w:div w:id="1150899106">
      <w:bodyDiv w:val="1"/>
      <w:marLeft w:val="0"/>
      <w:marRight w:val="0"/>
      <w:marTop w:val="0"/>
      <w:marBottom w:val="0"/>
      <w:divBdr>
        <w:top w:val="none" w:sz="0" w:space="0" w:color="auto"/>
        <w:left w:val="none" w:sz="0" w:space="0" w:color="auto"/>
        <w:bottom w:val="none" w:sz="0" w:space="0" w:color="auto"/>
        <w:right w:val="none" w:sz="0" w:space="0" w:color="auto"/>
      </w:divBdr>
    </w:div>
    <w:div w:id="1152524493">
      <w:bodyDiv w:val="1"/>
      <w:marLeft w:val="0"/>
      <w:marRight w:val="0"/>
      <w:marTop w:val="0"/>
      <w:marBottom w:val="0"/>
      <w:divBdr>
        <w:top w:val="none" w:sz="0" w:space="0" w:color="auto"/>
        <w:left w:val="none" w:sz="0" w:space="0" w:color="auto"/>
        <w:bottom w:val="none" w:sz="0" w:space="0" w:color="auto"/>
        <w:right w:val="none" w:sz="0" w:space="0" w:color="auto"/>
      </w:divBdr>
    </w:div>
    <w:div w:id="1153370188">
      <w:bodyDiv w:val="1"/>
      <w:marLeft w:val="0"/>
      <w:marRight w:val="0"/>
      <w:marTop w:val="0"/>
      <w:marBottom w:val="0"/>
      <w:divBdr>
        <w:top w:val="none" w:sz="0" w:space="0" w:color="auto"/>
        <w:left w:val="none" w:sz="0" w:space="0" w:color="auto"/>
        <w:bottom w:val="none" w:sz="0" w:space="0" w:color="auto"/>
        <w:right w:val="none" w:sz="0" w:space="0" w:color="auto"/>
      </w:divBdr>
    </w:div>
    <w:div w:id="1153721978">
      <w:bodyDiv w:val="1"/>
      <w:marLeft w:val="0"/>
      <w:marRight w:val="0"/>
      <w:marTop w:val="0"/>
      <w:marBottom w:val="0"/>
      <w:divBdr>
        <w:top w:val="none" w:sz="0" w:space="0" w:color="auto"/>
        <w:left w:val="none" w:sz="0" w:space="0" w:color="auto"/>
        <w:bottom w:val="none" w:sz="0" w:space="0" w:color="auto"/>
        <w:right w:val="none" w:sz="0" w:space="0" w:color="auto"/>
      </w:divBdr>
    </w:div>
    <w:div w:id="1154759242">
      <w:bodyDiv w:val="1"/>
      <w:marLeft w:val="0"/>
      <w:marRight w:val="0"/>
      <w:marTop w:val="0"/>
      <w:marBottom w:val="0"/>
      <w:divBdr>
        <w:top w:val="none" w:sz="0" w:space="0" w:color="auto"/>
        <w:left w:val="none" w:sz="0" w:space="0" w:color="auto"/>
        <w:bottom w:val="none" w:sz="0" w:space="0" w:color="auto"/>
        <w:right w:val="none" w:sz="0" w:space="0" w:color="auto"/>
      </w:divBdr>
    </w:div>
    <w:div w:id="1154950696">
      <w:bodyDiv w:val="1"/>
      <w:marLeft w:val="0"/>
      <w:marRight w:val="0"/>
      <w:marTop w:val="0"/>
      <w:marBottom w:val="0"/>
      <w:divBdr>
        <w:top w:val="none" w:sz="0" w:space="0" w:color="auto"/>
        <w:left w:val="none" w:sz="0" w:space="0" w:color="auto"/>
        <w:bottom w:val="none" w:sz="0" w:space="0" w:color="auto"/>
        <w:right w:val="none" w:sz="0" w:space="0" w:color="auto"/>
      </w:divBdr>
    </w:div>
    <w:div w:id="1155805259">
      <w:bodyDiv w:val="1"/>
      <w:marLeft w:val="0"/>
      <w:marRight w:val="0"/>
      <w:marTop w:val="0"/>
      <w:marBottom w:val="0"/>
      <w:divBdr>
        <w:top w:val="none" w:sz="0" w:space="0" w:color="auto"/>
        <w:left w:val="none" w:sz="0" w:space="0" w:color="auto"/>
        <w:bottom w:val="none" w:sz="0" w:space="0" w:color="auto"/>
        <w:right w:val="none" w:sz="0" w:space="0" w:color="auto"/>
      </w:divBdr>
    </w:div>
    <w:div w:id="1156336556">
      <w:bodyDiv w:val="1"/>
      <w:marLeft w:val="0"/>
      <w:marRight w:val="0"/>
      <w:marTop w:val="0"/>
      <w:marBottom w:val="0"/>
      <w:divBdr>
        <w:top w:val="none" w:sz="0" w:space="0" w:color="auto"/>
        <w:left w:val="none" w:sz="0" w:space="0" w:color="auto"/>
        <w:bottom w:val="none" w:sz="0" w:space="0" w:color="auto"/>
        <w:right w:val="none" w:sz="0" w:space="0" w:color="auto"/>
      </w:divBdr>
    </w:div>
    <w:div w:id="1156721904">
      <w:bodyDiv w:val="1"/>
      <w:marLeft w:val="0"/>
      <w:marRight w:val="0"/>
      <w:marTop w:val="0"/>
      <w:marBottom w:val="0"/>
      <w:divBdr>
        <w:top w:val="none" w:sz="0" w:space="0" w:color="auto"/>
        <w:left w:val="none" w:sz="0" w:space="0" w:color="auto"/>
        <w:bottom w:val="none" w:sz="0" w:space="0" w:color="auto"/>
        <w:right w:val="none" w:sz="0" w:space="0" w:color="auto"/>
      </w:divBdr>
    </w:div>
    <w:div w:id="1156798330">
      <w:bodyDiv w:val="1"/>
      <w:marLeft w:val="0"/>
      <w:marRight w:val="0"/>
      <w:marTop w:val="0"/>
      <w:marBottom w:val="0"/>
      <w:divBdr>
        <w:top w:val="none" w:sz="0" w:space="0" w:color="auto"/>
        <w:left w:val="none" w:sz="0" w:space="0" w:color="auto"/>
        <w:bottom w:val="none" w:sz="0" w:space="0" w:color="auto"/>
        <w:right w:val="none" w:sz="0" w:space="0" w:color="auto"/>
      </w:divBdr>
    </w:div>
    <w:div w:id="1157921714">
      <w:bodyDiv w:val="1"/>
      <w:marLeft w:val="0"/>
      <w:marRight w:val="0"/>
      <w:marTop w:val="0"/>
      <w:marBottom w:val="0"/>
      <w:divBdr>
        <w:top w:val="none" w:sz="0" w:space="0" w:color="auto"/>
        <w:left w:val="none" w:sz="0" w:space="0" w:color="auto"/>
        <w:bottom w:val="none" w:sz="0" w:space="0" w:color="auto"/>
        <w:right w:val="none" w:sz="0" w:space="0" w:color="auto"/>
      </w:divBdr>
    </w:div>
    <w:div w:id="1158494775">
      <w:bodyDiv w:val="1"/>
      <w:marLeft w:val="0"/>
      <w:marRight w:val="0"/>
      <w:marTop w:val="0"/>
      <w:marBottom w:val="0"/>
      <w:divBdr>
        <w:top w:val="none" w:sz="0" w:space="0" w:color="auto"/>
        <w:left w:val="none" w:sz="0" w:space="0" w:color="auto"/>
        <w:bottom w:val="none" w:sz="0" w:space="0" w:color="auto"/>
        <w:right w:val="none" w:sz="0" w:space="0" w:color="auto"/>
      </w:divBdr>
    </w:div>
    <w:div w:id="1159231775">
      <w:bodyDiv w:val="1"/>
      <w:marLeft w:val="0"/>
      <w:marRight w:val="0"/>
      <w:marTop w:val="0"/>
      <w:marBottom w:val="0"/>
      <w:divBdr>
        <w:top w:val="none" w:sz="0" w:space="0" w:color="auto"/>
        <w:left w:val="none" w:sz="0" w:space="0" w:color="auto"/>
        <w:bottom w:val="none" w:sz="0" w:space="0" w:color="auto"/>
        <w:right w:val="none" w:sz="0" w:space="0" w:color="auto"/>
      </w:divBdr>
    </w:div>
    <w:div w:id="1159268467">
      <w:bodyDiv w:val="1"/>
      <w:marLeft w:val="0"/>
      <w:marRight w:val="0"/>
      <w:marTop w:val="0"/>
      <w:marBottom w:val="0"/>
      <w:divBdr>
        <w:top w:val="none" w:sz="0" w:space="0" w:color="auto"/>
        <w:left w:val="none" w:sz="0" w:space="0" w:color="auto"/>
        <w:bottom w:val="none" w:sz="0" w:space="0" w:color="auto"/>
        <w:right w:val="none" w:sz="0" w:space="0" w:color="auto"/>
      </w:divBdr>
    </w:div>
    <w:div w:id="1159494662">
      <w:bodyDiv w:val="1"/>
      <w:marLeft w:val="0"/>
      <w:marRight w:val="0"/>
      <w:marTop w:val="0"/>
      <w:marBottom w:val="0"/>
      <w:divBdr>
        <w:top w:val="none" w:sz="0" w:space="0" w:color="auto"/>
        <w:left w:val="none" w:sz="0" w:space="0" w:color="auto"/>
        <w:bottom w:val="none" w:sz="0" w:space="0" w:color="auto"/>
        <w:right w:val="none" w:sz="0" w:space="0" w:color="auto"/>
      </w:divBdr>
    </w:div>
    <w:div w:id="1159685982">
      <w:bodyDiv w:val="1"/>
      <w:marLeft w:val="0"/>
      <w:marRight w:val="0"/>
      <w:marTop w:val="0"/>
      <w:marBottom w:val="0"/>
      <w:divBdr>
        <w:top w:val="none" w:sz="0" w:space="0" w:color="auto"/>
        <w:left w:val="none" w:sz="0" w:space="0" w:color="auto"/>
        <w:bottom w:val="none" w:sz="0" w:space="0" w:color="auto"/>
        <w:right w:val="none" w:sz="0" w:space="0" w:color="auto"/>
      </w:divBdr>
    </w:div>
    <w:div w:id="1161696290">
      <w:bodyDiv w:val="1"/>
      <w:marLeft w:val="0"/>
      <w:marRight w:val="0"/>
      <w:marTop w:val="0"/>
      <w:marBottom w:val="0"/>
      <w:divBdr>
        <w:top w:val="none" w:sz="0" w:space="0" w:color="auto"/>
        <w:left w:val="none" w:sz="0" w:space="0" w:color="auto"/>
        <w:bottom w:val="none" w:sz="0" w:space="0" w:color="auto"/>
        <w:right w:val="none" w:sz="0" w:space="0" w:color="auto"/>
      </w:divBdr>
    </w:div>
    <w:div w:id="1162090247">
      <w:bodyDiv w:val="1"/>
      <w:marLeft w:val="0"/>
      <w:marRight w:val="0"/>
      <w:marTop w:val="0"/>
      <w:marBottom w:val="0"/>
      <w:divBdr>
        <w:top w:val="none" w:sz="0" w:space="0" w:color="auto"/>
        <w:left w:val="none" w:sz="0" w:space="0" w:color="auto"/>
        <w:bottom w:val="none" w:sz="0" w:space="0" w:color="auto"/>
        <w:right w:val="none" w:sz="0" w:space="0" w:color="auto"/>
      </w:divBdr>
    </w:div>
    <w:div w:id="1162895353">
      <w:bodyDiv w:val="1"/>
      <w:marLeft w:val="0"/>
      <w:marRight w:val="0"/>
      <w:marTop w:val="0"/>
      <w:marBottom w:val="0"/>
      <w:divBdr>
        <w:top w:val="none" w:sz="0" w:space="0" w:color="auto"/>
        <w:left w:val="none" w:sz="0" w:space="0" w:color="auto"/>
        <w:bottom w:val="none" w:sz="0" w:space="0" w:color="auto"/>
        <w:right w:val="none" w:sz="0" w:space="0" w:color="auto"/>
      </w:divBdr>
    </w:div>
    <w:div w:id="1163010807">
      <w:bodyDiv w:val="1"/>
      <w:marLeft w:val="0"/>
      <w:marRight w:val="0"/>
      <w:marTop w:val="0"/>
      <w:marBottom w:val="0"/>
      <w:divBdr>
        <w:top w:val="none" w:sz="0" w:space="0" w:color="auto"/>
        <w:left w:val="none" w:sz="0" w:space="0" w:color="auto"/>
        <w:bottom w:val="none" w:sz="0" w:space="0" w:color="auto"/>
        <w:right w:val="none" w:sz="0" w:space="0" w:color="auto"/>
      </w:divBdr>
    </w:div>
    <w:div w:id="1164010428">
      <w:bodyDiv w:val="1"/>
      <w:marLeft w:val="0"/>
      <w:marRight w:val="0"/>
      <w:marTop w:val="0"/>
      <w:marBottom w:val="0"/>
      <w:divBdr>
        <w:top w:val="none" w:sz="0" w:space="0" w:color="auto"/>
        <w:left w:val="none" w:sz="0" w:space="0" w:color="auto"/>
        <w:bottom w:val="none" w:sz="0" w:space="0" w:color="auto"/>
        <w:right w:val="none" w:sz="0" w:space="0" w:color="auto"/>
      </w:divBdr>
    </w:div>
    <w:div w:id="1164973486">
      <w:bodyDiv w:val="1"/>
      <w:marLeft w:val="0"/>
      <w:marRight w:val="0"/>
      <w:marTop w:val="0"/>
      <w:marBottom w:val="0"/>
      <w:divBdr>
        <w:top w:val="none" w:sz="0" w:space="0" w:color="auto"/>
        <w:left w:val="none" w:sz="0" w:space="0" w:color="auto"/>
        <w:bottom w:val="none" w:sz="0" w:space="0" w:color="auto"/>
        <w:right w:val="none" w:sz="0" w:space="0" w:color="auto"/>
      </w:divBdr>
    </w:div>
    <w:div w:id="1166046422">
      <w:bodyDiv w:val="1"/>
      <w:marLeft w:val="0"/>
      <w:marRight w:val="0"/>
      <w:marTop w:val="0"/>
      <w:marBottom w:val="0"/>
      <w:divBdr>
        <w:top w:val="none" w:sz="0" w:space="0" w:color="auto"/>
        <w:left w:val="none" w:sz="0" w:space="0" w:color="auto"/>
        <w:bottom w:val="none" w:sz="0" w:space="0" w:color="auto"/>
        <w:right w:val="none" w:sz="0" w:space="0" w:color="auto"/>
      </w:divBdr>
    </w:div>
    <w:div w:id="1167745863">
      <w:bodyDiv w:val="1"/>
      <w:marLeft w:val="0"/>
      <w:marRight w:val="0"/>
      <w:marTop w:val="0"/>
      <w:marBottom w:val="0"/>
      <w:divBdr>
        <w:top w:val="none" w:sz="0" w:space="0" w:color="auto"/>
        <w:left w:val="none" w:sz="0" w:space="0" w:color="auto"/>
        <w:bottom w:val="none" w:sz="0" w:space="0" w:color="auto"/>
        <w:right w:val="none" w:sz="0" w:space="0" w:color="auto"/>
      </w:divBdr>
    </w:div>
    <w:div w:id="1168670129">
      <w:bodyDiv w:val="1"/>
      <w:marLeft w:val="0"/>
      <w:marRight w:val="0"/>
      <w:marTop w:val="0"/>
      <w:marBottom w:val="0"/>
      <w:divBdr>
        <w:top w:val="none" w:sz="0" w:space="0" w:color="auto"/>
        <w:left w:val="none" w:sz="0" w:space="0" w:color="auto"/>
        <w:bottom w:val="none" w:sz="0" w:space="0" w:color="auto"/>
        <w:right w:val="none" w:sz="0" w:space="0" w:color="auto"/>
      </w:divBdr>
    </w:div>
    <w:div w:id="1169054311">
      <w:bodyDiv w:val="1"/>
      <w:marLeft w:val="0"/>
      <w:marRight w:val="0"/>
      <w:marTop w:val="0"/>
      <w:marBottom w:val="0"/>
      <w:divBdr>
        <w:top w:val="none" w:sz="0" w:space="0" w:color="auto"/>
        <w:left w:val="none" w:sz="0" w:space="0" w:color="auto"/>
        <w:bottom w:val="none" w:sz="0" w:space="0" w:color="auto"/>
        <w:right w:val="none" w:sz="0" w:space="0" w:color="auto"/>
      </w:divBdr>
    </w:div>
    <w:div w:id="1169297878">
      <w:bodyDiv w:val="1"/>
      <w:marLeft w:val="0"/>
      <w:marRight w:val="0"/>
      <w:marTop w:val="0"/>
      <w:marBottom w:val="0"/>
      <w:divBdr>
        <w:top w:val="none" w:sz="0" w:space="0" w:color="auto"/>
        <w:left w:val="none" w:sz="0" w:space="0" w:color="auto"/>
        <w:bottom w:val="none" w:sz="0" w:space="0" w:color="auto"/>
        <w:right w:val="none" w:sz="0" w:space="0" w:color="auto"/>
      </w:divBdr>
    </w:div>
    <w:div w:id="1169826883">
      <w:bodyDiv w:val="1"/>
      <w:marLeft w:val="0"/>
      <w:marRight w:val="0"/>
      <w:marTop w:val="0"/>
      <w:marBottom w:val="0"/>
      <w:divBdr>
        <w:top w:val="none" w:sz="0" w:space="0" w:color="auto"/>
        <w:left w:val="none" w:sz="0" w:space="0" w:color="auto"/>
        <w:bottom w:val="none" w:sz="0" w:space="0" w:color="auto"/>
        <w:right w:val="none" w:sz="0" w:space="0" w:color="auto"/>
      </w:divBdr>
    </w:div>
    <w:div w:id="1169834591">
      <w:bodyDiv w:val="1"/>
      <w:marLeft w:val="0"/>
      <w:marRight w:val="0"/>
      <w:marTop w:val="0"/>
      <w:marBottom w:val="0"/>
      <w:divBdr>
        <w:top w:val="none" w:sz="0" w:space="0" w:color="auto"/>
        <w:left w:val="none" w:sz="0" w:space="0" w:color="auto"/>
        <w:bottom w:val="none" w:sz="0" w:space="0" w:color="auto"/>
        <w:right w:val="none" w:sz="0" w:space="0" w:color="auto"/>
      </w:divBdr>
    </w:div>
    <w:div w:id="1170289294">
      <w:bodyDiv w:val="1"/>
      <w:marLeft w:val="0"/>
      <w:marRight w:val="0"/>
      <w:marTop w:val="0"/>
      <w:marBottom w:val="0"/>
      <w:divBdr>
        <w:top w:val="none" w:sz="0" w:space="0" w:color="auto"/>
        <w:left w:val="none" w:sz="0" w:space="0" w:color="auto"/>
        <w:bottom w:val="none" w:sz="0" w:space="0" w:color="auto"/>
        <w:right w:val="none" w:sz="0" w:space="0" w:color="auto"/>
      </w:divBdr>
    </w:div>
    <w:div w:id="1170481575">
      <w:bodyDiv w:val="1"/>
      <w:marLeft w:val="0"/>
      <w:marRight w:val="0"/>
      <w:marTop w:val="0"/>
      <w:marBottom w:val="0"/>
      <w:divBdr>
        <w:top w:val="none" w:sz="0" w:space="0" w:color="auto"/>
        <w:left w:val="none" w:sz="0" w:space="0" w:color="auto"/>
        <w:bottom w:val="none" w:sz="0" w:space="0" w:color="auto"/>
        <w:right w:val="none" w:sz="0" w:space="0" w:color="auto"/>
      </w:divBdr>
    </w:div>
    <w:div w:id="1170945848">
      <w:bodyDiv w:val="1"/>
      <w:marLeft w:val="0"/>
      <w:marRight w:val="0"/>
      <w:marTop w:val="0"/>
      <w:marBottom w:val="0"/>
      <w:divBdr>
        <w:top w:val="none" w:sz="0" w:space="0" w:color="auto"/>
        <w:left w:val="none" w:sz="0" w:space="0" w:color="auto"/>
        <w:bottom w:val="none" w:sz="0" w:space="0" w:color="auto"/>
        <w:right w:val="none" w:sz="0" w:space="0" w:color="auto"/>
      </w:divBdr>
      <w:divsChild>
        <w:div w:id="873232898">
          <w:marLeft w:val="0"/>
          <w:marRight w:val="0"/>
          <w:marTop w:val="0"/>
          <w:marBottom w:val="0"/>
          <w:divBdr>
            <w:top w:val="none" w:sz="0" w:space="0" w:color="auto"/>
            <w:left w:val="none" w:sz="0" w:space="0" w:color="auto"/>
            <w:bottom w:val="none" w:sz="0" w:space="0" w:color="auto"/>
            <w:right w:val="none" w:sz="0" w:space="0" w:color="auto"/>
          </w:divBdr>
        </w:div>
        <w:div w:id="964459577">
          <w:marLeft w:val="0"/>
          <w:marRight w:val="0"/>
          <w:marTop w:val="0"/>
          <w:marBottom w:val="0"/>
          <w:divBdr>
            <w:top w:val="none" w:sz="0" w:space="0" w:color="auto"/>
            <w:left w:val="none" w:sz="0" w:space="0" w:color="auto"/>
            <w:bottom w:val="none" w:sz="0" w:space="0" w:color="auto"/>
            <w:right w:val="none" w:sz="0" w:space="0" w:color="auto"/>
          </w:divBdr>
        </w:div>
      </w:divsChild>
    </w:div>
    <w:div w:id="1171414828">
      <w:bodyDiv w:val="1"/>
      <w:marLeft w:val="0"/>
      <w:marRight w:val="0"/>
      <w:marTop w:val="0"/>
      <w:marBottom w:val="0"/>
      <w:divBdr>
        <w:top w:val="none" w:sz="0" w:space="0" w:color="auto"/>
        <w:left w:val="none" w:sz="0" w:space="0" w:color="auto"/>
        <w:bottom w:val="none" w:sz="0" w:space="0" w:color="auto"/>
        <w:right w:val="none" w:sz="0" w:space="0" w:color="auto"/>
      </w:divBdr>
    </w:div>
    <w:div w:id="1171529845">
      <w:bodyDiv w:val="1"/>
      <w:marLeft w:val="0"/>
      <w:marRight w:val="0"/>
      <w:marTop w:val="0"/>
      <w:marBottom w:val="0"/>
      <w:divBdr>
        <w:top w:val="none" w:sz="0" w:space="0" w:color="auto"/>
        <w:left w:val="none" w:sz="0" w:space="0" w:color="auto"/>
        <w:bottom w:val="none" w:sz="0" w:space="0" w:color="auto"/>
        <w:right w:val="none" w:sz="0" w:space="0" w:color="auto"/>
      </w:divBdr>
    </w:div>
    <w:div w:id="1172767229">
      <w:bodyDiv w:val="1"/>
      <w:marLeft w:val="0"/>
      <w:marRight w:val="0"/>
      <w:marTop w:val="0"/>
      <w:marBottom w:val="0"/>
      <w:divBdr>
        <w:top w:val="none" w:sz="0" w:space="0" w:color="auto"/>
        <w:left w:val="none" w:sz="0" w:space="0" w:color="auto"/>
        <w:bottom w:val="none" w:sz="0" w:space="0" w:color="auto"/>
        <w:right w:val="none" w:sz="0" w:space="0" w:color="auto"/>
      </w:divBdr>
    </w:div>
    <w:div w:id="1173452973">
      <w:bodyDiv w:val="1"/>
      <w:marLeft w:val="0"/>
      <w:marRight w:val="0"/>
      <w:marTop w:val="0"/>
      <w:marBottom w:val="0"/>
      <w:divBdr>
        <w:top w:val="none" w:sz="0" w:space="0" w:color="auto"/>
        <w:left w:val="none" w:sz="0" w:space="0" w:color="auto"/>
        <w:bottom w:val="none" w:sz="0" w:space="0" w:color="auto"/>
        <w:right w:val="none" w:sz="0" w:space="0" w:color="auto"/>
      </w:divBdr>
    </w:div>
    <w:div w:id="1173497890">
      <w:bodyDiv w:val="1"/>
      <w:marLeft w:val="0"/>
      <w:marRight w:val="0"/>
      <w:marTop w:val="0"/>
      <w:marBottom w:val="0"/>
      <w:divBdr>
        <w:top w:val="none" w:sz="0" w:space="0" w:color="auto"/>
        <w:left w:val="none" w:sz="0" w:space="0" w:color="auto"/>
        <w:bottom w:val="none" w:sz="0" w:space="0" w:color="auto"/>
        <w:right w:val="none" w:sz="0" w:space="0" w:color="auto"/>
      </w:divBdr>
    </w:div>
    <w:div w:id="1173567325">
      <w:bodyDiv w:val="1"/>
      <w:marLeft w:val="0"/>
      <w:marRight w:val="0"/>
      <w:marTop w:val="0"/>
      <w:marBottom w:val="0"/>
      <w:divBdr>
        <w:top w:val="none" w:sz="0" w:space="0" w:color="auto"/>
        <w:left w:val="none" w:sz="0" w:space="0" w:color="auto"/>
        <w:bottom w:val="none" w:sz="0" w:space="0" w:color="auto"/>
        <w:right w:val="none" w:sz="0" w:space="0" w:color="auto"/>
      </w:divBdr>
    </w:div>
    <w:div w:id="1173647362">
      <w:bodyDiv w:val="1"/>
      <w:marLeft w:val="0"/>
      <w:marRight w:val="0"/>
      <w:marTop w:val="0"/>
      <w:marBottom w:val="0"/>
      <w:divBdr>
        <w:top w:val="none" w:sz="0" w:space="0" w:color="auto"/>
        <w:left w:val="none" w:sz="0" w:space="0" w:color="auto"/>
        <w:bottom w:val="none" w:sz="0" w:space="0" w:color="auto"/>
        <w:right w:val="none" w:sz="0" w:space="0" w:color="auto"/>
      </w:divBdr>
    </w:div>
    <w:div w:id="1173715516">
      <w:bodyDiv w:val="1"/>
      <w:marLeft w:val="0"/>
      <w:marRight w:val="0"/>
      <w:marTop w:val="0"/>
      <w:marBottom w:val="0"/>
      <w:divBdr>
        <w:top w:val="none" w:sz="0" w:space="0" w:color="auto"/>
        <w:left w:val="none" w:sz="0" w:space="0" w:color="auto"/>
        <w:bottom w:val="none" w:sz="0" w:space="0" w:color="auto"/>
        <w:right w:val="none" w:sz="0" w:space="0" w:color="auto"/>
      </w:divBdr>
    </w:div>
    <w:div w:id="1173716099">
      <w:bodyDiv w:val="1"/>
      <w:marLeft w:val="0"/>
      <w:marRight w:val="0"/>
      <w:marTop w:val="0"/>
      <w:marBottom w:val="0"/>
      <w:divBdr>
        <w:top w:val="none" w:sz="0" w:space="0" w:color="auto"/>
        <w:left w:val="none" w:sz="0" w:space="0" w:color="auto"/>
        <w:bottom w:val="none" w:sz="0" w:space="0" w:color="auto"/>
        <w:right w:val="none" w:sz="0" w:space="0" w:color="auto"/>
      </w:divBdr>
    </w:div>
    <w:div w:id="1174026319">
      <w:bodyDiv w:val="1"/>
      <w:marLeft w:val="0"/>
      <w:marRight w:val="0"/>
      <w:marTop w:val="0"/>
      <w:marBottom w:val="0"/>
      <w:divBdr>
        <w:top w:val="none" w:sz="0" w:space="0" w:color="auto"/>
        <w:left w:val="none" w:sz="0" w:space="0" w:color="auto"/>
        <w:bottom w:val="none" w:sz="0" w:space="0" w:color="auto"/>
        <w:right w:val="none" w:sz="0" w:space="0" w:color="auto"/>
      </w:divBdr>
      <w:divsChild>
        <w:div w:id="1202590659">
          <w:marLeft w:val="0"/>
          <w:marRight w:val="0"/>
          <w:marTop w:val="0"/>
          <w:marBottom w:val="0"/>
          <w:divBdr>
            <w:top w:val="none" w:sz="0" w:space="0" w:color="auto"/>
            <w:left w:val="none" w:sz="0" w:space="0" w:color="auto"/>
            <w:bottom w:val="none" w:sz="0" w:space="0" w:color="auto"/>
            <w:right w:val="none" w:sz="0" w:space="0" w:color="auto"/>
          </w:divBdr>
        </w:div>
        <w:div w:id="1069310874">
          <w:marLeft w:val="0"/>
          <w:marRight w:val="0"/>
          <w:marTop w:val="0"/>
          <w:marBottom w:val="0"/>
          <w:divBdr>
            <w:top w:val="none" w:sz="0" w:space="0" w:color="auto"/>
            <w:left w:val="none" w:sz="0" w:space="0" w:color="auto"/>
            <w:bottom w:val="none" w:sz="0" w:space="0" w:color="auto"/>
            <w:right w:val="none" w:sz="0" w:space="0" w:color="auto"/>
          </w:divBdr>
        </w:div>
        <w:div w:id="1073619623">
          <w:marLeft w:val="0"/>
          <w:marRight w:val="0"/>
          <w:marTop w:val="0"/>
          <w:marBottom w:val="0"/>
          <w:divBdr>
            <w:top w:val="none" w:sz="0" w:space="0" w:color="auto"/>
            <w:left w:val="none" w:sz="0" w:space="0" w:color="auto"/>
            <w:bottom w:val="none" w:sz="0" w:space="0" w:color="auto"/>
            <w:right w:val="none" w:sz="0" w:space="0" w:color="auto"/>
          </w:divBdr>
        </w:div>
        <w:div w:id="1962613014">
          <w:marLeft w:val="0"/>
          <w:marRight w:val="0"/>
          <w:marTop w:val="0"/>
          <w:marBottom w:val="0"/>
          <w:divBdr>
            <w:top w:val="none" w:sz="0" w:space="0" w:color="auto"/>
            <w:left w:val="none" w:sz="0" w:space="0" w:color="auto"/>
            <w:bottom w:val="none" w:sz="0" w:space="0" w:color="auto"/>
            <w:right w:val="none" w:sz="0" w:space="0" w:color="auto"/>
          </w:divBdr>
        </w:div>
        <w:div w:id="1818493901">
          <w:marLeft w:val="0"/>
          <w:marRight w:val="0"/>
          <w:marTop w:val="0"/>
          <w:marBottom w:val="0"/>
          <w:divBdr>
            <w:top w:val="none" w:sz="0" w:space="0" w:color="auto"/>
            <w:left w:val="none" w:sz="0" w:space="0" w:color="auto"/>
            <w:bottom w:val="none" w:sz="0" w:space="0" w:color="auto"/>
            <w:right w:val="none" w:sz="0" w:space="0" w:color="auto"/>
          </w:divBdr>
        </w:div>
        <w:div w:id="1463772905">
          <w:marLeft w:val="0"/>
          <w:marRight w:val="0"/>
          <w:marTop w:val="0"/>
          <w:marBottom w:val="0"/>
          <w:divBdr>
            <w:top w:val="none" w:sz="0" w:space="0" w:color="auto"/>
            <w:left w:val="none" w:sz="0" w:space="0" w:color="auto"/>
            <w:bottom w:val="none" w:sz="0" w:space="0" w:color="auto"/>
            <w:right w:val="none" w:sz="0" w:space="0" w:color="auto"/>
          </w:divBdr>
        </w:div>
        <w:div w:id="344290974">
          <w:marLeft w:val="0"/>
          <w:marRight w:val="0"/>
          <w:marTop w:val="0"/>
          <w:marBottom w:val="0"/>
          <w:divBdr>
            <w:top w:val="none" w:sz="0" w:space="0" w:color="auto"/>
            <w:left w:val="none" w:sz="0" w:space="0" w:color="auto"/>
            <w:bottom w:val="none" w:sz="0" w:space="0" w:color="auto"/>
            <w:right w:val="none" w:sz="0" w:space="0" w:color="auto"/>
          </w:divBdr>
        </w:div>
      </w:divsChild>
    </w:div>
    <w:div w:id="1174615256">
      <w:bodyDiv w:val="1"/>
      <w:marLeft w:val="0"/>
      <w:marRight w:val="0"/>
      <w:marTop w:val="0"/>
      <w:marBottom w:val="0"/>
      <w:divBdr>
        <w:top w:val="none" w:sz="0" w:space="0" w:color="auto"/>
        <w:left w:val="none" w:sz="0" w:space="0" w:color="auto"/>
        <w:bottom w:val="none" w:sz="0" w:space="0" w:color="auto"/>
        <w:right w:val="none" w:sz="0" w:space="0" w:color="auto"/>
      </w:divBdr>
    </w:div>
    <w:div w:id="1175071894">
      <w:bodyDiv w:val="1"/>
      <w:marLeft w:val="0"/>
      <w:marRight w:val="0"/>
      <w:marTop w:val="0"/>
      <w:marBottom w:val="0"/>
      <w:divBdr>
        <w:top w:val="none" w:sz="0" w:space="0" w:color="auto"/>
        <w:left w:val="none" w:sz="0" w:space="0" w:color="auto"/>
        <w:bottom w:val="none" w:sz="0" w:space="0" w:color="auto"/>
        <w:right w:val="none" w:sz="0" w:space="0" w:color="auto"/>
      </w:divBdr>
    </w:div>
    <w:div w:id="1175195372">
      <w:bodyDiv w:val="1"/>
      <w:marLeft w:val="0"/>
      <w:marRight w:val="0"/>
      <w:marTop w:val="0"/>
      <w:marBottom w:val="0"/>
      <w:divBdr>
        <w:top w:val="none" w:sz="0" w:space="0" w:color="auto"/>
        <w:left w:val="none" w:sz="0" w:space="0" w:color="auto"/>
        <w:bottom w:val="none" w:sz="0" w:space="0" w:color="auto"/>
        <w:right w:val="none" w:sz="0" w:space="0" w:color="auto"/>
      </w:divBdr>
    </w:div>
    <w:div w:id="1175996413">
      <w:bodyDiv w:val="1"/>
      <w:marLeft w:val="0"/>
      <w:marRight w:val="0"/>
      <w:marTop w:val="0"/>
      <w:marBottom w:val="0"/>
      <w:divBdr>
        <w:top w:val="none" w:sz="0" w:space="0" w:color="auto"/>
        <w:left w:val="none" w:sz="0" w:space="0" w:color="auto"/>
        <w:bottom w:val="none" w:sz="0" w:space="0" w:color="auto"/>
        <w:right w:val="none" w:sz="0" w:space="0" w:color="auto"/>
      </w:divBdr>
    </w:div>
    <w:div w:id="1176842304">
      <w:bodyDiv w:val="1"/>
      <w:marLeft w:val="0"/>
      <w:marRight w:val="0"/>
      <w:marTop w:val="0"/>
      <w:marBottom w:val="0"/>
      <w:divBdr>
        <w:top w:val="none" w:sz="0" w:space="0" w:color="auto"/>
        <w:left w:val="none" w:sz="0" w:space="0" w:color="auto"/>
        <w:bottom w:val="none" w:sz="0" w:space="0" w:color="auto"/>
        <w:right w:val="none" w:sz="0" w:space="0" w:color="auto"/>
      </w:divBdr>
    </w:div>
    <w:div w:id="1176846399">
      <w:bodyDiv w:val="1"/>
      <w:marLeft w:val="0"/>
      <w:marRight w:val="0"/>
      <w:marTop w:val="0"/>
      <w:marBottom w:val="0"/>
      <w:divBdr>
        <w:top w:val="none" w:sz="0" w:space="0" w:color="auto"/>
        <w:left w:val="none" w:sz="0" w:space="0" w:color="auto"/>
        <w:bottom w:val="none" w:sz="0" w:space="0" w:color="auto"/>
        <w:right w:val="none" w:sz="0" w:space="0" w:color="auto"/>
      </w:divBdr>
    </w:div>
    <w:div w:id="1177114451">
      <w:bodyDiv w:val="1"/>
      <w:marLeft w:val="0"/>
      <w:marRight w:val="0"/>
      <w:marTop w:val="0"/>
      <w:marBottom w:val="0"/>
      <w:divBdr>
        <w:top w:val="none" w:sz="0" w:space="0" w:color="auto"/>
        <w:left w:val="none" w:sz="0" w:space="0" w:color="auto"/>
        <w:bottom w:val="none" w:sz="0" w:space="0" w:color="auto"/>
        <w:right w:val="none" w:sz="0" w:space="0" w:color="auto"/>
      </w:divBdr>
    </w:div>
    <w:div w:id="1178957717">
      <w:bodyDiv w:val="1"/>
      <w:marLeft w:val="0"/>
      <w:marRight w:val="0"/>
      <w:marTop w:val="0"/>
      <w:marBottom w:val="0"/>
      <w:divBdr>
        <w:top w:val="none" w:sz="0" w:space="0" w:color="auto"/>
        <w:left w:val="none" w:sz="0" w:space="0" w:color="auto"/>
        <w:bottom w:val="none" w:sz="0" w:space="0" w:color="auto"/>
        <w:right w:val="none" w:sz="0" w:space="0" w:color="auto"/>
      </w:divBdr>
    </w:div>
    <w:div w:id="1179195696">
      <w:bodyDiv w:val="1"/>
      <w:marLeft w:val="0"/>
      <w:marRight w:val="0"/>
      <w:marTop w:val="0"/>
      <w:marBottom w:val="0"/>
      <w:divBdr>
        <w:top w:val="none" w:sz="0" w:space="0" w:color="auto"/>
        <w:left w:val="none" w:sz="0" w:space="0" w:color="auto"/>
        <w:bottom w:val="none" w:sz="0" w:space="0" w:color="auto"/>
        <w:right w:val="none" w:sz="0" w:space="0" w:color="auto"/>
      </w:divBdr>
    </w:div>
    <w:div w:id="1179927995">
      <w:bodyDiv w:val="1"/>
      <w:marLeft w:val="0"/>
      <w:marRight w:val="0"/>
      <w:marTop w:val="0"/>
      <w:marBottom w:val="0"/>
      <w:divBdr>
        <w:top w:val="none" w:sz="0" w:space="0" w:color="auto"/>
        <w:left w:val="none" w:sz="0" w:space="0" w:color="auto"/>
        <w:bottom w:val="none" w:sz="0" w:space="0" w:color="auto"/>
        <w:right w:val="none" w:sz="0" w:space="0" w:color="auto"/>
      </w:divBdr>
    </w:div>
    <w:div w:id="1180655658">
      <w:bodyDiv w:val="1"/>
      <w:marLeft w:val="0"/>
      <w:marRight w:val="0"/>
      <w:marTop w:val="0"/>
      <w:marBottom w:val="0"/>
      <w:divBdr>
        <w:top w:val="none" w:sz="0" w:space="0" w:color="auto"/>
        <w:left w:val="none" w:sz="0" w:space="0" w:color="auto"/>
        <w:bottom w:val="none" w:sz="0" w:space="0" w:color="auto"/>
        <w:right w:val="none" w:sz="0" w:space="0" w:color="auto"/>
      </w:divBdr>
    </w:div>
    <w:div w:id="1180974710">
      <w:bodyDiv w:val="1"/>
      <w:marLeft w:val="0"/>
      <w:marRight w:val="0"/>
      <w:marTop w:val="0"/>
      <w:marBottom w:val="0"/>
      <w:divBdr>
        <w:top w:val="none" w:sz="0" w:space="0" w:color="auto"/>
        <w:left w:val="none" w:sz="0" w:space="0" w:color="auto"/>
        <w:bottom w:val="none" w:sz="0" w:space="0" w:color="auto"/>
        <w:right w:val="none" w:sz="0" w:space="0" w:color="auto"/>
      </w:divBdr>
    </w:div>
    <w:div w:id="1181553744">
      <w:bodyDiv w:val="1"/>
      <w:marLeft w:val="0"/>
      <w:marRight w:val="0"/>
      <w:marTop w:val="0"/>
      <w:marBottom w:val="0"/>
      <w:divBdr>
        <w:top w:val="none" w:sz="0" w:space="0" w:color="auto"/>
        <w:left w:val="none" w:sz="0" w:space="0" w:color="auto"/>
        <w:bottom w:val="none" w:sz="0" w:space="0" w:color="auto"/>
        <w:right w:val="none" w:sz="0" w:space="0" w:color="auto"/>
      </w:divBdr>
    </w:div>
    <w:div w:id="1183515519">
      <w:bodyDiv w:val="1"/>
      <w:marLeft w:val="0"/>
      <w:marRight w:val="0"/>
      <w:marTop w:val="0"/>
      <w:marBottom w:val="0"/>
      <w:divBdr>
        <w:top w:val="none" w:sz="0" w:space="0" w:color="auto"/>
        <w:left w:val="none" w:sz="0" w:space="0" w:color="auto"/>
        <w:bottom w:val="none" w:sz="0" w:space="0" w:color="auto"/>
        <w:right w:val="none" w:sz="0" w:space="0" w:color="auto"/>
      </w:divBdr>
    </w:div>
    <w:div w:id="1183741044">
      <w:bodyDiv w:val="1"/>
      <w:marLeft w:val="0"/>
      <w:marRight w:val="0"/>
      <w:marTop w:val="0"/>
      <w:marBottom w:val="0"/>
      <w:divBdr>
        <w:top w:val="none" w:sz="0" w:space="0" w:color="auto"/>
        <w:left w:val="none" w:sz="0" w:space="0" w:color="auto"/>
        <w:bottom w:val="none" w:sz="0" w:space="0" w:color="auto"/>
        <w:right w:val="none" w:sz="0" w:space="0" w:color="auto"/>
      </w:divBdr>
    </w:div>
    <w:div w:id="1183979508">
      <w:bodyDiv w:val="1"/>
      <w:marLeft w:val="0"/>
      <w:marRight w:val="0"/>
      <w:marTop w:val="0"/>
      <w:marBottom w:val="0"/>
      <w:divBdr>
        <w:top w:val="none" w:sz="0" w:space="0" w:color="auto"/>
        <w:left w:val="none" w:sz="0" w:space="0" w:color="auto"/>
        <w:bottom w:val="none" w:sz="0" w:space="0" w:color="auto"/>
        <w:right w:val="none" w:sz="0" w:space="0" w:color="auto"/>
      </w:divBdr>
    </w:div>
    <w:div w:id="1184055230">
      <w:bodyDiv w:val="1"/>
      <w:marLeft w:val="0"/>
      <w:marRight w:val="0"/>
      <w:marTop w:val="0"/>
      <w:marBottom w:val="0"/>
      <w:divBdr>
        <w:top w:val="none" w:sz="0" w:space="0" w:color="auto"/>
        <w:left w:val="none" w:sz="0" w:space="0" w:color="auto"/>
        <w:bottom w:val="none" w:sz="0" w:space="0" w:color="auto"/>
        <w:right w:val="none" w:sz="0" w:space="0" w:color="auto"/>
      </w:divBdr>
    </w:div>
    <w:div w:id="1184588588">
      <w:bodyDiv w:val="1"/>
      <w:marLeft w:val="0"/>
      <w:marRight w:val="0"/>
      <w:marTop w:val="0"/>
      <w:marBottom w:val="0"/>
      <w:divBdr>
        <w:top w:val="none" w:sz="0" w:space="0" w:color="auto"/>
        <w:left w:val="none" w:sz="0" w:space="0" w:color="auto"/>
        <w:bottom w:val="none" w:sz="0" w:space="0" w:color="auto"/>
        <w:right w:val="none" w:sz="0" w:space="0" w:color="auto"/>
      </w:divBdr>
    </w:div>
    <w:div w:id="1185438225">
      <w:bodyDiv w:val="1"/>
      <w:marLeft w:val="0"/>
      <w:marRight w:val="0"/>
      <w:marTop w:val="0"/>
      <w:marBottom w:val="0"/>
      <w:divBdr>
        <w:top w:val="none" w:sz="0" w:space="0" w:color="auto"/>
        <w:left w:val="none" w:sz="0" w:space="0" w:color="auto"/>
        <w:bottom w:val="none" w:sz="0" w:space="0" w:color="auto"/>
        <w:right w:val="none" w:sz="0" w:space="0" w:color="auto"/>
      </w:divBdr>
    </w:div>
    <w:div w:id="1185824063">
      <w:bodyDiv w:val="1"/>
      <w:marLeft w:val="0"/>
      <w:marRight w:val="0"/>
      <w:marTop w:val="0"/>
      <w:marBottom w:val="0"/>
      <w:divBdr>
        <w:top w:val="none" w:sz="0" w:space="0" w:color="auto"/>
        <w:left w:val="none" w:sz="0" w:space="0" w:color="auto"/>
        <w:bottom w:val="none" w:sz="0" w:space="0" w:color="auto"/>
        <w:right w:val="none" w:sz="0" w:space="0" w:color="auto"/>
      </w:divBdr>
    </w:div>
    <w:div w:id="1186283031">
      <w:bodyDiv w:val="1"/>
      <w:marLeft w:val="0"/>
      <w:marRight w:val="0"/>
      <w:marTop w:val="0"/>
      <w:marBottom w:val="0"/>
      <w:divBdr>
        <w:top w:val="none" w:sz="0" w:space="0" w:color="auto"/>
        <w:left w:val="none" w:sz="0" w:space="0" w:color="auto"/>
        <w:bottom w:val="none" w:sz="0" w:space="0" w:color="auto"/>
        <w:right w:val="none" w:sz="0" w:space="0" w:color="auto"/>
      </w:divBdr>
    </w:div>
    <w:div w:id="1187602371">
      <w:bodyDiv w:val="1"/>
      <w:marLeft w:val="0"/>
      <w:marRight w:val="0"/>
      <w:marTop w:val="0"/>
      <w:marBottom w:val="0"/>
      <w:divBdr>
        <w:top w:val="none" w:sz="0" w:space="0" w:color="auto"/>
        <w:left w:val="none" w:sz="0" w:space="0" w:color="auto"/>
        <w:bottom w:val="none" w:sz="0" w:space="0" w:color="auto"/>
        <w:right w:val="none" w:sz="0" w:space="0" w:color="auto"/>
      </w:divBdr>
    </w:div>
    <w:div w:id="1187791953">
      <w:bodyDiv w:val="1"/>
      <w:marLeft w:val="0"/>
      <w:marRight w:val="0"/>
      <w:marTop w:val="0"/>
      <w:marBottom w:val="0"/>
      <w:divBdr>
        <w:top w:val="none" w:sz="0" w:space="0" w:color="auto"/>
        <w:left w:val="none" w:sz="0" w:space="0" w:color="auto"/>
        <w:bottom w:val="none" w:sz="0" w:space="0" w:color="auto"/>
        <w:right w:val="none" w:sz="0" w:space="0" w:color="auto"/>
      </w:divBdr>
    </w:div>
    <w:div w:id="1188451475">
      <w:bodyDiv w:val="1"/>
      <w:marLeft w:val="0"/>
      <w:marRight w:val="0"/>
      <w:marTop w:val="0"/>
      <w:marBottom w:val="0"/>
      <w:divBdr>
        <w:top w:val="none" w:sz="0" w:space="0" w:color="auto"/>
        <w:left w:val="none" w:sz="0" w:space="0" w:color="auto"/>
        <w:bottom w:val="none" w:sz="0" w:space="0" w:color="auto"/>
        <w:right w:val="none" w:sz="0" w:space="0" w:color="auto"/>
      </w:divBdr>
    </w:div>
    <w:div w:id="1190146090">
      <w:bodyDiv w:val="1"/>
      <w:marLeft w:val="0"/>
      <w:marRight w:val="0"/>
      <w:marTop w:val="0"/>
      <w:marBottom w:val="0"/>
      <w:divBdr>
        <w:top w:val="none" w:sz="0" w:space="0" w:color="auto"/>
        <w:left w:val="none" w:sz="0" w:space="0" w:color="auto"/>
        <w:bottom w:val="none" w:sz="0" w:space="0" w:color="auto"/>
        <w:right w:val="none" w:sz="0" w:space="0" w:color="auto"/>
      </w:divBdr>
    </w:div>
    <w:div w:id="1190535004">
      <w:bodyDiv w:val="1"/>
      <w:marLeft w:val="0"/>
      <w:marRight w:val="0"/>
      <w:marTop w:val="0"/>
      <w:marBottom w:val="0"/>
      <w:divBdr>
        <w:top w:val="none" w:sz="0" w:space="0" w:color="auto"/>
        <w:left w:val="none" w:sz="0" w:space="0" w:color="auto"/>
        <w:bottom w:val="none" w:sz="0" w:space="0" w:color="auto"/>
        <w:right w:val="none" w:sz="0" w:space="0" w:color="auto"/>
      </w:divBdr>
    </w:div>
    <w:div w:id="1191143764">
      <w:bodyDiv w:val="1"/>
      <w:marLeft w:val="0"/>
      <w:marRight w:val="0"/>
      <w:marTop w:val="0"/>
      <w:marBottom w:val="0"/>
      <w:divBdr>
        <w:top w:val="none" w:sz="0" w:space="0" w:color="auto"/>
        <w:left w:val="none" w:sz="0" w:space="0" w:color="auto"/>
        <w:bottom w:val="none" w:sz="0" w:space="0" w:color="auto"/>
        <w:right w:val="none" w:sz="0" w:space="0" w:color="auto"/>
      </w:divBdr>
    </w:div>
    <w:div w:id="1191259503">
      <w:bodyDiv w:val="1"/>
      <w:marLeft w:val="0"/>
      <w:marRight w:val="0"/>
      <w:marTop w:val="0"/>
      <w:marBottom w:val="0"/>
      <w:divBdr>
        <w:top w:val="none" w:sz="0" w:space="0" w:color="auto"/>
        <w:left w:val="none" w:sz="0" w:space="0" w:color="auto"/>
        <w:bottom w:val="none" w:sz="0" w:space="0" w:color="auto"/>
        <w:right w:val="none" w:sz="0" w:space="0" w:color="auto"/>
      </w:divBdr>
    </w:div>
    <w:div w:id="1191646580">
      <w:bodyDiv w:val="1"/>
      <w:marLeft w:val="0"/>
      <w:marRight w:val="0"/>
      <w:marTop w:val="0"/>
      <w:marBottom w:val="0"/>
      <w:divBdr>
        <w:top w:val="none" w:sz="0" w:space="0" w:color="auto"/>
        <w:left w:val="none" w:sz="0" w:space="0" w:color="auto"/>
        <w:bottom w:val="none" w:sz="0" w:space="0" w:color="auto"/>
        <w:right w:val="none" w:sz="0" w:space="0" w:color="auto"/>
      </w:divBdr>
    </w:div>
    <w:div w:id="1192256936">
      <w:bodyDiv w:val="1"/>
      <w:marLeft w:val="0"/>
      <w:marRight w:val="0"/>
      <w:marTop w:val="0"/>
      <w:marBottom w:val="0"/>
      <w:divBdr>
        <w:top w:val="none" w:sz="0" w:space="0" w:color="auto"/>
        <w:left w:val="none" w:sz="0" w:space="0" w:color="auto"/>
        <w:bottom w:val="none" w:sz="0" w:space="0" w:color="auto"/>
        <w:right w:val="none" w:sz="0" w:space="0" w:color="auto"/>
      </w:divBdr>
    </w:div>
    <w:div w:id="1194339847">
      <w:bodyDiv w:val="1"/>
      <w:marLeft w:val="0"/>
      <w:marRight w:val="0"/>
      <w:marTop w:val="0"/>
      <w:marBottom w:val="0"/>
      <w:divBdr>
        <w:top w:val="none" w:sz="0" w:space="0" w:color="auto"/>
        <w:left w:val="none" w:sz="0" w:space="0" w:color="auto"/>
        <w:bottom w:val="none" w:sz="0" w:space="0" w:color="auto"/>
        <w:right w:val="none" w:sz="0" w:space="0" w:color="auto"/>
      </w:divBdr>
    </w:div>
    <w:div w:id="1194734571">
      <w:bodyDiv w:val="1"/>
      <w:marLeft w:val="0"/>
      <w:marRight w:val="0"/>
      <w:marTop w:val="0"/>
      <w:marBottom w:val="0"/>
      <w:divBdr>
        <w:top w:val="none" w:sz="0" w:space="0" w:color="auto"/>
        <w:left w:val="none" w:sz="0" w:space="0" w:color="auto"/>
        <w:bottom w:val="none" w:sz="0" w:space="0" w:color="auto"/>
        <w:right w:val="none" w:sz="0" w:space="0" w:color="auto"/>
      </w:divBdr>
    </w:div>
    <w:div w:id="1196230010">
      <w:bodyDiv w:val="1"/>
      <w:marLeft w:val="0"/>
      <w:marRight w:val="0"/>
      <w:marTop w:val="0"/>
      <w:marBottom w:val="0"/>
      <w:divBdr>
        <w:top w:val="none" w:sz="0" w:space="0" w:color="auto"/>
        <w:left w:val="none" w:sz="0" w:space="0" w:color="auto"/>
        <w:bottom w:val="none" w:sz="0" w:space="0" w:color="auto"/>
        <w:right w:val="none" w:sz="0" w:space="0" w:color="auto"/>
      </w:divBdr>
    </w:div>
    <w:div w:id="1196700356">
      <w:bodyDiv w:val="1"/>
      <w:marLeft w:val="0"/>
      <w:marRight w:val="0"/>
      <w:marTop w:val="0"/>
      <w:marBottom w:val="0"/>
      <w:divBdr>
        <w:top w:val="none" w:sz="0" w:space="0" w:color="auto"/>
        <w:left w:val="none" w:sz="0" w:space="0" w:color="auto"/>
        <w:bottom w:val="none" w:sz="0" w:space="0" w:color="auto"/>
        <w:right w:val="none" w:sz="0" w:space="0" w:color="auto"/>
      </w:divBdr>
    </w:div>
    <w:div w:id="1196891202">
      <w:bodyDiv w:val="1"/>
      <w:marLeft w:val="0"/>
      <w:marRight w:val="0"/>
      <w:marTop w:val="0"/>
      <w:marBottom w:val="0"/>
      <w:divBdr>
        <w:top w:val="none" w:sz="0" w:space="0" w:color="auto"/>
        <w:left w:val="none" w:sz="0" w:space="0" w:color="auto"/>
        <w:bottom w:val="none" w:sz="0" w:space="0" w:color="auto"/>
        <w:right w:val="none" w:sz="0" w:space="0" w:color="auto"/>
      </w:divBdr>
    </w:div>
    <w:div w:id="1198005775">
      <w:bodyDiv w:val="1"/>
      <w:marLeft w:val="0"/>
      <w:marRight w:val="0"/>
      <w:marTop w:val="0"/>
      <w:marBottom w:val="0"/>
      <w:divBdr>
        <w:top w:val="none" w:sz="0" w:space="0" w:color="auto"/>
        <w:left w:val="none" w:sz="0" w:space="0" w:color="auto"/>
        <w:bottom w:val="none" w:sz="0" w:space="0" w:color="auto"/>
        <w:right w:val="none" w:sz="0" w:space="0" w:color="auto"/>
      </w:divBdr>
    </w:div>
    <w:div w:id="1198154512">
      <w:bodyDiv w:val="1"/>
      <w:marLeft w:val="0"/>
      <w:marRight w:val="0"/>
      <w:marTop w:val="0"/>
      <w:marBottom w:val="0"/>
      <w:divBdr>
        <w:top w:val="none" w:sz="0" w:space="0" w:color="auto"/>
        <w:left w:val="none" w:sz="0" w:space="0" w:color="auto"/>
        <w:bottom w:val="none" w:sz="0" w:space="0" w:color="auto"/>
        <w:right w:val="none" w:sz="0" w:space="0" w:color="auto"/>
      </w:divBdr>
    </w:div>
    <w:div w:id="1198468716">
      <w:bodyDiv w:val="1"/>
      <w:marLeft w:val="0"/>
      <w:marRight w:val="0"/>
      <w:marTop w:val="0"/>
      <w:marBottom w:val="0"/>
      <w:divBdr>
        <w:top w:val="none" w:sz="0" w:space="0" w:color="auto"/>
        <w:left w:val="none" w:sz="0" w:space="0" w:color="auto"/>
        <w:bottom w:val="none" w:sz="0" w:space="0" w:color="auto"/>
        <w:right w:val="none" w:sz="0" w:space="0" w:color="auto"/>
      </w:divBdr>
    </w:div>
    <w:div w:id="1198542562">
      <w:bodyDiv w:val="1"/>
      <w:marLeft w:val="0"/>
      <w:marRight w:val="0"/>
      <w:marTop w:val="0"/>
      <w:marBottom w:val="0"/>
      <w:divBdr>
        <w:top w:val="none" w:sz="0" w:space="0" w:color="auto"/>
        <w:left w:val="none" w:sz="0" w:space="0" w:color="auto"/>
        <w:bottom w:val="none" w:sz="0" w:space="0" w:color="auto"/>
        <w:right w:val="none" w:sz="0" w:space="0" w:color="auto"/>
      </w:divBdr>
    </w:div>
    <w:div w:id="1199004449">
      <w:bodyDiv w:val="1"/>
      <w:marLeft w:val="0"/>
      <w:marRight w:val="0"/>
      <w:marTop w:val="0"/>
      <w:marBottom w:val="0"/>
      <w:divBdr>
        <w:top w:val="none" w:sz="0" w:space="0" w:color="auto"/>
        <w:left w:val="none" w:sz="0" w:space="0" w:color="auto"/>
        <w:bottom w:val="none" w:sz="0" w:space="0" w:color="auto"/>
        <w:right w:val="none" w:sz="0" w:space="0" w:color="auto"/>
      </w:divBdr>
    </w:div>
    <w:div w:id="1200581862">
      <w:bodyDiv w:val="1"/>
      <w:marLeft w:val="0"/>
      <w:marRight w:val="0"/>
      <w:marTop w:val="0"/>
      <w:marBottom w:val="0"/>
      <w:divBdr>
        <w:top w:val="none" w:sz="0" w:space="0" w:color="auto"/>
        <w:left w:val="none" w:sz="0" w:space="0" w:color="auto"/>
        <w:bottom w:val="none" w:sz="0" w:space="0" w:color="auto"/>
        <w:right w:val="none" w:sz="0" w:space="0" w:color="auto"/>
      </w:divBdr>
    </w:div>
    <w:div w:id="1200586402">
      <w:bodyDiv w:val="1"/>
      <w:marLeft w:val="0"/>
      <w:marRight w:val="0"/>
      <w:marTop w:val="0"/>
      <w:marBottom w:val="0"/>
      <w:divBdr>
        <w:top w:val="none" w:sz="0" w:space="0" w:color="auto"/>
        <w:left w:val="none" w:sz="0" w:space="0" w:color="auto"/>
        <w:bottom w:val="none" w:sz="0" w:space="0" w:color="auto"/>
        <w:right w:val="none" w:sz="0" w:space="0" w:color="auto"/>
      </w:divBdr>
    </w:div>
    <w:div w:id="1201816419">
      <w:bodyDiv w:val="1"/>
      <w:marLeft w:val="0"/>
      <w:marRight w:val="0"/>
      <w:marTop w:val="0"/>
      <w:marBottom w:val="0"/>
      <w:divBdr>
        <w:top w:val="none" w:sz="0" w:space="0" w:color="auto"/>
        <w:left w:val="none" w:sz="0" w:space="0" w:color="auto"/>
        <w:bottom w:val="none" w:sz="0" w:space="0" w:color="auto"/>
        <w:right w:val="none" w:sz="0" w:space="0" w:color="auto"/>
      </w:divBdr>
    </w:div>
    <w:div w:id="1201866285">
      <w:bodyDiv w:val="1"/>
      <w:marLeft w:val="0"/>
      <w:marRight w:val="0"/>
      <w:marTop w:val="0"/>
      <w:marBottom w:val="0"/>
      <w:divBdr>
        <w:top w:val="none" w:sz="0" w:space="0" w:color="auto"/>
        <w:left w:val="none" w:sz="0" w:space="0" w:color="auto"/>
        <w:bottom w:val="none" w:sz="0" w:space="0" w:color="auto"/>
        <w:right w:val="none" w:sz="0" w:space="0" w:color="auto"/>
      </w:divBdr>
    </w:div>
    <w:div w:id="1202281055">
      <w:bodyDiv w:val="1"/>
      <w:marLeft w:val="0"/>
      <w:marRight w:val="0"/>
      <w:marTop w:val="0"/>
      <w:marBottom w:val="0"/>
      <w:divBdr>
        <w:top w:val="none" w:sz="0" w:space="0" w:color="auto"/>
        <w:left w:val="none" w:sz="0" w:space="0" w:color="auto"/>
        <w:bottom w:val="none" w:sz="0" w:space="0" w:color="auto"/>
        <w:right w:val="none" w:sz="0" w:space="0" w:color="auto"/>
      </w:divBdr>
    </w:div>
    <w:div w:id="1202398073">
      <w:bodyDiv w:val="1"/>
      <w:marLeft w:val="0"/>
      <w:marRight w:val="0"/>
      <w:marTop w:val="0"/>
      <w:marBottom w:val="0"/>
      <w:divBdr>
        <w:top w:val="none" w:sz="0" w:space="0" w:color="auto"/>
        <w:left w:val="none" w:sz="0" w:space="0" w:color="auto"/>
        <w:bottom w:val="none" w:sz="0" w:space="0" w:color="auto"/>
        <w:right w:val="none" w:sz="0" w:space="0" w:color="auto"/>
      </w:divBdr>
    </w:div>
    <w:div w:id="1202984028">
      <w:bodyDiv w:val="1"/>
      <w:marLeft w:val="0"/>
      <w:marRight w:val="0"/>
      <w:marTop w:val="0"/>
      <w:marBottom w:val="0"/>
      <w:divBdr>
        <w:top w:val="none" w:sz="0" w:space="0" w:color="auto"/>
        <w:left w:val="none" w:sz="0" w:space="0" w:color="auto"/>
        <w:bottom w:val="none" w:sz="0" w:space="0" w:color="auto"/>
        <w:right w:val="none" w:sz="0" w:space="0" w:color="auto"/>
      </w:divBdr>
    </w:div>
    <w:div w:id="1203053114">
      <w:bodyDiv w:val="1"/>
      <w:marLeft w:val="0"/>
      <w:marRight w:val="0"/>
      <w:marTop w:val="0"/>
      <w:marBottom w:val="0"/>
      <w:divBdr>
        <w:top w:val="none" w:sz="0" w:space="0" w:color="auto"/>
        <w:left w:val="none" w:sz="0" w:space="0" w:color="auto"/>
        <w:bottom w:val="none" w:sz="0" w:space="0" w:color="auto"/>
        <w:right w:val="none" w:sz="0" w:space="0" w:color="auto"/>
      </w:divBdr>
    </w:div>
    <w:div w:id="1204366713">
      <w:bodyDiv w:val="1"/>
      <w:marLeft w:val="0"/>
      <w:marRight w:val="0"/>
      <w:marTop w:val="0"/>
      <w:marBottom w:val="0"/>
      <w:divBdr>
        <w:top w:val="none" w:sz="0" w:space="0" w:color="auto"/>
        <w:left w:val="none" w:sz="0" w:space="0" w:color="auto"/>
        <w:bottom w:val="none" w:sz="0" w:space="0" w:color="auto"/>
        <w:right w:val="none" w:sz="0" w:space="0" w:color="auto"/>
      </w:divBdr>
    </w:div>
    <w:div w:id="1205022408">
      <w:bodyDiv w:val="1"/>
      <w:marLeft w:val="0"/>
      <w:marRight w:val="0"/>
      <w:marTop w:val="0"/>
      <w:marBottom w:val="0"/>
      <w:divBdr>
        <w:top w:val="none" w:sz="0" w:space="0" w:color="auto"/>
        <w:left w:val="none" w:sz="0" w:space="0" w:color="auto"/>
        <w:bottom w:val="none" w:sz="0" w:space="0" w:color="auto"/>
        <w:right w:val="none" w:sz="0" w:space="0" w:color="auto"/>
      </w:divBdr>
    </w:div>
    <w:div w:id="1205797482">
      <w:bodyDiv w:val="1"/>
      <w:marLeft w:val="0"/>
      <w:marRight w:val="0"/>
      <w:marTop w:val="0"/>
      <w:marBottom w:val="0"/>
      <w:divBdr>
        <w:top w:val="none" w:sz="0" w:space="0" w:color="auto"/>
        <w:left w:val="none" w:sz="0" w:space="0" w:color="auto"/>
        <w:bottom w:val="none" w:sz="0" w:space="0" w:color="auto"/>
        <w:right w:val="none" w:sz="0" w:space="0" w:color="auto"/>
      </w:divBdr>
    </w:div>
    <w:div w:id="1206065652">
      <w:bodyDiv w:val="1"/>
      <w:marLeft w:val="0"/>
      <w:marRight w:val="0"/>
      <w:marTop w:val="0"/>
      <w:marBottom w:val="0"/>
      <w:divBdr>
        <w:top w:val="none" w:sz="0" w:space="0" w:color="auto"/>
        <w:left w:val="none" w:sz="0" w:space="0" w:color="auto"/>
        <w:bottom w:val="none" w:sz="0" w:space="0" w:color="auto"/>
        <w:right w:val="none" w:sz="0" w:space="0" w:color="auto"/>
      </w:divBdr>
    </w:div>
    <w:div w:id="1206481603">
      <w:bodyDiv w:val="1"/>
      <w:marLeft w:val="0"/>
      <w:marRight w:val="0"/>
      <w:marTop w:val="0"/>
      <w:marBottom w:val="0"/>
      <w:divBdr>
        <w:top w:val="none" w:sz="0" w:space="0" w:color="auto"/>
        <w:left w:val="none" w:sz="0" w:space="0" w:color="auto"/>
        <w:bottom w:val="none" w:sz="0" w:space="0" w:color="auto"/>
        <w:right w:val="none" w:sz="0" w:space="0" w:color="auto"/>
      </w:divBdr>
    </w:div>
    <w:div w:id="1207181694">
      <w:bodyDiv w:val="1"/>
      <w:marLeft w:val="0"/>
      <w:marRight w:val="0"/>
      <w:marTop w:val="0"/>
      <w:marBottom w:val="0"/>
      <w:divBdr>
        <w:top w:val="none" w:sz="0" w:space="0" w:color="auto"/>
        <w:left w:val="none" w:sz="0" w:space="0" w:color="auto"/>
        <w:bottom w:val="none" w:sz="0" w:space="0" w:color="auto"/>
        <w:right w:val="none" w:sz="0" w:space="0" w:color="auto"/>
      </w:divBdr>
    </w:div>
    <w:div w:id="1207566482">
      <w:bodyDiv w:val="1"/>
      <w:marLeft w:val="0"/>
      <w:marRight w:val="0"/>
      <w:marTop w:val="0"/>
      <w:marBottom w:val="0"/>
      <w:divBdr>
        <w:top w:val="none" w:sz="0" w:space="0" w:color="auto"/>
        <w:left w:val="none" w:sz="0" w:space="0" w:color="auto"/>
        <w:bottom w:val="none" w:sz="0" w:space="0" w:color="auto"/>
        <w:right w:val="none" w:sz="0" w:space="0" w:color="auto"/>
      </w:divBdr>
    </w:div>
    <w:div w:id="1207642588">
      <w:bodyDiv w:val="1"/>
      <w:marLeft w:val="0"/>
      <w:marRight w:val="0"/>
      <w:marTop w:val="0"/>
      <w:marBottom w:val="0"/>
      <w:divBdr>
        <w:top w:val="none" w:sz="0" w:space="0" w:color="auto"/>
        <w:left w:val="none" w:sz="0" w:space="0" w:color="auto"/>
        <w:bottom w:val="none" w:sz="0" w:space="0" w:color="auto"/>
        <w:right w:val="none" w:sz="0" w:space="0" w:color="auto"/>
      </w:divBdr>
    </w:div>
    <w:div w:id="1208378525">
      <w:bodyDiv w:val="1"/>
      <w:marLeft w:val="0"/>
      <w:marRight w:val="0"/>
      <w:marTop w:val="0"/>
      <w:marBottom w:val="0"/>
      <w:divBdr>
        <w:top w:val="none" w:sz="0" w:space="0" w:color="auto"/>
        <w:left w:val="none" w:sz="0" w:space="0" w:color="auto"/>
        <w:bottom w:val="none" w:sz="0" w:space="0" w:color="auto"/>
        <w:right w:val="none" w:sz="0" w:space="0" w:color="auto"/>
      </w:divBdr>
    </w:div>
    <w:div w:id="1208568320">
      <w:bodyDiv w:val="1"/>
      <w:marLeft w:val="0"/>
      <w:marRight w:val="0"/>
      <w:marTop w:val="0"/>
      <w:marBottom w:val="0"/>
      <w:divBdr>
        <w:top w:val="none" w:sz="0" w:space="0" w:color="auto"/>
        <w:left w:val="none" w:sz="0" w:space="0" w:color="auto"/>
        <w:bottom w:val="none" w:sz="0" w:space="0" w:color="auto"/>
        <w:right w:val="none" w:sz="0" w:space="0" w:color="auto"/>
      </w:divBdr>
    </w:div>
    <w:div w:id="1208840096">
      <w:bodyDiv w:val="1"/>
      <w:marLeft w:val="0"/>
      <w:marRight w:val="0"/>
      <w:marTop w:val="0"/>
      <w:marBottom w:val="0"/>
      <w:divBdr>
        <w:top w:val="none" w:sz="0" w:space="0" w:color="auto"/>
        <w:left w:val="none" w:sz="0" w:space="0" w:color="auto"/>
        <w:bottom w:val="none" w:sz="0" w:space="0" w:color="auto"/>
        <w:right w:val="none" w:sz="0" w:space="0" w:color="auto"/>
      </w:divBdr>
    </w:div>
    <w:div w:id="1208956787">
      <w:bodyDiv w:val="1"/>
      <w:marLeft w:val="0"/>
      <w:marRight w:val="0"/>
      <w:marTop w:val="0"/>
      <w:marBottom w:val="0"/>
      <w:divBdr>
        <w:top w:val="none" w:sz="0" w:space="0" w:color="auto"/>
        <w:left w:val="none" w:sz="0" w:space="0" w:color="auto"/>
        <w:bottom w:val="none" w:sz="0" w:space="0" w:color="auto"/>
        <w:right w:val="none" w:sz="0" w:space="0" w:color="auto"/>
      </w:divBdr>
    </w:div>
    <w:div w:id="1210874840">
      <w:bodyDiv w:val="1"/>
      <w:marLeft w:val="0"/>
      <w:marRight w:val="0"/>
      <w:marTop w:val="0"/>
      <w:marBottom w:val="0"/>
      <w:divBdr>
        <w:top w:val="none" w:sz="0" w:space="0" w:color="auto"/>
        <w:left w:val="none" w:sz="0" w:space="0" w:color="auto"/>
        <w:bottom w:val="none" w:sz="0" w:space="0" w:color="auto"/>
        <w:right w:val="none" w:sz="0" w:space="0" w:color="auto"/>
      </w:divBdr>
    </w:div>
    <w:div w:id="1210995125">
      <w:bodyDiv w:val="1"/>
      <w:marLeft w:val="0"/>
      <w:marRight w:val="0"/>
      <w:marTop w:val="0"/>
      <w:marBottom w:val="0"/>
      <w:divBdr>
        <w:top w:val="none" w:sz="0" w:space="0" w:color="auto"/>
        <w:left w:val="none" w:sz="0" w:space="0" w:color="auto"/>
        <w:bottom w:val="none" w:sz="0" w:space="0" w:color="auto"/>
        <w:right w:val="none" w:sz="0" w:space="0" w:color="auto"/>
      </w:divBdr>
    </w:div>
    <w:div w:id="1211915168">
      <w:bodyDiv w:val="1"/>
      <w:marLeft w:val="0"/>
      <w:marRight w:val="0"/>
      <w:marTop w:val="0"/>
      <w:marBottom w:val="0"/>
      <w:divBdr>
        <w:top w:val="none" w:sz="0" w:space="0" w:color="auto"/>
        <w:left w:val="none" w:sz="0" w:space="0" w:color="auto"/>
        <w:bottom w:val="none" w:sz="0" w:space="0" w:color="auto"/>
        <w:right w:val="none" w:sz="0" w:space="0" w:color="auto"/>
      </w:divBdr>
    </w:div>
    <w:div w:id="1212108898">
      <w:bodyDiv w:val="1"/>
      <w:marLeft w:val="0"/>
      <w:marRight w:val="0"/>
      <w:marTop w:val="0"/>
      <w:marBottom w:val="0"/>
      <w:divBdr>
        <w:top w:val="none" w:sz="0" w:space="0" w:color="auto"/>
        <w:left w:val="none" w:sz="0" w:space="0" w:color="auto"/>
        <w:bottom w:val="none" w:sz="0" w:space="0" w:color="auto"/>
        <w:right w:val="none" w:sz="0" w:space="0" w:color="auto"/>
      </w:divBdr>
    </w:div>
    <w:div w:id="1212687107">
      <w:bodyDiv w:val="1"/>
      <w:marLeft w:val="0"/>
      <w:marRight w:val="0"/>
      <w:marTop w:val="0"/>
      <w:marBottom w:val="0"/>
      <w:divBdr>
        <w:top w:val="none" w:sz="0" w:space="0" w:color="auto"/>
        <w:left w:val="none" w:sz="0" w:space="0" w:color="auto"/>
        <w:bottom w:val="none" w:sz="0" w:space="0" w:color="auto"/>
        <w:right w:val="none" w:sz="0" w:space="0" w:color="auto"/>
      </w:divBdr>
    </w:div>
    <w:div w:id="1213271657">
      <w:bodyDiv w:val="1"/>
      <w:marLeft w:val="0"/>
      <w:marRight w:val="0"/>
      <w:marTop w:val="0"/>
      <w:marBottom w:val="0"/>
      <w:divBdr>
        <w:top w:val="none" w:sz="0" w:space="0" w:color="auto"/>
        <w:left w:val="none" w:sz="0" w:space="0" w:color="auto"/>
        <w:bottom w:val="none" w:sz="0" w:space="0" w:color="auto"/>
        <w:right w:val="none" w:sz="0" w:space="0" w:color="auto"/>
      </w:divBdr>
    </w:div>
    <w:div w:id="1214006439">
      <w:bodyDiv w:val="1"/>
      <w:marLeft w:val="0"/>
      <w:marRight w:val="0"/>
      <w:marTop w:val="0"/>
      <w:marBottom w:val="0"/>
      <w:divBdr>
        <w:top w:val="none" w:sz="0" w:space="0" w:color="auto"/>
        <w:left w:val="none" w:sz="0" w:space="0" w:color="auto"/>
        <w:bottom w:val="none" w:sz="0" w:space="0" w:color="auto"/>
        <w:right w:val="none" w:sz="0" w:space="0" w:color="auto"/>
      </w:divBdr>
    </w:div>
    <w:div w:id="1214122444">
      <w:bodyDiv w:val="1"/>
      <w:marLeft w:val="0"/>
      <w:marRight w:val="0"/>
      <w:marTop w:val="0"/>
      <w:marBottom w:val="0"/>
      <w:divBdr>
        <w:top w:val="none" w:sz="0" w:space="0" w:color="auto"/>
        <w:left w:val="none" w:sz="0" w:space="0" w:color="auto"/>
        <w:bottom w:val="none" w:sz="0" w:space="0" w:color="auto"/>
        <w:right w:val="none" w:sz="0" w:space="0" w:color="auto"/>
      </w:divBdr>
    </w:div>
    <w:div w:id="1214192014">
      <w:bodyDiv w:val="1"/>
      <w:marLeft w:val="0"/>
      <w:marRight w:val="0"/>
      <w:marTop w:val="0"/>
      <w:marBottom w:val="0"/>
      <w:divBdr>
        <w:top w:val="none" w:sz="0" w:space="0" w:color="auto"/>
        <w:left w:val="none" w:sz="0" w:space="0" w:color="auto"/>
        <w:bottom w:val="none" w:sz="0" w:space="0" w:color="auto"/>
        <w:right w:val="none" w:sz="0" w:space="0" w:color="auto"/>
      </w:divBdr>
    </w:div>
    <w:div w:id="1214348969">
      <w:bodyDiv w:val="1"/>
      <w:marLeft w:val="0"/>
      <w:marRight w:val="0"/>
      <w:marTop w:val="0"/>
      <w:marBottom w:val="0"/>
      <w:divBdr>
        <w:top w:val="none" w:sz="0" w:space="0" w:color="auto"/>
        <w:left w:val="none" w:sz="0" w:space="0" w:color="auto"/>
        <w:bottom w:val="none" w:sz="0" w:space="0" w:color="auto"/>
        <w:right w:val="none" w:sz="0" w:space="0" w:color="auto"/>
      </w:divBdr>
    </w:div>
    <w:div w:id="1215002935">
      <w:bodyDiv w:val="1"/>
      <w:marLeft w:val="0"/>
      <w:marRight w:val="0"/>
      <w:marTop w:val="0"/>
      <w:marBottom w:val="0"/>
      <w:divBdr>
        <w:top w:val="none" w:sz="0" w:space="0" w:color="auto"/>
        <w:left w:val="none" w:sz="0" w:space="0" w:color="auto"/>
        <w:bottom w:val="none" w:sz="0" w:space="0" w:color="auto"/>
        <w:right w:val="none" w:sz="0" w:space="0" w:color="auto"/>
      </w:divBdr>
    </w:div>
    <w:div w:id="1215197294">
      <w:bodyDiv w:val="1"/>
      <w:marLeft w:val="0"/>
      <w:marRight w:val="0"/>
      <w:marTop w:val="0"/>
      <w:marBottom w:val="0"/>
      <w:divBdr>
        <w:top w:val="none" w:sz="0" w:space="0" w:color="auto"/>
        <w:left w:val="none" w:sz="0" w:space="0" w:color="auto"/>
        <w:bottom w:val="none" w:sz="0" w:space="0" w:color="auto"/>
        <w:right w:val="none" w:sz="0" w:space="0" w:color="auto"/>
      </w:divBdr>
    </w:div>
    <w:div w:id="1217622107">
      <w:bodyDiv w:val="1"/>
      <w:marLeft w:val="0"/>
      <w:marRight w:val="0"/>
      <w:marTop w:val="0"/>
      <w:marBottom w:val="0"/>
      <w:divBdr>
        <w:top w:val="none" w:sz="0" w:space="0" w:color="auto"/>
        <w:left w:val="none" w:sz="0" w:space="0" w:color="auto"/>
        <w:bottom w:val="none" w:sz="0" w:space="0" w:color="auto"/>
        <w:right w:val="none" w:sz="0" w:space="0" w:color="auto"/>
      </w:divBdr>
    </w:div>
    <w:div w:id="1217738893">
      <w:bodyDiv w:val="1"/>
      <w:marLeft w:val="0"/>
      <w:marRight w:val="0"/>
      <w:marTop w:val="0"/>
      <w:marBottom w:val="0"/>
      <w:divBdr>
        <w:top w:val="none" w:sz="0" w:space="0" w:color="auto"/>
        <w:left w:val="none" w:sz="0" w:space="0" w:color="auto"/>
        <w:bottom w:val="none" w:sz="0" w:space="0" w:color="auto"/>
        <w:right w:val="none" w:sz="0" w:space="0" w:color="auto"/>
      </w:divBdr>
    </w:div>
    <w:div w:id="1217856152">
      <w:bodyDiv w:val="1"/>
      <w:marLeft w:val="0"/>
      <w:marRight w:val="0"/>
      <w:marTop w:val="0"/>
      <w:marBottom w:val="0"/>
      <w:divBdr>
        <w:top w:val="none" w:sz="0" w:space="0" w:color="auto"/>
        <w:left w:val="none" w:sz="0" w:space="0" w:color="auto"/>
        <w:bottom w:val="none" w:sz="0" w:space="0" w:color="auto"/>
        <w:right w:val="none" w:sz="0" w:space="0" w:color="auto"/>
      </w:divBdr>
    </w:div>
    <w:div w:id="1218207430">
      <w:bodyDiv w:val="1"/>
      <w:marLeft w:val="0"/>
      <w:marRight w:val="0"/>
      <w:marTop w:val="0"/>
      <w:marBottom w:val="0"/>
      <w:divBdr>
        <w:top w:val="none" w:sz="0" w:space="0" w:color="auto"/>
        <w:left w:val="none" w:sz="0" w:space="0" w:color="auto"/>
        <w:bottom w:val="none" w:sz="0" w:space="0" w:color="auto"/>
        <w:right w:val="none" w:sz="0" w:space="0" w:color="auto"/>
      </w:divBdr>
    </w:div>
    <w:div w:id="1218472198">
      <w:bodyDiv w:val="1"/>
      <w:marLeft w:val="0"/>
      <w:marRight w:val="0"/>
      <w:marTop w:val="0"/>
      <w:marBottom w:val="0"/>
      <w:divBdr>
        <w:top w:val="none" w:sz="0" w:space="0" w:color="auto"/>
        <w:left w:val="none" w:sz="0" w:space="0" w:color="auto"/>
        <w:bottom w:val="none" w:sz="0" w:space="0" w:color="auto"/>
        <w:right w:val="none" w:sz="0" w:space="0" w:color="auto"/>
      </w:divBdr>
    </w:div>
    <w:div w:id="1219976283">
      <w:bodyDiv w:val="1"/>
      <w:marLeft w:val="0"/>
      <w:marRight w:val="0"/>
      <w:marTop w:val="0"/>
      <w:marBottom w:val="0"/>
      <w:divBdr>
        <w:top w:val="none" w:sz="0" w:space="0" w:color="auto"/>
        <w:left w:val="none" w:sz="0" w:space="0" w:color="auto"/>
        <w:bottom w:val="none" w:sz="0" w:space="0" w:color="auto"/>
        <w:right w:val="none" w:sz="0" w:space="0" w:color="auto"/>
      </w:divBdr>
    </w:div>
    <w:div w:id="1220021602">
      <w:bodyDiv w:val="1"/>
      <w:marLeft w:val="0"/>
      <w:marRight w:val="0"/>
      <w:marTop w:val="0"/>
      <w:marBottom w:val="0"/>
      <w:divBdr>
        <w:top w:val="none" w:sz="0" w:space="0" w:color="auto"/>
        <w:left w:val="none" w:sz="0" w:space="0" w:color="auto"/>
        <w:bottom w:val="none" w:sz="0" w:space="0" w:color="auto"/>
        <w:right w:val="none" w:sz="0" w:space="0" w:color="auto"/>
      </w:divBdr>
    </w:div>
    <w:div w:id="1221206662">
      <w:bodyDiv w:val="1"/>
      <w:marLeft w:val="0"/>
      <w:marRight w:val="0"/>
      <w:marTop w:val="0"/>
      <w:marBottom w:val="0"/>
      <w:divBdr>
        <w:top w:val="none" w:sz="0" w:space="0" w:color="auto"/>
        <w:left w:val="none" w:sz="0" w:space="0" w:color="auto"/>
        <w:bottom w:val="none" w:sz="0" w:space="0" w:color="auto"/>
        <w:right w:val="none" w:sz="0" w:space="0" w:color="auto"/>
      </w:divBdr>
    </w:div>
    <w:div w:id="1221936668">
      <w:bodyDiv w:val="1"/>
      <w:marLeft w:val="0"/>
      <w:marRight w:val="0"/>
      <w:marTop w:val="0"/>
      <w:marBottom w:val="0"/>
      <w:divBdr>
        <w:top w:val="none" w:sz="0" w:space="0" w:color="auto"/>
        <w:left w:val="none" w:sz="0" w:space="0" w:color="auto"/>
        <w:bottom w:val="none" w:sz="0" w:space="0" w:color="auto"/>
        <w:right w:val="none" w:sz="0" w:space="0" w:color="auto"/>
      </w:divBdr>
    </w:div>
    <w:div w:id="1222327758">
      <w:bodyDiv w:val="1"/>
      <w:marLeft w:val="0"/>
      <w:marRight w:val="0"/>
      <w:marTop w:val="0"/>
      <w:marBottom w:val="0"/>
      <w:divBdr>
        <w:top w:val="none" w:sz="0" w:space="0" w:color="auto"/>
        <w:left w:val="none" w:sz="0" w:space="0" w:color="auto"/>
        <w:bottom w:val="none" w:sz="0" w:space="0" w:color="auto"/>
        <w:right w:val="none" w:sz="0" w:space="0" w:color="auto"/>
      </w:divBdr>
    </w:div>
    <w:div w:id="1224028764">
      <w:bodyDiv w:val="1"/>
      <w:marLeft w:val="0"/>
      <w:marRight w:val="0"/>
      <w:marTop w:val="0"/>
      <w:marBottom w:val="0"/>
      <w:divBdr>
        <w:top w:val="none" w:sz="0" w:space="0" w:color="auto"/>
        <w:left w:val="none" w:sz="0" w:space="0" w:color="auto"/>
        <w:bottom w:val="none" w:sz="0" w:space="0" w:color="auto"/>
        <w:right w:val="none" w:sz="0" w:space="0" w:color="auto"/>
      </w:divBdr>
    </w:div>
    <w:div w:id="1224679325">
      <w:bodyDiv w:val="1"/>
      <w:marLeft w:val="0"/>
      <w:marRight w:val="0"/>
      <w:marTop w:val="0"/>
      <w:marBottom w:val="0"/>
      <w:divBdr>
        <w:top w:val="none" w:sz="0" w:space="0" w:color="auto"/>
        <w:left w:val="none" w:sz="0" w:space="0" w:color="auto"/>
        <w:bottom w:val="none" w:sz="0" w:space="0" w:color="auto"/>
        <w:right w:val="none" w:sz="0" w:space="0" w:color="auto"/>
      </w:divBdr>
    </w:div>
    <w:div w:id="1225095737">
      <w:bodyDiv w:val="1"/>
      <w:marLeft w:val="0"/>
      <w:marRight w:val="0"/>
      <w:marTop w:val="0"/>
      <w:marBottom w:val="0"/>
      <w:divBdr>
        <w:top w:val="none" w:sz="0" w:space="0" w:color="auto"/>
        <w:left w:val="none" w:sz="0" w:space="0" w:color="auto"/>
        <w:bottom w:val="none" w:sz="0" w:space="0" w:color="auto"/>
        <w:right w:val="none" w:sz="0" w:space="0" w:color="auto"/>
      </w:divBdr>
    </w:div>
    <w:div w:id="1226066072">
      <w:bodyDiv w:val="1"/>
      <w:marLeft w:val="0"/>
      <w:marRight w:val="0"/>
      <w:marTop w:val="0"/>
      <w:marBottom w:val="0"/>
      <w:divBdr>
        <w:top w:val="none" w:sz="0" w:space="0" w:color="auto"/>
        <w:left w:val="none" w:sz="0" w:space="0" w:color="auto"/>
        <w:bottom w:val="none" w:sz="0" w:space="0" w:color="auto"/>
        <w:right w:val="none" w:sz="0" w:space="0" w:color="auto"/>
      </w:divBdr>
    </w:div>
    <w:div w:id="1226145537">
      <w:bodyDiv w:val="1"/>
      <w:marLeft w:val="0"/>
      <w:marRight w:val="0"/>
      <w:marTop w:val="0"/>
      <w:marBottom w:val="0"/>
      <w:divBdr>
        <w:top w:val="none" w:sz="0" w:space="0" w:color="auto"/>
        <w:left w:val="none" w:sz="0" w:space="0" w:color="auto"/>
        <w:bottom w:val="none" w:sz="0" w:space="0" w:color="auto"/>
        <w:right w:val="none" w:sz="0" w:space="0" w:color="auto"/>
      </w:divBdr>
    </w:div>
    <w:div w:id="1226185052">
      <w:bodyDiv w:val="1"/>
      <w:marLeft w:val="0"/>
      <w:marRight w:val="0"/>
      <w:marTop w:val="0"/>
      <w:marBottom w:val="0"/>
      <w:divBdr>
        <w:top w:val="none" w:sz="0" w:space="0" w:color="auto"/>
        <w:left w:val="none" w:sz="0" w:space="0" w:color="auto"/>
        <w:bottom w:val="none" w:sz="0" w:space="0" w:color="auto"/>
        <w:right w:val="none" w:sz="0" w:space="0" w:color="auto"/>
      </w:divBdr>
    </w:div>
    <w:div w:id="1226834830">
      <w:bodyDiv w:val="1"/>
      <w:marLeft w:val="0"/>
      <w:marRight w:val="0"/>
      <w:marTop w:val="0"/>
      <w:marBottom w:val="0"/>
      <w:divBdr>
        <w:top w:val="none" w:sz="0" w:space="0" w:color="auto"/>
        <w:left w:val="none" w:sz="0" w:space="0" w:color="auto"/>
        <w:bottom w:val="none" w:sz="0" w:space="0" w:color="auto"/>
        <w:right w:val="none" w:sz="0" w:space="0" w:color="auto"/>
      </w:divBdr>
    </w:div>
    <w:div w:id="1227570226">
      <w:bodyDiv w:val="1"/>
      <w:marLeft w:val="0"/>
      <w:marRight w:val="0"/>
      <w:marTop w:val="0"/>
      <w:marBottom w:val="0"/>
      <w:divBdr>
        <w:top w:val="none" w:sz="0" w:space="0" w:color="auto"/>
        <w:left w:val="none" w:sz="0" w:space="0" w:color="auto"/>
        <w:bottom w:val="none" w:sz="0" w:space="0" w:color="auto"/>
        <w:right w:val="none" w:sz="0" w:space="0" w:color="auto"/>
      </w:divBdr>
    </w:div>
    <w:div w:id="1228615373">
      <w:bodyDiv w:val="1"/>
      <w:marLeft w:val="0"/>
      <w:marRight w:val="0"/>
      <w:marTop w:val="0"/>
      <w:marBottom w:val="0"/>
      <w:divBdr>
        <w:top w:val="none" w:sz="0" w:space="0" w:color="auto"/>
        <w:left w:val="none" w:sz="0" w:space="0" w:color="auto"/>
        <w:bottom w:val="none" w:sz="0" w:space="0" w:color="auto"/>
        <w:right w:val="none" w:sz="0" w:space="0" w:color="auto"/>
      </w:divBdr>
    </w:div>
    <w:div w:id="1229342894">
      <w:bodyDiv w:val="1"/>
      <w:marLeft w:val="0"/>
      <w:marRight w:val="0"/>
      <w:marTop w:val="0"/>
      <w:marBottom w:val="0"/>
      <w:divBdr>
        <w:top w:val="none" w:sz="0" w:space="0" w:color="auto"/>
        <w:left w:val="none" w:sz="0" w:space="0" w:color="auto"/>
        <w:bottom w:val="none" w:sz="0" w:space="0" w:color="auto"/>
        <w:right w:val="none" w:sz="0" w:space="0" w:color="auto"/>
      </w:divBdr>
    </w:div>
    <w:div w:id="1229538216">
      <w:bodyDiv w:val="1"/>
      <w:marLeft w:val="0"/>
      <w:marRight w:val="0"/>
      <w:marTop w:val="0"/>
      <w:marBottom w:val="0"/>
      <w:divBdr>
        <w:top w:val="none" w:sz="0" w:space="0" w:color="auto"/>
        <w:left w:val="none" w:sz="0" w:space="0" w:color="auto"/>
        <w:bottom w:val="none" w:sz="0" w:space="0" w:color="auto"/>
        <w:right w:val="none" w:sz="0" w:space="0" w:color="auto"/>
      </w:divBdr>
      <w:divsChild>
        <w:div w:id="1694913742">
          <w:marLeft w:val="0"/>
          <w:marRight w:val="0"/>
          <w:marTop w:val="0"/>
          <w:marBottom w:val="0"/>
          <w:divBdr>
            <w:top w:val="none" w:sz="0" w:space="0" w:color="auto"/>
            <w:left w:val="none" w:sz="0" w:space="0" w:color="auto"/>
            <w:bottom w:val="none" w:sz="0" w:space="0" w:color="auto"/>
            <w:right w:val="none" w:sz="0" w:space="0" w:color="auto"/>
          </w:divBdr>
        </w:div>
        <w:div w:id="1983079063">
          <w:marLeft w:val="0"/>
          <w:marRight w:val="0"/>
          <w:marTop w:val="0"/>
          <w:marBottom w:val="0"/>
          <w:divBdr>
            <w:top w:val="none" w:sz="0" w:space="0" w:color="auto"/>
            <w:left w:val="none" w:sz="0" w:space="0" w:color="auto"/>
            <w:bottom w:val="none" w:sz="0" w:space="0" w:color="auto"/>
            <w:right w:val="none" w:sz="0" w:space="0" w:color="auto"/>
          </w:divBdr>
        </w:div>
        <w:div w:id="1452044950">
          <w:marLeft w:val="0"/>
          <w:marRight w:val="0"/>
          <w:marTop w:val="0"/>
          <w:marBottom w:val="0"/>
          <w:divBdr>
            <w:top w:val="none" w:sz="0" w:space="0" w:color="auto"/>
            <w:left w:val="none" w:sz="0" w:space="0" w:color="auto"/>
            <w:bottom w:val="none" w:sz="0" w:space="0" w:color="auto"/>
            <w:right w:val="none" w:sz="0" w:space="0" w:color="auto"/>
          </w:divBdr>
        </w:div>
        <w:div w:id="423184346">
          <w:marLeft w:val="0"/>
          <w:marRight w:val="0"/>
          <w:marTop w:val="0"/>
          <w:marBottom w:val="0"/>
          <w:divBdr>
            <w:top w:val="none" w:sz="0" w:space="0" w:color="auto"/>
            <w:left w:val="none" w:sz="0" w:space="0" w:color="auto"/>
            <w:bottom w:val="none" w:sz="0" w:space="0" w:color="auto"/>
            <w:right w:val="none" w:sz="0" w:space="0" w:color="auto"/>
          </w:divBdr>
        </w:div>
        <w:div w:id="19627716">
          <w:marLeft w:val="0"/>
          <w:marRight w:val="0"/>
          <w:marTop w:val="0"/>
          <w:marBottom w:val="0"/>
          <w:divBdr>
            <w:top w:val="none" w:sz="0" w:space="0" w:color="auto"/>
            <w:left w:val="none" w:sz="0" w:space="0" w:color="auto"/>
            <w:bottom w:val="none" w:sz="0" w:space="0" w:color="auto"/>
            <w:right w:val="none" w:sz="0" w:space="0" w:color="auto"/>
          </w:divBdr>
        </w:div>
      </w:divsChild>
    </w:div>
    <w:div w:id="1230462318">
      <w:bodyDiv w:val="1"/>
      <w:marLeft w:val="0"/>
      <w:marRight w:val="0"/>
      <w:marTop w:val="0"/>
      <w:marBottom w:val="0"/>
      <w:divBdr>
        <w:top w:val="none" w:sz="0" w:space="0" w:color="auto"/>
        <w:left w:val="none" w:sz="0" w:space="0" w:color="auto"/>
        <w:bottom w:val="none" w:sz="0" w:space="0" w:color="auto"/>
        <w:right w:val="none" w:sz="0" w:space="0" w:color="auto"/>
      </w:divBdr>
    </w:div>
    <w:div w:id="1230772030">
      <w:bodyDiv w:val="1"/>
      <w:marLeft w:val="0"/>
      <w:marRight w:val="0"/>
      <w:marTop w:val="0"/>
      <w:marBottom w:val="0"/>
      <w:divBdr>
        <w:top w:val="none" w:sz="0" w:space="0" w:color="auto"/>
        <w:left w:val="none" w:sz="0" w:space="0" w:color="auto"/>
        <w:bottom w:val="none" w:sz="0" w:space="0" w:color="auto"/>
        <w:right w:val="none" w:sz="0" w:space="0" w:color="auto"/>
      </w:divBdr>
    </w:div>
    <w:div w:id="1230848106">
      <w:bodyDiv w:val="1"/>
      <w:marLeft w:val="0"/>
      <w:marRight w:val="0"/>
      <w:marTop w:val="0"/>
      <w:marBottom w:val="0"/>
      <w:divBdr>
        <w:top w:val="none" w:sz="0" w:space="0" w:color="auto"/>
        <w:left w:val="none" w:sz="0" w:space="0" w:color="auto"/>
        <w:bottom w:val="none" w:sz="0" w:space="0" w:color="auto"/>
        <w:right w:val="none" w:sz="0" w:space="0" w:color="auto"/>
      </w:divBdr>
    </w:div>
    <w:div w:id="1231306013">
      <w:bodyDiv w:val="1"/>
      <w:marLeft w:val="0"/>
      <w:marRight w:val="0"/>
      <w:marTop w:val="0"/>
      <w:marBottom w:val="0"/>
      <w:divBdr>
        <w:top w:val="none" w:sz="0" w:space="0" w:color="auto"/>
        <w:left w:val="none" w:sz="0" w:space="0" w:color="auto"/>
        <w:bottom w:val="none" w:sz="0" w:space="0" w:color="auto"/>
        <w:right w:val="none" w:sz="0" w:space="0" w:color="auto"/>
      </w:divBdr>
    </w:div>
    <w:div w:id="1231961176">
      <w:bodyDiv w:val="1"/>
      <w:marLeft w:val="0"/>
      <w:marRight w:val="0"/>
      <w:marTop w:val="0"/>
      <w:marBottom w:val="0"/>
      <w:divBdr>
        <w:top w:val="none" w:sz="0" w:space="0" w:color="auto"/>
        <w:left w:val="none" w:sz="0" w:space="0" w:color="auto"/>
        <w:bottom w:val="none" w:sz="0" w:space="0" w:color="auto"/>
        <w:right w:val="none" w:sz="0" w:space="0" w:color="auto"/>
      </w:divBdr>
    </w:div>
    <w:div w:id="1232423539">
      <w:bodyDiv w:val="1"/>
      <w:marLeft w:val="0"/>
      <w:marRight w:val="0"/>
      <w:marTop w:val="0"/>
      <w:marBottom w:val="0"/>
      <w:divBdr>
        <w:top w:val="none" w:sz="0" w:space="0" w:color="auto"/>
        <w:left w:val="none" w:sz="0" w:space="0" w:color="auto"/>
        <w:bottom w:val="none" w:sz="0" w:space="0" w:color="auto"/>
        <w:right w:val="none" w:sz="0" w:space="0" w:color="auto"/>
      </w:divBdr>
    </w:div>
    <w:div w:id="1232807417">
      <w:bodyDiv w:val="1"/>
      <w:marLeft w:val="0"/>
      <w:marRight w:val="0"/>
      <w:marTop w:val="0"/>
      <w:marBottom w:val="0"/>
      <w:divBdr>
        <w:top w:val="none" w:sz="0" w:space="0" w:color="auto"/>
        <w:left w:val="none" w:sz="0" w:space="0" w:color="auto"/>
        <w:bottom w:val="none" w:sz="0" w:space="0" w:color="auto"/>
        <w:right w:val="none" w:sz="0" w:space="0" w:color="auto"/>
      </w:divBdr>
      <w:divsChild>
        <w:div w:id="1520436381">
          <w:marLeft w:val="0"/>
          <w:marRight w:val="0"/>
          <w:marTop w:val="0"/>
          <w:marBottom w:val="0"/>
          <w:divBdr>
            <w:top w:val="none" w:sz="0" w:space="0" w:color="auto"/>
            <w:left w:val="none" w:sz="0" w:space="0" w:color="auto"/>
            <w:bottom w:val="none" w:sz="0" w:space="0" w:color="auto"/>
            <w:right w:val="none" w:sz="0" w:space="0" w:color="auto"/>
          </w:divBdr>
        </w:div>
        <w:div w:id="186529473">
          <w:marLeft w:val="0"/>
          <w:marRight w:val="0"/>
          <w:marTop w:val="0"/>
          <w:marBottom w:val="0"/>
          <w:divBdr>
            <w:top w:val="none" w:sz="0" w:space="0" w:color="auto"/>
            <w:left w:val="none" w:sz="0" w:space="0" w:color="auto"/>
            <w:bottom w:val="none" w:sz="0" w:space="0" w:color="auto"/>
            <w:right w:val="none" w:sz="0" w:space="0" w:color="auto"/>
          </w:divBdr>
        </w:div>
        <w:div w:id="698628037">
          <w:marLeft w:val="0"/>
          <w:marRight w:val="0"/>
          <w:marTop w:val="0"/>
          <w:marBottom w:val="0"/>
          <w:divBdr>
            <w:top w:val="none" w:sz="0" w:space="0" w:color="auto"/>
            <w:left w:val="none" w:sz="0" w:space="0" w:color="auto"/>
            <w:bottom w:val="none" w:sz="0" w:space="0" w:color="auto"/>
            <w:right w:val="none" w:sz="0" w:space="0" w:color="auto"/>
          </w:divBdr>
        </w:div>
        <w:div w:id="460921059">
          <w:marLeft w:val="0"/>
          <w:marRight w:val="0"/>
          <w:marTop w:val="0"/>
          <w:marBottom w:val="0"/>
          <w:divBdr>
            <w:top w:val="none" w:sz="0" w:space="0" w:color="auto"/>
            <w:left w:val="none" w:sz="0" w:space="0" w:color="auto"/>
            <w:bottom w:val="none" w:sz="0" w:space="0" w:color="auto"/>
            <w:right w:val="none" w:sz="0" w:space="0" w:color="auto"/>
          </w:divBdr>
        </w:div>
        <w:div w:id="1239943794">
          <w:marLeft w:val="0"/>
          <w:marRight w:val="0"/>
          <w:marTop w:val="0"/>
          <w:marBottom w:val="0"/>
          <w:divBdr>
            <w:top w:val="none" w:sz="0" w:space="0" w:color="auto"/>
            <w:left w:val="none" w:sz="0" w:space="0" w:color="auto"/>
            <w:bottom w:val="none" w:sz="0" w:space="0" w:color="auto"/>
            <w:right w:val="none" w:sz="0" w:space="0" w:color="auto"/>
          </w:divBdr>
        </w:div>
      </w:divsChild>
    </w:div>
    <w:div w:id="1233152999">
      <w:bodyDiv w:val="1"/>
      <w:marLeft w:val="0"/>
      <w:marRight w:val="0"/>
      <w:marTop w:val="0"/>
      <w:marBottom w:val="0"/>
      <w:divBdr>
        <w:top w:val="none" w:sz="0" w:space="0" w:color="auto"/>
        <w:left w:val="none" w:sz="0" w:space="0" w:color="auto"/>
        <w:bottom w:val="none" w:sz="0" w:space="0" w:color="auto"/>
        <w:right w:val="none" w:sz="0" w:space="0" w:color="auto"/>
      </w:divBdr>
    </w:div>
    <w:div w:id="1234120895">
      <w:bodyDiv w:val="1"/>
      <w:marLeft w:val="0"/>
      <w:marRight w:val="0"/>
      <w:marTop w:val="0"/>
      <w:marBottom w:val="0"/>
      <w:divBdr>
        <w:top w:val="none" w:sz="0" w:space="0" w:color="auto"/>
        <w:left w:val="none" w:sz="0" w:space="0" w:color="auto"/>
        <w:bottom w:val="none" w:sz="0" w:space="0" w:color="auto"/>
        <w:right w:val="none" w:sz="0" w:space="0" w:color="auto"/>
      </w:divBdr>
    </w:div>
    <w:div w:id="1234702998">
      <w:bodyDiv w:val="1"/>
      <w:marLeft w:val="0"/>
      <w:marRight w:val="0"/>
      <w:marTop w:val="0"/>
      <w:marBottom w:val="0"/>
      <w:divBdr>
        <w:top w:val="none" w:sz="0" w:space="0" w:color="auto"/>
        <w:left w:val="none" w:sz="0" w:space="0" w:color="auto"/>
        <w:bottom w:val="none" w:sz="0" w:space="0" w:color="auto"/>
        <w:right w:val="none" w:sz="0" w:space="0" w:color="auto"/>
      </w:divBdr>
    </w:div>
    <w:div w:id="1235706083">
      <w:bodyDiv w:val="1"/>
      <w:marLeft w:val="0"/>
      <w:marRight w:val="0"/>
      <w:marTop w:val="0"/>
      <w:marBottom w:val="0"/>
      <w:divBdr>
        <w:top w:val="none" w:sz="0" w:space="0" w:color="auto"/>
        <w:left w:val="none" w:sz="0" w:space="0" w:color="auto"/>
        <w:bottom w:val="none" w:sz="0" w:space="0" w:color="auto"/>
        <w:right w:val="none" w:sz="0" w:space="0" w:color="auto"/>
      </w:divBdr>
    </w:div>
    <w:div w:id="1235820416">
      <w:bodyDiv w:val="1"/>
      <w:marLeft w:val="0"/>
      <w:marRight w:val="0"/>
      <w:marTop w:val="0"/>
      <w:marBottom w:val="0"/>
      <w:divBdr>
        <w:top w:val="none" w:sz="0" w:space="0" w:color="auto"/>
        <w:left w:val="none" w:sz="0" w:space="0" w:color="auto"/>
        <w:bottom w:val="none" w:sz="0" w:space="0" w:color="auto"/>
        <w:right w:val="none" w:sz="0" w:space="0" w:color="auto"/>
      </w:divBdr>
    </w:div>
    <w:div w:id="1235969216">
      <w:bodyDiv w:val="1"/>
      <w:marLeft w:val="0"/>
      <w:marRight w:val="0"/>
      <w:marTop w:val="0"/>
      <w:marBottom w:val="0"/>
      <w:divBdr>
        <w:top w:val="none" w:sz="0" w:space="0" w:color="auto"/>
        <w:left w:val="none" w:sz="0" w:space="0" w:color="auto"/>
        <w:bottom w:val="none" w:sz="0" w:space="0" w:color="auto"/>
        <w:right w:val="none" w:sz="0" w:space="0" w:color="auto"/>
      </w:divBdr>
    </w:div>
    <w:div w:id="1237519822">
      <w:bodyDiv w:val="1"/>
      <w:marLeft w:val="0"/>
      <w:marRight w:val="0"/>
      <w:marTop w:val="0"/>
      <w:marBottom w:val="0"/>
      <w:divBdr>
        <w:top w:val="none" w:sz="0" w:space="0" w:color="auto"/>
        <w:left w:val="none" w:sz="0" w:space="0" w:color="auto"/>
        <w:bottom w:val="none" w:sz="0" w:space="0" w:color="auto"/>
        <w:right w:val="none" w:sz="0" w:space="0" w:color="auto"/>
      </w:divBdr>
    </w:div>
    <w:div w:id="1237862673">
      <w:bodyDiv w:val="1"/>
      <w:marLeft w:val="0"/>
      <w:marRight w:val="0"/>
      <w:marTop w:val="0"/>
      <w:marBottom w:val="0"/>
      <w:divBdr>
        <w:top w:val="none" w:sz="0" w:space="0" w:color="auto"/>
        <w:left w:val="none" w:sz="0" w:space="0" w:color="auto"/>
        <w:bottom w:val="none" w:sz="0" w:space="0" w:color="auto"/>
        <w:right w:val="none" w:sz="0" w:space="0" w:color="auto"/>
      </w:divBdr>
    </w:div>
    <w:div w:id="1238713547">
      <w:bodyDiv w:val="1"/>
      <w:marLeft w:val="0"/>
      <w:marRight w:val="0"/>
      <w:marTop w:val="0"/>
      <w:marBottom w:val="0"/>
      <w:divBdr>
        <w:top w:val="none" w:sz="0" w:space="0" w:color="auto"/>
        <w:left w:val="none" w:sz="0" w:space="0" w:color="auto"/>
        <w:bottom w:val="none" w:sz="0" w:space="0" w:color="auto"/>
        <w:right w:val="none" w:sz="0" w:space="0" w:color="auto"/>
      </w:divBdr>
      <w:divsChild>
        <w:div w:id="967392389">
          <w:marLeft w:val="0"/>
          <w:marRight w:val="0"/>
          <w:marTop w:val="0"/>
          <w:marBottom w:val="0"/>
          <w:divBdr>
            <w:top w:val="none" w:sz="0" w:space="0" w:color="auto"/>
            <w:left w:val="none" w:sz="0" w:space="0" w:color="auto"/>
            <w:bottom w:val="none" w:sz="0" w:space="0" w:color="auto"/>
            <w:right w:val="none" w:sz="0" w:space="0" w:color="auto"/>
          </w:divBdr>
        </w:div>
        <w:div w:id="1532186903">
          <w:marLeft w:val="0"/>
          <w:marRight w:val="0"/>
          <w:marTop w:val="0"/>
          <w:marBottom w:val="0"/>
          <w:divBdr>
            <w:top w:val="none" w:sz="0" w:space="0" w:color="auto"/>
            <w:left w:val="none" w:sz="0" w:space="0" w:color="auto"/>
            <w:bottom w:val="none" w:sz="0" w:space="0" w:color="auto"/>
            <w:right w:val="none" w:sz="0" w:space="0" w:color="auto"/>
          </w:divBdr>
        </w:div>
        <w:div w:id="1973486637">
          <w:marLeft w:val="0"/>
          <w:marRight w:val="0"/>
          <w:marTop w:val="0"/>
          <w:marBottom w:val="0"/>
          <w:divBdr>
            <w:top w:val="none" w:sz="0" w:space="0" w:color="auto"/>
            <w:left w:val="none" w:sz="0" w:space="0" w:color="auto"/>
            <w:bottom w:val="none" w:sz="0" w:space="0" w:color="auto"/>
            <w:right w:val="none" w:sz="0" w:space="0" w:color="auto"/>
          </w:divBdr>
        </w:div>
      </w:divsChild>
    </w:div>
    <w:div w:id="1239243297">
      <w:bodyDiv w:val="1"/>
      <w:marLeft w:val="0"/>
      <w:marRight w:val="0"/>
      <w:marTop w:val="0"/>
      <w:marBottom w:val="0"/>
      <w:divBdr>
        <w:top w:val="none" w:sz="0" w:space="0" w:color="auto"/>
        <w:left w:val="none" w:sz="0" w:space="0" w:color="auto"/>
        <w:bottom w:val="none" w:sz="0" w:space="0" w:color="auto"/>
        <w:right w:val="none" w:sz="0" w:space="0" w:color="auto"/>
      </w:divBdr>
    </w:div>
    <w:div w:id="1241255589">
      <w:bodyDiv w:val="1"/>
      <w:marLeft w:val="0"/>
      <w:marRight w:val="0"/>
      <w:marTop w:val="0"/>
      <w:marBottom w:val="0"/>
      <w:divBdr>
        <w:top w:val="none" w:sz="0" w:space="0" w:color="auto"/>
        <w:left w:val="none" w:sz="0" w:space="0" w:color="auto"/>
        <w:bottom w:val="none" w:sz="0" w:space="0" w:color="auto"/>
        <w:right w:val="none" w:sz="0" w:space="0" w:color="auto"/>
      </w:divBdr>
    </w:div>
    <w:div w:id="1241453150">
      <w:bodyDiv w:val="1"/>
      <w:marLeft w:val="0"/>
      <w:marRight w:val="0"/>
      <w:marTop w:val="0"/>
      <w:marBottom w:val="0"/>
      <w:divBdr>
        <w:top w:val="none" w:sz="0" w:space="0" w:color="auto"/>
        <w:left w:val="none" w:sz="0" w:space="0" w:color="auto"/>
        <w:bottom w:val="none" w:sz="0" w:space="0" w:color="auto"/>
        <w:right w:val="none" w:sz="0" w:space="0" w:color="auto"/>
      </w:divBdr>
    </w:div>
    <w:div w:id="1241596887">
      <w:bodyDiv w:val="1"/>
      <w:marLeft w:val="0"/>
      <w:marRight w:val="0"/>
      <w:marTop w:val="0"/>
      <w:marBottom w:val="0"/>
      <w:divBdr>
        <w:top w:val="none" w:sz="0" w:space="0" w:color="auto"/>
        <w:left w:val="none" w:sz="0" w:space="0" w:color="auto"/>
        <w:bottom w:val="none" w:sz="0" w:space="0" w:color="auto"/>
        <w:right w:val="none" w:sz="0" w:space="0" w:color="auto"/>
      </w:divBdr>
    </w:div>
    <w:div w:id="1242061015">
      <w:bodyDiv w:val="1"/>
      <w:marLeft w:val="0"/>
      <w:marRight w:val="0"/>
      <w:marTop w:val="0"/>
      <w:marBottom w:val="0"/>
      <w:divBdr>
        <w:top w:val="none" w:sz="0" w:space="0" w:color="auto"/>
        <w:left w:val="none" w:sz="0" w:space="0" w:color="auto"/>
        <w:bottom w:val="none" w:sz="0" w:space="0" w:color="auto"/>
        <w:right w:val="none" w:sz="0" w:space="0" w:color="auto"/>
      </w:divBdr>
    </w:div>
    <w:div w:id="1242061040">
      <w:bodyDiv w:val="1"/>
      <w:marLeft w:val="0"/>
      <w:marRight w:val="0"/>
      <w:marTop w:val="0"/>
      <w:marBottom w:val="0"/>
      <w:divBdr>
        <w:top w:val="none" w:sz="0" w:space="0" w:color="auto"/>
        <w:left w:val="none" w:sz="0" w:space="0" w:color="auto"/>
        <w:bottom w:val="none" w:sz="0" w:space="0" w:color="auto"/>
        <w:right w:val="none" w:sz="0" w:space="0" w:color="auto"/>
      </w:divBdr>
    </w:div>
    <w:div w:id="1242179148">
      <w:bodyDiv w:val="1"/>
      <w:marLeft w:val="0"/>
      <w:marRight w:val="0"/>
      <w:marTop w:val="0"/>
      <w:marBottom w:val="0"/>
      <w:divBdr>
        <w:top w:val="none" w:sz="0" w:space="0" w:color="auto"/>
        <w:left w:val="none" w:sz="0" w:space="0" w:color="auto"/>
        <w:bottom w:val="none" w:sz="0" w:space="0" w:color="auto"/>
        <w:right w:val="none" w:sz="0" w:space="0" w:color="auto"/>
      </w:divBdr>
    </w:div>
    <w:div w:id="1243101315">
      <w:bodyDiv w:val="1"/>
      <w:marLeft w:val="0"/>
      <w:marRight w:val="0"/>
      <w:marTop w:val="0"/>
      <w:marBottom w:val="0"/>
      <w:divBdr>
        <w:top w:val="none" w:sz="0" w:space="0" w:color="auto"/>
        <w:left w:val="none" w:sz="0" w:space="0" w:color="auto"/>
        <w:bottom w:val="none" w:sz="0" w:space="0" w:color="auto"/>
        <w:right w:val="none" w:sz="0" w:space="0" w:color="auto"/>
      </w:divBdr>
    </w:div>
    <w:div w:id="1243182420">
      <w:bodyDiv w:val="1"/>
      <w:marLeft w:val="0"/>
      <w:marRight w:val="0"/>
      <w:marTop w:val="0"/>
      <w:marBottom w:val="0"/>
      <w:divBdr>
        <w:top w:val="none" w:sz="0" w:space="0" w:color="auto"/>
        <w:left w:val="none" w:sz="0" w:space="0" w:color="auto"/>
        <w:bottom w:val="none" w:sz="0" w:space="0" w:color="auto"/>
        <w:right w:val="none" w:sz="0" w:space="0" w:color="auto"/>
      </w:divBdr>
    </w:div>
    <w:div w:id="1243488243">
      <w:bodyDiv w:val="1"/>
      <w:marLeft w:val="0"/>
      <w:marRight w:val="0"/>
      <w:marTop w:val="0"/>
      <w:marBottom w:val="0"/>
      <w:divBdr>
        <w:top w:val="none" w:sz="0" w:space="0" w:color="auto"/>
        <w:left w:val="none" w:sz="0" w:space="0" w:color="auto"/>
        <w:bottom w:val="none" w:sz="0" w:space="0" w:color="auto"/>
        <w:right w:val="none" w:sz="0" w:space="0" w:color="auto"/>
      </w:divBdr>
    </w:div>
    <w:div w:id="1245452049">
      <w:bodyDiv w:val="1"/>
      <w:marLeft w:val="0"/>
      <w:marRight w:val="0"/>
      <w:marTop w:val="0"/>
      <w:marBottom w:val="0"/>
      <w:divBdr>
        <w:top w:val="none" w:sz="0" w:space="0" w:color="auto"/>
        <w:left w:val="none" w:sz="0" w:space="0" w:color="auto"/>
        <w:bottom w:val="none" w:sz="0" w:space="0" w:color="auto"/>
        <w:right w:val="none" w:sz="0" w:space="0" w:color="auto"/>
      </w:divBdr>
    </w:div>
    <w:div w:id="1245917636">
      <w:bodyDiv w:val="1"/>
      <w:marLeft w:val="0"/>
      <w:marRight w:val="0"/>
      <w:marTop w:val="0"/>
      <w:marBottom w:val="0"/>
      <w:divBdr>
        <w:top w:val="none" w:sz="0" w:space="0" w:color="auto"/>
        <w:left w:val="none" w:sz="0" w:space="0" w:color="auto"/>
        <w:bottom w:val="none" w:sz="0" w:space="0" w:color="auto"/>
        <w:right w:val="none" w:sz="0" w:space="0" w:color="auto"/>
      </w:divBdr>
      <w:divsChild>
        <w:div w:id="1502232735">
          <w:marLeft w:val="0"/>
          <w:marRight w:val="0"/>
          <w:marTop w:val="0"/>
          <w:marBottom w:val="0"/>
          <w:divBdr>
            <w:top w:val="none" w:sz="0" w:space="0" w:color="auto"/>
            <w:left w:val="none" w:sz="0" w:space="0" w:color="auto"/>
            <w:bottom w:val="none" w:sz="0" w:space="0" w:color="auto"/>
            <w:right w:val="none" w:sz="0" w:space="0" w:color="auto"/>
          </w:divBdr>
        </w:div>
        <w:div w:id="646321452">
          <w:marLeft w:val="0"/>
          <w:marRight w:val="0"/>
          <w:marTop w:val="0"/>
          <w:marBottom w:val="0"/>
          <w:divBdr>
            <w:top w:val="none" w:sz="0" w:space="0" w:color="auto"/>
            <w:left w:val="none" w:sz="0" w:space="0" w:color="auto"/>
            <w:bottom w:val="none" w:sz="0" w:space="0" w:color="auto"/>
            <w:right w:val="none" w:sz="0" w:space="0" w:color="auto"/>
          </w:divBdr>
        </w:div>
      </w:divsChild>
    </w:div>
    <w:div w:id="1246300265">
      <w:bodyDiv w:val="1"/>
      <w:marLeft w:val="0"/>
      <w:marRight w:val="0"/>
      <w:marTop w:val="0"/>
      <w:marBottom w:val="0"/>
      <w:divBdr>
        <w:top w:val="none" w:sz="0" w:space="0" w:color="auto"/>
        <w:left w:val="none" w:sz="0" w:space="0" w:color="auto"/>
        <w:bottom w:val="none" w:sz="0" w:space="0" w:color="auto"/>
        <w:right w:val="none" w:sz="0" w:space="0" w:color="auto"/>
      </w:divBdr>
    </w:div>
    <w:div w:id="1246914756">
      <w:bodyDiv w:val="1"/>
      <w:marLeft w:val="0"/>
      <w:marRight w:val="0"/>
      <w:marTop w:val="0"/>
      <w:marBottom w:val="0"/>
      <w:divBdr>
        <w:top w:val="none" w:sz="0" w:space="0" w:color="auto"/>
        <w:left w:val="none" w:sz="0" w:space="0" w:color="auto"/>
        <w:bottom w:val="none" w:sz="0" w:space="0" w:color="auto"/>
        <w:right w:val="none" w:sz="0" w:space="0" w:color="auto"/>
      </w:divBdr>
    </w:div>
    <w:div w:id="1246960822">
      <w:bodyDiv w:val="1"/>
      <w:marLeft w:val="0"/>
      <w:marRight w:val="0"/>
      <w:marTop w:val="0"/>
      <w:marBottom w:val="0"/>
      <w:divBdr>
        <w:top w:val="none" w:sz="0" w:space="0" w:color="auto"/>
        <w:left w:val="none" w:sz="0" w:space="0" w:color="auto"/>
        <w:bottom w:val="none" w:sz="0" w:space="0" w:color="auto"/>
        <w:right w:val="none" w:sz="0" w:space="0" w:color="auto"/>
      </w:divBdr>
    </w:div>
    <w:div w:id="1248081269">
      <w:bodyDiv w:val="1"/>
      <w:marLeft w:val="0"/>
      <w:marRight w:val="0"/>
      <w:marTop w:val="0"/>
      <w:marBottom w:val="0"/>
      <w:divBdr>
        <w:top w:val="none" w:sz="0" w:space="0" w:color="auto"/>
        <w:left w:val="none" w:sz="0" w:space="0" w:color="auto"/>
        <w:bottom w:val="none" w:sz="0" w:space="0" w:color="auto"/>
        <w:right w:val="none" w:sz="0" w:space="0" w:color="auto"/>
      </w:divBdr>
    </w:div>
    <w:div w:id="1249004056">
      <w:bodyDiv w:val="1"/>
      <w:marLeft w:val="0"/>
      <w:marRight w:val="0"/>
      <w:marTop w:val="0"/>
      <w:marBottom w:val="0"/>
      <w:divBdr>
        <w:top w:val="none" w:sz="0" w:space="0" w:color="auto"/>
        <w:left w:val="none" w:sz="0" w:space="0" w:color="auto"/>
        <w:bottom w:val="none" w:sz="0" w:space="0" w:color="auto"/>
        <w:right w:val="none" w:sz="0" w:space="0" w:color="auto"/>
      </w:divBdr>
    </w:div>
    <w:div w:id="1250231601">
      <w:bodyDiv w:val="1"/>
      <w:marLeft w:val="0"/>
      <w:marRight w:val="0"/>
      <w:marTop w:val="0"/>
      <w:marBottom w:val="0"/>
      <w:divBdr>
        <w:top w:val="none" w:sz="0" w:space="0" w:color="auto"/>
        <w:left w:val="none" w:sz="0" w:space="0" w:color="auto"/>
        <w:bottom w:val="none" w:sz="0" w:space="0" w:color="auto"/>
        <w:right w:val="none" w:sz="0" w:space="0" w:color="auto"/>
      </w:divBdr>
    </w:div>
    <w:div w:id="1250653202">
      <w:bodyDiv w:val="1"/>
      <w:marLeft w:val="0"/>
      <w:marRight w:val="0"/>
      <w:marTop w:val="0"/>
      <w:marBottom w:val="0"/>
      <w:divBdr>
        <w:top w:val="none" w:sz="0" w:space="0" w:color="auto"/>
        <w:left w:val="none" w:sz="0" w:space="0" w:color="auto"/>
        <w:bottom w:val="none" w:sz="0" w:space="0" w:color="auto"/>
        <w:right w:val="none" w:sz="0" w:space="0" w:color="auto"/>
      </w:divBdr>
    </w:div>
    <w:div w:id="1251619989">
      <w:bodyDiv w:val="1"/>
      <w:marLeft w:val="0"/>
      <w:marRight w:val="0"/>
      <w:marTop w:val="0"/>
      <w:marBottom w:val="0"/>
      <w:divBdr>
        <w:top w:val="none" w:sz="0" w:space="0" w:color="auto"/>
        <w:left w:val="none" w:sz="0" w:space="0" w:color="auto"/>
        <w:bottom w:val="none" w:sz="0" w:space="0" w:color="auto"/>
        <w:right w:val="none" w:sz="0" w:space="0" w:color="auto"/>
      </w:divBdr>
    </w:div>
    <w:div w:id="1252082065">
      <w:bodyDiv w:val="1"/>
      <w:marLeft w:val="0"/>
      <w:marRight w:val="0"/>
      <w:marTop w:val="0"/>
      <w:marBottom w:val="0"/>
      <w:divBdr>
        <w:top w:val="none" w:sz="0" w:space="0" w:color="auto"/>
        <w:left w:val="none" w:sz="0" w:space="0" w:color="auto"/>
        <w:bottom w:val="none" w:sz="0" w:space="0" w:color="auto"/>
        <w:right w:val="none" w:sz="0" w:space="0" w:color="auto"/>
      </w:divBdr>
    </w:div>
    <w:div w:id="1252198921">
      <w:bodyDiv w:val="1"/>
      <w:marLeft w:val="0"/>
      <w:marRight w:val="0"/>
      <w:marTop w:val="0"/>
      <w:marBottom w:val="0"/>
      <w:divBdr>
        <w:top w:val="none" w:sz="0" w:space="0" w:color="auto"/>
        <w:left w:val="none" w:sz="0" w:space="0" w:color="auto"/>
        <w:bottom w:val="none" w:sz="0" w:space="0" w:color="auto"/>
        <w:right w:val="none" w:sz="0" w:space="0" w:color="auto"/>
      </w:divBdr>
    </w:div>
    <w:div w:id="1252544674">
      <w:bodyDiv w:val="1"/>
      <w:marLeft w:val="0"/>
      <w:marRight w:val="0"/>
      <w:marTop w:val="0"/>
      <w:marBottom w:val="0"/>
      <w:divBdr>
        <w:top w:val="none" w:sz="0" w:space="0" w:color="auto"/>
        <w:left w:val="none" w:sz="0" w:space="0" w:color="auto"/>
        <w:bottom w:val="none" w:sz="0" w:space="0" w:color="auto"/>
        <w:right w:val="none" w:sz="0" w:space="0" w:color="auto"/>
      </w:divBdr>
    </w:div>
    <w:div w:id="1252931807">
      <w:bodyDiv w:val="1"/>
      <w:marLeft w:val="0"/>
      <w:marRight w:val="0"/>
      <w:marTop w:val="0"/>
      <w:marBottom w:val="0"/>
      <w:divBdr>
        <w:top w:val="none" w:sz="0" w:space="0" w:color="auto"/>
        <w:left w:val="none" w:sz="0" w:space="0" w:color="auto"/>
        <w:bottom w:val="none" w:sz="0" w:space="0" w:color="auto"/>
        <w:right w:val="none" w:sz="0" w:space="0" w:color="auto"/>
      </w:divBdr>
    </w:div>
    <w:div w:id="1252935123">
      <w:bodyDiv w:val="1"/>
      <w:marLeft w:val="0"/>
      <w:marRight w:val="0"/>
      <w:marTop w:val="0"/>
      <w:marBottom w:val="0"/>
      <w:divBdr>
        <w:top w:val="none" w:sz="0" w:space="0" w:color="auto"/>
        <w:left w:val="none" w:sz="0" w:space="0" w:color="auto"/>
        <w:bottom w:val="none" w:sz="0" w:space="0" w:color="auto"/>
        <w:right w:val="none" w:sz="0" w:space="0" w:color="auto"/>
      </w:divBdr>
    </w:div>
    <w:div w:id="1253319398">
      <w:bodyDiv w:val="1"/>
      <w:marLeft w:val="0"/>
      <w:marRight w:val="0"/>
      <w:marTop w:val="0"/>
      <w:marBottom w:val="0"/>
      <w:divBdr>
        <w:top w:val="none" w:sz="0" w:space="0" w:color="auto"/>
        <w:left w:val="none" w:sz="0" w:space="0" w:color="auto"/>
        <w:bottom w:val="none" w:sz="0" w:space="0" w:color="auto"/>
        <w:right w:val="none" w:sz="0" w:space="0" w:color="auto"/>
      </w:divBdr>
    </w:div>
    <w:div w:id="1253854408">
      <w:bodyDiv w:val="1"/>
      <w:marLeft w:val="0"/>
      <w:marRight w:val="0"/>
      <w:marTop w:val="0"/>
      <w:marBottom w:val="0"/>
      <w:divBdr>
        <w:top w:val="none" w:sz="0" w:space="0" w:color="auto"/>
        <w:left w:val="none" w:sz="0" w:space="0" w:color="auto"/>
        <w:bottom w:val="none" w:sz="0" w:space="0" w:color="auto"/>
        <w:right w:val="none" w:sz="0" w:space="0" w:color="auto"/>
      </w:divBdr>
    </w:div>
    <w:div w:id="1254391550">
      <w:bodyDiv w:val="1"/>
      <w:marLeft w:val="0"/>
      <w:marRight w:val="0"/>
      <w:marTop w:val="0"/>
      <w:marBottom w:val="0"/>
      <w:divBdr>
        <w:top w:val="none" w:sz="0" w:space="0" w:color="auto"/>
        <w:left w:val="none" w:sz="0" w:space="0" w:color="auto"/>
        <w:bottom w:val="none" w:sz="0" w:space="0" w:color="auto"/>
        <w:right w:val="none" w:sz="0" w:space="0" w:color="auto"/>
      </w:divBdr>
    </w:div>
    <w:div w:id="1254508102">
      <w:bodyDiv w:val="1"/>
      <w:marLeft w:val="0"/>
      <w:marRight w:val="0"/>
      <w:marTop w:val="0"/>
      <w:marBottom w:val="0"/>
      <w:divBdr>
        <w:top w:val="none" w:sz="0" w:space="0" w:color="auto"/>
        <w:left w:val="none" w:sz="0" w:space="0" w:color="auto"/>
        <w:bottom w:val="none" w:sz="0" w:space="0" w:color="auto"/>
        <w:right w:val="none" w:sz="0" w:space="0" w:color="auto"/>
      </w:divBdr>
    </w:div>
    <w:div w:id="1256092027">
      <w:bodyDiv w:val="1"/>
      <w:marLeft w:val="0"/>
      <w:marRight w:val="0"/>
      <w:marTop w:val="0"/>
      <w:marBottom w:val="0"/>
      <w:divBdr>
        <w:top w:val="none" w:sz="0" w:space="0" w:color="auto"/>
        <w:left w:val="none" w:sz="0" w:space="0" w:color="auto"/>
        <w:bottom w:val="none" w:sz="0" w:space="0" w:color="auto"/>
        <w:right w:val="none" w:sz="0" w:space="0" w:color="auto"/>
      </w:divBdr>
    </w:div>
    <w:div w:id="1256937737">
      <w:bodyDiv w:val="1"/>
      <w:marLeft w:val="0"/>
      <w:marRight w:val="0"/>
      <w:marTop w:val="0"/>
      <w:marBottom w:val="0"/>
      <w:divBdr>
        <w:top w:val="none" w:sz="0" w:space="0" w:color="auto"/>
        <w:left w:val="none" w:sz="0" w:space="0" w:color="auto"/>
        <w:bottom w:val="none" w:sz="0" w:space="0" w:color="auto"/>
        <w:right w:val="none" w:sz="0" w:space="0" w:color="auto"/>
      </w:divBdr>
    </w:div>
    <w:div w:id="1257251016">
      <w:bodyDiv w:val="1"/>
      <w:marLeft w:val="0"/>
      <w:marRight w:val="0"/>
      <w:marTop w:val="0"/>
      <w:marBottom w:val="0"/>
      <w:divBdr>
        <w:top w:val="none" w:sz="0" w:space="0" w:color="auto"/>
        <w:left w:val="none" w:sz="0" w:space="0" w:color="auto"/>
        <w:bottom w:val="none" w:sz="0" w:space="0" w:color="auto"/>
        <w:right w:val="none" w:sz="0" w:space="0" w:color="auto"/>
      </w:divBdr>
    </w:div>
    <w:div w:id="1257400001">
      <w:bodyDiv w:val="1"/>
      <w:marLeft w:val="0"/>
      <w:marRight w:val="0"/>
      <w:marTop w:val="0"/>
      <w:marBottom w:val="0"/>
      <w:divBdr>
        <w:top w:val="none" w:sz="0" w:space="0" w:color="auto"/>
        <w:left w:val="none" w:sz="0" w:space="0" w:color="auto"/>
        <w:bottom w:val="none" w:sz="0" w:space="0" w:color="auto"/>
        <w:right w:val="none" w:sz="0" w:space="0" w:color="auto"/>
      </w:divBdr>
    </w:div>
    <w:div w:id="1257713605">
      <w:bodyDiv w:val="1"/>
      <w:marLeft w:val="0"/>
      <w:marRight w:val="0"/>
      <w:marTop w:val="0"/>
      <w:marBottom w:val="0"/>
      <w:divBdr>
        <w:top w:val="none" w:sz="0" w:space="0" w:color="auto"/>
        <w:left w:val="none" w:sz="0" w:space="0" w:color="auto"/>
        <w:bottom w:val="none" w:sz="0" w:space="0" w:color="auto"/>
        <w:right w:val="none" w:sz="0" w:space="0" w:color="auto"/>
      </w:divBdr>
    </w:div>
    <w:div w:id="1259749758">
      <w:bodyDiv w:val="1"/>
      <w:marLeft w:val="0"/>
      <w:marRight w:val="0"/>
      <w:marTop w:val="0"/>
      <w:marBottom w:val="0"/>
      <w:divBdr>
        <w:top w:val="none" w:sz="0" w:space="0" w:color="auto"/>
        <w:left w:val="none" w:sz="0" w:space="0" w:color="auto"/>
        <w:bottom w:val="none" w:sz="0" w:space="0" w:color="auto"/>
        <w:right w:val="none" w:sz="0" w:space="0" w:color="auto"/>
      </w:divBdr>
    </w:div>
    <w:div w:id="1260218084">
      <w:bodyDiv w:val="1"/>
      <w:marLeft w:val="0"/>
      <w:marRight w:val="0"/>
      <w:marTop w:val="0"/>
      <w:marBottom w:val="0"/>
      <w:divBdr>
        <w:top w:val="none" w:sz="0" w:space="0" w:color="auto"/>
        <w:left w:val="none" w:sz="0" w:space="0" w:color="auto"/>
        <w:bottom w:val="none" w:sz="0" w:space="0" w:color="auto"/>
        <w:right w:val="none" w:sz="0" w:space="0" w:color="auto"/>
      </w:divBdr>
    </w:div>
    <w:div w:id="1260338141">
      <w:bodyDiv w:val="1"/>
      <w:marLeft w:val="0"/>
      <w:marRight w:val="0"/>
      <w:marTop w:val="0"/>
      <w:marBottom w:val="0"/>
      <w:divBdr>
        <w:top w:val="none" w:sz="0" w:space="0" w:color="auto"/>
        <w:left w:val="none" w:sz="0" w:space="0" w:color="auto"/>
        <w:bottom w:val="none" w:sz="0" w:space="0" w:color="auto"/>
        <w:right w:val="none" w:sz="0" w:space="0" w:color="auto"/>
      </w:divBdr>
    </w:div>
    <w:div w:id="1261446019">
      <w:bodyDiv w:val="1"/>
      <w:marLeft w:val="0"/>
      <w:marRight w:val="0"/>
      <w:marTop w:val="0"/>
      <w:marBottom w:val="0"/>
      <w:divBdr>
        <w:top w:val="none" w:sz="0" w:space="0" w:color="auto"/>
        <w:left w:val="none" w:sz="0" w:space="0" w:color="auto"/>
        <w:bottom w:val="none" w:sz="0" w:space="0" w:color="auto"/>
        <w:right w:val="none" w:sz="0" w:space="0" w:color="auto"/>
      </w:divBdr>
    </w:div>
    <w:div w:id="1262185686">
      <w:bodyDiv w:val="1"/>
      <w:marLeft w:val="0"/>
      <w:marRight w:val="0"/>
      <w:marTop w:val="0"/>
      <w:marBottom w:val="0"/>
      <w:divBdr>
        <w:top w:val="none" w:sz="0" w:space="0" w:color="auto"/>
        <w:left w:val="none" w:sz="0" w:space="0" w:color="auto"/>
        <w:bottom w:val="none" w:sz="0" w:space="0" w:color="auto"/>
        <w:right w:val="none" w:sz="0" w:space="0" w:color="auto"/>
      </w:divBdr>
    </w:div>
    <w:div w:id="1263757949">
      <w:bodyDiv w:val="1"/>
      <w:marLeft w:val="0"/>
      <w:marRight w:val="0"/>
      <w:marTop w:val="0"/>
      <w:marBottom w:val="0"/>
      <w:divBdr>
        <w:top w:val="none" w:sz="0" w:space="0" w:color="auto"/>
        <w:left w:val="none" w:sz="0" w:space="0" w:color="auto"/>
        <w:bottom w:val="none" w:sz="0" w:space="0" w:color="auto"/>
        <w:right w:val="none" w:sz="0" w:space="0" w:color="auto"/>
      </w:divBdr>
    </w:div>
    <w:div w:id="1264457225">
      <w:bodyDiv w:val="1"/>
      <w:marLeft w:val="0"/>
      <w:marRight w:val="0"/>
      <w:marTop w:val="0"/>
      <w:marBottom w:val="0"/>
      <w:divBdr>
        <w:top w:val="none" w:sz="0" w:space="0" w:color="auto"/>
        <w:left w:val="none" w:sz="0" w:space="0" w:color="auto"/>
        <w:bottom w:val="none" w:sz="0" w:space="0" w:color="auto"/>
        <w:right w:val="none" w:sz="0" w:space="0" w:color="auto"/>
      </w:divBdr>
    </w:div>
    <w:div w:id="1264729266">
      <w:bodyDiv w:val="1"/>
      <w:marLeft w:val="0"/>
      <w:marRight w:val="0"/>
      <w:marTop w:val="0"/>
      <w:marBottom w:val="0"/>
      <w:divBdr>
        <w:top w:val="none" w:sz="0" w:space="0" w:color="auto"/>
        <w:left w:val="none" w:sz="0" w:space="0" w:color="auto"/>
        <w:bottom w:val="none" w:sz="0" w:space="0" w:color="auto"/>
        <w:right w:val="none" w:sz="0" w:space="0" w:color="auto"/>
      </w:divBdr>
    </w:div>
    <w:div w:id="1264805421">
      <w:bodyDiv w:val="1"/>
      <w:marLeft w:val="0"/>
      <w:marRight w:val="0"/>
      <w:marTop w:val="0"/>
      <w:marBottom w:val="0"/>
      <w:divBdr>
        <w:top w:val="none" w:sz="0" w:space="0" w:color="auto"/>
        <w:left w:val="none" w:sz="0" w:space="0" w:color="auto"/>
        <w:bottom w:val="none" w:sz="0" w:space="0" w:color="auto"/>
        <w:right w:val="none" w:sz="0" w:space="0" w:color="auto"/>
      </w:divBdr>
    </w:div>
    <w:div w:id="1265189332">
      <w:bodyDiv w:val="1"/>
      <w:marLeft w:val="0"/>
      <w:marRight w:val="0"/>
      <w:marTop w:val="0"/>
      <w:marBottom w:val="0"/>
      <w:divBdr>
        <w:top w:val="none" w:sz="0" w:space="0" w:color="auto"/>
        <w:left w:val="none" w:sz="0" w:space="0" w:color="auto"/>
        <w:bottom w:val="none" w:sz="0" w:space="0" w:color="auto"/>
        <w:right w:val="none" w:sz="0" w:space="0" w:color="auto"/>
      </w:divBdr>
    </w:div>
    <w:div w:id="1265571625">
      <w:bodyDiv w:val="1"/>
      <w:marLeft w:val="0"/>
      <w:marRight w:val="0"/>
      <w:marTop w:val="0"/>
      <w:marBottom w:val="0"/>
      <w:divBdr>
        <w:top w:val="none" w:sz="0" w:space="0" w:color="auto"/>
        <w:left w:val="none" w:sz="0" w:space="0" w:color="auto"/>
        <w:bottom w:val="none" w:sz="0" w:space="0" w:color="auto"/>
        <w:right w:val="none" w:sz="0" w:space="0" w:color="auto"/>
      </w:divBdr>
    </w:div>
    <w:div w:id="1265697042">
      <w:bodyDiv w:val="1"/>
      <w:marLeft w:val="0"/>
      <w:marRight w:val="0"/>
      <w:marTop w:val="0"/>
      <w:marBottom w:val="0"/>
      <w:divBdr>
        <w:top w:val="none" w:sz="0" w:space="0" w:color="auto"/>
        <w:left w:val="none" w:sz="0" w:space="0" w:color="auto"/>
        <w:bottom w:val="none" w:sz="0" w:space="0" w:color="auto"/>
        <w:right w:val="none" w:sz="0" w:space="0" w:color="auto"/>
      </w:divBdr>
    </w:div>
    <w:div w:id="1266501237">
      <w:bodyDiv w:val="1"/>
      <w:marLeft w:val="0"/>
      <w:marRight w:val="0"/>
      <w:marTop w:val="0"/>
      <w:marBottom w:val="0"/>
      <w:divBdr>
        <w:top w:val="none" w:sz="0" w:space="0" w:color="auto"/>
        <w:left w:val="none" w:sz="0" w:space="0" w:color="auto"/>
        <w:bottom w:val="none" w:sz="0" w:space="0" w:color="auto"/>
        <w:right w:val="none" w:sz="0" w:space="0" w:color="auto"/>
      </w:divBdr>
    </w:div>
    <w:div w:id="1267345065">
      <w:bodyDiv w:val="1"/>
      <w:marLeft w:val="0"/>
      <w:marRight w:val="0"/>
      <w:marTop w:val="0"/>
      <w:marBottom w:val="0"/>
      <w:divBdr>
        <w:top w:val="none" w:sz="0" w:space="0" w:color="auto"/>
        <w:left w:val="none" w:sz="0" w:space="0" w:color="auto"/>
        <w:bottom w:val="none" w:sz="0" w:space="0" w:color="auto"/>
        <w:right w:val="none" w:sz="0" w:space="0" w:color="auto"/>
      </w:divBdr>
    </w:div>
    <w:div w:id="1267541413">
      <w:bodyDiv w:val="1"/>
      <w:marLeft w:val="0"/>
      <w:marRight w:val="0"/>
      <w:marTop w:val="0"/>
      <w:marBottom w:val="0"/>
      <w:divBdr>
        <w:top w:val="none" w:sz="0" w:space="0" w:color="auto"/>
        <w:left w:val="none" w:sz="0" w:space="0" w:color="auto"/>
        <w:bottom w:val="none" w:sz="0" w:space="0" w:color="auto"/>
        <w:right w:val="none" w:sz="0" w:space="0" w:color="auto"/>
      </w:divBdr>
    </w:div>
    <w:div w:id="1267664057">
      <w:bodyDiv w:val="1"/>
      <w:marLeft w:val="0"/>
      <w:marRight w:val="0"/>
      <w:marTop w:val="0"/>
      <w:marBottom w:val="0"/>
      <w:divBdr>
        <w:top w:val="none" w:sz="0" w:space="0" w:color="auto"/>
        <w:left w:val="none" w:sz="0" w:space="0" w:color="auto"/>
        <w:bottom w:val="none" w:sz="0" w:space="0" w:color="auto"/>
        <w:right w:val="none" w:sz="0" w:space="0" w:color="auto"/>
      </w:divBdr>
    </w:div>
    <w:div w:id="1268804587">
      <w:bodyDiv w:val="1"/>
      <w:marLeft w:val="0"/>
      <w:marRight w:val="0"/>
      <w:marTop w:val="0"/>
      <w:marBottom w:val="0"/>
      <w:divBdr>
        <w:top w:val="none" w:sz="0" w:space="0" w:color="auto"/>
        <w:left w:val="none" w:sz="0" w:space="0" w:color="auto"/>
        <w:bottom w:val="none" w:sz="0" w:space="0" w:color="auto"/>
        <w:right w:val="none" w:sz="0" w:space="0" w:color="auto"/>
      </w:divBdr>
    </w:div>
    <w:div w:id="1268855709">
      <w:bodyDiv w:val="1"/>
      <w:marLeft w:val="0"/>
      <w:marRight w:val="0"/>
      <w:marTop w:val="0"/>
      <w:marBottom w:val="0"/>
      <w:divBdr>
        <w:top w:val="none" w:sz="0" w:space="0" w:color="auto"/>
        <w:left w:val="none" w:sz="0" w:space="0" w:color="auto"/>
        <w:bottom w:val="none" w:sz="0" w:space="0" w:color="auto"/>
        <w:right w:val="none" w:sz="0" w:space="0" w:color="auto"/>
      </w:divBdr>
    </w:div>
    <w:div w:id="1269196379">
      <w:bodyDiv w:val="1"/>
      <w:marLeft w:val="0"/>
      <w:marRight w:val="0"/>
      <w:marTop w:val="0"/>
      <w:marBottom w:val="0"/>
      <w:divBdr>
        <w:top w:val="none" w:sz="0" w:space="0" w:color="auto"/>
        <w:left w:val="none" w:sz="0" w:space="0" w:color="auto"/>
        <w:bottom w:val="none" w:sz="0" w:space="0" w:color="auto"/>
        <w:right w:val="none" w:sz="0" w:space="0" w:color="auto"/>
      </w:divBdr>
    </w:div>
    <w:div w:id="1270160844">
      <w:bodyDiv w:val="1"/>
      <w:marLeft w:val="0"/>
      <w:marRight w:val="0"/>
      <w:marTop w:val="0"/>
      <w:marBottom w:val="0"/>
      <w:divBdr>
        <w:top w:val="none" w:sz="0" w:space="0" w:color="auto"/>
        <w:left w:val="none" w:sz="0" w:space="0" w:color="auto"/>
        <w:bottom w:val="none" w:sz="0" w:space="0" w:color="auto"/>
        <w:right w:val="none" w:sz="0" w:space="0" w:color="auto"/>
      </w:divBdr>
    </w:div>
    <w:div w:id="1271425893">
      <w:bodyDiv w:val="1"/>
      <w:marLeft w:val="0"/>
      <w:marRight w:val="0"/>
      <w:marTop w:val="0"/>
      <w:marBottom w:val="0"/>
      <w:divBdr>
        <w:top w:val="none" w:sz="0" w:space="0" w:color="auto"/>
        <w:left w:val="none" w:sz="0" w:space="0" w:color="auto"/>
        <w:bottom w:val="none" w:sz="0" w:space="0" w:color="auto"/>
        <w:right w:val="none" w:sz="0" w:space="0" w:color="auto"/>
      </w:divBdr>
    </w:div>
    <w:div w:id="1271471484">
      <w:bodyDiv w:val="1"/>
      <w:marLeft w:val="0"/>
      <w:marRight w:val="0"/>
      <w:marTop w:val="0"/>
      <w:marBottom w:val="0"/>
      <w:divBdr>
        <w:top w:val="none" w:sz="0" w:space="0" w:color="auto"/>
        <w:left w:val="none" w:sz="0" w:space="0" w:color="auto"/>
        <w:bottom w:val="none" w:sz="0" w:space="0" w:color="auto"/>
        <w:right w:val="none" w:sz="0" w:space="0" w:color="auto"/>
      </w:divBdr>
    </w:div>
    <w:div w:id="1271931982">
      <w:bodyDiv w:val="1"/>
      <w:marLeft w:val="0"/>
      <w:marRight w:val="0"/>
      <w:marTop w:val="0"/>
      <w:marBottom w:val="0"/>
      <w:divBdr>
        <w:top w:val="none" w:sz="0" w:space="0" w:color="auto"/>
        <w:left w:val="none" w:sz="0" w:space="0" w:color="auto"/>
        <w:bottom w:val="none" w:sz="0" w:space="0" w:color="auto"/>
        <w:right w:val="none" w:sz="0" w:space="0" w:color="auto"/>
      </w:divBdr>
    </w:div>
    <w:div w:id="1272317545">
      <w:bodyDiv w:val="1"/>
      <w:marLeft w:val="0"/>
      <w:marRight w:val="0"/>
      <w:marTop w:val="0"/>
      <w:marBottom w:val="0"/>
      <w:divBdr>
        <w:top w:val="none" w:sz="0" w:space="0" w:color="auto"/>
        <w:left w:val="none" w:sz="0" w:space="0" w:color="auto"/>
        <w:bottom w:val="none" w:sz="0" w:space="0" w:color="auto"/>
        <w:right w:val="none" w:sz="0" w:space="0" w:color="auto"/>
      </w:divBdr>
    </w:div>
    <w:div w:id="1272323642">
      <w:bodyDiv w:val="1"/>
      <w:marLeft w:val="0"/>
      <w:marRight w:val="0"/>
      <w:marTop w:val="0"/>
      <w:marBottom w:val="0"/>
      <w:divBdr>
        <w:top w:val="none" w:sz="0" w:space="0" w:color="auto"/>
        <w:left w:val="none" w:sz="0" w:space="0" w:color="auto"/>
        <w:bottom w:val="none" w:sz="0" w:space="0" w:color="auto"/>
        <w:right w:val="none" w:sz="0" w:space="0" w:color="auto"/>
      </w:divBdr>
    </w:div>
    <w:div w:id="1272593314">
      <w:bodyDiv w:val="1"/>
      <w:marLeft w:val="0"/>
      <w:marRight w:val="0"/>
      <w:marTop w:val="0"/>
      <w:marBottom w:val="0"/>
      <w:divBdr>
        <w:top w:val="none" w:sz="0" w:space="0" w:color="auto"/>
        <w:left w:val="none" w:sz="0" w:space="0" w:color="auto"/>
        <w:bottom w:val="none" w:sz="0" w:space="0" w:color="auto"/>
        <w:right w:val="none" w:sz="0" w:space="0" w:color="auto"/>
      </w:divBdr>
    </w:div>
    <w:div w:id="1272664088">
      <w:bodyDiv w:val="1"/>
      <w:marLeft w:val="0"/>
      <w:marRight w:val="0"/>
      <w:marTop w:val="0"/>
      <w:marBottom w:val="0"/>
      <w:divBdr>
        <w:top w:val="none" w:sz="0" w:space="0" w:color="auto"/>
        <w:left w:val="none" w:sz="0" w:space="0" w:color="auto"/>
        <w:bottom w:val="none" w:sz="0" w:space="0" w:color="auto"/>
        <w:right w:val="none" w:sz="0" w:space="0" w:color="auto"/>
      </w:divBdr>
    </w:div>
    <w:div w:id="1273054721">
      <w:bodyDiv w:val="1"/>
      <w:marLeft w:val="0"/>
      <w:marRight w:val="0"/>
      <w:marTop w:val="0"/>
      <w:marBottom w:val="0"/>
      <w:divBdr>
        <w:top w:val="none" w:sz="0" w:space="0" w:color="auto"/>
        <w:left w:val="none" w:sz="0" w:space="0" w:color="auto"/>
        <w:bottom w:val="none" w:sz="0" w:space="0" w:color="auto"/>
        <w:right w:val="none" w:sz="0" w:space="0" w:color="auto"/>
      </w:divBdr>
    </w:div>
    <w:div w:id="1273248335">
      <w:bodyDiv w:val="1"/>
      <w:marLeft w:val="0"/>
      <w:marRight w:val="0"/>
      <w:marTop w:val="0"/>
      <w:marBottom w:val="0"/>
      <w:divBdr>
        <w:top w:val="none" w:sz="0" w:space="0" w:color="auto"/>
        <w:left w:val="none" w:sz="0" w:space="0" w:color="auto"/>
        <w:bottom w:val="none" w:sz="0" w:space="0" w:color="auto"/>
        <w:right w:val="none" w:sz="0" w:space="0" w:color="auto"/>
      </w:divBdr>
    </w:div>
    <w:div w:id="1273366147">
      <w:bodyDiv w:val="1"/>
      <w:marLeft w:val="0"/>
      <w:marRight w:val="0"/>
      <w:marTop w:val="0"/>
      <w:marBottom w:val="0"/>
      <w:divBdr>
        <w:top w:val="none" w:sz="0" w:space="0" w:color="auto"/>
        <w:left w:val="none" w:sz="0" w:space="0" w:color="auto"/>
        <w:bottom w:val="none" w:sz="0" w:space="0" w:color="auto"/>
        <w:right w:val="none" w:sz="0" w:space="0" w:color="auto"/>
      </w:divBdr>
    </w:div>
    <w:div w:id="1273631863">
      <w:bodyDiv w:val="1"/>
      <w:marLeft w:val="0"/>
      <w:marRight w:val="0"/>
      <w:marTop w:val="0"/>
      <w:marBottom w:val="0"/>
      <w:divBdr>
        <w:top w:val="none" w:sz="0" w:space="0" w:color="auto"/>
        <w:left w:val="none" w:sz="0" w:space="0" w:color="auto"/>
        <w:bottom w:val="none" w:sz="0" w:space="0" w:color="auto"/>
        <w:right w:val="none" w:sz="0" w:space="0" w:color="auto"/>
      </w:divBdr>
    </w:div>
    <w:div w:id="1274097210">
      <w:bodyDiv w:val="1"/>
      <w:marLeft w:val="0"/>
      <w:marRight w:val="0"/>
      <w:marTop w:val="0"/>
      <w:marBottom w:val="0"/>
      <w:divBdr>
        <w:top w:val="none" w:sz="0" w:space="0" w:color="auto"/>
        <w:left w:val="none" w:sz="0" w:space="0" w:color="auto"/>
        <w:bottom w:val="none" w:sz="0" w:space="0" w:color="auto"/>
        <w:right w:val="none" w:sz="0" w:space="0" w:color="auto"/>
      </w:divBdr>
    </w:div>
    <w:div w:id="1274553459">
      <w:bodyDiv w:val="1"/>
      <w:marLeft w:val="0"/>
      <w:marRight w:val="0"/>
      <w:marTop w:val="0"/>
      <w:marBottom w:val="0"/>
      <w:divBdr>
        <w:top w:val="none" w:sz="0" w:space="0" w:color="auto"/>
        <w:left w:val="none" w:sz="0" w:space="0" w:color="auto"/>
        <w:bottom w:val="none" w:sz="0" w:space="0" w:color="auto"/>
        <w:right w:val="none" w:sz="0" w:space="0" w:color="auto"/>
      </w:divBdr>
    </w:div>
    <w:div w:id="1275014151">
      <w:bodyDiv w:val="1"/>
      <w:marLeft w:val="0"/>
      <w:marRight w:val="0"/>
      <w:marTop w:val="0"/>
      <w:marBottom w:val="0"/>
      <w:divBdr>
        <w:top w:val="none" w:sz="0" w:space="0" w:color="auto"/>
        <w:left w:val="none" w:sz="0" w:space="0" w:color="auto"/>
        <w:bottom w:val="none" w:sz="0" w:space="0" w:color="auto"/>
        <w:right w:val="none" w:sz="0" w:space="0" w:color="auto"/>
      </w:divBdr>
    </w:div>
    <w:div w:id="1277449931">
      <w:bodyDiv w:val="1"/>
      <w:marLeft w:val="0"/>
      <w:marRight w:val="0"/>
      <w:marTop w:val="0"/>
      <w:marBottom w:val="0"/>
      <w:divBdr>
        <w:top w:val="none" w:sz="0" w:space="0" w:color="auto"/>
        <w:left w:val="none" w:sz="0" w:space="0" w:color="auto"/>
        <w:bottom w:val="none" w:sz="0" w:space="0" w:color="auto"/>
        <w:right w:val="none" w:sz="0" w:space="0" w:color="auto"/>
      </w:divBdr>
    </w:div>
    <w:div w:id="1277636374">
      <w:bodyDiv w:val="1"/>
      <w:marLeft w:val="0"/>
      <w:marRight w:val="0"/>
      <w:marTop w:val="0"/>
      <w:marBottom w:val="0"/>
      <w:divBdr>
        <w:top w:val="none" w:sz="0" w:space="0" w:color="auto"/>
        <w:left w:val="none" w:sz="0" w:space="0" w:color="auto"/>
        <w:bottom w:val="none" w:sz="0" w:space="0" w:color="auto"/>
        <w:right w:val="none" w:sz="0" w:space="0" w:color="auto"/>
      </w:divBdr>
    </w:div>
    <w:div w:id="1278217033">
      <w:bodyDiv w:val="1"/>
      <w:marLeft w:val="0"/>
      <w:marRight w:val="0"/>
      <w:marTop w:val="0"/>
      <w:marBottom w:val="0"/>
      <w:divBdr>
        <w:top w:val="none" w:sz="0" w:space="0" w:color="auto"/>
        <w:left w:val="none" w:sz="0" w:space="0" w:color="auto"/>
        <w:bottom w:val="none" w:sz="0" w:space="0" w:color="auto"/>
        <w:right w:val="none" w:sz="0" w:space="0" w:color="auto"/>
      </w:divBdr>
    </w:div>
    <w:div w:id="1278371393">
      <w:bodyDiv w:val="1"/>
      <w:marLeft w:val="0"/>
      <w:marRight w:val="0"/>
      <w:marTop w:val="0"/>
      <w:marBottom w:val="0"/>
      <w:divBdr>
        <w:top w:val="none" w:sz="0" w:space="0" w:color="auto"/>
        <w:left w:val="none" w:sz="0" w:space="0" w:color="auto"/>
        <w:bottom w:val="none" w:sz="0" w:space="0" w:color="auto"/>
        <w:right w:val="none" w:sz="0" w:space="0" w:color="auto"/>
      </w:divBdr>
    </w:div>
    <w:div w:id="1279752487">
      <w:bodyDiv w:val="1"/>
      <w:marLeft w:val="0"/>
      <w:marRight w:val="0"/>
      <w:marTop w:val="0"/>
      <w:marBottom w:val="0"/>
      <w:divBdr>
        <w:top w:val="none" w:sz="0" w:space="0" w:color="auto"/>
        <w:left w:val="none" w:sz="0" w:space="0" w:color="auto"/>
        <w:bottom w:val="none" w:sz="0" w:space="0" w:color="auto"/>
        <w:right w:val="none" w:sz="0" w:space="0" w:color="auto"/>
      </w:divBdr>
    </w:div>
    <w:div w:id="1280379195">
      <w:bodyDiv w:val="1"/>
      <w:marLeft w:val="0"/>
      <w:marRight w:val="0"/>
      <w:marTop w:val="0"/>
      <w:marBottom w:val="0"/>
      <w:divBdr>
        <w:top w:val="none" w:sz="0" w:space="0" w:color="auto"/>
        <w:left w:val="none" w:sz="0" w:space="0" w:color="auto"/>
        <w:bottom w:val="none" w:sz="0" w:space="0" w:color="auto"/>
        <w:right w:val="none" w:sz="0" w:space="0" w:color="auto"/>
      </w:divBdr>
    </w:div>
    <w:div w:id="1280601319">
      <w:bodyDiv w:val="1"/>
      <w:marLeft w:val="0"/>
      <w:marRight w:val="0"/>
      <w:marTop w:val="0"/>
      <w:marBottom w:val="0"/>
      <w:divBdr>
        <w:top w:val="none" w:sz="0" w:space="0" w:color="auto"/>
        <w:left w:val="none" w:sz="0" w:space="0" w:color="auto"/>
        <w:bottom w:val="none" w:sz="0" w:space="0" w:color="auto"/>
        <w:right w:val="none" w:sz="0" w:space="0" w:color="auto"/>
      </w:divBdr>
      <w:divsChild>
        <w:div w:id="2051958120">
          <w:marLeft w:val="0"/>
          <w:marRight w:val="0"/>
          <w:marTop w:val="0"/>
          <w:marBottom w:val="0"/>
          <w:divBdr>
            <w:top w:val="none" w:sz="0" w:space="0" w:color="auto"/>
            <w:left w:val="none" w:sz="0" w:space="0" w:color="auto"/>
            <w:bottom w:val="none" w:sz="0" w:space="0" w:color="auto"/>
            <w:right w:val="none" w:sz="0" w:space="0" w:color="auto"/>
          </w:divBdr>
        </w:div>
        <w:div w:id="1803496821">
          <w:marLeft w:val="0"/>
          <w:marRight w:val="0"/>
          <w:marTop w:val="0"/>
          <w:marBottom w:val="0"/>
          <w:divBdr>
            <w:top w:val="none" w:sz="0" w:space="0" w:color="auto"/>
            <w:left w:val="none" w:sz="0" w:space="0" w:color="auto"/>
            <w:bottom w:val="none" w:sz="0" w:space="0" w:color="auto"/>
            <w:right w:val="none" w:sz="0" w:space="0" w:color="auto"/>
          </w:divBdr>
        </w:div>
        <w:div w:id="1802455249">
          <w:marLeft w:val="0"/>
          <w:marRight w:val="0"/>
          <w:marTop w:val="0"/>
          <w:marBottom w:val="0"/>
          <w:divBdr>
            <w:top w:val="none" w:sz="0" w:space="0" w:color="auto"/>
            <w:left w:val="none" w:sz="0" w:space="0" w:color="auto"/>
            <w:bottom w:val="none" w:sz="0" w:space="0" w:color="auto"/>
            <w:right w:val="none" w:sz="0" w:space="0" w:color="auto"/>
          </w:divBdr>
        </w:div>
        <w:div w:id="449013173">
          <w:marLeft w:val="0"/>
          <w:marRight w:val="0"/>
          <w:marTop w:val="0"/>
          <w:marBottom w:val="0"/>
          <w:divBdr>
            <w:top w:val="none" w:sz="0" w:space="0" w:color="auto"/>
            <w:left w:val="none" w:sz="0" w:space="0" w:color="auto"/>
            <w:bottom w:val="none" w:sz="0" w:space="0" w:color="auto"/>
            <w:right w:val="none" w:sz="0" w:space="0" w:color="auto"/>
          </w:divBdr>
        </w:div>
        <w:div w:id="1797287280">
          <w:marLeft w:val="0"/>
          <w:marRight w:val="0"/>
          <w:marTop w:val="0"/>
          <w:marBottom w:val="0"/>
          <w:divBdr>
            <w:top w:val="none" w:sz="0" w:space="0" w:color="auto"/>
            <w:left w:val="none" w:sz="0" w:space="0" w:color="auto"/>
            <w:bottom w:val="none" w:sz="0" w:space="0" w:color="auto"/>
            <w:right w:val="none" w:sz="0" w:space="0" w:color="auto"/>
          </w:divBdr>
        </w:div>
        <w:div w:id="2026514620">
          <w:marLeft w:val="0"/>
          <w:marRight w:val="0"/>
          <w:marTop w:val="0"/>
          <w:marBottom w:val="0"/>
          <w:divBdr>
            <w:top w:val="none" w:sz="0" w:space="0" w:color="auto"/>
            <w:left w:val="none" w:sz="0" w:space="0" w:color="auto"/>
            <w:bottom w:val="none" w:sz="0" w:space="0" w:color="auto"/>
            <w:right w:val="none" w:sz="0" w:space="0" w:color="auto"/>
          </w:divBdr>
        </w:div>
      </w:divsChild>
    </w:div>
    <w:div w:id="1281767131">
      <w:bodyDiv w:val="1"/>
      <w:marLeft w:val="0"/>
      <w:marRight w:val="0"/>
      <w:marTop w:val="0"/>
      <w:marBottom w:val="0"/>
      <w:divBdr>
        <w:top w:val="none" w:sz="0" w:space="0" w:color="auto"/>
        <w:left w:val="none" w:sz="0" w:space="0" w:color="auto"/>
        <w:bottom w:val="none" w:sz="0" w:space="0" w:color="auto"/>
        <w:right w:val="none" w:sz="0" w:space="0" w:color="auto"/>
      </w:divBdr>
    </w:div>
    <w:div w:id="1281837296">
      <w:bodyDiv w:val="1"/>
      <w:marLeft w:val="0"/>
      <w:marRight w:val="0"/>
      <w:marTop w:val="0"/>
      <w:marBottom w:val="0"/>
      <w:divBdr>
        <w:top w:val="none" w:sz="0" w:space="0" w:color="auto"/>
        <w:left w:val="none" w:sz="0" w:space="0" w:color="auto"/>
        <w:bottom w:val="none" w:sz="0" w:space="0" w:color="auto"/>
        <w:right w:val="none" w:sz="0" w:space="0" w:color="auto"/>
      </w:divBdr>
    </w:div>
    <w:div w:id="1283078270">
      <w:bodyDiv w:val="1"/>
      <w:marLeft w:val="0"/>
      <w:marRight w:val="0"/>
      <w:marTop w:val="0"/>
      <w:marBottom w:val="0"/>
      <w:divBdr>
        <w:top w:val="none" w:sz="0" w:space="0" w:color="auto"/>
        <w:left w:val="none" w:sz="0" w:space="0" w:color="auto"/>
        <w:bottom w:val="none" w:sz="0" w:space="0" w:color="auto"/>
        <w:right w:val="none" w:sz="0" w:space="0" w:color="auto"/>
      </w:divBdr>
    </w:div>
    <w:div w:id="1283347707">
      <w:bodyDiv w:val="1"/>
      <w:marLeft w:val="0"/>
      <w:marRight w:val="0"/>
      <w:marTop w:val="0"/>
      <w:marBottom w:val="0"/>
      <w:divBdr>
        <w:top w:val="none" w:sz="0" w:space="0" w:color="auto"/>
        <w:left w:val="none" w:sz="0" w:space="0" w:color="auto"/>
        <w:bottom w:val="none" w:sz="0" w:space="0" w:color="auto"/>
        <w:right w:val="none" w:sz="0" w:space="0" w:color="auto"/>
      </w:divBdr>
    </w:div>
    <w:div w:id="1284070466">
      <w:bodyDiv w:val="1"/>
      <w:marLeft w:val="0"/>
      <w:marRight w:val="0"/>
      <w:marTop w:val="0"/>
      <w:marBottom w:val="0"/>
      <w:divBdr>
        <w:top w:val="none" w:sz="0" w:space="0" w:color="auto"/>
        <w:left w:val="none" w:sz="0" w:space="0" w:color="auto"/>
        <w:bottom w:val="none" w:sz="0" w:space="0" w:color="auto"/>
        <w:right w:val="none" w:sz="0" w:space="0" w:color="auto"/>
      </w:divBdr>
    </w:div>
    <w:div w:id="1284848253">
      <w:bodyDiv w:val="1"/>
      <w:marLeft w:val="0"/>
      <w:marRight w:val="0"/>
      <w:marTop w:val="0"/>
      <w:marBottom w:val="0"/>
      <w:divBdr>
        <w:top w:val="none" w:sz="0" w:space="0" w:color="auto"/>
        <w:left w:val="none" w:sz="0" w:space="0" w:color="auto"/>
        <w:bottom w:val="none" w:sz="0" w:space="0" w:color="auto"/>
        <w:right w:val="none" w:sz="0" w:space="0" w:color="auto"/>
      </w:divBdr>
    </w:div>
    <w:div w:id="1285311303">
      <w:bodyDiv w:val="1"/>
      <w:marLeft w:val="0"/>
      <w:marRight w:val="0"/>
      <w:marTop w:val="0"/>
      <w:marBottom w:val="0"/>
      <w:divBdr>
        <w:top w:val="none" w:sz="0" w:space="0" w:color="auto"/>
        <w:left w:val="none" w:sz="0" w:space="0" w:color="auto"/>
        <w:bottom w:val="none" w:sz="0" w:space="0" w:color="auto"/>
        <w:right w:val="none" w:sz="0" w:space="0" w:color="auto"/>
      </w:divBdr>
    </w:div>
    <w:div w:id="1285430960">
      <w:bodyDiv w:val="1"/>
      <w:marLeft w:val="0"/>
      <w:marRight w:val="0"/>
      <w:marTop w:val="0"/>
      <w:marBottom w:val="0"/>
      <w:divBdr>
        <w:top w:val="none" w:sz="0" w:space="0" w:color="auto"/>
        <w:left w:val="none" w:sz="0" w:space="0" w:color="auto"/>
        <w:bottom w:val="none" w:sz="0" w:space="0" w:color="auto"/>
        <w:right w:val="none" w:sz="0" w:space="0" w:color="auto"/>
      </w:divBdr>
    </w:div>
    <w:div w:id="1285431598">
      <w:bodyDiv w:val="1"/>
      <w:marLeft w:val="0"/>
      <w:marRight w:val="0"/>
      <w:marTop w:val="0"/>
      <w:marBottom w:val="0"/>
      <w:divBdr>
        <w:top w:val="none" w:sz="0" w:space="0" w:color="auto"/>
        <w:left w:val="none" w:sz="0" w:space="0" w:color="auto"/>
        <w:bottom w:val="none" w:sz="0" w:space="0" w:color="auto"/>
        <w:right w:val="none" w:sz="0" w:space="0" w:color="auto"/>
      </w:divBdr>
    </w:div>
    <w:div w:id="1286349696">
      <w:bodyDiv w:val="1"/>
      <w:marLeft w:val="0"/>
      <w:marRight w:val="0"/>
      <w:marTop w:val="0"/>
      <w:marBottom w:val="0"/>
      <w:divBdr>
        <w:top w:val="none" w:sz="0" w:space="0" w:color="auto"/>
        <w:left w:val="none" w:sz="0" w:space="0" w:color="auto"/>
        <w:bottom w:val="none" w:sz="0" w:space="0" w:color="auto"/>
        <w:right w:val="none" w:sz="0" w:space="0" w:color="auto"/>
      </w:divBdr>
    </w:div>
    <w:div w:id="1286545769">
      <w:bodyDiv w:val="1"/>
      <w:marLeft w:val="0"/>
      <w:marRight w:val="0"/>
      <w:marTop w:val="0"/>
      <w:marBottom w:val="0"/>
      <w:divBdr>
        <w:top w:val="none" w:sz="0" w:space="0" w:color="auto"/>
        <w:left w:val="none" w:sz="0" w:space="0" w:color="auto"/>
        <w:bottom w:val="none" w:sz="0" w:space="0" w:color="auto"/>
        <w:right w:val="none" w:sz="0" w:space="0" w:color="auto"/>
      </w:divBdr>
    </w:div>
    <w:div w:id="1287154898">
      <w:bodyDiv w:val="1"/>
      <w:marLeft w:val="0"/>
      <w:marRight w:val="0"/>
      <w:marTop w:val="0"/>
      <w:marBottom w:val="0"/>
      <w:divBdr>
        <w:top w:val="none" w:sz="0" w:space="0" w:color="auto"/>
        <w:left w:val="none" w:sz="0" w:space="0" w:color="auto"/>
        <w:bottom w:val="none" w:sz="0" w:space="0" w:color="auto"/>
        <w:right w:val="none" w:sz="0" w:space="0" w:color="auto"/>
      </w:divBdr>
    </w:div>
    <w:div w:id="1287807123">
      <w:bodyDiv w:val="1"/>
      <w:marLeft w:val="0"/>
      <w:marRight w:val="0"/>
      <w:marTop w:val="0"/>
      <w:marBottom w:val="0"/>
      <w:divBdr>
        <w:top w:val="none" w:sz="0" w:space="0" w:color="auto"/>
        <w:left w:val="none" w:sz="0" w:space="0" w:color="auto"/>
        <w:bottom w:val="none" w:sz="0" w:space="0" w:color="auto"/>
        <w:right w:val="none" w:sz="0" w:space="0" w:color="auto"/>
      </w:divBdr>
    </w:div>
    <w:div w:id="1288122866">
      <w:bodyDiv w:val="1"/>
      <w:marLeft w:val="0"/>
      <w:marRight w:val="0"/>
      <w:marTop w:val="0"/>
      <w:marBottom w:val="0"/>
      <w:divBdr>
        <w:top w:val="none" w:sz="0" w:space="0" w:color="auto"/>
        <w:left w:val="none" w:sz="0" w:space="0" w:color="auto"/>
        <w:bottom w:val="none" w:sz="0" w:space="0" w:color="auto"/>
        <w:right w:val="none" w:sz="0" w:space="0" w:color="auto"/>
      </w:divBdr>
    </w:div>
    <w:div w:id="1288199441">
      <w:bodyDiv w:val="1"/>
      <w:marLeft w:val="0"/>
      <w:marRight w:val="0"/>
      <w:marTop w:val="0"/>
      <w:marBottom w:val="0"/>
      <w:divBdr>
        <w:top w:val="none" w:sz="0" w:space="0" w:color="auto"/>
        <w:left w:val="none" w:sz="0" w:space="0" w:color="auto"/>
        <w:bottom w:val="none" w:sz="0" w:space="0" w:color="auto"/>
        <w:right w:val="none" w:sz="0" w:space="0" w:color="auto"/>
      </w:divBdr>
    </w:div>
    <w:div w:id="1288395429">
      <w:bodyDiv w:val="1"/>
      <w:marLeft w:val="0"/>
      <w:marRight w:val="0"/>
      <w:marTop w:val="0"/>
      <w:marBottom w:val="0"/>
      <w:divBdr>
        <w:top w:val="none" w:sz="0" w:space="0" w:color="auto"/>
        <w:left w:val="none" w:sz="0" w:space="0" w:color="auto"/>
        <w:bottom w:val="none" w:sz="0" w:space="0" w:color="auto"/>
        <w:right w:val="none" w:sz="0" w:space="0" w:color="auto"/>
      </w:divBdr>
      <w:divsChild>
        <w:div w:id="9139560">
          <w:marLeft w:val="0"/>
          <w:marRight w:val="0"/>
          <w:marTop w:val="0"/>
          <w:marBottom w:val="0"/>
          <w:divBdr>
            <w:top w:val="none" w:sz="0" w:space="0" w:color="auto"/>
            <w:left w:val="none" w:sz="0" w:space="0" w:color="auto"/>
            <w:bottom w:val="none" w:sz="0" w:space="0" w:color="auto"/>
            <w:right w:val="none" w:sz="0" w:space="0" w:color="auto"/>
          </w:divBdr>
        </w:div>
        <w:div w:id="960920058">
          <w:marLeft w:val="0"/>
          <w:marRight w:val="0"/>
          <w:marTop w:val="0"/>
          <w:marBottom w:val="0"/>
          <w:divBdr>
            <w:top w:val="none" w:sz="0" w:space="0" w:color="auto"/>
            <w:left w:val="none" w:sz="0" w:space="0" w:color="auto"/>
            <w:bottom w:val="none" w:sz="0" w:space="0" w:color="auto"/>
            <w:right w:val="none" w:sz="0" w:space="0" w:color="auto"/>
          </w:divBdr>
        </w:div>
        <w:div w:id="524025970">
          <w:marLeft w:val="0"/>
          <w:marRight w:val="0"/>
          <w:marTop w:val="0"/>
          <w:marBottom w:val="0"/>
          <w:divBdr>
            <w:top w:val="none" w:sz="0" w:space="0" w:color="auto"/>
            <w:left w:val="none" w:sz="0" w:space="0" w:color="auto"/>
            <w:bottom w:val="none" w:sz="0" w:space="0" w:color="auto"/>
            <w:right w:val="none" w:sz="0" w:space="0" w:color="auto"/>
          </w:divBdr>
        </w:div>
        <w:div w:id="689842403">
          <w:marLeft w:val="0"/>
          <w:marRight w:val="0"/>
          <w:marTop w:val="0"/>
          <w:marBottom w:val="0"/>
          <w:divBdr>
            <w:top w:val="none" w:sz="0" w:space="0" w:color="auto"/>
            <w:left w:val="none" w:sz="0" w:space="0" w:color="auto"/>
            <w:bottom w:val="none" w:sz="0" w:space="0" w:color="auto"/>
            <w:right w:val="none" w:sz="0" w:space="0" w:color="auto"/>
          </w:divBdr>
        </w:div>
        <w:div w:id="629634448">
          <w:marLeft w:val="0"/>
          <w:marRight w:val="0"/>
          <w:marTop w:val="0"/>
          <w:marBottom w:val="0"/>
          <w:divBdr>
            <w:top w:val="none" w:sz="0" w:space="0" w:color="auto"/>
            <w:left w:val="none" w:sz="0" w:space="0" w:color="auto"/>
            <w:bottom w:val="none" w:sz="0" w:space="0" w:color="auto"/>
            <w:right w:val="none" w:sz="0" w:space="0" w:color="auto"/>
          </w:divBdr>
        </w:div>
      </w:divsChild>
    </w:div>
    <w:div w:id="1288586940">
      <w:bodyDiv w:val="1"/>
      <w:marLeft w:val="0"/>
      <w:marRight w:val="0"/>
      <w:marTop w:val="0"/>
      <w:marBottom w:val="0"/>
      <w:divBdr>
        <w:top w:val="none" w:sz="0" w:space="0" w:color="auto"/>
        <w:left w:val="none" w:sz="0" w:space="0" w:color="auto"/>
        <w:bottom w:val="none" w:sz="0" w:space="0" w:color="auto"/>
        <w:right w:val="none" w:sz="0" w:space="0" w:color="auto"/>
      </w:divBdr>
    </w:div>
    <w:div w:id="1290358524">
      <w:bodyDiv w:val="1"/>
      <w:marLeft w:val="0"/>
      <w:marRight w:val="0"/>
      <w:marTop w:val="0"/>
      <w:marBottom w:val="0"/>
      <w:divBdr>
        <w:top w:val="none" w:sz="0" w:space="0" w:color="auto"/>
        <w:left w:val="none" w:sz="0" w:space="0" w:color="auto"/>
        <w:bottom w:val="none" w:sz="0" w:space="0" w:color="auto"/>
        <w:right w:val="none" w:sz="0" w:space="0" w:color="auto"/>
      </w:divBdr>
    </w:div>
    <w:div w:id="1290555345">
      <w:bodyDiv w:val="1"/>
      <w:marLeft w:val="0"/>
      <w:marRight w:val="0"/>
      <w:marTop w:val="0"/>
      <w:marBottom w:val="0"/>
      <w:divBdr>
        <w:top w:val="none" w:sz="0" w:space="0" w:color="auto"/>
        <w:left w:val="none" w:sz="0" w:space="0" w:color="auto"/>
        <w:bottom w:val="none" w:sz="0" w:space="0" w:color="auto"/>
        <w:right w:val="none" w:sz="0" w:space="0" w:color="auto"/>
      </w:divBdr>
    </w:div>
    <w:div w:id="1291011913">
      <w:bodyDiv w:val="1"/>
      <w:marLeft w:val="0"/>
      <w:marRight w:val="0"/>
      <w:marTop w:val="0"/>
      <w:marBottom w:val="0"/>
      <w:divBdr>
        <w:top w:val="none" w:sz="0" w:space="0" w:color="auto"/>
        <w:left w:val="none" w:sz="0" w:space="0" w:color="auto"/>
        <w:bottom w:val="none" w:sz="0" w:space="0" w:color="auto"/>
        <w:right w:val="none" w:sz="0" w:space="0" w:color="auto"/>
      </w:divBdr>
    </w:div>
    <w:div w:id="1291353157">
      <w:bodyDiv w:val="1"/>
      <w:marLeft w:val="0"/>
      <w:marRight w:val="0"/>
      <w:marTop w:val="0"/>
      <w:marBottom w:val="0"/>
      <w:divBdr>
        <w:top w:val="none" w:sz="0" w:space="0" w:color="auto"/>
        <w:left w:val="none" w:sz="0" w:space="0" w:color="auto"/>
        <w:bottom w:val="none" w:sz="0" w:space="0" w:color="auto"/>
        <w:right w:val="none" w:sz="0" w:space="0" w:color="auto"/>
      </w:divBdr>
    </w:div>
    <w:div w:id="1293750237">
      <w:bodyDiv w:val="1"/>
      <w:marLeft w:val="0"/>
      <w:marRight w:val="0"/>
      <w:marTop w:val="0"/>
      <w:marBottom w:val="0"/>
      <w:divBdr>
        <w:top w:val="none" w:sz="0" w:space="0" w:color="auto"/>
        <w:left w:val="none" w:sz="0" w:space="0" w:color="auto"/>
        <w:bottom w:val="none" w:sz="0" w:space="0" w:color="auto"/>
        <w:right w:val="none" w:sz="0" w:space="0" w:color="auto"/>
      </w:divBdr>
    </w:div>
    <w:div w:id="1293828356">
      <w:bodyDiv w:val="1"/>
      <w:marLeft w:val="0"/>
      <w:marRight w:val="0"/>
      <w:marTop w:val="0"/>
      <w:marBottom w:val="0"/>
      <w:divBdr>
        <w:top w:val="none" w:sz="0" w:space="0" w:color="auto"/>
        <w:left w:val="none" w:sz="0" w:space="0" w:color="auto"/>
        <w:bottom w:val="none" w:sz="0" w:space="0" w:color="auto"/>
        <w:right w:val="none" w:sz="0" w:space="0" w:color="auto"/>
      </w:divBdr>
      <w:divsChild>
        <w:div w:id="660431840">
          <w:marLeft w:val="0"/>
          <w:marRight w:val="0"/>
          <w:marTop w:val="0"/>
          <w:marBottom w:val="0"/>
          <w:divBdr>
            <w:top w:val="none" w:sz="0" w:space="0" w:color="auto"/>
            <w:left w:val="none" w:sz="0" w:space="0" w:color="auto"/>
            <w:bottom w:val="none" w:sz="0" w:space="0" w:color="auto"/>
            <w:right w:val="none" w:sz="0" w:space="0" w:color="auto"/>
          </w:divBdr>
        </w:div>
        <w:div w:id="499194671">
          <w:marLeft w:val="0"/>
          <w:marRight w:val="0"/>
          <w:marTop w:val="0"/>
          <w:marBottom w:val="0"/>
          <w:divBdr>
            <w:top w:val="none" w:sz="0" w:space="0" w:color="auto"/>
            <w:left w:val="none" w:sz="0" w:space="0" w:color="auto"/>
            <w:bottom w:val="none" w:sz="0" w:space="0" w:color="auto"/>
            <w:right w:val="none" w:sz="0" w:space="0" w:color="auto"/>
          </w:divBdr>
        </w:div>
        <w:div w:id="1892423590">
          <w:marLeft w:val="0"/>
          <w:marRight w:val="0"/>
          <w:marTop w:val="0"/>
          <w:marBottom w:val="0"/>
          <w:divBdr>
            <w:top w:val="none" w:sz="0" w:space="0" w:color="auto"/>
            <w:left w:val="none" w:sz="0" w:space="0" w:color="auto"/>
            <w:bottom w:val="none" w:sz="0" w:space="0" w:color="auto"/>
            <w:right w:val="none" w:sz="0" w:space="0" w:color="auto"/>
          </w:divBdr>
        </w:div>
      </w:divsChild>
    </w:div>
    <w:div w:id="1293974836">
      <w:bodyDiv w:val="1"/>
      <w:marLeft w:val="0"/>
      <w:marRight w:val="0"/>
      <w:marTop w:val="0"/>
      <w:marBottom w:val="0"/>
      <w:divBdr>
        <w:top w:val="none" w:sz="0" w:space="0" w:color="auto"/>
        <w:left w:val="none" w:sz="0" w:space="0" w:color="auto"/>
        <w:bottom w:val="none" w:sz="0" w:space="0" w:color="auto"/>
        <w:right w:val="none" w:sz="0" w:space="0" w:color="auto"/>
      </w:divBdr>
    </w:div>
    <w:div w:id="1294092059">
      <w:bodyDiv w:val="1"/>
      <w:marLeft w:val="0"/>
      <w:marRight w:val="0"/>
      <w:marTop w:val="0"/>
      <w:marBottom w:val="0"/>
      <w:divBdr>
        <w:top w:val="none" w:sz="0" w:space="0" w:color="auto"/>
        <w:left w:val="none" w:sz="0" w:space="0" w:color="auto"/>
        <w:bottom w:val="none" w:sz="0" w:space="0" w:color="auto"/>
        <w:right w:val="none" w:sz="0" w:space="0" w:color="auto"/>
      </w:divBdr>
    </w:div>
    <w:div w:id="1294097138">
      <w:bodyDiv w:val="1"/>
      <w:marLeft w:val="0"/>
      <w:marRight w:val="0"/>
      <w:marTop w:val="0"/>
      <w:marBottom w:val="0"/>
      <w:divBdr>
        <w:top w:val="none" w:sz="0" w:space="0" w:color="auto"/>
        <w:left w:val="none" w:sz="0" w:space="0" w:color="auto"/>
        <w:bottom w:val="none" w:sz="0" w:space="0" w:color="auto"/>
        <w:right w:val="none" w:sz="0" w:space="0" w:color="auto"/>
      </w:divBdr>
    </w:div>
    <w:div w:id="1294403152">
      <w:bodyDiv w:val="1"/>
      <w:marLeft w:val="0"/>
      <w:marRight w:val="0"/>
      <w:marTop w:val="0"/>
      <w:marBottom w:val="0"/>
      <w:divBdr>
        <w:top w:val="none" w:sz="0" w:space="0" w:color="auto"/>
        <w:left w:val="none" w:sz="0" w:space="0" w:color="auto"/>
        <w:bottom w:val="none" w:sz="0" w:space="0" w:color="auto"/>
        <w:right w:val="none" w:sz="0" w:space="0" w:color="auto"/>
      </w:divBdr>
    </w:div>
    <w:div w:id="1294478291">
      <w:bodyDiv w:val="1"/>
      <w:marLeft w:val="0"/>
      <w:marRight w:val="0"/>
      <w:marTop w:val="0"/>
      <w:marBottom w:val="0"/>
      <w:divBdr>
        <w:top w:val="none" w:sz="0" w:space="0" w:color="auto"/>
        <w:left w:val="none" w:sz="0" w:space="0" w:color="auto"/>
        <w:bottom w:val="none" w:sz="0" w:space="0" w:color="auto"/>
        <w:right w:val="none" w:sz="0" w:space="0" w:color="auto"/>
      </w:divBdr>
    </w:div>
    <w:div w:id="1295062140">
      <w:bodyDiv w:val="1"/>
      <w:marLeft w:val="0"/>
      <w:marRight w:val="0"/>
      <w:marTop w:val="0"/>
      <w:marBottom w:val="0"/>
      <w:divBdr>
        <w:top w:val="none" w:sz="0" w:space="0" w:color="auto"/>
        <w:left w:val="none" w:sz="0" w:space="0" w:color="auto"/>
        <w:bottom w:val="none" w:sz="0" w:space="0" w:color="auto"/>
        <w:right w:val="none" w:sz="0" w:space="0" w:color="auto"/>
      </w:divBdr>
    </w:div>
    <w:div w:id="1295912160">
      <w:bodyDiv w:val="1"/>
      <w:marLeft w:val="0"/>
      <w:marRight w:val="0"/>
      <w:marTop w:val="0"/>
      <w:marBottom w:val="0"/>
      <w:divBdr>
        <w:top w:val="none" w:sz="0" w:space="0" w:color="auto"/>
        <w:left w:val="none" w:sz="0" w:space="0" w:color="auto"/>
        <w:bottom w:val="none" w:sz="0" w:space="0" w:color="auto"/>
        <w:right w:val="none" w:sz="0" w:space="0" w:color="auto"/>
      </w:divBdr>
    </w:div>
    <w:div w:id="1297565041">
      <w:bodyDiv w:val="1"/>
      <w:marLeft w:val="0"/>
      <w:marRight w:val="0"/>
      <w:marTop w:val="0"/>
      <w:marBottom w:val="0"/>
      <w:divBdr>
        <w:top w:val="none" w:sz="0" w:space="0" w:color="auto"/>
        <w:left w:val="none" w:sz="0" w:space="0" w:color="auto"/>
        <w:bottom w:val="none" w:sz="0" w:space="0" w:color="auto"/>
        <w:right w:val="none" w:sz="0" w:space="0" w:color="auto"/>
      </w:divBdr>
    </w:div>
    <w:div w:id="1297570350">
      <w:bodyDiv w:val="1"/>
      <w:marLeft w:val="0"/>
      <w:marRight w:val="0"/>
      <w:marTop w:val="0"/>
      <w:marBottom w:val="0"/>
      <w:divBdr>
        <w:top w:val="none" w:sz="0" w:space="0" w:color="auto"/>
        <w:left w:val="none" w:sz="0" w:space="0" w:color="auto"/>
        <w:bottom w:val="none" w:sz="0" w:space="0" w:color="auto"/>
        <w:right w:val="none" w:sz="0" w:space="0" w:color="auto"/>
      </w:divBdr>
    </w:div>
    <w:div w:id="1300721378">
      <w:bodyDiv w:val="1"/>
      <w:marLeft w:val="0"/>
      <w:marRight w:val="0"/>
      <w:marTop w:val="0"/>
      <w:marBottom w:val="0"/>
      <w:divBdr>
        <w:top w:val="none" w:sz="0" w:space="0" w:color="auto"/>
        <w:left w:val="none" w:sz="0" w:space="0" w:color="auto"/>
        <w:bottom w:val="none" w:sz="0" w:space="0" w:color="auto"/>
        <w:right w:val="none" w:sz="0" w:space="0" w:color="auto"/>
      </w:divBdr>
    </w:div>
    <w:div w:id="1301761198">
      <w:bodyDiv w:val="1"/>
      <w:marLeft w:val="0"/>
      <w:marRight w:val="0"/>
      <w:marTop w:val="0"/>
      <w:marBottom w:val="0"/>
      <w:divBdr>
        <w:top w:val="none" w:sz="0" w:space="0" w:color="auto"/>
        <w:left w:val="none" w:sz="0" w:space="0" w:color="auto"/>
        <w:bottom w:val="none" w:sz="0" w:space="0" w:color="auto"/>
        <w:right w:val="none" w:sz="0" w:space="0" w:color="auto"/>
      </w:divBdr>
    </w:div>
    <w:div w:id="1302227419">
      <w:bodyDiv w:val="1"/>
      <w:marLeft w:val="0"/>
      <w:marRight w:val="0"/>
      <w:marTop w:val="0"/>
      <w:marBottom w:val="0"/>
      <w:divBdr>
        <w:top w:val="none" w:sz="0" w:space="0" w:color="auto"/>
        <w:left w:val="none" w:sz="0" w:space="0" w:color="auto"/>
        <w:bottom w:val="none" w:sz="0" w:space="0" w:color="auto"/>
        <w:right w:val="none" w:sz="0" w:space="0" w:color="auto"/>
      </w:divBdr>
      <w:divsChild>
        <w:div w:id="1848516571">
          <w:marLeft w:val="0"/>
          <w:marRight w:val="0"/>
          <w:marTop w:val="0"/>
          <w:marBottom w:val="0"/>
          <w:divBdr>
            <w:top w:val="none" w:sz="0" w:space="0" w:color="auto"/>
            <w:left w:val="none" w:sz="0" w:space="0" w:color="auto"/>
            <w:bottom w:val="none" w:sz="0" w:space="0" w:color="auto"/>
            <w:right w:val="none" w:sz="0" w:space="0" w:color="auto"/>
          </w:divBdr>
        </w:div>
        <w:div w:id="483081954">
          <w:marLeft w:val="0"/>
          <w:marRight w:val="0"/>
          <w:marTop w:val="0"/>
          <w:marBottom w:val="0"/>
          <w:divBdr>
            <w:top w:val="none" w:sz="0" w:space="0" w:color="auto"/>
            <w:left w:val="none" w:sz="0" w:space="0" w:color="auto"/>
            <w:bottom w:val="none" w:sz="0" w:space="0" w:color="auto"/>
            <w:right w:val="none" w:sz="0" w:space="0" w:color="auto"/>
          </w:divBdr>
        </w:div>
        <w:div w:id="268005823">
          <w:marLeft w:val="0"/>
          <w:marRight w:val="0"/>
          <w:marTop w:val="0"/>
          <w:marBottom w:val="0"/>
          <w:divBdr>
            <w:top w:val="none" w:sz="0" w:space="0" w:color="auto"/>
            <w:left w:val="none" w:sz="0" w:space="0" w:color="auto"/>
            <w:bottom w:val="none" w:sz="0" w:space="0" w:color="auto"/>
            <w:right w:val="none" w:sz="0" w:space="0" w:color="auto"/>
          </w:divBdr>
        </w:div>
        <w:div w:id="1591936265">
          <w:marLeft w:val="0"/>
          <w:marRight w:val="0"/>
          <w:marTop w:val="0"/>
          <w:marBottom w:val="0"/>
          <w:divBdr>
            <w:top w:val="none" w:sz="0" w:space="0" w:color="auto"/>
            <w:left w:val="none" w:sz="0" w:space="0" w:color="auto"/>
            <w:bottom w:val="none" w:sz="0" w:space="0" w:color="auto"/>
            <w:right w:val="none" w:sz="0" w:space="0" w:color="auto"/>
          </w:divBdr>
        </w:div>
        <w:div w:id="748231250">
          <w:marLeft w:val="0"/>
          <w:marRight w:val="0"/>
          <w:marTop w:val="0"/>
          <w:marBottom w:val="0"/>
          <w:divBdr>
            <w:top w:val="none" w:sz="0" w:space="0" w:color="auto"/>
            <w:left w:val="none" w:sz="0" w:space="0" w:color="auto"/>
            <w:bottom w:val="none" w:sz="0" w:space="0" w:color="auto"/>
            <w:right w:val="none" w:sz="0" w:space="0" w:color="auto"/>
          </w:divBdr>
        </w:div>
        <w:div w:id="1029915034">
          <w:marLeft w:val="0"/>
          <w:marRight w:val="0"/>
          <w:marTop w:val="0"/>
          <w:marBottom w:val="0"/>
          <w:divBdr>
            <w:top w:val="none" w:sz="0" w:space="0" w:color="auto"/>
            <w:left w:val="none" w:sz="0" w:space="0" w:color="auto"/>
            <w:bottom w:val="none" w:sz="0" w:space="0" w:color="auto"/>
            <w:right w:val="none" w:sz="0" w:space="0" w:color="auto"/>
          </w:divBdr>
        </w:div>
      </w:divsChild>
    </w:div>
    <w:div w:id="1302803500">
      <w:bodyDiv w:val="1"/>
      <w:marLeft w:val="0"/>
      <w:marRight w:val="0"/>
      <w:marTop w:val="0"/>
      <w:marBottom w:val="0"/>
      <w:divBdr>
        <w:top w:val="none" w:sz="0" w:space="0" w:color="auto"/>
        <w:left w:val="none" w:sz="0" w:space="0" w:color="auto"/>
        <w:bottom w:val="none" w:sz="0" w:space="0" w:color="auto"/>
        <w:right w:val="none" w:sz="0" w:space="0" w:color="auto"/>
      </w:divBdr>
    </w:div>
    <w:div w:id="1303460196">
      <w:bodyDiv w:val="1"/>
      <w:marLeft w:val="0"/>
      <w:marRight w:val="0"/>
      <w:marTop w:val="0"/>
      <w:marBottom w:val="0"/>
      <w:divBdr>
        <w:top w:val="none" w:sz="0" w:space="0" w:color="auto"/>
        <w:left w:val="none" w:sz="0" w:space="0" w:color="auto"/>
        <w:bottom w:val="none" w:sz="0" w:space="0" w:color="auto"/>
        <w:right w:val="none" w:sz="0" w:space="0" w:color="auto"/>
      </w:divBdr>
    </w:div>
    <w:div w:id="1304382644">
      <w:bodyDiv w:val="1"/>
      <w:marLeft w:val="0"/>
      <w:marRight w:val="0"/>
      <w:marTop w:val="0"/>
      <w:marBottom w:val="0"/>
      <w:divBdr>
        <w:top w:val="none" w:sz="0" w:space="0" w:color="auto"/>
        <w:left w:val="none" w:sz="0" w:space="0" w:color="auto"/>
        <w:bottom w:val="none" w:sz="0" w:space="0" w:color="auto"/>
        <w:right w:val="none" w:sz="0" w:space="0" w:color="auto"/>
      </w:divBdr>
    </w:div>
    <w:div w:id="1305157276">
      <w:bodyDiv w:val="1"/>
      <w:marLeft w:val="0"/>
      <w:marRight w:val="0"/>
      <w:marTop w:val="0"/>
      <w:marBottom w:val="0"/>
      <w:divBdr>
        <w:top w:val="none" w:sz="0" w:space="0" w:color="auto"/>
        <w:left w:val="none" w:sz="0" w:space="0" w:color="auto"/>
        <w:bottom w:val="none" w:sz="0" w:space="0" w:color="auto"/>
        <w:right w:val="none" w:sz="0" w:space="0" w:color="auto"/>
      </w:divBdr>
    </w:div>
    <w:div w:id="1305504728">
      <w:bodyDiv w:val="1"/>
      <w:marLeft w:val="0"/>
      <w:marRight w:val="0"/>
      <w:marTop w:val="0"/>
      <w:marBottom w:val="0"/>
      <w:divBdr>
        <w:top w:val="none" w:sz="0" w:space="0" w:color="auto"/>
        <w:left w:val="none" w:sz="0" w:space="0" w:color="auto"/>
        <w:bottom w:val="none" w:sz="0" w:space="0" w:color="auto"/>
        <w:right w:val="none" w:sz="0" w:space="0" w:color="auto"/>
      </w:divBdr>
    </w:div>
    <w:div w:id="1306156133">
      <w:bodyDiv w:val="1"/>
      <w:marLeft w:val="0"/>
      <w:marRight w:val="0"/>
      <w:marTop w:val="0"/>
      <w:marBottom w:val="0"/>
      <w:divBdr>
        <w:top w:val="none" w:sz="0" w:space="0" w:color="auto"/>
        <w:left w:val="none" w:sz="0" w:space="0" w:color="auto"/>
        <w:bottom w:val="none" w:sz="0" w:space="0" w:color="auto"/>
        <w:right w:val="none" w:sz="0" w:space="0" w:color="auto"/>
      </w:divBdr>
    </w:div>
    <w:div w:id="1306201041">
      <w:bodyDiv w:val="1"/>
      <w:marLeft w:val="0"/>
      <w:marRight w:val="0"/>
      <w:marTop w:val="0"/>
      <w:marBottom w:val="0"/>
      <w:divBdr>
        <w:top w:val="none" w:sz="0" w:space="0" w:color="auto"/>
        <w:left w:val="none" w:sz="0" w:space="0" w:color="auto"/>
        <w:bottom w:val="none" w:sz="0" w:space="0" w:color="auto"/>
        <w:right w:val="none" w:sz="0" w:space="0" w:color="auto"/>
      </w:divBdr>
    </w:div>
    <w:div w:id="1306620296">
      <w:bodyDiv w:val="1"/>
      <w:marLeft w:val="0"/>
      <w:marRight w:val="0"/>
      <w:marTop w:val="0"/>
      <w:marBottom w:val="0"/>
      <w:divBdr>
        <w:top w:val="none" w:sz="0" w:space="0" w:color="auto"/>
        <w:left w:val="none" w:sz="0" w:space="0" w:color="auto"/>
        <w:bottom w:val="none" w:sz="0" w:space="0" w:color="auto"/>
        <w:right w:val="none" w:sz="0" w:space="0" w:color="auto"/>
      </w:divBdr>
    </w:div>
    <w:div w:id="1306856090">
      <w:bodyDiv w:val="1"/>
      <w:marLeft w:val="0"/>
      <w:marRight w:val="0"/>
      <w:marTop w:val="0"/>
      <w:marBottom w:val="0"/>
      <w:divBdr>
        <w:top w:val="none" w:sz="0" w:space="0" w:color="auto"/>
        <w:left w:val="none" w:sz="0" w:space="0" w:color="auto"/>
        <w:bottom w:val="none" w:sz="0" w:space="0" w:color="auto"/>
        <w:right w:val="none" w:sz="0" w:space="0" w:color="auto"/>
      </w:divBdr>
    </w:div>
    <w:div w:id="1307471232">
      <w:bodyDiv w:val="1"/>
      <w:marLeft w:val="0"/>
      <w:marRight w:val="0"/>
      <w:marTop w:val="0"/>
      <w:marBottom w:val="0"/>
      <w:divBdr>
        <w:top w:val="none" w:sz="0" w:space="0" w:color="auto"/>
        <w:left w:val="none" w:sz="0" w:space="0" w:color="auto"/>
        <w:bottom w:val="none" w:sz="0" w:space="0" w:color="auto"/>
        <w:right w:val="none" w:sz="0" w:space="0" w:color="auto"/>
      </w:divBdr>
    </w:div>
    <w:div w:id="1307931379">
      <w:bodyDiv w:val="1"/>
      <w:marLeft w:val="0"/>
      <w:marRight w:val="0"/>
      <w:marTop w:val="0"/>
      <w:marBottom w:val="0"/>
      <w:divBdr>
        <w:top w:val="none" w:sz="0" w:space="0" w:color="auto"/>
        <w:left w:val="none" w:sz="0" w:space="0" w:color="auto"/>
        <w:bottom w:val="none" w:sz="0" w:space="0" w:color="auto"/>
        <w:right w:val="none" w:sz="0" w:space="0" w:color="auto"/>
      </w:divBdr>
    </w:div>
    <w:div w:id="1309939941">
      <w:bodyDiv w:val="1"/>
      <w:marLeft w:val="0"/>
      <w:marRight w:val="0"/>
      <w:marTop w:val="0"/>
      <w:marBottom w:val="0"/>
      <w:divBdr>
        <w:top w:val="none" w:sz="0" w:space="0" w:color="auto"/>
        <w:left w:val="none" w:sz="0" w:space="0" w:color="auto"/>
        <w:bottom w:val="none" w:sz="0" w:space="0" w:color="auto"/>
        <w:right w:val="none" w:sz="0" w:space="0" w:color="auto"/>
      </w:divBdr>
    </w:div>
    <w:div w:id="1311522756">
      <w:bodyDiv w:val="1"/>
      <w:marLeft w:val="0"/>
      <w:marRight w:val="0"/>
      <w:marTop w:val="0"/>
      <w:marBottom w:val="0"/>
      <w:divBdr>
        <w:top w:val="none" w:sz="0" w:space="0" w:color="auto"/>
        <w:left w:val="none" w:sz="0" w:space="0" w:color="auto"/>
        <w:bottom w:val="none" w:sz="0" w:space="0" w:color="auto"/>
        <w:right w:val="none" w:sz="0" w:space="0" w:color="auto"/>
      </w:divBdr>
    </w:div>
    <w:div w:id="1312059771">
      <w:bodyDiv w:val="1"/>
      <w:marLeft w:val="0"/>
      <w:marRight w:val="0"/>
      <w:marTop w:val="0"/>
      <w:marBottom w:val="0"/>
      <w:divBdr>
        <w:top w:val="none" w:sz="0" w:space="0" w:color="auto"/>
        <w:left w:val="none" w:sz="0" w:space="0" w:color="auto"/>
        <w:bottom w:val="none" w:sz="0" w:space="0" w:color="auto"/>
        <w:right w:val="none" w:sz="0" w:space="0" w:color="auto"/>
      </w:divBdr>
    </w:div>
    <w:div w:id="1312172442">
      <w:bodyDiv w:val="1"/>
      <w:marLeft w:val="0"/>
      <w:marRight w:val="0"/>
      <w:marTop w:val="0"/>
      <w:marBottom w:val="0"/>
      <w:divBdr>
        <w:top w:val="none" w:sz="0" w:space="0" w:color="auto"/>
        <w:left w:val="none" w:sz="0" w:space="0" w:color="auto"/>
        <w:bottom w:val="none" w:sz="0" w:space="0" w:color="auto"/>
        <w:right w:val="none" w:sz="0" w:space="0" w:color="auto"/>
      </w:divBdr>
    </w:div>
    <w:div w:id="1313635263">
      <w:bodyDiv w:val="1"/>
      <w:marLeft w:val="0"/>
      <w:marRight w:val="0"/>
      <w:marTop w:val="0"/>
      <w:marBottom w:val="0"/>
      <w:divBdr>
        <w:top w:val="none" w:sz="0" w:space="0" w:color="auto"/>
        <w:left w:val="none" w:sz="0" w:space="0" w:color="auto"/>
        <w:bottom w:val="none" w:sz="0" w:space="0" w:color="auto"/>
        <w:right w:val="none" w:sz="0" w:space="0" w:color="auto"/>
      </w:divBdr>
    </w:div>
    <w:div w:id="1314066293">
      <w:bodyDiv w:val="1"/>
      <w:marLeft w:val="0"/>
      <w:marRight w:val="0"/>
      <w:marTop w:val="0"/>
      <w:marBottom w:val="0"/>
      <w:divBdr>
        <w:top w:val="none" w:sz="0" w:space="0" w:color="auto"/>
        <w:left w:val="none" w:sz="0" w:space="0" w:color="auto"/>
        <w:bottom w:val="none" w:sz="0" w:space="0" w:color="auto"/>
        <w:right w:val="none" w:sz="0" w:space="0" w:color="auto"/>
      </w:divBdr>
    </w:div>
    <w:div w:id="1314411478">
      <w:bodyDiv w:val="1"/>
      <w:marLeft w:val="0"/>
      <w:marRight w:val="0"/>
      <w:marTop w:val="0"/>
      <w:marBottom w:val="0"/>
      <w:divBdr>
        <w:top w:val="none" w:sz="0" w:space="0" w:color="auto"/>
        <w:left w:val="none" w:sz="0" w:space="0" w:color="auto"/>
        <w:bottom w:val="none" w:sz="0" w:space="0" w:color="auto"/>
        <w:right w:val="none" w:sz="0" w:space="0" w:color="auto"/>
      </w:divBdr>
    </w:div>
    <w:div w:id="1315641775">
      <w:bodyDiv w:val="1"/>
      <w:marLeft w:val="0"/>
      <w:marRight w:val="0"/>
      <w:marTop w:val="0"/>
      <w:marBottom w:val="0"/>
      <w:divBdr>
        <w:top w:val="none" w:sz="0" w:space="0" w:color="auto"/>
        <w:left w:val="none" w:sz="0" w:space="0" w:color="auto"/>
        <w:bottom w:val="none" w:sz="0" w:space="0" w:color="auto"/>
        <w:right w:val="none" w:sz="0" w:space="0" w:color="auto"/>
      </w:divBdr>
    </w:div>
    <w:div w:id="1316372516">
      <w:bodyDiv w:val="1"/>
      <w:marLeft w:val="0"/>
      <w:marRight w:val="0"/>
      <w:marTop w:val="0"/>
      <w:marBottom w:val="0"/>
      <w:divBdr>
        <w:top w:val="none" w:sz="0" w:space="0" w:color="auto"/>
        <w:left w:val="none" w:sz="0" w:space="0" w:color="auto"/>
        <w:bottom w:val="none" w:sz="0" w:space="0" w:color="auto"/>
        <w:right w:val="none" w:sz="0" w:space="0" w:color="auto"/>
      </w:divBdr>
    </w:div>
    <w:div w:id="1316376626">
      <w:bodyDiv w:val="1"/>
      <w:marLeft w:val="0"/>
      <w:marRight w:val="0"/>
      <w:marTop w:val="0"/>
      <w:marBottom w:val="0"/>
      <w:divBdr>
        <w:top w:val="none" w:sz="0" w:space="0" w:color="auto"/>
        <w:left w:val="none" w:sz="0" w:space="0" w:color="auto"/>
        <w:bottom w:val="none" w:sz="0" w:space="0" w:color="auto"/>
        <w:right w:val="none" w:sz="0" w:space="0" w:color="auto"/>
      </w:divBdr>
    </w:div>
    <w:div w:id="1316882152">
      <w:bodyDiv w:val="1"/>
      <w:marLeft w:val="0"/>
      <w:marRight w:val="0"/>
      <w:marTop w:val="0"/>
      <w:marBottom w:val="0"/>
      <w:divBdr>
        <w:top w:val="none" w:sz="0" w:space="0" w:color="auto"/>
        <w:left w:val="none" w:sz="0" w:space="0" w:color="auto"/>
        <w:bottom w:val="none" w:sz="0" w:space="0" w:color="auto"/>
        <w:right w:val="none" w:sz="0" w:space="0" w:color="auto"/>
      </w:divBdr>
    </w:div>
    <w:div w:id="1317688360">
      <w:bodyDiv w:val="1"/>
      <w:marLeft w:val="0"/>
      <w:marRight w:val="0"/>
      <w:marTop w:val="0"/>
      <w:marBottom w:val="0"/>
      <w:divBdr>
        <w:top w:val="none" w:sz="0" w:space="0" w:color="auto"/>
        <w:left w:val="none" w:sz="0" w:space="0" w:color="auto"/>
        <w:bottom w:val="none" w:sz="0" w:space="0" w:color="auto"/>
        <w:right w:val="none" w:sz="0" w:space="0" w:color="auto"/>
      </w:divBdr>
    </w:div>
    <w:div w:id="1318656550">
      <w:bodyDiv w:val="1"/>
      <w:marLeft w:val="0"/>
      <w:marRight w:val="0"/>
      <w:marTop w:val="0"/>
      <w:marBottom w:val="0"/>
      <w:divBdr>
        <w:top w:val="none" w:sz="0" w:space="0" w:color="auto"/>
        <w:left w:val="none" w:sz="0" w:space="0" w:color="auto"/>
        <w:bottom w:val="none" w:sz="0" w:space="0" w:color="auto"/>
        <w:right w:val="none" w:sz="0" w:space="0" w:color="auto"/>
      </w:divBdr>
    </w:div>
    <w:div w:id="1319772752">
      <w:bodyDiv w:val="1"/>
      <w:marLeft w:val="0"/>
      <w:marRight w:val="0"/>
      <w:marTop w:val="0"/>
      <w:marBottom w:val="0"/>
      <w:divBdr>
        <w:top w:val="none" w:sz="0" w:space="0" w:color="auto"/>
        <w:left w:val="none" w:sz="0" w:space="0" w:color="auto"/>
        <w:bottom w:val="none" w:sz="0" w:space="0" w:color="auto"/>
        <w:right w:val="none" w:sz="0" w:space="0" w:color="auto"/>
      </w:divBdr>
    </w:div>
    <w:div w:id="1320577765">
      <w:bodyDiv w:val="1"/>
      <w:marLeft w:val="0"/>
      <w:marRight w:val="0"/>
      <w:marTop w:val="0"/>
      <w:marBottom w:val="0"/>
      <w:divBdr>
        <w:top w:val="none" w:sz="0" w:space="0" w:color="auto"/>
        <w:left w:val="none" w:sz="0" w:space="0" w:color="auto"/>
        <w:bottom w:val="none" w:sz="0" w:space="0" w:color="auto"/>
        <w:right w:val="none" w:sz="0" w:space="0" w:color="auto"/>
      </w:divBdr>
    </w:div>
    <w:div w:id="1321153007">
      <w:bodyDiv w:val="1"/>
      <w:marLeft w:val="0"/>
      <w:marRight w:val="0"/>
      <w:marTop w:val="0"/>
      <w:marBottom w:val="0"/>
      <w:divBdr>
        <w:top w:val="none" w:sz="0" w:space="0" w:color="auto"/>
        <w:left w:val="none" w:sz="0" w:space="0" w:color="auto"/>
        <w:bottom w:val="none" w:sz="0" w:space="0" w:color="auto"/>
        <w:right w:val="none" w:sz="0" w:space="0" w:color="auto"/>
      </w:divBdr>
    </w:div>
    <w:div w:id="1321539863">
      <w:bodyDiv w:val="1"/>
      <w:marLeft w:val="0"/>
      <w:marRight w:val="0"/>
      <w:marTop w:val="0"/>
      <w:marBottom w:val="0"/>
      <w:divBdr>
        <w:top w:val="none" w:sz="0" w:space="0" w:color="auto"/>
        <w:left w:val="none" w:sz="0" w:space="0" w:color="auto"/>
        <w:bottom w:val="none" w:sz="0" w:space="0" w:color="auto"/>
        <w:right w:val="none" w:sz="0" w:space="0" w:color="auto"/>
      </w:divBdr>
    </w:div>
    <w:div w:id="1321619076">
      <w:bodyDiv w:val="1"/>
      <w:marLeft w:val="0"/>
      <w:marRight w:val="0"/>
      <w:marTop w:val="0"/>
      <w:marBottom w:val="0"/>
      <w:divBdr>
        <w:top w:val="none" w:sz="0" w:space="0" w:color="auto"/>
        <w:left w:val="none" w:sz="0" w:space="0" w:color="auto"/>
        <w:bottom w:val="none" w:sz="0" w:space="0" w:color="auto"/>
        <w:right w:val="none" w:sz="0" w:space="0" w:color="auto"/>
      </w:divBdr>
      <w:divsChild>
        <w:div w:id="1180001161">
          <w:marLeft w:val="0"/>
          <w:marRight w:val="0"/>
          <w:marTop w:val="0"/>
          <w:marBottom w:val="0"/>
          <w:divBdr>
            <w:top w:val="none" w:sz="0" w:space="0" w:color="auto"/>
            <w:left w:val="none" w:sz="0" w:space="0" w:color="auto"/>
            <w:bottom w:val="none" w:sz="0" w:space="0" w:color="auto"/>
            <w:right w:val="none" w:sz="0" w:space="0" w:color="auto"/>
          </w:divBdr>
        </w:div>
        <w:div w:id="361324568">
          <w:marLeft w:val="0"/>
          <w:marRight w:val="0"/>
          <w:marTop w:val="0"/>
          <w:marBottom w:val="0"/>
          <w:divBdr>
            <w:top w:val="none" w:sz="0" w:space="0" w:color="auto"/>
            <w:left w:val="none" w:sz="0" w:space="0" w:color="auto"/>
            <w:bottom w:val="none" w:sz="0" w:space="0" w:color="auto"/>
            <w:right w:val="none" w:sz="0" w:space="0" w:color="auto"/>
          </w:divBdr>
        </w:div>
        <w:div w:id="738790846">
          <w:marLeft w:val="0"/>
          <w:marRight w:val="0"/>
          <w:marTop w:val="0"/>
          <w:marBottom w:val="0"/>
          <w:divBdr>
            <w:top w:val="none" w:sz="0" w:space="0" w:color="auto"/>
            <w:left w:val="none" w:sz="0" w:space="0" w:color="auto"/>
            <w:bottom w:val="none" w:sz="0" w:space="0" w:color="auto"/>
            <w:right w:val="none" w:sz="0" w:space="0" w:color="auto"/>
          </w:divBdr>
        </w:div>
        <w:div w:id="1313174217">
          <w:marLeft w:val="0"/>
          <w:marRight w:val="0"/>
          <w:marTop w:val="0"/>
          <w:marBottom w:val="0"/>
          <w:divBdr>
            <w:top w:val="none" w:sz="0" w:space="0" w:color="auto"/>
            <w:left w:val="none" w:sz="0" w:space="0" w:color="auto"/>
            <w:bottom w:val="none" w:sz="0" w:space="0" w:color="auto"/>
            <w:right w:val="none" w:sz="0" w:space="0" w:color="auto"/>
          </w:divBdr>
        </w:div>
        <w:div w:id="549541319">
          <w:marLeft w:val="0"/>
          <w:marRight w:val="0"/>
          <w:marTop w:val="0"/>
          <w:marBottom w:val="0"/>
          <w:divBdr>
            <w:top w:val="none" w:sz="0" w:space="0" w:color="auto"/>
            <w:left w:val="none" w:sz="0" w:space="0" w:color="auto"/>
            <w:bottom w:val="none" w:sz="0" w:space="0" w:color="auto"/>
            <w:right w:val="none" w:sz="0" w:space="0" w:color="auto"/>
          </w:divBdr>
        </w:div>
      </w:divsChild>
    </w:div>
    <w:div w:id="1322005404">
      <w:bodyDiv w:val="1"/>
      <w:marLeft w:val="0"/>
      <w:marRight w:val="0"/>
      <w:marTop w:val="0"/>
      <w:marBottom w:val="0"/>
      <w:divBdr>
        <w:top w:val="none" w:sz="0" w:space="0" w:color="auto"/>
        <w:left w:val="none" w:sz="0" w:space="0" w:color="auto"/>
        <w:bottom w:val="none" w:sz="0" w:space="0" w:color="auto"/>
        <w:right w:val="none" w:sz="0" w:space="0" w:color="auto"/>
      </w:divBdr>
    </w:div>
    <w:div w:id="1322465327">
      <w:bodyDiv w:val="1"/>
      <w:marLeft w:val="0"/>
      <w:marRight w:val="0"/>
      <w:marTop w:val="0"/>
      <w:marBottom w:val="0"/>
      <w:divBdr>
        <w:top w:val="none" w:sz="0" w:space="0" w:color="auto"/>
        <w:left w:val="none" w:sz="0" w:space="0" w:color="auto"/>
        <w:bottom w:val="none" w:sz="0" w:space="0" w:color="auto"/>
        <w:right w:val="none" w:sz="0" w:space="0" w:color="auto"/>
      </w:divBdr>
    </w:div>
    <w:div w:id="1323779993">
      <w:bodyDiv w:val="1"/>
      <w:marLeft w:val="0"/>
      <w:marRight w:val="0"/>
      <w:marTop w:val="0"/>
      <w:marBottom w:val="0"/>
      <w:divBdr>
        <w:top w:val="none" w:sz="0" w:space="0" w:color="auto"/>
        <w:left w:val="none" w:sz="0" w:space="0" w:color="auto"/>
        <w:bottom w:val="none" w:sz="0" w:space="0" w:color="auto"/>
        <w:right w:val="none" w:sz="0" w:space="0" w:color="auto"/>
      </w:divBdr>
    </w:div>
    <w:div w:id="1325083192">
      <w:bodyDiv w:val="1"/>
      <w:marLeft w:val="0"/>
      <w:marRight w:val="0"/>
      <w:marTop w:val="0"/>
      <w:marBottom w:val="0"/>
      <w:divBdr>
        <w:top w:val="none" w:sz="0" w:space="0" w:color="auto"/>
        <w:left w:val="none" w:sz="0" w:space="0" w:color="auto"/>
        <w:bottom w:val="none" w:sz="0" w:space="0" w:color="auto"/>
        <w:right w:val="none" w:sz="0" w:space="0" w:color="auto"/>
      </w:divBdr>
    </w:div>
    <w:div w:id="1325280712">
      <w:bodyDiv w:val="1"/>
      <w:marLeft w:val="0"/>
      <w:marRight w:val="0"/>
      <w:marTop w:val="0"/>
      <w:marBottom w:val="0"/>
      <w:divBdr>
        <w:top w:val="none" w:sz="0" w:space="0" w:color="auto"/>
        <w:left w:val="none" w:sz="0" w:space="0" w:color="auto"/>
        <w:bottom w:val="none" w:sz="0" w:space="0" w:color="auto"/>
        <w:right w:val="none" w:sz="0" w:space="0" w:color="auto"/>
      </w:divBdr>
    </w:div>
    <w:div w:id="1325889676">
      <w:bodyDiv w:val="1"/>
      <w:marLeft w:val="0"/>
      <w:marRight w:val="0"/>
      <w:marTop w:val="0"/>
      <w:marBottom w:val="0"/>
      <w:divBdr>
        <w:top w:val="none" w:sz="0" w:space="0" w:color="auto"/>
        <w:left w:val="none" w:sz="0" w:space="0" w:color="auto"/>
        <w:bottom w:val="none" w:sz="0" w:space="0" w:color="auto"/>
        <w:right w:val="none" w:sz="0" w:space="0" w:color="auto"/>
      </w:divBdr>
    </w:div>
    <w:div w:id="1326322367">
      <w:bodyDiv w:val="1"/>
      <w:marLeft w:val="0"/>
      <w:marRight w:val="0"/>
      <w:marTop w:val="0"/>
      <w:marBottom w:val="0"/>
      <w:divBdr>
        <w:top w:val="none" w:sz="0" w:space="0" w:color="auto"/>
        <w:left w:val="none" w:sz="0" w:space="0" w:color="auto"/>
        <w:bottom w:val="none" w:sz="0" w:space="0" w:color="auto"/>
        <w:right w:val="none" w:sz="0" w:space="0" w:color="auto"/>
      </w:divBdr>
    </w:div>
    <w:div w:id="1326472214">
      <w:bodyDiv w:val="1"/>
      <w:marLeft w:val="0"/>
      <w:marRight w:val="0"/>
      <w:marTop w:val="0"/>
      <w:marBottom w:val="0"/>
      <w:divBdr>
        <w:top w:val="none" w:sz="0" w:space="0" w:color="auto"/>
        <w:left w:val="none" w:sz="0" w:space="0" w:color="auto"/>
        <w:bottom w:val="none" w:sz="0" w:space="0" w:color="auto"/>
        <w:right w:val="none" w:sz="0" w:space="0" w:color="auto"/>
      </w:divBdr>
    </w:div>
    <w:div w:id="1327128411">
      <w:bodyDiv w:val="1"/>
      <w:marLeft w:val="0"/>
      <w:marRight w:val="0"/>
      <w:marTop w:val="0"/>
      <w:marBottom w:val="0"/>
      <w:divBdr>
        <w:top w:val="none" w:sz="0" w:space="0" w:color="auto"/>
        <w:left w:val="none" w:sz="0" w:space="0" w:color="auto"/>
        <w:bottom w:val="none" w:sz="0" w:space="0" w:color="auto"/>
        <w:right w:val="none" w:sz="0" w:space="0" w:color="auto"/>
      </w:divBdr>
    </w:div>
    <w:div w:id="1327174573">
      <w:bodyDiv w:val="1"/>
      <w:marLeft w:val="0"/>
      <w:marRight w:val="0"/>
      <w:marTop w:val="0"/>
      <w:marBottom w:val="0"/>
      <w:divBdr>
        <w:top w:val="none" w:sz="0" w:space="0" w:color="auto"/>
        <w:left w:val="none" w:sz="0" w:space="0" w:color="auto"/>
        <w:bottom w:val="none" w:sz="0" w:space="0" w:color="auto"/>
        <w:right w:val="none" w:sz="0" w:space="0" w:color="auto"/>
      </w:divBdr>
    </w:div>
    <w:div w:id="1327781875">
      <w:bodyDiv w:val="1"/>
      <w:marLeft w:val="0"/>
      <w:marRight w:val="0"/>
      <w:marTop w:val="0"/>
      <w:marBottom w:val="0"/>
      <w:divBdr>
        <w:top w:val="none" w:sz="0" w:space="0" w:color="auto"/>
        <w:left w:val="none" w:sz="0" w:space="0" w:color="auto"/>
        <w:bottom w:val="none" w:sz="0" w:space="0" w:color="auto"/>
        <w:right w:val="none" w:sz="0" w:space="0" w:color="auto"/>
      </w:divBdr>
    </w:div>
    <w:div w:id="1328052335">
      <w:bodyDiv w:val="1"/>
      <w:marLeft w:val="0"/>
      <w:marRight w:val="0"/>
      <w:marTop w:val="0"/>
      <w:marBottom w:val="0"/>
      <w:divBdr>
        <w:top w:val="none" w:sz="0" w:space="0" w:color="auto"/>
        <w:left w:val="none" w:sz="0" w:space="0" w:color="auto"/>
        <w:bottom w:val="none" w:sz="0" w:space="0" w:color="auto"/>
        <w:right w:val="none" w:sz="0" w:space="0" w:color="auto"/>
      </w:divBdr>
    </w:div>
    <w:div w:id="1328509801">
      <w:bodyDiv w:val="1"/>
      <w:marLeft w:val="0"/>
      <w:marRight w:val="0"/>
      <w:marTop w:val="0"/>
      <w:marBottom w:val="0"/>
      <w:divBdr>
        <w:top w:val="none" w:sz="0" w:space="0" w:color="auto"/>
        <w:left w:val="none" w:sz="0" w:space="0" w:color="auto"/>
        <w:bottom w:val="none" w:sz="0" w:space="0" w:color="auto"/>
        <w:right w:val="none" w:sz="0" w:space="0" w:color="auto"/>
      </w:divBdr>
    </w:div>
    <w:div w:id="1329021939">
      <w:bodyDiv w:val="1"/>
      <w:marLeft w:val="0"/>
      <w:marRight w:val="0"/>
      <w:marTop w:val="0"/>
      <w:marBottom w:val="0"/>
      <w:divBdr>
        <w:top w:val="none" w:sz="0" w:space="0" w:color="auto"/>
        <w:left w:val="none" w:sz="0" w:space="0" w:color="auto"/>
        <w:bottom w:val="none" w:sz="0" w:space="0" w:color="auto"/>
        <w:right w:val="none" w:sz="0" w:space="0" w:color="auto"/>
      </w:divBdr>
    </w:div>
    <w:div w:id="1329669355">
      <w:bodyDiv w:val="1"/>
      <w:marLeft w:val="0"/>
      <w:marRight w:val="0"/>
      <w:marTop w:val="0"/>
      <w:marBottom w:val="0"/>
      <w:divBdr>
        <w:top w:val="none" w:sz="0" w:space="0" w:color="auto"/>
        <w:left w:val="none" w:sz="0" w:space="0" w:color="auto"/>
        <w:bottom w:val="none" w:sz="0" w:space="0" w:color="auto"/>
        <w:right w:val="none" w:sz="0" w:space="0" w:color="auto"/>
      </w:divBdr>
    </w:div>
    <w:div w:id="1330409221">
      <w:bodyDiv w:val="1"/>
      <w:marLeft w:val="0"/>
      <w:marRight w:val="0"/>
      <w:marTop w:val="0"/>
      <w:marBottom w:val="0"/>
      <w:divBdr>
        <w:top w:val="none" w:sz="0" w:space="0" w:color="auto"/>
        <w:left w:val="none" w:sz="0" w:space="0" w:color="auto"/>
        <w:bottom w:val="none" w:sz="0" w:space="0" w:color="auto"/>
        <w:right w:val="none" w:sz="0" w:space="0" w:color="auto"/>
      </w:divBdr>
    </w:div>
    <w:div w:id="1331062781">
      <w:bodyDiv w:val="1"/>
      <w:marLeft w:val="0"/>
      <w:marRight w:val="0"/>
      <w:marTop w:val="0"/>
      <w:marBottom w:val="0"/>
      <w:divBdr>
        <w:top w:val="none" w:sz="0" w:space="0" w:color="auto"/>
        <w:left w:val="none" w:sz="0" w:space="0" w:color="auto"/>
        <w:bottom w:val="none" w:sz="0" w:space="0" w:color="auto"/>
        <w:right w:val="none" w:sz="0" w:space="0" w:color="auto"/>
      </w:divBdr>
    </w:div>
    <w:div w:id="1331133270">
      <w:bodyDiv w:val="1"/>
      <w:marLeft w:val="0"/>
      <w:marRight w:val="0"/>
      <w:marTop w:val="0"/>
      <w:marBottom w:val="0"/>
      <w:divBdr>
        <w:top w:val="none" w:sz="0" w:space="0" w:color="auto"/>
        <w:left w:val="none" w:sz="0" w:space="0" w:color="auto"/>
        <w:bottom w:val="none" w:sz="0" w:space="0" w:color="auto"/>
        <w:right w:val="none" w:sz="0" w:space="0" w:color="auto"/>
      </w:divBdr>
    </w:div>
    <w:div w:id="1331325251">
      <w:bodyDiv w:val="1"/>
      <w:marLeft w:val="0"/>
      <w:marRight w:val="0"/>
      <w:marTop w:val="0"/>
      <w:marBottom w:val="0"/>
      <w:divBdr>
        <w:top w:val="none" w:sz="0" w:space="0" w:color="auto"/>
        <w:left w:val="none" w:sz="0" w:space="0" w:color="auto"/>
        <w:bottom w:val="none" w:sz="0" w:space="0" w:color="auto"/>
        <w:right w:val="none" w:sz="0" w:space="0" w:color="auto"/>
      </w:divBdr>
    </w:div>
    <w:div w:id="1331788863">
      <w:bodyDiv w:val="1"/>
      <w:marLeft w:val="0"/>
      <w:marRight w:val="0"/>
      <w:marTop w:val="0"/>
      <w:marBottom w:val="0"/>
      <w:divBdr>
        <w:top w:val="none" w:sz="0" w:space="0" w:color="auto"/>
        <w:left w:val="none" w:sz="0" w:space="0" w:color="auto"/>
        <w:bottom w:val="none" w:sz="0" w:space="0" w:color="auto"/>
        <w:right w:val="none" w:sz="0" w:space="0" w:color="auto"/>
      </w:divBdr>
    </w:div>
    <w:div w:id="1332490634">
      <w:bodyDiv w:val="1"/>
      <w:marLeft w:val="0"/>
      <w:marRight w:val="0"/>
      <w:marTop w:val="0"/>
      <w:marBottom w:val="0"/>
      <w:divBdr>
        <w:top w:val="none" w:sz="0" w:space="0" w:color="auto"/>
        <w:left w:val="none" w:sz="0" w:space="0" w:color="auto"/>
        <w:bottom w:val="none" w:sz="0" w:space="0" w:color="auto"/>
        <w:right w:val="none" w:sz="0" w:space="0" w:color="auto"/>
      </w:divBdr>
    </w:div>
    <w:div w:id="1332560468">
      <w:bodyDiv w:val="1"/>
      <w:marLeft w:val="0"/>
      <w:marRight w:val="0"/>
      <w:marTop w:val="0"/>
      <w:marBottom w:val="0"/>
      <w:divBdr>
        <w:top w:val="none" w:sz="0" w:space="0" w:color="auto"/>
        <w:left w:val="none" w:sz="0" w:space="0" w:color="auto"/>
        <w:bottom w:val="none" w:sz="0" w:space="0" w:color="auto"/>
        <w:right w:val="none" w:sz="0" w:space="0" w:color="auto"/>
      </w:divBdr>
    </w:div>
    <w:div w:id="1332875950">
      <w:bodyDiv w:val="1"/>
      <w:marLeft w:val="0"/>
      <w:marRight w:val="0"/>
      <w:marTop w:val="0"/>
      <w:marBottom w:val="0"/>
      <w:divBdr>
        <w:top w:val="none" w:sz="0" w:space="0" w:color="auto"/>
        <w:left w:val="none" w:sz="0" w:space="0" w:color="auto"/>
        <w:bottom w:val="none" w:sz="0" w:space="0" w:color="auto"/>
        <w:right w:val="none" w:sz="0" w:space="0" w:color="auto"/>
      </w:divBdr>
    </w:div>
    <w:div w:id="1332953157">
      <w:bodyDiv w:val="1"/>
      <w:marLeft w:val="0"/>
      <w:marRight w:val="0"/>
      <w:marTop w:val="0"/>
      <w:marBottom w:val="0"/>
      <w:divBdr>
        <w:top w:val="none" w:sz="0" w:space="0" w:color="auto"/>
        <w:left w:val="none" w:sz="0" w:space="0" w:color="auto"/>
        <w:bottom w:val="none" w:sz="0" w:space="0" w:color="auto"/>
        <w:right w:val="none" w:sz="0" w:space="0" w:color="auto"/>
      </w:divBdr>
    </w:div>
    <w:div w:id="1333069924">
      <w:bodyDiv w:val="1"/>
      <w:marLeft w:val="0"/>
      <w:marRight w:val="0"/>
      <w:marTop w:val="0"/>
      <w:marBottom w:val="0"/>
      <w:divBdr>
        <w:top w:val="none" w:sz="0" w:space="0" w:color="auto"/>
        <w:left w:val="none" w:sz="0" w:space="0" w:color="auto"/>
        <w:bottom w:val="none" w:sz="0" w:space="0" w:color="auto"/>
        <w:right w:val="none" w:sz="0" w:space="0" w:color="auto"/>
      </w:divBdr>
    </w:div>
    <w:div w:id="1333795129">
      <w:bodyDiv w:val="1"/>
      <w:marLeft w:val="0"/>
      <w:marRight w:val="0"/>
      <w:marTop w:val="0"/>
      <w:marBottom w:val="0"/>
      <w:divBdr>
        <w:top w:val="none" w:sz="0" w:space="0" w:color="auto"/>
        <w:left w:val="none" w:sz="0" w:space="0" w:color="auto"/>
        <w:bottom w:val="none" w:sz="0" w:space="0" w:color="auto"/>
        <w:right w:val="none" w:sz="0" w:space="0" w:color="auto"/>
      </w:divBdr>
    </w:div>
    <w:div w:id="1334182833">
      <w:bodyDiv w:val="1"/>
      <w:marLeft w:val="0"/>
      <w:marRight w:val="0"/>
      <w:marTop w:val="0"/>
      <w:marBottom w:val="0"/>
      <w:divBdr>
        <w:top w:val="none" w:sz="0" w:space="0" w:color="auto"/>
        <w:left w:val="none" w:sz="0" w:space="0" w:color="auto"/>
        <w:bottom w:val="none" w:sz="0" w:space="0" w:color="auto"/>
        <w:right w:val="none" w:sz="0" w:space="0" w:color="auto"/>
      </w:divBdr>
    </w:div>
    <w:div w:id="1334454240">
      <w:bodyDiv w:val="1"/>
      <w:marLeft w:val="0"/>
      <w:marRight w:val="0"/>
      <w:marTop w:val="0"/>
      <w:marBottom w:val="0"/>
      <w:divBdr>
        <w:top w:val="none" w:sz="0" w:space="0" w:color="auto"/>
        <w:left w:val="none" w:sz="0" w:space="0" w:color="auto"/>
        <w:bottom w:val="none" w:sz="0" w:space="0" w:color="auto"/>
        <w:right w:val="none" w:sz="0" w:space="0" w:color="auto"/>
      </w:divBdr>
    </w:div>
    <w:div w:id="1334916425">
      <w:bodyDiv w:val="1"/>
      <w:marLeft w:val="0"/>
      <w:marRight w:val="0"/>
      <w:marTop w:val="0"/>
      <w:marBottom w:val="0"/>
      <w:divBdr>
        <w:top w:val="none" w:sz="0" w:space="0" w:color="auto"/>
        <w:left w:val="none" w:sz="0" w:space="0" w:color="auto"/>
        <w:bottom w:val="none" w:sz="0" w:space="0" w:color="auto"/>
        <w:right w:val="none" w:sz="0" w:space="0" w:color="auto"/>
      </w:divBdr>
    </w:div>
    <w:div w:id="1335230739">
      <w:bodyDiv w:val="1"/>
      <w:marLeft w:val="0"/>
      <w:marRight w:val="0"/>
      <w:marTop w:val="0"/>
      <w:marBottom w:val="0"/>
      <w:divBdr>
        <w:top w:val="none" w:sz="0" w:space="0" w:color="auto"/>
        <w:left w:val="none" w:sz="0" w:space="0" w:color="auto"/>
        <w:bottom w:val="none" w:sz="0" w:space="0" w:color="auto"/>
        <w:right w:val="none" w:sz="0" w:space="0" w:color="auto"/>
      </w:divBdr>
    </w:div>
    <w:div w:id="1335575174">
      <w:bodyDiv w:val="1"/>
      <w:marLeft w:val="0"/>
      <w:marRight w:val="0"/>
      <w:marTop w:val="0"/>
      <w:marBottom w:val="0"/>
      <w:divBdr>
        <w:top w:val="none" w:sz="0" w:space="0" w:color="auto"/>
        <w:left w:val="none" w:sz="0" w:space="0" w:color="auto"/>
        <w:bottom w:val="none" w:sz="0" w:space="0" w:color="auto"/>
        <w:right w:val="none" w:sz="0" w:space="0" w:color="auto"/>
      </w:divBdr>
    </w:div>
    <w:div w:id="1336572388">
      <w:bodyDiv w:val="1"/>
      <w:marLeft w:val="0"/>
      <w:marRight w:val="0"/>
      <w:marTop w:val="0"/>
      <w:marBottom w:val="0"/>
      <w:divBdr>
        <w:top w:val="none" w:sz="0" w:space="0" w:color="auto"/>
        <w:left w:val="none" w:sz="0" w:space="0" w:color="auto"/>
        <w:bottom w:val="none" w:sz="0" w:space="0" w:color="auto"/>
        <w:right w:val="none" w:sz="0" w:space="0" w:color="auto"/>
      </w:divBdr>
    </w:div>
    <w:div w:id="1336804781">
      <w:bodyDiv w:val="1"/>
      <w:marLeft w:val="0"/>
      <w:marRight w:val="0"/>
      <w:marTop w:val="0"/>
      <w:marBottom w:val="0"/>
      <w:divBdr>
        <w:top w:val="none" w:sz="0" w:space="0" w:color="auto"/>
        <w:left w:val="none" w:sz="0" w:space="0" w:color="auto"/>
        <w:bottom w:val="none" w:sz="0" w:space="0" w:color="auto"/>
        <w:right w:val="none" w:sz="0" w:space="0" w:color="auto"/>
      </w:divBdr>
    </w:div>
    <w:div w:id="1337153938">
      <w:bodyDiv w:val="1"/>
      <w:marLeft w:val="0"/>
      <w:marRight w:val="0"/>
      <w:marTop w:val="0"/>
      <w:marBottom w:val="0"/>
      <w:divBdr>
        <w:top w:val="none" w:sz="0" w:space="0" w:color="auto"/>
        <w:left w:val="none" w:sz="0" w:space="0" w:color="auto"/>
        <w:bottom w:val="none" w:sz="0" w:space="0" w:color="auto"/>
        <w:right w:val="none" w:sz="0" w:space="0" w:color="auto"/>
      </w:divBdr>
    </w:div>
    <w:div w:id="1337538062">
      <w:bodyDiv w:val="1"/>
      <w:marLeft w:val="0"/>
      <w:marRight w:val="0"/>
      <w:marTop w:val="0"/>
      <w:marBottom w:val="0"/>
      <w:divBdr>
        <w:top w:val="none" w:sz="0" w:space="0" w:color="auto"/>
        <w:left w:val="none" w:sz="0" w:space="0" w:color="auto"/>
        <w:bottom w:val="none" w:sz="0" w:space="0" w:color="auto"/>
        <w:right w:val="none" w:sz="0" w:space="0" w:color="auto"/>
      </w:divBdr>
      <w:divsChild>
        <w:div w:id="2052072853">
          <w:marLeft w:val="0"/>
          <w:marRight w:val="0"/>
          <w:marTop w:val="0"/>
          <w:marBottom w:val="0"/>
          <w:divBdr>
            <w:top w:val="none" w:sz="0" w:space="0" w:color="auto"/>
            <w:left w:val="none" w:sz="0" w:space="0" w:color="auto"/>
            <w:bottom w:val="none" w:sz="0" w:space="0" w:color="auto"/>
            <w:right w:val="none" w:sz="0" w:space="0" w:color="auto"/>
          </w:divBdr>
        </w:div>
        <w:div w:id="1216818697">
          <w:marLeft w:val="0"/>
          <w:marRight w:val="0"/>
          <w:marTop w:val="0"/>
          <w:marBottom w:val="0"/>
          <w:divBdr>
            <w:top w:val="none" w:sz="0" w:space="0" w:color="auto"/>
            <w:left w:val="none" w:sz="0" w:space="0" w:color="auto"/>
            <w:bottom w:val="none" w:sz="0" w:space="0" w:color="auto"/>
            <w:right w:val="none" w:sz="0" w:space="0" w:color="auto"/>
          </w:divBdr>
        </w:div>
        <w:div w:id="940138174">
          <w:marLeft w:val="0"/>
          <w:marRight w:val="0"/>
          <w:marTop w:val="0"/>
          <w:marBottom w:val="0"/>
          <w:divBdr>
            <w:top w:val="none" w:sz="0" w:space="0" w:color="auto"/>
            <w:left w:val="none" w:sz="0" w:space="0" w:color="auto"/>
            <w:bottom w:val="none" w:sz="0" w:space="0" w:color="auto"/>
            <w:right w:val="none" w:sz="0" w:space="0" w:color="auto"/>
          </w:divBdr>
        </w:div>
      </w:divsChild>
    </w:div>
    <w:div w:id="1338312734">
      <w:bodyDiv w:val="1"/>
      <w:marLeft w:val="0"/>
      <w:marRight w:val="0"/>
      <w:marTop w:val="0"/>
      <w:marBottom w:val="0"/>
      <w:divBdr>
        <w:top w:val="none" w:sz="0" w:space="0" w:color="auto"/>
        <w:left w:val="none" w:sz="0" w:space="0" w:color="auto"/>
        <w:bottom w:val="none" w:sz="0" w:space="0" w:color="auto"/>
        <w:right w:val="none" w:sz="0" w:space="0" w:color="auto"/>
      </w:divBdr>
    </w:div>
    <w:div w:id="1338338765">
      <w:bodyDiv w:val="1"/>
      <w:marLeft w:val="0"/>
      <w:marRight w:val="0"/>
      <w:marTop w:val="0"/>
      <w:marBottom w:val="0"/>
      <w:divBdr>
        <w:top w:val="none" w:sz="0" w:space="0" w:color="auto"/>
        <w:left w:val="none" w:sz="0" w:space="0" w:color="auto"/>
        <w:bottom w:val="none" w:sz="0" w:space="0" w:color="auto"/>
        <w:right w:val="none" w:sz="0" w:space="0" w:color="auto"/>
      </w:divBdr>
    </w:div>
    <w:div w:id="1339653350">
      <w:bodyDiv w:val="1"/>
      <w:marLeft w:val="0"/>
      <w:marRight w:val="0"/>
      <w:marTop w:val="0"/>
      <w:marBottom w:val="0"/>
      <w:divBdr>
        <w:top w:val="none" w:sz="0" w:space="0" w:color="auto"/>
        <w:left w:val="none" w:sz="0" w:space="0" w:color="auto"/>
        <w:bottom w:val="none" w:sz="0" w:space="0" w:color="auto"/>
        <w:right w:val="none" w:sz="0" w:space="0" w:color="auto"/>
      </w:divBdr>
    </w:div>
    <w:div w:id="1340935950">
      <w:bodyDiv w:val="1"/>
      <w:marLeft w:val="0"/>
      <w:marRight w:val="0"/>
      <w:marTop w:val="0"/>
      <w:marBottom w:val="0"/>
      <w:divBdr>
        <w:top w:val="none" w:sz="0" w:space="0" w:color="auto"/>
        <w:left w:val="none" w:sz="0" w:space="0" w:color="auto"/>
        <w:bottom w:val="none" w:sz="0" w:space="0" w:color="auto"/>
        <w:right w:val="none" w:sz="0" w:space="0" w:color="auto"/>
      </w:divBdr>
    </w:div>
    <w:div w:id="1341619922">
      <w:bodyDiv w:val="1"/>
      <w:marLeft w:val="0"/>
      <w:marRight w:val="0"/>
      <w:marTop w:val="0"/>
      <w:marBottom w:val="0"/>
      <w:divBdr>
        <w:top w:val="none" w:sz="0" w:space="0" w:color="auto"/>
        <w:left w:val="none" w:sz="0" w:space="0" w:color="auto"/>
        <w:bottom w:val="none" w:sz="0" w:space="0" w:color="auto"/>
        <w:right w:val="none" w:sz="0" w:space="0" w:color="auto"/>
      </w:divBdr>
    </w:div>
    <w:div w:id="1341664339">
      <w:bodyDiv w:val="1"/>
      <w:marLeft w:val="0"/>
      <w:marRight w:val="0"/>
      <w:marTop w:val="0"/>
      <w:marBottom w:val="0"/>
      <w:divBdr>
        <w:top w:val="none" w:sz="0" w:space="0" w:color="auto"/>
        <w:left w:val="none" w:sz="0" w:space="0" w:color="auto"/>
        <w:bottom w:val="none" w:sz="0" w:space="0" w:color="auto"/>
        <w:right w:val="none" w:sz="0" w:space="0" w:color="auto"/>
      </w:divBdr>
    </w:div>
    <w:div w:id="1342390594">
      <w:bodyDiv w:val="1"/>
      <w:marLeft w:val="0"/>
      <w:marRight w:val="0"/>
      <w:marTop w:val="0"/>
      <w:marBottom w:val="0"/>
      <w:divBdr>
        <w:top w:val="none" w:sz="0" w:space="0" w:color="auto"/>
        <w:left w:val="none" w:sz="0" w:space="0" w:color="auto"/>
        <w:bottom w:val="none" w:sz="0" w:space="0" w:color="auto"/>
        <w:right w:val="none" w:sz="0" w:space="0" w:color="auto"/>
      </w:divBdr>
    </w:div>
    <w:div w:id="1343315478">
      <w:bodyDiv w:val="1"/>
      <w:marLeft w:val="0"/>
      <w:marRight w:val="0"/>
      <w:marTop w:val="0"/>
      <w:marBottom w:val="0"/>
      <w:divBdr>
        <w:top w:val="none" w:sz="0" w:space="0" w:color="auto"/>
        <w:left w:val="none" w:sz="0" w:space="0" w:color="auto"/>
        <w:bottom w:val="none" w:sz="0" w:space="0" w:color="auto"/>
        <w:right w:val="none" w:sz="0" w:space="0" w:color="auto"/>
      </w:divBdr>
    </w:div>
    <w:div w:id="1343969666">
      <w:bodyDiv w:val="1"/>
      <w:marLeft w:val="0"/>
      <w:marRight w:val="0"/>
      <w:marTop w:val="0"/>
      <w:marBottom w:val="0"/>
      <w:divBdr>
        <w:top w:val="none" w:sz="0" w:space="0" w:color="auto"/>
        <w:left w:val="none" w:sz="0" w:space="0" w:color="auto"/>
        <w:bottom w:val="none" w:sz="0" w:space="0" w:color="auto"/>
        <w:right w:val="none" w:sz="0" w:space="0" w:color="auto"/>
      </w:divBdr>
    </w:div>
    <w:div w:id="1344236942">
      <w:bodyDiv w:val="1"/>
      <w:marLeft w:val="0"/>
      <w:marRight w:val="0"/>
      <w:marTop w:val="0"/>
      <w:marBottom w:val="0"/>
      <w:divBdr>
        <w:top w:val="none" w:sz="0" w:space="0" w:color="auto"/>
        <w:left w:val="none" w:sz="0" w:space="0" w:color="auto"/>
        <w:bottom w:val="none" w:sz="0" w:space="0" w:color="auto"/>
        <w:right w:val="none" w:sz="0" w:space="0" w:color="auto"/>
      </w:divBdr>
    </w:div>
    <w:div w:id="1344357504">
      <w:bodyDiv w:val="1"/>
      <w:marLeft w:val="0"/>
      <w:marRight w:val="0"/>
      <w:marTop w:val="0"/>
      <w:marBottom w:val="0"/>
      <w:divBdr>
        <w:top w:val="none" w:sz="0" w:space="0" w:color="auto"/>
        <w:left w:val="none" w:sz="0" w:space="0" w:color="auto"/>
        <w:bottom w:val="none" w:sz="0" w:space="0" w:color="auto"/>
        <w:right w:val="none" w:sz="0" w:space="0" w:color="auto"/>
      </w:divBdr>
    </w:div>
    <w:div w:id="1345133502">
      <w:bodyDiv w:val="1"/>
      <w:marLeft w:val="0"/>
      <w:marRight w:val="0"/>
      <w:marTop w:val="0"/>
      <w:marBottom w:val="0"/>
      <w:divBdr>
        <w:top w:val="none" w:sz="0" w:space="0" w:color="auto"/>
        <w:left w:val="none" w:sz="0" w:space="0" w:color="auto"/>
        <w:bottom w:val="none" w:sz="0" w:space="0" w:color="auto"/>
        <w:right w:val="none" w:sz="0" w:space="0" w:color="auto"/>
      </w:divBdr>
    </w:div>
    <w:div w:id="1345984453">
      <w:bodyDiv w:val="1"/>
      <w:marLeft w:val="0"/>
      <w:marRight w:val="0"/>
      <w:marTop w:val="0"/>
      <w:marBottom w:val="0"/>
      <w:divBdr>
        <w:top w:val="none" w:sz="0" w:space="0" w:color="auto"/>
        <w:left w:val="none" w:sz="0" w:space="0" w:color="auto"/>
        <w:bottom w:val="none" w:sz="0" w:space="0" w:color="auto"/>
        <w:right w:val="none" w:sz="0" w:space="0" w:color="auto"/>
      </w:divBdr>
    </w:div>
    <w:div w:id="1346713322">
      <w:bodyDiv w:val="1"/>
      <w:marLeft w:val="0"/>
      <w:marRight w:val="0"/>
      <w:marTop w:val="0"/>
      <w:marBottom w:val="0"/>
      <w:divBdr>
        <w:top w:val="none" w:sz="0" w:space="0" w:color="auto"/>
        <w:left w:val="none" w:sz="0" w:space="0" w:color="auto"/>
        <w:bottom w:val="none" w:sz="0" w:space="0" w:color="auto"/>
        <w:right w:val="none" w:sz="0" w:space="0" w:color="auto"/>
      </w:divBdr>
    </w:div>
    <w:div w:id="1347828516">
      <w:bodyDiv w:val="1"/>
      <w:marLeft w:val="0"/>
      <w:marRight w:val="0"/>
      <w:marTop w:val="0"/>
      <w:marBottom w:val="0"/>
      <w:divBdr>
        <w:top w:val="none" w:sz="0" w:space="0" w:color="auto"/>
        <w:left w:val="none" w:sz="0" w:space="0" w:color="auto"/>
        <w:bottom w:val="none" w:sz="0" w:space="0" w:color="auto"/>
        <w:right w:val="none" w:sz="0" w:space="0" w:color="auto"/>
      </w:divBdr>
    </w:div>
    <w:div w:id="1347907454">
      <w:bodyDiv w:val="1"/>
      <w:marLeft w:val="0"/>
      <w:marRight w:val="0"/>
      <w:marTop w:val="0"/>
      <w:marBottom w:val="0"/>
      <w:divBdr>
        <w:top w:val="none" w:sz="0" w:space="0" w:color="auto"/>
        <w:left w:val="none" w:sz="0" w:space="0" w:color="auto"/>
        <w:bottom w:val="none" w:sz="0" w:space="0" w:color="auto"/>
        <w:right w:val="none" w:sz="0" w:space="0" w:color="auto"/>
      </w:divBdr>
    </w:div>
    <w:div w:id="1350982099">
      <w:bodyDiv w:val="1"/>
      <w:marLeft w:val="0"/>
      <w:marRight w:val="0"/>
      <w:marTop w:val="0"/>
      <w:marBottom w:val="0"/>
      <w:divBdr>
        <w:top w:val="none" w:sz="0" w:space="0" w:color="auto"/>
        <w:left w:val="none" w:sz="0" w:space="0" w:color="auto"/>
        <w:bottom w:val="none" w:sz="0" w:space="0" w:color="auto"/>
        <w:right w:val="none" w:sz="0" w:space="0" w:color="auto"/>
      </w:divBdr>
    </w:div>
    <w:div w:id="1351030744">
      <w:bodyDiv w:val="1"/>
      <w:marLeft w:val="0"/>
      <w:marRight w:val="0"/>
      <w:marTop w:val="0"/>
      <w:marBottom w:val="0"/>
      <w:divBdr>
        <w:top w:val="none" w:sz="0" w:space="0" w:color="auto"/>
        <w:left w:val="none" w:sz="0" w:space="0" w:color="auto"/>
        <w:bottom w:val="none" w:sz="0" w:space="0" w:color="auto"/>
        <w:right w:val="none" w:sz="0" w:space="0" w:color="auto"/>
      </w:divBdr>
    </w:div>
    <w:div w:id="1351563155">
      <w:bodyDiv w:val="1"/>
      <w:marLeft w:val="0"/>
      <w:marRight w:val="0"/>
      <w:marTop w:val="0"/>
      <w:marBottom w:val="0"/>
      <w:divBdr>
        <w:top w:val="none" w:sz="0" w:space="0" w:color="auto"/>
        <w:left w:val="none" w:sz="0" w:space="0" w:color="auto"/>
        <w:bottom w:val="none" w:sz="0" w:space="0" w:color="auto"/>
        <w:right w:val="none" w:sz="0" w:space="0" w:color="auto"/>
      </w:divBdr>
    </w:div>
    <w:div w:id="1353415302">
      <w:bodyDiv w:val="1"/>
      <w:marLeft w:val="0"/>
      <w:marRight w:val="0"/>
      <w:marTop w:val="0"/>
      <w:marBottom w:val="0"/>
      <w:divBdr>
        <w:top w:val="none" w:sz="0" w:space="0" w:color="auto"/>
        <w:left w:val="none" w:sz="0" w:space="0" w:color="auto"/>
        <w:bottom w:val="none" w:sz="0" w:space="0" w:color="auto"/>
        <w:right w:val="none" w:sz="0" w:space="0" w:color="auto"/>
      </w:divBdr>
    </w:div>
    <w:div w:id="1354115390">
      <w:bodyDiv w:val="1"/>
      <w:marLeft w:val="0"/>
      <w:marRight w:val="0"/>
      <w:marTop w:val="0"/>
      <w:marBottom w:val="0"/>
      <w:divBdr>
        <w:top w:val="none" w:sz="0" w:space="0" w:color="auto"/>
        <w:left w:val="none" w:sz="0" w:space="0" w:color="auto"/>
        <w:bottom w:val="none" w:sz="0" w:space="0" w:color="auto"/>
        <w:right w:val="none" w:sz="0" w:space="0" w:color="auto"/>
      </w:divBdr>
    </w:div>
    <w:div w:id="1354190840">
      <w:bodyDiv w:val="1"/>
      <w:marLeft w:val="0"/>
      <w:marRight w:val="0"/>
      <w:marTop w:val="0"/>
      <w:marBottom w:val="0"/>
      <w:divBdr>
        <w:top w:val="none" w:sz="0" w:space="0" w:color="auto"/>
        <w:left w:val="none" w:sz="0" w:space="0" w:color="auto"/>
        <w:bottom w:val="none" w:sz="0" w:space="0" w:color="auto"/>
        <w:right w:val="none" w:sz="0" w:space="0" w:color="auto"/>
      </w:divBdr>
    </w:div>
    <w:div w:id="1354303841">
      <w:bodyDiv w:val="1"/>
      <w:marLeft w:val="0"/>
      <w:marRight w:val="0"/>
      <w:marTop w:val="0"/>
      <w:marBottom w:val="0"/>
      <w:divBdr>
        <w:top w:val="none" w:sz="0" w:space="0" w:color="auto"/>
        <w:left w:val="none" w:sz="0" w:space="0" w:color="auto"/>
        <w:bottom w:val="none" w:sz="0" w:space="0" w:color="auto"/>
        <w:right w:val="none" w:sz="0" w:space="0" w:color="auto"/>
      </w:divBdr>
    </w:div>
    <w:div w:id="1354722512">
      <w:bodyDiv w:val="1"/>
      <w:marLeft w:val="0"/>
      <w:marRight w:val="0"/>
      <w:marTop w:val="0"/>
      <w:marBottom w:val="0"/>
      <w:divBdr>
        <w:top w:val="none" w:sz="0" w:space="0" w:color="auto"/>
        <w:left w:val="none" w:sz="0" w:space="0" w:color="auto"/>
        <w:bottom w:val="none" w:sz="0" w:space="0" w:color="auto"/>
        <w:right w:val="none" w:sz="0" w:space="0" w:color="auto"/>
      </w:divBdr>
    </w:div>
    <w:div w:id="1355495453">
      <w:bodyDiv w:val="1"/>
      <w:marLeft w:val="0"/>
      <w:marRight w:val="0"/>
      <w:marTop w:val="0"/>
      <w:marBottom w:val="0"/>
      <w:divBdr>
        <w:top w:val="none" w:sz="0" w:space="0" w:color="auto"/>
        <w:left w:val="none" w:sz="0" w:space="0" w:color="auto"/>
        <w:bottom w:val="none" w:sz="0" w:space="0" w:color="auto"/>
        <w:right w:val="none" w:sz="0" w:space="0" w:color="auto"/>
      </w:divBdr>
    </w:div>
    <w:div w:id="1355963540">
      <w:bodyDiv w:val="1"/>
      <w:marLeft w:val="0"/>
      <w:marRight w:val="0"/>
      <w:marTop w:val="0"/>
      <w:marBottom w:val="0"/>
      <w:divBdr>
        <w:top w:val="none" w:sz="0" w:space="0" w:color="auto"/>
        <w:left w:val="none" w:sz="0" w:space="0" w:color="auto"/>
        <w:bottom w:val="none" w:sz="0" w:space="0" w:color="auto"/>
        <w:right w:val="none" w:sz="0" w:space="0" w:color="auto"/>
      </w:divBdr>
    </w:div>
    <w:div w:id="1357078555">
      <w:bodyDiv w:val="1"/>
      <w:marLeft w:val="0"/>
      <w:marRight w:val="0"/>
      <w:marTop w:val="0"/>
      <w:marBottom w:val="0"/>
      <w:divBdr>
        <w:top w:val="none" w:sz="0" w:space="0" w:color="auto"/>
        <w:left w:val="none" w:sz="0" w:space="0" w:color="auto"/>
        <w:bottom w:val="none" w:sz="0" w:space="0" w:color="auto"/>
        <w:right w:val="none" w:sz="0" w:space="0" w:color="auto"/>
      </w:divBdr>
    </w:div>
    <w:div w:id="1357317492">
      <w:bodyDiv w:val="1"/>
      <w:marLeft w:val="0"/>
      <w:marRight w:val="0"/>
      <w:marTop w:val="0"/>
      <w:marBottom w:val="0"/>
      <w:divBdr>
        <w:top w:val="none" w:sz="0" w:space="0" w:color="auto"/>
        <w:left w:val="none" w:sz="0" w:space="0" w:color="auto"/>
        <w:bottom w:val="none" w:sz="0" w:space="0" w:color="auto"/>
        <w:right w:val="none" w:sz="0" w:space="0" w:color="auto"/>
      </w:divBdr>
    </w:div>
    <w:div w:id="1358115511">
      <w:bodyDiv w:val="1"/>
      <w:marLeft w:val="0"/>
      <w:marRight w:val="0"/>
      <w:marTop w:val="0"/>
      <w:marBottom w:val="0"/>
      <w:divBdr>
        <w:top w:val="none" w:sz="0" w:space="0" w:color="auto"/>
        <w:left w:val="none" w:sz="0" w:space="0" w:color="auto"/>
        <w:bottom w:val="none" w:sz="0" w:space="0" w:color="auto"/>
        <w:right w:val="none" w:sz="0" w:space="0" w:color="auto"/>
      </w:divBdr>
    </w:div>
    <w:div w:id="1359159482">
      <w:bodyDiv w:val="1"/>
      <w:marLeft w:val="0"/>
      <w:marRight w:val="0"/>
      <w:marTop w:val="0"/>
      <w:marBottom w:val="0"/>
      <w:divBdr>
        <w:top w:val="none" w:sz="0" w:space="0" w:color="auto"/>
        <w:left w:val="none" w:sz="0" w:space="0" w:color="auto"/>
        <w:bottom w:val="none" w:sz="0" w:space="0" w:color="auto"/>
        <w:right w:val="none" w:sz="0" w:space="0" w:color="auto"/>
      </w:divBdr>
    </w:div>
    <w:div w:id="1360930539">
      <w:bodyDiv w:val="1"/>
      <w:marLeft w:val="0"/>
      <w:marRight w:val="0"/>
      <w:marTop w:val="0"/>
      <w:marBottom w:val="0"/>
      <w:divBdr>
        <w:top w:val="none" w:sz="0" w:space="0" w:color="auto"/>
        <w:left w:val="none" w:sz="0" w:space="0" w:color="auto"/>
        <w:bottom w:val="none" w:sz="0" w:space="0" w:color="auto"/>
        <w:right w:val="none" w:sz="0" w:space="0" w:color="auto"/>
      </w:divBdr>
    </w:div>
    <w:div w:id="1361542677">
      <w:bodyDiv w:val="1"/>
      <w:marLeft w:val="0"/>
      <w:marRight w:val="0"/>
      <w:marTop w:val="0"/>
      <w:marBottom w:val="0"/>
      <w:divBdr>
        <w:top w:val="none" w:sz="0" w:space="0" w:color="auto"/>
        <w:left w:val="none" w:sz="0" w:space="0" w:color="auto"/>
        <w:bottom w:val="none" w:sz="0" w:space="0" w:color="auto"/>
        <w:right w:val="none" w:sz="0" w:space="0" w:color="auto"/>
      </w:divBdr>
    </w:div>
    <w:div w:id="1361971273">
      <w:bodyDiv w:val="1"/>
      <w:marLeft w:val="0"/>
      <w:marRight w:val="0"/>
      <w:marTop w:val="0"/>
      <w:marBottom w:val="0"/>
      <w:divBdr>
        <w:top w:val="none" w:sz="0" w:space="0" w:color="auto"/>
        <w:left w:val="none" w:sz="0" w:space="0" w:color="auto"/>
        <w:bottom w:val="none" w:sz="0" w:space="0" w:color="auto"/>
        <w:right w:val="none" w:sz="0" w:space="0" w:color="auto"/>
      </w:divBdr>
    </w:div>
    <w:div w:id="1362129407">
      <w:bodyDiv w:val="1"/>
      <w:marLeft w:val="0"/>
      <w:marRight w:val="0"/>
      <w:marTop w:val="0"/>
      <w:marBottom w:val="0"/>
      <w:divBdr>
        <w:top w:val="none" w:sz="0" w:space="0" w:color="auto"/>
        <w:left w:val="none" w:sz="0" w:space="0" w:color="auto"/>
        <w:bottom w:val="none" w:sz="0" w:space="0" w:color="auto"/>
        <w:right w:val="none" w:sz="0" w:space="0" w:color="auto"/>
      </w:divBdr>
    </w:div>
    <w:div w:id="1363630714">
      <w:bodyDiv w:val="1"/>
      <w:marLeft w:val="0"/>
      <w:marRight w:val="0"/>
      <w:marTop w:val="0"/>
      <w:marBottom w:val="0"/>
      <w:divBdr>
        <w:top w:val="none" w:sz="0" w:space="0" w:color="auto"/>
        <w:left w:val="none" w:sz="0" w:space="0" w:color="auto"/>
        <w:bottom w:val="none" w:sz="0" w:space="0" w:color="auto"/>
        <w:right w:val="none" w:sz="0" w:space="0" w:color="auto"/>
      </w:divBdr>
    </w:div>
    <w:div w:id="1363743741">
      <w:bodyDiv w:val="1"/>
      <w:marLeft w:val="0"/>
      <w:marRight w:val="0"/>
      <w:marTop w:val="0"/>
      <w:marBottom w:val="0"/>
      <w:divBdr>
        <w:top w:val="none" w:sz="0" w:space="0" w:color="auto"/>
        <w:left w:val="none" w:sz="0" w:space="0" w:color="auto"/>
        <w:bottom w:val="none" w:sz="0" w:space="0" w:color="auto"/>
        <w:right w:val="none" w:sz="0" w:space="0" w:color="auto"/>
      </w:divBdr>
    </w:div>
    <w:div w:id="1364939693">
      <w:bodyDiv w:val="1"/>
      <w:marLeft w:val="0"/>
      <w:marRight w:val="0"/>
      <w:marTop w:val="0"/>
      <w:marBottom w:val="0"/>
      <w:divBdr>
        <w:top w:val="none" w:sz="0" w:space="0" w:color="auto"/>
        <w:left w:val="none" w:sz="0" w:space="0" w:color="auto"/>
        <w:bottom w:val="none" w:sz="0" w:space="0" w:color="auto"/>
        <w:right w:val="none" w:sz="0" w:space="0" w:color="auto"/>
      </w:divBdr>
    </w:div>
    <w:div w:id="1365058523">
      <w:bodyDiv w:val="1"/>
      <w:marLeft w:val="0"/>
      <w:marRight w:val="0"/>
      <w:marTop w:val="0"/>
      <w:marBottom w:val="0"/>
      <w:divBdr>
        <w:top w:val="none" w:sz="0" w:space="0" w:color="auto"/>
        <w:left w:val="none" w:sz="0" w:space="0" w:color="auto"/>
        <w:bottom w:val="none" w:sz="0" w:space="0" w:color="auto"/>
        <w:right w:val="none" w:sz="0" w:space="0" w:color="auto"/>
      </w:divBdr>
    </w:div>
    <w:div w:id="1366634798">
      <w:bodyDiv w:val="1"/>
      <w:marLeft w:val="0"/>
      <w:marRight w:val="0"/>
      <w:marTop w:val="0"/>
      <w:marBottom w:val="0"/>
      <w:divBdr>
        <w:top w:val="none" w:sz="0" w:space="0" w:color="auto"/>
        <w:left w:val="none" w:sz="0" w:space="0" w:color="auto"/>
        <w:bottom w:val="none" w:sz="0" w:space="0" w:color="auto"/>
        <w:right w:val="none" w:sz="0" w:space="0" w:color="auto"/>
      </w:divBdr>
    </w:div>
    <w:div w:id="1367681646">
      <w:bodyDiv w:val="1"/>
      <w:marLeft w:val="0"/>
      <w:marRight w:val="0"/>
      <w:marTop w:val="0"/>
      <w:marBottom w:val="0"/>
      <w:divBdr>
        <w:top w:val="none" w:sz="0" w:space="0" w:color="auto"/>
        <w:left w:val="none" w:sz="0" w:space="0" w:color="auto"/>
        <w:bottom w:val="none" w:sz="0" w:space="0" w:color="auto"/>
        <w:right w:val="none" w:sz="0" w:space="0" w:color="auto"/>
      </w:divBdr>
    </w:div>
    <w:div w:id="1368410702">
      <w:bodyDiv w:val="1"/>
      <w:marLeft w:val="0"/>
      <w:marRight w:val="0"/>
      <w:marTop w:val="0"/>
      <w:marBottom w:val="0"/>
      <w:divBdr>
        <w:top w:val="none" w:sz="0" w:space="0" w:color="auto"/>
        <w:left w:val="none" w:sz="0" w:space="0" w:color="auto"/>
        <w:bottom w:val="none" w:sz="0" w:space="0" w:color="auto"/>
        <w:right w:val="none" w:sz="0" w:space="0" w:color="auto"/>
      </w:divBdr>
    </w:div>
    <w:div w:id="1369453748">
      <w:bodyDiv w:val="1"/>
      <w:marLeft w:val="0"/>
      <w:marRight w:val="0"/>
      <w:marTop w:val="0"/>
      <w:marBottom w:val="0"/>
      <w:divBdr>
        <w:top w:val="none" w:sz="0" w:space="0" w:color="auto"/>
        <w:left w:val="none" w:sz="0" w:space="0" w:color="auto"/>
        <w:bottom w:val="none" w:sz="0" w:space="0" w:color="auto"/>
        <w:right w:val="none" w:sz="0" w:space="0" w:color="auto"/>
      </w:divBdr>
    </w:div>
    <w:div w:id="1370301375">
      <w:bodyDiv w:val="1"/>
      <w:marLeft w:val="0"/>
      <w:marRight w:val="0"/>
      <w:marTop w:val="0"/>
      <w:marBottom w:val="0"/>
      <w:divBdr>
        <w:top w:val="none" w:sz="0" w:space="0" w:color="auto"/>
        <w:left w:val="none" w:sz="0" w:space="0" w:color="auto"/>
        <w:bottom w:val="none" w:sz="0" w:space="0" w:color="auto"/>
        <w:right w:val="none" w:sz="0" w:space="0" w:color="auto"/>
      </w:divBdr>
    </w:div>
    <w:div w:id="1370909775">
      <w:bodyDiv w:val="1"/>
      <w:marLeft w:val="0"/>
      <w:marRight w:val="0"/>
      <w:marTop w:val="0"/>
      <w:marBottom w:val="0"/>
      <w:divBdr>
        <w:top w:val="none" w:sz="0" w:space="0" w:color="auto"/>
        <w:left w:val="none" w:sz="0" w:space="0" w:color="auto"/>
        <w:bottom w:val="none" w:sz="0" w:space="0" w:color="auto"/>
        <w:right w:val="none" w:sz="0" w:space="0" w:color="auto"/>
      </w:divBdr>
    </w:div>
    <w:div w:id="1372220889">
      <w:bodyDiv w:val="1"/>
      <w:marLeft w:val="0"/>
      <w:marRight w:val="0"/>
      <w:marTop w:val="0"/>
      <w:marBottom w:val="0"/>
      <w:divBdr>
        <w:top w:val="none" w:sz="0" w:space="0" w:color="auto"/>
        <w:left w:val="none" w:sz="0" w:space="0" w:color="auto"/>
        <w:bottom w:val="none" w:sz="0" w:space="0" w:color="auto"/>
        <w:right w:val="none" w:sz="0" w:space="0" w:color="auto"/>
      </w:divBdr>
    </w:div>
    <w:div w:id="1372459400">
      <w:bodyDiv w:val="1"/>
      <w:marLeft w:val="0"/>
      <w:marRight w:val="0"/>
      <w:marTop w:val="0"/>
      <w:marBottom w:val="0"/>
      <w:divBdr>
        <w:top w:val="none" w:sz="0" w:space="0" w:color="auto"/>
        <w:left w:val="none" w:sz="0" w:space="0" w:color="auto"/>
        <w:bottom w:val="none" w:sz="0" w:space="0" w:color="auto"/>
        <w:right w:val="none" w:sz="0" w:space="0" w:color="auto"/>
      </w:divBdr>
    </w:div>
    <w:div w:id="1372533984">
      <w:bodyDiv w:val="1"/>
      <w:marLeft w:val="0"/>
      <w:marRight w:val="0"/>
      <w:marTop w:val="0"/>
      <w:marBottom w:val="0"/>
      <w:divBdr>
        <w:top w:val="none" w:sz="0" w:space="0" w:color="auto"/>
        <w:left w:val="none" w:sz="0" w:space="0" w:color="auto"/>
        <w:bottom w:val="none" w:sz="0" w:space="0" w:color="auto"/>
        <w:right w:val="none" w:sz="0" w:space="0" w:color="auto"/>
      </w:divBdr>
    </w:div>
    <w:div w:id="1372732792">
      <w:bodyDiv w:val="1"/>
      <w:marLeft w:val="0"/>
      <w:marRight w:val="0"/>
      <w:marTop w:val="0"/>
      <w:marBottom w:val="0"/>
      <w:divBdr>
        <w:top w:val="none" w:sz="0" w:space="0" w:color="auto"/>
        <w:left w:val="none" w:sz="0" w:space="0" w:color="auto"/>
        <w:bottom w:val="none" w:sz="0" w:space="0" w:color="auto"/>
        <w:right w:val="none" w:sz="0" w:space="0" w:color="auto"/>
      </w:divBdr>
    </w:div>
    <w:div w:id="1374230515">
      <w:bodyDiv w:val="1"/>
      <w:marLeft w:val="0"/>
      <w:marRight w:val="0"/>
      <w:marTop w:val="0"/>
      <w:marBottom w:val="0"/>
      <w:divBdr>
        <w:top w:val="none" w:sz="0" w:space="0" w:color="auto"/>
        <w:left w:val="none" w:sz="0" w:space="0" w:color="auto"/>
        <w:bottom w:val="none" w:sz="0" w:space="0" w:color="auto"/>
        <w:right w:val="none" w:sz="0" w:space="0" w:color="auto"/>
      </w:divBdr>
    </w:div>
    <w:div w:id="1374649605">
      <w:bodyDiv w:val="1"/>
      <w:marLeft w:val="0"/>
      <w:marRight w:val="0"/>
      <w:marTop w:val="0"/>
      <w:marBottom w:val="0"/>
      <w:divBdr>
        <w:top w:val="none" w:sz="0" w:space="0" w:color="auto"/>
        <w:left w:val="none" w:sz="0" w:space="0" w:color="auto"/>
        <w:bottom w:val="none" w:sz="0" w:space="0" w:color="auto"/>
        <w:right w:val="none" w:sz="0" w:space="0" w:color="auto"/>
      </w:divBdr>
    </w:div>
    <w:div w:id="1375274125">
      <w:bodyDiv w:val="1"/>
      <w:marLeft w:val="0"/>
      <w:marRight w:val="0"/>
      <w:marTop w:val="0"/>
      <w:marBottom w:val="0"/>
      <w:divBdr>
        <w:top w:val="none" w:sz="0" w:space="0" w:color="auto"/>
        <w:left w:val="none" w:sz="0" w:space="0" w:color="auto"/>
        <w:bottom w:val="none" w:sz="0" w:space="0" w:color="auto"/>
        <w:right w:val="none" w:sz="0" w:space="0" w:color="auto"/>
      </w:divBdr>
    </w:div>
    <w:div w:id="1376849217">
      <w:bodyDiv w:val="1"/>
      <w:marLeft w:val="0"/>
      <w:marRight w:val="0"/>
      <w:marTop w:val="0"/>
      <w:marBottom w:val="0"/>
      <w:divBdr>
        <w:top w:val="none" w:sz="0" w:space="0" w:color="auto"/>
        <w:left w:val="none" w:sz="0" w:space="0" w:color="auto"/>
        <w:bottom w:val="none" w:sz="0" w:space="0" w:color="auto"/>
        <w:right w:val="none" w:sz="0" w:space="0" w:color="auto"/>
      </w:divBdr>
      <w:divsChild>
        <w:div w:id="843277384">
          <w:marLeft w:val="0"/>
          <w:marRight w:val="0"/>
          <w:marTop w:val="0"/>
          <w:marBottom w:val="0"/>
          <w:divBdr>
            <w:top w:val="none" w:sz="0" w:space="0" w:color="auto"/>
            <w:left w:val="none" w:sz="0" w:space="0" w:color="auto"/>
            <w:bottom w:val="none" w:sz="0" w:space="0" w:color="auto"/>
            <w:right w:val="none" w:sz="0" w:space="0" w:color="auto"/>
          </w:divBdr>
        </w:div>
        <w:div w:id="1392457399">
          <w:marLeft w:val="0"/>
          <w:marRight w:val="0"/>
          <w:marTop w:val="0"/>
          <w:marBottom w:val="0"/>
          <w:divBdr>
            <w:top w:val="none" w:sz="0" w:space="0" w:color="auto"/>
            <w:left w:val="none" w:sz="0" w:space="0" w:color="auto"/>
            <w:bottom w:val="none" w:sz="0" w:space="0" w:color="auto"/>
            <w:right w:val="none" w:sz="0" w:space="0" w:color="auto"/>
          </w:divBdr>
        </w:div>
        <w:div w:id="871528031">
          <w:marLeft w:val="0"/>
          <w:marRight w:val="0"/>
          <w:marTop w:val="0"/>
          <w:marBottom w:val="0"/>
          <w:divBdr>
            <w:top w:val="none" w:sz="0" w:space="0" w:color="auto"/>
            <w:left w:val="none" w:sz="0" w:space="0" w:color="auto"/>
            <w:bottom w:val="none" w:sz="0" w:space="0" w:color="auto"/>
            <w:right w:val="none" w:sz="0" w:space="0" w:color="auto"/>
          </w:divBdr>
        </w:div>
        <w:div w:id="1350335827">
          <w:marLeft w:val="0"/>
          <w:marRight w:val="0"/>
          <w:marTop w:val="0"/>
          <w:marBottom w:val="0"/>
          <w:divBdr>
            <w:top w:val="none" w:sz="0" w:space="0" w:color="auto"/>
            <w:left w:val="none" w:sz="0" w:space="0" w:color="auto"/>
            <w:bottom w:val="none" w:sz="0" w:space="0" w:color="auto"/>
            <w:right w:val="none" w:sz="0" w:space="0" w:color="auto"/>
          </w:divBdr>
        </w:div>
        <w:div w:id="316080870">
          <w:marLeft w:val="0"/>
          <w:marRight w:val="0"/>
          <w:marTop w:val="0"/>
          <w:marBottom w:val="0"/>
          <w:divBdr>
            <w:top w:val="none" w:sz="0" w:space="0" w:color="auto"/>
            <w:left w:val="none" w:sz="0" w:space="0" w:color="auto"/>
            <w:bottom w:val="none" w:sz="0" w:space="0" w:color="auto"/>
            <w:right w:val="none" w:sz="0" w:space="0" w:color="auto"/>
          </w:divBdr>
        </w:div>
        <w:div w:id="1001472637">
          <w:marLeft w:val="0"/>
          <w:marRight w:val="0"/>
          <w:marTop w:val="0"/>
          <w:marBottom w:val="0"/>
          <w:divBdr>
            <w:top w:val="none" w:sz="0" w:space="0" w:color="auto"/>
            <w:left w:val="none" w:sz="0" w:space="0" w:color="auto"/>
            <w:bottom w:val="none" w:sz="0" w:space="0" w:color="auto"/>
            <w:right w:val="none" w:sz="0" w:space="0" w:color="auto"/>
          </w:divBdr>
        </w:div>
      </w:divsChild>
    </w:div>
    <w:div w:id="1377002800">
      <w:bodyDiv w:val="1"/>
      <w:marLeft w:val="0"/>
      <w:marRight w:val="0"/>
      <w:marTop w:val="0"/>
      <w:marBottom w:val="0"/>
      <w:divBdr>
        <w:top w:val="none" w:sz="0" w:space="0" w:color="auto"/>
        <w:left w:val="none" w:sz="0" w:space="0" w:color="auto"/>
        <w:bottom w:val="none" w:sz="0" w:space="0" w:color="auto"/>
        <w:right w:val="none" w:sz="0" w:space="0" w:color="auto"/>
      </w:divBdr>
    </w:div>
    <w:div w:id="1377704744">
      <w:bodyDiv w:val="1"/>
      <w:marLeft w:val="0"/>
      <w:marRight w:val="0"/>
      <w:marTop w:val="0"/>
      <w:marBottom w:val="0"/>
      <w:divBdr>
        <w:top w:val="none" w:sz="0" w:space="0" w:color="auto"/>
        <w:left w:val="none" w:sz="0" w:space="0" w:color="auto"/>
        <w:bottom w:val="none" w:sz="0" w:space="0" w:color="auto"/>
        <w:right w:val="none" w:sz="0" w:space="0" w:color="auto"/>
      </w:divBdr>
    </w:div>
    <w:div w:id="1378814154">
      <w:bodyDiv w:val="1"/>
      <w:marLeft w:val="0"/>
      <w:marRight w:val="0"/>
      <w:marTop w:val="0"/>
      <w:marBottom w:val="0"/>
      <w:divBdr>
        <w:top w:val="none" w:sz="0" w:space="0" w:color="auto"/>
        <w:left w:val="none" w:sz="0" w:space="0" w:color="auto"/>
        <w:bottom w:val="none" w:sz="0" w:space="0" w:color="auto"/>
        <w:right w:val="none" w:sz="0" w:space="0" w:color="auto"/>
      </w:divBdr>
    </w:div>
    <w:div w:id="1379355836">
      <w:bodyDiv w:val="1"/>
      <w:marLeft w:val="0"/>
      <w:marRight w:val="0"/>
      <w:marTop w:val="0"/>
      <w:marBottom w:val="0"/>
      <w:divBdr>
        <w:top w:val="none" w:sz="0" w:space="0" w:color="auto"/>
        <w:left w:val="none" w:sz="0" w:space="0" w:color="auto"/>
        <w:bottom w:val="none" w:sz="0" w:space="0" w:color="auto"/>
        <w:right w:val="none" w:sz="0" w:space="0" w:color="auto"/>
      </w:divBdr>
    </w:div>
    <w:div w:id="1379471831">
      <w:bodyDiv w:val="1"/>
      <w:marLeft w:val="0"/>
      <w:marRight w:val="0"/>
      <w:marTop w:val="0"/>
      <w:marBottom w:val="0"/>
      <w:divBdr>
        <w:top w:val="none" w:sz="0" w:space="0" w:color="auto"/>
        <w:left w:val="none" w:sz="0" w:space="0" w:color="auto"/>
        <w:bottom w:val="none" w:sz="0" w:space="0" w:color="auto"/>
        <w:right w:val="none" w:sz="0" w:space="0" w:color="auto"/>
      </w:divBdr>
    </w:div>
    <w:div w:id="1379817417">
      <w:bodyDiv w:val="1"/>
      <w:marLeft w:val="0"/>
      <w:marRight w:val="0"/>
      <w:marTop w:val="0"/>
      <w:marBottom w:val="0"/>
      <w:divBdr>
        <w:top w:val="none" w:sz="0" w:space="0" w:color="auto"/>
        <w:left w:val="none" w:sz="0" w:space="0" w:color="auto"/>
        <w:bottom w:val="none" w:sz="0" w:space="0" w:color="auto"/>
        <w:right w:val="none" w:sz="0" w:space="0" w:color="auto"/>
      </w:divBdr>
    </w:div>
    <w:div w:id="1379818112">
      <w:bodyDiv w:val="1"/>
      <w:marLeft w:val="0"/>
      <w:marRight w:val="0"/>
      <w:marTop w:val="0"/>
      <w:marBottom w:val="0"/>
      <w:divBdr>
        <w:top w:val="none" w:sz="0" w:space="0" w:color="auto"/>
        <w:left w:val="none" w:sz="0" w:space="0" w:color="auto"/>
        <w:bottom w:val="none" w:sz="0" w:space="0" w:color="auto"/>
        <w:right w:val="none" w:sz="0" w:space="0" w:color="auto"/>
      </w:divBdr>
    </w:div>
    <w:div w:id="1380397181">
      <w:bodyDiv w:val="1"/>
      <w:marLeft w:val="0"/>
      <w:marRight w:val="0"/>
      <w:marTop w:val="0"/>
      <w:marBottom w:val="0"/>
      <w:divBdr>
        <w:top w:val="none" w:sz="0" w:space="0" w:color="auto"/>
        <w:left w:val="none" w:sz="0" w:space="0" w:color="auto"/>
        <w:bottom w:val="none" w:sz="0" w:space="0" w:color="auto"/>
        <w:right w:val="none" w:sz="0" w:space="0" w:color="auto"/>
      </w:divBdr>
    </w:div>
    <w:div w:id="1380472517">
      <w:bodyDiv w:val="1"/>
      <w:marLeft w:val="0"/>
      <w:marRight w:val="0"/>
      <w:marTop w:val="0"/>
      <w:marBottom w:val="0"/>
      <w:divBdr>
        <w:top w:val="none" w:sz="0" w:space="0" w:color="auto"/>
        <w:left w:val="none" w:sz="0" w:space="0" w:color="auto"/>
        <w:bottom w:val="none" w:sz="0" w:space="0" w:color="auto"/>
        <w:right w:val="none" w:sz="0" w:space="0" w:color="auto"/>
      </w:divBdr>
    </w:div>
    <w:div w:id="1380738993">
      <w:bodyDiv w:val="1"/>
      <w:marLeft w:val="0"/>
      <w:marRight w:val="0"/>
      <w:marTop w:val="0"/>
      <w:marBottom w:val="0"/>
      <w:divBdr>
        <w:top w:val="none" w:sz="0" w:space="0" w:color="auto"/>
        <w:left w:val="none" w:sz="0" w:space="0" w:color="auto"/>
        <w:bottom w:val="none" w:sz="0" w:space="0" w:color="auto"/>
        <w:right w:val="none" w:sz="0" w:space="0" w:color="auto"/>
      </w:divBdr>
    </w:div>
    <w:div w:id="1381436307">
      <w:bodyDiv w:val="1"/>
      <w:marLeft w:val="0"/>
      <w:marRight w:val="0"/>
      <w:marTop w:val="0"/>
      <w:marBottom w:val="0"/>
      <w:divBdr>
        <w:top w:val="none" w:sz="0" w:space="0" w:color="auto"/>
        <w:left w:val="none" w:sz="0" w:space="0" w:color="auto"/>
        <w:bottom w:val="none" w:sz="0" w:space="0" w:color="auto"/>
        <w:right w:val="none" w:sz="0" w:space="0" w:color="auto"/>
      </w:divBdr>
    </w:div>
    <w:div w:id="1381519659">
      <w:bodyDiv w:val="1"/>
      <w:marLeft w:val="0"/>
      <w:marRight w:val="0"/>
      <w:marTop w:val="0"/>
      <w:marBottom w:val="0"/>
      <w:divBdr>
        <w:top w:val="none" w:sz="0" w:space="0" w:color="auto"/>
        <w:left w:val="none" w:sz="0" w:space="0" w:color="auto"/>
        <w:bottom w:val="none" w:sz="0" w:space="0" w:color="auto"/>
        <w:right w:val="none" w:sz="0" w:space="0" w:color="auto"/>
      </w:divBdr>
    </w:div>
    <w:div w:id="1381711599">
      <w:bodyDiv w:val="1"/>
      <w:marLeft w:val="0"/>
      <w:marRight w:val="0"/>
      <w:marTop w:val="0"/>
      <w:marBottom w:val="0"/>
      <w:divBdr>
        <w:top w:val="none" w:sz="0" w:space="0" w:color="auto"/>
        <w:left w:val="none" w:sz="0" w:space="0" w:color="auto"/>
        <w:bottom w:val="none" w:sz="0" w:space="0" w:color="auto"/>
        <w:right w:val="none" w:sz="0" w:space="0" w:color="auto"/>
      </w:divBdr>
    </w:div>
    <w:div w:id="1382900392">
      <w:bodyDiv w:val="1"/>
      <w:marLeft w:val="0"/>
      <w:marRight w:val="0"/>
      <w:marTop w:val="0"/>
      <w:marBottom w:val="0"/>
      <w:divBdr>
        <w:top w:val="none" w:sz="0" w:space="0" w:color="auto"/>
        <w:left w:val="none" w:sz="0" w:space="0" w:color="auto"/>
        <w:bottom w:val="none" w:sz="0" w:space="0" w:color="auto"/>
        <w:right w:val="none" w:sz="0" w:space="0" w:color="auto"/>
      </w:divBdr>
    </w:div>
    <w:div w:id="1382972671">
      <w:bodyDiv w:val="1"/>
      <w:marLeft w:val="0"/>
      <w:marRight w:val="0"/>
      <w:marTop w:val="0"/>
      <w:marBottom w:val="0"/>
      <w:divBdr>
        <w:top w:val="none" w:sz="0" w:space="0" w:color="auto"/>
        <w:left w:val="none" w:sz="0" w:space="0" w:color="auto"/>
        <w:bottom w:val="none" w:sz="0" w:space="0" w:color="auto"/>
        <w:right w:val="none" w:sz="0" w:space="0" w:color="auto"/>
      </w:divBdr>
    </w:div>
    <w:div w:id="1383366267">
      <w:bodyDiv w:val="1"/>
      <w:marLeft w:val="0"/>
      <w:marRight w:val="0"/>
      <w:marTop w:val="0"/>
      <w:marBottom w:val="0"/>
      <w:divBdr>
        <w:top w:val="none" w:sz="0" w:space="0" w:color="auto"/>
        <w:left w:val="none" w:sz="0" w:space="0" w:color="auto"/>
        <w:bottom w:val="none" w:sz="0" w:space="0" w:color="auto"/>
        <w:right w:val="none" w:sz="0" w:space="0" w:color="auto"/>
      </w:divBdr>
    </w:div>
    <w:div w:id="1384520151">
      <w:bodyDiv w:val="1"/>
      <w:marLeft w:val="0"/>
      <w:marRight w:val="0"/>
      <w:marTop w:val="0"/>
      <w:marBottom w:val="0"/>
      <w:divBdr>
        <w:top w:val="none" w:sz="0" w:space="0" w:color="auto"/>
        <w:left w:val="none" w:sz="0" w:space="0" w:color="auto"/>
        <w:bottom w:val="none" w:sz="0" w:space="0" w:color="auto"/>
        <w:right w:val="none" w:sz="0" w:space="0" w:color="auto"/>
      </w:divBdr>
    </w:div>
    <w:div w:id="1385056829">
      <w:bodyDiv w:val="1"/>
      <w:marLeft w:val="0"/>
      <w:marRight w:val="0"/>
      <w:marTop w:val="0"/>
      <w:marBottom w:val="0"/>
      <w:divBdr>
        <w:top w:val="none" w:sz="0" w:space="0" w:color="auto"/>
        <w:left w:val="none" w:sz="0" w:space="0" w:color="auto"/>
        <w:bottom w:val="none" w:sz="0" w:space="0" w:color="auto"/>
        <w:right w:val="none" w:sz="0" w:space="0" w:color="auto"/>
      </w:divBdr>
    </w:div>
    <w:div w:id="1386028434">
      <w:bodyDiv w:val="1"/>
      <w:marLeft w:val="0"/>
      <w:marRight w:val="0"/>
      <w:marTop w:val="0"/>
      <w:marBottom w:val="0"/>
      <w:divBdr>
        <w:top w:val="none" w:sz="0" w:space="0" w:color="auto"/>
        <w:left w:val="none" w:sz="0" w:space="0" w:color="auto"/>
        <w:bottom w:val="none" w:sz="0" w:space="0" w:color="auto"/>
        <w:right w:val="none" w:sz="0" w:space="0" w:color="auto"/>
      </w:divBdr>
    </w:div>
    <w:div w:id="1386097483">
      <w:bodyDiv w:val="1"/>
      <w:marLeft w:val="0"/>
      <w:marRight w:val="0"/>
      <w:marTop w:val="0"/>
      <w:marBottom w:val="0"/>
      <w:divBdr>
        <w:top w:val="none" w:sz="0" w:space="0" w:color="auto"/>
        <w:left w:val="none" w:sz="0" w:space="0" w:color="auto"/>
        <w:bottom w:val="none" w:sz="0" w:space="0" w:color="auto"/>
        <w:right w:val="none" w:sz="0" w:space="0" w:color="auto"/>
      </w:divBdr>
    </w:div>
    <w:div w:id="1386373917">
      <w:bodyDiv w:val="1"/>
      <w:marLeft w:val="0"/>
      <w:marRight w:val="0"/>
      <w:marTop w:val="0"/>
      <w:marBottom w:val="0"/>
      <w:divBdr>
        <w:top w:val="none" w:sz="0" w:space="0" w:color="auto"/>
        <w:left w:val="none" w:sz="0" w:space="0" w:color="auto"/>
        <w:bottom w:val="none" w:sz="0" w:space="0" w:color="auto"/>
        <w:right w:val="none" w:sz="0" w:space="0" w:color="auto"/>
      </w:divBdr>
    </w:div>
    <w:div w:id="1387072647">
      <w:bodyDiv w:val="1"/>
      <w:marLeft w:val="0"/>
      <w:marRight w:val="0"/>
      <w:marTop w:val="0"/>
      <w:marBottom w:val="0"/>
      <w:divBdr>
        <w:top w:val="none" w:sz="0" w:space="0" w:color="auto"/>
        <w:left w:val="none" w:sz="0" w:space="0" w:color="auto"/>
        <w:bottom w:val="none" w:sz="0" w:space="0" w:color="auto"/>
        <w:right w:val="none" w:sz="0" w:space="0" w:color="auto"/>
      </w:divBdr>
    </w:div>
    <w:div w:id="1387222328">
      <w:bodyDiv w:val="1"/>
      <w:marLeft w:val="0"/>
      <w:marRight w:val="0"/>
      <w:marTop w:val="0"/>
      <w:marBottom w:val="0"/>
      <w:divBdr>
        <w:top w:val="none" w:sz="0" w:space="0" w:color="auto"/>
        <w:left w:val="none" w:sz="0" w:space="0" w:color="auto"/>
        <w:bottom w:val="none" w:sz="0" w:space="0" w:color="auto"/>
        <w:right w:val="none" w:sz="0" w:space="0" w:color="auto"/>
      </w:divBdr>
      <w:divsChild>
        <w:div w:id="1779714624">
          <w:marLeft w:val="0"/>
          <w:marRight w:val="0"/>
          <w:marTop w:val="0"/>
          <w:marBottom w:val="420"/>
          <w:divBdr>
            <w:top w:val="none" w:sz="0" w:space="0" w:color="auto"/>
            <w:left w:val="none" w:sz="0" w:space="0" w:color="auto"/>
            <w:bottom w:val="none" w:sz="0" w:space="0" w:color="auto"/>
            <w:right w:val="none" w:sz="0" w:space="0" w:color="auto"/>
          </w:divBdr>
          <w:divsChild>
            <w:div w:id="1440249990">
              <w:marLeft w:val="0"/>
              <w:marRight w:val="0"/>
              <w:marTop w:val="0"/>
              <w:marBottom w:val="0"/>
              <w:divBdr>
                <w:top w:val="none" w:sz="0" w:space="0" w:color="auto"/>
                <w:left w:val="none" w:sz="0" w:space="0" w:color="auto"/>
                <w:bottom w:val="none" w:sz="0" w:space="0" w:color="auto"/>
                <w:right w:val="none" w:sz="0" w:space="0" w:color="auto"/>
              </w:divBdr>
              <w:divsChild>
                <w:div w:id="1739084481">
                  <w:marLeft w:val="0"/>
                  <w:marRight w:val="0"/>
                  <w:marTop w:val="0"/>
                  <w:marBottom w:val="0"/>
                  <w:divBdr>
                    <w:top w:val="none" w:sz="0" w:space="0" w:color="auto"/>
                    <w:left w:val="none" w:sz="0" w:space="0" w:color="auto"/>
                    <w:bottom w:val="none" w:sz="0" w:space="0" w:color="auto"/>
                    <w:right w:val="none" w:sz="0" w:space="0" w:color="auto"/>
                  </w:divBdr>
                  <w:divsChild>
                    <w:div w:id="107308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873092">
          <w:marLeft w:val="0"/>
          <w:marRight w:val="0"/>
          <w:marTop w:val="0"/>
          <w:marBottom w:val="420"/>
          <w:divBdr>
            <w:top w:val="none" w:sz="0" w:space="0" w:color="auto"/>
            <w:left w:val="none" w:sz="0" w:space="0" w:color="auto"/>
            <w:bottom w:val="none" w:sz="0" w:space="0" w:color="auto"/>
            <w:right w:val="none" w:sz="0" w:space="0" w:color="auto"/>
          </w:divBdr>
          <w:divsChild>
            <w:div w:id="33739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23105">
      <w:bodyDiv w:val="1"/>
      <w:marLeft w:val="0"/>
      <w:marRight w:val="0"/>
      <w:marTop w:val="0"/>
      <w:marBottom w:val="0"/>
      <w:divBdr>
        <w:top w:val="none" w:sz="0" w:space="0" w:color="auto"/>
        <w:left w:val="none" w:sz="0" w:space="0" w:color="auto"/>
        <w:bottom w:val="none" w:sz="0" w:space="0" w:color="auto"/>
        <w:right w:val="none" w:sz="0" w:space="0" w:color="auto"/>
      </w:divBdr>
    </w:div>
    <w:div w:id="1389259101">
      <w:bodyDiv w:val="1"/>
      <w:marLeft w:val="0"/>
      <w:marRight w:val="0"/>
      <w:marTop w:val="0"/>
      <w:marBottom w:val="0"/>
      <w:divBdr>
        <w:top w:val="none" w:sz="0" w:space="0" w:color="auto"/>
        <w:left w:val="none" w:sz="0" w:space="0" w:color="auto"/>
        <w:bottom w:val="none" w:sz="0" w:space="0" w:color="auto"/>
        <w:right w:val="none" w:sz="0" w:space="0" w:color="auto"/>
      </w:divBdr>
    </w:div>
    <w:div w:id="1390347711">
      <w:bodyDiv w:val="1"/>
      <w:marLeft w:val="0"/>
      <w:marRight w:val="0"/>
      <w:marTop w:val="0"/>
      <w:marBottom w:val="0"/>
      <w:divBdr>
        <w:top w:val="none" w:sz="0" w:space="0" w:color="auto"/>
        <w:left w:val="none" w:sz="0" w:space="0" w:color="auto"/>
        <w:bottom w:val="none" w:sz="0" w:space="0" w:color="auto"/>
        <w:right w:val="none" w:sz="0" w:space="0" w:color="auto"/>
      </w:divBdr>
    </w:div>
    <w:div w:id="1390768313">
      <w:bodyDiv w:val="1"/>
      <w:marLeft w:val="0"/>
      <w:marRight w:val="0"/>
      <w:marTop w:val="0"/>
      <w:marBottom w:val="0"/>
      <w:divBdr>
        <w:top w:val="none" w:sz="0" w:space="0" w:color="auto"/>
        <w:left w:val="none" w:sz="0" w:space="0" w:color="auto"/>
        <w:bottom w:val="none" w:sz="0" w:space="0" w:color="auto"/>
        <w:right w:val="none" w:sz="0" w:space="0" w:color="auto"/>
      </w:divBdr>
    </w:div>
    <w:div w:id="1393189952">
      <w:bodyDiv w:val="1"/>
      <w:marLeft w:val="0"/>
      <w:marRight w:val="0"/>
      <w:marTop w:val="0"/>
      <w:marBottom w:val="0"/>
      <w:divBdr>
        <w:top w:val="none" w:sz="0" w:space="0" w:color="auto"/>
        <w:left w:val="none" w:sz="0" w:space="0" w:color="auto"/>
        <w:bottom w:val="none" w:sz="0" w:space="0" w:color="auto"/>
        <w:right w:val="none" w:sz="0" w:space="0" w:color="auto"/>
      </w:divBdr>
    </w:div>
    <w:div w:id="1393654263">
      <w:bodyDiv w:val="1"/>
      <w:marLeft w:val="0"/>
      <w:marRight w:val="0"/>
      <w:marTop w:val="0"/>
      <w:marBottom w:val="0"/>
      <w:divBdr>
        <w:top w:val="none" w:sz="0" w:space="0" w:color="auto"/>
        <w:left w:val="none" w:sz="0" w:space="0" w:color="auto"/>
        <w:bottom w:val="none" w:sz="0" w:space="0" w:color="auto"/>
        <w:right w:val="none" w:sz="0" w:space="0" w:color="auto"/>
      </w:divBdr>
    </w:div>
    <w:div w:id="1393774768">
      <w:bodyDiv w:val="1"/>
      <w:marLeft w:val="0"/>
      <w:marRight w:val="0"/>
      <w:marTop w:val="0"/>
      <w:marBottom w:val="0"/>
      <w:divBdr>
        <w:top w:val="none" w:sz="0" w:space="0" w:color="auto"/>
        <w:left w:val="none" w:sz="0" w:space="0" w:color="auto"/>
        <w:bottom w:val="none" w:sz="0" w:space="0" w:color="auto"/>
        <w:right w:val="none" w:sz="0" w:space="0" w:color="auto"/>
      </w:divBdr>
    </w:div>
    <w:div w:id="1394965979">
      <w:bodyDiv w:val="1"/>
      <w:marLeft w:val="0"/>
      <w:marRight w:val="0"/>
      <w:marTop w:val="0"/>
      <w:marBottom w:val="0"/>
      <w:divBdr>
        <w:top w:val="none" w:sz="0" w:space="0" w:color="auto"/>
        <w:left w:val="none" w:sz="0" w:space="0" w:color="auto"/>
        <w:bottom w:val="none" w:sz="0" w:space="0" w:color="auto"/>
        <w:right w:val="none" w:sz="0" w:space="0" w:color="auto"/>
      </w:divBdr>
    </w:div>
    <w:div w:id="1395009985">
      <w:bodyDiv w:val="1"/>
      <w:marLeft w:val="0"/>
      <w:marRight w:val="0"/>
      <w:marTop w:val="0"/>
      <w:marBottom w:val="0"/>
      <w:divBdr>
        <w:top w:val="none" w:sz="0" w:space="0" w:color="auto"/>
        <w:left w:val="none" w:sz="0" w:space="0" w:color="auto"/>
        <w:bottom w:val="none" w:sz="0" w:space="0" w:color="auto"/>
        <w:right w:val="none" w:sz="0" w:space="0" w:color="auto"/>
      </w:divBdr>
    </w:div>
    <w:div w:id="1395160820">
      <w:bodyDiv w:val="1"/>
      <w:marLeft w:val="0"/>
      <w:marRight w:val="0"/>
      <w:marTop w:val="0"/>
      <w:marBottom w:val="0"/>
      <w:divBdr>
        <w:top w:val="none" w:sz="0" w:space="0" w:color="auto"/>
        <w:left w:val="none" w:sz="0" w:space="0" w:color="auto"/>
        <w:bottom w:val="none" w:sz="0" w:space="0" w:color="auto"/>
        <w:right w:val="none" w:sz="0" w:space="0" w:color="auto"/>
      </w:divBdr>
    </w:div>
    <w:div w:id="1395661076">
      <w:bodyDiv w:val="1"/>
      <w:marLeft w:val="0"/>
      <w:marRight w:val="0"/>
      <w:marTop w:val="0"/>
      <w:marBottom w:val="0"/>
      <w:divBdr>
        <w:top w:val="none" w:sz="0" w:space="0" w:color="auto"/>
        <w:left w:val="none" w:sz="0" w:space="0" w:color="auto"/>
        <w:bottom w:val="none" w:sz="0" w:space="0" w:color="auto"/>
        <w:right w:val="none" w:sz="0" w:space="0" w:color="auto"/>
      </w:divBdr>
    </w:div>
    <w:div w:id="1395929299">
      <w:bodyDiv w:val="1"/>
      <w:marLeft w:val="0"/>
      <w:marRight w:val="0"/>
      <w:marTop w:val="0"/>
      <w:marBottom w:val="0"/>
      <w:divBdr>
        <w:top w:val="none" w:sz="0" w:space="0" w:color="auto"/>
        <w:left w:val="none" w:sz="0" w:space="0" w:color="auto"/>
        <w:bottom w:val="none" w:sz="0" w:space="0" w:color="auto"/>
        <w:right w:val="none" w:sz="0" w:space="0" w:color="auto"/>
      </w:divBdr>
    </w:div>
    <w:div w:id="1395929644">
      <w:bodyDiv w:val="1"/>
      <w:marLeft w:val="0"/>
      <w:marRight w:val="0"/>
      <w:marTop w:val="0"/>
      <w:marBottom w:val="0"/>
      <w:divBdr>
        <w:top w:val="none" w:sz="0" w:space="0" w:color="auto"/>
        <w:left w:val="none" w:sz="0" w:space="0" w:color="auto"/>
        <w:bottom w:val="none" w:sz="0" w:space="0" w:color="auto"/>
        <w:right w:val="none" w:sz="0" w:space="0" w:color="auto"/>
      </w:divBdr>
    </w:div>
    <w:div w:id="1399472852">
      <w:bodyDiv w:val="1"/>
      <w:marLeft w:val="0"/>
      <w:marRight w:val="0"/>
      <w:marTop w:val="0"/>
      <w:marBottom w:val="0"/>
      <w:divBdr>
        <w:top w:val="none" w:sz="0" w:space="0" w:color="auto"/>
        <w:left w:val="none" w:sz="0" w:space="0" w:color="auto"/>
        <w:bottom w:val="none" w:sz="0" w:space="0" w:color="auto"/>
        <w:right w:val="none" w:sz="0" w:space="0" w:color="auto"/>
      </w:divBdr>
    </w:div>
    <w:div w:id="1399596352">
      <w:bodyDiv w:val="1"/>
      <w:marLeft w:val="0"/>
      <w:marRight w:val="0"/>
      <w:marTop w:val="0"/>
      <w:marBottom w:val="0"/>
      <w:divBdr>
        <w:top w:val="none" w:sz="0" w:space="0" w:color="auto"/>
        <w:left w:val="none" w:sz="0" w:space="0" w:color="auto"/>
        <w:bottom w:val="none" w:sz="0" w:space="0" w:color="auto"/>
        <w:right w:val="none" w:sz="0" w:space="0" w:color="auto"/>
      </w:divBdr>
    </w:div>
    <w:div w:id="1399864126">
      <w:bodyDiv w:val="1"/>
      <w:marLeft w:val="0"/>
      <w:marRight w:val="0"/>
      <w:marTop w:val="0"/>
      <w:marBottom w:val="0"/>
      <w:divBdr>
        <w:top w:val="none" w:sz="0" w:space="0" w:color="auto"/>
        <w:left w:val="none" w:sz="0" w:space="0" w:color="auto"/>
        <w:bottom w:val="none" w:sz="0" w:space="0" w:color="auto"/>
        <w:right w:val="none" w:sz="0" w:space="0" w:color="auto"/>
      </w:divBdr>
    </w:div>
    <w:div w:id="1399985793">
      <w:bodyDiv w:val="1"/>
      <w:marLeft w:val="0"/>
      <w:marRight w:val="0"/>
      <w:marTop w:val="0"/>
      <w:marBottom w:val="0"/>
      <w:divBdr>
        <w:top w:val="none" w:sz="0" w:space="0" w:color="auto"/>
        <w:left w:val="none" w:sz="0" w:space="0" w:color="auto"/>
        <w:bottom w:val="none" w:sz="0" w:space="0" w:color="auto"/>
        <w:right w:val="none" w:sz="0" w:space="0" w:color="auto"/>
      </w:divBdr>
    </w:div>
    <w:div w:id="1401177084">
      <w:bodyDiv w:val="1"/>
      <w:marLeft w:val="0"/>
      <w:marRight w:val="0"/>
      <w:marTop w:val="0"/>
      <w:marBottom w:val="0"/>
      <w:divBdr>
        <w:top w:val="none" w:sz="0" w:space="0" w:color="auto"/>
        <w:left w:val="none" w:sz="0" w:space="0" w:color="auto"/>
        <w:bottom w:val="none" w:sz="0" w:space="0" w:color="auto"/>
        <w:right w:val="none" w:sz="0" w:space="0" w:color="auto"/>
      </w:divBdr>
    </w:div>
    <w:div w:id="1407528809">
      <w:bodyDiv w:val="1"/>
      <w:marLeft w:val="0"/>
      <w:marRight w:val="0"/>
      <w:marTop w:val="0"/>
      <w:marBottom w:val="0"/>
      <w:divBdr>
        <w:top w:val="none" w:sz="0" w:space="0" w:color="auto"/>
        <w:left w:val="none" w:sz="0" w:space="0" w:color="auto"/>
        <w:bottom w:val="none" w:sz="0" w:space="0" w:color="auto"/>
        <w:right w:val="none" w:sz="0" w:space="0" w:color="auto"/>
      </w:divBdr>
    </w:div>
    <w:div w:id="1407997432">
      <w:bodyDiv w:val="1"/>
      <w:marLeft w:val="0"/>
      <w:marRight w:val="0"/>
      <w:marTop w:val="0"/>
      <w:marBottom w:val="0"/>
      <w:divBdr>
        <w:top w:val="none" w:sz="0" w:space="0" w:color="auto"/>
        <w:left w:val="none" w:sz="0" w:space="0" w:color="auto"/>
        <w:bottom w:val="none" w:sz="0" w:space="0" w:color="auto"/>
        <w:right w:val="none" w:sz="0" w:space="0" w:color="auto"/>
      </w:divBdr>
    </w:div>
    <w:div w:id="1409618125">
      <w:bodyDiv w:val="1"/>
      <w:marLeft w:val="0"/>
      <w:marRight w:val="0"/>
      <w:marTop w:val="0"/>
      <w:marBottom w:val="0"/>
      <w:divBdr>
        <w:top w:val="none" w:sz="0" w:space="0" w:color="auto"/>
        <w:left w:val="none" w:sz="0" w:space="0" w:color="auto"/>
        <w:bottom w:val="none" w:sz="0" w:space="0" w:color="auto"/>
        <w:right w:val="none" w:sz="0" w:space="0" w:color="auto"/>
      </w:divBdr>
    </w:div>
    <w:div w:id="1411737995">
      <w:bodyDiv w:val="1"/>
      <w:marLeft w:val="0"/>
      <w:marRight w:val="0"/>
      <w:marTop w:val="0"/>
      <w:marBottom w:val="0"/>
      <w:divBdr>
        <w:top w:val="none" w:sz="0" w:space="0" w:color="auto"/>
        <w:left w:val="none" w:sz="0" w:space="0" w:color="auto"/>
        <w:bottom w:val="none" w:sz="0" w:space="0" w:color="auto"/>
        <w:right w:val="none" w:sz="0" w:space="0" w:color="auto"/>
      </w:divBdr>
    </w:div>
    <w:div w:id="1412586127">
      <w:bodyDiv w:val="1"/>
      <w:marLeft w:val="0"/>
      <w:marRight w:val="0"/>
      <w:marTop w:val="0"/>
      <w:marBottom w:val="0"/>
      <w:divBdr>
        <w:top w:val="none" w:sz="0" w:space="0" w:color="auto"/>
        <w:left w:val="none" w:sz="0" w:space="0" w:color="auto"/>
        <w:bottom w:val="none" w:sz="0" w:space="0" w:color="auto"/>
        <w:right w:val="none" w:sz="0" w:space="0" w:color="auto"/>
      </w:divBdr>
    </w:div>
    <w:div w:id="1413118023">
      <w:bodyDiv w:val="1"/>
      <w:marLeft w:val="0"/>
      <w:marRight w:val="0"/>
      <w:marTop w:val="0"/>
      <w:marBottom w:val="0"/>
      <w:divBdr>
        <w:top w:val="none" w:sz="0" w:space="0" w:color="auto"/>
        <w:left w:val="none" w:sz="0" w:space="0" w:color="auto"/>
        <w:bottom w:val="none" w:sz="0" w:space="0" w:color="auto"/>
        <w:right w:val="none" w:sz="0" w:space="0" w:color="auto"/>
      </w:divBdr>
    </w:div>
    <w:div w:id="1413284122">
      <w:bodyDiv w:val="1"/>
      <w:marLeft w:val="0"/>
      <w:marRight w:val="0"/>
      <w:marTop w:val="0"/>
      <w:marBottom w:val="0"/>
      <w:divBdr>
        <w:top w:val="none" w:sz="0" w:space="0" w:color="auto"/>
        <w:left w:val="none" w:sz="0" w:space="0" w:color="auto"/>
        <w:bottom w:val="none" w:sz="0" w:space="0" w:color="auto"/>
        <w:right w:val="none" w:sz="0" w:space="0" w:color="auto"/>
      </w:divBdr>
    </w:div>
    <w:div w:id="1413433525">
      <w:bodyDiv w:val="1"/>
      <w:marLeft w:val="0"/>
      <w:marRight w:val="0"/>
      <w:marTop w:val="0"/>
      <w:marBottom w:val="0"/>
      <w:divBdr>
        <w:top w:val="none" w:sz="0" w:space="0" w:color="auto"/>
        <w:left w:val="none" w:sz="0" w:space="0" w:color="auto"/>
        <w:bottom w:val="none" w:sz="0" w:space="0" w:color="auto"/>
        <w:right w:val="none" w:sz="0" w:space="0" w:color="auto"/>
      </w:divBdr>
    </w:div>
    <w:div w:id="1414279769">
      <w:bodyDiv w:val="1"/>
      <w:marLeft w:val="0"/>
      <w:marRight w:val="0"/>
      <w:marTop w:val="0"/>
      <w:marBottom w:val="0"/>
      <w:divBdr>
        <w:top w:val="none" w:sz="0" w:space="0" w:color="auto"/>
        <w:left w:val="none" w:sz="0" w:space="0" w:color="auto"/>
        <w:bottom w:val="none" w:sz="0" w:space="0" w:color="auto"/>
        <w:right w:val="none" w:sz="0" w:space="0" w:color="auto"/>
      </w:divBdr>
    </w:div>
    <w:div w:id="1414428320">
      <w:bodyDiv w:val="1"/>
      <w:marLeft w:val="0"/>
      <w:marRight w:val="0"/>
      <w:marTop w:val="0"/>
      <w:marBottom w:val="0"/>
      <w:divBdr>
        <w:top w:val="none" w:sz="0" w:space="0" w:color="auto"/>
        <w:left w:val="none" w:sz="0" w:space="0" w:color="auto"/>
        <w:bottom w:val="none" w:sz="0" w:space="0" w:color="auto"/>
        <w:right w:val="none" w:sz="0" w:space="0" w:color="auto"/>
      </w:divBdr>
    </w:div>
    <w:div w:id="1414624270">
      <w:bodyDiv w:val="1"/>
      <w:marLeft w:val="0"/>
      <w:marRight w:val="0"/>
      <w:marTop w:val="0"/>
      <w:marBottom w:val="0"/>
      <w:divBdr>
        <w:top w:val="none" w:sz="0" w:space="0" w:color="auto"/>
        <w:left w:val="none" w:sz="0" w:space="0" w:color="auto"/>
        <w:bottom w:val="none" w:sz="0" w:space="0" w:color="auto"/>
        <w:right w:val="none" w:sz="0" w:space="0" w:color="auto"/>
      </w:divBdr>
    </w:div>
    <w:div w:id="1414818930">
      <w:bodyDiv w:val="1"/>
      <w:marLeft w:val="0"/>
      <w:marRight w:val="0"/>
      <w:marTop w:val="0"/>
      <w:marBottom w:val="0"/>
      <w:divBdr>
        <w:top w:val="none" w:sz="0" w:space="0" w:color="auto"/>
        <w:left w:val="none" w:sz="0" w:space="0" w:color="auto"/>
        <w:bottom w:val="none" w:sz="0" w:space="0" w:color="auto"/>
        <w:right w:val="none" w:sz="0" w:space="0" w:color="auto"/>
      </w:divBdr>
    </w:div>
    <w:div w:id="1415780931">
      <w:bodyDiv w:val="1"/>
      <w:marLeft w:val="0"/>
      <w:marRight w:val="0"/>
      <w:marTop w:val="0"/>
      <w:marBottom w:val="0"/>
      <w:divBdr>
        <w:top w:val="none" w:sz="0" w:space="0" w:color="auto"/>
        <w:left w:val="none" w:sz="0" w:space="0" w:color="auto"/>
        <w:bottom w:val="none" w:sz="0" w:space="0" w:color="auto"/>
        <w:right w:val="none" w:sz="0" w:space="0" w:color="auto"/>
      </w:divBdr>
    </w:div>
    <w:div w:id="1418091991">
      <w:bodyDiv w:val="1"/>
      <w:marLeft w:val="0"/>
      <w:marRight w:val="0"/>
      <w:marTop w:val="0"/>
      <w:marBottom w:val="0"/>
      <w:divBdr>
        <w:top w:val="none" w:sz="0" w:space="0" w:color="auto"/>
        <w:left w:val="none" w:sz="0" w:space="0" w:color="auto"/>
        <w:bottom w:val="none" w:sz="0" w:space="0" w:color="auto"/>
        <w:right w:val="none" w:sz="0" w:space="0" w:color="auto"/>
      </w:divBdr>
    </w:div>
    <w:div w:id="1418865124">
      <w:bodyDiv w:val="1"/>
      <w:marLeft w:val="0"/>
      <w:marRight w:val="0"/>
      <w:marTop w:val="0"/>
      <w:marBottom w:val="0"/>
      <w:divBdr>
        <w:top w:val="none" w:sz="0" w:space="0" w:color="auto"/>
        <w:left w:val="none" w:sz="0" w:space="0" w:color="auto"/>
        <w:bottom w:val="none" w:sz="0" w:space="0" w:color="auto"/>
        <w:right w:val="none" w:sz="0" w:space="0" w:color="auto"/>
      </w:divBdr>
    </w:div>
    <w:div w:id="1418938996">
      <w:bodyDiv w:val="1"/>
      <w:marLeft w:val="0"/>
      <w:marRight w:val="0"/>
      <w:marTop w:val="0"/>
      <w:marBottom w:val="0"/>
      <w:divBdr>
        <w:top w:val="none" w:sz="0" w:space="0" w:color="auto"/>
        <w:left w:val="none" w:sz="0" w:space="0" w:color="auto"/>
        <w:bottom w:val="none" w:sz="0" w:space="0" w:color="auto"/>
        <w:right w:val="none" w:sz="0" w:space="0" w:color="auto"/>
      </w:divBdr>
    </w:div>
    <w:div w:id="1419332139">
      <w:bodyDiv w:val="1"/>
      <w:marLeft w:val="0"/>
      <w:marRight w:val="0"/>
      <w:marTop w:val="0"/>
      <w:marBottom w:val="0"/>
      <w:divBdr>
        <w:top w:val="none" w:sz="0" w:space="0" w:color="auto"/>
        <w:left w:val="none" w:sz="0" w:space="0" w:color="auto"/>
        <w:bottom w:val="none" w:sz="0" w:space="0" w:color="auto"/>
        <w:right w:val="none" w:sz="0" w:space="0" w:color="auto"/>
      </w:divBdr>
    </w:div>
    <w:div w:id="1420179513">
      <w:bodyDiv w:val="1"/>
      <w:marLeft w:val="0"/>
      <w:marRight w:val="0"/>
      <w:marTop w:val="0"/>
      <w:marBottom w:val="0"/>
      <w:divBdr>
        <w:top w:val="none" w:sz="0" w:space="0" w:color="auto"/>
        <w:left w:val="none" w:sz="0" w:space="0" w:color="auto"/>
        <w:bottom w:val="none" w:sz="0" w:space="0" w:color="auto"/>
        <w:right w:val="none" w:sz="0" w:space="0" w:color="auto"/>
      </w:divBdr>
    </w:div>
    <w:div w:id="1421172049">
      <w:bodyDiv w:val="1"/>
      <w:marLeft w:val="0"/>
      <w:marRight w:val="0"/>
      <w:marTop w:val="0"/>
      <w:marBottom w:val="0"/>
      <w:divBdr>
        <w:top w:val="none" w:sz="0" w:space="0" w:color="auto"/>
        <w:left w:val="none" w:sz="0" w:space="0" w:color="auto"/>
        <w:bottom w:val="none" w:sz="0" w:space="0" w:color="auto"/>
        <w:right w:val="none" w:sz="0" w:space="0" w:color="auto"/>
      </w:divBdr>
    </w:div>
    <w:div w:id="1422024060">
      <w:bodyDiv w:val="1"/>
      <w:marLeft w:val="0"/>
      <w:marRight w:val="0"/>
      <w:marTop w:val="0"/>
      <w:marBottom w:val="0"/>
      <w:divBdr>
        <w:top w:val="none" w:sz="0" w:space="0" w:color="auto"/>
        <w:left w:val="none" w:sz="0" w:space="0" w:color="auto"/>
        <w:bottom w:val="none" w:sz="0" w:space="0" w:color="auto"/>
        <w:right w:val="none" w:sz="0" w:space="0" w:color="auto"/>
      </w:divBdr>
    </w:div>
    <w:div w:id="1422532838">
      <w:bodyDiv w:val="1"/>
      <w:marLeft w:val="0"/>
      <w:marRight w:val="0"/>
      <w:marTop w:val="0"/>
      <w:marBottom w:val="0"/>
      <w:divBdr>
        <w:top w:val="none" w:sz="0" w:space="0" w:color="auto"/>
        <w:left w:val="none" w:sz="0" w:space="0" w:color="auto"/>
        <w:bottom w:val="none" w:sz="0" w:space="0" w:color="auto"/>
        <w:right w:val="none" w:sz="0" w:space="0" w:color="auto"/>
      </w:divBdr>
    </w:div>
    <w:div w:id="1422599355">
      <w:bodyDiv w:val="1"/>
      <w:marLeft w:val="0"/>
      <w:marRight w:val="0"/>
      <w:marTop w:val="0"/>
      <w:marBottom w:val="0"/>
      <w:divBdr>
        <w:top w:val="none" w:sz="0" w:space="0" w:color="auto"/>
        <w:left w:val="none" w:sz="0" w:space="0" w:color="auto"/>
        <w:bottom w:val="none" w:sz="0" w:space="0" w:color="auto"/>
        <w:right w:val="none" w:sz="0" w:space="0" w:color="auto"/>
      </w:divBdr>
    </w:div>
    <w:div w:id="1422675660">
      <w:bodyDiv w:val="1"/>
      <w:marLeft w:val="0"/>
      <w:marRight w:val="0"/>
      <w:marTop w:val="0"/>
      <w:marBottom w:val="0"/>
      <w:divBdr>
        <w:top w:val="none" w:sz="0" w:space="0" w:color="auto"/>
        <w:left w:val="none" w:sz="0" w:space="0" w:color="auto"/>
        <w:bottom w:val="none" w:sz="0" w:space="0" w:color="auto"/>
        <w:right w:val="none" w:sz="0" w:space="0" w:color="auto"/>
      </w:divBdr>
    </w:div>
    <w:div w:id="1422752175">
      <w:bodyDiv w:val="1"/>
      <w:marLeft w:val="0"/>
      <w:marRight w:val="0"/>
      <w:marTop w:val="0"/>
      <w:marBottom w:val="0"/>
      <w:divBdr>
        <w:top w:val="none" w:sz="0" w:space="0" w:color="auto"/>
        <w:left w:val="none" w:sz="0" w:space="0" w:color="auto"/>
        <w:bottom w:val="none" w:sz="0" w:space="0" w:color="auto"/>
        <w:right w:val="none" w:sz="0" w:space="0" w:color="auto"/>
      </w:divBdr>
    </w:div>
    <w:div w:id="1422870791">
      <w:bodyDiv w:val="1"/>
      <w:marLeft w:val="0"/>
      <w:marRight w:val="0"/>
      <w:marTop w:val="0"/>
      <w:marBottom w:val="0"/>
      <w:divBdr>
        <w:top w:val="none" w:sz="0" w:space="0" w:color="auto"/>
        <w:left w:val="none" w:sz="0" w:space="0" w:color="auto"/>
        <w:bottom w:val="none" w:sz="0" w:space="0" w:color="auto"/>
        <w:right w:val="none" w:sz="0" w:space="0" w:color="auto"/>
      </w:divBdr>
    </w:div>
    <w:div w:id="1423064077">
      <w:bodyDiv w:val="1"/>
      <w:marLeft w:val="0"/>
      <w:marRight w:val="0"/>
      <w:marTop w:val="0"/>
      <w:marBottom w:val="0"/>
      <w:divBdr>
        <w:top w:val="none" w:sz="0" w:space="0" w:color="auto"/>
        <w:left w:val="none" w:sz="0" w:space="0" w:color="auto"/>
        <w:bottom w:val="none" w:sz="0" w:space="0" w:color="auto"/>
        <w:right w:val="none" w:sz="0" w:space="0" w:color="auto"/>
      </w:divBdr>
    </w:div>
    <w:div w:id="1423641470">
      <w:bodyDiv w:val="1"/>
      <w:marLeft w:val="0"/>
      <w:marRight w:val="0"/>
      <w:marTop w:val="0"/>
      <w:marBottom w:val="0"/>
      <w:divBdr>
        <w:top w:val="none" w:sz="0" w:space="0" w:color="auto"/>
        <w:left w:val="none" w:sz="0" w:space="0" w:color="auto"/>
        <w:bottom w:val="none" w:sz="0" w:space="0" w:color="auto"/>
        <w:right w:val="none" w:sz="0" w:space="0" w:color="auto"/>
      </w:divBdr>
    </w:div>
    <w:div w:id="1425302744">
      <w:bodyDiv w:val="1"/>
      <w:marLeft w:val="0"/>
      <w:marRight w:val="0"/>
      <w:marTop w:val="0"/>
      <w:marBottom w:val="0"/>
      <w:divBdr>
        <w:top w:val="none" w:sz="0" w:space="0" w:color="auto"/>
        <w:left w:val="none" w:sz="0" w:space="0" w:color="auto"/>
        <w:bottom w:val="none" w:sz="0" w:space="0" w:color="auto"/>
        <w:right w:val="none" w:sz="0" w:space="0" w:color="auto"/>
      </w:divBdr>
    </w:div>
    <w:div w:id="1425421439">
      <w:bodyDiv w:val="1"/>
      <w:marLeft w:val="0"/>
      <w:marRight w:val="0"/>
      <w:marTop w:val="0"/>
      <w:marBottom w:val="0"/>
      <w:divBdr>
        <w:top w:val="none" w:sz="0" w:space="0" w:color="auto"/>
        <w:left w:val="none" w:sz="0" w:space="0" w:color="auto"/>
        <w:bottom w:val="none" w:sz="0" w:space="0" w:color="auto"/>
        <w:right w:val="none" w:sz="0" w:space="0" w:color="auto"/>
      </w:divBdr>
    </w:div>
    <w:div w:id="1425807457">
      <w:bodyDiv w:val="1"/>
      <w:marLeft w:val="0"/>
      <w:marRight w:val="0"/>
      <w:marTop w:val="0"/>
      <w:marBottom w:val="0"/>
      <w:divBdr>
        <w:top w:val="none" w:sz="0" w:space="0" w:color="auto"/>
        <w:left w:val="none" w:sz="0" w:space="0" w:color="auto"/>
        <w:bottom w:val="none" w:sz="0" w:space="0" w:color="auto"/>
        <w:right w:val="none" w:sz="0" w:space="0" w:color="auto"/>
      </w:divBdr>
    </w:div>
    <w:div w:id="1426878122">
      <w:bodyDiv w:val="1"/>
      <w:marLeft w:val="0"/>
      <w:marRight w:val="0"/>
      <w:marTop w:val="0"/>
      <w:marBottom w:val="0"/>
      <w:divBdr>
        <w:top w:val="none" w:sz="0" w:space="0" w:color="auto"/>
        <w:left w:val="none" w:sz="0" w:space="0" w:color="auto"/>
        <w:bottom w:val="none" w:sz="0" w:space="0" w:color="auto"/>
        <w:right w:val="none" w:sz="0" w:space="0" w:color="auto"/>
      </w:divBdr>
    </w:div>
    <w:div w:id="1427115888">
      <w:bodyDiv w:val="1"/>
      <w:marLeft w:val="0"/>
      <w:marRight w:val="0"/>
      <w:marTop w:val="0"/>
      <w:marBottom w:val="0"/>
      <w:divBdr>
        <w:top w:val="none" w:sz="0" w:space="0" w:color="auto"/>
        <w:left w:val="none" w:sz="0" w:space="0" w:color="auto"/>
        <w:bottom w:val="none" w:sz="0" w:space="0" w:color="auto"/>
        <w:right w:val="none" w:sz="0" w:space="0" w:color="auto"/>
      </w:divBdr>
    </w:div>
    <w:div w:id="1427143908">
      <w:bodyDiv w:val="1"/>
      <w:marLeft w:val="0"/>
      <w:marRight w:val="0"/>
      <w:marTop w:val="0"/>
      <w:marBottom w:val="0"/>
      <w:divBdr>
        <w:top w:val="none" w:sz="0" w:space="0" w:color="auto"/>
        <w:left w:val="none" w:sz="0" w:space="0" w:color="auto"/>
        <w:bottom w:val="none" w:sz="0" w:space="0" w:color="auto"/>
        <w:right w:val="none" w:sz="0" w:space="0" w:color="auto"/>
      </w:divBdr>
    </w:div>
    <w:div w:id="1428234272">
      <w:bodyDiv w:val="1"/>
      <w:marLeft w:val="0"/>
      <w:marRight w:val="0"/>
      <w:marTop w:val="0"/>
      <w:marBottom w:val="0"/>
      <w:divBdr>
        <w:top w:val="none" w:sz="0" w:space="0" w:color="auto"/>
        <w:left w:val="none" w:sz="0" w:space="0" w:color="auto"/>
        <w:bottom w:val="none" w:sz="0" w:space="0" w:color="auto"/>
        <w:right w:val="none" w:sz="0" w:space="0" w:color="auto"/>
      </w:divBdr>
    </w:div>
    <w:div w:id="1429350395">
      <w:bodyDiv w:val="1"/>
      <w:marLeft w:val="0"/>
      <w:marRight w:val="0"/>
      <w:marTop w:val="0"/>
      <w:marBottom w:val="0"/>
      <w:divBdr>
        <w:top w:val="none" w:sz="0" w:space="0" w:color="auto"/>
        <w:left w:val="none" w:sz="0" w:space="0" w:color="auto"/>
        <w:bottom w:val="none" w:sz="0" w:space="0" w:color="auto"/>
        <w:right w:val="none" w:sz="0" w:space="0" w:color="auto"/>
      </w:divBdr>
    </w:div>
    <w:div w:id="1429352695">
      <w:bodyDiv w:val="1"/>
      <w:marLeft w:val="0"/>
      <w:marRight w:val="0"/>
      <w:marTop w:val="0"/>
      <w:marBottom w:val="0"/>
      <w:divBdr>
        <w:top w:val="none" w:sz="0" w:space="0" w:color="auto"/>
        <w:left w:val="none" w:sz="0" w:space="0" w:color="auto"/>
        <w:bottom w:val="none" w:sz="0" w:space="0" w:color="auto"/>
        <w:right w:val="none" w:sz="0" w:space="0" w:color="auto"/>
      </w:divBdr>
    </w:div>
    <w:div w:id="1429548046">
      <w:bodyDiv w:val="1"/>
      <w:marLeft w:val="0"/>
      <w:marRight w:val="0"/>
      <w:marTop w:val="0"/>
      <w:marBottom w:val="0"/>
      <w:divBdr>
        <w:top w:val="none" w:sz="0" w:space="0" w:color="auto"/>
        <w:left w:val="none" w:sz="0" w:space="0" w:color="auto"/>
        <w:bottom w:val="none" w:sz="0" w:space="0" w:color="auto"/>
        <w:right w:val="none" w:sz="0" w:space="0" w:color="auto"/>
      </w:divBdr>
    </w:div>
    <w:div w:id="1429740759">
      <w:bodyDiv w:val="1"/>
      <w:marLeft w:val="0"/>
      <w:marRight w:val="0"/>
      <w:marTop w:val="0"/>
      <w:marBottom w:val="0"/>
      <w:divBdr>
        <w:top w:val="none" w:sz="0" w:space="0" w:color="auto"/>
        <w:left w:val="none" w:sz="0" w:space="0" w:color="auto"/>
        <w:bottom w:val="none" w:sz="0" w:space="0" w:color="auto"/>
        <w:right w:val="none" w:sz="0" w:space="0" w:color="auto"/>
      </w:divBdr>
    </w:div>
    <w:div w:id="1429886420">
      <w:bodyDiv w:val="1"/>
      <w:marLeft w:val="0"/>
      <w:marRight w:val="0"/>
      <w:marTop w:val="0"/>
      <w:marBottom w:val="0"/>
      <w:divBdr>
        <w:top w:val="none" w:sz="0" w:space="0" w:color="auto"/>
        <w:left w:val="none" w:sz="0" w:space="0" w:color="auto"/>
        <w:bottom w:val="none" w:sz="0" w:space="0" w:color="auto"/>
        <w:right w:val="none" w:sz="0" w:space="0" w:color="auto"/>
      </w:divBdr>
    </w:div>
    <w:div w:id="1430076737">
      <w:bodyDiv w:val="1"/>
      <w:marLeft w:val="0"/>
      <w:marRight w:val="0"/>
      <w:marTop w:val="0"/>
      <w:marBottom w:val="0"/>
      <w:divBdr>
        <w:top w:val="none" w:sz="0" w:space="0" w:color="auto"/>
        <w:left w:val="none" w:sz="0" w:space="0" w:color="auto"/>
        <w:bottom w:val="none" w:sz="0" w:space="0" w:color="auto"/>
        <w:right w:val="none" w:sz="0" w:space="0" w:color="auto"/>
      </w:divBdr>
    </w:div>
    <w:div w:id="1430151782">
      <w:bodyDiv w:val="1"/>
      <w:marLeft w:val="0"/>
      <w:marRight w:val="0"/>
      <w:marTop w:val="0"/>
      <w:marBottom w:val="0"/>
      <w:divBdr>
        <w:top w:val="none" w:sz="0" w:space="0" w:color="auto"/>
        <w:left w:val="none" w:sz="0" w:space="0" w:color="auto"/>
        <w:bottom w:val="none" w:sz="0" w:space="0" w:color="auto"/>
        <w:right w:val="none" w:sz="0" w:space="0" w:color="auto"/>
      </w:divBdr>
    </w:div>
    <w:div w:id="1430812245">
      <w:bodyDiv w:val="1"/>
      <w:marLeft w:val="0"/>
      <w:marRight w:val="0"/>
      <w:marTop w:val="0"/>
      <w:marBottom w:val="0"/>
      <w:divBdr>
        <w:top w:val="none" w:sz="0" w:space="0" w:color="auto"/>
        <w:left w:val="none" w:sz="0" w:space="0" w:color="auto"/>
        <w:bottom w:val="none" w:sz="0" w:space="0" w:color="auto"/>
        <w:right w:val="none" w:sz="0" w:space="0" w:color="auto"/>
      </w:divBdr>
    </w:div>
    <w:div w:id="1432093639">
      <w:bodyDiv w:val="1"/>
      <w:marLeft w:val="0"/>
      <w:marRight w:val="0"/>
      <w:marTop w:val="0"/>
      <w:marBottom w:val="0"/>
      <w:divBdr>
        <w:top w:val="none" w:sz="0" w:space="0" w:color="auto"/>
        <w:left w:val="none" w:sz="0" w:space="0" w:color="auto"/>
        <w:bottom w:val="none" w:sz="0" w:space="0" w:color="auto"/>
        <w:right w:val="none" w:sz="0" w:space="0" w:color="auto"/>
      </w:divBdr>
    </w:div>
    <w:div w:id="1432555638">
      <w:bodyDiv w:val="1"/>
      <w:marLeft w:val="0"/>
      <w:marRight w:val="0"/>
      <w:marTop w:val="0"/>
      <w:marBottom w:val="0"/>
      <w:divBdr>
        <w:top w:val="none" w:sz="0" w:space="0" w:color="auto"/>
        <w:left w:val="none" w:sz="0" w:space="0" w:color="auto"/>
        <w:bottom w:val="none" w:sz="0" w:space="0" w:color="auto"/>
        <w:right w:val="none" w:sz="0" w:space="0" w:color="auto"/>
      </w:divBdr>
    </w:div>
    <w:div w:id="1432699226">
      <w:bodyDiv w:val="1"/>
      <w:marLeft w:val="0"/>
      <w:marRight w:val="0"/>
      <w:marTop w:val="0"/>
      <w:marBottom w:val="0"/>
      <w:divBdr>
        <w:top w:val="none" w:sz="0" w:space="0" w:color="auto"/>
        <w:left w:val="none" w:sz="0" w:space="0" w:color="auto"/>
        <w:bottom w:val="none" w:sz="0" w:space="0" w:color="auto"/>
        <w:right w:val="none" w:sz="0" w:space="0" w:color="auto"/>
      </w:divBdr>
    </w:div>
    <w:div w:id="1433936095">
      <w:bodyDiv w:val="1"/>
      <w:marLeft w:val="0"/>
      <w:marRight w:val="0"/>
      <w:marTop w:val="0"/>
      <w:marBottom w:val="0"/>
      <w:divBdr>
        <w:top w:val="none" w:sz="0" w:space="0" w:color="auto"/>
        <w:left w:val="none" w:sz="0" w:space="0" w:color="auto"/>
        <w:bottom w:val="none" w:sz="0" w:space="0" w:color="auto"/>
        <w:right w:val="none" w:sz="0" w:space="0" w:color="auto"/>
      </w:divBdr>
    </w:div>
    <w:div w:id="1434399743">
      <w:bodyDiv w:val="1"/>
      <w:marLeft w:val="0"/>
      <w:marRight w:val="0"/>
      <w:marTop w:val="0"/>
      <w:marBottom w:val="0"/>
      <w:divBdr>
        <w:top w:val="none" w:sz="0" w:space="0" w:color="auto"/>
        <w:left w:val="none" w:sz="0" w:space="0" w:color="auto"/>
        <w:bottom w:val="none" w:sz="0" w:space="0" w:color="auto"/>
        <w:right w:val="none" w:sz="0" w:space="0" w:color="auto"/>
      </w:divBdr>
    </w:div>
    <w:div w:id="1434742069">
      <w:bodyDiv w:val="1"/>
      <w:marLeft w:val="0"/>
      <w:marRight w:val="0"/>
      <w:marTop w:val="0"/>
      <w:marBottom w:val="0"/>
      <w:divBdr>
        <w:top w:val="none" w:sz="0" w:space="0" w:color="auto"/>
        <w:left w:val="none" w:sz="0" w:space="0" w:color="auto"/>
        <w:bottom w:val="none" w:sz="0" w:space="0" w:color="auto"/>
        <w:right w:val="none" w:sz="0" w:space="0" w:color="auto"/>
      </w:divBdr>
    </w:div>
    <w:div w:id="1435517228">
      <w:bodyDiv w:val="1"/>
      <w:marLeft w:val="0"/>
      <w:marRight w:val="0"/>
      <w:marTop w:val="0"/>
      <w:marBottom w:val="0"/>
      <w:divBdr>
        <w:top w:val="none" w:sz="0" w:space="0" w:color="auto"/>
        <w:left w:val="none" w:sz="0" w:space="0" w:color="auto"/>
        <w:bottom w:val="none" w:sz="0" w:space="0" w:color="auto"/>
        <w:right w:val="none" w:sz="0" w:space="0" w:color="auto"/>
      </w:divBdr>
    </w:div>
    <w:div w:id="1435593184">
      <w:bodyDiv w:val="1"/>
      <w:marLeft w:val="0"/>
      <w:marRight w:val="0"/>
      <w:marTop w:val="0"/>
      <w:marBottom w:val="0"/>
      <w:divBdr>
        <w:top w:val="none" w:sz="0" w:space="0" w:color="auto"/>
        <w:left w:val="none" w:sz="0" w:space="0" w:color="auto"/>
        <w:bottom w:val="none" w:sz="0" w:space="0" w:color="auto"/>
        <w:right w:val="none" w:sz="0" w:space="0" w:color="auto"/>
      </w:divBdr>
    </w:div>
    <w:div w:id="1435898571">
      <w:bodyDiv w:val="1"/>
      <w:marLeft w:val="0"/>
      <w:marRight w:val="0"/>
      <w:marTop w:val="0"/>
      <w:marBottom w:val="0"/>
      <w:divBdr>
        <w:top w:val="none" w:sz="0" w:space="0" w:color="auto"/>
        <w:left w:val="none" w:sz="0" w:space="0" w:color="auto"/>
        <w:bottom w:val="none" w:sz="0" w:space="0" w:color="auto"/>
        <w:right w:val="none" w:sz="0" w:space="0" w:color="auto"/>
      </w:divBdr>
    </w:div>
    <w:div w:id="1436484652">
      <w:bodyDiv w:val="1"/>
      <w:marLeft w:val="0"/>
      <w:marRight w:val="0"/>
      <w:marTop w:val="0"/>
      <w:marBottom w:val="0"/>
      <w:divBdr>
        <w:top w:val="none" w:sz="0" w:space="0" w:color="auto"/>
        <w:left w:val="none" w:sz="0" w:space="0" w:color="auto"/>
        <w:bottom w:val="none" w:sz="0" w:space="0" w:color="auto"/>
        <w:right w:val="none" w:sz="0" w:space="0" w:color="auto"/>
      </w:divBdr>
    </w:div>
    <w:div w:id="1436897330">
      <w:bodyDiv w:val="1"/>
      <w:marLeft w:val="0"/>
      <w:marRight w:val="0"/>
      <w:marTop w:val="0"/>
      <w:marBottom w:val="0"/>
      <w:divBdr>
        <w:top w:val="none" w:sz="0" w:space="0" w:color="auto"/>
        <w:left w:val="none" w:sz="0" w:space="0" w:color="auto"/>
        <w:bottom w:val="none" w:sz="0" w:space="0" w:color="auto"/>
        <w:right w:val="none" w:sz="0" w:space="0" w:color="auto"/>
      </w:divBdr>
    </w:div>
    <w:div w:id="1436943957">
      <w:bodyDiv w:val="1"/>
      <w:marLeft w:val="0"/>
      <w:marRight w:val="0"/>
      <w:marTop w:val="0"/>
      <w:marBottom w:val="0"/>
      <w:divBdr>
        <w:top w:val="none" w:sz="0" w:space="0" w:color="auto"/>
        <w:left w:val="none" w:sz="0" w:space="0" w:color="auto"/>
        <w:bottom w:val="none" w:sz="0" w:space="0" w:color="auto"/>
        <w:right w:val="none" w:sz="0" w:space="0" w:color="auto"/>
      </w:divBdr>
    </w:div>
    <w:div w:id="1439062819">
      <w:bodyDiv w:val="1"/>
      <w:marLeft w:val="0"/>
      <w:marRight w:val="0"/>
      <w:marTop w:val="0"/>
      <w:marBottom w:val="0"/>
      <w:divBdr>
        <w:top w:val="none" w:sz="0" w:space="0" w:color="auto"/>
        <w:left w:val="none" w:sz="0" w:space="0" w:color="auto"/>
        <w:bottom w:val="none" w:sz="0" w:space="0" w:color="auto"/>
        <w:right w:val="none" w:sz="0" w:space="0" w:color="auto"/>
      </w:divBdr>
    </w:div>
    <w:div w:id="1439131903">
      <w:bodyDiv w:val="1"/>
      <w:marLeft w:val="0"/>
      <w:marRight w:val="0"/>
      <w:marTop w:val="0"/>
      <w:marBottom w:val="0"/>
      <w:divBdr>
        <w:top w:val="none" w:sz="0" w:space="0" w:color="auto"/>
        <w:left w:val="none" w:sz="0" w:space="0" w:color="auto"/>
        <w:bottom w:val="none" w:sz="0" w:space="0" w:color="auto"/>
        <w:right w:val="none" w:sz="0" w:space="0" w:color="auto"/>
      </w:divBdr>
    </w:div>
    <w:div w:id="1439368526">
      <w:bodyDiv w:val="1"/>
      <w:marLeft w:val="0"/>
      <w:marRight w:val="0"/>
      <w:marTop w:val="0"/>
      <w:marBottom w:val="0"/>
      <w:divBdr>
        <w:top w:val="none" w:sz="0" w:space="0" w:color="auto"/>
        <w:left w:val="none" w:sz="0" w:space="0" w:color="auto"/>
        <w:bottom w:val="none" w:sz="0" w:space="0" w:color="auto"/>
        <w:right w:val="none" w:sz="0" w:space="0" w:color="auto"/>
      </w:divBdr>
    </w:div>
    <w:div w:id="1439718498">
      <w:bodyDiv w:val="1"/>
      <w:marLeft w:val="0"/>
      <w:marRight w:val="0"/>
      <w:marTop w:val="0"/>
      <w:marBottom w:val="0"/>
      <w:divBdr>
        <w:top w:val="none" w:sz="0" w:space="0" w:color="auto"/>
        <w:left w:val="none" w:sz="0" w:space="0" w:color="auto"/>
        <w:bottom w:val="none" w:sz="0" w:space="0" w:color="auto"/>
        <w:right w:val="none" w:sz="0" w:space="0" w:color="auto"/>
      </w:divBdr>
      <w:divsChild>
        <w:div w:id="711542254">
          <w:marLeft w:val="0"/>
          <w:marRight w:val="0"/>
          <w:marTop w:val="0"/>
          <w:marBottom w:val="0"/>
          <w:divBdr>
            <w:top w:val="none" w:sz="0" w:space="0" w:color="auto"/>
            <w:left w:val="none" w:sz="0" w:space="0" w:color="auto"/>
            <w:bottom w:val="none" w:sz="0" w:space="0" w:color="auto"/>
            <w:right w:val="none" w:sz="0" w:space="0" w:color="auto"/>
          </w:divBdr>
        </w:div>
        <w:div w:id="1184709239">
          <w:marLeft w:val="0"/>
          <w:marRight w:val="0"/>
          <w:marTop w:val="0"/>
          <w:marBottom w:val="0"/>
          <w:divBdr>
            <w:top w:val="none" w:sz="0" w:space="0" w:color="auto"/>
            <w:left w:val="none" w:sz="0" w:space="0" w:color="auto"/>
            <w:bottom w:val="none" w:sz="0" w:space="0" w:color="auto"/>
            <w:right w:val="none" w:sz="0" w:space="0" w:color="auto"/>
          </w:divBdr>
        </w:div>
        <w:div w:id="1868525127">
          <w:marLeft w:val="0"/>
          <w:marRight w:val="0"/>
          <w:marTop w:val="0"/>
          <w:marBottom w:val="0"/>
          <w:divBdr>
            <w:top w:val="none" w:sz="0" w:space="0" w:color="auto"/>
            <w:left w:val="none" w:sz="0" w:space="0" w:color="auto"/>
            <w:bottom w:val="none" w:sz="0" w:space="0" w:color="auto"/>
            <w:right w:val="none" w:sz="0" w:space="0" w:color="auto"/>
          </w:divBdr>
        </w:div>
      </w:divsChild>
    </w:div>
    <w:div w:id="1440953771">
      <w:bodyDiv w:val="1"/>
      <w:marLeft w:val="0"/>
      <w:marRight w:val="0"/>
      <w:marTop w:val="0"/>
      <w:marBottom w:val="0"/>
      <w:divBdr>
        <w:top w:val="none" w:sz="0" w:space="0" w:color="auto"/>
        <w:left w:val="none" w:sz="0" w:space="0" w:color="auto"/>
        <w:bottom w:val="none" w:sz="0" w:space="0" w:color="auto"/>
        <w:right w:val="none" w:sz="0" w:space="0" w:color="auto"/>
      </w:divBdr>
    </w:div>
    <w:div w:id="1441608507">
      <w:bodyDiv w:val="1"/>
      <w:marLeft w:val="0"/>
      <w:marRight w:val="0"/>
      <w:marTop w:val="0"/>
      <w:marBottom w:val="0"/>
      <w:divBdr>
        <w:top w:val="none" w:sz="0" w:space="0" w:color="auto"/>
        <w:left w:val="none" w:sz="0" w:space="0" w:color="auto"/>
        <w:bottom w:val="none" w:sz="0" w:space="0" w:color="auto"/>
        <w:right w:val="none" w:sz="0" w:space="0" w:color="auto"/>
      </w:divBdr>
    </w:div>
    <w:div w:id="1441679824">
      <w:bodyDiv w:val="1"/>
      <w:marLeft w:val="0"/>
      <w:marRight w:val="0"/>
      <w:marTop w:val="0"/>
      <w:marBottom w:val="0"/>
      <w:divBdr>
        <w:top w:val="none" w:sz="0" w:space="0" w:color="auto"/>
        <w:left w:val="none" w:sz="0" w:space="0" w:color="auto"/>
        <w:bottom w:val="none" w:sz="0" w:space="0" w:color="auto"/>
        <w:right w:val="none" w:sz="0" w:space="0" w:color="auto"/>
      </w:divBdr>
    </w:div>
    <w:div w:id="1441872799">
      <w:bodyDiv w:val="1"/>
      <w:marLeft w:val="0"/>
      <w:marRight w:val="0"/>
      <w:marTop w:val="0"/>
      <w:marBottom w:val="0"/>
      <w:divBdr>
        <w:top w:val="none" w:sz="0" w:space="0" w:color="auto"/>
        <w:left w:val="none" w:sz="0" w:space="0" w:color="auto"/>
        <w:bottom w:val="none" w:sz="0" w:space="0" w:color="auto"/>
        <w:right w:val="none" w:sz="0" w:space="0" w:color="auto"/>
      </w:divBdr>
    </w:div>
    <w:div w:id="1442139638">
      <w:bodyDiv w:val="1"/>
      <w:marLeft w:val="0"/>
      <w:marRight w:val="0"/>
      <w:marTop w:val="0"/>
      <w:marBottom w:val="0"/>
      <w:divBdr>
        <w:top w:val="none" w:sz="0" w:space="0" w:color="auto"/>
        <w:left w:val="none" w:sz="0" w:space="0" w:color="auto"/>
        <w:bottom w:val="none" w:sz="0" w:space="0" w:color="auto"/>
        <w:right w:val="none" w:sz="0" w:space="0" w:color="auto"/>
      </w:divBdr>
    </w:div>
    <w:div w:id="1442145971">
      <w:bodyDiv w:val="1"/>
      <w:marLeft w:val="0"/>
      <w:marRight w:val="0"/>
      <w:marTop w:val="0"/>
      <w:marBottom w:val="0"/>
      <w:divBdr>
        <w:top w:val="none" w:sz="0" w:space="0" w:color="auto"/>
        <w:left w:val="none" w:sz="0" w:space="0" w:color="auto"/>
        <w:bottom w:val="none" w:sz="0" w:space="0" w:color="auto"/>
        <w:right w:val="none" w:sz="0" w:space="0" w:color="auto"/>
      </w:divBdr>
    </w:div>
    <w:div w:id="1442799910">
      <w:bodyDiv w:val="1"/>
      <w:marLeft w:val="0"/>
      <w:marRight w:val="0"/>
      <w:marTop w:val="0"/>
      <w:marBottom w:val="0"/>
      <w:divBdr>
        <w:top w:val="none" w:sz="0" w:space="0" w:color="auto"/>
        <w:left w:val="none" w:sz="0" w:space="0" w:color="auto"/>
        <w:bottom w:val="none" w:sz="0" w:space="0" w:color="auto"/>
        <w:right w:val="none" w:sz="0" w:space="0" w:color="auto"/>
      </w:divBdr>
    </w:div>
    <w:div w:id="1443188280">
      <w:bodyDiv w:val="1"/>
      <w:marLeft w:val="0"/>
      <w:marRight w:val="0"/>
      <w:marTop w:val="0"/>
      <w:marBottom w:val="0"/>
      <w:divBdr>
        <w:top w:val="none" w:sz="0" w:space="0" w:color="auto"/>
        <w:left w:val="none" w:sz="0" w:space="0" w:color="auto"/>
        <w:bottom w:val="none" w:sz="0" w:space="0" w:color="auto"/>
        <w:right w:val="none" w:sz="0" w:space="0" w:color="auto"/>
      </w:divBdr>
    </w:div>
    <w:div w:id="1443693485">
      <w:bodyDiv w:val="1"/>
      <w:marLeft w:val="0"/>
      <w:marRight w:val="0"/>
      <w:marTop w:val="0"/>
      <w:marBottom w:val="0"/>
      <w:divBdr>
        <w:top w:val="none" w:sz="0" w:space="0" w:color="auto"/>
        <w:left w:val="none" w:sz="0" w:space="0" w:color="auto"/>
        <w:bottom w:val="none" w:sz="0" w:space="0" w:color="auto"/>
        <w:right w:val="none" w:sz="0" w:space="0" w:color="auto"/>
      </w:divBdr>
    </w:div>
    <w:div w:id="1443766990">
      <w:bodyDiv w:val="1"/>
      <w:marLeft w:val="0"/>
      <w:marRight w:val="0"/>
      <w:marTop w:val="0"/>
      <w:marBottom w:val="0"/>
      <w:divBdr>
        <w:top w:val="none" w:sz="0" w:space="0" w:color="auto"/>
        <w:left w:val="none" w:sz="0" w:space="0" w:color="auto"/>
        <w:bottom w:val="none" w:sz="0" w:space="0" w:color="auto"/>
        <w:right w:val="none" w:sz="0" w:space="0" w:color="auto"/>
      </w:divBdr>
    </w:div>
    <w:div w:id="1444031709">
      <w:bodyDiv w:val="1"/>
      <w:marLeft w:val="0"/>
      <w:marRight w:val="0"/>
      <w:marTop w:val="0"/>
      <w:marBottom w:val="0"/>
      <w:divBdr>
        <w:top w:val="none" w:sz="0" w:space="0" w:color="auto"/>
        <w:left w:val="none" w:sz="0" w:space="0" w:color="auto"/>
        <w:bottom w:val="none" w:sz="0" w:space="0" w:color="auto"/>
        <w:right w:val="none" w:sz="0" w:space="0" w:color="auto"/>
      </w:divBdr>
    </w:div>
    <w:div w:id="1445033474">
      <w:bodyDiv w:val="1"/>
      <w:marLeft w:val="0"/>
      <w:marRight w:val="0"/>
      <w:marTop w:val="0"/>
      <w:marBottom w:val="0"/>
      <w:divBdr>
        <w:top w:val="none" w:sz="0" w:space="0" w:color="auto"/>
        <w:left w:val="none" w:sz="0" w:space="0" w:color="auto"/>
        <w:bottom w:val="none" w:sz="0" w:space="0" w:color="auto"/>
        <w:right w:val="none" w:sz="0" w:space="0" w:color="auto"/>
      </w:divBdr>
    </w:div>
    <w:div w:id="1445226609">
      <w:bodyDiv w:val="1"/>
      <w:marLeft w:val="0"/>
      <w:marRight w:val="0"/>
      <w:marTop w:val="0"/>
      <w:marBottom w:val="0"/>
      <w:divBdr>
        <w:top w:val="none" w:sz="0" w:space="0" w:color="auto"/>
        <w:left w:val="none" w:sz="0" w:space="0" w:color="auto"/>
        <w:bottom w:val="none" w:sz="0" w:space="0" w:color="auto"/>
        <w:right w:val="none" w:sz="0" w:space="0" w:color="auto"/>
      </w:divBdr>
    </w:div>
    <w:div w:id="1445688323">
      <w:bodyDiv w:val="1"/>
      <w:marLeft w:val="0"/>
      <w:marRight w:val="0"/>
      <w:marTop w:val="0"/>
      <w:marBottom w:val="0"/>
      <w:divBdr>
        <w:top w:val="none" w:sz="0" w:space="0" w:color="auto"/>
        <w:left w:val="none" w:sz="0" w:space="0" w:color="auto"/>
        <w:bottom w:val="none" w:sz="0" w:space="0" w:color="auto"/>
        <w:right w:val="none" w:sz="0" w:space="0" w:color="auto"/>
      </w:divBdr>
    </w:div>
    <w:div w:id="1445998375">
      <w:bodyDiv w:val="1"/>
      <w:marLeft w:val="0"/>
      <w:marRight w:val="0"/>
      <w:marTop w:val="0"/>
      <w:marBottom w:val="0"/>
      <w:divBdr>
        <w:top w:val="none" w:sz="0" w:space="0" w:color="auto"/>
        <w:left w:val="none" w:sz="0" w:space="0" w:color="auto"/>
        <w:bottom w:val="none" w:sz="0" w:space="0" w:color="auto"/>
        <w:right w:val="none" w:sz="0" w:space="0" w:color="auto"/>
      </w:divBdr>
    </w:div>
    <w:div w:id="1446542302">
      <w:bodyDiv w:val="1"/>
      <w:marLeft w:val="0"/>
      <w:marRight w:val="0"/>
      <w:marTop w:val="0"/>
      <w:marBottom w:val="0"/>
      <w:divBdr>
        <w:top w:val="none" w:sz="0" w:space="0" w:color="auto"/>
        <w:left w:val="none" w:sz="0" w:space="0" w:color="auto"/>
        <w:bottom w:val="none" w:sz="0" w:space="0" w:color="auto"/>
        <w:right w:val="none" w:sz="0" w:space="0" w:color="auto"/>
      </w:divBdr>
    </w:div>
    <w:div w:id="1448695273">
      <w:bodyDiv w:val="1"/>
      <w:marLeft w:val="0"/>
      <w:marRight w:val="0"/>
      <w:marTop w:val="0"/>
      <w:marBottom w:val="0"/>
      <w:divBdr>
        <w:top w:val="none" w:sz="0" w:space="0" w:color="auto"/>
        <w:left w:val="none" w:sz="0" w:space="0" w:color="auto"/>
        <w:bottom w:val="none" w:sz="0" w:space="0" w:color="auto"/>
        <w:right w:val="none" w:sz="0" w:space="0" w:color="auto"/>
      </w:divBdr>
    </w:div>
    <w:div w:id="1450469945">
      <w:bodyDiv w:val="1"/>
      <w:marLeft w:val="0"/>
      <w:marRight w:val="0"/>
      <w:marTop w:val="0"/>
      <w:marBottom w:val="0"/>
      <w:divBdr>
        <w:top w:val="none" w:sz="0" w:space="0" w:color="auto"/>
        <w:left w:val="none" w:sz="0" w:space="0" w:color="auto"/>
        <w:bottom w:val="none" w:sz="0" w:space="0" w:color="auto"/>
        <w:right w:val="none" w:sz="0" w:space="0" w:color="auto"/>
      </w:divBdr>
    </w:div>
    <w:div w:id="1451819329">
      <w:bodyDiv w:val="1"/>
      <w:marLeft w:val="0"/>
      <w:marRight w:val="0"/>
      <w:marTop w:val="0"/>
      <w:marBottom w:val="0"/>
      <w:divBdr>
        <w:top w:val="none" w:sz="0" w:space="0" w:color="auto"/>
        <w:left w:val="none" w:sz="0" w:space="0" w:color="auto"/>
        <w:bottom w:val="none" w:sz="0" w:space="0" w:color="auto"/>
        <w:right w:val="none" w:sz="0" w:space="0" w:color="auto"/>
      </w:divBdr>
    </w:div>
    <w:div w:id="1452095034">
      <w:bodyDiv w:val="1"/>
      <w:marLeft w:val="0"/>
      <w:marRight w:val="0"/>
      <w:marTop w:val="0"/>
      <w:marBottom w:val="0"/>
      <w:divBdr>
        <w:top w:val="none" w:sz="0" w:space="0" w:color="auto"/>
        <w:left w:val="none" w:sz="0" w:space="0" w:color="auto"/>
        <w:bottom w:val="none" w:sz="0" w:space="0" w:color="auto"/>
        <w:right w:val="none" w:sz="0" w:space="0" w:color="auto"/>
      </w:divBdr>
    </w:div>
    <w:div w:id="1452824085">
      <w:bodyDiv w:val="1"/>
      <w:marLeft w:val="0"/>
      <w:marRight w:val="0"/>
      <w:marTop w:val="0"/>
      <w:marBottom w:val="0"/>
      <w:divBdr>
        <w:top w:val="none" w:sz="0" w:space="0" w:color="auto"/>
        <w:left w:val="none" w:sz="0" w:space="0" w:color="auto"/>
        <w:bottom w:val="none" w:sz="0" w:space="0" w:color="auto"/>
        <w:right w:val="none" w:sz="0" w:space="0" w:color="auto"/>
      </w:divBdr>
    </w:div>
    <w:div w:id="1453211962">
      <w:bodyDiv w:val="1"/>
      <w:marLeft w:val="0"/>
      <w:marRight w:val="0"/>
      <w:marTop w:val="0"/>
      <w:marBottom w:val="0"/>
      <w:divBdr>
        <w:top w:val="none" w:sz="0" w:space="0" w:color="auto"/>
        <w:left w:val="none" w:sz="0" w:space="0" w:color="auto"/>
        <w:bottom w:val="none" w:sz="0" w:space="0" w:color="auto"/>
        <w:right w:val="none" w:sz="0" w:space="0" w:color="auto"/>
      </w:divBdr>
    </w:div>
    <w:div w:id="1454859365">
      <w:bodyDiv w:val="1"/>
      <w:marLeft w:val="0"/>
      <w:marRight w:val="0"/>
      <w:marTop w:val="0"/>
      <w:marBottom w:val="0"/>
      <w:divBdr>
        <w:top w:val="none" w:sz="0" w:space="0" w:color="auto"/>
        <w:left w:val="none" w:sz="0" w:space="0" w:color="auto"/>
        <w:bottom w:val="none" w:sz="0" w:space="0" w:color="auto"/>
        <w:right w:val="none" w:sz="0" w:space="0" w:color="auto"/>
      </w:divBdr>
    </w:div>
    <w:div w:id="1455906520">
      <w:bodyDiv w:val="1"/>
      <w:marLeft w:val="0"/>
      <w:marRight w:val="0"/>
      <w:marTop w:val="0"/>
      <w:marBottom w:val="0"/>
      <w:divBdr>
        <w:top w:val="none" w:sz="0" w:space="0" w:color="auto"/>
        <w:left w:val="none" w:sz="0" w:space="0" w:color="auto"/>
        <w:bottom w:val="none" w:sz="0" w:space="0" w:color="auto"/>
        <w:right w:val="none" w:sz="0" w:space="0" w:color="auto"/>
      </w:divBdr>
    </w:div>
    <w:div w:id="1456293286">
      <w:bodyDiv w:val="1"/>
      <w:marLeft w:val="0"/>
      <w:marRight w:val="0"/>
      <w:marTop w:val="0"/>
      <w:marBottom w:val="0"/>
      <w:divBdr>
        <w:top w:val="none" w:sz="0" w:space="0" w:color="auto"/>
        <w:left w:val="none" w:sz="0" w:space="0" w:color="auto"/>
        <w:bottom w:val="none" w:sz="0" w:space="0" w:color="auto"/>
        <w:right w:val="none" w:sz="0" w:space="0" w:color="auto"/>
      </w:divBdr>
    </w:div>
    <w:div w:id="1458834999">
      <w:bodyDiv w:val="1"/>
      <w:marLeft w:val="0"/>
      <w:marRight w:val="0"/>
      <w:marTop w:val="0"/>
      <w:marBottom w:val="0"/>
      <w:divBdr>
        <w:top w:val="none" w:sz="0" w:space="0" w:color="auto"/>
        <w:left w:val="none" w:sz="0" w:space="0" w:color="auto"/>
        <w:bottom w:val="none" w:sz="0" w:space="0" w:color="auto"/>
        <w:right w:val="none" w:sz="0" w:space="0" w:color="auto"/>
      </w:divBdr>
    </w:div>
    <w:div w:id="1458839575">
      <w:bodyDiv w:val="1"/>
      <w:marLeft w:val="0"/>
      <w:marRight w:val="0"/>
      <w:marTop w:val="0"/>
      <w:marBottom w:val="0"/>
      <w:divBdr>
        <w:top w:val="none" w:sz="0" w:space="0" w:color="auto"/>
        <w:left w:val="none" w:sz="0" w:space="0" w:color="auto"/>
        <w:bottom w:val="none" w:sz="0" w:space="0" w:color="auto"/>
        <w:right w:val="none" w:sz="0" w:space="0" w:color="auto"/>
      </w:divBdr>
    </w:div>
    <w:div w:id="1458917410">
      <w:bodyDiv w:val="1"/>
      <w:marLeft w:val="0"/>
      <w:marRight w:val="0"/>
      <w:marTop w:val="0"/>
      <w:marBottom w:val="0"/>
      <w:divBdr>
        <w:top w:val="none" w:sz="0" w:space="0" w:color="auto"/>
        <w:left w:val="none" w:sz="0" w:space="0" w:color="auto"/>
        <w:bottom w:val="none" w:sz="0" w:space="0" w:color="auto"/>
        <w:right w:val="none" w:sz="0" w:space="0" w:color="auto"/>
      </w:divBdr>
    </w:div>
    <w:div w:id="1459032118">
      <w:bodyDiv w:val="1"/>
      <w:marLeft w:val="0"/>
      <w:marRight w:val="0"/>
      <w:marTop w:val="0"/>
      <w:marBottom w:val="0"/>
      <w:divBdr>
        <w:top w:val="none" w:sz="0" w:space="0" w:color="auto"/>
        <w:left w:val="none" w:sz="0" w:space="0" w:color="auto"/>
        <w:bottom w:val="none" w:sz="0" w:space="0" w:color="auto"/>
        <w:right w:val="none" w:sz="0" w:space="0" w:color="auto"/>
      </w:divBdr>
    </w:div>
    <w:div w:id="1459954722">
      <w:bodyDiv w:val="1"/>
      <w:marLeft w:val="0"/>
      <w:marRight w:val="0"/>
      <w:marTop w:val="0"/>
      <w:marBottom w:val="0"/>
      <w:divBdr>
        <w:top w:val="none" w:sz="0" w:space="0" w:color="auto"/>
        <w:left w:val="none" w:sz="0" w:space="0" w:color="auto"/>
        <w:bottom w:val="none" w:sz="0" w:space="0" w:color="auto"/>
        <w:right w:val="none" w:sz="0" w:space="0" w:color="auto"/>
      </w:divBdr>
    </w:div>
    <w:div w:id="1461146614">
      <w:bodyDiv w:val="1"/>
      <w:marLeft w:val="0"/>
      <w:marRight w:val="0"/>
      <w:marTop w:val="0"/>
      <w:marBottom w:val="0"/>
      <w:divBdr>
        <w:top w:val="none" w:sz="0" w:space="0" w:color="auto"/>
        <w:left w:val="none" w:sz="0" w:space="0" w:color="auto"/>
        <w:bottom w:val="none" w:sz="0" w:space="0" w:color="auto"/>
        <w:right w:val="none" w:sz="0" w:space="0" w:color="auto"/>
      </w:divBdr>
    </w:div>
    <w:div w:id="1461343902">
      <w:bodyDiv w:val="1"/>
      <w:marLeft w:val="0"/>
      <w:marRight w:val="0"/>
      <w:marTop w:val="0"/>
      <w:marBottom w:val="0"/>
      <w:divBdr>
        <w:top w:val="none" w:sz="0" w:space="0" w:color="auto"/>
        <w:left w:val="none" w:sz="0" w:space="0" w:color="auto"/>
        <w:bottom w:val="none" w:sz="0" w:space="0" w:color="auto"/>
        <w:right w:val="none" w:sz="0" w:space="0" w:color="auto"/>
      </w:divBdr>
    </w:div>
    <w:div w:id="1461726009">
      <w:bodyDiv w:val="1"/>
      <w:marLeft w:val="0"/>
      <w:marRight w:val="0"/>
      <w:marTop w:val="0"/>
      <w:marBottom w:val="0"/>
      <w:divBdr>
        <w:top w:val="none" w:sz="0" w:space="0" w:color="auto"/>
        <w:left w:val="none" w:sz="0" w:space="0" w:color="auto"/>
        <w:bottom w:val="none" w:sz="0" w:space="0" w:color="auto"/>
        <w:right w:val="none" w:sz="0" w:space="0" w:color="auto"/>
      </w:divBdr>
      <w:divsChild>
        <w:div w:id="1424061085">
          <w:marLeft w:val="0"/>
          <w:marRight w:val="0"/>
          <w:marTop w:val="0"/>
          <w:marBottom w:val="0"/>
          <w:divBdr>
            <w:top w:val="none" w:sz="0" w:space="0" w:color="auto"/>
            <w:left w:val="none" w:sz="0" w:space="0" w:color="auto"/>
            <w:bottom w:val="none" w:sz="0" w:space="0" w:color="auto"/>
            <w:right w:val="none" w:sz="0" w:space="0" w:color="auto"/>
          </w:divBdr>
        </w:div>
        <w:div w:id="377629803">
          <w:marLeft w:val="0"/>
          <w:marRight w:val="0"/>
          <w:marTop w:val="0"/>
          <w:marBottom w:val="0"/>
          <w:divBdr>
            <w:top w:val="none" w:sz="0" w:space="0" w:color="auto"/>
            <w:left w:val="none" w:sz="0" w:space="0" w:color="auto"/>
            <w:bottom w:val="none" w:sz="0" w:space="0" w:color="auto"/>
            <w:right w:val="none" w:sz="0" w:space="0" w:color="auto"/>
          </w:divBdr>
        </w:div>
        <w:div w:id="500969791">
          <w:marLeft w:val="0"/>
          <w:marRight w:val="0"/>
          <w:marTop w:val="0"/>
          <w:marBottom w:val="0"/>
          <w:divBdr>
            <w:top w:val="none" w:sz="0" w:space="0" w:color="auto"/>
            <w:left w:val="none" w:sz="0" w:space="0" w:color="auto"/>
            <w:bottom w:val="none" w:sz="0" w:space="0" w:color="auto"/>
            <w:right w:val="none" w:sz="0" w:space="0" w:color="auto"/>
          </w:divBdr>
        </w:div>
        <w:div w:id="1560508930">
          <w:marLeft w:val="0"/>
          <w:marRight w:val="0"/>
          <w:marTop w:val="0"/>
          <w:marBottom w:val="0"/>
          <w:divBdr>
            <w:top w:val="none" w:sz="0" w:space="0" w:color="auto"/>
            <w:left w:val="none" w:sz="0" w:space="0" w:color="auto"/>
            <w:bottom w:val="none" w:sz="0" w:space="0" w:color="auto"/>
            <w:right w:val="none" w:sz="0" w:space="0" w:color="auto"/>
          </w:divBdr>
        </w:div>
        <w:div w:id="1423645983">
          <w:marLeft w:val="0"/>
          <w:marRight w:val="0"/>
          <w:marTop w:val="0"/>
          <w:marBottom w:val="0"/>
          <w:divBdr>
            <w:top w:val="none" w:sz="0" w:space="0" w:color="auto"/>
            <w:left w:val="none" w:sz="0" w:space="0" w:color="auto"/>
            <w:bottom w:val="none" w:sz="0" w:space="0" w:color="auto"/>
            <w:right w:val="none" w:sz="0" w:space="0" w:color="auto"/>
          </w:divBdr>
        </w:div>
        <w:div w:id="995916480">
          <w:marLeft w:val="0"/>
          <w:marRight w:val="0"/>
          <w:marTop w:val="0"/>
          <w:marBottom w:val="0"/>
          <w:divBdr>
            <w:top w:val="none" w:sz="0" w:space="0" w:color="auto"/>
            <w:left w:val="none" w:sz="0" w:space="0" w:color="auto"/>
            <w:bottom w:val="none" w:sz="0" w:space="0" w:color="auto"/>
            <w:right w:val="none" w:sz="0" w:space="0" w:color="auto"/>
          </w:divBdr>
        </w:div>
        <w:div w:id="997727303">
          <w:marLeft w:val="0"/>
          <w:marRight w:val="0"/>
          <w:marTop w:val="0"/>
          <w:marBottom w:val="0"/>
          <w:divBdr>
            <w:top w:val="none" w:sz="0" w:space="0" w:color="auto"/>
            <w:left w:val="none" w:sz="0" w:space="0" w:color="auto"/>
            <w:bottom w:val="none" w:sz="0" w:space="0" w:color="auto"/>
            <w:right w:val="none" w:sz="0" w:space="0" w:color="auto"/>
          </w:divBdr>
        </w:div>
      </w:divsChild>
    </w:div>
    <w:div w:id="1461992971">
      <w:bodyDiv w:val="1"/>
      <w:marLeft w:val="0"/>
      <w:marRight w:val="0"/>
      <w:marTop w:val="0"/>
      <w:marBottom w:val="0"/>
      <w:divBdr>
        <w:top w:val="none" w:sz="0" w:space="0" w:color="auto"/>
        <w:left w:val="none" w:sz="0" w:space="0" w:color="auto"/>
        <w:bottom w:val="none" w:sz="0" w:space="0" w:color="auto"/>
        <w:right w:val="none" w:sz="0" w:space="0" w:color="auto"/>
      </w:divBdr>
    </w:div>
    <w:div w:id="1462772924">
      <w:bodyDiv w:val="1"/>
      <w:marLeft w:val="0"/>
      <w:marRight w:val="0"/>
      <w:marTop w:val="0"/>
      <w:marBottom w:val="0"/>
      <w:divBdr>
        <w:top w:val="none" w:sz="0" w:space="0" w:color="auto"/>
        <w:left w:val="none" w:sz="0" w:space="0" w:color="auto"/>
        <w:bottom w:val="none" w:sz="0" w:space="0" w:color="auto"/>
        <w:right w:val="none" w:sz="0" w:space="0" w:color="auto"/>
      </w:divBdr>
    </w:div>
    <w:div w:id="1462846902">
      <w:bodyDiv w:val="1"/>
      <w:marLeft w:val="0"/>
      <w:marRight w:val="0"/>
      <w:marTop w:val="0"/>
      <w:marBottom w:val="0"/>
      <w:divBdr>
        <w:top w:val="none" w:sz="0" w:space="0" w:color="auto"/>
        <w:left w:val="none" w:sz="0" w:space="0" w:color="auto"/>
        <w:bottom w:val="none" w:sz="0" w:space="0" w:color="auto"/>
        <w:right w:val="none" w:sz="0" w:space="0" w:color="auto"/>
      </w:divBdr>
    </w:div>
    <w:div w:id="1463185561">
      <w:bodyDiv w:val="1"/>
      <w:marLeft w:val="0"/>
      <w:marRight w:val="0"/>
      <w:marTop w:val="0"/>
      <w:marBottom w:val="0"/>
      <w:divBdr>
        <w:top w:val="none" w:sz="0" w:space="0" w:color="auto"/>
        <w:left w:val="none" w:sz="0" w:space="0" w:color="auto"/>
        <w:bottom w:val="none" w:sz="0" w:space="0" w:color="auto"/>
        <w:right w:val="none" w:sz="0" w:space="0" w:color="auto"/>
      </w:divBdr>
    </w:div>
    <w:div w:id="1464426625">
      <w:bodyDiv w:val="1"/>
      <w:marLeft w:val="0"/>
      <w:marRight w:val="0"/>
      <w:marTop w:val="0"/>
      <w:marBottom w:val="0"/>
      <w:divBdr>
        <w:top w:val="none" w:sz="0" w:space="0" w:color="auto"/>
        <w:left w:val="none" w:sz="0" w:space="0" w:color="auto"/>
        <w:bottom w:val="none" w:sz="0" w:space="0" w:color="auto"/>
        <w:right w:val="none" w:sz="0" w:space="0" w:color="auto"/>
      </w:divBdr>
    </w:div>
    <w:div w:id="1465125130">
      <w:bodyDiv w:val="1"/>
      <w:marLeft w:val="0"/>
      <w:marRight w:val="0"/>
      <w:marTop w:val="0"/>
      <w:marBottom w:val="0"/>
      <w:divBdr>
        <w:top w:val="none" w:sz="0" w:space="0" w:color="auto"/>
        <w:left w:val="none" w:sz="0" w:space="0" w:color="auto"/>
        <w:bottom w:val="none" w:sz="0" w:space="0" w:color="auto"/>
        <w:right w:val="none" w:sz="0" w:space="0" w:color="auto"/>
      </w:divBdr>
    </w:div>
    <w:div w:id="1465272845">
      <w:bodyDiv w:val="1"/>
      <w:marLeft w:val="0"/>
      <w:marRight w:val="0"/>
      <w:marTop w:val="0"/>
      <w:marBottom w:val="0"/>
      <w:divBdr>
        <w:top w:val="none" w:sz="0" w:space="0" w:color="auto"/>
        <w:left w:val="none" w:sz="0" w:space="0" w:color="auto"/>
        <w:bottom w:val="none" w:sz="0" w:space="0" w:color="auto"/>
        <w:right w:val="none" w:sz="0" w:space="0" w:color="auto"/>
      </w:divBdr>
    </w:div>
    <w:div w:id="1465319431">
      <w:bodyDiv w:val="1"/>
      <w:marLeft w:val="0"/>
      <w:marRight w:val="0"/>
      <w:marTop w:val="0"/>
      <w:marBottom w:val="0"/>
      <w:divBdr>
        <w:top w:val="none" w:sz="0" w:space="0" w:color="auto"/>
        <w:left w:val="none" w:sz="0" w:space="0" w:color="auto"/>
        <w:bottom w:val="none" w:sz="0" w:space="0" w:color="auto"/>
        <w:right w:val="none" w:sz="0" w:space="0" w:color="auto"/>
      </w:divBdr>
    </w:div>
    <w:div w:id="1466970003">
      <w:bodyDiv w:val="1"/>
      <w:marLeft w:val="0"/>
      <w:marRight w:val="0"/>
      <w:marTop w:val="0"/>
      <w:marBottom w:val="0"/>
      <w:divBdr>
        <w:top w:val="none" w:sz="0" w:space="0" w:color="auto"/>
        <w:left w:val="none" w:sz="0" w:space="0" w:color="auto"/>
        <w:bottom w:val="none" w:sz="0" w:space="0" w:color="auto"/>
        <w:right w:val="none" w:sz="0" w:space="0" w:color="auto"/>
      </w:divBdr>
    </w:div>
    <w:div w:id="1467118553">
      <w:bodyDiv w:val="1"/>
      <w:marLeft w:val="0"/>
      <w:marRight w:val="0"/>
      <w:marTop w:val="0"/>
      <w:marBottom w:val="0"/>
      <w:divBdr>
        <w:top w:val="none" w:sz="0" w:space="0" w:color="auto"/>
        <w:left w:val="none" w:sz="0" w:space="0" w:color="auto"/>
        <w:bottom w:val="none" w:sz="0" w:space="0" w:color="auto"/>
        <w:right w:val="none" w:sz="0" w:space="0" w:color="auto"/>
      </w:divBdr>
    </w:div>
    <w:div w:id="1468356829">
      <w:bodyDiv w:val="1"/>
      <w:marLeft w:val="0"/>
      <w:marRight w:val="0"/>
      <w:marTop w:val="0"/>
      <w:marBottom w:val="0"/>
      <w:divBdr>
        <w:top w:val="none" w:sz="0" w:space="0" w:color="auto"/>
        <w:left w:val="none" w:sz="0" w:space="0" w:color="auto"/>
        <w:bottom w:val="none" w:sz="0" w:space="0" w:color="auto"/>
        <w:right w:val="none" w:sz="0" w:space="0" w:color="auto"/>
      </w:divBdr>
    </w:div>
    <w:div w:id="1469084510">
      <w:bodyDiv w:val="1"/>
      <w:marLeft w:val="0"/>
      <w:marRight w:val="0"/>
      <w:marTop w:val="0"/>
      <w:marBottom w:val="0"/>
      <w:divBdr>
        <w:top w:val="none" w:sz="0" w:space="0" w:color="auto"/>
        <w:left w:val="none" w:sz="0" w:space="0" w:color="auto"/>
        <w:bottom w:val="none" w:sz="0" w:space="0" w:color="auto"/>
        <w:right w:val="none" w:sz="0" w:space="0" w:color="auto"/>
      </w:divBdr>
    </w:div>
    <w:div w:id="1469394541">
      <w:bodyDiv w:val="1"/>
      <w:marLeft w:val="0"/>
      <w:marRight w:val="0"/>
      <w:marTop w:val="0"/>
      <w:marBottom w:val="0"/>
      <w:divBdr>
        <w:top w:val="none" w:sz="0" w:space="0" w:color="auto"/>
        <w:left w:val="none" w:sz="0" w:space="0" w:color="auto"/>
        <w:bottom w:val="none" w:sz="0" w:space="0" w:color="auto"/>
        <w:right w:val="none" w:sz="0" w:space="0" w:color="auto"/>
      </w:divBdr>
    </w:div>
    <w:div w:id="1470124819">
      <w:bodyDiv w:val="1"/>
      <w:marLeft w:val="0"/>
      <w:marRight w:val="0"/>
      <w:marTop w:val="0"/>
      <w:marBottom w:val="0"/>
      <w:divBdr>
        <w:top w:val="none" w:sz="0" w:space="0" w:color="auto"/>
        <w:left w:val="none" w:sz="0" w:space="0" w:color="auto"/>
        <w:bottom w:val="none" w:sz="0" w:space="0" w:color="auto"/>
        <w:right w:val="none" w:sz="0" w:space="0" w:color="auto"/>
      </w:divBdr>
    </w:div>
    <w:div w:id="1470320846">
      <w:bodyDiv w:val="1"/>
      <w:marLeft w:val="0"/>
      <w:marRight w:val="0"/>
      <w:marTop w:val="0"/>
      <w:marBottom w:val="0"/>
      <w:divBdr>
        <w:top w:val="none" w:sz="0" w:space="0" w:color="auto"/>
        <w:left w:val="none" w:sz="0" w:space="0" w:color="auto"/>
        <w:bottom w:val="none" w:sz="0" w:space="0" w:color="auto"/>
        <w:right w:val="none" w:sz="0" w:space="0" w:color="auto"/>
      </w:divBdr>
    </w:div>
    <w:div w:id="1470703090">
      <w:bodyDiv w:val="1"/>
      <w:marLeft w:val="0"/>
      <w:marRight w:val="0"/>
      <w:marTop w:val="0"/>
      <w:marBottom w:val="0"/>
      <w:divBdr>
        <w:top w:val="none" w:sz="0" w:space="0" w:color="auto"/>
        <w:left w:val="none" w:sz="0" w:space="0" w:color="auto"/>
        <w:bottom w:val="none" w:sz="0" w:space="0" w:color="auto"/>
        <w:right w:val="none" w:sz="0" w:space="0" w:color="auto"/>
      </w:divBdr>
    </w:div>
    <w:div w:id="1470708639">
      <w:bodyDiv w:val="1"/>
      <w:marLeft w:val="0"/>
      <w:marRight w:val="0"/>
      <w:marTop w:val="0"/>
      <w:marBottom w:val="0"/>
      <w:divBdr>
        <w:top w:val="none" w:sz="0" w:space="0" w:color="auto"/>
        <w:left w:val="none" w:sz="0" w:space="0" w:color="auto"/>
        <w:bottom w:val="none" w:sz="0" w:space="0" w:color="auto"/>
        <w:right w:val="none" w:sz="0" w:space="0" w:color="auto"/>
      </w:divBdr>
    </w:div>
    <w:div w:id="1471239960">
      <w:bodyDiv w:val="1"/>
      <w:marLeft w:val="0"/>
      <w:marRight w:val="0"/>
      <w:marTop w:val="0"/>
      <w:marBottom w:val="0"/>
      <w:divBdr>
        <w:top w:val="none" w:sz="0" w:space="0" w:color="auto"/>
        <w:left w:val="none" w:sz="0" w:space="0" w:color="auto"/>
        <w:bottom w:val="none" w:sz="0" w:space="0" w:color="auto"/>
        <w:right w:val="none" w:sz="0" w:space="0" w:color="auto"/>
      </w:divBdr>
    </w:div>
    <w:div w:id="1471702936">
      <w:bodyDiv w:val="1"/>
      <w:marLeft w:val="0"/>
      <w:marRight w:val="0"/>
      <w:marTop w:val="0"/>
      <w:marBottom w:val="0"/>
      <w:divBdr>
        <w:top w:val="none" w:sz="0" w:space="0" w:color="auto"/>
        <w:left w:val="none" w:sz="0" w:space="0" w:color="auto"/>
        <w:bottom w:val="none" w:sz="0" w:space="0" w:color="auto"/>
        <w:right w:val="none" w:sz="0" w:space="0" w:color="auto"/>
      </w:divBdr>
    </w:div>
    <w:div w:id="1471751341">
      <w:bodyDiv w:val="1"/>
      <w:marLeft w:val="0"/>
      <w:marRight w:val="0"/>
      <w:marTop w:val="0"/>
      <w:marBottom w:val="0"/>
      <w:divBdr>
        <w:top w:val="none" w:sz="0" w:space="0" w:color="auto"/>
        <w:left w:val="none" w:sz="0" w:space="0" w:color="auto"/>
        <w:bottom w:val="none" w:sz="0" w:space="0" w:color="auto"/>
        <w:right w:val="none" w:sz="0" w:space="0" w:color="auto"/>
      </w:divBdr>
    </w:div>
    <w:div w:id="1472140579">
      <w:bodyDiv w:val="1"/>
      <w:marLeft w:val="0"/>
      <w:marRight w:val="0"/>
      <w:marTop w:val="0"/>
      <w:marBottom w:val="0"/>
      <w:divBdr>
        <w:top w:val="none" w:sz="0" w:space="0" w:color="auto"/>
        <w:left w:val="none" w:sz="0" w:space="0" w:color="auto"/>
        <w:bottom w:val="none" w:sz="0" w:space="0" w:color="auto"/>
        <w:right w:val="none" w:sz="0" w:space="0" w:color="auto"/>
      </w:divBdr>
    </w:div>
    <w:div w:id="1472209000">
      <w:bodyDiv w:val="1"/>
      <w:marLeft w:val="0"/>
      <w:marRight w:val="0"/>
      <w:marTop w:val="0"/>
      <w:marBottom w:val="0"/>
      <w:divBdr>
        <w:top w:val="none" w:sz="0" w:space="0" w:color="auto"/>
        <w:left w:val="none" w:sz="0" w:space="0" w:color="auto"/>
        <w:bottom w:val="none" w:sz="0" w:space="0" w:color="auto"/>
        <w:right w:val="none" w:sz="0" w:space="0" w:color="auto"/>
      </w:divBdr>
    </w:div>
    <w:div w:id="1472820231">
      <w:bodyDiv w:val="1"/>
      <w:marLeft w:val="0"/>
      <w:marRight w:val="0"/>
      <w:marTop w:val="0"/>
      <w:marBottom w:val="0"/>
      <w:divBdr>
        <w:top w:val="none" w:sz="0" w:space="0" w:color="auto"/>
        <w:left w:val="none" w:sz="0" w:space="0" w:color="auto"/>
        <w:bottom w:val="none" w:sz="0" w:space="0" w:color="auto"/>
        <w:right w:val="none" w:sz="0" w:space="0" w:color="auto"/>
      </w:divBdr>
    </w:div>
    <w:div w:id="1473205732">
      <w:bodyDiv w:val="1"/>
      <w:marLeft w:val="0"/>
      <w:marRight w:val="0"/>
      <w:marTop w:val="0"/>
      <w:marBottom w:val="0"/>
      <w:divBdr>
        <w:top w:val="none" w:sz="0" w:space="0" w:color="auto"/>
        <w:left w:val="none" w:sz="0" w:space="0" w:color="auto"/>
        <w:bottom w:val="none" w:sz="0" w:space="0" w:color="auto"/>
        <w:right w:val="none" w:sz="0" w:space="0" w:color="auto"/>
      </w:divBdr>
    </w:div>
    <w:div w:id="1473864683">
      <w:bodyDiv w:val="1"/>
      <w:marLeft w:val="0"/>
      <w:marRight w:val="0"/>
      <w:marTop w:val="0"/>
      <w:marBottom w:val="0"/>
      <w:divBdr>
        <w:top w:val="none" w:sz="0" w:space="0" w:color="auto"/>
        <w:left w:val="none" w:sz="0" w:space="0" w:color="auto"/>
        <w:bottom w:val="none" w:sz="0" w:space="0" w:color="auto"/>
        <w:right w:val="none" w:sz="0" w:space="0" w:color="auto"/>
      </w:divBdr>
    </w:div>
    <w:div w:id="1474446371">
      <w:bodyDiv w:val="1"/>
      <w:marLeft w:val="0"/>
      <w:marRight w:val="0"/>
      <w:marTop w:val="0"/>
      <w:marBottom w:val="0"/>
      <w:divBdr>
        <w:top w:val="none" w:sz="0" w:space="0" w:color="auto"/>
        <w:left w:val="none" w:sz="0" w:space="0" w:color="auto"/>
        <w:bottom w:val="none" w:sz="0" w:space="0" w:color="auto"/>
        <w:right w:val="none" w:sz="0" w:space="0" w:color="auto"/>
      </w:divBdr>
    </w:div>
    <w:div w:id="1474642917">
      <w:bodyDiv w:val="1"/>
      <w:marLeft w:val="0"/>
      <w:marRight w:val="0"/>
      <w:marTop w:val="0"/>
      <w:marBottom w:val="0"/>
      <w:divBdr>
        <w:top w:val="none" w:sz="0" w:space="0" w:color="auto"/>
        <w:left w:val="none" w:sz="0" w:space="0" w:color="auto"/>
        <w:bottom w:val="none" w:sz="0" w:space="0" w:color="auto"/>
        <w:right w:val="none" w:sz="0" w:space="0" w:color="auto"/>
      </w:divBdr>
    </w:div>
    <w:div w:id="1475219833">
      <w:bodyDiv w:val="1"/>
      <w:marLeft w:val="0"/>
      <w:marRight w:val="0"/>
      <w:marTop w:val="0"/>
      <w:marBottom w:val="0"/>
      <w:divBdr>
        <w:top w:val="none" w:sz="0" w:space="0" w:color="auto"/>
        <w:left w:val="none" w:sz="0" w:space="0" w:color="auto"/>
        <w:bottom w:val="none" w:sz="0" w:space="0" w:color="auto"/>
        <w:right w:val="none" w:sz="0" w:space="0" w:color="auto"/>
      </w:divBdr>
    </w:div>
    <w:div w:id="1475637961">
      <w:bodyDiv w:val="1"/>
      <w:marLeft w:val="0"/>
      <w:marRight w:val="0"/>
      <w:marTop w:val="0"/>
      <w:marBottom w:val="0"/>
      <w:divBdr>
        <w:top w:val="none" w:sz="0" w:space="0" w:color="auto"/>
        <w:left w:val="none" w:sz="0" w:space="0" w:color="auto"/>
        <w:bottom w:val="none" w:sz="0" w:space="0" w:color="auto"/>
        <w:right w:val="none" w:sz="0" w:space="0" w:color="auto"/>
      </w:divBdr>
    </w:div>
    <w:div w:id="1476097391">
      <w:bodyDiv w:val="1"/>
      <w:marLeft w:val="0"/>
      <w:marRight w:val="0"/>
      <w:marTop w:val="0"/>
      <w:marBottom w:val="0"/>
      <w:divBdr>
        <w:top w:val="none" w:sz="0" w:space="0" w:color="auto"/>
        <w:left w:val="none" w:sz="0" w:space="0" w:color="auto"/>
        <w:bottom w:val="none" w:sz="0" w:space="0" w:color="auto"/>
        <w:right w:val="none" w:sz="0" w:space="0" w:color="auto"/>
      </w:divBdr>
    </w:div>
    <w:div w:id="1476296667">
      <w:bodyDiv w:val="1"/>
      <w:marLeft w:val="0"/>
      <w:marRight w:val="0"/>
      <w:marTop w:val="0"/>
      <w:marBottom w:val="0"/>
      <w:divBdr>
        <w:top w:val="none" w:sz="0" w:space="0" w:color="auto"/>
        <w:left w:val="none" w:sz="0" w:space="0" w:color="auto"/>
        <w:bottom w:val="none" w:sz="0" w:space="0" w:color="auto"/>
        <w:right w:val="none" w:sz="0" w:space="0" w:color="auto"/>
      </w:divBdr>
    </w:div>
    <w:div w:id="1477146702">
      <w:bodyDiv w:val="1"/>
      <w:marLeft w:val="0"/>
      <w:marRight w:val="0"/>
      <w:marTop w:val="0"/>
      <w:marBottom w:val="0"/>
      <w:divBdr>
        <w:top w:val="none" w:sz="0" w:space="0" w:color="auto"/>
        <w:left w:val="none" w:sz="0" w:space="0" w:color="auto"/>
        <w:bottom w:val="none" w:sz="0" w:space="0" w:color="auto"/>
        <w:right w:val="none" w:sz="0" w:space="0" w:color="auto"/>
      </w:divBdr>
    </w:div>
    <w:div w:id="1478104377">
      <w:bodyDiv w:val="1"/>
      <w:marLeft w:val="0"/>
      <w:marRight w:val="0"/>
      <w:marTop w:val="0"/>
      <w:marBottom w:val="0"/>
      <w:divBdr>
        <w:top w:val="none" w:sz="0" w:space="0" w:color="auto"/>
        <w:left w:val="none" w:sz="0" w:space="0" w:color="auto"/>
        <w:bottom w:val="none" w:sz="0" w:space="0" w:color="auto"/>
        <w:right w:val="none" w:sz="0" w:space="0" w:color="auto"/>
      </w:divBdr>
    </w:div>
    <w:div w:id="1478643391">
      <w:bodyDiv w:val="1"/>
      <w:marLeft w:val="0"/>
      <w:marRight w:val="0"/>
      <w:marTop w:val="0"/>
      <w:marBottom w:val="0"/>
      <w:divBdr>
        <w:top w:val="none" w:sz="0" w:space="0" w:color="auto"/>
        <w:left w:val="none" w:sz="0" w:space="0" w:color="auto"/>
        <w:bottom w:val="none" w:sz="0" w:space="0" w:color="auto"/>
        <w:right w:val="none" w:sz="0" w:space="0" w:color="auto"/>
      </w:divBdr>
    </w:div>
    <w:div w:id="1479492975">
      <w:bodyDiv w:val="1"/>
      <w:marLeft w:val="0"/>
      <w:marRight w:val="0"/>
      <w:marTop w:val="0"/>
      <w:marBottom w:val="0"/>
      <w:divBdr>
        <w:top w:val="none" w:sz="0" w:space="0" w:color="auto"/>
        <w:left w:val="none" w:sz="0" w:space="0" w:color="auto"/>
        <w:bottom w:val="none" w:sz="0" w:space="0" w:color="auto"/>
        <w:right w:val="none" w:sz="0" w:space="0" w:color="auto"/>
      </w:divBdr>
    </w:div>
    <w:div w:id="1479566709">
      <w:bodyDiv w:val="1"/>
      <w:marLeft w:val="0"/>
      <w:marRight w:val="0"/>
      <w:marTop w:val="0"/>
      <w:marBottom w:val="0"/>
      <w:divBdr>
        <w:top w:val="none" w:sz="0" w:space="0" w:color="auto"/>
        <w:left w:val="none" w:sz="0" w:space="0" w:color="auto"/>
        <w:bottom w:val="none" w:sz="0" w:space="0" w:color="auto"/>
        <w:right w:val="none" w:sz="0" w:space="0" w:color="auto"/>
      </w:divBdr>
    </w:div>
    <w:div w:id="1479763942">
      <w:bodyDiv w:val="1"/>
      <w:marLeft w:val="0"/>
      <w:marRight w:val="0"/>
      <w:marTop w:val="0"/>
      <w:marBottom w:val="0"/>
      <w:divBdr>
        <w:top w:val="none" w:sz="0" w:space="0" w:color="auto"/>
        <w:left w:val="none" w:sz="0" w:space="0" w:color="auto"/>
        <w:bottom w:val="none" w:sz="0" w:space="0" w:color="auto"/>
        <w:right w:val="none" w:sz="0" w:space="0" w:color="auto"/>
      </w:divBdr>
    </w:div>
    <w:div w:id="1480072867">
      <w:bodyDiv w:val="1"/>
      <w:marLeft w:val="0"/>
      <w:marRight w:val="0"/>
      <w:marTop w:val="0"/>
      <w:marBottom w:val="0"/>
      <w:divBdr>
        <w:top w:val="none" w:sz="0" w:space="0" w:color="auto"/>
        <w:left w:val="none" w:sz="0" w:space="0" w:color="auto"/>
        <w:bottom w:val="none" w:sz="0" w:space="0" w:color="auto"/>
        <w:right w:val="none" w:sz="0" w:space="0" w:color="auto"/>
      </w:divBdr>
      <w:divsChild>
        <w:div w:id="837694602">
          <w:marLeft w:val="0"/>
          <w:marRight w:val="0"/>
          <w:marTop w:val="0"/>
          <w:marBottom w:val="0"/>
          <w:divBdr>
            <w:top w:val="none" w:sz="0" w:space="0" w:color="auto"/>
            <w:left w:val="none" w:sz="0" w:space="0" w:color="auto"/>
            <w:bottom w:val="none" w:sz="0" w:space="0" w:color="auto"/>
            <w:right w:val="none" w:sz="0" w:space="0" w:color="auto"/>
          </w:divBdr>
        </w:div>
        <w:div w:id="660811512">
          <w:marLeft w:val="0"/>
          <w:marRight w:val="0"/>
          <w:marTop w:val="0"/>
          <w:marBottom w:val="0"/>
          <w:divBdr>
            <w:top w:val="none" w:sz="0" w:space="0" w:color="auto"/>
            <w:left w:val="none" w:sz="0" w:space="0" w:color="auto"/>
            <w:bottom w:val="none" w:sz="0" w:space="0" w:color="auto"/>
            <w:right w:val="none" w:sz="0" w:space="0" w:color="auto"/>
          </w:divBdr>
        </w:div>
        <w:div w:id="127478299">
          <w:marLeft w:val="0"/>
          <w:marRight w:val="0"/>
          <w:marTop w:val="0"/>
          <w:marBottom w:val="0"/>
          <w:divBdr>
            <w:top w:val="none" w:sz="0" w:space="0" w:color="auto"/>
            <w:left w:val="none" w:sz="0" w:space="0" w:color="auto"/>
            <w:bottom w:val="none" w:sz="0" w:space="0" w:color="auto"/>
            <w:right w:val="none" w:sz="0" w:space="0" w:color="auto"/>
          </w:divBdr>
        </w:div>
      </w:divsChild>
    </w:div>
    <w:div w:id="1480145609">
      <w:bodyDiv w:val="1"/>
      <w:marLeft w:val="0"/>
      <w:marRight w:val="0"/>
      <w:marTop w:val="0"/>
      <w:marBottom w:val="0"/>
      <w:divBdr>
        <w:top w:val="none" w:sz="0" w:space="0" w:color="auto"/>
        <w:left w:val="none" w:sz="0" w:space="0" w:color="auto"/>
        <w:bottom w:val="none" w:sz="0" w:space="0" w:color="auto"/>
        <w:right w:val="none" w:sz="0" w:space="0" w:color="auto"/>
      </w:divBdr>
    </w:div>
    <w:div w:id="1482507169">
      <w:bodyDiv w:val="1"/>
      <w:marLeft w:val="0"/>
      <w:marRight w:val="0"/>
      <w:marTop w:val="0"/>
      <w:marBottom w:val="0"/>
      <w:divBdr>
        <w:top w:val="none" w:sz="0" w:space="0" w:color="auto"/>
        <w:left w:val="none" w:sz="0" w:space="0" w:color="auto"/>
        <w:bottom w:val="none" w:sz="0" w:space="0" w:color="auto"/>
        <w:right w:val="none" w:sz="0" w:space="0" w:color="auto"/>
      </w:divBdr>
    </w:div>
    <w:div w:id="1483738870">
      <w:bodyDiv w:val="1"/>
      <w:marLeft w:val="0"/>
      <w:marRight w:val="0"/>
      <w:marTop w:val="0"/>
      <w:marBottom w:val="0"/>
      <w:divBdr>
        <w:top w:val="none" w:sz="0" w:space="0" w:color="auto"/>
        <w:left w:val="none" w:sz="0" w:space="0" w:color="auto"/>
        <w:bottom w:val="none" w:sz="0" w:space="0" w:color="auto"/>
        <w:right w:val="none" w:sz="0" w:space="0" w:color="auto"/>
      </w:divBdr>
    </w:div>
    <w:div w:id="1483765502">
      <w:bodyDiv w:val="1"/>
      <w:marLeft w:val="0"/>
      <w:marRight w:val="0"/>
      <w:marTop w:val="0"/>
      <w:marBottom w:val="0"/>
      <w:divBdr>
        <w:top w:val="none" w:sz="0" w:space="0" w:color="auto"/>
        <w:left w:val="none" w:sz="0" w:space="0" w:color="auto"/>
        <w:bottom w:val="none" w:sz="0" w:space="0" w:color="auto"/>
        <w:right w:val="none" w:sz="0" w:space="0" w:color="auto"/>
      </w:divBdr>
    </w:div>
    <w:div w:id="1484470328">
      <w:bodyDiv w:val="1"/>
      <w:marLeft w:val="0"/>
      <w:marRight w:val="0"/>
      <w:marTop w:val="0"/>
      <w:marBottom w:val="0"/>
      <w:divBdr>
        <w:top w:val="none" w:sz="0" w:space="0" w:color="auto"/>
        <w:left w:val="none" w:sz="0" w:space="0" w:color="auto"/>
        <w:bottom w:val="none" w:sz="0" w:space="0" w:color="auto"/>
        <w:right w:val="none" w:sz="0" w:space="0" w:color="auto"/>
      </w:divBdr>
    </w:div>
    <w:div w:id="1484858647">
      <w:bodyDiv w:val="1"/>
      <w:marLeft w:val="0"/>
      <w:marRight w:val="0"/>
      <w:marTop w:val="0"/>
      <w:marBottom w:val="0"/>
      <w:divBdr>
        <w:top w:val="none" w:sz="0" w:space="0" w:color="auto"/>
        <w:left w:val="none" w:sz="0" w:space="0" w:color="auto"/>
        <w:bottom w:val="none" w:sz="0" w:space="0" w:color="auto"/>
        <w:right w:val="none" w:sz="0" w:space="0" w:color="auto"/>
      </w:divBdr>
    </w:div>
    <w:div w:id="1485121209">
      <w:bodyDiv w:val="1"/>
      <w:marLeft w:val="0"/>
      <w:marRight w:val="0"/>
      <w:marTop w:val="0"/>
      <w:marBottom w:val="0"/>
      <w:divBdr>
        <w:top w:val="none" w:sz="0" w:space="0" w:color="auto"/>
        <w:left w:val="none" w:sz="0" w:space="0" w:color="auto"/>
        <w:bottom w:val="none" w:sz="0" w:space="0" w:color="auto"/>
        <w:right w:val="none" w:sz="0" w:space="0" w:color="auto"/>
      </w:divBdr>
      <w:divsChild>
        <w:div w:id="158739951">
          <w:marLeft w:val="0"/>
          <w:marRight w:val="0"/>
          <w:marTop w:val="0"/>
          <w:marBottom w:val="0"/>
          <w:divBdr>
            <w:top w:val="none" w:sz="0" w:space="0" w:color="auto"/>
            <w:left w:val="none" w:sz="0" w:space="0" w:color="auto"/>
            <w:bottom w:val="none" w:sz="0" w:space="0" w:color="auto"/>
            <w:right w:val="none" w:sz="0" w:space="0" w:color="auto"/>
          </w:divBdr>
        </w:div>
        <w:div w:id="1383018898">
          <w:marLeft w:val="0"/>
          <w:marRight w:val="0"/>
          <w:marTop w:val="0"/>
          <w:marBottom w:val="0"/>
          <w:divBdr>
            <w:top w:val="none" w:sz="0" w:space="0" w:color="auto"/>
            <w:left w:val="none" w:sz="0" w:space="0" w:color="auto"/>
            <w:bottom w:val="none" w:sz="0" w:space="0" w:color="auto"/>
            <w:right w:val="none" w:sz="0" w:space="0" w:color="auto"/>
          </w:divBdr>
        </w:div>
        <w:div w:id="1168131463">
          <w:marLeft w:val="0"/>
          <w:marRight w:val="0"/>
          <w:marTop w:val="0"/>
          <w:marBottom w:val="0"/>
          <w:divBdr>
            <w:top w:val="none" w:sz="0" w:space="0" w:color="auto"/>
            <w:left w:val="none" w:sz="0" w:space="0" w:color="auto"/>
            <w:bottom w:val="none" w:sz="0" w:space="0" w:color="auto"/>
            <w:right w:val="none" w:sz="0" w:space="0" w:color="auto"/>
          </w:divBdr>
        </w:div>
        <w:div w:id="1752198523">
          <w:marLeft w:val="0"/>
          <w:marRight w:val="0"/>
          <w:marTop w:val="0"/>
          <w:marBottom w:val="0"/>
          <w:divBdr>
            <w:top w:val="none" w:sz="0" w:space="0" w:color="auto"/>
            <w:left w:val="none" w:sz="0" w:space="0" w:color="auto"/>
            <w:bottom w:val="none" w:sz="0" w:space="0" w:color="auto"/>
            <w:right w:val="none" w:sz="0" w:space="0" w:color="auto"/>
          </w:divBdr>
        </w:div>
        <w:div w:id="928734447">
          <w:marLeft w:val="0"/>
          <w:marRight w:val="0"/>
          <w:marTop w:val="0"/>
          <w:marBottom w:val="0"/>
          <w:divBdr>
            <w:top w:val="none" w:sz="0" w:space="0" w:color="auto"/>
            <w:left w:val="none" w:sz="0" w:space="0" w:color="auto"/>
            <w:bottom w:val="none" w:sz="0" w:space="0" w:color="auto"/>
            <w:right w:val="none" w:sz="0" w:space="0" w:color="auto"/>
          </w:divBdr>
        </w:div>
        <w:div w:id="1375694737">
          <w:marLeft w:val="0"/>
          <w:marRight w:val="0"/>
          <w:marTop w:val="0"/>
          <w:marBottom w:val="0"/>
          <w:divBdr>
            <w:top w:val="none" w:sz="0" w:space="0" w:color="auto"/>
            <w:left w:val="none" w:sz="0" w:space="0" w:color="auto"/>
            <w:bottom w:val="none" w:sz="0" w:space="0" w:color="auto"/>
            <w:right w:val="none" w:sz="0" w:space="0" w:color="auto"/>
          </w:divBdr>
        </w:div>
        <w:div w:id="787284827">
          <w:marLeft w:val="0"/>
          <w:marRight w:val="0"/>
          <w:marTop w:val="0"/>
          <w:marBottom w:val="0"/>
          <w:divBdr>
            <w:top w:val="none" w:sz="0" w:space="0" w:color="auto"/>
            <w:left w:val="none" w:sz="0" w:space="0" w:color="auto"/>
            <w:bottom w:val="none" w:sz="0" w:space="0" w:color="auto"/>
            <w:right w:val="none" w:sz="0" w:space="0" w:color="auto"/>
          </w:divBdr>
        </w:div>
        <w:div w:id="948050051">
          <w:marLeft w:val="0"/>
          <w:marRight w:val="0"/>
          <w:marTop w:val="0"/>
          <w:marBottom w:val="0"/>
          <w:divBdr>
            <w:top w:val="none" w:sz="0" w:space="0" w:color="auto"/>
            <w:left w:val="none" w:sz="0" w:space="0" w:color="auto"/>
            <w:bottom w:val="none" w:sz="0" w:space="0" w:color="auto"/>
            <w:right w:val="none" w:sz="0" w:space="0" w:color="auto"/>
          </w:divBdr>
        </w:div>
        <w:div w:id="2005357836">
          <w:marLeft w:val="0"/>
          <w:marRight w:val="0"/>
          <w:marTop w:val="0"/>
          <w:marBottom w:val="0"/>
          <w:divBdr>
            <w:top w:val="none" w:sz="0" w:space="0" w:color="auto"/>
            <w:left w:val="none" w:sz="0" w:space="0" w:color="auto"/>
            <w:bottom w:val="none" w:sz="0" w:space="0" w:color="auto"/>
            <w:right w:val="none" w:sz="0" w:space="0" w:color="auto"/>
          </w:divBdr>
        </w:div>
      </w:divsChild>
    </w:div>
    <w:div w:id="1485587485">
      <w:bodyDiv w:val="1"/>
      <w:marLeft w:val="0"/>
      <w:marRight w:val="0"/>
      <w:marTop w:val="0"/>
      <w:marBottom w:val="0"/>
      <w:divBdr>
        <w:top w:val="none" w:sz="0" w:space="0" w:color="auto"/>
        <w:left w:val="none" w:sz="0" w:space="0" w:color="auto"/>
        <w:bottom w:val="none" w:sz="0" w:space="0" w:color="auto"/>
        <w:right w:val="none" w:sz="0" w:space="0" w:color="auto"/>
      </w:divBdr>
    </w:div>
    <w:div w:id="1486318228">
      <w:bodyDiv w:val="1"/>
      <w:marLeft w:val="0"/>
      <w:marRight w:val="0"/>
      <w:marTop w:val="0"/>
      <w:marBottom w:val="0"/>
      <w:divBdr>
        <w:top w:val="none" w:sz="0" w:space="0" w:color="auto"/>
        <w:left w:val="none" w:sz="0" w:space="0" w:color="auto"/>
        <w:bottom w:val="none" w:sz="0" w:space="0" w:color="auto"/>
        <w:right w:val="none" w:sz="0" w:space="0" w:color="auto"/>
      </w:divBdr>
    </w:div>
    <w:div w:id="1486584262">
      <w:bodyDiv w:val="1"/>
      <w:marLeft w:val="0"/>
      <w:marRight w:val="0"/>
      <w:marTop w:val="0"/>
      <w:marBottom w:val="0"/>
      <w:divBdr>
        <w:top w:val="none" w:sz="0" w:space="0" w:color="auto"/>
        <w:left w:val="none" w:sz="0" w:space="0" w:color="auto"/>
        <w:bottom w:val="none" w:sz="0" w:space="0" w:color="auto"/>
        <w:right w:val="none" w:sz="0" w:space="0" w:color="auto"/>
      </w:divBdr>
    </w:div>
    <w:div w:id="1486778842">
      <w:bodyDiv w:val="1"/>
      <w:marLeft w:val="0"/>
      <w:marRight w:val="0"/>
      <w:marTop w:val="0"/>
      <w:marBottom w:val="0"/>
      <w:divBdr>
        <w:top w:val="none" w:sz="0" w:space="0" w:color="auto"/>
        <w:left w:val="none" w:sz="0" w:space="0" w:color="auto"/>
        <w:bottom w:val="none" w:sz="0" w:space="0" w:color="auto"/>
        <w:right w:val="none" w:sz="0" w:space="0" w:color="auto"/>
      </w:divBdr>
    </w:div>
    <w:div w:id="1486781433">
      <w:bodyDiv w:val="1"/>
      <w:marLeft w:val="0"/>
      <w:marRight w:val="0"/>
      <w:marTop w:val="0"/>
      <w:marBottom w:val="0"/>
      <w:divBdr>
        <w:top w:val="none" w:sz="0" w:space="0" w:color="auto"/>
        <w:left w:val="none" w:sz="0" w:space="0" w:color="auto"/>
        <w:bottom w:val="none" w:sz="0" w:space="0" w:color="auto"/>
        <w:right w:val="none" w:sz="0" w:space="0" w:color="auto"/>
      </w:divBdr>
    </w:div>
    <w:div w:id="1486894161">
      <w:bodyDiv w:val="1"/>
      <w:marLeft w:val="0"/>
      <w:marRight w:val="0"/>
      <w:marTop w:val="0"/>
      <w:marBottom w:val="0"/>
      <w:divBdr>
        <w:top w:val="none" w:sz="0" w:space="0" w:color="auto"/>
        <w:left w:val="none" w:sz="0" w:space="0" w:color="auto"/>
        <w:bottom w:val="none" w:sz="0" w:space="0" w:color="auto"/>
        <w:right w:val="none" w:sz="0" w:space="0" w:color="auto"/>
      </w:divBdr>
    </w:div>
    <w:div w:id="1487211378">
      <w:bodyDiv w:val="1"/>
      <w:marLeft w:val="0"/>
      <w:marRight w:val="0"/>
      <w:marTop w:val="0"/>
      <w:marBottom w:val="0"/>
      <w:divBdr>
        <w:top w:val="none" w:sz="0" w:space="0" w:color="auto"/>
        <w:left w:val="none" w:sz="0" w:space="0" w:color="auto"/>
        <w:bottom w:val="none" w:sz="0" w:space="0" w:color="auto"/>
        <w:right w:val="none" w:sz="0" w:space="0" w:color="auto"/>
      </w:divBdr>
    </w:div>
    <w:div w:id="1487283202">
      <w:bodyDiv w:val="1"/>
      <w:marLeft w:val="0"/>
      <w:marRight w:val="0"/>
      <w:marTop w:val="0"/>
      <w:marBottom w:val="0"/>
      <w:divBdr>
        <w:top w:val="none" w:sz="0" w:space="0" w:color="auto"/>
        <w:left w:val="none" w:sz="0" w:space="0" w:color="auto"/>
        <w:bottom w:val="none" w:sz="0" w:space="0" w:color="auto"/>
        <w:right w:val="none" w:sz="0" w:space="0" w:color="auto"/>
      </w:divBdr>
    </w:div>
    <w:div w:id="1487357102">
      <w:bodyDiv w:val="1"/>
      <w:marLeft w:val="0"/>
      <w:marRight w:val="0"/>
      <w:marTop w:val="0"/>
      <w:marBottom w:val="0"/>
      <w:divBdr>
        <w:top w:val="none" w:sz="0" w:space="0" w:color="auto"/>
        <w:left w:val="none" w:sz="0" w:space="0" w:color="auto"/>
        <w:bottom w:val="none" w:sz="0" w:space="0" w:color="auto"/>
        <w:right w:val="none" w:sz="0" w:space="0" w:color="auto"/>
      </w:divBdr>
    </w:div>
    <w:div w:id="1487550081">
      <w:bodyDiv w:val="1"/>
      <w:marLeft w:val="0"/>
      <w:marRight w:val="0"/>
      <w:marTop w:val="0"/>
      <w:marBottom w:val="0"/>
      <w:divBdr>
        <w:top w:val="none" w:sz="0" w:space="0" w:color="auto"/>
        <w:left w:val="none" w:sz="0" w:space="0" w:color="auto"/>
        <w:bottom w:val="none" w:sz="0" w:space="0" w:color="auto"/>
        <w:right w:val="none" w:sz="0" w:space="0" w:color="auto"/>
      </w:divBdr>
    </w:div>
    <w:div w:id="1488669397">
      <w:bodyDiv w:val="1"/>
      <w:marLeft w:val="0"/>
      <w:marRight w:val="0"/>
      <w:marTop w:val="0"/>
      <w:marBottom w:val="0"/>
      <w:divBdr>
        <w:top w:val="none" w:sz="0" w:space="0" w:color="auto"/>
        <w:left w:val="none" w:sz="0" w:space="0" w:color="auto"/>
        <w:bottom w:val="none" w:sz="0" w:space="0" w:color="auto"/>
        <w:right w:val="none" w:sz="0" w:space="0" w:color="auto"/>
      </w:divBdr>
    </w:div>
    <w:div w:id="1489132031">
      <w:bodyDiv w:val="1"/>
      <w:marLeft w:val="0"/>
      <w:marRight w:val="0"/>
      <w:marTop w:val="0"/>
      <w:marBottom w:val="0"/>
      <w:divBdr>
        <w:top w:val="none" w:sz="0" w:space="0" w:color="auto"/>
        <w:left w:val="none" w:sz="0" w:space="0" w:color="auto"/>
        <w:bottom w:val="none" w:sz="0" w:space="0" w:color="auto"/>
        <w:right w:val="none" w:sz="0" w:space="0" w:color="auto"/>
      </w:divBdr>
    </w:div>
    <w:div w:id="1489176967">
      <w:bodyDiv w:val="1"/>
      <w:marLeft w:val="0"/>
      <w:marRight w:val="0"/>
      <w:marTop w:val="0"/>
      <w:marBottom w:val="0"/>
      <w:divBdr>
        <w:top w:val="none" w:sz="0" w:space="0" w:color="auto"/>
        <w:left w:val="none" w:sz="0" w:space="0" w:color="auto"/>
        <w:bottom w:val="none" w:sz="0" w:space="0" w:color="auto"/>
        <w:right w:val="none" w:sz="0" w:space="0" w:color="auto"/>
      </w:divBdr>
    </w:div>
    <w:div w:id="1490823117">
      <w:bodyDiv w:val="1"/>
      <w:marLeft w:val="0"/>
      <w:marRight w:val="0"/>
      <w:marTop w:val="0"/>
      <w:marBottom w:val="0"/>
      <w:divBdr>
        <w:top w:val="none" w:sz="0" w:space="0" w:color="auto"/>
        <w:left w:val="none" w:sz="0" w:space="0" w:color="auto"/>
        <w:bottom w:val="none" w:sz="0" w:space="0" w:color="auto"/>
        <w:right w:val="none" w:sz="0" w:space="0" w:color="auto"/>
      </w:divBdr>
    </w:div>
    <w:div w:id="1491140934">
      <w:bodyDiv w:val="1"/>
      <w:marLeft w:val="0"/>
      <w:marRight w:val="0"/>
      <w:marTop w:val="0"/>
      <w:marBottom w:val="0"/>
      <w:divBdr>
        <w:top w:val="none" w:sz="0" w:space="0" w:color="auto"/>
        <w:left w:val="none" w:sz="0" w:space="0" w:color="auto"/>
        <w:bottom w:val="none" w:sz="0" w:space="0" w:color="auto"/>
        <w:right w:val="none" w:sz="0" w:space="0" w:color="auto"/>
      </w:divBdr>
    </w:div>
    <w:div w:id="1491675146">
      <w:bodyDiv w:val="1"/>
      <w:marLeft w:val="0"/>
      <w:marRight w:val="0"/>
      <w:marTop w:val="0"/>
      <w:marBottom w:val="0"/>
      <w:divBdr>
        <w:top w:val="none" w:sz="0" w:space="0" w:color="auto"/>
        <w:left w:val="none" w:sz="0" w:space="0" w:color="auto"/>
        <w:bottom w:val="none" w:sz="0" w:space="0" w:color="auto"/>
        <w:right w:val="none" w:sz="0" w:space="0" w:color="auto"/>
      </w:divBdr>
    </w:div>
    <w:div w:id="1493644502">
      <w:bodyDiv w:val="1"/>
      <w:marLeft w:val="0"/>
      <w:marRight w:val="0"/>
      <w:marTop w:val="0"/>
      <w:marBottom w:val="0"/>
      <w:divBdr>
        <w:top w:val="none" w:sz="0" w:space="0" w:color="auto"/>
        <w:left w:val="none" w:sz="0" w:space="0" w:color="auto"/>
        <w:bottom w:val="none" w:sz="0" w:space="0" w:color="auto"/>
        <w:right w:val="none" w:sz="0" w:space="0" w:color="auto"/>
      </w:divBdr>
    </w:div>
    <w:div w:id="1493837986">
      <w:bodyDiv w:val="1"/>
      <w:marLeft w:val="0"/>
      <w:marRight w:val="0"/>
      <w:marTop w:val="0"/>
      <w:marBottom w:val="0"/>
      <w:divBdr>
        <w:top w:val="none" w:sz="0" w:space="0" w:color="auto"/>
        <w:left w:val="none" w:sz="0" w:space="0" w:color="auto"/>
        <w:bottom w:val="none" w:sz="0" w:space="0" w:color="auto"/>
        <w:right w:val="none" w:sz="0" w:space="0" w:color="auto"/>
      </w:divBdr>
    </w:div>
    <w:div w:id="1493990311">
      <w:bodyDiv w:val="1"/>
      <w:marLeft w:val="0"/>
      <w:marRight w:val="0"/>
      <w:marTop w:val="0"/>
      <w:marBottom w:val="0"/>
      <w:divBdr>
        <w:top w:val="none" w:sz="0" w:space="0" w:color="auto"/>
        <w:left w:val="none" w:sz="0" w:space="0" w:color="auto"/>
        <w:bottom w:val="none" w:sz="0" w:space="0" w:color="auto"/>
        <w:right w:val="none" w:sz="0" w:space="0" w:color="auto"/>
      </w:divBdr>
    </w:div>
    <w:div w:id="1494253016">
      <w:bodyDiv w:val="1"/>
      <w:marLeft w:val="0"/>
      <w:marRight w:val="0"/>
      <w:marTop w:val="0"/>
      <w:marBottom w:val="0"/>
      <w:divBdr>
        <w:top w:val="none" w:sz="0" w:space="0" w:color="auto"/>
        <w:left w:val="none" w:sz="0" w:space="0" w:color="auto"/>
        <w:bottom w:val="none" w:sz="0" w:space="0" w:color="auto"/>
        <w:right w:val="none" w:sz="0" w:space="0" w:color="auto"/>
      </w:divBdr>
    </w:div>
    <w:div w:id="1494371097">
      <w:bodyDiv w:val="1"/>
      <w:marLeft w:val="0"/>
      <w:marRight w:val="0"/>
      <w:marTop w:val="0"/>
      <w:marBottom w:val="0"/>
      <w:divBdr>
        <w:top w:val="none" w:sz="0" w:space="0" w:color="auto"/>
        <w:left w:val="none" w:sz="0" w:space="0" w:color="auto"/>
        <w:bottom w:val="none" w:sz="0" w:space="0" w:color="auto"/>
        <w:right w:val="none" w:sz="0" w:space="0" w:color="auto"/>
      </w:divBdr>
    </w:div>
    <w:div w:id="1494446302">
      <w:bodyDiv w:val="1"/>
      <w:marLeft w:val="0"/>
      <w:marRight w:val="0"/>
      <w:marTop w:val="0"/>
      <w:marBottom w:val="0"/>
      <w:divBdr>
        <w:top w:val="none" w:sz="0" w:space="0" w:color="auto"/>
        <w:left w:val="none" w:sz="0" w:space="0" w:color="auto"/>
        <w:bottom w:val="none" w:sz="0" w:space="0" w:color="auto"/>
        <w:right w:val="none" w:sz="0" w:space="0" w:color="auto"/>
      </w:divBdr>
    </w:div>
    <w:div w:id="1495682231">
      <w:bodyDiv w:val="1"/>
      <w:marLeft w:val="0"/>
      <w:marRight w:val="0"/>
      <w:marTop w:val="0"/>
      <w:marBottom w:val="0"/>
      <w:divBdr>
        <w:top w:val="none" w:sz="0" w:space="0" w:color="auto"/>
        <w:left w:val="none" w:sz="0" w:space="0" w:color="auto"/>
        <w:bottom w:val="none" w:sz="0" w:space="0" w:color="auto"/>
        <w:right w:val="none" w:sz="0" w:space="0" w:color="auto"/>
      </w:divBdr>
    </w:div>
    <w:div w:id="1496454978">
      <w:bodyDiv w:val="1"/>
      <w:marLeft w:val="0"/>
      <w:marRight w:val="0"/>
      <w:marTop w:val="0"/>
      <w:marBottom w:val="0"/>
      <w:divBdr>
        <w:top w:val="none" w:sz="0" w:space="0" w:color="auto"/>
        <w:left w:val="none" w:sz="0" w:space="0" w:color="auto"/>
        <w:bottom w:val="none" w:sz="0" w:space="0" w:color="auto"/>
        <w:right w:val="none" w:sz="0" w:space="0" w:color="auto"/>
      </w:divBdr>
    </w:div>
    <w:div w:id="1496603513">
      <w:bodyDiv w:val="1"/>
      <w:marLeft w:val="0"/>
      <w:marRight w:val="0"/>
      <w:marTop w:val="0"/>
      <w:marBottom w:val="0"/>
      <w:divBdr>
        <w:top w:val="none" w:sz="0" w:space="0" w:color="auto"/>
        <w:left w:val="none" w:sz="0" w:space="0" w:color="auto"/>
        <w:bottom w:val="none" w:sz="0" w:space="0" w:color="auto"/>
        <w:right w:val="none" w:sz="0" w:space="0" w:color="auto"/>
      </w:divBdr>
    </w:div>
    <w:div w:id="1496873917">
      <w:bodyDiv w:val="1"/>
      <w:marLeft w:val="0"/>
      <w:marRight w:val="0"/>
      <w:marTop w:val="0"/>
      <w:marBottom w:val="0"/>
      <w:divBdr>
        <w:top w:val="none" w:sz="0" w:space="0" w:color="auto"/>
        <w:left w:val="none" w:sz="0" w:space="0" w:color="auto"/>
        <w:bottom w:val="none" w:sz="0" w:space="0" w:color="auto"/>
        <w:right w:val="none" w:sz="0" w:space="0" w:color="auto"/>
      </w:divBdr>
    </w:div>
    <w:div w:id="1496913469">
      <w:bodyDiv w:val="1"/>
      <w:marLeft w:val="0"/>
      <w:marRight w:val="0"/>
      <w:marTop w:val="0"/>
      <w:marBottom w:val="0"/>
      <w:divBdr>
        <w:top w:val="none" w:sz="0" w:space="0" w:color="auto"/>
        <w:left w:val="none" w:sz="0" w:space="0" w:color="auto"/>
        <w:bottom w:val="none" w:sz="0" w:space="0" w:color="auto"/>
        <w:right w:val="none" w:sz="0" w:space="0" w:color="auto"/>
      </w:divBdr>
    </w:div>
    <w:div w:id="1497114932">
      <w:bodyDiv w:val="1"/>
      <w:marLeft w:val="0"/>
      <w:marRight w:val="0"/>
      <w:marTop w:val="0"/>
      <w:marBottom w:val="0"/>
      <w:divBdr>
        <w:top w:val="none" w:sz="0" w:space="0" w:color="auto"/>
        <w:left w:val="none" w:sz="0" w:space="0" w:color="auto"/>
        <w:bottom w:val="none" w:sz="0" w:space="0" w:color="auto"/>
        <w:right w:val="none" w:sz="0" w:space="0" w:color="auto"/>
      </w:divBdr>
    </w:div>
    <w:div w:id="1497647507">
      <w:bodyDiv w:val="1"/>
      <w:marLeft w:val="0"/>
      <w:marRight w:val="0"/>
      <w:marTop w:val="0"/>
      <w:marBottom w:val="0"/>
      <w:divBdr>
        <w:top w:val="none" w:sz="0" w:space="0" w:color="auto"/>
        <w:left w:val="none" w:sz="0" w:space="0" w:color="auto"/>
        <w:bottom w:val="none" w:sz="0" w:space="0" w:color="auto"/>
        <w:right w:val="none" w:sz="0" w:space="0" w:color="auto"/>
      </w:divBdr>
    </w:div>
    <w:div w:id="1498032682">
      <w:bodyDiv w:val="1"/>
      <w:marLeft w:val="0"/>
      <w:marRight w:val="0"/>
      <w:marTop w:val="0"/>
      <w:marBottom w:val="0"/>
      <w:divBdr>
        <w:top w:val="none" w:sz="0" w:space="0" w:color="auto"/>
        <w:left w:val="none" w:sz="0" w:space="0" w:color="auto"/>
        <w:bottom w:val="none" w:sz="0" w:space="0" w:color="auto"/>
        <w:right w:val="none" w:sz="0" w:space="0" w:color="auto"/>
      </w:divBdr>
    </w:div>
    <w:div w:id="1498037017">
      <w:bodyDiv w:val="1"/>
      <w:marLeft w:val="0"/>
      <w:marRight w:val="0"/>
      <w:marTop w:val="0"/>
      <w:marBottom w:val="0"/>
      <w:divBdr>
        <w:top w:val="none" w:sz="0" w:space="0" w:color="auto"/>
        <w:left w:val="none" w:sz="0" w:space="0" w:color="auto"/>
        <w:bottom w:val="none" w:sz="0" w:space="0" w:color="auto"/>
        <w:right w:val="none" w:sz="0" w:space="0" w:color="auto"/>
      </w:divBdr>
    </w:div>
    <w:div w:id="1498493771">
      <w:bodyDiv w:val="1"/>
      <w:marLeft w:val="0"/>
      <w:marRight w:val="0"/>
      <w:marTop w:val="0"/>
      <w:marBottom w:val="0"/>
      <w:divBdr>
        <w:top w:val="none" w:sz="0" w:space="0" w:color="auto"/>
        <w:left w:val="none" w:sz="0" w:space="0" w:color="auto"/>
        <w:bottom w:val="none" w:sz="0" w:space="0" w:color="auto"/>
        <w:right w:val="none" w:sz="0" w:space="0" w:color="auto"/>
      </w:divBdr>
    </w:div>
    <w:div w:id="1498761635">
      <w:bodyDiv w:val="1"/>
      <w:marLeft w:val="0"/>
      <w:marRight w:val="0"/>
      <w:marTop w:val="0"/>
      <w:marBottom w:val="0"/>
      <w:divBdr>
        <w:top w:val="none" w:sz="0" w:space="0" w:color="auto"/>
        <w:left w:val="none" w:sz="0" w:space="0" w:color="auto"/>
        <w:bottom w:val="none" w:sz="0" w:space="0" w:color="auto"/>
        <w:right w:val="none" w:sz="0" w:space="0" w:color="auto"/>
      </w:divBdr>
    </w:div>
    <w:div w:id="1501457627">
      <w:bodyDiv w:val="1"/>
      <w:marLeft w:val="0"/>
      <w:marRight w:val="0"/>
      <w:marTop w:val="0"/>
      <w:marBottom w:val="0"/>
      <w:divBdr>
        <w:top w:val="none" w:sz="0" w:space="0" w:color="auto"/>
        <w:left w:val="none" w:sz="0" w:space="0" w:color="auto"/>
        <w:bottom w:val="none" w:sz="0" w:space="0" w:color="auto"/>
        <w:right w:val="none" w:sz="0" w:space="0" w:color="auto"/>
      </w:divBdr>
    </w:div>
    <w:div w:id="1501963604">
      <w:bodyDiv w:val="1"/>
      <w:marLeft w:val="0"/>
      <w:marRight w:val="0"/>
      <w:marTop w:val="0"/>
      <w:marBottom w:val="0"/>
      <w:divBdr>
        <w:top w:val="none" w:sz="0" w:space="0" w:color="auto"/>
        <w:left w:val="none" w:sz="0" w:space="0" w:color="auto"/>
        <w:bottom w:val="none" w:sz="0" w:space="0" w:color="auto"/>
        <w:right w:val="none" w:sz="0" w:space="0" w:color="auto"/>
      </w:divBdr>
    </w:div>
    <w:div w:id="1501969109">
      <w:bodyDiv w:val="1"/>
      <w:marLeft w:val="0"/>
      <w:marRight w:val="0"/>
      <w:marTop w:val="0"/>
      <w:marBottom w:val="0"/>
      <w:divBdr>
        <w:top w:val="none" w:sz="0" w:space="0" w:color="auto"/>
        <w:left w:val="none" w:sz="0" w:space="0" w:color="auto"/>
        <w:bottom w:val="none" w:sz="0" w:space="0" w:color="auto"/>
        <w:right w:val="none" w:sz="0" w:space="0" w:color="auto"/>
      </w:divBdr>
    </w:div>
    <w:div w:id="1502309722">
      <w:bodyDiv w:val="1"/>
      <w:marLeft w:val="0"/>
      <w:marRight w:val="0"/>
      <w:marTop w:val="0"/>
      <w:marBottom w:val="0"/>
      <w:divBdr>
        <w:top w:val="none" w:sz="0" w:space="0" w:color="auto"/>
        <w:left w:val="none" w:sz="0" w:space="0" w:color="auto"/>
        <w:bottom w:val="none" w:sz="0" w:space="0" w:color="auto"/>
        <w:right w:val="none" w:sz="0" w:space="0" w:color="auto"/>
      </w:divBdr>
      <w:divsChild>
        <w:div w:id="339967882">
          <w:marLeft w:val="0"/>
          <w:marRight w:val="0"/>
          <w:marTop w:val="0"/>
          <w:marBottom w:val="0"/>
          <w:divBdr>
            <w:top w:val="none" w:sz="0" w:space="0" w:color="auto"/>
            <w:left w:val="none" w:sz="0" w:space="0" w:color="auto"/>
            <w:bottom w:val="none" w:sz="0" w:space="0" w:color="auto"/>
            <w:right w:val="none" w:sz="0" w:space="0" w:color="auto"/>
          </w:divBdr>
        </w:div>
        <w:div w:id="115415416">
          <w:marLeft w:val="0"/>
          <w:marRight w:val="0"/>
          <w:marTop w:val="0"/>
          <w:marBottom w:val="0"/>
          <w:divBdr>
            <w:top w:val="none" w:sz="0" w:space="0" w:color="auto"/>
            <w:left w:val="none" w:sz="0" w:space="0" w:color="auto"/>
            <w:bottom w:val="none" w:sz="0" w:space="0" w:color="auto"/>
            <w:right w:val="none" w:sz="0" w:space="0" w:color="auto"/>
          </w:divBdr>
        </w:div>
        <w:div w:id="604070794">
          <w:marLeft w:val="0"/>
          <w:marRight w:val="0"/>
          <w:marTop w:val="0"/>
          <w:marBottom w:val="0"/>
          <w:divBdr>
            <w:top w:val="none" w:sz="0" w:space="0" w:color="auto"/>
            <w:left w:val="none" w:sz="0" w:space="0" w:color="auto"/>
            <w:bottom w:val="none" w:sz="0" w:space="0" w:color="auto"/>
            <w:right w:val="none" w:sz="0" w:space="0" w:color="auto"/>
          </w:divBdr>
        </w:div>
        <w:div w:id="1011949830">
          <w:marLeft w:val="0"/>
          <w:marRight w:val="0"/>
          <w:marTop w:val="0"/>
          <w:marBottom w:val="0"/>
          <w:divBdr>
            <w:top w:val="none" w:sz="0" w:space="0" w:color="auto"/>
            <w:left w:val="none" w:sz="0" w:space="0" w:color="auto"/>
            <w:bottom w:val="none" w:sz="0" w:space="0" w:color="auto"/>
            <w:right w:val="none" w:sz="0" w:space="0" w:color="auto"/>
          </w:divBdr>
        </w:div>
        <w:div w:id="2091265355">
          <w:marLeft w:val="0"/>
          <w:marRight w:val="0"/>
          <w:marTop w:val="0"/>
          <w:marBottom w:val="0"/>
          <w:divBdr>
            <w:top w:val="none" w:sz="0" w:space="0" w:color="auto"/>
            <w:left w:val="none" w:sz="0" w:space="0" w:color="auto"/>
            <w:bottom w:val="none" w:sz="0" w:space="0" w:color="auto"/>
            <w:right w:val="none" w:sz="0" w:space="0" w:color="auto"/>
          </w:divBdr>
        </w:div>
        <w:div w:id="1025980308">
          <w:marLeft w:val="0"/>
          <w:marRight w:val="0"/>
          <w:marTop w:val="0"/>
          <w:marBottom w:val="0"/>
          <w:divBdr>
            <w:top w:val="none" w:sz="0" w:space="0" w:color="auto"/>
            <w:left w:val="none" w:sz="0" w:space="0" w:color="auto"/>
            <w:bottom w:val="none" w:sz="0" w:space="0" w:color="auto"/>
            <w:right w:val="none" w:sz="0" w:space="0" w:color="auto"/>
          </w:divBdr>
        </w:div>
        <w:div w:id="1128821133">
          <w:marLeft w:val="0"/>
          <w:marRight w:val="0"/>
          <w:marTop w:val="0"/>
          <w:marBottom w:val="0"/>
          <w:divBdr>
            <w:top w:val="none" w:sz="0" w:space="0" w:color="auto"/>
            <w:left w:val="none" w:sz="0" w:space="0" w:color="auto"/>
            <w:bottom w:val="none" w:sz="0" w:space="0" w:color="auto"/>
            <w:right w:val="none" w:sz="0" w:space="0" w:color="auto"/>
          </w:divBdr>
        </w:div>
      </w:divsChild>
    </w:div>
    <w:div w:id="1503086045">
      <w:bodyDiv w:val="1"/>
      <w:marLeft w:val="0"/>
      <w:marRight w:val="0"/>
      <w:marTop w:val="0"/>
      <w:marBottom w:val="0"/>
      <w:divBdr>
        <w:top w:val="none" w:sz="0" w:space="0" w:color="auto"/>
        <w:left w:val="none" w:sz="0" w:space="0" w:color="auto"/>
        <w:bottom w:val="none" w:sz="0" w:space="0" w:color="auto"/>
        <w:right w:val="none" w:sz="0" w:space="0" w:color="auto"/>
      </w:divBdr>
    </w:div>
    <w:div w:id="1503199356">
      <w:bodyDiv w:val="1"/>
      <w:marLeft w:val="0"/>
      <w:marRight w:val="0"/>
      <w:marTop w:val="0"/>
      <w:marBottom w:val="0"/>
      <w:divBdr>
        <w:top w:val="none" w:sz="0" w:space="0" w:color="auto"/>
        <w:left w:val="none" w:sz="0" w:space="0" w:color="auto"/>
        <w:bottom w:val="none" w:sz="0" w:space="0" w:color="auto"/>
        <w:right w:val="none" w:sz="0" w:space="0" w:color="auto"/>
      </w:divBdr>
    </w:div>
    <w:div w:id="1503203585">
      <w:bodyDiv w:val="1"/>
      <w:marLeft w:val="0"/>
      <w:marRight w:val="0"/>
      <w:marTop w:val="0"/>
      <w:marBottom w:val="0"/>
      <w:divBdr>
        <w:top w:val="none" w:sz="0" w:space="0" w:color="auto"/>
        <w:left w:val="none" w:sz="0" w:space="0" w:color="auto"/>
        <w:bottom w:val="none" w:sz="0" w:space="0" w:color="auto"/>
        <w:right w:val="none" w:sz="0" w:space="0" w:color="auto"/>
      </w:divBdr>
    </w:div>
    <w:div w:id="1503743316">
      <w:bodyDiv w:val="1"/>
      <w:marLeft w:val="0"/>
      <w:marRight w:val="0"/>
      <w:marTop w:val="0"/>
      <w:marBottom w:val="0"/>
      <w:divBdr>
        <w:top w:val="none" w:sz="0" w:space="0" w:color="auto"/>
        <w:left w:val="none" w:sz="0" w:space="0" w:color="auto"/>
        <w:bottom w:val="none" w:sz="0" w:space="0" w:color="auto"/>
        <w:right w:val="none" w:sz="0" w:space="0" w:color="auto"/>
      </w:divBdr>
    </w:div>
    <w:div w:id="1503930747">
      <w:bodyDiv w:val="1"/>
      <w:marLeft w:val="0"/>
      <w:marRight w:val="0"/>
      <w:marTop w:val="0"/>
      <w:marBottom w:val="0"/>
      <w:divBdr>
        <w:top w:val="none" w:sz="0" w:space="0" w:color="auto"/>
        <w:left w:val="none" w:sz="0" w:space="0" w:color="auto"/>
        <w:bottom w:val="none" w:sz="0" w:space="0" w:color="auto"/>
        <w:right w:val="none" w:sz="0" w:space="0" w:color="auto"/>
      </w:divBdr>
    </w:div>
    <w:div w:id="1504392804">
      <w:bodyDiv w:val="1"/>
      <w:marLeft w:val="0"/>
      <w:marRight w:val="0"/>
      <w:marTop w:val="0"/>
      <w:marBottom w:val="0"/>
      <w:divBdr>
        <w:top w:val="none" w:sz="0" w:space="0" w:color="auto"/>
        <w:left w:val="none" w:sz="0" w:space="0" w:color="auto"/>
        <w:bottom w:val="none" w:sz="0" w:space="0" w:color="auto"/>
        <w:right w:val="none" w:sz="0" w:space="0" w:color="auto"/>
      </w:divBdr>
      <w:divsChild>
        <w:div w:id="2080663047">
          <w:marLeft w:val="0"/>
          <w:marRight w:val="0"/>
          <w:marTop w:val="0"/>
          <w:marBottom w:val="0"/>
          <w:divBdr>
            <w:top w:val="none" w:sz="0" w:space="0" w:color="auto"/>
            <w:left w:val="none" w:sz="0" w:space="0" w:color="auto"/>
            <w:bottom w:val="none" w:sz="0" w:space="0" w:color="auto"/>
            <w:right w:val="none" w:sz="0" w:space="0" w:color="auto"/>
          </w:divBdr>
        </w:div>
        <w:div w:id="1325548387">
          <w:marLeft w:val="0"/>
          <w:marRight w:val="0"/>
          <w:marTop w:val="0"/>
          <w:marBottom w:val="0"/>
          <w:divBdr>
            <w:top w:val="none" w:sz="0" w:space="0" w:color="auto"/>
            <w:left w:val="none" w:sz="0" w:space="0" w:color="auto"/>
            <w:bottom w:val="none" w:sz="0" w:space="0" w:color="auto"/>
            <w:right w:val="none" w:sz="0" w:space="0" w:color="auto"/>
          </w:divBdr>
        </w:div>
      </w:divsChild>
    </w:div>
    <w:div w:id="1504734554">
      <w:bodyDiv w:val="1"/>
      <w:marLeft w:val="0"/>
      <w:marRight w:val="0"/>
      <w:marTop w:val="0"/>
      <w:marBottom w:val="0"/>
      <w:divBdr>
        <w:top w:val="none" w:sz="0" w:space="0" w:color="auto"/>
        <w:left w:val="none" w:sz="0" w:space="0" w:color="auto"/>
        <w:bottom w:val="none" w:sz="0" w:space="0" w:color="auto"/>
        <w:right w:val="none" w:sz="0" w:space="0" w:color="auto"/>
      </w:divBdr>
    </w:div>
    <w:div w:id="1504780021">
      <w:bodyDiv w:val="1"/>
      <w:marLeft w:val="0"/>
      <w:marRight w:val="0"/>
      <w:marTop w:val="0"/>
      <w:marBottom w:val="0"/>
      <w:divBdr>
        <w:top w:val="none" w:sz="0" w:space="0" w:color="auto"/>
        <w:left w:val="none" w:sz="0" w:space="0" w:color="auto"/>
        <w:bottom w:val="none" w:sz="0" w:space="0" w:color="auto"/>
        <w:right w:val="none" w:sz="0" w:space="0" w:color="auto"/>
      </w:divBdr>
    </w:div>
    <w:div w:id="1504858526">
      <w:bodyDiv w:val="1"/>
      <w:marLeft w:val="0"/>
      <w:marRight w:val="0"/>
      <w:marTop w:val="0"/>
      <w:marBottom w:val="0"/>
      <w:divBdr>
        <w:top w:val="none" w:sz="0" w:space="0" w:color="auto"/>
        <w:left w:val="none" w:sz="0" w:space="0" w:color="auto"/>
        <w:bottom w:val="none" w:sz="0" w:space="0" w:color="auto"/>
        <w:right w:val="none" w:sz="0" w:space="0" w:color="auto"/>
      </w:divBdr>
    </w:div>
    <w:div w:id="1505315241">
      <w:bodyDiv w:val="1"/>
      <w:marLeft w:val="0"/>
      <w:marRight w:val="0"/>
      <w:marTop w:val="0"/>
      <w:marBottom w:val="0"/>
      <w:divBdr>
        <w:top w:val="none" w:sz="0" w:space="0" w:color="auto"/>
        <w:left w:val="none" w:sz="0" w:space="0" w:color="auto"/>
        <w:bottom w:val="none" w:sz="0" w:space="0" w:color="auto"/>
        <w:right w:val="none" w:sz="0" w:space="0" w:color="auto"/>
      </w:divBdr>
    </w:div>
    <w:div w:id="1505363015">
      <w:bodyDiv w:val="1"/>
      <w:marLeft w:val="0"/>
      <w:marRight w:val="0"/>
      <w:marTop w:val="0"/>
      <w:marBottom w:val="0"/>
      <w:divBdr>
        <w:top w:val="none" w:sz="0" w:space="0" w:color="auto"/>
        <w:left w:val="none" w:sz="0" w:space="0" w:color="auto"/>
        <w:bottom w:val="none" w:sz="0" w:space="0" w:color="auto"/>
        <w:right w:val="none" w:sz="0" w:space="0" w:color="auto"/>
      </w:divBdr>
    </w:div>
    <w:div w:id="1505587099">
      <w:bodyDiv w:val="1"/>
      <w:marLeft w:val="0"/>
      <w:marRight w:val="0"/>
      <w:marTop w:val="0"/>
      <w:marBottom w:val="0"/>
      <w:divBdr>
        <w:top w:val="none" w:sz="0" w:space="0" w:color="auto"/>
        <w:left w:val="none" w:sz="0" w:space="0" w:color="auto"/>
        <w:bottom w:val="none" w:sz="0" w:space="0" w:color="auto"/>
        <w:right w:val="none" w:sz="0" w:space="0" w:color="auto"/>
      </w:divBdr>
    </w:div>
    <w:div w:id="1507137853">
      <w:bodyDiv w:val="1"/>
      <w:marLeft w:val="0"/>
      <w:marRight w:val="0"/>
      <w:marTop w:val="0"/>
      <w:marBottom w:val="0"/>
      <w:divBdr>
        <w:top w:val="none" w:sz="0" w:space="0" w:color="auto"/>
        <w:left w:val="none" w:sz="0" w:space="0" w:color="auto"/>
        <w:bottom w:val="none" w:sz="0" w:space="0" w:color="auto"/>
        <w:right w:val="none" w:sz="0" w:space="0" w:color="auto"/>
      </w:divBdr>
    </w:div>
    <w:div w:id="1508212370">
      <w:bodyDiv w:val="1"/>
      <w:marLeft w:val="0"/>
      <w:marRight w:val="0"/>
      <w:marTop w:val="0"/>
      <w:marBottom w:val="0"/>
      <w:divBdr>
        <w:top w:val="none" w:sz="0" w:space="0" w:color="auto"/>
        <w:left w:val="none" w:sz="0" w:space="0" w:color="auto"/>
        <w:bottom w:val="none" w:sz="0" w:space="0" w:color="auto"/>
        <w:right w:val="none" w:sz="0" w:space="0" w:color="auto"/>
      </w:divBdr>
    </w:div>
    <w:div w:id="1509560193">
      <w:bodyDiv w:val="1"/>
      <w:marLeft w:val="0"/>
      <w:marRight w:val="0"/>
      <w:marTop w:val="0"/>
      <w:marBottom w:val="0"/>
      <w:divBdr>
        <w:top w:val="none" w:sz="0" w:space="0" w:color="auto"/>
        <w:left w:val="none" w:sz="0" w:space="0" w:color="auto"/>
        <w:bottom w:val="none" w:sz="0" w:space="0" w:color="auto"/>
        <w:right w:val="none" w:sz="0" w:space="0" w:color="auto"/>
      </w:divBdr>
    </w:div>
    <w:div w:id="1509632797">
      <w:bodyDiv w:val="1"/>
      <w:marLeft w:val="0"/>
      <w:marRight w:val="0"/>
      <w:marTop w:val="0"/>
      <w:marBottom w:val="0"/>
      <w:divBdr>
        <w:top w:val="none" w:sz="0" w:space="0" w:color="auto"/>
        <w:left w:val="none" w:sz="0" w:space="0" w:color="auto"/>
        <w:bottom w:val="none" w:sz="0" w:space="0" w:color="auto"/>
        <w:right w:val="none" w:sz="0" w:space="0" w:color="auto"/>
      </w:divBdr>
    </w:div>
    <w:div w:id="1510146060">
      <w:bodyDiv w:val="1"/>
      <w:marLeft w:val="0"/>
      <w:marRight w:val="0"/>
      <w:marTop w:val="0"/>
      <w:marBottom w:val="0"/>
      <w:divBdr>
        <w:top w:val="none" w:sz="0" w:space="0" w:color="auto"/>
        <w:left w:val="none" w:sz="0" w:space="0" w:color="auto"/>
        <w:bottom w:val="none" w:sz="0" w:space="0" w:color="auto"/>
        <w:right w:val="none" w:sz="0" w:space="0" w:color="auto"/>
      </w:divBdr>
    </w:div>
    <w:div w:id="1510363425">
      <w:bodyDiv w:val="1"/>
      <w:marLeft w:val="0"/>
      <w:marRight w:val="0"/>
      <w:marTop w:val="0"/>
      <w:marBottom w:val="0"/>
      <w:divBdr>
        <w:top w:val="none" w:sz="0" w:space="0" w:color="auto"/>
        <w:left w:val="none" w:sz="0" w:space="0" w:color="auto"/>
        <w:bottom w:val="none" w:sz="0" w:space="0" w:color="auto"/>
        <w:right w:val="none" w:sz="0" w:space="0" w:color="auto"/>
      </w:divBdr>
      <w:divsChild>
        <w:div w:id="1882478022">
          <w:marLeft w:val="0"/>
          <w:marRight w:val="0"/>
          <w:marTop w:val="0"/>
          <w:marBottom w:val="0"/>
          <w:divBdr>
            <w:top w:val="none" w:sz="0" w:space="0" w:color="auto"/>
            <w:left w:val="none" w:sz="0" w:space="0" w:color="auto"/>
            <w:bottom w:val="none" w:sz="0" w:space="0" w:color="auto"/>
            <w:right w:val="none" w:sz="0" w:space="0" w:color="auto"/>
          </w:divBdr>
        </w:div>
        <w:div w:id="500123939">
          <w:marLeft w:val="0"/>
          <w:marRight w:val="0"/>
          <w:marTop w:val="0"/>
          <w:marBottom w:val="0"/>
          <w:divBdr>
            <w:top w:val="none" w:sz="0" w:space="0" w:color="auto"/>
            <w:left w:val="none" w:sz="0" w:space="0" w:color="auto"/>
            <w:bottom w:val="none" w:sz="0" w:space="0" w:color="auto"/>
            <w:right w:val="none" w:sz="0" w:space="0" w:color="auto"/>
          </w:divBdr>
        </w:div>
        <w:div w:id="1860192096">
          <w:marLeft w:val="0"/>
          <w:marRight w:val="0"/>
          <w:marTop w:val="0"/>
          <w:marBottom w:val="0"/>
          <w:divBdr>
            <w:top w:val="none" w:sz="0" w:space="0" w:color="auto"/>
            <w:left w:val="none" w:sz="0" w:space="0" w:color="auto"/>
            <w:bottom w:val="none" w:sz="0" w:space="0" w:color="auto"/>
            <w:right w:val="none" w:sz="0" w:space="0" w:color="auto"/>
          </w:divBdr>
        </w:div>
      </w:divsChild>
    </w:div>
    <w:div w:id="1510557781">
      <w:bodyDiv w:val="1"/>
      <w:marLeft w:val="0"/>
      <w:marRight w:val="0"/>
      <w:marTop w:val="0"/>
      <w:marBottom w:val="0"/>
      <w:divBdr>
        <w:top w:val="none" w:sz="0" w:space="0" w:color="auto"/>
        <w:left w:val="none" w:sz="0" w:space="0" w:color="auto"/>
        <w:bottom w:val="none" w:sz="0" w:space="0" w:color="auto"/>
        <w:right w:val="none" w:sz="0" w:space="0" w:color="auto"/>
      </w:divBdr>
    </w:div>
    <w:div w:id="1511143803">
      <w:bodyDiv w:val="1"/>
      <w:marLeft w:val="0"/>
      <w:marRight w:val="0"/>
      <w:marTop w:val="0"/>
      <w:marBottom w:val="0"/>
      <w:divBdr>
        <w:top w:val="none" w:sz="0" w:space="0" w:color="auto"/>
        <w:left w:val="none" w:sz="0" w:space="0" w:color="auto"/>
        <w:bottom w:val="none" w:sz="0" w:space="0" w:color="auto"/>
        <w:right w:val="none" w:sz="0" w:space="0" w:color="auto"/>
      </w:divBdr>
    </w:div>
    <w:div w:id="1511528013">
      <w:bodyDiv w:val="1"/>
      <w:marLeft w:val="0"/>
      <w:marRight w:val="0"/>
      <w:marTop w:val="0"/>
      <w:marBottom w:val="0"/>
      <w:divBdr>
        <w:top w:val="none" w:sz="0" w:space="0" w:color="auto"/>
        <w:left w:val="none" w:sz="0" w:space="0" w:color="auto"/>
        <w:bottom w:val="none" w:sz="0" w:space="0" w:color="auto"/>
        <w:right w:val="none" w:sz="0" w:space="0" w:color="auto"/>
      </w:divBdr>
    </w:div>
    <w:div w:id="1511725316">
      <w:bodyDiv w:val="1"/>
      <w:marLeft w:val="0"/>
      <w:marRight w:val="0"/>
      <w:marTop w:val="0"/>
      <w:marBottom w:val="0"/>
      <w:divBdr>
        <w:top w:val="none" w:sz="0" w:space="0" w:color="auto"/>
        <w:left w:val="none" w:sz="0" w:space="0" w:color="auto"/>
        <w:bottom w:val="none" w:sz="0" w:space="0" w:color="auto"/>
        <w:right w:val="none" w:sz="0" w:space="0" w:color="auto"/>
      </w:divBdr>
    </w:div>
    <w:div w:id="1512183077">
      <w:bodyDiv w:val="1"/>
      <w:marLeft w:val="0"/>
      <w:marRight w:val="0"/>
      <w:marTop w:val="0"/>
      <w:marBottom w:val="0"/>
      <w:divBdr>
        <w:top w:val="none" w:sz="0" w:space="0" w:color="auto"/>
        <w:left w:val="none" w:sz="0" w:space="0" w:color="auto"/>
        <w:bottom w:val="none" w:sz="0" w:space="0" w:color="auto"/>
        <w:right w:val="none" w:sz="0" w:space="0" w:color="auto"/>
      </w:divBdr>
    </w:div>
    <w:div w:id="1513031420">
      <w:bodyDiv w:val="1"/>
      <w:marLeft w:val="0"/>
      <w:marRight w:val="0"/>
      <w:marTop w:val="0"/>
      <w:marBottom w:val="0"/>
      <w:divBdr>
        <w:top w:val="none" w:sz="0" w:space="0" w:color="auto"/>
        <w:left w:val="none" w:sz="0" w:space="0" w:color="auto"/>
        <w:bottom w:val="none" w:sz="0" w:space="0" w:color="auto"/>
        <w:right w:val="none" w:sz="0" w:space="0" w:color="auto"/>
      </w:divBdr>
    </w:div>
    <w:div w:id="1514147246">
      <w:bodyDiv w:val="1"/>
      <w:marLeft w:val="0"/>
      <w:marRight w:val="0"/>
      <w:marTop w:val="0"/>
      <w:marBottom w:val="0"/>
      <w:divBdr>
        <w:top w:val="none" w:sz="0" w:space="0" w:color="auto"/>
        <w:left w:val="none" w:sz="0" w:space="0" w:color="auto"/>
        <w:bottom w:val="none" w:sz="0" w:space="0" w:color="auto"/>
        <w:right w:val="none" w:sz="0" w:space="0" w:color="auto"/>
      </w:divBdr>
    </w:div>
    <w:div w:id="1514803857">
      <w:bodyDiv w:val="1"/>
      <w:marLeft w:val="0"/>
      <w:marRight w:val="0"/>
      <w:marTop w:val="0"/>
      <w:marBottom w:val="0"/>
      <w:divBdr>
        <w:top w:val="none" w:sz="0" w:space="0" w:color="auto"/>
        <w:left w:val="none" w:sz="0" w:space="0" w:color="auto"/>
        <w:bottom w:val="none" w:sz="0" w:space="0" w:color="auto"/>
        <w:right w:val="none" w:sz="0" w:space="0" w:color="auto"/>
      </w:divBdr>
    </w:div>
    <w:div w:id="1515533993">
      <w:bodyDiv w:val="1"/>
      <w:marLeft w:val="0"/>
      <w:marRight w:val="0"/>
      <w:marTop w:val="0"/>
      <w:marBottom w:val="0"/>
      <w:divBdr>
        <w:top w:val="none" w:sz="0" w:space="0" w:color="auto"/>
        <w:left w:val="none" w:sz="0" w:space="0" w:color="auto"/>
        <w:bottom w:val="none" w:sz="0" w:space="0" w:color="auto"/>
        <w:right w:val="none" w:sz="0" w:space="0" w:color="auto"/>
      </w:divBdr>
    </w:div>
    <w:div w:id="1515608138">
      <w:bodyDiv w:val="1"/>
      <w:marLeft w:val="0"/>
      <w:marRight w:val="0"/>
      <w:marTop w:val="0"/>
      <w:marBottom w:val="0"/>
      <w:divBdr>
        <w:top w:val="none" w:sz="0" w:space="0" w:color="auto"/>
        <w:left w:val="none" w:sz="0" w:space="0" w:color="auto"/>
        <w:bottom w:val="none" w:sz="0" w:space="0" w:color="auto"/>
        <w:right w:val="none" w:sz="0" w:space="0" w:color="auto"/>
      </w:divBdr>
    </w:div>
    <w:div w:id="1515651945">
      <w:bodyDiv w:val="1"/>
      <w:marLeft w:val="0"/>
      <w:marRight w:val="0"/>
      <w:marTop w:val="0"/>
      <w:marBottom w:val="0"/>
      <w:divBdr>
        <w:top w:val="none" w:sz="0" w:space="0" w:color="auto"/>
        <w:left w:val="none" w:sz="0" w:space="0" w:color="auto"/>
        <w:bottom w:val="none" w:sz="0" w:space="0" w:color="auto"/>
        <w:right w:val="none" w:sz="0" w:space="0" w:color="auto"/>
      </w:divBdr>
    </w:div>
    <w:div w:id="1515995652">
      <w:bodyDiv w:val="1"/>
      <w:marLeft w:val="0"/>
      <w:marRight w:val="0"/>
      <w:marTop w:val="0"/>
      <w:marBottom w:val="0"/>
      <w:divBdr>
        <w:top w:val="none" w:sz="0" w:space="0" w:color="auto"/>
        <w:left w:val="none" w:sz="0" w:space="0" w:color="auto"/>
        <w:bottom w:val="none" w:sz="0" w:space="0" w:color="auto"/>
        <w:right w:val="none" w:sz="0" w:space="0" w:color="auto"/>
      </w:divBdr>
    </w:div>
    <w:div w:id="1516458385">
      <w:bodyDiv w:val="1"/>
      <w:marLeft w:val="0"/>
      <w:marRight w:val="0"/>
      <w:marTop w:val="0"/>
      <w:marBottom w:val="0"/>
      <w:divBdr>
        <w:top w:val="none" w:sz="0" w:space="0" w:color="auto"/>
        <w:left w:val="none" w:sz="0" w:space="0" w:color="auto"/>
        <w:bottom w:val="none" w:sz="0" w:space="0" w:color="auto"/>
        <w:right w:val="none" w:sz="0" w:space="0" w:color="auto"/>
      </w:divBdr>
    </w:div>
    <w:div w:id="1517236423">
      <w:bodyDiv w:val="1"/>
      <w:marLeft w:val="0"/>
      <w:marRight w:val="0"/>
      <w:marTop w:val="0"/>
      <w:marBottom w:val="0"/>
      <w:divBdr>
        <w:top w:val="none" w:sz="0" w:space="0" w:color="auto"/>
        <w:left w:val="none" w:sz="0" w:space="0" w:color="auto"/>
        <w:bottom w:val="none" w:sz="0" w:space="0" w:color="auto"/>
        <w:right w:val="none" w:sz="0" w:space="0" w:color="auto"/>
      </w:divBdr>
      <w:divsChild>
        <w:div w:id="441191772">
          <w:marLeft w:val="0"/>
          <w:marRight w:val="0"/>
          <w:marTop w:val="0"/>
          <w:marBottom w:val="0"/>
          <w:divBdr>
            <w:top w:val="none" w:sz="0" w:space="0" w:color="auto"/>
            <w:left w:val="none" w:sz="0" w:space="0" w:color="auto"/>
            <w:bottom w:val="none" w:sz="0" w:space="0" w:color="auto"/>
            <w:right w:val="none" w:sz="0" w:space="0" w:color="auto"/>
          </w:divBdr>
        </w:div>
        <w:div w:id="283269411">
          <w:marLeft w:val="0"/>
          <w:marRight w:val="0"/>
          <w:marTop w:val="0"/>
          <w:marBottom w:val="0"/>
          <w:divBdr>
            <w:top w:val="none" w:sz="0" w:space="0" w:color="auto"/>
            <w:left w:val="none" w:sz="0" w:space="0" w:color="auto"/>
            <w:bottom w:val="none" w:sz="0" w:space="0" w:color="auto"/>
            <w:right w:val="none" w:sz="0" w:space="0" w:color="auto"/>
          </w:divBdr>
        </w:div>
        <w:div w:id="801728189">
          <w:marLeft w:val="0"/>
          <w:marRight w:val="0"/>
          <w:marTop w:val="0"/>
          <w:marBottom w:val="0"/>
          <w:divBdr>
            <w:top w:val="none" w:sz="0" w:space="0" w:color="auto"/>
            <w:left w:val="none" w:sz="0" w:space="0" w:color="auto"/>
            <w:bottom w:val="none" w:sz="0" w:space="0" w:color="auto"/>
            <w:right w:val="none" w:sz="0" w:space="0" w:color="auto"/>
          </w:divBdr>
        </w:div>
        <w:div w:id="2058241054">
          <w:marLeft w:val="0"/>
          <w:marRight w:val="0"/>
          <w:marTop w:val="0"/>
          <w:marBottom w:val="0"/>
          <w:divBdr>
            <w:top w:val="none" w:sz="0" w:space="0" w:color="auto"/>
            <w:left w:val="none" w:sz="0" w:space="0" w:color="auto"/>
            <w:bottom w:val="none" w:sz="0" w:space="0" w:color="auto"/>
            <w:right w:val="none" w:sz="0" w:space="0" w:color="auto"/>
          </w:divBdr>
        </w:div>
        <w:div w:id="1290236548">
          <w:marLeft w:val="0"/>
          <w:marRight w:val="0"/>
          <w:marTop w:val="0"/>
          <w:marBottom w:val="0"/>
          <w:divBdr>
            <w:top w:val="none" w:sz="0" w:space="0" w:color="auto"/>
            <w:left w:val="none" w:sz="0" w:space="0" w:color="auto"/>
            <w:bottom w:val="none" w:sz="0" w:space="0" w:color="auto"/>
            <w:right w:val="none" w:sz="0" w:space="0" w:color="auto"/>
          </w:divBdr>
        </w:div>
      </w:divsChild>
    </w:div>
    <w:div w:id="1517690164">
      <w:bodyDiv w:val="1"/>
      <w:marLeft w:val="0"/>
      <w:marRight w:val="0"/>
      <w:marTop w:val="0"/>
      <w:marBottom w:val="0"/>
      <w:divBdr>
        <w:top w:val="none" w:sz="0" w:space="0" w:color="auto"/>
        <w:left w:val="none" w:sz="0" w:space="0" w:color="auto"/>
        <w:bottom w:val="none" w:sz="0" w:space="0" w:color="auto"/>
        <w:right w:val="none" w:sz="0" w:space="0" w:color="auto"/>
      </w:divBdr>
    </w:div>
    <w:div w:id="1518080640">
      <w:bodyDiv w:val="1"/>
      <w:marLeft w:val="0"/>
      <w:marRight w:val="0"/>
      <w:marTop w:val="0"/>
      <w:marBottom w:val="0"/>
      <w:divBdr>
        <w:top w:val="none" w:sz="0" w:space="0" w:color="auto"/>
        <w:left w:val="none" w:sz="0" w:space="0" w:color="auto"/>
        <w:bottom w:val="none" w:sz="0" w:space="0" w:color="auto"/>
        <w:right w:val="none" w:sz="0" w:space="0" w:color="auto"/>
      </w:divBdr>
    </w:div>
    <w:div w:id="1518225936">
      <w:bodyDiv w:val="1"/>
      <w:marLeft w:val="0"/>
      <w:marRight w:val="0"/>
      <w:marTop w:val="0"/>
      <w:marBottom w:val="0"/>
      <w:divBdr>
        <w:top w:val="none" w:sz="0" w:space="0" w:color="auto"/>
        <w:left w:val="none" w:sz="0" w:space="0" w:color="auto"/>
        <w:bottom w:val="none" w:sz="0" w:space="0" w:color="auto"/>
        <w:right w:val="none" w:sz="0" w:space="0" w:color="auto"/>
      </w:divBdr>
    </w:div>
    <w:div w:id="1518932800">
      <w:bodyDiv w:val="1"/>
      <w:marLeft w:val="0"/>
      <w:marRight w:val="0"/>
      <w:marTop w:val="0"/>
      <w:marBottom w:val="0"/>
      <w:divBdr>
        <w:top w:val="none" w:sz="0" w:space="0" w:color="auto"/>
        <w:left w:val="none" w:sz="0" w:space="0" w:color="auto"/>
        <w:bottom w:val="none" w:sz="0" w:space="0" w:color="auto"/>
        <w:right w:val="none" w:sz="0" w:space="0" w:color="auto"/>
      </w:divBdr>
    </w:div>
    <w:div w:id="1519124674">
      <w:bodyDiv w:val="1"/>
      <w:marLeft w:val="0"/>
      <w:marRight w:val="0"/>
      <w:marTop w:val="0"/>
      <w:marBottom w:val="0"/>
      <w:divBdr>
        <w:top w:val="none" w:sz="0" w:space="0" w:color="auto"/>
        <w:left w:val="none" w:sz="0" w:space="0" w:color="auto"/>
        <w:bottom w:val="none" w:sz="0" w:space="0" w:color="auto"/>
        <w:right w:val="none" w:sz="0" w:space="0" w:color="auto"/>
      </w:divBdr>
    </w:div>
    <w:div w:id="1519392001">
      <w:bodyDiv w:val="1"/>
      <w:marLeft w:val="0"/>
      <w:marRight w:val="0"/>
      <w:marTop w:val="0"/>
      <w:marBottom w:val="0"/>
      <w:divBdr>
        <w:top w:val="none" w:sz="0" w:space="0" w:color="auto"/>
        <w:left w:val="none" w:sz="0" w:space="0" w:color="auto"/>
        <w:bottom w:val="none" w:sz="0" w:space="0" w:color="auto"/>
        <w:right w:val="none" w:sz="0" w:space="0" w:color="auto"/>
      </w:divBdr>
    </w:div>
    <w:div w:id="1520698540">
      <w:bodyDiv w:val="1"/>
      <w:marLeft w:val="0"/>
      <w:marRight w:val="0"/>
      <w:marTop w:val="0"/>
      <w:marBottom w:val="0"/>
      <w:divBdr>
        <w:top w:val="none" w:sz="0" w:space="0" w:color="auto"/>
        <w:left w:val="none" w:sz="0" w:space="0" w:color="auto"/>
        <w:bottom w:val="none" w:sz="0" w:space="0" w:color="auto"/>
        <w:right w:val="none" w:sz="0" w:space="0" w:color="auto"/>
      </w:divBdr>
    </w:div>
    <w:div w:id="1521120247">
      <w:bodyDiv w:val="1"/>
      <w:marLeft w:val="0"/>
      <w:marRight w:val="0"/>
      <w:marTop w:val="0"/>
      <w:marBottom w:val="0"/>
      <w:divBdr>
        <w:top w:val="none" w:sz="0" w:space="0" w:color="auto"/>
        <w:left w:val="none" w:sz="0" w:space="0" w:color="auto"/>
        <w:bottom w:val="none" w:sz="0" w:space="0" w:color="auto"/>
        <w:right w:val="none" w:sz="0" w:space="0" w:color="auto"/>
      </w:divBdr>
    </w:div>
    <w:div w:id="1521167643">
      <w:bodyDiv w:val="1"/>
      <w:marLeft w:val="0"/>
      <w:marRight w:val="0"/>
      <w:marTop w:val="0"/>
      <w:marBottom w:val="0"/>
      <w:divBdr>
        <w:top w:val="none" w:sz="0" w:space="0" w:color="auto"/>
        <w:left w:val="none" w:sz="0" w:space="0" w:color="auto"/>
        <w:bottom w:val="none" w:sz="0" w:space="0" w:color="auto"/>
        <w:right w:val="none" w:sz="0" w:space="0" w:color="auto"/>
      </w:divBdr>
    </w:div>
    <w:div w:id="1522428280">
      <w:bodyDiv w:val="1"/>
      <w:marLeft w:val="0"/>
      <w:marRight w:val="0"/>
      <w:marTop w:val="0"/>
      <w:marBottom w:val="0"/>
      <w:divBdr>
        <w:top w:val="none" w:sz="0" w:space="0" w:color="auto"/>
        <w:left w:val="none" w:sz="0" w:space="0" w:color="auto"/>
        <w:bottom w:val="none" w:sz="0" w:space="0" w:color="auto"/>
        <w:right w:val="none" w:sz="0" w:space="0" w:color="auto"/>
      </w:divBdr>
    </w:div>
    <w:div w:id="1522820040">
      <w:bodyDiv w:val="1"/>
      <w:marLeft w:val="0"/>
      <w:marRight w:val="0"/>
      <w:marTop w:val="0"/>
      <w:marBottom w:val="0"/>
      <w:divBdr>
        <w:top w:val="none" w:sz="0" w:space="0" w:color="auto"/>
        <w:left w:val="none" w:sz="0" w:space="0" w:color="auto"/>
        <w:bottom w:val="none" w:sz="0" w:space="0" w:color="auto"/>
        <w:right w:val="none" w:sz="0" w:space="0" w:color="auto"/>
      </w:divBdr>
    </w:div>
    <w:div w:id="1523322464">
      <w:bodyDiv w:val="1"/>
      <w:marLeft w:val="0"/>
      <w:marRight w:val="0"/>
      <w:marTop w:val="0"/>
      <w:marBottom w:val="0"/>
      <w:divBdr>
        <w:top w:val="none" w:sz="0" w:space="0" w:color="auto"/>
        <w:left w:val="none" w:sz="0" w:space="0" w:color="auto"/>
        <w:bottom w:val="none" w:sz="0" w:space="0" w:color="auto"/>
        <w:right w:val="none" w:sz="0" w:space="0" w:color="auto"/>
      </w:divBdr>
    </w:div>
    <w:div w:id="1523664142">
      <w:bodyDiv w:val="1"/>
      <w:marLeft w:val="0"/>
      <w:marRight w:val="0"/>
      <w:marTop w:val="0"/>
      <w:marBottom w:val="0"/>
      <w:divBdr>
        <w:top w:val="none" w:sz="0" w:space="0" w:color="auto"/>
        <w:left w:val="none" w:sz="0" w:space="0" w:color="auto"/>
        <w:bottom w:val="none" w:sz="0" w:space="0" w:color="auto"/>
        <w:right w:val="none" w:sz="0" w:space="0" w:color="auto"/>
      </w:divBdr>
    </w:div>
    <w:div w:id="1524130687">
      <w:bodyDiv w:val="1"/>
      <w:marLeft w:val="0"/>
      <w:marRight w:val="0"/>
      <w:marTop w:val="0"/>
      <w:marBottom w:val="0"/>
      <w:divBdr>
        <w:top w:val="none" w:sz="0" w:space="0" w:color="auto"/>
        <w:left w:val="none" w:sz="0" w:space="0" w:color="auto"/>
        <w:bottom w:val="none" w:sz="0" w:space="0" w:color="auto"/>
        <w:right w:val="none" w:sz="0" w:space="0" w:color="auto"/>
      </w:divBdr>
    </w:div>
    <w:div w:id="1524435945">
      <w:bodyDiv w:val="1"/>
      <w:marLeft w:val="0"/>
      <w:marRight w:val="0"/>
      <w:marTop w:val="0"/>
      <w:marBottom w:val="0"/>
      <w:divBdr>
        <w:top w:val="none" w:sz="0" w:space="0" w:color="auto"/>
        <w:left w:val="none" w:sz="0" w:space="0" w:color="auto"/>
        <w:bottom w:val="none" w:sz="0" w:space="0" w:color="auto"/>
        <w:right w:val="none" w:sz="0" w:space="0" w:color="auto"/>
      </w:divBdr>
    </w:div>
    <w:div w:id="1524517472">
      <w:bodyDiv w:val="1"/>
      <w:marLeft w:val="0"/>
      <w:marRight w:val="0"/>
      <w:marTop w:val="0"/>
      <w:marBottom w:val="0"/>
      <w:divBdr>
        <w:top w:val="none" w:sz="0" w:space="0" w:color="auto"/>
        <w:left w:val="none" w:sz="0" w:space="0" w:color="auto"/>
        <w:bottom w:val="none" w:sz="0" w:space="0" w:color="auto"/>
        <w:right w:val="none" w:sz="0" w:space="0" w:color="auto"/>
      </w:divBdr>
    </w:div>
    <w:div w:id="1524708379">
      <w:bodyDiv w:val="1"/>
      <w:marLeft w:val="0"/>
      <w:marRight w:val="0"/>
      <w:marTop w:val="0"/>
      <w:marBottom w:val="0"/>
      <w:divBdr>
        <w:top w:val="none" w:sz="0" w:space="0" w:color="auto"/>
        <w:left w:val="none" w:sz="0" w:space="0" w:color="auto"/>
        <w:bottom w:val="none" w:sz="0" w:space="0" w:color="auto"/>
        <w:right w:val="none" w:sz="0" w:space="0" w:color="auto"/>
      </w:divBdr>
    </w:div>
    <w:div w:id="1524712685">
      <w:bodyDiv w:val="1"/>
      <w:marLeft w:val="0"/>
      <w:marRight w:val="0"/>
      <w:marTop w:val="0"/>
      <w:marBottom w:val="0"/>
      <w:divBdr>
        <w:top w:val="none" w:sz="0" w:space="0" w:color="auto"/>
        <w:left w:val="none" w:sz="0" w:space="0" w:color="auto"/>
        <w:bottom w:val="none" w:sz="0" w:space="0" w:color="auto"/>
        <w:right w:val="none" w:sz="0" w:space="0" w:color="auto"/>
      </w:divBdr>
    </w:div>
    <w:div w:id="1525090721">
      <w:bodyDiv w:val="1"/>
      <w:marLeft w:val="0"/>
      <w:marRight w:val="0"/>
      <w:marTop w:val="0"/>
      <w:marBottom w:val="0"/>
      <w:divBdr>
        <w:top w:val="none" w:sz="0" w:space="0" w:color="auto"/>
        <w:left w:val="none" w:sz="0" w:space="0" w:color="auto"/>
        <w:bottom w:val="none" w:sz="0" w:space="0" w:color="auto"/>
        <w:right w:val="none" w:sz="0" w:space="0" w:color="auto"/>
      </w:divBdr>
    </w:div>
    <w:div w:id="1525560363">
      <w:bodyDiv w:val="1"/>
      <w:marLeft w:val="0"/>
      <w:marRight w:val="0"/>
      <w:marTop w:val="0"/>
      <w:marBottom w:val="0"/>
      <w:divBdr>
        <w:top w:val="none" w:sz="0" w:space="0" w:color="auto"/>
        <w:left w:val="none" w:sz="0" w:space="0" w:color="auto"/>
        <w:bottom w:val="none" w:sz="0" w:space="0" w:color="auto"/>
        <w:right w:val="none" w:sz="0" w:space="0" w:color="auto"/>
      </w:divBdr>
    </w:div>
    <w:div w:id="1526286883">
      <w:bodyDiv w:val="1"/>
      <w:marLeft w:val="0"/>
      <w:marRight w:val="0"/>
      <w:marTop w:val="0"/>
      <w:marBottom w:val="0"/>
      <w:divBdr>
        <w:top w:val="none" w:sz="0" w:space="0" w:color="auto"/>
        <w:left w:val="none" w:sz="0" w:space="0" w:color="auto"/>
        <w:bottom w:val="none" w:sz="0" w:space="0" w:color="auto"/>
        <w:right w:val="none" w:sz="0" w:space="0" w:color="auto"/>
      </w:divBdr>
    </w:div>
    <w:div w:id="1527063149">
      <w:bodyDiv w:val="1"/>
      <w:marLeft w:val="0"/>
      <w:marRight w:val="0"/>
      <w:marTop w:val="0"/>
      <w:marBottom w:val="0"/>
      <w:divBdr>
        <w:top w:val="none" w:sz="0" w:space="0" w:color="auto"/>
        <w:left w:val="none" w:sz="0" w:space="0" w:color="auto"/>
        <w:bottom w:val="none" w:sz="0" w:space="0" w:color="auto"/>
        <w:right w:val="none" w:sz="0" w:space="0" w:color="auto"/>
      </w:divBdr>
    </w:div>
    <w:div w:id="1527136391">
      <w:bodyDiv w:val="1"/>
      <w:marLeft w:val="0"/>
      <w:marRight w:val="0"/>
      <w:marTop w:val="0"/>
      <w:marBottom w:val="0"/>
      <w:divBdr>
        <w:top w:val="none" w:sz="0" w:space="0" w:color="auto"/>
        <w:left w:val="none" w:sz="0" w:space="0" w:color="auto"/>
        <w:bottom w:val="none" w:sz="0" w:space="0" w:color="auto"/>
        <w:right w:val="none" w:sz="0" w:space="0" w:color="auto"/>
      </w:divBdr>
    </w:div>
    <w:div w:id="1527138212">
      <w:bodyDiv w:val="1"/>
      <w:marLeft w:val="0"/>
      <w:marRight w:val="0"/>
      <w:marTop w:val="0"/>
      <w:marBottom w:val="0"/>
      <w:divBdr>
        <w:top w:val="none" w:sz="0" w:space="0" w:color="auto"/>
        <w:left w:val="none" w:sz="0" w:space="0" w:color="auto"/>
        <w:bottom w:val="none" w:sz="0" w:space="0" w:color="auto"/>
        <w:right w:val="none" w:sz="0" w:space="0" w:color="auto"/>
      </w:divBdr>
    </w:div>
    <w:div w:id="1528130804">
      <w:bodyDiv w:val="1"/>
      <w:marLeft w:val="0"/>
      <w:marRight w:val="0"/>
      <w:marTop w:val="0"/>
      <w:marBottom w:val="0"/>
      <w:divBdr>
        <w:top w:val="none" w:sz="0" w:space="0" w:color="auto"/>
        <w:left w:val="none" w:sz="0" w:space="0" w:color="auto"/>
        <w:bottom w:val="none" w:sz="0" w:space="0" w:color="auto"/>
        <w:right w:val="none" w:sz="0" w:space="0" w:color="auto"/>
      </w:divBdr>
    </w:div>
    <w:div w:id="1528835523">
      <w:bodyDiv w:val="1"/>
      <w:marLeft w:val="0"/>
      <w:marRight w:val="0"/>
      <w:marTop w:val="0"/>
      <w:marBottom w:val="0"/>
      <w:divBdr>
        <w:top w:val="none" w:sz="0" w:space="0" w:color="auto"/>
        <w:left w:val="none" w:sz="0" w:space="0" w:color="auto"/>
        <w:bottom w:val="none" w:sz="0" w:space="0" w:color="auto"/>
        <w:right w:val="none" w:sz="0" w:space="0" w:color="auto"/>
      </w:divBdr>
    </w:div>
    <w:div w:id="1529565077">
      <w:bodyDiv w:val="1"/>
      <w:marLeft w:val="0"/>
      <w:marRight w:val="0"/>
      <w:marTop w:val="0"/>
      <w:marBottom w:val="0"/>
      <w:divBdr>
        <w:top w:val="none" w:sz="0" w:space="0" w:color="auto"/>
        <w:left w:val="none" w:sz="0" w:space="0" w:color="auto"/>
        <w:bottom w:val="none" w:sz="0" w:space="0" w:color="auto"/>
        <w:right w:val="none" w:sz="0" w:space="0" w:color="auto"/>
      </w:divBdr>
    </w:div>
    <w:div w:id="1529830437">
      <w:bodyDiv w:val="1"/>
      <w:marLeft w:val="0"/>
      <w:marRight w:val="0"/>
      <w:marTop w:val="0"/>
      <w:marBottom w:val="0"/>
      <w:divBdr>
        <w:top w:val="none" w:sz="0" w:space="0" w:color="auto"/>
        <w:left w:val="none" w:sz="0" w:space="0" w:color="auto"/>
        <w:bottom w:val="none" w:sz="0" w:space="0" w:color="auto"/>
        <w:right w:val="none" w:sz="0" w:space="0" w:color="auto"/>
      </w:divBdr>
    </w:div>
    <w:div w:id="1529831728">
      <w:bodyDiv w:val="1"/>
      <w:marLeft w:val="0"/>
      <w:marRight w:val="0"/>
      <w:marTop w:val="0"/>
      <w:marBottom w:val="0"/>
      <w:divBdr>
        <w:top w:val="none" w:sz="0" w:space="0" w:color="auto"/>
        <w:left w:val="none" w:sz="0" w:space="0" w:color="auto"/>
        <w:bottom w:val="none" w:sz="0" w:space="0" w:color="auto"/>
        <w:right w:val="none" w:sz="0" w:space="0" w:color="auto"/>
      </w:divBdr>
    </w:div>
    <w:div w:id="1530949480">
      <w:bodyDiv w:val="1"/>
      <w:marLeft w:val="0"/>
      <w:marRight w:val="0"/>
      <w:marTop w:val="0"/>
      <w:marBottom w:val="0"/>
      <w:divBdr>
        <w:top w:val="none" w:sz="0" w:space="0" w:color="auto"/>
        <w:left w:val="none" w:sz="0" w:space="0" w:color="auto"/>
        <w:bottom w:val="none" w:sz="0" w:space="0" w:color="auto"/>
        <w:right w:val="none" w:sz="0" w:space="0" w:color="auto"/>
      </w:divBdr>
    </w:div>
    <w:div w:id="1530987958">
      <w:bodyDiv w:val="1"/>
      <w:marLeft w:val="0"/>
      <w:marRight w:val="0"/>
      <w:marTop w:val="0"/>
      <w:marBottom w:val="0"/>
      <w:divBdr>
        <w:top w:val="none" w:sz="0" w:space="0" w:color="auto"/>
        <w:left w:val="none" w:sz="0" w:space="0" w:color="auto"/>
        <w:bottom w:val="none" w:sz="0" w:space="0" w:color="auto"/>
        <w:right w:val="none" w:sz="0" w:space="0" w:color="auto"/>
      </w:divBdr>
    </w:div>
    <w:div w:id="1531189881">
      <w:bodyDiv w:val="1"/>
      <w:marLeft w:val="0"/>
      <w:marRight w:val="0"/>
      <w:marTop w:val="0"/>
      <w:marBottom w:val="0"/>
      <w:divBdr>
        <w:top w:val="none" w:sz="0" w:space="0" w:color="auto"/>
        <w:left w:val="none" w:sz="0" w:space="0" w:color="auto"/>
        <w:bottom w:val="none" w:sz="0" w:space="0" w:color="auto"/>
        <w:right w:val="none" w:sz="0" w:space="0" w:color="auto"/>
      </w:divBdr>
    </w:div>
    <w:div w:id="1531407803">
      <w:bodyDiv w:val="1"/>
      <w:marLeft w:val="0"/>
      <w:marRight w:val="0"/>
      <w:marTop w:val="0"/>
      <w:marBottom w:val="0"/>
      <w:divBdr>
        <w:top w:val="none" w:sz="0" w:space="0" w:color="auto"/>
        <w:left w:val="none" w:sz="0" w:space="0" w:color="auto"/>
        <w:bottom w:val="none" w:sz="0" w:space="0" w:color="auto"/>
        <w:right w:val="none" w:sz="0" w:space="0" w:color="auto"/>
      </w:divBdr>
    </w:div>
    <w:div w:id="1531844606">
      <w:bodyDiv w:val="1"/>
      <w:marLeft w:val="0"/>
      <w:marRight w:val="0"/>
      <w:marTop w:val="0"/>
      <w:marBottom w:val="0"/>
      <w:divBdr>
        <w:top w:val="none" w:sz="0" w:space="0" w:color="auto"/>
        <w:left w:val="none" w:sz="0" w:space="0" w:color="auto"/>
        <w:bottom w:val="none" w:sz="0" w:space="0" w:color="auto"/>
        <w:right w:val="none" w:sz="0" w:space="0" w:color="auto"/>
      </w:divBdr>
    </w:div>
    <w:div w:id="1532256031">
      <w:bodyDiv w:val="1"/>
      <w:marLeft w:val="0"/>
      <w:marRight w:val="0"/>
      <w:marTop w:val="0"/>
      <w:marBottom w:val="0"/>
      <w:divBdr>
        <w:top w:val="none" w:sz="0" w:space="0" w:color="auto"/>
        <w:left w:val="none" w:sz="0" w:space="0" w:color="auto"/>
        <w:bottom w:val="none" w:sz="0" w:space="0" w:color="auto"/>
        <w:right w:val="none" w:sz="0" w:space="0" w:color="auto"/>
      </w:divBdr>
    </w:div>
    <w:div w:id="1532768865">
      <w:bodyDiv w:val="1"/>
      <w:marLeft w:val="0"/>
      <w:marRight w:val="0"/>
      <w:marTop w:val="0"/>
      <w:marBottom w:val="0"/>
      <w:divBdr>
        <w:top w:val="none" w:sz="0" w:space="0" w:color="auto"/>
        <w:left w:val="none" w:sz="0" w:space="0" w:color="auto"/>
        <w:bottom w:val="none" w:sz="0" w:space="0" w:color="auto"/>
        <w:right w:val="none" w:sz="0" w:space="0" w:color="auto"/>
      </w:divBdr>
    </w:div>
    <w:div w:id="1533760759">
      <w:bodyDiv w:val="1"/>
      <w:marLeft w:val="0"/>
      <w:marRight w:val="0"/>
      <w:marTop w:val="0"/>
      <w:marBottom w:val="0"/>
      <w:divBdr>
        <w:top w:val="none" w:sz="0" w:space="0" w:color="auto"/>
        <w:left w:val="none" w:sz="0" w:space="0" w:color="auto"/>
        <w:bottom w:val="none" w:sz="0" w:space="0" w:color="auto"/>
        <w:right w:val="none" w:sz="0" w:space="0" w:color="auto"/>
      </w:divBdr>
    </w:div>
    <w:div w:id="1535534419">
      <w:bodyDiv w:val="1"/>
      <w:marLeft w:val="0"/>
      <w:marRight w:val="0"/>
      <w:marTop w:val="0"/>
      <w:marBottom w:val="0"/>
      <w:divBdr>
        <w:top w:val="none" w:sz="0" w:space="0" w:color="auto"/>
        <w:left w:val="none" w:sz="0" w:space="0" w:color="auto"/>
        <w:bottom w:val="none" w:sz="0" w:space="0" w:color="auto"/>
        <w:right w:val="none" w:sz="0" w:space="0" w:color="auto"/>
      </w:divBdr>
    </w:div>
    <w:div w:id="1536310039">
      <w:bodyDiv w:val="1"/>
      <w:marLeft w:val="0"/>
      <w:marRight w:val="0"/>
      <w:marTop w:val="0"/>
      <w:marBottom w:val="0"/>
      <w:divBdr>
        <w:top w:val="none" w:sz="0" w:space="0" w:color="auto"/>
        <w:left w:val="none" w:sz="0" w:space="0" w:color="auto"/>
        <w:bottom w:val="none" w:sz="0" w:space="0" w:color="auto"/>
        <w:right w:val="none" w:sz="0" w:space="0" w:color="auto"/>
      </w:divBdr>
    </w:div>
    <w:div w:id="1536506147">
      <w:bodyDiv w:val="1"/>
      <w:marLeft w:val="0"/>
      <w:marRight w:val="0"/>
      <w:marTop w:val="0"/>
      <w:marBottom w:val="0"/>
      <w:divBdr>
        <w:top w:val="none" w:sz="0" w:space="0" w:color="auto"/>
        <w:left w:val="none" w:sz="0" w:space="0" w:color="auto"/>
        <w:bottom w:val="none" w:sz="0" w:space="0" w:color="auto"/>
        <w:right w:val="none" w:sz="0" w:space="0" w:color="auto"/>
      </w:divBdr>
    </w:div>
    <w:div w:id="1536964881">
      <w:bodyDiv w:val="1"/>
      <w:marLeft w:val="0"/>
      <w:marRight w:val="0"/>
      <w:marTop w:val="0"/>
      <w:marBottom w:val="0"/>
      <w:divBdr>
        <w:top w:val="none" w:sz="0" w:space="0" w:color="auto"/>
        <w:left w:val="none" w:sz="0" w:space="0" w:color="auto"/>
        <w:bottom w:val="none" w:sz="0" w:space="0" w:color="auto"/>
        <w:right w:val="none" w:sz="0" w:space="0" w:color="auto"/>
      </w:divBdr>
      <w:divsChild>
        <w:div w:id="18045492">
          <w:marLeft w:val="0"/>
          <w:marRight w:val="0"/>
          <w:marTop w:val="0"/>
          <w:marBottom w:val="0"/>
          <w:divBdr>
            <w:top w:val="none" w:sz="0" w:space="0" w:color="auto"/>
            <w:left w:val="none" w:sz="0" w:space="0" w:color="auto"/>
            <w:bottom w:val="none" w:sz="0" w:space="0" w:color="auto"/>
            <w:right w:val="none" w:sz="0" w:space="0" w:color="auto"/>
          </w:divBdr>
        </w:div>
        <w:div w:id="544606586">
          <w:marLeft w:val="0"/>
          <w:marRight w:val="0"/>
          <w:marTop w:val="0"/>
          <w:marBottom w:val="0"/>
          <w:divBdr>
            <w:top w:val="none" w:sz="0" w:space="0" w:color="auto"/>
            <w:left w:val="none" w:sz="0" w:space="0" w:color="auto"/>
            <w:bottom w:val="none" w:sz="0" w:space="0" w:color="auto"/>
            <w:right w:val="none" w:sz="0" w:space="0" w:color="auto"/>
          </w:divBdr>
        </w:div>
        <w:div w:id="173426568">
          <w:marLeft w:val="0"/>
          <w:marRight w:val="0"/>
          <w:marTop w:val="0"/>
          <w:marBottom w:val="0"/>
          <w:divBdr>
            <w:top w:val="none" w:sz="0" w:space="0" w:color="auto"/>
            <w:left w:val="none" w:sz="0" w:space="0" w:color="auto"/>
            <w:bottom w:val="none" w:sz="0" w:space="0" w:color="auto"/>
            <w:right w:val="none" w:sz="0" w:space="0" w:color="auto"/>
          </w:divBdr>
        </w:div>
      </w:divsChild>
    </w:div>
    <w:div w:id="1537547656">
      <w:bodyDiv w:val="1"/>
      <w:marLeft w:val="0"/>
      <w:marRight w:val="0"/>
      <w:marTop w:val="0"/>
      <w:marBottom w:val="0"/>
      <w:divBdr>
        <w:top w:val="none" w:sz="0" w:space="0" w:color="auto"/>
        <w:left w:val="none" w:sz="0" w:space="0" w:color="auto"/>
        <w:bottom w:val="none" w:sz="0" w:space="0" w:color="auto"/>
        <w:right w:val="none" w:sz="0" w:space="0" w:color="auto"/>
      </w:divBdr>
    </w:div>
    <w:div w:id="1539588274">
      <w:bodyDiv w:val="1"/>
      <w:marLeft w:val="0"/>
      <w:marRight w:val="0"/>
      <w:marTop w:val="0"/>
      <w:marBottom w:val="0"/>
      <w:divBdr>
        <w:top w:val="none" w:sz="0" w:space="0" w:color="auto"/>
        <w:left w:val="none" w:sz="0" w:space="0" w:color="auto"/>
        <w:bottom w:val="none" w:sz="0" w:space="0" w:color="auto"/>
        <w:right w:val="none" w:sz="0" w:space="0" w:color="auto"/>
      </w:divBdr>
    </w:div>
    <w:div w:id="1539664155">
      <w:bodyDiv w:val="1"/>
      <w:marLeft w:val="0"/>
      <w:marRight w:val="0"/>
      <w:marTop w:val="0"/>
      <w:marBottom w:val="0"/>
      <w:divBdr>
        <w:top w:val="none" w:sz="0" w:space="0" w:color="auto"/>
        <w:left w:val="none" w:sz="0" w:space="0" w:color="auto"/>
        <w:bottom w:val="none" w:sz="0" w:space="0" w:color="auto"/>
        <w:right w:val="none" w:sz="0" w:space="0" w:color="auto"/>
      </w:divBdr>
    </w:div>
    <w:div w:id="1540623831">
      <w:bodyDiv w:val="1"/>
      <w:marLeft w:val="0"/>
      <w:marRight w:val="0"/>
      <w:marTop w:val="0"/>
      <w:marBottom w:val="0"/>
      <w:divBdr>
        <w:top w:val="none" w:sz="0" w:space="0" w:color="auto"/>
        <w:left w:val="none" w:sz="0" w:space="0" w:color="auto"/>
        <w:bottom w:val="none" w:sz="0" w:space="0" w:color="auto"/>
        <w:right w:val="none" w:sz="0" w:space="0" w:color="auto"/>
      </w:divBdr>
    </w:div>
    <w:div w:id="1541362441">
      <w:bodyDiv w:val="1"/>
      <w:marLeft w:val="0"/>
      <w:marRight w:val="0"/>
      <w:marTop w:val="0"/>
      <w:marBottom w:val="0"/>
      <w:divBdr>
        <w:top w:val="none" w:sz="0" w:space="0" w:color="auto"/>
        <w:left w:val="none" w:sz="0" w:space="0" w:color="auto"/>
        <w:bottom w:val="none" w:sz="0" w:space="0" w:color="auto"/>
        <w:right w:val="none" w:sz="0" w:space="0" w:color="auto"/>
      </w:divBdr>
    </w:div>
    <w:div w:id="1542160299">
      <w:bodyDiv w:val="1"/>
      <w:marLeft w:val="0"/>
      <w:marRight w:val="0"/>
      <w:marTop w:val="0"/>
      <w:marBottom w:val="0"/>
      <w:divBdr>
        <w:top w:val="none" w:sz="0" w:space="0" w:color="auto"/>
        <w:left w:val="none" w:sz="0" w:space="0" w:color="auto"/>
        <w:bottom w:val="none" w:sz="0" w:space="0" w:color="auto"/>
        <w:right w:val="none" w:sz="0" w:space="0" w:color="auto"/>
      </w:divBdr>
    </w:div>
    <w:div w:id="1542278876">
      <w:bodyDiv w:val="1"/>
      <w:marLeft w:val="0"/>
      <w:marRight w:val="0"/>
      <w:marTop w:val="0"/>
      <w:marBottom w:val="0"/>
      <w:divBdr>
        <w:top w:val="none" w:sz="0" w:space="0" w:color="auto"/>
        <w:left w:val="none" w:sz="0" w:space="0" w:color="auto"/>
        <w:bottom w:val="none" w:sz="0" w:space="0" w:color="auto"/>
        <w:right w:val="none" w:sz="0" w:space="0" w:color="auto"/>
      </w:divBdr>
    </w:div>
    <w:div w:id="154266601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830454">
      <w:bodyDiv w:val="1"/>
      <w:marLeft w:val="0"/>
      <w:marRight w:val="0"/>
      <w:marTop w:val="0"/>
      <w:marBottom w:val="0"/>
      <w:divBdr>
        <w:top w:val="none" w:sz="0" w:space="0" w:color="auto"/>
        <w:left w:val="none" w:sz="0" w:space="0" w:color="auto"/>
        <w:bottom w:val="none" w:sz="0" w:space="0" w:color="auto"/>
        <w:right w:val="none" w:sz="0" w:space="0" w:color="auto"/>
      </w:divBdr>
    </w:div>
    <w:div w:id="1544907618">
      <w:bodyDiv w:val="1"/>
      <w:marLeft w:val="0"/>
      <w:marRight w:val="0"/>
      <w:marTop w:val="0"/>
      <w:marBottom w:val="0"/>
      <w:divBdr>
        <w:top w:val="none" w:sz="0" w:space="0" w:color="auto"/>
        <w:left w:val="none" w:sz="0" w:space="0" w:color="auto"/>
        <w:bottom w:val="none" w:sz="0" w:space="0" w:color="auto"/>
        <w:right w:val="none" w:sz="0" w:space="0" w:color="auto"/>
      </w:divBdr>
    </w:div>
    <w:div w:id="1545487926">
      <w:bodyDiv w:val="1"/>
      <w:marLeft w:val="0"/>
      <w:marRight w:val="0"/>
      <w:marTop w:val="0"/>
      <w:marBottom w:val="0"/>
      <w:divBdr>
        <w:top w:val="none" w:sz="0" w:space="0" w:color="auto"/>
        <w:left w:val="none" w:sz="0" w:space="0" w:color="auto"/>
        <w:bottom w:val="none" w:sz="0" w:space="0" w:color="auto"/>
        <w:right w:val="none" w:sz="0" w:space="0" w:color="auto"/>
      </w:divBdr>
    </w:div>
    <w:div w:id="1546288251">
      <w:bodyDiv w:val="1"/>
      <w:marLeft w:val="0"/>
      <w:marRight w:val="0"/>
      <w:marTop w:val="0"/>
      <w:marBottom w:val="0"/>
      <w:divBdr>
        <w:top w:val="none" w:sz="0" w:space="0" w:color="auto"/>
        <w:left w:val="none" w:sz="0" w:space="0" w:color="auto"/>
        <w:bottom w:val="none" w:sz="0" w:space="0" w:color="auto"/>
        <w:right w:val="none" w:sz="0" w:space="0" w:color="auto"/>
      </w:divBdr>
    </w:div>
    <w:div w:id="1546529977">
      <w:bodyDiv w:val="1"/>
      <w:marLeft w:val="0"/>
      <w:marRight w:val="0"/>
      <w:marTop w:val="0"/>
      <w:marBottom w:val="0"/>
      <w:divBdr>
        <w:top w:val="none" w:sz="0" w:space="0" w:color="auto"/>
        <w:left w:val="none" w:sz="0" w:space="0" w:color="auto"/>
        <w:bottom w:val="none" w:sz="0" w:space="0" w:color="auto"/>
        <w:right w:val="none" w:sz="0" w:space="0" w:color="auto"/>
      </w:divBdr>
    </w:div>
    <w:div w:id="1547136266">
      <w:bodyDiv w:val="1"/>
      <w:marLeft w:val="0"/>
      <w:marRight w:val="0"/>
      <w:marTop w:val="0"/>
      <w:marBottom w:val="0"/>
      <w:divBdr>
        <w:top w:val="none" w:sz="0" w:space="0" w:color="auto"/>
        <w:left w:val="none" w:sz="0" w:space="0" w:color="auto"/>
        <w:bottom w:val="none" w:sz="0" w:space="0" w:color="auto"/>
        <w:right w:val="none" w:sz="0" w:space="0" w:color="auto"/>
      </w:divBdr>
    </w:div>
    <w:div w:id="1547332974">
      <w:bodyDiv w:val="1"/>
      <w:marLeft w:val="0"/>
      <w:marRight w:val="0"/>
      <w:marTop w:val="0"/>
      <w:marBottom w:val="0"/>
      <w:divBdr>
        <w:top w:val="none" w:sz="0" w:space="0" w:color="auto"/>
        <w:left w:val="none" w:sz="0" w:space="0" w:color="auto"/>
        <w:bottom w:val="none" w:sz="0" w:space="0" w:color="auto"/>
        <w:right w:val="none" w:sz="0" w:space="0" w:color="auto"/>
      </w:divBdr>
    </w:div>
    <w:div w:id="1547595627">
      <w:bodyDiv w:val="1"/>
      <w:marLeft w:val="0"/>
      <w:marRight w:val="0"/>
      <w:marTop w:val="0"/>
      <w:marBottom w:val="0"/>
      <w:divBdr>
        <w:top w:val="none" w:sz="0" w:space="0" w:color="auto"/>
        <w:left w:val="none" w:sz="0" w:space="0" w:color="auto"/>
        <w:bottom w:val="none" w:sz="0" w:space="0" w:color="auto"/>
        <w:right w:val="none" w:sz="0" w:space="0" w:color="auto"/>
      </w:divBdr>
    </w:div>
    <w:div w:id="1547720521">
      <w:bodyDiv w:val="1"/>
      <w:marLeft w:val="0"/>
      <w:marRight w:val="0"/>
      <w:marTop w:val="0"/>
      <w:marBottom w:val="0"/>
      <w:divBdr>
        <w:top w:val="none" w:sz="0" w:space="0" w:color="auto"/>
        <w:left w:val="none" w:sz="0" w:space="0" w:color="auto"/>
        <w:bottom w:val="none" w:sz="0" w:space="0" w:color="auto"/>
        <w:right w:val="none" w:sz="0" w:space="0" w:color="auto"/>
      </w:divBdr>
    </w:div>
    <w:div w:id="1547832296">
      <w:bodyDiv w:val="1"/>
      <w:marLeft w:val="0"/>
      <w:marRight w:val="0"/>
      <w:marTop w:val="0"/>
      <w:marBottom w:val="0"/>
      <w:divBdr>
        <w:top w:val="none" w:sz="0" w:space="0" w:color="auto"/>
        <w:left w:val="none" w:sz="0" w:space="0" w:color="auto"/>
        <w:bottom w:val="none" w:sz="0" w:space="0" w:color="auto"/>
        <w:right w:val="none" w:sz="0" w:space="0" w:color="auto"/>
      </w:divBdr>
    </w:div>
    <w:div w:id="1549683202">
      <w:bodyDiv w:val="1"/>
      <w:marLeft w:val="0"/>
      <w:marRight w:val="0"/>
      <w:marTop w:val="0"/>
      <w:marBottom w:val="0"/>
      <w:divBdr>
        <w:top w:val="none" w:sz="0" w:space="0" w:color="auto"/>
        <w:left w:val="none" w:sz="0" w:space="0" w:color="auto"/>
        <w:bottom w:val="none" w:sz="0" w:space="0" w:color="auto"/>
        <w:right w:val="none" w:sz="0" w:space="0" w:color="auto"/>
      </w:divBdr>
    </w:div>
    <w:div w:id="1549873417">
      <w:bodyDiv w:val="1"/>
      <w:marLeft w:val="0"/>
      <w:marRight w:val="0"/>
      <w:marTop w:val="0"/>
      <w:marBottom w:val="0"/>
      <w:divBdr>
        <w:top w:val="none" w:sz="0" w:space="0" w:color="auto"/>
        <w:left w:val="none" w:sz="0" w:space="0" w:color="auto"/>
        <w:bottom w:val="none" w:sz="0" w:space="0" w:color="auto"/>
        <w:right w:val="none" w:sz="0" w:space="0" w:color="auto"/>
      </w:divBdr>
    </w:div>
    <w:div w:id="1550264051">
      <w:bodyDiv w:val="1"/>
      <w:marLeft w:val="0"/>
      <w:marRight w:val="0"/>
      <w:marTop w:val="0"/>
      <w:marBottom w:val="0"/>
      <w:divBdr>
        <w:top w:val="none" w:sz="0" w:space="0" w:color="auto"/>
        <w:left w:val="none" w:sz="0" w:space="0" w:color="auto"/>
        <w:bottom w:val="none" w:sz="0" w:space="0" w:color="auto"/>
        <w:right w:val="none" w:sz="0" w:space="0" w:color="auto"/>
      </w:divBdr>
    </w:div>
    <w:div w:id="1550340493">
      <w:bodyDiv w:val="1"/>
      <w:marLeft w:val="0"/>
      <w:marRight w:val="0"/>
      <w:marTop w:val="0"/>
      <w:marBottom w:val="0"/>
      <w:divBdr>
        <w:top w:val="none" w:sz="0" w:space="0" w:color="auto"/>
        <w:left w:val="none" w:sz="0" w:space="0" w:color="auto"/>
        <w:bottom w:val="none" w:sz="0" w:space="0" w:color="auto"/>
        <w:right w:val="none" w:sz="0" w:space="0" w:color="auto"/>
      </w:divBdr>
    </w:div>
    <w:div w:id="1550805410">
      <w:bodyDiv w:val="1"/>
      <w:marLeft w:val="0"/>
      <w:marRight w:val="0"/>
      <w:marTop w:val="0"/>
      <w:marBottom w:val="0"/>
      <w:divBdr>
        <w:top w:val="none" w:sz="0" w:space="0" w:color="auto"/>
        <w:left w:val="none" w:sz="0" w:space="0" w:color="auto"/>
        <w:bottom w:val="none" w:sz="0" w:space="0" w:color="auto"/>
        <w:right w:val="none" w:sz="0" w:space="0" w:color="auto"/>
      </w:divBdr>
    </w:div>
    <w:div w:id="1551305953">
      <w:bodyDiv w:val="1"/>
      <w:marLeft w:val="0"/>
      <w:marRight w:val="0"/>
      <w:marTop w:val="0"/>
      <w:marBottom w:val="0"/>
      <w:divBdr>
        <w:top w:val="none" w:sz="0" w:space="0" w:color="auto"/>
        <w:left w:val="none" w:sz="0" w:space="0" w:color="auto"/>
        <w:bottom w:val="none" w:sz="0" w:space="0" w:color="auto"/>
        <w:right w:val="none" w:sz="0" w:space="0" w:color="auto"/>
      </w:divBdr>
    </w:div>
    <w:div w:id="1554199835">
      <w:bodyDiv w:val="1"/>
      <w:marLeft w:val="0"/>
      <w:marRight w:val="0"/>
      <w:marTop w:val="0"/>
      <w:marBottom w:val="0"/>
      <w:divBdr>
        <w:top w:val="none" w:sz="0" w:space="0" w:color="auto"/>
        <w:left w:val="none" w:sz="0" w:space="0" w:color="auto"/>
        <w:bottom w:val="none" w:sz="0" w:space="0" w:color="auto"/>
        <w:right w:val="none" w:sz="0" w:space="0" w:color="auto"/>
      </w:divBdr>
    </w:div>
    <w:div w:id="1555970335">
      <w:bodyDiv w:val="1"/>
      <w:marLeft w:val="0"/>
      <w:marRight w:val="0"/>
      <w:marTop w:val="0"/>
      <w:marBottom w:val="0"/>
      <w:divBdr>
        <w:top w:val="none" w:sz="0" w:space="0" w:color="auto"/>
        <w:left w:val="none" w:sz="0" w:space="0" w:color="auto"/>
        <w:bottom w:val="none" w:sz="0" w:space="0" w:color="auto"/>
        <w:right w:val="none" w:sz="0" w:space="0" w:color="auto"/>
      </w:divBdr>
    </w:div>
    <w:div w:id="1556426848">
      <w:bodyDiv w:val="1"/>
      <w:marLeft w:val="0"/>
      <w:marRight w:val="0"/>
      <w:marTop w:val="0"/>
      <w:marBottom w:val="0"/>
      <w:divBdr>
        <w:top w:val="none" w:sz="0" w:space="0" w:color="auto"/>
        <w:left w:val="none" w:sz="0" w:space="0" w:color="auto"/>
        <w:bottom w:val="none" w:sz="0" w:space="0" w:color="auto"/>
        <w:right w:val="none" w:sz="0" w:space="0" w:color="auto"/>
      </w:divBdr>
    </w:div>
    <w:div w:id="1557278126">
      <w:bodyDiv w:val="1"/>
      <w:marLeft w:val="0"/>
      <w:marRight w:val="0"/>
      <w:marTop w:val="0"/>
      <w:marBottom w:val="0"/>
      <w:divBdr>
        <w:top w:val="none" w:sz="0" w:space="0" w:color="auto"/>
        <w:left w:val="none" w:sz="0" w:space="0" w:color="auto"/>
        <w:bottom w:val="none" w:sz="0" w:space="0" w:color="auto"/>
        <w:right w:val="none" w:sz="0" w:space="0" w:color="auto"/>
      </w:divBdr>
    </w:div>
    <w:div w:id="1557357424">
      <w:bodyDiv w:val="1"/>
      <w:marLeft w:val="0"/>
      <w:marRight w:val="0"/>
      <w:marTop w:val="0"/>
      <w:marBottom w:val="0"/>
      <w:divBdr>
        <w:top w:val="none" w:sz="0" w:space="0" w:color="auto"/>
        <w:left w:val="none" w:sz="0" w:space="0" w:color="auto"/>
        <w:bottom w:val="none" w:sz="0" w:space="0" w:color="auto"/>
        <w:right w:val="none" w:sz="0" w:space="0" w:color="auto"/>
      </w:divBdr>
    </w:div>
    <w:div w:id="1557666137">
      <w:bodyDiv w:val="1"/>
      <w:marLeft w:val="0"/>
      <w:marRight w:val="0"/>
      <w:marTop w:val="0"/>
      <w:marBottom w:val="0"/>
      <w:divBdr>
        <w:top w:val="none" w:sz="0" w:space="0" w:color="auto"/>
        <w:left w:val="none" w:sz="0" w:space="0" w:color="auto"/>
        <w:bottom w:val="none" w:sz="0" w:space="0" w:color="auto"/>
        <w:right w:val="none" w:sz="0" w:space="0" w:color="auto"/>
      </w:divBdr>
    </w:div>
    <w:div w:id="1558053424">
      <w:bodyDiv w:val="1"/>
      <w:marLeft w:val="0"/>
      <w:marRight w:val="0"/>
      <w:marTop w:val="0"/>
      <w:marBottom w:val="0"/>
      <w:divBdr>
        <w:top w:val="none" w:sz="0" w:space="0" w:color="auto"/>
        <w:left w:val="none" w:sz="0" w:space="0" w:color="auto"/>
        <w:bottom w:val="none" w:sz="0" w:space="0" w:color="auto"/>
        <w:right w:val="none" w:sz="0" w:space="0" w:color="auto"/>
      </w:divBdr>
    </w:div>
    <w:div w:id="1559366109">
      <w:bodyDiv w:val="1"/>
      <w:marLeft w:val="0"/>
      <w:marRight w:val="0"/>
      <w:marTop w:val="0"/>
      <w:marBottom w:val="0"/>
      <w:divBdr>
        <w:top w:val="none" w:sz="0" w:space="0" w:color="auto"/>
        <w:left w:val="none" w:sz="0" w:space="0" w:color="auto"/>
        <w:bottom w:val="none" w:sz="0" w:space="0" w:color="auto"/>
        <w:right w:val="none" w:sz="0" w:space="0" w:color="auto"/>
      </w:divBdr>
      <w:divsChild>
        <w:div w:id="1612204456">
          <w:marLeft w:val="0"/>
          <w:marRight w:val="0"/>
          <w:marTop w:val="0"/>
          <w:marBottom w:val="0"/>
          <w:divBdr>
            <w:top w:val="none" w:sz="0" w:space="0" w:color="auto"/>
            <w:left w:val="none" w:sz="0" w:space="0" w:color="auto"/>
            <w:bottom w:val="none" w:sz="0" w:space="0" w:color="auto"/>
            <w:right w:val="none" w:sz="0" w:space="0" w:color="auto"/>
          </w:divBdr>
        </w:div>
        <w:div w:id="1265457446">
          <w:marLeft w:val="0"/>
          <w:marRight w:val="0"/>
          <w:marTop w:val="0"/>
          <w:marBottom w:val="0"/>
          <w:divBdr>
            <w:top w:val="none" w:sz="0" w:space="0" w:color="auto"/>
            <w:left w:val="none" w:sz="0" w:space="0" w:color="auto"/>
            <w:bottom w:val="none" w:sz="0" w:space="0" w:color="auto"/>
            <w:right w:val="none" w:sz="0" w:space="0" w:color="auto"/>
          </w:divBdr>
        </w:div>
        <w:div w:id="1013798717">
          <w:marLeft w:val="0"/>
          <w:marRight w:val="0"/>
          <w:marTop w:val="0"/>
          <w:marBottom w:val="0"/>
          <w:divBdr>
            <w:top w:val="none" w:sz="0" w:space="0" w:color="auto"/>
            <w:left w:val="none" w:sz="0" w:space="0" w:color="auto"/>
            <w:bottom w:val="none" w:sz="0" w:space="0" w:color="auto"/>
            <w:right w:val="none" w:sz="0" w:space="0" w:color="auto"/>
          </w:divBdr>
        </w:div>
      </w:divsChild>
    </w:div>
    <w:div w:id="1559632159">
      <w:bodyDiv w:val="1"/>
      <w:marLeft w:val="0"/>
      <w:marRight w:val="0"/>
      <w:marTop w:val="0"/>
      <w:marBottom w:val="0"/>
      <w:divBdr>
        <w:top w:val="none" w:sz="0" w:space="0" w:color="auto"/>
        <w:left w:val="none" w:sz="0" w:space="0" w:color="auto"/>
        <w:bottom w:val="none" w:sz="0" w:space="0" w:color="auto"/>
        <w:right w:val="none" w:sz="0" w:space="0" w:color="auto"/>
      </w:divBdr>
    </w:div>
    <w:div w:id="1559708933">
      <w:bodyDiv w:val="1"/>
      <w:marLeft w:val="0"/>
      <w:marRight w:val="0"/>
      <w:marTop w:val="0"/>
      <w:marBottom w:val="0"/>
      <w:divBdr>
        <w:top w:val="none" w:sz="0" w:space="0" w:color="auto"/>
        <w:left w:val="none" w:sz="0" w:space="0" w:color="auto"/>
        <w:bottom w:val="none" w:sz="0" w:space="0" w:color="auto"/>
        <w:right w:val="none" w:sz="0" w:space="0" w:color="auto"/>
      </w:divBdr>
    </w:div>
    <w:div w:id="1560819584">
      <w:bodyDiv w:val="1"/>
      <w:marLeft w:val="0"/>
      <w:marRight w:val="0"/>
      <w:marTop w:val="0"/>
      <w:marBottom w:val="0"/>
      <w:divBdr>
        <w:top w:val="none" w:sz="0" w:space="0" w:color="auto"/>
        <w:left w:val="none" w:sz="0" w:space="0" w:color="auto"/>
        <w:bottom w:val="none" w:sz="0" w:space="0" w:color="auto"/>
        <w:right w:val="none" w:sz="0" w:space="0" w:color="auto"/>
      </w:divBdr>
    </w:div>
    <w:div w:id="1561288550">
      <w:bodyDiv w:val="1"/>
      <w:marLeft w:val="0"/>
      <w:marRight w:val="0"/>
      <w:marTop w:val="0"/>
      <w:marBottom w:val="0"/>
      <w:divBdr>
        <w:top w:val="none" w:sz="0" w:space="0" w:color="auto"/>
        <w:left w:val="none" w:sz="0" w:space="0" w:color="auto"/>
        <w:bottom w:val="none" w:sz="0" w:space="0" w:color="auto"/>
        <w:right w:val="none" w:sz="0" w:space="0" w:color="auto"/>
      </w:divBdr>
    </w:div>
    <w:div w:id="1561357227">
      <w:bodyDiv w:val="1"/>
      <w:marLeft w:val="0"/>
      <w:marRight w:val="0"/>
      <w:marTop w:val="0"/>
      <w:marBottom w:val="0"/>
      <w:divBdr>
        <w:top w:val="none" w:sz="0" w:space="0" w:color="auto"/>
        <w:left w:val="none" w:sz="0" w:space="0" w:color="auto"/>
        <w:bottom w:val="none" w:sz="0" w:space="0" w:color="auto"/>
        <w:right w:val="none" w:sz="0" w:space="0" w:color="auto"/>
      </w:divBdr>
    </w:div>
    <w:div w:id="1562326498">
      <w:bodyDiv w:val="1"/>
      <w:marLeft w:val="0"/>
      <w:marRight w:val="0"/>
      <w:marTop w:val="0"/>
      <w:marBottom w:val="0"/>
      <w:divBdr>
        <w:top w:val="none" w:sz="0" w:space="0" w:color="auto"/>
        <w:left w:val="none" w:sz="0" w:space="0" w:color="auto"/>
        <w:bottom w:val="none" w:sz="0" w:space="0" w:color="auto"/>
        <w:right w:val="none" w:sz="0" w:space="0" w:color="auto"/>
      </w:divBdr>
    </w:div>
    <w:div w:id="1562595242">
      <w:bodyDiv w:val="1"/>
      <w:marLeft w:val="0"/>
      <w:marRight w:val="0"/>
      <w:marTop w:val="0"/>
      <w:marBottom w:val="0"/>
      <w:divBdr>
        <w:top w:val="none" w:sz="0" w:space="0" w:color="auto"/>
        <w:left w:val="none" w:sz="0" w:space="0" w:color="auto"/>
        <w:bottom w:val="none" w:sz="0" w:space="0" w:color="auto"/>
        <w:right w:val="none" w:sz="0" w:space="0" w:color="auto"/>
      </w:divBdr>
    </w:div>
    <w:div w:id="1563977044">
      <w:bodyDiv w:val="1"/>
      <w:marLeft w:val="0"/>
      <w:marRight w:val="0"/>
      <w:marTop w:val="0"/>
      <w:marBottom w:val="0"/>
      <w:divBdr>
        <w:top w:val="none" w:sz="0" w:space="0" w:color="auto"/>
        <w:left w:val="none" w:sz="0" w:space="0" w:color="auto"/>
        <w:bottom w:val="none" w:sz="0" w:space="0" w:color="auto"/>
        <w:right w:val="none" w:sz="0" w:space="0" w:color="auto"/>
      </w:divBdr>
    </w:div>
    <w:div w:id="1564097681">
      <w:bodyDiv w:val="1"/>
      <w:marLeft w:val="0"/>
      <w:marRight w:val="0"/>
      <w:marTop w:val="0"/>
      <w:marBottom w:val="0"/>
      <w:divBdr>
        <w:top w:val="none" w:sz="0" w:space="0" w:color="auto"/>
        <w:left w:val="none" w:sz="0" w:space="0" w:color="auto"/>
        <w:bottom w:val="none" w:sz="0" w:space="0" w:color="auto"/>
        <w:right w:val="none" w:sz="0" w:space="0" w:color="auto"/>
      </w:divBdr>
    </w:div>
    <w:div w:id="1565137242">
      <w:bodyDiv w:val="1"/>
      <w:marLeft w:val="0"/>
      <w:marRight w:val="0"/>
      <w:marTop w:val="0"/>
      <w:marBottom w:val="0"/>
      <w:divBdr>
        <w:top w:val="none" w:sz="0" w:space="0" w:color="auto"/>
        <w:left w:val="none" w:sz="0" w:space="0" w:color="auto"/>
        <w:bottom w:val="none" w:sz="0" w:space="0" w:color="auto"/>
        <w:right w:val="none" w:sz="0" w:space="0" w:color="auto"/>
      </w:divBdr>
    </w:div>
    <w:div w:id="1565869689">
      <w:bodyDiv w:val="1"/>
      <w:marLeft w:val="0"/>
      <w:marRight w:val="0"/>
      <w:marTop w:val="0"/>
      <w:marBottom w:val="0"/>
      <w:divBdr>
        <w:top w:val="none" w:sz="0" w:space="0" w:color="auto"/>
        <w:left w:val="none" w:sz="0" w:space="0" w:color="auto"/>
        <w:bottom w:val="none" w:sz="0" w:space="0" w:color="auto"/>
        <w:right w:val="none" w:sz="0" w:space="0" w:color="auto"/>
      </w:divBdr>
    </w:div>
    <w:div w:id="1565873561">
      <w:bodyDiv w:val="1"/>
      <w:marLeft w:val="0"/>
      <w:marRight w:val="0"/>
      <w:marTop w:val="0"/>
      <w:marBottom w:val="0"/>
      <w:divBdr>
        <w:top w:val="none" w:sz="0" w:space="0" w:color="auto"/>
        <w:left w:val="none" w:sz="0" w:space="0" w:color="auto"/>
        <w:bottom w:val="none" w:sz="0" w:space="0" w:color="auto"/>
        <w:right w:val="none" w:sz="0" w:space="0" w:color="auto"/>
      </w:divBdr>
    </w:div>
    <w:div w:id="1567036427">
      <w:bodyDiv w:val="1"/>
      <w:marLeft w:val="0"/>
      <w:marRight w:val="0"/>
      <w:marTop w:val="0"/>
      <w:marBottom w:val="0"/>
      <w:divBdr>
        <w:top w:val="none" w:sz="0" w:space="0" w:color="auto"/>
        <w:left w:val="none" w:sz="0" w:space="0" w:color="auto"/>
        <w:bottom w:val="none" w:sz="0" w:space="0" w:color="auto"/>
        <w:right w:val="none" w:sz="0" w:space="0" w:color="auto"/>
      </w:divBdr>
    </w:div>
    <w:div w:id="1568685974">
      <w:bodyDiv w:val="1"/>
      <w:marLeft w:val="0"/>
      <w:marRight w:val="0"/>
      <w:marTop w:val="0"/>
      <w:marBottom w:val="0"/>
      <w:divBdr>
        <w:top w:val="none" w:sz="0" w:space="0" w:color="auto"/>
        <w:left w:val="none" w:sz="0" w:space="0" w:color="auto"/>
        <w:bottom w:val="none" w:sz="0" w:space="0" w:color="auto"/>
        <w:right w:val="none" w:sz="0" w:space="0" w:color="auto"/>
      </w:divBdr>
    </w:div>
    <w:div w:id="1569152681">
      <w:bodyDiv w:val="1"/>
      <w:marLeft w:val="0"/>
      <w:marRight w:val="0"/>
      <w:marTop w:val="0"/>
      <w:marBottom w:val="0"/>
      <w:divBdr>
        <w:top w:val="none" w:sz="0" w:space="0" w:color="auto"/>
        <w:left w:val="none" w:sz="0" w:space="0" w:color="auto"/>
        <w:bottom w:val="none" w:sz="0" w:space="0" w:color="auto"/>
        <w:right w:val="none" w:sz="0" w:space="0" w:color="auto"/>
      </w:divBdr>
    </w:div>
    <w:div w:id="1569607201">
      <w:bodyDiv w:val="1"/>
      <w:marLeft w:val="0"/>
      <w:marRight w:val="0"/>
      <w:marTop w:val="0"/>
      <w:marBottom w:val="0"/>
      <w:divBdr>
        <w:top w:val="none" w:sz="0" w:space="0" w:color="auto"/>
        <w:left w:val="none" w:sz="0" w:space="0" w:color="auto"/>
        <w:bottom w:val="none" w:sz="0" w:space="0" w:color="auto"/>
        <w:right w:val="none" w:sz="0" w:space="0" w:color="auto"/>
      </w:divBdr>
    </w:div>
    <w:div w:id="1570384048">
      <w:bodyDiv w:val="1"/>
      <w:marLeft w:val="0"/>
      <w:marRight w:val="0"/>
      <w:marTop w:val="0"/>
      <w:marBottom w:val="0"/>
      <w:divBdr>
        <w:top w:val="none" w:sz="0" w:space="0" w:color="auto"/>
        <w:left w:val="none" w:sz="0" w:space="0" w:color="auto"/>
        <w:bottom w:val="none" w:sz="0" w:space="0" w:color="auto"/>
        <w:right w:val="none" w:sz="0" w:space="0" w:color="auto"/>
      </w:divBdr>
    </w:div>
    <w:div w:id="1570769351">
      <w:bodyDiv w:val="1"/>
      <w:marLeft w:val="0"/>
      <w:marRight w:val="0"/>
      <w:marTop w:val="0"/>
      <w:marBottom w:val="0"/>
      <w:divBdr>
        <w:top w:val="none" w:sz="0" w:space="0" w:color="auto"/>
        <w:left w:val="none" w:sz="0" w:space="0" w:color="auto"/>
        <w:bottom w:val="none" w:sz="0" w:space="0" w:color="auto"/>
        <w:right w:val="none" w:sz="0" w:space="0" w:color="auto"/>
      </w:divBdr>
    </w:div>
    <w:div w:id="1570993135">
      <w:bodyDiv w:val="1"/>
      <w:marLeft w:val="0"/>
      <w:marRight w:val="0"/>
      <w:marTop w:val="0"/>
      <w:marBottom w:val="0"/>
      <w:divBdr>
        <w:top w:val="none" w:sz="0" w:space="0" w:color="auto"/>
        <w:left w:val="none" w:sz="0" w:space="0" w:color="auto"/>
        <w:bottom w:val="none" w:sz="0" w:space="0" w:color="auto"/>
        <w:right w:val="none" w:sz="0" w:space="0" w:color="auto"/>
      </w:divBdr>
    </w:div>
    <w:div w:id="1571231963">
      <w:bodyDiv w:val="1"/>
      <w:marLeft w:val="0"/>
      <w:marRight w:val="0"/>
      <w:marTop w:val="0"/>
      <w:marBottom w:val="0"/>
      <w:divBdr>
        <w:top w:val="none" w:sz="0" w:space="0" w:color="auto"/>
        <w:left w:val="none" w:sz="0" w:space="0" w:color="auto"/>
        <w:bottom w:val="none" w:sz="0" w:space="0" w:color="auto"/>
        <w:right w:val="none" w:sz="0" w:space="0" w:color="auto"/>
      </w:divBdr>
    </w:div>
    <w:div w:id="1571384931">
      <w:bodyDiv w:val="1"/>
      <w:marLeft w:val="0"/>
      <w:marRight w:val="0"/>
      <w:marTop w:val="0"/>
      <w:marBottom w:val="0"/>
      <w:divBdr>
        <w:top w:val="none" w:sz="0" w:space="0" w:color="auto"/>
        <w:left w:val="none" w:sz="0" w:space="0" w:color="auto"/>
        <w:bottom w:val="none" w:sz="0" w:space="0" w:color="auto"/>
        <w:right w:val="none" w:sz="0" w:space="0" w:color="auto"/>
      </w:divBdr>
    </w:div>
    <w:div w:id="1571967744">
      <w:bodyDiv w:val="1"/>
      <w:marLeft w:val="0"/>
      <w:marRight w:val="0"/>
      <w:marTop w:val="0"/>
      <w:marBottom w:val="0"/>
      <w:divBdr>
        <w:top w:val="none" w:sz="0" w:space="0" w:color="auto"/>
        <w:left w:val="none" w:sz="0" w:space="0" w:color="auto"/>
        <w:bottom w:val="none" w:sz="0" w:space="0" w:color="auto"/>
        <w:right w:val="none" w:sz="0" w:space="0" w:color="auto"/>
      </w:divBdr>
    </w:div>
    <w:div w:id="1572932966">
      <w:bodyDiv w:val="1"/>
      <w:marLeft w:val="0"/>
      <w:marRight w:val="0"/>
      <w:marTop w:val="0"/>
      <w:marBottom w:val="0"/>
      <w:divBdr>
        <w:top w:val="none" w:sz="0" w:space="0" w:color="auto"/>
        <w:left w:val="none" w:sz="0" w:space="0" w:color="auto"/>
        <w:bottom w:val="none" w:sz="0" w:space="0" w:color="auto"/>
        <w:right w:val="none" w:sz="0" w:space="0" w:color="auto"/>
      </w:divBdr>
    </w:div>
    <w:div w:id="1574122803">
      <w:bodyDiv w:val="1"/>
      <w:marLeft w:val="0"/>
      <w:marRight w:val="0"/>
      <w:marTop w:val="0"/>
      <w:marBottom w:val="0"/>
      <w:divBdr>
        <w:top w:val="none" w:sz="0" w:space="0" w:color="auto"/>
        <w:left w:val="none" w:sz="0" w:space="0" w:color="auto"/>
        <w:bottom w:val="none" w:sz="0" w:space="0" w:color="auto"/>
        <w:right w:val="none" w:sz="0" w:space="0" w:color="auto"/>
      </w:divBdr>
    </w:div>
    <w:div w:id="1574580754">
      <w:bodyDiv w:val="1"/>
      <w:marLeft w:val="0"/>
      <w:marRight w:val="0"/>
      <w:marTop w:val="0"/>
      <w:marBottom w:val="0"/>
      <w:divBdr>
        <w:top w:val="none" w:sz="0" w:space="0" w:color="auto"/>
        <w:left w:val="none" w:sz="0" w:space="0" w:color="auto"/>
        <w:bottom w:val="none" w:sz="0" w:space="0" w:color="auto"/>
        <w:right w:val="none" w:sz="0" w:space="0" w:color="auto"/>
      </w:divBdr>
    </w:div>
    <w:div w:id="1575428809">
      <w:bodyDiv w:val="1"/>
      <w:marLeft w:val="0"/>
      <w:marRight w:val="0"/>
      <w:marTop w:val="0"/>
      <w:marBottom w:val="0"/>
      <w:divBdr>
        <w:top w:val="none" w:sz="0" w:space="0" w:color="auto"/>
        <w:left w:val="none" w:sz="0" w:space="0" w:color="auto"/>
        <w:bottom w:val="none" w:sz="0" w:space="0" w:color="auto"/>
        <w:right w:val="none" w:sz="0" w:space="0" w:color="auto"/>
      </w:divBdr>
    </w:div>
    <w:div w:id="1575582287">
      <w:bodyDiv w:val="1"/>
      <w:marLeft w:val="0"/>
      <w:marRight w:val="0"/>
      <w:marTop w:val="0"/>
      <w:marBottom w:val="0"/>
      <w:divBdr>
        <w:top w:val="none" w:sz="0" w:space="0" w:color="auto"/>
        <w:left w:val="none" w:sz="0" w:space="0" w:color="auto"/>
        <w:bottom w:val="none" w:sz="0" w:space="0" w:color="auto"/>
        <w:right w:val="none" w:sz="0" w:space="0" w:color="auto"/>
      </w:divBdr>
    </w:div>
    <w:div w:id="1577470436">
      <w:bodyDiv w:val="1"/>
      <w:marLeft w:val="0"/>
      <w:marRight w:val="0"/>
      <w:marTop w:val="0"/>
      <w:marBottom w:val="0"/>
      <w:divBdr>
        <w:top w:val="none" w:sz="0" w:space="0" w:color="auto"/>
        <w:left w:val="none" w:sz="0" w:space="0" w:color="auto"/>
        <w:bottom w:val="none" w:sz="0" w:space="0" w:color="auto"/>
        <w:right w:val="none" w:sz="0" w:space="0" w:color="auto"/>
      </w:divBdr>
    </w:div>
    <w:div w:id="1577590657">
      <w:bodyDiv w:val="1"/>
      <w:marLeft w:val="0"/>
      <w:marRight w:val="0"/>
      <w:marTop w:val="0"/>
      <w:marBottom w:val="0"/>
      <w:divBdr>
        <w:top w:val="none" w:sz="0" w:space="0" w:color="auto"/>
        <w:left w:val="none" w:sz="0" w:space="0" w:color="auto"/>
        <w:bottom w:val="none" w:sz="0" w:space="0" w:color="auto"/>
        <w:right w:val="none" w:sz="0" w:space="0" w:color="auto"/>
      </w:divBdr>
    </w:div>
    <w:div w:id="1578784334">
      <w:bodyDiv w:val="1"/>
      <w:marLeft w:val="0"/>
      <w:marRight w:val="0"/>
      <w:marTop w:val="0"/>
      <w:marBottom w:val="0"/>
      <w:divBdr>
        <w:top w:val="none" w:sz="0" w:space="0" w:color="auto"/>
        <w:left w:val="none" w:sz="0" w:space="0" w:color="auto"/>
        <w:bottom w:val="none" w:sz="0" w:space="0" w:color="auto"/>
        <w:right w:val="none" w:sz="0" w:space="0" w:color="auto"/>
      </w:divBdr>
    </w:div>
    <w:div w:id="1579368890">
      <w:bodyDiv w:val="1"/>
      <w:marLeft w:val="0"/>
      <w:marRight w:val="0"/>
      <w:marTop w:val="0"/>
      <w:marBottom w:val="0"/>
      <w:divBdr>
        <w:top w:val="none" w:sz="0" w:space="0" w:color="auto"/>
        <w:left w:val="none" w:sz="0" w:space="0" w:color="auto"/>
        <w:bottom w:val="none" w:sz="0" w:space="0" w:color="auto"/>
        <w:right w:val="none" w:sz="0" w:space="0" w:color="auto"/>
      </w:divBdr>
    </w:div>
    <w:div w:id="1580021009">
      <w:bodyDiv w:val="1"/>
      <w:marLeft w:val="0"/>
      <w:marRight w:val="0"/>
      <w:marTop w:val="0"/>
      <w:marBottom w:val="0"/>
      <w:divBdr>
        <w:top w:val="none" w:sz="0" w:space="0" w:color="auto"/>
        <w:left w:val="none" w:sz="0" w:space="0" w:color="auto"/>
        <w:bottom w:val="none" w:sz="0" w:space="0" w:color="auto"/>
        <w:right w:val="none" w:sz="0" w:space="0" w:color="auto"/>
      </w:divBdr>
    </w:div>
    <w:div w:id="1582789409">
      <w:bodyDiv w:val="1"/>
      <w:marLeft w:val="0"/>
      <w:marRight w:val="0"/>
      <w:marTop w:val="0"/>
      <w:marBottom w:val="0"/>
      <w:divBdr>
        <w:top w:val="none" w:sz="0" w:space="0" w:color="auto"/>
        <w:left w:val="none" w:sz="0" w:space="0" w:color="auto"/>
        <w:bottom w:val="none" w:sz="0" w:space="0" w:color="auto"/>
        <w:right w:val="none" w:sz="0" w:space="0" w:color="auto"/>
      </w:divBdr>
    </w:div>
    <w:div w:id="1584290782">
      <w:bodyDiv w:val="1"/>
      <w:marLeft w:val="0"/>
      <w:marRight w:val="0"/>
      <w:marTop w:val="0"/>
      <w:marBottom w:val="0"/>
      <w:divBdr>
        <w:top w:val="none" w:sz="0" w:space="0" w:color="auto"/>
        <w:left w:val="none" w:sz="0" w:space="0" w:color="auto"/>
        <w:bottom w:val="none" w:sz="0" w:space="0" w:color="auto"/>
        <w:right w:val="none" w:sz="0" w:space="0" w:color="auto"/>
      </w:divBdr>
    </w:div>
    <w:div w:id="1584997105">
      <w:bodyDiv w:val="1"/>
      <w:marLeft w:val="0"/>
      <w:marRight w:val="0"/>
      <w:marTop w:val="0"/>
      <w:marBottom w:val="0"/>
      <w:divBdr>
        <w:top w:val="none" w:sz="0" w:space="0" w:color="auto"/>
        <w:left w:val="none" w:sz="0" w:space="0" w:color="auto"/>
        <w:bottom w:val="none" w:sz="0" w:space="0" w:color="auto"/>
        <w:right w:val="none" w:sz="0" w:space="0" w:color="auto"/>
      </w:divBdr>
    </w:div>
    <w:div w:id="1585726017">
      <w:bodyDiv w:val="1"/>
      <w:marLeft w:val="0"/>
      <w:marRight w:val="0"/>
      <w:marTop w:val="0"/>
      <w:marBottom w:val="0"/>
      <w:divBdr>
        <w:top w:val="none" w:sz="0" w:space="0" w:color="auto"/>
        <w:left w:val="none" w:sz="0" w:space="0" w:color="auto"/>
        <w:bottom w:val="none" w:sz="0" w:space="0" w:color="auto"/>
        <w:right w:val="none" w:sz="0" w:space="0" w:color="auto"/>
      </w:divBdr>
    </w:div>
    <w:div w:id="1586307291">
      <w:bodyDiv w:val="1"/>
      <w:marLeft w:val="0"/>
      <w:marRight w:val="0"/>
      <w:marTop w:val="0"/>
      <w:marBottom w:val="0"/>
      <w:divBdr>
        <w:top w:val="none" w:sz="0" w:space="0" w:color="auto"/>
        <w:left w:val="none" w:sz="0" w:space="0" w:color="auto"/>
        <w:bottom w:val="none" w:sz="0" w:space="0" w:color="auto"/>
        <w:right w:val="none" w:sz="0" w:space="0" w:color="auto"/>
      </w:divBdr>
    </w:div>
    <w:div w:id="1590236186">
      <w:bodyDiv w:val="1"/>
      <w:marLeft w:val="0"/>
      <w:marRight w:val="0"/>
      <w:marTop w:val="0"/>
      <w:marBottom w:val="0"/>
      <w:divBdr>
        <w:top w:val="none" w:sz="0" w:space="0" w:color="auto"/>
        <w:left w:val="none" w:sz="0" w:space="0" w:color="auto"/>
        <w:bottom w:val="none" w:sz="0" w:space="0" w:color="auto"/>
        <w:right w:val="none" w:sz="0" w:space="0" w:color="auto"/>
      </w:divBdr>
    </w:div>
    <w:div w:id="1591696524">
      <w:bodyDiv w:val="1"/>
      <w:marLeft w:val="0"/>
      <w:marRight w:val="0"/>
      <w:marTop w:val="0"/>
      <w:marBottom w:val="0"/>
      <w:divBdr>
        <w:top w:val="none" w:sz="0" w:space="0" w:color="auto"/>
        <w:left w:val="none" w:sz="0" w:space="0" w:color="auto"/>
        <w:bottom w:val="none" w:sz="0" w:space="0" w:color="auto"/>
        <w:right w:val="none" w:sz="0" w:space="0" w:color="auto"/>
      </w:divBdr>
    </w:div>
    <w:div w:id="1592274993">
      <w:bodyDiv w:val="1"/>
      <w:marLeft w:val="0"/>
      <w:marRight w:val="0"/>
      <w:marTop w:val="0"/>
      <w:marBottom w:val="0"/>
      <w:divBdr>
        <w:top w:val="none" w:sz="0" w:space="0" w:color="auto"/>
        <w:left w:val="none" w:sz="0" w:space="0" w:color="auto"/>
        <w:bottom w:val="none" w:sz="0" w:space="0" w:color="auto"/>
        <w:right w:val="none" w:sz="0" w:space="0" w:color="auto"/>
      </w:divBdr>
    </w:div>
    <w:div w:id="1594823789">
      <w:bodyDiv w:val="1"/>
      <w:marLeft w:val="0"/>
      <w:marRight w:val="0"/>
      <w:marTop w:val="0"/>
      <w:marBottom w:val="0"/>
      <w:divBdr>
        <w:top w:val="none" w:sz="0" w:space="0" w:color="auto"/>
        <w:left w:val="none" w:sz="0" w:space="0" w:color="auto"/>
        <w:bottom w:val="none" w:sz="0" w:space="0" w:color="auto"/>
        <w:right w:val="none" w:sz="0" w:space="0" w:color="auto"/>
      </w:divBdr>
    </w:div>
    <w:div w:id="1595088732">
      <w:bodyDiv w:val="1"/>
      <w:marLeft w:val="0"/>
      <w:marRight w:val="0"/>
      <w:marTop w:val="0"/>
      <w:marBottom w:val="0"/>
      <w:divBdr>
        <w:top w:val="none" w:sz="0" w:space="0" w:color="auto"/>
        <w:left w:val="none" w:sz="0" w:space="0" w:color="auto"/>
        <w:bottom w:val="none" w:sz="0" w:space="0" w:color="auto"/>
        <w:right w:val="none" w:sz="0" w:space="0" w:color="auto"/>
      </w:divBdr>
    </w:div>
    <w:div w:id="1595435381">
      <w:bodyDiv w:val="1"/>
      <w:marLeft w:val="0"/>
      <w:marRight w:val="0"/>
      <w:marTop w:val="0"/>
      <w:marBottom w:val="0"/>
      <w:divBdr>
        <w:top w:val="none" w:sz="0" w:space="0" w:color="auto"/>
        <w:left w:val="none" w:sz="0" w:space="0" w:color="auto"/>
        <w:bottom w:val="none" w:sz="0" w:space="0" w:color="auto"/>
        <w:right w:val="none" w:sz="0" w:space="0" w:color="auto"/>
      </w:divBdr>
    </w:div>
    <w:div w:id="1595555131">
      <w:bodyDiv w:val="1"/>
      <w:marLeft w:val="0"/>
      <w:marRight w:val="0"/>
      <w:marTop w:val="0"/>
      <w:marBottom w:val="0"/>
      <w:divBdr>
        <w:top w:val="none" w:sz="0" w:space="0" w:color="auto"/>
        <w:left w:val="none" w:sz="0" w:space="0" w:color="auto"/>
        <w:bottom w:val="none" w:sz="0" w:space="0" w:color="auto"/>
        <w:right w:val="none" w:sz="0" w:space="0" w:color="auto"/>
      </w:divBdr>
    </w:div>
    <w:div w:id="1596088612">
      <w:bodyDiv w:val="1"/>
      <w:marLeft w:val="0"/>
      <w:marRight w:val="0"/>
      <w:marTop w:val="0"/>
      <w:marBottom w:val="0"/>
      <w:divBdr>
        <w:top w:val="none" w:sz="0" w:space="0" w:color="auto"/>
        <w:left w:val="none" w:sz="0" w:space="0" w:color="auto"/>
        <w:bottom w:val="none" w:sz="0" w:space="0" w:color="auto"/>
        <w:right w:val="none" w:sz="0" w:space="0" w:color="auto"/>
      </w:divBdr>
    </w:div>
    <w:div w:id="1596861707">
      <w:bodyDiv w:val="1"/>
      <w:marLeft w:val="0"/>
      <w:marRight w:val="0"/>
      <w:marTop w:val="0"/>
      <w:marBottom w:val="0"/>
      <w:divBdr>
        <w:top w:val="none" w:sz="0" w:space="0" w:color="auto"/>
        <w:left w:val="none" w:sz="0" w:space="0" w:color="auto"/>
        <w:bottom w:val="none" w:sz="0" w:space="0" w:color="auto"/>
        <w:right w:val="none" w:sz="0" w:space="0" w:color="auto"/>
      </w:divBdr>
    </w:div>
    <w:div w:id="1597009328">
      <w:bodyDiv w:val="1"/>
      <w:marLeft w:val="0"/>
      <w:marRight w:val="0"/>
      <w:marTop w:val="0"/>
      <w:marBottom w:val="0"/>
      <w:divBdr>
        <w:top w:val="none" w:sz="0" w:space="0" w:color="auto"/>
        <w:left w:val="none" w:sz="0" w:space="0" w:color="auto"/>
        <w:bottom w:val="none" w:sz="0" w:space="0" w:color="auto"/>
        <w:right w:val="none" w:sz="0" w:space="0" w:color="auto"/>
      </w:divBdr>
    </w:div>
    <w:div w:id="1597833614">
      <w:bodyDiv w:val="1"/>
      <w:marLeft w:val="0"/>
      <w:marRight w:val="0"/>
      <w:marTop w:val="0"/>
      <w:marBottom w:val="0"/>
      <w:divBdr>
        <w:top w:val="none" w:sz="0" w:space="0" w:color="auto"/>
        <w:left w:val="none" w:sz="0" w:space="0" w:color="auto"/>
        <w:bottom w:val="none" w:sz="0" w:space="0" w:color="auto"/>
        <w:right w:val="none" w:sz="0" w:space="0" w:color="auto"/>
      </w:divBdr>
      <w:divsChild>
        <w:div w:id="2080782936">
          <w:marLeft w:val="0"/>
          <w:marRight w:val="0"/>
          <w:marTop w:val="0"/>
          <w:marBottom w:val="0"/>
          <w:divBdr>
            <w:top w:val="none" w:sz="0" w:space="0" w:color="auto"/>
            <w:left w:val="none" w:sz="0" w:space="0" w:color="auto"/>
            <w:bottom w:val="none" w:sz="0" w:space="0" w:color="auto"/>
            <w:right w:val="none" w:sz="0" w:space="0" w:color="auto"/>
          </w:divBdr>
        </w:div>
        <w:div w:id="1839032815">
          <w:marLeft w:val="0"/>
          <w:marRight w:val="0"/>
          <w:marTop w:val="0"/>
          <w:marBottom w:val="0"/>
          <w:divBdr>
            <w:top w:val="none" w:sz="0" w:space="0" w:color="auto"/>
            <w:left w:val="none" w:sz="0" w:space="0" w:color="auto"/>
            <w:bottom w:val="none" w:sz="0" w:space="0" w:color="auto"/>
            <w:right w:val="none" w:sz="0" w:space="0" w:color="auto"/>
          </w:divBdr>
        </w:div>
        <w:div w:id="590118723">
          <w:marLeft w:val="0"/>
          <w:marRight w:val="0"/>
          <w:marTop w:val="0"/>
          <w:marBottom w:val="0"/>
          <w:divBdr>
            <w:top w:val="none" w:sz="0" w:space="0" w:color="auto"/>
            <w:left w:val="none" w:sz="0" w:space="0" w:color="auto"/>
            <w:bottom w:val="none" w:sz="0" w:space="0" w:color="auto"/>
            <w:right w:val="none" w:sz="0" w:space="0" w:color="auto"/>
          </w:divBdr>
        </w:div>
      </w:divsChild>
    </w:div>
    <w:div w:id="1598636037">
      <w:bodyDiv w:val="1"/>
      <w:marLeft w:val="0"/>
      <w:marRight w:val="0"/>
      <w:marTop w:val="0"/>
      <w:marBottom w:val="0"/>
      <w:divBdr>
        <w:top w:val="none" w:sz="0" w:space="0" w:color="auto"/>
        <w:left w:val="none" w:sz="0" w:space="0" w:color="auto"/>
        <w:bottom w:val="none" w:sz="0" w:space="0" w:color="auto"/>
        <w:right w:val="none" w:sz="0" w:space="0" w:color="auto"/>
      </w:divBdr>
    </w:div>
    <w:div w:id="1599213276">
      <w:bodyDiv w:val="1"/>
      <w:marLeft w:val="0"/>
      <w:marRight w:val="0"/>
      <w:marTop w:val="0"/>
      <w:marBottom w:val="0"/>
      <w:divBdr>
        <w:top w:val="none" w:sz="0" w:space="0" w:color="auto"/>
        <w:left w:val="none" w:sz="0" w:space="0" w:color="auto"/>
        <w:bottom w:val="none" w:sz="0" w:space="0" w:color="auto"/>
        <w:right w:val="none" w:sz="0" w:space="0" w:color="auto"/>
      </w:divBdr>
    </w:div>
    <w:div w:id="1599290224">
      <w:bodyDiv w:val="1"/>
      <w:marLeft w:val="0"/>
      <w:marRight w:val="0"/>
      <w:marTop w:val="0"/>
      <w:marBottom w:val="0"/>
      <w:divBdr>
        <w:top w:val="none" w:sz="0" w:space="0" w:color="auto"/>
        <w:left w:val="none" w:sz="0" w:space="0" w:color="auto"/>
        <w:bottom w:val="none" w:sz="0" w:space="0" w:color="auto"/>
        <w:right w:val="none" w:sz="0" w:space="0" w:color="auto"/>
      </w:divBdr>
    </w:div>
    <w:div w:id="1599413335">
      <w:bodyDiv w:val="1"/>
      <w:marLeft w:val="0"/>
      <w:marRight w:val="0"/>
      <w:marTop w:val="0"/>
      <w:marBottom w:val="0"/>
      <w:divBdr>
        <w:top w:val="none" w:sz="0" w:space="0" w:color="auto"/>
        <w:left w:val="none" w:sz="0" w:space="0" w:color="auto"/>
        <w:bottom w:val="none" w:sz="0" w:space="0" w:color="auto"/>
        <w:right w:val="none" w:sz="0" w:space="0" w:color="auto"/>
      </w:divBdr>
    </w:div>
    <w:div w:id="1599749015">
      <w:bodyDiv w:val="1"/>
      <w:marLeft w:val="0"/>
      <w:marRight w:val="0"/>
      <w:marTop w:val="0"/>
      <w:marBottom w:val="0"/>
      <w:divBdr>
        <w:top w:val="none" w:sz="0" w:space="0" w:color="auto"/>
        <w:left w:val="none" w:sz="0" w:space="0" w:color="auto"/>
        <w:bottom w:val="none" w:sz="0" w:space="0" w:color="auto"/>
        <w:right w:val="none" w:sz="0" w:space="0" w:color="auto"/>
      </w:divBdr>
    </w:div>
    <w:div w:id="1600213013">
      <w:bodyDiv w:val="1"/>
      <w:marLeft w:val="0"/>
      <w:marRight w:val="0"/>
      <w:marTop w:val="0"/>
      <w:marBottom w:val="0"/>
      <w:divBdr>
        <w:top w:val="none" w:sz="0" w:space="0" w:color="auto"/>
        <w:left w:val="none" w:sz="0" w:space="0" w:color="auto"/>
        <w:bottom w:val="none" w:sz="0" w:space="0" w:color="auto"/>
        <w:right w:val="none" w:sz="0" w:space="0" w:color="auto"/>
      </w:divBdr>
    </w:div>
    <w:div w:id="1600596757">
      <w:bodyDiv w:val="1"/>
      <w:marLeft w:val="0"/>
      <w:marRight w:val="0"/>
      <w:marTop w:val="0"/>
      <w:marBottom w:val="0"/>
      <w:divBdr>
        <w:top w:val="none" w:sz="0" w:space="0" w:color="auto"/>
        <w:left w:val="none" w:sz="0" w:space="0" w:color="auto"/>
        <w:bottom w:val="none" w:sz="0" w:space="0" w:color="auto"/>
        <w:right w:val="none" w:sz="0" w:space="0" w:color="auto"/>
      </w:divBdr>
    </w:div>
    <w:div w:id="1600796710">
      <w:bodyDiv w:val="1"/>
      <w:marLeft w:val="0"/>
      <w:marRight w:val="0"/>
      <w:marTop w:val="0"/>
      <w:marBottom w:val="0"/>
      <w:divBdr>
        <w:top w:val="none" w:sz="0" w:space="0" w:color="auto"/>
        <w:left w:val="none" w:sz="0" w:space="0" w:color="auto"/>
        <w:bottom w:val="none" w:sz="0" w:space="0" w:color="auto"/>
        <w:right w:val="none" w:sz="0" w:space="0" w:color="auto"/>
      </w:divBdr>
    </w:div>
    <w:div w:id="1600913800">
      <w:bodyDiv w:val="1"/>
      <w:marLeft w:val="0"/>
      <w:marRight w:val="0"/>
      <w:marTop w:val="0"/>
      <w:marBottom w:val="0"/>
      <w:divBdr>
        <w:top w:val="none" w:sz="0" w:space="0" w:color="auto"/>
        <w:left w:val="none" w:sz="0" w:space="0" w:color="auto"/>
        <w:bottom w:val="none" w:sz="0" w:space="0" w:color="auto"/>
        <w:right w:val="none" w:sz="0" w:space="0" w:color="auto"/>
      </w:divBdr>
    </w:div>
    <w:div w:id="1600984825">
      <w:bodyDiv w:val="1"/>
      <w:marLeft w:val="0"/>
      <w:marRight w:val="0"/>
      <w:marTop w:val="0"/>
      <w:marBottom w:val="0"/>
      <w:divBdr>
        <w:top w:val="none" w:sz="0" w:space="0" w:color="auto"/>
        <w:left w:val="none" w:sz="0" w:space="0" w:color="auto"/>
        <w:bottom w:val="none" w:sz="0" w:space="0" w:color="auto"/>
        <w:right w:val="none" w:sz="0" w:space="0" w:color="auto"/>
      </w:divBdr>
    </w:div>
    <w:div w:id="1600990431">
      <w:bodyDiv w:val="1"/>
      <w:marLeft w:val="0"/>
      <w:marRight w:val="0"/>
      <w:marTop w:val="0"/>
      <w:marBottom w:val="0"/>
      <w:divBdr>
        <w:top w:val="none" w:sz="0" w:space="0" w:color="auto"/>
        <w:left w:val="none" w:sz="0" w:space="0" w:color="auto"/>
        <w:bottom w:val="none" w:sz="0" w:space="0" w:color="auto"/>
        <w:right w:val="none" w:sz="0" w:space="0" w:color="auto"/>
      </w:divBdr>
    </w:div>
    <w:div w:id="1601523807">
      <w:bodyDiv w:val="1"/>
      <w:marLeft w:val="0"/>
      <w:marRight w:val="0"/>
      <w:marTop w:val="0"/>
      <w:marBottom w:val="0"/>
      <w:divBdr>
        <w:top w:val="none" w:sz="0" w:space="0" w:color="auto"/>
        <w:left w:val="none" w:sz="0" w:space="0" w:color="auto"/>
        <w:bottom w:val="none" w:sz="0" w:space="0" w:color="auto"/>
        <w:right w:val="none" w:sz="0" w:space="0" w:color="auto"/>
      </w:divBdr>
    </w:div>
    <w:div w:id="1601912738">
      <w:bodyDiv w:val="1"/>
      <w:marLeft w:val="0"/>
      <w:marRight w:val="0"/>
      <w:marTop w:val="0"/>
      <w:marBottom w:val="0"/>
      <w:divBdr>
        <w:top w:val="none" w:sz="0" w:space="0" w:color="auto"/>
        <w:left w:val="none" w:sz="0" w:space="0" w:color="auto"/>
        <w:bottom w:val="none" w:sz="0" w:space="0" w:color="auto"/>
        <w:right w:val="none" w:sz="0" w:space="0" w:color="auto"/>
      </w:divBdr>
    </w:div>
    <w:div w:id="1602182567">
      <w:bodyDiv w:val="1"/>
      <w:marLeft w:val="0"/>
      <w:marRight w:val="0"/>
      <w:marTop w:val="0"/>
      <w:marBottom w:val="0"/>
      <w:divBdr>
        <w:top w:val="none" w:sz="0" w:space="0" w:color="auto"/>
        <w:left w:val="none" w:sz="0" w:space="0" w:color="auto"/>
        <w:bottom w:val="none" w:sz="0" w:space="0" w:color="auto"/>
        <w:right w:val="none" w:sz="0" w:space="0" w:color="auto"/>
      </w:divBdr>
    </w:div>
    <w:div w:id="1602761852">
      <w:bodyDiv w:val="1"/>
      <w:marLeft w:val="0"/>
      <w:marRight w:val="0"/>
      <w:marTop w:val="0"/>
      <w:marBottom w:val="0"/>
      <w:divBdr>
        <w:top w:val="none" w:sz="0" w:space="0" w:color="auto"/>
        <w:left w:val="none" w:sz="0" w:space="0" w:color="auto"/>
        <w:bottom w:val="none" w:sz="0" w:space="0" w:color="auto"/>
        <w:right w:val="none" w:sz="0" w:space="0" w:color="auto"/>
      </w:divBdr>
    </w:div>
    <w:div w:id="1602910875">
      <w:bodyDiv w:val="1"/>
      <w:marLeft w:val="0"/>
      <w:marRight w:val="0"/>
      <w:marTop w:val="0"/>
      <w:marBottom w:val="0"/>
      <w:divBdr>
        <w:top w:val="none" w:sz="0" w:space="0" w:color="auto"/>
        <w:left w:val="none" w:sz="0" w:space="0" w:color="auto"/>
        <w:bottom w:val="none" w:sz="0" w:space="0" w:color="auto"/>
        <w:right w:val="none" w:sz="0" w:space="0" w:color="auto"/>
      </w:divBdr>
    </w:div>
    <w:div w:id="1603103831">
      <w:bodyDiv w:val="1"/>
      <w:marLeft w:val="0"/>
      <w:marRight w:val="0"/>
      <w:marTop w:val="0"/>
      <w:marBottom w:val="0"/>
      <w:divBdr>
        <w:top w:val="none" w:sz="0" w:space="0" w:color="auto"/>
        <w:left w:val="none" w:sz="0" w:space="0" w:color="auto"/>
        <w:bottom w:val="none" w:sz="0" w:space="0" w:color="auto"/>
        <w:right w:val="none" w:sz="0" w:space="0" w:color="auto"/>
      </w:divBdr>
    </w:div>
    <w:div w:id="1603105878">
      <w:bodyDiv w:val="1"/>
      <w:marLeft w:val="0"/>
      <w:marRight w:val="0"/>
      <w:marTop w:val="0"/>
      <w:marBottom w:val="0"/>
      <w:divBdr>
        <w:top w:val="none" w:sz="0" w:space="0" w:color="auto"/>
        <w:left w:val="none" w:sz="0" w:space="0" w:color="auto"/>
        <w:bottom w:val="none" w:sz="0" w:space="0" w:color="auto"/>
        <w:right w:val="none" w:sz="0" w:space="0" w:color="auto"/>
      </w:divBdr>
    </w:div>
    <w:div w:id="1603489875">
      <w:bodyDiv w:val="1"/>
      <w:marLeft w:val="0"/>
      <w:marRight w:val="0"/>
      <w:marTop w:val="0"/>
      <w:marBottom w:val="0"/>
      <w:divBdr>
        <w:top w:val="none" w:sz="0" w:space="0" w:color="auto"/>
        <w:left w:val="none" w:sz="0" w:space="0" w:color="auto"/>
        <w:bottom w:val="none" w:sz="0" w:space="0" w:color="auto"/>
        <w:right w:val="none" w:sz="0" w:space="0" w:color="auto"/>
      </w:divBdr>
    </w:div>
    <w:div w:id="1603799363">
      <w:bodyDiv w:val="1"/>
      <w:marLeft w:val="0"/>
      <w:marRight w:val="0"/>
      <w:marTop w:val="0"/>
      <w:marBottom w:val="0"/>
      <w:divBdr>
        <w:top w:val="none" w:sz="0" w:space="0" w:color="auto"/>
        <w:left w:val="none" w:sz="0" w:space="0" w:color="auto"/>
        <w:bottom w:val="none" w:sz="0" w:space="0" w:color="auto"/>
        <w:right w:val="none" w:sz="0" w:space="0" w:color="auto"/>
      </w:divBdr>
    </w:div>
    <w:div w:id="1603954454">
      <w:bodyDiv w:val="1"/>
      <w:marLeft w:val="0"/>
      <w:marRight w:val="0"/>
      <w:marTop w:val="0"/>
      <w:marBottom w:val="0"/>
      <w:divBdr>
        <w:top w:val="none" w:sz="0" w:space="0" w:color="auto"/>
        <w:left w:val="none" w:sz="0" w:space="0" w:color="auto"/>
        <w:bottom w:val="none" w:sz="0" w:space="0" w:color="auto"/>
        <w:right w:val="none" w:sz="0" w:space="0" w:color="auto"/>
      </w:divBdr>
      <w:divsChild>
        <w:div w:id="230390479">
          <w:marLeft w:val="0"/>
          <w:marRight w:val="0"/>
          <w:marTop w:val="0"/>
          <w:marBottom w:val="0"/>
          <w:divBdr>
            <w:top w:val="none" w:sz="0" w:space="0" w:color="auto"/>
            <w:left w:val="none" w:sz="0" w:space="0" w:color="auto"/>
            <w:bottom w:val="none" w:sz="0" w:space="0" w:color="auto"/>
            <w:right w:val="none" w:sz="0" w:space="0" w:color="auto"/>
          </w:divBdr>
        </w:div>
        <w:div w:id="2045205797">
          <w:marLeft w:val="0"/>
          <w:marRight w:val="0"/>
          <w:marTop w:val="0"/>
          <w:marBottom w:val="0"/>
          <w:divBdr>
            <w:top w:val="none" w:sz="0" w:space="0" w:color="auto"/>
            <w:left w:val="none" w:sz="0" w:space="0" w:color="auto"/>
            <w:bottom w:val="none" w:sz="0" w:space="0" w:color="auto"/>
            <w:right w:val="none" w:sz="0" w:space="0" w:color="auto"/>
          </w:divBdr>
        </w:div>
        <w:div w:id="2122214590">
          <w:marLeft w:val="0"/>
          <w:marRight w:val="0"/>
          <w:marTop w:val="0"/>
          <w:marBottom w:val="0"/>
          <w:divBdr>
            <w:top w:val="none" w:sz="0" w:space="0" w:color="auto"/>
            <w:left w:val="none" w:sz="0" w:space="0" w:color="auto"/>
            <w:bottom w:val="none" w:sz="0" w:space="0" w:color="auto"/>
            <w:right w:val="none" w:sz="0" w:space="0" w:color="auto"/>
          </w:divBdr>
        </w:div>
      </w:divsChild>
    </w:div>
    <w:div w:id="1604609382">
      <w:bodyDiv w:val="1"/>
      <w:marLeft w:val="0"/>
      <w:marRight w:val="0"/>
      <w:marTop w:val="0"/>
      <w:marBottom w:val="0"/>
      <w:divBdr>
        <w:top w:val="none" w:sz="0" w:space="0" w:color="auto"/>
        <w:left w:val="none" w:sz="0" w:space="0" w:color="auto"/>
        <w:bottom w:val="none" w:sz="0" w:space="0" w:color="auto"/>
        <w:right w:val="none" w:sz="0" w:space="0" w:color="auto"/>
      </w:divBdr>
    </w:div>
    <w:div w:id="1605923377">
      <w:bodyDiv w:val="1"/>
      <w:marLeft w:val="0"/>
      <w:marRight w:val="0"/>
      <w:marTop w:val="0"/>
      <w:marBottom w:val="0"/>
      <w:divBdr>
        <w:top w:val="none" w:sz="0" w:space="0" w:color="auto"/>
        <w:left w:val="none" w:sz="0" w:space="0" w:color="auto"/>
        <w:bottom w:val="none" w:sz="0" w:space="0" w:color="auto"/>
        <w:right w:val="none" w:sz="0" w:space="0" w:color="auto"/>
      </w:divBdr>
    </w:div>
    <w:div w:id="1606380403">
      <w:bodyDiv w:val="1"/>
      <w:marLeft w:val="0"/>
      <w:marRight w:val="0"/>
      <w:marTop w:val="0"/>
      <w:marBottom w:val="0"/>
      <w:divBdr>
        <w:top w:val="none" w:sz="0" w:space="0" w:color="auto"/>
        <w:left w:val="none" w:sz="0" w:space="0" w:color="auto"/>
        <w:bottom w:val="none" w:sz="0" w:space="0" w:color="auto"/>
        <w:right w:val="none" w:sz="0" w:space="0" w:color="auto"/>
      </w:divBdr>
    </w:div>
    <w:div w:id="1606385005">
      <w:bodyDiv w:val="1"/>
      <w:marLeft w:val="0"/>
      <w:marRight w:val="0"/>
      <w:marTop w:val="0"/>
      <w:marBottom w:val="0"/>
      <w:divBdr>
        <w:top w:val="none" w:sz="0" w:space="0" w:color="auto"/>
        <w:left w:val="none" w:sz="0" w:space="0" w:color="auto"/>
        <w:bottom w:val="none" w:sz="0" w:space="0" w:color="auto"/>
        <w:right w:val="none" w:sz="0" w:space="0" w:color="auto"/>
      </w:divBdr>
      <w:divsChild>
        <w:div w:id="773087581">
          <w:marLeft w:val="0"/>
          <w:marRight w:val="0"/>
          <w:marTop w:val="0"/>
          <w:marBottom w:val="0"/>
          <w:divBdr>
            <w:top w:val="none" w:sz="0" w:space="0" w:color="auto"/>
            <w:left w:val="none" w:sz="0" w:space="0" w:color="auto"/>
            <w:bottom w:val="none" w:sz="0" w:space="0" w:color="auto"/>
            <w:right w:val="none" w:sz="0" w:space="0" w:color="auto"/>
          </w:divBdr>
        </w:div>
        <w:div w:id="1511793305">
          <w:marLeft w:val="0"/>
          <w:marRight w:val="0"/>
          <w:marTop w:val="0"/>
          <w:marBottom w:val="0"/>
          <w:divBdr>
            <w:top w:val="none" w:sz="0" w:space="0" w:color="auto"/>
            <w:left w:val="none" w:sz="0" w:space="0" w:color="auto"/>
            <w:bottom w:val="none" w:sz="0" w:space="0" w:color="auto"/>
            <w:right w:val="none" w:sz="0" w:space="0" w:color="auto"/>
          </w:divBdr>
        </w:div>
        <w:div w:id="1214080240">
          <w:marLeft w:val="0"/>
          <w:marRight w:val="0"/>
          <w:marTop w:val="0"/>
          <w:marBottom w:val="0"/>
          <w:divBdr>
            <w:top w:val="none" w:sz="0" w:space="0" w:color="auto"/>
            <w:left w:val="none" w:sz="0" w:space="0" w:color="auto"/>
            <w:bottom w:val="none" w:sz="0" w:space="0" w:color="auto"/>
            <w:right w:val="none" w:sz="0" w:space="0" w:color="auto"/>
          </w:divBdr>
        </w:div>
        <w:div w:id="1668435387">
          <w:marLeft w:val="0"/>
          <w:marRight w:val="0"/>
          <w:marTop w:val="0"/>
          <w:marBottom w:val="0"/>
          <w:divBdr>
            <w:top w:val="none" w:sz="0" w:space="0" w:color="auto"/>
            <w:left w:val="none" w:sz="0" w:space="0" w:color="auto"/>
            <w:bottom w:val="none" w:sz="0" w:space="0" w:color="auto"/>
            <w:right w:val="none" w:sz="0" w:space="0" w:color="auto"/>
          </w:divBdr>
        </w:div>
        <w:div w:id="421756698">
          <w:marLeft w:val="0"/>
          <w:marRight w:val="0"/>
          <w:marTop w:val="0"/>
          <w:marBottom w:val="0"/>
          <w:divBdr>
            <w:top w:val="none" w:sz="0" w:space="0" w:color="auto"/>
            <w:left w:val="none" w:sz="0" w:space="0" w:color="auto"/>
            <w:bottom w:val="none" w:sz="0" w:space="0" w:color="auto"/>
            <w:right w:val="none" w:sz="0" w:space="0" w:color="auto"/>
          </w:divBdr>
        </w:div>
        <w:div w:id="704210665">
          <w:marLeft w:val="0"/>
          <w:marRight w:val="0"/>
          <w:marTop w:val="0"/>
          <w:marBottom w:val="0"/>
          <w:divBdr>
            <w:top w:val="none" w:sz="0" w:space="0" w:color="auto"/>
            <w:left w:val="none" w:sz="0" w:space="0" w:color="auto"/>
            <w:bottom w:val="none" w:sz="0" w:space="0" w:color="auto"/>
            <w:right w:val="none" w:sz="0" w:space="0" w:color="auto"/>
          </w:divBdr>
        </w:div>
        <w:div w:id="591083052">
          <w:marLeft w:val="0"/>
          <w:marRight w:val="0"/>
          <w:marTop w:val="0"/>
          <w:marBottom w:val="0"/>
          <w:divBdr>
            <w:top w:val="none" w:sz="0" w:space="0" w:color="auto"/>
            <w:left w:val="none" w:sz="0" w:space="0" w:color="auto"/>
            <w:bottom w:val="none" w:sz="0" w:space="0" w:color="auto"/>
            <w:right w:val="none" w:sz="0" w:space="0" w:color="auto"/>
          </w:divBdr>
        </w:div>
      </w:divsChild>
    </w:div>
    <w:div w:id="1607545542">
      <w:bodyDiv w:val="1"/>
      <w:marLeft w:val="0"/>
      <w:marRight w:val="0"/>
      <w:marTop w:val="0"/>
      <w:marBottom w:val="0"/>
      <w:divBdr>
        <w:top w:val="none" w:sz="0" w:space="0" w:color="auto"/>
        <w:left w:val="none" w:sz="0" w:space="0" w:color="auto"/>
        <w:bottom w:val="none" w:sz="0" w:space="0" w:color="auto"/>
        <w:right w:val="none" w:sz="0" w:space="0" w:color="auto"/>
      </w:divBdr>
    </w:div>
    <w:div w:id="1608197540">
      <w:bodyDiv w:val="1"/>
      <w:marLeft w:val="0"/>
      <w:marRight w:val="0"/>
      <w:marTop w:val="0"/>
      <w:marBottom w:val="0"/>
      <w:divBdr>
        <w:top w:val="none" w:sz="0" w:space="0" w:color="auto"/>
        <w:left w:val="none" w:sz="0" w:space="0" w:color="auto"/>
        <w:bottom w:val="none" w:sz="0" w:space="0" w:color="auto"/>
        <w:right w:val="none" w:sz="0" w:space="0" w:color="auto"/>
      </w:divBdr>
    </w:div>
    <w:div w:id="1608387273">
      <w:bodyDiv w:val="1"/>
      <w:marLeft w:val="0"/>
      <w:marRight w:val="0"/>
      <w:marTop w:val="0"/>
      <w:marBottom w:val="0"/>
      <w:divBdr>
        <w:top w:val="none" w:sz="0" w:space="0" w:color="auto"/>
        <w:left w:val="none" w:sz="0" w:space="0" w:color="auto"/>
        <w:bottom w:val="none" w:sz="0" w:space="0" w:color="auto"/>
        <w:right w:val="none" w:sz="0" w:space="0" w:color="auto"/>
      </w:divBdr>
    </w:div>
    <w:div w:id="1608585415">
      <w:bodyDiv w:val="1"/>
      <w:marLeft w:val="0"/>
      <w:marRight w:val="0"/>
      <w:marTop w:val="0"/>
      <w:marBottom w:val="0"/>
      <w:divBdr>
        <w:top w:val="none" w:sz="0" w:space="0" w:color="auto"/>
        <w:left w:val="none" w:sz="0" w:space="0" w:color="auto"/>
        <w:bottom w:val="none" w:sz="0" w:space="0" w:color="auto"/>
        <w:right w:val="none" w:sz="0" w:space="0" w:color="auto"/>
      </w:divBdr>
    </w:div>
    <w:div w:id="1609318049">
      <w:bodyDiv w:val="1"/>
      <w:marLeft w:val="0"/>
      <w:marRight w:val="0"/>
      <w:marTop w:val="0"/>
      <w:marBottom w:val="0"/>
      <w:divBdr>
        <w:top w:val="none" w:sz="0" w:space="0" w:color="auto"/>
        <w:left w:val="none" w:sz="0" w:space="0" w:color="auto"/>
        <w:bottom w:val="none" w:sz="0" w:space="0" w:color="auto"/>
        <w:right w:val="none" w:sz="0" w:space="0" w:color="auto"/>
      </w:divBdr>
    </w:div>
    <w:div w:id="1610089981">
      <w:bodyDiv w:val="1"/>
      <w:marLeft w:val="0"/>
      <w:marRight w:val="0"/>
      <w:marTop w:val="0"/>
      <w:marBottom w:val="0"/>
      <w:divBdr>
        <w:top w:val="none" w:sz="0" w:space="0" w:color="auto"/>
        <w:left w:val="none" w:sz="0" w:space="0" w:color="auto"/>
        <w:bottom w:val="none" w:sz="0" w:space="0" w:color="auto"/>
        <w:right w:val="none" w:sz="0" w:space="0" w:color="auto"/>
      </w:divBdr>
    </w:div>
    <w:div w:id="1611399182">
      <w:bodyDiv w:val="1"/>
      <w:marLeft w:val="0"/>
      <w:marRight w:val="0"/>
      <w:marTop w:val="0"/>
      <w:marBottom w:val="0"/>
      <w:divBdr>
        <w:top w:val="none" w:sz="0" w:space="0" w:color="auto"/>
        <w:left w:val="none" w:sz="0" w:space="0" w:color="auto"/>
        <w:bottom w:val="none" w:sz="0" w:space="0" w:color="auto"/>
        <w:right w:val="none" w:sz="0" w:space="0" w:color="auto"/>
      </w:divBdr>
    </w:div>
    <w:div w:id="1612584867">
      <w:bodyDiv w:val="1"/>
      <w:marLeft w:val="0"/>
      <w:marRight w:val="0"/>
      <w:marTop w:val="0"/>
      <w:marBottom w:val="0"/>
      <w:divBdr>
        <w:top w:val="none" w:sz="0" w:space="0" w:color="auto"/>
        <w:left w:val="none" w:sz="0" w:space="0" w:color="auto"/>
        <w:bottom w:val="none" w:sz="0" w:space="0" w:color="auto"/>
        <w:right w:val="none" w:sz="0" w:space="0" w:color="auto"/>
      </w:divBdr>
    </w:div>
    <w:div w:id="1614289262">
      <w:bodyDiv w:val="1"/>
      <w:marLeft w:val="0"/>
      <w:marRight w:val="0"/>
      <w:marTop w:val="0"/>
      <w:marBottom w:val="0"/>
      <w:divBdr>
        <w:top w:val="none" w:sz="0" w:space="0" w:color="auto"/>
        <w:left w:val="none" w:sz="0" w:space="0" w:color="auto"/>
        <w:bottom w:val="none" w:sz="0" w:space="0" w:color="auto"/>
        <w:right w:val="none" w:sz="0" w:space="0" w:color="auto"/>
      </w:divBdr>
    </w:div>
    <w:div w:id="1614747217">
      <w:bodyDiv w:val="1"/>
      <w:marLeft w:val="0"/>
      <w:marRight w:val="0"/>
      <w:marTop w:val="0"/>
      <w:marBottom w:val="0"/>
      <w:divBdr>
        <w:top w:val="none" w:sz="0" w:space="0" w:color="auto"/>
        <w:left w:val="none" w:sz="0" w:space="0" w:color="auto"/>
        <w:bottom w:val="none" w:sz="0" w:space="0" w:color="auto"/>
        <w:right w:val="none" w:sz="0" w:space="0" w:color="auto"/>
      </w:divBdr>
    </w:div>
    <w:div w:id="1614826910">
      <w:bodyDiv w:val="1"/>
      <w:marLeft w:val="0"/>
      <w:marRight w:val="0"/>
      <w:marTop w:val="0"/>
      <w:marBottom w:val="0"/>
      <w:divBdr>
        <w:top w:val="none" w:sz="0" w:space="0" w:color="auto"/>
        <w:left w:val="none" w:sz="0" w:space="0" w:color="auto"/>
        <w:bottom w:val="none" w:sz="0" w:space="0" w:color="auto"/>
        <w:right w:val="none" w:sz="0" w:space="0" w:color="auto"/>
      </w:divBdr>
    </w:div>
    <w:div w:id="1615822573">
      <w:bodyDiv w:val="1"/>
      <w:marLeft w:val="0"/>
      <w:marRight w:val="0"/>
      <w:marTop w:val="0"/>
      <w:marBottom w:val="0"/>
      <w:divBdr>
        <w:top w:val="none" w:sz="0" w:space="0" w:color="auto"/>
        <w:left w:val="none" w:sz="0" w:space="0" w:color="auto"/>
        <w:bottom w:val="none" w:sz="0" w:space="0" w:color="auto"/>
        <w:right w:val="none" w:sz="0" w:space="0" w:color="auto"/>
      </w:divBdr>
    </w:div>
    <w:div w:id="1616863504">
      <w:bodyDiv w:val="1"/>
      <w:marLeft w:val="0"/>
      <w:marRight w:val="0"/>
      <w:marTop w:val="0"/>
      <w:marBottom w:val="0"/>
      <w:divBdr>
        <w:top w:val="none" w:sz="0" w:space="0" w:color="auto"/>
        <w:left w:val="none" w:sz="0" w:space="0" w:color="auto"/>
        <w:bottom w:val="none" w:sz="0" w:space="0" w:color="auto"/>
        <w:right w:val="none" w:sz="0" w:space="0" w:color="auto"/>
      </w:divBdr>
    </w:div>
    <w:div w:id="1616987460">
      <w:bodyDiv w:val="1"/>
      <w:marLeft w:val="0"/>
      <w:marRight w:val="0"/>
      <w:marTop w:val="0"/>
      <w:marBottom w:val="0"/>
      <w:divBdr>
        <w:top w:val="none" w:sz="0" w:space="0" w:color="auto"/>
        <w:left w:val="none" w:sz="0" w:space="0" w:color="auto"/>
        <w:bottom w:val="none" w:sz="0" w:space="0" w:color="auto"/>
        <w:right w:val="none" w:sz="0" w:space="0" w:color="auto"/>
      </w:divBdr>
    </w:div>
    <w:div w:id="1617102161">
      <w:bodyDiv w:val="1"/>
      <w:marLeft w:val="0"/>
      <w:marRight w:val="0"/>
      <w:marTop w:val="0"/>
      <w:marBottom w:val="0"/>
      <w:divBdr>
        <w:top w:val="none" w:sz="0" w:space="0" w:color="auto"/>
        <w:left w:val="none" w:sz="0" w:space="0" w:color="auto"/>
        <w:bottom w:val="none" w:sz="0" w:space="0" w:color="auto"/>
        <w:right w:val="none" w:sz="0" w:space="0" w:color="auto"/>
      </w:divBdr>
    </w:div>
    <w:div w:id="1617562736">
      <w:bodyDiv w:val="1"/>
      <w:marLeft w:val="0"/>
      <w:marRight w:val="0"/>
      <w:marTop w:val="0"/>
      <w:marBottom w:val="0"/>
      <w:divBdr>
        <w:top w:val="none" w:sz="0" w:space="0" w:color="auto"/>
        <w:left w:val="none" w:sz="0" w:space="0" w:color="auto"/>
        <w:bottom w:val="none" w:sz="0" w:space="0" w:color="auto"/>
        <w:right w:val="none" w:sz="0" w:space="0" w:color="auto"/>
      </w:divBdr>
    </w:div>
    <w:div w:id="1617786778">
      <w:bodyDiv w:val="1"/>
      <w:marLeft w:val="0"/>
      <w:marRight w:val="0"/>
      <w:marTop w:val="0"/>
      <w:marBottom w:val="0"/>
      <w:divBdr>
        <w:top w:val="none" w:sz="0" w:space="0" w:color="auto"/>
        <w:left w:val="none" w:sz="0" w:space="0" w:color="auto"/>
        <w:bottom w:val="none" w:sz="0" w:space="0" w:color="auto"/>
        <w:right w:val="none" w:sz="0" w:space="0" w:color="auto"/>
      </w:divBdr>
    </w:div>
    <w:div w:id="1618558446">
      <w:bodyDiv w:val="1"/>
      <w:marLeft w:val="0"/>
      <w:marRight w:val="0"/>
      <w:marTop w:val="0"/>
      <w:marBottom w:val="0"/>
      <w:divBdr>
        <w:top w:val="none" w:sz="0" w:space="0" w:color="auto"/>
        <w:left w:val="none" w:sz="0" w:space="0" w:color="auto"/>
        <w:bottom w:val="none" w:sz="0" w:space="0" w:color="auto"/>
        <w:right w:val="none" w:sz="0" w:space="0" w:color="auto"/>
      </w:divBdr>
    </w:div>
    <w:div w:id="1619069849">
      <w:bodyDiv w:val="1"/>
      <w:marLeft w:val="0"/>
      <w:marRight w:val="0"/>
      <w:marTop w:val="0"/>
      <w:marBottom w:val="0"/>
      <w:divBdr>
        <w:top w:val="none" w:sz="0" w:space="0" w:color="auto"/>
        <w:left w:val="none" w:sz="0" w:space="0" w:color="auto"/>
        <w:bottom w:val="none" w:sz="0" w:space="0" w:color="auto"/>
        <w:right w:val="none" w:sz="0" w:space="0" w:color="auto"/>
      </w:divBdr>
    </w:div>
    <w:div w:id="1621913164">
      <w:bodyDiv w:val="1"/>
      <w:marLeft w:val="0"/>
      <w:marRight w:val="0"/>
      <w:marTop w:val="0"/>
      <w:marBottom w:val="0"/>
      <w:divBdr>
        <w:top w:val="none" w:sz="0" w:space="0" w:color="auto"/>
        <w:left w:val="none" w:sz="0" w:space="0" w:color="auto"/>
        <w:bottom w:val="none" w:sz="0" w:space="0" w:color="auto"/>
        <w:right w:val="none" w:sz="0" w:space="0" w:color="auto"/>
      </w:divBdr>
    </w:div>
    <w:div w:id="1622028508">
      <w:bodyDiv w:val="1"/>
      <w:marLeft w:val="0"/>
      <w:marRight w:val="0"/>
      <w:marTop w:val="0"/>
      <w:marBottom w:val="0"/>
      <w:divBdr>
        <w:top w:val="none" w:sz="0" w:space="0" w:color="auto"/>
        <w:left w:val="none" w:sz="0" w:space="0" w:color="auto"/>
        <w:bottom w:val="none" w:sz="0" w:space="0" w:color="auto"/>
        <w:right w:val="none" w:sz="0" w:space="0" w:color="auto"/>
      </w:divBdr>
    </w:div>
    <w:div w:id="1622540878">
      <w:bodyDiv w:val="1"/>
      <w:marLeft w:val="0"/>
      <w:marRight w:val="0"/>
      <w:marTop w:val="0"/>
      <w:marBottom w:val="0"/>
      <w:divBdr>
        <w:top w:val="none" w:sz="0" w:space="0" w:color="auto"/>
        <w:left w:val="none" w:sz="0" w:space="0" w:color="auto"/>
        <w:bottom w:val="none" w:sz="0" w:space="0" w:color="auto"/>
        <w:right w:val="none" w:sz="0" w:space="0" w:color="auto"/>
      </w:divBdr>
    </w:div>
    <w:div w:id="1622565473">
      <w:bodyDiv w:val="1"/>
      <w:marLeft w:val="0"/>
      <w:marRight w:val="0"/>
      <w:marTop w:val="0"/>
      <w:marBottom w:val="0"/>
      <w:divBdr>
        <w:top w:val="none" w:sz="0" w:space="0" w:color="auto"/>
        <w:left w:val="none" w:sz="0" w:space="0" w:color="auto"/>
        <w:bottom w:val="none" w:sz="0" w:space="0" w:color="auto"/>
        <w:right w:val="none" w:sz="0" w:space="0" w:color="auto"/>
      </w:divBdr>
    </w:div>
    <w:div w:id="1622762223">
      <w:bodyDiv w:val="1"/>
      <w:marLeft w:val="0"/>
      <w:marRight w:val="0"/>
      <w:marTop w:val="0"/>
      <w:marBottom w:val="0"/>
      <w:divBdr>
        <w:top w:val="none" w:sz="0" w:space="0" w:color="auto"/>
        <w:left w:val="none" w:sz="0" w:space="0" w:color="auto"/>
        <w:bottom w:val="none" w:sz="0" w:space="0" w:color="auto"/>
        <w:right w:val="none" w:sz="0" w:space="0" w:color="auto"/>
      </w:divBdr>
    </w:div>
    <w:div w:id="1623681664">
      <w:bodyDiv w:val="1"/>
      <w:marLeft w:val="0"/>
      <w:marRight w:val="0"/>
      <w:marTop w:val="0"/>
      <w:marBottom w:val="0"/>
      <w:divBdr>
        <w:top w:val="none" w:sz="0" w:space="0" w:color="auto"/>
        <w:left w:val="none" w:sz="0" w:space="0" w:color="auto"/>
        <w:bottom w:val="none" w:sz="0" w:space="0" w:color="auto"/>
        <w:right w:val="none" w:sz="0" w:space="0" w:color="auto"/>
      </w:divBdr>
    </w:div>
    <w:div w:id="1625039301">
      <w:bodyDiv w:val="1"/>
      <w:marLeft w:val="0"/>
      <w:marRight w:val="0"/>
      <w:marTop w:val="0"/>
      <w:marBottom w:val="0"/>
      <w:divBdr>
        <w:top w:val="none" w:sz="0" w:space="0" w:color="auto"/>
        <w:left w:val="none" w:sz="0" w:space="0" w:color="auto"/>
        <w:bottom w:val="none" w:sz="0" w:space="0" w:color="auto"/>
        <w:right w:val="none" w:sz="0" w:space="0" w:color="auto"/>
      </w:divBdr>
    </w:div>
    <w:div w:id="1625308604">
      <w:bodyDiv w:val="1"/>
      <w:marLeft w:val="0"/>
      <w:marRight w:val="0"/>
      <w:marTop w:val="0"/>
      <w:marBottom w:val="0"/>
      <w:divBdr>
        <w:top w:val="none" w:sz="0" w:space="0" w:color="auto"/>
        <w:left w:val="none" w:sz="0" w:space="0" w:color="auto"/>
        <w:bottom w:val="none" w:sz="0" w:space="0" w:color="auto"/>
        <w:right w:val="none" w:sz="0" w:space="0" w:color="auto"/>
      </w:divBdr>
    </w:div>
    <w:div w:id="1625498118">
      <w:bodyDiv w:val="1"/>
      <w:marLeft w:val="0"/>
      <w:marRight w:val="0"/>
      <w:marTop w:val="0"/>
      <w:marBottom w:val="0"/>
      <w:divBdr>
        <w:top w:val="none" w:sz="0" w:space="0" w:color="auto"/>
        <w:left w:val="none" w:sz="0" w:space="0" w:color="auto"/>
        <w:bottom w:val="none" w:sz="0" w:space="0" w:color="auto"/>
        <w:right w:val="none" w:sz="0" w:space="0" w:color="auto"/>
      </w:divBdr>
    </w:div>
    <w:div w:id="1626084546">
      <w:bodyDiv w:val="1"/>
      <w:marLeft w:val="0"/>
      <w:marRight w:val="0"/>
      <w:marTop w:val="0"/>
      <w:marBottom w:val="0"/>
      <w:divBdr>
        <w:top w:val="none" w:sz="0" w:space="0" w:color="auto"/>
        <w:left w:val="none" w:sz="0" w:space="0" w:color="auto"/>
        <w:bottom w:val="none" w:sz="0" w:space="0" w:color="auto"/>
        <w:right w:val="none" w:sz="0" w:space="0" w:color="auto"/>
      </w:divBdr>
    </w:div>
    <w:div w:id="1626539977">
      <w:bodyDiv w:val="1"/>
      <w:marLeft w:val="0"/>
      <w:marRight w:val="0"/>
      <w:marTop w:val="0"/>
      <w:marBottom w:val="0"/>
      <w:divBdr>
        <w:top w:val="none" w:sz="0" w:space="0" w:color="auto"/>
        <w:left w:val="none" w:sz="0" w:space="0" w:color="auto"/>
        <w:bottom w:val="none" w:sz="0" w:space="0" w:color="auto"/>
        <w:right w:val="none" w:sz="0" w:space="0" w:color="auto"/>
      </w:divBdr>
    </w:div>
    <w:div w:id="1626548113">
      <w:bodyDiv w:val="1"/>
      <w:marLeft w:val="0"/>
      <w:marRight w:val="0"/>
      <w:marTop w:val="0"/>
      <w:marBottom w:val="0"/>
      <w:divBdr>
        <w:top w:val="none" w:sz="0" w:space="0" w:color="auto"/>
        <w:left w:val="none" w:sz="0" w:space="0" w:color="auto"/>
        <w:bottom w:val="none" w:sz="0" w:space="0" w:color="auto"/>
        <w:right w:val="none" w:sz="0" w:space="0" w:color="auto"/>
      </w:divBdr>
    </w:div>
    <w:div w:id="1626689819">
      <w:bodyDiv w:val="1"/>
      <w:marLeft w:val="0"/>
      <w:marRight w:val="0"/>
      <w:marTop w:val="0"/>
      <w:marBottom w:val="0"/>
      <w:divBdr>
        <w:top w:val="none" w:sz="0" w:space="0" w:color="auto"/>
        <w:left w:val="none" w:sz="0" w:space="0" w:color="auto"/>
        <w:bottom w:val="none" w:sz="0" w:space="0" w:color="auto"/>
        <w:right w:val="none" w:sz="0" w:space="0" w:color="auto"/>
      </w:divBdr>
    </w:div>
    <w:div w:id="1630164578">
      <w:bodyDiv w:val="1"/>
      <w:marLeft w:val="0"/>
      <w:marRight w:val="0"/>
      <w:marTop w:val="0"/>
      <w:marBottom w:val="0"/>
      <w:divBdr>
        <w:top w:val="none" w:sz="0" w:space="0" w:color="auto"/>
        <w:left w:val="none" w:sz="0" w:space="0" w:color="auto"/>
        <w:bottom w:val="none" w:sz="0" w:space="0" w:color="auto"/>
        <w:right w:val="none" w:sz="0" w:space="0" w:color="auto"/>
      </w:divBdr>
    </w:div>
    <w:div w:id="1633171610">
      <w:bodyDiv w:val="1"/>
      <w:marLeft w:val="0"/>
      <w:marRight w:val="0"/>
      <w:marTop w:val="0"/>
      <w:marBottom w:val="0"/>
      <w:divBdr>
        <w:top w:val="none" w:sz="0" w:space="0" w:color="auto"/>
        <w:left w:val="none" w:sz="0" w:space="0" w:color="auto"/>
        <w:bottom w:val="none" w:sz="0" w:space="0" w:color="auto"/>
        <w:right w:val="none" w:sz="0" w:space="0" w:color="auto"/>
      </w:divBdr>
    </w:div>
    <w:div w:id="1635214423">
      <w:bodyDiv w:val="1"/>
      <w:marLeft w:val="0"/>
      <w:marRight w:val="0"/>
      <w:marTop w:val="0"/>
      <w:marBottom w:val="0"/>
      <w:divBdr>
        <w:top w:val="none" w:sz="0" w:space="0" w:color="auto"/>
        <w:left w:val="none" w:sz="0" w:space="0" w:color="auto"/>
        <w:bottom w:val="none" w:sz="0" w:space="0" w:color="auto"/>
        <w:right w:val="none" w:sz="0" w:space="0" w:color="auto"/>
      </w:divBdr>
    </w:div>
    <w:div w:id="1635481755">
      <w:bodyDiv w:val="1"/>
      <w:marLeft w:val="0"/>
      <w:marRight w:val="0"/>
      <w:marTop w:val="0"/>
      <w:marBottom w:val="0"/>
      <w:divBdr>
        <w:top w:val="none" w:sz="0" w:space="0" w:color="auto"/>
        <w:left w:val="none" w:sz="0" w:space="0" w:color="auto"/>
        <w:bottom w:val="none" w:sz="0" w:space="0" w:color="auto"/>
        <w:right w:val="none" w:sz="0" w:space="0" w:color="auto"/>
      </w:divBdr>
    </w:div>
    <w:div w:id="1636834090">
      <w:bodyDiv w:val="1"/>
      <w:marLeft w:val="0"/>
      <w:marRight w:val="0"/>
      <w:marTop w:val="0"/>
      <w:marBottom w:val="0"/>
      <w:divBdr>
        <w:top w:val="none" w:sz="0" w:space="0" w:color="auto"/>
        <w:left w:val="none" w:sz="0" w:space="0" w:color="auto"/>
        <w:bottom w:val="none" w:sz="0" w:space="0" w:color="auto"/>
        <w:right w:val="none" w:sz="0" w:space="0" w:color="auto"/>
      </w:divBdr>
    </w:div>
    <w:div w:id="1637024749">
      <w:bodyDiv w:val="1"/>
      <w:marLeft w:val="0"/>
      <w:marRight w:val="0"/>
      <w:marTop w:val="0"/>
      <w:marBottom w:val="0"/>
      <w:divBdr>
        <w:top w:val="none" w:sz="0" w:space="0" w:color="auto"/>
        <w:left w:val="none" w:sz="0" w:space="0" w:color="auto"/>
        <w:bottom w:val="none" w:sz="0" w:space="0" w:color="auto"/>
        <w:right w:val="none" w:sz="0" w:space="0" w:color="auto"/>
      </w:divBdr>
    </w:div>
    <w:div w:id="1637564932">
      <w:bodyDiv w:val="1"/>
      <w:marLeft w:val="0"/>
      <w:marRight w:val="0"/>
      <w:marTop w:val="0"/>
      <w:marBottom w:val="0"/>
      <w:divBdr>
        <w:top w:val="none" w:sz="0" w:space="0" w:color="auto"/>
        <w:left w:val="none" w:sz="0" w:space="0" w:color="auto"/>
        <w:bottom w:val="none" w:sz="0" w:space="0" w:color="auto"/>
        <w:right w:val="none" w:sz="0" w:space="0" w:color="auto"/>
      </w:divBdr>
    </w:div>
    <w:div w:id="1637833298">
      <w:bodyDiv w:val="1"/>
      <w:marLeft w:val="0"/>
      <w:marRight w:val="0"/>
      <w:marTop w:val="0"/>
      <w:marBottom w:val="0"/>
      <w:divBdr>
        <w:top w:val="none" w:sz="0" w:space="0" w:color="auto"/>
        <w:left w:val="none" w:sz="0" w:space="0" w:color="auto"/>
        <w:bottom w:val="none" w:sz="0" w:space="0" w:color="auto"/>
        <w:right w:val="none" w:sz="0" w:space="0" w:color="auto"/>
      </w:divBdr>
    </w:div>
    <w:div w:id="1638023508">
      <w:bodyDiv w:val="1"/>
      <w:marLeft w:val="0"/>
      <w:marRight w:val="0"/>
      <w:marTop w:val="0"/>
      <w:marBottom w:val="0"/>
      <w:divBdr>
        <w:top w:val="none" w:sz="0" w:space="0" w:color="auto"/>
        <w:left w:val="none" w:sz="0" w:space="0" w:color="auto"/>
        <w:bottom w:val="none" w:sz="0" w:space="0" w:color="auto"/>
        <w:right w:val="none" w:sz="0" w:space="0" w:color="auto"/>
      </w:divBdr>
    </w:div>
    <w:div w:id="1638217131">
      <w:bodyDiv w:val="1"/>
      <w:marLeft w:val="0"/>
      <w:marRight w:val="0"/>
      <w:marTop w:val="0"/>
      <w:marBottom w:val="0"/>
      <w:divBdr>
        <w:top w:val="none" w:sz="0" w:space="0" w:color="auto"/>
        <w:left w:val="none" w:sz="0" w:space="0" w:color="auto"/>
        <w:bottom w:val="none" w:sz="0" w:space="0" w:color="auto"/>
        <w:right w:val="none" w:sz="0" w:space="0" w:color="auto"/>
      </w:divBdr>
    </w:div>
    <w:div w:id="1638800528">
      <w:bodyDiv w:val="1"/>
      <w:marLeft w:val="0"/>
      <w:marRight w:val="0"/>
      <w:marTop w:val="0"/>
      <w:marBottom w:val="0"/>
      <w:divBdr>
        <w:top w:val="none" w:sz="0" w:space="0" w:color="auto"/>
        <w:left w:val="none" w:sz="0" w:space="0" w:color="auto"/>
        <w:bottom w:val="none" w:sz="0" w:space="0" w:color="auto"/>
        <w:right w:val="none" w:sz="0" w:space="0" w:color="auto"/>
      </w:divBdr>
    </w:div>
    <w:div w:id="1638994152">
      <w:bodyDiv w:val="1"/>
      <w:marLeft w:val="0"/>
      <w:marRight w:val="0"/>
      <w:marTop w:val="0"/>
      <w:marBottom w:val="0"/>
      <w:divBdr>
        <w:top w:val="none" w:sz="0" w:space="0" w:color="auto"/>
        <w:left w:val="none" w:sz="0" w:space="0" w:color="auto"/>
        <w:bottom w:val="none" w:sz="0" w:space="0" w:color="auto"/>
        <w:right w:val="none" w:sz="0" w:space="0" w:color="auto"/>
      </w:divBdr>
    </w:div>
    <w:div w:id="1639186997">
      <w:bodyDiv w:val="1"/>
      <w:marLeft w:val="0"/>
      <w:marRight w:val="0"/>
      <w:marTop w:val="0"/>
      <w:marBottom w:val="0"/>
      <w:divBdr>
        <w:top w:val="none" w:sz="0" w:space="0" w:color="auto"/>
        <w:left w:val="none" w:sz="0" w:space="0" w:color="auto"/>
        <w:bottom w:val="none" w:sz="0" w:space="0" w:color="auto"/>
        <w:right w:val="none" w:sz="0" w:space="0" w:color="auto"/>
      </w:divBdr>
    </w:div>
    <w:div w:id="1639266597">
      <w:bodyDiv w:val="1"/>
      <w:marLeft w:val="0"/>
      <w:marRight w:val="0"/>
      <w:marTop w:val="0"/>
      <w:marBottom w:val="0"/>
      <w:divBdr>
        <w:top w:val="none" w:sz="0" w:space="0" w:color="auto"/>
        <w:left w:val="none" w:sz="0" w:space="0" w:color="auto"/>
        <w:bottom w:val="none" w:sz="0" w:space="0" w:color="auto"/>
        <w:right w:val="none" w:sz="0" w:space="0" w:color="auto"/>
      </w:divBdr>
    </w:div>
    <w:div w:id="1639843520">
      <w:bodyDiv w:val="1"/>
      <w:marLeft w:val="0"/>
      <w:marRight w:val="0"/>
      <w:marTop w:val="0"/>
      <w:marBottom w:val="0"/>
      <w:divBdr>
        <w:top w:val="none" w:sz="0" w:space="0" w:color="auto"/>
        <w:left w:val="none" w:sz="0" w:space="0" w:color="auto"/>
        <w:bottom w:val="none" w:sz="0" w:space="0" w:color="auto"/>
        <w:right w:val="none" w:sz="0" w:space="0" w:color="auto"/>
      </w:divBdr>
    </w:div>
    <w:div w:id="1639916734">
      <w:bodyDiv w:val="1"/>
      <w:marLeft w:val="0"/>
      <w:marRight w:val="0"/>
      <w:marTop w:val="0"/>
      <w:marBottom w:val="0"/>
      <w:divBdr>
        <w:top w:val="none" w:sz="0" w:space="0" w:color="auto"/>
        <w:left w:val="none" w:sz="0" w:space="0" w:color="auto"/>
        <w:bottom w:val="none" w:sz="0" w:space="0" w:color="auto"/>
        <w:right w:val="none" w:sz="0" w:space="0" w:color="auto"/>
      </w:divBdr>
    </w:div>
    <w:div w:id="1641108046">
      <w:bodyDiv w:val="1"/>
      <w:marLeft w:val="0"/>
      <w:marRight w:val="0"/>
      <w:marTop w:val="0"/>
      <w:marBottom w:val="0"/>
      <w:divBdr>
        <w:top w:val="none" w:sz="0" w:space="0" w:color="auto"/>
        <w:left w:val="none" w:sz="0" w:space="0" w:color="auto"/>
        <w:bottom w:val="none" w:sz="0" w:space="0" w:color="auto"/>
        <w:right w:val="none" w:sz="0" w:space="0" w:color="auto"/>
      </w:divBdr>
    </w:div>
    <w:div w:id="1642078857">
      <w:bodyDiv w:val="1"/>
      <w:marLeft w:val="0"/>
      <w:marRight w:val="0"/>
      <w:marTop w:val="0"/>
      <w:marBottom w:val="0"/>
      <w:divBdr>
        <w:top w:val="none" w:sz="0" w:space="0" w:color="auto"/>
        <w:left w:val="none" w:sz="0" w:space="0" w:color="auto"/>
        <w:bottom w:val="none" w:sz="0" w:space="0" w:color="auto"/>
        <w:right w:val="none" w:sz="0" w:space="0" w:color="auto"/>
      </w:divBdr>
    </w:div>
    <w:div w:id="1643074935">
      <w:bodyDiv w:val="1"/>
      <w:marLeft w:val="0"/>
      <w:marRight w:val="0"/>
      <w:marTop w:val="0"/>
      <w:marBottom w:val="0"/>
      <w:divBdr>
        <w:top w:val="none" w:sz="0" w:space="0" w:color="auto"/>
        <w:left w:val="none" w:sz="0" w:space="0" w:color="auto"/>
        <w:bottom w:val="none" w:sz="0" w:space="0" w:color="auto"/>
        <w:right w:val="none" w:sz="0" w:space="0" w:color="auto"/>
      </w:divBdr>
    </w:div>
    <w:div w:id="1643079813">
      <w:bodyDiv w:val="1"/>
      <w:marLeft w:val="0"/>
      <w:marRight w:val="0"/>
      <w:marTop w:val="0"/>
      <w:marBottom w:val="0"/>
      <w:divBdr>
        <w:top w:val="none" w:sz="0" w:space="0" w:color="auto"/>
        <w:left w:val="none" w:sz="0" w:space="0" w:color="auto"/>
        <w:bottom w:val="none" w:sz="0" w:space="0" w:color="auto"/>
        <w:right w:val="none" w:sz="0" w:space="0" w:color="auto"/>
      </w:divBdr>
    </w:div>
    <w:div w:id="1643193990">
      <w:bodyDiv w:val="1"/>
      <w:marLeft w:val="0"/>
      <w:marRight w:val="0"/>
      <w:marTop w:val="0"/>
      <w:marBottom w:val="0"/>
      <w:divBdr>
        <w:top w:val="none" w:sz="0" w:space="0" w:color="auto"/>
        <w:left w:val="none" w:sz="0" w:space="0" w:color="auto"/>
        <w:bottom w:val="none" w:sz="0" w:space="0" w:color="auto"/>
        <w:right w:val="none" w:sz="0" w:space="0" w:color="auto"/>
      </w:divBdr>
    </w:div>
    <w:div w:id="1643344311">
      <w:bodyDiv w:val="1"/>
      <w:marLeft w:val="0"/>
      <w:marRight w:val="0"/>
      <w:marTop w:val="0"/>
      <w:marBottom w:val="0"/>
      <w:divBdr>
        <w:top w:val="none" w:sz="0" w:space="0" w:color="auto"/>
        <w:left w:val="none" w:sz="0" w:space="0" w:color="auto"/>
        <w:bottom w:val="none" w:sz="0" w:space="0" w:color="auto"/>
        <w:right w:val="none" w:sz="0" w:space="0" w:color="auto"/>
      </w:divBdr>
    </w:div>
    <w:div w:id="1644312871">
      <w:bodyDiv w:val="1"/>
      <w:marLeft w:val="0"/>
      <w:marRight w:val="0"/>
      <w:marTop w:val="0"/>
      <w:marBottom w:val="0"/>
      <w:divBdr>
        <w:top w:val="none" w:sz="0" w:space="0" w:color="auto"/>
        <w:left w:val="none" w:sz="0" w:space="0" w:color="auto"/>
        <w:bottom w:val="none" w:sz="0" w:space="0" w:color="auto"/>
        <w:right w:val="none" w:sz="0" w:space="0" w:color="auto"/>
      </w:divBdr>
    </w:div>
    <w:div w:id="1644575580">
      <w:bodyDiv w:val="1"/>
      <w:marLeft w:val="0"/>
      <w:marRight w:val="0"/>
      <w:marTop w:val="0"/>
      <w:marBottom w:val="0"/>
      <w:divBdr>
        <w:top w:val="none" w:sz="0" w:space="0" w:color="auto"/>
        <w:left w:val="none" w:sz="0" w:space="0" w:color="auto"/>
        <w:bottom w:val="none" w:sz="0" w:space="0" w:color="auto"/>
        <w:right w:val="none" w:sz="0" w:space="0" w:color="auto"/>
      </w:divBdr>
    </w:div>
    <w:div w:id="1644850630">
      <w:bodyDiv w:val="1"/>
      <w:marLeft w:val="0"/>
      <w:marRight w:val="0"/>
      <w:marTop w:val="0"/>
      <w:marBottom w:val="0"/>
      <w:divBdr>
        <w:top w:val="none" w:sz="0" w:space="0" w:color="auto"/>
        <w:left w:val="none" w:sz="0" w:space="0" w:color="auto"/>
        <w:bottom w:val="none" w:sz="0" w:space="0" w:color="auto"/>
        <w:right w:val="none" w:sz="0" w:space="0" w:color="auto"/>
      </w:divBdr>
    </w:div>
    <w:div w:id="1644851988">
      <w:bodyDiv w:val="1"/>
      <w:marLeft w:val="0"/>
      <w:marRight w:val="0"/>
      <w:marTop w:val="0"/>
      <w:marBottom w:val="0"/>
      <w:divBdr>
        <w:top w:val="none" w:sz="0" w:space="0" w:color="auto"/>
        <w:left w:val="none" w:sz="0" w:space="0" w:color="auto"/>
        <w:bottom w:val="none" w:sz="0" w:space="0" w:color="auto"/>
        <w:right w:val="none" w:sz="0" w:space="0" w:color="auto"/>
      </w:divBdr>
    </w:div>
    <w:div w:id="1645113202">
      <w:bodyDiv w:val="1"/>
      <w:marLeft w:val="0"/>
      <w:marRight w:val="0"/>
      <w:marTop w:val="0"/>
      <w:marBottom w:val="0"/>
      <w:divBdr>
        <w:top w:val="none" w:sz="0" w:space="0" w:color="auto"/>
        <w:left w:val="none" w:sz="0" w:space="0" w:color="auto"/>
        <w:bottom w:val="none" w:sz="0" w:space="0" w:color="auto"/>
        <w:right w:val="none" w:sz="0" w:space="0" w:color="auto"/>
      </w:divBdr>
    </w:div>
    <w:div w:id="1645500710">
      <w:bodyDiv w:val="1"/>
      <w:marLeft w:val="0"/>
      <w:marRight w:val="0"/>
      <w:marTop w:val="0"/>
      <w:marBottom w:val="0"/>
      <w:divBdr>
        <w:top w:val="none" w:sz="0" w:space="0" w:color="auto"/>
        <w:left w:val="none" w:sz="0" w:space="0" w:color="auto"/>
        <w:bottom w:val="none" w:sz="0" w:space="0" w:color="auto"/>
        <w:right w:val="none" w:sz="0" w:space="0" w:color="auto"/>
      </w:divBdr>
    </w:div>
    <w:div w:id="1645508228">
      <w:bodyDiv w:val="1"/>
      <w:marLeft w:val="0"/>
      <w:marRight w:val="0"/>
      <w:marTop w:val="0"/>
      <w:marBottom w:val="0"/>
      <w:divBdr>
        <w:top w:val="none" w:sz="0" w:space="0" w:color="auto"/>
        <w:left w:val="none" w:sz="0" w:space="0" w:color="auto"/>
        <w:bottom w:val="none" w:sz="0" w:space="0" w:color="auto"/>
        <w:right w:val="none" w:sz="0" w:space="0" w:color="auto"/>
      </w:divBdr>
    </w:div>
    <w:div w:id="1645964790">
      <w:bodyDiv w:val="1"/>
      <w:marLeft w:val="0"/>
      <w:marRight w:val="0"/>
      <w:marTop w:val="0"/>
      <w:marBottom w:val="0"/>
      <w:divBdr>
        <w:top w:val="none" w:sz="0" w:space="0" w:color="auto"/>
        <w:left w:val="none" w:sz="0" w:space="0" w:color="auto"/>
        <w:bottom w:val="none" w:sz="0" w:space="0" w:color="auto"/>
        <w:right w:val="none" w:sz="0" w:space="0" w:color="auto"/>
      </w:divBdr>
    </w:div>
    <w:div w:id="1646427204">
      <w:bodyDiv w:val="1"/>
      <w:marLeft w:val="0"/>
      <w:marRight w:val="0"/>
      <w:marTop w:val="0"/>
      <w:marBottom w:val="0"/>
      <w:divBdr>
        <w:top w:val="none" w:sz="0" w:space="0" w:color="auto"/>
        <w:left w:val="none" w:sz="0" w:space="0" w:color="auto"/>
        <w:bottom w:val="none" w:sz="0" w:space="0" w:color="auto"/>
        <w:right w:val="none" w:sz="0" w:space="0" w:color="auto"/>
      </w:divBdr>
    </w:div>
    <w:div w:id="1647323136">
      <w:bodyDiv w:val="1"/>
      <w:marLeft w:val="0"/>
      <w:marRight w:val="0"/>
      <w:marTop w:val="0"/>
      <w:marBottom w:val="0"/>
      <w:divBdr>
        <w:top w:val="none" w:sz="0" w:space="0" w:color="auto"/>
        <w:left w:val="none" w:sz="0" w:space="0" w:color="auto"/>
        <w:bottom w:val="none" w:sz="0" w:space="0" w:color="auto"/>
        <w:right w:val="none" w:sz="0" w:space="0" w:color="auto"/>
      </w:divBdr>
    </w:div>
    <w:div w:id="1648322126">
      <w:bodyDiv w:val="1"/>
      <w:marLeft w:val="0"/>
      <w:marRight w:val="0"/>
      <w:marTop w:val="0"/>
      <w:marBottom w:val="0"/>
      <w:divBdr>
        <w:top w:val="none" w:sz="0" w:space="0" w:color="auto"/>
        <w:left w:val="none" w:sz="0" w:space="0" w:color="auto"/>
        <w:bottom w:val="none" w:sz="0" w:space="0" w:color="auto"/>
        <w:right w:val="none" w:sz="0" w:space="0" w:color="auto"/>
      </w:divBdr>
    </w:div>
    <w:div w:id="1648363782">
      <w:bodyDiv w:val="1"/>
      <w:marLeft w:val="0"/>
      <w:marRight w:val="0"/>
      <w:marTop w:val="0"/>
      <w:marBottom w:val="0"/>
      <w:divBdr>
        <w:top w:val="none" w:sz="0" w:space="0" w:color="auto"/>
        <w:left w:val="none" w:sz="0" w:space="0" w:color="auto"/>
        <w:bottom w:val="none" w:sz="0" w:space="0" w:color="auto"/>
        <w:right w:val="none" w:sz="0" w:space="0" w:color="auto"/>
      </w:divBdr>
    </w:div>
    <w:div w:id="1649701945">
      <w:bodyDiv w:val="1"/>
      <w:marLeft w:val="0"/>
      <w:marRight w:val="0"/>
      <w:marTop w:val="0"/>
      <w:marBottom w:val="0"/>
      <w:divBdr>
        <w:top w:val="none" w:sz="0" w:space="0" w:color="auto"/>
        <w:left w:val="none" w:sz="0" w:space="0" w:color="auto"/>
        <w:bottom w:val="none" w:sz="0" w:space="0" w:color="auto"/>
        <w:right w:val="none" w:sz="0" w:space="0" w:color="auto"/>
      </w:divBdr>
    </w:div>
    <w:div w:id="1650479399">
      <w:bodyDiv w:val="1"/>
      <w:marLeft w:val="0"/>
      <w:marRight w:val="0"/>
      <w:marTop w:val="0"/>
      <w:marBottom w:val="0"/>
      <w:divBdr>
        <w:top w:val="none" w:sz="0" w:space="0" w:color="auto"/>
        <w:left w:val="none" w:sz="0" w:space="0" w:color="auto"/>
        <w:bottom w:val="none" w:sz="0" w:space="0" w:color="auto"/>
        <w:right w:val="none" w:sz="0" w:space="0" w:color="auto"/>
      </w:divBdr>
    </w:div>
    <w:div w:id="1653212842">
      <w:bodyDiv w:val="1"/>
      <w:marLeft w:val="0"/>
      <w:marRight w:val="0"/>
      <w:marTop w:val="0"/>
      <w:marBottom w:val="0"/>
      <w:divBdr>
        <w:top w:val="none" w:sz="0" w:space="0" w:color="auto"/>
        <w:left w:val="none" w:sz="0" w:space="0" w:color="auto"/>
        <w:bottom w:val="none" w:sz="0" w:space="0" w:color="auto"/>
        <w:right w:val="none" w:sz="0" w:space="0" w:color="auto"/>
      </w:divBdr>
    </w:div>
    <w:div w:id="1653561995">
      <w:bodyDiv w:val="1"/>
      <w:marLeft w:val="0"/>
      <w:marRight w:val="0"/>
      <w:marTop w:val="0"/>
      <w:marBottom w:val="0"/>
      <w:divBdr>
        <w:top w:val="none" w:sz="0" w:space="0" w:color="auto"/>
        <w:left w:val="none" w:sz="0" w:space="0" w:color="auto"/>
        <w:bottom w:val="none" w:sz="0" w:space="0" w:color="auto"/>
        <w:right w:val="none" w:sz="0" w:space="0" w:color="auto"/>
      </w:divBdr>
    </w:div>
    <w:div w:id="1653632256">
      <w:bodyDiv w:val="1"/>
      <w:marLeft w:val="0"/>
      <w:marRight w:val="0"/>
      <w:marTop w:val="0"/>
      <w:marBottom w:val="0"/>
      <w:divBdr>
        <w:top w:val="none" w:sz="0" w:space="0" w:color="auto"/>
        <w:left w:val="none" w:sz="0" w:space="0" w:color="auto"/>
        <w:bottom w:val="none" w:sz="0" w:space="0" w:color="auto"/>
        <w:right w:val="none" w:sz="0" w:space="0" w:color="auto"/>
      </w:divBdr>
    </w:div>
    <w:div w:id="1653679178">
      <w:bodyDiv w:val="1"/>
      <w:marLeft w:val="0"/>
      <w:marRight w:val="0"/>
      <w:marTop w:val="0"/>
      <w:marBottom w:val="0"/>
      <w:divBdr>
        <w:top w:val="none" w:sz="0" w:space="0" w:color="auto"/>
        <w:left w:val="none" w:sz="0" w:space="0" w:color="auto"/>
        <w:bottom w:val="none" w:sz="0" w:space="0" w:color="auto"/>
        <w:right w:val="none" w:sz="0" w:space="0" w:color="auto"/>
      </w:divBdr>
    </w:div>
    <w:div w:id="1653681325">
      <w:bodyDiv w:val="1"/>
      <w:marLeft w:val="0"/>
      <w:marRight w:val="0"/>
      <w:marTop w:val="0"/>
      <w:marBottom w:val="0"/>
      <w:divBdr>
        <w:top w:val="none" w:sz="0" w:space="0" w:color="auto"/>
        <w:left w:val="none" w:sz="0" w:space="0" w:color="auto"/>
        <w:bottom w:val="none" w:sz="0" w:space="0" w:color="auto"/>
        <w:right w:val="none" w:sz="0" w:space="0" w:color="auto"/>
      </w:divBdr>
    </w:div>
    <w:div w:id="1653827712">
      <w:bodyDiv w:val="1"/>
      <w:marLeft w:val="0"/>
      <w:marRight w:val="0"/>
      <w:marTop w:val="0"/>
      <w:marBottom w:val="0"/>
      <w:divBdr>
        <w:top w:val="none" w:sz="0" w:space="0" w:color="auto"/>
        <w:left w:val="none" w:sz="0" w:space="0" w:color="auto"/>
        <w:bottom w:val="none" w:sz="0" w:space="0" w:color="auto"/>
        <w:right w:val="none" w:sz="0" w:space="0" w:color="auto"/>
      </w:divBdr>
    </w:div>
    <w:div w:id="1654334181">
      <w:bodyDiv w:val="1"/>
      <w:marLeft w:val="0"/>
      <w:marRight w:val="0"/>
      <w:marTop w:val="0"/>
      <w:marBottom w:val="0"/>
      <w:divBdr>
        <w:top w:val="none" w:sz="0" w:space="0" w:color="auto"/>
        <w:left w:val="none" w:sz="0" w:space="0" w:color="auto"/>
        <w:bottom w:val="none" w:sz="0" w:space="0" w:color="auto"/>
        <w:right w:val="none" w:sz="0" w:space="0" w:color="auto"/>
      </w:divBdr>
    </w:div>
    <w:div w:id="1654408335">
      <w:bodyDiv w:val="1"/>
      <w:marLeft w:val="0"/>
      <w:marRight w:val="0"/>
      <w:marTop w:val="0"/>
      <w:marBottom w:val="0"/>
      <w:divBdr>
        <w:top w:val="none" w:sz="0" w:space="0" w:color="auto"/>
        <w:left w:val="none" w:sz="0" w:space="0" w:color="auto"/>
        <w:bottom w:val="none" w:sz="0" w:space="0" w:color="auto"/>
        <w:right w:val="none" w:sz="0" w:space="0" w:color="auto"/>
      </w:divBdr>
    </w:div>
    <w:div w:id="1654790915">
      <w:bodyDiv w:val="1"/>
      <w:marLeft w:val="0"/>
      <w:marRight w:val="0"/>
      <w:marTop w:val="0"/>
      <w:marBottom w:val="0"/>
      <w:divBdr>
        <w:top w:val="none" w:sz="0" w:space="0" w:color="auto"/>
        <w:left w:val="none" w:sz="0" w:space="0" w:color="auto"/>
        <w:bottom w:val="none" w:sz="0" w:space="0" w:color="auto"/>
        <w:right w:val="none" w:sz="0" w:space="0" w:color="auto"/>
      </w:divBdr>
    </w:div>
    <w:div w:id="1654917127">
      <w:bodyDiv w:val="1"/>
      <w:marLeft w:val="0"/>
      <w:marRight w:val="0"/>
      <w:marTop w:val="0"/>
      <w:marBottom w:val="0"/>
      <w:divBdr>
        <w:top w:val="none" w:sz="0" w:space="0" w:color="auto"/>
        <w:left w:val="none" w:sz="0" w:space="0" w:color="auto"/>
        <w:bottom w:val="none" w:sz="0" w:space="0" w:color="auto"/>
        <w:right w:val="none" w:sz="0" w:space="0" w:color="auto"/>
      </w:divBdr>
    </w:div>
    <w:div w:id="1655529724">
      <w:bodyDiv w:val="1"/>
      <w:marLeft w:val="0"/>
      <w:marRight w:val="0"/>
      <w:marTop w:val="0"/>
      <w:marBottom w:val="0"/>
      <w:divBdr>
        <w:top w:val="none" w:sz="0" w:space="0" w:color="auto"/>
        <w:left w:val="none" w:sz="0" w:space="0" w:color="auto"/>
        <w:bottom w:val="none" w:sz="0" w:space="0" w:color="auto"/>
        <w:right w:val="none" w:sz="0" w:space="0" w:color="auto"/>
      </w:divBdr>
    </w:div>
    <w:div w:id="1656564927">
      <w:bodyDiv w:val="1"/>
      <w:marLeft w:val="0"/>
      <w:marRight w:val="0"/>
      <w:marTop w:val="0"/>
      <w:marBottom w:val="0"/>
      <w:divBdr>
        <w:top w:val="none" w:sz="0" w:space="0" w:color="auto"/>
        <w:left w:val="none" w:sz="0" w:space="0" w:color="auto"/>
        <w:bottom w:val="none" w:sz="0" w:space="0" w:color="auto"/>
        <w:right w:val="none" w:sz="0" w:space="0" w:color="auto"/>
      </w:divBdr>
    </w:div>
    <w:div w:id="1656913797">
      <w:bodyDiv w:val="1"/>
      <w:marLeft w:val="0"/>
      <w:marRight w:val="0"/>
      <w:marTop w:val="0"/>
      <w:marBottom w:val="0"/>
      <w:divBdr>
        <w:top w:val="none" w:sz="0" w:space="0" w:color="auto"/>
        <w:left w:val="none" w:sz="0" w:space="0" w:color="auto"/>
        <w:bottom w:val="none" w:sz="0" w:space="0" w:color="auto"/>
        <w:right w:val="none" w:sz="0" w:space="0" w:color="auto"/>
      </w:divBdr>
    </w:div>
    <w:div w:id="1657764240">
      <w:bodyDiv w:val="1"/>
      <w:marLeft w:val="0"/>
      <w:marRight w:val="0"/>
      <w:marTop w:val="0"/>
      <w:marBottom w:val="0"/>
      <w:divBdr>
        <w:top w:val="none" w:sz="0" w:space="0" w:color="auto"/>
        <w:left w:val="none" w:sz="0" w:space="0" w:color="auto"/>
        <w:bottom w:val="none" w:sz="0" w:space="0" w:color="auto"/>
        <w:right w:val="none" w:sz="0" w:space="0" w:color="auto"/>
      </w:divBdr>
    </w:div>
    <w:div w:id="1657950050">
      <w:bodyDiv w:val="1"/>
      <w:marLeft w:val="0"/>
      <w:marRight w:val="0"/>
      <w:marTop w:val="0"/>
      <w:marBottom w:val="0"/>
      <w:divBdr>
        <w:top w:val="none" w:sz="0" w:space="0" w:color="auto"/>
        <w:left w:val="none" w:sz="0" w:space="0" w:color="auto"/>
        <w:bottom w:val="none" w:sz="0" w:space="0" w:color="auto"/>
        <w:right w:val="none" w:sz="0" w:space="0" w:color="auto"/>
      </w:divBdr>
    </w:div>
    <w:div w:id="1658877393">
      <w:bodyDiv w:val="1"/>
      <w:marLeft w:val="0"/>
      <w:marRight w:val="0"/>
      <w:marTop w:val="0"/>
      <w:marBottom w:val="0"/>
      <w:divBdr>
        <w:top w:val="none" w:sz="0" w:space="0" w:color="auto"/>
        <w:left w:val="none" w:sz="0" w:space="0" w:color="auto"/>
        <w:bottom w:val="none" w:sz="0" w:space="0" w:color="auto"/>
        <w:right w:val="none" w:sz="0" w:space="0" w:color="auto"/>
      </w:divBdr>
    </w:div>
    <w:div w:id="1659264982">
      <w:bodyDiv w:val="1"/>
      <w:marLeft w:val="0"/>
      <w:marRight w:val="0"/>
      <w:marTop w:val="0"/>
      <w:marBottom w:val="0"/>
      <w:divBdr>
        <w:top w:val="none" w:sz="0" w:space="0" w:color="auto"/>
        <w:left w:val="none" w:sz="0" w:space="0" w:color="auto"/>
        <w:bottom w:val="none" w:sz="0" w:space="0" w:color="auto"/>
        <w:right w:val="none" w:sz="0" w:space="0" w:color="auto"/>
      </w:divBdr>
    </w:div>
    <w:div w:id="1659651647">
      <w:bodyDiv w:val="1"/>
      <w:marLeft w:val="0"/>
      <w:marRight w:val="0"/>
      <w:marTop w:val="0"/>
      <w:marBottom w:val="0"/>
      <w:divBdr>
        <w:top w:val="none" w:sz="0" w:space="0" w:color="auto"/>
        <w:left w:val="none" w:sz="0" w:space="0" w:color="auto"/>
        <w:bottom w:val="none" w:sz="0" w:space="0" w:color="auto"/>
        <w:right w:val="none" w:sz="0" w:space="0" w:color="auto"/>
      </w:divBdr>
    </w:div>
    <w:div w:id="1660618720">
      <w:bodyDiv w:val="1"/>
      <w:marLeft w:val="0"/>
      <w:marRight w:val="0"/>
      <w:marTop w:val="0"/>
      <w:marBottom w:val="0"/>
      <w:divBdr>
        <w:top w:val="none" w:sz="0" w:space="0" w:color="auto"/>
        <w:left w:val="none" w:sz="0" w:space="0" w:color="auto"/>
        <w:bottom w:val="none" w:sz="0" w:space="0" w:color="auto"/>
        <w:right w:val="none" w:sz="0" w:space="0" w:color="auto"/>
      </w:divBdr>
    </w:div>
    <w:div w:id="1660964658">
      <w:bodyDiv w:val="1"/>
      <w:marLeft w:val="0"/>
      <w:marRight w:val="0"/>
      <w:marTop w:val="0"/>
      <w:marBottom w:val="0"/>
      <w:divBdr>
        <w:top w:val="none" w:sz="0" w:space="0" w:color="auto"/>
        <w:left w:val="none" w:sz="0" w:space="0" w:color="auto"/>
        <w:bottom w:val="none" w:sz="0" w:space="0" w:color="auto"/>
        <w:right w:val="none" w:sz="0" w:space="0" w:color="auto"/>
      </w:divBdr>
    </w:div>
    <w:div w:id="1660965315">
      <w:bodyDiv w:val="1"/>
      <w:marLeft w:val="0"/>
      <w:marRight w:val="0"/>
      <w:marTop w:val="0"/>
      <w:marBottom w:val="0"/>
      <w:divBdr>
        <w:top w:val="none" w:sz="0" w:space="0" w:color="auto"/>
        <w:left w:val="none" w:sz="0" w:space="0" w:color="auto"/>
        <w:bottom w:val="none" w:sz="0" w:space="0" w:color="auto"/>
        <w:right w:val="none" w:sz="0" w:space="0" w:color="auto"/>
      </w:divBdr>
    </w:div>
    <w:div w:id="1661731229">
      <w:bodyDiv w:val="1"/>
      <w:marLeft w:val="0"/>
      <w:marRight w:val="0"/>
      <w:marTop w:val="0"/>
      <w:marBottom w:val="0"/>
      <w:divBdr>
        <w:top w:val="none" w:sz="0" w:space="0" w:color="auto"/>
        <w:left w:val="none" w:sz="0" w:space="0" w:color="auto"/>
        <w:bottom w:val="none" w:sz="0" w:space="0" w:color="auto"/>
        <w:right w:val="none" w:sz="0" w:space="0" w:color="auto"/>
      </w:divBdr>
    </w:div>
    <w:div w:id="1662000707">
      <w:bodyDiv w:val="1"/>
      <w:marLeft w:val="0"/>
      <w:marRight w:val="0"/>
      <w:marTop w:val="0"/>
      <w:marBottom w:val="0"/>
      <w:divBdr>
        <w:top w:val="none" w:sz="0" w:space="0" w:color="auto"/>
        <w:left w:val="none" w:sz="0" w:space="0" w:color="auto"/>
        <w:bottom w:val="none" w:sz="0" w:space="0" w:color="auto"/>
        <w:right w:val="none" w:sz="0" w:space="0" w:color="auto"/>
      </w:divBdr>
    </w:div>
    <w:div w:id="1662657109">
      <w:bodyDiv w:val="1"/>
      <w:marLeft w:val="0"/>
      <w:marRight w:val="0"/>
      <w:marTop w:val="0"/>
      <w:marBottom w:val="0"/>
      <w:divBdr>
        <w:top w:val="none" w:sz="0" w:space="0" w:color="auto"/>
        <w:left w:val="none" w:sz="0" w:space="0" w:color="auto"/>
        <w:bottom w:val="none" w:sz="0" w:space="0" w:color="auto"/>
        <w:right w:val="none" w:sz="0" w:space="0" w:color="auto"/>
      </w:divBdr>
    </w:div>
    <w:div w:id="1662660122">
      <w:bodyDiv w:val="1"/>
      <w:marLeft w:val="0"/>
      <w:marRight w:val="0"/>
      <w:marTop w:val="0"/>
      <w:marBottom w:val="0"/>
      <w:divBdr>
        <w:top w:val="none" w:sz="0" w:space="0" w:color="auto"/>
        <w:left w:val="none" w:sz="0" w:space="0" w:color="auto"/>
        <w:bottom w:val="none" w:sz="0" w:space="0" w:color="auto"/>
        <w:right w:val="none" w:sz="0" w:space="0" w:color="auto"/>
      </w:divBdr>
    </w:div>
    <w:div w:id="1663850722">
      <w:bodyDiv w:val="1"/>
      <w:marLeft w:val="0"/>
      <w:marRight w:val="0"/>
      <w:marTop w:val="0"/>
      <w:marBottom w:val="0"/>
      <w:divBdr>
        <w:top w:val="none" w:sz="0" w:space="0" w:color="auto"/>
        <w:left w:val="none" w:sz="0" w:space="0" w:color="auto"/>
        <w:bottom w:val="none" w:sz="0" w:space="0" w:color="auto"/>
        <w:right w:val="none" w:sz="0" w:space="0" w:color="auto"/>
      </w:divBdr>
      <w:divsChild>
        <w:div w:id="1306395880">
          <w:marLeft w:val="0"/>
          <w:marRight w:val="0"/>
          <w:marTop w:val="0"/>
          <w:marBottom w:val="0"/>
          <w:divBdr>
            <w:top w:val="none" w:sz="0" w:space="0" w:color="auto"/>
            <w:left w:val="none" w:sz="0" w:space="0" w:color="auto"/>
            <w:bottom w:val="none" w:sz="0" w:space="0" w:color="auto"/>
            <w:right w:val="none" w:sz="0" w:space="0" w:color="auto"/>
          </w:divBdr>
        </w:div>
        <w:div w:id="877467939">
          <w:marLeft w:val="0"/>
          <w:marRight w:val="0"/>
          <w:marTop w:val="0"/>
          <w:marBottom w:val="0"/>
          <w:divBdr>
            <w:top w:val="none" w:sz="0" w:space="0" w:color="auto"/>
            <w:left w:val="none" w:sz="0" w:space="0" w:color="auto"/>
            <w:bottom w:val="none" w:sz="0" w:space="0" w:color="auto"/>
            <w:right w:val="none" w:sz="0" w:space="0" w:color="auto"/>
          </w:divBdr>
        </w:div>
        <w:div w:id="1420521799">
          <w:marLeft w:val="0"/>
          <w:marRight w:val="0"/>
          <w:marTop w:val="0"/>
          <w:marBottom w:val="0"/>
          <w:divBdr>
            <w:top w:val="none" w:sz="0" w:space="0" w:color="auto"/>
            <w:left w:val="none" w:sz="0" w:space="0" w:color="auto"/>
            <w:bottom w:val="none" w:sz="0" w:space="0" w:color="auto"/>
            <w:right w:val="none" w:sz="0" w:space="0" w:color="auto"/>
          </w:divBdr>
        </w:div>
      </w:divsChild>
    </w:div>
    <w:div w:id="1663855238">
      <w:bodyDiv w:val="1"/>
      <w:marLeft w:val="0"/>
      <w:marRight w:val="0"/>
      <w:marTop w:val="0"/>
      <w:marBottom w:val="0"/>
      <w:divBdr>
        <w:top w:val="none" w:sz="0" w:space="0" w:color="auto"/>
        <w:left w:val="none" w:sz="0" w:space="0" w:color="auto"/>
        <w:bottom w:val="none" w:sz="0" w:space="0" w:color="auto"/>
        <w:right w:val="none" w:sz="0" w:space="0" w:color="auto"/>
      </w:divBdr>
    </w:div>
    <w:div w:id="1664090763">
      <w:bodyDiv w:val="1"/>
      <w:marLeft w:val="0"/>
      <w:marRight w:val="0"/>
      <w:marTop w:val="0"/>
      <w:marBottom w:val="0"/>
      <w:divBdr>
        <w:top w:val="none" w:sz="0" w:space="0" w:color="auto"/>
        <w:left w:val="none" w:sz="0" w:space="0" w:color="auto"/>
        <w:bottom w:val="none" w:sz="0" w:space="0" w:color="auto"/>
        <w:right w:val="none" w:sz="0" w:space="0" w:color="auto"/>
      </w:divBdr>
    </w:div>
    <w:div w:id="1664577818">
      <w:bodyDiv w:val="1"/>
      <w:marLeft w:val="0"/>
      <w:marRight w:val="0"/>
      <w:marTop w:val="0"/>
      <w:marBottom w:val="0"/>
      <w:divBdr>
        <w:top w:val="none" w:sz="0" w:space="0" w:color="auto"/>
        <w:left w:val="none" w:sz="0" w:space="0" w:color="auto"/>
        <w:bottom w:val="none" w:sz="0" w:space="0" w:color="auto"/>
        <w:right w:val="none" w:sz="0" w:space="0" w:color="auto"/>
      </w:divBdr>
    </w:div>
    <w:div w:id="1665667175">
      <w:bodyDiv w:val="1"/>
      <w:marLeft w:val="0"/>
      <w:marRight w:val="0"/>
      <w:marTop w:val="0"/>
      <w:marBottom w:val="0"/>
      <w:divBdr>
        <w:top w:val="none" w:sz="0" w:space="0" w:color="auto"/>
        <w:left w:val="none" w:sz="0" w:space="0" w:color="auto"/>
        <w:bottom w:val="none" w:sz="0" w:space="0" w:color="auto"/>
        <w:right w:val="none" w:sz="0" w:space="0" w:color="auto"/>
      </w:divBdr>
    </w:div>
    <w:div w:id="1665932347">
      <w:bodyDiv w:val="1"/>
      <w:marLeft w:val="0"/>
      <w:marRight w:val="0"/>
      <w:marTop w:val="0"/>
      <w:marBottom w:val="0"/>
      <w:divBdr>
        <w:top w:val="none" w:sz="0" w:space="0" w:color="auto"/>
        <w:left w:val="none" w:sz="0" w:space="0" w:color="auto"/>
        <w:bottom w:val="none" w:sz="0" w:space="0" w:color="auto"/>
        <w:right w:val="none" w:sz="0" w:space="0" w:color="auto"/>
      </w:divBdr>
    </w:div>
    <w:div w:id="1666281499">
      <w:bodyDiv w:val="1"/>
      <w:marLeft w:val="0"/>
      <w:marRight w:val="0"/>
      <w:marTop w:val="0"/>
      <w:marBottom w:val="0"/>
      <w:divBdr>
        <w:top w:val="none" w:sz="0" w:space="0" w:color="auto"/>
        <w:left w:val="none" w:sz="0" w:space="0" w:color="auto"/>
        <w:bottom w:val="none" w:sz="0" w:space="0" w:color="auto"/>
        <w:right w:val="none" w:sz="0" w:space="0" w:color="auto"/>
      </w:divBdr>
    </w:div>
    <w:div w:id="1667590350">
      <w:bodyDiv w:val="1"/>
      <w:marLeft w:val="0"/>
      <w:marRight w:val="0"/>
      <w:marTop w:val="0"/>
      <w:marBottom w:val="0"/>
      <w:divBdr>
        <w:top w:val="none" w:sz="0" w:space="0" w:color="auto"/>
        <w:left w:val="none" w:sz="0" w:space="0" w:color="auto"/>
        <w:bottom w:val="none" w:sz="0" w:space="0" w:color="auto"/>
        <w:right w:val="none" w:sz="0" w:space="0" w:color="auto"/>
      </w:divBdr>
    </w:div>
    <w:div w:id="1669941523">
      <w:bodyDiv w:val="1"/>
      <w:marLeft w:val="0"/>
      <w:marRight w:val="0"/>
      <w:marTop w:val="0"/>
      <w:marBottom w:val="0"/>
      <w:divBdr>
        <w:top w:val="none" w:sz="0" w:space="0" w:color="auto"/>
        <w:left w:val="none" w:sz="0" w:space="0" w:color="auto"/>
        <w:bottom w:val="none" w:sz="0" w:space="0" w:color="auto"/>
        <w:right w:val="none" w:sz="0" w:space="0" w:color="auto"/>
      </w:divBdr>
    </w:div>
    <w:div w:id="1670593384">
      <w:bodyDiv w:val="1"/>
      <w:marLeft w:val="0"/>
      <w:marRight w:val="0"/>
      <w:marTop w:val="0"/>
      <w:marBottom w:val="0"/>
      <w:divBdr>
        <w:top w:val="none" w:sz="0" w:space="0" w:color="auto"/>
        <w:left w:val="none" w:sz="0" w:space="0" w:color="auto"/>
        <w:bottom w:val="none" w:sz="0" w:space="0" w:color="auto"/>
        <w:right w:val="none" w:sz="0" w:space="0" w:color="auto"/>
      </w:divBdr>
    </w:div>
    <w:div w:id="1670598447">
      <w:bodyDiv w:val="1"/>
      <w:marLeft w:val="0"/>
      <w:marRight w:val="0"/>
      <w:marTop w:val="0"/>
      <w:marBottom w:val="0"/>
      <w:divBdr>
        <w:top w:val="none" w:sz="0" w:space="0" w:color="auto"/>
        <w:left w:val="none" w:sz="0" w:space="0" w:color="auto"/>
        <w:bottom w:val="none" w:sz="0" w:space="0" w:color="auto"/>
        <w:right w:val="none" w:sz="0" w:space="0" w:color="auto"/>
      </w:divBdr>
    </w:div>
    <w:div w:id="1671984370">
      <w:bodyDiv w:val="1"/>
      <w:marLeft w:val="0"/>
      <w:marRight w:val="0"/>
      <w:marTop w:val="0"/>
      <w:marBottom w:val="0"/>
      <w:divBdr>
        <w:top w:val="none" w:sz="0" w:space="0" w:color="auto"/>
        <w:left w:val="none" w:sz="0" w:space="0" w:color="auto"/>
        <w:bottom w:val="none" w:sz="0" w:space="0" w:color="auto"/>
        <w:right w:val="none" w:sz="0" w:space="0" w:color="auto"/>
      </w:divBdr>
    </w:div>
    <w:div w:id="1673138789">
      <w:bodyDiv w:val="1"/>
      <w:marLeft w:val="0"/>
      <w:marRight w:val="0"/>
      <w:marTop w:val="0"/>
      <w:marBottom w:val="0"/>
      <w:divBdr>
        <w:top w:val="none" w:sz="0" w:space="0" w:color="auto"/>
        <w:left w:val="none" w:sz="0" w:space="0" w:color="auto"/>
        <w:bottom w:val="none" w:sz="0" w:space="0" w:color="auto"/>
        <w:right w:val="none" w:sz="0" w:space="0" w:color="auto"/>
      </w:divBdr>
    </w:div>
    <w:div w:id="1673413224">
      <w:bodyDiv w:val="1"/>
      <w:marLeft w:val="0"/>
      <w:marRight w:val="0"/>
      <w:marTop w:val="0"/>
      <w:marBottom w:val="0"/>
      <w:divBdr>
        <w:top w:val="none" w:sz="0" w:space="0" w:color="auto"/>
        <w:left w:val="none" w:sz="0" w:space="0" w:color="auto"/>
        <w:bottom w:val="none" w:sz="0" w:space="0" w:color="auto"/>
        <w:right w:val="none" w:sz="0" w:space="0" w:color="auto"/>
      </w:divBdr>
    </w:div>
    <w:div w:id="1674449869">
      <w:bodyDiv w:val="1"/>
      <w:marLeft w:val="0"/>
      <w:marRight w:val="0"/>
      <w:marTop w:val="0"/>
      <w:marBottom w:val="0"/>
      <w:divBdr>
        <w:top w:val="none" w:sz="0" w:space="0" w:color="auto"/>
        <w:left w:val="none" w:sz="0" w:space="0" w:color="auto"/>
        <w:bottom w:val="none" w:sz="0" w:space="0" w:color="auto"/>
        <w:right w:val="none" w:sz="0" w:space="0" w:color="auto"/>
      </w:divBdr>
      <w:divsChild>
        <w:div w:id="1194806187">
          <w:marLeft w:val="0"/>
          <w:marRight w:val="0"/>
          <w:marTop w:val="0"/>
          <w:marBottom w:val="0"/>
          <w:divBdr>
            <w:top w:val="none" w:sz="0" w:space="0" w:color="auto"/>
            <w:left w:val="none" w:sz="0" w:space="0" w:color="auto"/>
            <w:bottom w:val="none" w:sz="0" w:space="0" w:color="auto"/>
            <w:right w:val="none" w:sz="0" w:space="0" w:color="auto"/>
          </w:divBdr>
        </w:div>
        <w:div w:id="151989914">
          <w:marLeft w:val="0"/>
          <w:marRight w:val="0"/>
          <w:marTop w:val="0"/>
          <w:marBottom w:val="0"/>
          <w:divBdr>
            <w:top w:val="none" w:sz="0" w:space="0" w:color="auto"/>
            <w:left w:val="none" w:sz="0" w:space="0" w:color="auto"/>
            <w:bottom w:val="none" w:sz="0" w:space="0" w:color="auto"/>
            <w:right w:val="none" w:sz="0" w:space="0" w:color="auto"/>
          </w:divBdr>
        </w:div>
        <w:div w:id="1318144609">
          <w:marLeft w:val="0"/>
          <w:marRight w:val="0"/>
          <w:marTop w:val="0"/>
          <w:marBottom w:val="0"/>
          <w:divBdr>
            <w:top w:val="none" w:sz="0" w:space="0" w:color="auto"/>
            <w:left w:val="none" w:sz="0" w:space="0" w:color="auto"/>
            <w:bottom w:val="none" w:sz="0" w:space="0" w:color="auto"/>
            <w:right w:val="none" w:sz="0" w:space="0" w:color="auto"/>
          </w:divBdr>
        </w:div>
        <w:div w:id="40445291">
          <w:marLeft w:val="0"/>
          <w:marRight w:val="0"/>
          <w:marTop w:val="0"/>
          <w:marBottom w:val="0"/>
          <w:divBdr>
            <w:top w:val="none" w:sz="0" w:space="0" w:color="auto"/>
            <w:left w:val="none" w:sz="0" w:space="0" w:color="auto"/>
            <w:bottom w:val="none" w:sz="0" w:space="0" w:color="auto"/>
            <w:right w:val="none" w:sz="0" w:space="0" w:color="auto"/>
          </w:divBdr>
        </w:div>
        <w:div w:id="2090691482">
          <w:marLeft w:val="0"/>
          <w:marRight w:val="0"/>
          <w:marTop w:val="0"/>
          <w:marBottom w:val="0"/>
          <w:divBdr>
            <w:top w:val="none" w:sz="0" w:space="0" w:color="auto"/>
            <w:left w:val="none" w:sz="0" w:space="0" w:color="auto"/>
            <w:bottom w:val="none" w:sz="0" w:space="0" w:color="auto"/>
            <w:right w:val="none" w:sz="0" w:space="0" w:color="auto"/>
          </w:divBdr>
        </w:div>
        <w:div w:id="430397409">
          <w:marLeft w:val="0"/>
          <w:marRight w:val="0"/>
          <w:marTop w:val="0"/>
          <w:marBottom w:val="0"/>
          <w:divBdr>
            <w:top w:val="none" w:sz="0" w:space="0" w:color="auto"/>
            <w:left w:val="none" w:sz="0" w:space="0" w:color="auto"/>
            <w:bottom w:val="none" w:sz="0" w:space="0" w:color="auto"/>
            <w:right w:val="none" w:sz="0" w:space="0" w:color="auto"/>
          </w:divBdr>
        </w:div>
        <w:div w:id="1842697374">
          <w:marLeft w:val="0"/>
          <w:marRight w:val="0"/>
          <w:marTop w:val="0"/>
          <w:marBottom w:val="0"/>
          <w:divBdr>
            <w:top w:val="none" w:sz="0" w:space="0" w:color="auto"/>
            <w:left w:val="none" w:sz="0" w:space="0" w:color="auto"/>
            <w:bottom w:val="none" w:sz="0" w:space="0" w:color="auto"/>
            <w:right w:val="none" w:sz="0" w:space="0" w:color="auto"/>
          </w:divBdr>
        </w:div>
      </w:divsChild>
    </w:div>
    <w:div w:id="1674455174">
      <w:bodyDiv w:val="1"/>
      <w:marLeft w:val="0"/>
      <w:marRight w:val="0"/>
      <w:marTop w:val="0"/>
      <w:marBottom w:val="0"/>
      <w:divBdr>
        <w:top w:val="none" w:sz="0" w:space="0" w:color="auto"/>
        <w:left w:val="none" w:sz="0" w:space="0" w:color="auto"/>
        <w:bottom w:val="none" w:sz="0" w:space="0" w:color="auto"/>
        <w:right w:val="none" w:sz="0" w:space="0" w:color="auto"/>
      </w:divBdr>
    </w:div>
    <w:div w:id="1674794992">
      <w:bodyDiv w:val="1"/>
      <w:marLeft w:val="0"/>
      <w:marRight w:val="0"/>
      <w:marTop w:val="0"/>
      <w:marBottom w:val="0"/>
      <w:divBdr>
        <w:top w:val="none" w:sz="0" w:space="0" w:color="auto"/>
        <w:left w:val="none" w:sz="0" w:space="0" w:color="auto"/>
        <w:bottom w:val="none" w:sz="0" w:space="0" w:color="auto"/>
        <w:right w:val="none" w:sz="0" w:space="0" w:color="auto"/>
      </w:divBdr>
    </w:div>
    <w:div w:id="1675063461">
      <w:bodyDiv w:val="1"/>
      <w:marLeft w:val="0"/>
      <w:marRight w:val="0"/>
      <w:marTop w:val="0"/>
      <w:marBottom w:val="0"/>
      <w:divBdr>
        <w:top w:val="none" w:sz="0" w:space="0" w:color="auto"/>
        <w:left w:val="none" w:sz="0" w:space="0" w:color="auto"/>
        <w:bottom w:val="none" w:sz="0" w:space="0" w:color="auto"/>
        <w:right w:val="none" w:sz="0" w:space="0" w:color="auto"/>
      </w:divBdr>
    </w:div>
    <w:div w:id="1677151549">
      <w:bodyDiv w:val="1"/>
      <w:marLeft w:val="0"/>
      <w:marRight w:val="0"/>
      <w:marTop w:val="0"/>
      <w:marBottom w:val="0"/>
      <w:divBdr>
        <w:top w:val="none" w:sz="0" w:space="0" w:color="auto"/>
        <w:left w:val="none" w:sz="0" w:space="0" w:color="auto"/>
        <w:bottom w:val="none" w:sz="0" w:space="0" w:color="auto"/>
        <w:right w:val="none" w:sz="0" w:space="0" w:color="auto"/>
      </w:divBdr>
    </w:div>
    <w:div w:id="1678189419">
      <w:bodyDiv w:val="1"/>
      <w:marLeft w:val="0"/>
      <w:marRight w:val="0"/>
      <w:marTop w:val="0"/>
      <w:marBottom w:val="0"/>
      <w:divBdr>
        <w:top w:val="none" w:sz="0" w:space="0" w:color="auto"/>
        <w:left w:val="none" w:sz="0" w:space="0" w:color="auto"/>
        <w:bottom w:val="none" w:sz="0" w:space="0" w:color="auto"/>
        <w:right w:val="none" w:sz="0" w:space="0" w:color="auto"/>
      </w:divBdr>
    </w:div>
    <w:div w:id="1680740352">
      <w:bodyDiv w:val="1"/>
      <w:marLeft w:val="0"/>
      <w:marRight w:val="0"/>
      <w:marTop w:val="0"/>
      <w:marBottom w:val="0"/>
      <w:divBdr>
        <w:top w:val="none" w:sz="0" w:space="0" w:color="auto"/>
        <w:left w:val="none" w:sz="0" w:space="0" w:color="auto"/>
        <w:bottom w:val="none" w:sz="0" w:space="0" w:color="auto"/>
        <w:right w:val="none" w:sz="0" w:space="0" w:color="auto"/>
      </w:divBdr>
    </w:div>
    <w:div w:id="1680887960">
      <w:bodyDiv w:val="1"/>
      <w:marLeft w:val="0"/>
      <w:marRight w:val="0"/>
      <w:marTop w:val="0"/>
      <w:marBottom w:val="0"/>
      <w:divBdr>
        <w:top w:val="none" w:sz="0" w:space="0" w:color="auto"/>
        <w:left w:val="none" w:sz="0" w:space="0" w:color="auto"/>
        <w:bottom w:val="none" w:sz="0" w:space="0" w:color="auto"/>
        <w:right w:val="none" w:sz="0" w:space="0" w:color="auto"/>
      </w:divBdr>
    </w:div>
    <w:div w:id="1681811542">
      <w:bodyDiv w:val="1"/>
      <w:marLeft w:val="0"/>
      <w:marRight w:val="0"/>
      <w:marTop w:val="0"/>
      <w:marBottom w:val="0"/>
      <w:divBdr>
        <w:top w:val="none" w:sz="0" w:space="0" w:color="auto"/>
        <w:left w:val="none" w:sz="0" w:space="0" w:color="auto"/>
        <w:bottom w:val="none" w:sz="0" w:space="0" w:color="auto"/>
        <w:right w:val="none" w:sz="0" w:space="0" w:color="auto"/>
      </w:divBdr>
    </w:div>
    <w:div w:id="1682127228">
      <w:bodyDiv w:val="1"/>
      <w:marLeft w:val="0"/>
      <w:marRight w:val="0"/>
      <w:marTop w:val="0"/>
      <w:marBottom w:val="0"/>
      <w:divBdr>
        <w:top w:val="none" w:sz="0" w:space="0" w:color="auto"/>
        <w:left w:val="none" w:sz="0" w:space="0" w:color="auto"/>
        <w:bottom w:val="none" w:sz="0" w:space="0" w:color="auto"/>
        <w:right w:val="none" w:sz="0" w:space="0" w:color="auto"/>
      </w:divBdr>
    </w:div>
    <w:div w:id="1684933354">
      <w:bodyDiv w:val="1"/>
      <w:marLeft w:val="0"/>
      <w:marRight w:val="0"/>
      <w:marTop w:val="0"/>
      <w:marBottom w:val="0"/>
      <w:divBdr>
        <w:top w:val="none" w:sz="0" w:space="0" w:color="auto"/>
        <w:left w:val="none" w:sz="0" w:space="0" w:color="auto"/>
        <w:bottom w:val="none" w:sz="0" w:space="0" w:color="auto"/>
        <w:right w:val="none" w:sz="0" w:space="0" w:color="auto"/>
      </w:divBdr>
    </w:div>
    <w:div w:id="1685017901">
      <w:bodyDiv w:val="1"/>
      <w:marLeft w:val="0"/>
      <w:marRight w:val="0"/>
      <w:marTop w:val="0"/>
      <w:marBottom w:val="0"/>
      <w:divBdr>
        <w:top w:val="none" w:sz="0" w:space="0" w:color="auto"/>
        <w:left w:val="none" w:sz="0" w:space="0" w:color="auto"/>
        <w:bottom w:val="none" w:sz="0" w:space="0" w:color="auto"/>
        <w:right w:val="none" w:sz="0" w:space="0" w:color="auto"/>
      </w:divBdr>
    </w:div>
    <w:div w:id="1685129603">
      <w:bodyDiv w:val="1"/>
      <w:marLeft w:val="0"/>
      <w:marRight w:val="0"/>
      <w:marTop w:val="0"/>
      <w:marBottom w:val="0"/>
      <w:divBdr>
        <w:top w:val="none" w:sz="0" w:space="0" w:color="auto"/>
        <w:left w:val="none" w:sz="0" w:space="0" w:color="auto"/>
        <w:bottom w:val="none" w:sz="0" w:space="0" w:color="auto"/>
        <w:right w:val="none" w:sz="0" w:space="0" w:color="auto"/>
      </w:divBdr>
    </w:div>
    <w:div w:id="1685284772">
      <w:bodyDiv w:val="1"/>
      <w:marLeft w:val="0"/>
      <w:marRight w:val="0"/>
      <w:marTop w:val="0"/>
      <w:marBottom w:val="0"/>
      <w:divBdr>
        <w:top w:val="none" w:sz="0" w:space="0" w:color="auto"/>
        <w:left w:val="none" w:sz="0" w:space="0" w:color="auto"/>
        <w:bottom w:val="none" w:sz="0" w:space="0" w:color="auto"/>
        <w:right w:val="none" w:sz="0" w:space="0" w:color="auto"/>
      </w:divBdr>
    </w:div>
    <w:div w:id="1685478777">
      <w:bodyDiv w:val="1"/>
      <w:marLeft w:val="0"/>
      <w:marRight w:val="0"/>
      <w:marTop w:val="0"/>
      <w:marBottom w:val="0"/>
      <w:divBdr>
        <w:top w:val="none" w:sz="0" w:space="0" w:color="auto"/>
        <w:left w:val="none" w:sz="0" w:space="0" w:color="auto"/>
        <w:bottom w:val="none" w:sz="0" w:space="0" w:color="auto"/>
        <w:right w:val="none" w:sz="0" w:space="0" w:color="auto"/>
      </w:divBdr>
    </w:div>
    <w:div w:id="1685980339">
      <w:bodyDiv w:val="1"/>
      <w:marLeft w:val="0"/>
      <w:marRight w:val="0"/>
      <w:marTop w:val="0"/>
      <w:marBottom w:val="0"/>
      <w:divBdr>
        <w:top w:val="none" w:sz="0" w:space="0" w:color="auto"/>
        <w:left w:val="none" w:sz="0" w:space="0" w:color="auto"/>
        <w:bottom w:val="none" w:sz="0" w:space="0" w:color="auto"/>
        <w:right w:val="none" w:sz="0" w:space="0" w:color="auto"/>
      </w:divBdr>
    </w:div>
    <w:div w:id="1686126614">
      <w:bodyDiv w:val="1"/>
      <w:marLeft w:val="0"/>
      <w:marRight w:val="0"/>
      <w:marTop w:val="0"/>
      <w:marBottom w:val="0"/>
      <w:divBdr>
        <w:top w:val="none" w:sz="0" w:space="0" w:color="auto"/>
        <w:left w:val="none" w:sz="0" w:space="0" w:color="auto"/>
        <w:bottom w:val="none" w:sz="0" w:space="0" w:color="auto"/>
        <w:right w:val="none" w:sz="0" w:space="0" w:color="auto"/>
      </w:divBdr>
    </w:div>
    <w:div w:id="1687905042">
      <w:bodyDiv w:val="1"/>
      <w:marLeft w:val="0"/>
      <w:marRight w:val="0"/>
      <w:marTop w:val="0"/>
      <w:marBottom w:val="0"/>
      <w:divBdr>
        <w:top w:val="none" w:sz="0" w:space="0" w:color="auto"/>
        <w:left w:val="none" w:sz="0" w:space="0" w:color="auto"/>
        <w:bottom w:val="none" w:sz="0" w:space="0" w:color="auto"/>
        <w:right w:val="none" w:sz="0" w:space="0" w:color="auto"/>
      </w:divBdr>
    </w:div>
    <w:div w:id="1688944963">
      <w:bodyDiv w:val="1"/>
      <w:marLeft w:val="0"/>
      <w:marRight w:val="0"/>
      <w:marTop w:val="0"/>
      <w:marBottom w:val="0"/>
      <w:divBdr>
        <w:top w:val="none" w:sz="0" w:space="0" w:color="auto"/>
        <w:left w:val="none" w:sz="0" w:space="0" w:color="auto"/>
        <w:bottom w:val="none" w:sz="0" w:space="0" w:color="auto"/>
        <w:right w:val="none" w:sz="0" w:space="0" w:color="auto"/>
      </w:divBdr>
    </w:div>
    <w:div w:id="1690401180">
      <w:bodyDiv w:val="1"/>
      <w:marLeft w:val="0"/>
      <w:marRight w:val="0"/>
      <w:marTop w:val="0"/>
      <w:marBottom w:val="0"/>
      <w:divBdr>
        <w:top w:val="none" w:sz="0" w:space="0" w:color="auto"/>
        <w:left w:val="none" w:sz="0" w:space="0" w:color="auto"/>
        <w:bottom w:val="none" w:sz="0" w:space="0" w:color="auto"/>
        <w:right w:val="none" w:sz="0" w:space="0" w:color="auto"/>
      </w:divBdr>
    </w:div>
    <w:div w:id="1690447914">
      <w:bodyDiv w:val="1"/>
      <w:marLeft w:val="0"/>
      <w:marRight w:val="0"/>
      <w:marTop w:val="0"/>
      <w:marBottom w:val="0"/>
      <w:divBdr>
        <w:top w:val="none" w:sz="0" w:space="0" w:color="auto"/>
        <w:left w:val="none" w:sz="0" w:space="0" w:color="auto"/>
        <w:bottom w:val="none" w:sz="0" w:space="0" w:color="auto"/>
        <w:right w:val="none" w:sz="0" w:space="0" w:color="auto"/>
      </w:divBdr>
    </w:div>
    <w:div w:id="1690567176">
      <w:bodyDiv w:val="1"/>
      <w:marLeft w:val="0"/>
      <w:marRight w:val="0"/>
      <w:marTop w:val="0"/>
      <w:marBottom w:val="0"/>
      <w:divBdr>
        <w:top w:val="none" w:sz="0" w:space="0" w:color="auto"/>
        <w:left w:val="none" w:sz="0" w:space="0" w:color="auto"/>
        <w:bottom w:val="none" w:sz="0" w:space="0" w:color="auto"/>
        <w:right w:val="none" w:sz="0" w:space="0" w:color="auto"/>
      </w:divBdr>
    </w:div>
    <w:div w:id="1691026549">
      <w:bodyDiv w:val="1"/>
      <w:marLeft w:val="0"/>
      <w:marRight w:val="0"/>
      <w:marTop w:val="0"/>
      <w:marBottom w:val="0"/>
      <w:divBdr>
        <w:top w:val="none" w:sz="0" w:space="0" w:color="auto"/>
        <w:left w:val="none" w:sz="0" w:space="0" w:color="auto"/>
        <w:bottom w:val="none" w:sz="0" w:space="0" w:color="auto"/>
        <w:right w:val="none" w:sz="0" w:space="0" w:color="auto"/>
      </w:divBdr>
    </w:div>
    <w:div w:id="1691644140">
      <w:bodyDiv w:val="1"/>
      <w:marLeft w:val="0"/>
      <w:marRight w:val="0"/>
      <w:marTop w:val="0"/>
      <w:marBottom w:val="0"/>
      <w:divBdr>
        <w:top w:val="none" w:sz="0" w:space="0" w:color="auto"/>
        <w:left w:val="none" w:sz="0" w:space="0" w:color="auto"/>
        <w:bottom w:val="none" w:sz="0" w:space="0" w:color="auto"/>
        <w:right w:val="none" w:sz="0" w:space="0" w:color="auto"/>
      </w:divBdr>
    </w:div>
    <w:div w:id="1691713158">
      <w:bodyDiv w:val="1"/>
      <w:marLeft w:val="0"/>
      <w:marRight w:val="0"/>
      <w:marTop w:val="0"/>
      <w:marBottom w:val="0"/>
      <w:divBdr>
        <w:top w:val="none" w:sz="0" w:space="0" w:color="auto"/>
        <w:left w:val="none" w:sz="0" w:space="0" w:color="auto"/>
        <w:bottom w:val="none" w:sz="0" w:space="0" w:color="auto"/>
        <w:right w:val="none" w:sz="0" w:space="0" w:color="auto"/>
      </w:divBdr>
    </w:div>
    <w:div w:id="1691954568">
      <w:bodyDiv w:val="1"/>
      <w:marLeft w:val="0"/>
      <w:marRight w:val="0"/>
      <w:marTop w:val="0"/>
      <w:marBottom w:val="0"/>
      <w:divBdr>
        <w:top w:val="none" w:sz="0" w:space="0" w:color="auto"/>
        <w:left w:val="none" w:sz="0" w:space="0" w:color="auto"/>
        <w:bottom w:val="none" w:sz="0" w:space="0" w:color="auto"/>
        <w:right w:val="none" w:sz="0" w:space="0" w:color="auto"/>
      </w:divBdr>
    </w:div>
    <w:div w:id="1693072204">
      <w:bodyDiv w:val="1"/>
      <w:marLeft w:val="0"/>
      <w:marRight w:val="0"/>
      <w:marTop w:val="0"/>
      <w:marBottom w:val="0"/>
      <w:divBdr>
        <w:top w:val="none" w:sz="0" w:space="0" w:color="auto"/>
        <w:left w:val="none" w:sz="0" w:space="0" w:color="auto"/>
        <w:bottom w:val="none" w:sz="0" w:space="0" w:color="auto"/>
        <w:right w:val="none" w:sz="0" w:space="0" w:color="auto"/>
      </w:divBdr>
    </w:div>
    <w:div w:id="1693873915">
      <w:bodyDiv w:val="1"/>
      <w:marLeft w:val="0"/>
      <w:marRight w:val="0"/>
      <w:marTop w:val="0"/>
      <w:marBottom w:val="0"/>
      <w:divBdr>
        <w:top w:val="none" w:sz="0" w:space="0" w:color="auto"/>
        <w:left w:val="none" w:sz="0" w:space="0" w:color="auto"/>
        <w:bottom w:val="none" w:sz="0" w:space="0" w:color="auto"/>
        <w:right w:val="none" w:sz="0" w:space="0" w:color="auto"/>
      </w:divBdr>
    </w:div>
    <w:div w:id="1694308348">
      <w:bodyDiv w:val="1"/>
      <w:marLeft w:val="0"/>
      <w:marRight w:val="0"/>
      <w:marTop w:val="0"/>
      <w:marBottom w:val="0"/>
      <w:divBdr>
        <w:top w:val="none" w:sz="0" w:space="0" w:color="auto"/>
        <w:left w:val="none" w:sz="0" w:space="0" w:color="auto"/>
        <w:bottom w:val="none" w:sz="0" w:space="0" w:color="auto"/>
        <w:right w:val="none" w:sz="0" w:space="0" w:color="auto"/>
      </w:divBdr>
    </w:div>
    <w:div w:id="1694501123">
      <w:bodyDiv w:val="1"/>
      <w:marLeft w:val="0"/>
      <w:marRight w:val="0"/>
      <w:marTop w:val="0"/>
      <w:marBottom w:val="0"/>
      <w:divBdr>
        <w:top w:val="none" w:sz="0" w:space="0" w:color="auto"/>
        <w:left w:val="none" w:sz="0" w:space="0" w:color="auto"/>
        <w:bottom w:val="none" w:sz="0" w:space="0" w:color="auto"/>
        <w:right w:val="none" w:sz="0" w:space="0" w:color="auto"/>
      </w:divBdr>
    </w:div>
    <w:div w:id="1695689456">
      <w:bodyDiv w:val="1"/>
      <w:marLeft w:val="0"/>
      <w:marRight w:val="0"/>
      <w:marTop w:val="0"/>
      <w:marBottom w:val="0"/>
      <w:divBdr>
        <w:top w:val="none" w:sz="0" w:space="0" w:color="auto"/>
        <w:left w:val="none" w:sz="0" w:space="0" w:color="auto"/>
        <w:bottom w:val="none" w:sz="0" w:space="0" w:color="auto"/>
        <w:right w:val="none" w:sz="0" w:space="0" w:color="auto"/>
      </w:divBdr>
    </w:div>
    <w:div w:id="1696465125">
      <w:bodyDiv w:val="1"/>
      <w:marLeft w:val="0"/>
      <w:marRight w:val="0"/>
      <w:marTop w:val="0"/>
      <w:marBottom w:val="0"/>
      <w:divBdr>
        <w:top w:val="none" w:sz="0" w:space="0" w:color="auto"/>
        <w:left w:val="none" w:sz="0" w:space="0" w:color="auto"/>
        <w:bottom w:val="none" w:sz="0" w:space="0" w:color="auto"/>
        <w:right w:val="none" w:sz="0" w:space="0" w:color="auto"/>
      </w:divBdr>
    </w:div>
    <w:div w:id="1697124032">
      <w:bodyDiv w:val="1"/>
      <w:marLeft w:val="0"/>
      <w:marRight w:val="0"/>
      <w:marTop w:val="0"/>
      <w:marBottom w:val="0"/>
      <w:divBdr>
        <w:top w:val="none" w:sz="0" w:space="0" w:color="auto"/>
        <w:left w:val="none" w:sz="0" w:space="0" w:color="auto"/>
        <w:bottom w:val="none" w:sz="0" w:space="0" w:color="auto"/>
        <w:right w:val="none" w:sz="0" w:space="0" w:color="auto"/>
      </w:divBdr>
    </w:div>
    <w:div w:id="1697342400">
      <w:bodyDiv w:val="1"/>
      <w:marLeft w:val="0"/>
      <w:marRight w:val="0"/>
      <w:marTop w:val="0"/>
      <w:marBottom w:val="0"/>
      <w:divBdr>
        <w:top w:val="none" w:sz="0" w:space="0" w:color="auto"/>
        <w:left w:val="none" w:sz="0" w:space="0" w:color="auto"/>
        <w:bottom w:val="none" w:sz="0" w:space="0" w:color="auto"/>
        <w:right w:val="none" w:sz="0" w:space="0" w:color="auto"/>
      </w:divBdr>
    </w:div>
    <w:div w:id="1697734922">
      <w:bodyDiv w:val="1"/>
      <w:marLeft w:val="0"/>
      <w:marRight w:val="0"/>
      <w:marTop w:val="0"/>
      <w:marBottom w:val="0"/>
      <w:divBdr>
        <w:top w:val="none" w:sz="0" w:space="0" w:color="auto"/>
        <w:left w:val="none" w:sz="0" w:space="0" w:color="auto"/>
        <w:bottom w:val="none" w:sz="0" w:space="0" w:color="auto"/>
        <w:right w:val="none" w:sz="0" w:space="0" w:color="auto"/>
      </w:divBdr>
    </w:div>
    <w:div w:id="1698309230">
      <w:bodyDiv w:val="1"/>
      <w:marLeft w:val="0"/>
      <w:marRight w:val="0"/>
      <w:marTop w:val="0"/>
      <w:marBottom w:val="0"/>
      <w:divBdr>
        <w:top w:val="none" w:sz="0" w:space="0" w:color="auto"/>
        <w:left w:val="none" w:sz="0" w:space="0" w:color="auto"/>
        <w:bottom w:val="none" w:sz="0" w:space="0" w:color="auto"/>
        <w:right w:val="none" w:sz="0" w:space="0" w:color="auto"/>
      </w:divBdr>
    </w:div>
    <w:div w:id="1699699692">
      <w:bodyDiv w:val="1"/>
      <w:marLeft w:val="0"/>
      <w:marRight w:val="0"/>
      <w:marTop w:val="0"/>
      <w:marBottom w:val="0"/>
      <w:divBdr>
        <w:top w:val="none" w:sz="0" w:space="0" w:color="auto"/>
        <w:left w:val="none" w:sz="0" w:space="0" w:color="auto"/>
        <w:bottom w:val="none" w:sz="0" w:space="0" w:color="auto"/>
        <w:right w:val="none" w:sz="0" w:space="0" w:color="auto"/>
      </w:divBdr>
    </w:div>
    <w:div w:id="1700088198">
      <w:bodyDiv w:val="1"/>
      <w:marLeft w:val="0"/>
      <w:marRight w:val="0"/>
      <w:marTop w:val="0"/>
      <w:marBottom w:val="0"/>
      <w:divBdr>
        <w:top w:val="none" w:sz="0" w:space="0" w:color="auto"/>
        <w:left w:val="none" w:sz="0" w:space="0" w:color="auto"/>
        <w:bottom w:val="none" w:sz="0" w:space="0" w:color="auto"/>
        <w:right w:val="none" w:sz="0" w:space="0" w:color="auto"/>
      </w:divBdr>
    </w:div>
    <w:div w:id="1700276003">
      <w:bodyDiv w:val="1"/>
      <w:marLeft w:val="0"/>
      <w:marRight w:val="0"/>
      <w:marTop w:val="0"/>
      <w:marBottom w:val="0"/>
      <w:divBdr>
        <w:top w:val="none" w:sz="0" w:space="0" w:color="auto"/>
        <w:left w:val="none" w:sz="0" w:space="0" w:color="auto"/>
        <w:bottom w:val="none" w:sz="0" w:space="0" w:color="auto"/>
        <w:right w:val="none" w:sz="0" w:space="0" w:color="auto"/>
      </w:divBdr>
    </w:div>
    <w:div w:id="1701081538">
      <w:bodyDiv w:val="1"/>
      <w:marLeft w:val="0"/>
      <w:marRight w:val="0"/>
      <w:marTop w:val="0"/>
      <w:marBottom w:val="0"/>
      <w:divBdr>
        <w:top w:val="none" w:sz="0" w:space="0" w:color="auto"/>
        <w:left w:val="none" w:sz="0" w:space="0" w:color="auto"/>
        <w:bottom w:val="none" w:sz="0" w:space="0" w:color="auto"/>
        <w:right w:val="none" w:sz="0" w:space="0" w:color="auto"/>
      </w:divBdr>
    </w:div>
    <w:div w:id="1701971030">
      <w:bodyDiv w:val="1"/>
      <w:marLeft w:val="0"/>
      <w:marRight w:val="0"/>
      <w:marTop w:val="0"/>
      <w:marBottom w:val="0"/>
      <w:divBdr>
        <w:top w:val="none" w:sz="0" w:space="0" w:color="auto"/>
        <w:left w:val="none" w:sz="0" w:space="0" w:color="auto"/>
        <w:bottom w:val="none" w:sz="0" w:space="0" w:color="auto"/>
        <w:right w:val="none" w:sz="0" w:space="0" w:color="auto"/>
      </w:divBdr>
    </w:div>
    <w:div w:id="1702365492">
      <w:bodyDiv w:val="1"/>
      <w:marLeft w:val="0"/>
      <w:marRight w:val="0"/>
      <w:marTop w:val="0"/>
      <w:marBottom w:val="0"/>
      <w:divBdr>
        <w:top w:val="none" w:sz="0" w:space="0" w:color="auto"/>
        <w:left w:val="none" w:sz="0" w:space="0" w:color="auto"/>
        <w:bottom w:val="none" w:sz="0" w:space="0" w:color="auto"/>
        <w:right w:val="none" w:sz="0" w:space="0" w:color="auto"/>
      </w:divBdr>
    </w:div>
    <w:div w:id="1702625451">
      <w:bodyDiv w:val="1"/>
      <w:marLeft w:val="0"/>
      <w:marRight w:val="0"/>
      <w:marTop w:val="0"/>
      <w:marBottom w:val="0"/>
      <w:divBdr>
        <w:top w:val="none" w:sz="0" w:space="0" w:color="auto"/>
        <w:left w:val="none" w:sz="0" w:space="0" w:color="auto"/>
        <w:bottom w:val="none" w:sz="0" w:space="0" w:color="auto"/>
        <w:right w:val="none" w:sz="0" w:space="0" w:color="auto"/>
      </w:divBdr>
    </w:div>
    <w:div w:id="1704397917">
      <w:bodyDiv w:val="1"/>
      <w:marLeft w:val="0"/>
      <w:marRight w:val="0"/>
      <w:marTop w:val="0"/>
      <w:marBottom w:val="0"/>
      <w:divBdr>
        <w:top w:val="none" w:sz="0" w:space="0" w:color="auto"/>
        <w:left w:val="none" w:sz="0" w:space="0" w:color="auto"/>
        <w:bottom w:val="none" w:sz="0" w:space="0" w:color="auto"/>
        <w:right w:val="none" w:sz="0" w:space="0" w:color="auto"/>
      </w:divBdr>
    </w:div>
    <w:div w:id="1704820398">
      <w:bodyDiv w:val="1"/>
      <w:marLeft w:val="0"/>
      <w:marRight w:val="0"/>
      <w:marTop w:val="0"/>
      <w:marBottom w:val="0"/>
      <w:divBdr>
        <w:top w:val="none" w:sz="0" w:space="0" w:color="auto"/>
        <w:left w:val="none" w:sz="0" w:space="0" w:color="auto"/>
        <w:bottom w:val="none" w:sz="0" w:space="0" w:color="auto"/>
        <w:right w:val="none" w:sz="0" w:space="0" w:color="auto"/>
      </w:divBdr>
    </w:div>
    <w:div w:id="1705132362">
      <w:bodyDiv w:val="1"/>
      <w:marLeft w:val="0"/>
      <w:marRight w:val="0"/>
      <w:marTop w:val="0"/>
      <w:marBottom w:val="0"/>
      <w:divBdr>
        <w:top w:val="none" w:sz="0" w:space="0" w:color="auto"/>
        <w:left w:val="none" w:sz="0" w:space="0" w:color="auto"/>
        <w:bottom w:val="none" w:sz="0" w:space="0" w:color="auto"/>
        <w:right w:val="none" w:sz="0" w:space="0" w:color="auto"/>
      </w:divBdr>
    </w:div>
    <w:div w:id="1705247991">
      <w:bodyDiv w:val="1"/>
      <w:marLeft w:val="0"/>
      <w:marRight w:val="0"/>
      <w:marTop w:val="0"/>
      <w:marBottom w:val="0"/>
      <w:divBdr>
        <w:top w:val="none" w:sz="0" w:space="0" w:color="auto"/>
        <w:left w:val="none" w:sz="0" w:space="0" w:color="auto"/>
        <w:bottom w:val="none" w:sz="0" w:space="0" w:color="auto"/>
        <w:right w:val="none" w:sz="0" w:space="0" w:color="auto"/>
      </w:divBdr>
    </w:div>
    <w:div w:id="1705908253">
      <w:bodyDiv w:val="1"/>
      <w:marLeft w:val="0"/>
      <w:marRight w:val="0"/>
      <w:marTop w:val="0"/>
      <w:marBottom w:val="0"/>
      <w:divBdr>
        <w:top w:val="none" w:sz="0" w:space="0" w:color="auto"/>
        <w:left w:val="none" w:sz="0" w:space="0" w:color="auto"/>
        <w:bottom w:val="none" w:sz="0" w:space="0" w:color="auto"/>
        <w:right w:val="none" w:sz="0" w:space="0" w:color="auto"/>
      </w:divBdr>
    </w:div>
    <w:div w:id="1706835023">
      <w:bodyDiv w:val="1"/>
      <w:marLeft w:val="0"/>
      <w:marRight w:val="0"/>
      <w:marTop w:val="0"/>
      <w:marBottom w:val="0"/>
      <w:divBdr>
        <w:top w:val="none" w:sz="0" w:space="0" w:color="auto"/>
        <w:left w:val="none" w:sz="0" w:space="0" w:color="auto"/>
        <w:bottom w:val="none" w:sz="0" w:space="0" w:color="auto"/>
        <w:right w:val="none" w:sz="0" w:space="0" w:color="auto"/>
      </w:divBdr>
    </w:div>
    <w:div w:id="1708215042">
      <w:bodyDiv w:val="1"/>
      <w:marLeft w:val="0"/>
      <w:marRight w:val="0"/>
      <w:marTop w:val="0"/>
      <w:marBottom w:val="0"/>
      <w:divBdr>
        <w:top w:val="none" w:sz="0" w:space="0" w:color="auto"/>
        <w:left w:val="none" w:sz="0" w:space="0" w:color="auto"/>
        <w:bottom w:val="none" w:sz="0" w:space="0" w:color="auto"/>
        <w:right w:val="none" w:sz="0" w:space="0" w:color="auto"/>
      </w:divBdr>
    </w:div>
    <w:div w:id="1708219671">
      <w:bodyDiv w:val="1"/>
      <w:marLeft w:val="0"/>
      <w:marRight w:val="0"/>
      <w:marTop w:val="0"/>
      <w:marBottom w:val="0"/>
      <w:divBdr>
        <w:top w:val="none" w:sz="0" w:space="0" w:color="auto"/>
        <w:left w:val="none" w:sz="0" w:space="0" w:color="auto"/>
        <w:bottom w:val="none" w:sz="0" w:space="0" w:color="auto"/>
        <w:right w:val="none" w:sz="0" w:space="0" w:color="auto"/>
      </w:divBdr>
    </w:div>
    <w:div w:id="1709067541">
      <w:bodyDiv w:val="1"/>
      <w:marLeft w:val="0"/>
      <w:marRight w:val="0"/>
      <w:marTop w:val="0"/>
      <w:marBottom w:val="0"/>
      <w:divBdr>
        <w:top w:val="none" w:sz="0" w:space="0" w:color="auto"/>
        <w:left w:val="none" w:sz="0" w:space="0" w:color="auto"/>
        <w:bottom w:val="none" w:sz="0" w:space="0" w:color="auto"/>
        <w:right w:val="none" w:sz="0" w:space="0" w:color="auto"/>
      </w:divBdr>
    </w:div>
    <w:div w:id="1709530057">
      <w:bodyDiv w:val="1"/>
      <w:marLeft w:val="0"/>
      <w:marRight w:val="0"/>
      <w:marTop w:val="0"/>
      <w:marBottom w:val="0"/>
      <w:divBdr>
        <w:top w:val="none" w:sz="0" w:space="0" w:color="auto"/>
        <w:left w:val="none" w:sz="0" w:space="0" w:color="auto"/>
        <w:bottom w:val="none" w:sz="0" w:space="0" w:color="auto"/>
        <w:right w:val="none" w:sz="0" w:space="0" w:color="auto"/>
      </w:divBdr>
    </w:div>
    <w:div w:id="1711415098">
      <w:bodyDiv w:val="1"/>
      <w:marLeft w:val="0"/>
      <w:marRight w:val="0"/>
      <w:marTop w:val="0"/>
      <w:marBottom w:val="0"/>
      <w:divBdr>
        <w:top w:val="none" w:sz="0" w:space="0" w:color="auto"/>
        <w:left w:val="none" w:sz="0" w:space="0" w:color="auto"/>
        <w:bottom w:val="none" w:sz="0" w:space="0" w:color="auto"/>
        <w:right w:val="none" w:sz="0" w:space="0" w:color="auto"/>
      </w:divBdr>
    </w:div>
    <w:div w:id="1711764092">
      <w:bodyDiv w:val="1"/>
      <w:marLeft w:val="0"/>
      <w:marRight w:val="0"/>
      <w:marTop w:val="0"/>
      <w:marBottom w:val="0"/>
      <w:divBdr>
        <w:top w:val="none" w:sz="0" w:space="0" w:color="auto"/>
        <w:left w:val="none" w:sz="0" w:space="0" w:color="auto"/>
        <w:bottom w:val="none" w:sz="0" w:space="0" w:color="auto"/>
        <w:right w:val="none" w:sz="0" w:space="0" w:color="auto"/>
      </w:divBdr>
      <w:divsChild>
        <w:div w:id="1695495459">
          <w:marLeft w:val="0"/>
          <w:marRight w:val="0"/>
          <w:marTop w:val="0"/>
          <w:marBottom w:val="0"/>
          <w:divBdr>
            <w:top w:val="none" w:sz="0" w:space="0" w:color="auto"/>
            <w:left w:val="none" w:sz="0" w:space="0" w:color="auto"/>
            <w:bottom w:val="none" w:sz="0" w:space="0" w:color="auto"/>
            <w:right w:val="none" w:sz="0" w:space="0" w:color="auto"/>
          </w:divBdr>
        </w:div>
        <w:div w:id="97606789">
          <w:marLeft w:val="0"/>
          <w:marRight w:val="0"/>
          <w:marTop w:val="0"/>
          <w:marBottom w:val="0"/>
          <w:divBdr>
            <w:top w:val="none" w:sz="0" w:space="0" w:color="auto"/>
            <w:left w:val="none" w:sz="0" w:space="0" w:color="auto"/>
            <w:bottom w:val="none" w:sz="0" w:space="0" w:color="auto"/>
            <w:right w:val="none" w:sz="0" w:space="0" w:color="auto"/>
          </w:divBdr>
        </w:div>
        <w:div w:id="144397063">
          <w:marLeft w:val="0"/>
          <w:marRight w:val="0"/>
          <w:marTop w:val="0"/>
          <w:marBottom w:val="0"/>
          <w:divBdr>
            <w:top w:val="none" w:sz="0" w:space="0" w:color="auto"/>
            <w:left w:val="none" w:sz="0" w:space="0" w:color="auto"/>
            <w:bottom w:val="none" w:sz="0" w:space="0" w:color="auto"/>
            <w:right w:val="none" w:sz="0" w:space="0" w:color="auto"/>
          </w:divBdr>
        </w:div>
      </w:divsChild>
    </w:div>
    <w:div w:id="1711805018">
      <w:bodyDiv w:val="1"/>
      <w:marLeft w:val="0"/>
      <w:marRight w:val="0"/>
      <w:marTop w:val="0"/>
      <w:marBottom w:val="0"/>
      <w:divBdr>
        <w:top w:val="none" w:sz="0" w:space="0" w:color="auto"/>
        <w:left w:val="none" w:sz="0" w:space="0" w:color="auto"/>
        <w:bottom w:val="none" w:sz="0" w:space="0" w:color="auto"/>
        <w:right w:val="none" w:sz="0" w:space="0" w:color="auto"/>
      </w:divBdr>
    </w:div>
    <w:div w:id="1712456143">
      <w:bodyDiv w:val="1"/>
      <w:marLeft w:val="0"/>
      <w:marRight w:val="0"/>
      <w:marTop w:val="0"/>
      <w:marBottom w:val="0"/>
      <w:divBdr>
        <w:top w:val="none" w:sz="0" w:space="0" w:color="auto"/>
        <w:left w:val="none" w:sz="0" w:space="0" w:color="auto"/>
        <w:bottom w:val="none" w:sz="0" w:space="0" w:color="auto"/>
        <w:right w:val="none" w:sz="0" w:space="0" w:color="auto"/>
      </w:divBdr>
    </w:div>
    <w:div w:id="1712538041">
      <w:bodyDiv w:val="1"/>
      <w:marLeft w:val="0"/>
      <w:marRight w:val="0"/>
      <w:marTop w:val="0"/>
      <w:marBottom w:val="0"/>
      <w:divBdr>
        <w:top w:val="none" w:sz="0" w:space="0" w:color="auto"/>
        <w:left w:val="none" w:sz="0" w:space="0" w:color="auto"/>
        <w:bottom w:val="none" w:sz="0" w:space="0" w:color="auto"/>
        <w:right w:val="none" w:sz="0" w:space="0" w:color="auto"/>
      </w:divBdr>
    </w:div>
    <w:div w:id="1712538458">
      <w:bodyDiv w:val="1"/>
      <w:marLeft w:val="0"/>
      <w:marRight w:val="0"/>
      <w:marTop w:val="0"/>
      <w:marBottom w:val="0"/>
      <w:divBdr>
        <w:top w:val="none" w:sz="0" w:space="0" w:color="auto"/>
        <w:left w:val="none" w:sz="0" w:space="0" w:color="auto"/>
        <w:bottom w:val="none" w:sz="0" w:space="0" w:color="auto"/>
        <w:right w:val="none" w:sz="0" w:space="0" w:color="auto"/>
      </w:divBdr>
    </w:div>
    <w:div w:id="1712802568">
      <w:bodyDiv w:val="1"/>
      <w:marLeft w:val="0"/>
      <w:marRight w:val="0"/>
      <w:marTop w:val="0"/>
      <w:marBottom w:val="0"/>
      <w:divBdr>
        <w:top w:val="none" w:sz="0" w:space="0" w:color="auto"/>
        <w:left w:val="none" w:sz="0" w:space="0" w:color="auto"/>
        <w:bottom w:val="none" w:sz="0" w:space="0" w:color="auto"/>
        <w:right w:val="none" w:sz="0" w:space="0" w:color="auto"/>
      </w:divBdr>
    </w:div>
    <w:div w:id="1712850558">
      <w:bodyDiv w:val="1"/>
      <w:marLeft w:val="0"/>
      <w:marRight w:val="0"/>
      <w:marTop w:val="0"/>
      <w:marBottom w:val="0"/>
      <w:divBdr>
        <w:top w:val="none" w:sz="0" w:space="0" w:color="auto"/>
        <w:left w:val="none" w:sz="0" w:space="0" w:color="auto"/>
        <w:bottom w:val="none" w:sz="0" w:space="0" w:color="auto"/>
        <w:right w:val="none" w:sz="0" w:space="0" w:color="auto"/>
      </w:divBdr>
    </w:div>
    <w:div w:id="1713534177">
      <w:bodyDiv w:val="1"/>
      <w:marLeft w:val="0"/>
      <w:marRight w:val="0"/>
      <w:marTop w:val="0"/>
      <w:marBottom w:val="0"/>
      <w:divBdr>
        <w:top w:val="none" w:sz="0" w:space="0" w:color="auto"/>
        <w:left w:val="none" w:sz="0" w:space="0" w:color="auto"/>
        <w:bottom w:val="none" w:sz="0" w:space="0" w:color="auto"/>
        <w:right w:val="none" w:sz="0" w:space="0" w:color="auto"/>
      </w:divBdr>
    </w:div>
    <w:div w:id="1713842844">
      <w:bodyDiv w:val="1"/>
      <w:marLeft w:val="0"/>
      <w:marRight w:val="0"/>
      <w:marTop w:val="0"/>
      <w:marBottom w:val="0"/>
      <w:divBdr>
        <w:top w:val="none" w:sz="0" w:space="0" w:color="auto"/>
        <w:left w:val="none" w:sz="0" w:space="0" w:color="auto"/>
        <w:bottom w:val="none" w:sz="0" w:space="0" w:color="auto"/>
        <w:right w:val="none" w:sz="0" w:space="0" w:color="auto"/>
      </w:divBdr>
    </w:div>
    <w:div w:id="1714188873">
      <w:bodyDiv w:val="1"/>
      <w:marLeft w:val="0"/>
      <w:marRight w:val="0"/>
      <w:marTop w:val="0"/>
      <w:marBottom w:val="0"/>
      <w:divBdr>
        <w:top w:val="none" w:sz="0" w:space="0" w:color="auto"/>
        <w:left w:val="none" w:sz="0" w:space="0" w:color="auto"/>
        <w:bottom w:val="none" w:sz="0" w:space="0" w:color="auto"/>
        <w:right w:val="none" w:sz="0" w:space="0" w:color="auto"/>
      </w:divBdr>
    </w:div>
    <w:div w:id="1715077727">
      <w:bodyDiv w:val="1"/>
      <w:marLeft w:val="0"/>
      <w:marRight w:val="0"/>
      <w:marTop w:val="0"/>
      <w:marBottom w:val="0"/>
      <w:divBdr>
        <w:top w:val="none" w:sz="0" w:space="0" w:color="auto"/>
        <w:left w:val="none" w:sz="0" w:space="0" w:color="auto"/>
        <w:bottom w:val="none" w:sz="0" w:space="0" w:color="auto"/>
        <w:right w:val="none" w:sz="0" w:space="0" w:color="auto"/>
      </w:divBdr>
    </w:div>
    <w:div w:id="1715422329">
      <w:bodyDiv w:val="1"/>
      <w:marLeft w:val="0"/>
      <w:marRight w:val="0"/>
      <w:marTop w:val="0"/>
      <w:marBottom w:val="0"/>
      <w:divBdr>
        <w:top w:val="none" w:sz="0" w:space="0" w:color="auto"/>
        <w:left w:val="none" w:sz="0" w:space="0" w:color="auto"/>
        <w:bottom w:val="none" w:sz="0" w:space="0" w:color="auto"/>
        <w:right w:val="none" w:sz="0" w:space="0" w:color="auto"/>
      </w:divBdr>
    </w:div>
    <w:div w:id="1715501881">
      <w:bodyDiv w:val="1"/>
      <w:marLeft w:val="0"/>
      <w:marRight w:val="0"/>
      <w:marTop w:val="0"/>
      <w:marBottom w:val="0"/>
      <w:divBdr>
        <w:top w:val="none" w:sz="0" w:space="0" w:color="auto"/>
        <w:left w:val="none" w:sz="0" w:space="0" w:color="auto"/>
        <w:bottom w:val="none" w:sz="0" w:space="0" w:color="auto"/>
        <w:right w:val="none" w:sz="0" w:space="0" w:color="auto"/>
      </w:divBdr>
    </w:div>
    <w:div w:id="1715809121">
      <w:bodyDiv w:val="1"/>
      <w:marLeft w:val="0"/>
      <w:marRight w:val="0"/>
      <w:marTop w:val="0"/>
      <w:marBottom w:val="0"/>
      <w:divBdr>
        <w:top w:val="none" w:sz="0" w:space="0" w:color="auto"/>
        <w:left w:val="none" w:sz="0" w:space="0" w:color="auto"/>
        <w:bottom w:val="none" w:sz="0" w:space="0" w:color="auto"/>
        <w:right w:val="none" w:sz="0" w:space="0" w:color="auto"/>
      </w:divBdr>
    </w:div>
    <w:div w:id="1716082863">
      <w:bodyDiv w:val="1"/>
      <w:marLeft w:val="0"/>
      <w:marRight w:val="0"/>
      <w:marTop w:val="0"/>
      <w:marBottom w:val="0"/>
      <w:divBdr>
        <w:top w:val="none" w:sz="0" w:space="0" w:color="auto"/>
        <w:left w:val="none" w:sz="0" w:space="0" w:color="auto"/>
        <w:bottom w:val="none" w:sz="0" w:space="0" w:color="auto"/>
        <w:right w:val="none" w:sz="0" w:space="0" w:color="auto"/>
      </w:divBdr>
    </w:div>
    <w:div w:id="1716349044">
      <w:bodyDiv w:val="1"/>
      <w:marLeft w:val="0"/>
      <w:marRight w:val="0"/>
      <w:marTop w:val="0"/>
      <w:marBottom w:val="0"/>
      <w:divBdr>
        <w:top w:val="none" w:sz="0" w:space="0" w:color="auto"/>
        <w:left w:val="none" w:sz="0" w:space="0" w:color="auto"/>
        <w:bottom w:val="none" w:sz="0" w:space="0" w:color="auto"/>
        <w:right w:val="none" w:sz="0" w:space="0" w:color="auto"/>
      </w:divBdr>
    </w:div>
    <w:div w:id="1716659833">
      <w:bodyDiv w:val="1"/>
      <w:marLeft w:val="0"/>
      <w:marRight w:val="0"/>
      <w:marTop w:val="0"/>
      <w:marBottom w:val="0"/>
      <w:divBdr>
        <w:top w:val="none" w:sz="0" w:space="0" w:color="auto"/>
        <w:left w:val="none" w:sz="0" w:space="0" w:color="auto"/>
        <w:bottom w:val="none" w:sz="0" w:space="0" w:color="auto"/>
        <w:right w:val="none" w:sz="0" w:space="0" w:color="auto"/>
      </w:divBdr>
    </w:div>
    <w:div w:id="1717124791">
      <w:bodyDiv w:val="1"/>
      <w:marLeft w:val="0"/>
      <w:marRight w:val="0"/>
      <w:marTop w:val="0"/>
      <w:marBottom w:val="0"/>
      <w:divBdr>
        <w:top w:val="none" w:sz="0" w:space="0" w:color="auto"/>
        <w:left w:val="none" w:sz="0" w:space="0" w:color="auto"/>
        <w:bottom w:val="none" w:sz="0" w:space="0" w:color="auto"/>
        <w:right w:val="none" w:sz="0" w:space="0" w:color="auto"/>
      </w:divBdr>
    </w:div>
    <w:div w:id="1717393090">
      <w:bodyDiv w:val="1"/>
      <w:marLeft w:val="0"/>
      <w:marRight w:val="0"/>
      <w:marTop w:val="0"/>
      <w:marBottom w:val="0"/>
      <w:divBdr>
        <w:top w:val="none" w:sz="0" w:space="0" w:color="auto"/>
        <w:left w:val="none" w:sz="0" w:space="0" w:color="auto"/>
        <w:bottom w:val="none" w:sz="0" w:space="0" w:color="auto"/>
        <w:right w:val="none" w:sz="0" w:space="0" w:color="auto"/>
      </w:divBdr>
    </w:div>
    <w:div w:id="1718049941">
      <w:bodyDiv w:val="1"/>
      <w:marLeft w:val="0"/>
      <w:marRight w:val="0"/>
      <w:marTop w:val="0"/>
      <w:marBottom w:val="0"/>
      <w:divBdr>
        <w:top w:val="none" w:sz="0" w:space="0" w:color="auto"/>
        <w:left w:val="none" w:sz="0" w:space="0" w:color="auto"/>
        <w:bottom w:val="none" w:sz="0" w:space="0" w:color="auto"/>
        <w:right w:val="none" w:sz="0" w:space="0" w:color="auto"/>
      </w:divBdr>
    </w:div>
    <w:div w:id="1718510158">
      <w:bodyDiv w:val="1"/>
      <w:marLeft w:val="0"/>
      <w:marRight w:val="0"/>
      <w:marTop w:val="0"/>
      <w:marBottom w:val="0"/>
      <w:divBdr>
        <w:top w:val="none" w:sz="0" w:space="0" w:color="auto"/>
        <w:left w:val="none" w:sz="0" w:space="0" w:color="auto"/>
        <w:bottom w:val="none" w:sz="0" w:space="0" w:color="auto"/>
        <w:right w:val="none" w:sz="0" w:space="0" w:color="auto"/>
      </w:divBdr>
    </w:div>
    <w:div w:id="1718701577">
      <w:bodyDiv w:val="1"/>
      <w:marLeft w:val="0"/>
      <w:marRight w:val="0"/>
      <w:marTop w:val="0"/>
      <w:marBottom w:val="0"/>
      <w:divBdr>
        <w:top w:val="none" w:sz="0" w:space="0" w:color="auto"/>
        <w:left w:val="none" w:sz="0" w:space="0" w:color="auto"/>
        <w:bottom w:val="none" w:sz="0" w:space="0" w:color="auto"/>
        <w:right w:val="none" w:sz="0" w:space="0" w:color="auto"/>
      </w:divBdr>
    </w:div>
    <w:div w:id="1718818191">
      <w:bodyDiv w:val="1"/>
      <w:marLeft w:val="0"/>
      <w:marRight w:val="0"/>
      <w:marTop w:val="0"/>
      <w:marBottom w:val="0"/>
      <w:divBdr>
        <w:top w:val="none" w:sz="0" w:space="0" w:color="auto"/>
        <w:left w:val="none" w:sz="0" w:space="0" w:color="auto"/>
        <w:bottom w:val="none" w:sz="0" w:space="0" w:color="auto"/>
        <w:right w:val="none" w:sz="0" w:space="0" w:color="auto"/>
      </w:divBdr>
    </w:div>
    <w:div w:id="1719353688">
      <w:bodyDiv w:val="1"/>
      <w:marLeft w:val="0"/>
      <w:marRight w:val="0"/>
      <w:marTop w:val="0"/>
      <w:marBottom w:val="0"/>
      <w:divBdr>
        <w:top w:val="none" w:sz="0" w:space="0" w:color="auto"/>
        <w:left w:val="none" w:sz="0" w:space="0" w:color="auto"/>
        <w:bottom w:val="none" w:sz="0" w:space="0" w:color="auto"/>
        <w:right w:val="none" w:sz="0" w:space="0" w:color="auto"/>
      </w:divBdr>
    </w:div>
    <w:div w:id="1719816191">
      <w:bodyDiv w:val="1"/>
      <w:marLeft w:val="0"/>
      <w:marRight w:val="0"/>
      <w:marTop w:val="0"/>
      <w:marBottom w:val="0"/>
      <w:divBdr>
        <w:top w:val="none" w:sz="0" w:space="0" w:color="auto"/>
        <w:left w:val="none" w:sz="0" w:space="0" w:color="auto"/>
        <w:bottom w:val="none" w:sz="0" w:space="0" w:color="auto"/>
        <w:right w:val="none" w:sz="0" w:space="0" w:color="auto"/>
      </w:divBdr>
      <w:divsChild>
        <w:div w:id="349988896">
          <w:marLeft w:val="0"/>
          <w:marRight w:val="0"/>
          <w:marTop w:val="0"/>
          <w:marBottom w:val="0"/>
          <w:divBdr>
            <w:top w:val="none" w:sz="0" w:space="0" w:color="auto"/>
            <w:left w:val="none" w:sz="0" w:space="0" w:color="auto"/>
            <w:bottom w:val="none" w:sz="0" w:space="0" w:color="auto"/>
            <w:right w:val="none" w:sz="0" w:space="0" w:color="auto"/>
          </w:divBdr>
        </w:div>
        <w:div w:id="1153369639">
          <w:marLeft w:val="0"/>
          <w:marRight w:val="0"/>
          <w:marTop w:val="0"/>
          <w:marBottom w:val="0"/>
          <w:divBdr>
            <w:top w:val="none" w:sz="0" w:space="0" w:color="auto"/>
            <w:left w:val="none" w:sz="0" w:space="0" w:color="auto"/>
            <w:bottom w:val="none" w:sz="0" w:space="0" w:color="auto"/>
            <w:right w:val="none" w:sz="0" w:space="0" w:color="auto"/>
          </w:divBdr>
        </w:div>
        <w:div w:id="406735026">
          <w:marLeft w:val="0"/>
          <w:marRight w:val="0"/>
          <w:marTop w:val="0"/>
          <w:marBottom w:val="0"/>
          <w:divBdr>
            <w:top w:val="none" w:sz="0" w:space="0" w:color="auto"/>
            <w:left w:val="none" w:sz="0" w:space="0" w:color="auto"/>
            <w:bottom w:val="none" w:sz="0" w:space="0" w:color="auto"/>
            <w:right w:val="none" w:sz="0" w:space="0" w:color="auto"/>
          </w:divBdr>
        </w:div>
      </w:divsChild>
    </w:div>
    <w:div w:id="1719864625">
      <w:bodyDiv w:val="1"/>
      <w:marLeft w:val="0"/>
      <w:marRight w:val="0"/>
      <w:marTop w:val="0"/>
      <w:marBottom w:val="0"/>
      <w:divBdr>
        <w:top w:val="none" w:sz="0" w:space="0" w:color="auto"/>
        <w:left w:val="none" w:sz="0" w:space="0" w:color="auto"/>
        <w:bottom w:val="none" w:sz="0" w:space="0" w:color="auto"/>
        <w:right w:val="none" w:sz="0" w:space="0" w:color="auto"/>
      </w:divBdr>
    </w:div>
    <w:div w:id="1720352374">
      <w:bodyDiv w:val="1"/>
      <w:marLeft w:val="0"/>
      <w:marRight w:val="0"/>
      <w:marTop w:val="0"/>
      <w:marBottom w:val="0"/>
      <w:divBdr>
        <w:top w:val="none" w:sz="0" w:space="0" w:color="auto"/>
        <w:left w:val="none" w:sz="0" w:space="0" w:color="auto"/>
        <w:bottom w:val="none" w:sz="0" w:space="0" w:color="auto"/>
        <w:right w:val="none" w:sz="0" w:space="0" w:color="auto"/>
      </w:divBdr>
      <w:divsChild>
        <w:div w:id="1857190088">
          <w:marLeft w:val="0"/>
          <w:marRight w:val="0"/>
          <w:marTop w:val="0"/>
          <w:marBottom w:val="0"/>
          <w:divBdr>
            <w:top w:val="none" w:sz="0" w:space="0" w:color="auto"/>
            <w:left w:val="none" w:sz="0" w:space="0" w:color="auto"/>
            <w:bottom w:val="none" w:sz="0" w:space="0" w:color="auto"/>
            <w:right w:val="none" w:sz="0" w:space="0" w:color="auto"/>
          </w:divBdr>
        </w:div>
        <w:div w:id="1264387295">
          <w:marLeft w:val="0"/>
          <w:marRight w:val="0"/>
          <w:marTop w:val="0"/>
          <w:marBottom w:val="0"/>
          <w:divBdr>
            <w:top w:val="none" w:sz="0" w:space="0" w:color="auto"/>
            <w:left w:val="none" w:sz="0" w:space="0" w:color="auto"/>
            <w:bottom w:val="none" w:sz="0" w:space="0" w:color="auto"/>
            <w:right w:val="none" w:sz="0" w:space="0" w:color="auto"/>
          </w:divBdr>
        </w:div>
      </w:divsChild>
    </w:div>
    <w:div w:id="1720737922">
      <w:bodyDiv w:val="1"/>
      <w:marLeft w:val="0"/>
      <w:marRight w:val="0"/>
      <w:marTop w:val="0"/>
      <w:marBottom w:val="0"/>
      <w:divBdr>
        <w:top w:val="none" w:sz="0" w:space="0" w:color="auto"/>
        <w:left w:val="none" w:sz="0" w:space="0" w:color="auto"/>
        <w:bottom w:val="none" w:sz="0" w:space="0" w:color="auto"/>
        <w:right w:val="none" w:sz="0" w:space="0" w:color="auto"/>
      </w:divBdr>
    </w:div>
    <w:div w:id="1721005949">
      <w:bodyDiv w:val="1"/>
      <w:marLeft w:val="0"/>
      <w:marRight w:val="0"/>
      <w:marTop w:val="0"/>
      <w:marBottom w:val="0"/>
      <w:divBdr>
        <w:top w:val="none" w:sz="0" w:space="0" w:color="auto"/>
        <w:left w:val="none" w:sz="0" w:space="0" w:color="auto"/>
        <w:bottom w:val="none" w:sz="0" w:space="0" w:color="auto"/>
        <w:right w:val="none" w:sz="0" w:space="0" w:color="auto"/>
      </w:divBdr>
    </w:div>
    <w:div w:id="1721198763">
      <w:bodyDiv w:val="1"/>
      <w:marLeft w:val="0"/>
      <w:marRight w:val="0"/>
      <w:marTop w:val="0"/>
      <w:marBottom w:val="0"/>
      <w:divBdr>
        <w:top w:val="none" w:sz="0" w:space="0" w:color="auto"/>
        <w:left w:val="none" w:sz="0" w:space="0" w:color="auto"/>
        <w:bottom w:val="none" w:sz="0" w:space="0" w:color="auto"/>
        <w:right w:val="none" w:sz="0" w:space="0" w:color="auto"/>
      </w:divBdr>
    </w:div>
    <w:div w:id="1721440260">
      <w:bodyDiv w:val="1"/>
      <w:marLeft w:val="0"/>
      <w:marRight w:val="0"/>
      <w:marTop w:val="0"/>
      <w:marBottom w:val="0"/>
      <w:divBdr>
        <w:top w:val="none" w:sz="0" w:space="0" w:color="auto"/>
        <w:left w:val="none" w:sz="0" w:space="0" w:color="auto"/>
        <w:bottom w:val="none" w:sz="0" w:space="0" w:color="auto"/>
        <w:right w:val="none" w:sz="0" w:space="0" w:color="auto"/>
      </w:divBdr>
    </w:div>
    <w:div w:id="1722364303">
      <w:bodyDiv w:val="1"/>
      <w:marLeft w:val="0"/>
      <w:marRight w:val="0"/>
      <w:marTop w:val="0"/>
      <w:marBottom w:val="0"/>
      <w:divBdr>
        <w:top w:val="none" w:sz="0" w:space="0" w:color="auto"/>
        <w:left w:val="none" w:sz="0" w:space="0" w:color="auto"/>
        <w:bottom w:val="none" w:sz="0" w:space="0" w:color="auto"/>
        <w:right w:val="none" w:sz="0" w:space="0" w:color="auto"/>
      </w:divBdr>
    </w:div>
    <w:div w:id="1723555127">
      <w:bodyDiv w:val="1"/>
      <w:marLeft w:val="0"/>
      <w:marRight w:val="0"/>
      <w:marTop w:val="0"/>
      <w:marBottom w:val="0"/>
      <w:divBdr>
        <w:top w:val="none" w:sz="0" w:space="0" w:color="auto"/>
        <w:left w:val="none" w:sz="0" w:space="0" w:color="auto"/>
        <w:bottom w:val="none" w:sz="0" w:space="0" w:color="auto"/>
        <w:right w:val="none" w:sz="0" w:space="0" w:color="auto"/>
      </w:divBdr>
    </w:div>
    <w:div w:id="1724283076">
      <w:bodyDiv w:val="1"/>
      <w:marLeft w:val="0"/>
      <w:marRight w:val="0"/>
      <w:marTop w:val="0"/>
      <w:marBottom w:val="0"/>
      <w:divBdr>
        <w:top w:val="none" w:sz="0" w:space="0" w:color="auto"/>
        <w:left w:val="none" w:sz="0" w:space="0" w:color="auto"/>
        <w:bottom w:val="none" w:sz="0" w:space="0" w:color="auto"/>
        <w:right w:val="none" w:sz="0" w:space="0" w:color="auto"/>
      </w:divBdr>
    </w:div>
    <w:div w:id="1724400191">
      <w:bodyDiv w:val="1"/>
      <w:marLeft w:val="0"/>
      <w:marRight w:val="0"/>
      <w:marTop w:val="0"/>
      <w:marBottom w:val="0"/>
      <w:divBdr>
        <w:top w:val="none" w:sz="0" w:space="0" w:color="auto"/>
        <w:left w:val="none" w:sz="0" w:space="0" w:color="auto"/>
        <w:bottom w:val="none" w:sz="0" w:space="0" w:color="auto"/>
        <w:right w:val="none" w:sz="0" w:space="0" w:color="auto"/>
      </w:divBdr>
    </w:div>
    <w:div w:id="1724594077">
      <w:bodyDiv w:val="1"/>
      <w:marLeft w:val="0"/>
      <w:marRight w:val="0"/>
      <w:marTop w:val="0"/>
      <w:marBottom w:val="0"/>
      <w:divBdr>
        <w:top w:val="none" w:sz="0" w:space="0" w:color="auto"/>
        <w:left w:val="none" w:sz="0" w:space="0" w:color="auto"/>
        <w:bottom w:val="none" w:sz="0" w:space="0" w:color="auto"/>
        <w:right w:val="none" w:sz="0" w:space="0" w:color="auto"/>
      </w:divBdr>
    </w:div>
    <w:div w:id="1724676191">
      <w:bodyDiv w:val="1"/>
      <w:marLeft w:val="0"/>
      <w:marRight w:val="0"/>
      <w:marTop w:val="0"/>
      <w:marBottom w:val="0"/>
      <w:divBdr>
        <w:top w:val="none" w:sz="0" w:space="0" w:color="auto"/>
        <w:left w:val="none" w:sz="0" w:space="0" w:color="auto"/>
        <w:bottom w:val="none" w:sz="0" w:space="0" w:color="auto"/>
        <w:right w:val="none" w:sz="0" w:space="0" w:color="auto"/>
      </w:divBdr>
    </w:div>
    <w:div w:id="1725983380">
      <w:bodyDiv w:val="1"/>
      <w:marLeft w:val="0"/>
      <w:marRight w:val="0"/>
      <w:marTop w:val="0"/>
      <w:marBottom w:val="0"/>
      <w:divBdr>
        <w:top w:val="none" w:sz="0" w:space="0" w:color="auto"/>
        <w:left w:val="none" w:sz="0" w:space="0" w:color="auto"/>
        <w:bottom w:val="none" w:sz="0" w:space="0" w:color="auto"/>
        <w:right w:val="none" w:sz="0" w:space="0" w:color="auto"/>
      </w:divBdr>
    </w:div>
    <w:div w:id="1726876008">
      <w:bodyDiv w:val="1"/>
      <w:marLeft w:val="0"/>
      <w:marRight w:val="0"/>
      <w:marTop w:val="0"/>
      <w:marBottom w:val="0"/>
      <w:divBdr>
        <w:top w:val="none" w:sz="0" w:space="0" w:color="auto"/>
        <w:left w:val="none" w:sz="0" w:space="0" w:color="auto"/>
        <w:bottom w:val="none" w:sz="0" w:space="0" w:color="auto"/>
        <w:right w:val="none" w:sz="0" w:space="0" w:color="auto"/>
      </w:divBdr>
    </w:div>
    <w:div w:id="1727756070">
      <w:bodyDiv w:val="1"/>
      <w:marLeft w:val="0"/>
      <w:marRight w:val="0"/>
      <w:marTop w:val="0"/>
      <w:marBottom w:val="0"/>
      <w:divBdr>
        <w:top w:val="none" w:sz="0" w:space="0" w:color="auto"/>
        <w:left w:val="none" w:sz="0" w:space="0" w:color="auto"/>
        <w:bottom w:val="none" w:sz="0" w:space="0" w:color="auto"/>
        <w:right w:val="none" w:sz="0" w:space="0" w:color="auto"/>
      </w:divBdr>
    </w:div>
    <w:div w:id="1728257442">
      <w:bodyDiv w:val="1"/>
      <w:marLeft w:val="0"/>
      <w:marRight w:val="0"/>
      <w:marTop w:val="0"/>
      <w:marBottom w:val="0"/>
      <w:divBdr>
        <w:top w:val="none" w:sz="0" w:space="0" w:color="auto"/>
        <w:left w:val="none" w:sz="0" w:space="0" w:color="auto"/>
        <w:bottom w:val="none" w:sz="0" w:space="0" w:color="auto"/>
        <w:right w:val="none" w:sz="0" w:space="0" w:color="auto"/>
      </w:divBdr>
      <w:divsChild>
        <w:div w:id="1002390157">
          <w:marLeft w:val="0"/>
          <w:marRight w:val="0"/>
          <w:marTop w:val="0"/>
          <w:marBottom w:val="0"/>
          <w:divBdr>
            <w:top w:val="none" w:sz="0" w:space="0" w:color="auto"/>
            <w:left w:val="none" w:sz="0" w:space="0" w:color="auto"/>
            <w:bottom w:val="none" w:sz="0" w:space="0" w:color="auto"/>
            <w:right w:val="none" w:sz="0" w:space="0" w:color="auto"/>
          </w:divBdr>
        </w:div>
        <w:div w:id="861166815">
          <w:marLeft w:val="0"/>
          <w:marRight w:val="0"/>
          <w:marTop w:val="0"/>
          <w:marBottom w:val="0"/>
          <w:divBdr>
            <w:top w:val="none" w:sz="0" w:space="0" w:color="auto"/>
            <w:left w:val="none" w:sz="0" w:space="0" w:color="auto"/>
            <w:bottom w:val="none" w:sz="0" w:space="0" w:color="auto"/>
            <w:right w:val="none" w:sz="0" w:space="0" w:color="auto"/>
          </w:divBdr>
        </w:div>
        <w:div w:id="1997221975">
          <w:marLeft w:val="0"/>
          <w:marRight w:val="0"/>
          <w:marTop w:val="0"/>
          <w:marBottom w:val="0"/>
          <w:divBdr>
            <w:top w:val="none" w:sz="0" w:space="0" w:color="auto"/>
            <w:left w:val="none" w:sz="0" w:space="0" w:color="auto"/>
            <w:bottom w:val="none" w:sz="0" w:space="0" w:color="auto"/>
            <w:right w:val="none" w:sz="0" w:space="0" w:color="auto"/>
          </w:divBdr>
        </w:div>
        <w:div w:id="421296825">
          <w:marLeft w:val="0"/>
          <w:marRight w:val="0"/>
          <w:marTop w:val="0"/>
          <w:marBottom w:val="0"/>
          <w:divBdr>
            <w:top w:val="none" w:sz="0" w:space="0" w:color="auto"/>
            <w:left w:val="none" w:sz="0" w:space="0" w:color="auto"/>
            <w:bottom w:val="none" w:sz="0" w:space="0" w:color="auto"/>
            <w:right w:val="none" w:sz="0" w:space="0" w:color="auto"/>
          </w:divBdr>
        </w:div>
        <w:div w:id="1205486206">
          <w:marLeft w:val="0"/>
          <w:marRight w:val="0"/>
          <w:marTop w:val="0"/>
          <w:marBottom w:val="0"/>
          <w:divBdr>
            <w:top w:val="none" w:sz="0" w:space="0" w:color="auto"/>
            <w:left w:val="none" w:sz="0" w:space="0" w:color="auto"/>
            <w:bottom w:val="none" w:sz="0" w:space="0" w:color="auto"/>
            <w:right w:val="none" w:sz="0" w:space="0" w:color="auto"/>
          </w:divBdr>
        </w:div>
      </w:divsChild>
    </w:div>
    <w:div w:id="1728795808">
      <w:bodyDiv w:val="1"/>
      <w:marLeft w:val="0"/>
      <w:marRight w:val="0"/>
      <w:marTop w:val="0"/>
      <w:marBottom w:val="0"/>
      <w:divBdr>
        <w:top w:val="none" w:sz="0" w:space="0" w:color="auto"/>
        <w:left w:val="none" w:sz="0" w:space="0" w:color="auto"/>
        <w:bottom w:val="none" w:sz="0" w:space="0" w:color="auto"/>
        <w:right w:val="none" w:sz="0" w:space="0" w:color="auto"/>
      </w:divBdr>
    </w:div>
    <w:div w:id="1729184928">
      <w:bodyDiv w:val="1"/>
      <w:marLeft w:val="0"/>
      <w:marRight w:val="0"/>
      <w:marTop w:val="0"/>
      <w:marBottom w:val="0"/>
      <w:divBdr>
        <w:top w:val="none" w:sz="0" w:space="0" w:color="auto"/>
        <w:left w:val="none" w:sz="0" w:space="0" w:color="auto"/>
        <w:bottom w:val="none" w:sz="0" w:space="0" w:color="auto"/>
        <w:right w:val="none" w:sz="0" w:space="0" w:color="auto"/>
      </w:divBdr>
    </w:div>
    <w:div w:id="1730569853">
      <w:bodyDiv w:val="1"/>
      <w:marLeft w:val="0"/>
      <w:marRight w:val="0"/>
      <w:marTop w:val="0"/>
      <w:marBottom w:val="0"/>
      <w:divBdr>
        <w:top w:val="none" w:sz="0" w:space="0" w:color="auto"/>
        <w:left w:val="none" w:sz="0" w:space="0" w:color="auto"/>
        <w:bottom w:val="none" w:sz="0" w:space="0" w:color="auto"/>
        <w:right w:val="none" w:sz="0" w:space="0" w:color="auto"/>
      </w:divBdr>
    </w:div>
    <w:div w:id="1730614850">
      <w:bodyDiv w:val="1"/>
      <w:marLeft w:val="0"/>
      <w:marRight w:val="0"/>
      <w:marTop w:val="0"/>
      <w:marBottom w:val="0"/>
      <w:divBdr>
        <w:top w:val="none" w:sz="0" w:space="0" w:color="auto"/>
        <w:left w:val="none" w:sz="0" w:space="0" w:color="auto"/>
        <w:bottom w:val="none" w:sz="0" w:space="0" w:color="auto"/>
        <w:right w:val="none" w:sz="0" w:space="0" w:color="auto"/>
      </w:divBdr>
    </w:div>
    <w:div w:id="1730958381">
      <w:bodyDiv w:val="1"/>
      <w:marLeft w:val="0"/>
      <w:marRight w:val="0"/>
      <w:marTop w:val="0"/>
      <w:marBottom w:val="0"/>
      <w:divBdr>
        <w:top w:val="none" w:sz="0" w:space="0" w:color="auto"/>
        <w:left w:val="none" w:sz="0" w:space="0" w:color="auto"/>
        <w:bottom w:val="none" w:sz="0" w:space="0" w:color="auto"/>
        <w:right w:val="none" w:sz="0" w:space="0" w:color="auto"/>
      </w:divBdr>
    </w:div>
    <w:div w:id="1731224751">
      <w:bodyDiv w:val="1"/>
      <w:marLeft w:val="0"/>
      <w:marRight w:val="0"/>
      <w:marTop w:val="0"/>
      <w:marBottom w:val="0"/>
      <w:divBdr>
        <w:top w:val="none" w:sz="0" w:space="0" w:color="auto"/>
        <w:left w:val="none" w:sz="0" w:space="0" w:color="auto"/>
        <w:bottom w:val="none" w:sz="0" w:space="0" w:color="auto"/>
        <w:right w:val="none" w:sz="0" w:space="0" w:color="auto"/>
      </w:divBdr>
    </w:div>
    <w:div w:id="1731225619">
      <w:bodyDiv w:val="1"/>
      <w:marLeft w:val="0"/>
      <w:marRight w:val="0"/>
      <w:marTop w:val="0"/>
      <w:marBottom w:val="0"/>
      <w:divBdr>
        <w:top w:val="none" w:sz="0" w:space="0" w:color="auto"/>
        <w:left w:val="none" w:sz="0" w:space="0" w:color="auto"/>
        <w:bottom w:val="none" w:sz="0" w:space="0" w:color="auto"/>
        <w:right w:val="none" w:sz="0" w:space="0" w:color="auto"/>
      </w:divBdr>
    </w:div>
    <w:div w:id="1731539018">
      <w:bodyDiv w:val="1"/>
      <w:marLeft w:val="0"/>
      <w:marRight w:val="0"/>
      <w:marTop w:val="0"/>
      <w:marBottom w:val="0"/>
      <w:divBdr>
        <w:top w:val="none" w:sz="0" w:space="0" w:color="auto"/>
        <w:left w:val="none" w:sz="0" w:space="0" w:color="auto"/>
        <w:bottom w:val="none" w:sz="0" w:space="0" w:color="auto"/>
        <w:right w:val="none" w:sz="0" w:space="0" w:color="auto"/>
      </w:divBdr>
    </w:div>
    <w:div w:id="1732732605">
      <w:bodyDiv w:val="1"/>
      <w:marLeft w:val="0"/>
      <w:marRight w:val="0"/>
      <w:marTop w:val="0"/>
      <w:marBottom w:val="0"/>
      <w:divBdr>
        <w:top w:val="none" w:sz="0" w:space="0" w:color="auto"/>
        <w:left w:val="none" w:sz="0" w:space="0" w:color="auto"/>
        <w:bottom w:val="none" w:sz="0" w:space="0" w:color="auto"/>
        <w:right w:val="none" w:sz="0" w:space="0" w:color="auto"/>
      </w:divBdr>
    </w:div>
    <w:div w:id="1732994021">
      <w:bodyDiv w:val="1"/>
      <w:marLeft w:val="0"/>
      <w:marRight w:val="0"/>
      <w:marTop w:val="0"/>
      <w:marBottom w:val="0"/>
      <w:divBdr>
        <w:top w:val="none" w:sz="0" w:space="0" w:color="auto"/>
        <w:left w:val="none" w:sz="0" w:space="0" w:color="auto"/>
        <w:bottom w:val="none" w:sz="0" w:space="0" w:color="auto"/>
        <w:right w:val="none" w:sz="0" w:space="0" w:color="auto"/>
      </w:divBdr>
    </w:div>
    <w:div w:id="1733963025">
      <w:bodyDiv w:val="1"/>
      <w:marLeft w:val="0"/>
      <w:marRight w:val="0"/>
      <w:marTop w:val="0"/>
      <w:marBottom w:val="0"/>
      <w:divBdr>
        <w:top w:val="none" w:sz="0" w:space="0" w:color="auto"/>
        <w:left w:val="none" w:sz="0" w:space="0" w:color="auto"/>
        <w:bottom w:val="none" w:sz="0" w:space="0" w:color="auto"/>
        <w:right w:val="none" w:sz="0" w:space="0" w:color="auto"/>
      </w:divBdr>
      <w:divsChild>
        <w:div w:id="1233151809">
          <w:marLeft w:val="0"/>
          <w:marRight w:val="0"/>
          <w:marTop w:val="0"/>
          <w:marBottom w:val="0"/>
          <w:divBdr>
            <w:top w:val="none" w:sz="0" w:space="0" w:color="auto"/>
            <w:left w:val="none" w:sz="0" w:space="0" w:color="auto"/>
            <w:bottom w:val="none" w:sz="0" w:space="0" w:color="auto"/>
            <w:right w:val="none" w:sz="0" w:space="0" w:color="auto"/>
          </w:divBdr>
        </w:div>
        <w:div w:id="1167751131">
          <w:marLeft w:val="0"/>
          <w:marRight w:val="0"/>
          <w:marTop w:val="0"/>
          <w:marBottom w:val="0"/>
          <w:divBdr>
            <w:top w:val="none" w:sz="0" w:space="0" w:color="auto"/>
            <w:left w:val="none" w:sz="0" w:space="0" w:color="auto"/>
            <w:bottom w:val="none" w:sz="0" w:space="0" w:color="auto"/>
            <w:right w:val="none" w:sz="0" w:space="0" w:color="auto"/>
          </w:divBdr>
        </w:div>
        <w:div w:id="829255685">
          <w:marLeft w:val="0"/>
          <w:marRight w:val="0"/>
          <w:marTop w:val="0"/>
          <w:marBottom w:val="0"/>
          <w:divBdr>
            <w:top w:val="none" w:sz="0" w:space="0" w:color="auto"/>
            <w:left w:val="none" w:sz="0" w:space="0" w:color="auto"/>
            <w:bottom w:val="none" w:sz="0" w:space="0" w:color="auto"/>
            <w:right w:val="none" w:sz="0" w:space="0" w:color="auto"/>
          </w:divBdr>
        </w:div>
        <w:div w:id="131291500">
          <w:marLeft w:val="0"/>
          <w:marRight w:val="0"/>
          <w:marTop w:val="0"/>
          <w:marBottom w:val="0"/>
          <w:divBdr>
            <w:top w:val="none" w:sz="0" w:space="0" w:color="auto"/>
            <w:left w:val="none" w:sz="0" w:space="0" w:color="auto"/>
            <w:bottom w:val="none" w:sz="0" w:space="0" w:color="auto"/>
            <w:right w:val="none" w:sz="0" w:space="0" w:color="auto"/>
          </w:divBdr>
        </w:div>
        <w:div w:id="754329341">
          <w:marLeft w:val="0"/>
          <w:marRight w:val="0"/>
          <w:marTop w:val="0"/>
          <w:marBottom w:val="0"/>
          <w:divBdr>
            <w:top w:val="none" w:sz="0" w:space="0" w:color="auto"/>
            <w:left w:val="none" w:sz="0" w:space="0" w:color="auto"/>
            <w:bottom w:val="none" w:sz="0" w:space="0" w:color="auto"/>
            <w:right w:val="none" w:sz="0" w:space="0" w:color="auto"/>
          </w:divBdr>
        </w:div>
        <w:div w:id="1554656894">
          <w:marLeft w:val="0"/>
          <w:marRight w:val="0"/>
          <w:marTop w:val="0"/>
          <w:marBottom w:val="0"/>
          <w:divBdr>
            <w:top w:val="none" w:sz="0" w:space="0" w:color="auto"/>
            <w:left w:val="none" w:sz="0" w:space="0" w:color="auto"/>
            <w:bottom w:val="none" w:sz="0" w:space="0" w:color="auto"/>
            <w:right w:val="none" w:sz="0" w:space="0" w:color="auto"/>
          </w:divBdr>
        </w:div>
        <w:div w:id="569652832">
          <w:marLeft w:val="0"/>
          <w:marRight w:val="0"/>
          <w:marTop w:val="0"/>
          <w:marBottom w:val="0"/>
          <w:divBdr>
            <w:top w:val="none" w:sz="0" w:space="0" w:color="auto"/>
            <w:left w:val="none" w:sz="0" w:space="0" w:color="auto"/>
            <w:bottom w:val="none" w:sz="0" w:space="0" w:color="auto"/>
            <w:right w:val="none" w:sz="0" w:space="0" w:color="auto"/>
          </w:divBdr>
        </w:div>
        <w:div w:id="272901227">
          <w:marLeft w:val="0"/>
          <w:marRight w:val="0"/>
          <w:marTop w:val="0"/>
          <w:marBottom w:val="0"/>
          <w:divBdr>
            <w:top w:val="none" w:sz="0" w:space="0" w:color="auto"/>
            <w:left w:val="none" w:sz="0" w:space="0" w:color="auto"/>
            <w:bottom w:val="none" w:sz="0" w:space="0" w:color="auto"/>
            <w:right w:val="none" w:sz="0" w:space="0" w:color="auto"/>
          </w:divBdr>
        </w:div>
        <w:div w:id="1063064827">
          <w:marLeft w:val="0"/>
          <w:marRight w:val="0"/>
          <w:marTop w:val="0"/>
          <w:marBottom w:val="0"/>
          <w:divBdr>
            <w:top w:val="none" w:sz="0" w:space="0" w:color="auto"/>
            <w:left w:val="none" w:sz="0" w:space="0" w:color="auto"/>
            <w:bottom w:val="none" w:sz="0" w:space="0" w:color="auto"/>
            <w:right w:val="none" w:sz="0" w:space="0" w:color="auto"/>
          </w:divBdr>
        </w:div>
      </w:divsChild>
    </w:div>
    <w:div w:id="1733967794">
      <w:bodyDiv w:val="1"/>
      <w:marLeft w:val="0"/>
      <w:marRight w:val="0"/>
      <w:marTop w:val="0"/>
      <w:marBottom w:val="0"/>
      <w:divBdr>
        <w:top w:val="none" w:sz="0" w:space="0" w:color="auto"/>
        <w:left w:val="none" w:sz="0" w:space="0" w:color="auto"/>
        <w:bottom w:val="none" w:sz="0" w:space="0" w:color="auto"/>
        <w:right w:val="none" w:sz="0" w:space="0" w:color="auto"/>
      </w:divBdr>
    </w:div>
    <w:div w:id="1734036303">
      <w:bodyDiv w:val="1"/>
      <w:marLeft w:val="0"/>
      <w:marRight w:val="0"/>
      <w:marTop w:val="0"/>
      <w:marBottom w:val="0"/>
      <w:divBdr>
        <w:top w:val="none" w:sz="0" w:space="0" w:color="auto"/>
        <w:left w:val="none" w:sz="0" w:space="0" w:color="auto"/>
        <w:bottom w:val="none" w:sz="0" w:space="0" w:color="auto"/>
        <w:right w:val="none" w:sz="0" w:space="0" w:color="auto"/>
      </w:divBdr>
    </w:div>
    <w:div w:id="1734082919">
      <w:bodyDiv w:val="1"/>
      <w:marLeft w:val="0"/>
      <w:marRight w:val="0"/>
      <w:marTop w:val="0"/>
      <w:marBottom w:val="0"/>
      <w:divBdr>
        <w:top w:val="none" w:sz="0" w:space="0" w:color="auto"/>
        <w:left w:val="none" w:sz="0" w:space="0" w:color="auto"/>
        <w:bottom w:val="none" w:sz="0" w:space="0" w:color="auto"/>
        <w:right w:val="none" w:sz="0" w:space="0" w:color="auto"/>
      </w:divBdr>
    </w:div>
    <w:div w:id="1735158008">
      <w:bodyDiv w:val="1"/>
      <w:marLeft w:val="0"/>
      <w:marRight w:val="0"/>
      <w:marTop w:val="0"/>
      <w:marBottom w:val="0"/>
      <w:divBdr>
        <w:top w:val="none" w:sz="0" w:space="0" w:color="auto"/>
        <w:left w:val="none" w:sz="0" w:space="0" w:color="auto"/>
        <w:bottom w:val="none" w:sz="0" w:space="0" w:color="auto"/>
        <w:right w:val="none" w:sz="0" w:space="0" w:color="auto"/>
      </w:divBdr>
    </w:div>
    <w:div w:id="1735855406">
      <w:bodyDiv w:val="1"/>
      <w:marLeft w:val="0"/>
      <w:marRight w:val="0"/>
      <w:marTop w:val="0"/>
      <w:marBottom w:val="0"/>
      <w:divBdr>
        <w:top w:val="none" w:sz="0" w:space="0" w:color="auto"/>
        <w:left w:val="none" w:sz="0" w:space="0" w:color="auto"/>
        <w:bottom w:val="none" w:sz="0" w:space="0" w:color="auto"/>
        <w:right w:val="none" w:sz="0" w:space="0" w:color="auto"/>
      </w:divBdr>
    </w:div>
    <w:div w:id="1736195690">
      <w:bodyDiv w:val="1"/>
      <w:marLeft w:val="0"/>
      <w:marRight w:val="0"/>
      <w:marTop w:val="0"/>
      <w:marBottom w:val="0"/>
      <w:divBdr>
        <w:top w:val="none" w:sz="0" w:space="0" w:color="auto"/>
        <w:left w:val="none" w:sz="0" w:space="0" w:color="auto"/>
        <w:bottom w:val="none" w:sz="0" w:space="0" w:color="auto"/>
        <w:right w:val="none" w:sz="0" w:space="0" w:color="auto"/>
      </w:divBdr>
    </w:div>
    <w:div w:id="1736313374">
      <w:bodyDiv w:val="1"/>
      <w:marLeft w:val="0"/>
      <w:marRight w:val="0"/>
      <w:marTop w:val="0"/>
      <w:marBottom w:val="0"/>
      <w:divBdr>
        <w:top w:val="none" w:sz="0" w:space="0" w:color="auto"/>
        <w:left w:val="none" w:sz="0" w:space="0" w:color="auto"/>
        <w:bottom w:val="none" w:sz="0" w:space="0" w:color="auto"/>
        <w:right w:val="none" w:sz="0" w:space="0" w:color="auto"/>
      </w:divBdr>
    </w:div>
    <w:div w:id="1736931005">
      <w:bodyDiv w:val="1"/>
      <w:marLeft w:val="0"/>
      <w:marRight w:val="0"/>
      <w:marTop w:val="0"/>
      <w:marBottom w:val="0"/>
      <w:divBdr>
        <w:top w:val="none" w:sz="0" w:space="0" w:color="auto"/>
        <w:left w:val="none" w:sz="0" w:space="0" w:color="auto"/>
        <w:bottom w:val="none" w:sz="0" w:space="0" w:color="auto"/>
        <w:right w:val="none" w:sz="0" w:space="0" w:color="auto"/>
      </w:divBdr>
    </w:div>
    <w:div w:id="1737361373">
      <w:bodyDiv w:val="1"/>
      <w:marLeft w:val="0"/>
      <w:marRight w:val="0"/>
      <w:marTop w:val="0"/>
      <w:marBottom w:val="0"/>
      <w:divBdr>
        <w:top w:val="none" w:sz="0" w:space="0" w:color="auto"/>
        <w:left w:val="none" w:sz="0" w:space="0" w:color="auto"/>
        <w:bottom w:val="none" w:sz="0" w:space="0" w:color="auto"/>
        <w:right w:val="none" w:sz="0" w:space="0" w:color="auto"/>
      </w:divBdr>
    </w:div>
    <w:div w:id="1737584864">
      <w:bodyDiv w:val="1"/>
      <w:marLeft w:val="0"/>
      <w:marRight w:val="0"/>
      <w:marTop w:val="0"/>
      <w:marBottom w:val="0"/>
      <w:divBdr>
        <w:top w:val="none" w:sz="0" w:space="0" w:color="auto"/>
        <w:left w:val="none" w:sz="0" w:space="0" w:color="auto"/>
        <w:bottom w:val="none" w:sz="0" w:space="0" w:color="auto"/>
        <w:right w:val="none" w:sz="0" w:space="0" w:color="auto"/>
      </w:divBdr>
    </w:div>
    <w:div w:id="1737628158">
      <w:bodyDiv w:val="1"/>
      <w:marLeft w:val="0"/>
      <w:marRight w:val="0"/>
      <w:marTop w:val="0"/>
      <w:marBottom w:val="0"/>
      <w:divBdr>
        <w:top w:val="none" w:sz="0" w:space="0" w:color="auto"/>
        <w:left w:val="none" w:sz="0" w:space="0" w:color="auto"/>
        <w:bottom w:val="none" w:sz="0" w:space="0" w:color="auto"/>
        <w:right w:val="none" w:sz="0" w:space="0" w:color="auto"/>
      </w:divBdr>
    </w:div>
    <w:div w:id="1738699254">
      <w:bodyDiv w:val="1"/>
      <w:marLeft w:val="0"/>
      <w:marRight w:val="0"/>
      <w:marTop w:val="0"/>
      <w:marBottom w:val="0"/>
      <w:divBdr>
        <w:top w:val="none" w:sz="0" w:space="0" w:color="auto"/>
        <w:left w:val="none" w:sz="0" w:space="0" w:color="auto"/>
        <w:bottom w:val="none" w:sz="0" w:space="0" w:color="auto"/>
        <w:right w:val="none" w:sz="0" w:space="0" w:color="auto"/>
      </w:divBdr>
    </w:div>
    <w:div w:id="1739863035">
      <w:bodyDiv w:val="1"/>
      <w:marLeft w:val="0"/>
      <w:marRight w:val="0"/>
      <w:marTop w:val="0"/>
      <w:marBottom w:val="0"/>
      <w:divBdr>
        <w:top w:val="none" w:sz="0" w:space="0" w:color="auto"/>
        <w:left w:val="none" w:sz="0" w:space="0" w:color="auto"/>
        <w:bottom w:val="none" w:sz="0" w:space="0" w:color="auto"/>
        <w:right w:val="none" w:sz="0" w:space="0" w:color="auto"/>
      </w:divBdr>
    </w:div>
    <w:div w:id="1740666557">
      <w:bodyDiv w:val="1"/>
      <w:marLeft w:val="0"/>
      <w:marRight w:val="0"/>
      <w:marTop w:val="0"/>
      <w:marBottom w:val="0"/>
      <w:divBdr>
        <w:top w:val="none" w:sz="0" w:space="0" w:color="auto"/>
        <w:left w:val="none" w:sz="0" w:space="0" w:color="auto"/>
        <w:bottom w:val="none" w:sz="0" w:space="0" w:color="auto"/>
        <w:right w:val="none" w:sz="0" w:space="0" w:color="auto"/>
      </w:divBdr>
    </w:div>
    <w:div w:id="1740709213">
      <w:bodyDiv w:val="1"/>
      <w:marLeft w:val="0"/>
      <w:marRight w:val="0"/>
      <w:marTop w:val="0"/>
      <w:marBottom w:val="0"/>
      <w:divBdr>
        <w:top w:val="none" w:sz="0" w:space="0" w:color="auto"/>
        <w:left w:val="none" w:sz="0" w:space="0" w:color="auto"/>
        <w:bottom w:val="none" w:sz="0" w:space="0" w:color="auto"/>
        <w:right w:val="none" w:sz="0" w:space="0" w:color="auto"/>
      </w:divBdr>
    </w:div>
    <w:div w:id="1741295382">
      <w:bodyDiv w:val="1"/>
      <w:marLeft w:val="0"/>
      <w:marRight w:val="0"/>
      <w:marTop w:val="0"/>
      <w:marBottom w:val="0"/>
      <w:divBdr>
        <w:top w:val="none" w:sz="0" w:space="0" w:color="auto"/>
        <w:left w:val="none" w:sz="0" w:space="0" w:color="auto"/>
        <w:bottom w:val="none" w:sz="0" w:space="0" w:color="auto"/>
        <w:right w:val="none" w:sz="0" w:space="0" w:color="auto"/>
      </w:divBdr>
    </w:div>
    <w:div w:id="1741365568">
      <w:bodyDiv w:val="1"/>
      <w:marLeft w:val="0"/>
      <w:marRight w:val="0"/>
      <w:marTop w:val="0"/>
      <w:marBottom w:val="0"/>
      <w:divBdr>
        <w:top w:val="none" w:sz="0" w:space="0" w:color="auto"/>
        <w:left w:val="none" w:sz="0" w:space="0" w:color="auto"/>
        <w:bottom w:val="none" w:sz="0" w:space="0" w:color="auto"/>
        <w:right w:val="none" w:sz="0" w:space="0" w:color="auto"/>
      </w:divBdr>
    </w:div>
    <w:div w:id="1741750338">
      <w:bodyDiv w:val="1"/>
      <w:marLeft w:val="0"/>
      <w:marRight w:val="0"/>
      <w:marTop w:val="0"/>
      <w:marBottom w:val="0"/>
      <w:divBdr>
        <w:top w:val="none" w:sz="0" w:space="0" w:color="auto"/>
        <w:left w:val="none" w:sz="0" w:space="0" w:color="auto"/>
        <w:bottom w:val="none" w:sz="0" w:space="0" w:color="auto"/>
        <w:right w:val="none" w:sz="0" w:space="0" w:color="auto"/>
      </w:divBdr>
    </w:div>
    <w:div w:id="1741823896">
      <w:bodyDiv w:val="1"/>
      <w:marLeft w:val="0"/>
      <w:marRight w:val="0"/>
      <w:marTop w:val="0"/>
      <w:marBottom w:val="0"/>
      <w:divBdr>
        <w:top w:val="none" w:sz="0" w:space="0" w:color="auto"/>
        <w:left w:val="none" w:sz="0" w:space="0" w:color="auto"/>
        <w:bottom w:val="none" w:sz="0" w:space="0" w:color="auto"/>
        <w:right w:val="none" w:sz="0" w:space="0" w:color="auto"/>
      </w:divBdr>
    </w:div>
    <w:div w:id="1742214573">
      <w:bodyDiv w:val="1"/>
      <w:marLeft w:val="0"/>
      <w:marRight w:val="0"/>
      <w:marTop w:val="0"/>
      <w:marBottom w:val="0"/>
      <w:divBdr>
        <w:top w:val="none" w:sz="0" w:space="0" w:color="auto"/>
        <w:left w:val="none" w:sz="0" w:space="0" w:color="auto"/>
        <w:bottom w:val="none" w:sz="0" w:space="0" w:color="auto"/>
        <w:right w:val="none" w:sz="0" w:space="0" w:color="auto"/>
      </w:divBdr>
    </w:div>
    <w:div w:id="1742214827">
      <w:bodyDiv w:val="1"/>
      <w:marLeft w:val="0"/>
      <w:marRight w:val="0"/>
      <w:marTop w:val="0"/>
      <w:marBottom w:val="0"/>
      <w:divBdr>
        <w:top w:val="none" w:sz="0" w:space="0" w:color="auto"/>
        <w:left w:val="none" w:sz="0" w:space="0" w:color="auto"/>
        <w:bottom w:val="none" w:sz="0" w:space="0" w:color="auto"/>
        <w:right w:val="none" w:sz="0" w:space="0" w:color="auto"/>
      </w:divBdr>
    </w:div>
    <w:div w:id="1742486636">
      <w:bodyDiv w:val="1"/>
      <w:marLeft w:val="0"/>
      <w:marRight w:val="0"/>
      <w:marTop w:val="0"/>
      <w:marBottom w:val="0"/>
      <w:divBdr>
        <w:top w:val="none" w:sz="0" w:space="0" w:color="auto"/>
        <w:left w:val="none" w:sz="0" w:space="0" w:color="auto"/>
        <w:bottom w:val="none" w:sz="0" w:space="0" w:color="auto"/>
        <w:right w:val="none" w:sz="0" w:space="0" w:color="auto"/>
      </w:divBdr>
    </w:div>
    <w:div w:id="1742679003">
      <w:bodyDiv w:val="1"/>
      <w:marLeft w:val="0"/>
      <w:marRight w:val="0"/>
      <w:marTop w:val="0"/>
      <w:marBottom w:val="0"/>
      <w:divBdr>
        <w:top w:val="none" w:sz="0" w:space="0" w:color="auto"/>
        <w:left w:val="none" w:sz="0" w:space="0" w:color="auto"/>
        <w:bottom w:val="none" w:sz="0" w:space="0" w:color="auto"/>
        <w:right w:val="none" w:sz="0" w:space="0" w:color="auto"/>
      </w:divBdr>
    </w:div>
    <w:div w:id="1742750460">
      <w:bodyDiv w:val="1"/>
      <w:marLeft w:val="0"/>
      <w:marRight w:val="0"/>
      <w:marTop w:val="0"/>
      <w:marBottom w:val="0"/>
      <w:divBdr>
        <w:top w:val="none" w:sz="0" w:space="0" w:color="auto"/>
        <w:left w:val="none" w:sz="0" w:space="0" w:color="auto"/>
        <w:bottom w:val="none" w:sz="0" w:space="0" w:color="auto"/>
        <w:right w:val="none" w:sz="0" w:space="0" w:color="auto"/>
      </w:divBdr>
    </w:div>
    <w:div w:id="1742831012">
      <w:bodyDiv w:val="1"/>
      <w:marLeft w:val="0"/>
      <w:marRight w:val="0"/>
      <w:marTop w:val="0"/>
      <w:marBottom w:val="0"/>
      <w:divBdr>
        <w:top w:val="none" w:sz="0" w:space="0" w:color="auto"/>
        <w:left w:val="none" w:sz="0" w:space="0" w:color="auto"/>
        <w:bottom w:val="none" w:sz="0" w:space="0" w:color="auto"/>
        <w:right w:val="none" w:sz="0" w:space="0" w:color="auto"/>
      </w:divBdr>
    </w:div>
    <w:div w:id="1744327120">
      <w:bodyDiv w:val="1"/>
      <w:marLeft w:val="0"/>
      <w:marRight w:val="0"/>
      <w:marTop w:val="0"/>
      <w:marBottom w:val="0"/>
      <w:divBdr>
        <w:top w:val="none" w:sz="0" w:space="0" w:color="auto"/>
        <w:left w:val="none" w:sz="0" w:space="0" w:color="auto"/>
        <w:bottom w:val="none" w:sz="0" w:space="0" w:color="auto"/>
        <w:right w:val="none" w:sz="0" w:space="0" w:color="auto"/>
      </w:divBdr>
    </w:div>
    <w:div w:id="1744523084">
      <w:bodyDiv w:val="1"/>
      <w:marLeft w:val="0"/>
      <w:marRight w:val="0"/>
      <w:marTop w:val="0"/>
      <w:marBottom w:val="0"/>
      <w:divBdr>
        <w:top w:val="none" w:sz="0" w:space="0" w:color="auto"/>
        <w:left w:val="none" w:sz="0" w:space="0" w:color="auto"/>
        <w:bottom w:val="none" w:sz="0" w:space="0" w:color="auto"/>
        <w:right w:val="none" w:sz="0" w:space="0" w:color="auto"/>
      </w:divBdr>
    </w:div>
    <w:div w:id="1744572079">
      <w:bodyDiv w:val="1"/>
      <w:marLeft w:val="0"/>
      <w:marRight w:val="0"/>
      <w:marTop w:val="0"/>
      <w:marBottom w:val="0"/>
      <w:divBdr>
        <w:top w:val="none" w:sz="0" w:space="0" w:color="auto"/>
        <w:left w:val="none" w:sz="0" w:space="0" w:color="auto"/>
        <w:bottom w:val="none" w:sz="0" w:space="0" w:color="auto"/>
        <w:right w:val="none" w:sz="0" w:space="0" w:color="auto"/>
      </w:divBdr>
    </w:div>
    <w:div w:id="1745105829">
      <w:bodyDiv w:val="1"/>
      <w:marLeft w:val="0"/>
      <w:marRight w:val="0"/>
      <w:marTop w:val="0"/>
      <w:marBottom w:val="0"/>
      <w:divBdr>
        <w:top w:val="none" w:sz="0" w:space="0" w:color="auto"/>
        <w:left w:val="none" w:sz="0" w:space="0" w:color="auto"/>
        <w:bottom w:val="none" w:sz="0" w:space="0" w:color="auto"/>
        <w:right w:val="none" w:sz="0" w:space="0" w:color="auto"/>
      </w:divBdr>
    </w:div>
    <w:div w:id="1745642981">
      <w:bodyDiv w:val="1"/>
      <w:marLeft w:val="0"/>
      <w:marRight w:val="0"/>
      <w:marTop w:val="0"/>
      <w:marBottom w:val="0"/>
      <w:divBdr>
        <w:top w:val="none" w:sz="0" w:space="0" w:color="auto"/>
        <w:left w:val="none" w:sz="0" w:space="0" w:color="auto"/>
        <w:bottom w:val="none" w:sz="0" w:space="0" w:color="auto"/>
        <w:right w:val="none" w:sz="0" w:space="0" w:color="auto"/>
      </w:divBdr>
    </w:div>
    <w:div w:id="1746369688">
      <w:bodyDiv w:val="1"/>
      <w:marLeft w:val="0"/>
      <w:marRight w:val="0"/>
      <w:marTop w:val="0"/>
      <w:marBottom w:val="0"/>
      <w:divBdr>
        <w:top w:val="none" w:sz="0" w:space="0" w:color="auto"/>
        <w:left w:val="none" w:sz="0" w:space="0" w:color="auto"/>
        <w:bottom w:val="none" w:sz="0" w:space="0" w:color="auto"/>
        <w:right w:val="none" w:sz="0" w:space="0" w:color="auto"/>
      </w:divBdr>
    </w:div>
    <w:div w:id="1747917085">
      <w:bodyDiv w:val="1"/>
      <w:marLeft w:val="0"/>
      <w:marRight w:val="0"/>
      <w:marTop w:val="0"/>
      <w:marBottom w:val="0"/>
      <w:divBdr>
        <w:top w:val="none" w:sz="0" w:space="0" w:color="auto"/>
        <w:left w:val="none" w:sz="0" w:space="0" w:color="auto"/>
        <w:bottom w:val="none" w:sz="0" w:space="0" w:color="auto"/>
        <w:right w:val="none" w:sz="0" w:space="0" w:color="auto"/>
      </w:divBdr>
    </w:div>
    <w:div w:id="1748186321">
      <w:bodyDiv w:val="1"/>
      <w:marLeft w:val="0"/>
      <w:marRight w:val="0"/>
      <w:marTop w:val="0"/>
      <w:marBottom w:val="0"/>
      <w:divBdr>
        <w:top w:val="none" w:sz="0" w:space="0" w:color="auto"/>
        <w:left w:val="none" w:sz="0" w:space="0" w:color="auto"/>
        <w:bottom w:val="none" w:sz="0" w:space="0" w:color="auto"/>
        <w:right w:val="none" w:sz="0" w:space="0" w:color="auto"/>
      </w:divBdr>
    </w:div>
    <w:div w:id="1748648683">
      <w:bodyDiv w:val="1"/>
      <w:marLeft w:val="0"/>
      <w:marRight w:val="0"/>
      <w:marTop w:val="0"/>
      <w:marBottom w:val="0"/>
      <w:divBdr>
        <w:top w:val="none" w:sz="0" w:space="0" w:color="auto"/>
        <w:left w:val="none" w:sz="0" w:space="0" w:color="auto"/>
        <w:bottom w:val="none" w:sz="0" w:space="0" w:color="auto"/>
        <w:right w:val="none" w:sz="0" w:space="0" w:color="auto"/>
      </w:divBdr>
    </w:div>
    <w:div w:id="1748963333">
      <w:bodyDiv w:val="1"/>
      <w:marLeft w:val="0"/>
      <w:marRight w:val="0"/>
      <w:marTop w:val="0"/>
      <w:marBottom w:val="0"/>
      <w:divBdr>
        <w:top w:val="none" w:sz="0" w:space="0" w:color="auto"/>
        <w:left w:val="none" w:sz="0" w:space="0" w:color="auto"/>
        <w:bottom w:val="none" w:sz="0" w:space="0" w:color="auto"/>
        <w:right w:val="none" w:sz="0" w:space="0" w:color="auto"/>
      </w:divBdr>
    </w:div>
    <w:div w:id="1749228772">
      <w:bodyDiv w:val="1"/>
      <w:marLeft w:val="0"/>
      <w:marRight w:val="0"/>
      <w:marTop w:val="0"/>
      <w:marBottom w:val="0"/>
      <w:divBdr>
        <w:top w:val="none" w:sz="0" w:space="0" w:color="auto"/>
        <w:left w:val="none" w:sz="0" w:space="0" w:color="auto"/>
        <w:bottom w:val="none" w:sz="0" w:space="0" w:color="auto"/>
        <w:right w:val="none" w:sz="0" w:space="0" w:color="auto"/>
      </w:divBdr>
    </w:div>
    <w:div w:id="1749305007">
      <w:bodyDiv w:val="1"/>
      <w:marLeft w:val="0"/>
      <w:marRight w:val="0"/>
      <w:marTop w:val="0"/>
      <w:marBottom w:val="0"/>
      <w:divBdr>
        <w:top w:val="none" w:sz="0" w:space="0" w:color="auto"/>
        <w:left w:val="none" w:sz="0" w:space="0" w:color="auto"/>
        <w:bottom w:val="none" w:sz="0" w:space="0" w:color="auto"/>
        <w:right w:val="none" w:sz="0" w:space="0" w:color="auto"/>
      </w:divBdr>
    </w:div>
    <w:div w:id="1749426719">
      <w:bodyDiv w:val="1"/>
      <w:marLeft w:val="0"/>
      <w:marRight w:val="0"/>
      <w:marTop w:val="0"/>
      <w:marBottom w:val="0"/>
      <w:divBdr>
        <w:top w:val="none" w:sz="0" w:space="0" w:color="auto"/>
        <w:left w:val="none" w:sz="0" w:space="0" w:color="auto"/>
        <w:bottom w:val="none" w:sz="0" w:space="0" w:color="auto"/>
        <w:right w:val="none" w:sz="0" w:space="0" w:color="auto"/>
      </w:divBdr>
    </w:div>
    <w:div w:id="1750421232">
      <w:bodyDiv w:val="1"/>
      <w:marLeft w:val="0"/>
      <w:marRight w:val="0"/>
      <w:marTop w:val="0"/>
      <w:marBottom w:val="0"/>
      <w:divBdr>
        <w:top w:val="none" w:sz="0" w:space="0" w:color="auto"/>
        <w:left w:val="none" w:sz="0" w:space="0" w:color="auto"/>
        <w:bottom w:val="none" w:sz="0" w:space="0" w:color="auto"/>
        <w:right w:val="none" w:sz="0" w:space="0" w:color="auto"/>
      </w:divBdr>
    </w:div>
    <w:div w:id="1750540016">
      <w:bodyDiv w:val="1"/>
      <w:marLeft w:val="0"/>
      <w:marRight w:val="0"/>
      <w:marTop w:val="0"/>
      <w:marBottom w:val="0"/>
      <w:divBdr>
        <w:top w:val="none" w:sz="0" w:space="0" w:color="auto"/>
        <w:left w:val="none" w:sz="0" w:space="0" w:color="auto"/>
        <w:bottom w:val="none" w:sz="0" w:space="0" w:color="auto"/>
        <w:right w:val="none" w:sz="0" w:space="0" w:color="auto"/>
      </w:divBdr>
    </w:div>
    <w:div w:id="1751153796">
      <w:bodyDiv w:val="1"/>
      <w:marLeft w:val="0"/>
      <w:marRight w:val="0"/>
      <w:marTop w:val="0"/>
      <w:marBottom w:val="0"/>
      <w:divBdr>
        <w:top w:val="none" w:sz="0" w:space="0" w:color="auto"/>
        <w:left w:val="none" w:sz="0" w:space="0" w:color="auto"/>
        <w:bottom w:val="none" w:sz="0" w:space="0" w:color="auto"/>
        <w:right w:val="none" w:sz="0" w:space="0" w:color="auto"/>
      </w:divBdr>
    </w:div>
    <w:div w:id="1752047090">
      <w:bodyDiv w:val="1"/>
      <w:marLeft w:val="0"/>
      <w:marRight w:val="0"/>
      <w:marTop w:val="0"/>
      <w:marBottom w:val="0"/>
      <w:divBdr>
        <w:top w:val="none" w:sz="0" w:space="0" w:color="auto"/>
        <w:left w:val="none" w:sz="0" w:space="0" w:color="auto"/>
        <w:bottom w:val="none" w:sz="0" w:space="0" w:color="auto"/>
        <w:right w:val="none" w:sz="0" w:space="0" w:color="auto"/>
      </w:divBdr>
      <w:divsChild>
        <w:div w:id="235823462">
          <w:marLeft w:val="0"/>
          <w:marRight w:val="0"/>
          <w:marTop w:val="0"/>
          <w:marBottom w:val="0"/>
          <w:divBdr>
            <w:top w:val="none" w:sz="0" w:space="0" w:color="auto"/>
            <w:left w:val="none" w:sz="0" w:space="0" w:color="auto"/>
            <w:bottom w:val="none" w:sz="0" w:space="0" w:color="auto"/>
            <w:right w:val="none" w:sz="0" w:space="0" w:color="auto"/>
          </w:divBdr>
        </w:div>
        <w:div w:id="914901330">
          <w:marLeft w:val="0"/>
          <w:marRight w:val="0"/>
          <w:marTop w:val="0"/>
          <w:marBottom w:val="0"/>
          <w:divBdr>
            <w:top w:val="none" w:sz="0" w:space="0" w:color="auto"/>
            <w:left w:val="none" w:sz="0" w:space="0" w:color="auto"/>
            <w:bottom w:val="none" w:sz="0" w:space="0" w:color="auto"/>
            <w:right w:val="none" w:sz="0" w:space="0" w:color="auto"/>
          </w:divBdr>
        </w:div>
        <w:div w:id="2045984089">
          <w:marLeft w:val="0"/>
          <w:marRight w:val="0"/>
          <w:marTop w:val="0"/>
          <w:marBottom w:val="0"/>
          <w:divBdr>
            <w:top w:val="none" w:sz="0" w:space="0" w:color="auto"/>
            <w:left w:val="none" w:sz="0" w:space="0" w:color="auto"/>
            <w:bottom w:val="none" w:sz="0" w:space="0" w:color="auto"/>
            <w:right w:val="none" w:sz="0" w:space="0" w:color="auto"/>
          </w:divBdr>
        </w:div>
        <w:div w:id="663314634">
          <w:marLeft w:val="0"/>
          <w:marRight w:val="0"/>
          <w:marTop w:val="0"/>
          <w:marBottom w:val="0"/>
          <w:divBdr>
            <w:top w:val="none" w:sz="0" w:space="0" w:color="auto"/>
            <w:left w:val="none" w:sz="0" w:space="0" w:color="auto"/>
            <w:bottom w:val="none" w:sz="0" w:space="0" w:color="auto"/>
            <w:right w:val="none" w:sz="0" w:space="0" w:color="auto"/>
          </w:divBdr>
        </w:div>
        <w:div w:id="973675788">
          <w:marLeft w:val="0"/>
          <w:marRight w:val="0"/>
          <w:marTop w:val="0"/>
          <w:marBottom w:val="0"/>
          <w:divBdr>
            <w:top w:val="none" w:sz="0" w:space="0" w:color="auto"/>
            <w:left w:val="none" w:sz="0" w:space="0" w:color="auto"/>
            <w:bottom w:val="none" w:sz="0" w:space="0" w:color="auto"/>
            <w:right w:val="none" w:sz="0" w:space="0" w:color="auto"/>
          </w:divBdr>
        </w:div>
        <w:div w:id="1899170406">
          <w:marLeft w:val="0"/>
          <w:marRight w:val="0"/>
          <w:marTop w:val="0"/>
          <w:marBottom w:val="0"/>
          <w:divBdr>
            <w:top w:val="none" w:sz="0" w:space="0" w:color="auto"/>
            <w:left w:val="none" w:sz="0" w:space="0" w:color="auto"/>
            <w:bottom w:val="none" w:sz="0" w:space="0" w:color="auto"/>
            <w:right w:val="none" w:sz="0" w:space="0" w:color="auto"/>
          </w:divBdr>
        </w:div>
        <w:div w:id="1722511740">
          <w:marLeft w:val="0"/>
          <w:marRight w:val="0"/>
          <w:marTop w:val="0"/>
          <w:marBottom w:val="0"/>
          <w:divBdr>
            <w:top w:val="none" w:sz="0" w:space="0" w:color="auto"/>
            <w:left w:val="none" w:sz="0" w:space="0" w:color="auto"/>
            <w:bottom w:val="none" w:sz="0" w:space="0" w:color="auto"/>
            <w:right w:val="none" w:sz="0" w:space="0" w:color="auto"/>
          </w:divBdr>
        </w:div>
        <w:div w:id="1095444044">
          <w:marLeft w:val="0"/>
          <w:marRight w:val="0"/>
          <w:marTop w:val="0"/>
          <w:marBottom w:val="0"/>
          <w:divBdr>
            <w:top w:val="none" w:sz="0" w:space="0" w:color="auto"/>
            <w:left w:val="none" w:sz="0" w:space="0" w:color="auto"/>
            <w:bottom w:val="none" w:sz="0" w:space="0" w:color="auto"/>
            <w:right w:val="none" w:sz="0" w:space="0" w:color="auto"/>
          </w:divBdr>
        </w:div>
        <w:div w:id="1247298390">
          <w:marLeft w:val="0"/>
          <w:marRight w:val="0"/>
          <w:marTop w:val="0"/>
          <w:marBottom w:val="0"/>
          <w:divBdr>
            <w:top w:val="none" w:sz="0" w:space="0" w:color="auto"/>
            <w:left w:val="none" w:sz="0" w:space="0" w:color="auto"/>
            <w:bottom w:val="none" w:sz="0" w:space="0" w:color="auto"/>
            <w:right w:val="none" w:sz="0" w:space="0" w:color="auto"/>
          </w:divBdr>
        </w:div>
      </w:divsChild>
    </w:div>
    <w:div w:id="1752268496">
      <w:bodyDiv w:val="1"/>
      <w:marLeft w:val="0"/>
      <w:marRight w:val="0"/>
      <w:marTop w:val="0"/>
      <w:marBottom w:val="0"/>
      <w:divBdr>
        <w:top w:val="none" w:sz="0" w:space="0" w:color="auto"/>
        <w:left w:val="none" w:sz="0" w:space="0" w:color="auto"/>
        <w:bottom w:val="none" w:sz="0" w:space="0" w:color="auto"/>
        <w:right w:val="none" w:sz="0" w:space="0" w:color="auto"/>
      </w:divBdr>
    </w:div>
    <w:div w:id="1752576771">
      <w:bodyDiv w:val="1"/>
      <w:marLeft w:val="0"/>
      <w:marRight w:val="0"/>
      <w:marTop w:val="0"/>
      <w:marBottom w:val="0"/>
      <w:divBdr>
        <w:top w:val="none" w:sz="0" w:space="0" w:color="auto"/>
        <w:left w:val="none" w:sz="0" w:space="0" w:color="auto"/>
        <w:bottom w:val="none" w:sz="0" w:space="0" w:color="auto"/>
        <w:right w:val="none" w:sz="0" w:space="0" w:color="auto"/>
      </w:divBdr>
    </w:div>
    <w:div w:id="1753819758">
      <w:bodyDiv w:val="1"/>
      <w:marLeft w:val="0"/>
      <w:marRight w:val="0"/>
      <w:marTop w:val="0"/>
      <w:marBottom w:val="0"/>
      <w:divBdr>
        <w:top w:val="none" w:sz="0" w:space="0" w:color="auto"/>
        <w:left w:val="none" w:sz="0" w:space="0" w:color="auto"/>
        <w:bottom w:val="none" w:sz="0" w:space="0" w:color="auto"/>
        <w:right w:val="none" w:sz="0" w:space="0" w:color="auto"/>
      </w:divBdr>
    </w:div>
    <w:div w:id="1754281910">
      <w:bodyDiv w:val="1"/>
      <w:marLeft w:val="0"/>
      <w:marRight w:val="0"/>
      <w:marTop w:val="0"/>
      <w:marBottom w:val="0"/>
      <w:divBdr>
        <w:top w:val="none" w:sz="0" w:space="0" w:color="auto"/>
        <w:left w:val="none" w:sz="0" w:space="0" w:color="auto"/>
        <w:bottom w:val="none" w:sz="0" w:space="0" w:color="auto"/>
        <w:right w:val="none" w:sz="0" w:space="0" w:color="auto"/>
      </w:divBdr>
    </w:div>
    <w:div w:id="1754473005">
      <w:bodyDiv w:val="1"/>
      <w:marLeft w:val="0"/>
      <w:marRight w:val="0"/>
      <w:marTop w:val="0"/>
      <w:marBottom w:val="0"/>
      <w:divBdr>
        <w:top w:val="none" w:sz="0" w:space="0" w:color="auto"/>
        <w:left w:val="none" w:sz="0" w:space="0" w:color="auto"/>
        <w:bottom w:val="none" w:sz="0" w:space="0" w:color="auto"/>
        <w:right w:val="none" w:sz="0" w:space="0" w:color="auto"/>
      </w:divBdr>
    </w:div>
    <w:div w:id="1754862851">
      <w:bodyDiv w:val="1"/>
      <w:marLeft w:val="0"/>
      <w:marRight w:val="0"/>
      <w:marTop w:val="0"/>
      <w:marBottom w:val="0"/>
      <w:divBdr>
        <w:top w:val="none" w:sz="0" w:space="0" w:color="auto"/>
        <w:left w:val="none" w:sz="0" w:space="0" w:color="auto"/>
        <w:bottom w:val="none" w:sz="0" w:space="0" w:color="auto"/>
        <w:right w:val="none" w:sz="0" w:space="0" w:color="auto"/>
      </w:divBdr>
    </w:div>
    <w:div w:id="1754938199">
      <w:bodyDiv w:val="1"/>
      <w:marLeft w:val="0"/>
      <w:marRight w:val="0"/>
      <w:marTop w:val="0"/>
      <w:marBottom w:val="0"/>
      <w:divBdr>
        <w:top w:val="none" w:sz="0" w:space="0" w:color="auto"/>
        <w:left w:val="none" w:sz="0" w:space="0" w:color="auto"/>
        <w:bottom w:val="none" w:sz="0" w:space="0" w:color="auto"/>
        <w:right w:val="none" w:sz="0" w:space="0" w:color="auto"/>
      </w:divBdr>
    </w:div>
    <w:div w:id="1755469708">
      <w:bodyDiv w:val="1"/>
      <w:marLeft w:val="0"/>
      <w:marRight w:val="0"/>
      <w:marTop w:val="0"/>
      <w:marBottom w:val="0"/>
      <w:divBdr>
        <w:top w:val="none" w:sz="0" w:space="0" w:color="auto"/>
        <w:left w:val="none" w:sz="0" w:space="0" w:color="auto"/>
        <w:bottom w:val="none" w:sz="0" w:space="0" w:color="auto"/>
        <w:right w:val="none" w:sz="0" w:space="0" w:color="auto"/>
      </w:divBdr>
    </w:div>
    <w:div w:id="1756003393">
      <w:bodyDiv w:val="1"/>
      <w:marLeft w:val="0"/>
      <w:marRight w:val="0"/>
      <w:marTop w:val="0"/>
      <w:marBottom w:val="0"/>
      <w:divBdr>
        <w:top w:val="none" w:sz="0" w:space="0" w:color="auto"/>
        <w:left w:val="none" w:sz="0" w:space="0" w:color="auto"/>
        <w:bottom w:val="none" w:sz="0" w:space="0" w:color="auto"/>
        <w:right w:val="none" w:sz="0" w:space="0" w:color="auto"/>
      </w:divBdr>
    </w:div>
    <w:div w:id="1756248210">
      <w:bodyDiv w:val="1"/>
      <w:marLeft w:val="0"/>
      <w:marRight w:val="0"/>
      <w:marTop w:val="0"/>
      <w:marBottom w:val="0"/>
      <w:divBdr>
        <w:top w:val="none" w:sz="0" w:space="0" w:color="auto"/>
        <w:left w:val="none" w:sz="0" w:space="0" w:color="auto"/>
        <w:bottom w:val="none" w:sz="0" w:space="0" w:color="auto"/>
        <w:right w:val="none" w:sz="0" w:space="0" w:color="auto"/>
      </w:divBdr>
    </w:div>
    <w:div w:id="1756397058">
      <w:bodyDiv w:val="1"/>
      <w:marLeft w:val="0"/>
      <w:marRight w:val="0"/>
      <w:marTop w:val="0"/>
      <w:marBottom w:val="0"/>
      <w:divBdr>
        <w:top w:val="none" w:sz="0" w:space="0" w:color="auto"/>
        <w:left w:val="none" w:sz="0" w:space="0" w:color="auto"/>
        <w:bottom w:val="none" w:sz="0" w:space="0" w:color="auto"/>
        <w:right w:val="none" w:sz="0" w:space="0" w:color="auto"/>
      </w:divBdr>
    </w:div>
    <w:div w:id="1756708999">
      <w:bodyDiv w:val="1"/>
      <w:marLeft w:val="0"/>
      <w:marRight w:val="0"/>
      <w:marTop w:val="0"/>
      <w:marBottom w:val="0"/>
      <w:divBdr>
        <w:top w:val="none" w:sz="0" w:space="0" w:color="auto"/>
        <w:left w:val="none" w:sz="0" w:space="0" w:color="auto"/>
        <w:bottom w:val="none" w:sz="0" w:space="0" w:color="auto"/>
        <w:right w:val="none" w:sz="0" w:space="0" w:color="auto"/>
      </w:divBdr>
    </w:div>
    <w:div w:id="1759055713">
      <w:bodyDiv w:val="1"/>
      <w:marLeft w:val="0"/>
      <w:marRight w:val="0"/>
      <w:marTop w:val="0"/>
      <w:marBottom w:val="0"/>
      <w:divBdr>
        <w:top w:val="none" w:sz="0" w:space="0" w:color="auto"/>
        <w:left w:val="none" w:sz="0" w:space="0" w:color="auto"/>
        <w:bottom w:val="none" w:sz="0" w:space="0" w:color="auto"/>
        <w:right w:val="none" w:sz="0" w:space="0" w:color="auto"/>
      </w:divBdr>
    </w:div>
    <w:div w:id="1759867542">
      <w:bodyDiv w:val="1"/>
      <w:marLeft w:val="0"/>
      <w:marRight w:val="0"/>
      <w:marTop w:val="0"/>
      <w:marBottom w:val="0"/>
      <w:divBdr>
        <w:top w:val="none" w:sz="0" w:space="0" w:color="auto"/>
        <w:left w:val="none" w:sz="0" w:space="0" w:color="auto"/>
        <w:bottom w:val="none" w:sz="0" w:space="0" w:color="auto"/>
        <w:right w:val="none" w:sz="0" w:space="0" w:color="auto"/>
      </w:divBdr>
    </w:div>
    <w:div w:id="1759984878">
      <w:bodyDiv w:val="1"/>
      <w:marLeft w:val="0"/>
      <w:marRight w:val="0"/>
      <w:marTop w:val="0"/>
      <w:marBottom w:val="0"/>
      <w:divBdr>
        <w:top w:val="none" w:sz="0" w:space="0" w:color="auto"/>
        <w:left w:val="none" w:sz="0" w:space="0" w:color="auto"/>
        <w:bottom w:val="none" w:sz="0" w:space="0" w:color="auto"/>
        <w:right w:val="none" w:sz="0" w:space="0" w:color="auto"/>
      </w:divBdr>
    </w:div>
    <w:div w:id="1760254596">
      <w:bodyDiv w:val="1"/>
      <w:marLeft w:val="0"/>
      <w:marRight w:val="0"/>
      <w:marTop w:val="0"/>
      <w:marBottom w:val="0"/>
      <w:divBdr>
        <w:top w:val="none" w:sz="0" w:space="0" w:color="auto"/>
        <w:left w:val="none" w:sz="0" w:space="0" w:color="auto"/>
        <w:bottom w:val="none" w:sz="0" w:space="0" w:color="auto"/>
        <w:right w:val="none" w:sz="0" w:space="0" w:color="auto"/>
      </w:divBdr>
    </w:div>
    <w:div w:id="1761216518">
      <w:bodyDiv w:val="1"/>
      <w:marLeft w:val="0"/>
      <w:marRight w:val="0"/>
      <w:marTop w:val="0"/>
      <w:marBottom w:val="0"/>
      <w:divBdr>
        <w:top w:val="none" w:sz="0" w:space="0" w:color="auto"/>
        <w:left w:val="none" w:sz="0" w:space="0" w:color="auto"/>
        <w:bottom w:val="none" w:sz="0" w:space="0" w:color="auto"/>
        <w:right w:val="none" w:sz="0" w:space="0" w:color="auto"/>
      </w:divBdr>
    </w:div>
    <w:div w:id="1762144183">
      <w:bodyDiv w:val="1"/>
      <w:marLeft w:val="0"/>
      <w:marRight w:val="0"/>
      <w:marTop w:val="0"/>
      <w:marBottom w:val="0"/>
      <w:divBdr>
        <w:top w:val="none" w:sz="0" w:space="0" w:color="auto"/>
        <w:left w:val="none" w:sz="0" w:space="0" w:color="auto"/>
        <w:bottom w:val="none" w:sz="0" w:space="0" w:color="auto"/>
        <w:right w:val="none" w:sz="0" w:space="0" w:color="auto"/>
      </w:divBdr>
    </w:div>
    <w:div w:id="1762530210">
      <w:bodyDiv w:val="1"/>
      <w:marLeft w:val="0"/>
      <w:marRight w:val="0"/>
      <w:marTop w:val="0"/>
      <w:marBottom w:val="0"/>
      <w:divBdr>
        <w:top w:val="none" w:sz="0" w:space="0" w:color="auto"/>
        <w:left w:val="none" w:sz="0" w:space="0" w:color="auto"/>
        <w:bottom w:val="none" w:sz="0" w:space="0" w:color="auto"/>
        <w:right w:val="none" w:sz="0" w:space="0" w:color="auto"/>
      </w:divBdr>
    </w:div>
    <w:div w:id="1763988313">
      <w:bodyDiv w:val="1"/>
      <w:marLeft w:val="0"/>
      <w:marRight w:val="0"/>
      <w:marTop w:val="0"/>
      <w:marBottom w:val="0"/>
      <w:divBdr>
        <w:top w:val="none" w:sz="0" w:space="0" w:color="auto"/>
        <w:left w:val="none" w:sz="0" w:space="0" w:color="auto"/>
        <w:bottom w:val="none" w:sz="0" w:space="0" w:color="auto"/>
        <w:right w:val="none" w:sz="0" w:space="0" w:color="auto"/>
      </w:divBdr>
    </w:div>
    <w:div w:id="1764229718">
      <w:bodyDiv w:val="1"/>
      <w:marLeft w:val="0"/>
      <w:marRight w:val="0"/>
      <w:marTop w:val="0"/>
      <w:marBottom w:val="0"/>
      <w:divBdr>
        <w:top w:val="none" w:sz="0" w:space="0" w:color="auto"/>
        <w:left w:val="none" w:sz="0" w:space="0" w:color="auto"/>
        <w:bottom w:val="none" w:sz="0" w:space="0" w:color="auto"/>
        <w:right w:val="none" w:sz="0" w:space="0" w:color="auto"/>
      </w:divBdr>
    </w:div>
    <w:div w:id="1764646059">
      <w:bodyDiv w:val="1"/>
      <w:marLeft w:val="0"/>
      <w:marRight w:val="0"/>
      <w:marTop w:val="0"/>
      <w:marBottom w:val="0"/>
      <w:divBdr>
        <w:top w:val="none" w:sz="0" w:space="0" w:color="auto"/>
        <w:left w:val="none" w:sz="0" w:space="0" w:color="auto"/>
        <w:bottom w:val="none" w:sz="0" w:space="0" w:color="auto"/>
        <w:right w:val="none" w:sz="0" w:space="0" w:color="auto"/>
      </w:divBdr>
    </w:div>
    <w:div w:id="1765296167">
      <w:bodyDiv w:val="1"/>
      <w:marLeft w:val="0"/>
      <w:marRight w:val="0"/>
      <w:marTop w:val="0"/>
      <w:marBottom w:val="0"/>
      <w:divBdr>
        <w:top w:val="none" w:sz="0" w:space="0" w:color="auto"/>
        <w:left w:val="none" w:sz="0" w:space="0" w:color="auto"/>
        <w:bottom w:val="none" w:sz="0" w:space="0" w:color="auto"/>
        <w:right w:val="none" w:sz="0" w:space="0" w:color="auto"/>
      </w:divBdr>
    </w:div>
    <w:div w:id="1766028627">
      <w:bodyDiv w:val="1"/>
      <w:marLeft w:val="0"/>
      <w:marRight w:val="0"/>
      <w:marTop w:val="0"/>
      <w:marBottom w:val="0"/>
      <w:divBdr>
        <w:top w:val="none" w:sz="0" w:space="0" w:color="auto"/>
        <w:left w:val="none" w:sz="0" w:space="0" w:color="auto"/>
        <w:bottom w:val="none" w:sz="0" w:space="0" w:color="auto"/>
        <w:right w:val="none" w:sz="0" w:space="0" w:color="auto"/>
      </w:divBdr>
    </w:div>
    <w:div w:id="1766149608">
      <w:bodyDiv w:val="1"/>
      <w:marLeft w:val="0"/>
      <w:marRight w:val="0"/>
      <w:marTop w:val="0"/>
      <w:marBottom w:val="0"/>
      <w:divBdr>
        <w:top w:val="none" w:sz="0" w:space="0" w:color="auto"/>
        <w:left w:val="none" w:sz="0" w:space="0" w:color="auto"/>
        <w:bottom w:val="none" w:sz="0" w:space="0" w:color="auto"/>
        <w:right w:val="none" w:sz="0" w:space="0" w:color="auto"/>
      </w:divBdr>
    </w:div>
    <w:div w:id="1766271397">
      <w:bodyDiv w:val="1"/>
      <w:marLeft w:val="0"/>
      <w:marRight w:val="0"/>
      <w:marTop w:val="0"/>
      <w:marBottom w:val="0"/>
      <w:divBdr>
        <w:top w:val="none" w:sz="0" w:space="0" w:color="auto"/>
        <w:left w:val="none" w:sz="0" w:space="0" w:color="auto"/>
        <w:bottom w:val="none" w:sz="0" w:space="0" w:color="auto"/>
        <w:right w:val="none" w:sz="0" w:space="0" w:color="auto"/>
      </w:divBdr>
    </w:div>
    <w:div w:id="1768386752">
      <w:bodyDiv w:val="1"/>
      <w:marLeft w:val="0"/>
      <w:marRight w:val="0"/>
      <w:marTop w:val="0"/>
      <w:marBottom w:val="0"/>
      <w:divBdr>
        <w:top w:val="none" w:sz="0" w:space="0" w:color="auto"/>
        <w:left w:val="none" w:sz="0" w:space="0" w:color="auto"/>
        <w:bottom w:val="none" w:sz="0" w:space="0" w:color="auto"/>
        <w:right w:val="none" w:sz="0" w:space="0" w:color="auto"/>
      </w:divBdr>
    </w:div>
    <w:div w:id="1769084087">
      <w:bodyDiv w:val="1"/>
      <w:marLeft w:val="0"/>
      <w:marRight w:val="0"/>
      <w:marTop w:val="0"/>
      <w:marBottom w:val="0"/>
      <w:divBdr>
        <w:top w:val="none" w:sz="0" w:space="0" w:color="auto"/>
        <w:left w:val="none" w:sz="0" w:space="0" w:color="auto"/>
        <w:bottom w:val="none" w:sz="0" w:space="0" w:color="auto"/>
        <w:right w:val="none" w:sz="0" w:space="0" w:color="auto"/>
      </w:divBdr>
    </w:div>
    <w:div w:id="1771505266">
      <w:bodyDiv w:val="1"/>
      <w:marLeft w:val="0"/>
      <w:marRight w:val="0"/>
      <w:marTop w:val="0"/>
      <w:marBottom w:val="0"/>
      <w:divBdr>
        <w:top w:val="none" w:sz="0" w:space="0" w:color="auto"/>
        <w:left w:val="none" w:sz="0" w:space="0" w:color="auto"/>
        <w:bottom w:val="none" w:sz="0" w:space="0" w:color="auto"/>
        <w:right w:val="none" w:sz="0" w:space="0" w:color="auto"/>
      </w:divBdr>
    </w:div>
    <w:div w:id="1771854691">
      <w:bodyDiv w:val="1"/>
      <w:marLeft w:val="0"/>
      <w:marRight w:val="0"/>
      <w:marTop w:val="0"/>
      <w:marBottom w:val="0"/>
      <w:divBdr>
        <w:top w:val="none" w:sz="0" w:space="0" w:color="auto"/>
        <w:left w:val="none" w:sz="0" w:space="0" w:color="auto"/>
        <w:bottom w:val="none" w:sz="0" w:space="0" w:color="auto"/>
        <w:right w:val="none" w:sz="0" w:space="0" w:color="auto"/>
      </w:divBdr>
    </w:div>
    <w:div w:id="1773360733">
      <w:bodyDiv w:val="1"/>
      <w:marLeft w:val="0"/>
      <w:marRight w:val="0"/>
      <w:marTop w:val="0"/>
      <w:marBottom w:val="0"/>
      <w:divBdr>
        <w:top w:val="none" w:sz="0" w:space="0" w:color="auto"/>
        <w:left w:val="none" w:sz="0" w:space="0" w:color="auto"/>
        <w:bottom w:val="none" w:sz="0" w:space="0" w:color="auto"/>
        <w:right w:val="none" w:sz="0" w:space="0" w:color="auto"/>
      </w:divBdr>
    </w:div>
    <w:div w:id="1774009296">
      <w:bodyDiv w:val="1"/>
      <w:marLeft w:val="0"/>
      <w:marRight w:val="0"/>
      <w:marTop w:val="0"/>
      <w:marBottom w:val="0"/>
      <w:divBdr>
        <w:top w:val="none" w:sz="0" w:space="0" w:color="auto"/>
        <w:left w:val="none" w:sz="0" w:space="0" w:color="auto"/>
        <w:bottom w:val="none" w:sz="0" w:space="0" w:color="auto"/>
        <w:right w:val="none" w:sz="0" w:space="0" w:color="auto"/>
      </w:divBdr>
    </w:div>
    <w:div w:id="1774518586">
      <w:bodyDiv w:val="1"/>
      <w:marLeft w:val="0"/>
      <w:marRight w:val="0"/>
      <w:marTop w:val="0"/>
      <w:marBottom w:val="0"/>
      <w:divBdr>
        <w:top w:val="none" w:sz="0" w:space="0" w:color="auto"/>
        <w:left w:val="none" w:sz="0" w:space="0" w:color="auto"/>
        <w:bottom w:val="none" w:sz="0" w:space="0" w:color="auto"/>
        <w:right w:val="none" w:sz="0" w:space="0" w:color="auto"/>
      </w:divBdr>
    </w:div>
    <w:div w:id="1775322929">
      <w:bodyDiv w:val="1"/>
      <w:marLeft w:val="0"/>
      <w:marRight w:val="0"/>
      <w:marTop w:val="0"/>
      <w:marBottom w:val="0"/>
      <w:divBdr>
        <w:top w:val="none" w:sz="0" w:space="0" w:color="auto"/>
        <w:left w:val="none" w:sz="0" w:space="0" w:color="auto"/>
        <w:bottom w:val="none" w:sz="0" w:space="0" w:color="auto"/>
        <w:right w:val="none" w:sz="0" w:space="0" w:color="auto"/>
      </w:divBdr>
    </w:div>
    <w:div w:id="1775897889">
      <w:bodyDiv w:val="1"/>
      <w:marLeft w:val="0"/>
      <w:marRight w:val="0"/>
      <w:marTop w:val="0"/>
      <w:marBottom w:val="0"/>
      <w:divBdr>
        <w:top w:val="none" w:sz="0" w:space="0" w:color="auto"/>
        <w:left w:val="none" w:sz="0" w:space="0" w:color="auto"/>
        <w:bottom w:val="none" w:sz="0" w:space="0" w:color="auto"/>
        <w:right w:val="none" w:sz="0" w:space="0" w:color="auto"/>
      </w:divBdr>
    </w:div>
    <w:div w:id="1776703740">
      <w:bodyDiv w:val="1"/>
      <w:marLeft w:val="0"/>
      <w:marRight w:val="0"/>
      <w:marTop w:val="0"/>
      <w:marBottom w:val="0"/>
      <w:divBdr>
        <w:top w:val="none" w:sz="0" w:space="0" w:color="auto"/>
        <w:left w:val="none" w:sz="0" w:space="0" w:color="auto"/>
        <w:bottom w:val="none" w:sz="0" w:space="0" w:color="auto"/>
        <w:right w:val="none" w:sz="0" w:space="0" w:color="auto"/>
      </w:divBdr>
    </w:div>
    <w:div w:id="1776755621">
      <w:bodyDiv w:val="1"/>
      <w:marLeft w:val="0"/>
      <w:marRight w:val="0"/>
      <w:marTop w:val="0"/>
      <w:marBottom w:val="0"/>
      <w:divBdr>
        <w:top w:val="none" w:sz="0" w:space="0" w:color="auto"/>
        <w:left w:val="none" w:sz="0" w:space="0" w:color="auto"/>
        <w:bottom w:val="none" w:sz="0" w:space="0" w:color="auto"/>
        <w:right w:val="none" w:sz="0" w:space="0" w:color="auto"/>
      </w:divBdr>
    </w:div>
    <w:div w:id="1777140938">
      <w:bodyDiv w:val="1"/>
      <w:marLeft w:val="0"/>
      <w:marRight w:val="0"/>
      <w:marTop w:val="0"/>
      <w:marBottom w:val="0"/>
      <w:divBdr>
        <w:top w:val="none" w:sz="0" w:space="0" w:color="auto"/>
        <w:left w:val="none" w:sz="0" w:space="0" w:color="auto"/>
        <w:bottom w:val="none" w:sz="0" w:space="0" w:color="auto"/>
        <w:right w:val="none" w:sz="0" w:space="0" w:color="auto"/>
      </w:divBdr>
    </w:div>
    <w:div w:id="1777865545">
      <w:bodyDiv w:val="1"/>
      <w:marLeft w:val="0"/>
      <w:marRight w:val="0"/>
      <w:marTop w:val="0"/>
      <w:marBottom w:val="0"/>
      <w:divBdr>
        <w:top w:val="none" w:sz="0" w:space="0" w:color="auto"/>
        <w:left w:val="none" w:sz="0" w:space="0" w:color="auto"/>
        <w:bottom w:val="none" w:sz="0" w:space="0" w:color="auto"/>
        <w:right w:val="none" w:sz="0" w:space="0" w:color="auto"/>
      </w:divBdr>
    </w:div>
    <w:div w:id="1777938551">
      <w:bodyDiv w:val="1"/>
      <w:marLeft w:val="0"/>
      <w:marRight w:val="0"/>
      <w:marTop w:val="0"/>
      <w:marBottom w:val="0"/>
      <w:divBdr>
        <w:top w:val="none" w:sz="0" w:space="0" w:color="auto"/>
        <w:left w:val="none" w:sz="0" w:space="0" w:color="auto"/>
        <w:bottom w:val="none" w:sz="0" w:space="0" w:color="auto"/>
        <w:right w:val="none" w:sz="0" w:space="0" w:color="auto"/>
      </w:divBdr>
    </w:div>
    <w:div w:id="1777945327">
      <w:bodyDiv w:val="1"/>
      <w:marLeft w:val="0"/>
      <w:marRight w:val="0"/>
      <w:marTop w:val="0"/>
      <w:marBottom w:val="0"/>
      <w:divBdr>
        <w:top w:val="none" w:sz="0" w:space="0" w:color="auto"/>
        <w:left w:val="none" w:sz="0" w:space="0" w:color="auto"/>
        <w:bottom w:val="none" w:sz="0" w:space="0" w:color="auto"/>
        <w:right w:val="none" w:sz="0" w:space="0" w:color="auto"/>
      </w:divBdr>
    </w:div>
    <w:div w:id="1778140864">
      <w:bodyDiv w:val="1"/>
      <w:marLeft w:val="0"/>
      <w:marRight w:val="0"/>
      <w:marTop w:val="0"/>
      <w:marBottom w:val="0"/>
      <w:divBdr>
        <w:top w:val="none" w:sz="0" w:space="0" w:color="auto"/>
        <w:left w:val="none" w:sz="0" w:space="0" w:color="auto"/>
        <w:bottom w:val="none" w:sz="0" w:space="0" w:color="auto"/>
        <w:right w:val="none" w:sz="0" w:space="0" w:color="auto"/>
      </w:divBdr>
    </w:div>
    <w:div w:id="1778789451">
      <w:bodyDiv w:val="1"/>
      <w:marLeft w:val="0"/>
      <w:marRight w:val="0"/>
      <w:marTop w:val="0"/>
      <w:marBottom w:val="0"/>
      <w:divBdr>
        <w:top w:val="none" w:sz="0" w:space="0" w:color="auto"/>
        <w:left w:val="none" w:sz="0" w:space="0" w:color="auto"/>
        <w:bottom w:val="none" w:sz="0" w:space="0" w:color="auto"/>
        <w:right w:val="none" w:sz="0" w:space="0" w:color="auto"/>
      </w:divBdr>
    </w:div>
    <w:div w:id="1780248441">
      <w:bodyDiv w:val="1"/>
      <w:marLeft w:val="0"/>
      <w:marRight w:val="0"/>
      <w:marTop w:val="0"/>
      <w:marBottom w:val="0"/>
      <w:divBdr>
        <w:top w:val="none" w:sz="0" w:space="0" w:color="auto"/>
        <w:left w:val="none" w:sz="0" w:space="0" w:color="auto"/>
        <w:bottom w:val="none" w:sz="0" w:space="0" w:color="auto"/>
        <w:right w:val="none" w:sz="0" w:space="0" w:color="auto"/>
      </w:divBdr>
    </w:div>
    <w:div w:id="1780828503">
      <w:bodyDiv w:val="1"/>
      <w:marLeft w:val="0"/>
      <w:marRight w:val="0"/>
      <w:marTop w:val="0"/>
      <w:marBottom w:val="0"/>
      <w:divBdr>
        <w:top w:val="none" w:sz="0" w:space="0" w:color="auto"/>
        <w:left w:val="none" w:sz="0" w:space="0" w:color="auto"/>
        <w:bottom w:val="none" w:sz="0" w:space="0" w:color="auto"/>
        <w:right w:val="none" w:sz="0" w:space="0" w:color="auto"/>
      </w:divBdr>
    </w:div>
    <w:div w:id="1781148050">
      <w:bodyDiv w:val="1"/>
      <w:marLeft w:val="0"/>
      <w:marRight w:val="0"/>
      <w:marTop w:val="0"/>
      <w:marBottom w:val="0"/>
      <w:divBdr>
        <w:top w:val="none" w:sz="0" w:space="0" w:color="auto"/>
        <w:left w:val="none" w:sz="0" w:space="0" w:color="auto"/>
        <w:bottom w:val="none" w:sz="0" w:space="0" w:color="auto"/>
        <w:right w:val="none" w:sz="0" w:space="0" w:color="auto"/>
      </w:divBdr>
    </w:div>
    <w:div w:id="1782413193">
      <w:bodyDiv w:val="1"/>
      <w:marLeft w:val="0"/>
      <w:marRight w:val="0"/>
      <w:marTop w:val="0"/>
      <w:marBottom w:val="0"/>
      <w:divBdr>
        <w:top w:val="none" w:sz="0" w:space="0" w:color="auto"/>
        <w:left w:val="none" w:sz="0" w:space="0" w:color="auto"/>
        <w:bottom w:val="none" w:sz="0" w:space="0" w:color="auto"/>
        <w:right w:val="none" w:sz="0" w:space="0" w:color="auto"/>
      </w:divBdr>
    </w:div>
    <w:div w:id="1782604958">
      <w:bodyDiv w:val="1"/>
      <w:marLeft w:val="0"/>
      <w:marRight w:val="0"/>
      <w:marTop w:val="0"/>
      <w:marBottom w:val="0"/>
      <w:divBdr>
        <w:top w:val="none" w:sz="0" w:space="0" w:color="auto"/>
        <w:left w:val="none" w:sz="0" w:space="0" w:color="auto"/>
        <w:bottom w:val="none" w:sz="0" w:space="0" w:color="auto"/>
        <w:right w:val="none" w:sz="0" w:space="0" w:color="auto"/>
      </w:divBdr>
    </w:div>
    <w:div w:id="1782648626">
      <w:bodyDiv w:val="1"/>
      <w:marLeft w:val="0"/>
      <w:marRight w:val="0"/>
      <w:marTop w:val="0"/>
      <w:marBottom w:val="0"/>
      <w:divBdr>
        <w:top w:val="none" w:sz="0" w:space="0" w:color="auto"/>
        <w:left w:val="none" w:sz="0" w:space="0" w:color="auto"/>
        <w:bottom w:val="none" w:sz="0" w:space="0" w:color="auto"/>
        <w:right w:val="none" w:sz="0" w:space="0" w:color="auto"/>
      </w:divBdr>
    </w:div>
    <w:div w:id="1783110696">
      <w:bodyDiv w:val="1"/>
      <w:marLeft w:val="0"/>
      <w:marRight w:val="0"/>
      <w:marTop w:val="0"/>
      <w:marBottom w:val="0"/>
      <w:divBdr>
        <w:top w:val="none" w:sz="0" w:space="0" w:color="auto"/>
        <w:left w:val="none" w:sz="0" w:space="0" w:color="auto"/>
        <w:bottom w:val="none" w:sz="0" w:space="0" w:color="auto"/>
        <w:right w:val="none" w:sz="0" w:space="0" w:color="auto"/>
      </w:divBdr>
    </w:div>
    <w:div w:id="1784808382">
      <w:bodyDiv w:val="1"/>
      <w:marLeft w:val="0"/>
      <w:marRight w:val="0"/>
      <w:marTop w:val="0"/>
      <w:marBottom w:val="0"/>
      <w:divBdr>
        <w:top w:val="none" w:sz="0" w:space="0" w:color="auto"/>
        <w:left w:val="none" w:sz="0" w:space="0" w:color="auto"/>
        <w:bottom w:val="none" w:sz="0" w:space="0" w:color="auto"/>
        <w:right w:val="none" w:sz="0" w:space="0" w:color="auto"/>
      </w:divBdr>
    </w:div>
    <w:div w:id="1785415288">
      <w:bodyDiv w:val="1"/>
      <w:marLeft w:val="0"/>
      <w:marRight w:val="0"/>
      <w:marTop w:val="0"/>
      <w:marBottom w:val="0"/>
      <w:divBdr>
        <w:top w:val="none" w:sz="0" w:space="0" w:color="auto"/>
        <w:left w:val="none" w:sz="0" w:space="0" w:color="auto"/>
        <w:bottom w:val="none" w:sz="0" w:space="0" w:color="auto"/>
        <w:right w:val="none" w:sz="0" w:space="0" w:color="auto"/>
      </w:divBdr>
    </w:div>
    <w:div w:id="1787314121">
      <w:bodyDiv w:val="1"/>
      <w:marLeft w:val="0"/>
      <w:marRight w:val="0"/>
      <w:marTop w:val="0"/>
      <w:marBottom w:val="0"/>
      <w:divBdr>
        <w:top w:val="none" w:sz="0" w:space="0" w:color="auto"/>
        <w:left w:val="none" w:sz="0" w:space="0" w:color="auto"/>
        <w:bottom w:val="none" w:sz="0" w:space="0" w:color="auto"/>
        <w:right w:val="none" w:sz="0" w:space="0" w:color="auto"/>
      </w:divBdr>
    </w:div>
    <w:div w:id="1787964001">
      <w:bodyDiv w:val="1"/>
      <w:marLeft w:val="0"/>
      <w:marRight w:val="0"/>
      <w:marTop w:val="0"/>
      <w:marBottom w:val="0"/>
      <w:divBdr>
        <w:top w:val="none" w:sz="0" w:space="0" w:color="auto"/>
        <w:left w:val="none" w:sz="0" w:space="0" w:color="auto"/>
        <w:bottom w:val="none" w:sz="0" w:space="0" w:color="auto"/>
        <w:right w:val="none" w:sz="0" w:space="0" w:color="auto"/>
      </w:divBdr>
    </w:div>
    <w:div w:id="1788965504">
      <w:bodyDiv w:val="1"/>
      <w:marLeft w:val="0"/>
      <w:marRight w:val="0"/>
      <w:marTop w:val="0"/>
      <w:marBottom w:val="0"/>
      <w:divBdr>
        <w:top w:val="none" w:sz="0" w:space="0" w:color="auto"/>
        <w:left w:val="none" w:sz="0" w:space="0" w:color="auto"/>
        <w:bottom w:val="none" w:sz="0" w:space="0" w:color="auto"/>
        <w:right w:val="none" w:sz="0" w:space="0" w:color="auto"/>
      </w:divBdr>
    </w:div>
    <w:div w:id="1789158223">
      <w:bodyDiv w:val="1"/>
      <w:marLeft w:val="0"/>
      <w:marRight w:val="0"/>
      <w:marTop w:val="0"/>
      <w:marBottom w:val="0"/>
      <w:divBdr>
        <w:top w:val="none" w:sz="0" w:space="0" w:color="auto"/>
        <w:left w:val="none" w:sz="0" w:space="0" w:color="auto"/>
        <w:bottom w:val="none" w:sz="0" w:space="0" w:color="auto"/>
        <w:right w:val="none" w:sz="0" w:space="0" w:color="auto"/>
      </w:divBdr>
    </w:div>
    <w:div w:id="1789809891">
      <w:bodyDiv w:val="1"/>
      <w:marLeft w:val="0"/>
      <w:marRight w:val="0"/>
      <w:marTop w:val="0"/>
      <w:marBottom w:val="0"/>
      <w:divBdr>
        <w:top w:val="none" w:sz="0" w:space="0" w:color="auto"/>
        <w:left w:val="none" w:sz="0" w:space="0" w:color="auto"/>
        <w:bottom w:val="none" w:sz="0" w:space="0" w:color="auto"/>
        <w:right w:val="none" w:sz="0" w:space="0" w:color="auto"/>
      </w:divBdr>
    </w:div>
    <w:div w:id="1790122238">
      <w:bodyDiv w:val="1"/>
      <w:marLeft w:val="0"/>
      <w:marRight w:val="0"/>
      <w:marTop w:val="0"/>
      <w:marBottom w:val="0"/>
      <w:divBdr>
        <w:top w:val="none" w:sz="0" w:space="0" w:color="auto"/>
        <w:left w:val="none" w:sz="0" w:space="0" w:color="auto"/>
        <w:bottom w:val="none" w:sz="0" w:space="0" w:color="auto"/>
        <w:right w:val="none" w:sz="0" w:space="0" w:color="auto"/>
      </w:divBdr>
    </w:div>
    <w:div w:id="1790708949">
      <w:bodyDiv w:val="1"/>
      <w:marLeft w:val="0"/>
      <w:marRight w:val="0"/>
      <w:marTop w:val="0"/>
      <w:marBottom w:val="0"/>
      <w:divBdr>
        <w:top w:val="none" w:sz="0" w:space="0" w:color="auto"/>
        <w:left w:val="none" w:sz="0" w:space="0" w:color="auto"/>
        <w:bottom w:val="none" w:sz="0" w:space="0" w:color="auto"/>
        <w:right w:val="none" w:sz="0" w:space="0" w:color="auto"/>
      </w:divBdr>
    </w:div>
    <w:div w:id="1790735102">
      <w:bodyDiv w:val="1"/>
      <w:marLeft w:val="0"/>
      <w:marRight w:val="0"/>
      <w:marTop w:val="0"/>
      <w:marBottom w:val="0"/>
      <w:divBdr>
        <w:top w:val="none" w:sz="0" w:space="0" w:color="auto"/>
        <w:left w:val="none" w:sz="0" w:space="0" w:color="auto"/>
        <w:bottom w:val="none" w:sz="0" w:space="0" w:color="auto"/>
        <w:right w:val="none" w:sz="0" w:space="0" w:color="auto"/>
      </w:divBdr>
    </w:div>
    <w:div w:id="1791197080">
      <w:bodyDiv w:val="1"/>
      <w:marLeft w:val="0"/>
      <w:marRight w:val="0"/>
      <w:marTop w:val="0"/>
      <w:marBottom w:val="0"/>
      <w:divBdr>
        <w:top w:val="none" w:sz="0" w:space="0" w:color="auto"/>
        <w:left w:val="none" w:sz="0" w:space="0" w:color="auto"/>
        <w:bottom w:val="none" w:sz="0" w:space="0" w:color="auto"/>
        <w:right w:val="none" w:sz="0" w:space="0" w:color="auto"/>
      </w:divBdr>
    </w:div>
    <w:div w:id="1791318887">
      <w:bodyDiv w:val="1"/>
      <w:marLeft w:val="0"/>
      <w:marRight w:val="0"/>
      <w:marTop w:val="0"/>
      <w:marBottom w:val="0"/>
      <w:divBdr>
        <w:top w:val="none" w:sz="0" w:space="0" w:color="auto"/>
        <w:left w:val="none" w:sz="0" w:space="0" w:color="auto"/>
        <w:bottom w:val="none" w:sz="0" w:space="0" w:color="auto"/>
        <w:right w:val="none" w:sz="0" w:space="0" w:color="auto"/>
      </w:divBdr>
    </w:div>
    <w:div w:id="1791624097">
      <w:bodyDiv w:val="1"/>
      <w:marLeft w:val="0"/>
      <w:marRight w:val="0"/>
      <w:marTop w:val="0"/>
      <w:marBottom w:val="0"/>
      <w:divBdr>
        <w:top w:val="none" w:sz="0" w:space="0" w:color="auto"/>
        <w:left w:val="none" w:sz="0" w:space="0" w:color="auto"/>
        <w:bottom w:val="none" w:sz="0" w:space="0" w:color="auto"/>
        <w:right w:val="none" w:sz="0" w:space="0" w:color="auto"/>
      </w:divBdr>
    </w:div>
    <w:div w:id="1792093587">
      <w:bodyDiv w:val="1"/>
      <w:marLeft w:val="0"/>
      <w:marRight w:val="0"/>
      <w:marTop w:val="0"/>
      <w:marBottom w:val="0"/>
      <w:divBdr>
        <w:top w:val="none" w:sz="0" w:space="0" w:color="auto"/>
        <w:left w:val="none" w:sz="0" w:space="0" w:color="auto"/>
        <w:bottom w:val="none" w:sz="0" w:space="0" w:color="auto"/>
        <w:right w:val="none" w:sz="0" w:space="0" w:color="auto"/>
      </w:divBdr>
    </w:div>
    <w:div w:id="1795249072">
      <w:bodyDiv w:val="1"/>
      <w:marLeft w:val="0"/>
      <w:marRight w:val="0"/>
      <w:marTop w:val="0"/>
      <w:marBottom w:val="0"/>
      <w:divBdr>
        <w:top w:val="none" w:sz="0" w:space="0" w:color="auto"/>
        <w:left w:val="none" w:sz="0" w:space="0" w:color="auto"/>
        <w:bottom w:val="none" w:sz="0" w:space="0" w:color="auto"/>
        <w:right w:val="none" w:sz="0" w:space="0" w:color="auto"/>
      </w:divBdr>
    </w:div>
    <w:div w:id="1795294700">
      <w:bodyDiv w:val="1"/>
      <w:marLeft w:val="0"/>
      <w:marRight w:val="0"/>
      <w:marTop w:val="0"/>
      <w:marBottom w:val="0"/>
      <w:divBdr>
        <w:top w:val="none" w:sz="0" w:space="0" w:color="auto"/>
        <w:left w:val="none" w:sz="0" w:space="0" w:color="auto"/>
        <w:bottom w:val="none" w:sz="0" w:space="0" w:color="auto"/>
        <w:right w:val="none" w:sz="0" w:space="0" w:color="auto"/>
      </w:divBdr>
    </w:div>
    <w:div w:id="1796170509">
      <w:bodyDiv w:val="1"/>
      <w:marLeft w:val="0"/>
      <w:marRight w:val="0"/>
      <w:marTop w:val="0"/>
      <w:marBottom w:val="0"/>
      <w:divBdr>
        <w:top w:val="none" w:sz="0" w:space="0" w:color="auto"/>
        <w:left w:val="none" w:sz="0" w:space="0" w:color="auto"/>
        <w:bottom w:val="none" w:sz="0" w:space="0" w:color="auto"/>
        <w:right w:val="none" w:sz="0" w:space="0" w:color="auto"/>
      </w:divBdr>
      <w:divsChild>
        <w:div w:id="1222135760">
          <w:marLeft w:val="0"/>
          <w:marRight w:val="0"/>
          <w:marTop w:val="0"/>
          <w:marBottom w:val="0"/>
          <w:divBdr>
            <w:top w:val="none" w:sz="0" w:space="0" w:color="auto"/>
            <w:left w:val="none" w:sz="0" w:space="0" w:color="auto"/>
            <w:bottom w:val="none" w:sz="0" w:space="0" w:color="auto"/>
            <w:right w:val="none" w:sz="0" w:space="0" w:color="auto"/>
          </w:divBdr>
        </w:div>
        <w:div w:id="213465391">
          <w:marLeft w:val="0"/>
          <w:marRight w:val="0"/>
          <w:marTop w:val="0"/>
          <w:marBottom w:val="0"/>
          <w:divBdr>
            <w:top w:val="none" w:sz="0" w:space="0" w:color="auto"/>
            <w:left w:val="none" w:sz="0" w:space="0" w:color="auto"/>
            <w:bottom w:val="none" w:sz="0" w:space="0" w:color="auto"/>
            <w:right w:val="none" w:sz="0" w:space="0" w:color="auto"/>
          </w:divBdr>
        </w:div>
        <w:div w:id="1218056790">
          <w:marLeft w:val="0"/>
          <w:marRight w:val="0"/>
          <w:marTop w:val="0"/>
          <w:marBottom w:val="0"/>
          <w:divBdr>
            <w:top w:val="none" w:sz="0" w:space="0" w:color="auto"/>
            <w:left w:val="none" w:sz="0" w:space="0" w:color="auto"/>
            <w:bottom w:val="none" w:sz="0" w:space="0" w:color="auto"/>
            <w:right w:val="none" w:sz="0" w:space="0" w:color="auto"/>
          </w:divBdr>
        </w:div>
      </w:divsChild>
    </w:div>
    <w:div w:id="1796437969">
      <w:bodyDiv w:val="1"/>
      <w:marLeft w:val="0"/>
      <w:marRight w:val="0"/>
      <w:marTop w:val="0"/>
      <w:marBottom w:val="0"/>
      <w:divBdr>
        <w:top w:val="none" w:sz="0" w:space="0" w:color="auto"/>
        <w:left w:val="none" w:sz="0" w:space="0" w:color="auto"/>
        <w:bottom w:val="none" w:sz="0" w:space="0" w:color="auto"/>
        <w:right w:val="none" w:sz="0" w:space="0" w:color="auto"/>
      </w:divBdr>
    </w:div>
    <w:div w:id="1796604830">
      <w:bodyDiv w:val="1"/>
      <w:marLeft w:val="0"/>
      <w:marRight w:val="0"/>
      <w:marTop w:val="0"/>
      <w:marBottom w:val="0"/>
      <w:divBdr>
        <w:top w:val="none" w:sz="0" w:space="0" w:color="auto"/>
        <w:left w:val="none" w:sz="0" w:space="0" w:color="auto"/>
        <w:bottom w:val="none" w:sz="0" w:space="0" w:color="auto"/>
        <w:right w:val="none" w:sz="0" w:space="0" w:color="auto"/>
      </w:divBdr>
    </w:div>
    <w:div w:id="1797024376">
      <w:bodyDiv w:val="1"/>
      <w:marLeft w:val="0"/>
      <w:marRight w:val="0"/>
      <w:marTop w:val="0"/>
      <w:marBottom w:val="0"/>
      <w:divBdr>
        <w:top w:val="none" w:sz="0" w:space="0" w:color="auto"/>
        <w:left w:val="none" w:sz="0" w:space="0" w:color="auto"/>
        <w:bottom w:val="none" w:sz="0" w:space="0" w:color="auto"/>
        <w:right w:val="none" w:sz="0" w:space="0" w:color="auto"/>
      </w:divBdr>
    </w:div>
    <w:div w:id="1797287149">
      <w:bodyDiv w:val="1"/>
      <w:marLeft w:val="0"/>
      <w:marRight w:val="0"/>
      <w:marTop w:val="0"/>
      <w:marBottom w:val="0"/>
      <w:divBdr>
        <w:top w:val="none" w:sz="0" w:space="0" w:color="auto"/>
        <w:left w:val="none" w:sz="0" w:space="0" w:color="auto"/>
        <w:bottom w:val="none" w:sz="0" w:space="0" w:color="auto"/>
        <w:right w:val="none" w:sz="0" w:space="0" w:color="auto"/>
      </w:divBdr>
    </w:div>
    <w:div w:id="1797988235">
      <w:bodyDiv w:val="1"/>
      <w:marLeft w:val="0"/>
      <w:marRight w:val="0"/>
      <w:marTop w:val="0"/>
      <w:marBottom w:val="0"/>
      <w:divBdr>
        <w:top w:val="none" w:sz="0" w:space="0" w:color="auto"/>
        <w:left w:val="none" w:sz="0" w:space="0" w:color="auto"/>
        <w:bottom w:val="none" w:sz="0" w:space="0" w:color="auto"/>
        <w:right w:val="none" w:sz="0" w:space="0" w:color="auto"/>
      </w:divBdr>
    </w:div>
    <w:div w:id="1798642175">
      <w:bodyDiv w:val="1"/>
      <w:marLeft w:val="0"/>
      <w:marRight w:val="0"/>
      <w:marTop w:val="0"/>
      <w:marBottom w:val="0"/>
      <w:divBdr>
        <w:top w:val="none" w:sz="0" w:space="0" w:color="auto"/>
        <w:left w:val="none" w:sz="0" w:space="0" w:color="auto"/>
        <w:bottom w:val="none" w:sz="0" w:space="0" w:color="auto"/>
        <w:right w:val="none" w:sz="0" w:space="0" w:color="auto"/>
      </w:divBdr>
    </w:div>
    <w:div w:id="1798986547">
      <w:bodyDiv w:val="1"/>
      <w:marLeft w:val="0"/>
      <w:marRight w:val="0"/>
      <w:marTop w:val="0"/>
      <w:marBottom w:val="0"/>
      <w:divBdr>
        <w:top w:val="none" w:sz="0" w:space="0" w:color="auto"/>
        <w:left w:val="none" w:sz="0" w:space="0" w:color="auto"/>
        <w:bottom w:val="none" w:sz="0" w:space="0" w:color="auto"/>
        <w:right w:val="none" w:sz="0" w:space="0" w:color="auto"/>
      </w:divBdr>
    </w:div>
    <w:div w:id="1799448335">
      <w:bodyDiv w:val="1"/>
      <w:marLeft w:val="0"/>
      <w:marRight w:val="0"/>
      <w:marTop w:val="0"/>
      <w:marBottom w:val="0"/>
      <w:divBdr>
        <w:top w:val="none" w:sz="0" w:space="0" w:color="auto"/>
        <w:left w:val="none" w:sz="0" w:space="0" w:color="auto"/>
        <w:bottom w:val="none" w:sz="0" w:space="0" w:color="auto"/>
        <w:right w:val="none" w:sz="0" w:space="0" w:color="auto"/>
      </w:divBdr>
    </w:div>
    <w:div w:id="1800995785">
      <w:bodyDiv w:val="1"/>
      <w:marLeft w:val="0"/>
      <w:marRight w:val="0"/>
      <w:marTop w:val="0"/>
      <w:marBottom w:val="0"/>
      <w:divBdr>
        <w:top w:val="none" w:sz="0" w:space="0" w:color="auto"/>
        <w:left w:val="none" w:sz="0" w:space="0" w:color="auto"/>
        <w:bottom w:val="none" w:sz="0" w:space="0" w:color="auto"/>
        <w:right w:val="none" w:sz="0" w:space="0" w:color="auto"/>
      </w:divBdr>
      <w:divsChild>
        <w:div w:id="354423097">
          <w:marLeft w:val="0"/>
          <w:marRight w:val="0"/>
          <w:marTop w:val="0"/>
          <w:marBottom w:val="0"/>
          <w:divBdr>
            <w:top w:val="none" w:sz="0" w:space="0" w:color="auto"/>
            <w:left w:val="none" w:sz="0" w:space="0" w:color="auto"/>
            <w:bottom w:val="none" w:sz="0" w:space="0" w:color="auto"/>
            <w:right w:val="none" w:sz="0" w:space="0" w:color="auto"/>
          </w:divBdr>
        </w:div>
        <w:div w:id="1378696586">
          <w:marLeft w:val="0"/>
          <w:marRight w:val="0"/>
          <w:marTop w:val="0"/>
          <w:marBottom w:val="0"/>
          <w:divBdr>
            <w:top w:val="none" w:sz="0" w:space="0" w:color="auto"/>
            <w:left w:val="none" w:sz="0" w:space="0" w:color="auto"/>
            <w:bottom w:val="none" w:sz="0" w:space="0" w:color="auto"/>
            <w:right w:val="none" w:sz="0" w:space="0" w:color="auto"/>
          </w:divBdr>
        </w:div>
        <w:div w:id="1986467332">
          <w:marLeft w:val="0"/>
          <w:marRight w:val="0"/>
          <w:marTop w:val="0"/>
          <w:marBottom w:val="0"/>
          <w:divBdr>
            <w:top w:val="none" w:sz="0" w:space="0" w:color="auto"/>
            <w:left w:val="none" w:sz="0" w:space="0" w:color="auto"/>
            <w:bottom w:val="none" w:sz="0" w:space="0" w:color="auto"/>
            <w:right w:val="none" w:sz="0" w:space="0" w:color="auto"/>
          </w:divBdr>
        </w:div>
        <w:div w:id="679162292">
          <w:marLeft w:val="0"/>
          <w:marRight w:val="0"/>
          <w:marTop w:val="0"/>
          <w:marBottom w:val="0"/>
          <w:divBdr>
            <w:top w:val="none" w:sz="0" w:space="0" w:color="auto"/>
            <w:left w:val="none" w:sz="0" w:space="0" w:color="auto"/>
            <w:bottom w:val="none" w:sz="0" w:space="0" w:color="auto"/>
            <w:right w:val="none" w:sz="0" w:space="0" w:color="auto"/>
          </w:divBdr>
        </w:div>
        <w:div w:id="1685284491">
          <w:marLeft w:val="0"/>
          <w:marRight w:val="0"/>
          <w:marTop w:val="0"/>
          <w:marBottom w:val="0"/>
          <w:divBdr>
            <w:top w:val="none" w:sz="0" w:space="0" w:color="auto"/>
            <w:left w:val="none" w:sz="0" w:space="0" w:color="auto"/>
            <w:bottom w:val="none" w:sz="0" w:space="0" w:color="auto"/>
            <w:right w:val="none" w:sz="0" w:space="0" w:color="auto"/>
          </w:divBdr>
        </w:div>
        <w:div w:id="383451148">
          <w:marLeft w:val="0"/>
          <w:marRight w:val="0"/>
          <w:marTop w:val="0"/>
          <w:marBottom w:val="0"/>
          <w:divBdr>
            <w:top w:val="none" w:sz="0" w:space="0" w:color="auto"/>
            <w:left w:val="none" w:sz="0" w:space="0" w:color="auto"/>
            <w:bottom w:val="none" w:sz="0" w:space="0" w:color="auto"/>
            <w:right w:val="none" w:sz="0" w:space="0" w:color="auto"/>
          </w:divBdr>
        </w:div>
        <w:div w:id="1364675068">
          <w:marLeft w:val="0"/>
          <w:marRight w:val="0"/>
          <w:marTop w:val="0"/>
          <w:marBottom w:val="0"/>
          <w:divBdr>
            <w:top w:val="none" w:sz="0" w:space="0" w:color="auto"/>
            <w:left w:val="none" w:sz="0" w:space="0" w:color="auto"/>
            <w:bottom w:val="none" w:sz="0" w:space="0" w:color="auto"/>
            <w:right w:val="none" w:sz="0" w:space="0" w:color="auto"/>
          </w:divBdr>
        </w:div>
      </w:divsChild>
    </w:div>
    <w:div w:id="1801606061">
      <w:bodyDiv w:val="1"/>
      <w:marLeft w:val="0"/>
      <w:marRight w:val="0"/>
      <w:marTop w:val="0"/>
      <w:marBottom w:val="0"/>
      <w:divBdr>
        <w:top w:val="none" w:sz="0" w:space="0" w:color="auto"/>
        <w:left w:val="none" w:sz="0" w:space="0" w:color="auto"/>
        <w:bottom w:val="none" w:sz="0" w:space="0" w:color="auto"/>
        <w:right w:val="none" w:sz="0" w:space="0" w:color="auto"/>
      </w:divBdr>
    </w:div>
    <w:div w:id="1801654528">
      <w:bodyDiv w:val="1"/>
      <w:marLeft w:val="0"/>
      <w:marRight w:val="0"/>
      <w:marTop w:val="0"/>
      <w:marBottom w:val="0"/>
      <w:divBdr>
        <w:top w:val="none" w:sz="0" w:space="0" w:color="auto"/>
        <w:left w:val="none" w:sz="0" w:space="0" w:color="auto"/>
        <w:bottom w:val="none" w:sz="0" w:space="0" w:color="auto"/>
        <w:right w:val="none" w:sz="0" w:space="0" w:color="auto"/>
      </w:divBdr>
    </w:div>
    <w:div w:id="1801999687">
      <w:bodyDiv w:val="1"/>
      <w:marLeft w:val="0"/>
      <w:marRight w:val="0"/>
      <w:marTop w:val="0"/>
      <w:marBottom w:val="0"/>
      <w:divBdr>
        <w:top w:val="none" w:sz="0" w:space="0" w:color="auto"/>
        <w:left w:val="none" w:sz="0" w:space="0" w:color="auto"/>
        <w:bottom w:val="none" w:sz="0" w:space="0" w:color="auto"/>
        <w:right w:val="none" w:sz="0" w:space="0" w:color="auto"/>
      </w:divBdr>
    </w:div>
    <w:div w:id="1803225741">
      <w:bodyDiv w:val="1"/>
      <w:marLeft w:val="0"/>
      <w:marRight w:val="0"/>
      <w:marTop w:val="0"/>
      <w:marBottom w:val="0"/>
      <w:divBdr>
        <w:top w:val="none" w:sz="0" w:space="0" w:color="auto"/>
        <w:left w:val="none" w:sz="0" w:space="0" w:color="auto"/>
        <w:bottom w:val="none" w:sz="0" w:space="0" w:color="auto"/>
        <w:right w:val="none" w:sz="0" w:space="0" w:color="auto"/>
      </w:divBdr>
    </w:div>
    <w:div w:id="1803303024">
      <w:bodyDiv w:val="1"/>
      <w:marLeft w:val="0"/>
      <w:marRight w:val="0"/>
      <w:marTop w:val="0"/>
      <w:marBottom w:val="0"/>
      <w:divBdr>
        <w:top w:val="none" w:sz="0" w:space="0" w:color="auto"/>
        <w:left w:val="none" w:sz="0" w:space="0" w:color="auto"/>
        <w:bottom w:val="none" w:sz="0" w:space="0" w:color="auto"/>
        <w:right w:val="none" w:sz="0" w:space="0" w:color="auto"/>
      </w:divBdr>
    </w:div>
    <w:div w:id="1805192874">
      <w:bodyDiv w:val="1"/>
      <w:marLeft w:val="0"/>
      <w:marRight w:val="0"/>
      <w:marTop w:val="0"/>
      <w:marBottom w:val="0"/>
      <w:divBdr>
        <w:top w:val="none" w:sz="0" w:space="0" w:color="auto"/>
        <w:left w:val="none" w:sz="0" w:space="0" w:color="auto"/>
        <w:bottom w:val="none" w:sz="0" w:space="0" w:color="auto"/>
        <w:right w:val="none" w:sz="0" w:space="0" w:color="auto"/>
      </w:divBdr>
    </w:div>
    <w:div w:id="1806389054">
      <w:bodyDiv w:val="1"/>
      <w:marLeft w:val="0"/>
      <w:marRight w:val="0"/>
      <w:marTop w:val="0"/>
      <w:marBottom w:val="0"/>
      <w:divBdr>
        <w:top w:val="none" w:sz="0" w:space="0" w:color="auto"/>
        <w:left w:val="none" w:sz="0" w:space="0" w:color="auto"/>
        <w:bottom w:val="none" w:sz="0" w:space="0" w:color="auto"/>
        <w:right w:val="none" w:sz="0" w:space="0" w:color="auto"/>
      </w:divBdr>
    </w:div>
    <w:div w:id="1807620737">
      <w:bodyDiv w:val="1"/>
      <w:marLeft w:val="0"/>
      <w:marRight w:val="0"/>
      <w:marTop w:val="0"/>
      <w:marBottom w:val="0"/>
      <w:divBdr>
        <w:top w:val="none" w:sz="0" w:space="0" w:color="auto"/>
        <w:left w:val="none" w:sz="0" w:space="0" w:color="auto"/>
        <w:bottom w:val="none" w:sz="0" w:space="0" w:color="auto"/>
        <w:right w:val="none" w:sz="0" w:space="0" w:color="auto"/>
      </w:divBdr>
    </w:div>
    <w:div w:id="1808475550">
      <w:bodyDiv w:val="1"/>
      <w:marLeft w:val="0"/>
      <w:marRight w:val="0"/>
      <w:marTop w:val="0"/>
      <w:marBottom w:val="0"/>
      <w:divBdr>
        <w:top w:val="none" w:sz="0" w:space="0" w:color="auto"/>
        <w:left w:val="none" w:sz="0" w:space="0" w:color="auto"/>
        <w:bottom w:val="none" w:sz="0" w:space="0" w:color="auto"/>
        <w:right w:val="none" w:sz="0" w:space="0" w:color="auto"/>
      </w:divBdr>
    </w:div>
    <w:div w:id="1809281083">
      <w:bodyDiv w:val="1"/>
      <w:marLeft w:val="0"/>
      <w:marRight w:val="0"/>
      <w:marTop w:val="0"/>
      <w:marBottom w:val="0"/>
      <w:divBdr>
        <w:top w:val="none" w:sz="0" w:space="0" w:color="auto"/>
        <w:left w:val="none" w:sz="0" w:space="0" w:color="auto"/>
        <w:bottom w:val="none" w:sz="0" w:space="0" w:color="auto"/>
        <w:right w:val="none" w:sz="0" w:space="0" w:color="auto"/>
      </w:divBdr>
    </w:div>
    <w:div w:id="1809739134">
      <w:bodyDiv w:val="1"/>
      <w:marLeft w:val="0"/>
      <w:marRight w:val="0"/>
      <w:marTop w:val="0"/>
      <w:marBottom w:val="0"/>
      <w:divBdr>
        <w:top w:val="none" w:sz="0" w:space="0" w:color="auto"/>
        <w:left w:val="none" w:sz="0" w:space="0" w:color="auto"/>
        <w:bottom w:val="none" w:sz="0" w:space="0" w:color="auto"/>
        <w:right w:val="none" w:sz="0" w:space="0" w:color="auto"/>
      </w:divBdr>
    </w:div>
    <w:div w:id="1810854733">
      <w:bodyDiv w:val="1"/>
      <w:marLeft w:val="0"/>
      <w:marRight w:val="0"/>
      <w:marTop w:val="0"/>
      <w:marBottom w:val="0"/>
      <w:divBdr>
        <w:top w:val="none" w:sz="0" w:space="0" w:color="auto"/>
        <w:left w:val="none" w:sz="0" w:space="0" w:color="auto"/>
        <w:bottom w:val="none" w:sz="0" w:space="0" w:color="auto"/>
        <w:right w:val="none" w:sz="0" w:space="0" w:color="auto"/>
      </w:divBdr>
    </w:div>
    <w:div w:id="1811359126">
      <w:bodyDiv w:val="1"/>
      <w:marLeft w:val="0"/>
      <w:marRight w:val="0"/>
      <w:marTop w:val="0"/>
      <w:marBottom w:val="0"/>
      <w:divBdr>
        <w:top w:val="none" w:sz="0" w:space="0" w:color="auto"/>
        <w:left w:val="none" w:sz="0" w:space="0" w:color="auto"/>
        <w:bottom w:val="none" w:sz="0" w:space="0" w:color="auto"/>
        <w:right w:val="none" w:sz="0" w:space="0" w:color="auto"/>
      </w:divBdr>
    </w:div>
    <w:div w:id="1812598036">
      <w:bodyDiv w:val="1"/>
      <w:marLeft w:val="0"/>
      <w:marRight w:val="0"/>
      <w:marTop w:val="0"/>
      <w:marBottom w:val="0"/>
      <w:divBdr>
        <w:top w:val="none" w:sz="0" w:space="0" w:color="auto"/>
        <w:left w:val="none" w:sz="0" w:space="0" w:color="auto"/>
        <w:bottom w:val="none" w:sz="0" w:space="0" w:color="auto"/>
        <w:right w:val="none" w:sz="0" w:space="0" w:color="auto"/>
      </w:divBdr>
    </w:div>
    <w:div w:id="1813062204">
      <w:bodyDiv w:val="1"/>
      <w:marLeft w:val="0"/>
      <w:marRight w:val="0"/>
      <w:marTop w:val="0"/>
      <w:marBottom w:val="0"/>
      <w:divBdr>
        <w:top w:val="none" w:sz="0" w:space="0" w:color="auto"/>
        <w:left w:val="none" w:sz="0" w:space="0" w:color="auto"/>
        <w:bottom w:val="none" w:sz="0" w:space="0" w:color="auto"/>
        <w:right w:val="none" w:sz="0" w:space="0" w:color="auto"/>
      </w:divBdr>
    </w:div>
    <w:div w:id="1813523886">
      <w:bodyDiv w:val="1"/>
      <w:marLeft w:val="0"/>
      <w:marRight w:val="0"/>
      <w:marTop w:val="0"/>
      <w:marBottom w:val="0"/>
      <w:divBdr>
        <w:top w:val="none" w:sz="0" w:space="0" w:color="auto"/>
        <w:left w:val="none" w:sz="0" w:space="0" w:color="auto"/>
        <w:bottom w:val="none" w:sz="0" w:space="0" w:color="auto"/>
        <w:right w:val="none" w:sz="0" w:space="0" w:color="auto"/>
      </w:divBdr>
    </w:div>
    <w:div w:id="1814057423">
      <w:bodyDiv w:val="1"/>
      <w:marLeft w:val="0"/>
      <w:marRight w:val="0"/>
      <w:marTop w:val="0"/>
      <w:marBottom w:val="0"/>
      <w:divBdr>
        <w:top w:val="none" w:sz="0" w:space="0" w:color="auto"/>
        <w:left w:val="none" w:sz="0" w:space="0" w:color="auto"/>
        <w:bottom w:val="none" w:sz="0" w:space="0" w:color="auto"/>
        <w:right w:val="none" w:sz="0" w:space="0" w:color="auto"/>
      </w:divBdr>
    </w:div>
    <w:div w:id="1815172654">
      <w:bodyDiv w:val="1"/>
      <w:marLeft w:val="0"/>
      <w:marRight w:val="0"/>
      <w:marTop w:val="0"/>
      <w:marBottom w:val="0"/>
      <w:divBdr>
        <w:top w:val="none" w:sz="0" w:space="0" w:color="auto"/>
        <w:left w:val="none" w:sz="0" w:space="0" w:color="auto"/>
        <w:bottom w:val="none" w:sz="0" w:space="0" w:color="auto"/>
        <w:right w:val="none" w:sz="0" w:space="0" w:color="auto"/>
      </w:divBdr>
    </w:div>
    <w:div w:id="1817184231">
      <w:bodyDiv w:val="1"/>
      <w:marLeft w:val="0"/>
      <w:marRight w:val="0"/>
      <w:marTop w:val="0"/>
      <w:marBottom w:val="0"/>
      <w:divBdr>
        <w:top w:val="none" w:sz="0" w:space="0" w:color="auto"/>
        <w:left w:val="none" w:sz="0" w:space="0" w:color="auto"/>
        <w:bottom w:val="none" w:sz="0" w:space="0" w:color="auto"/>
        <w:right w:val="none" w:sz="0" w:space="0" w:color="auto"/>
      </w:divBdr>
    </w:div>
    <w:div w:id="1817603954">
      <w:bodyDiv w:val="1"/>
      <w:marLeft w:val="0"/>
      <w:marRight w:val="0"/>
      <w:marTop w:val="0"/>
      <w:marBottom w:val="0"/>
      <w:divBdr>
        <w:top w:val="none" w:sz="0" w:space="0" w:color="auto"/>
        <w:left w:val="none" w:sz="0" w:space="0" w:color="auto"/>
        <w:bottom w:val="none" w:sz="0" w:space="0" w:color="auto"/>
        <w:right w:val="none" w:sz="0" w:space="0" w:color="auto"/>
      </w:divBdr>
    </w:div>
    <w:div w:id="1817913928">
      <w:bodyDiv w:val="1"/>
      <w:marLeft w:val="0"/>
      <w:marRight w:val="0"/>
      <w:marTop w:val="0"/>
      <w:marBottom w:val="0"/>
      <w:divBdr>
        <w:top w:val="none" w:sz="0" w:space="0" w:color="auto"/>
        <w:left w:val="none" w:sz="0" w:space="0" w:color="auto"/>
        <w:bottom w:val="none" w:sz="0" w:space="0" w:color="auto"/>
        <w:right w:val="none" w:sz="0" w:space="0" w:color="auto"/>
      </w:divBdr>
    </w:div>
    <w:div w:id="1818104130">
      <w:bodyDiv w:val="1"/>
      <w:marLeft w:val="0"/>
      <w:marRight w:val="0"/>
      <w:marTop w:val="0"/>
      <w:marBottom w:val="0"/>
      <w:divBdr>
        <w:top w:val="none" w:sz="0" w:space="0" w:color="auto"/>
        <w:left w:val="none" w:sz="0" w:space="0" w:color="auto"/>
        <w:bottom w:val="none" w:sz="0" w:space="0" w:color="auto"/>
        <w:right w:val="none" w:sz="0" w:space="0" w:color="auto"/>
      </w:divBdr>
    </w:div>
    <w:div w:id="1818258715">
      <w:bodyDiv w:val="1"/>
      <w:marLeft w:val="0"/>
      <w:marRight w:val="0"/>
      <w:marTop w:val="0"/>
      <w:marBottom w:val="0"/>
      <w:divBdr>
        <w:top w:val="none" w:sz="0" w:space="0" w:color="auto"/>
        <w:left w:val="none" w:sz="0" w:space="0" w:color="auto"/>
        <w:bottom w:val="none" w:sz="0" w:space="0" w:color="auto"/>
        <w:right w:val="none" w:sz="0" w:space="0" w:color="auto"/>
      </w:divBdr>
    </w:div>
    <w:div w:id="1818917883">
      <w:bodyDiv w:val="1"/>
      <w:marLeft w:val="0"/>
      <w:marRight w:val="0"/>
      <w:marTop w:val="0"/>
      <w:marBottom w:val="0"/>
      <w:divBdr>
        <w:top w:val="none" w:sz="0" w:space="0" w:color="auto"/>
        <w:left w:val="none" w:sz="0" w:space="0" w:color="auto"/>
        <w:bottom w:val="none" w:sz="0" w:space="0" w:color="auto"/>
        <w:right w:val="none" w:sz="0" w:space="0" w:color="auto"/>
      </w:divBdr>
    </w:div>
    <w:div w:id="1819112234">
      <w:bodyDiv w:val="1"/>
      <w:marLeft w:val="0"/>
      <w:marRight w:val="0"/>
      <w:marTop w:val="0"/>
      <w:marBottom w:val="0"/>
      <w:divBdr>
        <w:top w:val="none" w:sz="0" w:space="0" w:color="auto"/>
        <w:left w:val="none" w:sz="0" w:space="0" w:color="auto"/>
        <w:bottom w:val="none" w:sz="0" w:space="0" w:color="auto"/>
        <w:right w:val="none" w:sz="0" w:space="0" w:color="auto"/>
      </w:divBdr>
    </w:div>
    <w:div w:id="1819225915">
      <w:bodyDiv w:val="1"/>
      <w:marLeft w:val="0"/>
      <w:marRight w:val="0"/>
      <w:marTop w:val="0"/>
      <w:marBottom w:val="0"/>
      <w:divBdr>
        <w:top w:val="none" w:sz="0" w:space="0" w:color="auto"/>
        <w:left w:val="none" w:sz="0" w:space="0" w:color="auto"/>
        <w:bottom w:val="none" w:sz="0" w:space="0" w:color="auto"/>
        <w:right w:val="none" w:sz="0" w:space="0" w:color="auto"/>
      </w:divBdr>
    </w:div>
    <w:div w:id="1819227307">
      <w:bodyDiv w:val="1"/>
      <w:marLeft w:val="0"/>
      <w:marRight w:val="0"/>
      <w:marTop w:val="0"/>
      <w:marBottom w:val="0"/>
      <w:divBdr>
        <w:top w:val="none" w:sz="0" w:space="0" w:color="auto"/>
        <w:left w:val="none" w:sz="0" w:space="0" w:color="auto"/>
        <w:bottom w:val="none" w:sz="0" w:space="0" w:color="auto"/>
        <w:right w:val="none" w:sz="0" w:space="0" w:color="auto"/>
      </w:divBdr>
    </w:div>
    <w:div w:id="1819683119">
      <w:bodyDiv w:val="1"/>
      <w:marLeft w:val="0"/>
      <w:marRight w:val="0"/>
      <w:marTop w:val="0"/>
      <w:marBottom w:val="0"/>
      <w:divBdr>
        <w:top w:val="none" w:sz="0" w:space="0" w:color="auto"/>
        <w:left w:val="none" w:sz="0" w:space="0" w:color="auto"/>
        <w:bottom w:val="none" w:sz="0" w:space="0" w:color="auto"/>
        <w:right w:val="none" w:sz="0" w:space="0" w:color="auto"/>
      </w:divBdr>
    </w:div>
    <w:div w:id="1820534704">
      <w:bodyDiv w:val="1"/>
      <w:marLeft w:val="0"/>
      <w:marRight w:val="0"/>
      <w:marTop w:val="0"/>
      <w:marBottom w:val="0"/>
      <w:divBdr>
        <w:top w:val="none" w:sz="0" w:space="0" w:color="auto"/>
        <w:left w:val="none" w:sz="0" w:space="0" w:color="auto"/>
        <w:bottom w:val="none" w:sz="0" w:space="0" w:color="auto"/>
        <w:right w:val="none" w:sz="0" w:space="0" w:color="auto"/>
      </w:divBdr>
    </w:div>
    <w:div w:id="1820800881">
      <w:bodyDiv w:val="1"/>
      <w:marLeft w:val="0"/>
      <w:marRight w:val="0"/>
      <w:marTop w:val="0"/>
      <w:marBottom w:val="0"/>
      <w:divBdr>
        <w:top w:val="none" w:sz="0" w:space="0" w:color="auto"/>
        <w:left w:val="none" w:sz="0" w:space="0" w:color="auto"/>
        <w:bottom w:val="none" w:sz="0" w:space="0" w:color="auto"/>
        <w:right w:val="none" w:sz="0" w:space="0" w:color="auto"/>
      </w:divBdr>
    </w:div>
    <w:div w:id="1821850373">
      <w:bodyDiv w:val="1"/>
      <w:marLeft w:val="0"/>
      <w:marRight w:val="0"/>
      <w:marTop w:val="0"/>
      <w:marBottom w:val="0"/>
      <w:divBdr>
        <w:top w:val="none" w:sz="0" w:space="0" w:color="auto"/>
        <w:left w:val="none" w:sz="0" w:space="0" w:color="auto"/>
        <w:bottom w:val="none" w:sz="0" w:space="0" w:color="auto"/>
        <w:right w:val="none" w:sz="0" w:space="0" w:color="auto"/>
      </w:divBdr>
    </w:div>
    <w:div w:id="1821925750">
      <w:bodyDiv w:val="1"/>
      <w:marLeft w:val="0"/>
      <w:marRight w:val="0"/>
      <w:marTop w:val="0"/>
      <w:marBottom w:val="0"/>
      <w:divBdr>
        <w:top w:val="none" w:sz="0" w:space="0" w:color="auto"/>
        <w:left w:val="none" w:sz="0" w:space="0" w:color="auto"/>
        <w:bottom w:val="none" w:sz="0" w:space="0" w:color="auto"/>
        <w:right w:val="none" w:sz="0" w:space="0" w:color="auto"/>
      </w:divBdr>
    </w:div>
    <w:div w:id="1823309822">
      <w:bodyDiv w:val="1"/>
      <w:marLeft w:val="0"/>
      <w:marRight w:val="0"/>
      <w:marTop w:val="0"/>
      <w:marBottom w:val="0"/>
      <w:divBdr>
        <w:top w:val="none" w:sz="0" w:space="0" w:color="auto"/>
        <w:left w:val="none" w:sz="0" w:space="0" w:color="auto"/>
        <w:bottom w:val="none" w:sz="0" w:space="0" w:color="auto"/>
        <w:right w:val="none" w:sz="0" w:space="0" w:color="auto"/>
      </w:divBdr>
    </w:div>
    <w:div w:id="1824346143">
      <w:bodyDiv w:val="1"/>
      <w:marLeft w:val="0"/>
      <w:marRight w:val="0"/>
      <w:marTop w:val="0"/>
      <w:marBottom w:val="0"/>
      <w:divBdr>
        <w:top w:val="none" w:sz="0" w:space="0" w:color="auto"/>
        <w:left w:val="none" w:sz="0" w:space="0" w:color="auto"/>
        <w:bottom w:val="none" w:sz="0" w:space="0" w:color="auto"/>
        <w:right w:val="none" w:sz="0" w:space="0" w:color="auto"/>
      </w:divBdr>
    </w:div>
    <w:div w:id="1824472303">
      <w:bodyDiv w:val="1"/>
      <w:marLeft w:val="0"/>
      <w:marRight w:val="0"/>
      <w:marTop w:val="0"/>
      <w:marBottom w:val="0"/>
      <w:divBdr>
        <w:top w:val="none" w:sz="0" w:space="0" w:color="auto"/>
        <w:left w:val="none" w:sz="0" w:space="0" w:color="auto"/>
        <w:bottom w:val="none" w:sz="0" w:space="0" w:color="auto"/>
        <w:right w:val="none" w:sz="0" w:space="0" w:color="auto"/>
      </w:divBdr>
    </w:div>
    <w:div w:id="1825513705">
      <w:bodyDiv w:val="1"/>
      <w:marLeft w:val="0"/>
      <w:marRight w:val="0"/>
      <w:marTop w:val="0"/>
      <w:marBottom w:val="0"/>
      <w:divBdr>
        <w:top w:val="none" w:sz="0" w:space="0" w:color="auto"/>
        <w:left w:val="none" w:sz="0" w:space="0" w:color="auto"/>
        <w:bottom w:val="none" w:sz="0" w:space="0" w:color="auto"/>
        <w:right w:val="none" w:sz="0" w:space="0" w:color="auto"/>
      </w:divBdr>
    </w:div>
    <w:div w:id="1826816162">
      <w:bodyDiv w:val="1"/>
      <w:marLeft w:val="0"/>
      <w:marRight w:val="0"/>
      <w:marTop w:val="0"/>
      <w:marBottom w:val="0"/>
      <w:divBdr>
        <w:top w:val="none" w:sz="0" w:space="0" w:color="auto"/>
        <w:left w:val="none" w:sz="0" w:space="0" w:color="auto"/>
        <w:bottom w:val="none" w:sz="0" w:space="0" w:color="auto"/>
        <w:right w:val="none" w:sz="0" w:space="0" w:color="auto"/>
      </w:divBdr>
    </w:div>
    <w:div w:id="1828088220">
      <w:bodyDiv w:val="1"/>
      <w:marLeft w:val="0"/>
      <w:marRight w:val="0"/>
      <w:marTop w:val="0"/>
      <w:marBottom w:val="0"/>
      <w:divBdr>
        <w:top w:val="none" w:sz="0" w:space="0" w:color="auto"/>
        <w:left w:val="none" w:sz="0" w:space="0" w:color="auto"/>
        <w:bottom w:val="none" w:sz="0" w:space="0" w:color="auto"/>
        <w:right w:val="none" w:sz="0" w:space="0" w:color="auto"/>
      </w:divBdr>
    </w:div>
    <w:div w:id="1829251539">
      <w:bodyDiv w:val="1"/>
      <w:marLeft w:val="0"/>
      <w:marRight w:val="0"/>
      <w:marTop w:val="0"/>
      <w:marBottom w:val="0"/>
      <w:divBdr>
        <w:top w:val="none" w:sz="0" w:space="0" w:color="auto"/>
        <w:left w:val="none" w:sz="0" w:space="0" w:color="auto"/>
        <w:bottom w:val="none" w:sz="0" w:space="0" w:color="auto"/>
        <w:right w:val="none" w:sz="0" w:space="0" w:color="auto"/>
      </w:divBdr>
    </w:div>
    <w:div w:id="1830290343">
      <w:bodyDiv w:val="1"/>
      <w:marLeft w:val="0"/>
      <w:marRight w:val="0"/>
      <w:marTop w:val="0"/>
      <w:marBottom w:val="0"/>
      <w:divBdr>
        <w:top w:val="none" w:sz="0" w:space="0" w:color="auto"/>
        <w:left w:val="none" w:sz="0" w:space="0" w:color="auto"/>
        <w:bottom w:val="none" w:sz="0" w:space="0" w:color="auto"/>
        <w:right w:val="none" w:sz="0" w:space="0" w:color="auto"/>
      </w:divBdr>
    </w:div>
    <w:div w:id="1830828003">
      <w:bodyDiv w:val="1"/>
      <w:marLeft w:val="0"/>
      <w:marRight w:val="0"/>
      <w:marTop w:val="0"/>
      <w:marBottom w:val="0"/>
      <w:divBdr>
        <w:top w:val="none" w:sz="0" w:space="0" w:color="auto"/>
        <w:left w:val="none" w:sz="0" w:space="0" w:color="auto"/>
        <w:bottom w:val="none" w:sz="0" w:space="0" w:color="auto"/>
        <w:right w:val="none" w:sz="0" w:space="0" w:color="auto"/>
      </w:divBdr>
    </w:div>
    <w:div w:id="1831554869">
      <w:bodyDiv w:val="1"/>
      <w:marLeft w:val="0"/>
      <w:marRight w:val="0"/>
      <w:marTop w:val="0"/>
      <w:marBottom w:val="0"/>
      <w:divBdr>
        <w:top w:val="none" w:sz="0" w:space="0" w:color="auto"/>
        <w:left w:val="none" w:sz="0" w:space="0" w:color="auto"/>
        <w:bottom w:val="none" w:sz="0" w:space="0" w:color="auto"/>
        <w:right w:val="none" w:sz="0" w:space="0" w:color="auto"/>
      </w:divBdr>
    </w:div>
    <w:div w:id="1831561513">
      <w:bodyDiv w:val="1"/>
      <w:marLeft w:val="0"/>
      <w:marRight w:val="0"/>
      <w:marTop w:val="0"/>
      <w:marBottom w:val="0"/>
      <w:divBdr>
        <w:top w:val="none" w:sz="0" w:space="0" w:color="auto"/>
        <w:left w:val="none" w:sz="0" w:space="0" w:color="auto"/>
        <w:bottom w:val="none" w:sz="0" w:space="0" w:color="auto"/>
        <w:right w:val="none" w:sz="0" w:space="0" w:color="auto"/>
      </w:divBdr>
    </w:div>
    <w:div w:id="1831797795">
      <w:bodyDiv w:val="1"/>
      <w:marLeft w:val="0"/>
      <w:marRight w:val="0"/>
      <w:marTop w:val="0"/>
      <w:marBottom w:val="0"/>
      <w:divBdr>
        <w:top w:val="none" w:sz="0" w:space="0" w:color="auto"/>
        <w:left w:val="none" w:sz="0" w:space="0" w:color="auto"/>
        <w:bottom w:val="none" w:sz="0" w:space="0" w:color="auto"/>
        <w:right w:val="none" w:sz="0" w:space="0" w:color="auto"/>
      </w:divBdr>
    </w:div>
    <w:div w:id="1832522784">
      <w:bodyDiv w:val="1"/>
      <w:marLeft w:val="0"/>
      <w:marRight w:val="0"/>
      <w:marTop w:val="0"/>
      <w:marBottom w:val="0"/>
      <w:divBdr>
        <w:top w:val="none" w:sz="0" w:space="0" w:color="auto"/>
        <w:left w:val="none" w:sz="0" w:space="0" w:color="auto"/>
        <w:bottom w:val="none" w:sz="0" w:space="0" w:color="auto"/>
        <w:right w:val="none" w:sz="0" w:space="0" w:color="auto"/>
      </w:divBdr>
    </w:div>
    <w:div w:id="1832601985">
      <w:bodyDiv w:val="1"/>
      <w:marLeft w:val="0"/>
      <w:marRight w:val="0"/>
      <w:marTop w:val="0"/>
      <w:marBottom w:val="0"/>
      <w:divBdr>
        <w:top w:val="none" w:sz="0" w:space="0" w:color="auto"/>
        <w:left w:val="none" w:sz="0" w:space="0" w:color="auto"/>
        <w:bottom w:val="none" w:sz="0" w:space="0" w:color="auto"/>
        <w:right w:val="none" w:sz="0" w:space="0" w:color="auto"/>
      </w:divBdr>
    </w:div>
    <w:div w:id="1832870514">
      <w:bodyDiv w:val="1"/>
      <w:marLeft w:val="0"/>
      <w:marRight w:val="0"/>
      <w:marTop w:val="0"/>
      <w:marBottom w:val="0"/>
      <w:divBdr>
        <w:top w:val="none" w:sz="0" w:space="0" w:color="auto"/>
        <w:left w:val="none" w:sz="0" w:space="0" w:color="auto"/>
        <w:bottom w:val="none" w:sz="0" w:space="0" w:color="auto"/>
        <w:right w:val="none" w:sz="0" w:space="0" w:color="auto"/>
      </w:divBdr>
    </w:div>
    <w:div w:id="1835366635">
      <w:bodyDiv w:val="1"/>
      <w:marLeft w:val="0"/>
      <w:marRight w:val="0"/>
      <w:marTop w:val="0"/>
      <w:marBottom w:val="0"/>
      <w:divBdr>
        <w:top w:val="none" w:sz="0" w:space="0" w:color="auto"/>
        <w:left w:val="none" w:sz="0" w:space="0" w:color="auto"/>
        <w:bottom w:val="none" w:sz="0" w:space="0" w:color="auto"/>
        <w:right w:val="none" w:sz="0" w:space="0" w:color="auto"/>
      </w:divBdr>
    </w:div>
    <w:div w:id="1836335063">
      <w:bodyDiv w:val="1"/>
      <w:marLeft w:val="0"/>
      <w:marRight w:val="0"/>
      <w:marTop w:val="0"/>
      <w:marBottom w:val="0"/>
      <w:divBdr>
        <w:top w:val="none" w:sz="0" w:space="0" w:color="auto"/>
        <w:left w:val="none" w:sz="0" w:space="0" w:color="auto"/>
        <w:bottom w:val="none" w:sz="0" w:space="0" w:color="auto"/>
        <w:right w:val="none" w:sz="0" w:space="0" w:color="auto"/>
      </w:divBdr>
    </w:div>
    <w:div w:id="1837845459">
      <w:bodyDiv w:val="1"/>
      <w:marLeft w:val="0"/>
      <w:marRight w:val="0"/>
      <w:marTop w:val="0"/>
      <w:marBottom w:val="0"/>
      <w:divBdr>
        <w:top w:val="none" w:sz="0" w:space="0" w:color="auto"/>
        <w:left w:val="none" w:sz="0" w:space="0" w:color="auto"/>
        <w:bottom w:val="none" w:sz="0" w:space="0" w:color="auto"/>
        <w:right w:val="none" w:sz="0" w:space="0" w:color="auto"/>
      </w:divBdr>
    </w:div>
    <w:div w:id="1838031887">
      <w:bodyDiv w:val="1"/>
      <w:marLeft w:val="0"/>
      <w:marRight w:val="0"/>
      <w:marTop w:val="0"/>
      <w:marBottom w:val="0"/>
      <w:divBdr>
        <w:top w:val="none" w:sz="0" w:space="0" w:color="auto"/>
        <w:left w:val="none" w:sz="0" w:space="0" w:color="auto"/>
        <w:bottom w:val="none" w:sz="0" w:space="0" w:color="auto"/>
        <w:right w:val="none" w:sz="0" w:space="0" w:color="auto"/>
      </w:divBdr>
    </w:div>
    <w:div w:id="1838228444">
      <w:bodyDiv w:val="1"/>
      <w:marLeft w:val="0"/>
      <w:marRight w:val="0"/>
      <w:marTop w:val="0"/>
      <w:marBottom w:val="0"/>
      <w:divBdr>
        <w:top w:val="none" w:sz="0" w:space="0" w:color="auto"/>
        <w:left w:val="none" w:sz="0" w:space="0" w:color="auto"/>
        <w:bottom w:val="none" w:sz="0" w:space="0" w:color="auto"/>
        <w:right w:val="none" w:sz="0" w:space="0" w:color="auto"/>
      </w:divBdr>
    </w:div>
    <w:div w:id="1838377919">
      <w:bodyDiv w:val="1"/>
      <w:marLeft w:val="0"/>
      <w:marRight w:val="0"/>
      <w:marTop w:val="0"/>
      <w:marBottom w:val="0"/>
      <w:divBdr>
        <w:top w:val="none" w:sz="0" w:space="0" w:color="auto"/>
        <w:left w:val="none" w:sz="0" w:space="0" w:color="auto"/>
        <w:bottom w:val="none" w:sz="0" w:space="0" w:color="auto"/>
        <w:right w:val="none" w:sz="0" w:space="0" w:color="auto"/>
      </w:divBdr>
    </w:div>
    <w:div w:id="1838691847">
      <w:bodyDiv w:val="1"/>
      <w:marLeft w:val="0"/>
      <w:marRight w:val="0"/>
      <w:marTop w:val="0"/>
      <w:marBottom w:val="0"/>
      <w:divBdr>
        <w:top w:val="none" w:sz="0" w:space="0" w:color="auto"/>
        <w:left w:val="none" w:sz="0" w:space="0" w:color="auto"/>
        <w:bottom w:val="none" w:sz="0" w:space="0" w:color="auto"/>
        <w:right w:val="none" w:sz="0" w:space="0" w:color="auto"/>
      </w:divBdr>
    </w:div>
    <w:div w:id="1839541519">
      <w:bodyDiv w:val="1"/>
      <w:marLeft w:val="0"/>
      <w:marRight w:val="0"/>
      <w:marTop w:val="0"/>
      <w:marBottom w:val="0"/>
      <w:divBdr>
        <w:top w:val="none" w:sz="0" w:space="0" w:color="auto"/>
        <w:left w:val="none" w:sz="0" w:space="0" w:color="auto"/>
        <w:bottom w:val="none" w:sz="0" w:space="0" w:color="auto"/>
        <w:right w:val="none" w:sz="0" w:space="0" w:color="auto"/>
      </w:divBdr>
    </w:div>
    <w:div w:id="1841458478">
      <w:bodyDiv w:val="1"/>
      <w:marLeft w:val="0"/>
      <w:marRight w:val="0"/>
      <w:marTop w:val="0"/>
      <w:marBottom w:val="0"/>
      <w:divBdr>
        <w:top w:val="none" w:sz="0" w:space="0" w:color="auto"/>
        <w:left w:val="none" w:sz="0" w:space="0" w:color="auto"/>
        <w:bottom w:val="none" w:sz="0" w:space="0" w:color="auto"/>
        <w:right w:val="none" w:sz="0" w:space="0" w:color="auto"/>
      </w:divBdr>
    </w:div>
    <w:div w:id="1842232775">
      <w:bodyDiv w:val="1"/>
      <w:marLeft w:val="0"/>
      <w:marRight w:val="0"/>
      <w:marTop w:val="0"/>
      <w:marBottom w:val="0"/>
      <w:divBdr>
        <w:top w:val="none" w:sz="0" w:space="0" w:color="auto"/>
        <w:left w:val="none" w:sz="0" w:space="0" w:color="auto"/>
        <w:bottom w:val="none" w:sz="0" w:space="0" w:color="auto"/>
        <w:right w:val="none" w:sz="0" w:space="0" w:color="auto"/>
      </w:divBdr>
    </w:div>
    <w:div w:id="1842506051">
      <w:bodyDiv w:val="1"/>
      <w:marLeft w:val="0"/>
      <w:marRight w:val="0"/>
      <w:marTop w:val="0"/>
      <w:marBottom w:val="0"/>
      <w:divBdr>
        <w:top w:val="none" w:sz="0" w:space="0" w:color="auto"/>
        <w:left w:val="none" w:sz="0" w:space="0" w:color="auto"/>
        <w:bottom w:val="none" w:sz="0" w:space="0" w:color="auto"/>
        <w:right w:val="none" w:sz="0" w:space="0" w:color="auto"/>
      </w:divBdr>
    </w:div>
    <w:div w:id="1842550337">
      <w:bodyDiv w:val="1"/>
      <w:marLeft w:val="0"/>
      <w:marRight w:val="0"/>
      <w:marTop w:val="0"/>
      <w:marBottom w:val="0"/>
      <w:divBdr>
        <w:top w:val="none" w:sz="0" w:space="0" w:color="auto"/>
        <w:left w:val="none" w:sz="0" w:space="0" w:color="auto"/>
        <w:bottom w:val="none" w:sz="0" w:space="0" w:color="auto"/>
        <w:right w:val="none" w:sz="0" w:space="0" w:color="auto"/>
      </w:divBdr>
    </w:div>
    <w:div w:id="1842742493">
      <w:bodyDiv w:val="1"/>
      <w:marLeft w:val="0"/>
      <w:marRight w:val="0"/>
      <w:marTop w:val="0"/>
      <w:marBottom w:val="0"/>
      <w:divBdr>
        <w:top w:val="none" w:sz="0" w:space="0" w:color="auto"/>
        <w:left w:val="none" w:sz="0" w:space="0" w:color="auto"/>
        <w:bottom w:val="none" w:sz="0" w:space="0" w:color="auto"/>
        <w:right w:val="none" w:sz="0" w:space="0" w:color="auto"/>
      </w:divBdr>
    </w:div>
    <w:div w:id="1843083154">
      <w:bodyDiv w:val="1"/>
      <w:marLeft w:val="0"/>
      <w:marRight w:val="0"/>
      <w:marTop w:val="0"/>
      <w:marBottom w:val="0"/>
      <w:divBdr>
        <w:top w:val="none" w:sz="0" w:space="0" w:color="auto"/>
        <w:left w:val="none" w:sz="0" w:space="0" w:color="auto"/>
        <w:bottom w:val="none" w:sz="0" w:space="0" w:color="auto"/>
        <w:right w:val="none" w:sz="0" w:space="0" w:color="auto"/>
      </w:divBdr>
    </w:div>
    <w:div w:id="1843204229">
      <w:bodyDiv w:val="1"/>
      <w:marLeft w:val="0"/>
      <w:marRight w:val="0"/>
      <w:marTop w:val="0"/>
      <w:marBottom w:val="0"/>
      <w:divBdr>
        <w:top w:val="none" w:sz="0" w:space="0" w:color="auto"/>
        <w:left w:val="none" w:sz="0" w:space="0" w:color="auto"/>
        <w:bottom w:val="none" w:sz="0" w:space="0" w:color="auto"/>
        <w:right w:val="none" w:sz="0" w:space="0" w:color="auto"/>
      </w:divBdr>
    </w:div>
    <w:div w:id="1843470946">
      <w:bodyDiv w:val="1"/>
      <w:marLeft w:val="0"/>
      <w:marRight w:val="0"/>
      <w:marTop w:val="0"/>
      <w:marBottom w:val="0"/>
      <w:divBdr>
        <w:top w:val="none" w:sz="0" w:space="0" w:color="auto"/>
        <w:left w:val="none" w:sz="0" w:space="0" w:color="auto"/>
        <w:bottom w:val="none" w:sz="0" w:space="0" w:color="auto"/>
        <w:right w:val="none" w:sz="0" w:space="0" w:color="auto"/>
      </w:divBdr>
    </w:div>
    <w:div w:id="1843540863">
      <w:bodyDiv w:val="1"/>
      <w:marLeft w:val="0"/>
      <w:marRight w:val="0"/>
      <w:marTop w:val="0"/>
      <w:marBottom w:val="0"/>
      <w:divBdr>
        <w:top w:val="none" w:sz="0" w:space="0" w:color="auto"/>
        <w:left w:val="none" w:sz="0" w:space="0" w:color="auto"/>
        <w:bottom w:val="none" w:sz="0" w:space="0" w:color="auto"/>
        <w:right w:val="none" w:sz="0" w:space="0" w:color="auto"/>
      </w:divBdr>
    </w:div>
    <w:div w:id="1843816394">
      <w:bodyDiv w:val="1"/>
      <w:marLeft w:val="0"/>
      <w:marRight w:val="0"/>
      <w:marTop w:val="0"/>
      <w:marBottom w:val="0"/>
      <w:divBdr>
        <w:top w:val="none" w:sz="0" w:space="0" w:color="auto"/>
        <w:left w:val="none" w:sz="0" w:space="0" w:color="auto"/>
        <w:bottom w:val="none" w:sz="0" w:space="0" w:color="auto"/>
        <w:right w:val="none" w:sz="0" w:space="0" w:color="auto"/>
      </w:divBdr>
    </w:div>
    <w:div w:id="1844006170">
      <w:bodyDiv w:val="1"/>
      <w:marLeft w:val="0"/>
      <w:marRight w:val="0"/>
      <w:marTop w:val="0"/>
      <w:marBottom w:val="0"/>
      <w:divBdr>
        <w:top w:val="none" w:sz="0" w:space="0" w:color="auto"/>
        <w:left w:val="none" w:sz="0" w:space="0" w:color="auto"/>
        <w:bottom w:val="none" w:sz="0" w:space="0" w:color="auto"/>
        <w:right w:val="none" w:sz="0" w:space="0" w:color="auto"/>
      </w:divBdr>
    </w:div>
    <w:div w:id="1844052218">
      <w:bodyDiv w:val="1"/>
      <w:marLeft w:val="0"/>
      <w:marRight w:val="0"/>
      <w:marTop w:val="0"/>
      <w:marBottom w:val="0"/>
      <w:divBdr>
        <w:top w:val="none" w:sz="0" w:space="0" w:color="auto"/>
        <w:left w:val="none" w:sz="0" w:space="0" w:color="auto"/>
        <w:bottom w:val="none" w:sz="0" w:space="0" w:color="auto"/>
        <w:right w:val="none" w:sz="0" w:space="0" w:color="auto"/>
      </w:divBdr>
      <w:divsChild>
        <w:div w:id="1830975788">
          <w:marLeft w:val="0"/>
          <w:marRight w:val="0"/>
          <w:marTop w:val="0"/>
          <w:marBottom w:val="0"/>
          <w:divBdr>
            <w:top w:val="none" w:sz="0" w:space="0" w:color="auto"/>
            <w:left w:val="none" w:sz="0" w:space="0" w:color="auto"/>
            <w:bottom w:val="none" w:sz="0" w:space="0" w:color="auto"/>
            <w:right w:val="none" w:sz="0" w:space="0" w:color="auto"/>
          </w:divBdr>
        </w:div>
        <w:div w:id="902251991">
          <w:marLeft w:val="0"/>
          <w:marRight w:val="0"/>
          <w:marTop w:val="0"/>
          <w:marBottom w:val="0"/>
          <w:divBdr>
            <w:top w:val="none" w:sz="0" w:space="0" w:color="auto"/>
            <w:left w:val="none" w:sz="0" w:space="0" w:color="auto"/>
            <w:bottom w:val="none" w:sz="0" w:space="0" w:color="auto"/>
            <w:right w:val="none" w:sz="0" w:space="0" w:color="auto"/>
          </w:divBdr>
        </w:div>
      </w:divsChild>
    </w:div>
    <w:div w:id="1844317902">
      <w:bodyDiv w:val="1"/>
      <w:marLeft w:val="0"/>
      <w:marRight w:val="0"/>
      <w:marTop w:val="0"/>
      <w:marBottom w:val="0"/>
      <w:divBdr>
        <w:top w:val="none" w:sz="0" w:space="0" w:color="auto"/>
        <w:left w:val="none" w:sz="0" w:space="0" w:color="auto"/>
        <w:bottom w:val="none" w:sz="0" w:space="0" w:color="auto"/>
        <w:right w:val="none" w:sz="0" w:space="0" w:color="auto"/>
      </w:divBdr>
    </w:div>
    <w:div w:id="1844516744">
      <w:bodyDiv w:val="1"/>
      <w:marLeft w:val="0"/>
      <w:marRight w:val="0"/>
      <w:marTop w:val="0"/>
      <w:marBottom w:val="0"/>
      <w:divBdr>
        <w:top w:val="none" w:sz="0" w:space="0" w:color="auto"/>
        <w:left w:val="none" w:sz="0" w:space="0" w:color="auto"/>
        <w:bottom w:val="none" w:sz="0" w:space="0" w:color="auto"/>
        <w:right w:val="none" w:sz="0" w:space="0" w:color="auto"/>
      </w:divBdr>
    </w:div>
    <w:div w:id="1845050903">
      <w:bodyDiv w:val="1"/>
      <w:marLeft w:val="0"/>
      <w:marRight w:val="0"/>
      <w:marTop w:val="0"/>
      <w:marBottom w:val="0"/>
      <w:divBdr>
        <w:top w:val="none" w:sz="0" w:space="0" w:color="auto"/>
        <w:left w:val="none" w:sz="0" w:space="0" w:color="auto"/>
        <w:bottom w:val="none" w:sz="0" w:space="0" w:color="auto"/>
        <w:right w:val="none" w:sz="0" w:space="0" w:color="auto"/>
      </w:divBdr>
    </w:div>
    <w:div w:id="1847283226">
      <w:bodyDiv w:val="1"/>
      <w:marLeft w:val="0"/>
      <w:marRight w:val="0"/>
      <w:marTop w:val="0"/>
      <w:marBottom w:val="0"/>
      <w:divBdr>
        <w:top w:val="none" w:sz="0" w:space="0" w:color="auto"/>
        <w:left w:val="none" w:sz="0" w:space="0" w:color="auto"/>
        <w:bottom w:val="none" w:sz="0" w:space="0" w:color="auto"/>
        <w:right w:val="none" w:sz="0" w:space="0" w:color="auto"/>
      </w:divBdr>
    </w:div>
    <w:div w:id="1847283777">
      <w:bodyDiv w:val="1"/>
      <w:marLeft w:val="0"/>
      <w:marRight w:val="0"/>
      <w:marTop w:val="0"/>
      <w:marBottom w:val="0"/>
      <w:divBdr>
        <w:top w:val="none" w:sz="0" w:space="0" w:color="auto"/>
        <w:left w:val="none" w:sz="0" w:space="0" w:color="auto"/>
        <w:bottom w:val="none" w:sz="0" w:space="0" w:color="auto"/>
        <w:right w:val="none" w:sz="0" w:space="0" w:color="auto"/>
      </w:divBdr>
    </w:div>
    <w:div w:id="1847591797">
      <w:bodyDiv w:val="1"/>
      <w:marLeft w:val="0"/>
      <w:marRight w:val="0"/>
      <w:marTop w:val="0"/>
      <w:marBottom w:val="0"/>
      <w:divBdr>
        <w:top w:val="none" w:sz="0" w:space="0" w:color="auto"/>
        <w:left w:val="none" w:sz="0" w:space="0" w:color="auto"/>
        <w:bottom w:val="none" w:sz="0" w:space="0" w:color="auto"/>
        <w:right w:val="none" w:sz="0" w:space="0" w:color="auto"/>
      </w:divBdr>
    </w:div>
    <w:div w:id="1848326132">
      <w:bodyDiv w:val="1"/>
      <w:marLeft w:val="0"/>
      <w:marRight w:val="0"/>
      <w:marTop w:val="0"/>
      <w:marBottom w:val="0"/>
      <w:divBdr>
        <w:top w:val="none" w:sz="0" w:space="0" w:color="auto"/>
        <w:left w:val="none" w:sz="0" w:space="0" w:color="auto"/>
        <w:bottom w:val="none" w:sz="0" w:space="0" w:color="auto"/>
        <w:right w:val="none" w:sz="0" w:space="0" w:color="auto"/>
      </w:divBdr>
    </w:div>
    <w:div w:id="1849324455">
      <w:bodyDiv w:val="1"/>
      <w:marLeft w:val="0"/>
      <w:marRight w:val="0"/>
      <w:marTop w:val="0"/>
      <w:marBottom w:val="0"/>
      <w:divBdr>
        <w:top w:val="none" w:sz="0" w:space="0" w:color="auto"/>
        <w:left w:val="none" w:sz="0" w:space="0" w:color="auto"/>
        <w:bottom w:val="none" w:sz="0" w:space="0" w:color="auto"/>
        <w:right w:val="none" w:sz="0" w:space="0" w:color="auto"/>
      </w:divBdr>
    </w:div>
    <w:div w:id="1849634374">
      <w:bodyDiv w:val="1"/>
      <w:marLeft w:val="0"/>
      <w:marRight w:val="0"/>
      <w:marTop w:val="0"/>
      <w:marBottom w:val="0"/>
      <w:divBdr>
        <w:top w:val="none" w:sz="0" w:space="0" w:color="auto"/>
        <w:left w:val="none" w:sz="0" w:space="0" w:color="auto"/>
        <w:bottom w:val="none" w:sz="0" w:space="0" w:color="auto"/>
        <w:right w:val="none" w:sz="0" w:space="0" w:color="auto"/>
      </w:divBdr>
    </w:div>
    <w:div w:id="1849826275">
      <w:bodyDiv w:val="1"/>
      <w:marLeft w:val="0"/>
      <w:marRight w:val="0"/>
      <w:marTop w:val="0"/>
      <w:marBottom w:val="0"/>
      <w:divBdr>
        <w:top w:val="none" w:sz="0" w:space="0" w:color="auto"/>
        <w:left w:val="none" w:sz="0" w:space="0" w:color="auto"/>
        <w:bottom w:val="none" w:sz="0" w:space="0" w:color="auto"/>
        <w:right w:val="none" w:sz="0" w:space="0" w:color="auto"/>
      </w:divBdr>
    </w:div>
    <w:div w:id="1850217540">
      <w:bodyDiv w:val="1"/>
      <w:marLeft w:val="0"/>
      <w:marRight w:val="0"/>
      <w:marTop w:val="0"/>
      <w:marBottom w:val="0"/>
      <w:divBdr>
        <w:top w:val="none" w:sz="0" w:space="0" w:color="auto"/>
        <w:left w:val="none" w:sz="0" w:space="0" w:color="auto"/>
        <w:bottom w:val="none" w:sz="0" w:space="0" w:color="auto"/>
        <w:right w:val="none" w:sz="0" w:space="0" w:color="auto"/>
      </w:divBdr>
    </w:div>
    <w:div w:id="1850947227">
      <w:bodyDiv w:val="1"/>
      <w:marLeft w:val="0"/>
      <w:marRight w:val="0"/>
      <w:marTop w:val="0"/>
      <w:marBottom w:val="0"/>
      <w:divBdr>
        <w:top w:val="none" w:sz="0" w:space="0" w:color="auto"/>
        <w:left w:val="none" w:sz="0" w:space="0" w:color="auto"/>
        <w:bottom w:val="none" w:sz="0" w:space="0" w:color="auto"/>
        <w:right w:val="none" w:sz="0" w:space="0" w:color="auto"/>
      </w:divBdr>
    </w:div>
    <w:div w:id="1851487905">
      <w:bodyDiv w:val="1"/>
      <w:marLeft w:val="0"/>
      <w:marRight w:val="0"/>
      <w:marTop w:val="0"/>
      <w:marBottom w:val="0"/>
      <w:divBdr>
        <w:top w:val="none" w:sz="0" w:space="0" w:color="auto"/>
        <w:left w:val="none" w:sz="0" w:space="0" w:color="auto"/>
        <w:bottom w:val="none" w:sz="0" w:space="0" w:color="auto"/>
        <w:right w:val="none" w:sz="0" w:space="0" w:color="auto"/>
      </w:divBdr>
    </w:div>
    <w:div w:id="1851869324">
      <w:bodyDiv w:val="1"/>
      <w:marLeft w:val="0"/>
      <w:marRight w:val="0"/>
      <w:marTop w:val="0"/>
      <w:marBottom w:val="0"/>
      <w:divBdr>
        <w:top w:val="none" w:sz="0" w:space="0" w:color="auto"/>
        <w:left w:val="none" w:sz="0" w:space="0" w:color="auto"/>
        <w:bottom w:val="none" w:sz="0" w:space="0" w:color="auto"/>
        <w:right w:val="none" w:sz="0" w:space="0" w:color="auto"/>
      </w:divBdr>
    </w:div>
    <w:div w:id="1851870927">
      <w:bodyDiv w:val="1"/>
      <w:marLeft w:val="0"/>
      <w:marRight w:val="0"/>
      <w:marTop w:val="0"/>
      <w:marBottom w:val="0"/>
      <w:divBdr>
        <w:top w:val="none" w:sz="0" w:space="0" w:color="auto"/>
        <w:left w:val="none" w:sz="0" w:space="0" w:color="auto"/>
        <w:bottom w:val="none" w:sz="0" w:space="0" w:color="auto"/>
        <w:right w:val="none" w:sz="0" w:space="0" w:color="auto"/>
      </w:divBdr>
    </w:div>
    <w:div w:id="1851993063">
      <w:bodyDiv w:val="1"/>
      <w:marLeft w:val="0"/>
      <w:marRight w:val="0"/>
      <w:marTop w:val="0"/>
      <w:marBottom w:val="0"/>
      <w:divBdr>
        <w:top w:val="none" w:sz="0" w:space="0" w:color="auto"/>
        <w:left w:val="none" w:sz="0" w:space="0" w:color="auto"/>
        <w:bottom w:val="none" w:sz="0" w:space="0" w:color="auto"/>
        <w:right w:val="none" w:sz="0" w:space="0" w:color="auto"/>
      </w:divBdr>
    </w:div>
    <w:div w:id="1852525594">
      <w:bodyDiv w:val="1"/>
      <w:marLeft w:val="0"/>
      <w:marRight w:val="0"/>
      <w:marTop w:val="0"/>
      <w:marBottom w:val="0"/>
      <w:divBdr>
        <w:top w:val="none" w:sz="0" w:space="0" w:color="auto"/>
        <w:left w:val="none" w:sz="0" w:space="0" w:color="auto"/>
        <w:bottom w:val="none" w:sz="0" w:space="0" w:color="auto"/>
        <w:right w:val="none" w:sz="0" w:space="0" w:color="auto"/>
      </w:divBdr>
    </w:div>
    <w:div w:id="1854494015">
      <w:bodyDiv w:val="1"/>
      <w:marLeft w:val="0"/>
      <w:marRight w:val="0"/>
      <w:marTop w:val="0"/>
      <w:marBottom w:val="0"/>
      <w:divBdr>
        <w:top w:val="none" w:sz="0" w:space="0" w:color="auto"/>
        <w:left w:val="none" w:sz="0" w:space="0" w:color="auto"/>
        <w:bottom w:val="none" w:sz="0" w:space="0" w:color="auto"/>
        <w:right w:val="none" w:sz="0" w:space="0" w:color="auto"/>
      </w:divBdr>
    </w:div>
    <w:div w:id="1855335967">
      <w:bodyDiv w:val="1"/>
      <w:marLeft w:val="0"/>
      <w:marRight w:val="0"/>
      <w:marTop w:val="0"/>
      <w:marBottom w:val="0"/>
      <w:divBdr>
        <w:top w:val="none" w:sz="0" w:space="0" w:color="auto"/>
        <w:left w:val="none" w:sz="0" w:space="0" w:color="auto"/>
        <w:bottom w:val="none" w:sz="0" w:space="0" w:color="auto"/>
        <w:right w:val="none" w:sz="0" w:space="0" w:color="auto"/>
      </w:divBdr>
    </w:div>
    <w:div w:id="1855340666">
      <w:bodyDiv w:val="1"/>
      <w:marLeft w:val="0"/>
      <w:marRight w:val="0"/>
      <w:marTop w:val="0"/>
      <w:marBottom w:val="0"/>
      <w:divBdr>
        <w:top w:val="none" w:sz="0" w:space="0" w:color="auto"/>
        <w:left w:val="none" w:sz="0" w:space="0" w:color="auto"/>
        <w:bottom w:val="none" w:sz="0" w:space="0" w:color="auto"/>
        <w:right w:val="none" w:sz="0" w:space="0" w:color="auto"/>
      </w:divBdr>
    </w:div>
    <w:div w:id="1856117134">
      <w:bodyDiv w:val="1"/>
      <w:marLeft w:val="0"/>
      <w:marRight w:val="0"/>
      <w:marTop w:val="0"/>
      <w:marBottom w:val="0"/>
      <w:divBdr>
        <w:top w:val="none" w:sz="0" w:space="0" w:color="auto"/>
        <w:left w:val="none" w:sz="0" w:space="0" w:color="auto"/>
        <w:bottom w:val="none" w:sz="0" w:space="0" w:color="auto"/>
        <w:right w:val="none" w:sz="0" w:space="0" w:color="auto"/>
      </w:divBdr>
    </w:div>
    <w:div w:id="1858107600">
      <w:bodyDiv w:val="1"/>
      <w:marLeft w:val="0"/>
      <w:marRight w:val="0"/>
      <w:marTop w:val="0"/>
      <w:marBottom w:val="0"/>
      <w:divBdr>
        <w:top w:val="none" w:sz="0" w:space="0" w:color="auto"/>
        <w:left w:val="none" w:sz="0" w:space="0" w:color="auto"/>
        <w:bottom w:val="none" w:sz="0" w:space="0" w:color="auto"/>
        <w:right w:val="none" w:sz="0" w:space="0" w:color="auto"/>
      </w:divBdr>
    </w:div>
    <w:div w:id="1859613475">
      <w:bodyDiv w:val="1"/>
      <w:marLeft w:val="0"/>
      <w:marRight w:val="0"/>
      <w:marTop w:val="0"/>
      <w:marBottom w:val="0"/>
      <w:divBdr>
        <w:top w:val="none" w:sz="0" w:space="0" w:color="auto"/>
        <w:left w:val="none" w:sz="0" w:space="0" w:color="auto"/>
        <w:bottom w:val="none" w:sz="0" w:space="0" w:color="auto"/>
        <w:right w:val="none" w:sz="0" w:space="0" w:color="auto"/>
      </w:divBdr>
    </w:div>
    <w:div w:id="1859736232">
      <w:bodyDiv w:val="1"/>
      <w:marLeft w:val="0"/>
      <w:marRight w:val="0"/>
      <w:marTop w:val="0"/>
      <w:marBottom w:val="0"/>
      <w:divBdr>
        <w:top w:val="none" w:sz="0" w:space="0" w:color="auto"/>
        <w:left w:val="none" w:sz="0" w:space="0" w:color="auto"/>
        <w:bottom w:val="none" w:sz="0" w:space="0" w:color="auto"/>
        <w:right w:val="none" w:sz="0" w:space="0" w:color="auto"/>
      </w:divBdr>
    </w:div>
    <w:div w:id="1861359676">
      <w:bodyDiv w:val="1"/>
      <w:marLeft w:val="0"/>
      <w:marRight w:val="0"/>
      <w:marTop w:val="0"/>
      <w:marBottom w:val="0"/>
      <w:divBdr>
        <w:top w:val="none" w:sz="0" w:space="0" w:color="auto"/>
        <w:left w:val="none" w:sz="0" w:space="0" w:color="auto"/>
        <w:bottom w:val="none" w:sz="0" w:space="0" w:color="auto"/>
        <w:right w:val="none" w:sz="0" w:space="0" w:color="auto"/>
      </w:divBdr>
    </w:div>
    <w:div w:id="1861502525">
      <w:bodyDiv w:val="1"/>
      <w:marLeft w:val="0"/>
      <w:marRight w:val="0"/>
      <w:marTop w:val="0"/>
      <w:marBottom w:val="0"/>
      <w:divBdr>
        <w:top w:val="none" w:sz="0" w:space="0" w:color="auto"/>
        <w:left w:val="none" w:sz="0" w:space="0" w:color="auto"/>
        <w:bottom w:val="none" w:sz="0" w:space="0" w:color="auto"/>
        <w:right w:val="none" w:sz="0" w:space="0" w:color="auto"/>
      </w:divBdr>
      <w:divsChild>
        <w:div w:id="238642575">
          <w:marLeft w:val="0"/>
          <w:marRight w:val="0"/>
          <w:marTop w:val="0"/>
          <w:marBottom w:val="0"/>
          <w:divBdr>
            <w:top w:val="none" w:sz="0" w:space="0" w:color="auto"/>
            <w:left w:val="none" w:sz="0" w:space="0" w:color="auto"/>
            <w:bottom w:val="none" w:sz="0" w:space="0" w:color="auto"/>
            <w:right w:val="none" w:sz="0" w:space="0" w:color="auto"/>
          </w:divBdr>
        </w:div>
        <w:div w:id="1060516489">
          <w:marLeft w:val="0"/>
          <w:marRight w:val="0"/>
          <w:marTop w:val="0"/>
          <w:marBottom w:val="0"/>
          <w:divBdr>
            <w:top w:val="none" w:sz="0" w:space="0" w:color="auto"/>
            <w:left w:val="none" w:sz="0" w:space="0" w:color="auto"/>
            <w:bottom w:val="none" w:sz="0" w:space="0" w:color="auto"/>
            <w:right w:val="none" w:sz="0" w:space="0" w:color="auto"/>
          </w:divBdr>
        </w:div>
        <w:div w:id="1103068675">
          <w:marLeft w:val="0"/>
          <w:marRight w:val="0"/>
          <w:marTop w:val="0"/>
          <w:marBottom w:val="0"/>
          <w:divBdr>
            <w:top w:val="none" w:sz="0" w:space="0" w:color="auto"/>
            <w:left w:val="none" w:sz="0" w:space="0" w:color="auto"/>
            <w:bottom w:val="none" w:sz="0" w:space="0" w:color="auto"/>
            <w:right w:val="none" w:sz="0" w:space="0" w:color="auto"/>
          </w:divBdr>
        </w:div>
      </w:divsChild>
    </w:div>
    <w:div w:id="1862237829">
      <w:bodyDiv w:val="1"/>
      <w:marLeft w:val="0"/>
      <w:marRight w:val="0"/>
      <w:marTop w:val="0"/>
      <w:marBottom w:val="0"/>
      <w:divBdr>
        <w:top w:val="none" w:sz="0" w:space="0" w:color="auto"/>
        <w:left w:val="none" w:sz="0" w:space="0" w:color="auto"/>
        <w:bottom w:val="none" w:sz="0" w:space="0" w:color="auto"/>
        <w:right w:val="none" w:sz="0" w:space="0" w:color="auto"/>
      </w:divBdr>
    </w:div>
    <w:div w:id="1863323551">
      <w:bodyDiv w:val="1"/>
      <w:marLeft w:val="0"/>
      <w:marRight w:val="0"/>
      <w:marTop w:val="0"/>
      <w:marBottom w:val="0"/>
      <w:divBdr>
        <w:top w:val="none" w:sz="0" w:space="0" w:color="auto"/>
        <w:left w:val="none" w:sz="0" w:space="0" w:color="auto"/>
        <w:bottom w:val="none" w:sz="0" w:space="0" w:color="auto"/>
        <w:right w:val="none" w:sz="0" w:space="0" w:color="auto"/>
      </w:divBdr>
    </w:div>
    <w:div w:id="1865702001">
      <w:bodyDiv w:val="1"/>
      <w:marLeft w:val="0"/>
      <w:marRight w:val="0"/>
      <w:marTop w:val="0"/>
      <w:marBottom w:val="0"/>
      <w:divBdr>
        <w:top w:val="none" w:sz="0" w:space="0" w:color="auto"/>
        <w:left w:val="none" w:sz="0" w:space="0" w:color="auto"/>
        <w:bottom w:val="none" w:sz="0" w:space="0" w:color="auto"/>
        <w:right w:val="none" w:sz="0" w:space="0" w:color="auto"/>
      </w:divBdr>
    </w:div>
    <w:div w:id="1866166627">
      <w:bodyDiv w:val="1"/>
      <w:marLeft w:val="0"/>
      <w:marRight w:val="0"/>
      <w:marTop w:val="0"/>
      <w:marBottom w:val="0"/>
      <w:divBdr>
        <w:top w:val="none" w:sz="0" w:space="0" w:color="auto"/>
        <w:left w:val="none" w:sz="0" w:space="0" w:color="auto"/>
        <w:bottom w:val="none" w:sz="0" w:space="0" w:color="auto"/>
        <w:right w:val="none" w:sz="0" w:space="0" w:color="auto"/>
      </w:divBdr>
    </w:div>
    <w:div w:id="1866825469">
      <w:bodyDiv w:val="1"/>
      <w:marLeft w:val="0"/>
      <w:marRight w:val="0"/>
      <w:marTop w:val="0"/>
      <w:marBottom w:val="0"/>
      <w:divBdr>
        <w:top w:val="none" w:sz="0" w:space="0" w:color="auto"/>
        <w:left w:val="none" w:sz="0" w:space="0" w:color="auto"/>
        <w:bottom w:val="none" w:sz="0" w:space="0" w:color="auto"/>
        <w:right w:val="none" w:sz="0" w:space="0" w:color="auto"/>
      </w:divBdr>
    </w:div>
    <w:div w:id="1867283815">
      <w:bodyDiv w:val="1"/>
      <w:marLeft w:val="0"/>
      <w:marRight w:val="0"/>
      <w:marTop w:val="0"/>
      <w:marBottom w:val="0"/>
      <w:divBdr>
        <w:top w:val="none" w:sz="0" w:space="0" w:color="auto"/>
        <w:left w:val="none" w:sz="0" w:space="0" w:color="auto"/>
        <w:bottom w:val="none" w:sz="0" w:space="0" w:color="auto"/>
        <w:right w:val="none" w:sz="0" w:space="0" w:color="auto"/>
      </w:divBdr>
    </w:div>
    <w:div w:id="1871067400">
      <w:bodyDiv w:val="1"/>
      <w:marLeft w:val="0"/>
      <w:marRight w:val="0"/>
      <w:marTop w:val="0"/>
      <w:marBottom w:val="0"/>
      <w:divBdr>
        <w:top w:val="none" w:sz="0" w:space="0" w:color="auto"/>
        <w:left w:val="none" w:sz="0" w:space="0" w:color="auto"/>
        <w:bottom w:val="none" w:sz="0" w:space="0" w:color="auto"/>
        <w:right w:val="none" w:sz="0" w:space="0" w:color="auto"/>
      </w:divBdr>
    </w:div>
    <w:div w:id="1871264422">
      <w:bodyDiv w:val="1"/>
      <w:marLeft w:val="0"/>
      <w:marRight w:val="0"/>
      <w:marTop w:val="0"/>
      <w:marBottom w:val="0"/>
      <w:divBdr>
        <w:top w:val="none" w:sz="0" w:space="0" w:color="auto"/>
        <w:left w:val="none" w:sz="0" w:space="0" w:color="auto"/>
        <w:bottom w:val="none" w:sz="0" w:space="0" w:color="auto"/>
        <w:right w:val="none" w:sz="0" w:space="0" w:color="auto"/>
      </w:divBdr>
    </w:div>
    <w:div w:id="1871606759">
      <w:bodyDiv w:val="1"/>
      <w:marLeft w:val="0"/>
      <w:marRight w:val="0"/>
      <w:marTop w:val="0"/>
      <w:marBottom w:val="0"/>
      <w:divBdr>
        <w:top w:val="none" w:sz="0" w:space="0" w:color="auto"/>
        <w:left w:val="none" w:sz="0" w:space="0" w:color="auto"/>
        <w:bottom w:val="none" w:sz="0" w:space="0" w:color="auto"/>
        <w:right w:val="none" w:sz="0" w:space="0" w:color="auto"/>
      </w:divBdr>
    </w:div>
    <w:div w:id="1873612474">
      <w:bodyDiv w:val="1"/>
      <w:marLeft w:val="0"/>
      <w:marRight w:val="0"/>
      <w:marTop w:val="0"/>
      <w:marBottom w:val="0"/>
      <w:divBdr>
        <w:top w:val="none" w:sz="0" w:space="0" w:color="auto"/>
        <w:left w:val="none" w:sz="0" w:space="0" w:color="auto"/>
        <w:bottom w:val="none" w:sz="0" w:space="0" w:color="auto"/>
        <w:right w:val="none" w:sz="0" w:space="0" w:color="auto"/>
      </w:divBdr>
    </w:div>
    <w:div w:id="1873954258">
      <w:bodyDiv w:val="1"/>
      <w:marLeft w:val="0"/>
      <w:marRight w:val="0"/>
      <w:marTop w:val="0"/>
      <w:marBottom w:val="0"/>
      <w:divBdr>
        <w:top w:val="none" w:sz="0" w:space="0" w:color="auto"/>
        <w:left w:val="none" w:sz="0" w:space="0" w:color="auto"/>
        <w:bottom w:val="none" w:sz="0" w:space="0" w:color="auto"/>
        <w:right w:val="none" w:sz="0" w:space="0" w:color="auto"/>
      </w:divBdr>
    </w:div>
    <w:div w:id="1874271893">
      <w:bodyDiv w:val="1"/>
      <w:marLeft w:val="0"/>
      <w:marRight w:val="0"/>
      <w:marTop w:val="0"/>
      <w:marBottom w:val="0"/>
      <w:divBdr>
        <w:top w:val="none" w:sz="0" w:space="0" w:color="auto"/>
        <w:left w:val="none" w:sz="0" w:space="0" w:color="auto"/>
        <w:bottom w:val="none" w:sz="0" w:space="0" w:color="auto"/>
        <w:right w:val="none" w:sz="0" w:space="0" w:color="auto"/>
      </w:divBdr>
    </w:div>
    <w:div w:id="1874951352">
      <w:bodyDiv w:val="1"/>
      <w:marLeft w:val="0"/>
      <w:marRight w:val="0"/>
      <w:marTop w:val="0"/>
      <w:marBottom w:val="0"/>
      <w:divBdr>
        <w:top w:val="none" w:sz="0" w:space="0" w:color="auto"/>
        <w:left w:val="none" w:sz="0" w:space="0" w:color="auto"/>
        <w:bottom w:val="none" w:sz="0" w:space="0" w:color="auto"/>
        <w:right w:val="none" w:sz="0" w:space="0" w:color="auto"/>
      </w:divBdr>
    </w:div>
    <w:div w:id="1875388186">
      <w:bodyDiv w:val="1"/>
      <w:marLeft w:val="0"/>
      <w:marRight w:val="0"/>
      <w:marTop w:val="0"/>
      <w:marBottom w:val="0"/>
      <w:divBdr>
        <w:top w:val="none" w:sz="0" w:space="0" w:color="auto"/>
        <w:left w:val="none" w:sz="0" w:space="0" w:color="auto"/>
        <w:bottom w:val="none" w:sz="0" w:space="0" w:color="auto"/>
        <w:right w:val="none" w:sz="0" w:space="0" w:color="auto"/>
      </w:divBdr>
    </w:div>
    <w:div w:id="1875731619">
      <w:bodyDiv w:val="1"/>
      <w:marLeft w:val="0"/>
      <w:marRight w:val="0"/>
      <w:marTop w:val="0"/>
      <w:marBottom w:val="0"/>
      <w:divBdr>
        <w:top w:val="none" w:sz="0" w:space="0" w:color="auto"/>
        <w:left w:val="none" w:sz="0" w:space="0" w:color="auto"/>
        <w:bottom w:val="none" w:sz="0" w:space="0" w:color="auto"/>
        <w:right w:val="none" w:sz="0" w:space="0" w:color="auto"/>
      </w:divBdr>
    </w:div>
    <w:div w:id="1876043841">
      <w:bodyDiv w:val="1"/>
      <w:marLeft w:val="0"/>
      <w:marRight w:val="0"/>
      <w:marTop w:val="0"/>
      <w:marBottom w:val="0"/>
      <w:divBdr>
        <w:top w:val="none" w:sz="0" w:space="0" w:color="auto"/>
        <w:left w:val="none" w:sz="0" w:space="0" w:color="auto"/>
        <w:bottom w:val="none" w:sz="0" w:space="0" w:color="auto"/>
        <w:right w:val="none" w:sz="0" w:space="0" w:color="auto"/>
      </w:divBdr>
    </w:div>
    <w:div w:id="1876044375">
      <w:bodyDiv w:val="1"/>
      <w:marLeft w:val="0"/>
      <w:marRight w:val="0"/>
      <w:marTop w:val="0"/>
      <w:marBottom w:val="0"/>
      <w:divBdr>
        <w:top w:val="none" w:sz="0" w:space="0" w:color="auto"/>
        <w:left w:val="none" w:sz="0" w:space="0" w:color="auto"/>
        <w:bottom w:val="none" w:sz="0" w:space="0" w:color="auto"/>
        <w:right w:val="none" w:sz="0" w:space="0" w:color="auto"/>
      </w:divBdr>
    </w:div>
    <w:div w:id="1876189255">
      <w:bodyDiv w:val="1"/>
      <w:marLeft w:val="0"/>
      <w:marRight w:val="0"/>
      <w:marTop w:val="0"/>
      <w:marBottom w:val="0"/>
      <w:divBdr>
        <w:top w:val="none" w:sz="0" w:space="0" w:color="auto"/>
        <w:left w:val="none" w:sz="0" w:space="0" w:color="auto"/>
        <w:bottom w:val="none" w:sz="0" w:space="0" w:color="auto"/>
        <w:right w:val="none" w:sz="0" w:space="0" w:color="auto"/>
      </w:divBdr>
    </w:div>
    <w:div w:id="1876696247">
      <w:bodyDiv w:val="1"/>
      <w:marLeft w:val="0"/>
      <w:marRight w:val="0"/>
      <w:marTop w:val="0"/>
      <w:marBottom w:val="0"/>
      <w:divBdr>
        <w:top w:val="none" w:sz="0" w:space="0" w:color="auto"/>
        <w:left w:val="none" w:sz="0" w:space="0" w:color="auto"/>
        <w:bottom w:val="none" w:sz="0" w:space="0" w:color="auto"/>
        <w:right w:val="none" w:sz="0" w:space="0" w:color="auto"/>
      </w:divBdr>
    </w:div>
    <w:div w:id="1877739009">
      <w:bodyDiv w:val="1"/>
      <w:marLeft w:val="0"/>
      <w:marRight w:val="0"/>
      <w:marTop w:val="0"/>
      <w:marBottom w:val="0"/>
      <w:divBdr>
        <w:top w:val="none" w:sz="0" w:space="0" w:color="auto"/>
        <w:left w:val="none" w:sz="0" w:space="0" w:color="auto"/>
        <w:bottom w:val="none" w:sz="0" w:space="0" w:color="auto"/>
        <w:right w:val="none" w:sz="0" w:space="0" w:color="auto"/>
      </w:divBdr>
    </w:div>
    <w:div w:id="1878738210">
      <w:bodyDiv w:val="1"/>
      <w:marLeft w:val="0"/>
      <w:marRight w:val="0"/>
      <w:marTop w:val="0"/>
      <w:marBottom w:val="0"/>
      <w:divBdr>
        <w:top w:val="none" w:sz="0" w:space="0" w:color="auto"/>
        <w:left w:val="none" w:sz="0" w:space="0" w:color="auto"/>
        <w:bottom w:val="none" w:sz="0" w:space="0" w:color="auto"/>
        <w:right w:val="none" w:sz="0" w:space="0" w:color="auto"/>
      </w:divBdr>
    </w:div>
    <w:div w:id="1878927229">
      <w:bodyDiv w:val="1"/>
      <w:marLeft w:val="0"/>
      <w:marRight w:val="0"/>
      <w:marTop w:val="0"/>
      <w:marBottom w:val="0"/>
      <w:divBdr>
        <w:top w:val="none" w:sz="0" w:space="0" w:color="auto"/>
        <w:left w:val="none" w:sz="0" w:space="0" w:color="auto"/>
        <w:bottom w:val="none" w:sz="0" w:space="0" w:color="auto"/>
        <w:right w:val="none" w:sz="0" w:space="0" w:color="auto"/>
      </w:divBdr>
      <w:divsChild>
        <w:div w:id="1035085591">
          <w:marLeft w:val="0"/>
          <w:marRight w:val="0"/>
          <w:marTop w:val="0"/>
          <w:marBottom w:val="0"/>
          <w:divBdr>
            <w:top w:val="none" w:sz="0" w:space="0" w:color="auto"/>
            <w:left w:val="none" w:sz="0" w:space="0" w:color="auto"/>
            <w:bottom w:val="none" w:sz="0" w:space="0" w:color="auto"/>
            <w:right w:val="none" w:sz="0" w:space="0" w:color="auto"/>
          </w:divBdr>
        </w:div>
        <w:div w:id="673462192">
          <w:marLeft w:val="0"/>
          <w:marRight w:val="0"/>
          <w:marTop w:val="0"/>
          <w:marBottom w:val="0"/>
          <w:divBdr>
            <w:top w:val="none" w:sz="0" w:space="0" w:color="auto"/>
            <w:left w:val="none" w:sz="0" w:space="0" w:color="auto"/>
            <w:bottom w:val="none" w:sz="0" w:space="0" w:color="auto"/>
            <w:right w:val="none" w:sz="0" w:space="0" w:color="auto"/>
          </w:divBdr>
        </w:div>
        <w:div w:id="1910382277">
          <w:marLeft w:val="0"/>
          <w:marRight w:val="0"/>
          <w:marTop w:val="0"/>
          <w:marBottom w:val="0"/>
          <w:divBdr>
            <w:top w:val="none" w:sz="0" w:space="0" w:color="auto"/>
            <w:left w:val="none" w:sz="0" w:space="0" w:color="auto"/>
            <w:bottom w:val="none" w:sz="0" w:space="0" w:color="auto"/>
            <w:right w:val="none" w:sz="0" w:space="0" w:color="auto"/>
          </w:divBdr>
        </w:div>
      </w:divsChild>
    </w:div>
    <w:div w:id="1879968943">
      <w:bodyDiv w:val="1"/>
      <w:marLeft w:val="0"/>
      <w:marRight w:val="0"/>
      <w:marTop w:val="0"/>
      <w:marBottom w:val="0"/>
      <w:divBdr>
        <w:top w:val="none" w:sz="0" w:space="0" w:color="auto"/>
        <w:left w:val="none" w:sz="0" w:space="0" w:color="auto"/>
        <w:bottom w:val="none" w:sz="0" w:space="0" w:color="auto"/>
        <w:right w:val="none" w:sz="0" w:space="0" w:color="auto"/>
      </w:divBdr>
    </w:div>
    <w:div w:id="1880120744">
      <w:bodyDiv w:val="1"/>
      <w:marLeft w:val="0"/>
      <w:marRight w:val="0"/>
      <w:marTop w:val="0"/>
      <w:marBottom w:val="0"/>
      <w:divBdr>
        <w:top w:val="none" w:sz="0" w:space="0" w:color="auto"/>
        <w:left w:val="none" w:sz="0" w:space="0" w:color="auto"/>
        <w:bottom w:val="none" w:sz="0" w:space="0" w:color="auto"/>
        <w:right w:val="none" w:sz="0" w:space="0" w:color="auto"/>
      </w:divBdr>
    </w:div>
    <w:div w:id="1880388489">
      <w:bodyDiv w:val="1"/>
      <w:marLeft w:val="0"/>
      <w:marRight w:val="0"/>
      <w:marTop w:val="0"/>
      <w:marBottom w:val="0"/>
      <w:divBdr>
        <w:top w:val="none" w:sz="0" w:space="0" w:color="auto"/>
        <w:left w:val="none" w:sz="0" w:space="0" w:color="auto"/>
        <w:bottom w:val="none" w:sz="0" w:space="0" w:color="auto"/>
        <w:right w:val="none" w:sz="0" w:space="0" w:color="auto"/>
      </w:divBdr>
    </w:div>
    <w:div w:id="1884364000">
      <w:bodyDiv w:val="1"/>
      <w:marLeft w:val="0"/>
      <w:marRight w:val="0"/>
      <w:marTop w:val="0"/>
      <w:marBottom w:val="0"/>
      <w:divBdr>
        <w:top w:val="none" w:sz="0" w:space="0" w:color="auto"/>
        <w:left w:val="none" w:sz="0" w:space="0" w:color="auto"/>
        <w:bottom w:val="none" w:sz="0" w:space="0" w:color="auto"/>
        <w:right w:val="none" w:sz="0" w:space="0" w:color="auto"/>
      </w:divBdr>
    </w:div>
    <w:div w:id="1884753948">
      <w:bodyDiv w:val="1"/>
      <w:marLeft w:val="0"/>
      <w:marRight w:val="0"/>
      <w:marTop w:val="0"/>
      <w:marBottom w:val="0"/>
      <w:divBdr>
        <w:top w:val="none" w:sz="0" w:space="0" w:color="auto"/>
        <w:left w:val="none" w:sz="0" w:space="0" w:color="auto"/>
        <w:bottom w:val="none" w:sz="0" w:space="0" w:color="auto"/>
        <w:right w:val="none" w:sz="0" w:space="0" w:color="auto"/>
      </w:divBdr>
    </w:div>
    <w:div w:id="1885092956">
      <w:bodyDiv w:val="1"/>
      <w:marLeft w:val="0"/>
      <w:marRight w:val="0"/>
      <w:marTop w:val="0"/>
      <w:marBottom w:val="0"/>
      <w:divBdr>
        <w:top w:val="none" w:sz="0" w:space="0" w:color="auto"/>
        <w:left w:val="none" w:sz="0" w:space="0" w:color="auto"/>
        <w:bottom w:val="none" w:sz="0" w:space="0" w:color="auto"/>
        <w:right w:val="none" w:sz="0" w:space="0" w:color="auto"/>
      </w:divBdr>
    </w:div>
    <w:div w:id="1885407428">
      <w:bodyDiv w:val="1"/>
      <w:marLeft w:val="0"/>
      <w:marRight w:val="0"/>
      <w:marTop w:val="0"/>
      <w:marBottom w:val="0"/>
      <w:divBdr>
        <w:top w:val="none" w:sz="0" w:space="0" w:color="auto"/>
        <w:left w:val="none" w:sz="0" w:space="0" w:color="auto"/>
        <w:bottom w:val="none" w:sz="0" w:space="0" w:color="auto"/>
        <w:right w:val="none" w:sz="0" w:space="0" w:color="auto"/>
      </w:divBdr>
    </w:div>
    <w:div w:id="1886523050">
      <w:bodyDiv w:val="1"/>
      <w:marLeft w:val="0"/>
      <w:marRight w:val="0"/>
      <w:marTop w:val="0"/>
      <w:marBottom w:val="0"/>
      <w:divBdr>
        <w:top w:val="none" w:sz="0" w:space="0" w:color="auto"/>
        <w:left w:val="none" w:sz="0" w:space="0" w:color="auto"/>
        <w:bottom w:val="none" w:sz="0" w:space="0" w:color="auto"/>
        <w:right w:val="none" w:sz="0" w:space="0" w:color="auto"/>
      </w:divBdr>
    </w:div>
    <w:div w:id="1886872101">
      <w:bodyDiv w:val="1"/>
      <w:marLeft w:val="0"/>
      <w:marRight w:val="0"/>
      <w:marTop w:val="0"/>
      <w:marBottom w:val="0"/>
      <w:divBdr>
        <w:top w:val="none" w:sz="0" w:space="0" w:color="auto"/>
        <w:left w:val="none" w:sz="0" w:space="0" w:color="auto"/>
        <w:bottom w:val="none" w:sz="0" w:space="0" w:color="auto"/>
        <w:right w:val="none" w:sz="0" w:space="0" w:color="auto"/>
      </w:divBdr>
    </w:div>
    <w:div w:id="1887335646">
      <w:bodyDiv w:val="1"/>
      <w:marLeft w:val="0"/>
      <w:marRight w:val="0"/>
      <w:marTop w:val="0"/>
      <w:marBottom w:val="0"/>
      <w:divBdr>
        <w:top w:val="none" w:sz="0" w:space="0" w:color="auto"/>
        <w:left w:val="none" w:sz="0" w:space="0" w:color="auto"/>
        <w:bottom w:val="none" w:sz="0" w:space="0" w:color="auto"/>
        <w:right w:val="none" w:sz="0" w:space="0" w:color="auto"/>
      </w:divBdr>
    </w:div>
    <w:div w:id="1887595685">
      <w:bodyDiv w:val="1"/>
      <w:marLeft w:val="0"/>
      <w:marRight w:val="0"/>
      <w:marTop w:val="0"/>
      <w:marBottom w:val="0"/>
      <w:divBdr>
        <w:top w:val="none" w:sz="0" w:space="0" w:color="auto"/>
        <w:left w:val="none" w:sz="0" w:space="0" w:color="auto"/>
        <w:bottom w:val="none" w:sz="0" w:space="0" w:color="auto"/>
        <w:right w:val="none" w:sz="0" w:space="0" w:color="auto"/>
      </w:divBdr>
    </w:div>
    <w:div w:id="1887835694">
      <w:bodyDiv w:val="1"/>
      <w:marLeft w:val="0"/>
      <w:marRight w:val="0"/>
      <w:marTop w:val="0"/>
      <w:marBottom w:val="0"/>
      <w:divBdr>
        <w:top w:val="none" w:sz="0" w:space="0" w:color="auto"/>
        <w:left w:val="none" w:sz="0" w:space="0" w:color="auto"/>
        <w:bottom w:val="none" w:sz="0" w:space="0" w:color="auto"/>
        <w:right w:val="none" w:sz="0" w:space="0" w:color="auto"/>
      </w:divBdr>
    </w:div>
    <w:div w:id="1887838256">
      <w:bodyDiv w:val="1"/>
      <w:marLeft w:val="0"/>
      <w:marRight w:val="0"/>
      <w:marTop w:val="0"/>
      <w:marBottom w:val="0"/>
      <w:divBdr>
        <w:top w:val="none" w:sz="0" w:space="0" w:color="auto"/>
        <w:left w:val="none" w:sz="0" w:space="0" w:color="auto"/>
        <w:bottom w:val="none" w:sz="0" w:space="0" w:color="auto"/>
        <w:right w:val="none" w:sz="0" w:space="0" w:color="auto"/>
      </w:divBdr>
    </w:div>
    <w:div w:id="1887983094">
      <w:bodyDiv w:val="1"/>
      <w:marLeft w:val="0"/>
      <w:marRight w:val="0"/>
      <w:marTop w:val="0"/>
      <w:marBottom w:val="0"/>
      <w:divBdr>
        <w:top w:val="none" w:sz="0" w:space="0" w:color="auto"/>
        <w:left w:val="none" w:sz="0" w:space="0" w:color="auto"/>
        <w:bottom w:val="none" w:sz="0" w:space="0" w:color="auto"/>
        <w:right w:val="none" w:sz="0" w:space="0" w:color="auto"/>
      </w:divBdr>
    </w:div>
    <w:div w:id="1888103601">
      <w:bodyDiv w:val="1"/>
      <w:marLeft w:val="0"/>
      <w:marRight w:val="0"/>
      <w:marTop w:val="0"/>
      <w:marBottom w:val="0"/>
      <w:divBdr>
        <w:top w:val="none" w:sz="0" w:space="0" w:color="auto"/>
        <w:left w:val="none" w:sz="0" w:space="0" w:color="auto"/>
        <w:bottom w:val="none" w:sz="0" w:space="0" w:color="auto"/>
        <w:right w:val="none" w:sz="0" w:space="0" w:color="auto"/>
      </w:divBdr>
    </w:div>
    <w:div w:id="1888294221">
      <w:bodyDiv w:val="1"/>
      <w:marLeft w:val="0"/>
      <w:marRight w:val="0"/>
      <w:marTop w:val="0"/>
      <w:marBottom w:val="0"/>
      <w:divBdr>
        <w:top w:val="none" w:sz="0" w:space="0" w:color="auto"/>
        <w:left w:val="none" w:sz="0" w:space="0" w:color="auto"/>
        <w:bottom w:val="none" w:sz="0" w:space="0" w:color="auto"/>
        <w:right w:val="none" w:sz="0" w:space="0" w:color="auto"/>
      </w:divBdr>
    </w:div>
    <w:div w:id="1888486919">
      <w:bodyDiv w:val="1"/>
      <w:marLeft w:val="0"/>
      <w:marRight w:val="0"/>
      <w:marTop w:val="0"/>
      <w:marBottom w:val="0"/>
      <w:divBdr>
        <w:top w:val="none" w:sz="0" w:space="0" w:color="auto"/>
        <w:left w:val="none" w:sz="0" w:space="0" w:color="auto"/>
        <w:bottom w:val="none" w:sz="0" w:space="0" w:color="auto"/>
        <w:right w:val="none" w:sz="0" w:space="0" w:color="auto"/>
      </w:divBdr>
    </w:div>
    <w:div w:id="1889145016">
      <w:bodyDiv w:val="1"/>
      <w:marLeft w:val="0"/>
      <w:marRight w:val="0"/>
      <w:marTop w:val="0"/>
      <w:marBottom w:val="0"/>
      <w:divBdr>
        <w:top w:val="none" w:sz="0" w:space="0" w:color="auto"/>
        <w:left w:val="none" w:sz="0" w:space="0" w:color="auto"/>
        <w:bottom w:val="none" w:sz="0" w:space="0" w:color="auto"/>
        <w:right w:val="none" w:sz="0" w:space="0" w:color="auto"/>
      </w:divBdr>
    </w:div>
    <w:div w:id="1889489456">
      <w:bodyDiv w:val="1"/>
      <w:marLeft w:val="0"/>
      <w:marRight w:val="0"/>
      <w:marTop w:val="0"/>
      <w:marBottom w:val="0"/>
      <w:divBdr>
        <w:top w:val="none" w:sz="0" w:space="0" w:color="auto"/>
        <w:left w:val="none" w:sz="0" w:space="0" w:color="auto"/>
        <w:bottom w:val="none" w:sz="0" w:space="0" w:color="auto"/>
        <w:right w:val="none" w:sz="0" w:space="0" w:color="auto"/>
      </w:divBdr>
    </w:div>
    <w:div w:id="1889797403">
      <w:bodyDiv w:val="1"/>
      <w:marLeft w:val="0"/>
      <w:marRight w:val="0"/>
      <w:marTop w:val="0"/>
      <w:marBottom w:val="0"/>
      <w:divBdr>
        <w:top w:val="none" w:sz="0" w:space="0" w:color="auto"/>
        <w:left w:val="none" w:sz="0" w:space="0" w:color="auto"/>
        <w:bottom w:val="none" w:sz="0" w:space="0" w:color="auto"/>
        <w:right w:val="none" w:sz="0" w:space="0" w:color="auto"/>
      </w:divBdr>
    </w:div>
    <w:div w:id="1890219718">
      <w:bodyDiv w:val="1"/>
      <w:marLeft w:val="0"/>
      <w:marRight w:val="0"/>
      <w:marTop w:val="0"/>
      <w:marBottom w:val="0"/>
      <w:divBdr>
        <w:top w:val="none" w:sz="0" w:space="0" w:color="auto"/>
        <w:left w:val="none" w:sz="0" w:space="0" w:color="auto"/>
        <w:bottom w:val="none" w:sz="0" w:space="0" w:color="auto"/>
        <w:right w:val="none" w:sz="0" w:space="0" w:color="auto"/>
      </w:divBdr>
    </w:div>
    <w:div w:id="1890458917">
      <w:bodyDiv w:val="1"/>
      <w:marLeft w:val="0"/>
      <w:marRight w:val="0"/>
      <w:marTop w:val="0"/>
      <w:marBottom w:val="0"/>
      <w:divBdr>
        <w:top w:val="none" w:sz="0" w:space="0" w:color="auto"/>
        <w:left w:val="none" w:sz="0" w:space="0" w:color="auto"/>
        <w:bottom w:val="none" w:sz="0" w:space="0" w:color="auto"/>
        <w:right w:val="none" w:sz="0" w:space="0" w:color="auto"/>
      </w:divBdr>
    </w:div>
    <w:div w:id="1892033520">
      <w:bodyDiv w:val="1"/>
      <w:marLeft w:val="0"/>
      <w:marRight w:val="0"/>
      <w:marTop w:val="0"/>
      <w:marBottom w:val="0"/>
      <w:divBdr>
        <w:top w:val="none" w:sz="0" w:space="0" w:color="auto"/>
        <w:left w:val="none" w:sz="0" w:space="0" w:color="auto"/>
        <w:bottom w:val="none" w:sz="0" w:space="0" w:color="auto"/>
        <w:right w:val="none" w:sz="0" w:space="0" w:color="auto"/>
      </w:divBdr>
    </w:div>
    <w:div w:id="1892183457">
      <w:bodyDiv w:val="1"/>
      <w:marLeft w:val="0"/>
      <w:marRight w:val="0"/>
      <w:marTop w:val="0"/>
      <w:marBottom w:val="0"/>
      <w:divBdr>
        <w:top w:val="none" w:sz="0" w:space="0" w:color="auto"/>
        <w:left w:val="none" w:sz="0" w:space="0" w:color="auto"/>
        <w:bottom w:val="none" w:sz="0" w:space="0" w:color="auto"/>
        <w:right w:val="none" w:sz="0" w:space="0" w:color="auto"/>
      </w:divBdr>
    </w:div>
    <w:div w:id="1892225106">
      <w:bodyDiv w:val="1"/>
      <w:marLeft w:val="0"/>
      <w:marRight w:val="0"/>
      <w:marTop w:val="0"/>
      <w:marBottom w:val="0"/>
      <w:divBdr>
        <w:top w:val="none" w:sz="0" w:space="0" w:color="auto"/>
        <w:left w:val="none" w:sz="0" w:space="0" w:color="auto"/>
        <w:bottom w:val="none" w:sz="0" w:space="0" w:color="auto"/>
        <w:right w:val="none" w:sz="0" w:space="0" w:color="auto"/>
      </w:divBdr>
    </w:div>
    <w:div w:id="1893496126">
      <w:bodyDiv w:val="1"/>
      <w:marLeft w:val="0"/>
      <w:marRight w:val="0"/>
      <w:marTop w:val="0"/>
      <w:marBottom w:val="0"/>
      <w:divBdr>
        <w:top w:val="none" w:sz="0" w:space="0" w:color="auto"/>
        <w:left w:val="none" w:sz="0" w:space="0" w:color="auto"/>
        <w:bottom w:val="none" w:sz="0" w:space="0" w:color="auto"/>
        <w:right w:val="none" w:sz="0" w:space="0" w:color="auto"/>
      </w:divBdr>
    </w:div>
    <w:div w:id="1894270982">
      <w:bodyDiv w:val="1"/>
      <w:marLeft w:val="0"/>
      <w:marRight w:val="0"/>
      <w:marTop w:val="0"/>
      <w:marBottom w:val="0"/>
      <w:divBdr>
        <w:top w:val="none" w:sz="0" w:space="0" w:color="auto"/>
        <w:left w:val="none" w:sz="0" w:space="0" w:color="auto"/>
        <w:bottom w:val="none" w:sz="0" w:space="0" w:color="auto"/>
        <w:right w:val="none" w:sz="0" w:space="0" w:color="auto"/>
      </w:divBdr>
    </w:div>
    <w:div w:id="1894349255">
      <w:bodyDiv w:val="1"/>
      <w:marLeft w:val="0"/>
      <w:marRight w:val="0"/>
      <w:marTop w:val="0"/>
      <w:marBottom w:val="0"/>
      <w:divBdr>
        <w:top w:val="none" w:sz="0" w:space="0" w:color="auto"/>
        <w:left w:val="none" w:sz="0" w:space="0" w:color="auto"/>
        <w:bottom w:val="none" w:sz="0" w:space="0" w:color="auto"/>
        <w:right w:val="none" w:sz="0" w:space="0" w:color="auto"/>
      </w:divBdr>
    </w:div>
    <w:div w:id="1894536893">
      <w:bodyDiv w:val="1"/>
      <w:marLeft w:val="0"/>
      <w:marRight w:val="0"/>
      <w:marTop w:val="0"/>
      <w:marBottom w:val="0"/>
      <w:divBdr>
        <w:top w:val="none" w:sz="0" w:space="0" w:color="auto"/>
        <w:left w:val="none" w:sz="0" w:space="0" w:color="auto"/>
        <w:bottom w:val="none" w:sz="0" w:space="0" w:color="auto"/>
        <w:right w:val="none" w:sz="0" w:space="0" w:color="auto"/>
      </w:divBdr>
    </w:div>
    <w:div w:id="1894656338">
      <w:bodyDiv w:val="1"/>
      <w:marLeft w:val="0"/>
      <w:marRight w:val="0"/>
      <w:marTop w:val="0"/>
      <w:marBottom w:val="0"/>
      <w:divBdr>
        <w:top w:val="none" w:sz="0" w:space="0" w:color="auto"/>
        <w:left w:val="none" w:sz="0" w:space="0" w:color="auto"/>
        <w:bottom w:val="none" w:sz="0" w:space="0" w:color="auto"/>
        <w:right w:val="none" w:sz="0" w:space="0" w:color="auto"/>
      </w:divBdr>
    </w:div>
    <w:div w:id="1894927871">
      <w:bodyDiv w:val="1"/>
      <w:marLeft w:val="0"/>
      <w:marRight w:val="0"/>
      <w:marTop w:val="0"/>
      <w:marBottom w:val="0"/>
      <w:divBdr>
        <w:top w:val="none" w:sz="0" w:space="0" w:color="auto"/>
        <w:left w:val="none" w:sz="0" w:space="0" w:color="auto"/>
        <w:bottom w:val="none" w:sz="0" w:space="0" w:color="auto"/>
        <w:right w:val="none" w:sz="0" w:space="0" w:color="auto"/>
      </w:divBdr>
    </w:div>
    <w:div w:id="1895849763">
      <w:bodyDiv w:val="1"/>
      <w:marLeft w:val="0"/>
      <w:marRight w:val="0"/>
      <w:marTop w:val="0"/>
      <w:marBottom w:val="0"/>
      <w:divBdr>
        <w:top w:val="none" w:sz="0" w:space="0" w:color="auto"/>
        <w:left w:val="none" w:sz="0" w:space="0" w:color="auto"/>
        <w:bottom w:val="none" w:sz="0" w:space="0" w:color="auto"/>
        <w:right w:val="none" w:sz="0" w:space="0" w:color="auto"/>
      </w:divBdr>
    </w:div>
    <w:div w:id="1896238367">
      <w:bodyDiv w:val="1"/>
      <w:marLeft w:val="0"/>
      <w:marRight w:val="0"/>
      <w:marTop w:val="0"/>
      <w:marBottom w:val="0"/>
      <w:divBdr>
        <w:top w:val="none" w:sz="0" w:space="0" w:color="auto"/>
        <w:left w:val="none" w:sz="0" w:space="0" w:color="auto"/>
        <w:bottom w:val="none" w:sz="0" w:space="0" w:color="auto"/>
        <w:right w:val="none" w:sz="0" w:space="0" w:color="auto"/>
      </w:divBdr>
    </w:div>
    <w:div w:id="1897008471">
      <w:bodyDiv w:val="1"/>
      <w:marLeft w:val="0"/>
      <w:marRight w:val="0"/>
      <w:marTop w:val="0"/>
      <w:marBottom w:val="0"/>
      <w:divBdr>
        <w:top w:val="none" w:sz="0" w:space="0" w:color="auto"/>
        <w:left w:val="none" w:sz="0" w:space="0" w:color="auto"/>
        <w:bottom w:val="none" w:sz="0" w:space="0" w:color="auto"/>
        <w:right w:val="none" w:sz="0" w:space="0" w:color="auto"/>
      </w:divBdr>
    </w:div>
    <w:div w:id="1897083142">
      <w:bodyDiv w:val="1"/>
      <w:marLeft w:val="0"/>
      <w:marRight w:val="0"/>
      <w:marTop w:val="0"/>
      <w:marBottom w:val="0"/>
      <w:divBdr>
        <w:top w:val="none" w:sz="0" w:space="0" w:color="auto"/>
        <w:left w:val="none" w:sz="0" w:space="0" w:color="auto"/>
        <w:bottom w:val="none" w:sz="0" w:space="0" w:color="auto"/>
        <w:right w:val="none" w:sz="0" w:space="0" w:color="auto"/>
      </w:divBdr>
    </w:div>
    <w:div w:id="1897429512">
      <w:bodyDiv w:val="1"/>
      <w:marLeft w:val="0"/>
      <w:marRight w:val="0"/>
      <w:marTop w:val="0"/>
      <w:marBottom w:val="0"/>
      <w:divBdr>
        <w:top w:val="none" w:sz="0" w:space="0" w:color="auto"/>
        <w:left w:val="none" w:sz="0" w:space="0" w:color="auto"/>
        <w:bottom w:val="none" w:sz="0" w:space="0" w:color="auto"/>
        <w:right w:val="none" w:sz="0" w:space="0" w:color="auto"/>
      </w:divBdr>
    </w:div>
    <w:div w:id="1899198111">
      <w:bodyDiv w:val="1"/>
      <w:marLeft w:val="0"/>
      <w:marRight w:val="0"/>
      <w:marTop w:val="0"/>
      <w:marBottom w:val="0"/>
      <w:divBdr>
        <w:top w:val="none" w:sz="0" w:space="0" w:color="auto"/>
        <w:left w:val="none" w:sz="0" w:space="0" w:color="auto"/>
        <w:bottom w:val="none" w:sz="0" w:space="0" w:color="auto"/>
        <w:right w:val="none" w:sz="0" w:space="0" w:color="auto"/>
      </w:divBdr>
    </w:div>
    <w:div w:id="1900357631">
      <w:bodyDiv w:val="1"/>
      <w:marLeft w:val="0"/>
      <w:marRight w:val="0"/>
      <w:marTop w:val="0"/>
      <w:marBottom w:val="0"/>
      <w:divBdr>
        <w:top w:val="none" w:sz="0" w:space="0" w:color="auto"/>
        <w:left w:val="none" w:sz="0" w:space="0" w:color="auto"/>
        <w:bottom w:val="none" w:sz="0" w:space="0" w:color="auto"/>
        <w:right w:val="none" w:sz="0" w:space="0" w:color="auto"/>
      </w:divBdr>
    </w:div>
    <w:div w:id="1900359008">
      <w:bodyDiv w:val="1"/>
      <w:marLeft w:val="0"/>
      <w:marRight w:val="0"/>
      <w:marTop w:val="0"/>
      <w:marBottom w:val="0"/>
      <w:divBdr>
        <w:top w:val="none" w:sz="0" w:space="0" w:color="auto"/>
        <w:left w:val="none" w:sz="0" w:space="0" w:color="auto"/>
        <w:bottom w:val="none" w:sz="0" w:space="0" w:color="auto"/>
        <w:right w:val="none" w:sz="0" w:space="0" w:color="auto"/>
      </w:divBdr>
    </w:div>
    <w:div w:id="1900558384">
      <w:bodyDiv w:val="1"/>
      <w:marLeft w:val="0"/>
      <w:marRight w:val="0"/>
      <w:marTop w:val="0"/>
      <w:marBottom w:val="0"/>
      <w:divBdr>
        <w:top w:val="none" w:sz="0" w:space="0" w:color="auto"/>
        <w:left w:val="none" w:sz="0" w:space="0" w:color="auto"/>
        <w:bottom w:val="none" w:sz="0" w:space="0" w:color="auto"/>
        <w:right w:val="none" w:sz="0" w:space="0" w:color="auto"/>
      </w:divBdr>
    </w:div>
    <w:div w:id="1902792872">
      <w:bodyDiv w:val="1"/>
      <w:marLeft w:val="0"/>
      <w:marRight w:val="0"/>
      <w:marTop w:val="0"/>
      <w:marBottom w:val="0"/>
      <w:divBdr>
        <w:top w:val="none" w:sz="0" w:space="0" w:color="auto"/>
        <w:left w:val="none" w:sz="0" w:space="0" w:color="auto"/>
        <w:bottom w:val="none" w:sz="0" w:space="0" w:color="auto"/>
        <w:right w:val="none" w:sz="0" w:space="0" w:color="auto"/>
      </w:divBdr>
    </w:div>
    <w:div w:id="1903371574">
      <w:bodyDiv w:val="1"/>
      <w:marLeft w:val="0"/>
      <w:marRight w:val="0"/>
      <w:marTop w:val="0"/>
      <w:marBottom w:val="0"/>
      <w:divBdr>
        <w:top w:val="none" w:sz="0" w:space="0" w:color="auto"/>
        <w:left w:val="none" w:sz="0" w:space="0" w:color="auto"/>
        <w:bottom w:val="none" w:sz="0" w:space="0" w:color="auto"/>
        <w:right w:val="none" w:sz="0" w:space="0" w:color="auto"/>
      </w:divBdr>
    </w:div>
    <w:div w:id="1903714702">
      <w:bodyDiv w:val="1"/>
      <w:marLeft w:val="0"/>
      <w:marRight w:val="0"/>
      <w:marTop w:val="0"/>
      <w:marBottom w:val="0"/>
      <w:divBdr>
        <w:top w:val="none" w:sz="0" w:space="0" w:color="auto"/>
        <w:left w:val="none" w:sz="0" w:space="0" w:color="auto"/>
        <w:bottom w:val="none" w:sz="0" w:space="0" w:color="auto"/>
        <w:right w:val="none" w:sz="0" w:space="0" w:color="auto"/>
      </w:divBdr>
    </w:div>
    <w:div w:id="1904169586">
      <w:bodyDiv w:val="1"/>
      <w:marLeft w:val="0"/>
      <w:marRight w:val="0"/>
      <w:marTop w:val="0"/>
      <w:marBottom w:val="0"/>
      <w:divBdr>
        <w:top w:val="none" w:sz="0" w:space="0" w:color="auto"/>
        <w:left w:val="none" w:sz="0" w:space="0" w:color="auto"/>
        <w:bottom w:val="none" w:sz="0" w:space="0" w:color="auto"/>
        <w:right w:val="none" w:sz="0" w:space="0" w:color="auto"/>
      </w:divBdr>
    </w:div>
    <w:div w:id="1904366858">
      <w:bodyDiv w:val="1"/>
      <w:marLeft w:val="0"/>
      <w:marRight w:val="0"/>
      <w:marTop w:val="0"/>
      <w:marBottom w:val="0"/>
      <w:divBdr>
        <w:top w:val="none" w:sz="0" w:space="0" w:color="auto"/>
        <w:left w:val="none" w:sz="0" w:space="0" w:color="auto"/>
        <w:bottom w:val="none" w:sz="0" w:space="0" w:color="auto"/>
        <w:right w:val="none" w:sz="0" w:space="0" w:color="auto"/>
      </w:divBdr>
    </w:div>
    <w:div w:id="1905530370">
      <w:bodyDiv w:val="1"/>
      <w:marLeft w:val="0"/>
      <w:marRight w:val="0"/>
      <w:marTop w:val="0"/>
      <w:marBottom w:val="0"/>
      <w:divBdr>
        <w:top w:val="none" w:sz="0" w:space="0" w:color="auto"/>
        <w:left w:val="none" w:sz="0" w:space="0" w:color="auto"/>
        <w:bottom w:val="none" w:sz="0" w:space="0" w:color="auto"/>
        <w:right w:val="none" w:sz="0" w:space="0" w:color="auto"/>
      </w:divBdr>
    </w:div>
    <w:div w:id="1906377213">
      <w:bodyDiv w:val="1"/>
      <w:marLeft w:val="0"/>
      <w:marRight w:val="0"/>
      <w:marTop w:val="0"/>
      <w:marBottom w:val="0"/>
      <w:divBdr>
        <w:top w:val="none" w:sz="0" w:space="0" w:color="auto"/>
        <w:left w:val="none" w:sz="0" w:space="0" w:color="auto"/>
        <w:bottom w:val="none" w:sz="0" w:space="0" w:color="auto"/>
        <w:right w:val="none" w:sz="0" w:space="0" w:color="auto"/>
      </w:divBdr>
    </w:div>
    <w:div w:id="1906524517">
      <w:bodyDiv w:val="1"/>
      <w:marLeft w:val="0"/>
      <w:marRight w:val="0"/>
      <w:marTop w:val="0"/>
      <w:marBottom w:val="0"/>
      <w:divBdr>
        <w:top w:val="none" w:sz="0" w:space="0" w:color="auto"/>
        <w:left w:val="none" w:sz="0" w:space="0" w:color="auto"/>
        <w:bottom w:val="none" w:sz="0" w:space="0" w:color="auto"/>
        <w:right w:val="none" w:sz="0" w:space="0" w:color="auto"/>
      </w:divBdr>
    </w:div>
    <w:div w:id="1906528378">
      <w:bodyDiv w:val="1"/>
      <w:marLeft w:val="0"/>
      <w:marRight w:val="0"/>
      <w:marTop w:val="0"/>
      <w:marBottom w:val="0"/>
      <w:divBdr>
        <w:top w:val="none" w:sz="0" w:space="0" w:color="auto"/>
        <w:left w:val="none" w:sz="0" w:space="0" w:color="auto"/>
        <w:bottom w:val="none" w:sz="0" w:space="0" w:color="auto"/>
        <w:right w:val="none" w:sz="0" w:space="0" w:color="auto"/>
      </w:divBdr>
    </w:div>
    <w:div w:id="1906603643">
      <w:bodyDiv w:val="1"/>
      <w:marLeft w:val="0"/>
      <w:marRight w:val="0"/>
      <w:marTop w:val="0"/>
      <w:marBottom w:val="0"/>
      <w:divBdr>
        <w:top w:val="none" w:sz="0" w:space="0" w:color="auto"/>
        <w:left w:val="none" w:sz="0" w:space="0" w:color="auto"/>
        <w:bottom w:val="none" w:sz="0" w:space="0" w:color="auto"/>
        <w:right w:val="none" w:sz="0" w:space="0" w:color="auto"/>
      </w:divBdr>
    </w:div>
    <w:div w:id="1906605734">
      <w:bodyDiv w:val="1"/>
      <w:marLeft w:val="0"/>
      <w:marRight w:val="0"/>
      <w:marTop w:val="0"/>
      <w:marBottom w:val="0"/>
      <w:divBdr>
        <w:top w:val="none" w:sz="0" w:space="0" w:color="auto"/>
        <w:left w:val="none" w:sz="0" w:space="0" w:color="auto"/>
        <w:bottom w:val="none" w:sz="0" w:space="0" w:color="auto"/>
        <w:right w:val="none" w:sz="0" w:space="0" w:color="auto"/>
      </w:divBdr>
    </w:div>
    <w:div w:id="1906717245">
      <w:bodyDiv w:val="1"/>
      <w:marLeft w:val="0"/>
      <w:marRight w:val="0"/>
      <w:marTop w:val="0"/>
      <w:marBottom w:val="0"/>
      <w:divBdr>
        <w:top w:val="none" w:sz="0" w:space="0" w:color="auto"/>
        <w:left w:val="none" w:sz="0" w:space="0" w:color="auto"/>
        <w:bottom w:val="none" w:sz="0" w:space="0" w:color="auto"/>
        <w:right w:val="none" w:sz="0" w:space="0" w:color="auto"/>
      </w:divBdr>
    </w:div>
    <w:div w:id="1907101976">
      <w:bodyDiv w:val="1"/>
      <w:marLeft w:val="0"/>
      <w:marRight w:val="0"/>
      <w:marTop w:val="0"/>
      <w:marBottom w:val="0"/>
      <w:divBdr>
        <w:top w:val="none" w:sz="0" w:space="0" w:color="auto"/>
        <w:left w:val="none" w:sz="0" w:space="0" w:color="auto"/>
        <w:bottom w:val="none" w:sz="0" w:space="0" w:color="auto"/>
        <w:right w:val="none" w:sz="0" w:space="0" w:color="auto"/>
      </w:divBdr>
    </w:div>
    <w:div w:id="1908107013">
      <w:bodyDiv w:val="1"/>
      <w:marLeft w:val="0"/>
      <w:marRight w:val="0"/>
      <w:marTop w:val="0"/>
      <w:marBottom w:val="0"/>
      <w:divBdr>
        <w:top w:val="none" w:sz="0" w:space="0" w:color="auto"/>
        <w:left w:val="none" w:sz="0" w:space="0" w:color="auto"/>
        <w:bottom w:val="none" w:sz="0" w:space="0" w:color="auto"/>
        <w:right w:val="none" w:sz="0" w:space="0" w:color="auto"/>
      </w:divBdr>
    </w:div>
    <w:div w:id="1908150683">
      <w:bodyDiv w:val="1"/>
      <w:marLeft w:val="0"/>
      <w:marRight w:val="0"/>
      <w:marTop w:val="0"/>
      <w:marBottom w:val="0"/>
      <w:divBdr>
        <w:top w:val="none" w:sz="0" w:space="0" w:color="auto"/>
        <w:left w:val="none" w:sz="0" w:space="0" w:color="auto"/>
        <w:bottom w:val="none" w:sz="0" w:space="0" w:color="auto"/>
        <w:right w:val="none" w:sz="0" w:space="0" w:color="auto"/>
      </w:divBdr>
    </w:div>
    <w:div w:id="1909994190">
      <w:bodyDiv w:val="1"/>
      <w:marLeft w:val="0"/>
      <w:marRight w:val="0"/>
      <w:marTop w:val="0"/>
      <w:marBottom w:val="0"/>
      <w:divBdr>
        <w:top w:val="none" w:sz="0" w:space="0" w:color="auto"/>
        <w:left w:val="none" w:sz="0" w:space="0" w:color="auto"/>
        <w:bottom w:val="none" w:sz="0" w:space="0" w:color="auto"/>
        <w:right w:val="none" w:sz="0" w:space="0" w:color="auto"/>
      </w:divBdr>
    </w:div>
    <w:div w:id="1911504017">
      <w:bodyDiv w:val="1"/>
      <w:marLeft w:val="0"/>
      <w:marRight w:val="0"/>
      <w:marTop w:val="0"/>
      <w:marBottom w:val="0"/>
      <w:divBdr>
        <w:top w:val="none" w:sz="0" w:space="0" w:color="auto"/>
        <w:left w:val="none" w:sz="0" w:space="0" w:color="auto"/>
        <w:bottom w:val="none" w:sz="0" w:space="0" w:color="auto"/>
        <w:right w:val="none" w:sz="0" w:space="0" w:color="auto"/>
      </w:divBdr>
    </w:div>
    <w:div w:id="1913200519">
      <w:bodyDiv w:val="1"/>
      <w:marLeft w:val="0"/>
      <w:marRight w:val="0"/>
      <w:marTop w:val="0"/>
      <w:marBottom w:val="0"/>
      <w:divBdr>
        <w:top w:val="none" w:sz="0" w:space="0" w:color="auto"/>
        <w:left w:val="none" w:sz="0" w:space="0" w:color="auto"/>
        <w:bottom w:val="none" w:sz="0" w:space="0" w:color="auto"/>
        <w:right w:val="none" w:sz="0" w:space="0" w:color="auto"/>
      </w:divBdr>
    </w:div>
    <w:div w:id="1913731151">
      <w:bodyDiv w:val="1"/>
      <w:marLeft w:val="0"/>
      <w:marRight w:val="0"/>
      <w:marTop w:val="0"/>
      <w:marBottom w:val="0"/>
      <w:divBdr>
        <w:top w:val="none" w:sz="0" w:space="0" w:color="auto"/>
        <w:left w:val="none" w:sz="0" w:space="0" w:color="auto"/>
        <w:bottom w:val="none" w:sz="0" w:space="0" w:color="auto"/>
        <w:right w:val="none" w:sz="0" w:space="0" w:color="auto"/>
      </w:divBdr>
    </w:div>
    <w:div w:id="1914386757">
      <w:bodyDiv w:val="1"/>
      <w:marLeft w:val="0"/>
      <w:marRight w:val="0"/>
      <w:marTop w:val="0"/>
      <w:marBottom w:val="0"/>
      <w:divBdr>
        <w:top w:val="none" w:sz="0" w:space="0" w:color="auto"/>
        <w:left w:val="none" w:sz="0" w:space="0" w:color="auto"/>
        <w:bottom w:val="none" w:sz="0" w:space="0" w:color="auto"/>
        <w:right w:val="none" w:sz="0" w:space="0" w:color="auto"/>
      </w:divBdr>
    </w:div>
    <w:div w:id="1914464036">
      <w:bodyDiv w:val="1"/>
      <w:marLeft w:val="0"/>
      <w:marRight w:val="0"/>
      <w:marTop w:val="0"/>
      <w:marBottom w:val="0"/>
      <w:divBdr>
        <w:top w:val="none" w:sz="0" w:space="0" w:color="auto"/>
        <w:left w:val="none" w:sz="0" w:space="0" w:color="auto"/>
        <w:bottom w:val="none" w:sz="0" w:space="0" w:color="auto"/>
        <w:right w:val="none" w:sz="0" w:space="0" w:color="auto"/>
      </w:divBdr>
    </w:div>
    <w:div w:id="1915626329">
      <w:bodyDiv w:val="1"/>
      <w:marLeft w:val="0"/>
      <w:marRight w:val="0"/>
      <w:marTop w:val="0"/>
      <w:marBottom w:val="0"/>
      <w:divBdr>
        <w:top w:val="none" w:sz="0" w:space="0" w:color="auto"/>
        <w:left w:val="none" w:sz="0" w:space="0" w:color="auto"/>
        <w:bottom w:val="none" w:sz="0" w:space="0" w:color="auto"/>
        <w:right w:val="none" w:sz="0" w:space="0" w:color="auto"/>
      </w:divBdr>
    </w:div>
    <w:div w:id="1915626836">
      <w:bodyDiv w:val="1"/>
      <w:marLeft w:val="0"/>
      <w:marRight w:val="0"/>
      <w:marTop w:val="0"/>
      <w:marBottom w:val="0"/>
      <w:divBdr>
        <w:top w:val="none" w:sz="0" w:space="0" w:color="auto"/>
        <w:left w:val="none" w:sz="0" w:space="0" w:color="auto"/>
        <w:bottom w:val="none" w:sz="0" w:space="0" w:color="auto"/>
        <w:right w:val="none" w:sz="0" w:space="0" w:color="auto"/>
      </w:divBdr>
    </w:div>
    <w:div w:id="1916163562">
      <w:bodyDiv w:val="1"/>
      <w:marLeft w:val="0"/>
      <w:marRight w:val="0"/>
      <w:marTop w:val="0"/>
      <w:marBottom w:val="0"/>
      <w:divBdr>
        <w:top w:val="none" w:sz="0" w:space="0" w:color="auto"/>
        <w:left w:val="none" w:sz="0" w:space="0" w:color="auto"/>
        <w:bottom w:val="none" w:sz="0" w:space="0" w:color="auto"/>
        <w:right w:val="none" w:sz="0" w:space="0" w:color="auto"/>
      </w:divBdr>
    </w:div>
    <w:div w:id="1916165704">
      <w:bodyDiv w:val="1"/>
      <w:marLeft w:val="0"/>
      <w:marRight w:val="0"/>
      <w:marTop w:val="0"/>
      <w:marBottom w:val="0"/>
      <w:divBdr>
        <w:top w:val="none" w:sz="0" w:space="0" w:color="auto"/>
        <w:left w:val="none" w:sz="0" w:space="0" w:color="auto"/>
        <w:bottom w:val="none" w:sz="0" w:space="0" w:color="auto"/>
        <w:right w:val="none" w:sz="0" w:space="0" w:color="auto"/>
      </w:divBdr>
    </w:div>
    <w:div w:id="1916233095">
      <w:bodyDiv w:val="1"/>
      <w:marLeft w:val="0"/>
      <w:marRight w:val="0"/>
      <w:marTop w:val="0"/>
      <w:marBottom w:val="0"/>
      <w:divBdr>
        <w:top w:val="none" w:sz="0" w:space="0" w:color="auto"/>
        <w:left w:val="none" w:sz="0" w:space="0" w:color="auto"/>
        <w:bottom w:val="none" w:sz="0" w:space="0" w:color="auto"/>
        <w:right w:val="none" w:sz="0" w:space="0" w:color="auto"/>
      </w:divBdr>
    </w:div>
    <w:div w:id="1916889695">
      <w:bodyDiv w:val="1"/>
      <w:marLeft w:val="0"/>
      <w:marRight w:val="0"/>
      <w:marTop w:val="0"/>
      <w:marBottom w:val="0"/>
      <w:divBdr>
        <w:top w:val="none" w:sz="0" w:space="0" w:color="auto"/>
        <w:left w:val="none" w:sz="0" w:space="0" w:color="auto"/>
        <w:bottom w:val="none" w:sz="0" w:space="0" w:color="auto"/>
        <w:right w:val="none" w:sz="0" w:space="0" w:color="auto"/>
      </w:divBdr>
    </w:div>
    <w:div w:id="1917128663">
      <w:bodyDiv w:val="1"/>
      <w:marLeft w:val="0"/>
      <w:marRight w:val="0"/>
      <w:marTop w:val="0"/>
      <w:marBottom w:val="0"/>
      <w:divBdr>
        <w:top w:val="none" w:sz="0" w:space="0" w:color="auto"/>
        <w:left w:val="none" w:sz="0" w:space="0" w:color="auto"/>
        <w:bottom w:val="none" w:sz="0" w:space="0" w:color="auto"/>
        <w:right w:val="none" w:sz="0" w:space="0" w:color="auto"/>
      </w:divBdr>
    </w:div>
    <w:div w:id="1918861019">
      <w:bodyDiv w:val="1"/>
      <w:marLeft w:val="0"/>
      <w:marRight w:val="0"/>
      <w:marTop w:val="0"/>
      <w:marBottom w:val="0"/>
      <w:divBdr>
        <w:top w:val="none" w:sz="0" w:space="0" w:color="auto"/>
        <w:left w:val="none" w:sz="0" w:space="0" w:color="auto"/>
        <w:bottom w:val="none" w:sz="0" w:space="0" w:color="auto"/>
        <w:right w:val="none" w:sz="0" w:space="0" w:color="auto"/>
      </w:divBdr>
    </w:div>
    <w:div w:id="1918902165">
      <w:bodyDiv w:val="1"/>
      <w:marLeft w:val="0"/>
      <w:marRight w:val="0"/>
      <w:marTop w:val="0"/>
      <w:marBottom w:val="0"/>
      <w:divBdr>
        <w:top w:val="none" w:sz="0" w:space="0" w:color="auto"/>
        <w:left w:val="none" w:sz="0" w:space="0" w:color="auto"/>
        <w:bottom w:val="none" w:sz="0" w:space="0" w:color="auto"/>
        <w:right w:val="none" w:sz="0" w:space="0" w:color="auto"/>
      </w:divBdr>
    </w:div>
    <w:div w:id="1919173820">
      <w:bodyDiv w:val="1"/>
      <w:marLeft w:val="0"/>
      <w:marRight w:val="0"/>
      <w:marTop w:val="0"/>
      <w:marBottom w:val="0"/>
      <w:divBdr>
        <w:top w:val="none" w:sz="0" w:space="0" w:color="auto"/>
        <w:left w:val="none" w:sz="0" w:space="0" w:color="auto"/>
        <w:bottom w:val="none" w:sz="0" w:space="0" w:color="auto"/>
        <w:right w:val="none" w:sz="0" w:space="0" w:color="auto"/>
      </w:divBdr>
    </w:div>
    <w:div w:id="1919363239">
      <w:bodyDiv w:val="1"/>
      <w:marLeft w:val="0"/>
      <w:marRight w:val="0"/>
      <w:marTop w:val="0"/>
      <w:marBottom w:val="0"/>
      <w:divBdr>
        <w:top w:val="none" w:sz="0" w:space="0" w:color="auto"/>
        <w:left w:val="none" w:sz="0" w:space="0" w:color="auto"/>
        <w:bottom w:val="none" w:sz="0" w:space="0" w:color="auto"/>
        <w:right w:val="none" w:sz="0" w:space="0" w:color="auto"/>
      </w:divBdr>
      <w:divsChild>
        <w:div w:id="1622884133">
          <w:marLeft w:val="0"/>
          <w:marRight w:val="0"/>
          <w:marTop w:val="0"/>
          <w:marBottom w:val="0"/>
          <w:divBdr>
            <w:top w:val="none" w:sz="0" w:space="0" w:color="auto"/>
            <w:left w:val="none" w:sz="0" w:space="0" w:color="auto"/>
            <w:bottom w:val="none" w:sz="0" w:space="0" w:color="auto"/>
            <w:right w:val="none" w:sz="0" w:space="0" w:color="auto"/>
          </w:divBdr>
        </w:div>
        <w:div w:id="2002851210">
          <w:marLeft w:val="0"/>
          <w:marRight w:val="0"/>
          <w:marTop w:val="0"/>
          <w:marBottom w:val="0"/>
          <w:divBdr>
            <w:top w:val="none" w:sz="0" w:space="0" w:color="auto"/>
            <w:left w:val="none" w:sz="0" w:space="0" w:color="auto"/>
            <w:bottom w:val="none" w:sz="0" w:space="0" w:color="auto"/>
            <w:right w:val="none" w:sz="0" w:space="0" w:color="auto"/>
          </w:divBdr>
        </w:div>
        <w:div w:id="1773283000">
          <w:marLeft w:val="0"/>
          <w:marRight w:val="0"/>
          <w:marTop w:val="0"/>
          <w:marBottom w:val="0"/>
          <w:divBdr>
            <w:top w:val="none" w:sz="0" w:space="0" w:color="auto"/>
            <w:left w:val="none" w:sz="0" w:space="0" w:color="auto"/>
            <w:bottom w:val="none" w:sz="0" w:space="0" w:color="auto"/>
            <w:right w:val="none" w:sz="0" w:space="0" w:color="auto"/>
          </w:divBdr>
        </w:div>
      </w:divsChild>
    </w:div>
    <w:div w:id="1919559548">
      <w:bodyDiv w:val="1"/>
      <w:marLeft w:val="0"/>
      <w:marRight w:val="0"/>
      <w:marTop w:val="0"/>
      <w:marBottom w:val="0"/>
      <w:divBdr>
        <w:top w:val="none" w:sz="0" w:space="0" w:color="auto"/>
        <w:left w:val="none" w:sz="0" w:space="0" w:color="auto"/>
        <w:bottom w:val="none" w:sz="0" w:space="0" w:color="auto"/>
        <w:right w:val="none" w:sz="0" w:space="0" w:color="auto"/>
      </w:divBdr>
    </w:div>
    <w:div w:id="1920558540">
      <w:bodyDiv w:val="1"/>
      <w:marLeft w:val="0"/>
      <w:marRight w:val="0"/>
      <w:marTop w:val="0"/>
      <w:marBottom w:val="0"/>
      <w:divBdr>
        <w:top w:val="none" w:sz="0" w:space="0" w:color="auto"/>
        <w:left w:val="none" w:sz="0" w:space="0" w:color="auto"/>
        <w:bottom w:val="none" w:sz="0" w:space="0" w:color="auto"/>
        <w:right w:val="none" w:sz="0" w:space="0" w:color="auto"/>
      </w:divBdr>
    </w:div>
    <w:div w:id="1921793816">
      <w:bodyDiv w:val="1"/>
      <w:marLeft w:val="0"/>
      <w:marRight w:val="0"/>
      <w:marTop w:val="0"/>
      <w:marBottom w:val="0"/>
      <w:divBdr>
        <w:top w:val="none" w:sz="0" w:space="0" w:color="auto"/>
        <w:left w:val="none" w:sz="0" w:space="0" w:color="auto"/>
        <w:bottom w:val="none" w:sz="0" w:space="0" w:color="auto"/>
        <w:right w:val="none" w:sz="0" w:space="0" w:color="auto"/>
      </w:divBdr>
    </w:div>
    <w:div w:id="1921981367">
      <w:bodyDiv w:val="1"/>
      <w:marLeft w:val="0"/>
      <w:marRight w:val="0"/>
      <w:marTop w:val="0"/>
      <w:marBottom w:val="0"/>
      <w:divBdr>
        <w:top w:val="none" w:sz="0" w:space="0" w:color="auto"/>
        <w:left w:val="none" w:sz="0" w:space="0" w:color="auto"/>
        <w:bottom w:val="none" w:sz="0" w:space="0" w:color="auto"/>
        <w:right w:val="none" w:sz="0" w:space="0" w:color="auto"/>
      </w:divBdr>
    </w:div>
    <w:div w:id="1921985359">
      <w:bodyDiv w:val="1"/>
      <w:marLeft w:val="0"/>
      <w:marRight w:val="0"/>
      <w:marTop w:val="0"/>
      <w:marBottom w:val="0"/>
      <w:divBdr>
        <w:top w:val="none" w:sz="0" w:space="0" w:color="auto"/>
        <w:left w:val="none" w:sz="0" w:space="0" w:color="auto"/>
        <w:bottom w:val="none" w:sz="0" w:space="0" w:color="auto"/>
        <w:right w:val="none" w:sz="0" w:space="0" w:color="auto"/>
      </w:divBdr>
    </w:div>
    <w:div w:id="1921988432">
      <w:bodyDiv w:val="1"/>
      <w:marLeft w:val="0"/>
      <w:marRight w:val="0"/>
      <w:marTop w:val="0"/>
      <w:marBottom w:val="0"/>
      <w:divBdr>
        <w:top w:val="none" w:sz="0" w:space="0" w:color="auto"/>
        <w:left w:val="none" w:sz="0" w:space="0" w:color="auto"/>
        <w:bottom w:val="none" w:sz="0" w:space="0" w:color="auto"/>
        <w:right w:val="none" w:sz="0" w:space="0" w:color="auto"/>
      </w:divBdr>
    </w:div>
    <w:div w:id="1923753261">
      <w:bodyDiv w:val="1"/>
      <w:marLeft w:val="0"/>
      <w:marRight w:val="0"/>
      <w:marTop w:val="0"/>
      <w:marBottom w:val="0"/>
      <w:divBdr>
        <w:top w:val="none" w:sz="0" w:space="0" w:color="auto"/>
        <w:left w:val="none" w:sz="0" w:space="0" w:color="auto"/>
        <w:bottom w:val="none" w:sz="0" w:space="0" w:color="auto"/>
        <w:right w:val="none" w:sz="0" w:space="0" w:color="auto"/>
      </w:divBdr>
    </w:div>
    <w:div w:id="1924532445">
      <w:bodyDiv w:val="1"/>
      <w:marLeft w:val="0"/>
      <w:marRight w:val="0"/>
      <w:marTop w:val="0"/>
      <w:marBottom w:val="0"/>
      <w:divBdr>
        <w:top w:val="none" w:sz="0" w:space="0" w:color="auto"/>
        <w:left w:val="none" w:sz="0" w:space="0" w:color="auto"/>
        <w:bottom w:val="none" w:sz="0" w:space="0" w:color="auto"/>
        <w:right w:val="none" w:sz="0" w:space="0" w:color="auto"/>
      </w:divBdr>
    </w:div>
    <w:div w:id="1925140568">
      <w:bodyDiv w:val="1"/>
      <w:marLeft w:val="0"/>
      <w:marRight w:val="0"/>
      <w:marTop w:val="0"/>
      <w:marBottom w:val="0"/>
      <w:divBdr>
        <w:top w:val="none" w:sz="0" w:space="0" w:color="auto"/>
        <w:left w:val="none" w:sz="0" w:space="0" w:color="auto"/>
        <w:bottom w:val="none" w:sz="0" w:space="0" w:color="auto"/>
        <w:right w:val="none" w:sz="0" w:space="0" w:color="auto"/>
      </w:divBdr>
    </w:div>
    <w:div w:id="1925141920">
      <w:bodyDiv w:val="1"/>
      <w:marLeft w:val="0"/>
      <w:marRight w:val="0"/>
      <w:marTop w:val="0"/>
      <w:marBottom w:val="0"/>
      <w:divBdr>
        <w:top w:val="none" w:sz="0" w:space="0" w:color="auto"/>
        <w:left w:val="none" w:sz="0" w:space="0" w:color="auto"/>
        <w:bottom w:val="none" w:sz="0" w:space="0" w:color="auto"/>
        <w:right w:val="none" w:sz="0" w:space="0" w:color="auto"/>
      </w:divBdr>
    </w:div>
    <w:div w:id="1925871972">
      <w:bodyDiv w:val="1"/>
      <w:marLeft w:val="0"/>
      <w:marRight w:val="0"/>
      <w:marTop w:val="0"/>
      <w:marBottom w:val="0"/>
      <w:divBdr>
        <w:top w:val="none" w:sz="0" w:space="0" w:color="auto"/>
        <w:left w:val="none" w:sz="0" w:space="0" w:color="auto"/>
        <w:bottom w:val="none" w:sz="0" w:space="0" w:color="auto"/>
        <w:right w:val="none" w:sz="0" w:space="0" w:color="auto"/>
      </w:divBdr>
    </w:div>
    <w:div w:id="1927108222">
      <w:bodyDiv w:val="1"/>
      <w:marLeft w:val="0"/>
      <w:marRight w:val="0"/>
      <w:marTop w:val="0"/>
      <w:marBottom w:val="0"/>
      <w:divBdr>
        <w:top w:val="none" w:sz="0" w:space="0" w:color="auto"/>
        <w:left w:val="none" w:sz="0" w:space="0" w:color="auto"/>
        <w:bottom w:val="none" w:sz="0" w:space="0" w:color="auto"/>
        <w:right w:val="none" w:sz="0" w:space="0" w:color="auto"/>
      </w:divBdr>
    </w:div>
    <w:div w:id="1927183120">
      <w:bodyDiv w:val="1"/>
      <w:marLeft w:val="0"/>
      <w:marRight w:val="0"/>
      <w:marTop w:val="0"/>
      <w:marBottom w:val="0"/>
      <w:divBdr>
        <w:top w:val="none" w:sz="0" w:space="0" w:color="auto"/>
        <w:left w:val="none" w:sz="0" w:space="0" w:color="auto"/>
        <w:bottom w:val="none" w:sz="0" w:space="0" w:color="auto"/>
        <w:right w:val="none" w:sz="0" w:space="0" w:color="auto"/>
      </w:divBdr>
    </w:div>
    <w:div w:id="1927303482">
      <w:bodyDiv w:val="1"/>
      <w:marLeft w:val="0"/>
      <w:marRight w:val="0"/>
      <w:marTop w:val="0"/>
      <w:marBottom w:val="0"/>
      <w:divBdr>
        <w:top w:val="none" w:sz="0" w:space="0" w:color="auto"/>
        <w:left w:val="none" w:sz="0" w:space="0" w:color="auto"/>
        <w:bottom w:val="none" w:sz="0" w:space="0" w:color="auto"/>
        <w:right w:val="none" w:sz="0" w:space="0" w:color="auto"/>
      </w:divBdr>
    </w:div>
    <w:div w:id="1927569605">
      <w:bodyDiv w:val="1"/>
      <w:marLeft w:val="0"/>
      <w:marRight w:val="0"/>
      <w:marTop w:val="0"/>
      <w:marBottom w:val="0"/>
      <w:divBdr>
        <w:top w:val="none" w:sz="0" w:space="0" w:color="auto"/>
        <w:left w:val="none" w:sz="0" w:space="0" w:color="auto"/>
        <w:bottom w:val="none" w:sz="0" w:space="0" w:color="auto"/>
        <w:right w:val="none" w:sz="0" w:space="0" w:color="auto"/>
      </w:divBdr>
    </w:div>
    <w:div w:id="1927960610">
      <w:bodyDiv w:val="1"/>
      <w:marLeft w:val="0"/>
      <w:marRight w:val="0"/>
      <w:marTop w:val="0"/>
      <w:marBottom w:val="0"/>
      <w:divBdr>
        <w:top w:val="none" w:sz="0" w:space="0" w:color="auto"/>
        <w:left w:val="none" w:sz="0" w:space="0" w:color="auto"/>
        <w:bottom w:val="none" w:sz="0" w:space="0" w:color="auto"/>
        <w:right w:val="none" w:sz="0" w:space="0" w:color="auto"/>
      </w:divBdr>
    </w:div>
    <w:div w:id="1928490495">
      <w:bodyDiv w:val="1"/>
      <w:marLeft w:val="0"/>
      <w:marRight w:val="0"/>
      <w:marTop w:val="0"/>
      <w:marBottom w:val="0"/>
      <w:divBdr>
        <w:top w:val="none" w:sz="0" w:space="0" w:color="auto"/>
        <w:left w:val="none" w:sz="0" w:space="0" w:color="auto"/>
        <w:bottom w:val="none" w:sz="0" w:space="0" w:color="auto"/>
        <w:right w:val="none" w:sz="0" w:space="0" w:color="auto"/>
      </w:divBdr>
    </w:div>
    <w:div w:id="1930116534">
      <w:bodyDiv w:val="1"/>
      <w:marLeft w:val="0"/>
      <w:marRight w:val="0"/>
      <w:marTop w:val="0"/>
      <w:marBottom w:val="0"/>
      <w:divBdr>
        <w:top w:val="none" w:sz="0" w:space="0" w:color="auto"/>
        <w:left w:val="none" w:sz="0" w:space="0" w:color="auto"/>
        <w:bottom w:val="none" w:sz="0" w:space="0" w:color="auto"/>
        <w:right w:val="none" w:sz="0" w:space="0" w:color="auto"/>
      </w:divBdr>
    </w:div>
    <w:div w:id="1931229141">
      <w:bodyDiv w:val="1"/>
      <w:marLeft w:val="0"/>
      <w:marRight w:val="0"/>
      <w:marTop w:val="0"/>
      <w:marBottom w:val="0"/>
      <w:divBdr>
        <w:top w:val="none" w:sz="0" w:space="0" w:color="auto"/>
        <w:left w:val="none" w:sz="0" w:space="0" w:color="auto"/>
        <w:bottom w:val="none" w:sz="0" w:space="0" w:color="auto"/>
        <w:right w:val="none" w:sz="0" w:space="0" w:color="auto"/>
      </w:divBdr>
    </w:div>
    <w:div w:id="1931427998">
      <w:bodyDiv w:val="1"/>
      <w:marLeft w:val="0"/>
      <w:marRight w:val="0"/>
      <w:marTop w:val="0"/>
      <w:marBottom w:val="0"/>
      <w:divBdr>
        <w:top w:val="none" w:sz="0" w:space="0" w:color="auto"/>
        <w:left w:val="none" w:sz="0" w:space="0" w:color="auto"/>
        <w:bottom w:val="none" w:sz="0" w:space="0" w:color="auto"/>
        <w:right w:val="none" w:sz="0" w:space="0" w:color="auto"/>
      </w:divBdr>
    </w:div>
    <w:div w:id="1931623914">
      <w:bodyDiv w:val="1"/>
      <w:marLeft w:val="0"/>
      <w:marRight w:val="0"/>
      <w:marTop w:val="0"/>
      <w:marBottom w:val="0"/>
      <w:divBdr>
        <w:top w:val="none" w:sz="0" w:space="0" w:color="auto"/>
        <w:left w:val="none" w:sz="0" w:space="0" w:color="auto"/>
        <w:bottom w:val="none" w:sz="0" w:space="0" w:color="auto"/>
        <w:right w:val="none" w:sz="0" w:space="0" w:color="auto"/>
      </w:divBdr>
    </w:div>
    <w:div w:id="1931935762">
      <w:bodyDiv w:val="1"/>
      <w:marLeft w:val="0"/>
      <w:marRight w:val="0"/>
      <w:marTop w:val="0"/>
      <w:marBottom w:val="0"/>
      <w:divBdr>
        <w:top w:val="none" w:sz="0" w:space="0" w:color="auto"/>
        <w:left w:val="none" w:sz="0" w:space="0" w:color="auto"/>
        <w:bottom w:val="none" w:sz="0" w:space="0" w:color="auto"/>
        <w:right w:val="none" w:sz="0" w:space="0" w:color="auto"/>
      </w:divBdr>
    </w:div>
    <w:div w:id="1932154556">
      <w:bodyDiv w:val="1"/>
      <w:marLeft w:val="0"/>
      <w:marRight w:val="0"/>
      <w:marTop w:val="0"/>
      <w:marBottom w:val="0"/>
      <w:divBdr>
        <w:top w:val="none" w:sz="0" w:space="0" w:color="auto"/>
        <w:left w:val="none" w:sz="0" w:space="0" w:color="auto"/>
        <w:bottom w:val="none" w:sz="0" w:space="0" w:color="auto"/>
        <w:right w:val="none" w:sz="0" w:space="0" w:color="auto"/>
      </w:divBdr>
    </w:div>
    <w:div w:id="1932348818">
      <w:bodyDiv w:val="1"/>
      <w:marLeft w:val="0"/>
      <w:marRight w:val="0"/>
      <w:marTop w:val="0"/>
      <w:marBottom w:val="0"/>
      <w:divBdr>
        <w:top w:val="none" w:sz="0" w:space="0" w:color="auto"/>
        <w:left w:val="none" w:sz="0" w:space="0" w:color="auto"/>
        <w:bottom w:val="none" w:sz="0" w:space="0" w:color="auto"/>
        <w:right w:val="none" w:sz="0" w:space="0" w:color="auto"/>
      </w:divBdr>
    </w:div>
    <w:div w:id="1932622525">
      <w:bodyDiv w:val="1"/>
      <w:marLeft w:val="0"/>
      <w:marRight w:val="0"/>
      <w:marTop w:val="0"/>
      <w:marBottom w:val="0"/>
      <w:divBdr>
        <w:top w:val="none" w:sz="0" w:space="0" w:color="auto"/>
        <w:left w:val="none" w:sz="0" w:space="0" w:color="auto"/>
        <w:bottom w:val="none" w:sz="0" w:space="0" w:color="auto"/>
        <w:right w:val="none" w:sz="0" w:space="0" w:color="auto"/>
      </w:divBdr>
    </w:div>
    <w:div w:id="1933119366">
      <w:bodyDiv w:val="1"/>
      <w:marLeft w:val="0"/>
      <w:marRight w:val="0"/>
      <w:marTop w:val="0"/>
      <w:marBottom w:val="0"/>
      <w:divBdr>
        <w:top w:val="none" w:sz="0" w:space="0" w:color="auto"/>
        <w:left w:val="none" w:sz="0" w:space="0" w:color="auto"/>
        <w:bottom w:val="none" w:sz="0" w:space="0" w:color="auto"/>
        <w:right w:val="none" w:sz="0" w:space="0" w:color="auto"/>
      </w:divBdr>
    </w:div>
    <w:div w:id="1933125576">
      <w:bodyDiv w:val="1"/>
      <w:marLeft w:val="0"/>
      <w:marRight w:val="0"/>
      <w:marTop w:val="0"/>
      <w:marBottom w:val="0"/>
      <w:divBdr>
        <w:top w:val="none" w:sz="0" w:space="0" w:color="auto"/>
        <w:left w:val="none" w:sz="0" w:space="0" w:color="auto"/>
        <w:bottom w:val="none" w:sz="0" w:space="0" w:color="auto"/>
        <w:right w:val="none" w:sz="0" w:space="0" w:color="auto"/>
      </w:divBdr>
    </w:div>
    <w:div w:id="1934432134">
      <w:bodyDiv w:val="1"/>
      <w:marLeft w:val="0"/>
      <w:marRight w:val="0"/>
      <w:marTop w:val="0"/>
      <w:marBottom w:val="0"/>
      <w:divBdr>
        <w:top w:val="none" w:sz="0" w:space="0" w:color="auto"/>
        <w:left w:val="none" w:sz="0" w:space="0" w:color="auto"/>
        <w:bottom w:val="none" w:sz="0" w:space="0" w:color="auto"/>
        <w:right w:val="none" w:sz="0" w:space="0" w:color="auto"/>
      </w:divBdr>
    </w:div>
    <w:div w:id="1934510813">
      <w:bodyDiv w:val="1"/>
      <w:marLeft w:val="0"/>
      <w:marRight w:val="0"/>
      <w:marTop w:val="0"/>
      <w:marBottom w:val="0"/>
      <w:divBdr>
        <w:top w:val="none" w:sz="0" w:space="0" w:color="auto"/>
        <w:left w:val="none" w:sz="0" w:space="0" w:color="auto"/>
        <w:bottom w:val="none" w:sz="0" w:space="0" w:color="auto"/>
        <w:right w:val="none" w:sz="0" w:space="0" w:color="auto"/>
      </w:divBdr>
    </w:div>
    <w:div w:id="1934849585">
      <w:bodyDiv w:val="1"/>
      <w:marLeft w:val="0"/>
      <w:marRight w:val="0"/>
      <w:marTop w:val="0"/>
      <w:marBottom w:val="0"/>
      <w:divBdr>
        <w:top w:val="none" w:sz="0" w:space="0" w:color="auto"/>
        <w:left w:val="none" w:sz="0" w:space="0" w:color="auto"/>
        <w:bottom w:val="none" w:sz="0" w:space="0" w:color="auto"/>
        <w:right w:val="none" w:sz="0" w:space="0" w:color="auto"/>
      </w:divBdr>
    </w:div>
    <w:div w:id="1935018140">
      <w:bodyDiv w:val="1"/>
      <w:marLeft w:val="0"/>
      <w:marRight w:val="0"/>
      <w:marTop w:val="0"/>
      <w:marBottom w:val="0"/>
      <w:divBdr>
        <w:top w:val="none" w:sz="0" w:space="0" w:color="auto"/>
        <w:left w:val="none" w:sz="0" w:space="0" w:color="auto"/>
        <w:bottom w:val="none" w:sz="0" w:space="0" w:color="auto"/>
        <w:right w:val="none" w:sz="0" w:space="0" w:color="auto"/>
      </w:divBdr>
    </w:div>
    <w:div w:id="1935431938">
      <w:bodyDiv w:val="1"/>
      <w:marLeft w:val="0"/>
      <w:marRight w:val="0"/>
      <w:marTop w:val="0"/>
      <w:marBottom w:val="0"/>
      <w:divBdr>
        <w:top w:val="none" w:sz="0" w:space="0" w:color="auto"/>
        <w:left w:val="none" w:sz="0" w:space="0" w:color="auto"/>
        <w:bottom w:val="none" w:sz="0" w:space="0" w:color="auto"/>
        <w:right w:val="none" w:sz="0" w:space="0" w:color="auto"/>
      </w:divBdr>
    </w:div>
    <w:div w:id="1935698819">
      <w:bodyDiv w:val="1"/>
      <w:marLeft w:val="0"/>
      <w:marRight w:val="0"/>
      <w:marTop w:val="0"/>
      <w:marBottom w:val="0"/>
      <w:divBdr>
        <w:top w:val="none" w:sz="0" w:space="0" w:color="auto"/>
        <w:left w:val="none" w:sz="0" w:space="0" w:color="auto"/>
        <w:bottom w:val="none" w:sz="0" w:space="0" w:color="auto"/>
        <w:right w:val="none" w:sz="0" w:space="0" w:color="auto"/>
      </w:divBdr>
    </w:div>
    <w:div w:id="1935896177">
      <w:bodyDiv w:val="1"/>
      <w:marLeft w:val="0"/>
      <w:marRight w:val="0"/>
      <w:marTop w:val="0"/>
      <w:marBottom w:val="0"/>
      <w:divBdr>
        <w:top w:val="none" w:sz="0" w:space="0" w:color="auto"/>
        <w:left w:val="none" w:sz="0" w:space="0" w:color="auto"/>
        <w:bottom w:val="none" w:sz="0" w:space="0" w:color="auto"/>
        <w:right w:val="none" w:sz="0" w:space="0" w:color="auto"/>
      </w:divBdr>
    </w:div>
    <w:div w:id="1936130441">
      <w:bodyDiv w:val="1"/>
      <w:marLeft w:val="0"/>
      <w:marRight w:val="0"/>
      <w:marTop w:val="0"/>
      <w:marBottom w:val="0"/>
      <w:divBdr>
        <w:top w:val="none" w:sz="0" w:space="0" w:color="auto"/>
        <w:left w:val="none" w:sz="0" w:space="0" w:color="auto"/>
        <w:bottom w:val="none" w:sz="0" w:space="0" w:color="auto"/>
        <w:right w:val="none" w:sz="0" w:space="0" w:color="auto"/>
      </w:divBdr>
    </w:div>
    <w:div w:id="1936983367">
      <w:bodyDiv w:val="1"/>
      <w:marLeft w:val="0"/>
      <w:marRight w:val="0"/>
      <w:marTop w:val="0"/>
      <w:marBottom w:val="0"/>
      <w:divBdr>
        <w:top w:val="none" w:sz="0" w:space="0" w:color="auto"/>
        <w:left w:val="none" w:sz="0" w:space="0" w:color="auto"/>
        <w:bottom w:val="none" w:sz="0" w:space="0" w:color="auto"/>
        <w:right w:val="none" w:sz="0" w:space="0" w:color="auto"/>
      </w:divBdr>
    </w:div>
    <w:div w:id="1937595208">
      <w:bodyDiv w:val="1"/>
      <w:marLeft w:val="0"/>
      <w:marRight w:val="0"/>
      <w:marTop w:val="0"/>
      <w:marBottom w:val="0"/>
      <w:divBdr>
        <w:top w:val="none" w:sz="0" w:space="0" w:color="auto"/>
        <w:left w:val="none" w:sz="0" w:space="0" w:color="auto"/>
        <w:bottom w:val="none" w:sz="0" w:space="0" w:color="auto"/>
        <w:right w:val="none" w:sz="0" w:space="0" w:color="auto"/>
      </w:divBdr>
    </w:div>
    <w:div w:id="1937861564">
      <w:bodyDiv w:val="1"/>
      <w:marLeft w:val="0"/>
      <w:marRight w:val="0"/>
      <w:marTop w:val="0"/>
      <w:marBottom w:val="0"/>
      <w:divBdr>
        <w:top w:val="none" w:sz="0" w:space="0" w:color="auto"/>
        <w:left w:val="none" w:sz="0" w:space="0" w:color="auto"/>
        <w:bottom w:val="none" w:sz="0" w:space="0" w:color="auto"/>
        <w:right w:val="none" w:sz="0" w:space="0" w:color="auto"/>
      </w:divBdr>
    </w:div>
    <w:div w:id="1938051784">
      <w:bodyDiv w:val="1"/>
      <w:marLeft w:val="0"/>
      <w:marRight w:val="0"/>
      <w:marTop w:val="0"/>
      <w:marBottom w:val="0"/>
      <w:divBdr>
        <w:top w:val="none" w:sz="0" w:space="0" w:color="auto"/>
        <w:left w:val="none" w:sz="0" w:space="0" w:color="auto"/>
        <w:bottom w:val="none" w:sz="0" w:space="0" w:color="auto"/>
        <w:right w:val="none" w:sz="0" w:space="0" w:color="auto"/>
      </w:divBdr>
    </w:div>
    <w:div w:id="1938513280">
      <w:bodyDiv w:val="1"/>
      <w:marLeft w:val="0"/>
      <w:marRight w:val="0"/>
      <w:marTop w:val="0"/>
      <w:marBottom w:val="0"/>
      <w:divBdr>
        <w:top w:val="none" w:sz="0" w:space="0" w:color="auto"/>
        <w:left w:val="none" w:sz="0" w:space="0" w:color="auto"/>
        <w:bottom w:val="none" w:sz="0" w:space="0" w:color="auto"/>
        <w:right w:val="none" w:sz="0" w:space="0" w:color="auto"/>
      </w:divBdr>
    </w:div>
    <w:div w:id="1939480283">
      <w:bodyDiv w:val="1"/>
      <w:marLeft w:val="0"/>
      <w:marRight w:val="0"/>
      <w:marTop w:val="0"/>
      <w:marBottom w:val="0"/>
      <w:divBdr>
        <w:top w:val="none" w:sz="0" w:space="0" w:color="auto"/>
        <w:left w:val="none" w:sz="0" w:space="0" w:color="auto"/>
        <w:bottom w:val="none" w:sz="0" w:space="0" w:color="auto"/>
        <w:right w:val="none" w:sz="0" w:space="0" w:color="auto"/>
      </w:divBdr>
    </w:div>
    <w:div w:id="1940068387">
      <w:bodyDiv w:val="1"/>
      <w:marLeft w:val="0"/>
      <w:marRight w:val="0"/>
      <w:marTop w:val="0"/>
      <w:marBottom w:val="0"/>
      <w:divBdr>
        <w:top w:val="none" w:sz="0" w:space="0" w:color="auto"/>
        <w:left w:val="none" w:sz="0" w:space="0" w:color="auto"/>
        <w:bottom w:val="none" w:sz="0" w:space="0" w:color="auto"/>
        <w:right w:val="none" w:sz="0" w:space="0" w:color="auto"/>
      </w:divBdr>
    </w:div>
    <w:div w:id="1940601846">
      <w:bodyDiv w:val="1"/>
      <w:marLeft w:val="0"/>
      <w:marRight w:val="0"/>
      <w:marTop w:val="0"/>
      <w:marBottom w:val="0"/>
      <w:divBdr>
        <w:top w:val="none" w:sz="0" w:space="0" w:color="auto"/>
        <w:left w:val="none" w:sz="0" w:space="0" w:color="auto"/>
        <w:bottom w:val="none" w:sz="0" w:space="0" w:color="auto"/>
        <w:right w:val="none" w:sz="0" w:space="0" w:color="auto"/>
      </w:divBdr>
    </w:div>
    <w:div w:id="1940790993">
      <w:bodyDiv w:val="1"/>
      <w:marLeft w:val="0"/>
      <w:marRight w:val="0"/>
      <w:marTop w:val="0"/>
      <w:marBottom w:val="0"/>
      <w:divBdr>
        <w:top w:val="none" w:sz="0" w:space="0" w:color="auto"/>
        <w:left w:val="none" w:sz="0" w:space="0" w:color="auto"/>
        <w:bottom w:val="none" w:sz="0" w:space="0" w:color="auto"/>
        <w:right w:val="none" w:sz="0" w:space="0" w:color="auto"/>
      </w:divBdr>
    </w:div>
    <w:div w:id="1941376447">
      <w:bodyDiv w:val="1"/>
      <w:marLeft w:val="0"/>
      <w:marRight w:val="0"/>
      <w:marTop w:val="0"/>
      <w:marBottom w:val="0"/>
      <w:divBdr>
        <w:top w:val="none" w:sz="0" w:space="0" w:color="auto"/>
        <w:left w:val="none" w:sz="0" w:space="0" w:color="auto"/>
        <w:bottom w:val="none" w:sz="0" w:space="0" w:color="auto"/>
        <w:right w:val="none" w:sz="0" w:space="0" w:color="auto"/>
      </w:divBdr>
    </w:div>
    <w:div w:id="1941913736">
      <w:bodyDiv w:val="1"/>
      <w:marLeft w:val="0"/>
      <w:marRight w:val="0"/>
      <w:marTop w:val="0"/>
      <w:marBottom w:val="0"/>
      <w:divBdr>
        <w:top w:val="none" w:sz="0" w:space="0" w:color="auto"/>
        <w:left w:val="none" w:sz="0" w:space="0" w:color="auto"/>
        <w:bottom w:val="none" w:sz="0" w:space="0" w:color="auto"/>
        <w:right w:val="none" w:sz="0" w:space="0" w:color="auto"/>
      </w:divBdr>
    </w:div>
    <w:div w:id="1942182182">
      <w:bodyDiv w:val="1"/>
      <w:marLeft w:val="0"/>
      <w:marRight w:val="0"/>
      <w:marTop w:val="0"/>
      <w:marBottom w:val="0"/>
      <w:divBdr>
        <w:top w:val="none" w:sz="0" w:space="0" w:color="auto"/>
        <w:left w:val="none" w:sz="0" w:space="0" w:color="auto"/>
        <w:bottom w:val="none" w:sz="0" w:space="0" w:color="auto"/>
        <w:right w:val="none" w:sz="0" w:space="0" w:color="auto"/>
      </w:divBdr>
    </w:div>
    <w:div w:id="1943803778">
      <w:bodyDiv w:val="1"/>
      <w:marLeft w:val="0"/>
      <w:marRight w:val="0"/>
      <w:marTop w:val="0"/>
      <w:marBottom w:val="0"/>
      <w:divBdr>
        <w:top w:val="none" w:sz="0" w:space="0" w:color="auto"/>
        <w:left w:val="none" w:sz="0" w:space="0" w:color="auto"/>
        <w:bottom w:val="none" w:sz="0" w:space="0" w:color="auto"/>
        <w:right w:val="none" w:sz="0" w:space="0" w:color="auto"/>
      </w:divBdr>
    </w:div>
    <w:div w:id="1943996887">
      <w:bodyDiv w:val="1"/>
      <w:marLeft w:val="0"/>
      <w:marRight w:val="0"/>
      <w:marTop w:val="0"/>
      <w:marBottom w:val="0"/>
      <w:divBdr>
        <w:top w:val="none" w:sz="0" w:space="0" w:color="auto"/>
        <w:left w:val="none" w:sz="0" w:space="0" w:color="auto"/>
        <w:bottom w:val="none" w:sz="0" w:space="0" w:color="auto"/>
        <w:right w:val="none" w:sz="0" w:space="0" w:color="auto"/>
      </w:divBdr>
    </w:div>
    <w:div w:id="1944603842">
      <w:bodyDiv w:val="1"/>
      <w:marLeft w:val="0"/>
      <w:marRight w:val="0"/>
      <w:marTop w:val="0"/>
      <w:marBottom w:val="0"/>
      <w:divBdr>
        <w:top w:val="none" w:sz="0" w:space="0" w:color="auto"/>
        <w:left w:val="none" w:sz="0" w:space="0" w:color="auto"/>
        <w:bottom w:val="none" w:sz="0" w:space="0" w:color="auto"/>
        <w:right w:val="none" w:sz="0" w:space="0" w:color="auto"/>
      </w:divBdr>
    </w:div>
    <w:div w:id="1945381435">
      <w:bodyDiv w:val="1"/>
      <w:marLeft w:val="0"/>
      <w:marRight w:val="0"/>
      <w:marTop w:val="0"/>
      <w:marBottom w:val="0"/>
      <w:divBdr>
        <w:top w:val="none" w:sz="0" w:space="0" w:color="auto"/>
        <w:left w:val="none" w:sz="0" w:space="0" w:color="auto"/>
        <w:bottom w:val="none" w:sz="0" w:space="0" w:color="auto"/>
        <w:right w:val="none" w:sz="0" w:space="0" w:color="auto"/>
      </w:divBdr>
    </w:div>
    <w:div w:id="1946378312">
      <w:bodyDiv w:val="1"/>
      <w:marLeft w:val="0"/>
      <w:marRight w:val="0"/>
      <w:marTop w:val="0"/>
      <w:marBottom w:val="0"/>
      <w:divBdr>
        <w:top w:val="none" w:sz="0" w:space="0" w:color="auto"/>
        <w:left w:val="none" w:sz="0" w:space="0" w:color="auto"/>
        <w:bottom w:val="none" w:sz="0" w:space="0" w:color="auto"/>
        <w:right w:val="none" w:sz="0" w:space="0" w:color="auto"/>
      </w:divBdr>
    </w:div>
    <w:div w:id="1946578454">
      <w:bodyDiv w:val="1"/>
      <w:marLeft w:val="0"/>
      <w:marRight w:val="0"/>
      <w:marTop w:val="0"/>
      <w:marBottom w:val="0"/>
      <w:divBdr>
        <w:top w:val="none" w:sz="0" w:space="0" w:color="auto"/>
        <w:left w:val="none" w:sz="0" w:space="0" w:color="auto"/>
        <w:bottom w:val="none" w:sz="0" w:space="0" w:color="auto"/>
        <w:right w:val="none" w:sz="0" w:space="0" w:color="auto"/>
      </w:divBdr>
    </w:div>
    <w:div w:id="1946644487">
      <w:bodyDiv w:val="1"/>
      <w:marLeft w:val="0"/>
      <w:marRight w:val="0"/>
      <w:marTop w:val="0"/>
      <w:marBottom w:val="0"/>
      <w:divBdr>
        <w:top w:val="none" w:sz="0" w:space="0" w:color="auto"/>
        <w:left w:val="none" w:sz="0" w:space="0" w:color="auto"/>
        <w:bottom w:val="none" w:sz="0" w:space="0" w:color="auto"/>
        <w:right w:val="none" w:sz="0" w:space="0" w:color="auto"/>
      </w:divBdr>
    </w:div>
    <w:div w:id="1946842982">
      <w:bodyDiv w:val="1"/>
      <w:marLeft w:val="0"/>
      <w:marRight w:val="0"/>
      <w:marTop w:val="0"/>
      <w:marBottom w:val="0"/>
      <w:divBdr>
        <w:top w:val="none" w:sz="0" w:space="0" w:color="auto"/>
        <w:left w:val="none" w:sz="0" w:space="0" w:color="auto"/>
        <w:bottom w:val="none" w:sz="0" w:space="0" w:color="auto"/>
        <w:right w:val="none" w:sz="0" w:space="0" w:color="auto"/>
      </w:divBdr>
    </w:div>
    <w:div w:id="1946887264">
      <w:bodyDiv w:val="1"/>
      <w:marLeft w:val="0"/>
      <w:marRight w:val="0"/>
      <w:marTop w:val="0"/>
      <w:marBottom w:val="0"/>
      <w:divBdr>
        <w:top w:val="none" w:sz="0" w:space="0" w:color="auto"/>
        <w:left w:val="none" w:sz="0" w:space="0" w:color="auto"/>
        <w:bottom w:val="none" w:sz="0" w:space="0" w:color="auto"/>
        <w:right w:val="none" w:sz="0" w:space="0" w:color="auto"/>
      </w:divBdr>
    </w:div>
    <w:div w:id="1947081957">
      <w:bodyDiv w:val="1"/>
      <w:marLeft w:val="0"/>
      <w:marRight w:val="0"/>
      <w:marTop w:val="0"/>
      <w:marBottom w:val="0"/>
      <w:divBdr>
        <w:top w:val="none" w:sz="0" w:space="0" w:color="auto"/>
        <w:left w:val="none" w:sz="0" w:space="0" w:color="auto"/>
        <w:bottom w:val="none" w:sz="0" w:space="0" w:color="auto"/>
        <w:right w:val="none" w:sz="0" w:space="0" w:color="auto"/>
      </w:divBdr>
    </w:div>
    <w:div w:id="1947345306">
      <w:bodyDiv w:val="1"/>
      <w:marLeft w:val="0"/>
      <w:marRight w:val="0"/>
      <w:marTop w:val="0"/>
      <w:marBottom w:val="0"/>
      <w:divBdr>
        <w:top w:val="none" w:sz="0" w:space="0" w:color="auto"/>
        <w:left w:val="none" w:sz="0" w:space="0" w:color="auto"/>
        <w:bottom w:val="none" w:sz="0" w:space="0" w:color="auto"/>
        <w:right w:val="none" w:sz="0" w:space="0" w:color="auto"/>
      </w:divBdr>
    </w:div>
    <w:div w:id="1948464098">
      <w:bodyDiv w:val="1"/>
      <w:marLeft w:val="0"/>
      <w:marRight w:val="0"/>
      <w:marTop w:val="0"/>
      <w:marBottom w:val="0"/>
      <w:divBdr>
        <w:top w:val="none" w:sz="0" w:space="0" w:color="auto"/>
        <w:left w:val="none" w:sz="0" w:space="0" w:color="auto"/>
        <w:bottom w:val="none" w:sz="0" w:space="0" w:color="auto"/>
        <w:right w:val="none" w:sz="0" w:space="0" w:color="auto"/>
      </w:divBdr>
    </w:div>
    <w:div w:id="1949121896">
      <w:bodyDiv w:val="1"/>
      <w:marLeft w:val="0"/>
      <w:marRight w:val="0"/>
      <w:marTop w:val="0"/>
      <w:marBottom w:val="0"/>
      <w:divBdr>
        <w:top w:val="none" w:sz="0" w:space="0" w:color="auto"/>
        <w:left w:val="none" w:sz="0" w:space="0" w:color="auto"/>
        <w:bottom w:val="none" w:sz="0" w:space="0" w:color="auto"/>
        <w:right w:val="none" w:sz="0" w:space="0" w:color="auto"/>
      </w:divBdr>
    </w:div>
    <w:div w:id="1949923935">
      <w:bodyDiv w:val="1"/>
      <w:marLeft w:val="0"/>
      <w:marRight w:val="0"/>
      <w:marTop w:val="0"/>
      <w:marBottom w:val="0"/>
      <w:divBdr>
        <w:top w:val="none" w:sz="0" w:space="0" w:color="auto"/>
        <w:left w:val="none" w:sz="0" w:space="0" w:color="auto"/>
        <w:bottom w:val="none" w:sz="0" w:space="0" w:color="auto"/>
        <w:right w:val="none" w:sz="0" w:space="0" w:color="auto"/>
      </w:divBdr>
    </w:div>
    <w:div w:id="1950620477">
      <w:bodyDiv w:val="1"/>
      <w:marLeft w:val="0"/>
      <w:marRight w:val="0"/>
      <w:marTop w:val="0"/>
      <w:marBottom w:val="0"/>
      <w:divBdr>
        <w:top w:val="none" w:sz="0" w:space="0" w:color="auto"/>
        <w:left w:val="none" w:sz="0" w:space="0" w:color="auto"/>
        <w:bottom w:val="none" w:sz="0" w:space="0" w:color="auto"/>
        <w:right w:val="none" w:sz="0" w:space="0" w:color="auto"/>
      </w:divBdr>
    </w:div>
    <w:div w:id="1952006632">
      <w:bodyDiv w:val="1"/>
      <w:marLeft w:val="0"/>
      <w:marRight w:val="0"/>
      <w:marTop w:val="0"/>
      <w:marBottom w:val="0"/>
      <w:divBdr>
        <w:top w:val="none" w:sz="0" w:space="0" w:color="auto"/>
        <w:left w:val="none" w:sz="0" w:space="0" w:color="auto"/>
        <w:bottom w:val="none" w:sz="0" w:space="0" w:color="auto"/>
        <w:right w:val="none" w:sz="0" w:space="0" w:color="auto"/>
      </w:divBdr>
    </w:div>
    <w:div w:id="1952318544">
      <w:bodyDiv w:val="1"/>
      <w:marLeft w:val="0"/>
      <w:marRight w:val="0"/>
      <w:marTop w:val="0"/>
      <w:marBottom w:val="0"/>
      <w:divBdr>
        <w:top w:val="none" w:sz="0" w:space="0" w:color="auto"/>
        <w:left w:val="none" w:sz="0" w:space="0" w:color="auto"/>
        <w:bottom w:val="none" w:sz="0" w:space="0" w:color="auto"/>
        <w:right w:val="none" w:sz="0" w:space="0" w:color="auto"/>
      </w:divBdr>
    </w:div>
    <w:div w:id="1952588729">
      <w:bodyDiv w:val="1"/>
      <w:marLeft w:val="0"/>
      <w:marRight w:val="0"/>
      <w:marTop w:val="0"/>
      <w:marBottom w:val="0"/>
      <w:divBdr>
        <w:top w:val="none" w:sz="0" w:space="0" w:color="auto"/>
        <w:left w:val="none" w:sz="0" w:space="0" w:color="auto"/>
        <w:bottom w:val="none" w:sz="0" w:space="0" w:color="auto"/>
        <w:right w:val="none" w:sz="0" w:space="0" w:color="auto"/>
      </w:divBdr>
    </w:div>
    <w:div w:id="1953048709">
      <w:bodyDiv w:val="1"/>
      <w:marLeft w:val="0"/>
      <w:marRight w:val="0"/>
      <w:marTop w:val="0"/>
      <w:marBottom w:val="0"/>
      <w:divBdr>
        <w:top w:val="none" w:sz="0" w:space="0" w:color="auto"/>
        <w:left w:val="none" w:sz="0" w:space="0" w:color="auto"/>
        <w:bottom w:val="none" w:sz="0" w:space="0" w:color="auto"/>
        <w:right w:val="none" w:sz="0" w:space="0" w:color="auto"/>
      </w:divBdr>
    </w:div>
    <w:div w:id="1953778042">
      <w:bodyDiv w:val="1"/>
      <w:marLeft w:val="0"/>
      <w:marRight w:val="0"/>
      <w:marTop w:val="0"/>
      <w:marBottom w:val="0"/>
      <w:divBdr>
        <w:top w:val="none" w:sz="0" w:space="0" w:color="auto"/>
        <w:left w:val="none" w:sz="0" w:space="0" w:color="auto"/>
        <w:bottom w:val="none" w:sz="0" w:space="0" w:color="auto"/>
        <w:right w:val="none" w:sz="0" w:space="0" w:color="auto"/>
      </w:divBdr>
    </w:div>
    <w:div w:id="1953780112">
      <w:bodyDiv w:val="1"/>
      <w:marLeft w:val="0"/>
      <w:marRight w:val="0"/>
      <w:marTop w:val="0"/>
      <w:marBottom w:val="0"/>
      <w:divBdr>
        <w:top w:val="none" w:sz="0" w:space="0" w:color="auto"/>
        <w:left w:val="none" w:sz="0" w:space="0" w:color="auto"/>
        <w:bottom w:val="none" w:sz="0" w:space="0" w:color="auto"/>
        <w:right w:val="none" w:sz="0" w:space="0" w:color="auto"/>
      </w:divBdr>
    </w:div>
    <w:div w:id="1954823732">
      <w:bodyDiv w:val="1"/>
      <w:marLeft w:val="0"/>
      <w:marRight w:val="0"/>
      <w:marTop w:val="0"/>
      <w:marBottom w:val="0"/>
      <w:divBdr>
        <w:top w:val="none" w:sz="0" w:space="0" w:color="auto"/>
        <w:left w:val="none" w:sz="0" w:space="0" w:color="auto"/>
        <w:bottom w:val="none" w:sz="0" w:space="0" w:color="auto"/>
        <w:right w:val="none" w:sz="0" w:space="0" w:color="auto"/>
      </w:divBdr>
    </w:div>
    <w:div w:id="1954939350">
      <w:bodyDiv w:val="1"/>
      <w:marLeft w:val="0"/>
      <w:marRight w:val="0"/>
      <w:marTop w:val="0"/>
      <w:marBottom w:val="0"/>
      <w:divBdr>
        <w:top w:val="none" w:sz="0" w:space="0" w:color="auto"/>
        <w:left w:val="none" w:sz="0" w:space="0" w:color="auto"/>
        <w:bottom w:val="none" w:sz="0" w:space="0" w:color="auto"/>
        <w:right w:val="none" w:sz="0" w:space="0" w:color="auto"/>
      </w:divBdr>
    </w:div>
    <w:div w:id="1955332213">
      <w:bodyDiv w:val="1"/>
      <w:marLeft w:val="0"/>
      <w:marRight w:val="0"/>
      <w:marTop w:val="0"/>
      <w:marBottom w:val="0"/>
      <w:divBdr>
        <w:top w:val="none" w:sz="0" w:space="0" w:color="auto"/>
        <w:left w:val="none" w:sz="0" w:space="0" w:color="auto"/>
        <w:bottom w:val="none" w:sz="0" w:space="0" w:color="auto"/>
        <w:right w:val="none" w:sz="0" w:space="0" w:color="auto"/>
      </w:divBdr>
    </w:div>
    <w:div w:id="1956400245">
      <w:bodyDiv w:val="1"/>
      <w:marLeft w:val="0"/>
      <w:marRight w:val="0"/>
      <w:marTop w:val="0"/>
      <w:marBottom w:val="0"/>
      <w:divBdr>
        <w:top w:val="none" w:sz="0" w:space="0" w:color="auto"/>
        <w:left w:val="none" w:sz="0" w:space="0" w:color="auto"/>
        <w:bottom w:val="none" w:sz="0" w:space="0" w:color="auto"/>
        <w:right w:val="none" w:sz="0" w:space="0" w:color="auto"/>
      </w:divBdr>
    </w:div>
    <w:div w:id="1956591560">
      <w:bodyDiv w:val="1"/>
      <w:marLeft w:val="0"/>
      <w:marRight w:val="0"/>
      <w:marTop w:val="0"/>
      <w:marBottom w:val="0"/>
      <w:divBdr>
        <w:top w:val="none" w:sz="0" w:space="0" w:color="auto"/>
        <w:left w:val="none" w:sz="0" w:space="0" w:color="auto"/>
        <w:bottom w:val="none" w:sz="0" w:space="0" w:color="auto"/>
        <w:right w:val="none" w:sz="0" w:space="0" w:color="auto"/>
      </w:divBdr>
    </w:div>
    <w:div w:id="1957323801">
      <w:bodyDiv w:val="1"/>
      <w:marLeft w:val="0"/>
      <w:marRight w:val="0"/>
      <w:marTop w:val="0"/>
      <w:marBottom w:val="0"/>
      <w:divBdr>
        <w:top w:val="none" w:sz="0" w:space="0" w:color="auto"/>
        <w:left w:val="none" w:sz="0" w:space="0" w:color="auto"/>
        <w:bottom w:val="none" w:sz="0" w:space="0" w:color="auto"/>
        <w:right w:val="none" w:sz="0" w:space="0" w:color="auto"/>
      </w:divBdr>
    </w:div>
    <w:div w:id="1958103180">
      <w:bodyDiv w:val="1"/>
      <w:marLeft w:val="0"/>
      <w:marRight w:val="0"/>
      <w:marTop w:val="0"/>
      <w:marBottom w:val="0"/>
      <w:divBdr>
        <w:top w:val="none" w:sz="0" w:space="0" w:color="auto"/>
        <w:left w:val="none" w:sz="0" w:space="0" w:color="auto"/>
        <w:bottom w:val="none" w:sz="0" w:space="0" w:color="auto"/>
        <w:right w:val="none" w:sz="0" w:space="0" w:color="auto"/>
      </w:divBdr>
    </w:div>
    <w:div w:id="1958829939">
      <w:bodyDiv w:val="1"/>
      <w:marLeft w:val="0"/>
      <w:marRight w:val="0"/>
      <w:marTop w:val="0"/>
      <w:marBottom w:val="0"/>
      <w:divBdr>
        <w:top w:val="none" w:sz="0" w:space="0" w:color="auto"/>
        <w:left w:val="none" w:sz="0" w:space="0" w:color="auto"/>
        <w:bottom w:val="none" w:sz="0" w:space="0" w:color="auto"/>
        <w:right w:val="none" w:sz="0" w:space="0" w:color="auto"/>
      </w:divBdr>
    </w:div>
    <w:div w:id="1959333655">
      <w:bodyDiv w:val="1"/>
      <w:marLeft w:val="0"/>
      <w:marRight w:val="0"/>
      <w:marTop w:val="0"/>
      <w:marBottom w:val="0"/>
      <w:divBdr>
        <w:top w:val="none" w:sz="0" w:space="0" w:color="auto"/>
        <w:left w:val="none" w:sz="0" w:space="0" w:color="auto"/>
        <w:bottom w:val="none" w:sz="0" w:space="0" w:color="auto"/>
        <w:right w:val="none" w:sz="0" w:space="0" w:color="auto"/>
      </w:divBdr>
    </w:div>
    <w:div w:id="1959752253">
      <w:bodyDiv w:val="1"/>
      <w:marLeft w:val="0"/>
      <w:marRight w:val="0"/>
      <w:marTop w:val="0"/>
      <w:marBottom w:val="0"/>
      <w:divBdr>
        <w:top w:val="none" w:sz="0" w:space="0" w:color="auto"/>
        <w:left w:val="none" w:sz="0" w:space="0" w:color="auto"/>
        <w:bottom w:val="none" w:sz="0" w:space="0" w:color="auto"/>
        <w:right w:val="none" w:sz="0" w:space="0" w:color="auto"/>
      </w:divBdr>
    </w:div>
    <w:div w:id="1959794013">
      <w:bodyDiv w:val="1"/>
      <w:marLeft w:val="0"/>
      <w:marRight w:val="0"/>
      <w:marTop w:val="0"/>
      <w:marBottom w:val="0"/>
      <w:divBdr>
        <w:top w:val="none" w:sz="0" w:space="0" w:color="auto"/>
        <w:left w:val="none" w:sz="0" w:space="0" w:color="auto"/>
        <w:bottom w:val="none" w:sz="0" w:space="0" w:color="auto"/>
        <w:right w:val="none" w:sz="0" w:space="0" w:color="auto"/>
      </w:divBdr>
    </w:div>
    <w:div w:id="1960069892">
      <w:bodyDiv w:val="1"/>
      <w:marLeft w:val="0"/>
      <w:marRight w:val="0"/>
      <w:marTop w:val="0"/>
      <w:marBottom w:val="0"/>
      <w:divBdr>
        <w:top w:val="none" w:sz="0" w:space="0" w:color="auto"/>
        <w:left w:val="none" w:sz="0" w:space="0" w:color="auto"/>
        <w:bottom w:val="none" w:sz="0" w:space="0" w:color="auto"/>
        <w:right w:val="none" w:sz="0" w:space="0" w:color="auto"/>
      </w:divBdr>
    </w:div>
    <w:div w:id="1961909727">
      <w:bodyDiv w:val="1"/>
      <w:marLeft w:val="0"/>
      <w:marRight w:val="0"/>
      <w:marTop w:val="0"/>
      <w:marBottom w:val="0"/>
      <w:divBdr>
        <w:top w:val="none" w:sz="0" w:space="0" w:color="auto"/>
        <w:left w:val="none" w:sz="0" w:space="0" w:color="auto"/>
        <w:bottom w:val="none" w:sz="0" w:space="0" w:color="auto"/>
        <w:right w:val="none" w:sz="0" w:space="0" w:color="auto"/>
      </w:divBdr>
    </w:div>
    <w:div w:id="1961958961">
      <w:bodyDiv w:val="1"/>
      <w:marLeft w:val="0"/>
      <w:marRight w:val="0"/>
      <w:marTop w:val="0"/>
      <w:marBottom w:val="0"/>
      <w:divBdr>
        <w:top w:val="none" w:sz="0" w:space="0" w:color="auto"/>
        <w:left w:val="none" w:sz="0" w:space="0" w:color="auto"/>
        <w:bottom w:val="none" w:sz="0" w:space="0" w:color="auto"/>
        <w:right w:val="none" w:sz="0" w:space="0" w:color="auto"/>
      </w:divBdr>
    </w:div>
    <w:div w:id="1962685553">
      <w:bodyDiv w:val="1"/>
      <w:marLeft w:val="0"/>
      <w:marRight w:val="0"/>
      <w:marTop w:val="0"/>
      <w:marBottom w:val="0"/>
      <w:divBdr>
        <w:top w:val="none" w:sz="0" w:space="0" w:color="auto"/>
        <w:left w:val="none" w:sz="0" w:space="0" w:color="auto"/>
        <w:bottom w:val="none" w:sz="0" w:space="0" w:color="auto"/>
        <w:right w:val="none" w:sz="0" w:space="0" w:color="auto"/>
      </w:divBdr>
    </w:div>
    <w:div w:id="1963681490">
      <w:bodyDiv w:val="1"/>
      <w:marLeft w:val="0"/>
      <w:marRight w:val="0"/>
      <w:marTop w:val="0"/>
      <w:marBottom w:val="0"/>
      <w:divBdr>
        <w:top w:val="none" w:sz="0" w:space="0" w:color="auto"/>
        <w:left w:val="none" w:sz="0" w:space="0" w:color="auto"/>
        <w:bottom w:val="none" w:sz="0" w:space="0" w:color="auto"/>
        <w:right w:val="none" w:sz="0" w:space="0" w:color="auto"/>
      </w:divBdr>
    </w:div>
    <w:div w:id="1965231579">
      <w:bodyDiv w:val="1"/>
      <w:marLeft w:val="0"/>
      <w:marRight w:val="0"/>
      <w:marTop w:val="0"/>
      <w:marBottom w:val="0"/>
      <w:divBdr>
        <w:top w:val="none" w:sz="0" w:space="0" w:color="auto"/>
        <w:left w:val="none" w:sz="0" w:space="0" w:color="auto"/>
        <w:bottom w:val="none" w:sz="0" w:space="0" w:color="auto"/>
        <w:right w:val="none" w:sz="0" w:space="0" w:color="auto"/>
      </w:divBdr>
    </w:div>
    <w:div w:id="1965455408">
      <w:bodyDiv w:val="1"/>
      <w:marLeft w:val="0"/>
      <w:marRight w:val="0"/>
      <w:marTop w:val="0"/>
      <w:marBottom w:val="0"/>
      <w:divBdr>
        <w:top w:val="none" w:sz="0" w:space="0" w:color="auto"/>
        <w:left w:val="none" w:sz="0" w:space="0" w:color="auto"/>
        <w:bottom w:val="none" w:sz="0" w:space="0" w:color="auto"/>
        <w:right w:val="none" w:sz="0" w:space="0" w:color="auto"/>
      </w:divBdr>
    </w:div>
    <w:div w:id="1966540395">
      <w:bodyDiv w:val="1"/>
      <w:marLeft w:val="0"/>
      <w:marRight w:val="0"/>
      <w:marTop w:val="0"/>
      <w:marBottom w:val="0"/>
      <w:divBdr>
        <w:top w:val="none" w:sz="0" w:space="0" w:color="auto"/>
        <w:left w:val="none" w:sz="0" w:space="0" w:color="auto"/>
        <w:bottom w:val="none" w:sz="0" w:space="0" w:color="auto"/>
        <w:right w:val="none" w:sz="0" w:space="0" w:color="auto"/>
      </w:divBdr>
    </w:div>
    <w:div w:id="1966882701">
      <w:bodyDiv w:val="1"/>
      <w:marLeft w:val="0"/>
      <w:marRight w:val="0"/>
      <w:marTop w:val="0"/>
      <w:marBottom w:val="0"/>
      <w:divBdr>
        <w:top w:val="none" w:sz="0" w:space="0" w:color="auto"/>
        <w:left w:val="none" w:sz="0" w:space="0" w:color="auto"/>
        <w:bottom w:val="none" w:sz="0" w:space="0" w:color="auto"/>
        <w:right w:val="none" w:sz="0" w:space="0" w:color="auto"/>
      </w:divBdr>
    </w:div>
    <w:div w:id="1968928139">
      <w:bodyDiv w:val="1"/>
      <w:marLeft w:val="0"/>
      <w:marRight w:val="0"/>
      <w:marTop w:val="0"/>
      <w:marBottom w:val="0"/>
      <w:divBdr>
        <w:top w:val="none" w:sz="0" w:space="0" w:color="auto"/>
        <w:left w:val="none" w:sz="0" w:space="0" w:color="auto"/>
        <w:bottom w:val="none" w:sz="0" w:space="0" w:color="auto"/>
        <w:right w:val="none" w:sz="0" w:space="0" w:color="auto"/>
      </w:divBdr>
    </w:div>
    <w:div w:id="1969897656">
      <w:bodyDiv w:val="1"/>
      <w:marLeft w:val="0"/>
      <w:marRight w:val="0"/>
      <w:marTop w:val="0"/>
      <w:marBottom w:val="0"/>
      <w:divBdr>
        <w:top w:val="none" w:sz="0" w:space="0" w:color="auto"/>
        <w:left w:val="none" w:sz="0" w:space="0" w:color="auto"/>
        <w:bottom w:val="none" w:sz="0" w:space="0" w:color="auto"/>
        <w:right w:val="none" w:sz="0" w:space="0" w:color="auto"/>
      </w:divBdr>
    </w:div>
    <w:div w:id="1971323786">
      <w:bodyDiv w:val="1"/>
      <w:marLeft w:val="0"/>
      <w:marRight w:val="0"/>
      <w:marTop w:val="0"/>
      <w:marBottom w:val="0"/>
      <w:divBdr>
        <w:top w:val="none" w:sz="0" w:space="0" w:color="auto"/>
        <w:left w:val="none" w:sz="0" w:space="0" w:color="auto"/>
        <w:bottom w:val="none" w:sz="0" w:space="0" w:color="auto"/>
        <w:right w:val="none" w:sz="0" w:space="0" w:color="auto"/>
      </w:divBdr>
    </w:div>
    <w:div w:id="1971478562">
      <w:bodyDiv w:val="1"/>
      <w:marLeft w:val="0"/>
      <w:marRight w:val="0"/>
      <w:marTop w:val="0"/>
      <w:marBottom w:val="0"/>
      <w:divBdr>
        <w:top w:val="none" w:sz="0" w:space="0" w:color="auto"/>
        <w:left w:val="none" w:sz="0" w:space="0" w:color="auto"/>
        <w:bottom w:val="none" w:sz="0" w:space="0" w:color="auto"/>
        <w:right w:val="none" w:sz="0" w:space="0" w:color="auto"/>
      </w:divBdr>
    </w:div>
    <w:div w:id="1972202741">
      <w:bodyDiv w:val="1"/>
      <w:marLeft w:val="0"/>
      <w:marRight w:val="0"/>
      <w:marTop w:val="0"/>
      <w:marBottom w:val="0"/>
      <w:divBdr>
        <w:top w:val="none" w:sz="0" w:space="0" w:color="auto"/>
        <w:left w:val="none" w:sz="0" w:space="0" w:color="auto"/>
        <w:bottom w:val="none" w:sz="0" w:space="0" w:color="auto"/>
        <w:right w:val="none" w:sz="0" w:space="0" w:color="auto"/>
      </w:divBdr>
    </w:div>
    <w:div w:id="1973247933">
      <w:bodyDiv w:val="1"/>
      <w:marLeft w:val="0"/>
      <w:marRight w:val="0"/>
      <w:marTop w:val="0"/>
      <w:marBottom w:val="0"/>
      <w:divBdr>
        <w:top w:val="none" w:sz="0" w:space="0" w:color="auto"/>
        <w:left w:val="none" w:sz="0" w:space="0" w:color="auto"/>
        <w:bottom w:val="none" w:sz="0" w:space="0" w:color="auto"/>
        <w:right w:val="none" w:sz="0" w:space="0" w:color="auto"/>
      </w:divBdr>
    </w:div>
    <w:div w:id="1973319756">
      <w:bodyDiv w:val="1"/>
      <w:marLeft w:val="0"/>
      <w:marRight w:val="0"/>
      <w:marTop w:val="0"/>
      <w:marBottom w:val="0"/>
      <w:divBdr>
        <w:top w:val="none" w:sz="0" w:space="0" w:color="auto"/>
        <w:left w:val="none" w:sz="0" w:space="0" w:color="auto"/>
        <w:bottom w:val="none" w:sz="0" w:space="0" w:color="auto"/>
        <w:right w:val="none" w:sz="0" w:space="0" w:color="auto"/>
      </w:divBdr>
    </w:div>
    <w:div w:id="1973360923">
      <w:bodyDiv w:val="1"/>
      <w:marLeft w:val="0"/>
      <w:marRight w:val="0"/>
      <w:marTop w:val="0"/>
      <w:marBottom w:val="0"/>
      <w:divBdr>
        <w:top w:val="none" w:sz="0" w:space="0" w:color="auto"/>
        <w:left w:val="none" w:sz="0" w:space="0" w:color="auto"/>
        <w:bottom w:val="none" w:sz="0" w:space="0" w:color="auto"/>
        <w:right w:val="none" w:sz="0" w:space="0" w:color="auto"/>
      </w:divBdr>
    </w:div>
    <w:div w:id="1973363631">
      <w:bodyDiv w:val="1"/>
      <w:marLeft w:val="0"/>
      <w:marRight w:val="0"/>
      <w:marTop w:val="0"/>
      <w:marBottom w:val="0"/>
      <w:divBdr>
        <w:top w:val="none" w:sz="0" w:space="0" w:color="auto"/>
        <w:left w:val="none" w:sz="0" w:space="0" w:color="auto"/>
        <w:bottom w:val="none" w:sz="0" w:space="0" w:color="auto"/>
        <w:right w:val="none" w:sz="0" w:space="0" w:color="auto"/>
      </w:divBdr>
    </w:div>
    <w:div w:id="1974016758">
      <w:bodyDiv w:val="1"/>
      <w:marLeft w:val="0"/>
      <w:marRight w:val="0"/>
      <w:marTop w:val="0"/>
      <w:marBottom w:val="0"/>
      <w:divBdr>
        <w:top w:val="none" w:sz="0" w:space="0" w:color="auto"/>
        <w:left w:val="none" w:sz="0" w:space="0" w:color="auto"/>
        <w:bottom w:val="none" w:sz="0" w:space="0" w:color="auto"/>
        <w:right w:val="none" w:sz="0" w:space="0" w:color="auto"/>
      </w:divBdr>
    </w:div>
    <w:div w:id="1974671765">
      <w:bodyDiv w:val="1"/>
      <w:marLeft w:val="0"/>
      <w:marRight w:val="0"/>
      <w:marTop w:val="0"/>
      <w:marBottom w:val="0"/>
      <w:divBdr>
        <w:top w:val="none" w:sz="0" w:space="0" w:color="auto"/>
        <w:left w:val="none" w:sz="0" w:space="0" w:color="auto"/>
        <w:bottom w:val="none" w:sz="0" w:space="0" w:color="auto"/>
        <w:right w:val="none" w:sz="0" w:space="0" w:color="auto"/>
      </w:divBdr>
    </w:div>
    <w:div w:id="1974752138">
      <w:bodyDiv w:val="1"/>
      <w:marLeft w:val="0"/>
      <w:marRight w:val="0"/>
      <w:marTop w:val="0"/>
      <w:marBottom w:val="0"/>
      <w:divBdr>
        <w:top w:val="none" w:sz="0" w:space="0" w:color="auto"/>
        <w:left w:val="none" w:sz="0" w:space="0" w:color="auto"/>
        <w:bottom w:val="none" w:sz="0" w:space="0" w:color="auto"/>
        <w:right w:val="none" w:sz="0" w:space="0" w:color="auto"/>
      </w:divBdr>
    </w:div>
    <w:div w:id="1975744918">
      <w:bodyDiv w:val="1"/>
      <w:marLeft w:val="0"/>
      <w:marRight w:val="0"/>
      <w:marTop w:val="0"/>
      <w:marBottom w:val="0"/>
      <w:divBdr>
        <w:top w:val="none" w:sz="0" w:space="0" w:color="auto"/>
        <w:left w:val="none" w:sz="0" w:space="0" w:color="auto"/>
        <w:bottom w:val="none" w:sz="0" w:space="0" w:color="auto"/>
        <w:right w:val="none" w:sz="0" w:space="0" w:color="auto"/>
      </w:divBdr>
    </w:div>
    <w:div w:id="1975940078">
      <w:bodyDiv w:val="1"/>
      <w:marLeft w:val="0"/>
      <w:marRight w:val="0"/>
      <w:marTop w:val="0"/>
      <w:marBottom w:val="0"/>
      <w:divBdr>
        <w:top w:val="none" w:sz="0" w:space="0" w:color="auto"/>
        <w:left w:val="none" w:sz="0" w:space="0" w:color="auto"/>
        <w:bottom w:val="none" w:sz="0" w:space="0" w:color="auto"/>
        <w:right w:val="none" w:sz="0" w:space="0" w:color="auto"/>
      </w:divBdr>
    </w:div>
    <w:div w:id="1977097896">
      <w:bodyDiv w:val="1"/>
      <w:marLeft w:val="0"/>
      <w:marRight w:val="0"/>
      <w:marTop w:val="0"/>
      <w:marBottom w:val="0"/>
      <w:divBdr>
        <w:top w:val="none" w:sz="0" w:space="0" w:color="auto"/>
        <w:left w:val="none" w:sz="0" w:space="0" w:color="auto"/>
        <w:bottom w:val="none" w:sz="0" w:space="0" w:color="auto"/>
        <w:right w:val="none" w:sz="0" w:space="0" w:color="auto"/>
      </w:divBdr>
      <w:divsChild>
        <w:div w:id="1557159124">
          <w:marLeft w:val="0"/>
          <w:marRight w:val="0"/>
          <w:marTop w:val="0"/>
          <w:marBottom w:val="0"/>
          <w:divBdr>
            <w:top w:val="none" w:sz="0" w:space="0" w:color="auto"/>
            <w:left w:val="none" w:sz="0" w:space="0" w:color="auto"/>
            <w:bottom w:val="none" w:sz="0" w:space="0" w:color="auto"/>
            <w:right w:val="none" w:sz="0" w:space="0" w:color="auto"/>
          </w:divBdr>
        </w:div>
        <w:div w:id="1561987176">
          <w:marLeft w:val="0"/>
          <w:marRight w:val="0"/>
          <w:marTop w:val="0"/>
          <w:marBottom w:val="0"/>
          <w:divBdr>
            <w:top w:val="none" w:sz="0" w:space="0" w:color="auto"/>
            <w:left w:val="none" w:sz="0" w:space="0" w:color="auto"/>
            <w:bottom w:val="none" w:sz="0" w:space="0" w:color="auto"/>
            <w:right w:val="none" w:sz="0" w:space="0" w:color="auto"/>
          </w:divBdr>
        </w:div>
        <w:div w:id="73554828">
          <w:marLeft w:val="0"/>
          <w:marRight w:val="0"/>
          <w:marTop w:val="0"/>
          <w:marBottom w:val="0"/>
          <w:divBdr>
            <w:top w:val="none" w:sz="0" w:space="0" w:color="auto"/>
            <w:left w:val="none" w:sz="0" w:space="0" w:color="auto"/>
            <w:bottom w:val="none" w:sz="0" w:space="0" w:color="auto"/>
            <w:right w:val="none" w:sz="0" w:space="0" w:color="auto"/>
          </w:divBdr>
        </w:div>
        <w:div w:id="875581849">
          <w:marLeft w:val="0"/>
          <w:marRight w:val="0"/>
          <w:marTop w:val="0"/>
          <w:marBottom w:val="0"/>
          <w:divBdr>
            <w:top w:val="none" w:sz="0" w:space="0" w:color="auto"/>
            <w:left w:val="none" w:sz="0" w:space="0" w:color="auto"/>
            <w:bottom w:val="none" w:sz="0" w:space="0" w:color="auto"/>
            <w:right w:val="none" w:sz="0" w:space="0" w:color="auto"/>
          </w:divBdr>
        </w:div>
      </w:divsChild>
    </w:div>
    <w:div w:id="1977949522">
      <w:bodyDiv w:val="1"/>
      <w:marLeft w:val="0"/>
      <w:marRight w:val="0"/>
      <w:marTop w:val="0"/>
      <w:marBottom w:val="0"/>
      <w:divBdr>
        <w:top w:val="none" w:sz="0" w:space="0" w:color="auto"/>
        <w:left w:val="none" w:sz="0" w:space="0" w:color="auto"/>
        <w:bottom w:val="none" w:sz="0" w:space="0" w:color="auto"/>
        <w:right w:val="none" w:sz="0" w:space="0" w:color="auto"/>
      </w:divBdr>
    </w:div>
    <w:div w:id="1978799479">
      <w:bodyDiv w:val="1"/>
      <w:marLeft w:val="0"/>
      <w:marRight w:val="0"/>
      <w:marTop w:val="0"/>
      <w:marBottom w:val="0"/>
      <w:divBdr>
        <w:top w:val="none" w:sz="0" w:space="0" w:color="auto"/>
        <w:left w:val="none" w:sz="0" w:space="0" w:color="auto"/>
        <w:bottom w:val="none" w:sz="0" w:space="0" w:color="auto"/>
        <w:right w:val="none" w:sz="0" w:space="0" w:color="auto"/>
      </w:divBdr>
    </w:div>
    <w:div w:id="1978995569">
      <w:bodyDiv w:val="1"/>
      <w:marLeft w:val="0"/>
      <w:marRight w:val="0"/>
      <w:marTop w:val="0"/>
      <w:marBottom w:val="0"/>
      <w:divBdr>
        <w:top w:val="none" w:sz="0" w:space="0" w:color="auto"/>
        <w:left w:val="none" w:sz="0" w:space="0" w:color="auto"/>
        <w:bottom w:val="none" w:sz="0" w:space="0" w:color="auto"/>
        <w:right w:val="none" w:sz="0" w:space="0" w:color="auto"/>
      </w:divBdr>
    </w:div>
    <w:div w:id="1979188692">
      <w:bodyDiv w:val="1"/>
      <w:marLeft w:val="0"/>
      <w:marRight w:val="0"/>
      <w:marTop w:val="0"/>
      <w:marBottom w:val="0"/>
      <w:divBdr>
        <w:top w:val="none" w:sz="0" w:space="0" w:color="auto"/>
        <w:left w:val="none" w:sz="0" w:space="0" w:color="auto"/>
        <w:bottom w:val="none" w:sz="0" w:space="0" w:color="auto"/>
        <w:right w:val="none" w:sz="0" w:space="0" w:color="auto"/>
      </w:divBdr>
    </w:div>
    <w:div w:id="1979602092">
      <w:bodyDiv w:val="1"/>
      <w:marLeft w:val="0"/>
      <w:marRight w:val="0"/>
      <w:marTop w:val="0"/>
      <w:marBottom w:val="0"/>
      <w:divBdr>
        <w:top w:val="none" w:sz="0" w:space="0" w:color="auto"/>
        <w:left w:val="none" w:sz="0" w:space="0" w:color="auto"/>
        <w:bottom w:val="none" w:sz="0" w:space="0" w:color="auto"/>
        <w:right w:val="none" w:sz="0" w:space="0" w:color="auto"/>
      </w:divBdr>
    </w:div>
    <w:div w:id="1979874151">
      <w:bodyDiv w:val="1"/>
      <w:marLeft w:val="0"/>
      <w:marRight w:val="0"/>
      <w:marTop w:val="0"/>
      <w:marBottom w:val="0"/>
      <w:divBdr>
        <w:top w:val="none" w:sz="0" w:space="0" w:color="auto"/>
        <w:left w:val="none" w:sz="0" w:space="0" w:color="auto"/>
        <w:bottom w:val="none" w:sz="0" w:space="0" w:color="auto"/>
        <w:right w:val="none" w:sz="0" w:space="0" w:color="auto"/>
      </w:divBdr>
    </w:div>
    <w:div w:id="1980724017">
      <w:bodyDiv w:val="1"/>
      <w:marLeft w:val="0"/>
      <w:marRight w:val="0"/>
      <w:marTop w:val="0"/>
      <w:marBottom w:val="0"/>
      <w:divBdr>
        <w:top w:val="none" w:sz="0" w:space="0" w:color="auto"/>
        <w:left w:val="none" w:sz="0" w:space="0" w:color="auto"/>
        <w:bottom w:val="none" w:sz="0" w:space="0" w:color="auto"/>
        <w:right w:val="none" w:sz="0" w:space="0" w:color="auto"/>
      </w:divBdr>
    </w:div>
    <w:div w:id="1981180907">
      <w:bodyDiv w:val="1"/>
      <w:marLeft w:val="0"/>
      <w:marRight w:val="0"/>
      <w:marTop w:val="0"/>
      <w:marBottom w:val="0"/>
      <w:divBdr>
        <w:top w:val="none" w:sz="0" w:space="0" w:color="auto"/>
        <w:left w:val="none" w:sz="0" w:space="0" w:color="auto"/>
        <w:bottom w:val="none" w:sz="0" w:space="0" w:color="auto"/>
        <w:right w:val="none" w:sz="0" w:space="0" w:color="auto"/>
      </w:divBdr>
    </w:div>
    <w:div w:id="1981956083">
      <w:bodyDiv w:val="1"/>
      <w:marLeft w:val="0"/>
      <w:marRight w:val="0"/>
      <w:marTop w:val="0"/>
      <w:marBottom w:val="0"/>
      <w:divBdr>
        <w:top w:val="none" w:sz="0" w:space="0" w:color="auto"/>
        <w:left w:val="none" w:sz="0" w:space="0" w:color="auto"/>
        <w:bottom w:val="none" w:sz="0" w:space="0" w:color="auto"/>
        <w:right w:val="none" w:sz="0" w:space="0" w:color="auto"/>
      </w:divBdr>
    </w:div>
    <w:div w:id="1982955236">
      <w:bodyDiv w:val="1"/>
      <w:marLeft w:val="0"/>
      <w:marRight w:val="0"/>
      <w:marTop w:val="0"/>
      <w:marBottom w:val="0"/>
      <w:divBdr>
        <w:top w:val="none" w:sz="0" w:space="0" w:color="auto"/>
        <w:left w:val="none" w:sz="0" w:space="0" w:color="auto"/>
        <w:bottom w:val="none" w:sz="0" w:space="0" w:color="auto"/>
        <w:right w:val="none" w:sz="0" w:space="0" w:color="auto"/>
      </w:divBdr>
    </w:div>
    <w:div w:id="1983853347">
      <w:bodyDiv w:val="1"/>
      <w:marLeft w:val="0"/>
      <w:marRight w:val="0"/>
      <w:marTop w:val="0"/>
      <w:marBottom w:val="0"/>
      <w:divBdr>
        <w:top w:val="none" w:sz="0" w:space="0" w:color="auto"/>
        <w:left w:val="none" w:sz="0" w:space="0" w:color="auto"/>
        <w:bottom w:val="none" w:sz="0" w:space="0" w:color="auto"/>
        <w:right w:val="none" w:sz="0" w:space="0" w:color="auto"/>
      </w:divBdr>
    </w:div>
    <w:div w:id="1984197239">
      <w:bodyDiv w:val="1"/>
      <w:marLeft w:val="0"/>
      <w:marRight w:val="0"/>
      <w:marTop w:val="0"/>
      <w:marBottom w:val="0"/>
      <w:divBdr>
        <w:top w:val="none" w:sz="0" w:space="0" w:color="auto"/>
        <w:left w:val="none" w:sz="0" w:space="0" w:color="auto"/>
        <w:bottom w:val="none" w:sz="0" w:space="0" w:color="auto"/>
        <w:right w:val="none" w:sz="0" w:space="0" w:color="auto"/>
      </w:divBdr>
    </w:div>
    <w:div w:id="1984583005">
      <w:bodyDiv w:val="1"/>
      <w:marLeft w:val="0"/>
      <w:marRight w:val="0"/>
      <w:marTop w:val="0"/>
      <w:marBottom w:val="0"/>
      <w:divBdr>
        <w:top w:val="none" w:sz="0" w:space="0" w:color="auto"/>
        <w:left w:val="none" w:sz="0" w:space="0" w:color="auto"/>
        <w:bottom w:val="none" w:sz="0" w:space="0" w:color="auto"/>
        <w:right w:val="none" w:sz="0" w:space="0" w:color="auto"/>
      </w:divBdr>
    </w:div>
    <w:div w:id="1986617206">
      <w:bodyDiv w:val="1"/>
      <w:marLeft w:val="0"/>
      <w:marRight w:val="0"/>
      <w:marTop w:val="0"/>
      <w:marBottom w:val="0"/>
      <w:divBdr>
        <w:top w:val="none" w:sz="0" w:space="0" w:color="auto"/>
        <w:left w:val="none" w:sz="0" w:space="0" w:color="auto"/>
        <w:bottom w:val="none" w:sz="0" w:space="0" w:color="auto"/>
        <w:right w:val="none" w:sz="0" w:space="0" w:color="auto"/>
      </w:divBdr>
    </w:div>
    <w:div w:id="1987542356">
      <w:bodyDiv w:val="1"/>
      <w:marLeft w:val="0"/>
      <w:marRight w:val="0"/>
      <w:marTop w:val="0"/>
      <w:marBottom w:val="0"/>
      <w:divBdr>
        <w:top w:val="none" w:sz="0" w:space="0" w:color="auto"/>
        <w:left w:val="none" w:sz="0" w:space="0" w:color="auto"/>
        <w:bottom w:val="none" w:sz="0" w:space="0" w:color="auto"/>
        <w:right w:val="none" w:sz="0" w:space="0" w:color="auto"/>
      </w:divBdr>
    </w:div>
    <w:div w:id="1988168711">
      <w:bodyDiv w:val="1"/>
      <w:marLeft w:val="0"/>
      <w:marRight w:val="0"/>
      <w:marTop w:val="0"/>
      <w:marBottom w:val="0"/>
      <w:divBdr>
        <w:top w:val="none" w:sz="0" w:space="0" w:color="auto"/>
        <w:left w:val="none" w:sz="0" w:space="0" w:color="auto"/>
        <w:bottom w:val="none" w:sz="0" w:space="0" w:color="auto"/>
        <w:right w:val="none" w:sz="0" w:space="0" w:color="auto"/>
      </w:divBdr>
    </w:div>
    <w:div w:id="1988317517">
      <w:bodyDiv w:val="1"/>
      <w:marLeft w:val="0"/>
      <w:marRight w:val="0"/>
      <w:marTop w:val="0"/>
      <w:marBottom w:val="0"/>
      <w:divBdr>
        <w:top w:val="none" w:sz="0" w:space="0" w:color="auto"/>
        <w:left w:val="none" w:sz="0" w:space="0" w:color="auto"/>
        <w:bottom w:val="none" w:sz="0" w:space="0" w:color="auto"/>
        <w:right w:val="none" w:sz="0" w:space="0" w:color="auto"/>
      </w:divBdr>
    </w:div>
    <w:div w:id="1988783219">
      <w:bodyDiv w:val="1"/>
      <w:marLeft w:val="0"/>
      <w:marRight w:val="0"/>
      <w:marTop w:val="0"/>
      <w:marBottom w:val="0"/>
      <w:divBdr>
        <w:top w:val="none" w:sz="0" w:space="0" w:color="auto"/>
        <w:left w:val="none" w:sz="0" w:space="0" w:color="auto"/>
        <w:bottom w:val="none" w:sz="0" w:space="0" w:color="auto"/>
        <w:right w:val="none" w:sz="0" w:space="0" w:color="auto"/>
      </w:divBdr>
    </w:div>
    <w:div w:id="1989017912">
      <w:bodyDiv w:val="1"/>
      <w:marLeft w:val="0"/>
      <w:marRight w:val="0"/>
      <w:marTop w:val="0"/>
      <w:marBottom w:val="0"/>
      <w:divBdr>
        <w:top w:val="none" w:sz="0" w:space="0" w:color="auto"/>
        <w:left w:val="none" w:sz="0" w:space="0" w:color="auto"/>
        <w:bottom w:val="none" w:sz="0" w:space="0" w:color="auto"/>
        <w:right w:val="none" w:sz="0" w:space="0" w:color="auto"/>
      </w:divBdr>
    </w:div>
    <w:div w:id="1989095538">
      <w:bodyDiv w:val="1"/>
      <w:marLeft w:val="0"/>
      <w:marRight w:val="0"/>
      <w:marTop w:val="0"/>
      <w:marBottom w:val="0"/>
      <w:divBdr>
        <w:top w:val="none" w:sz="0" w:space="0" w:color="auto"/>
        <w:left w:val="none" w:sz="0" w:space="0" w:color="auto"/>
        <w:bottom w:val="none" w:sz="0" w:space="0" w:color="auto"/>
        <w:right w:val="none" w:sz="0" w:space="0" w:color="auto"/>
      </w:divBdr>
    </w:div>
    <w:div w:id="1989703459">
      <w:bodyDiv w:val="1"/>
      <w:marLeft w:val="0"/>
      <w:marRight w:val="0"/>
      <w:marTop w:val="0"/>
      <w:marBottom w:val="0"/>
      <w:divBdr>
        <w:top w:val="none" w:sz="0" w:space="0" w:color="auto"/>
        <w:left w:val="none" w:sz="0" w:space="0" w:color="auto"/>
        <w:bottom w:val="none" w:sz="0" w:space="0" w:color="auto"/>
        <w:right w:val="none" w:sz="0" w:space="0" w:color="auto"/>
      </w:divBdr>
    </w:div>
    <w:div w:id="1989745349">
      <w:bodyDiv w:val="1"/>
      <w:marLeft w:val="0"/>
      <w:marRight w:val="0"/>
      <w:marTop w:val="0"/>
      <w:marBottom w:val="0"/>
      <w:divBdr>
        <w:top w:val="none" w:sz="0" w:space="0" w:color="auto"/>
        <w:left w:val="none" w:sz="0" w:space="0" w:color="auto"/>
        <w:bottom w:val="none" w:sz="0" w:space="0" w:color="auto"/>
        <w:right w:val="none" w:sz="0" w:space="0" w:color="auto"/>
      </w:divBdr>
    </w:div>
    <w:div w:id="1989825776">
      <w:bodyDiv w:val="1"/>
      <w:marLeft w:val="0"/>
      <w:marRight w:val="0"/>
      <w:marTop w:val="0"/>
      <w:marBottom w:val="0"/>
      <w:divBdr>
        <w:top w:val="none" w:sz="0" w:space="0" w:color="auto"/>
        <w:left w:val="none" w:sz="0" w:space="0" w:color="auto"/>
        <w:bottom w:val="none" w:sz="0" w:space="0" w:color="auto"/>
        <w:right w:val="none" w:sz="0" w:space="0" w:color="auto"/>
      </w:divBdr>
    </w:div>
    <w:div w:id="1991204537">
      <w:bodyDiv w:val="1"/>
      <w:marLeft w:val="0"/>
      <w:marRight w:val="0"/>
      <w:marTop w:val="0"/>
      <w:marBottom w:val="0"/>
      <w:divBdr>
        <w:top w:val="none" w:sz="0" w:space="0" w:color="auto"/>
        <w:left w:val="none" w:sz="0" w:space="0" w:color="auto"/>
        <w:bottom w:val="none" w:sz="0" w:space="0" w:color="auto"/>
        <w:right w:val="none" w:sz="0" w:space="0" w:color="auto"/>
      </w:divBdr>
    </w:div>
    <w:div w:id="1991666785">
      <w:bodyDiv w:val="1"/>
      <w:marLeft w:val="0"/>
      <w:marRight w:val="0"/>
      <w:marTop w:val="0"/>
      <w:marBottom w:val="0"/>
      <w:divBdr>
        <w:top w:val="none" w:sz="0" w:space="0" w:color="auto"/>
        <w:left w:val="none" w:sz="0" w:space="0" w:color="auto"/>
        <w:bottom w:val="none" w:sz="0" w:space="0" w:color="auto"/>
        <w:right w:val="none" w:sz="0" w:space="0" w:color="auto"/>
      </w:divBdr>
    </w:div>
    <w:div w:id="1991983712">
      <w:bodyDiv w:val="1"/>
      <w:marLeft w:val="0"/>
      <w:marRight w:val="0"/>
      <w:marTop w:val="0"/>
      <w:marBottom w:val="0"/>
      <w:divBdr>
        <w:top w:val="none" w:sz="0" w:space="0" w:color="auto"/>
        <w:left w:val="none" w:sz="0" w:space="0" w:color="auto"/>
        <w:bottom w:val="none" w:sz="0" w:space="0" w:color="auto"/>
        <w:right w:val="none" w:sz="0" w:space="0" w:color="auto"/>
      </w:divBdr>
    </w:div>
    <w:div w:id="1992170515">
      <w:bodyDiv w:val="1"/>
      <w:marLeft w:val="0"/>
      <w:marRight w:val="0"/>
      <w:marTop w:val="0"/>
      <w:marBottom w:val="0"/>
      <w:divBdr>
        <w:top w:val="none" w:sz="0" w:space="0" w:color="auto"/>
        <w:left w:val="none" w:sz="0" w:space="0" w:color="auto"/>
        <w:bottom w:val="none" w:sz="0" w:space="0" w:color="auto"/>
        <w:right w:val="none" w:sz="0" w:space="0" w:color="auto"/>
      </w:divBdr>
    </w:div>
    <w:div w:id="1992758466">
      <w:bodyDiv w:val="1"/>
      <w:marLeft w:val="0"/>
      <w:marRight w:val="0"/>
      <w:marTop w:val="0"/>
      <w:marBottom w:val="0"/>
      <w:divBdr>
        <w:top w:val="none" w:sz="0" w:space="0" w:color="auto"/>
        <w:left w:val="none" w:sz="0" w:space="0" w:color="auto"/>
        <w:bottom w:val="none" w:sz="0" w:space="0" w:color="auto"/>
        <w:right w:val="none" w:sz="0" w:space="0" w:color="auto"/>
      </w:divBdr>
    </w:div>
    <w:div w:id="1992977684">
      <w:bodyDiv w:val="1"/>
      <w:marLeft w:val="0"/>
      <w:marRight w:val="0"/>
      <w:marTop w:val="0"/>
      <w:marBottom w:val="0"/>
      <w:divBdr>
        <w:top w:val="none" w:sz="0" w:space="0" w:color="auto"/>
        <w:left w:val="none" w:sz="0" w:space="0" w:color="auto"/>
        <w:bottom w:val="none" w:sz="0" w:space="0" w:color="auto"/>
        <w:right w:val="none" w:sz="0" w:space="0" w:color="auto"/>
      </w:divBdr>
    </w:div>
    <w:div w:id="1996445308">
      <w:bodyDiv w:val="1"/>
      <w:marLeft w:val="0"/>
      <w:marRight w:val="0"/>
      <w:marTop w:val="0"/>
      <w:marBottom w:val="0"/>
      <w:divBdr>
        <w:top w:val="none" w:sz="0" w:space="0" w:color="auto"/>
        <w:left w:val="none" w:sz="0" w:space="0" w:color="auto"/>
        <w:bottom w:val="none" w:sz="0" w:space="0" w:color="auto"/>
        <w:right w:val="none" w:sz="0" w:space="0" w:color="auto"/>
      </w:divBdr>
    </w:div>
    <w:div w:id="1996449913">
      <w:bodyDiv w:val="1"/>
      <w:marLeft w:val="0"/>
      <w:marRight w:val="0"/>
      <w:marTop w:val="0"/>
      <w:marBottom w:val="0"/>
      <w:divBdr>
        <w:top w:val="none" w:sz="0" w:space="0" w:color="auto"/>
        <w:left w:val="none" w:sz="0" w:space="0" w:color="auto"/>
        <w:bottom w:val="none" w:sz="0" w:space="0" w:color="auto"/>
        <w:right w:val="none" w:sz="0" w:space="0" w:color="auto"/>
      </w:divBdr>
    </w:div>
    <w:div w:id="1997107080">
      <w:bodyDiv w:val="1"/>
      <w:marLeft w:val="0"/>
      <w:marRight w:val="0"/>
      <w:marTop w:val="0"/>
      <w:marBottom w:val="0"/>
      <w:divBdr>
        <w:top w:val="none" w:sz="0" w:space="0" w:color="auto"/>
        <w:left w:val="none" w:sz="0" w:space="0" w:color="auto"/>
        <w:bottom w:val="none" w:sz="0" w:space="0" w:color="auto"/>
        <w:right w:val="none" w:sz="0" w:space="0" w:color="auto"/>
      </w:divBdr>
    </w:div>
    <w:div w:id="1997956517">
      <w:bodyDiv w:val="1"/>
      <w:marLeft w:val="0"/>
      <w:marRight w:val="0"/>
      <w:marTop w:val="0"/>
      <w:marBottom w:val="0"/>
      <w:divBdr>
        <w:top w:val="none" w:sz="0" w:space="0" w:color="auto"/>
        <w:left w:val="none" w:sz="0" w:space="0" w:color="auto"/>
        <w:bottom w:val="none" w:sz="0" w:space="0" w:color="auto"/>
        <w:right w:val="none" w:sz="0" w:space="0" w:color="auto"/>
      </w:divBdr>
    </w:div>
    <w:div w:id="1998724141">
      <w:bodyDiv w:val="1"/>
      <w:marLeft w:val="0"/>
      <w:marRight w:val="0"/>
      <w:marTop w:val="0"/>
      <w:marBottom w:val="0"/>
      <w:divBdr>
        <w:top w:val="none" w:sz="0" w:space="0" w:color="auto"/>
        <w:left w:val="none" w:sz="0" w:space="0" w:color="auto"/>
        <w:bottom w:val="none" w:sz="0" w:space="0" w:color="auto"/>
        <w:right w:val="none" w:sz="0" w:space="0" w:color="auto"/>
      </w:divBdr>
    </w:div>
    <w:div w:id="1999459845">
      <w:bodyDiv w:val="1"/>
      <w:marLeft w:val="0"/>
      <w:marRight w:val="0"/>
      <w:marTop w:val="0"/>
      <w:marBottom w:val="0"/>
      <w:divBdr>
        <w:top w:val="none" w:sz="0" w:space="0" w:color="auto"/>
        <w:left w:val="none" w:sz="0" w:space="0" w:color="auto"/>
        <w:bottom w:val="none" w:sz="0" w:space="0" w:color="auto"/>
        <w:right w:val="none" w:sz="0" w:space="0" w:color="auto"/>
      </w:divBdr>
    </w:div>
    <w:div w:id="2000384245">
      <w:bodyDiv w:val="1"/>
      <w:marLeft w:val="0"/>
      <w:marRight w:val="0"/>
      <w:marTop w:val="0"/>
      <w:marBottom w:val="0"/>
      <w:divBdr>
        <w:top w:val="none" w:sz="0" w:space="0" w:color="auto"/>
        <w:left w:val="none" w:sz="0" w:space="0" w:color="auto"/>
        <w:bottom w:val="none" w:sz="0" w:space="0" w:color="auto"/>
        <w:right w:val="none" w:sz="0" w:space="0" w:color="auto"/>
      </w:divBdr>
    </w:div>
    <w:div w:id="2000499871">
      <w:bodyDiv w:val="1"/>
      <w:marLeft w:val="0"/>
      <w:marRight w:val="0"/>
      <w:marTop w:val="0"/>
      <w:marBottom w:val="0"/>
      <w:divBdr>
        <w:top w:val="none" w:sz="0" w:space="0" w:color="auto"/>
        <w:left w:val="none" w:sz="0" w:space="0" w:color="auto"/>
        <w:bottom w:val="none" w:sz="0" w:space="0" w:color="auto"/>
        <w:right w:val="none" w:sz="0" w:space="0" w:color="auto"/>
      </w:divBdr>
    </w:div>
    <w:div w:id="2000503751">
      <w:bodyDiv w:val="1"/>
      <w:marLeft w:val="0"/>
      <w:marRight w:val="0"/>
      <w:marTop w:val="0"/>
      <w:marBottom w:val="0"/>
      <w:divBdr>
        <w:top w:val="none" w:sz="0" w:space="0" w:color="auto"/>
        <w:left w:val="none" w:sz="0" w:space="0" w:color="auto"/>
        <w:bottom w:val="none" w:sz="0" w:space="0" w:color="auto"/>
        <w:right w:val="none" w:sz="0" w:space="0" w:color="auto"/>
      </w:divBdr>
    </w:div>
    <w:div w:id="2000695865">
      <w:bodyDiv w:val="1"/>
      <w:marLeft w:val="0"/>
      <w:marRight w:val="0"/>
      <w:marTop w:val="0"/>
      <w:marBottom w:val="0"/>
      <w:divBdr>
        <w:top w:val="none" w:sz="0" w:space="0" w:color="auto"/>
        <w:left w:val="none" w:sz="0" w:space="0" w:color="auto"/>
        <w:bottom w:val="none" w:sz="0" w:space="0" w:color="auto"/>
        <w:right w:val="none" w:sz="0" w:space="0" w:color="auto"/>
      </w:divBdr>
    </w:div>
    <w:div w:id="2001418542">
      <w:bodyDiv w:val="1"/>
      <w:marLeft w:val="0"/>
      <w:marRight w:val="0"/>
      <w:marTop w:val="0"/>
      <w:marBottom w:val="0"/>
      <w:divBdr>
        <w:top w:val="none" w:sz="0" w:space="0" w:color="auto"/>
        <w:left w:val="none" w:sz="0" w:space="0" w:color="auto"/>
        <w:bottom w:val="none" w:sz="0" w:space="0" w:color="auto"/>
        <w:right w:val="none" w:sz="0" w:space="0" w:color="auto"/>
      </w:divBdr>
    </w:div>
    <w:div w:id="2001500688">
      <w:bodyDiv w:val="1"/>
      <w:marLeft w:val="0"/>
      <w:marRight w:val="0"/>
      <w:marTop w:val="0"/>
      <w:marBottom w:val="0"/>
      <w:divBdr>
        <w:top w:val="none" w:sz="0" w:space="0" w:color="auto"/>
        <w:left w:val="none" w:sz="0" w:space="0" w:color="auto"/>
        <w:bottom w:val="none" w:sz="0" w:space="0" w:color="auto"/>
        <w:right w:val="none" w:sz="0" w:space="0" w:color="auto"/>
      </w:divBdr>
    </w:div>
    <w:div w:id="2001809160">
      <w:bodyDiv w:val="1"/>
      <w:marLeft w:val="0"/>
      <w:marRight w:val="0"/>
      <w:marTop w:val="0"/>
      <w:marBottom w:val="0"/>
      <w:divBdr>
        <w:top w:val="none" w:sz="0" w:space="0" w:color="auto"/>
        <w:left w:val="none" w:sz="0" w:space="0" w:color="auto"/>
        <w:bottom w:val="none" w:sz="0" w:space="0" w:color="auto"/>
        <w:right w:val="none" w:sz="0" w:space="0" w:color="auto"/>
      </w:divBdr>
    </w:div>
    <w:div w:id="2002922466">
      <w:bodyDiv w:val="1"/>
      <w:marLeft w:val="0"/>
      <w:marRight w:val="0"/>
      <w:marTop w:val="0"/>
      <w:marBottom w:val="0"/>
      <w:divBdr>
        <w:top w:val="none" w:sz="0" w:space="0" w:color="auto"/>
        <w:left w:val="none" w:sz="0" w:space="0" w:color="auto"/>
        <w:bottom w:val="none" w:sz="0" w:space="0" w:color="auto"/>
        <w:right w:val="none" w:sz="0" w:space="0" w:color="auto"/>
      </w:divBdr>
    </w:div>
    <w:div w:id="2003390811">
      <w:bodyDiv w:val="1"/>
      <w:marLeft w:val="0"/>
      <w:marRight w:val="0"/>
      <w:marTop w:val="0"/>
      <w:marBottom w:val="0"/>
      <w:divBdr>
        <w:top w:val="none" w:sz="0" w:space="0" w:color="auto"/>
        <w:left w:val="none" w:sz="0" w:space="0" w:color="auto"/>
        <w:bottom w:val="none" w:sz="0" w:space="0" w:color="auto"/>
        <w:right w:val="none" w:sz="0" w:space="0" w:color="auto"/>
      </w:divBdr>
    </w:div>
    <w:div w:id="2004039544">
      <w:bodyDiv w:val="1"/>
      <w:marLeft w:val="0"/>
      <w:marRight w:val="0"/>
      <w:marTop w:val="0"/>
      <w:marBottom w:val="0"/>
      <w:divBdr>
        <w:top w:val="none" w:sz="0" w:space="0" w:color="auto"/>
        <w:left w:val="none" w:sz="0" w:space="0" w:color="auto"/>
        <w:bottom w:val="none" w:sz="0" w:space="0" w:color="auto"/>
        <w:right w:val="none" w:sz="0" w:space="0" w:color="auto"/>
      </w:divBdr>
    </w:div>
    <w:div w:id="2004042362">
      <w:bodyDiv w:val="1"/>
      <w:marLeft w:val="0"/>
      <w:marRight w:val="0"/>
      <w:marTop w:val="0"/>
      <w:marBottom w:val="0"/>
      <w:divBdr>
        <w:top w:val="none" w:sz="0" w:space="0" w:color="auto"/>
        <w:left w:val="none" w:sz="0" w:space="0" w:color="auto"/>
        <w:bottom w:val="none" w:sz="0" w:space="0" w:color="auto"/>
        <w:right w:val="none" w:sz="0" w:space="0" w:color="auto"/>
      </w:divBdr>
    </w:div>
    <w:div w:id="2004044151">
      <w:bodyDiv w:val="1"/>
      <w:marLeft w:val="0"/>
      <w:marRight w:val="0"/>
      <w:marTop w:val="0"/>
      <w:marBottom w:val="0"/>
      <w:divBdr>
        <w:top w:val="none" w:sz="0" w:space="0" w:color="auto"/>
        <w:left w:val="none" w:sz="0" w:space="0" w:color="auto"/>
        <w:bottom w:val="none" w:sz="0" w:space="0" w:color="auto"/>
        <w:right w:val="none" w:sz="0" w:space="0" w:color="auto"/>
      </w:divBdr>
    </w:div>
    <w:div w:id="2004044858">
      <w:bodyDiv w:val="1"/>
      <w:marLeft w:val="0"/>
      <w:marRight w:val="0"/>
      <w:marTop w:val="0"/>
      <w:marBottom w:val="0"/>
      <w:divBdr>
        <w:top w:val="none" w:sz="0" w:space="0" w:color="auto"/>
        <w:left w:val="none" w:sz="0" w:space="0" w:color="auto"/>
        <w:bottom w:val="none" w:sz="0" w:space="0" w:color="auto"/>
        <w:right w:val="none" w:sz="0" w:space="0" w:color="auto"/>
      </w:divBdr>
    </w:div>
    <w:div w:id="2005232340">
      <w:bodyDiv w:val="1"/>
      <w:marLeft w:val="0"/>
      <w:marRight w:val="0"/>
      <w:marTop w:val="0"/>
      <w:marBottom w:val="0"/>
      <w:divBdr>
        <w:top w:val="none" w:sz="0" w:space="0" w:color="auto"/>
        <w:left w:val="none" w:sz="0" w:space="0" w:color="auto"/>
        <w:bottom w:val="none" w:sz="0" w:space="0" w:color="auto"/>
        <w:right w:val="none" w:sz="0" w:space="0" w:color="auto"/>
      </w:divBdr>
    </w:div>
    <w:div w:id="2005432070">
      <w:bodyDiv w:val="1"/>
      <w:marLeft w:val="0"/>
      <w:marRight w:val="0"/>
      <w:marTop w:val="0"/>
      <w:marBottom w:val="0"/>
      <w:divBdr>
        <w:top w:val="none" w:sz="0" w:space="0" w:color="auto"/>
        <w:left w:val="none" w:sz="0" w:space="0" w:color="auto"/>
        <w:bottom w:val="none" w:sz="0" w:space="0" w:color="auto"/>
        <w:right w:val="none" w:sz="0" w:space="0" w:color="auto"/>
      </w:divBdr>
    </w:div>
    <w:div w:id="2005472178">
      <w:bodyDiv w:val="1"/>
      <w:marLeft w:val="0"/>
      <w:marRight w:val="0"/>
      <w:marTop w:val="0"/>
      <w:marBottom w:val="0"/>
      <w:divBdr>
        <w:top w:val="none" w:sz="0" w:space="0" w:color="auto"/>
        <w:left w:val="none" w:sz="0" w:space="0" w:color="auto"/>
        <w:bottom w:val="none" w:sz="0" w:space="0" w:color="auto"/>
        <w:right w:val="none" w:sz="0" w:space="0" w:color="auto"/>
      </w:divBdr>
    </w:div>
    <w:div w:id="2005619204">
      <w:bodyDiv w:val="1"/>
      <w:marLeft w:val="0"/>
      <w:marRight w:val="0"/>
      <w:marTop w:val="0"/>
      <w:marBottom w:val="0"/>
      <w:divBdr>
        <w:top w:val="none" w:sz="0" w:space="0" w:color="auto"/>
        <w:left w:val="none" w:sz="0" w:space="0" w:color="auto"/>
        <w:bottom w:val="none" w:sz="0" w:space="0" w:color="auto"/>
        <w:right w:val="none" w:sz="0" w:space="0" w:color="auto"/>
      </w:divBdr>
    </w:div>
    <w:div w:id="2005619827">
      <w:bodyDiv w:val="1"/>
      <w:marLeft w:val="0"/>
      <w:marRight w:val="0"/>
      <w:marTop w:val="0"/>
      <w:marBottom w:val="0"/>
      <w:divBdr>
        <w:top w:val="none" w:sz="0" w:space="0" w:color="auto"/>
        <w:left w:val="none" w:sz="0" w:space="0" w:color="auto"/>
        <w:bottom w:val="none" w:sz="0" w:space="0" w:color="auto"/>
        <w:right w:val="none" w:sz="0" w:space="0" w:color="auto"/>
      </w:divBdr>
    </w:div>
    <w:div w:id="2005739762">
      <w:bodyDiv w:val="1"/>
      <w:marLeft w:val="0"/>
      <w:marRight w:val="0"/>
      <w:marTop w:val="0"/>
      <w:marBottom w:val="0"/>
      <w:divBdr>
        <w:top w:val="none" w:sz="0" w:space="0" w:color="auto"/>
        <w:left w:val="none" w:sz="0" w:space="0" w:color="auto"/>
        <w:bottom w:val="none" w:sz="0" w:space="0" w:color="auto"/>
        <w:right w:val="none" w:sz="0" w:space="0" w:color="auto"/>
      </w:divBdr>
      <w:divsChild>
        <w:div w:id="357005807">
          <w:marLeft w:val="0"/>
          <w:marRight w:val="0"/>
          <w:marTop w:val="0"/>
          <w:marBottom w:val="0"/>
          <w:divBdr>
            <w:top w:val="none" w:sz="0" w:space="0" w:color="auto"/>
            <w:left w:val="none" w:sz="0" w:space="0" w:color="auto"/>
            <w:bottom w:val="none" w:sz="0" w:space="0" w:color="auto"/>
            <w:right w:val="none" w:sz="0" w:space="0" w:color="auto"/>
          </w:divBdr>
          <w:divsChild>
            <w:div w:id="1801068457">
              <w:marLeft w:val="0"/>
              <w:marRight w:val="0"/>
              <w:marTop w:val="0"/>
              <w:marBottom w:val="0"/>
              <w:divBdr>
                <w:top w:val="none" w:sz="0" w:space="0" w:color="auto"/>
                <w:left w:val="none" w:sz="0" w:space="0" w:color="auto"/>
                <w:bottom w:val="none" w:sz="0" w:space="0" w:color="auto"/>
                <w:right w:val="none" w:sz="0" w:space="0" w:color="auto"/>
              </w:divBdr>
              <w:divsChild>
                <w:div w:id="612325858">
                  <w:marLeft w:val="0"/>
                  <w:marRight w:val="0"/>
                  <w:marTop w:val="0"/>
                  <w:marBottom w:val="0"/>
                  <w:divBdr>
                    <w:top w:val="none" w:sz="0" w:space="0" w:color="auto"/>
                    <w:left w:val="none" w:sz="0" w:space="0" w:color="auto"/>
                    <w:bottom w:val="none" w:sz="0" w:space="0" w:color="auto"/>
                    <w:right w:val="none" w:sz="0" w:space="0" w:color="auto"/>
                  </w:divBdr>
                </w:div>
                <w:div w:id="1509558781">
                  <w:marLeft w:val="0"/>
                  <w:marRight w:val="0"/>
                  <w:marTop w:val="0"/>
                  <w:marBottom w:val="0"/>
                  <w:divBdr>
                    <w:top w:val="none" w:sz="0" w:space="0" w:color="auto"/>
                    <w:left w:val="none" w:sz="0" w:space="0" w:color="auto"/>
                    <w:bottom w:val="none" w:sz="0" w:space="0" w:color="auto"/>
                    <w:right w:val="none" w:sz="0" w:space="0" w:color="auto"/>
                  </w:divBdr>
                </w:div>
                <w:div w:id="1044602337">
                  <w:marLeft w:val="0"/>
                  <w:marRight w:val="0"/>
                  <w:marTop w:val="0"/>
                  <w:marBottom w:val="0"/>
                  <w:divBdr>
                    <w:top w:val="none" w:sz="0" w:space="0" w:color="auto"/>
                    <w:left w:val="none" w:sz="0" w:space="0" w:color="auto"/>
                    <w:bottom w:val="none" w:sz="0" w:space="0" w:color="auto"/>
                    <w:right w:val="none" w:sz="0" w:space="0" w:color="auto"/>
                  </w:divBdr>
                </w:div>
                <w:div w:id="914970042">
                  <w:marLeft w:val="0"/>
                  <w:marRight w:val="0"/>
                  <w:marTop w:val="0"/>
                  <w:marBottom w:val="0"/>
                  <w:divBdr>
                    <w:top w:val="none" w:sz="0" w:space="0" w:color="auto"/>
                    <w:left w:val="none" w:sz="0" w:space="0" w:color="auto"/>
                    <w:bottom w:val="none" w:sz="0" w:space="0" w:color="auto"/>
                    <w:right w:val="none" w:sz="0" w:space="0" w:color="auto"/>
                  </w:divBdr>
                </w:div>
                <w:div w:id="1879662460">
                  <w:marLeft w:val="0"/>
                  <w:marRight w:val="0"/>
                  <w:marTop w:val="0"/>
                  <w:marBottom w:val="0"/>
                  <w:divBdr>
                    <w:top w:val="none" w:sz="0" w:space="0" w:color="auto"/>
                    <w:left w:val="none" w:sz="0" w:space="0" w:color="auto"/>
                    <w:bottom w:val="none" w:sz="0" w:space="0" w:color="auto"/>
                    <w:right w:val="none" w:sz="0" w:space="0" w:color="auto"/>
                  </w:divBdr>
                </w:div>
                <w:div w:id="1114327306">
                  <w:marLeft w:val="0"/>
                  <w:marRight w:val="0"/>
                  <w:marTop w:val="0"/>
                  <w:marBottom w:val="0"/>
                  <w:divBdr>
                    <w:top w:val="none" w:sz="0" w:space="0" w:color="auto"/>
                    <w:left w:val="none" w:sz="0" w:space="0" w:color="auto"/>
                    <w:bottom w:val="none" w:sz="0" w:space="0" w:color="auto"/>
                    <w:right w:val="none" w:sz="0" w:space="0" w:color="auto"/>
                  </w:divBdr>
                </w:div>
                <w:div w:id="737022118">
                  <w:marLeft w:val="0"/>
                  <w:marRight w:val="0"/>
                  <w:marTop w:val="0"/>
                  <w:marBottom w:val="0"/>
                  <w:divBdr>
                    <w:top w:val="none" w:sz="0" w:space="0" w:color="auto"/>
                    <w:left w:val="none" w:sz="0" w:space="0" w:color="auto"/>
                    <w:bottom w:val="none" w:sz="0" w:space="0" w:color="auto"/>
                    <w:right w:val="none" w:sz="0" w:space="0" w:color="auto"/>
                  </w:divBdr>
                </w:div>
                <w:div w:id="866409800">
                  <w:marLeft w:val="0"/>
                  <w:marRight w:val="0"/>
                  <w:marTop w:val="0"/>
                  <w:marBottom w:val="0"/>
                  <w:divBdr>
                    <w:top w:val="none" w:sz="0" w:space="0" w:color="auto"/>
                    <w:left w:val="none" w:sz="0" w:space="0" w:color="auto"/>
                    <w:bottom w:val="none" w:sz="0" w:space="0" w:color="auto"/>
                    <w:right w:val="none" w:sz="0" w:space="0" w:color="auto"/>
                  </w:divBdr>
                </w:div>
                <w:div w:id="676419266">
                  <w:marLeft w:val="0"/>
                  <w:marRight w:val="0"/>
                  <w:marTop w:val="0"/>
                  <w:marBottom w:val="0"/>
                  <w:divBdr>
                    <w:top w:val="none" w:sz="0" w:space="0" w:color="auto"/>
                    <w:left w:val="none" w:sz="0" w:space="0" w:color="auto"/>
                    <w:bottom w:val="none" w:sz="0" w:space="0" w:color="auto"/>
                    <w:right w:val="none" w:sz="0" w:space="0" w:color="auto"/>
                  </w:divBdr>
                </w:div>
                <w:div w:id="1759717151">
                  <w:marLeft w:val="0"/>
                  <w:marRight w:val="0"/>
                  <w:marTop w:val="0"/>
                  <w:marBottom w:val="0"/>
                  <w:divBdr>
                    <w:top w:val="none" w:sz="0" w:space="0" w:color="auto"/>
                    <w:left w:val="none" w:sz="0" w:space="0" w:color="auto"/>
                    <w:bottom w:val="none" w:sz="0" w:space="0" w:color="auto"/>
                    <w:right w:val="none" w:sz="0" w:space="0" w:color="auto"/>
                  </w:divBdr>
                </w:div>
                <w:div w:id="1494033185">
                  <w:marLeft w:val="0"/>
                  <w:marRight w:val="0"/>
                  <w:marTop w:val="0"/>
                  <w:marBottom w:val="0"/>
                  <w:divBdr>
                    <w:top w:val="none" w:sz="0" w:space="0" w:color="auto"/>
                    <w:left w:val="none" w:sz="0" w:space="0" w:color="auto"/>
                    <w:bottom w:val="none" w:sz="0" w:space="0" w:color="auto"/>
                    <w:right w:val="none" w:sz="0" w:space="0" w:color="auto"/>
                  </w:divBdr>
                </w:div>
                <w:div w:id="816845986">
                  <w:marLeft w:val="0"/>
                  <w:marRight w:val="0"/>
                  <w:marTop w:val="0"/>
                  <w:marBottom w:val="0"/>
                  <w:divBdr>
                    <w:top w:val="none" w:sz="0" w:space="0" w:color="auto"/>
                    <w:left w:val="none" w:sz="0" w:space="0" w:color="auto"/>
                    <w:bottom w:val="none" w:sz="0" w:space="0" w:color="auto"/>
                    <w:right w:val="none" w:sz="0" w:space="0" w:color="auto"/>
                  </w:divBdr>
                </w:div>
                <w:div w:id="520054322">
                  <w:marLeft w:val="0"/>
                  <w:marRight w:val="0"/>
                  <w:marTop w:val="0"/>
                  <w:marBottom w:val="0"/>
                  <w:divBdr>
                    <w:top w:val="none" w:sz="0" w:space="0" w:color="auto"/>
                    <w:left w:val="none" w:sz="0" w:space="0" w:color="auto"/>
                    <w:bottom w:val="none" w:sz="0" w:space="0" w:color="auto"/>
                    <w:right w:val="none" w:sz="0" w:space="0" w:color="auto"/>
                  </w:divBdr>
                </w:div>
                <w:div w:id="870343205">
                  <w:marLeft w:val="0"/>
                  <w:marRight w:val="0"/>
                  <w:marTop w:val="0"/>
                  <w:marBottom w:val="0"/>
                  <w:divBdr>
                    <w:top w:val="none" w:sz="0" w:space="0" w:color="auto"/>
                    <w:left w:val="none" w:sz="0" w:space="0" w:color="auto"/>
                    <w:bottom w:val="none" w:sz="0" w:space="0" w:color="auto"/>
                    <w:right w:val="none" w:sz="0" w:space="0" w:color="auto"/>
                  </w:divBdr>
                </w:div>
                <w:div w:id="1442382070">
                  <w:marLeft w:val="0"/>
                  <w:marRight w:val="0"/>
                  <w:marTop w:val="0"/>
                  <w:marBottom w:val="0"/>
                  <w:divBdr>
                    <w:top w:val="none" w:sz="0" w:space="0" w:color="auto"/>
                    <w:left w:val="none" w:sz="0" w:space="0" w:color="auto"/>
                    <w:bottom w:val="none" w:sz="0" w:space="0" w:color="auto"/>
                    <w:right w:val="none" w:sz="0" w:space="0" w:color="auto"/>
                  </w:divBdr>
                </w:div>
                <w:div w:id="1862358886">
                  <w:marLeft w:val="0"/>
                  <w:marRight w:val="0"/>
                  <w:marTop w:val="0"/>
                  <w:marBottom w:val="0"/>
                  <w:divBdr>
                    <w:top w:val="none" w:sz="0" w:space="0" w:color="auto"/>
                    <w:left w:val="none" w:sz="0" w:space="0" w:color="auto"/>
                    <w:bottom w:val="none" w:sz="0" w:space="0" w:color="auto"/>
                    <w:right w:val="none" w:sz="0" w:space="0" w:color="auto"/>
                  </w:divBdr>
                </w:div>
                <w:div w:id="1970167550">
                  <w:marLeft w:val="0"/>
                  <w:marRight w:val="0"/>
                  <w:marTop w:val="0"/>
                  <w:marBottom w:val="0"/>
                  <w:divBdr>
                    <w:top w:val="none" w:sz="0" w:space="0" w:color="auto"/>
                    <w:left w:val="none" w:sz="0" w:space="0" w:color="auto"/>
                    <w:bottom w:val="none" w:sz="0" w:space="0" w:color="auto"/>
                    <w:right w:val="none" w:sz="0" w:space="0" w:color="auto"/>
                  </w:divBdr>
                </w:div>
                <w:div w:id="1821144693">
                  <w:marLeft w:val="0"/>
                  <w:marRight w:val="0"/>
                  <w:marTop w:val="0"/>
                  <w:marBottom w:val="0"/>
                  <w:divBdr>
                    <w:top w:val="none" w:sz="0" w:space="0" w:color="auto"/>
                    <w:left w:val="none" w:sz="0" w:space="0" w:color="auto"/>
                    <w:bottom w:val="none" w:sz="0" w:space="0" w:color="auto"/>
                    <w:right w:val="none" w:sz="0" w:space="0" w:color="auto"/>
                  </w:divBdr>
                </w:div>
                <w:div w:id="30764919">
                  <w:marLeft w:val="0"/>
                  <w:marRight w:val="0"/>
                  <w:marTop w:val="0"/>
                  <w:marBottom w:val="0"/>
                  <w:divBdr>
                    <w:top w:val="none" w:sz="0" w:space="0" w:color="auto"/>
                    <w:left w:val="none" w:sz="0" w:space="0" w:color="auto"/>
                    <w:bottom w:val="none" w:sz="0" w:space="0" w:color="auto"/>
                    <w:right w:val="none" w:sz="0" w:space="0" w:color="auto"/>
                  </w:divBdr>
                </w:div>
                <w:div w:id="1467240043">
                  <w:marLeft w:val="0"/>
                  <w:marRight w:val="0"/>
                  <w:marTop w:val="0"/>
                  <w:marBottom w:val="0"/>
                  <w:divBdr>
                    <w:top w:val="none" w:sz="0" w:space="0" w:color="auto"/>
                    <w:left w:val="none" w:sz="0" w:space="0" w:color="auto"/>
                    <w:bottom w:val="none" w:sz="0" w:space="0" w:color="auto"/>
                    <w:right w:val="none" w:sz="0" w:space="0" w:color="auto"/>
                  </w:divBdr>
                </w:div>
                <w:div w:id="122310631">
                  <w:marLeft w:val="0"/>
                  <w:marRight w:val="0"/>
                  <w:marTop w:val="0"/>
                  <w:marBottom w:val="0"/>
                  <w:divBdr>
                    <w:top w:val="none" w:sz="0" w:space="0" w:color="auto"/>
                    <w:left w:val="none" w:sz="0" w:space="0" w:color="auto"/>
                    <w:bottom w:val="none" w:sz="0" w:space="0" w:color="auto"/>
                    <w:right w:val="none" w:sz="0" w:space="0" w:color="auto"/>
                  </w:divBdr>
                </w:div>
                <w:div w:id="1668822626">
                  <w:marLeft w:val="0"/>
                  <w:marRight w:val="0"/>
                  <w:marTop w:val="0"/>
                  <w:marBottom w:val="0"/>
                  <w:divBdr>
                    <w:top w:val="none" w:sz="0" w:space="0" w:color="auto"/>
                    <w:left w:val="none" w:sz="0" w:space="0" w:color="auto"/>
                    <w:bottom w:val="none" w:sz="0" w:space="0" w:color="auto"/>
                    <w:right w:val="none" w:sz="0" w:space="0" w:color="auto"/>
                  </w:divBdr>
                </w:div>
                <w:div w:id="1543902357">
                  <w:marLeft w:val="0"/>
                  <w:marRight w:val="0"/>
                  <w:marTop w:val="0"/>
                  <w:marBottom w:val="0"/>
                  <w:divBdr>
                    <w:top w:val="none" w:sz="0" w:space="0" w:color="auto"/>
                    <w:left w:val="none" w:sz="0" w:space="0" w:color="auto"/>
                    <w:bottom w:val="none" w:sz="0" w:space="0" w:color="auto"/>
                    <w:right w:val="none" w:sz="0" w:space="0" w:color="auto"/>
                  </w:divBdr>
                </w:div>
                <w:div w:id="768701219">
                  <w:marLeft w:val="0"/>
                  <w:marRight w:val="0"/>
                  <w:marTop w:val="0"/>
                  <w:marBottom w:val="0"/>
                  <w:divBdr>
                    <w:top w:val="none" w:sz="0" w:space="0" w:color="auto"/>
                    <w:left w:val="none" w:sz="0" w:space="0" w:color="auto"/>
                    <w:bottom w:val="none" w:sz="0" w:space="0" w:color="auto"/>
                    <w:right w:val="none" w:sz="0" w:space="0" w:color="auto"/>
                  </w:divBdr>
                </w:div>
                <w:div w:id="548154645">
                  <w:marLeft w:val="0"/>
                  <w:marRight w:val="0"/>
                  <w:marTop w:val="0"/>
                  <w:marBottom w:val="0"/>
                  <w:divBdr>
                    <w:top w:val="none" w:sz="0" w:space="0" w:color="auto"/>
                    <w:left w:val="none" w:sz="0" w:space="0" w:color="auto"/>
                    <w:bottom w:val="none" w:sz="0" w:space="0" w:color="auto"/>
                    <w:right w:val="none" w:sz="0" w:space="0" w:color="auto"/>
                  </w:divBdr>
                </w:div>
                <w:div w:id="78527399">
                  <w:marLeft w:val="0"/>
                  <w:marRight w:val="0"/>
                  <w:marTop w:val="0"/>
                  <w:marBottom w:val="0"/>
                  <w:divBdr>
                    <w:top w:val="none" w:sz="0" w:space="0" w:color="auto"/>
                    <w:left w:val="none" w:sz="0" w:space="0" w:color="auto"/>
                    <w:bottom w:val="none" w:sz="0" w:space="0" w:color="auto"/>
                    <w:right w:val="none" w:sz="0" w:space="0" w:color="auto"/>
                  </w:divBdr>
                </w:div>
                <w:div w:id="2135980906">
                  <w:marLeft w:val="0"/>
                  <w:marRight w:val="0"/>
                  <w:marTop w:val="0"/>
                  <w:marBottom w:val="0"/>
                  <w:divBdr>
                    <w:top w:val="none" w:sz="0" w:space="0" w:color="auto"/>
                    <w:left w:val="none" w:sz="0" w:space="0" w:color="auto"/>
                    <w:bottom w:val="none" w:sz="0" w:space="0" w:color="auto"/>
                    <w:right w:val="none" w:sz="0" w:space="0" w:color="auto"/>
                  </w:divBdr>
                </w:div>
                <w:div w:id="1152985968">
                  <w:marLeft w:val="0"/>
                  <w:marRight w:val="0"/>
                  <w:marTop w:val="0"/>
                  <w:marBottom w:val="0"/>
                  <w:divBdr>
                    <w:top w:val="none" w:sz="0" w:space="0" w:color="auto"/>
                    <w:left w:val="none" w:sz="0" w:space="0" w:color="auto"/>
                    <w:bottom w:val="none" w:sz="0" w:space="0" w:color="auto"/>
                    <w:right w:val="none" w:sz="0" w:space="0" w:color="auto"/>
                  </w:divBdr>
                </w:div>
                <w:div w:id="188667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125492">
      <w:bodyDiv w:val="1"/>
      <w:marLeft w:val="0"/>
      <w:marRight w:val="0"/>
      <w:marTop w:val="0"/>
      <w:marBottom w:val="0"/>
      <w:divBdr>
        <w:top w:val="none" w:sz="0" w:space="0" w:color="auto"/>
        <w:left w:val="none" w:sz="0" w:space="0" w:color="auto"/>
        <w:bottom w:val="none" w:sz="0" w:space="0" w:color="auto"/>
        <w:right w:val="none" w:sz="0" w:space="0" w:color="auto"/>
      </w:divBdr>
    </w:div>
    <w:div w:id="2006203330">
      <w:bodyDiv w:val="1"/>
      <w:marLeft w:val="0"/>
      <w:marRight w:val="0"/>
      <w:marTop w:val="0"/>
      <w:marBottom w:val="0"/>
      <w:divBdr>
        <w:top w:val="none" w:sz="0" w:space="0" w:color="auto"/>
        <w:left w:val="none" w:sz="0" w:space="0" w:color="auto"/>
        <w:bottom w:val="none" w:sz="0" w:space="0" w:color="auto"/>
        <w:right w:val="none" w:sz="0" w:space="0" w:color="auto"/>
      </w:divBdr>
    </w:div>
    <w:div w:id="2006319806">
      <w:bodyDiv w:val="1"/>
      <w:marLeft w:val="0"/>
      <w:marRight w:val="0"/>
      <w:marTop w:val="0"/>
      <w:marBottom w:val="0"/>
      <w:divBdr>
        <w:top w:val="none" w:sz="0" w:space="0" w:color="auto"/>
        <w:left w:val="none" w:sz="0" w:space="0" w:color="auto"/>
        <w:bottom w:val="none" w:sz="0" w:space="0" w:color="auto"/>
        <w:right w:val="none" w:sz="0" w:space="0" w:color="auto"/>
      </w:divBdr>
    </w:div>
    <w:div w:id="2006468941">
      <w:bodyDiv w:val="1"/>
      <w:marLeft w:val="0"/>
      <w:marRight w:val="0"/>
      <w:marTop w:val="0"/>
      <w:marBottom w:val="0"/>
      <w:divBdr>
        <w:top w:val="none" w:sz="0" w:space="0" w:color="auto"/>
        <w:left w:val="none" w:sz="0" w:space="0" w:color="auto"/>
        <w:bottom w:val="none" w:sz="0" w:space="0" w:color="auto"/>
        <w:right w:val="none" w:sz="0" w:space="0" w:color="auto"/>
      </w:divBdr>
    </w:div>
    <w:div w:id="2006544431">
      <w:bodyDiv w:val="1"/>
      <w:marLeft w:val="0"/>
      <w:marRight w:val="0"/>
      <w:marTop w:val="0"/>
      <w:marBottom w:val="0"/>
      <w:divBdr>
        <w:top w:val="none" w:sz="0" w:space="0" w:color="auto"/>
        <w:left w:val="none" w:sz="0" w:space="0" w:color="auto"/>
        <w:bottom w:val="none" w:sz="0" w:space="0" w:color="auto"/>
        <w:right w:val="none" w:sz="0" w:space="0" w:color="auto"/>
      </w:divBdr>
    </w:div>
    <w:div w:id="2007054184">
      <w:bodyDiv w:val="1"/>
      <w:marLeft w:val="0"/>
      <w:marRight w:val="0"/>
      <w:marTop w:val="0"/>
      <w:marBottom w:val="0"/>
      <w:divBdr>
        <w:top w:val="none" w:sz="0" w:space="0" w:color="auto"/>
        <w:left w:val="none" w:sz="0" w:space="0" w:color="auto"/>
        <w:bottom w:val="none" w:sz="0" w:space="0" w:color="auto"/>
        <w:right w:val="none" w:sz="0" w:space="0" w:color="auto"/>
      </w:divBdr>
    </w:div>
    <w:div w:id="2007320985">
      <w:bodyDiv w:val="1"/>
      <w:marLeft w:val="0"/>
      <w:marRight w:val="0"/>
      <w:marTop w:val="0"/>
      <w:marBottom w:val="0"/>
      <w:divBdr>
        <w:top w:val="none" w:sz="0" w:space="0" w:color="auto"/>
        <w:left w:val="none" w:sz="0" w:space="0" w:color="auto"/>
        <w:bottom w:val="none" w:sz="0" w:space="0" w:color="auto"/>
        <w:right w:val="none" w:sz="0" w:space="0" w:color="auto"/>
      </w:divBdr>
    </w:div>
    <w:div w:id="2007391938">
      <w:bodyDiv w:val="1"/>
      <w:marLeft w:val="0"/>
      <w:marRight w:val="0"/>
      <w:marTop w:val="0"/>
      <w:marBottom w:val="0"/>
      <w:divBdr>
        <w:top w:val="none" w:sz="0" w:space="0" w:color="auto"/>
        <w:left w:val="none" w:sz="0" w:space="0" w:color="auto"/>
        <w:bottom w:val="none" w:sz="0" w:space="0" w:color="auto"/>
        <w:right w:val="none" w:sz="0" w:space="0" w:color="auto"/>
      </w:divBdr>
    </w:div>
    <w:div w:id="2007857138">
      <w:bodyDiv w:val="1"/>
      <w:marLeft w:val="0"/>
      <w:marRight w:val="0"/>
      <w:marTop w:val="0"/>
      <w:marBottom w:val="0"/>
      <w:divBdr>
        <w:top w:val="none" w:sz="0" w:space="0" w:color="auto"/>
        <w:left w:val="none" w:sz="0" w:space="0" w:color="auto"/>
        <w:bottom w:val="none" w:sz="0" w:space="0" w:color="auto"/>
        <w:right w:val="none" w:sz="0" w:space="0" w:color="auto"/>
      </w:divBdr>
    </w:div>
    <w:div w:id="2008054994">
      <w:bodyDiv w:val="1"/>
      <w:marLeft w:val="0"/>
      <w:marRight w:val="0"/>
      <w:marTop w:val="0"/>
      <w:marBottom w:val="0"/>
      <w:divBdr>
        <w:top w:val="none" w:sz="0" w:space="0" w:color="auto"/>
        <w:left w:val="none" w:sz="0" w:space="0" w:color="auto"/>
        <w:bottom w:val="none" w:sz="0" w:space="0" w:color="auto"/>
        <w:right w:val="none" w:sz="0" w:space="0" w:color="auto"/>
      </w:divBdr>
    </w:div>
    <w:div w:id="2008902877">
      <w:bodyDiv w:val="1"/>
      <w:marLeft w:val="0"/>
      <w:marRight w:val="0"/>
      <w:marTop w:val="0"/>
      <w:marBottom w:val="0"/>
      <w:divBdr>
        <w:top w:val="none" w:sz="0" w:space="0" w:color="auto"/>
        <w:left w:val="none" w:sz="0" w:space="0" w:color="auto"/>
        <w:bottom w:val="none" w:sz="0" w:space="0" w:color="auto"/>
        <w:right w:val="none" w:sz="0" w:space="0" w:color="auto"/>
      </w:divBdr>
    </w:div>
    <w:div w:id="2009209732">
      <w:bodyDiv w:val="1"/>
      <w:marLeft w:val="0"/>
      <w:marRight w:val="0"/>
      <w:marTop w:val="0"/>
      <w:marBottom w:val="0"/>
      <w:divBdr>
        <w:top w:val="none" w:sz="0" w:space="0" w:color="auto"/>
        <w:left w:val="none" w:sz="0" w:space="0" w:color="auto"/>
        <w:bottom w:val="none" w:sz="0" w:space="0" w:color="auto"/>
        <w:right w:val="none" w:sz="0" w:space="0" w:color="auto"/>
      </w:divBdr>
    </w:div>
    <w:div w:id="2009284090">
      <w:bodyDiv w:val="1"/>
      <w:marLeft w:val="0"/>
      <w:marRight w:val="0"/>
      <w:marTop w:val="0"/>
      <w:marBottom w:val="0"/>
      <w:divBdr>
        <w:top w:val="none" w:sz="0" w:space="0" w:color="auto"/>
        <w:left w:val="none" w:sz="0" w:space="0" w:color="auto"/>
        <w:bottom w:val="none" w:sz="0" w:space="0" w:color="auto"/>
        <w:right w:val="none" w:sz="0" w:space="0" w:color="auto"/>
      </w:divBdr>
    </w:div>
    <w:div w:id="2009362147">
      <w:bodyDiv w:val="1"/>
      <w:marLeft w:val="0"/>
      <w:marRight w:val="0"/>
      <w:marTop w:val="0"/>
      <w:marBottom w:val="0"/>
      <w:divBdr>
        <w:top w:val="none" w:sz="0" w:space="0" w:color="auto"/>
        <w:left w:val="none" w:sz="0" w:space="0" w:color="auto"/>
        <w:bottom w:val="none" w:sz="0" w:space="0" w:color="auto"/>
        <w:right w:val="none" w:sz="0" w:space="0" w:color="auto"/>
      </w:divBdr>
    </w:div>
    <w:div w:id="2009556475">
      <w:bodyDiv w:val="1"/>
      <w:marLeft w:val="0"/>
      <w:marRight w:val="0"/>
      <w:marTop w:val="0"/>
      <w:marBottom w:val="0"/>
      <w:divBdr>
        <w:top w:val="none" w:sz="0" w:space="0" w:color="auto"/>
        <w:left w:val="none" w:sz="0" w:space="0" w:color="auto"/>
        <w:bottom w:val="none" w:sz="0" w:space="0" w:color="auto"/>
        <w:right w:val="none" w:sz="0" w:space="0" w:color="auto"/>
      </w:divBdr>
    </w:div>
    <w:div w:id="2009821135">
      <w:bodyDiv w:val="1"/>
      <w:marLeft w:val="0"/>
      <w:marRight w:val="0"/>
      <w:marTop w:val="0"/>
      <w:marBottom w:val="0"/>
      <w:divBdr>
        <w:top w:val="none" w:sz="0" w:space="0" w:color="auto"/>
        <w:left w:val="none" w:sz="0" w:space="0" w:color="auto"/>
        <w:bottom w:val="none" w:sz="0" w:space="0" w:color="auto"/>
        <w:right w:val="none" w:sz="0" w:space="0" w:color="auto"/>
      </w:divBdr>
    </w:div>
    <w:div w:id="2010867230">
      <w:bodyDiv w:val="1"/>
      <w:marLeft w:val="0"/>
      <w:marRight w:val="0"/>
      <w:marTop w:val="0"/>
      <w:marBottom w:val="0"/>
      <w:divBdr>
        <w:top w:val="none" w:sz="0" w:space="0" w:color="auto"/>
        <w:left w:val="none" w:sz="0" w:space="0" w:color="auto"/>
        <w:bottom w:val="none" w:sz="0" w:space="0" w:color="auto"/>
        <w:right w:val="none" w:sz="0" w:space="0" w:color="auto"/>
      </w:divBdr>
    </w:div>
    <w:div w:id="2011562298">
      <w:bodyDiv w:val="1"/>
      <w:marLeft w:val="0"/>
      <w:marRight w:val="0"/>
      <w:marTop w:val="0"/>
      <w:marBottom w:val="0"/>
      <w:divBdr>
        <w:top w:val="none" w:sz="0" w:space="0" w:color="auto"/>
        <w:left w:val="none" w:sz="0" w:space="0" w:color="auto"/>
        <w:bottom w:val="none" w:sz="0" w:space="0" w:color="auto"/>
        <w:right w:val="none" w:sz="0" w:space="0" w:color="auto"/>
      </w:divBdr>
    </w:div>
    <w:div w:id="2011911728">
      <w:bodyDiv w:val="1"/>
      <w:marLeft w:val="0"/>
      <w:marRight w:val="0"/>
      <w:marTop w:val="0"/>
      <w:marBottom w:val="0"/>
      <w:divBdr>
        <w:top w:val="none" w:sz="0" w:space="0" w:color="auto"/>
        <w:left w:val="none" w:sz="0" w:space="0" w:color="auto"/>
        <w:bottom w:val="none" w:sz="0" w:space="0" w:color="auto"/>
        <w:right w:val="none" w:sz="0" w:space="0" w:color="auto"/>
      </w:divBdr>
    </w:div>
    <w:div w:id="2013605727">
      <w:bodyDiv w:val="1"/>
      <w:marLeft w:val="0"/>
      <w:marRight w:val="0"/>
      <w:marTop w:val="0"/>
      <w:marBottom w:val="0"/>
      <w:divBdr>
        <w:top w:val="none" w:sz="0" w:space="0" w:color="auto"/>
        <w:left w:val="none" w:sz="0" w:space="0" w:color="auto"/>
        <w:bottom w:val="none" w:sz="0" w:space="0" w:color="auto"/>
        <w:right w:val="none" w:sz="0" w:space="0" w:color="auto"/>
      </w:divBdr>
    </w:div>
    <w:div w:id="2013609024">
      <w:bodyDiv w:val="1"/>
      <w:marLeft w:val="0"/>
      <w:marRight w:val="0"/>
      <w:marTop w:val="0"/>
      <w:marBottom w:val="0"/>
      <w:divBdr>
        <w:top w:val="none" w:sz="0" w:space="0" w:color="auto"/>
        <w:left w:val="none" w:sz="0" w:space="0" w:color="auto"/>
        <w:bottom w:val="none" w:sz="0" w:space="0" w:color="auto"/>
        <w:right w:val="none" w:sz="0" w:space="0" w:color="auto"/>
      </w:divBdr>
    </w:div>
    <w:div w:id="2013679572">
      <w:bodyDiv w:val="1"/>
      <w:marLeft w:val="0"/>
      <w:marRight w:val="0"/>
      <w:marTop w:val="0"/>
      <w:marBottom w:val="0"/>
      <w:divBdr>
        <w:top w:val="none" w:sz="0" w:space="0" w:color="auto"/>
        <w:left w:val="none" w:sz="0" w:space="0" w:color="auto"/>
        <w:bottom w:val="none" w:sz="0" w:space="0" w:color="auto"/>
        <w:right w:val="none" w:sz="0" w:space="0" w:color="auto"/>
      </w:divBdr>
    </w:div>
    <w:div w:id="2014064682">
      <w:bodyDiv w:val="1"/>
      <w:marLeft w:val="0"/>
      <w:marRight w:val="0"/>
      <w:marTop w:val="0"/>
      <w:marBottom w:val="0"/>
      <w:divBdr>
        <w:top w:val="none" w:sz="0" w:space="0" w:color="auto"/>
        <w:left w:val="none" w:sz="0" w:space="0" w:color="auto"/>
        <w:bottom w:val="none" w:sz="0" w:space="0" w:color="auto"/>
        <w:right w:val="none" w:sz="0" w:space="0" w:color="auto"/>
      </w:divBdr>
    </w:div>
    <w:div w:id="2014917907">
      <w:bodyDiv w:val="1"/>
      <w:marLeft w:val="0"/>
      <w:marRight w:val="0"/>
      <w:marTop w:val="0"/>
      <w:marBottom w:val="0"/>
      <w:divBdr>
        <w:top w:val="none" w:sz="0" w:space="0" w:color="auto"/>
        <w:left w:val="none" w:sz="0" w:space="0" w:color="auto"/>
        <w:bottom w:val="none" w:sz="0" w:space="0" w:color="auto"/>
        <w:right w:val="none" w:sz="0" w:space="0" w:color="auto"/>
      </w:divBdr>
    </w:div>
    <w:div w:id="2016763862">
      <w:bodyDiv w:val="1"/>
      <w:marLeft w:val="0"/>
      <w:marRight w:val="0"/>
      <w:marTop w:val="0"/>
      <w:marBottom w:val="0"/>
      <w:divBdr>
        <w:top w:val="none" w:sz="0" w:space="0" w:color="auto"/>
        <w:left w:val="none" w:sz="0" w:space="0" w:color="auto"/>
        <w:bottom w:val="none" w:sz="0" w:space="0" w:color="auto"/>
        <w:right w:val="none" w:sz="0" w:space="0" w:color="auto"/>
      </w:divBdr>
    </w:div>
    <w:div w:id="2016765106">
      <w:bodyDiv w:val="1"/>
      <w:marLeft w:val="0"/>
      <w:marRight w:val="0"/>
      <w:marTop w:val="0"/>
      <w:marBottom w:val="0"/>
      <w:divBdr>
        <w:top w:val="none" w:sz="0" w:space="0" w:color="auto"/>
        <w:left w:val="none" w:sz="0" w:space="0" w:color="auto"/>
        <w:bottom w:val="none" w:sz="0" w:space="0" w:color="auto"/>
        <w:right w:val="none" w:sz="0" w:space="0" w:color="auto"/>
      </w:divBdr>
    </w:div>
    <w:div w:id="2020349972">
      <w:bodyDiv w:val="1"/>
      <w:marLeft w:val="0"/>
      <w:marRight w:val="0"/>
      <w:marTop w:val="0"/>
      <w:marBottom w:val="0"/>
      <w:divBdr>
        <w:top w:val="none" w:sz="0" w:space="0" w:color="auto"/>
        <w:left w:val="none" w:sz="0" w:space="0" w:color="auto"/>
        <w:bottom w:val="none" w:sz="0" w:space="0" w:color="auto"/>
        <w:right w:val="none" w:sz="0" w:space="0" w:color="auto"/>
      </w:divBdr>
    </w:div>
    <w:div w:id="2021081340">
      <w:bodyDiv w:val="1"/>
      <w:marLeft w:val="0"/>
      <w:marRight w:val="0"/>
      <w:marTop w:val="0"/>
      <w:marBottom w:val="0"/>
      <w:divBdr>
        <w:top w:val="none" w:sz="0" w:space="0" w:color="auto"/>
        <w:left w:val="none" w:sz="0" w:space="0" w:color="auto"/>
        <w:bottom w:val="none" w:sz="0" w:space="0" w:color="auto"/>
        <w:right w:val="none" w:sz="0" w:space="0" w:color="auto"/>
      </w:divBdr>
    </w:div>
    <w:div w:id="2021084474">
      <w:bodyDiv w:val="1"/>
      <w:marLeft w:val="0"/>
      <w:marRight w:val="0"/>
      <w:marTop w:val="0"/>
      <w:marBottom w:val="0"/>
      <w:divBdr>
        <w:top w:val="none" w:sz="0" w:space="0" w:color="auto"/>
        <w:left w:val="none" w:sz="0" w:space="0" w:color="auto"/>
        <w:bottom w:val="none" w:sz="0" w:space="0" w:color="auto"/>
        <w:right w:val="none" w:sz="0" w:space="0" w:color="auto"/>
      </w:divBdr>
    </w:div>
    <w:div w:id="2021616177">
      <w:bodyDiv w:val="1"/>
      <w:marLeft w:val="0"/>
      <w:marRight w:val="0"/>
      <w:marTop w:val="0"/>
      <w:marBottom w:val="0"/>
      <w:divBdr>
        <w:top w:val="none" w:sz="0" w:space="0" w:color="auto"/>
        <w:left w:val="none" w:sz="0" w:space="0" w:color="auto"/>
        <w:bottom w:val="none" w:sz="0" w:space="0" w:color="auto"/>
        <w:right w:val="none" w:sz="0" w:space="0" w:color="auto"/>
      </w:divBdr>
    </w:div>
    <w:div w:id="2021731758">
      <w:bodyDiv w:val="1"/>
      <w:marLeft w:val="0"/>
      <w:marRight w:val="0"/>
      <w:marTop w:val="0"/>
      <w:marBottom w:val="0"/>
      <w:divBdr>
        <w:top w:val="none" w:sz="0" w:space="0" w:color="auto"/>
        <w:left w:val="none" w:sz="0" w:space="0" w:color="auto"/>
        <w:bottom w:val="none" w:sz="0" w:space="0" w:color="auto"/>
        <w:right w:val="none" w:sz="0" w:space="0" w:color="auto"/>
      </w:divBdr>
    </w:div>
    <w:div w:id="2022774169">
      <w:bodyDiv w:val="1"/>
      <w:marLeft w:val="0"/>
      <w:marRight w:val="0"/>
      <w:marTop w:val="0"/>
      <w:marBottom w:val="0"/>
      <w:divBdr>
        <w:top w:val="none" w:sz="0" w:space="0" w:color="auto"/>
        <w:left w:val="none" w:sz="0" w:space="0" w:color="auto"/>
        <w:bottom w:val="none" w:sz="0" w:space="0" w:color="auto"/>
        <w:right w:val="none" w:sz="0" w:space="0" w:color="auto"/>
      </w:divBdr>
    </w:div>
    <w:div w:id="2025014291">
      <w:bodyDiv w:val="1"/>
      <w:marLeft w:val="0"/>
      <w:marRight w:val="0"/>
      <w:marTop w:val="0"/>
      <w:marBottom w:val="0"/>
      <w:divBdr>
        <w:top w:val="none" w:sz="0" w:space="0" w:color="auto"/>
        <w:left w:val="none" w:sz="0" w:space="0" w:color="auto"/>
        <w:bottom w:val="none" w:sz="0" w:space="0" w:color="auto"/>
        <w:right w:val="none" w:sz="0" w:space="0" w:color="auto"/>
      </w:divBdr>
    </w:div>
    <w:div w:id="2025088750">
      <w:bodyDiv w:val="1"/>
      <w:marLeft w:val="0"/>
      <w:marRight w:val="0"/>
      <w:marTop w:val="0"/>
      <w:marBottom w:val="0"/>
      <w:divBdr>
        <w:top w:val="none" w:sz="0" w:space="0" w:color="auto"/>
        <w:left w:val="none" w:sz="0" w:space="0" w:color="auto"/>
        <w:bottom w:val="none" w:sz="0" w:space="0" w:color="auto"/>
        <w:right w:val="none" w:sz="0" w:space="0" w:color="auto"/>
      </w:divBdr>
    </w:div>
    <w:div w:id="2026200726">
      <w:bodyDiv w:val="1"/>
      <w:marLeft w:val="0"/>
      <w:marRight w:val="0"/>
      <w:marTop w:val="0"/>
      <w:marBottom w:val="0"/>
      <w:divBdr>
        <w:top w:val="none" w:sz="0" w:space="0" w:color="auto"/>
        <w:left w:val="none" w:sz="0" w:space="0" w:color="auto"/>
        <w:bottom w:val="none" w:sz="0" w:space="0" w:color="auto"/>
        <w:right w:val="none" w:sz="0" w:space="0" w:color="auto"/>
      </w:divBdr>
    </w:div>
    <w:div w:id="2026981309">
      <w:bodyDiv w:val="1"/>
      <w:marLeft w:val="0"/>
      <w:marRight w:val="0"/>
      <w:marTop w:val="0"/>
      <w:marBottom w:val="0"/>
      <w:divBdr>
        <w:top w:val="none" w:sz="0" w:space="0" w:color="auto"/>
        <w:left w:val="none" w:sz="0" w:space="0" w:color="auto"/>
        <w:bottom w:val="none" w:sz="0" w:space="0" w:color="auto"/>
        <w:right w:val="none" w:sz="0" w:space="0" w:color="auto"/>
      </w:divBdr>
    </w:div>
    <w:div w:id="2027096192">
      <w:bodyDiv w:val="1"/>
      <w:marLeft w:val="0"/>
      <w:marRight w:val="0"/>
      <w:marTop w:val="0"/>
      <w:marBottom w:val="0"/>
      <w:divBdr>
        <w:top w:val="none" w:sz="0" w:space="0" w:color="auto"/>
        <w:left w:val="none" w:sz="0" w:space="0" w:color="auto"/>
        <w:bottom w:val="none" w:sz="0" w:space="0" w:color="auto"/>
        <w:right w:val="none" w:sz="0" w:space="0" w:color="auto"/>
      </w:divBdr>
    </w:div>
    <w:div w:id="2028172830">
      <w:bodyDiv w:val="1"/>
      <w:marLeft w:val="0"/>
      <w:marRight w:val="0"/>
      <w:marTop w:val="0"/>
      <w:marBottom w:val="0"/>
      <w:divBdr>
        <w:top w:val="none" w:sz="0" w:space="0" w:color="auto"/>
        <w:left w:val="none" w:sz="0" w:space="0" w:color="auto"/>
        <w:bottom w:val="none" w:sz="0" w:space="0" w:color="auto"/>
        <w:right w:val="none" w:sz="0" w:space="0" w:color="auto"/>
      </w:divBdr>
    </w:div>
    <w:div w:id="2029675747">
      <w:bodyDiv w:val="1"/>
      <w:marLeft w:val="0"/>
      <w:marRight w:val="0"/>
      <w:marTop w:val="0"/>
      <w:marBottom w:val="0"/>
      <w:divBdr>
        <w:top w:val="none" w:sz="0" w:space="0" w:color="auto"/>
        <w:left w:val="none" w:sz="0" w:space="0" w:color="auto"/>
        <w:bottom w:val="none" w:sz="0" w:space="0" w:color="auto"/>
        <w:right w:val="none" w:sz="0" w:space="0" w:color="auto"/>
      </w:divBdr>
    </w:div>
    <w:div w:id="2030376583">
      <w:bodyDiv w:val="1"/>
      <w:marLeft w:val="0"/>
      <w:marRight w:val="0"/>
      <w:marTop w:val="0"/>
      <w:marBottom w:val="0"/>
      <w:divBdr>
        <w:top w:val="none" w:sz="0" w:space="0" w:color="auto"/>
        <w:left w:val="none" w:sz="0" w:space="0" w:color="auto"/>
        <w:bottom w:val="none" w:sz="0" w:space="0" w:color="auto"/>
        <w:right w:val="none" w:sz="0" w:space="0" w:color="auto"/>
      </w:divBdr>
    </w:div>
    <w:div w:id="2030569549">
      <w:bodyDiv w:val="1"/>
      <w:marLeft w:val="0"/>
      <w:marRight w:val="0"/>
      <w:marTop w:val="0"/>
      <w:marBottom w:val="0"/>
      <w:divBdr>
        <w:top w:val="none" w:sz="0" w:space="0" w:color="auto"/>
        <w:left w:val="none" w:sz="0" w:space="0" w:color="auto"/>
        <w:bottom w:val="none" w:sz="0" w:space="0" w:color="auto"/>
        <w:right w:val="none" w:sz="0" w:space="0" w:color="auto"/>
      </w:divBdr>
    </w:div>
    <w:div w:id="2030789973">
      <w:bodyDiv w:val="1"/>
      <w:marLeft w:val="0"/>
      <w:marRight w:val="0"/>
      <w:marTop w:val="0"/>
      <w:marBottom w:val="0"/>
      <w:divBdr>
        <w:top w:val="none" w:sz="0" w:space="0" w:color="auto"/>
        <w:left w:val="none" w:sz="0" w:space="0" w:color="auto"/>
        <w:bottom w:val="none" w:sz="0" w:space="0" w:color="auto"/>
        <w:right w:val="none" w:sz="0" w:space="0" w:color="auto"/>
      </w:divBdr>
    </w:div>
    <w:div w:id="2031445003">
      <w:bodyDiv w:val="1"/>
      <w:marLeft w:val="0"/>
      <w:marRight w:val="0"/>
      <w:marTop w:val="0"/>
      <w:marBottom w:val="0"/>
      <w:divBdr>
        <w:top w:val="none" w:sz="0" w:space="0" w:color="auto"/>
        <w:left w:val="none" w:sz="0" w:space="0" w:color="auto"/>
        <w:bottom w:val="none" w:sz="0" w:space="0" w:color="auto"/>
        <w:right w:val="none" w:sz="0" w:space="0" w:color="auto"/>
      </w:divBdr>
    </w:div>
    <w:div w:id="2032415173">
      <w:bodyDiv w:val="1"/>
      <w:marLeft w:val="0"/>
      <w:marRight w:val="0"/>
      <w:marTop w:val="0"/>
      <w:marBottom w:val="0"/>
      <w:divBdr>
        <w:top w:val="none" w:sz="0" w:space="0" w:color="auto"/>
        <w:left w:val="none" w:sz="0" w:space="0" w:color="auto"/>
        <w:bottom w:val="none" w:sz="0" w:space="0" w:color="auto"/>
        <w:right w:val="none" w:sz="0" w:space="0" w:color="auto"/>
      </w:divBdr>
      <w:divsChild>
        <w:div w:id="578104343">
          <w:marLeft w:val="0"/>
          <w:marRight w:val="0"/>
          <w:marTop w:val="0"/>
          <w:marBottom w:val="0"/>
          <w:divBdr>
            <w:top w:val="none" w:sz="0" w:space="0" w:color="auto"/>
            <w:left w:val="none" w:sz="0" w:space="0" w:color="auto"/>
            <w:bottom w:val="none" w:sz="0" w:space="0" w:color="auto"/>
            <w:right w:val="none" w:sz="0" w:space="0" w:color="auto"/>
          </w:divBdr>
        </w:div>
        <w:div w:id="2138447346">
          <w:marLeft w:val="0"/>
          <w:marRight w:val="0"/>
          <w:marTop w:val="0"/>
          <w:marBottom w:val="0"/>
          <w:divBdr>
            <w:top w:val="none" w:sz="0" w:space="0" w:color="auto"/>
            <w:left w:val="none" w:sz="0" w:space="0" w:color="auto"/>
            <w:bottom w:val="none" w:sz="0" w:space="0" w:color="auto"/>
            <w:right w:val="none" w:sz="0" w:space="0" w:color="auto"/>
          </w:divBdr>
        </w:div>
        <w:div w:id="1368488081">
          <w:marLeft w:val="0"/>
          <w:marRight w:val="0"/>
          <w:marTop w:val="0"/>
          <w:marBottom w:val="0"/>
          <w:divBdr>
            <w:top w:val="none" w:sz="0" w:space="0" w:color="auto"/>
            <w:left w:val="none" w:sz="0" w:space="0" w:color="auto"/>
            <w:bottom w:val="none" w:sz="0" w:space="0" w:color="auto"/>
            <w:right w:val="none" w:sz="0" w:space="0" w:color="auto"/>
          </w:divBdr>
        </w:div>
      </w:divsChild>
    </w:div>
    <w:div w:id="2032488644">
      <w:bodyDiv w:val="1"/>
      <w:marLeft w:val="0"/>
      <w:marRight w:val="0"/>
      <w:marTop w:val="0"/>
      <w:marBottom w:val="0"/>
      <w:divBdr>
        <w:top w:val="none" w:sz="0" w:space="0" w:color="auto"/>
        <w:left w:val="none" w:sz="0" w:space="0" w:color="auto"/>
        <w:bottom w:val="none" w:sz="0" w:space="0" w:color="auto"/>
        <w:right w:val="none" w:sz="0" w:space="0" w:color="auto"/>
      </w:divBdr>
    </w:div>
    <w:div w:id="2032490114">
      <w:bodyDiv w:val="1"/>
      <w:marLeft w:val="0"/>
      <w:marRight w:val="0"/>
      <w:marTop w:val="0"/>
      <w:marBottom w:val="0"/>
      <w:divBdr>
        <w:top w:val="none" w:sz="0" w:space="0" w:color="auto"/>
        <w:left w:val="none" w:sz="0" w:space="0" w:color="auto"/>
        <w:bottom w:val="none" w:sz="0" w:space="0" w:color="auto"/>
        <w:right w:val="none" w:sz="0" w:space="0" w:color="auto"/>
      </w:divBdr>
    </w:div>
    <w:div w:id="2034306849">
      <w:bodyDiv w:val="1"/>
      <w:marLeft w:val="0"/>
      <w:marRight w:val="0"/>
      <w:marTop w:val="0"/>
      <w:marBottom w:val="0"/>
      <w:divBdr>
        <w:top w:val="none" w:sz="0" w:space="0" w:color="auto"/>
        <w:left w:val="none" w:sz="0" w:space="0" w:color="auto"/>
        <w:bottom w:val="none" w:sz="0" w:space="0" w:color="auto"/>
        <w:right w:val="none" w:sz="0" w:space="0" w:color="auto"/>
      </w:divBdr>
    </w:div>
    <w:div w:id="2034842273">
      <w:bodyDiv w:val="1"/>
      <w:marLeft w:val="0"/>
      <w:marRight w:val="0"/>
      <w:marTop w:val="0"/>
      <w:marBottom w:val="0"/>
      <w:divBdr>
        <w:top w:val="none" w:sz="0" w:space="0" w:color="auto"/>
        <w:left w:val="none" w:sz="0" w:space="0" w:color="auto"/>
        <w:bottom w:val="none" w:sz="0" w:space="0" w:color="auto"/>
        <w:right w:val="none" w:sz="0" w:space="0" w:color="auto"/>
      </w:divBdr>
    </w:div>
    <w:div w:id="2034958374">
      <w:bodyDiv w:val="1"/>
      <w:marLeft w:val="0"/>
      <w:marRight w:val="0"/>
      <w:marTop w:val="0"/>
      <w:marBottom w:val="0"/>
      <w:divBdr>
        <w:top w:val="none" w:sz="0" w:space="0" w:color="auto"/>
        <w:left w:val="none" w:sz="0" w:space="0" w:color="auto"/>
        <w:bottom w:val="none" w:sz="0" w:space="0" w:color="auto"/>
        <w:right w:val="none" w:sz="0" w:space="0" w:color="auto"/>
      </w:divBdr>
    </w:div>
    <w:div w:id="2036036863">
      <w:bodyDiv w:val="1"/>
      <w:marLeft w:val="0"/>
      <w:marRight w:val="0"/>
      <w:marTop w:val="0"/>
      <w:marBottom w:val="0"/>
      <w:divBdr>
        <w:top w:val="none" w:sz="0" w:space="0" w:color="auto"/>
        <w:left w:val="none" w:sz="0" w:space="0" w:color="auto"/>
        <w:bottom w:val="none" w:sz="0" w:space="0" w:color="auto"/>
        <w:right w:val="none" w:sz="0" w:space="0" w:color="auto"/>
      </w:divBdr>
    </w:div>
    <w:div w:id="2036996446">
      <w:bodyDiv w:val="1"/>
      <w:marLeft w:val="0"/>
      <w:marRight w:val="0"/>
      <w:marTop w:val="0"/>
      <w:marBottom w:val="0"/>
      <w:divBdr>
        <w:top w:val="none" w:sz="0" w:space="0" w:color="auto"/>
        <w:left w:val="none" w:sz="0" w:space="0" w:color="auto"/>
        <w:bottom w:val="none" w:sz="0" w:space="0" w:color="auto"/>
        <w:right w:val="none" w:sz="0" w:space="0" w:color="auto"/>
      </w:divBdr>
    </w:div>
    <w:div w:id="2037732016">
      <w:bodyDiv w:val="1"/>
      <w:marLeft w:val="0"/>
      <w:marRight w:val="0"/>
      <w:marTop w:val="0"/>
      <w:marBottom w:val="0"/>
      <w:divBdr>
        <w:top w:val="none" w:sz="0" w:space="0" w:color="auto"/>
        <w:left w:val="none" w:sz="0" w:space="0" w:color="auto"/>
        <w:bottom w:val="none" w:sz="0" w:space="0" w:color="auto"/>
        <w:right w:val="none" w:sz="0" w:space="0" w:color="auto"/>
      </w:divBdr>
    </w:div>
    <w:div w:id="2038772997">
      <w:bodyDiv w:val="1"/>
      <w:marLeft w:val="0"/>
      <w:marRight w:val="0"/>
      <w:marTop w:val="0"/>
      <w:marBottom w:val="0"/>
      <w:divBdr>
        <w:top w:val="none" w:sz="0" w:space="0" w:color="auto"/>
        <w:left w:val="none" w:sz="0" w:space="0" w:color="auto"/>
        <w:bottom w:val="none" w:sz="0" w:space="0" w:color="auto"/>
        <w:right w:val="none" w:sz="0" w:space="0" w:color="auto"/>
      </w:divBdr>
    </w:div>
    <w:div w:id="2038965823">
      <w:bodyDiv w:val="1"/>
      <w:marLeft w:val="0"/>
      <w:marRight w:val="0"/>
      <w:marTop w:val="0"/>
      <w:marBottom w:val="0"/>
      <w:divBdr>
        <w:top w:val="none" w:sz="0" w:space="0" w:color="auto"/>
        <w:left w:val="none" w:sz="0" w:space="0" w:color="auto"/>
        <w:bottom w:val="none" w:sz="0" w:space="0" w:color="auto"/>
        <w:right w:val="none" w:sz="0" w:space="0" w:color="auto"/>
      </w:divBdr>
    </w:div>
    <w:div w:id="2039968338">
      <w:bodyDiv w:val="1"/>
      <w:marLeft w:val="0"/>
      <w:marRight w:val="0"/>
      <w:marTop w:val="0"/>
      <w:marBottom w:val="0"/>
      <w:divBdr>
        <w:top w:val="none" w:sz="0" w:space="0" w:color="auto"/>
        <w:left w:val="none" w:sz="0" w:space="0" w:color="auto"/>
        <w:bottom w:val="none" w:sz="0" w:space="0" w:color="auto"/>
        <w:right w:val="none" w:sz="0" w:space="0" w:color="auto"/>
      </w:divBdr>
    </w:div>
    <w:div w:id="2041277732">
      <w:bodyDiv w:val="1"/>
      <w:marLeft w:val="0"/>
      <w:marRight w:val="0"/>
      <w:marTop w:val="0"/>
      <w:marBottom w:val="0"/>
      <w:divBdr>
        <w:top w:val="none" w:sz="0" w:space="0" w:color="auto"/>
        <w:left w:val="none" w:sz="0" w:space="0" w:color="auto"/>
        <w:bottom w:val="none" w:sz="0" w:space="0" w:color="auto"/>
        <w:right w:val="none" w:sz="0" w:space="0" w:color="auto"/>
      </w:divBdr>
    </w:div>
    <w:div w:id="2041854864">
      <w:bodyDiv w:val="1"/>
      <w:marLeft w:val="0"/>
      <w:marRight w:val="0"/>
      <w:marTop w:val="0"/>
      <w:marBottom w:val="0"/>
      <w:divBdr>
        <w:top w:val="none" w:sz="0" w:space="0" w:color="auto"/>
        <w:left w:val="none" w:sz="0" w:space="0" w:color="auto"/>
        <w:bottom w:val="none" w:sz="0" w:space="0" w:color="auto"/>
        <w:right w:val="none" w:sz="0" w:space="0" w:color="auto"/>
      </w:divBdr>
    </w:div>
    <w:div w:id="2042051808">
      <w:bodyDiv w:val="1"/>
      <w:marLeft w:val="0"/>
      <w:marRight w:val="0"/>
      <w:marTop w:val="0"/>
      <w:marBottom w:val="0"/>
      <w:divBdr>
        <w:top w:val="none" w:sz="0" w:space="0" w:color="auto"/>
        <w:left w:val="none" w:sz="0" w:space="0" w:color="auto"/>
        <w:bottom w:val="none" w:sz="0" w:space="0" w:color="auto"/>
        <w:right w:val="none" w:sz="0" w:space="0" w:color="auto"/>
      </w:divBdr>
    </w:div>
    <w:div w:id="2042972888">
      <w:bodyDiv w:val="1"/>
      <w:marLeft w:val="0"/>
      <w:marRight w:val="0"/>
      <w:marTop w:val="0"/>
      <w:marBottom w:val="0"/>
      <w:divBdr>
        <w:top w:val="none" w:sz="0" w:space="0" w:color="auto"/>
        <w:left w:val="none" w:sz="0" w:space="0" w:color="auto"/>
        <w:bottom w:val="none" w:sz="0" w:space="0" w:color="auto"/>
        <w:right w:val="none" w:sz="0" w:space="0" w:color="auto"/>
      </w:divBdr>
    </w:div>
    <w:div w:id="2044010902">
      <w:bodyDiv w:val="1"/>
      <w:marLeft w:val="0"/>
      <w:marRight w:val="0"/>
      <w:marTop w:val="0"/>
      <w:marBottom w:val="0"/>
      <w:divBdr>
        <w:top w:val="none" w:sz="0" w:space="0" w:color="auto"/>
        <w:left w:val="none" w:sz="0" w:space="0" w:color="auto"/>
        <w:bottom w:val="none" w:sz="0" w:space="0" w:color="auto"/>
        <w:right w:val="none" w:sz="0" w:space="0" w:color="auto"/>
      </w:divBdr>
    </w:div>
    <w:div w:id="2045211884">
      <w:bodyDiv w:val="1"/>
      <w:marLeft w:val="0"/>
      <w:marRight w:val="0"/>
      <w:marTop w:val="0"/>
      <w:marBottom w:val="0"/>
      <w:divBdr>
        <w:top w:val="none" w:sz="0" w:space="0" w:color="auto"/>
        <w:left w:val="none" w:sz="0" w:space="0" w:color="auto"/>
        <w:bottom w:val="none" w:sz="0" w:space="0" w:color="auto"/>
        <w:right w:val="none" w:sz="0" w:space="0" w:color="auto"/>
      </w:divBdr>
    </w:div>
    <w:div w:id="2045254852">
      <w:bodyDiv w:val="1"/>
      <w:marLeft w:val="0"/>
      <w:marRight w:val="0"/>
      <w:marTop w:val="0"/>
      <w:marBottom w:val="0"/>
      <w:divBdr>
        <w:top w:val="none" w:sz="0" w:space="0" w:color="auto"/>
        <w:left w:val="none" w:sz="0" w:space="0" w:color="auto"/>
        <w:bottom w:val="none" w:sz="0" w:space="0" w:color="auto"/>
        <w:right w:val="none" w:sz="0" w:space="0" w:color="auto"/>
      </w:divBdr>
    </w:div>
    <w:div w:id="2046100841">
      <w:bodyDiv w:val="1"/>
      <w:marLeft w:val="0"/>
      <w:marRight w:val="0"/>
      <w:marTop w:val="0"/>
      <w:marBottom w:val="0"/>
      <w:divBdr>
        <w:top w:val="none" w:sz="0" w:space="0" w:color="auto"/>
        <w:left w:val="none" w:sz="0" w:space="0" w:color="auto"/>
        <w:bottom w:val="none" w:sz="0" w:space="0" w:color="auto"/>
        <w:right w:val="none" w:sz="0" w:space="0" w:color="auto"/>
      </w:divBdr>
    </w:div>
    <w:div w:id="2046371079">
      <w:bodyDiv w:val="1"/>
      <w:marLeft w:val="0"/>
      <w:marRight w:val="0"/>
      <w:marTop w:val="0"/>
      <w:marBottom w:val="0"/>
      <w:divBdr>
        <w:top w:val="none" w:sz="0" w:space="0" w:color="auto"/>
        <w:left w:val="none" w:sz="0" w:space="0" w:color="auto"/>
        <w:bottom w:val="none" w:sz="0" w:space="0" w:color="auto"/>
        <w:right w:val="none" w:sz="0" w:space="0" w:color="auto"/>
      </w:divBdr>
    </w:div>
    <w:div w:id="2047365176">
      <w:bodyDiv w:val="1"/>
      <w:marLeft w:val="0"/>
      <w:marRight w:val="0"/>
      <w:marTop w:val="0"/>
      <w:marBottom w:val="0"/>
      <w:divBdr>
        <w:top w:val="none" w:sz="0" w:space="0" w:color="auto"/>
        <w:left w:val="none" w:sz="0" w:space="0" w:color="auto"/>
        <w:bottom w:val="none" w:sz="0" w:space="0" w:color="auto"/>
        <w:right w:val="none" w:sz="0" w:space="0" w:color="auto"/>
      </w:divBdr>
    </w:div>
    <w:div w:id="2047679428">
      <w:bodyDiv w:val="1"/>
      <w:marLeft w:val="0"/>
      <w:marRight w:val="0"/>
      <w:marTop w:val="0"/>
      <w:marBottom w:val="0"/>
      <w:divBdr>
        <w:top w:val="none" w:sz="0" w:space="0" w:color="auto"/>
        <w:left w:val="none" w:sz="0" w:space="0" w:color="auto"/>
        <w:bottom w:val="none" w:sz="0" w:space="0" w:color="auto"/>
        <w:right w:val="none" w:sz="0" w:space="0" w:color="auto"/>
      </w:divBdr>
    </w:div>
    <w:div w:id="2047753355">
      <w:bodyDiv w:val="1"/>
      <w:marLeft w:val="0"/>
      <w:marRight w:val="0"/>
      <w:marTop w:val="0"/>
      <w:marBottom w:val="0"/>
      <w:divBdr>
        <w:top w:val="none" w:sz="0" w:space="0" w:color="auto"/>
        <w:left w:val="none" w:sz="0" w:space="0" w:color="auto"/>
        <w:bottom w:val="none" w:sz="0" w:space="0" w:color="auto"/>
        <w:right w:val="none" w:sz="0" w:space="0" w:color="auto"/>
      </w:divBdr>
    </w:div>
    <w:div w:id="2049453881">
      <w:bodyDiv w:val="1"/>
      <w:marLeft w:val="0"/>
      <w:marRight w:val="0"/>
      <w:marTop w:val="0"/>
      <w:marBottom w:val="0"/>
      <w:divBdr>
        <w:top w:val="none" w:sz="0" w:space="0" w:color="auto"/>
        <w:left w:val="none" w:sz="0" w:space="0" w:color="auto"/>
        <w:bottom w:val="none" w:sz="0" w:space="0" w:color="auto"/>
        <w:right w:val="none" w:sz="0" w:space="0" w:color="auto"/>
      </w:divBdr>
    </w:div>
    <w:div w:id="2049715103">
      <w:bodyDiv w:val="1"/>
      <w:marLeft w:val="0"/>
      <w:marRight w:val="0"/>
      <w:marTop w:val="0"/>
      <w:marBottom w:val="0"/>
      <w:divBdr>
        <w:top w:val="none" w:sz="0" w:space="0" w:color="auto"/>
        <w:left w:val="none" w:sz="0" w:space="0" w:color="auto"/>
        <w:bottom w:val="none" w:sz="0" w:space="0" w:color="auto"/>
        <w:right w:val="none" w:sz="0" w:space="0" w:color="auto"/>
      </w:divBdr>
    </w:div>
    <w:div w:id="2049721989">
      <w:bodyDiv w:val="1"/>
      <w:marLeft w:val="0"/>
      <w:marRight w:val="0"/>
      <w:marTop w:val="0"/>
      <w:marBottom w:val="0"/>
      <w:divBdr>
        <w:top w:val="none" w:sz="0" w:space="0" w:color="auto"/>
        <w:left w:val="none" w:sz="0" w:space="0" w:color="auto"/>
        <w:bottom w:val="none" w:sz="0" w:space="0" w:color="auto"/>
        <w:right w:val="none" w:sz="0" w:space="0" w:color="auto"/>
      </w:divBdr>
    </w:div>
    <w:div w:id="2051030072">
      <w:bodyDiv w:val="1"/>
      <w:marLeft w:val="0"/>
      <w:marRight w:val="0"/>
      <w:marTop w:val="0"/>
      <w:marBottom w:val="0"/>
      <w:divBdr>
        <w:top w:val="none" w:sz="0" w:space="0" w:color="auto"/>
        <w:left w:val="none" w:sz="0" w:space="0" w:color="auto"/>
        <w:bottom w:val="none" w:sz="0" w:space="0" w:color="auto"/>
        <w:right w:val="none" w:sz="0" w:space="0" w:color="auto"/>
      </w:divBdr>
    </w:div>
    <w:div w:id="2051299690">
      <w:bodyDiv w:val="1"/>
      <w:marLeft w:val="0"/>
      <w:marRight w:val="0"/>
      <w:marTop w:val="0"/>
      <w:marBottom w:val="0"/>
      <w:divBdr>
        <w:top w:val="none" w:sz="0" w:space="0" w:color="auto"/>
        <w:left w:val="none" w:sz="0" w:space="0" w:color="auto"/>
        <w:bottom w:val="none" w:sz="0" w:space="0" w:color="auto"/>
        <w:right w:val="none" w:sz="0" w:space="0" w:color="auto"/>
      </w:divBdr>
    </w:div>
    <w:div w:id="2051415999">
      <w:bodyDiv w:val="1"/>
      <w:marLeft w:val="0"/>
      <w:marRight w:val="0"/>
      <w:marTop w:val="0"/>
      <w:marBottom w:val="0"/>
      <w:divBdr>
        <w:top w:val="none" w:sz="0" w:space="0" w:color="auto"/>
        <w:left w:val="none" w:sz="0" w:space="0" w:color="auto"/>
        <w:bottom w:val="none" w:sz="0" w:space="0" w:color="auto"/>
        <w:right w:val="none" w:sz="0" w:space="0" w:color="auto"/>
      </w:divBdr>
    </w:div>
    <w:div w:id="2051802526">
      <w:bodyDiv w:val="1"/>
      <w:marLeft w:val="0"/>
      <w:marRight w:val="0"/>
      <w:marTop w:val="0"/>
      <w:marBottom w:val="0"/>
      <w:divBdr>
        <w:top w:val="none" w:sz="0" w:space="0" w:color="auto"/>
        <w:left w:val="none" w:sz="0" w:space="0" w:color="auto"/>
        <w:bottom w:val="none" w:sz="0" w:space="0" w:color="auto"/>
        <w:right w:val="none" w:sz="0" w:space="0" w:color="auto"/>
      </w:divBdr>
    </w:div>
    <w:div w:id="2053992496">
      <w:bodyDiv w:val="1"/>
      <w:marLeft w:val="0"/>
      <w:marRight w:val="0"/>
      <w:marTop w:val="0"/>
      <w:marBottom w:val="0"/>
      <w:divBdr>
        <w:top w:val="none" w:sz="0" w:space="0" w:color="auto"/>
        <w:left w:val="none" w:sz="0" w:space="0" w:color="auto"/>
        <w:bottom w:val="none" w:sz="0" w:space="0" w:color="auto"/>
        <w:right w:val="none" w:sz="0" w:space="0" w:color="auto"/>
      </w:divBdr>
    </w:div>
    <w:div w:id="2054184474">
      <w:bodyDiv w:val="1"/>
      <w:marLeft w:val="0"/>
      <w:marRight w:val="0"/>
      <w:marTop w:val="0"/>
      <w:marBottom w:val="0"/>
      <w:divBdr>
        <w:top w:val="none" w:sz="0" w:space="0" w:color="auto"/>
        <w:left w:val="none" w:sz="0" w:space="0" w:color="auto"/>
        <w:bottom w:val="none" w:sz="0" w:space="0" w:color="auto"/>
        <w:right w:val="none" w:sz="0" w:space="0" w:color="auto"/>
      </w:divBdr>
    </w:div>
    <w:div w:id="2054377523">
      <w:bodyDiv w:val="1"/>
      <w:marLeft w:val="0"/>
      <w:marRight w:val="0"/>
      <w:marTop w:val="0"/>
      <w:marBottom w:val="0"/>
      <w:divBdr>
        <w:top w:val="none" w:sz="0" w:space="0" w:color="auto"/>
        <w:left w:val="none" w:sz="0" w:space="0" w:color="auto"/>
        <w:bottom w:val="none" w:sz="0" w:space="0" w:color="auto"/>
        <w:right w:val="none" w:sz="0" w:space="0" w:color="auto"/>
      </w:divBdr>
    </w:div>
    <w:div w:id="2054847919">
      <w:bodyDiv w:val="1"/>
      <w:marLeft w:val="0"/>
      <w:marRight w:val="0"/>
      <w:marTop w:val="0"/>
      <w:marBottom w:val="0"/>
      <w:divBdr>
        <w:top w:val="none" w:sz="0" w:space="0" w:color="auto"/>
        <w:left w:val="none" w:sz="0" w:space="0" w:color="auto"/>
        <w:bottom w:val="none" w:sz="0" w:space="0" w:color="auto"/>
        <w:right w:val="none" w:sz="0" w:space="0" w:color="auto"/>
      </w:divBdr>
    </w:div>
    <w:div w:id="2056080854">
      <w:bodyDiv w:val="1"/>
      <w:marLeft w:val="0"/>
      <w:marRight w:val="0"/>
      <w:marTop w:val="0"/>
      <w:marBottom w:val="0"/>
      <w:divBdr>
        <w:top w:val="none" w:sz="0" w:space="0" w:color="auto"/>
        <w:left w:val="none" w:sz="0" w:space="0" w:color="auto"/>
        <w:bottom w:val="none" w:sz="0" w:space="0" w:color="auto"/>
        <w:right w:val="none" w:sz="0" w:space="0" w:color="auto"/>
      </w:divBdr>
    </w:div>
    <w:div w:id="2056813918">
      <w:bodyDiv w:val="1"/>
      <w:marLeft w:val="0"/>
      <w:marRight w:val="0"/>
      <w:marTop w:val="0"/>
      <w:marBottom w:val="0"/>
      <w:divBdr>
        <w:top w:val="none" w:sz="0" w:space="0" w:color="auto"/>
        <w:left w:val="none" w:sz="0" w:space="0" w:color="auto"/>
        <w:bottom w:val="none" w:sz="0" w:space="0" w:color="auto"/>
        <w:right w:val="none" w:sz="0" w:space="0" w:color="auto"/>
      </w:divBdr>
    </w:div>
    <w:div w:id="2057658826">
      <w:bodyDiv w:val="1"/>
      <w:marLeft w:val="0"/>
      <w:marRight w:val="0"/>
      <w:marTop w:val="0"/>
      <w:marBottom w:val="0"/>
      <w:divBdr>
        <w:top w:val="none" w:sz="0" w:space="0" w:color="auto"/>
        <w:left w:val="none" w:sz="0" w:space="0" w:color="auto"/>
        <w:bottom w:val="none" w:sz="0" w:space="0" w:color="auto"/>
        <w:right w:val="none" w:sz="0" w:space="0" w:color="auto"/>
      </w:divBdr>
    </w:div>
    <w:div w:id="2057780819">
      <w:bodyDiv w:val="1"/>
      <w:marLeft w:val="0"/>
      <w:marRight w:val="0"/>
      <w:marTop w:val="0"/>
      <w:marBottom w:val="0"/>
      <w:divBdr>
        <w:top w:val="none" w:sz="0" w:space="0" w:color="auto"/>
        <w:left w:val="none" w:sz="0" w:space="0" w:color="auto"/>
        <w:bottom w:val="none" w:sz="0" w:space="0" w:color="auto"/>
        <w:right w:val="none" w:sz="0" w:space="0" w:color="auto"/>
      </w:divBdr>
    </w:div>
    <w:div w:id="2058316915">
      <w:bodyDiv w:val="1"/>
      <w:marLeft w:val="0"/>
      <w:marRight w:val="0"/>
      <w:marTop w:val="0"/>
      <w:marBottom w:val="0"/>
      <w:divBdr>
        <w:top w:val="none" w:sz="0" w:space="0" w:color="auto"/>
        <w:left w:val="none" w:sz="0" w:space="0" w:color="auto"/>
        <w:bottom w:val="none" w:sz="0" w:space="0" w:color="auto"/>
        <w:right w:val="none" w:sz="0" w:space="0" w:color="auto"/>
      </w:divBdr>
    </w:div>
    <w:div w:id="2059501413">
      <w:bodyDiv w:val="1"/>
      <w:marLeft w:val="0"/>
      <w:marRight w:val="0"/>
      <w:marTop w:val="0"/>
      <w:marBottom w:val="0"/>
      <w:divBdr>
        <w:top w:val="none" w:sz="0" w:space="0" w:color="auto"/>
        <w:left w:val="none" w:sz="0" w:space="0" w:color="auto"/>
        <w:bottom w:val="none" w:sz="0" w:space="0" w:color="auto"/>
        <w:right w:val="none" w:sz="0" w:space="0" w:color="auto"/>
      </w:divBdr>
    </w:div>
    <w:div w:id="2059623101">
      <w:bodyDiv w:val="1"/>
      <w:marLeft w:val="0"/>
      <w:marRight w:val="0"/>
      <w:marTop w:val="0"/>
      <w:marBottom w:val="0"/>
      <w:divBdr>
        <w:top w:val="none" w:sz="0" w:space="0" w:color="auto"/>
        <w:left w:val="none" w:sz="0" w:space="0" w:color="auto"/>
        <w:bottom w:val="none" w:sz="0" w:space="0" w:color="auto"/>
        <w:right w:val="none" w:sz="0" w:space="0" w:color="auto"/>
      </w:divBdr>
    </w:div>
    <w:div w:id="2059815858">
      <w:bodyDiv w:val="1"/>
      <w:marLeft w:val="0"/>
      <w:marRight w:val="0"/>
      <w:marTop w:val="0"/>
      <w:marBottom w:val="0"/>
      <w:divBdr>
        <w:top w:val="none" w:sz="0" w:space="0" w:color="auto"/>
        <w:left w:val="none" w:sz="0" w:space="0" w:color="auto"/>
        <w:bottom w:val="none" w:sz="0" w:space="0" w:color="auto"/>
        <w:right w:val="none" w:sz="0" w:space="0" w:color="auto"/>
      </w:divBdr>
    </w:div>
    <w:div w:id="2060544162">
      <w:bodyDiv w:val="1"/>
      <w:marLeft w:val="0"/>
      <w:marRight w:val="0"/>
      <w:marTop w:val="0"/>
      <w:marBottom w:val="0"/>
      <w:divBdr>
        <w:top w:val="none" w:sz="0" w:space="0" w:color="auto"/>
        <w:left w:val="none" w:sz="0" w:space="0" w:color="auto"/>
        <w:bottom w:val="none" w:sz="0" w:space="0" w:color="auto"/>
        <w:right w:val="none" w:sz="0" w:space="0" w:color="auto"/>
      </w:divBdr>
    </w:div>
    <w:div w:id="2060669286">
      <w:bodyDiv w:val="1"/>
      <w:marLeft w:val="0"/>
      <w:marRight w:val="0"/>
      <w:marTop w:val="0"/>
      <w:marBottom w:val="0"/>
      <w:divBdr>
        <w:top w:val="none" w:sz="0" w:space="0" w:color="auto"/>
        <w:left w:val="none" w:sz="0" w:space="0" w:color="auto"/>
        <w:bottom w:val="none" w:sz="0" w:space="0" w:color="auto"/>
        <w:right w:val="none" w:sz="0" w:space="0" w:color="auto"/>
      </w:divBdr>
    </w:div>
    <w:div w:id="2061513594">
      <w:bodyDiv w:val="1"/>
      <w:marLeft w:val="0"/>
      <w:marRight w:val="0"/>
      <w:marTop w:val="0"/>
      <w:marBottom w:val="0"/>
      <w:divBdr>
        <w:top w:val="none" w:sz="0" w:space="0" w:color="auto"/>
        <w:left w:val="none" w:sz="0" w:space="0" w:color="auto"/>
        <w:bottom w:val="none" w:sz="0" w:space="0" w:color="auto"/>
        <w:right w:val="none" w:sz="0" w:space="0" w:color="auto"/>
      </w:divBdr>
    </w:div>
    <w:div w:id="2061593395">
      <w:bodyDiv w:val="1"/>
      <w:marLeft w:val="0"/>
      <w:marRight w:val="0"/>
      <w:marTop w:val="0"/>
      <w:marBottom w:val="0"/>
      <w:divBdr>
        <w:top w:val="none" w:sz="0" w:space="0" w:color="auto"/>
        <w:left w:val="none" w:sz="0" w:space="0" w:color="auto"/>
        <w:bottom w:val="none" w:sz="0" w:space="0" w:color="auto"/>
        <w:right w:val="none" w:sz="0" w:space="0" w:color="auto"/>
      </w:divBdr>
    </w:div>
    <w:div w:id="2061903438">
      <w:bodyDiv w:val="1"/>
      <w:marLeft w:val="0"/>
      <w:marRight w:val="0"/>
      <w:marTop w:val="0"/>
      <w:marBottom w:val="0"/>
      <w:divBdr>
        <w:top w:val="none" w:sz="0" w:space="0" w:color="auto"/>
        <w:left w:val="none" w:sz="0" w:space="0" w:color="auto"/>
        <w:bottom w:val="none" w:sz="0" w:space="0" w:color="auto"/>
        <w:right w:val="none" w:sz="0" w:space="0" w:color="auto"/>
      </w:divBdr>
    </w:div>
    <w:div w:id="2062246656">
      <w:bodyDiv w:val="1"/>
      <w:marLeft w:val="0"/>
      <w:marRight w:val="0"/>
      <w:marTop w:val="0"/>
      <w:marBottom w:val="0"/>
      <w:divBdr>
        <w:top w:val="none" w:sz="0" w:space="0" w:color="auto"/>
        <w:left w:val="none" w:sz="0" w:space="0" w:color="auto"/>
        <w:bottom w:val="none" w:sz="0" w:space="0" w:color="auto"/>
        <w:right w:val="none" w:sz="0" w:space="0" w:color="auto"/>
      </w:divBdr>
    </w:div>
    <w:div w:id="2062899598">
      <w:bodyDiv w:val="1"/>
      <w:marLeft w:val="0"/>
      <w:marRight w:val="0"/>
      <w:marTop w:val="0"/>
      <w:marBottom w:val="0"/>
      <w:divBdr>
        <w:top w:val="none" w:sz="0" w:space="0" w:color="auto"/>
        <w:left w:val="none" w:sz="0" w:space="0" w:color="auto"/>
        <w:bottom w:val="none" w:sz="0" w:space="0" w:color="auto"/>
        <w:right w:val="none" w:sz="0" w:space="0" w:color="auto"/>
      </w:divBdr>
    </w:div>
    <w:div w:id="2063365916">
      <w:bodyDiv w:val="1"/>
      <w:marLeft w:val="0"/>
      <w:marRight w:val="0"/>
      <w:marTop w:val="0"/>
      <w:marBottom w:val="0"/>
      <w:divBdr>
        <w:top w:val="none" w:sz="0" w:space="0" w:color="auto"/>
        <w:left w:val="none" w:sz="0" w:space="0" w:color="auto"/>
        <w:bottom w:val="none" w:sz="0" w:space="0" w:color="auto"/>
        <w:right w:val="none" w:sz="0" w:space="0" w:color="auto"/>
      </w:divBdr>
    </w:div>
    <w:div w:id="2064789597">
      <w:bodyDiv w:val="1"/>
      <w:marLeft w:val="0"/>
      <w:marRight w:val="0"/>
      <w:marTop w:val="0"/>
      <w:marBottom w:val="0"/>
      <w:divBdr>
        <w:top w:val="none" w:sz="0" w:space="0" w:color="auto"/>
        <w:left w:val="none" w:sz="0" w:space="0" w:color="auto"/>
        <w:bottom w:val="none" w:sz="0" w:space="0" w:color="auto"/>
        <w:right w:val="none" w:sz="0" w:space="0" w:color="auto"/>
      </w:divBdr>
    </w:div>
    <w:div w:id="2065253906">
      <w:bodyDiv w:val="1"/>
      <w:marLeft w:val="0"/>
      <w:marRight w:val="0"/>
      <w:marTop w:val="0"/>
      <w:marBottom w:val="0"/>
      <w:divBdr>
        <w:top w:val="none" w:sz="0" w:space="0" w:color="auto"/>
        <w:left w:val="none" w:sz="0" w:space="0" w:color="auto"/>
        <w:bottom w:val="none" w:sz="0" w:space="0" w:color="auto"/>
        <w:right w:val="none" w:sz="0" w:space="0" w:color="auto"/>
      </w:divBdr>
    </w:div>
    <w:div w:id="2065522232">
      <w:bodyDiv w:val="1"/>
      <w:marLeft w:val="0"/>
      <w:marRight w:val="0"/>
      <w:marTop w:val="0"/>
      <w:marBottom w:val="0"/>
      <w:divBdr>
        <w:top w:val="none" w:sz="0" w:space="0" w:color="auto"/>
        <w:left w:val="none" w:sz="0" w:space="0" w:color="auto"/>
        <w:bottom w:val="none" w:sz="0" w:space="0" w:color="auto"/>
        <w:right w:val="none" w:sz="0" w:space="0" w:color="auto"/>
      </w:divBdr>
    </w:div>
    <w:div w:id="2065565519">
      <w:bodyDiv w:val="1"/>
      <w:marLeft w:val="0"/>
      <w:marRight w:val="0"/>
      <w:marTop w:val="0"/>
      <w:marBottom w:val="0"/>
      <w:divBdr>
        <w:top w:val="none" w:sz="0" w:space="0" w:color="auto"/>
        <w:left w:val="none" w:sz="0" w:space="0" w:color="auto"/>
        <w:bottom w:val="none" w:sz="0" w:space="0" w:color="auto"/>
        <w:right w:val="none" w:sz="0" w:space="0" w:color="auto"/>
      </w:divBdr>
    </w:div>
    <w:div w:id="2066098750">
      <w:bodyDiv w:val="1"/>
      <w:marLeft w:val="0"/>
      <w:marRight w:val="0"/>
      <w:marTop w:val="0"/>
      <w:marBottom w:val="0"/>
      <w:divBdr>
        <w:top w:val="none" w:sz="0" w:space="0" w:color="auto"/>
        <w:left w:val="none" w:sz="0" w:space="0" w:color="auto"/>
        <w:bottom w:val="none" w:sz="0" w:space="0" w:color="auto"/>
        <w:right w:val="none" w:sz="0" w:space="0" w:color="auto"/>
      </w:divBdr>
    </w:div>
    <w:div w:id="2066905294">
      <w:bodyDiv w:val="1"/>
      <w:marLeft w:val="0"/>
      <w:marRight w:val="0"/>
      <w:marTop w:val="0"/>
      <w:marBottom w:val="0"/>
      <w:divBdr>
        <w:top w:val="none" w:sz="0" w:space="0" w:color="auto"/>
        <w:left w:val="none" w:sz="0" w:space="0" w:color="auto"/>
        <w:bottom w:val="none" w:sz="0" w:space="0" w:color="auto"/>
        <w:right w:val="none" w:sz="0" w:space="0" w:color="auto"/>
      </w:divBdr>
    </w:div>
    <w:div w:id="2068413170">
      <w:bodyDiv w:val="1"/>
      <w:marLeft w:val="0"/>
      <w:marRight w:val="0"/>
      <w:marTop w:val="0"/>
      <w:marBottom w:val="0"/>
      <w:divBdr>
        <w:top w:val="none" w:sz="0" w:space="0" w:color="auto"/>
        <w:left w:val="none" w:sz="0" w:space="0" w:color="auto"/>
        <w:bottom w:val="none" w:sz="0" w:space="0" w:color="auto"/>
        <w:right w:val="none" w:sz="0" w:space="0" w:color="auto"/>
      </w:divBdr>
    </w:div>
    <w:div w:id="2068802387">
      <w:bodyDiv w:val="1"/>
      <w:marLeft w:val="0"/>
      <w:marRight w:val="0"/>
      <w:marTop w:val="0"/>
      <w:marBottom w:val="0"/>
      <w:divBdr>
        <w:top w:val="none" w:sz="0" w:space="0" w:color="auto"/>
        <w:left w:val="none" w:sz="0" w:space="0" w:color="auto"/>
        <w:bottom w:val="none" w:sz="0" w:space="0" w:color="auto"/>
        <w:right w:val="none" w:sz="0" w:space="0" w:color="auto"/>
      </w:divBdr>
    </w:div>
    <w:div w:id="2070108185">
      <w:bodyDiv w:val="1"/>
      <w:marLeft w:val="0"/>
      <w:marRight w:val="0"/>
      <w:marTop w:val="0"/>
      <w:marBottom w:val="0"/>
      <w:divBdr>
        <w:top w:val="none" w:sz="0" w:space="0" w:color="auto"/>
        <w:left w:val="none" w:sz="0" w:space="0" w:color="auto"/>
        <w:bottom w:val="none" w:sz="0" w:space="0" w:color="auto"/>
        <w:right w:val="none" w:sz="0" w:space="0" w:color="auto"/>
      </w:divBdr>
    </w:div>
    <w:div w:id="2070958270">
      <w:bodyDiv w:val="1"/>
      <w:marLeft w:val="0"/>
      <w:marRight w:val="0"/>
      <w:marTop w:val="0"/>
      <w:marBottom w:val="0"/>
      <w:divBdr>
        <w:top w:val="none" w:sz="0" w:space="0" w:color="auto"/>
        <w:left w:val="none" w:sz="0" w:space="0" w:color="auto"/>
        <w:bottom w:val="none" w:sz="0" w:space="0" w:color="auto"/>
        <w:right w:val="none" w:sz="0" w:space="0" w:color="auto"/>
      </w:divBdr>
    </w:div>
    <w:div w:id="2072847267">
      <w:bodyDiv w:val="1"/>
      <w:marLeft w:val="0"/>
      <w:marRight w:val="0"/>
      <w:marTop w:val="0"/>
      <w:marBottom w:val="0"/>
      <w:divBdr>
        <w:top w:val="none" w:sz="0" w:space="0" w:color="auto"/>
        <w:left w:val="none" w:sz="0" w:space="0" w:color="auto"/>
        <w:bottom w:val="none" w:sz="0" w:space="0" w:color="auto"/>
        <w:right w:val="none" w:sz="0" w:space="0" w:color="auto"/>
      </w:divBdr>
    </w:div>
    <w:div w:id="2073312834">
      <w:bodyDiv w:val="1"/>
      <w:marLeft w:val="0"/>
      <w:marRight w:val="0"/>
      <w:marTop w:val="0"/>
      <w:marBottom w:val="0"/>
      <w:divBdr>
        <w:top w:val="none" w:sz="0" w:space="0" w:color="auto"/>
        <w:left w:val="none" w:sz="0" w:space="0" w:color="auto"/>
        <w:bottom w:val="none" w:sz="0" w:space="0" w:color="auto"/>
        <w:right w:val="none" w:sz="0" w:space="0" w:color="auto"/>
      </w:divBdr>
    </w:div>
    <w:div w:id="2073313487">
      <w:bodyDiv w:val="1"/>
      <w:marLeft w:val="0"/>
      <w:marRight w:val="0"/>
      <w:marTop w:val="0"/>
      <w:marBottom w:val="0"/>
      <w:divBdr>
        <w:top w:val="none" w:sz="0" w:space="0" w:color="auto"/>
        <w:left w:val="none" w:sz="0" w:space="0" w:color="auto"/>
        <w:bottom w:val="none" w:sz="0" w:space="0" w:color="auto"/>
        <w:right w:val="none" w:sz="0" w:space="0" w:color="auto"/>
      </w:divBdr>
    </w:div>
    <w:div w:id="2073387544">
      <w:bodyDiv w:val="1"/>
      <w:marLeft w:val="0"/>
      <w:marRight w:val="0"/>
      <w:marTop w:val="0"/>
      <w:marBottom w:val="0"/>
      <w:divBdr>
        <w:top w:val="none" w:sz="0" w:space="0" w:color="auto"/>
        <w:left w:val="none" w:sz="0" w:space="0" w:color="auto"/>
        <w:bottom w:val="none" w:sz="0" w:space="0" w:color="auto"/>
        <w:right w:val="none" w:sz="0" w:space="0" w:color="auto"/>
      </w:divBdr>
    </w:div>
    <w:div w:id="2073965700">
      <w:bodyDiv w:val="1"/>
      <w:marLeft w:val="0"/>
      <w:marRight w:val="0"/>
      <w:marTop w:val="0"/>
      <w:marBottom w:val="0"/>
      <w:divBdr>
        <w:top w:val="none" w:sz="0" w:space="0" w:color="auto"/>
        <w:left w:val="none" w:sz="0" w:space="0" w:color="auto"/>
        <w:bottom w:val="none" w:sz="0" w:space="0" w:color="auto"/>
        <w:right w:val="none" w:sz="0" w:space="0" w:color="auto"/>
      </w:divBdr>
    </w:div>
    <w:div w:id="2074040476">
      <w:bodyDiv w:val="1"/>
      <w:marLeft w:val="0"/>
      <w:marRight w:val="0"/>
      <w:marTop w:val="0"/>
      <w:marBottom w:val="0"/>
      <w:divBdr>
        <w:top w:val="none" w:sz="0" w:space="0" w:color="auto"/>
        <w:left w:val="none" w:sz="0" w:space="0" w:color="auto"/>
        <w:bottom w:val="none" w:sz="0" w:space="0" w:color="auto"/>
        <w:right w:val="none" w:sz="0" w:space="0" w:color="auto"/>
      </w:divBdr>
    </w:div>
    <w:div w:id="2074235434">
      <w:bodyDiv w:val="1"/>
      <w:marLeft w:val="0"/>
      <w:marRight w:val="0"/>
      <w:marTop w:val="0"/>
      <w:marBottom w:val="0"/>
      <w:divBdr>
        <w:top w:val="none" w:sz="0" w:space="0" w:color="auto"/>
        <w:left w:val="none" w:sz="0" w:space="0" w:color="auto"/>
        <w:bottom w:val="none" w:sz="0" w:space="0" w:color="auto"/>
        <w:right w:val="none" w:sz="0" w:space="0" w:color="auto"/>
      </w:divBdr>
    </w:div>
    <w:div w:id="2075199177">
      <w:bodyDiv w:val="1"/>
      <w:marLeft w:val="0"/>
      <w:marRight w:val="0"/>
      <w:marTop w:val="0"/>
      <w:marBottom w:val="0"/>
      <w:divBdr>
        <w:top w:val="none" w:sz="0" w:space="0" w:color="auto"/>
        <w:left w:val="none" w:sz="0" w:space="0" w:color="auto"/>
        <w:bottom w:val="none" w:sz="0" w:space="0" w:color="auto"/>
        <w:right w:val="none" w:sz="0" w:space="0" w:color="auto"/>
      </w:divBdr>
    </w:div>
    <w:div w:id="2075394833">
      <w:bodyDiv w:val="1"/>
      <w:marLeft w:val="0"/>
      <w:marRight w:val="0"/>
      <w:marTop w:val="0"/>
      <w:marBottom w:val="0"/>
      <w:divBdr>
        <w:top w:val="none" w:sz="0" w:space="0" w:color="auto"/>
        <w:left w:val="none" w:sz="0" w:space="0" w:color="auto"/>
        <w:bottom w:val="none" w:sz="0" w:space="0" w:color="auto"/>
        <w:right w:val="none" w:sz="0" w:space="0" w:color="auto"/>
      </w:divBdr>
    </w:div>
    <w:div w:id="2077390070">
      <w:bodyDiv w:val="1"/>
      <w:marLeft w:val="0"/>
      <w:marRight w:val="0"/>
      <w:marTop w:val="0"/>
      <w:marBottom w:val="0"/>
      <w:divBdr>
        <w:top w:val="none" w:sz="0" w:space="0" w:color="auto"/>
        <w:left w:val="none" w:sz="0" w:space="0" w:color="auto"/>
        <w:bottom w:val="none" w:sz="0" w:space="0" w:color="auto"/>
        <w:right w:val="none" w:sz="0" w:space="0" w:color="auto"/>
      </w:divBdr>
    </w:div>
    <w:div w:id="2078820091">
      <w:bodyDiv w:val="1"/>
      <w:marLeft w:val="0"/>
      <w:marRight w:val="0"/>
      <w:marTop w:val="0"/>
      <w:marBottom w:val="0"/>
      <w:divBdr>
        <w:top w:val="none" w:sz="0" w:space="0" w:color="auto"/>
        <w:left w:val="none" w:sz="0" w:space="0" w:color="auto"/>
        <w:bottom w:val="none" w:sz="0" w:space="0" w:color="auto"/>
        <w:right w:val="none" w:sz="0" w:space="0" w:color="auto"/>
      </w:divBdr>
    </w:div>
    <w:div w:id="2080134131">
      <w:bodyDiv w:val="1"/>
      <w:marLeft w:val="0"/>
      <w:marRight w:val="0"/>
      <w:marTop w:val="0"/>
      <w:marBottom w:val="0"/>
      <w:divBdr>
        <w:top w:val="none" w:sz="0" w:space="0" w:color="auto"/>
        <w:left w:val="none" w:sz="0" w:space="0" w:color="auto"/>
        <w:bottom w:val="none" w:sz="0" w:space="0" w:color="auto"/>
        <w:right w:val="none" w:sz="0" w:space="0" w:color="auto"/>
      </w:divBdr>
    </w:div>
    <w:div w:id="2080666686">
      <w:bodyDiv w:val="1"/>
      <w:marLeft w:val="0"/>
      <w:marRight w:val="0"/>
      <w:marTop w:val="0"/>
      <w:marBottom w:val="0"/>
      <w:divBdr>
        <w:top w:val="none" w:sz="0" w:space="0" w:color="auto"/>
        <w:left w:val="none" w:sz="0" w:space="0" w:color="auto"/>
        <w:bottom w:val="none" w:sz="0" w:space="0" w:color="auto"/>
        <w:right w:val="none" w:sz="0" w:space="0" w:color="auto"/>
      </w:divBdr>
    </w:div>
    <w:div w:id="2081169832">
      <w:bodyDiv w:val="1"/>
      <w:marLeft w:val="0"/>
      <w:marRight w:val="0"/>
      <w:marTop w:val="0"/>
      <w:marBottom w:val="0"/>
      <w:divBdr>
        <w:top w:val="none" w:sz="0" w:space="0" w:color="auto"/>
        <w:left w:val="none" w:sz="0" w:space="0" w:color="auto"/>
        <w:bottom w:val="none" w:sz="0" w:space="0" w:color="auto"/>
        <w:right w:val="none" w:sz="0" w:space="0" w:color="auto"/>
      </w:divBdr>
    </w:div>
    <w:div w:id="2081368666">
      <w:bodyDiv w:val="1"/>
      <w:marLeft w:val="0"/>
      <w:marRight w:val="0"/>
      <w:marTop w:val="0"/>
      <w:marBottom w:val="0"/>
      <w:divBdr>
        <w:top w:val="none" w:sz="0" w:space="0" w:color="auto"/>
        <w:left w:val="none" w:sz="0" w:space="0" w:color="auto"/>
        <w:bottom w:val="none" w:sz="0" w:space="0" w:color="auto"/>
        <w:right w:val="none" w:sz="0" w:space="0" w:color="auto"/>
      </w:divBdr>
    </w:div>
    <w:div w:id="2082942871">
      <w:bodyDiv w:val="1"/>
      <w:marLeft w:val="0"/>
      <w:marRight w:val="0"/>
      <w:marTop w:val="0"/>
      <w:marBottom w:val="0"/>
      <w:divBdr>
        <w:top w:val="none" w:sz="0" w:space="0" w:color="auto"/>
        <w:left w:val="none" w:sz="0" w:space="0" w:color="auto"/>
        <w:bottom w:val="none" w:sz="0" w:space="0" w:color="auto"/>
        <w:right w:val="none" w:sz="0" w:space="0" w:color="auto"/>
      </w:divBdr>
    </w:div>
    <w:div w:id="2083093275">
      <w:bodyDiv w:val="1"/>
      <w:marLeft w:val="0"/>
      <w:marRight w:val="0"/>
      <w:marTop w:val="0"/>
      <w:marBottom w:val="0"/>
      <w:divBdr>
        <w:top w:val="none" w:sz="0" w:space="0" w:color="auto"/>
        <w:left w:val="none" w:sz="0" w:space="0" w:color="auto"/>
        <w:bottom w:val="none" w:sz="0" w:space="0" w:color="auto"/>
        <w:right w:val="none" w:sz="0" w:space="0" w:color="auto"/>
      </w:divBdr>
    </w:div>
    <w:div w:id="2084376048">
      <w:bodyDiv w:val="1"/>
      <w:marLeft w:val="0"/>
      <w:marRight w:val="0"/>
      <w:marTop w:val="0"/>
      <w:marBottom w:val="0"/>
      <w:divBdr>
        <w:top w:val="none" w:sz="0" w:space="0" w:color="auto"/>
        <w:left w:val="none" w:sz="0" w:space="0" w:color="auto"/>
        <w:bottom w:val="none" w:sz="0" w:space="0" w:color="auto"/>
        <w:right w:val="none" w:sz="0" w:space="0" w:color="auto"/>
      </w:divBdr>
    </w:div>
    <w:div w:id="2085569919">
      <w:bodyDiv w:val="1"/>
      <w:marLeft w:val="0"/>
      <w:marRight w:val="0"/>
      <w:marTop w:val="0"/>
      <w:marBottom w:val="0"/>
      <w:divBdr>
        <w:top w:val="none" w:sz="0" w:space="0" w:color="auto"/>
        <w:left w:val="none" w:sz="0" w:space="0" w:color="auto"/>
        <w:bottom w:val="none" w:sz="0" w:space="0" w:color="auto"/>
        <w:right w:val="none" w:sz="0" w:space="0" w:color="auto"/>
      </w:divBdr>
    </w:div>
    <w:div w:id="2086605743">
      <w:bodyDiv w:val="1"/>
      <w:marLeft w:val="0"/>
      <w:marRight w:val="0"/>
      <w:marTop w:val="0"/>
      <w:marBottom w:val="0"/>
      <w:divBdr>
        <w:top w:val="none" w:sz="0" w:space="0" w:color="auto"/>
        <w:left w:val="none" w:sz="0" w:space="0" w:color="auto"/>
        <w:bottom w:val="none" w:sz="0" w:space="0" w:color="auto"/>
        <w:right w:val="none" w:sz="0" w:space="0" w:color="auto"/>
      </w:divBdr>
    </w:div>
    <w:div w:id="2087064966">
      <w:bodyDiv w:val="1"/>
      <w:marLeft w:val="0"/>
      <w:marRight w:val="0"/>
      <w:marTop w:val="0"/>
      <w:marBottom w:val="0"/>
      <w:divBdr>
        <w:top w:val="none" w:sz="0" w:space="0" w:color="auto"/>
        <w:left w:val="none" w:sz="0" w:space="0" w:color="auto"/>
        <w:bottom w:val="none" w:sz="0" w:space="0" w:color="auto"/>
        <w:right w:val="none" w:sz="0" w:space="0" w:color="auto"/>
      </w:divBdr>
    </w:div>
    <w:div w:id="2088652028">
      <w:bodyDiv w:val="1"/>
      <w:marLeft w:val="0"/>
      <w:marRight w:val="0"/>
      <w:marTop w:val="0"/>
      <w:marBottom w:val="0"/>
      <w:divBdr>
        <w:top w:val="none" w:sz="0" w:space="0" w:color="auto"/>
        <w:left w:val="none" w:sz="0" w:space="0" w:color="auto"/>
        <w:bottom w:val="none" w:sz="0" w:space="0" w:color="auto"/>
        <w:right w:val="none" w:sz="0" w:space="0" w:color="auto"/>
      </w:divBdr>
    </w:div>
    <w:div w:id="2088728368">
      <w:bodyDiv w:val="1"/>
      <w:marLeft w:val="0"/>
      <w:marRight w:val="0"/>
      <w:marTop w:val="0"/>
      <w:marBottom w:val="0"/>
      <w:divBdr>
        <w:top w:val="none" w:sz="0" w:space="0" w:color="auto"/>
        <w:left w:val="none" w:sz="0" w:space="0" w:color="auto"/>
        <w:bottom w:val="none" w:sz="0" w:space="0" w:color="auto"/>
        <w:right w:val="none" w:sz="0" w:space="0" w:color="auto"/>
      </w:divBdr>
    </w:div>
    <w:div w:id="2089881065">
      <w:bodyDiv w:val="1"/>
      <w:marLeft w:val="0"/>
      <w:marRight w:val="0"/>
      <w:marTop w:val="0"/>
      <w:marBottom w:val="0"/>
      <w:divBdr>
        <w:top w:val="none" w:sz="0" w:space="0" w:color="auto"/>
        <w:left w:val="none" w:sz="0" w:space="0" w:color="auto"/>
        <w:bottom w:val="none" w:sz="0" w:space="0" w:color="auto"/>
        <w:right w:val="none" w:sz="0" w:space="0" w:color="auto"/>
      </w:divBdr>
    </w:div>
    <w:div w:id="2090762013">
      <w:bodyDiv w:val="1"/>
      <w:marLeft w:val="0"/>
      <w:marRight w:val="0"/>
      <w:marTop w:val="0"/>
      <w:marBottom w:val="0"/>
      <w:divBdr>
        <w:top w:val="none" w:sz="0" w:space="0" w:color="auto"/>
        <w:left w:val="none" w:sz="0" w:space="0" w:color="auto"/>
        <w:bottom w:val="none" w:sz="0" w:space="0" w:color="auto"/>
        <w:right w:val="none" w:sz="0" w:space="0" w:color="auto"/>
      </w:divBdr>
    </w:div>
    <w:div w:id="2090809424">
      <w:bodyDiv w:val="1"/>
      <w:marLeft w:val="0"/>
      <w:marRight w:val="0"/>
      <w:marTop w:val="0"/>
      <w:marBottom w:val="0"/>
      <w:divBdr>
        <w:top w:val="none" w:sz="0" w:space="0" w:color="auto"/>
        <w:left w:val="none" w:sz="0" w:space="0" w:color="auto"/>
        <w:bottom w:val="none" w:sz="0" w:space="0" w:color="auto"/>
        <w:right w:val="none" w:sz="0" w:space="0" w:color="auto"/>
      </w:divBdr>
    </w:div>
    <w:div w:id="2091584294">
      <w:bodyDiv w:val="1"/>
      <w:marLeft w:val="0"/>
      <w:marRight w:val="0"/>
      <w:marTop w:val="0"/>
      <w:marBottom w:val="0"/>
      <w:divBdr>
        <w:top w:val="none" w:sz="0" w:space="0" w:color="auto"/>
        <w:left w:val="none" w:sz="0" w:space="0" w:color="auto"/>
        <w:bottom w:val="none" w:sz="0" w:space="0" w:color="auto"/>
        <w:right w:val="none" w:sz="0" w:space="0" w:color="auto"/>
      </w:divBdr>
    </w:div>
    <w:div w:id="2091735571">
      <w:bodyDiv w:val="1"/>
      <w:marLeft w:val="0"/>
      <w:marRight w:val="0"/>
      <w:marTop w:val="0"/>
      <w:marBottom w:val="0"/>
      <w:divBdr>
        <w:top w:val="none" w:sz="0" w:space="0" w:color="auto"/>
        <w:left w:val="none" w:sz="0" w:space="0" w:color="auto"/>
        <w:bottom w:val="none" w:sz="0" w:space="0" w:color="auto"/>
        <w:right w:val="none" w:sz="0" w:space="0" w:color="auto"/>
      </w:divBdr>
    </w:div>
    <w:div w:id="2092507647">
      <w:bodyDiv w:val="1"/>
      <w:marLeft w:val="0"/>
      <w:marRight w:val="0"/>
      <w:marTop w:val="0"/>
      <w:marBottom w:val="0"/>
      <w:divBdr>
        <w:top w:val="none" w:sz="0" w:space="0" w:color="auto"/>
        <w:left w:val="none" w:sz="0" w:space="0" w:color="auto"/>
        <w:bottom w:val="none" w:sz="0" w:space="0" w:color="auto"/>
        <w:right w:val="none" w:sz="0" w:space="0" w:color="auto"/>
      </w:divBdr>
    </w:div>
    <w:div w:id="2092921647">
      <w:bodyDiv w:val="1"/>
      <w:marLeft w:val="0"/>
      <w:marRight w:val="0"/>
      <w:marTop w:val="0"/>
      <w:marBottom w:val="0"/>
      <w:divBdr>
        <w:top w:val="none" w:sz="0" w:space="0" w:color="auto"/>
        <w:left w:val="none" w:sz="0" w:space="0" w:color="auto"/>
        <w:bottom w:val="none" w:sz="0" w:space="0" w:color="auto"/>
        <w:right w:val="none" w:sz="0" w:space="0" w:color="auto"/>
      </w:divBdr>
    </w:div>
    <w:div w:id="2093309267">
      <w:bodyDiv w:val="1"/>
      <w:marLeft w:val="0"/>
      <w:marRight w:val="0"/>
      <w:marTop w:val="0"/>
      <w:marBottom w:val="0"/>
      <w:divBdr>
        <w:top w:val="none" w:sz="0" w:space="0" w:color="auto"/>
        <w:left w:val="none" w:sz="0" w:space="0" w:color="auto"/>
        <w:bottom w:val="none" w:sz="0" w:space="0" w:color="auto"/>
        <w:right w:val="none" w:sz="0" w:space="0" w:color="auto"/>
      </w:divBdr>
    </w:div>
    <w:div w:id="2093694896">
      <w:bodyDiv w:val="1"/>
      <w:marLeft w:val="0"/>
      <w:marRight w:val="0"/>
      <w:marTop w:val="0"/>
      <w:marBottom w:val="0"/>
      <w:divBdr>
        <w:top w:val="none" w:sz="0" w:space="0" w:color="auto"/>
        <w:left w:val="none" w:sz="0" w:space="0" w:color="auto"/>
        <w:bottom w:val="none" w:sz="0" w:space="0" w:color="auto"/>
        <w:right w:val="none" w:sz="0" w:space="0" w:color="auto"/>
      </w:divBdr>
    </w:div>
    <w:div w:id="2095086007">
      <w:bodyDiv w:val="1"/>
      <w:marLeft w:val="0"/>
      <w:marRight w:val="0"/>
      <w:marTop w:val="0"/>
      <w:marBottom w:val="0"/>
      <w:divBdr>
        <w:top w:val="none" w:sz="0" w:space="0" w:color="auto"/>
        <w:left w:val="none" w:sz="0" w:space="0" w:color="auto"/>
        <w:bottom w:val="none" w:sz="0" w:space="0" w:color="auto"/>
        <w:right w:val="none" w:sz="0" w:space="0" w:color="auto"/>
      </w:divBdr>
    </w:div>
    <w:div w:id="2095122149">
      <w:bodyDiv w:val="1"/>
      <w:marLeft w:val="0"/>
      <w:marRight w:val="0"/>
      <w:marTop w:val="0"/>
      <w:marBottom w:val="0"/>
      <w:divBdr>
        <w:top w:val="none" w:sz="0" w:space="0" w:color="auto"/>
        <w:left w:val="none" w:sz="0" w:space="0" w:color="auto"/>
        <w:bottom w:val="none" w:sz="0" w:space="0" w:color="auto"/>
        <w:right w:val="none" w:sz="0" w:space="0" w:color="auto"/>
      </w:divBdr>
    </w:div>
    <w:div w:id="2096045725">
      <w:bodyDiv w:val="1"/>
      <w:marLeft w:val="0"/>
      <w:marRight w:val="0"/>
      <w:marTop w:val="0"/>
      <w:marBottom w:val="0"/>
      <w:divBdr>
        <w:top w:val="none" w:sz="0" w:space="0" w:color="auto"/>
        <w:left w:val="none" w:sz="0" w:space="0" w:color="auto"/>
        <w:bottom w:val="none" w:sz="0" w:space="0" w:color="auto"/>
        <w:right w:val="none" w:sz="0" w:space="0" w:color="auto"/>
      </w:divBdr>
    </w:div>
    <w:div w:id="2096321736">
      <w:bodyDiv w:val="1"/>
      <w:marLeft w:val="0"/>
      <w:marRight w:val="0"/>
      <w:marTop w:val="0"/>
      <w:marBottom w:val="0"/>
      <w:divBdr>
        <w:top w:val="none" w:sz="0" w:space="0" w:color="auto"/>
        <w:left w:val="none" w:sz="0" w:space="0" w:color="auto"/>
        <w:bottom w:val="none" w:sz="0" w:space="0" w:color="auto"/>
        <w:right w:val="none" w:sz="0" w:space="0" w:color="auto"/>
      </w:divBdr>
    </w:div>
    <w:div w:id="2096630688">
      <w:bodyDiv w:val="1"/>
      <w:marLeft w:val="0"/>
      <w:marRight w:val="0"/>
      <w:marTop w:val="0"/>
      <w:marBottom w:val="0"/>
      <w:divBdr>
        <w:top w:val="none" w:sz="0" w:space="0" w:color="auto"/>
        <w:left w:val="none" w:sz="0" w:space="0" w:color="auto"/>
        <w:bottom w:val="none" w:sz="0" w:space="0" w:color="auto"/>
        <w:right w:val="none" w:sz="0" w:space="0" w:color="auto"/>
      </w:divBdr>
      <w:divsChild>
        <w:div w:id="426849196">
          <w:marLeft w:val="0"/>
          <w:marRight w:val="0"/>
          <w:marTop w:val="0"/>
          <w:marBottom w:val="0"/>
          <w:divBdr>
            <w:top w:val="none" w:sz="0" w:space="0" w:color="auto"/>
            <w:left w:val="none" w:sz="0" w:space="0" w:color="auto"/>
            <w:bottom w:val="none" w:sz="0" w:space="0" w:color="auto"/>
            <w:right w:val="none" w:sz="0" w:space="0" w:color="auto"/>
          </w:divBdr>
        </w:div>
        <w:div w:id="1808813039">
          <w:marLeft w:val="0"/>
          <w:marRight w:val="0"/>
          <w:marTop w:val="0"/>
          <w:marBottom w:val="0"/>
          <w:divBdr>
            <w:top w:val="none" w:sz="0" w:space="0" w:color="auto"/>
            <w:left w:val="none" w:sz="0" w:space="0" w:color="auto"/>
            <w:bottom w:val="none" w:sz="0" w:space="0" w:color="auto"/>
            <w:right w:val="none" w:sz="0" w:space="0" w:color="auto"/>
          </w:divBdr>
        </w:div>
        <w:div w:id="1059553007">
          <w:marLeft w:val="0"/>
          <w:marRight w:val="0"/>
          <w:marTop w:val="0"/>
          <w:marBottom w:val="0"/>
          <w:divBdr>
            <w:top w:val="none" w:sz="0" w:space="0" w:color="auto"/>
            <w:left w:val="none" w:sz="0" w:space="0" w:color="auto"/>
            <w:bottom w:val="none" w:sz="0" w:space="0" w:color="auto"/>
            <w:right w:val="none" w:sz="0" w:space="0" w:color="auto"/>
          </w:divBdr>
        </w:div>
        <w:div w:id="1248222351">
          <w:marLeft w:val="0"/>
          <w:marRight w:val="0"/>
          <w:marTop w:val="0"/>
          <w:marBottom w:val="0"/>
          <w:divBdr>
            <w:top w:val="none" w:sz="0" w:space="0" w:color="auto"/>
            <w:left w:val="none" w:sz="0" w:space="0" w:color="auto"/>
            <w:bottom w:val="none" w:sz="0" w:space="0" w:color="auto"/>
            <w:right w:val="none" w:sz="0" w:space="0" w:color="auto"/>
          </w:divBdr>
        </w:div>
        <w:div w:id="1997876110">
          <w:marLeft w:val="0"/>
          <w:marRight w:val="0"/>
          <w:marTop w:val="0"/>
          <w:marBottom w:val="0"/>
          <w:divBdr>
            <w:top w:val="none" w:sz="0" w:space="0" w:color="auto"/>
            <w:left w:val="none" w:sz="0" w:space="0" w:color="auto"/>
            <w:bottom w:val="none" w:sz="0" w:space="0" w:color="auto"/>
            <w:right w:val="none" w:sz="0" w:space="0" w:color="auto"/>
          </w:divBdr>
        </w:div>
      </w:divsChild>
    </w:div>
    <w:div w:id="2097508647">
      <w:bodyDiv w:val="1"/>
      <w:marLeft w:val="0"/>
      <w:marRight w:val="0"/>
      <w:marTop w:val="0"/>
      <w:marBottom w:val="0"/>
      <w:divBdr>
        <w:top w:val="none" w:sz="0" w:space="0" w:color="auto"/>
        <w:left w:val="none" w:sz="0" w:space="0" w:color="auto"/>
        <w:bottom w:val="none" w:sz="0" w:space="0" w:color="auto"/>
        <w:right w:val="none" w:sz="0" w:space="0" w:color="auto"/>
      </w:divBdr>
    </w:div>
    <w:div w:id="2097556698">
      <w:bodyDiv w:val="1"/>
      <w:marLeft w:val="0"/>
      <w:marRight w:val="0"/>
      <w:marTop w:val="0"/>
      <w:marBottom w:val="0"/>
      <w:divBdr>
        <w:top w:val="none" w:sz="0" w:space="0" w:color="auto"/>
        <w:left w:val="none" w:sz="0" w:space="0" w:color="auto"/>
        <w:bottom w:val="none" w:sz="0" w:space="0" w:color="auto"/>
        <w:right w:val="none" w:sz="0" w:space="0" w:color="auto"/>
      </w:divBdr>
    </w:div>
    <w:div w:id="2098594146">
      <w:bodyDiv w:val="1"/>
      <w:marLeft w:val="0"/>
      <w:marRight w:val="0"/>
      <w:marTop w:val="0"/>
      <w:marBottom w:val="0"/>
      <w:divBdr>
        <w:top w:val="none" w:sz="0" w:space="0" w:color="auto"/>
        <w:left w:val="none" w:sz="0" w:space="0" w:color="auto"/>
        <w:bottom w:val="none" w:sz="0" w:space="0" w:color="auto"/>
        <w:right w:val="none" w:sz="0" w:space="0" w:color="auto"/>
      </w:divBdr>
    </w:div>
    <w:div w:id="2099059097">
      <w:bodyDiv w:val="1"/>
      <w:marLeft w:val="0"/>
      <w:marRight w:val="0"/>
      <w:marTop w:val="0"/>
      <w:marBottom w:val="0"/>
      <w:divBdr>
        <w:top w:val="none" w:sz="0" w:space="0" w:color="auto"/>
        <w:left w:val="none" w:sz="0" w:space="0" w:color="auto"/>
        <w:bottom w:val="none" w:sz="0" w:space="0" w:color="auto"/>
        <w:right w:val="none" w:sz="0" w:space="0" w:color="auto"/>
      </w:divBdr>
    </w:div>
    <w:div w:id="2099327500">
      <w:bodyDiv w:val="1"/>
      <w:marLeft w:val="0"/>
      <w:marRight w:val="0"/>
      <w:marTop w:val="0"/>
      <w:marBottom w:val="0"/>
      <w:divBdr>
        <w:top w:val="none" w:sz="0" w:space="0" w:color="auto"/>
        <w:left w:val="none" w:sz="0" w:space="0" w:color="auto"/>
        <w:bottom w:val="none" w:sz="0" w:space="0" w:color="auto"/>
        <w:right w:val="none" w:sz="0" w:space="0" w:color="auto"/>
      </w:divBdr>
    </w:div>
    <w:div w:id="2101902926">
      <w:bodyDiv w:val="1"/>
      <w:marLeft w:val="0"/>
      <w:marRight w:val="0"/>
      <w:marTop w:val="0"/>
      <w:marBottom w:val="0"/>
      <w:divBdr>
        <w:top w:val="none" w:sz="0" w:space="0" w:color="auto"/>
        <w:left w:val="none" w:sz="0" w:space="0" w:color="auto"/>
        <w:bottom w:val="none" w:sz="0" w:space="0" w:color="auto"/>
        <w:right w:val="none" w:sz="0" w:space="0" w:color="auto"/>
      </w:divBdr>
    </w:div>
    <w:div w:id="2102486737">
      <w:bodyDiv w:val="1"/>
      <w:marLeft w:val="0"/>
      <w:marRight w:val="0"/>
      <w:marTop w:val="0"/>
      <w:marBottom w:val="0"/>
      <w:divBdr>
        <w:top w:val="none" w:sz="0" w:space="0" w:color="auto"/>
        <w:left w:val="none" w:sz="0" w:space="0" w:color="auto"/>
        <w:bottom w:val="none" w:sz="0" w:space="0" w:color="auto"/>
        <w:right w:val="none" w:sz="0" w:space="0" w:color="auto"/>
      </w:divBdr>
    </w:div>
    <w:div w:id="2102993848">
      <w:bodyDiv w:val="1"/>
      <w:marLeft w:val="0"/>
      <w:marRight w:val="0"/>
      <w:marTop w:val="0"/>
      <w:marBottom w:val="0"/>
      <w:divBdr>
        <w:top w:val="none" w:sz="0" w:space="0" w:color="auto"/>
        <w:left w:val="none" w:sz="0" w:space="0" w:color="auto"/>
        <w:bottom w:val="none" w:sz="0" w:space="0" w:color="auto"/>
        <w:right w:val="none" w:sz="0" w:space="0" w:color="auto"/>
      </w:divBdr>
    </w:div>
    <w:div w:id="2103646142">
      <w:bodyDiv w:val="1"/>
      <w:marLeft w:val="0"/>
      <w:marRight w:val="0"/>
      <w:marTop w:val="0"/>
      <w:marBottom w:val="0"/>
      <w:divBdr>
        <w:top w:val="none" w:sz="0" w:space="0" w:color="auto"/>
        <w:left w:val="none" w:sz="0" w:space="0" w:color="auto"/>
        <w:bottom w:val="none" w:sz="0" w:space="0" w:color="auto"/>
        <w:right w:val="none" w:sz="0" w:space="0" w:color="auto"/>
      </w:divBdr>
    </w:div>
    <w:div w:id="2104645681">
      <w:bodyDiv w:val="1"/>
      <w:marLeft w:val="0"/>
      <w:marRight w:val="0"/>
      <w:marTop w:val="0"/>
      <w:marBottom w:val="0"/>
      <w:divBdr>
        <w:top w:val="none" w:sz="0" w:space="0" w:color="auto"/>
        <w:left w:val="none" w:sz="0" w:space="0" w:color="auto"/>
        <w:bottom w:val="none" w:sz="0" w:space="0" w:color="auto"/>
        <w:right w:val="none" w:sz="0" w:space="0" w:color="auto"/>
      </w:divBdr>
    </w:div>
    <w:div w:id="2106729774">
      <w:bodyDiv w:val="1"/>
      <w:marLeft w:val="0"/>
      <w:marRight w:val="0"/>
      <w:marTop w:val="0"/>
      <w:marBottom w:val="0"/>
      <w:divBdr>
        <w:top w:val="none" w:sz="0" w:space="0" w:color="auto"/>
        <w:left w:val="none" w:sz="0" w:space="0" w:color="auto"/>
        <w:bottom w:val="none" w:sz="0" w:space="0" w:color="auto"/>
        <w:right w:val="none" w:sz="0" w:space="0" w:color="auto"/>
      </w:divBdr>
    </w:div>
    <w:div w:id="2107072412">
      <w:bodyDiv w:val="1"/>
      <w:marLeft w:val="0"/>
      <w:marRight w:val="0"/>
      <w:marTop w:val="0"/>
      <w:marBottom w:val="0"/>
      <w:divBdr>
        <w:top w:val="none" w:sz="0" w:space="0" w:color="auto"/>
        <w:left w:val="none" w:sz="0" w:space="0" w:color="auto"/>
        <w:bottom w:val="none" w:sz="0" w:space="0" w:color="auto"/>
        <w:right w:val="none" w:sz="0" w:space="0" w:color="auto"/>
      </w:divBdr>
    </w:div>
    <w:div w:id="2107580577">
      <w:bodyDiv w:val="1"/>
      <w:marLeft w:val="0"/>
      <w:marRight w:val="0"/>
      <w:marTop w:val="0"/>
      <w:marBottom w:val="0"/>
      <w:divBdr>
        <w:top w:val="none" w:sz="0" w:space="0" w:color="auto"/>
        <w:left w:val="none" w:sz="0" w:space="0" w:color="auto"/>
        <w:bottom w:val="none" w:sz="0" w:space="0" w:color="auto"/>
        <w:right w:val="none" w:sz="0" w:space="0" w:color="auto"/>
      </w:divBdr>
    </w:div>
    <w:div w:id="2107841766">
      <w:bodyDiv w:val="1"/>
      <w:marLeft w:val="0"/>
      <w:marRight w:val="0"/>
      <w:marTop w:val="0"/>
      <w:marBottom w:val="0"/>
      <w:divBdr>
        <w:top w:val="none" w:sz="0" w:space="0" w:color="auto"/>
        <w:left w:val="none" w:sz="0" w:space="0" w:color="auto"/>
        <w:bottom w:val="none" w:sz="0" w:space="0" w:color="auto"/>
        <w:right w:val="none" w:sz="0" w:space="0" w:color="auto"/>
      </w:divBdr>
    </w:div>
    <w:div w:id="2107921112">
      <w:bodyDiv w:val="1"/>
      <w:marLeft w:val="0"/>
      <w:marRight w:val="0"/>
      <w:marTop w:val="0"/>
      <w:marBottom w:val="0"/>
      <w:divBdr>
        <w:top w:val="none" w:sz="0" w:space="0" w:color="auto"/>
        <w:left w:val="none" w:sz="0" w:space="0" w:color="auto"/>
        <w:bottom w:val="none" w:sz="0" w:space="0" w:color="auto"/>
        <w:right w:val="none" w:sz="0" w:space="0" w:color="auto"/>
      </w:divBdr>
    </w:div>
    <w:div w:id="2108304406">
      <w:bodyDiv w:val="1"/>
      <w:marLeft w:val="0"/>
      <w:marRight w:val="0"/>
      <w:marTop w:val="0"/>
      <w:marBottom w:val="0"/>
      <w:divBdr>
        <w:top w:val="none" w:sz="0" w:space="0" w:color="auto"/>
        <w:left w:val="none" w:sz="0" w:space="0" w:color="auto"/>
        <w:bottom w:val="none" w:sz="0" w:space="0" w:color="auto"/>
        <w:right w:val="none" w:sz="0" w:space="0" w:color="auto"/>
      </w:divBdr>
    </w:div>
    <w:div w:id="2108966671">
      <w:bodyDiv w:val="1"/>
      <w:marLeft w:val="0"/>
      <w:marRight w:val="0"/>
      <w:marTop w:val="0"/>
      <w:marBottom w:val="0"/>
      <w:divBdr>
        <w:top w:val="none" w:sz="0" w:space="0" w:color="auto"/>
        <w:left w:val="none" w:sz="0" w:space="0" w:color="auto"/>
        <w:bottom w:val="none" w:sz="0" w:space="0" w:color="auto"/>
        <w:right w:val="none" w:sz="0" w:space="0" w:color="auto"/>
      </w:divBdr>
    </w:div>
    <w:div w:id="2109428999">
      <w:bodyDiv w:val="1"/>
      <w:marLeft w:val="0"/>
      <w:marRight w:val="0"/>
      <w:marTop w:val="0"/>
      <w:marBottom w:val="0"/>
      <w:divBdr>
        <w:top w:val="none" w:sz="0" w:space="0" w:color="auto"/>
        <w:left w:val="none" w:sz="0" w:space="0" w:color="auto"/>
        <w:bottom w:val="none" w:sz="0" w:space="0" w:color="auto"/>
        <w:right w:val="none" w:sz="0" w:space="0" w:color="auto"/>
      </w:divBdr>
    </w:div>
    <w:div w:id="2110198978">
      <w:bodyDiv w:val="1"/>
      <w:marLeft w:val="0"/>
      <w:marRight w:val="0"/>
      <w:marTop w:val="0"/>
      <w:marBottom w:val="0"/>
      <w:divBdr>
        <w:top w:val="none" w:sz="0" w:space="0" w:color="auto"/>
        <w:left w:val="none" w:sz="0" w:space="0" w:color="auto"/>
        <w:bottom w:val="none" w:sz="0" w:space="0" w:color="auto"/>
        <w:right w:val="none" w:sz="0" w:space="0" w:color="auto"/>
      </w:divBdr>
    </w:div>
    <w:div w:id="2111582294">
      <w:bodyDiv w:val="1"/>
      <w:marLeft w:val="0"/>
      <w:marRight w:val="0"/>
      <w:marTop w:val="0"/>
      <w:marBottom w:val="0"/>
      <w:divBdr>
        <w:top w:val="none" w:sz="0" w:space="0" w:color="auto"/>
        <w:left w:val="none" w:sz="0" w:space="0" w:color="auto"/>
        <w:bottom w:val="none" w:sz="0" w:space="0" w:color="auto"/>
        <w:right w:val="none" w:sz="0" w:space="0" w:color="auto"/>
      </w:divBdr>
    </w:div>
    <w:div w:id="2111663571">
      <w:bodyDiv w:val="1"/>
      <w:marLeft w:val="0"/>
      <w:marRight w:val="0"/>
      <w:marTop w:val="0"/>
      <w:marBottom w:val="0"/>
      <w:divBdr>
        <w:top w:val="none" w:sz="0" w:space="0" w:color="auto"/>
        <w:left w:val="none" w:sz="0" w:space="0" w:color="auto"/>
        <w:bottom w:val="none" w:sz="0" w:space="0" w:color="auto"/>
        <w:right w:val="none" w:sz="0" w:space="0" w:color="auto"/>
      </w:divBdr>
    </w:div>
    <w:div w:id="2111775427">
      <w:bodyDiv w:val="1"/>
      <w:marLeft w:val="0"/>
      <w:marRight w:val="0"/>
      <w:marTop w:val="0"/>
      <w:marBottom w:val="0"/>
      <w:divBdr>
        <w:top w:val="none" w:sz="0" w:space="0" w:color="auto"/>
        <w:left w:val="none" w:sz="0" w:space="0" w:color="auto"/>
        <w:bottom w:val="none" w:sz="0" w:space="0" w:color="auto"/>
        <w:right w:val="none" w:sz="0" w:space="0" w:color="auto"/>
      </w:divBdr>
    </w:div>
    <w:div w:id="2112621288">
      <w:bodyDiv w:val="1"/>
      <w:marLeft w:val="0"/>
      <w:marRight w:val="0"/>
      <w:marTop w:val="0"/>
      <w:marBottom w:val="0"/>
      <w:divBdr>
        <w:top w:val="none" w:sz="0" w:space="0" w:color="auto"/>
        <w:left w:val="none" w:sz="0" w:space="0" w:color="auto"/>
        <w:bottom w:val="none" w:sz="0" w:space="0" w:color="auto"/>
        <w:right w:val="none" w:sz="0" w:space="0" w:color="auto"/>
      </w:divBdr>
    </w:div>
    <w:div w:id="2113622438">
      <w:bodyDiv w:val="1"/>
      <w:marLeft w:val="0"/>
      <w:marRight w:val="0"/>
      <w:marTop w:val="0"/>
      <w:marBottom w:val="0"/>
      <w:divBdr>
        <w:top w:val="none" w:sz="0" w:space="0" w:color="auto"/>
        <w:left w:val="none" w:sz="0" w:space="0" w:color="auto"/>
        <w:bottom w:val="none" w:sz="0" w:space="0" w:color="auto"/>
        <w:right w:val="none" w:sz="0" w:space="0" w:color="auto"/>
      </w:divBdr>
    </w:div>
    <w:div w:id="2113815796">
      <w:bodyDiv w:val="1"/>
      <w:marLeft w:val="0"/>
      <w:marRight w:val="0"/>
      <w:marTop w:val="0"/>
      <w:marBottom w:val="0"/>
      <w:divBdr>
        <w:top w:val="none" w:sz="0" w:space="0" w:color="auto"/>
        <w:left w:val="none" w:sz="0" w:space="0" w:color="auto"/>
        <w:bottom w:val="none" w:sz="0" w:space="0" w:color="auto"/>
        <w:right w:val="none" w:sz="0" w:space="0" w:color="auto"/>
      </w:divBdr>
    </w:div>
    <w:div w:id="2113893644">
      <w:bodyDiv w:val="1"/>
      <w:marLeft w:val="0"/>
      <w:marRight w:val="0"/>
      <w:marTop w:val="0"/>
      <w:marBottom w:val="0"/>
      <w:divBdr>
        <w:top w:val="none" w:sz="0" w:space="0" w:color="auto"/>
        <w:left w:val="none" w:sz="0" w:space="0" w:color="auto"/>
        <w:bottom w:val="none" w:sz="0" w:space="0" w:color="auto"/>
        <w:right w:val="none" w:sz="0" w:space="0" w:color="auto"/>
      </w:divBdr>
    </w:div>
    <w:div w:id="2115206894">
      <w:bodyDiv w:val="1"/>
      <w:marLeft w:val="0"/>
      <w:marRight w:val="0"/>
      <w:marTop w:val="0"/>
      <w:marBottom w:val="0"/>
      <w:divBdr>
        <w:top w:val="none" w:sz="0" w:space="0" w:color="auto"/>
        <w:left w:val="none" w:sz="0" w:space="0" w:color="auto"/>
        <w:bottom w:val="none" w:sz="0" w:space="0" w:color="auto"/>
        <w:right w:val="none" w:sz="0" w:space="0" w:color="auto"/>
      </w:divBdr>
      <w:divsChild>
        <w:div w:id="31420825">
          <w:marLeft w:val="0"/>
          <w:marRight w:val="0"/>
          <w:marTop w:val="0"/>
          <w:marBottom w:val="0"/>
          <w:divBdr>
            <w:top w:val="none" w:sz="0" w:space="0" w:color="auto"/>
            <w:left w:val="none" w:sz="0" w:space="0" w:color="auto"/>
            <w:bottom w:val="none" w:sz="0" w:space="0" w:color="auto"/>
            <w:right w:val="none" w:sz="0" w:space="0" w:color="auto"/>
          </w:divBdr>
        </w:div>
        <w:div w:id="448428360">
          <w:marLeft w:val="0"/>
          <w:marRight w:val="0"/>
          <w:marTop w:val="0"/>
          <w:marBottom w:val="0"/>
          <w:divBdr>
            <w:top w:val="none" w:sz="0" w:space="0" w:color="auto"/>
            <w:left w:val="none" w:sz="0" w:space="0" w:color="auto"/>
            <w:bottom w:val="none" w:sz="0" w:space="0" w:color="auto"/>
            <w:right w:val="none" w:sz="0" w:space="0" w:color="auto"/>
          </w:divBdr>
        </w:div>
      </w:divsChild>
    </w:div>
    <w:div w:id="2115206961">
      <w:bodyDiv w:val="1"/>
      <w:marLeft w:val="0"/>
      <w:marRight w:val="0"/>
      <w:marTop w:val="0"/>
      <w:marBottom w:val="0"/>
      <w:divBdr>
        <w:top w:val="none" w:sz="0" w:space="0" w:color="auto"/>
        <w:left w:val="none" w:sz="0" w:space="0" w:color="auto"/>
        <w:bottom w:val="none" w:sz="0" w:space="0" w:color="auto"/>
        <w:right w:val="none" w:sz="0" w:space="0" w:color="auto"/>
      </w:divBdr>
    </w:div>
    <w:div w:id="2116123086">
      <w:bodyDiv w:val="1"/>
      <w:marLeft w:val="0"/>
      <w:marRight w:val="0"/>
      <w:marTop w:val="0"/>
      <w:marBottom w:val="0"/>
      <w:divBdr>
        <w:top w:val="none" w:sz="0" w:space="0" w:color="auto"/>
        <w:left w:val="none" w:sz="0" w:space="0" w:color="auto"/>
        <w:bottom w:val="none" w:sz="0" w:space="0" w:color="auto"/>
        <w:right w:val="none" w:sz="0" w:space="0" w:color="auto"/>
      </w:divBdr>
    </w:div>
    <w:div w:id="2116319918">
      <w:bodyDiv w:val="1"/>
      <w:marLeft w:val="0"/>
      <w:marRight w:val="0"/>
      <w:marTop w:val="0"/>
      <w:marBottom w:val="0"/>
      <w:divBdr>
        <w:top w:val="none" w:sz="0" w:space="0" w:color="auto"/>
        <w:left w:val="none" w:sz="0" w:space="0" w:color="auto"/>
        <w:bottom w:val="none" w:sz="0" w:space="0" w:color="auto"/>
        <w:right w:val="none" w:sz="0" w:space="0" w:color="auto"/>
      </w:divBdr>
    </w:div>
    <w:div w:id="2116366227">
      <w:bodyDiv w:val="1"/>
      <w:marLeft w:val="0"/>
      <w:marRight w:val="0"/>
      <w:marTop w:val="0"/>
      <w:marBottom w:val="0"/>
      <w:divBdr>
        <w:top w:val="none" w:sz="0" w:space="0" w:color="auto"/>
        <w:left w:val="none" w:sz="0" w:space="0" w:color="auto"/>
        <w:bottom w:val="none" w:sz="0" w:space="0" w:color="auto"/>
        <w:right w:val="none" w:sz="0" w:space="0" w:color="auto"/>
      </w:divBdr>
    </w:div>
    <w:div w:id="2117018918">
      <w:bodyDiv w:val="1"/>
      <w:marLeft w:val="0"/>
      <w:marRight w:val="0"/>
      <w:marTop w:val="0"/>
      <w:marBottom w:val="0"/>
      <w:divBdr>
        <w:top w:val="none" w:sz="0" w:space="0" w:color="auto"/>
        <w:left w:val="none" w:sz="0" w:space="0" w:color="auto"/>
        <w:bottom w:val="none" w:sz="0" w:space="0" w:color="auto"/>
        <w:right w:val="none" w:sz="0" w:space="0" w:color="auto"/>
      </w:divBdr>
    </w:div>
    <w:div w:id="2117169206">
      <w:bodyDiv w:val="1"/>
      <w:marLeft w:val="0"/>
      <w:marRight w:val="0"/>
      <w:marTop w:val="0"/>
      <w:marBottom w:val="0"/>
      <w:divBdr>
        <w:top w:val="none" w:sz="0" w:space="0" w:color="auto"/>
        <w:left w:val="none" w:sz="0" w:space="0" w:color="auto"/>
        <w:bottom w:val="none" w:sz="0" w:space="0" w:color="auto"/>
        <w:right w:val="none" w:sz="0" w:space="0" w:color="auto"/>
      </w:divBdr>
    </w:div>
    <w:div w:id="2118060138">
      <w:bodyDiv w:val="1"/>
      <w:marLeft w:val="0"/>
      <w:marRight w:val="0"/>
      <w:marTop w:val="0"/>
      <w:marBottom w:val="0"/>
      <w:divBdr>
        <w:top w:val="none" w:sz="0" w:space="0" w:color="auto"/>
        <w:left w:val="none" w:sz="0" w:space="0" w:color="auto"/>
        <w:bottom w:val="none" w:sz="0" w:space="0" w:color="auto"/>
        <w:right w:val="none" w:sz="0" w:space="0" w:color="auto"/>
      </w:divBdr>
    </w:div>
    <w:div w:id="2119139044">
      <w:bodyDiv w:val="1"/>
      <w:marLeft w:val="0"/>
      <w:marRight w:val="0"/>
      <w:marTop w:val="0"/>
      <w:marBottom w:val="0"/>
      <w:divBdr>
        <w:top w:val="none" w:sz="0" w:space="0" w:color="auto"/>
        <w:left w:val="none" w:sz="0" w:space="0" w:color="auto"/>
        <w:bottom w:val="none" w:sz="0" w:space="0" w:color="auto"/>
        <w:right w:val="none" w:sz="0" w:space="0" w:color="auto"/>
      </w:divBdr>
    </w:div>
    <w:div w:id="2119644898">
      <w:bodyDiv w:val="1"/>
      <w:marLeft w:val="0"/>
      <w:marRight w:val="0"/>
      <w:marTop w:val="0"/>
      <w:marBottom w:val="0"/>
      <w:divBdr>
        <w:top w:val="none" w:sz="0" w:space="0" w:color="auto"/>
        <w:left w:val="none" w:sz="0" w:space="0" w:color="auto"/>
        <w:bottom w:val="none" w:sz="0" w:space="0" w:color="auto"/>
        <w:right w:val="none" w:sz="0" w:space="0" w:color="auto"/>
      </w:divBdr>
    </w:div>
    <w:div w:id="2120055629">
      <w:bodyDiv w:val="1"/>
      <w:marLeft w:val="0"/>
      <w:marRight w:val="0"/>
      <w:marTop w:val="0"/>
      <w:marBottom w:val="0"/>
      <w:divBdr>
        <w:top w:val="none" w:sz="0" w:space="0" w:color="auto"/>
        <w:left w:val="none" w:sz="0" w:space="0" w:color="auto"/>
        <w:bottom w:val="none" w:sz="0" w:space="0" w:color="auto"/>
        <w:right w:val="none" w:sz="0" w:space="0" w:color="auto"/>
      </w:divBdr>
    </w:div>
    <w:div w:id="2120176234">
      <w:bodyDiv w:val="1"/>
      <w:marLeft w:val="0"/>
      <w:marRight w:val="0"/>
      <w:marTop w:val="0"/>
      <w:marBottom w:val="0"/>
      <w:divBdr>
        <w:top w:val="none" w:sz="0" w:space="0" w:color="auto"/>
        <w:left w:val="none" w:sz="0" w:space="0" w:color="auto"/>
        <w:bottom w:val="none" w:sz="0" w:space="0" w:color="auto"/>
        <w:right w:val="none" w:sz="0" w:space="0" w:color="auto"/>
      </w:divBdr>
    </w:div>
    <w:div w:id="2121410467">
      <w:bodyDiv w:val="1"/>
      <w:marLeft w:val="0"/>
      <w:marRight w:val="0"/>
      <w:marTop w:val="0"/>
      <w:marBottom w:val="0"/>
      <w:divBdr>
        <w:top w:val="none" w:sz="0" w:space="0" w:color="auto"/>
        <w:left w:val="none" w:sz="0" w:space="0" w:color="auto"/>
        <w:bottom w:val="none" w:sz="0" w:space="0" w:color="auto"/>
        <w:right w:val="none" w:sz="0" w:space="0" w:color="auto"/>
      </w:divBdr>
    </w:div>
    <w:div w:id="2122454596">
      <w:bodyDiv w:val="1"/>
      <w:marLeft w:val="0"/>
      <w:marRight w:val="0"/>
      <w:marTop w:val="0"/>
      <w:marBottom w:val="0"/>
      <w:divBdr>
        <w:top w:val="none" w:sz="0" w:space="0" w:color="auto"/>
        <w:left w:val="none" w:sz="0" w:space="0" w:color="auto"/>
        <w:bottom w:val="none" w:sz="0" w:space="0" w:color="auto"/>
        <w:right w:val="none" w:sz="0" w:space="0" w:color="auto"/>
      </w:divBdr>
      <w:divsChild>
        <w:div w:id="1062682414">
          <w:marLeft w:val="0"/>
          <w:marRight w:val="0"/>
          <w:marTop w:val="0"/>
          <w:marBottom w:val="0"/>
          <w:divBdr>
            <w:top w:val="none" w:sz="0" w:space="0" w:color="auto"/>
            <w:left w:val="none" w:sz="0" w:space="0" w:color="auto"/>
            <w:bottom w:val="none" w:sz="0" w:space="0" w:color="auto"/>
            <w:right w:val="none" w:sz="0" w:space="0" w:color="auto"/>
          </w:divBdr>
        </w:div>
        <w:div w:id="1446921543">
          <w:marLeft w:val="0"/>
          <w:marRight w:val="0"/>
          <w:marTop w:val="0"/>
          <w:marBottom w:val="0"/>
          <w:divBdr>
            <w:top w:val="none" w:sz="0" w:space="0" w:color="auto"/>
            <w:left w:val="none" w:sz="0" w:space="0" w:color="auto"/>
            <w:bottom w:val="none" w:sz="0" w:space="0" w:color="auto"/>
            <w:right w:val="none" w:sz="0" w:space="0" w:color="auto"/>
          </w:divBdr>
        </w:div>
        <w:div w:id="1684747101">
          <w:marLeft w:val="0"/>
          <w:marRight w:val="0"/>
          <w:marTop w:val="0"/>
          <w:marBottom w:val="0"/>
          <w:divBdr>
            <w:top w:val="none" w:sz="0" w:space="0" w:color="auto"/>
            <w:left w:val="none" w:sz="0" w:space="0" w:color="auto"/>
            <w:bottom w:val="none" w:sz="0" w:space="0" w:color="auto"/>
            <w:right w:val="none" w:sz="0" w:space="0" w:color="auto"/>
          </w:divBdr>
        </w:div>
      </w:divsChild>
    </w:div>
    <w:div w:id="2122532293">
      <w:bodyDiv w:val="1"/>
      <w:marLeft w:val="0"/>
      <w:marRight w:val="0"/>
      <w:marTop w:val="0"/>
      <w:marBottom w:val="0"/>
      <w:divBdr>
        <w:top w:val="none" w:sz="0" w:space="0" w:color="auto"/>
        <w:left w:val="none" w:sz="0" w:space="0" w:color="auto"/>
        <w:bottom w:val="none" w:sz="0" w:space="0" w:color="auto"/>
        <w:right w:val="none" w:sz="0" w:space="0" w:color="auto"/>
      </w:divBdr>
    </w:div>
    <w:div w:id="2123306324">
      <w:bodyDiv w:val="1"/>
      <w:marLeft w:val="0"/>
      <w:marRight w:val="0"/>
      <w:marTop w:val="0"/>
      <w:marBottom w:val="0"/>
      <w:divBdr>
        <w:top w:val="none" w:sz="0" w:space="0" w:color="auto"/>
        <w:left w:val="none" w:sz="0" w:space="0" w:color="auto"/>
        <w:bottom w:val="none" w:sz="0" w:space="0" w:color="auto"/>
        <w:right w:val="none" w:sz="0" w:space="0" w:color="auto"/>
      </w:divBdr>
    </w:div>
    <w:div w:id="2123449342">
      <w:bodyDiv w:val="1"/>
      <w:marLeft w:val="0"/>
      <w:marRight w:val="0"/>
      <w:marTop w:val="0"/>
      <w:marBottom w:val="0"/>
      <w:divBdr>
        <w:top w:val="none" w:sz="0" w:space="0" w:color="auto"/>
        <w:left w:val="none" w:sz="0" w:space="0" w:color="auto"/>
        <w:bottom w:val="none" w:sz="0" w:space="0" w:color="auto"/>
        <w:right w:val="none" w:sz="0" w:space="0" w:color="auto"/>
      </w:divBdr>
    </w:div>
    <w:div w:id="2123913950">
      <w:bodyDiv w:val="1"/>
      <w:marLeft w:val="0"/>
      <w:marRight w:val="0"/>
      <w:marTop w:val="0"/>
      <w:marBottom w:val="0"/>
      <w:divBdr>
        <w:top w:val="none" w:sz="0" w:space="0" w:color="auto"/>
        <w:left w:val="none" w:sz="0" w:space="0" w:color="auto"/>
        <w:bottom w:val="none" w:sz="0" w:space="0" w:color="auto"/>
        <w:right w:val="none" w:sz="0" w:space="0" w:color="auto"/>
      </w:divBdr>
    </w:div>
    <w:div w:id="2124381568">
      <w:bodyDiv w:val="1"/>
      <w:marLeft w:val="0"/>
      <w:marRight w:val="0"/>
      <w:marTop w:val="0"/>
      <w:marBottom w:val="0"/>
      <w:divBdr>
        <w:top w:val="none" w:sz="0" w:space="0" w:color="auto"/>
        <w:left w:val="none" w:sz="0" w:space="0" w:color="auto"/>
        <w:bottom w:val="none" w:sz="0" w:space="0" w:color="auto"/>
        <w:right w:val="none" w:sz="0" w:space="0" w:color="auto"/>
      </w:divBdr>
    </w:div>
    <w:div w:id="2124615842">
      <w:bodyDiv w:val="1"/>
      <w:marLeft w:val="0"/>
      <w:marRight w:val="0"/>
      <w:marTop w:val="0"/>
      <w:marBottom w:val="0"/>
      <w:divBdr>
        <w:top w:val="none" w:sz="0" w:space="0" w:color="auto"/>
        <w:left w:val="none" w:sz="0" w:space="0" w:color="auto"/>
        <w:bottom w:val="none" w:sz="0" w:space="0" w:color="auto"/>
        <w:right w:val="none" w:sz="0" w:space="0" w:color="auto"/>
      </w:divBdr>
    </w:div>
    <w:div w:id="2125880023">
      <w:bodyDiv w:val="1"/>
      <w:marLeft w:val="0"/>
      <w:marRight w:val="0"/>
      <w:marTop w:val="0"/>
      <w:marBottom w:val="0"/>
      <w:divBdr>
        <w:top w:val="none" w:sz="0" w:space="0" w:color="auto"/>
        <w:left w:val="none" w:sz="0" w:space="0" w:color="auto"/>
        <w:bottom w:val="none" w:sz="0" w:space="0" w:color="auto"/>
        <w:right w:val="none" w:sz="0" w:space="0" w:color="auto"/>
      </w:divBdr>
    </w:div>
    <w:div w:id="2126002150">
      <w:bodyDiv w:val="1"/>
      <w:marLeft w:val="0"/>
      <w:marRight w:val="0"/>
      <w:marTop w:val="0"/>
      <w:marBottom w:val="0"/>
      <w:divBdr>
        <w:top w:val="none" w:sz="0" w:space="0" w:color="auto"/>
        <w:left w:val="none" w:sz="0" w:space="0" w:color="auto"/>
        <w:bottom w:val="none" w:sz="0" w:space="0" w:color="auto"/>
        <w:right w:val="none" w:sz="0" w:space="0" w:color="auto"/>
      </w:divBdr>
    </w:div>
    <w:div w:id="2126272855">
      <w:bodyDiv w:val="1"/>
      <w:marLeft w:val="0"/>
      <w:marRight w:val="0"/>
      <w:marTop w:val="0"/>
      <w:marBottom w:val="0"/>
      <w:divBdr>
        <w:top w:val="none" w:sz="0" w:space="0" w:color="auto"/>
        <w:left w:val="none" w:sz="0" w:space="0" w:color="auto"/>
        <w:bottom w:val="none" w:sz="0" w:space="0" w:color="auto"/>
        <w:right w:val="none" w:sz="0" w:space="0" w:color="auto"/>
      </w:divBdr>
    </w:div>
    <w:div w:id="2127112763">
      <w:bodyDiv w:val="1"/>
      <w:marLeft w:val="0"/>
      <w:marRight w:val="0"/>
      <w:marTop w:val="0"/>
      <w:marBottom w:val="0"/>
      <w:divBdr>
        <w:top w:val="none" w:sz="0" w:space="0" w:color="auto"/>
        <w:left w:val="none" w:sz="0" w:space="0" w:color="auto"/>
        <w:bottom w:val="none" w:sz="0" w:space="0" w:color="auto"/>
        <w:right w:val="none" w:sz="0" w:space="0" w:color="auto"/>
      </w:divBdr>
    </w:div>
    <w:div w:id="2127499052">
      <w:bodyDiv w:val="1"/>
      <w:marLeft w:val="0"/>
      <w:marRight w:val="0"/>
      <w:marTop w:val="0"/>
      <w:marBottom w:val="0"/>
      <w:divBdr>
        <w:top w:val="none" w:sz="0" w:space="0" w:color="auto"/>
        <w:left w:val="none" w:sz="0" w:space="0" w:color="auto"/>
        <w:bottom w:val="none" w:sz="0" w:space="0" w:color="auto"/>
        <w:right w:val="none" w:sz="0" w:space="0" w:color="auto"/>
      </w:divBdr>
    </w:div>
    <w:div w:id="2127694956">
      <w:bodyDiv w:val="1"/>
      <w:marLeft w:val="0"/>
      <w:marRight w:val="0"/>
      <w:marTop w:val="0"/>
      <w:marBottom w:val="0"/>
      <w:divBdr>
        <w:top w:val="none" w:sz="0" w:space="0" w:color="auto"/>
        <w:left w:val="none" w:sz="0" w:space="0" w:color="auto"/>
        <w:bottom w:val="none" w:sz="0" w:space="0" w:color="auto"/>
        <w:right w:val="none" w:sz="0" w:space="0" w:color="auto"/>
      </w:divBdr>
    </w:div>
    <w:div w:id="2128042702">
      <w:bodyDiv w:val="1"/>
      <w:marLeft w:val="0"/>
      <w:marRight w:val="0"/>
      <w:marTop w:val="0"/>
      <w:marBottom w:val="0"/>
      <w:divBdr>
        <w:top w:val="none" w:sz="0" w:space="0" w:color="auto"/>
        <w:left w:val="none" w:sz="0" w:space="0" w:color="auto"/>
        <w:bottom w:val="none" w:sz="0" w:space="0" w:color="auto"/>
        <w:right w:val="none" w:sz="0" w:space="0" w:color="auto"/>
      </w:divBdr>
    </w:div>
    <w:div w:id="2128234443">
      <w:bodyDiv w:val="1"/>
      <w:marLeft w:val="0"/>
      <w:marRight w:val="0"/>
      <w:marTop w:val="0"/>
      <w:marBottom w:val="0"/>
      <w:divBdr>
        <w:top w:val="none" w:sz="0" w:space="0" w:color="auto"/>
        <w:left w:val="none" w:sz="0" w:space="0" w:color="auto"/>
        <w:bottom w:val="none" w:sz="0" w:space="0" w:color="auto"/>
        <w:right w:val="none" w:sz="0" w:space="0" w:color="auto"/>
      </w:divBdr>
    </w:div>
    <w:div w:id="2128305215">
      <w:bodyDiv w:val="1"/>
      <w:marLeft w:val="0"/>
      <w:marRight w:val="0"/>
      <w:marTop w:val="0"/>
      <w:marBottom w:val="0"/>
      <w:divBdr>
        <w:top w:val="none" w:sz="0" w:space="0" w:color="auto"/>
        <w:left w:val="none" w:sz="0" w:space="0" w:color="auto"/>
        <w:bottom w:val="none" w:sz="0" w:space="0" w:color="auto"/>
        <w:right w:val="none" w:sz="0" w:space="0" w:color="auto"/>
      </w:divBdr>
    </w:div>
    <w:div w:id="2128422476">
      <w:bodyDiv w:val="1"/>
      <w:marLeft w:val="0"/>
      <w:marRight w:val="0"/>
      <w:marTop w:val="0"/>
      <w:marBottom w:val="0"/>
      <w:divBdr>
        <w:top w:val="none" w:sz="0" w:space="0" w:color="auto"/>
        <w:left w:val="none" w:sz="0" w:space="0" w:color="auto"/>
        <w:bottom w:val="none" w:sz="0" w:space="0" w:color="auto"/>
        <w:right w:val="none" w:sz="0" w:space="0" w:color="auto"/>
      </w:divBdr>
    </w:div>
    <w:div w:id="2129153364">
      <w:bodyDiv w:val="1"/>
      <w:marLeft w:val="0"/>
      <w:marRight w:val="0"/>
      <w:marTop w:val="0"/>
      <w:marBottom w:val="0"/>
      <w:divBdr>
        <w:top w:val="none" w:sz="0" w:space="0" w:color="auto"/>
        <w:left w:val="none" w:sz="0" w:space="0" w:color="auto"/>
        <w:bottom w:val="none" w:sz="0" w:space="0" w:color="auto"/>
        <w:right w:val="none" w:sz="0" w:space="0" w:color="auto"/>
      </w:divBdr>
    </w:div>
    <w:div w:id="2129855101">
      <w:bodyDiv w:val="1"/>
      <w:marLeft w:val="0"/>
      <w:marRight w:val="0"/>
      <w:marTop w:val="0"/>
      <w:marBottom w:val="0"/>
      <w:divBdr>
        <w:top w:val="none" w:sz="0" w:space="0" w:color="auto"/>
        <w:left w:val="none" w:sz="0" w:space="0" w:color="auto"/>
        <w:bottom w:val="none" w:sz="0" w:space="0" w:color="auto"/>
        <w:right w:val="none" w:sz="0" w:space="0" w:color="auto"/>
      </w:divBdr>
    </w:div>
    <w:div w:id="2131506409">
      <w:bodyDiv w:val="1"/>
      <w:marLeft w:val="0"/>
      <w:marRight w:val="0"/>
      <w:marTop w:val="0"/>
      <w:marBottom w:val="0"/>
      <w:divBdr>
        <w:top w:val="none" w:sz="0" w:space="0" w:color="auto"/>
        <w:left w:val="none" w:sz="0" w:space="0" w:color="auto"/>
        <w:bottom w:val="none" w:sz="0" w:space="0" w:color="auto"/>
        <w:right w:val="none" w:sz="0" w:space="0" w:color="auto"/>
      </w:divBdr>
    </w:div>
    <w:div w:id="2132046058">
      <w:bodyDiv w:val="1"/>
      <w:marLeft w:val="0"/>
      <w:marRight w:val="0"/>
      <w:marTop w:val="0"/>
      <w:marBottom w:val="0"/>
      <w:divBdr>
        <w:top w:val="none" w:sz="0" w:space="0" w:color="auto"/>
        <w:left w:val="none" w:sz="0" w:space="0" w:color="auto"/>
        <w:bottom w:val="none" w:sz="0" w:space="0" w:color="auto"/>
        <w:right w:val="none" w:sz="0" w:space="0" w:color="auto"/>
      </w:divBdr>
    </w:div>
    <w:div w:id="2132435744">
      <w:bodyDiv w:val="1"/>
      <w:marLeft w:val="0"/>
      <w:marRight w:val="0"/>
      <w:marTop w:val="0"/>
      <w:marBottom w:val="0"/>
      <w:divBdr>
        <w:top w:val="none" w:sz="0" w:space="0" w:color="auto"/>
        <w:left w:val="none" w:sz="0" w:space="0" w:color="auto"/>
        <w:bottom w:val="none" w:sz="0" w:space="0" w:color="auto"/>
        <w:right w:val="none" w:sz="0" w:space="0" w:color="auto"/>
      </w:divBdr>
    </w:div>
    <w:div w:id="2132555765">
      <w:bodyDiv w:val="1"/>
      <w:marLeft w:val="0"/>
      <w:marRight w:val="0"/>
      <w:marTop w:val="0"/>
      <w:marBottom w:val="0"/>
      <w:divBdr>
        <w:top w:val="none" w:sz="0" w:space="0" w:color="auto"/>
        <w:left w:val="none" w:sz="0" w:space="0" w:color="auto"/>
        <w:bottom w:val="none" w:sz="0" w:space="0" w:color="auto"/>
        <w:right w:val="none" w:sz="0" w:space="0" w:color="auto"/>
      </w:divBdr>
    </w:div>
    <w:div w:id="2132896051">
      <w:bodyDiv w:val="1"/>
      <w:marLeft w:val="0"/>
      <w:marRight w:val="0"/>
      <w:marTop w:val="0"/>
      <w:marBottom w:val="0"/>
      <w:divBdr>
        <w:top w:val="none" w:sz="0" w:space="0" w:color="auto"/>
        <w:left w:val="none" w:sz="0" w:space="0" w:color="auto"/>
        <w:bottom w:val="none" w:sz="0" w:space="0" w:color="auto"/>
        <w:right w:val="none" w:sz="0" w:space="0" w:color="auto"/>
      </w:divBdr>
    </w:div>
    <w:div w:id="2132938497">
      <w:bodyDiv w:val="1"/>
      <w:marLeft w:val="0"/>
      <w:marRight w:val="0"/>
      <w:marTop w:val="0"/>
      <w:marBottom w:val="0"/>
      <w:divBdr>
        <w:top w:val="none" w:sz="0" w:space="0" w:color="auto"/>
        <w:left w:val="none" w:sz="0" w:space="0" w:color="auto"/>
        <w:bottom w:val="none" w:sz="0" w:space="0" w:color="auto"/>
        <w:right w:val="none" w:sz="0" w:space="0" w:color="auto"/>
      </w:divBdr>
    </w:div>
    <w:div w:id="2132943479">
      <w:bodyDiv w:val="1"/>
      <w:marLeft w:val="0"/>
      <w:marRight w:val="0"/>
      <w:marTop w:val="0"/>
      <w:marBottom w:val="0"/>
      <w:divBdr>
        <w:top w:val="none" w:sz="0" w:space="0" w:color="auto"/>
        <w:left w:val="none" w:sz="0" w:space="0" w:color="auto"/>
        <w:bottom w:val="none" w:sz="0" w:space="0" w:color="auto"/>
        <w:right w:val="none" w:sz="0" w:space="0" w:color="auto"/>
      </w:divBdr>
    </w:div>
    <w:div w:id="2133012163">
      <w:bodyDiv w:val="1"/>
      <w:marLeft w:val="0"/>
      <w:marRight w:val="0"/>
      <w:marTop w:val="0"/>
      <w:marBottom w:val="0"/>
      <w:divBdr>
        <w:top w:val="none" w:sz="0" w:space="0" w:color="auto"/>
        <w:left w:val="none" w:sz="0" w:space="0" w:color="auto"/>
        <w:bottom w:val="none" w:sz="0" w:space="0" w:color="auto"/>
        <w:right w:val="none" w:sz="0" w:space="0" w:color="auto"/>
      </w:divBdr>
    </w:div>
    <w:div w:id="2133160195">
      <w:bodyDiv w:val="1"/>
      <w:marLeft w:val="0"/>
      <w:marRight w:val="0"/>
      <w:marTop w:val="0"/>
      <w:marBottom w:val="0"/>
      <w:divBdr>
        <w:top w:val="none" w:sz="0" w:space="0" w:color="auto"/>
        <w:left w:val="none" w:sz="0" w:space="0" w:color="auto"/>
        <w:bottom w:val="none" w:sz="0" w:space="0" w:color="auto"/>
        <w:right w:val="none" w:sz="0" w:space="0" w:color="auto"/>
      </w:divBdr>
    </w:div>
    <w:div w:id="2133597762">
      <w:bodyDiv w:val="1"/>
      <w:marLeft w:val="0"/>
      <w:marRight w:val="0"/>
      <w:marTop w:val="0"/>
      <w:marBottom w:val="0"/>
      <w:divBdr>
        <w:top w:val="none" w:sz="0" w:space="0" w:color="auto"/>
        <w:left w:val="none" w:sz="0" w:space="0" w:color="auto"/>
        <w:bottom w:val="none" w:sz="0" w:space="0" w:color="auto"/>
        <w:right w:val="none" w:sz="0" w:space="0" w:color="auto"/>
      </w:divBdr>
    </w:div>
    <w:div w:id="2133670756">
      <w:bodyDiv w:val="1"/>
      <w:marLeft w:val="0"/>
      <w:marRight w:val="0"/>
      <w:marTop w:val="0"/>
      <w:marBottom w:val="0"/>
      <w:divBdr>
        <w:top w:val="none" w:sz="0" w:space="0" w:color="auto"/>
        <w:left w:val="none" w:sz="0" w:space="0" w:color="auto"/>
        <w:bottom w:val="none" w:sz="0" w:space="0" w:color="auto"/>
        <w:right w:val="none" w:sz="0" w:space="0" w:color="auto"/>
      </w:divBdr>
    </w:div>
    <w:div w:id="2134011616">
      <w:bodyDiv w:val="1"/>
      <w:marLeft w:val="0"/>
      <w:marRight w:val="0"/>
      <w:marTop w:val="0"/>
      <w:marBottom w:val="0"/>
      <w:divBdr>
        <w:top w:val="none" w:sz="0" w:space="0" w:color="auto"/>
        <w:left w:val="none" w:sz="0" w:space="0" w:color="auto"/>
        <w:bottom w:val="none" w:sz="0" w:space="0" w:color="auto"/>
        <w:right w:val="none" w:sz="0" w:space="0" w:color="auto"/>
      </w:divBdr>
    </w:div>
    <w:div w:id="2134055280">
      <w:bodyDiv w:val="1"/>
      <w:marLeft w:val="0"/>
      <w:marRight w:val="0"/>
      <w:marTop w:val="0"/>
      <w:marBottom w:val="0"/>
      <w:divBdr>
        <w:top w:val="none" w:sz="0" w:space="0" w:color="auto"/>
        <w:left w:val="none" w:sz="0" w:space="0" w:color="auto"/>
        <w:bottom w:val="none" w:sz="0" w:space="0" w:color="auto"/>
        <w:right w:val="none" w:sz="0" w:space="0" w:color="auto"/>
      </w:divBdr>
    </w:div>
    <w:div w:id="2134210687">
      <w:bodyDiv w:val="1"/>
      <w:marLeft w:val="0"/>
      <w:marRight w:val="0"/>
      <w:marTop w:val="0"/>
      <w:marBottom w:val="0"/>
      <w:divBdr>
        <w:top w:val="none" w:sz="0" w:space="0" w:color="auto"/>
        <w:left w:val="none" w:sz="0" w:space="0" w:color="auto"/>
        <w:bottom w:val="none" w:sz="0" w:space="0" w:color="auto"/>
        <w:right w:val="none" w:sz="0" w:space="0" w:color="auto"/>
      </w:divBdr>
    </w:div>
    <w:div w:id="2135126865">
      <w:bodyDiv w:val="1"/>
      <w:marLeft w:val="0"/>
      <w:marRight w:val="0"/>
      <w:marTop w:val="0"/>
      <w:marBottom w:val="0"/>
      <w:divBdr>
        <w:top w:val="none" w:sz="0" w:space="0" w:color="auto"/>
        <w:left w:val="none" w:sz="0" w:space="0" w:color="auto"/>
        <w:bottom w:val="none" w:sz="0" w:space="0" w:color="auto"/>
        <w:right w:val="none" w:sz="0" w:space="0" w:color="auto"/>
      </w:divBdr>
    </w:div>
    <w:div w:id="2135368049">
      <w:bodyDiv w:val="1"/>
      <w:marLeft w:val="0"/>
      <w:marRight w:val="0"/>
      <w:marTop w:val="0"/>
      <w:marBottom w:val="0"/>
      <w:divBdr>
        <w:top w:val="none" w:sz="0" w:space="0" w:color="auto"/>
        <w:left w:val="none" w:sz="0" w:space="0" w:color="auto"/>
        <w:bottom w:val="none" w:sz="0" w:space="0" w:color="auto"/>
        <w:right w:val="none" w:sz="0" w:space="0" w:color="auto"/>
      </w:divBdr>
    </w:div>
    <w:div w:id="2136100421">
      <w:bodyDiv w:val="1"/>
      <w:marLeft w:val="0"/>
      <w:marRight w:val="0"/>
      <w:marTop w:val="0"/>
      <w:marBottom w:val="0"/>
      <w:divBdr>
        <w:top w:val="none" w:sz="0" w:space="0" w:color="auto"/>
        <w:left w:val="none" w:sz="0" w:space="0" w:color="auto"/>
        <w:bottom w:val="none" w:sz="0" w:space="0" w:color="auto"/>
        <w:right w:val="none" w:sz="0" w:space="0" w:color="auto"/>
      </w:divBdr>
    </w:div>
    <w:div w:id="2136101680">
      <w:bodyDiv w:val="1"/>
      <w:marLeft w:val="0"/>
      <w:marRight w:val="0"/>
      <w:marTop w:val="0"/>
      <w:marBottom w:val="0"/>
      <w:divBdr>
        <w:top w:val="none" w:sz="0" w:space="0" w:color="auto"/>
        <w:left w:val="none" w:sz="0" w:space="0" w:color="auto"/>
        <w:bottom w:val="none" w:sz="0" w:space="0" w:color="auto"/>
        <w:right w:val="none" w:sz="0" w:space="0" w:color="auto"/>
      </w:divBdr>
    </w:div>
    <w:div w:id="2136829420">
      <w:bodyDiv w:val="1"/>
      <w:marLeft w:val="0"/>
      <w:marRight w:val="0"/>
      <w:marTop w:val="0"/>
      <w:marBottom w:val="0"/>
      <w:divBdr>
        <w:top w:val="none" w:sz="0" w:space="0" w:color="auto"/>
        <w:left w:val="none" w:sz="0" w:space="0" w:color="auto"/>
        <w:bottom w:val="none" w:sz="0" w:space="0" w:color="auto"/>
        <w:right w:val="none" w:sz="0" w:space="0" w:color="auto"/>
      </w:divBdr>
    </w:div>
    <w:div w:id="2136874258">
      <w:bodyDiv w:val="1"/>
      <w:marLeft w:val="0"/>
      <w:marRight w:val="0"/>
      <w:marTop w:val="0"/>
      <w:marBottom w:val="0"/>
      <w:divBdr>
        <w:top w:val="none" w:sz="0" w:space="0" w:color="auto"/>
        <w:left w:val="none" w:sz="0" w:space="0" w:color="auto"/>
        <w:bottom w:val="none" w:sz="0" w:space="0" w:color="auto"/>
        <w:right w:val="none" w:sz="0" w:space="0" w:color="auto"/>
      </w:divBdr>
    </w:div>
    <w:div w:id="2137139700">
      <w:bodyDiv w:val="1"/>
      <w:marLeft w:val="0"/>
      <w:marRight w:val="0"/>
      <w:marTop w:val="0"/>
      <w:marBottom w:val="0"/>
      <w:divBdr>
        <w:top w:val="none" w:sz="0" w:space="0" w:color="auto"/>
        <w:left w:val="none" w:sz="0" w:space="0" w:color="auto"/>
        <w:bottom w:val="none" w:sz="0" w:space="0" w:color="auto"/>
        <w:right w:val="none" w:sz="0" w:space="0" w:color="auto"/>
      </w:divBdr>
    </w:div>
    <w:div w:id="2137409050">
      <w:bodyDiv w:val="1"/>
      <w:marLeft w:val="0"/>
      <w:marRight w:val="0"/>
      <w:marTop w:val="0"/>
      <w:marBottom w:val="0"/>
      <w:divBdr>
        <w:top w:val="none" w:sz="0" w:space="0" w:color="auto"/>
        <w:left w:val="none" w:sz="0" w:space="0" w:color="auto"/>
        <w:bottom w:val="none" w:sz="0" w:space="0" w:color="auto"/>
        <w:right w:val="none" w:sz="0" w:space="0" w:color="auto"/>
      </w:divBdr>
    </w:div>
    <w:div w:id="2138137262">
      <w:bodyDiv w:val="1"/>
      <w:marLeft w:val="0"/>
      <w:marRight w:val="0"/>
      <w:marTop w:val="0"/>
      <w:marBottom w:val="0"/>
      <w:divBdr>
        <w:top w:val="none" w:sz="0" w:space="0" w:color="auto"/>
        <w:left w:val="none" w:sz="0" w:space="0" w:color="auto"/>
        <w:bottom w:val="none" w:sz="0" w:space="0" w:color="auto"/>
        <w:right w:val="none" w:sz="0" w:space="0" w:color="auto"/>
      </w:divBdr>
    </w:div>
    <w:div w:id="2138259275">
      <w:bodyDiv w:val="1"/>
      <w:marLeft w:val="0"/>
      <w:marRight w:val="0"/>
      <w:marTop w:val="0"/>
      <w:marBottom w:val="0"/>
      <w:divBdr>
        <w:top w:val="none" w:sz="0" w:space="0" w:color="auto"/>
        <w:left w:val="none" w:sz="0" w:space="0" w:color="auto"/>
        <w:bottom w:val="none" w:sz="0" w:space="0" w:color="auto"/>
        <w:right w:val="none" w:sz="0" w:space="0" w:color="auto"/>
      </w:divBdr>
    </w:div>
    <w:div w:id="2140294251">
      <w:bodyDiv w:val="1"/>
      <w:marLeft w:val="0"/>
      <w:marRight w:val="0"/>
      <w:marTop w:val="0"/>
      <w:marBottom w:val="0"/>
      <w:divBdr>
        <w:top w:val="none" w:sz="0" w:space="0" w:color="auto"/>
        <w:left w:val="none" w:sz="0" w:space="0" w:color="auto"/>
        <w:bottom w:val="none" w:sz="0" w:space="0" w:color="auto"/>
        <w:right w:val="none" w:sz="0" w:space="0" w:color="auto"/>
      </w:divBdr>
    </w:div>
    <w:div w:id="2140563421">
      <w:bodyDiv w:val="1"/>
      <w:marLeft w:val="0"/>
      <w:marRight w:val="0"/>
      <w:marTop w:val="0"/>
      <w:marBottom w:val="0"/>
      <w:divBdr>
        <w:top w:val="none" w:sz="0" w:space="0" w:color="auto"/>
        <w:left w:val="none" w:sz="0" w:space="0" w:color="auto"/>
        <w:bottom w:val="none" w:sz="0" w:space="0" w:color="auto"/>
        <w:right w:val="none" w:sz="0" w:space="0" w:color="auto"/>
      </w:divBdr>
    </w:div>
    <w:div w:id="2141073708">
      <w:bodyDiv w:val="1"/>
      <w:marLeft w:val="0"/>
      <w:marRight w:val="0"/>
      <w:marTop w:val="0"/>
      <w:marBottom w:val="0"/>
      <w:divBdr>
        <w:top w:val="none" w:sz="0" w:space="0" w:color="auto"/>
        <w:left w:val="none" w:sz="0" w:space="0" w:color="auto"/>
        <w:bottom w:val="none" w:sz="0" w:space="0" w:color="auto"/>
        <w:right w:val="none" w:sz="0" w:space="0" w:color="auto"/>
      </w:divBdr>
    </w:div>
    <w:div w:id="2141218359">
      <w:bodyDiv w:val="1"/>
      <w:marLeft w:val="0"/>
      <w:marRight w:val="0"/>
      <w:marTop w:val="0"/>
      <w:marBottom w:val="0"/>
      <w:divBdr>
        <w:top w:val="none" w:sz="0" w:space="0" w:color="auto"/>
        <w:left w:val="none" w:sz="0" w:space="0" w:color="auto"/>
        <w:bottom w:val="none" w:sz="0" w:space="0" w:color="auto"/>
        <w:right w:val="none" w:sz="0" w:space="0" w:color="auto"/>
      </w:divBdr>
    </w:div>
    <w:div w:id="2142727933">
      <w:bodyDiv w:val="1"/>
      <w:marLeft w:val="0"/>
      <w:marRight w:val="0"/>
      <w:marTop w:val="0"/>
      <w:marBottom w:val="0"/>
      <w:divBdr>
        <w:top w:val="none" w:sz="0" w:space="0" w:color="auto"/>
        <w:left w:val="none" w:sz="0" w:space="0" w:color="auto"/>
        <w:bottom w:val="none" w:sz="0" w:space="0" w:color="auto"/>
        <w:right w:val="none" w:sz="0" w:space="0" w:color="auto"/>
      </w:divBdr>
    </w:div>
    <w:div w:id="2142991105">
      <w:bodyDiv w:val="1"/>
      <w:marLeft w:val="0"/>
      <w:marRight w:val="0"/>
      <w:marTop w:val="0"/>
      <w:marBottom w:val="0"/>
      <w:divBdr>
        <w:top w:val="none" w:sz="0" w:space="0" w:color="auto"/>
        <w:left w:val="none" w:sz="0" w:space="0" w:color="auto"/>
        <w:bottom w:val="none" w:sz="0" w:space="0" w:color="auto"/>
        <w:right w:val="none" w:sz="0" w:space="0" w:color="auto"/>
      </w:divBdr>
    </w:div>
    <w:div w:id="2144613303">
      <w:bodyDiv w:val="1"/>
      <w:marLeft w:val="0"/>
      <w:marRight w:val="0"/>
      <w:marTop w:val="0"/>
      <w:marBottom w:val="0"/>
      <w:divBdr>
        <w:top w:val="none" w:sz="0" w:space="0" w:color="auto"/>
        <w:left w:val="none" w:sz="0" w:space="0" w:color="auto"/>
        <w:bottom w:val="none" w:sz="0" w:space="0" w:color="auto"/>
        <w:right w:val="none" w:sz="0" w:space="0" w:color="auto"/>
      </w:divBdr>
    </w:div>
    <w:div w:id="2144735675">
      <w:bodyDiv w:val="1"/>
      <w:marLeft w:val="0"/>
      <w:marRight w:val="0"/>
      <w:marTop w:val="0"/>
      <w:marBottom w:val="0"/>
      <w:divBdr>
        <w:top w:val="none" w:sz="0" w:space="0" w:color="auto"/>
        <w:left w:val="none" w:sz="0" w:space="0" w:color="auto"/>
        <w:bottom w:val="none" w:sz="0" w:space="0" w:color="auto"/>
        <w:right w:val="none" w:sz="0" w:space="0" w:color="auto"/>
      </w:divBdr>
    </w:div>
    <w:div w:id="2145465035">
      <w:bodyDiv w:val="1"/>
      <w:marLeft w:val="0"/>
      <w:marRight w:val="0"/>
      <w:marTop w:val="0"/>
      <w:marBottom w:val="0"/>
      <w:divBdr>
        <w:top w:val="none" w:sz="0" w:space="0" w:color="auto"/>
        <w:left w:val="none" w:sz="0" w:space="0" w:color="auto"/>
        <w:bottom w:val="none" w:sz="0" w:space="0" w:color="auto"/>
        <w:right w:val="none" w:sz="0" w:space="0" w:color="auto"/>
      </w:divBdr>
    </w:div>
    <w:div w:id="2146310049">
      <w:bodyDiv w:val="1"/>
      <w:marLeft w:val="0"/>
      <w:marRight w:val="0"/>
      <w:marTop w:val="0"/>
      <w:marBottom w:val="0"/>
      <w:divBdr>
        <w:top w:val="none" w:sz="0" w:space="0" w:color="auto"/>
        <w:left w:val="none" w:sz="0" w:space="0" w:color="auto"/>
        <w:bottom w:val="none" w:sz="0" w:space="0" w:color="auto"/>
        <w:right w:val="none" w:sz="0" w:space="0" w:color="auto"/>
      </w:divBdr>
    </w:div>
    <w:div w:id="21472348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b906917a56eb4e1a" Type="http://schemas.microsoft.com/office/2019/09/relationships/intelligence" Target="intelligenc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doi.org/10.31826/9781463237646-064" TargetMode="External"/><Relationship Id="rId2" Type="http://schemas.openxmlformats.org/officeDocument/2006/relationships/customXml" Target="../customXml/item2.xml"/><Relationship Id="rId16" Type="http://schemas.openxmlformats.org/officeDocument/2006/relationships/hyperlink" Target="https://researchcommons.waikato.ac.nz/bitstream/handle/10289/8465/thesis.pdf?sequence=3&amp;isAllowed=y" TargetMode="Externa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60BA08C-913D-724F-9376-69B85B5D77BA}">
  <we:reference id="wa200001011" version="1.1.0.0" store="en-001" storeType="OMEX"/>
  <we:alternateReferences>
    <we:reference id="wa200001011" version="1.1.0.0" store="en-00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AA643767-84FC-AD4F-8F68-40224879F586}">
  <ds:schemaRefs>
    <ds:schemaRef ds:uri="http://schemas.openxmlformats.org/officeDocument/2006/bibliography"/>
  </ds:schemaRefs>
</ds:datastoreItem>
</file>

<file path=customXml/itemProps2.xml><?xml version="1.0" encoding="utf-8"?>
<ds:datastoreItem xmlns:ds="http://schemas.openxmlformats.org/officeDocument/2006/customXml" ds:itemID="{497D3930-4D8F-4B25-89BE-AA40255F0A9C}">
  <ds:schemaRefs>
    <ds:schemaRef ds:uri="http://schemas.microsoft.com/sharepoint/v3/contenttype/forms"/>
  </ds:schemaRefs>
</ds:datastoreItem>
</file>

<file path=customXml/itemProps3.xml><?xml version="1.0" encoding="utf-8"?>
<ds:datastoreItem xmlns:ds="http://schemas.openxmlformats.org/officeDocument/2006/customXml" ds:itemID="{D5B54E18-BA48-464F-BA4F-D9EFA837E412}"/>
</file>

<file path=customXml/itemProps4.xml><?xml version="1.0" encoding="utf-8"?>
<ds:datastoreItem xmlns:ds="http://schemas.openxmlformats.org/officeDocument/2006/customXml" ds:itemID="{ECD67025-C862-496F-A18F-254A3C645423}"/>
</file>

<file path=docProps/app.xml><?xml version="1.0" encoding="utf-8"?>
<Properties xmlns="http://schemas.openxmlformats.org/officeDocument/2006/extended-properties" xmlns:vt="http://schemas.openxmlformats.org/officeDocument/2006/docPropsVTypes">
  <Template>Normal</Template>
  <TotalTime>151</TotalTime>
  <Pages>278</Pages>
  <Words>67954</Words>
  <Characters>387340</Characters>
  <Application>Microsoft Office Word</Application>
  <DocSecurity>0</DocSecurity>
  <Lines>3227</Lines>
  <Paragraphs>908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454386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Rodgir Cohen</dc:creator>
  <cp:keywords/>
  <dc:description/>
  <cp:lastModifiedBy>Carie Browning</cp:lastModifiedBy>
  <cp:revision>18</cp:revision>
  <cp:lastPrinted>2022-11-10T04:12:00Z</cp:lastPrinted>
  <dcterms:created xsi:type="dcterms:W3CDTF">2022-11-10T04:20:00Z</dcterms:created>
  <dcterms:modified xsi:type="dcterms:W3CDTF">2022-11-14T22:38:00Z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